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footer20.xml" ContentType="application/vnd.openxmlformats-officedocument.wordprocessingml.footer+xml"/>
  <Override PartName="/word/header33.xml" ContentType="application/vnd.openxmlformats-officedocument.wordprocessingml.header+xml"/>
  <Override PartName="/word/footer2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65.xml" ContentType="application/vnd.openxmlformats-officedocument.wordprocessingml.header+xml"/>
  <Override PartName="/word/footer51.xml" ContentType="application/vnd.openxmlformats-officedocument.wordprocessingml.footer+xml"/>
  <Override PartName="/word/header66.xml" ContentType="application/vnd.openxmlformats-officedocument.wordprocessingml.header+xml"/>
  <Override PartName="/word/footer52.xml" ContentType="application/vnd.openxmlformats-officedocument.wordprocessingml.footer+xml"/>
  <Override PartName="/word/header67.xml" ContentType="application/vnd.openxmlformats-officedocument.wordprocessingml.header+xml"/>
  <Override PartName="/word/footer53.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54.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72.xml" ContentType="application/vnd.openxmlformats-officedocument.wordprocessingml.header+xml"/>
  <Override PartName="/word/footer57.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58.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81.xml" ContentType="application/vnd.openxmlformats-officedocument.wordprocessingml.header+xml"/>
  <Override PartName="/word/footer65.xml" ContentType="application/vnd.openxmlformats-officedocument.wordprocessingml.footer+xml"/>
  <Override PartName="/word/header82.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68.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89.xml" ContentType="application/vnd.openxmlformats-officedocument.wordprocessingml.header+xml"/>
  <Override PartName="/word/footer71.xml" ContentType="application/vnd.openxmlformats-officedocument.wordprocessingml.footer+xml"/>
  <Override PartName="/word/header90.xml" ContentType="application/vnd.openxmlformats-officedocument.wordprocessingml.header+xml"/>
  <Override PartName="/word/footer72.xml" ContentType="application/vnd.openxmlformats-officedocument.wordprocessingml.footer+xml"/>
  <Override PartName="/word/header91.xml" ContentType="application/vnd.openxmlformats-officedocument.wordprocessingml.header+xml"/>
  <Override PartName="/word/footer73.xml" ContentType="application/vnd.openxmlformats-officedocument.wordprocessingml.footer+xml"/>
  <Override PartName="/word/header92.xml" ContentType="application/vnd.openxmlformats-officedocument.wordprocessingml.header+xml"/>
  <Override PartName="/word/footer74.xml" ContentType="application/vnd.openxmlformats-officedocument.wordprocessingml.footer+xml"/>
  <Override PartName="/word/header93.xml" ContentType="application/vnd.openxmlformats-officedocument.wordprocessingml.header+xml"/>
  <Override PartName="/word/footer75.xml" ContentType="application/vnd.openxmlformats-officedocument.wordprocessingml.footer+xml"/>
  <Override PartName="/word/header94.xml" ContentType="application/vnd.openxmlformats-officedocument.wordprocessingml.header+xml"/>
  <Override PartName="/word/footer76.xml" ContentType="application/vnd.openxmlformats-officedocument.wordprocessingml.footer+xml"/>
  <Override PartName="/word/header95.xml" ContentType="application/vnd.openxmlformats-officedocument.wordprocessingml.header+xml"/>
  <Override PartName="/word/footer77.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7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102.xml" ContentType="application/vnd.openxmlformats-officedocument.wordprocessingml.header+xml"/>
  <Override PartName="/word/footer83.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105.xml" ContentType="application/vnd.openxmlformats-officedocument.wordprocessingml.header+xml"/>
  <Override PartName="/word/footer86.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87.xml" ContentType="application/vnd.openxmlformats-officedocument.wordprocessingml.footer+xml"/>
  <Override PartName="/word/header108.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116.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98.xml" ContentType="application/vnd.openxmlformats-officedocument.wordprocessingml.footer+xml"/>
  <Override PartName="/word/header119.xml" ContentType="application/vnd.openxmlformats-officedocument.wordprocessingml.header+xml"/>
  <Override PartName="/word/footer99.xml" ContentType="application/vnd.openxmlformats-officedocument.wordprocessingml.footer+xml"/>
  <Override PartName="/word/header120.xml" ContentType="application/vnd.openxmlformats-officedocument.wordprocessingml.header+xml"/>
  <Override PartName="/word/footer100.xml" ContentType="application/vnd.openxmlformats-officedocument.wordprocessingml.footer+xml"/>
  <Override PartName="/word/header121.xml" ContentType="application/vnd.openxmlformats-officedocument.wordprocessingml.header+xml"/>
  <Override PartName="/word/footer101.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02.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32.xml" ContentType="application/vnd.openxmlformats-officedocument.wordprocessingml.header+xml"/>
  <Override PartName="/word/footer111.xml" ContentType="application/vnd.openxmlformats-officedocument.wordprocessingml.footer+xml"/>
  <Override PartName="/word/header133.xml" ContentType="application/vnd.openxmlformats-officedocument.wordprocessingml.header+xml"/>
  <Override PartName="/word/footer112.xml" ContentType="application/vnd.openxmlformats-officedocument.wordprocessingml.footer+xml"/>
  <Override PartName="/word/header134.xml" ContentType="application/vnd.openxmlformats-officedocument.wordprocessingml.header+xml"/>
  <Override PartName="/word/footer113.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14.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19.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45.xml" ContentType="application/vnd.openxmlformats-officedocument.wordprocessingml.header+xml"/>
  <Override PartName="/word/footer122.xml" ContentType="application/vnd.openxmlformats-officedocument.wordprocessingml.footer+xml"/>
  <Override PartName="/word/header146.xml" ContentType="application/vnd.openxmlformats-officedocument.wordprocessingml.header+xml"/>
  <Override PartName="/word/footer123.xml" ContentType="application/vnd.openxmlformats-officedocument.wordprocessingml.footer+xml"/>
  <Override PartName="/word/header147.xml" ContentType="application/vnd.openxmlformats-officedocument.wordprocessingml.header+xml"/>
  <Override PartName="/word/footer124.xml" ContentType="application/vnd.openxmlformats-officedocument.wordprocessingml.footer+xml"/>
  <Override PartName="/word/header148.xml" ContentType="application/vnd.openxmlformats-officedocument.wordprocessingml.header+xml"/>
  <Override PartName="/word/footer125.xml" ContentType="application/vnd.openxmlformats-officedocument.wordprocessingml.footer+xml"/>
  <Override PartName="/word/header149.xml" ContentType="application/vnd.openxmlformats-officedocument.wordprocessingml.header+xml"/>
  <Override PartName="/word/footer126.xml" ContentType="application/vnd.openxmlformats-officedocument.wordprocessingml.footer+xml"/>
  <Override PartName="/word/header150.xml" ContentType="application/vnd.openxmlformats-officedocument.wordprocessingml.header+xml"/>
  <Override PartName="/word/footer127.xml" ContentType="application/vnd.openxmlformats-officedocument.wordprocessingml.footer+xml"/>
  <Override PartName="/word/header151.xml" ContentType="application/vnd.openxmlformats-officedocument.wordprocessingml.header+xml"/>
  <Override PartName="/word/footer128.xml" ContentType="application/vnd.openxmlformats-officedocument.wordprocessingml.footer+xml"/>
  <Override PartName="/word/header152.xml" ContentType="application/vnd.openxmlformats-officedocument.wordprocessingml.header+xml"/>
  <Override PartName="/word/footer129.xml" ContentType="application/vnd.openxmlformats-officedocument.wordprocessingml.footer+xml"/>
  <Override PartName="/word/header153.xml" ContentType="application/vnd.openxmlformats-officedocument.wordprocessingml.header+xml"/>
  <Override PartName="/word/footer130.xml" ContentType="application/vnd.openxmlformats-officedocument.wordprocessingml.footer+xml"/>
  <Override PartName="/word/header154.xml" ContentType="application/vnd.openxmlformats-officedocument.wordprocessingml.header+xml"/>
  <Override PartName="/word/footer131.xml" ContentType="application/vnd.openxmlformats-officedocument.wordprocessingml.footer+xml"/>
  <Override PartName="/word/header155.xml" ContentType="application/vnd.openxmlformats-officedocument.wordprocessingml.header+xml"/>
  <Override PartName="/word/footer132.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33.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36.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68.xml" ContentType="application/vnd.openxmlformats-officedocument.wordprocessingml.header+xml"/>
  <Override PartName="/word/footer143.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44.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1064" w:lineRule="exact" w:before="63"/>
        <w:ind w:left="830" w:right="0" w:firstLine="0"/>
        <w:jc w:val="left"/>
        <w:rPr>
          <w:rFonts w:ascii="Stone Sans II ITC Std X Bd"/>
          <w:b/>
          <w:sz w:val="80"/>
        </w:rPr>
      </w:pPr>
      <w:r>
        <w:rPr/>
        <w:drawing>
          <wp:anchor distT="0" distB="0" distL="0" distR="0" allowOverlap="1" layoutInCell="1" locked="0" behindDoc="1" simplePos="0" relativeHeight="235550720">
            <wp:simplePos x="0" y="0"/>
            <wp:positionH relativeFrom="page">
              <wp:posOffset>0</wp:posOffset>
            </wp:positionH>
            <wp:positionV relativeFrom="page">
              <wp:posOffset>12</wp:posOffset>
            </wp:positionV>
            <wp:extent cx="10692003" cy="7559992"/>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0692003" cy="7559992"/>
                    </a:xfrm>
                    <a:prstGeom prst="rect">
                      <a:avLst/>
                    </a:prstGeom>
                  </pic:spPr>
                </pic:pic>
              </a:graphicData>
            </a:graphic>
          </wp:anchor>
        </w:drawing>
      </w:r>
      <w:r>
        <w:rPr>
          <w:rFonts w:ascii="Stone Sans II ITC Std X Bd"/>
          <w:b/>
          <w:color w:val="FFFFFF"/>
          <w:w w:val="110"/>
          <w:sz w:val="80"/>
        </w:rPr>
        <w:t>Book of Reports</w:t>
      </w:r>
    </w:p>
    <w:p>
      <w:pPr>
        <w:spacing w:line="373" w:lineRule="exact" w:before="0"/>
        <w:ind w:left="3056" w:right="2524" w:firstLine="0"/>
        <w:jc w:val="center"/>
        <w:rPr>
          <w:sz w:val="32"/>
        </w:rPr>
      </w:pPr>
      <w:r>
        <w:rPr>
          <w:color w:val="FFFFFF"/>
          <w:w w:val="125"/>
          <w:sz w:val="32"/>
        </w:rPr>
        <w:t>General Assembly, Loughborough 2010</w:t>
      </w:r>
    </w:p>
    <w:p>
      <w:pPr>
        <w:spacing w:after="0" w:line="373" w:lineRule="exact"/>
        <w:jc w:val="center"/>
        <w:rPr>
          <w:sz w:val="32"/>
        </w:rPr>
        <w:sectPr>
          <w:type w:val="continuous"/>
          <w:pgSz w:w="16840" w:h="11910" w:orient="landscape"/>
          <w:pgMar w:top="860" w:bottom="280" w:left="2420" w:right="2420"/>
        </w:sectPr>
      </w:pPr>
    </w:p>
    <w:p>
      <w:pPr>
        <w:pStyle w:val="BodyText"/>
        <w:spacing w:before="6"/>
        <w:rPr>
          <w:sz w:val="21"/>
        </w:rPr>
      </w:pPr>
    </w:p>
    <w:p>
      <w:pPr>
        <w:pStyle w:val="BodyText"/>
        <w:spacing w:before="100"/>
        <w:ind w:left="1715" w:right="2280"/>
        <w:jc w:val="center"/>
      </w:pPr>
      <w:r>
        <w:rPr>
          <w:w w:val="120"/>
        </w:rPr>
        <w:t>© The United Reformed Church, 2010</w:t>
      </w:r>
    </w:p>
    <w:p>
      <w:pPr>
        <w:pStyle w:val="BodyText"/>
        <w:spacing w:before="7"/>
        <w:rPr>
          <w:sz w:val="22"/>
        </w:rPr>
      </w:pPr>
    </w:p>
    <w:p>
      <w:pPr>
        <w:pStyle w:val="BodyText"/>
        <w:ind w:left="1715" w:right="2280"/>
        <w:jc w:val="center"/>
      </w:pPr>
      <w:r>
        <w:rPr>
          <w:w w:val="125"/>
        </w:rPr>
        <w:t>URC084a</w:t>
      </w:r>
    </w:p>
    <w:p>
      <w:pPr>
        <w:pStyle w:val="BodyText"/>
        <w:spacing w:before="16"/>
        <w:ind w:left="1715" w:right="2280"/>
        <w:jc w:val="center"/>
      </w:pPr>
      <w:r>
        <w:rPr>
          <w:w w:val="125"/>
        </w:rPr>
        <w:t>Published by</w:t>
      </w:r>
    </w:p>
    <w:p>
      <w:pPr>
        <w:pStyle w:val="BodyText"/>
        <w:spacing w:before="16"/>
        <w:ind w:left="1715" w:right="2280"/>
        <w:jc w:val="center"/>
      </w:pPr>
      <w:r>
        <w:rPr>
          <w:w w:val="120"/>
        </w:rPr>
        <w:t>The United Reformed Church</w:t>
      </w:r>
    </w:p>
    <w:p>
      <w:pPr>
        <w:pStyle w:val="BodyText"/>
        <w:spacing w:before="16"/>
        <w:ind w:left="1715" w:right="2280"/>
        <w:jc w:val="center"/>
      </w:pPr>
      <w:r>
        <w:rPr>
          <w:w w:val="125"/>
        </w:rPr>
        <w:t>86 Tavistock Place, London WC1H 9RT</w:t>
      </w:r>
    </w:p>
    <w:p>
      <w:pPr>
        <w:pStyle w:val="BodyText"/>
        <w:spacing w:before="7"/>
        <w:rPr>
          <w:sz w:val="22"/>
        </w:rPr>
      </w:pPr>
    </w:p>
    <w:p>
      <w:pPr>
        <w:pStyle w:val="BodyText"/>
        <w:ind w:left="1714" w:right="2280"/>
        <w:jc w:val="center"/>
      </w:pPr>
      <w:r>
        <w:rPr>
          <w:w w:val="120"/>
        </w:rPr>
        <w:t>All rights reserved. This material may be used freely within the churches.</w:t>
      </w:r>
    </w:p>
    <w:p>
      <w:pPr>
        <w:pStyle w:val="BodyText"/>
        <w:spacing w:line="254" w:lineRule="auto" w:before="16"/>
        <w:ind w:left="1713" w:right="2280"/>
        <w:jc w:val="center"/>
      </w:pPr>
      <w:r>
        <w:rPr>
          <w:w w:val="120"/>
        </w:rPr>
        <w:t>No part of this publication may be reproduced outside the Church in any form or by any means – graphic, electronic, or mechanical, including photocopying, recording, taping or information storage and retrieval systems –</w:t>
      </w:r>
    </w:p>
    <w:p>
      <w:pPr>
        <w:pStyle w:val="BodyText"/>
        <w:spacing w:before="3"/>
        <w:ind w:left="1713" w:right="2280"/>
        <w:jc w:val="center"/>
      </w:pPr>
      <w:r>
        <w:rPr>
          <w:w w:val="120"/>
        </w:rPr>
        <w:t>without the prior permission in writing of the publishers.</w:t>
      </w:r>
    </w:p>
    <w:p>
      <w:pPr>
        <w:pStyle w:val="BodyText"/>
        <w:spacing w:before="7"/>
        <w:rPr>
          <w:sz w:val="22"/>
        </w:rPr>
      </w:pPr>
    </w:p>
    <w:p>
      <w:pPr>
        <w:pStyle w:val="BodyText"/>
        <w:spacing w:line="254" w:lineRule="auto" w:before="1"/>
        <w:ind w:left="1713" w:right="2280"/>
        <w:jc w:val="center"/>
      </w:pPr>
      <w:r>
        <w:rPr>
          <w:w w:val="120"/>
        </w:rPr>
        <w:t>The publishers make no representation, express or implied, with regard to the accuracy of the information contained in this book and cannot accept any legal responsibility for any errors or omissions that may take place.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7"/>
        </w:rPr>
      </w:pPr>
    </w:p>
    <w:p>
      <w:pPr>
        <w:spacing w:before="0"/>
        <w:ind w:left="1133" w:right="0" w:firstLine="0"/>
        <w:jc w:val="left"/>
        <w:rPr>
          <w:rFonts w:ascii="Stone Sans II ITC Std Bk"/>
          <w:b/>
          <w:sz w:val="16"/>
        </w:rPr>
      </w:pPr>
      <w:r>
        <w:rPr>
          <w:rFonts w:ascii="Stone Sans II ITC Std Bk"/>
          <w:b/>
          <w:color w:val="6E6E6E"/>
          <w:w w:val="115"/>
          <w:sz w:val="16"/>
        </w:rPr>
        <w:t>Environmental credentials</w:t>
      </w:r>
    </w:p>
    <w:p>
      <w:pPr>
        <w:pStyle w:val="BodyText"/>
        <w:spacing w:before="5"/>
        <w:rPr>
          <w:rFonts w:ascii="Stone Sans II ITC Std Bk"/>
          <w:b/>
          <w:sz w:val="14"/>
        </w:rPr>
      </w:pPr>
    </w:p>
    <w:p>
      <w:pPr>
        <w:spacing w:before="0"/>
        <w:ind w:left="1133" w:right="0" w:firstLine="0"/>
        <w:jc w:val="left"/>
        <w:rPr>
          <w:sz w:val="16"/>
        </w:rPr>
      </w:pPr>
      <w:r>
        <w:rPr>
          <w:color w:val="6E6E6E"/>
          <w:w w:val="120"/>
          <w:sz w:val="16"/>
        </w:rPr>
        <w:t>All paper used in the production of the Book of Reports and Information papers are Regency Satin:</w:t>
      </w:r>
    </w:p>
    <w:p>
      <w:pPr>
        <w:pStyle w:val="ListParagraph"/>
        <w:numPr>
          <w:ilvl w:val="0"/>
          <w:numId w:val="1"/>
        </w:numPr>
        <w:tabs>
          <w:tab w:pos="1814" w:val="left" w:leader="none"/>
          <w:tab w:pos="1815" w:val="left" w:leader="none"/>
        </w:tabs>
        <w:spacing w:line="244" w:lineRule="auto" w:before="5" w:after="0"/>
        <w:ind w:left="1814" w:right="3905" w:hanging="681"/>
        <w:jc w:val="left"/>
        <w:rPr>
          <w:sz w:val="16"/>
        </w:rPr>
      </w:pPr>
      <w:r>
        <w:rPr>
          <w:color w:val="6E6E6E"/>
          <w:w w:val="125"/>
          <w:sz w:val="16"/>
        </w:rPr>
        <w:t>Contains material sourced from responsibly managed and sustained forests, certified in accordance with the FSC (Forest Stewardship</w:t>
      </w:r>
      <w:r>
        <w:rPr>
          <w:color w:val="6E6E6E"/>
          <w:spacing w:val="15"/>
          <w:w w:val="125"/>
          <w:sz w:val="16"/>
        </w:rPr>
        <w:t> </w:t>
      </w:r>
      <w:r>
        <w:rPr>
          <w:color w:val="6E6E6E"/>
          <w:w w:val="125"/>
          <w:sz w:val="16"/>
        </w:rPr>
        <w:t>Council)</w:t>
      </w:r>
    </w:p>
    <w:p>
      <w:pPr>
        <w:pStyle w:val="ListParagraph"/>
        <w:numPr>
          <w:ilvl w:val="0"/>
          <w:numId w:val="1"/>
        </w:numPr>
        <w:tabs>
          <w:tab w:pos="1814" w:val="left" w:leader="none"/>
          <w:tab w:pos="1815" w:val="left" w:leader="none"/>
        </w:tabs>
        <w:spacing w:line="240" w:lineRule="auto" w:before="1" w:after="0"/>
        <w:ind w:left="1814" w:right="0" w:hanging="682"/>
        <w:jc w:val="left"/>
        <w:rPr>
          <w:sz w:val="16"/>
        </w:rPr>
      </w:pPr>
      <w:r>
        <w:rPr/>
        <w:drawing>
          <wp:anchor distT="0" distB="0" distL="0" distR="0" allowOverlap="1" layoutInCell="1" locked="0" behindDoc="0" simplePos="0" relativeHeight="251659264">
            <wp:simplePos x="0" y="0"/>
            <wp:positionH relativeFrom="page">
              <wp:posOffset>5619031</wp:posOffset>
            </wp:positionH>
            <wp:positionV relativeFrom="paragraph">
              <wp:posOffset>91380</wp:posOffset>
            </wp:positionV>
            <wp:extent cx="952214" cy="297722"/>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952214" cy="297722"/>
                    </a:xfrm>
                    <a:prstGeom prst="rect">
                      <a:avLst/>
                    </a:prstGeom>
                  </pic:spPr>
                </pic:pic>
              </a:graphicData>
            </a:graphic>
          </wp:anchor>
        </w:drawing>
      </w:r>
      <w:r>
        <w:rPr>
          <w:color w:val="6E6E6E"/>
          <w:w w:val="120"/>
          <w:sz w:val="16"/>
        </w:rPr>
        <w:t>Is made from 10% recycled pre-consumer</w:t>
      </w:r>
      <w:r>
        <w:rPr>
          <w:color w:val="6E6E6E"/>
          <w:spacing w:val="22"/>
          <w:w w:val="120"/>
          <w:sz w:val="16"/>
        </w:rPr>
        <w:t> </w:t>
      </w:r>
      <w:r>
        <w:rPr>
          <w:color w:val="6E6E6E"/>
          <w:w w:val="120"/>
          <w:sz w:val="16"/>
        </w:rPr>
        <w:t>waste</w:t>
      </w:r>
    </w:p>
    <w:p>
      <w:pPr>
        <w:pStyle w:val="ListParagraph"/>
        <w:numPr>
          <w:ilvl w:val="0"/>
          <w:numId w:val="1"/>
        </w:numPr>
        <w:tabs>
          <w:tab w:pos="1814" w:val="left" w:leader="none"/>
          <w:tab w:pos="1815" w:val="left" w:leader="none"/>
        </w:tabs>
        <w:spacing w:line="244" w:lineRule="auto" w:before="5" w:after="0"/>
        <w:ind w:left="1814" w:right="3655" w:hanging="681"/>
        <w:jc w:val="left"/>
        <w:rPr>
          <w:sz w:val="16"/>
        </w:rPr>
      </w:pPr>
      <w:r>
        <w:rPr>
          <w:color w:val="6E6E6E"/>
          <w:w w:val="125"/>
          <w:sz w:val="16"/>
        </w:rPr>
        <w:t>Is manufactured under </w:t>
      </w:r>
      <w:r>
        <w:rPr>
          <w:color w:val="6E6E6E"/>
          <w:spacing w:val="2"/>
          <w:w w:val="125"/>
          <w:sz w:val="16"/>
        </w:rPr>
        <w:t>strict </w:t>
      </w:r>
      <w:r>
        <w:rPr>
          <w:color w:val="6E6E6E"/>
          <w:w w:val="125"/>
          <w:sz w:val="16"/>
        </w:rPr>
        <w:t>environmental management systems, the international ISO 14001 standard, </w:t>
      </w:r>
      <w:r>
        <w:rPr>
          <w:color w:val="6E6E6E"/>
          <w:spacing w:val="2"/>
          <w:w w:val="125"/>
          <w:sz w:val="16"/>
        </w:rPr>
        <w:t>EMAS </w:t>
      </w:r>
      <w:r>
        <w:rPr>
          <w:color w:val="6E6E6E"/>
          <w:w w:val="125"/>
          <w:sz w:val="16"/>
        </w:rPr>
        <w:t>(Eco-Management and Audit Scheme) and the IPPC (integrated Pollution Prevention and Control)</w:t>
      </w:r>
      <w:r>
        <w:rPr>
          <w:color w:val="6E6E6E"/>
          <w:spacing w:val="20"/>
          <w:w w:val="125"/>
          <w:sz w:val="16"/>
        </w:rPr>
        <w:t> </w:t>
      </w:r>
      <w:r>
        <w:rPr>
          <w:color w:val="6E6E6E"/>
          <w:w w:val="125"/>
          <w:sz w:val="16"/>
        </w:rPr>
        <w:t>regulation</w:t>
      </w:r>
    </w:p>
    <w:p>
      <w:pPr>
        <w:spacing w:before="3"/>
        <w:ind w:left="1814" w:right="0" w:firstLine="0"/>
        <w:jc w:val="left"/>
        <w:rPr>
          <w:sz w:val="16"/>
        </w:rPr>
      </w:pPr>
      <w:r>
        <w:rPr>
          <w:color w:val="6E6E6E"/>
          <w:w w:val="120"/>
          <w:sz w:val="16"/>
        </w:rPr>
        <w:t>Bio inks used conform to the international ISO 14001 standard.</w:t>
      </w:r>
    </w:p>
    <w:p>
      <w:pPr>
        <w:pStyle w:val="BodyText"/>
        <w:spacing w:before="9"/>
        <w:rPr>
          <w:sz w:val="16"/>
        </w:rPr>
      </w:pPr>
    </w:p>
    <w:p>
      <w:pPr>
        <w:spacing w:before="0"/>
        <w:ind w:left="1133" w:right="0" w:firstLine="0"/>
        <w:jc w:val="left"/>
        <w:rPr>
          <w:sz w:val="16"/>
        </w:rPr>
      </w:pPr>
      <w:r>
        <w:rPr>
          <w:color w:val="6E6E6E"/>
          <w:w w:val="120"/>
          <w:sz w:val="16"/>
        </w:rPr>
        <w:t>Printed by Healeys Printers</w:t>
      </w:r>
    </w:p>
    <w:p>
      <w:pPr>
        <w:spacing w:before="5"/>
        <w:ind w:left="1814" w:right="0" w:firstLine="0"/>
        <w:jc w:val="left"/>
        <w:rPr>
          <w:sz w:val="16"/>
        </w:rPr>
      </w:pPr>
      <w:r>
        <w:rPr>
          <w:color w:val="6E6E6E"/>
          <w:w w:val="125"/>
          <w:sz w:val="16"/>
        </w:rPr>
        <w:t>Healeys Printers hold the following environmental accreditations:</w:t>
      </w:r>
    </w:p>
    <w:p>
      <w:pPr>
        <w:spacing w:before="5"/>
        <w:ind w:left="1814" w:right="0" w:firstLine="0"/>
        <w:jc w:val="left"/>
        <w:rPr>
          <w:sz w:val="16"/>
        </w:rPr>
      </w:pPr>
      <w:r>
        <w:rPr>
          <w:color w:val="6E6E6E"/>
          <w:w w:val="125"/>
          <w:sz w:val="16"/>
        </w:rPr>
        <w:t>FSC (certificate SGS-COC-004497); PEFC; ISO 9001; ISO 14001.</w:t>
      </w:r>
    </w:p>
    <w:p>
      <w:pPr>
        <w:pStyle w:val="BodyText"/>
      </w:pPr>
    </w:p>
    <w:p>
      <w:pPr>
        <w:spacing w:line="244" w:lineRule="auto" w:before="160"/>
        <w:ind w:left="1133" w:right="1997" w:firstLine="0"/>
        <w:jc w:val="left"/>
        <w:rPr>
          <w:sz w:val="16"/>
        </w:rPr>
      </w:pPr>
      <w:r>
        <w:rPr>
          <w:color w:val="6E6E6E"/>
          <w:w w:val="125"/>
          <w:sz w:val="16"/>
        </w:rPr>
        <w:t>Designed and printed by the graphics office in Communications on behalf of the Assembly Arrangements Committee, The United Reformed Church, Church House, 86 Tavistock Place, London WC1H 9RT</w:t>
      </w:r>
    </w:p>
    <w:p>
      <w:pPr>
        <w:pStyle w:val="BodyText"/>
        <w:spacing w:before="6"/>
        <w:rPr>
          <w:sz w:val="16"/>
        </w:rPr>
      </w:pPr>
    </w:p>
    <w:p>
      <w:pPr>
        <w:spacing w:line="244" w:lineRule="auto" w:before="0"/>
        <w:ind w:left="1133" w:right="1997" w:firstLine="0"/>
        <w:jc w:val="left"/>
        <w:rPr>
          <w:sz w:val="16"/>
        </w:rPr>
      </w:pPr>
      <w:r>
        <w:rPr>
          <w:color w:val="6E6E6E"/>
          <w:w w:val="120"/>
          <w:sz w:val="16"/>
        </w:rPr>
        <w:t>Produced with reference to See it Right: Making information accessible to people with sight problems (2006), Royal</w:t>
      </w:r>
      <w:r>
        <w:rPr>
          <w:color w:val="6E6E6E"/>
          <w:spacing w:val="5"/>
          <w:w w:val="120"/>
          <w:sz w:val="16"/>
        </w:rPr>
        <w:t> </w:t>
      </w:r>
      <w:r>
        <w:rPr>
          <w:color w:val="6E6E6E"/>
          <w:w w:val="120"/>
          <w:sz w:val="16"/>
        </w:rPr>
        <w:t>National</w:t>
      </w:r>
      <w:r>
        <w:rPr>
          <w:color w:val="6E6E6E"/>
          <w:spacing w:val="5"/>
          <w:w w:val="120"/>
          <w:sz w:val="16"/>
        </w:rPr>
        <w:t> </w:t>
      </w:r>
      <w:r>
        <w:rPr>
          <w:color w:val="6E6E6E"/>
          <w:w w:val="120"/>
          <w:sz w:val="16"/>
        </w:rPr>
        <w:t>Institute</w:t>
      </w:r>
      <w:r>
        <w:rPr>
          <w:color w:val="6E6E6E"/>
          <w:spacing w:val="5"/>
          <w:w w:val="120"/>
          <w:sz w:val="16"/>
        </w:rPr>
        <w:t> </w:t>
      </w:r>
      <w:r>
        <w:rPr>
          <w:color w:val="6E6E6E"/>
          <w:w w:val="120"/>
          <w:sz w:val="16"/>
        </w:rPr>
        <w:t>of</w:t>
      </w:r>
      <w:r>
        <w:rPr>
          <w:color w:val="6E6E6E"/>
          <w:spacing w:val="5"/>
          <w:w w:val="120"/>
          <w:sz w:val="16"/>
        </w:rPr>
        <w:t> </w:t>
      </w:r>
      <w:r>
        <w:rPr>
          <w:color w:val="6E6E6E"/>
          <w:w w:val="120"/>
          <w:sz w:val="16"/>
        </w:rPr>
        <w:t>the</w:t>
      </w:r>
      <w:r>
        <w:rPr>
          <w:color w:val="6E6E6E"/>
          <w:spacing w:val="5"/>
          <w:w w:val="120"/>
          <w:sz w:val="16"/>
        </w:rPr>
        <w:t> </w:t>
      </w:r>
      <w:r>
        <w:rPr>
          <w:color w:val="6E6E6E"/>
          <w:w w:val="120"/>
          <w:sz w:val="16"/>
        </w:rPr>
        <w:t>Blind,</w:t>
      </w:r>
      <w:r>
        <w:rPr>
          <w:color w:val="6E6E6E"/>
          <w:spacing w:val="5"/>
          <w:w w:val="120"/>
          <w:sz w:val="16"/>
        </w:rPr>
        <w:t> </w:t>
      </w:r>
      <w:r>
        <w:rPr>
          <w:color w:val="6E6E6E"/>
          <w:w w:val="120"/>
          <w:sz w:val="16"/>
        </w:rPr>
        <w:t>London.</w:t>
      </w:r>
      <w:r>
        <w:rPr>
          <w:color w:val="6E6E6E"/>
          <w:spacing w:val="5"/>
          <w:w w:val="120"/>
          <w:sz w:val="16"/>
        </w:rPr>
        <w:t> </w:t>
      </w:r>
      <w:r>
        <w:rPr>
          <w:color w:val="6E6E6E"/>
          <w:w w:val="120"/>
          <w:sz w:val="16"/>
        </w:rPr>
        <w:t>ISBN</w:t>
      </w:r>
      <w:r>
        <w:rPr>
          <w:color w:val="6E6E6E"/>
          <w:spacing w:val="5"/>
          <w:w w:val="120"/>
          <w:sz w:val="16"/>
        </w:rPr>
        <w:t> </w:t>
      </w:r>
      <w:r>
        <w:rPr>
          <w:color w:val="6E6E6E"/>
          <w:w w:val="120"/>
          <w:sz w:val="16"/>
        </w:rPr>
        <w:t>1</w:t>
      </w:r>
      <w:r>
        <w:rPr>
          <w:color w:val="6E6E6E"/>
          <w:spacing w:val="5"/>
          <w:w w:val="120"/>
          <w:sz w:val="16"/>
        </w:rPr>
        <w:t> </w:t>
      </w:r>
      <w:r>
        <w:rPr>
          <w:color w:val="6E6E6E"/>
          <w:spacing w:val="-3"/>
          <w:w w:val="120"/>
          <w:sz w:val="16"/>
        </w:rPr>
        <w:t>85878</w:t>
      </w:r>
      <w:r>
        <w:rPr>
          <w:color w:val="6E6E6E"/>
          <w:spacing w:val="5"/>
          <w:w w:val="120"/>
          <w:sz w:val="16"/>
        </w:rPr>
        <w:t> </w:t>
      </w:r>
      <w:r>
        <w:rPr>
          <w:color w:val="6E6E6E"/>
          <w:w w:val="120"/>
          <w:sz w:val="16"/>
        </w:rPr>
        <w:t>704</w:t>
      </w:r>
      <w:r>
        <w:rPr>
          <w:color w:val="6E6E6E"/>
          <w:spacing w:val="5"/>
          <w:w w:val="120"/>
          <w:sz w:val="16"/>
        </w:rPr>
        <w:t> </w:t>
      </w:r>
      <w:r>
        <w:rPr>
          <w:color w:val="6E6E6E"/>
          <w:w w:val="120"/>
          <w:sz w:val="16"/>
        </w:rPr>
        <w:t>1</w:t>
      </w:r>
    </w:p>
    <w:p>
      <w:pPr>
        <w:pStyle w:val="BodyText"/>
      </w:pPr>
    </w:p>
    <w:p>
      <w:pPr>
        <w:pStyle w:val="BodyText"/>
        <w:spacing w:before="6"/>
        <w:rPr>
          <w:sz w:val="24"/>
        </w:rPr>
      </w:pPr>
    </w:p>
    <w:p>
      <w:pPr>
        <w:pStyle w:val="BodyText"/>
        <w:spacing w:line="254" w:lineRule="auto"/>
        <w:ind w:left="1133" w:right="1997"/>
      </w:pPr>
      <w:r>
        <w:rPr>
          <w:w w:val="120"/>
        </w:rPr>
        <w:t>If you require this text in another format please inform the graphics office, Church House. Please give two weeks notice.</w:t>
      </w:r>
    </w:p>
    <w:p>
      <w:pPr>
        <w:spacing w:after="0" w:line="254" w:lineRule="auto"/>
        <w:sectPr>
          <w:pgSz w:w="11910" w:h="16840"/>
          <w:pgMar w:top="1580" w:bottom="280" w:left="0" w:right="0"/>
        </w:sectPr>
      </w:pPr>
    </w:p>
    <w:p>
      <w:pPr>
        <w:pStyle w:val="BodyText"/>
        <w:ind w:left="11168"/>
      </w:pPr>
      <w:r>
        <w:rPr/>
        <w:pict>
          <v:rect style="position:absolute;margin-left:558.424988pt;margin-top:31.299pt;width:22.677pt;height:22.677pt;mso-position-horizontal-relative:page;mso-position-vertical-relative:paragraph;z-index:-251655168;mso-wrap-distance-left:0;mso-wrap-distance-right:0" filled="true" fillcolor="#ffffff" stroked="false">
            <v:fill type="solid"/>
            <w10:wrap type="topAndBottom"/>
          </v:rect>
        </w:pict>
      </w:r>
      <w:r>
        <w:rPr/>
        <w:pict>
          <v:shapetype id="_x0000_t202" o:spt="202" coordsize="21600,21600" path="m,l,21600r21600,l21600,xe">
            <v:stroke joinstyle="miter"/>
            <v:path gradientshapeok="t" o:connecttype="rect"/>
          </v:shapetype>
          <v:shape style="position:absolute;margin-left:71.884003pt;margin-top:68.597694pt;width:275.5pt;height:691.5pt;mso-position-horizontal-relative:page;mso-position-vertical-relative:paragraph;z-index:-251658240;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789"/>
                    <w:gridCol w:w="697"/>
                  </w:tblGrid>
                  <w:tr>
                    <w:trPr>
                      <w:trHeight w:val="1165" w:hRule="atLeast"/>
                    </w:trPr>
                    <w:tc>
                      <w:tcPr>
                        <w:tcW w:w="4789" w:type="dxa"/>
                        <w:tcBorders>
                          <w:bottom w:val="single" w:sz="51" w:space="0" w:color="8BA8BD"/>
                          <w:right w:val="single" w:sz="6" w:space="0" w:color="FFFFFF"/>
                        </w:tcBorders>
                      </w:tcPr>
                      <w:p>
                        <w:pPr>
                          <w:pStyle w:val="TableParagraph"/>
                          <w:spacing w:before="11"/>
                          <w:rPr>
                            <w:sz w:val="18"/>
                          </w:rPr>
                        </w:pPr>
                      </w:p>
                      <w:p>
                        <w:pPr>
                          <w:pStyle w:val="TableParagraph"/>
                          <w:ind w:left="121"/>
                          <w:rPr>
                            <w:rFonts w:ascii="Stone Sans II ITC Std X Bd"/>
                            <w:b/>
                            <w:sz w:val="20"/>
                          </w:rPr>
                        </w:pPr>
                        <w:r>
                          <w:rPr>
                            <w:rFonts w:ascii="Stone Sans II ITC Std X Bd"/>
                            <w:b/>
                            <w:color w:val="FFFFFF"/>
                            <w:w w:val="110"/>
                            <w:sz w:val="20"/>
                          </w:rPr>
                          <w:t>Introduction</w:t>
                        </w:r>
                      </w:p>
                      <w:p>
                        <w:pPr>
                          <w:pStyle w:val="TableParagraph"/>
                          <w:spacing w:before="1"/>
                          <w:rPr>
                            <w:sz w:val="22"/>
                          </w:rPr>
                        </w:pPr>
                      </w:p>
                      <w:p>
                        <w:pPr>
                          <w:pStyle w:val="TableParagraph"/>
                          <w:ind w:left="121"/>
                          <w:rPr>
                            <w:rFonts w:ascii="Stone Sans II ITC Std X Bd"/>
                            <w:b/>
                            <w:i/>
                            <w:sz w:val="20"/>
                          </w:rPr>
                        </w:pPr>
                        <w:r>
                          <w:rPr>
                            <w:rFonts w:ascii="Stone Sans II ITC Std X Bd"/>
                            <w:b/>
                            <w:i/>
                            <w:color w:val="FFFFFF"/>
                            <w:w w:val="110"/>
                            <w:sz w:val="20"/>
                          </w:rPr>
                          <w:t>vision2020</w:t>
                        </w:r>
                      </w:p>
                    </w:tc>
                    <w:tc>
                      <w:tcPr>
                        <w:tcW w:w="697" w:type="dxa"/>
                        <w:tcBorders>
                          <w:left w:val="single" w:sz="6" w:space="0" w:color="FFFFFF"/>
                          <w:bottom w:val="single" w:sz="51" w:space="0" w:color="8BA8BD"/>
                          <w:right w:val="single" w:sz="6" w:space="0" w:color="FFFFFF"/>
                        </w:tcBorders>
                      </w:tcPr>
                      <w:p>
                        <w:pPr>
                          <w:pStyle w:val="TableParagraph"/>
                          <w:spacing w:before="11"/>
                          <w:rPr>
                            <w:sz w:val="18"/>
                          </w:rPr>
                        </w:pPr>
                      </w:p>
                      <w:p>
                        <w:pPr>
                          <w:pStyle w:val="TableParagraph"/>
                          <w:ind w:left="417"/>
                          <w:rPr>
                            <w:rFonts w:ascii="Stone Sans II ITC Std X Bd"/>
                            <w:b/>
                            <w:sz w:val="20"/>
                          </w:rPr>
                        </w:pPr>
                        <w:r>
                          <w:rPr>
                            <w:rFonts w:ascii="Stone Sans II ITC Std X Bd"/>
                            <w:b/>
                            <w:color w:val="FFFFFF"/>
                            <w:w w:val="110"/>
                            <w:sz w:val="20"/>
                          </w:rPr>
                          <w:t>5</w:t>
                        </w:r>
                      </w:p>
                      <w:p>
                        <w:pPr>
                          <w:pStyle w:val="TableParagraph"/>
                          <w:spacing w:before="1"/>
                          <w:rPr>
                            <w:sz w:val="22"/>
                          </w:rPr>
                        </w:pPr>
                      </w:p>
                      <w:p>
                        <w:pPr>
                          <w:pStyle w:val="TableParagraph"/>
                          <w:ind w:left="417"/>
                          <w:rPr>
                            <w:rFonts w:ascii="Stone Sans II ITC Std X Bd"/>
                            <w:b/>
                            <w:sz w:val="20"/>
                          </w:rPr>
                        </w:pPr>
                        <w:r>
                          <w:rPr>
                            <w:rFonts w:ascii="Stone Sans II ITC Std X Bd"/>
                            <w:b/>
                            <w:color w:val="FFFFFF"/>
                            <w:w w:val="110"/>
                            <w:sz w:val="20"/>
                          </w:rPr>
                          <w:t>7</w:t>
                        </w:r>
                      </w:p>
                    </w:tc>
                  </w:tr>
                  <w:tr>
                    <w:trPr>
                      <w:trHeight w:val="450" w:hRule="atLeast"/>
                    </w:trPr>
                    <w:tc>
                      <w:tcPr>
                        <w:tcW w:w="4789" w:type="dxa"/>
                        <w:tcBorders>
                          <w:top w:val="single" w:sz="51" w:space="0" w:color="8BA8BD"/>
                          <w:bottom w:val="single" w:sz="48" w:space="0" w:color="8BA8BD"/>
                          <w:right w:val="single" w:sz="6" w:space="0" w:color="FFFFFF"/>
                        </w:tcBorders>
                        <w:shd w:val="clear" w:color="auto" w:fill="C20D19"/>
                      </w:tcPr>
                      <w:p>
                        <w:pPr>
                          <w:pStyle w:val="TableParagraph"/>
                          <w:spacing w:before="37"/>
                          <w:ind w:left="121"/>
                          <w:rPr>
                            <w:rFonts w:ascii="Stone Sans II ITC Std X Bd"/>
                            <w:b/>
                            <w:i/>
                            <w:sz w:val="20"/>
                          </w:rPr>
                        </w:pPr>
                        <w:r>
                          <w:rPr>
                            <w:rFonts w:ascii="Stone Sans II ITC Std X Bd"/>
                            <w:b/>
                            <w:i/>
                            <w:color w:val="FFFFFF"/>
                            <w:w w:val="110"/>
                            <w:sz w:val="20"/>
                          </w:rPr>
                          <w:t>Vision</w:t>
                        </w:r>
                        <w:r>
                          <w:rPr>
                            <w:rFonts w:ascii="Stone Sans II ITC Std X Bd"/>
                            <w:b/>
                            <w:i/>
                            <w:color w:val="FFFFFF"/>
                            <w:w w:val="110"/>
                            <w:sz w:val="25"/>
                          </w:rPr>
                          <w:t>4</w:t>
                        </w:r>
                        <w:r>
                          <w:rPr>
                            <w:rFonts w:ascii="Stone Sans II ITC Std X Bd"/>
                            <w:b/>
                            <w:i/>
                            <w:color w:val="FFFFFF"/>
                            <w:w w:val="110"/>
                            <w:sz w:val="20"/>
                          </w:rPr>
                          <w:t>Life</w:t>
                        </w:r>
                      </w:p>
                    </w:tc>
                    <w:tc>
                      <w:tcPr>
                        <w:tcW w:w="697" w:type="dxa"/>
                        <w:tcBorders>
                          <w:top w:val="single" w:sz="51" w:space="0" w:color="8BA8BD"/>
                          <w:left w:val="single" w:sz="6" w:space="0" w:color="FFFFFF"/>
                          <w:bottom w:val="single" w:sz="48" w:space="0" w:color="8BA8BD"/>
                          <w:right w:val="single" w:sz="6" w:space="0" w:color="FFFFFF"/>
                        </w:tcBorders>
                        <w:shd w:val="clear" w:color="auto" w:fill="C20D19"/>
                      </w:tcPr>
                      <w:p>
                        <w:pPr>
                          <w:pStyle w:val="TableParagraph"/>
                          <w:spacing w:before="88"/>
                          <w:ind w:right="115"/>
                          <w:jc w:val="right"/>
                          <w:rPr>
                            <w:rFonts w:ascii="Stone Sans II ITC Std X Bd"/>
                            <w:b/>
                            <w:sz w:val="20"/>
                          </w:rPr>
                        </w:pPr>
                        <w:r>
                          <w:rPr>
                            <w:rFonts w:ascii="Stone Sans II ITC Std X Bd"/>
                            <w:b/>
                            <w:color w:val="FFFFFF"/>
                            <w:w w:val="110"/>
                            <w:sz w:val="20"/>
                          </w:rPr>
                          <w:t>31</w:t>
                        </w:r>
                      </w:p>
                    </w:tc>
                  </w:tr>
                  <w:tr>
                    <w:trPr>
                      <w:trHeight w:val="484" w:hRule="atLeast"/>
                    </w:trPr>
                    <w:tc>
                      <w:tcPr>
                        <w:tcW w:w="4789" w:type="dxa"/>
                        <w:tcBorders>
                          <w:top w:val="single" w:sz="48" w:space="0" w:color="8BA8BD"/>
                          <w:right w:val="single" w:sz="6" w:space="0" w:color="FFFFFF"/>
                        </w:tcBorders>
                      </w:tcPr>
                      <w:p>
                        <w:pPr>
                          <w:pStyle w:val="TableParagraph"/>
                          <w:spacing w:before="108"/>
                          <w:ind w:left="121"/>
                          <w:rPr>
                            <w:rFonts w:ascii="Stone Sans II ITC Std X Bd"/>
                            <w:b/>
                            <w:sz w:val="20"/>
                          </w:rPr>
                        </w:pPr>
                        <w:r>
                          <w:rPr>
                            <w:rFonts w:ascii="Stone Sans II ITC Std X Bd"/>
                            <w:b/>
                            <w:color w:val="FFFFFF"/>
                            <w:w w:val="110"/>
                            <w:sz w:val="20"/>
                          </w:rPr>
                          <w:t>Marketing and identity campaign</w:t>
                        </w:r>
                      </w:p>
                    </w:tc>
                    <w:tc>
                      <w:tcPr>
                        <w:tcW w:w="697" w:type="dxa"/>
                        <w:tcBorders>
                          <w:top w:val="single" w:sz="48" w:space="0" w:color="8BA8BD"/>
                          <w:left w:val="single" w:sz="6" w:space="0" w:color="FFFFFF"/>
                          <w:right w:val="single" w:sz="6" w:space="0" w:color="FFFFFF"/>
                        </w:tcBorders>
                      </w:tcPr>
                      <w:p>
                        <w:pPr>
                          <w:pStyle w:val="TableParagraph"/>
                          <w:spacing w:before="108"/>
                          <w:ind w:right="115"/>
                          <w:jc w:val="right"/>
                          <w:rPr>
                            <w:rFonts w:ascii="Stone Sans II ITC Std X Bd"/>
                            <w:b/>
                            <w:sz w:val="20"/>
                          </w:rPr>
                        </w:pPr>
                        <w:r>
                          <w:rPr>
                            <w:rFonts w:ascii="Stone Sans II ITC Std X Bd"/>
                            <w:b/>
                            <w:color w:val="FFFFFF"/>
                            <w:w w:val="110"/>
                            <w:sz w:val="20"/>
                          </w:rPr>
                          <w:t>37</w:t>
                        </w:r>
                      </w:p>
                    </w:tc>
                  </w:tr>
                  <w:tr>
                    <w:trPr>
                      <w:trHeight w:val="505" w:hRule="atLeast"/>
                    </w:trPr>
                    <w:tc>
                      <w:tcPr>
                        <w:tcW w:w="4789" w:type="dxa"/>
                        <w:tcBorders>
                          <w:right w:val="single" w:sz="6" w:space="0" w:color="FFFFFF"/>
                        </w:tcBorders>
                      </w:tcPr>
                      <w:p>
                        <w:pPr>
                          <w:pStyle w:val="TableParagraph"/>
                          <w:spacing w:before="117"/>
                          <w:ind w:left="121"/>
                          <w:rPr>
                            <w:rFonts w:ascii="Stone Sans II ITC Std X Bd"/>
                            <w:b/>
                            <w:sz w:val="20"/>
                          </w:rPr>
                        </w:pPr>
                        <w:r>
                          <w:rPr>
                            <w:rFonts w:ascii="Stone Sans II ITC Std X Bd"/>
                            <w:b/>
                            <w:color w:val="FFFFFF"/>
                            <w:w w:val="110"/>
                            <w:sz w:val="20"/>
                          </w:rPr>
                          <w:t>Synod Moderator</w:t>
                        </w:r>
                      </w:p>
                    </w:tc>
                    <w:tc>
                      <w:tcPr>
                        <w:tcW w:w="697" w:type="dxa"/>
                        <w:tcBorders>
                          <w:left w:val="single" w:sz="6" w:space="0" w:color="FFFFFF"/>
                          <w:right w:val="single" w:sz="6" w:space="0" w:color="FFFFFF"/>
                        </w:tcBorders>
                      </w:tcPr>
                      <w:p>
                        <w:pPr>
                          <w:pStyle w:val="TableParagraph"/>
                          <w:spacing w:before="117"/>
                          <w:ind w:right="115"/>
                          <w:jc w:val="right"/>
                          <w:rPr>
                            <w:rFonts w:ascii="Stone Sans II ITC Std X Bd"/>
                            <w:b/>
                            <w:sz w:val="20"/>
                          </w:rPr>
                        </w:pPr>
                        <w:r>
                          <w:rPr>
                            <w:rFonts w:ascii="Stone Sans II ITC Std X Bd"/>
                            <w:b/>
                            <w:color w:val="FFFFFF"/>
                            <w:w w:val="110"/>
                            <w:sz w:val="20"/>
                          </w:rPr>
                          <w:t>41</w:t>
                        </w:r>
                      </w:p>
                    </w:tc>
                  </w:tr>
                  <w:tr>
                    <w:trPr>
                      <w:trHeight w:val="588" w:hRule="atLeast"/>
                    </w:trPr>
                    <w:tc>
                      <w:tcPr>
                        <w:tcW w:w="4789" w:type="dxa"/>
                        <w:tcBorders>
                          <w:right w:val="single" w:sz="6" w:space="0" w:color="FFFFFF"/>
                        </w:tcBorders>
                      </w:tcPr>
                      <w:p>
                        <w:pPr>
                          <w:pStyle w:val="TableParagraph"/>
                          <w:spacing w:before="129"/>
                          <w:ind w:left="121"/>
                          <w:rPr>
                            <w:rFonts w:ascii="Stone Sans II ITC Std X Bd"/>
                            <w:b/>
                            <w:sz w:val="20"/>
                          </w:rPr>
                        </w:pPr>
                        <w:r>
                          <w:rPr>
                            <w:rFonts w:ascii="Stone Sans II ITC Std X Bd"/>
                            <w:b/>
                            <w:color w:val="FFFFFF"/>
                            <w:w w:val="110"/>
                            <w:sz w:val="20"/>
                          </w:rPr>
                          <w:t>Mission Council</w:t>
                        </w:r>
                      </w:p>
                    </w:tc>
                    <w:tc>
                      <w:tcPr>
                        <w:tcW w:w="697" w:type="dxa"/>
                        <w:tcBorders>
                          <w:left w:val="single" w:sz="6" w:space="0" w:color="FFFFFF"/>
                          <w:right w:val="single" w:sz="6" w:space="0" w:color="FFFFFF"/>
                        </w:tcBorders>
                      </w:tcPr>
                      <w:p>
                        <w:pPr>
                          <w:pStyle w:val="TableParagraph"/>
                          <w:spacing w:before="129"/>
                          <w:ind w:right="115"/>
                          <w:jc w:val="right"/>
                          <w:rPr>
                            <w:rFonts w:ascii="Stone Sans II ITC Std X Bd"/>
                            <w:b/>
                            <w:sz w:val="20"/>
                          </w:rPr>
                        </w:pPr>
                        <w:r>
                          <w:rPr>
                            <w:rFonts w:ascii="Stone Sans II ITC Std X Bd"/>
                            <w:b/>
                            <w:color w:val="FFFFFF"/>
                            <w:w w:val="110"/>
                            <w:sz w:val="20"/>
                          </w:rPr>
                          <w:t>49</w:t>
                        </w:r>
                      </w:p>
                    </w:tc>
                  </w:tr>
                  <w:tr>
                    <w:trPr>
                      <w:trHeight w:val="509" w:hRule="atLeast"/>
                    </w:trPr>
                    <w:tc>
                      <w:tcPr>
                        <w:tcW w:w="4789" w:type="dxa"/>
                        <w:tcBorders>
                          <w:right w:val="single" w:sz="6" w:space="0" w:color="FFFFFF"/>
                        </w:tcBorders>
                      </w:tcPr>
                      <w:p>
                        <w:pPr>
                          <w:pStyle w:val="TableParagraph"/>
                          <w:spacing w:before="200"/>
                          <w:ind w:left="121"/>
                          <w:rPr>
                            <w:rFonts w:ascii="Stone Sans II ITC Std X Bd"/>
                            <w:b/>
                            <w:sz w:val="20"/>
                          </w:rPr>
                        </w:pPr>
                        <w:r>
                          <w:rPr>
                            <w:rFonts w:ascii="Stone Sans II ITC Std X Bd"/>
                            <w:b/>
                            <w:color w:val="FFFFFF"/>
                            <w:w w:val="110"/>
                            <w:sz w:val="20"/>
                          </w:rPr>
                          <w:t>Assembly Arrangements</w:t>
                        </w:r>
                      </w:p>
                    </w:tc>
                    <w:tc>
                      <w:tcPr>
                        <w:tcW w:w="697" w:type="dxa"/>
                        <w:tcBorders>
                          <w:left w:val="single" w:sz="6" w:space="0" w:color="FFFFFF"/>
                          <w:right w:val="single" w:sz="6" w:space="0" w:color="FFFFFF"/>
                        </w:tcBorders>
                      </w:tcPr>
                      <w:p>
                        <w:pPr>
                          <w:pStyle w:val="TableParagraph"/>
                          <w:spacing w:before="200"/>
                          <w:ind w:right="114"/>
                          <w:jc w:val="right"/>
                          <w:rPr>
                            <w:rFonts w:ascii="Stone Sans II ITC Std X Bd"/>
                            <w:b/>
                            <w:sz w:val="20"/>
                          </w:rPr>
                        </w:pPr>
                        <w:r>
                          <w:rPr>
                            <w:rFonts w:ascii="Stone Sans II ITC Std X Bd"/>
                            <w:b/>
                            <w:color w:val="FFFFFF"/>
                            <w:w w:val="110"/>
                            <w:sz w:val="20"/>
                          </w:rPr>
                          <w:t>107</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Communications</w:t>
                        </w:r>
                      </w:p>
                    </w:tc>
                    <w:tc>
                      <w:tcPr>
                        <w:tcW w:w="697" w:type="dxa"/>
                        <w:tcBorders>
                          <w:left w:val="single" w:sz="6" w:space="0" w:color="FFFFFF"/>
                          <w:right w:val="single" w:sz="6" w:space="0" w:color="FFFFFF"/>
                        </w:tcBorders>
                      </w:tcPr>
                      <w:p>
                        <w:pPr>
                          <w:pStyle w:val="TableParagraph"/>
                          <w:spacing w:before="50"/>
                          <w:ind w:right="114"/>
                          <w:jc w:val="right"/>
                          <w:rPr>
                            <w:rFonts w:ascii="Stone Sans II ITC Std X Bd"/>
                            <w:b/>
                            <w:sz w:val="20"/>
                          </w:rPr>
                        </w:pPr>
                        <w:r>
                          <w:rPr>
                            <w:rFonts w:ascii="Stone Sans II ITC Std X Bd"/>
                            <w:b/>
                            <w:color w:val="FFFFFF"/>
                            <w:w w:val="110"/>
                            <w:sz w:val="20"/>
                          </w:rPr>
                          <w:t>109</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Education and Learning</w:t>
                        </w:r>
                      </w:p>
                    </w:tc>
                    <w:tc>
                      <w:tcPr>
                        <w:tcW w:w="697" w:type="dxa"/>
                        <w:tcBorders>
                          <w:left w:val="single" w:sz="6" w:space="0" w:color="FFFFFF"/>
                          <w:right w:val="single" w:sz="6" w:space="0" w:color="FFFFFF"/>
                        </w:tcBorders>
                      </w:tcPr>
                      <w:p>
                        <w:pPr>
                          <w:pStyle w:val="TableParagraph"/>
                          <w:spacing w:before="50"/>
                          <w:ind w:right="114"/>
                          <w:jc w:val="right"/>
                          <w:rPr>
                            <w:rFonts w:ascii="Stone Sans II ITC Std X Bd"/>
                            <w:b/>
                            <w:sz w:val="20"/>
                          </w:rPr>
                        </w:pPr>
                        <w:r>
                          <w:rPr>
                            <w:rFonts w:ascii="Stone Sans II ITC Std X Bd"/>
                            <w:b/>
                            <w:color w:val="FFFFFF"/>
                            <w:w w:val="110"/>
                            <w:sz w:val="20"/>
                          </w:rPr>
                          <w:t>115</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Equal Opportunities</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133</w:t>
                        </w:r>
                      </w:p>
                    </w:tc>
                  </w:tr>
                  <w:tr>
                    <w:trPr>
                      <w:trHeight w:val="360"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Finance</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135</w:t>
                        </w:r>
                      </w:p>
                    </w:tc>
                  </w:tr>
                  <w:tr>
                    <w:trPr>
                      <w:trHeight w:val="360"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Ministries</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05"/>
                            <w:sz w:val="20"/>
                          </w:rPr>
                          <w:t>139</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Mission</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153</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Nominations</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171</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Pastoral Reference and Welfare</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189</w:t>
                        </w:r>
                      </w:p>
                    </w:tc>
                  </w:tr>
                  <w:tr>
                    <w:trPr>
                      <w:trHeight w:val="359" w:hRule="atLeast"/>
                    </w:trPr>
                    <w:tc>
                      <w:tcPr>
                        <w:tcW w:w="4789" w:type="dxa"/>
                        <w:tcBorders>
                          <w:right w:val="single" w:sz="6" w:space="0" w:color="FFFFFF"/>
                        </w:tcBorders>
                      </w:tcPr>
                      <w:p>
                        <w:pPr>
                          <w:pStyle w:val="TableParagraph"/>
                          <w:spacing w:before="50"/>
                          <w:ind w:left="121"/>
                          <w:rPr>
                            <w:rFonts w:ascii="Stone Sans II ITC Std X Bd" w:hAnsi="Stone Sans II ITC Std X Bd"/>
                            <w:b/>
                            <w:sz w:val="20"/>
                          </w:rPr>
                        </w:pPr>
                        <w:r>
                          <w:rPr>
                            <w:rFonts w:ascii="Stone Sans II ITC Std X Bd" w:hAnsi="Stone Sans II ITC Std X Bd"/>
                            <w:b/>
                            <w:color w:val="FFFFFF"/>
                            <w:w w:val="110"/>
                            <w:sz w:val="20"/>
                          </w:rPr>
                          <w:t>Youth and Children’s Work</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191</w:t>
                        </w:r>
                      </w:p>
                    </w:tc>
                  </w:tr>
                  <w:tr>
                    <w:trPr>
                      <w:trHeight w:val="506" w:hRule="atLeast"/>
                    </w:trPr>
                    <w:tc>
                      <w:tcPr>
                        <w:tcW w:w="4789" w:type="dxa"/>
                        <w:tcBorders>
                          <w:right w:val="single" w:sz="6" w:space="0" w:color="FFFFFF"/>
                        </w:tcBorders>
                      </w:tcPr>
                      <w:p>
                        <w:pPr>
                          <w:pStyle w:val="TableParagraph"/>
                          <w:spacing w:before="50"/>
                          <w:ind w:left="121"/>
                          <w:rPr>
                            <w:rFonts w:ascii="Stone Sans II ITC Std X Bd"/>
                            <w:b/>
                            <w:sz w:val="20"/>
                          </w:rPr>
                        </w:pPr>
                        <w:r>
                          <w:rPr>
                            <w:rFonts w:ascii="Stone Sans II ITC Std X Bd"/>
                            <w:b/>
                            <w:color w:val="FFFFFF"/>
                            <w:w w:val="110"/>
                            <w:sz w:val="20"/>
                          </w:rPr>
                          <w:t>Church Changes</w:t>
                        </w:r>
                      </w:p>
                    </w:tc>
                    <w:tc>
                      <w:tcPr>
                        <w:tcW w:w="697" w:type="dxa"/>
                        <w:tcBorders>
                          <w:left w:val="single" w:sz="6" w:space="0" w:color="FFFFFF"/>
                          <w:right w:val="single" w:sz="6" w:space="0" w:color="FFFFFF"/>
                        </w:tcBorders>
                      </w:tcPr>
                      <w:p>
                        <w:pPr>
                          <w:pStyle w:val="TableParagraph"/>
                          <w:spacing w:before="50"/>
                          <w:ind w:right="115"/>
                          <w:jc w:val="right"/>
                          <w:rPr>
                            <w:rFonts w:ascii="Stone Sans II ITC Std X Bd"/>
                            <w:b/>
                            <w:sz w:val="20"/>
                          </w:rPr>
                        </w:pPr>
                        <w:r>
                          <w:rPr>
                            <w:rFonts w:ascii="Stone Sans II ITC Std X Bd"/>
                            <w:b/>
                            <w:color w:val="FFFFFF"/>
                            <w:w w:val="110"/>
                            <w:sz w:val="20"/>
                          </w:rPr>
                          <w:t>197</w:t>
                        </w:r>
                      </w:p>
                    </w:tc>
                  </w:tr>
                  <w:tr>
                    <w:trPr>
                      <w:trHeight w:val="551" w:hRule="atLeast"/>
                    </w:trPr>
                    <w:tc>
                      <w:tcPr>
                        <w:tcW w:w="4789" w:type="dxa"/>
                        <w:tcBorders>
                          <w:right w:val="single" w:sz="6" w:space="0" w:color="FFFFFF"/>
                        </w:tcBorders>
                      </w:tcPr>
                      <w:p>
                        <w:pPr>
                          <w:pStyle w:val="TableParagraph"/>
                          <w:spacing w:before="194"/>
                          <w:ind w:left="121"/>
                          <w:rPr>
                            <w:rFonts w:ascii="Stone Sans II ITC Std Bk"/>
                            <w:b/>
                            <w:sz w:val="20"/>
                          </w:rPr>
                        </w:pPr>
                        <w:r>
                          <w:rPr>
                            <w:rFonts w:ascii="Stone Sans II ITC Std Bk"/>
                            <w:b/>
                            <w:w w:val="110"/>
                            <w:sz w:val="20"/>
                          </w:rPr>
                          <w:t>Appendices</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49" w:hRule="atLeast"/>
                    </w:trPr>
                    <w:tc>
                      <w:tcPr>
                        <w:tcW w:w="4789" w:type="dxa"/>
                        <w:tcBorders>
                          <w:right w:val="single" w:sz="6" w:space="0" w:color="FFFFFF"/>
                        </w:tcBorders>
                      </w:tcPr>
                      <w:p>
                        <w:pPr>
                          <w:pStyle w:val="TableParagraph"/>
                          <w:spacing w:line="230" w:lineRule="exact" w:before="99"/>
                          <w:ind w:left="121"/>
                          <w:rPr>
                            <w:rFonts w:ascii="Stone Sans II ITC Std X Bd"/>
                            <w:b/>
                            <w:sz w:val="20"/>
                          </w:rPr>
                        </w:pPr>
                        <w:r>
                          <w:rPr>
                            <w:rFonts w:ascii="Stone Sans II ITC Std X Bd"/>
                            <w:b/>
                            <w:color w:val="FFFFFF"/>
                            <w:w w:val="110"/>
                            <w:sz w:val="20"/>
                          </w:rPr>
                          <w:t>1 Students in Education for Ministry</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59" w:hRule="atLeast"/>
                    </w:trPr>
                    <w:tc>
                      <w:tcPr>
                        <w:tcW w:w="4789" w:type="dxa"/>
                        <w:tcBorders>
                          <w:right w:val="single" w:sz="6" w:space="0" w:color="FFFFFF"/>
                        </w:tcBorders>
                      </w:tcPr>
                      <w:p>
                        <w:pPr>
                          <w:pStyle w:val="TableParagraph"/>
                          <w:spacing w:line="261" w:lineRule="exact"/>
                          <w:ind w:left="461"/>
                          <w:rPr>
                            <w:rFonts w:ascii="Stone Sans II ITC Std X Bd"/>
                            <w:b/>
                            <w:sz w:val="20"/>
                          </w:rPr>
                        </w:pPr>
                        <w:r>
                          <w:rPr>
                            <w:rFonts w:ascii="Stone Sans II ITC Std X Bd"/>
                            <w:b/>
                            <w:color w:val="FFFFFF"/>
                            <w:w w:val="110"/>
                            <w:sz w:val="20"/>
                          </w:rPr>
                          <w:t>phase one</w:t>
                        </w:r>
                      </w:p>
                    </w:tc>
                    <w:tc>
                      <w:tcPr>
                        <w:tcW w:w="697" w:type="dxa"/>
                        <w:tcBorders>
                          <w:left w:val="single" w:sz="6" w:space="0" w:color="FFFFFF"/>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211</w:t>
                        </w:r>
                      </w:p>
                    </w:tc>
                  </w:tr>
                  <w:tr>
                    <w:trPr>
                      <w:trHeight w:val="479" w:hRule="atLeast"/>
                    </w:trPr>
                    <w:tc>
                      <w:tcPr>
                        <w:tcW w:w="4789" w:type="dxa"/>
                        <w:tcBorders>
                          <w:right w:val="single" w:sz="6" w:space="0" w:color="FFFFFF"/>
                        </w:tcBorders>
                      </w:tcPr>
                      <w:p>
                        <w:pPr>
                          <w:pStyle w:val="TableParagraph"/>
                          <w:spacing w:before="110"/>
                          <w:ind w:left="121"/>
                          <w:rPr>
                            <w:rFonts w:ascii="Stone Sans II ITC Std X Bd"/>
                            <w:b/>
                            <w:sz w:val="20"/>
                          </w:rPr>
                        </w:pPr>
                        <w:r>
                          <w:rPr>
                            <w:rFonts w:ascii="Stone Sans II ITC Std X Bd"/>
                            <w:b/>
                            <w:color w:val="FFFFFF"/>
                            <w:w w:val="110"/>
                            <w:sz w:val="20"/>
                          </w:rPr>
                          <w:t>2 Students in training statistics</w:t>
                        </w:r>
                      </w:p>
                    </w:tc>
                    <w:tc>
                      <w:tcPr>
                        <w:tcW w:w="697" w:type="dxa"/>
                        <w:tcBorders>
                          <w:left w:val="single" w:sz="6" w:space="0" w:color="FFFFFF"/>
                          <w:right w:val="single" w:sz="6" w:space="0" w:color="FFFFFF"/>
                        </w:tcBorders>
                      </w:tcPr>
                      <w:p>
                        <w:pPr>
                          <w:pStyle w:val="TableParagraph"/>
                          <w:spacing w:before="110"/>
                          <w:ind w:right="115"/>
                          <w:jc w:val="right"/>
                          <w:rPr>
                            <w:rFonts w:ascii="Stone Sans II ITC Std X Bd"/>
                            <w:b/>
                            <w:sz w:val="20"/>
                          </w:rPr>
                        </w:pPr>
                        <w:r>
                          <w:rPr>
                            <w:rFonts w:ascii="Stone Sans II ITC Std X Bd"/>
                            <w:b/>
                            <w:color w:val="FFFFFF"/>
                            <w:w w:val="110"/>
                            <w:sz w:val="20"/>
                          </w:rPr>
                          <w:t>213</w:t>
                        </w:r>
                      </w:p>
                    </w:tc>
                  </w:tr>
                  <w:tr>
                    <w:trPr>
                      <w:trHeight w:val="359" w:hRule="atLeast"/>
                    </w:trPr>
                    <w:tc>
                      <w:tcPr>
                        <w:tcW w:w="4789" w:type="dxa"/>
                        <w:tcBorders>
                          <w:right w:val="single" w:sz="6" w:space="0" w:color="FFFFFF"/>
                        </w:tcBorders>
                      </w:tcPr>
                      <w:p>
                        <w:pPr>
                          <w:pStyle w:val="TableParagraph"/>
                          <w:spacing w:line="230" w:lineRule="exact" w:before="110"/>
                          <w:ind w:left="121"/>
                          <w:rPr>
                            <w:rFonts w:ascii="Stone Sans II ITC Std X Bd"/>
                            <w:b/>
                            <w:sz w:val="20"/>
                          </w:rPr>
                        </w:pPr>
                        <w:r>
                          <w:rPr>
                            <w:rFonts w:ascii="Stone Sans II ITC Std X Bd"/>
                            <w:b/>
                            <w:color w:val="FFFFFF"/>
                            <w:w w:val="110"/>
                            <w:sz w:val="20"/>
                          </w:rPr>
                          <w:t>3a Guidelines on conduct and behaviour</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59" w:hRule="atLeast"/>
                    </w:trPr>
                    <w:tc>
                      <w:tcPr>
                        <w:tcW w:w="4789" w:type="dxa"/>
                        <w:tcBorders>
                          <w:right w:val="single" w:sz="6" w:space="0" w:color="FFFFFF"/>
                        </w:tcBorders>
                      </w:tcPr>
                      <w:p>
                        <w:pPr>
                          <w:pStyle w:val="TableParagraph"/>
                          <w:spacing w:line="261" w:lineRule="exact"/>
                          <w:ind w:left="461"/>
                          <w:rPr>
                            <w:rFonts w:ascii="Stone Sans II ITC Std X Bd"/>
                            <w:b/>
                            <w:sz w:val="20"/>
                          </w:rPr>
                        </w:pPr>
                        <w:r>
                          <w:rPr>
                            <w:rFonts w:ascii="Stone Sans II ITC Std X Bd"/>
                            <w:b/>
                            <w:color w:val="FFFFFF"/>
                            <w:w w:val="110"/>
                            <w:sz w:val="20"/>
                          </w:rPr>
                          <w:t>for ministers of Word and Sacrament</w:t>
                        </w:r>
                      </w:p>
                    </w:tc>
                    <w:tc>
                      <w:tcPr>
                        <w:tcW w:w="697" w:type="dxa"/>
                        <w:tcBorders>
                          <w:left w:val="single" w:sz="6" w:space="0" w:color="FFFFFF"/>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215</w:t>
                        </w:r>
                      </w:p>
                    </w:tc>
                  </w:tr>
                  <w:tr>
                    <w:trPr>
                      <w:trHeight w:val="359" w:hRule="atLeast"/>
                    </w:trPr>
                    <w:tc>
                      <w:tcPr>
                        <w:tcW w:w="4789" w:type="dxa"/>
                        <w:tcBorders>
                          <w:right w:val="single" w:sz="6" w:space="0" w:color="FFFFFF"/>
                        </w:tcBorders>
                      </w:tcPr>
                      <w:p>
                        <w:pPr>
                          <w:pStyle w:val="TableParagraph"/>
                          <w:spacing w:line="230" w:lineRule="exact" w:before="110"/>
                          <w:ind w:left="121"/>
                          <w:rPr>
                            <w:rFonts w:ascii="Stone Sans II ITC Std X Bd"/>
                            <w:b/>
                            <w:sz w:val="20"/>
                          </w:rPr>
                        </w:pPr>
                        <w:r>
                          <w:rPr>
                            <w:rFonts w:ascii="Stone Sans II ITC Std X Bd"/>
                            <w:b/>
                            <w:color w:val="FFFFFF"/>
                            <w:w w:val="110"/>
                            <w:sz w:val="20"/>
                          </w:rPr>
                          <w:t>3b Guidelines on conduct and behaviour</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59" w:hRule="atLeast"/>
                    </w:trPr>
                    <w:tc>
                      <w:tcPr>
                        <w:tcW w:w="4789" w:type="dxa"/>
                        <w:tcBorders>
                          <w:right w:val="single" w:sz="6" w:space="0" w:color="FFFFFF"/>
                        </w:tcBorders>
                      </w:tcPr>
                      <w:p>
                        <w:pPr>
                          <w:pStyle w:val="TableParagraph"/>
                          <w:spacing w:line="261" w:lineRule="exact"/>
                          <w:ind w:left="461"/>
                          <w:rPr>
                            <w:rFonts w:ascii="Stone Sans II ITC Std X Bd"/>
                            <w:b/>
                            <w:sz w:val="20"/>
                          </w:rPr>
                        </w:pPr>
                        <w:r>
                          <w:rPr>
                            <w:rFonts w:ascii="Stone Sans II ITC Std X Bd"/>
                            <w:b/>
                            <w:color w:val="FFFFFF"/>
                            <w:w w:val="110"/>
                            <w:sz w:val="20"/>
                          </w:rPr>
                          <w:t>for CRCWs</w:t>
                        </w:r>
                      </w:p>
                    </w:tc>
                    <w:tc>
                      <w:tcPr>
                        <w:tcW w:w="697" w:type="dxa"/>
                        <w:tcBorders>
                          <w:left w:val="single" w:sz="6" w:space="0" w:color="FFFFFF"/>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217</w:t>
                        </w:r>
                      </w:p>
                    </w:tc>
                  </w:tr>
                  <w:tr>
                    <w:trPr>
                      <w:trHeight w:val="359" w:hRule="atLeast"/>
                    </w:trPr>
                    <w:tc>
                      <w:tcPr>
                        <w:tcW w:w="4789" w:type="dxa"/>
                        <w:tcBorders>
                          <w:right w:val="single" w:sz="6" w:space="0" w:color="FFFFFF"/>
                        </w:tcBorders>
                      </w:tcPr>
                      <w:p>
                        <w:pPr>
                          <w:pStyle w:val="TableParagraph"/>
                          <w:spacing w:line="230" w:lineRule="exact" w:before="110"/>
                          <w:ind w:left="121"/>
                          <w:rPr>
                            <w:rFonts w:ascii="Stone Sans II ITC Std X Bd"/>
                            <w:b/>
                            <w:sz w:val="20"/>
                          </w:rPr>
                        </w:pPr>
                        <w:r>
                          <w:rPr>
                            <w:rFonts w:ascii="Stone Sans II ITC Std X Bd"/>
                            <w:b/>
                            <w:color w:val="FFFFFF"/>
                            <w:w w:val="110"/>
                            <w:sz w:val="20"/>
                          </w:rPr>
                          <w:t>3c Guidelines on conduct and behaviour</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59" w:hRule="atLeast"/>
                    </w:trPr>
                    <w:tc>
                      <w:tcPr>
                        <w:tcW w:w="4789" w:type="dxa"/>
                        <w:tcBorders>
                          <w:right w:val="single" w:sz="6" w:space="0" w:color="FFFFFF"/>
                        </w:tcBorders>
                      </w:tcPr>
                      <w:p>
                        <w:pPr>
                          <w:pStyle w:val="TableParagraph"/>
                          <w:spacing w:line="261" w:lineRule="exact"/>
                          <w:ind w:left="461"/>
                          <w:rPr>
                            <w:rFonts w:ascii="Stone Sans II ITC Std X Bd"/>
                            <w:b/>
                            <w:sz w:val="20"/>
                          </w:rPr>
                        </w:pPr>
                        <w:r>
                          <w:rPr>
                            <w:rFonts w:ascii="Stone Sans II ITC Std X Bd"/>
                            <w:b/>
                            <w:color w:val="FFFFFF"/>
                            <w:w w:val="110"/>
                            <w:sz w:val="20"/>
                          </w:rPr>
                          <w:t>for elders</w:t>
                        </w:r>
                      </w:p>
                    </w:tc>
                    <w:tc>
                      <w:tcPr>
                        <w:tcW w:w="697" w:type="dxa"/>
                        <w:tcBorders>
                          <w:left w:val="single" w:sz="6" w:space="0" w:color="FFFFFF"/>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219</w:t>
                        </w:r>
                      </w:p>
                    </w:tc>
                  </w:tr>
                  <w:tr>
                    <w:trPr>
                      <w:trHeight w:val="359" w:hRule="atLeast"/>
                    </w:trPr>
                    <w:tc>
                      <w:tcPr>
                        <w:tcW w:w="4789" w:type="dxa"/>
                        <w:tcBorders>
                          <w:right w:val="single" w:sz="6" w:space="0" w:color="FFFFFF"/>
                        </w:tcBorders>
                      </w:tcPr>
                      <w:p>
                        <w:pPr>
                          <w:pStyle w:val="TableParagraph"/>
                          <w:spacing w:line="230" w:lineRule="exact" w:before="110"/>
                          <w:ind w:left="120"/>
                          <w:rPr>
                            <w:rFonts w:ascii="Stone Sans II ITC Std X Bd"/>
                            <w:b/>
                            <w:sz w:val="20"/>
                          </w:rPr>
                        </w:pPr>
                        <w:r>
                          <w:rPr>
                            <w:rFonts w:ascii="Stone Sans II ITC Std X Bd"/>
                            <w:b/>
                            <w:color w:val="FFFFFF"/>
                            <w:w w:val="110"/>
                            <w:sz w:val="20"/>
                          </w:rPr>
                          <w:t>4a Memorandum of Association for the</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59" w:hRule="atLeast"/>
                    </w:trPr>
                    <w:tc>
                      <w:tcPr>
                        <w:tcW w:w="4789" w:type="dxa"/>
                        <w:tcBorders>
                          <w:right w:val="single" w:sz="6" w:space="0" w:color="FFFFFF"/>
                        </w:tcBorders>
                      </w:tcPr>
                      <w:p>
                        <w:pPr>
                          <w:pStyle w:val="TableParagraph"/>
                          <w:spacing w:line="261" w:lineRule="exact"/>
                          <w:ind w:left="460"/>
                          <w:rPr>
                            <w:rFonts w:ascii="Stone Sans II ITC Std X Bd"/>
                            <w:b/>
                            <w:sz w:val="20"/>
                          </w:rPr>
                        </w:pPr>
                        <w:r>
                          <w:rPr>
                            <w:rFonts w:ascii="Stone Sans II ITC Std X Bd"/>
                            <w:b/>
                            <w:color w:val="FFFFFF"/>
                            <w:w w:val="110"/>
                            <w:sz w:val="20"/>
                          </w:rPr>
                          <w:t>United Reformed Church Trust</w:t>
                        </w:r>
                      </w:p>
                    </w:tc>
                    <w:tc>
                      <w:tcPr>
                        <w:tcW w:w="697" w:type="dxa"/>
                        <w:tcBorders>
                          <w:left w:val="single" w:sz="6" w:space="0" w:color="FFFFFF"/>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221</w:t>
                        </w:r>
                      </w:p>
                    </w:tc>
                  </w:tr>
                  <w:tr>
                    <w:trPr>
                      <w:trHeight w:val="359" w:hRule="atLeast"/>
                    </w:trPr>
                    <w:tc>
                      <w:tcPr>
                        <w:tcW w:w="4789" w:type="dxa"/>
                        <w:tcBorders>
                          <w:right w:val="single" w:sz="6" w:space="0" w:color="FFFFFF"/>
                        </w:tcBorders>
                      </w:tcPr>
                      <w:p>
                        <w:pPr>
                          <w:pStyle w:val="TableParagraph"/>
                          <w:spacing w:line="230" w:lineRule="exact" w:before="110"/>
                          <w:ind w:left="120"/>
                          <w:rPr>
                            <w:rFonts w:ascii="Stone Sans II ITC Std X Bd"/>
                            <w:b/>
                            <w:sz w:val="20"/>
                          </w:rPr>
                        </w:pPr>
                        <w:r>
                          <w:rPr>
                            <w:rFonts w:ascii="Stone Sans II ITC Std X Bd"/>
                            <w:b/>
                            <w:color w:val="FFFFFF"/>
                            <w:w w:val="110"/>
                            <w:sz w:val="20"/>
                          </w:rPr>
                          <w:t>4b Articles of Association for the United</w:t>
                        </w:r>
                      </w:p>
                    </w:tc>
                    <w:tc>
                      <w:tcPr>
                        <w:tcW w:w="697" w:type="dxa"/>
                        <w:tcBorders>
                          <w:left w:val="single" w:sz="6" w:space="0" w:color="FFFFFF"/>
                          <w:right w:val="single" w:sz="6" w:space="0" w:color="FFFFFF"/>
                        </w:tcBorders>
                      </w:tcPr>
                      <w:p>
                        <w:pPr>
                          <w:pStyle w:val="TableParagraph"/>
                          <w:rPr>
                            <w:rFonts w:ascii="Times New Roman"/>
                            <w:sz w:val="22"/>
                          </w:rPr>
                        </w:pPr>
                      </w:p>
                    </w:tc>
                  </w:tr>
                  <w:tr>
                    <w:trPr>
                      <w:trHeight w:val="387" w:hRule="atLeast"/>
                    </w:trPr>
                    <w:tc>
                      <w:tcPr>
                        <w:tcW w:w="4789" w:type="dxa"/>
                        <w:tcBorders>
                          <w:bottom w:val="single" w:sz="48" w:space="0" w:color="8BA8BD"/>
                          <w:right w:val="single" w:sz="6" w:space="0" w:color="FFFFFF"/>
                        </w:tcBorders>
                      </w:tcPr>
                      <w:p>
                        <w:pPr>
                          <w:pStyle w:val="TableParagraph"/>
                          <w:spacing w:line="261" w:lineRule="exact"/>
                          <w:ind w:left="460"/>
                          <w:rPr>
                            <w:rFonts w:ascii="Stone Sans II ITC Std X Bd"/>
                            <w:b/>
                            <w:sz w:val="20"/>
                          </w:rPr>
                        </w:pPr>
                        <w:r>
                          <w:rPr>
                            <w:rFonts w:ascii="Stone Sans II ITC Std X Bd"/>
                            <w:b/>
                            <w:color w:val="FFFFFF"/>
                            <w:w w:val="110"/>
                            <w:sz w:val="20"/>
                          </w:rPr>
                          <w:t>Reformed Church Trust</w:t>
                        </w:r>
                      </w:p>
                    </w:tc>
                    <w:tc>
                      <w:tcPr>
                        <w:tcW w:w="697" w:type="dxa"/>
                        <w:tcBorders>
                          <w:left w:val="single" w:sz="6" w:space="0" w:color="FFFFFF"/>
                          <w:bottom w:val="single" w:sz="48" w:space="0" w:color="8BA8BD"/>
                          <w:right w:val="single" w:sz="6" w:space="0" w:color="FFFFFF"/>
                        </w:tcBorders>
                      </w:tcPr>
                      <w:p>
                        <w:pPr>
                          <w:pStyle w:val="TableParagraph"/>
                          <w:spacing w:line="261" w:lineRule="exact"/>
                          <w:ind w:right="115"/>
                          <w:jc w:val="right"/>
                          <w:rPr>
                            <w:rFonts w:ascii="Stone Sans II ITC Std X Bd"/>
                            <w:b/>
                            <w:sz w:val="20"/>
                          </w:rPr>
                        </w:pPr>
                        <w:r>
                          <w:rPr>
                            <w:rFonts w:ascii="Stone Sans II ITC Std X Bd"/>
                            <w:b/>
                            <w:color w:val="FFFFFF"/>
                            <w:w w:val="110"/>
                            <w:sz w:val="20"/>
                          </w:rPr>
                          <w:t>229</w:t>
                        </w:r>
                      </w:p>
                    </w:tc>
                  </w:tr>
                  <w:tr>
                    <w:trPr>
                      <w:trHeight w:val="636" w:hRule="atLeast"/>
                    </w:trPr>
                    <w:tc>
                      <w:tcPr>
                        <w:tcW w:w="4789" w:type="dxa"/>
                        <w:tcBorders>
                          <w:top w:val="single" w:sz="48" w:space="0" w:color="8BA8BD"/>
                          <w:right w:val="single" w:sz="6" w:space="0" w:color="FFFFFF"/>
                        </w:tcBorders>
                        <w:shd w:val="clear" w:color="auto" w:fill="9662A1"/>
                      </w:tcPr>
                      <w:p>
                        <w:pPr>
                          <w:pStyle w:val="TableParagraph"/>
                          <w:spacing w:before="162"/>
                          <w:ind w:left="120"/>
                          <w:rPr>
                            <w:rFonts w:ascii="Stone Sans II ITC Std X Bd"/>
                            <w:b/>
                            <w:i/>
                            <w:sz w:val="20"/>
                          </w:rPr>
                        </w:pPr>
                        <w:r>
                          <w:rPr>
                            <w:rFonts w:ascii="Stone Sans II ITC Std X Bd"/>
                            <w:b/>
                            <w:color w:val="FFFFFF"/>
                            <w:w w:val="110"/>
                            <w:sz w:val="20"/>
                          </w:rPr>
                          <w:t>Resolutions </w:t>
                        </w:r>
                        <w:r>
                          <w:rPr>
                            <w:rFonts w:ascii="Stone Sans II ITC Std X Bd"/>
                            <w:b/>
                            <w:i/>
                            <w:color w:val="FFFFFF"/>
                            <w:w w:val="110"/>
                            <w:sz w:val="20"/>
                          </w:rPr>
                          <w:t>see list on page 2</w:t>
                        </w:r>
                      </w:p>
                    </w:tc>
                    <w:tc>
                      <w:tcPr>
                        <w:tcW w:w="697" w:type="dxa"/>
                        <w:tcBorders>
                          <w:top w:val="single" w:sz="48" w:space="0" w:color="8BA8BD"/>
                          <w:left w:val="single" w:sz="6" w:space="0" w:color="FFFFFF"/>
                          <w:right w:val="single" w:sz="6" w:space="0" w:color="FFFFFF"/>
                        </w:tcBorders>
                        <w:shd w:val="clear" w:color="auto" w:fill="9662A1"/>
                      </w:tcPr>
                      <w:p>
                        <w:pPr>
                          <w:pStyle w:val="TableParagraph"/>
                          <w:rPr>
                            <w:rFonts w:ascii="Times New Roman"/>
                            <w:sz w:val="22"/>
                          </w:rPr>
                        </w:pPr>
                      </w:p>
                    </w:tc>
                  </w:tr>
                </w:tbl>
                <w:p>
                  <w:pPr>
                    <w:pStyle w:val="BodyText"/>
                  </w:pPr>
                </w:p>
              </w:txbxContent>
            </v:textbox>
            <w10:wrap type="topAndBottom"/>
          </v:shape>
        </w:pict>
      </w:r>
      <w:r>
        <w:rPr/>
        <w:pict>
          <v:shape style="position:absolute;margin-left:296.451996pt;margin-top:41.575115pt;width:267.650pt;height:776.9pt;mso-position-horizontal-relative:page;mso-position-vertical-relative:page;z-index:-267761664" type="#_x0000_t202" filled="false" stroked="false">
            <v:textbox inset="0,0,0,0">
              <w:txbxContent>
                <w:p>
                  <w:pPr>
                    <w:spacing w:line="105" w:lineRule="exact" w:before="0"/>
                    <w:ind w:left="4070" w:right="0" w:firstLine="0"/>
                    <w:jc w:val="left"/>
                    <w:rPr>
                      <w:rFonts w:ascii="Stone Sans II ITC Std X Bd"/>
                      <w:b/>
                      <w:sz w:val="72"/>
                    </w:rPr>
                  </w:pPr>
                  <w:r>
                    <w:rPr>
                      <w:rFonts w:ascii="Stone Sans II ITC Std X Bd"/>
                      <w:b/>
                      <w:w w:val="111"/>
                      <w:sz w:val="72"/>
                    </w:rPr>
                    <w:t>I</w:t>
                  </w:r>
                </w:p>
                <w:p>
                  <w:pPr>
                    <w:spacing w:line="296" w:lineRule="exact" w:before="0"/>
                    <w:ind w:left="0" w:right="372" w:firstLine="0"/>
                    <w:jc w:val="right"/>
                    <w:rPr>
                      <w:rFonts w:ascii="Stone Sans II ITC Std X Bd"/>
                      <w:b/>
                      <w:sz w:val="72"/>
                    </w:rPr>
                  </w:pPr>
                  <w:r>
                    <w:rPr>
                      <w:rFonts w:ascii="Stone Sans II ITC Std X Bd"/>
                      <w:b/>
                      <w:w w:val="111"/>
                      <w:sz w:val="72"/>
                    </w:rPr>
                    <w:t>n</w:t>
                  </w:r>
                </w:p>
                <w:p>
                  <w:pPr>
                    <w:spacing w:line="74" w:lineRule="auto" w:before="174"/>
                    <w:ind w:left="4189" w:right="372" w:firstLine="0"/>
                    <w:jc w:val="right"/>
                    <w:rPr>
                      <w:rFonts w:ascii="Stone Sans II ITC Std X Bd"/>
                      <w:b/>
                      <w:sz w:val="72"/>
                    </w:rPr>
                  </w:pPr>
                  <w:r>
                    <w:rPr>
                      <w:rFonts w:ascii="Stone Sans II ITC Std X Bd"/>
                      <w:b/>
                      <w:w w:val="110"/>
                      <w:sz w:val="72"/>
                    </w:rPr>
                    <w:t>f o</w:t>
                  </w:r>
                </w:p>
                <w:p>
                  <w:pPr>
                    <w:tabs>
                      <w:tab w:pos="1530" w:val="left" w:leader="none"/>
                      <w:tab w:pos="4070" w:val="left" w:leader="none"/>
                    </w:tabs>
                    <w:spacing w:line="466" w:lineRule="exact" w:before="0"/>
                    <w:ind w:left="0" w:right="372" w:firstLine="0"/>
                    <w:jc w:val="right"/>
                    <w:rPr>
                      <w:rFonts w:ascii="Stone Sans II ITC Std X Bd"/>
                      <w:b/>
                      <w:sz w:val="72"/>
                    </w:rPr>
                  </w:pPr>
                  <w:r>
                    <w:rPr>
                      <w:rFonts w:ascii="Stone Sans II ITC Std X Bd"/>
                      <w:b/>
                      <w:color w:val="FFFFFF"/>
                      <w:position w:val="1"/>
                      <w:sz w:val="25"/>
                    </w:rPr>
                    <w:t>3</w:t>
                    <w:tab/>
                  </w:r>
                  <w:r>
                    <w:rPr>
                      <w:rFonts w:ascii="Stone Sans II ITC Std X Bd"/>
                      <w:b/>
                      <w:color w:val="FFFFFF"/>
                      <w:sz w:val="22"/>
                    </w:rPr>
                    <w:t>Standing</w:t>
                  </w:r>
                  <w:r>
                    <w:rPr>
                      <w:rFonts w:ascii="Stone Sans II ITC Std X Bd"/>
                      <w:b/>
                      <w:color w:val="FFFFFF"/>
                      <w:spacing w:val="5"/>
                      <w:sz w:val="22"/>
                    </w:rPr>
                    <w:t> </w:t>
                  </w:r>
                  <w:r>
                    <w:rPr>
                      <w:rFonts w:ascii="Stone Sans II ITC Std X Bd"/>
                      <w:b/>
                      <w:color w:val="FFFFFF"/>
                      <w:sz w:val="22"/>
                    </w:rPr>
                    <w:t>Orders</w:t>
                    <w:tab/>
                  </w:r>
                  <w:r>
                    <w:rPr>
                      <w:rFonts w:ascii="Stone Sans II ITC Std X Bd"/>
                      <w:b/>
                      <w:spacing w:val="-1"/>
                      <w:position w:val="39"/>
                      <w:sz w:val="72"/>
                    </w:rPr>
                    <w:t>r</w:t>
                  </w:r>
                </w:p>
                <w:p>
                  <w:pPr>
                    <w:spacing w:line="468" w:lineRule="exact" w:before="0"/>
                    <w:ind w:left="4070" w:right="0" w:firstLine="0"/>
                    <w:jc w:val="left"/>
                    <w:rPr>
                      <w:rFonts w:ascii="Stone Sans II ITC Std X Bd"/>
                      <w:b/>
                      <w:sz w:val="72"/>
                    </w:rPr>
                  </w:pPr>
                  <w:r>
                    <w:rPr>
                      <w:rFonts w:ascii="Stone Sans II ITC Std X Bd"/>
                      <w:b/>
                      <w:w w:val="111"/>
                      <w:sz w:val="72"/>
                    </w:rPr>
                    <w:t>m</w:t>
                  </w:r>
                </w:p>
                <w:p>
                  <w:pPr>
                    <w:tabs>
                      <w:tab w:pos="881" w:val="left" w:leader="none"/>
                      <w:tab w:pos="4070" w:val="left" w:leader="none"/>
                    </w:tabs>
                    <w:spacing w:line="691" w:lineRule="exact" w:before="0"/>
                    <w:ind w:left="0" w:right="0" w:firstLine="0"/>
                    <w:jc w:val="left"/>
                    <w:rPr>
                      <w:rFonts w:ascii="Stone Sans II ITC Std X Bd"/>
                      <w:b/>
                      <w:sz w:val="72"/>
                    </w:rPr>
                  </w:pPr>
                  <w:r>
                    <w:rPr>
                      <w:rFonts w:ascii="Stone Sans II ITC Std X Bd"/>
                      <w:b/>
                      <w:color w:val="FFFFFF"/>
                      <w:position w:val="1"/>
                      <w:sz w:val="25"/>
                    </w:rPr>
                    <w:t>9</w:t>
                    <w:tab/>
                  </w:r>
                  <w:r>
                    <w:rPr>
                      <w:rFonts w:ascii="Stone Sans II ITC Std X Bd"/>
                      <w:b/>
                      <w:color w:val="FFFFFF"/>
                      <w:spacing w:val="2"/>
                      <w:sz w:val="22"/>
                    </w:rPr>
                    <w:t>Reports</w:t>
                  </w:r>
                  <w:r>
                    <w:rPr>
                      <w:rFonts w:ascii="Stone Sans II ITC Std X Bd"/>
                      <w:b/>
                      <w:color w:val="FFFFFF"/>
                      <w:spacing w:val="6"/>
                      <w:sz w:val="22"/>
                    </w:rPr>
                    <w:t> </w:t>
                  </w:r>
                  <w:r>
                    <w:rPr>
                      <w:rFonts w:ascii="Stone Sans II ITC Std X Bd"/>
                      <w:b/>
                      <w:color w:val="FFFFFF"/>
                      <w:sz w:val="22"/>
                    </w:rPr>
                    <w:t>from</w:t>
                  </w:r>
                  <w:r>
                    <w:rPr>
                      <w:rFonts w:ascii="Stone Sans II ITC Std X Bd"/>
                      <w:b/>
                      <w:color w:val="FFFFFF"/>
                      <w:spacing w:val="6"/>
                      <w:sz w:val="22"/>
                    </w:rPr>
                    <w:t> </w:t>
                  </w:r>
                  <w:r>
                    <w:rPr>
                      <w:rFonts w:ascii="Stone Sans II ITC Std X Bd"/>
                      <w:b/>
                      <w:color w:val="FFFFFF"/>
                      <w:sz w:val="22"/>
                    </w:rPr>
                    <w:t>Colleges</w:t>
                    <w:tab/>
                  </w:r>
                  <w:r>
                    <w:rPr>
                      <w:rFonts w:ascii="Stone Sans II ITC Std X Bd"/>
                      <w:b/>
                      <w:position w:val="31"/>
                      <w:sz w:val="72"/>
                    </w:rPr>
                    <w:t>a</w:t>
                  </w:r>
                </w:p>
                <w:p>
                  <w:pPr>
                    <w:spacing w:line="81" w:lineRule="auto" w:before="154"/>
                    <w:ind w:left="4070" w:right="685" w:firstLine="0"/>
                    <w:jc w:val="left"/>
                    <w:rPr>
                      <w:rFonts w:ascii="Stone Sans II ITC Std X Bd"/>
                      <w:b/>
                      <w:sz w:val="72"/>
                    </w:rPr>
                  </w:pPr>
                  <w:r>
                    <w:rPr>
                      <w:rFonts w:ascii="Stone Sans II ITC Std X Bd"/>
                      <w:b/>
                      <w:w w:val="110"/>
                      <w:sz w:val="72"/>
                    </w:rPr>
                    <w:t>t  i</w:t>
                  </w:r>
                </w:p>
                <w:p>
                  <w:pPr>
                    <w:tabs>
                      <w:tab w:pos="3289" w:val="left" w:leader="none"/>
                    </w:tabs>
                    <w:spacing w:line="262" w:lineRule="exact" w:before="0"/>
                    <w:ind w:left="0" w:right="372" w:firstLine="0"/>
                    <w:jc w:val="right"/>
                    <w:rPr>
                      <w:rFonts w:ascii="Stone Sans II ITC Std X Bd"/>
                      <w:b/>
                      <w:sz w:val="72"/>
                    </w:rPr>
                  </w:pPr>
                  <w:r>
                    <w:rPr>
                      <w:rFonts w:ascii="Stone Sans II ITC Std X Bd"/>
                      <w:b/>
                      <w:color w:val="FFFFFF"/>
                      <w:sz w:val="22"/>
                    </w:rPr>
                    <w:t>Students sent</w:t>
                  </w:r>
                  <w:r>
                    <w:rPr>
                      <w:rFonts w:ascii="Stone Sans II ITC Std X Bd"/>
                      <w:b/>
                      <w:color w:val="FFFFFF"/>
                      <w:spacing w:val="10"/>
                      <w:sz w:val="22"/>
                    </w:rPr>
                    <w:t> </w:t>
                  </w:r>
                  <w:r>
                    <w:rPr>
                      <w:rFonts w:ascii="Stone Sans II ITC Std X Bd"/>
                      <w:b/>
                      <w:color w:val="FFFFFF"/>
                      <w:sz w:val="22"/>
                    </w:rPr>
                    <w:t>by</w:t>
                  </w:r>
                  <w:r>
                    <w:rPr>
                      <w:rFonts w:ascii="Stone Sans II ITC Std X Bd"/>
                      <w:b/>
                      <w:color w:val="FFFFFF"/>
                      <w:spacing w:val="5"/>
                      <w:sz w:val="22"/>
                    </w:rPr>
                    <w:t> </w:t>
                  </w:r>
                  <w:r>
                    <w:rPr>
                      <w:rFonts w:ascii="Stone Sans II ITC Std X Bd"/>
                      <w:b/>
                      <w:color w:val="FFFFFF"/>
                      <w:sz w:val="22"/>
                    </w:rPr>
                    <w:t>Synod</w:t>
                    <w:tab/>
                  </w:r>
                  <w:r>
                    <w:rPr>
                      <w:rFonts w:ascii="Stone Sans II ITC Std X Bd"/>
                      <w:b/>
                      <w:position w:val="35"/>
                      <w:sz w:val="72"/>
                    </w:rPr>
                    <w:t>o</w:t>
                  </w:r>
                </w:p>
                <w:p>
                  <w:pPr>
                    <w:spacing w:line="557" w:lineRule="exact" w:before="0"/>
                    <w:ind w:left="4070" w:right="0" w:firstLine="0"/>
                    <w:jc w:val="left"/>
                    <w:rPr>
                      <w:rFonts w:ascii="Stone Sans II ITC Std X Bd"/>
                      <w:b/>
                      <w:sz w:val="72"/>
                    </w:rPr>
                  </w:pPr>
                  <w:r>
                    <w:rPr>
                      <w:rFonts w:ascii="Stone Sans II ITC Std X Bd"/>
                      <w:b/>
                      <w:w w:val="111"/>
                      <w:sz w:val="72"/>
                    </w:rPr>
                    <w:t>n</w:t>
                  </w:r>
                </w:p>
                <w:p>
                  <w:pPr>
                    <w:tabs>
                      <w:tab w:pos="3789" w:val="left" w:leader="none"/>
                    </w:tabs>
                    <w:spacing w:line="850" w:lineRule="exact" w:before="0"/>
                    <w:ind w:left="1074" w:right="0" w:firstLine="0"/>
                    <w:jc w:val="left"/>
                    <w:rPr>
                      <w:sz w:val="36"/>
                    </w:rPr>
                  </w:pPr>
                  <w:r>
                    <w:rPr>
                      <w:rFonts w:ascii="Stone Sans II ITC Std X Bd"/>
                      <w:b/>
                      <w:color w:val="FFFFFF"/>
                      <w:sz w:val="22"/>
                    </w:rPr>
                    <w:t>Statistics</w:t>
                  </w:r>
                  <w:r>
                    <w:rPr>
                      <w:rFonts w:ascii="Stone Sans II ITC Std X Bd"/>
                      <w:b/>
                      <w:color w:val="FFFFFF"/>
                      <w:spacing w:val="5"/>
                      <w:sz w:val="22"/>
                    </w:rPr>
                    <w:t> </w:t>
                  </w:r>
                  <w:r>
                    <w:rPr>
                      <w:rFonts w:ascii="Stone Sans II ITC Std X Bd"/>
                      <w:b/>
                      <w:color w:val="FFFFFF"/>
                      <w:sz w:val="22"/>
                    </w:rPr>
                    <w:t>in</w:t>
                  </w:r>
                  <w:r>
                    <w:rPr>
                      <w:rFonts w:ascii="Stone Sans II ITC Std X Bd"/>
                      <w:b/>
                      <w:color w:val="FFFFFF"/>
                      <w:spacing w:val="5"/>
                      <w:sz w:val="22"/>
                    </w:rPr>
                    <w:t> </w:t>
                  </w:r>
                  <w:r>
                    <w:rPr>
                      <w:rFonts w:ascii="Stone Sans II ITC Std X Bd"/>
                      <w:b/>
                      <w:color w:val="FFFFFF"/>
                      <w:sz w:val="22"/>
                    </w:rPr>
                    <w:t>Training</w:t>
                    <w:tab/>
                  </w:r>
                  <w:r>
                    <w:rPr>
                      <w:color w:val="8BA8BD"/>
                      <w:position w:val="52"/>
                      <w:sz w:val="36"/>
                    </w:rPr>
                    <w:t>Gener</w:t>
                  </w:r>
                </w:p>
                <w:p>
                  <w:pPr>
                    <w:spacing w:line="398" w:lineRule="exact" w:before="32"/>
                    <w:ind w:left="0" w:right="1127" w:firstLine="0"/>
                    <w:jc w:val="right"/>
                    <w:rPr>
                      <w:sz w:val="36"/>
                    </w:rPr>
                  </w:pPr>
                  <w:r>
                    <w:rPr>
                      <w:color w:val="8BA8BD"/>
                      <w:sz w:val="36"/>
                    </w:rPr>
                    <w:t>al</w:t>
                  </w:r>
                </w:p>
                <w:p>
                  <w:pPr>
                    <w:tabs>
                      <w:tab w:pos="3789" w:val="left" w:leader="none"/>
                    </w:tabs>
                    <w:spacing w:line="646" w:lineRule="exact" w:before="0"/>
                    <w:ind w:left="1164" w:right="0" w:firstLine="0"/>
                    <w:jc w:val="left"/>
                    <w:rPr>
                      <w:sz w:val="36"/>
                    </w:rPr>
                  </w:pPr>
                  <w:r>
                    <w:rPr>
                      <w:rFonts w:ascii="Stone Sans II ITC Std X Bd"/>
                      <w:b/>
                      <w:color w:val="FFFFFF"/>
                      <w:sz w:val="22"/>
                    </w:rPr>
                    <w:t>URC</w:t>
                  </w:r>
                  <w:r>
                    <w:rPr>
                      <w:rFonts w:ascii="Stone Sans II ITC Std X Bd"/>
                      <w:b/>
                      <w:color w:val="FFFFFF"/>
                      <w:spacing w:val="6"/>
                      <w:sz w:val="22"/>
                    </w:rPr>
                    <w:t> </w:t>
                  </w:r>
                  <w:r>
                    <w:rPr>
                      <w:rFonts w:ascii="Stone Sans II ITC Std X Bd"/>
                      <w:b/>
                      <w:color w:val="FFFFFF"/>
                      <w:spacing w:val="2"/>
                      <w:sz w:val="22"/>
                    </w:rPr>
                    <w:t>History</w:t>
                  </w:r>
                  <w:r>
                    <w:rPr>
                      <w:rFonts w:ascii="Stone Sans II ITC Std X Bd"/>
                      <w:b/>
                      <w:color w:val="FFFFFF"/>
                      <w:spacing w:val="7"/>
                      <w:sz w:val="22"/>
                    </w:rPr>
                    <w:t> </w:t>
                  </w:r>
                  <w:r>
                    <w:rPr>
                      <w:rFonts w:ascii="Stone Sans II ITC Std X Bd"/>
                      <w:b/>
                      <w:color w:val="FFFFFF"/>
                      <w:sz w:val="22"/>
                    </w:rPr>
                    <w:t>Society</w:t>
                    <w:tab/>
                  </w:r>
                  <w:r>
                    <w:rPr>
                      <w:color w:val="8BA8BD"/>
                      <w:position w:val="27"/>
                      <w:sz w:val="36"/>
                    </w:rPr>
                    <w:t>Assembl</w:t>
                  </w:r>
                </w:p>
                <w:p>
                  <w:pPr>
                    <w:tabs>
                      <w:tab w:pos="3789" w:val="left" w:leader="none"/>
                    </w:tabs>
                    <w:spacing w:line="362" w:lineRule="exact" w:before="621"/>
                    <w:ind w:left="1611" w:right="0" w:firstLine="0"/>
                    <w:jc w:val="left"/>
                    <w:rPr>
                      <w:sz w:val="36"/>
                    </w:rPr>
                  </w:pPr>
                  <w:r>
                    <w:rPr>
                      <w:rFonts w:ascii="Stone Sans II ITC Std X Bd"/>
                      <w:b/>
                      <w:color w:val="FFFFFF"/>
                      <w:sz w:val="22"/>
                    </w:rPr>
                    <w:t>Musicians</w:t>
                  </w:r>
                  <w:r>
                    <w:rPr>
                      <w:rFonts w:ascii="Stone Sans II ITC Std X Bd"/>
                      <w:b/>
                      <w:color w:val="FFFFFF"/>
                      <w:spacing w:val="8"/>
                      <w:sz w:val="22"/>
                    </w:rPr>
                    <w:t> </w:t>
                  </w:r>
                  <w:r>
                    <w:rPr>
                      <w:rFonts w:ascii="Stone Sans II ITC Std X Bd"/>
                      <w:b/>
                      <w:color w:val="FFFFFF"/>
                      <w:sz w:val="22"/>
                    </w:rPr>
                    <w:t>Guild</w:t>
                    <w:tab/>
                  </w:r>
                  <w:r>
                    <w:rPr>
                      <w:color w:val="8BA8BD"/>
                      <w:position w:val="4"/>
                      <w:sz w:val="36"/>
                    </w:rPr>
                    <w:t>y</w:t>
                  </w:r>
                </w:p>
                <w:p>
                  <w:pPr>
                    <w:tabs>
                      <w:tab w:pos="3789" w:val="left" w:leader="none"/>
                    </w:tabs>
                    <w:spacing w:line="1023" w:lineRule="exact" w:before="0"/>
                    <w:ind w:left="930" w:right="0" w:firstLine="0"/>
                    <w:jc w:val="left"/>
                    <w:rPr>
                      <w:sz w:val="36"/>
                    </w:rPr>
                  </w:pPr>
                  <w:r>
                    <w:rPr>
                      <w:rFonts w:ascii="Stone Sans II ITC Std X Bd"/>
                      <w:b/>
                      <w:color w:val="FFFFFF"/>
                      <w:sz w:val="22"/>
                    </w:rPr>
                    <w:t>Schools related</w:t>
                  </w:r>
                  <w:r>
                    <w:rPr>
                      <w:rFonts w:ascii="Stone Sans II ITC Std X Bd"/>
                      <w:b/>
                      <w:color w:val="FFFFFF"/>
                      <w:spacing w:val="11"/>
                      <w:sz w:val="22"/>
                    </w:rPr>
                    <w:t> </w:t>
                  </w:r>
                  <w:r>
                    <w:rPr>
                      <w:rFonts w:ascii="Stone Sans II ITC Std X Bd"/>
                      <w:b/>
                      <w:color w:val="FFFFFF"/>
                      <w:sz w:val="22"/>
                    </w:rPr>
                    <w:t>to</w:t>
                  </w:r>
                  <w:r>
                    <w:rPr>
                      <w:rFonts w:ascii="Stone Sans II ITC Std X Bd"/>
                      <w:b/>
                      <w:color w:val="FFFFFF"/>
                      <w:spacing w:val="5"/>
                      <w:sz w:val="22"/>
                    </w:rPr>
                    <w:t> </w:t>
                  </w:r>
                  <w:r>
                    <w:rPr>
                      <w:rFonts w:ascii="Stone Sans II ITC Std X Bd"/>
                      <w:b/>
                      <w:color w:val="FFFFFF"/>
                      <w:sz w:val="22"/>
                    </w:rPr>
                    <w:t>the</w:t>
                    <w:tab/>
                  </w:r>
                  <w:r>
                    <w:rPr>
                      <w:color w:val="8BA8BD"/>
                      <w:position w:val="71"/>
                      <w:sz w:val="36"/>
                    </w:rPr>
                    <w:t>2010</w:t>
                  </w:r>
                </w:p>
                <w:p>
                  <w:pPr>
                    <w:spacing w:line="289" w:lineRule="exact" w:before="0"/>
                    <w:ind w:left="0" w:right="1980" w:firstLine="0"/>
                    <w:jc w:val="right"/>
                    <w:rPr>
                      <w:rFonts w:ascii="Stone Sans II ITC Std X Bd"/>
                      <w:b/>
                      <w:sz w:val="22"/>
                    </w:rPr>
                  </w:pPr>
                  <w:r>
                    <w:rPr>
                      <w:rFonts w:ascii="Stone Sans II ITC Std X Bd"/>
                      <w:b/>
                      <w:color w:val="FFFFFF"/>
                      <w:sz w:val="22"/>
                    </w:rPr>
                    <w:t>United Reformed</w:t>
                  </w:r>
                  <w:r>
                    <w:rPr>
                      <w:rFonts w:ascii="Stone Sans II ITC Std X Bd"/>
                      <w:b/>
                      <w:color w:val="FFFFFF"/>
                      <w:spacing w:val="34"/>
                      <w:sz w:val="22"/>
                    </w:rPr>
                    <w:t> </w:t>
                  </w:r>
                  <w:r>
                    <w:rPr>
                      <w:rFonts w:ascii="Stone Sans II ITC Std X Bd"/>
                      <w:b/>
                      <w:color w:val="FFFFFF"/>
                      <w:sz w:val="22"/>
                    </w:rPr>
                    <w:t>Church</w:t>
                  </w:r>
                </w:p>
                <w:p>
                  <w:pPr>
                    <w:pStyle w:val="BodyText"/>
                    <w:rPr>
                      <w:rFonts w:ascii="Stone Sans II ITC Std X Bd"/>
                      <w:b/>
                      <w:sz w:val="28"/>
                    </w:rPr>
                  </w:pPr>
                </w:p>
                <w:p>
                  <w:pPr>
                    <w:pStyle w:val="BodyText"/>
                    <w:spacing w:before="4"/>
                    <w:rPr>
                      <w:rFonts w:ascii="Stone Sans II ITC Std X Bd"/>
                      <w:b/>
                      <w:sz w:val="19"/>
                    </w:rPr>
                  </w:pPr>
                </w:p>
                <w:p>
                  <w:pPr>
                    <w:spacing w:before="0"/>
                    <w:ind w:left="0" w:right="1979" w:firstLine="0"/>
                    <w:jc w:val="right"/>
                    <w:rPr>
                      <w:rFonts w:ascii="Stone Sans II ITC Std X Bd"/>
                      <w:b/>
                      <w:sz w:val="22"/>
                    </w:rPr>
                  </w:pPr>
                  <w:r>
                    <w:rPr>
                      <w:rFonts w:ascii="Stone Sans II ITC Std X Bd"/>
                      <w:b/>
                      <w:color w:val="FFFFFF"/>
                      <w:sz w:val="22"/>
                    </w:rPr>
                    <w:t>Holiday</w:t>
                  </w:r>
                  <w:r>
                    <w:rPr>
                      <w:rFonts w:ascii="Stone Sans II ITC Std X Bd"/>
                      <w:b/>
                      <w:color w:val="FFFFFF"/>
                      <w:spacing w:val="11"/>
                      <w:sz w:val="22"/>
                    </w:rPr>
                    <w:t> </w:t>
                  </w:r>
                  <w:r>
                    <w:rPr>
                      <w:rFonts w:ascii="Stone Sans II ITC Std X Bd"/>
                      <w:b/>
                      <w:color w:val="FFFFFF"/>
                      <w:spacing w:val="2"/>
                      <w:sz w:val="22"/>
                    </w:rPr>
                    <w:t>Forum</w:t>
                  </w:r>
                </w:p>
                <w:p>
                  <w:pPr>
                    <w:pStyle w:val="BodyText"/>
                    <w:rPr>
                      <w:rFonts w:ascii="Stone Sans II ITC Std X Bd"/>
                      <w:b/>
                      <w:sz w:val="28"/>
                    </w:rPr>
                  </w:pPr>
                </w:p>
                <w:p>
                  <w:pPr>
                    <w:pStyle w:val="BodyText"/>
                    <w:spacing w:before="4"/>
                    <w:rPr>
                      <w:rFonts w:ascii="Stone Sans II ITC Std X Bd"/>
                      <w:b/>
                      <w:sz w:val="19"/>
                    </w:rPr>
                  </w:pPr>
                </w:p>
                <w:p>
                  <w:pPr>
                    <w:spacing w:line="289" w:lineRule="exact" w:before="0"/>
                    <w:ind w:left="0" w:right="1979" w:firstLine="0"/>
                    <w:jc w:val="right"/>
                    <w:rPr>
                      <w:rFonts w:ascii="Stone Sans II ITC Std X Bd" w:hAnsi="Stone Sans II ITC Std X Bd"/>
                      <w:b/>
                      <w:sz w:val="22"/>
                    </w:rPr>
                  </w:pPr>
                  <w:r>
                    <w:rPr>
                      <w:rFonts w:ascii="Stone Sans II ITC Std X Bd" w:hAnsi="Stone Sans II ITC Std X Bd"/>
                      <w:b/>
                      <w:color w:val="FFFFFF"/>
                      <w:sz w:val="22"/>
                    </w:rPr>
                    <w:t>Women’s World</w:t>
                  </w:r>
                  <w:r>
                    <w:rPr>
                      <w:rFonts w:ascii="Stone Sans II ITC Std X Bd" w:hAnsi="Stone Sans II ITC Std X Bd"/>
                      <w:b/>
                      <w:color w:val="FFFFFF"/>
                      <w:spacing w:val="2"/>
                      <w:sz w:val="22"/>
                    </w:rPr>
                    <w:t> </w:t>
                  </w:r>
                  <w:r>
                    <w:rPr>
                      <w:rFonts w:ascii="Stone Sans II ITC Std X Bd" w:hAnsi="Stone Sans II ITC Std X Bd"/>
                      <w:b/>
                      <w:color w:val="FFFFFF"/>
                      <w:sz w:val="22"/>
                    </w:rPr>
                    <w:t>Day</w:t>
                  </w:r>
                </w:p>
                <w:p>
                  <w:pPr>
                    <w:spacing w:line="289" w:lineRule="exact" w:before="0"/>
                    <w:ind w:left="0" w:right="1979" w:firstLine="0"/>
                    <w:jc w:val="right"/>
                    <w:rPr>
                      <w:rFonts w:ascii="Stone Sans II ITC Std X Bd"/>
                      <w:b/>
                      <w:sz w:val="22"/>
                    </w:rPr>
                  </w:pPr>
                  <w:r>
                    <w:rPr>
                      <w:rFonts w:ascii="Stone Sans II ITC Std X Bd"/>
                      <w:b/>
                      <w:color w:val="FFFFFF"/>
                      <w:sz w:val="22"/>
                    </w:rPr>
                    <w:t>of</w:t>
                  </w:r>
                  <w:r>
                    <w:rPr>
                      <w:rFonts w:ascii="Stone Sans II ITC Std X Bd"/>
                      <w:b/>
                      <w:color w:val="FFFFFF"/>
                      <w:spacing w:val="5"/>
                      <w:sz w:val="22"/>
                    </w:rPr>
                    <w:t> </w:t>
                  </w:r>
                  <w:r>
                    <w:rPr>
                      <w:rFonts w:ascii="Stone Sans II ITC Std X Bd"/>
                      <w:b/>
                      <w:color w:val="FFFFFF"/>
                      <w:sz w:val="22"/>
                    </w:rPr>
                    <w:t>Prayer</w:t>
                  </w:r>
                </w:p>
                <w:p>
                  <w:pPr>
                    <w:pStyle w:val="BodyText"/>
                    <w:spacing w:before="13"/>
                    <w:rPr>
                      <w:rFonts w:ascii="Stone Sans II ITC Std X Bd"/>
                      <w:b/>
                      <w:sz w:val="37"/>
                    </w:rPr>
                  </w:pPr>
                </w:p>
                <w:p>
                  <w:pPr>
                    <w:spacing w:line="225" w:lineRule="auto" w:before="0"/>
                    <w:ind w:left="1106" w:right="1970" w:hanging="1"/>
                    <w:jc w:val="left"/>
                    <w:rPr>
                      <w:rFonts w:ascii="Stone Sans II ITC Std X Bd" w:hAnsi="Stone Sans II ITC Std X Bd"/>
                      <w:b/>
                      <w:sz w:val="22"/>
                    </w:rPr>
                  </w:pPr>
                  <w:r>
                    <w:rPr>
                      <w:rFonts w:ascii="Stone Sans II ITC Std X Bd" w:hAnsi="Stone Sans II ITC Std X Bd"/>
                      <w:b/>
                      <w:color w:val="FFFFFF"/>
                      <w:sz w:val="22"/>
                    </w:rPr>
                    <w:t>Women’s World Day of Prayer –</w:t>
                  </w:r>
                  <w:r>
                    <w:rPr>
                      <w:rFonts w:ascii="Stone Sans II ITC Std X Bd" w:hAnsi="Stone Sans II ITC Std X Bd"/>
                      <w:b/>
                      <w:color w:val="FFFFFF"/>
                      <w:spacing w:val="21"/>
                      <w:sz w:val="22"/>
                    </w:rPr>
                    <w:t> </w:t>
                  </w:r>
                  <w:r>
                    <w:rPr>
                      <w:rFonts w:ascii="Stone Sans II ITC Std X Bd" w:hAnsi="Stone Sans II ITC Std X Bd"/>
                      <w:b/>
                      <w:color w:val="FFFFFF"/>
                      <w:sz w:val="22"/>
                    </w:rPr>
                    <w:t>Scotland</w:t>
                  </w:r>
                </w:p>
                <w:p>
                  <w:pPr>
                    <w:pStyle w:val="BodyText"/>
                    <w:rPr>
                      <w:rFonts w:ascii="Stone Sans II ITC Std X Bd"/>
                      <w:b/>
                      <w:sz w:val="28"/>
                    </w:rPr>
                  </w:pPr>
                </w:p>
                <w:p>
                  <w:pPr>
                    <w:pStyle w:val="BodyText"/>
                    <w:spacing w:before="9"/>
                    <w:rPr>
                      <w:rFonts w:ascii="Stone Sans II ITC Std X Bd"/>
                      <w:b/>
                      <w:sz w:val="19"/>
                    </w:rPr>
                  </w:pPr>
                </w:p>
                <w:p>
                  <w:pPr>
                    <w:spacing w:before="0"/>
                    <w:ind w:left="0" w:right="1979" w:firstLine="0"/>
                    <w:jc w:val="right"/>
                    <w:rPr>
                      <w:rFonts w:ascii="Stone Sans II ITC Std X Bd"/>
                      <w:b/>
                      <w:sz w:val="22"/>
                    </w:rPr>
                  </w:pPr>
                  <w:r>
                    <w:rPr>
                      <w:rFonts w:ascii="Stone Sans II ITC Std X Bd"/>
                      <w:b/>
                      <w:color w:val="FFFFFF"/>
                      <w:sz w:val="22"/>
                    </w:rPr>
                    <w:t>Silence and</w:t>
                  </w:r>
                  <w:r>
                    <w:rPr>
                      <w:rFonts w:ascii="Stone Sans II ITC Std X Bd"/>
                      <w:b/>
                      <w:color w:val="FFFFFF"/>
                      <w:spacing w:val="26"/>
                      <w:sz w:val="22"/>
                    </w:rPr>
                    <w:t> </w:t>
                  </w:r>
                  <w:r>
                    <w:rPr>
                      <w:rFonts w:ascii="Stone Sans II ITC Std X Bd"/>
                      <w:b/>
                      <w:color w:val="FFFFFF"/>
                      <w:sz w:val="22"/>
                    </w:rPr>
                    <w:t>Retreats</w:t>
                  </w:r>
                </w:p>
                <w:p>
                  <w:pPr>
                    <w:pStyle w:val="BodyText"/>
                    <w:rPr>
                      <w:rFonts w:ascii="Stone Sans II ITC Std X Bd"/>
                      <w:b/>
                      <w:sz w:val="28"/>
                    </w:rPr>
                  </w:pPr>
                </w:p>
                <w:p>
                  <w:pPr>
                    <w:pStyle w:val="BodyText"/>
                    <w:rPr>
                      <w:rFonts w:ascii="Stone Sans II ITC Std X Bd"/>
                      <w:b/>
                      <w:sz w:val="28"/>
                    </w:rPr>
                  </w:pPr>
                </w:p>
                <w:p>
                  <w:pPr>
                    <w:pStyle w:val="BodyText"/>
                    <w:rPr>
                      <w:rFonts w:ascii="Stone Sans II ITC Std X Bd"/>
                      <w:b/>
                      <w:sz w:val="28"/>
                    </w:rPr>
                  </w:pPr>
                </w:p>
                <w:p>
                  <w:pPr>
                    <w:pStyle w:val="BodyText"/>
                    <w:rPr>
                      <w:rFonts w:ascii="Stone Sans II ITC Std X Bd"/>
                      <w:b/>
                      <w:sz w:val="28"/>
                    </w:rPr>
                  </w:pPr>
                </w:p>
                <w:p>
                  <w:pPr>
                    <w:pStyle w:val="BodyText"/>
                    <w:rPr>
                      <w:rFonts w:ascii="Stone Sans II ITC Std X Bd"/>
                      <w:b/>
                      <w:sz w:val="28"/>
                    </w:rPr>
                  </w:pPr>
                </w:p>
                <w:p>
                  <w:pPr>
                    <w:pStyle w:val="BodyText"/>
                    <w:spacing w:before="10"/>
                    <w:rPr>
                      <w:rFonts w:ascii="Stone Sans II ITC Std X Bd"/>
                      <w:b/>
                      <w:sz w:val="37"/>
                    </w:rPr>
                  </w:pPr>
                </w:p>
                <w:p>
                  <w:pPr>
                    <w:spacing w:line="306" w:lineRule="exact" w:before="0"/>
                    <w:ind w:left="0" w:right="0" w:firstLine="0"/>
                    <w:jc w:val="right"/>
                    <w:rPr>
                      <w:rFonts w:ascii="Stone Sans II ITC Std X Bd"/>
                      <w:b/>
                      <w:sz w:val="24"/>
                    </w:rPr>
                  </w:pPr>
                  <w:r>
                    <w:rPr>
                      <w:rFonts w:ascii="Stone Sans II ITC Std X Bd"/>
                      <w:b/>
                      <w:sz w:val="24"/>
                    </w:rPr>
                    <w:t>1</w:t>
                  </w:r>
                </w:p>
              </w:txbxContent>
            </v:textbox>
            <w10:wrap type="none"/>
          </v:shape>
        </w:pict>
      </w:r>
      <w:r>
        <w:rPr/>
        <w:pict>
          <v:rect style="position:absolute;margin-left:0pt;margin-top:.000015pt;width:595.275pt;height:841.89pt;mso-position-horizontal-relative:page;mso-position-vertical-relative:page;z-index:-267760640" filled="true" fillcolor="#8ba8bd" stroked="false">
            <v:fill type="solid"/>
            <w10:wrap type="none"/>
          </v:rect>
        </w:pict>
      </w:r>
      <w:r>
        <w:rPr/>
        <w:pict>
          <v:rect style="position:absolute;margin-left:72.259003pt;margin-top:161.575012pt;width:274.702pt;height:22.677pt;mso-position-horizontal-relative:page;mso-position-vertical-relative:page;z-index:-267759616" filled="true" fillcolor="#ca4f1b" stroked="false">
            <v:fill type="solid"/>
            <w10:wrap type="none"/>
          </v:rect>
        </w:pict>
      </w:r>
      <w:r>
        <w:rPr/>
        <w:pict>
          <v:rect style="position:absolute;margin-left:72.259003pt;margin-top:133.229019pt;width:274.702pt;height:22.677pt;mso-position-horizontal-relative:page;mso-position-vertical-relative:page;z-index:-267758592" filled="true" fillcolor="#c20d19" stroked="false">
            <v:fill type="solid"/>
            <w10:wrap type="none"/>
          </v:rect>
        </w:pict>
      </w:r>
      <w:r>
        <w:rPr/>
        <w:pict>
          <v:rect style="position:absolute;margin-left:72.282997pt;margin-top:242.835022pt;width:274.677pt;height:208.819pt;mso-position-horizontal-relative:page;mso-position-vertical-relative:page;z-index:-267752448" filled="true" fillcolor="#008fd3" stroked="false">
            <v:fill type="solid"/>
            <w10:wrap type="none"/>
          </v:rect>
        </w:pict>
      </w:r>
      <w:r>
        <w:rPr/>
        <w:pict>
          <v:rect style="position:absolute;margin-left:72.282997pt;margin-top:210.567017pt;width:274.677pt;height:25.276pt;mso-position-horizontal-relative:page;mso-position-vertical-relative:page;z-index:-267751424" filled="true" fillcolor="#eab817" stroked="false">
            <v:fill type="solid"/>
            <w10:wrap type="none"/>
          </v:rect>
        </w:pict>
      </w:r>
      <w:r>
        <w:rPr/>
        <w:pict>
          <v:rect style="position:absolute;margin-left:72.259003pt;margin-top:44.929016pt;width:274.702pt;height:47.339pt;mso-position-horizontal-relative:page;mso-position-vertical-relative:page;z-index:-267750400" filled="true" fillcolor="#8ba8bd" stroked="false">
            <v:fill type="solid"/>
            <w10:wrap type="none"/>
          </v:rect>
        </w:pict>
      </w:r>
      <w:r>
        <w:rPr/>
        <w:pict>
          <v:rect style="position:absolute;margin-left:558.424988pt;margin-top:62.481014pt;width:22.677pt;height:22.677pt;mso-position-horizontal-relative:page;mso-position-vertical-relative:page;z-index:-267749376" filled="true" fillcolor="#ffffff" stroked="false">
            <v:fill opacity="32768f" type="solid"/>
            <w10:wrap type="none"/>
          </v:rect>
        </w:pict>
      </w:r>
      <w:r>
        <w:rPr/>
        <w:pict>
          <v:rect style="position:absolute;margin-left:71.532997pt;margin-top:101.575012pt;width:274.677pt;height:25.276pt;mso-position-horizontal-relative:page;mso-position-vertical-relative:page;z-index:-267748352" filled="true" fillcolor="#eab817" stroked="false">
            <v:fill type="solid"/>
            <w10:wrap type="none"/>
          </v:rect>
        </w:pict>
      </w:r>
      <w:r>
        <w:rPr/>
        <w:pict>
          <v:shape style="position:absolute;margin-left:499.321289pt;margin-top:40.575115pt;width:46.6pt;height:172.3pt;mso-position-horizontal-relative:page;mso-position-vertical-relative:page;z-index:-267747328" type="#_x0000_t202" filled="false" stroked="false">
            <v:textbox inset="0,0,0,0" style="layout-flow:vertical">
              <w:txbxContent>
                <w:p>
                  <w:pPr>
                    <w:spacing w:line="931" w:lineRule="exact" w:before="0"/>
                    <w:ind w:left="20" w:right="0" w:firstLine="0"/>
                    <w:jc w:val="left"/>
                    <w:rPr>
                      <w:rFonts w:ascii="Stone Sans II ITC Std Bk"/>
                      <w:b/>
                      <w:sz w:val="72"/>
                    </w:rPr>
                  </w:pPr>
                  <w:r>
                    <w:rPr>
                      <w:rFonts w:ascii="Stone Sans II ITC Std Bk"/>
                      <w:b/>
                      <w:color w:val="FFFFFF"/>
                      <w:spacing w:val="-11"/>
                      <w:w w:val="110"/>
                      <w:sz w:val="72"/>
                    </w:rPr>
                    <w:t>Contents</w:t>
                  </w:r>
                </w:p>
              </w:txbxContent>
            </v:textbox>
            <w10:wrap type="none"/>
          </v:shape>
        </w:pict>
      </w:r>
      <w:r>
        <w:rPr/>
        <w:pict>
          <v:group style="width:22.7pt;height:23.55pt;mso-position-horizontal-relative:char;mso-position-vertical-relative:line" coordorigin="0,0" coordsize="454,471">
            <v:rect style="position:absolute;left:0;top:0;width:454;height:471" filled="true" fillcolor="#ffffff" stroked="false">
              <v:fill type="solid"/>
            </v:rect>
          </v:group>
        </w:pict>
      </w:r>
      <w:r>
        <w:rPr/>
      </w:r>
    </w:p>
    <w:p>
      <w:pPr>
        <w:pStyle w:val="BodyText"/>
      </w:pPr>
    </w:p>
    <w:p>
      <w:pPr>
        <w:pStyle w:val="BodyText"/>
      </w:pPr>
    </w:p>
    <w:p>
      <w:pPr>
        <w:pStyle w:val="BodyText"/>
        <w:spacing w:before="3"/>
      </w:pPr>
    </w:p>
    <w:p>
      <w:pPr>
        <w:tabs>
          <w:tab w:pos="11121" w:val="left" w:leader="none"/>
        </w:tabs>
        <w:spacing w:before="97"/>
        <w:ind w:left="5167" w:right="0" w:firstLine="0"/>
        <w:jc w:val="left"/>
        <w:rPr>
          <w:rFonts w:ascii="Stone Sans II ITC Std X Bd" w:hAnsi="Stone Sans II ITC Std X Bd"/>
          <w:b/>
          <w:sz w:val="24"/>
        </w:rPr>
      </w:pPr>
      <w:r>
        <w:rPr/>
        <w:pict>
          <v:group style="position:absolute;margin-left:361.416992pt;margin-top:-200.718399pt;width:188.55pt;height:121.65pt;mso-position-horizontal-relative:page;mso-position-vertical-relative:paragraph;z-index:-267755520" coordorigin="7228,-4014" coordsize="3771,2433">
            <v:rect style="position:absolute;left:7228;top:-3622;width:3771;height:1761" filled="true" fillcolor="#ca4f1b" stroked="false">
              <v:fill type="solid"/>
            </v:rect>
            <v:line style="position:absolute" from="10237,-3938" to="10237,-1582" stroked="true" strokeweight=".75pt" strokecolor="#ffffff">
              <v:stroke dashstyle="solid"/>
            </v:line>
            <v:line style="position:absolute" from="10991,-3941" to="10991,-1582" stroked="true" strokeweight=".75pt" strokecolor="#ffffff">
              <v:stroke dashstyle="solid"/>
            </v:line>
            <v:shape style="position:absolute;left:7228;top:-4015;width:3771;height:2433" type="#_x0000_t202" filled="false" stroked="false">
              <v:textbox inset="0,0,0,0">
                <w:txbxContent>
                  <w:p>
                    <w:pPr>
                      <w:spacing w:before="0"/>
                      <w:ind w:left="127" w:right="0" w:firstLine="0"/>
                      <w:jc w:val="left"/>
                      <w:rPr>
                        <w:rFonts w:ascii="Stone Sans II ITC Std Bk"/>
                        <w:b/>
                        <w:sz w:val="21"/>
                      </w:rPr>
                    </w:pPr>
                    <w:r>
                      <w:rPr>
                        <w:rFonts w:ascii="Stone Sans II ITC Std Bk"/>
                        <w:b/>
                        <w:w w:val="115"/>
                        <w:sz w:val="21"/>
                      </w:rPr>
                      <w:t>Separate papers</w:t>
                    </w:r>
                  </w:p>
                </w:txbxContent>
              </v:textbox>
              <w10:wrap type="none"/>
            </v:shape>
            <v:shape style="position:absolute;left:7228;top:-3622;width:3001;height:1761" type="#_x0000_t202" filled="true" fillcolor="#ca4f1b" stroked="false">
              <v:textbox inset="0,0,0,0">
                <w:txbxContent>
                  <w:p>
                    <w:pPr>
                      <w:spacing w:line="240" w:lineRule="auto" w:before="2"/>
                      <w:rPr>
                        <w:rFonts w:ascii="Stone Sans II ITC Std X Bd"/>
                        <w:b/>
                        <w:sz w:val="22"/>
                      </w:rPr>
                    </w:pPr>
                  </w:p>
                  <w:p>
                    <w:pPr>
                      <w:spacing w:line="213" w:lineRule="auto" w:before="0"/>
                      <w:ind w:left="186" w:right="502" w:hanging="59"/>
                      <w:jc w:val="left"/>
                      <w:rPr>
                        <w:rFonts w:ascii="Stone Sans II ITC Std X Bd"/>
                        <w:b/>
                        <w:sz w:val="20"/>
                      </w:rPr>
                    </w:pPr>
                    <w:r>
                      <w:rPr>
                        <w:rFonts w:ascii="Stone Sans II ITC Std X Bd"/>
                        <w:b/>
                        <w:color w:val="FFFFFF"/>
                        <w:w w:val="110"/>
                        <w:sz w:val="20"/>
                      </w:rPr>
                      <w:t>Information Papers and Standing Orders</w:t>
                    </w:r>
                  </w:p>
                  <w:p>
                    <w:pPr>
                      <w:spacing w:line="240" w:lineRule="auto" w:before="8"/>
                      <w:rPr>
                        <w:rFonts w:ascii="Stone Sans II ITC Std X Bd"/>
                        <w:b/>
                        <w:sz w:val="20"/>
                      </w:rPr>
                    </w:pPr>
                  </w:p>
                  <w:p>
                    <w:pPr>
                      <w:spacing w:line="213" w:lineRule="auto" w:before="0"/>
                      <w:ind w:left="127" w:right="173" w:firstLine="0"/>
                      <w:jc w:val="left"/>
                      <w:rPr>
                        <w:rFonts w:ascii="Stone Sans II ITC Std X Bd" w:hAnsi="Stone Sans II ITC Std X Bd"/>
                        <w:b/>
                        <w:sz w:val="20"/>
                      </w:rPr>
                    </w:pPr>
                    <w:r>
                      <w:rPr>
                        <w:rFonts w:ascii="Stone Sans II ITC Std X Bd" w:hAnsi="Stone Sans II ITC Std X Bd"/>
                        <w:b/>
                        <w:color w:val="FFFFFF"/>
                        <w:w w:val="110"/>
                        <w:sz w:val="20"/>
                      </w:rPr>
                      <w:t>Trustees’ Annual Report and Accounts 2009</w:t>
                    </w:r>
                  </w:p>
                </w:txbxContent>
              </v:textbox>
              <v:fill type="solid"/>
              <w10:wrap type="none"/>
            </v:shape>
            <w10:wrap type="none"/>
          </v:group>
        </w:pict>
      </w:r>
      <w:r>
        <w:rPr/>
        <w:pict>
          <v:rect style="position:absolute;margin-left:72.165001pt;margin-top:-70.645897pt;width:274.795pt;height:26.929pt;mso-position-horizontal-relative:page;mso-position-vertical-relative:paragraph;z-index:-267754496" filled="true" fillcolor="#9662a1" stroked="false">
            <v:fill type="solid"/>
            <w10:wrap type="none"/>
          </v:rect>
        </w:pict>
      </w:r>
      <w:r>
        <w:rPr/>
        <w:pict>
          <v:rect style="position:absolute;margin-left:72.567001pt;margin-top:-319.243896pt;width:274.394pt;height:242.976pt;mso-position-horizontal-relative:page;mso-position-vertical-relative:paragraph;z-index:-267753472" filled="true" fillcolor="#a1bf37" stroked="false">
            <v:fill type="solid"/>
            <w10:wrap type="none"/>
          </v:rect>
        </w:pic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5"/>
          <w:w w:val="110"/>
          <w:sz w:val="23"/>
        </w:rPr>
        <w:t> </w:t>
      </w:r>
      <w:r>
        <w:rPr>
          <w:color w:val="FFFFFF"/>
          <w:w w:val="110"/>
          <w:sz w:val="23"/>
        </w:rPr>
        <w:t>2010 </w:t>
      </w:r>
      <w:r>
        <w:rPr>
          <w:color w:val="FFFFFF"/>
          <w:spacing w:val="27"/>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w:t>
      </w:r>
    </w:p>
    <w:p>
      <w:pPr>
        <w:spacing w:after="0"/>
        <w:jc w:val="left"/>
        <w:rPr>
          <w:rFonts w:ascii="Stone Sans II ITC Std X Bd" w:hAnsi="Stone Sans II ITC Std X Bd"/>
          <w:sz w:val="24"/>
        </w:rPr>
        <w:sectPr>
          <w:headerReference w:type="default" r:id="rId7"/>
          <w:headerReference w:type="even" r:id="rId8"/>
          <w:pgSz w:w="11910" w:h="16840"/>
          <w:pgMar w:header="0" w:footer="0" w:top="0" w:bottom="280" w:left="0" w:right="0"/>
        </w:sectPr>
      </w:pPr>
    </w:p>
    <w:p>
      <w:pPr>
        <w:pStyle w:val="BodyText"/>
        <w:ind w:left="240"/>
        <w:rPr>
          <w:rFonts w:ascii="Stone Sans II ITC Std X Bd"/>
        </w:rPr>
      </w:pPr>
      <w:r>
        <w:rPr/>
        <w:pict>
          <v:rect style="position:absolute;margin-left:0pt;margin-top:.000015pt;width:595.275pt;height:841.89pt;mso-position-horizontal-relative:page;mso-position-vertical-relative:page;z-index:-267745280" filled="true" fillcolor="#8ba8bd" stroked="false">
            <v:fill type="solid"/>
            <w10:wrap type="none"/>
          </v:rect>
        </w:pict>
      </w:r>
      <w:r>
        <w:rPr>
          <w:rFonts w:ascii="Stone Sans II ITC Std X Bd"/>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Fonts w:ascii="Stone Sans II ITC Std X Bd"/>
        </w:rPr>
      </w:r>
    </w:p>
    <w:p>
      <w:pPr>
        <w:pStyle w:val="BodyText"/>
        <w:spacing w:before="12"/>
        <w:rPr>
          <w:rFonts w:ascii="Stone Sans II ITC Std X Bd"/>
          <w:b/>
          <w:sz w:val="26"/>
        </w:rPr>
      </w:pPr>
    </w:p>
    <w:p>
      <w:pPr>
        <w:spacing w:before="95"/>
        <w:ind w:left="1162" w:right="0" w:firstLine="0"/>
        <w:jc w:val="left"/>
        <w:rPr>
          <w:rFonts w:ascii="Stone Sans II ITC Std X Bd"/>
          <w:b/>
          <w:sz w:val="36"/>
        </w:rPr>
      </w:pPr>
      <w:r>
        <w:rPr/>
        <w:pict>
          <v:rect style="position:absolute;margin-left:12.047pt;margin-top:-13.106473pt;width:22.677pt;height:22.677pt;mso-position-horizontal-relative:page;mso-position-vertical-relative:paragraph;z-index:-267744256" filled="true" fillcolor="#ffffff" stroked="false">
            <v:fill type="solid"/>
            <w10:wrap type="none"/>
          </v:rect>
        </w:pict>
      </w:r>
      <w:r>
        <w:rPr/>
        <w:pict>
          <v:rect style="position:absolute;margin-left:12.047pt;margin-top:18.074528pt;width:22.677pt;height:22.677pt;mso-position-horizontal-relative:page;mso-position-vertical-relative:paragraph;z-index:-267743232" filled="true" fillcolor="#ffffff" stroked="false">
            <v:fill opacity="32768f" type="solid"/>
            <w10:wrap type="none"/>
          </v:rect>
        </w:pict>
      </w:r>
      <w:r>
        <w:rPr/>
        <w:pict>
          <v:shape style="position:absolute;margin-left:58.360199pt;margin-top:24.452328pt;width:469.85pt;height:707.75pt;mso-position-horizontal-relative:page;mso-position-vertical-relative:paragraph;z-index:251681792" type="#_x0000_t202" filled="false" stroked="false">
            <v:textbox inset="0,0,0,0">
              <w:txbxContent>
                <w:tbl>
                  <w:tblPr>
                    <w:tblW w:w="0" w:type="auto"/>
                    <w:jc w:val="left"/>
                    <w:tblInd w:w="7" w:type="dxa"/>
                    <w:tblBorders>
                      <w:top w:val="single" w:sz="8" w:space="0" w:color="8BA8BD"/>
                      <w:left w:val="single" w:sz="8" w:space="0" w:color="8BA8BD"/>
                      <w:bottom w:val="single" w:sz="8" w:space="0" w:color="8BA8BD"/>
                      <w:right w:val="single" w:sz="8" w:space="0" w:color="8BA8BD"/>
                      <w:insideH w:val="single" w:sz="8" w:space="0" w:color="8BA8BD"/>
                      <w:insideV w:val="single" w:sz="8" w:space="0" w:color="8BA8BD"/>
                    </w:tblBorders>
                    <w:tblLayout w:type="fixed"/>
                    <w:tblCellMar>
                      <w:top w:w="0" w:type="dxa"/>
                      <w:left w:w="0" w:type="dxa"/>
                      <w:bottom w:w="0" w:type="dxa"/>
                      <w:right w:w="0" w:type="dxa"/>
                    </w:tblCellMar>
                    <w:tblLook w:val="01E0"/>
                  </w:tblPr>
                  <w:tblGrid>
                    <w:gridCol w:w="755"/>
                    <w:gridCol w:w="5099"/>
                    <w:gridCol w:w="1047"/>
                    <w:gridCol w:w="2478"/>
                  </w:tblGrid>
                  <w:tr>
                    <w:trPr>
                      <w:trHeight w:val="269" w:hRule="atLeast"/>
                    </w:trPr>
                    <w:tc>
                      <w:tcPr>
                        <w:tcW w:w="5854" w:type="dxa"/>
                        <w:gridSpan w:val="2"/>
                        <w:tcBorders>
                          <w:top w:val="nil"/>
                          <w:left w:val="nil"/>
                          <w:bottom w:val="nil"/>
                          <w:right w:val="nil"/>
                        </w:tcBorders>
                        <w:shd w:val="clear" w:color="auto" w:fill="8BA8BD"/>
                      </w:tcPr>
                      <w:p>
                        <w:pPr>
                          <w:pStyle w:val="TableParagraph"/>
                          <w:rPr>
                            <w:rFonts w:ascii="Times New Roman"/>
                            <w:sz w:val="18"/>
                          </w:rPr>
                        </w:pPr>
                      </w:p>
                    </w:tc>
                    <w:tc>
                      <w:tcPr>
                        <w:tcW w:w="1047" w:type="dxa"/>
                        <w:tcBorders>
                          <w:top w:val="nil"/>
                          <w:left w:val="nil"/>
                          <w:bottom w:val="nil"/>
                          <w:right w:val="nil"/>
                        </w:tcBorders>
                        <w:shd w:val="clear" w:color="auto" w:fill="8BA8BD"/>
                      </w:tcPr>
                      <w:p>
                        <w:pPr>
                          <w:pStyle w:val="TableParagraph"/>
                          <w:rPr>
                            <w:rFonts w:ascii="Times New Roman"/>
                            <w:sz w:val="18"/>
                          </w:rPr>
                        </w:pPr>
                      </w:p>
                    </w:tc>
                    <w:tc>
                      <w:tcPr>
                        <w:tcW w:w="2478" w:type="dxa"/>
                        <w:tcBorders>
                          <w:top w:val="nil"/>
                          <w:left w:val="nil"/>
                          <w:bottom w:val="nil"/>
                          <w:right w:val="nil"/>
                        </w:tcBorders>
                        <w:shd w:val="clear" w:color="auto" w:fill="8BA8BD"/>
                      </w:tcPr>
                      <w:p>
                        <w:pPr>
                          <w:pStyle w:val="TableParagraph"/>
                          <w:rPr>
                            <w:rFonts w:ascii="Times New Roman"/>
                            <w:sz w:val="18"/>
                          </w:rPr>
                        </w:pPr>
                      </w:p>
                    </w:tc>
                  </w:tr>
                  <w:tr>
                    <w:trPr>
                      <w:trHeight w:val="338" w:hRule="atLeast"/>
                    </w:trPr>
                    <w:tc>
                      <w:tcPr>
                        <w:tcW w:w="755" w:type="dxa"/>
                        <w:tcBorders>
                          <w:left w:val="single" w:sz="4" w:space="0" w:color="9662A1"/>
                          <w:bottom w:val="single" w:sz="48" w:space="0" w:color="CA4F1B"/>
                          <w:right w:val="single" w:sz="8" w:space="0" w:color="9662A1"/>
                        </w:tcBorders>
                        <w:shd w:val="clear" w:color="auto" w:fill="FFFFFF"/>
                      </w:tcPr>
                      <w:p>
                        <w:pPr>
                          <w:pStyle w:val="TableParagraph"/>
                          <w:spacing w:line="249" w:lineRule="exact" w:before="70"/>
                          <w:ind w:left="250"/>
                          <w:rPr>
                            <w:rFonts w:ascii="Stone Sans II ITC Std Bk"/>
                            <w:b/>
                            <w:sz w:val="20"/>
                          </w:rPr>
                        </w:pPr>
                        <w:r>
                          <w:rPr>
                            <w:rFonts w:ascii="Stone Sans II ITC Std Bk"/>
                            <w:b/>
                            <w:sz w:val="20"/>
                          </w:rPr>
                          <w:t>No.</w:t>
                        </w:r>
                      </w:p>
                    </w:tc>
                    <w:tc>
                      <w:tcPr>
                        <w:tcW w:w="5099" w:type="dxa"/>
                        <w:tcBorders>
                          <w:left w:val="single" w:sz="8" w:space="0" w:color="9662A1"/>
                          <w:bottom w:val="single" w:sz="48" w:space="0" w:color="CA4F1B"/>
                          <w:right w:val="single" w:sz="24" w:space="0" w:color="8BA8BD"/>
                        </w:tcBorders>
                        <w:shd w:val="clear" w:color="auto" w:fill="FFFFFF"/>
                      </w:tcPr>
                      <w:p>
                        <w:pPr>
                          <w:pStyle w:val="TableParagraph"/>
                          <w:spacing w:line="249" w:lineRule="exact" w:before="70"/>
                          <w:ind w:left="245"/>
                          <w:rPr>
                            <w:rFonts w:ascii="Stone Sans II ITC Std Bk"/>
                            <w:b/>
                            <w:sz w:val="20"/>
                          </w:rPr>
                        </w:pPr>
                        <w:r>
                          <w:rPr>
                            <w:rFonts w:ascii="Stone Sans II ITC Std Bk"/>
                            <w:b/>
                            <w:sz w:val="20"/>
                          </w:rPr>
                          <w:t>Title</w:t>
                        </w:r>
                      </w:p>
                    </w:tc>
                    <w:tc>
                      <w:tcPr>
                        <w:tcW w:w="1047" w:type="dxa"/>
                        <w:tcBorders>
                          <w:left w:val="single" w:sz="24" w:space="0" w:color="8BA8BD"/>
                          <w:bottom w:val="single" w:sz="48" w:space="0" w:color="CA4F1B"/>
                          <w:right w:val="single" w:sz="24" w:space="0" w:color="8BA8BD"/>
                        </w:tcBorders>
                        <w:shd w:val="clear" w:color="auto" w:fill="FFFFFF"/>
                      </w:tcPr>
                      <w:p>
                        <w:pPr>
                          <w:pStyle w:val="TableParagraph"/>
                          <w:spacing w:line="249" w:lineRule="exact" w:before="70"/>
                          <w:ind w:left="286"/>
                          <w:rPr>
                            <w:rFonts w:ascii="Stone Sans II ITC Std Bk"/>
                            <w:b/>
                            <w:sz w:val="20"/>
                          </w:rPr>
                        </w:pPr>
                        <w:r>
                          <w:rPr>
                            <w:rFonts w:ascii="Stone Sans II ITC Std Bk"/>
                            <w:b/>
                            <w:sz w:val="20"/>
                          </w:rPr>
                          <w:t>page</w:t>
                        </w:r>
                      </w:p>
                    </w:tc>
                    <w:tc>
                      <w:tcPr>
                        <w:tcW w:w="2478" w:type="dxa"/>
                        <w:tcBorders>
                          <w:left w:val="single" w:sz="24" w:space="0" w:color="8BA8BD"/>
                          <w:bottom w:val="single" w:sz="48" w:space="0" w:color="CA4F1B"/>
                          <w:right w:val="single" w:sz="4" w:space="0" w:color="8BA8BD"/>
                        </w:tcBorders>
                        <w:shd w:val="clear" w:color="auto" w:fill="FFFFFF"/>
                      </w:tcPr>
                      <w:p>
                        <w:pPr>
                          <w:pStyle w:val="TableParagraph"/>
                          <w:spacing w:line="249" w:lineRule="exact" w:before="70"/>
                          <w:ind w:left="134"/>
                          <w:rPr>
                            <w:rFonts w:ascii="Stone Sans II ITC Std Bk"/>
                            <w:b/>
                            <w:sz w:val="20"/>
                          </w:rPr>
                        </w:pPr>
                        <w:r>
                          <w:rPr>
                            <w:rFonts w:ascii="Stone Sans II ITC Std Bk"/>
                            <w:b/>
                            <w:sz w:val="20"/>
                          </w:rPr>
                          <w:t>Committee</w:t>
                        </w:r>
                      </w:p>
                    </w:tc>
                  </w:tr>
                  <w:tr>
                    <w:trPr>
                      <w:trHeight w:val="36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76"/>
                          <w:ind w:left="371"/>
                          <w:rPr>
                            <w:rFonts w:ascii="Stone Sans II ITC Std X Bd"/>
                            <w:b/>
                            <w:sz w:val="20"/>
                          </w:rPr>
                        </w:pPr>
                        <w:r>
                          <w:rPr>
                            <w:rFonts w:ascii="Stone Sans II ITC Std X Bd"/>
                            <w:b/>
                            <w:color w:val="FFFFFF"/>
                            <w:sz w:val="20"/>
                          </w:rPr>
                          <w:t>1</w:t>
                        </w:r>
                      </w:p>
                    </w:tc>
                    <w:tc>
                      <w:tcPr>
                        <w:tcW w:w="5099" w:type="dxa"/>
                        <w:tcBorders>
                          <w:top w:val="single" w:sz="48" w:space="0" w:color="CA4F1B"/>
                          <w:left w:val="dashed" w:sz="4" w:space="0" w:color="9662A1"/>
                          <w:bottom w:val="single" w:sz="4" w:space="0" w:color="CA4F1B"/>
                          <w:right w:val="single" w:sz="18" w:space="0" w:color="8BA8BD"/>
                        </w:tcBorders>
                        <w:shd w:val="clear" w:color="auto" w:fill="F7E7D9"/>
                      </w:tcPr>
                      <w:p>
                        <w:pPr>
                          <w:pStyle w:val="TableParagraph"/>
                          <w:spacing w:before="98"/>
                          <w:ind w:left="80"/>
                          <w:rPr>
                            <w:i/>
                            <w:sz w:val="20"/>
                          </w:rPr>
                        </w:pPr>
                        <w:r>
                          <w:rPr>
                            <w:i/>
                            <w:w w:val="125"/>
                            <w:sz w:val="20"/>
                          </w:rPr>
                          <w:t>vision2020</w:t>
                        </w:r>
                      </w:p>
                    </w:tc>
                    <w:tc>
                      <w:tcPr>
                        <w:tcW w:w="1047" w:type="dxa"/>
                        <w:tcBorders>
                          <w:top w:val="single" w:sz="48" w:space="0" w:color="CA4F1B"/>
                          <w:left w:val="single" w:sz="18" w:space="0" w:color="8BA8BD"/>
                          <w:bottom w:val="single" w:sz="4" w:space="0" w:color="CA4F1B"/>
                          <w:right w:val="single" w:sz="24" w:space="0" w:color="8BA8BD"/>
                        </w:tcBorders>
                        <w:shd w:val="clear" w:color="auto" w:fill="F7E7D9"/>
                      </w:tcPr>
                      <w:p>
                        <w:pPr>
                          <w:pStyle w:val="TableParagraph"/>
                          <w:spacing w:before="97"/>
                          <w:ind w:left="299"/>
                          <w:rPr>
                            <w:sz w:val="18"/>
                          </w:rPr>
                        </w:pPr>
                        <w:r>
                          <w:rPr>
                            <w:w w:val="110"/>
                            <w:sz w:val="18"/>
                          </w:rPr>
                          <w:t>16/243</w:t>
                        </w:r>
                      </w:p>
                    </w:tc>
                    <w:tc>
                      <w:tcPr>
                        <w:tcW w:w="2478" w:type="dxa"/>
                        <w:tcBorders>
                          <w:top w:val="single" w:sz="48" w:space="0" w:color="CA4F1B"/>
                          <w:left w:val="single" w:sz="24" w:space="0" w:color="8BA8BD"/>
                          <w:bottom w:val="single" w:sz="4" w:space="0" w:color="CA4F1B"/>
                          <w:right w:val="single" w:sz="4" w:space="0" w:color="8BA8BD"/>
                        </w:tcBorders>
                        <w:shd w:val="clear" w:color="auto" w:fill="F7E7D9"/>
                      </w:tcPr>
                      <w:p>
                        <w:pPr>
                          <w:pStyle w:val="TableParagraph"/>
                          <w:spacing w:before="98"/>
                          <w:ind w:left="77"/>
                          <w:rPr>
                            <w:sz w:val="20"/>
                          </w:rPr>
                        </w:pPr>
                        <w:r>
                          <w:rPr>
                            <w:w w:val="120"/>
                            <w:sz w:val="20"/>
                          </w:rPr>
                          <w:t>Mission</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2</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Ethical investment statement of principle</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243</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3</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Nestlé</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243</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4</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Nestlé</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244</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5</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Disciplinary Process Part I</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245</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6</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15"/>
                            <w:sz w:val="20"/>
                          </w:rPr>
                          <w:t>Incapacity Procedure Part I</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245</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7</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Disciplinary Procedure Part I</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246</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8</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15"/>
                            <w:sz w:val="20"/>
                          </w:rPr>
                          <w:t>Incapacity Procedure Part I</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246</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371"/>
                          <w:rPr>
                            <w:rFonts w:ascii="Stone Sans II ITC Std X Bd"/>
                            <w:b/>
                            <w:sz w:val="20"/>
                          </w:rPr>
                        </w:pPr>
                        <w:r>
                          <w:rPr>
                            <w:rFonts w:ascii="Stone Sans II ITC Std X Bd"/>
                            <w:b/>
                            <w:color w:val="FFFFFF"/>
                            <w:sz w:val="20"/>
                          </w:rPr>
                          <w:t>9</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Amendments to the Structure</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246</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10</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Disciplinary Procedure Part II</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247</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11</w:t>
                        </w:r>
                      </w:p>
                    </w:tc>
                    <w:tc>
                      <w:tcPr>
                        <w:tcW w:w="5099" w:type="dxa"/>
                        <w:tcBorders>
                          <w:top w:val="single" w:sz="4" w:space="0" w:color="CA4F1B"/>
                          <w:left w:val="dashed"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The ministerial working week</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248</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Ministries</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12</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Guidelines for conduct and behaviour</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251</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Ministries</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13</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5"/>
                            <w:sz w:val="20"/>
                          </w:rPr>
                          <w:t>Church changes</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251</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rPr>
                            <w:rFonts w:ascii="Times New Roman"/>
                            <w:sz w:val="20"/>
                          </w:rPr>
                        </w:pP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14</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Appointment extensions</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252</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15</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Clerk to the General Assembly 2012-18</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252</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16</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Power of appointment</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252</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373" w:hRule="atLeast"/>
                    </w:trPr>
                    <w:tc>
                      <w:tcPr>
                        <w:tcW w:w="755" w:type="dxa"/>
                        <w:tcBorders>
                          <w:top w:val="nil"/>
                          <w:left w:val="single" w:sz="4" w:space="0" w:color="9662A1"/>
                          <w:bottom w:val="nil"/>
                          <w:right w:val="dashed"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17</w:t>
                        </w:r>
                      </w:p>
                    </w:tc>
                    <w:tc>
                      <w:tcPr>
                        <w:tcW w:w="5099" w:type="dxa"/>
                        <w:tcBorders>
                          <w:top w:val="single" w:sz="4" w:space="0" w:color="CA4F1B"/>
                          <w:left w:val="dashed"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Moderator of the Mersey Synod</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253</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613"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18</w:t>
                        </w:r>
                      </w:p>
                    </w:tc>
                    <w:tc>
                      <w:tcPr>
                        <w:tcW w:w="5099" w:type="dxa"/>
                        <w:tcBorders>
                          <w:top w:val="single" w:sz="4" w:space="0" w:color="CA4F1B"/>
                          <w:left w:val="single" w:sz="4" w:space="0" w:color="9662A1"/>
                          <w:bottom w:val="single" w:sz="4" w:space="0" w:color="CA4F1B"/>
                          <w:right w:val="single" w:sz="18" w:space="0" w:color="8BA8BD"/>
                        </w:tcBorders>
                        <w:shd w:val="clear" w:color="auto" w:fill="FFFFFF"/>
                      </w:tcPr>
                      <w:p>
                        <w:pPr>
                          <w:pStyle w:val="TableParagraph"/>
                          <w:spacing w:line="235" w:lineRule="auto" w:before="111"/>
                          <w:ind w:left="80" w:right="384"/>
                          <w:rPr>
                            <w:sz w:val="20"/>
                          </w:rPr>
                        </w:pPr>
                        <w:r>
                          <w:rPr>
                            <w:w w:val="120"/>
                            <w:sz w:val="20"/>
                          </w:rPr>
                          <w:t>Director of Old Testament Studies, Westminster College</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6"/>
                          <w:rPr>
                            <w:sz w:val="18"/>
                          </w:rPr>
                        </w:pPr>
                      </w:p>
                      <w:p>
                        <w:pPr>
                          <w:pStyle w:val="TableParagraph"/>
                          <w:spacing w:before="1"/>
                          <w:ind w:left="437"/>
                          <w:rPr>
                            <w:sz w:val="18"/>
                          </w:rPr>
                        </w:pPr>
                        <w:r>
                          <w:rPr>
                            <w:w w:val="115"/>
                            <w:sz w:val="18"/>
                          </w:rPr>
                          <w:t>253</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8"/>
                          <w:rPr>
                            <w:sz w:val="18"/>
                          </w:rPr>
                        </w:pPr>
                      </w:p>
                      <w:p>
                        <w:pPr>
                          <w:pStyle w:val="TableParagraph"/>
                          <w:ind w:left="77"/>
                          <w:rPr>
                            <w:sz w:val="20"/>
                          </w:rPr>
                        </w:pPr>
                        <w:r>
                          <w:rPr>
                            <w:w w:val="120"/>
                            <w:sz w:val="20"/>
                          </w:rPr>
                          <w:t>Nominations</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19</w:t>
                        </w:r>
                      </w:p>
                    </w:tc>
                    <w:tc>
                      <w:tcPr>
                        <w:tcW w:w="5099" w:type="dxa"/>
                        <w:tcBorders>
                          <w:top w:val="single" w:sz="4" w:space="0" w:color="CA4F1B"/>
                          <w:left w:val="single"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Appointment of committees and groups</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253</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20</w:t>
                        </w:r>
                      </w:p>
                    </w:tc>
                    <w:tc>
                      <w:tcPr>
                        <w:tcW w:w="5099" w:type="dxa"/>
                        <w:tcBorders>
                          <w:top w:val="single" w:sz="4" w:space="0" w:color="CA4F1B"/>
                          <w:left w:val="single"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15"/>
                            <w:sz w:val="20"/>
                          </w:rPr>
                          <w:t>Vote of thanks</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106"/>
                          <w:ind w:left="437"/>
                          <w:rPr>
                            <w:sz w:val="18"/>
                          </w:rPr>
                        </w:pPr>
                        <w:r>
                          <w:rPr>
                            <w:w w:val="115"/>
                            <w:sz w:val="18"/>
                          </w:rPr>
                          <w:t>253</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before="108"/>
                          <w:ind w:left="77"/>
                          <w:rPr>
                            <w:sz w:val="20"/>
                          </w:rPr>
                        </w:pPr>
                        <w:r>
                          <w:rPr>
                            <w:w w:val="120"/>
                            <w:sz w:val="20"/>
                          </w:rPr>
                          <w:t>Nominations</w:t>
                        </w:r>
                      </w:p>
                    </w:tc>
                  </w:tr>
                  <w:tr>
                    <w:trPr>
                      <w:trHeight w:val="613"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21</w:t>
                        </w:r>
                      </w:p>
                    </w:tc>
                    <w:tc>
                      <w:tcPr>
                        <w:tcW w:w="5099" w:type="dxa"/>
                        <w:tcBorders>
                          <w:top w:val="single" w:sz="4" w:space="0" w:color="CA4F1B"/>
                          <w:left w:val="single"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Vetting and barring</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6"/>
                          <w:rPr>
                            <w:sz w:val="18"/>
                          </w:rPr>
                        </w:pPr>
                      </w:p>
                      <w:p>
                        <w:pPr>
                          <w:pStyle w:val="TableParagraph"/>
                          <w:spacing w:before="1"/>
                          <w:ind w:left="437"/>
                          <w:rPr>
                            <w:sz w:val="18"/>
                          </w:rPr>
                        </w:pPr>
                        <w:r>
                          <w:rPr>
                            <w:w w:val="115"/>
                            <w:sz w:val="18"/>
                          </w:rPr>
                          <w:t>254</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line="235" w:lineRule="auto" w:before="111"/>
                          <w:ind w:left="77"/>
                          <w:rPr>
                            <w:sz w:val="20"/>
                          </w:rPr>
                        </w:pPr>
                        <w:r>
                          <w:rPr>
                            <w:w w:val="120"/>
                            <w:sz w:val="20"/>
                          </w:rPr>
                          <w:t>Ministries and Youth and Children’s Work</w:t>
                        </w:r>
                      </w:p>
                    </w:tc>
                  </w:tr>
                  <w:tr>
                    <w:trPr>
                      <w:trHeight w:val="613"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22</w:t>
                        </w:r>
                      </w:p>
                    </w:tc>
                    <w:tc>
                      <w:tcPr>
                        <w:tcW w:w="5099" w:type="dxa"/>
                        <w:tcBorders>
                          <w:top w:val="single" w:sz="4" w:space="0" w:color="CA4F1B"/>
                          <w:left w:val="single" w:sz="4" w:space="0" w:color="9662A1"/>
                          <w:bottom w:val="single" w:sz="4" w:space="0" w:color="CA4F1B"/>
                          <w:right w:val="single" w:sz="18" w:space="0" w:color="8BA8BD"/>
                        </w:tcBorders>
                        <w:shd w:val="clear" w:color="auto" w:fill="FFFFFF"/>
                      </w:tcPr>
                      <w:p>
                        <w:pPr>
                          <w:pStyle w:val="TableParagraph"/>
                          <w:spacing w:before="108"/>
                          <w:ind w:left="80"/>
                          <w:rPr>
                            <w:sz w:val="20"/>
                          </w:rPr>
                        </w:pPr>
                        <w:r>
                          <w:rPr>
                            <w:w w:val="120"/>
                            <w:sz w:val="20"/>
                          </w:rPr>
                          <w:t>Dates and venue of 2012 Assembly</w:t>
                        </w:r>
                      </w:p>
                    </w:tc>
                    <w:tc>
                      <w:tcPr>
                        <w:tcW w:w="1047" w:type="dxa"/>
                        <w:tcBorders>
                          <w:top w:val="single" w:sz="4" w:space="0" w:color="CA4F1B"/>
                          <w:left w:val="single" w:sz="18" w:space="0" w:color="8BA8BD"/>
                          <w:bottom w:val="single" w:sz="4" w:space="0" w:color="CA4F1B"/>
                          <w:right w:val="single" w:sz="24" w:space="0" w:color="8BA8BD"/>
                        </w:tcBorders>
                        <w:shd w:val="clear" w:color="auto" w:fill="FFFFFF"/>
                      </w:tcPr>
                      <w:p>
                        <w:pPr>
                          <w:pStyle w:val="TableParagraph"/>
                          <w:spacing w:before="6"/>
                          <w:rPr>
                            <w:sz w:val="18"/>
                          </w:rPr>
                        </w:pPr>
                      </w:p>
                      <w:p>
                        <w:pPr>
                          <w:pStyle w:val="TableParagraph"/>
                          <w:spacing w:before="1"/>
                          <w:ind w:left="437"/>
                          <w:rPr>
                            <w:sz w:val="18"/>
                          </w:rPr>
                        </w:pPr>
                        <w:r>
                          <w:rPr>
                            <w:w w:val="115"/>
                            <w:sz w:val="18"/>
                          </w:rPr>
                          <w:t>256</w:t>
                        </w:r>
                      </w:p>
                    </w:tc>
                    <w:tc>
                      <w:tcPr>
                        <w:tcW w:w="2478" w:type="dxa"/>
                        <w:tcBorders>
                          <w:top w:val="single" w:sz="4" w:space="0" w:color="CA4F1B"/>
                          <w:left w:val="single" w:sz="24" w:space="0" w:color="8BA8BD"/>
                          <w:bottom w:val="single" w:sz="4" w:space="0" w:color="CA4F1B"/>
                          <w:right w:val="single" w:sz="4" w:space="0" w:color="8BA8BD"/>
                        </w:tcBorders>
                        <w:shd w:val="clear" w:color="auto" w:fill="FFFFFF"/>
                      </w:tcPr>
                      <w:p>
                        <w:pPr>
                          <w:pStyle w:val="TableParagraph"/>
                          <w:spacing w:line="235" w:lineRule="auto" w:before="111"/>
                          <w:ind w:left="77" w:right="67"/>
                          <w:rPr>
                            <w:sz w:val="20"/>
                          </w:rPr>
                        </w:pPr>
                        <w:r>
                          <w:rPr>
                            <w:w w:val="120"/>
                            <w:sz w:val="20"/>
                          </w:rPr>
                          <w:t>Assembly Arrangements</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23</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5"/>
                            <w:sz w:val="20"/>
                          </w:rPr>
                          <w:t>Homerton College, Cambridge</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257</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rPr>
                            <w:rFonts w:ascii="Times New Roman"/>
                            <w:sz w:val="20"/>
                          </w:rPr>
                        </w:pPr>
                      </w:p>
                    </w:tc>
                  </w:tr>
                  <w:tr>
                    <w:trPr>
                      <w:trHeight w:val="582"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7"/>
                          <w:rPr>
                            <w:sz w:val="26"/>
                          </w:rPr>
                        </w:pPr>
                      </w:p>
                      <w:p>
                        <w:pPr>
                          <w:pStyle w:val="TableParagraph"/>
                          <w:spacing w:line="238" w:lineRule="exact"/>
                          <w:ind w:left="238"/>
                          <w:rPr>
                            <w:rFonts w:ascii="Stone Sans II ITC Std X Bd"/>
                            <w:b/>
                            <w:sz w:val="20"/>
                          </w:rPr>
                        </w:pPr>
                        <w:r>
                          <w:rPr>
                            <w:rFonts w:ascii="Stone Sans II ITC Std X Bd"/>
                            <w:b/>
                            <w:color w:val="FFFFFF"/>
                            <w:sz w:val="20"/>
                          </w:rPr>
                          <w:t>24</w:t>
                        </w:r>
                      </w:p>
                    </w:tc>
                    <w:tc>
                      <w:tcPr>
                        <w:tcW w:w="5099" w:type="dxa"/>
                        <w:tcBorders>
                          <w:top w:val="single" w:sz="4" w:space="0" w:color="CA4F1B"/>
                          <w:left w:val="single" w:sz="4" w:space="0" w:color="9662A1"/>
                          <w:bottom w:val="nil"/>
                          <w:right w:val="single" w:sz="18" w:space="0" w:color="8BA8BD"/>
                        </w:tcBorders>
                        <w:shd w:val="clear" w:color="auto" w:fill="F7E7D9"/>
                      </w:tcPr>
                      <w:p>
                        <w:pPr>
                          <w:pStyle w:val="TableParagraph"/>
                          <w:spacing w:line="240" w:lineRule="exact" w:before="106"/>
                          <w:ind w:left="80"/>
                          <w:rPr>
                            <w:sz w:val="20"/>
                          </w:rPr>
                        </w:pPr>
                        <w:r>
                          <w:rPr>
                            <w:w w:val="120"/>
                            <w:sz w:val="20"/>
                          </w:rPr>
                          <w:t>Proposed changes to the Rules of Procedure (Section C of the Manual):</w:t>
                        </w:r>
                      </w:p>
                    </w:tc>
                    <w:tc>
                      <w:tcPr>
                        <w:tcW w:w="1047" w:type="dxa"/>
                        <w:tcBorders>
                          <w:top w:val="single" w:sz="4" w:space="0" w:color="CA4F1B"/>
                          <w:left w:val="single" w:sz="18" w:space="0" w:color="8BA8BD"/>
                          <w:bottom w:val="nil"/>
                          <w:right w:val="single" w:sz="24" w:space="0" w:color="8BA8BD"/>
                        </w:tcBorders>
                        <w:shd w:val="clear" w:color="auto" w:fill="F7E7D9"/>
                      </w:tcPr>
                      <w:p>
                        <w:pPr>
                          <w:pStyle w:val="TableParagraph"/>
                          <w:spacing w:before="4"/>
                          <w:rPr>
                            <w:sz w:val="28"/>
                          </w:rPr>
                        </w:pPr>
                      </w:p>
                      <w:p>
                        <w:pPr>
                          <w:pStyle w:val="TableParagraph"/>
                          <w:spacing w:line="216" w:lineRule="exact" w:before="1"/>
                          <w:ind w:left="437"/>
                          <w:rPr>
                            <w:sz w:val="18"/>
                          </w:rPr>
                        </w:pPr>
                        <w:r>
                          <w:rPr>
                            <w:w w:val="115"/>
                            <w:sz w:val="18"/>
                          </w:rPr>
                          <w:t>257</w:t>
                        </w:r>
                      </w:p>
                    </w:tc>
                    <w:tc>
                      <w:tcPr>
                        <w:tcW w:w="2478" w:type="dxa"/>
                        <w:vMerge w:val="restart"/>
                        <w:tcBorders>
                          <w:top w:val="single" w:sz="4" w:space="0" w:color="CA4F1B"/>
                          <w:left w:val="single" w:sz="24" w:space="0" w:color="8BA8BD"/>
                          <w:bottom w:val="single" w:sz="4" w:space="0" w:color="CA4F1B"/>
                          <w:right w:val="single" w:sz="4" w:space="0" w:color="8BA8BD"/>
                        </w:tcBorders>
                        <w:shd w:val="clear" w:color="auto" w:fill="F7E7D9"/>
                      </w:tcPr>
                      <w:p>
                        <w:pPr>
                          <w:pStyle w:val="TableParagraph"/>
                          <w:rPr>
                            <w:rFonts w:ascii="Times New Roman"/>
                            <w:sz w:val="20"/>
                          </w:rPr>
                        </w:pPr>
                      </w:p>
                    </w:tc>
                  </w:tr>
                  <w:tr>
                    <w:trPr>
                      <w:trHeight w:val="257" w:hRule="atLeast"/>
                    </w:trPr>
                    <w:tc>
                      <w:tcPr>
                        <w:tcW w:w="755" w:type="dxa"/>
                        <w:tcBorders>
                          <w:top w:val="nil"/>
                          <w:left w:val="single" w:sz="4" w:space="0" w:color="9662A1"/>
                          <w:bottom w:val="nil"/>
                          <w:right w:val="single" w:sz="4" w:space="0" w:color="9662A1"/>
                        </w:tcBorders>
                        <w:shd w:val="clear" w:color="auto" w:fill="CA4F1B"/>
                      </w:tcPr>
                      <w:p>
                        <w:pPr>
                          <w:pStyle w:val="TableParagraph"/>
                          <w:rPr>
                            <w:rFonts w:ascii="Times New Roman"/>
                            <w:sz w:val="18"/>
                          </w:rPr>
                        </w:pPr>
                      </w:p>
                    </w:tc>
                    <w:tc>
                      <w:tcPr>
                        <w:tcW w:w="5099" w:type="dxa"/>
                        <w:tcBorders>
                          <w:top w:val="nil"/>
                          <w:left w:val="single" w:sz="4" w:space="0" w:color="9662A1"/>
                          <w:bottom w:val="single" w:sz="4" w:space="0" w:color="CA4F1B"/>
                          <w:right w:val="single" w:sz="18" w:space="0" w:color="8BA8BD"/>
                        </w:tcBorders>
                        <w:shd w:val="clear" w:color="auto" w:fill="F7E7D9"/>
                      </w:tcPr>
                      <w:p>
                        <w:pPr>
                          <w:pStyle w:val="TableParagraph"/>
                          <w:spacing w:line="236" w:lineRule="exact"/>
                          <w:ind w:left="80"/>
                          <w:rPr>
                            <w:sz w:val="20"/>
                          </w:rPr>
                        </w:pPr>
                        <w:r>
                          <w:rPr>
                            <w:w w:val="120"/>
                            <w:sz w:val="20"/>
                          </w:rPr>
                          <w:t>term of appointment of the Clerk to the Assembly</w:t>
                        </w:r>
                      </w:p>
                    </w:tc>
                    <w:tc>
                      <w:tcPr>
                        <w:tcW w:w="1047" w:type="dxa"/>
                        <w:tcBorders>
                          <w:top w:val="nil"/>
                          <w:left w:val="single" w:sz="18" w:space="0" w:color="8BA8BD"/>
                          <w:bottom w:val="single" w:sz="4" w:space="0" w:color="CA4F1B"/>
                          <w:right w:val="single" w:sz="24" w:space="0" w:color="8BA8BD"/>
                        </w:tcBorders>
                        <w:shd w:val="clear" w:color="auto" w:fill="F7E7D9"/>
                      </w:tcPr>
                      <w:p>
                        <w:pPr>
                          <w:pStyle w:val="TableParagraph"/>
                          <w:rPr>
                            <w:rFonts w:ascii="Times New Roman"/>
                            <w:sz w:val="18"/>
                          </w:rPr>
                        </w:pPr>
                      </w:p>
                    </w:tc>
                    <w:tc>
                      <w:tcPr>
                        <w:tcW w:w="2478" w:type="dxa"/>
                        <w:vMerge/>
                        <w:tcBorders>
                          <w:top w:val="nil"/>
                          <w:left w:val="single" w:sz="24" w:space="0" w:color="8BA8BD"/>
                          <w:bottom w:val="single" w:sz="4" w:space="0" w:color="CA4F1B"/>
                          <w:right w:val="single" w:sz="4" w:space="0" w:color="8BA8BD"/>
                        </w:tcBorders>
                        <w:shd w:val="clear" w:color="auto" w:fill="F7E7D9"/>
                      </w:tcPr>
                      <w:p>
                        <w:pPr>
                          <w:rPr>
                            <w:sz w:val="2"/>
                            <w:szCs w:val="2"/>
                          </w:rPr>
                        </w:pPr>
                      </w:p>
                    </w:tc>
                  </w:tr>
                  <w:tr>
                    <w:trPr>
                      <w:trHeight w:val="613"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25</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line="235" w:lineRule="auto" w:before="111"/>
                          <w:ind w:left="80"/>
                          <w:rPr>
                            <w:sz w:val="20"/>
                          </w:rPr>
                        </w:pPr>
                        <w:r>
                          <w:rPr>
                            <w:w w:val="120"/>
                            <w:sz w:val="20"/>
                          </w:rPr>
                          <w:t>Proposed changes to the Rules of Procedure: application of the standing orders</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6"/>
                          <w:rPr>
                            <w:sz w:val="18"/>
                          </w:rPr>
                        </w:pPr>
                      </w:p>
                      <w:p>
                        <w:pPr>
                          <w:pStyle w:val="TableParagraph"/>
                          <w:spacing w:before="1"/>
                          <w:ind w:left="437"/>
                          <w:rPr>
                            <w:sz w:val="18"/>
                          </w:rPr>
                        </w:pPr>
                        <w:r>
                          <w:rPr>
                            <w:w w:val="115"/>
                            <w:sz w:val="18"/>
                          </w:rPr>
                          <w:t>258</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rPr>
                            <w:rFonts w:ascii="Times New Roman"/>
                            <w:sz w:val="20"/>
                          </w:rPr>
                        </w:pPr>
                      </w:p>
                    </w:tc>
                  </w:tr>
                  <w:tr>
                    <w:trPr>
                      <w:trHeight w:val="613" w:hRule="atLeast"/>
                    </w:trPr>
                    <w:tc>
                      <w:tcPr>
                        <w:tcW w:w="755" w:type="dxa"/>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26</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line="235" w:lineRule="auto" w:before="111"/>
                          <w:ind w:left="80" w:right="384"/>
                          <w:rPr>
                            <w:sz w:val="20"/>
                          </w:rPr>
                        </w:pPr>
                        <w:r>
                          <w:rPr>
                            <w:w w:val="120"/>
                            <w:sz w:val="20"/>
                          </w:rPr>
                          <w:t>Changes to the Structure (section B of the Manual): the ‘Two Assemblies’ rule</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6"/>
                          <w:rPr>
                            <w:sz w:val="18"/>
                          </w:rPr>
                        </w:pPr>
                      </w:p>
                      <w:p>
                        <w:pPr>
                          <w:pStyle w:val="TableParagraph"/>
                          <w:spacing w:before="1"/>
                          <w:ind w:left="437"/>
                          <w:rPr>
                            <w:sz w:val="18"/>
                          </w:rPr>
                        </w:pPr>
                        <w:r>
                          <w:rPr>
                            <w:w w:val="115"/>
                            <w:sz w:val="18"/>
                          </w:rPr>
                          <w:t>259</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rPr>
                            <w:rFonts w:ascii="Times New Roman"/>
                            <w:sz w:val="20"/>
                          </w:rPr>
                        </w:pP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27</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Trustee’s Report and Accounts</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261</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Finance and URC Trust</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28</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Appointment of Auditors</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261</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Finance</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29</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Giving to the Ministry and Mission Fund</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262</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Finance</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38"/>
                          <w:rPr>
                            <w:rFonts w:ascii="Stone Sans II ITC Std X Bd"/>
                            <w:b/>
                            <w:sz w:val="20"/>
                          </w:rPr>
                        </w:pPr>
                        <w:r>
                          <w:rPr>
                            <w:rFonts w:ascii="Stone Sans II ITC Std X Bd"/>
                            <w:b/>
                            <w:color w:val="FFFFFF"/>
                            <w:sz w:val="20"/>
                          </w:rPr>
                          <w:t>30</w:t>
                        </w:r>
                      </w:p>
                    </w:tc>
                    <w:tc>
                      <w:tcPr>
                        <w:tcW w:w="5099" w:type="dxa"/>
                        <w:tcBorders>
                          <w:top w:val="single" w:sz="4" w:space="0" w:color="CA4F1B"/>
                          <w:left w:val="single" w:sz="4" w:space="0" w:color="9662A1"/>
                          <w:bottom w:val="single" w:sz="4" w:space="0" w:color="CA4F1B"/>
                          <w:right w:val="single" w:sz="18" w:space="0" w:color="8BA8BD"/>
                        </w:tcBorders>
                        <w:shd w:val="clear" w:color="auto" w:fill="F7E7D9"/>
                      </w:tcPr>
                      <w:p>
                        <w:pPr>
                          <w:pStyle w:val="TableParagraph"/>
                          <w:spacing w:before="108"/>
                          <w:ind w:left="80"/>
                          <w:rPr>
                            <w:sz w:val="20"/>
                          </w:rPr>
                        </w:pPr>
                        <w:r>
                          <w:rPr>
                            <w:w w:val="120"/>
                            <w:sz w:val="20"/>
                          </w:rPr>
                          <w:t>Resolution 49 of General Assembly 2008</w:t>
                        </w:r>
                      </w:p>
                    </w:tc>
                    <w:tc>
                      <w:tcPr>
                        <w:tcW w:w="1047" w:type="dxa"/>
                        <w:tcBorders>
                          <w:top w:val="single" w:sz="4" w:space="0" w:color="CA4F1B"/>
                          <w:left w:val="single" w:sz="18" w:space="0" w:color="8BA8BD"/>
                          <w:bottom w:val="single" w:sz="4" w:space="0" w:color="CA4F1B"/>
                          <w:right w:val="single" w:sz="24" w:space="0" w:color="8BA8BD"/>
                        </w:tcBorders>
                        <w:shd w:val="clear" w:color="auto" w:fill="F7E7D9"/>
                      </w:tcPr>
                      <w:p>
                        <w:pPr>
                          <w:pStyle w:val="TableParagraph"/>
                          <w:spacing w:before="106"/>
                          <w:ind w:left="437"/>
                          <w:rPr>
                            <w:sz w:val="18"/>
                          </w:rPr>
                        </w:pPr>
                        <w:r>
                          <w:rPr>
                            <w:w w:val="115"/>
                            <w:sz w:val="18"/>
                          </w:rPr>
                          <w:t>262</w:t>
                        </w:r>
                      </w:p>
                    </w:tc>
                    <w:tc>
                      <w:tcPr>
                        <w:tcW w:w="2478" w:type="dxa"/>
                        <w:tcBorders>
                          <w:top w:val="single" w:sz="4" w:space="0" w:color="CA4F1B"/>
                          <w:left w:val="single" w:sz="24" w:space="0" w:color="8BA8BD"/>
                          <w:bottom w:val="single" w:sz="4" w:space="0" w:color="CA4F1B"/>
                          <w:right w:val="single" w:sz="4" w:space="0" w:color="8BA8BD"/>
                        </w:tcBorders>
                        <w:shd w:val="clear" w:color="auto" w:fill="F7E7D9"/>
                      </w:tcPr>
                      <w:p>
                        <w:pPr>
                          <w:pStyle w:val="TableParagraph"/>
                          <w:spacing w:before="108"/>
                          <w:ind w:left="77"/>
                          <w:rPr>
                            <w:sz w:val="20"/>
                          </w:rPr>
                        </w:pPr>
                        <w:r>
                          <w:rPr>
                            <w:w w:val="120"/>
                            <w:sz w:val="20"/>
                          </w:rPr>
                          <w:t>Mission Council</w:t>
                        </w:r>
                      </w:p>
                    </w:tc>
                  </w:tr>
                  <w:tr>
                    <w:trPr>
                      <w:trHeight w:val="232" w:hRule="atLeast"/>
                    </w:trPr>
                    <w:tc>
                      <w:tcPr>
                        <w:tcW w:w="5854" w:type="dxa"/>
                        <w:gridSpan w:val="2"/>
                        <w:tcBorders>
                          <w:top w:val="single" w:sz="4" w:space="0" w:color="CA4F1B"/>
                          <w:left w:val="nil"/>
                          <w:bottom w:val="nil"/>
                          <w:right w:val="nil"/>
                        </w:tcBorders>
                        <w:shd w:val="clear" w:color="auto" w:fill="8BA8BD"/>
                      </w:tcPr>
                      <w:p>
                        <w:pPr>
                          <w:pStyle w:val="TableParagraph"/>
                          <w:rPr>
                            <w:rFonts w:ascii="Times New Roman"/>
                            <w:sz w:val="16"/>
                          </w:rPr>
                        </w:pPr>
                      </w:p>
                    </w:tc>
                    <w:tc>
                      <w:tcPr>
                        <w:tcW w:w="1047" w:type="dxa"/>
                        <w:tcBorders>
                          <w:top w:val="single" w:sz="4" w:space="0" w:color="CA4F1B"/>
                          <w:left w:val="nil"/>
                          <w:bottom w:val="nil"/>
                          <w:right w:val="nil"/>
                        </w:tcBorders>
                        <w:shd w:val="clear" w:color="auto" w:fill="8BA8BD"/>
                      </w:tcPr>
                      <w:p>
                        <w:pPr>
                          <w:pStyle w:val="TableParagraph"/>
                          <w:rPr>
                            <w:rFonts w:ascii="Times New Roman"/>
                            <w:sz w:val="16"/>
                          </w:rPr>
                        </w:pPr>
                      </w:p>
                    </w:tc>
                    <w:tc>
                      <w:tcPr>
                        <w:tcW w:w="2478" w:type="dxa"/>
                        <w:tcBorders>
                          <w:top w:val="single" w:sz="4" w:space="0" w:color="CA4F1B"/>
                          <w:left w:val="nil"/>
                          <w:bottom w:val="nil"/>
                          <w:right w:val="nil"/>
                        </w:tcBorders>
                        <w:shd w:val="clear" w:color="auto" w:fill="8BA8BD"/>
                      </w:tcPr>
                      <w:p>
                        <w:pPr>
                          <w:pStyle w:val="TableParagraph"/>
                          <w:rPr>
                            <w:rFonts w:ascii="Times New Roman"/>
                            <w:sz w:val="16"/>
                          </w:rPr>
                        </w:pPr>
                      </w:p>
                    </w:tc>
                  </w:tr>
                </w:tbl>
                <w:p>
                  <w:pPr>
                    <w:pStyle w:val="BodyText"/>
                  </w:pPr>
                </w:p>
              </w:txbxContent>
            </v:textbox>
            <w10:wrap type="none"/>
          </v:shape>
        </w:pict>
      </w:r>
      <w:r>
        <w:rPr>
          <w:rFonts w:ascii="Stone Sans II ITC Std X Bd"/>
          <w:b/>
          <w:color w:val="FFFFFF"/>
          <w:w w:val="110"/>
          <w:sz w:val="36"/>
        </w:rPr>
        <w:t>List of Resolutions</w:t>
      </w: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44"/>
        </w:rPr>
      </w:pPr>
    </w:p>
    <w:p>
      <w:pPr>
        <w:pStyle w:val="BodyText"/>
        <w:rPr>
          <w:rFonts w:ascii="Stone Sans II ITC Std X Bd"/>
          <w:b/>
          <w:sz w:val="63"/>
        </w:rPr>
      </w:pPr>
    </w:p>
    <w:p>
      <w:pPr>
        <w:tabs>
          <w:tab w:pos="1209" w:val="left" w:leader="none"/>
        </w:tabs>
        <w:spacing w:before="0"/>
        <w:ind w:left="793" w:right="0" w:firstLine="0"/>
        <w:jc w:val="left"/>
        <w:rPr>
          <w:sz w:val="23"/>
        </w:rPr>
      </w:pPr>
      <w:r>
        <w:rPr>
          <w:rFonts w:ascii="Stone Sans II ITC Std X Bd" w:hAnsi="Stone Sans II ITC Std X Bd"/>
          <w:b/>
          <w:color w:val="FFFFFF"/>
          <w:w w:val="110"/>
          <w:sz w:val="24"/>
        </w:rPr>
        <w:t>2</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3"/>
          <w:w w:val="110"/>
          <w:sz w:val="23"/>
        </w:rPr>
        <w:t> </w:t>
      </w:r>
      <w:r>
        <w:rPr>
          <w:color w:val="FFFFFF"/>
          <w:w w:val="110"/>
          <w:sz w:val="23"/>
        </w:rPr>
        <w:t>2010</w:t>
      </w:r>
    </w:p>
    <w:p>
      <w:pPr>
        <w:spacing w:after="0"/>
        <w:jc w:val="left"/>
        <w:rPr>
          <w:sz w:val="23"/>
        </w:rPr>
        <w:sectPr>
          <w:pgSz w:w="11910" w:h="16840"/>
          <w:pgMar w:header="0" w:footer="0" w:top="0" w:bottom="280" w:left="0" w:right="0"/>
        </w:sectPr>
      </w:pPr>
    </w:p>
    <w:p>
      <w:pPr>
        <w:pStyle w:val="BodyText"/>
        <w:ind w:left="11168"/>
      </w:pPr>
      <w:r>
        <w:rPr/>
        <w:pict>
          <v:rect style="position:absolute;margin-left:0pt;margin-top:.000015pt;width:595.275pt;height:841.89pt;mso-position-horizontal-relative:page;mso-position-vertical-relative:page;z-index:-267740160" filled="true" fillcolor="#8ba8bd" stroked="false">
            <v:fill type="solid"/>
            <w10:wrap type="none"/>
          </v:rect>
        </w:pict>
      </w:r>
      <w:r>
        <w:rPr/>
        <w:pict>
          <v:group style="width:22.7pt;height:23.55pt;mso-position-horizontal-relative:char;mso-position-vertical-relative:line" coordorigin="0,0" coordsize="454,471">
            <v:rect style="position:absolute;left:0;top:0;width:454;height:471" filled="true" fillcolor="#ffffff" stroked="false">
              <v:fill type="solid"/>
            </v:rect>
          </v:group>
        </w:pict>
      </w:r>
      <w:r>
        <w:rPr/>
      </w:r>
    </w:p>
    <w:p>
      <w:pPr>
        <w:pStyle w:val="BodyText"/>
      </w:pPr>
    </w:p>
    <w:p>
      <w:pPr>
        <w:pStyle w:val="BodyText"/>
        <w:spacing w:before="8"/>
        <w:rPr>
          <w:sz w:val="15"/>
        </w:rPr>
      </w:pPr>
    </w:p>
    <w:p>
      <w:pPr>
        <w:spacing w:before="96"/>
        <w:ind w:left="1281" w:right="0" w:firstLine="0"/>
        <w:jc w:val="left"/>
        <w:rPr>
          <w:rFonts w:ascii="Stone Sans II ITC Std Bk"/>
          <w:b/>
          <w:i/>
          <w:sz w:val="16"/>
        </w:rPr>
      </w:pPr>
      <w:r>
        <w:rPr/>
        <w:pict>
          <v:rect style="position:absolute;margin-left:558.424988pt;margin-top:-16.59959pt;width:22.677pt;height:22.677pt;mso-position-horizontal-relative:page;mso-position-vertical-relative:paragraph;z-index:-267739136" filled="true" fillcolor="#ffffff" stroked="false">
            <v:fill type="solid"/>
            <w10:wrap type="none"/>
          </v:rect>
        </w:pict>
      </w:r>
      <w:r>
        <w:rPr/>
        <w:pict>
          <v:rect style="position:absolute;margin-left:558.424988pt;margin-top:14.58141pt;width:22.677pt;height:22.677pt;mso-position-horizontal-relative:page;mso-position-vertical-relative:paragraph;z-index:-267738112" filled="true" fillcolor="#ffffff" stroked="false">
            <v:fill opacity="32768f" type="solid"/>
            <w10:wrap type="none"/>
          </v:rect>
        </w:pict>
      </w:r>
      <w:r>
        <w:rPr/>
        <w:pict>
          <v:shape style="position:absolute;margin-left:72.816895pt;margin-top:20.13221pt;width:469.85pt;height:389.55pt;mso-position-horizontal-relative:page;mso-position-vertical-relative:paragraph;z-index:251686912" type="#_x0000_t202" filled="false" stroked="false">
            <v:textbox inset="0,0,0,0">
              <w:txbxContent>
                <w:tbl>
                  <w:tblPr>
                    <w:tblW w:w="0" w:type="auto"/>
                    <w:jc w:val="left"/>
                    <w:tblInd w:w="7" w:type="dxa"/>
                    <w:tblBorders>
                      <w:top w:val="single" w:sz="4" w:space="0" w:color="CA4F1B"/>
                      <w:left w:val="single" w:sz="4" w:space="0" w:color="CA4F1B"/>
                      <w:bottom w:val="single" w:sz="4" w:space="0" w:color="CA4F1B"/>
                      <w:right w:val="single" w:sz="4" w:space="0" w:color="CA4F1B"/>
                      <w:insideH w:val="single" w:sz="4" w:space="0" w:color="CA4F1B"/>
                      <w:insideV w:val="single" w:sz="4" w:space="0" w:color="CA4F1B"/>
                    </w:tblBorders>
                    <w:tblLayout w:type="fixed"/>
                    <w:tblCellMar>
                      <w:top w:w="0" w:type="dxa"/>
                      <w:left w:w="0" w:type="dxa"/>
                      <w:bottom w:w="0" w:type="dxa"/>
                      <w:right w:w="0" w:type="dxa"/>
                    </w:tblCellMar>
                    <w:tblLook w:val="01E0"/>
                  </w:tblPr>
                  <w:tblGrid>
                    <w:gridCol w:w="755"/>
                    <w:gridCol w:w="5095"/>
                    <w:gridCol w:w="1048"/>
                    <w:gridCol w:w="2481"/>
                  </w:tblGrid>
                  <w:tr>
                    <w:trPr>
                      <w:trHeight w:val="269" w:hRule="atLeast"/>
                    </w:trPr>
                    <w:tc>
                      <w:tcPr>
                        <w:tcW w:w="5850" w:type="dxa"/>
                        <w:gridSpan w:val="2"/>
                        <w:tcBorders>
                          <w:top w:val="nil"/>
                          <w:left w:val="nil"/>
                          <w:right w:val="nil"/>
                        </w:tcBorders>
                        <w:shd w:val="clear" w:color="auto" w:fill="8BA8BD"/>
                      </w:tcPr>
                      <w:p>
                        <w:pPr>
                          <w:pStyle w:val="TableParagraph"/>
                          <w:rPr>
                            <w:rFonts w:ascii="Times New Roman"/>
                            <w:sz w:val="18"/>
                          </w:rPr>
                        </w:pPr>
                      </w:p>
                    </w:tc>
                    <w:tc>
                      <w:tcPr>
                        <w:tcW w:w="1048" w:type="dxa"/>
                        <w:tcBorders>
                          <w:top w:val="nil"/>
                          <w:left w:val="nil"/>
                          <w:right w:val="nil"/>
                        </w:tcBorders>
                        <w:shd w:val="clear" w:color="auto" w:fill="8BA8BD"/>
                      </w:tcPr>
                      <w:p>
                        <w:pPr>
                          <w:pStyle w:val="TableParagraph"/>
                          <w:rPr>
                            <w:rFonts w:ascii="Times New Roman"/>
                            <w:sz w:val="18"/>
                          </w:rPr>
                        </w:pPr>
                      </w:p>
                    </w:tc>
                    <w:tc>
                      <w:tcPr>
                        <w:tcW w:w="2481" w:type="dxa"/>
                        <w:tcBorders>
                          <w:top w:val="nil"/>
                          <w:left w:val="nil"/>
                          <w:right w:val="nil"/>
                        </w:tcBorders>
                        <w:shd w:val="clear" w:color="auto" w:fill="8BA8BD"/>
                      </w:tcPr>
                      <w:p>
                        <w:pPr>
                          <w:pStyle w:val="TableParagraph"/>
                          <w:rPr>
                            <w:rFonts w:ascii="Times New Roman"/>
                            <w:sz w:val="18"/>
                          </w:rPr>
                        </w:pPr>
                      </w:p>
                    </w:tc>
                  </w:tr>
                  <w:tr>
                    <w:trPr>
                      <w:trHeight w:val="853" w:hRule="atLeast"/>
                    </w:trPr>
                    <w:tc>
                      <w:tcPr>
                        <w:tcW w:w="755" w:type="dxa"/>
                        <w:tcBorders>
                          <w:top w:val="nil"/>
                          <w:left w:val="single" w:sz="4" w:space="0" w:color="9662A1"/>
                          <w:bottom w:val="nil"/>
                          <w:right w:val="single" w:sz="4" w:space="0" w:color="9662A1"/>
                        </w:tcBorders>
                        <w:shd w:val="clear" w:color="auto" w:fill="CA4F1B"/>
                      </w:tcPr>
                      <w:p>
                        <w:pPr>
                          <w:pStyle w:val="TableParagraph"/>
                          <w:rPr>
                            <w:rFonts w:ascii="Stone Sans II ITC Std X Bd"/>
                            <w:b/>
                            <w:sz w:val="24"/>
                          </w:rPr>
                        </w:pPr>
                      </w:p>
                      <w:p>
                        <w:pPr>
                          <w:pStyle w:val="TableParagraph"/>
                          <w:ind w:left="218" w:right="219"/>
                          <w:jc w:val="center"/>
                          <w:rPr>
                            <w:rFonts w:ascii="Stone Sans II ITC Std X Bd"/>
                            <w:b/>
                            <w:sz w:val="20"/>
                          </w:rPr>
                        </w:pPr>
                        <w:r>
                          <w:rPr>
                            <w:rFonts w:ascii="Stone Sans II ITC Std X Bd"/>
                            <w:b/>
                            <w:color w:val="FFFFFF"/>
                            <w:sz w:val="20"/>
                          </w:rPr>
                          <w:t>31</w:t>
                        </w:r>
                      </w:p>
                    </w:tc>
                    <w:tc>
                      <w:tcPr>
                        <w:tcW w:w="5095" w:type="dxa"/>
                        <w:tcBorders>
                          <w:left w:val="single" w:sz="4" w:space="0" w:color="9662A1"/>
                          <w:right w:val="single" w:sz="18" w:space="0" w:color="8BA8BD"/>
                        </w:tcBorders>
                        <w:shd w:val="clear" w:color="auto" w:fill="F7E7D9"/>
                      </w:tcPr>
                      <w:p>
                        <w:pPr>
                          <w:pStyle w:val="TableParagraph"/>
                          <w:spacing w:line="235" w:lineRule="auto" w:before="111"/>
                          <w:ind w:left="80"/>
                          <w:rPr>
                            <w:sz w:val="20"/>
                          </w:rPr>
                        </w:pPr>
                        <w:r>
                          <w:rPr>
                            <w:w w:val="120"/>
                            <w:sz w:val="20"/>
                          </w:rPr>
                          <w:t>Memorandum and Articles of Association of the United Reformed Church Trust</w:t>
                        </w:r>
                      </w:p>
                      <w:p>
                        <w:pPr>
                          <w:pStyle w:val="TableParagraph"/>
                          <w:spacing w:line="242" w:lineRule="exact"/>
                          <w:ind w:left="80"/>
                          <w:rPr>
                            <w:sz w:val="20"/>
                          </w:rPr>
                        </w:pPr>
                        <w:r>
                          <w:rPr>
                            <w:w w:val="125"/>
                            <w:sz w:val="20"/>
                          </w:rPr>
                          <w:t>(appendices 4a and 4b)</w:t>
                        </w:r>
                      </w:p>
                    </w:tc>
                    <w:tc>
                      <w:tcPr>
                        <w:tcW w:w="1048" w:type="dxa"/>
                        <w:tcBorders>
                          <w:left w:val="single" w:sz="18" w:space="0" w:color="8BA8BD"/>
                          <w:right w:val="single" w:sz="24" w:space="0" w:color="8BA8BD"/>
                        </w:tcBorders>
                        <w:shd w:val="clear" w:color="auto" w:fill="F7E7D9"/>
                      </w:tcPr>
                      <w:p>
                        <w:pPr>
                          <w:pStyle w:val="TableParagraph"/>
                          <w:spacing w:before="8"/>
                          <w:rPr>
                            <w:rFonts w:ascii="Stone Sans II ITC Std X Bd"/>
                            <w:b/>
                            <w:sz w:val="25"/>
                          </w:rPr>
                        </w:pPr>
                      </w:p>
                      <w:p>
                        <w:pPr>
                          <w:pStyle w:val="TableParagraph"/>
                          <w:ind w:left="237" w:right="39"/>
                          <w:jc w:val="center"/>
                          <w:rPr>
                            <w:sz w:val="18"/>
                          </w:rPr>
                        </w:pPr>
                        <w:r>
                          <w:rPr>
                            <w:w w:val="115"/>
                            <w:sz w:val="18"/>
                          </w:rPr>
                          <w:t>262</w:t>
                        </w:r>
                      </w:p>
                    </w:tc>
                    <w:tc>
                      <w:tcPr>
                        <w:tcW w:w="2481" w:type="dxa"/>
                        <w:tcBorders>
                          <w:left w:val="single" w:sz="24" w:space="0" w:color="8BA8BD"/>
                          <w:right w:val="single" w:sz="4" w:space="0" w:color="8BA8BD"/>
                        </w:tcBorders>
                        <w:shd w:val="clear" w:color="auto" w:fill="F7E7D9"/>
                      </w:tcPr>
                      <w:p>
                        <w:pPr>
                          <w:pStyle w:val="TableParagraph"/>
                          <w:spacing w:before="9"/>
                          <w:rPr>
                            <w:rFonts w:ascii="Stone Sans II ITC Std X Bd"/>
                            <w:b/>
                            <w:sz w:val="25"/>
                          </w:rPr>
                        </w:pPr>
                      </w:p>
                      <w:p>
                        <w:pPr>
                          <w:pStyle w:val="TableParagraph"/>
                          <w:spacing w:before="1"/>
                          <w:ind w:left="80"/>
                          <w:rPr>
                            <w:sz w:val="20"/>
                          </w:rPr>
                        </w:pPr>
                        <w:r>
                          <w:rPr>
                            <w:w w:val="120"/>
                            <w:sz w:val="20"/>
                          </w:rPr>
                          <w:t>Mission Council</w:t>
                        </w:r>
                      </w:p>
                    </w:tc>
                  </w:tr>
                  <w:tr>
                    <w:trPr>
                      <w:trHeight w:val="613" w:hRule="atLeast"/>
                    </w:trPr>
                    <w:tc>
                      <w:tcPr>
                        <w:tcW w:w="755" w:type="dxa"/>
                        <w:vMerge w:val="restart"/>
                        <w:tcBorders>
                          <w:top w:val="nil"/>
                          <w:left w:val="single" w:sz="4" w:space="0" w:color="9662A1"/>
                          <w:bottom w:val="nil"/>
                          <w:right w:val="single" w:sz="4" w:space="0" w:color="9662A1"/>
                        </w:tcBorders>
                        <w:shd w:val="clear" w:color="auto" w:fill="CA4F1B"/>
                      </w:tcPr>
                      <w:p>
                        <w:pPr>
                          <w:pStyle w:val="TableParagraph"/>
                          <w:spacing w:before="205"/>
                          <w:ind w:left="238"/>
                          <w:rPr>
                            <w:rFonts w:ascii="Stone Sans II ITC Std X Bd"/>
                            <w:b/>
                            <w:sz w:val="20"/>
                          </w:rPr>
                        </w:pPr>
                        <w:r>
                          <w:rPr>
                            <w:rFonts w:ascii="Stone Sans II ITC Std X Bd"/>
                            <w:b/>
                            <w:color w:val="FFFFFF"/>
                            <w:sz w:val="20"/>
                          </w:rPr>
                          <w:t>32</w:t>
                        </w:r>
                      </w:p>
                      <w:p>
                        <w:pPr>
                          <w:pStyle w:val="TableParagraph"/>
                          <w:spacing w:before="3"/>
                          <w:rPr>
                            <w:rFonts w:ascii="Stone Sans II ITC Std X Bd"/>
                            <w:b/>
                            <w:sz w:val="17"/>
                          </w:rPr>
                        </w:pPr>
                      </w:p>
                      <w:p>
                        <w:pPr>
                          <w:pStyle w:val="TableParagraph"/>
                          <w:spacing w:line="268" w:lineRule="exact"/>
                          <w:ind w:left="238"/>
                          <w:rPr>
                            <w:rFonts w:ascii="Stone Sans II ITC Std X Bd"/>
                            <w:b/>
                            <w:sz w:val="20"/>
                          </w:rPr>
                        </w:pPr>
                        <w:r>
                          <w:rPr>
                            <w:rFonts w:ascii="Stone Sans II ITC Std X Bd"/>
                            <w:b/>
                            <w:color w:val="FFFFFF"/>
                            <w:sz w:val="20"/>
                          </w:rPr>
                          <w:t>33</w:t>
                        </w:r>
                      </w:p>
                    </w:tc>
                    <w:tc>
                      <w:tcPr>
                        <w:tcW w:w="5095" w:type="dxa"/>
                        <w:tcBorders>
                          <w:left w:val="single" w:sz="4" w:space="0" w:color="9662A1"/>
                          <w:right w:val="single" w:sz="18" w:space="0" w:color="8BA8BD"/>
                        </w:tcBorders>
                        <w:shd w:val="clear" w:color="auto" w:fill="FFFFFF"/>
                      </w:tcPr>
                      <w:p>
                        <w:pPr>
                          <w:pStyle w:val="TableParagraph"/>
                          <w:spacing w:before="108"/>
                          <w:ind w:left="80"/>
                          <w:rPr>
                            <w:sz w:val="20"/>
                          </w:rPr>
                        </w:pPr>
                        <w:r>
                          <w:rPr>
                            <w:w w:val="120"/>
                            <w:sz w:val="20"/>
                          </w:rPr>
                          <w:t>2012 Olympics and Queen’s Jubilee</w:t>
                        </w:r>
                      </w:p>
                    </w:tc>
                    <w:tc>
                      <w:tcPr>
                        <w:tcW w:w="1048" w:type="dxa"/>
                        <w:tcBorders>
                          <w:left w:val="single" w:sz="18" w:space="0" w:color="8BA8BD"/>
                          <w:right w:val="single" w:sz="24" w:space="0" w:color="8BA8BD"/>
                        </w:tcBorders>
                        <w:shd w:val="clear" w:color="auto" w:fill="FFFFFF"/>
                      </w:tcPr>
                      <w:p>
                        <w:pPr>
                          <w:pStyle w:val="TableParagraph"/>
                          <w:spacing w:before="10"/>
                          <w:rPr>
                            <w:rFonts w:ascii="Stone Sans II ITC Std X Bd"/>
                            <w:b/>
                            <w:sz w:val="16"/>
                          </w:rPr>
                        </w:pPr>
                      </w:p>
                      <w:p>
                        <w:pPr>
                          <w:pStyle w:val="TableParagraph"/>
                          <w:ind w:left="237" w:right="39"/>
                          <w:jc w:val="center"/>
                          <w:rPr>
                            <w:sz w:val="18"/>
                          </w:rPr>
                        </w:pPr>
                        <w:r>
                          <w:rPr>
                            <w:w w:val="110"/>
                            <w:sz w:val="18"/>
                          </w:rPr>
                          <w:t>113/263</w:t>
                        </w:r>
                      </w:p>
                    </w:tc>
                    <w:tc>
                      <w:tcPr>
                        <w:tcW w:w="2481" w:type="dxa"/>
                        <w:tcBorders>
                          <w:left w:val="single" w:sz="24" w:space="0" w:color="8BA8BD"/>
                          <w:right w:val="single" w:sz="4" w:space="0" w:color="8BA8BD"/>
                        </w:tcBorders>
                        <w:shd w:val="clear" w:color="auto" w:fill="FFFFFF"/>
                      </w:tcPr>
                      <w:p>
                        <w:pPr>
                          <w:pStyle w:val="TableParagraph"/>
                          <w:spacing w:line="235" w:lineRule="auto" w:before="111"/>
                          <w:ind w:left="80"/>
                          <w:rPr>
                            <w:sz w:val="20"/>
                          </w:rPr>
                        </w:pPr>
                        <w:r>
                          <w:rPr>
                            <w:w w:val="120"/>
                            <w:sz w:val="20"/>
                          </w:rPr>
                          <w:t>Communications and Editorial</w:t>
                        </w:r>
                      </w:p>
                    </w:tc>
                  </w:tr>
                  <w:tr>
                    <w:trPr>
                      <w:trHeight w:val="373" w:hRule="atLeast"/>
                    </w:trPr>
                    <w:tc>
                      <w:tcPr>
                        <w:tcW w:w="755" w:type="dxa"/>
                        <w:vMerge/>
                        <w:tcBorders>
                          <w:top w:val="nil"/>
                          <w:left w:val="single" w:sz="4" w:space="0" w:color="9662A1"/>
                          <w:bottom w:val="nil"/>
                          <w:right w:val="single" w:sz="4" w:space="0" w:color="9662A1"/>
                        </w:tcBorders>
                        <w:shd w:val="clear" w:color="auto" w:fill="CA4F1B"/>
                      </w:tcPr>
                      <w:p>
                        <w:pPr>
                          <w:rPr>
                            <w:sz w:val="2"/>
                            <w:szCs w:val="2"/>
                          </w:rPr>
                        </w:pPr>
                      </w:p>
                    </w:tc>
                    <w:tc>
                      <w:tcPr>
                        <w:tcW w:w="5095" w:type="dxa"/>
                        <w:tcBorders>
                          <w:left w:val="single" w:sz="4" w:space="0" w:color="9662A1"/>
                          <w:right w:val="single" w:sz="18" w:space="0" w:color="8BA8BD"/>
                        </w:tcBorders>
                        <w:shd w:val="clear" w:color="auto" w:fill="FFFFFF"/>
                      </w:tcPr>
                      <w:p>
                        <w:pPr>
                          <w:pStyle w:val="TableParagraph"/>
                          <w:spacing w:before="108"/>
                          <w:ind w:left="80"/>
                          <w:rPr>
                            <w:sz w:val="20"/>
                          </w:rPr>
                        </w:pPr>
                        <w:r>
                          <w:rPr>
                            <w:w w:val="120"/>
                            <w:sz w:val="20"/>
                          </w:rPr>
                          <w:t>Properties advice for local churches</w:t>
                        </w:r>
                      </w:p>
                    </w:tc>
                    <w:tc>
                      <w:tcPr>
                        <w:tcW w:w="1048" w:type="dxa"/>
                        <w:tcBorders>
                          <w:left w:val="single" w:sz="18" w:space="0" w:color="8BA8BD"/>
                          <w:right w:val="single" w:sz="24" w:space="0" w:color="8BA8BD"/>
                        </w:tcBorders>
                        <w:shd w:val="clear" w:color="auto" w:fill="FFFFFF"/>
                      </w:tcPr>
                      <w:p>
                        <w:pPr>
                          <w:pStyle w:val="TableParagraph"/>
                          <w:spacing w:before="106"/>
                          <w:ind w:left="237" w:right="39"/>
                          <w:jc w:val="center"/>
                          <w:rPr>
                            <w:sz w:val="18"/>
                          </w:rPr>
                        </w:pPr>
                        <w:r>
                          <w:rPr>
                            <w:w w:val="115"/>
                            <w:sz w:val="18"/>
                          </w:rPr>
                          <w:t>263</w:t>
                        </w:r>
                      </w:p>
                    </w:tc>
                    <w:tc>
                      <w:tcPr>
                        <w:tcW w:w="2481" w:type="dxa"/>
                        <w:tcBorders>
                          <w:left w:val="single" w:sz="24" w:space="0" w:color="8BA8BD"/>
                          <w:right w:val="single" w:sz="4" w:space="0" w:color="8BA8BD"/>
                        </w:tcBorders>
                        <w:shd w:val="clear" w:color="auto" w:fill="FFFFFF"/>
                      </w:tcPr>
                      <w:p>
                        <w:pPr>
                          <w:pStyle w:val="TableParagraph"/>
                          <w:spacing w:before="108"/>
                          <w:ind w:left="80"/>
                          <w:rPr>
                            <w:sz w:val="20"/>
                          </w:rPr>
                        </w:pPr>
                        <w:r>
                          <w:rPr>
                            <w:w w:val="120"/>
                            <w:sz w:val="20"/>
                          </w:rPr>
                          <w:t>East Midlands Synod</w:t>
                        </w:r>
                      </w:p>
                    </w:tc>
                  </w:tr>
                  <w:tr>
                    <w:trPr>
                      <w:trHeight w:val="373" w:hRule="atLeast"/>
                    </w:trPr>
                    <w:tc>
                      <w:tcPr>
                        <w:tcW w:w="755" w:type="dxa"/>
                        <w:tcBorders>
                          <w:top w:val="nil"/>
                          <w:left w:val="single" w:sz="4" w:space="0" w:color="9662A1"/>
                          <w:bottom w:val="nil"/>
                          <w:right w:val="single" w:sz="4" w:space="0" w:color="9662A1"/>
                        </w:tcBorders>
                        <w:shd w:val="clear" w:color="auto" w:fill="CA4F1B"/>
                      </w:tcPr>
                      <w:p>
                        <w:pPr>
                          <w:pStyle w:val="TableParagraph"/>
                          <w:spacing w:line="268" w:lineRule="exact" w:before="85"/>
                          <w:ind w:left="218" w:right="219"/>
                          <w:jc w:val="center"/>
                          <w:rPr>
                            <w:rFonts w:ascii="Stone Sans II ITC Std X Bd"/>
                            <w:b/>
                            <w:sz w:val="20"/>
                          </w:rPr>
                        </w:pPr>
                        <w:r>
                          <w:rPr>
                            <w:rFonts w:ascii="Stone Sans II ITC Std X Bd"/>
                            <w:b/>
                            <w:color w:val="FFFFFF"/>
                            <w:sz w:val="20"/>
                          </w:rPr>
                          <w:t>34</w:t>
                        </w:r>
                      </w:p>
                    </w:tc>
                    <w:tc>
                      <w:tcPr>
                        <w:tcW w:w="5095" w:type="dxa"/>
                        <w:tcBorders>
                          <w:left w:val="single" w:sz="4" w:space="0" w:color="9662A1"/>
                          <w:right w:val="single" w:sz="18" w:space="0" w:color="8BA8BD"/>
                        </w:tcBorders>
                        <w:shd w:val="clear" w:color="auto" w:fill="FFFFFF"/>
                      </w:tcPr>
                      <w:p>
                        <w:pPr>
                          <w:pStyle w:val="TableParagraph"/>
                          <w:spacing w:before="108"/>
                          <w:ind w:left="80"/>
                          <w:rPr>
                            <w:sz w:val="20"/>
                          </w:rPr>
                        </w:pPr>
                        <w:r>
                          <w:rPr>
                            <w:w w:val="120"/>
                            <w:sz w:val="20"/>
                          </w:rPr>
                          <w:t>Children in immigration detention centres</w:t>
                        </w:r>
                      </w:p>
                    </w:tc>
                    <w:tc>
                      <w:tcPr>
                        <w:tcW w:w="1048" w:type="dxa"/>
                        <w:tcBorders>
                          <w:left w:val="single" w:sz="18" w:space="0" w:color="8BA8BD"/>
                          <w:right w:val="single" w:sz="24" w:space="0" w:color="8BA8BD"/>
                        </w:tcBorders>
                        <w:shd w:val="clear" w:color="auto" w:fill="FFFFFF"/>
                      </w:tcPr>
                      <w:p>
                        <w:pPr>
                          <w:pStyle w:val="TableParagraph"/>
                          <w:spacing w:before="106"/>
                          <w:ind w:left="237" w:right="39"/>
                          <w:jc w:val="center"/>
                          <w:rPr>
                            <w:sz w:val="18"/>
                          </w:rPr>
                        </w:pPr>
                        <w:r>
                          <w:rPr>
                            <w:w w:val="115"/>
                            <w:sz w:val="18"/>
                          </w:rPr>
                          <w:t>264</w:t>
                        </w:r>
                      </w:p>
                    </w:tc>
                    <w:tc>
                      <w:tcPr>
                        <w:tcW w:w="2481" w:type="dxa"/>
                        <w:tcBorders>
                          <w:left w:val="single" w:sz="24" w:space="0" w:color="8BA8BD"/>
                          <w:right w:val="single" w:sz="4" w:space="0" w:color="8BA8BD"/>
                        </w:tcBorders>
                        <w:shd w:val="clear" w:color="auto" w:fill="FFFFFF"/>
                      </w:tcPr>
                      <w:p>
                        <w:pPr>
                          <w:pStyle w:val="TableParagraph"/>
                          <w:spacing w:before="108"/>
                          <w:ind w:left="80"/>
                          <w:rPr>
                            <w:sz w:val="20"/>
                          </w:rPr>
                        </w:pPr>
                        <w:r>
                          <w:rPr>
                            <w:w w:val="120"/>
                            <w:sz w:val="20"/>
                          </w:rPr>
                          <w:t>North Western Synod</w:t>
                        </w:r>
                      </w:p>
                    </w:tc>
                  </w:tr>
                  <w:tr>
                    <w:trPr>
                      <w:trHeight w:val="373" w:hRule="atLeast"/>
                    </w:trPr>
                    <w:tc>
                      <w:tcPr>
                        <w:tcW w:w="755" w:type="dxa"/>
                        <w:tcBorders>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7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1093" w:hRule="atLeast"/>
                    </w:trPr>
                    <w:tc>
                      <w:tcPr>
                        <w:tcW w:w="755" w:type="dxa"/>
                        <w:tcBorders>
                          <w:top w:val="single" w:sz="4" w:space="0" w:color="8BA8BD"/>
                          <w:left w:val="single" w:sz="4" w:space="0" w:color="9662A1"/>
                          <w:bottom w:val="single" w:sz="4" w:space="0" w:color="8BA8BD"/>
                          <w:right w:val="single" w:sz="4" w:space="0" w:color="9662A1"/>
                        </w:tcBorders>
                        <w:shd w:val="clear" w:color="auto" w:fill="F5E1D6"/>
                      </w:tcPr>
                      <w:p>
                        <w:pPr>
                          <w:pStyle w:val="TableParagraph"/>
                          <w:rPr>
                            <w:rFonts w:ascii="Times New Roman"/>
                            <w:sz w:val="22"/>
                          </w:rPr>
                        </w:pPr>
                      </w:p>
                    </w:tc>
                    <w:tc>
                      <w:tcPr>
                        <w:tcW w:w="5095" w:type="dxa"/>
                        <w:tcBorders>
                          <w:top w:val="single" w:sz="4" w:space="0" w:color="8BA8BD"/>
                          <w:left w:val="single" w:sz="4" w:space="0" w:color="9662A1"/>
                          <w:bottom w:val="single" w:sz="4" w:space="0" w:color="8BA8BD"/>
                          <w:right w:val="single" w:sz="18" w:space="0" w:color="8BA8BD"/>
                        </w:tcBorders>
                        <w:shd w:val="clear" w:color="auto" w:fill="FFFFFF"/>
                      </w:tcPr>
                      <w:p>
                        <w:pPr>
                          <w:pStyle w:val="TableParagraph"/>
                          <w:rPr>
                            <w:rFonts w:ascii="Times New Roman"/>
                            <w:sz w:val="22"/>
                          </w:rPr>
                        </w:pPr>
                      </w:p>
                    </w:tc>
                    <w:tc>
                      <w:tcPr>
                        <w:tcW w:w="1048" w:type="dxa"/>
                        <w:tcBorders>
                          <w:top w:val="single" w:sz="4" w:space="0" w:color="8BA8BD"/>
                          <w:left w:val="single" w:sz="18" w:space="0" w:color="8BA8BD"/>
                          <w:bottom w:val="single" w:sz="4" w:space="0" w:color="8BA8BD"/>
                          <w:right w:val="single" w:sz="24" w:space="0" w:color="8BA8BD"/>
                        </w:tcBorders>
                        <w:shd w:val="clear" w:color="auto" w:fill="FFFFFF"/>
                      </w:tcPr>
                      <w:p>
                        <w:pPr>
                          <w:pStyle w:val="TableParagraph"/>
                          <w:rPr>
                            <w:rFonts w:ascii="Times New Roman"/>
                            <w:sz w:val="22"/>
                          </w:rPr>
                        </w:pPr>
                      </w:p>
                    </w:tc>
                    <w:tc>
                      <w:tcPr>
                        <w:tcW w:w="2481" w:type="dxa"/>
                        <w:tcBorders>
                          <w:top w:val="single" w:sz="4" w:space="0" w:color="8BA8BD"/>
                          <w:left w:val="single" w:sz="24" w:space="0" w:color="8BA8BD"/>
                          <w:bottom w:val="single" w:sz="4" w:space="0" w:color="8BA8BD"/>
                          <w:right w:val="single" w:sz="4" w:space="0" w:color="8BA8BD"/>
                        </w:tcBorders>
                        <w:shd w:val="clear" w:color="auto" w:fill="FFFFFF"/>
                      </w:tcPr>
                      <w:p>
                        <w:pPr>
                          <w:pStyle w:val="TableParagraph"/>
                          <w:rPr>
                            <w:rFonts w:ascii="Times New Roman"/>
                            <w:sz w:val="22"/>
                          </w:rPr>
                        </w:pPr>
                      </w:p>
                    </w:tc>
                  </w:tr>
                  <w:tr>
                    <w:trPr>
                      <w:trHeight w:val="317" w:hRule="atLeast"/>
                    </w:trPr>
                    <w:tc>
                      <w:tcPr>
                        <w:tcW w:w="5850" w:type="dxa"/>
                        <w:gridSpan w:val="2"/>
                        <w:tcBorders>
                          <w:top w:val="nil"/>
                          <w:left w:val="nil"/>
                          <w:bottom w:val="nil"/>
                          <w:right w:val="nil"/>
                        </w:tcBorders>
                        <w:shd w:val="clear" w:color="auto" w:fill="8BA8BD"/>
                      </w:tcPr>
                      <w:p>
                        <w:pPr>
                          <w:pStyle w:val="TableParagraph"/>
                          <w:rPr>
                            <w:rFonts w:ascii="Times New Roman"/>
                            <w:sz w:val="22"/>
                          </w:rPr>
                        </w:pPr>
                      </w:p>
                    </w:tc>
                    <w:tc>
                      <w:tcPr>
                        <w:tcW w:w="1048" w:type="dxa"/>
                        <w:tcBorders>
                          <w:top w:val="nil"/>
                          <w:left w:val="nil"/>
                          <w:bottom w:val="nil"/>
                          <w:right w:val="nil"/>
                        </w:tcBorders>
                        <w:shd w:val="clear" w:color="auto" w:fill="8BA8BD"/>
                      </w:tcPr>
                      <w:p>
                        <w:pPr>
                          <w:pStyle w:val="TableParagraph"/>
                          <w:rPr>
                            <w:rFonts w:ascii="Times New Roman"/>
                            <w:sz w:val="22"/>
                          </w:rPr>
                        </w:pPr>
                      </w:p>
                    </w:tc>
                    <w:tc>
                      <w:tcPr>
                        <w:tcW w:w="2481" w:type="dxa"/>
                        <w:tcBorders>
                          <w:top w:val="nil"/>
                          <w:left w:val="nil"/>
                          <w:bottom w:val="nil"/>
                          <w:right w:val="nil"/>
                        </w:tcBorders>
                        <w:shd w:val="clear" w:color="auto" w:fill="8BA8BD"/>
                      </w:tcPr>
                      <w:p>
                        <w:pPr>
                          <w:pStyle w:val="TableParagraph"/>
                          <w:rPr>
                            <w:rFonts w:ascii="Times New Roman"/>
                            <w:sz w:val="22"/>
                          </w:rPr>
                        </w:pPr>
                      </w:p>
                    </w:tc>
                  </w:tr>
                </w:tbl>
                <w:p>
                  <w:pPr>
                    <w:pStyle w:val="BodyText"/>
                  </w:pPr>
                </w:p>
              </w:txbxContent>
            </v:textbox>
            <w10:wrap type="none"/>
          </v:shape>
        </w:pict>
      </w:r>
      <w:r>
        <w:rPr>
          <w:rFonts w:ascii="Stone Sans II ITC Std X Bd"/>
          <w:b/>
          <w:color w:val="FFFFFF"/>
          <w:w w:val="110"/>
          <w:sz w:val="36"/>
        </w:rPr>
        <w:t>List of Resolutions </w:t>
      </w:r>
      <w:r>
        <w:rPr>
          <w:rFonts w:ascii="Stone Sans II ITC Std Bk"/>
          <w:b/>
          <w:i/>
          <w:color w:val="FFFFFF"/>
          <w:w w:val="110"/>
          <w:sz w:val="16"/>
        </w:rPr>
        <w:t>...continued</w:t>
      </w: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rPr>
          <w:rFonts w:ascii="Stone Sans II ITC Std Bk"/>
          <w:b/>
          <w:i/>
          <w:sz w:val="44"/>
        </w:rPr>
      </w:pPr>
    </w:p>
    <w:p>
      <w:pPr>
        <w:pStyle w:val="BodyText"/>
        <w:spacing w:before="7"/>
        <w:rPr>
          <w:rFonts w:ascii="Stone Sans II ITC Std Bk"/>
          <w:b/>
          <w:i/>
          <w:sz w:val="56"/>
        </w:rPr>
      </w:pPr>
    </w:p>
    <w:p>
      <w:pPr>
        <w:tabs>
          <w:tab w:pos="10951" w:val="left" w:leader="none"/>
        </w:tabs>
        <w:spacing w:before="0"/>
        <w:ind w:left="500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3</w:t>
      </w:r>
    </w:p>
    <w:p>
      <w:pPr>
        <w:spacing w:after="0"/>
        <w:jc w:val="left"/>
        <w:rPr>
          <w:rFonts w:ascii="Stone Sans II ITC Std X Bd" w:hAnsi="Stone Sans II ITC Std X Bd"/>
          <w:sz w:val="24"/>
        </w:rPr>
        <w:sectPr>
          <w:headerReference w:type="default" r:id="rId9"/>
          <w:pgSz w:w="11910" w:h="16840"/>
          <w:pgMar w:header="0" w:footer="0" w:top="0" w:bottom="280" w:left="0" w:right="0"/>
        </w:sectPr>
      </w:pPr>
    </w:p>
    <w:p>
      <w:pPr>
        <w:pStyle w:val="BodyText"/>
        <w:ind w:left="240"/>
        <w:rPr>
          <w:rFonts w:ascii="Stone Sans II ITC Std X Bd"/>
        </w:rPr>
      </w:pPr>
      <w:r>
        <w:rPr/>
        <w:pict>
          <v:rect style="position:absolute;margin-left:0pt;margin-top:.000015pt;width:595.275pt;height:841.89pt;mso-position-horizontal-relative:page;mso-position-vertical-relative:page;z-index:-267735040" filled="true" fillcolor="#8ba8bd" stroked="false">
            <v:fill type="solid"/>
            <w10:wrap type="none"/>
          </v:rect>
        </w:pict>
      </w:r>
      <w:r>
        <w:rPr/>
        <w:pict>
          <v:rect style="position:absolute;margin-left:12.047pt;margin-top:30.473015pt;width:22.677pt;height:22.677pt;mso-position-horizontal-relative:page;mso-position-vertical-relative:page;z-index:-267734016" filled="true" fillcolor="#ffffff" stroked="false">
            <v:fill type="solid"/>
            <w10:wrap type="none"/>
          </v:rect>
        </w:pict>
      </w:r>
      <w:r>
        <w:rPr/>
        <w:pict>
          <v:rect style="position:absolute;margin-left:12.047pt;margin-top:61.654015pt;width:22.677pt;height:22.677pt;mso-position-horizontal-relative:page;mso-position-vertical-relative:page;z-index:-267732992" filled="true" fillcolor="#ffffff" stroked="false">
            <v:fill opacity="32768f" type="solid"/>
            <w10:wrap type="none"/>
          </v:rect>
        </w:pict>
      </w:r>
      <w:r>
        <w:rPr/>
        <w:drawing>
          <wp:anchor distT="0" distB="0" distL="0" distR="0" allowOverlap="1" layoutInCell="1" locked="0" behindDoc="1" simplePos="0" relativeHeight="235584512">
            <wp:simplePos x="0" y="0"/>
            <wp:positionH relativeFrom="page">
              <wp:posOffset>593999</wp:posOffset>
            </wp:positionH>
            <wp:positionV relativeFrom="page">
              <wp:posOffset>675003</wp:posOffset>
            </wp:positionV>
            <wp:extent cx="2730283" cy="1202436"/>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11" cstate="print"/>
                    <a:stretch>
                      <a:fillRect/>
                    </a:stretch>
                  </pic:blipFill>
                  <pic:spPr>
                    <a:xfrm>
                      <a:off x="0" y="0"/>
                      <a:ext cx="2730283" cy="1202436"/>
                    </a:xfrm>
                    <a:prstGeom prst="rect">
                      <a:avLst/>
                    </a:prstGeom>
                  </pic:spPr>
                </pic:pic>
              </a:graphicData>
            </a:graphic>
          </wp:anchor>
        </w:drawing>
      </w:r>
      <w:r>
        <w:rPr>
          <w:rFonts w:ascii="Stone Sans II ITC Std X Bd"/>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Fonts w:ascii="Stone Sans II ITC Std X Bd"/>
        </w:rPr>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10"/>
        <w:rPr>
          <w:rFonts w:ascii="Stone Sans II ITC Std X Bd"/>
          <w:b/>
          <w:sz w:val="17"/>
        </w:rPr>
      </w:pPr>
    </w:p>
    <w:p>
      <w:pPr>
        <w:spacing w:before="97"/>
        <w:ind w:left="793" w:right="0" w:firstLine="0"/>
        <w:jc w:val="left"/>
        <w:rPr>
          <w:rFonts w:ascii="Stone Sans II ITC Std X Bd"/>
          <w:b/>
          <w:sz w:val="24"/>
        </w:rPr>
      </w:pPr>
      <w:r>
        <w:rPr/>
        <w:pict>
          <v:group style="position:absolute;margin-left:.0pt;margin-top:-162.332108pt;width:595.3pt;height:158.75pt;mso-position-horizontal-relative:page;mso-position-vertical-relative:paragraph;z-index:-267730944" coordorigin="0,-3247" coordsize="11906,3175">
            <v:shape style="position:absolute;left:0;top:-3216;width:11906;height:3128" type="#_x0000_t75" stroked="false">
              <v:imagedata r:id="rId12" o:title=""/>
            </v:shape>
            <v:shape style="position:absolute;left:0;top:-3227;width:11906;height:3135" coordorigin="0,-3227" coordsize="11906,3135" path="m0,-3227l11906,-3227m0,-92l11906,-92e" filled="false" stroked="true" strokeweight="2pt" strokecolor="#ffffff">
              <v:path arrowok="t"/>
              <v:stroke dashstyle="solid"/>
            </v:shape>
            <w10:wrap type="none"/>
          </v:group>
        </w:pict>
      </w:r>
      <w:r>
        <w:rPr>
          <w:rFonts w:ascii="Stone Sans II ITC Std X Bd"/>
          <w:b/>
          <w:color w:val="FFFFFF"/>
          <w:sz w:val="24"/>
        </w:rPr>
        <w:t>4</w:t>
      </w:r>
    </w:p>
    <w:p>
      <w:pPr>
        <w:spacing w:after="0"/>
        <w:jc w:val="left"/>
        <w:rPr>
          <w:rFonts w:ascii="Stone Sans II ITC Std X Bd"/>
          <w:sz w:val="24"/>
        </w:rPr>
        <w:sectPr>
          <w:headerReference w:type="even" r:id="rId10"/>
          <w:pgSz w:w="11910" w:h="16840"/>
          <w:pgMar w:header="0" w:footer="0" w:top="0" w:bottom="280" w:left="0" w:right="0"/>
        </w:sectPr>
      </w:pPr>
    </w:p>
    <w:p>
      <w:pPr>
        <w:pStyle w:val="BodyText"/>
        <w:spacing w:line="235" w:lineRule="auto" w:before="142"/>
        <w:ind w:left="2834" w:right="2573"/>
      </w:pPr>
      <w:r>
        <w:rPr/>
        <w:pict>
          <v:rect style="position:absolute;margin-left:0pt;margin-top:.000015pt;width:595.275pt;height:841.89pt;mso-position-horizontal-relative:page;mso-position-vertical-relative:page;z-index:-267729920" filled="true" fillcolor="#8ba8bd" stroked="false">
            <v:fill type="solid"/>
            <w10:wrap type="none"/>
          </v:rect>
        </w:pict>
      </w:r>
      <w:r>
        <w:rPr/>
        <w:pict>
          <v:group style="position:absolute;margin-left:0pt;margin-top:.000015pt;width:595.3pt;height:790.9pt;mso-position-horizontal-relative:page;mso-position-vertical-relative:page;z-index:-267728896" coordorigin="0,0" coordsize="11906,15818">
            <v:rect style="position:absolute;left:1530;top:0;width:10375;height:15789" filled="true" fillcolor="#ffffff" stroked="false">
              <v:fill type="solid"/>
            </v:rect>
            <v:rect style="position:absolute;left:11168;top:0;width:454;height:471" filled="true" fillcolor="#ca4f1b" stroked="false">
              <v:fill type="solid"/>
            </v:rect>
            <v:rect style="position:absolute;left:11168;top:626;width:454;height:454" filled="true" fillcolor="#e3ac83" stroked="false">
              <v:fill type="solid"/>
            </v:rect>
            <v:rect style="position:absolute;left:11168;top:1249;width:454;height:454" filled="true" fillcolor="#efceb4" stroked="false">
              <v:fill opacity="32768f" type="solid"/>
            </v:rect>
            <v:shape style="position:absolute;left:8269;top:4605;width:367;height:286" type="#_x0000_t75" stroked="false">
              <v:imagedata r:id="rId14" o:title=""/>
            </v:shape>
            <v:shape style="position:absolute;left:3874;top:12683;width:2019;height:3121" type="#_x0000_t75" stroked="false">
              <v:imagedata r:id="rId15" o:title=""/>
            </v:shape>
            <v:shape style="position:absolute;left:5612;top:12681;width:6293;height:3108" type="#_x0000_t75" stroked="false">
              <v:imagedata r:id="rId16" o:title=""/>
            </v:shape>
            <v:shape style="position:absolute;left:1516;top:11170;width:1540;height:1513" coordorigin="1517,11170" coordsize="1540,1513" path="m1517,11170l1517,12683,3053,12683,2977,12681,2902,12676,2828,12667,2755,12654,2684,12638,2613,12619,2544,12597,2477,12571,2411,12543,2347,12511,2284,12477,2223,12440,2165,12400,2108,12358,2053,12313,2000,12265,1950,12216,1902,12164,1856,12110,1813,12053,1772,11995,1734,11935,1699,11873,1667,11809,1637,11744,1611,11677,1587,11608,1567,11538,1550,11467,1537,11394,1526,11321,1520,11246,1517,11170xm3056,12683l3055,12683,3054,12683,3056,12683,3056,12683xe" filled="true" fillcolor="#8ba8bd" stroked="false">
              <v:path arrowok="t"/>
              <v:fill type="solid"/>
            </v:shape>
            <v:shape style="position:absolute;left:0;top:12675;width:4173;height:3120" type="#_x0000_t75" stroked="false">
              <v:imagedata r:id="rId17" o:title=""/>
            </v:shape>
            <v:shape style="position:absolute;left:0;top:12662;width:11906;height:3135" coordorigin="0,12663" coordsize="11906,3135" path="m0,12663l11906,12663m0,15797l11906,15797e" filled="false" stroked="true" strokeweight="2pt" strokecolor="#ffffff">
              <v:path arrowok="t"/>
              <v:stroke dashstyle="solid"/>
            </v:shape>
            <w10:wrap type="none"/>
          </v:group>
        </w:pict>
      </w:r>
      <w:r>
        <w:rPr/>
        <w:pict>
          <v:shape style="position:absolute;margin-left:497.579895pt;margin-top:3.721456pt;width:47.4pt;height:255.1pt;mso-position-horizontal-relative:page;mso-position-vertical-relative:paragraph;z-index:-26772787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8"/>
                      <w:w w:val="110"/>
                      <w:sz w:val="72"/>
                    </w:rPr>
                    <w:t>Introduction</w:t>
                  </w:r>
                </w:p>
              </w:txbxContent>
            </v:textbox>
            <w10:wrap type="none"/>
          </v:shape>
        </w:pict>
      </w:r>
      <w:r>
        <w:rPr>
          <w:w w:val="120"/>
        </w:rPr>
        <w:t>This book of reports sets the scene for the 2010 General Assembly of the United Reformed Church, to be  held  in  Loughborough from 2 to 5 July.</w:t>
      </w:r>
    </w:p>
    <w:p>
      <w:pPr>
        <w:pStyle w:val="BodyText"/>
        <w:spacing w:before="10"/>
        <w:rPr>
          <w:sz w:val="19"/>
        </w:rPr>
      </w:pPr>
    </w:p>
    <w:p>
      <w:pPr>
        <w:pStyle w:val="BodyText"/>
        <w:spacing w:line="235" w:lineRule="auto"/>
        <w:ind w:left="2834" w:right="2573"/>
      </w:pPr>
      <w:r>
        <w:rPr>
          <w:w w:val="120"/>
        </w:rPr>
        <w:t>It gives a foretaste of the many important debates members will engage in during our time at Assembly, and lays out some of the work and thinking that has taken place in the past two years in committees, synods and local churches.</w:t>
      </w:r>
    </w:p>
    <w:p>
      <w:pPr>
        <w:pStyle w:val="BodyText"/>
        <w:spacing w:before="11"/>
        <w:rPr>
          <w:sz w:val="19"/>
        </w:rPr>
      </w:pPr>
    </w:p>
    <w:p>
      <w:pPr>
        <w:pStyle w:val="BodyText"/>
        <w:spacing w:line="235" w:lineRule="auto"/>
        <w:ind w:left="2834" w:right="2903"/>
        <w:jc w:val="both"/>
      </w:pPr>
      <w:r>
        <w:rPr>
          <w:w w:val="120"/>
        </w:rPr>
        <w:t>The title ‘book of reports</w:t>
      </w:r>
      <w:r>
        <w:rPr>
          <w:rFonts w:ascii="Times New Roman" w:hAnsi="Times New Roman"/>
          <w:w w:val="120"/>
        </w:rPr>
        <w:t>’ </w:t>
      </w:r>
      <w:r>
        <w:rPr>
          <w:w w:val="120"/>
        </w:rPr>
        <w:t>scarcely does the material justice and I hope you will feel the excitement of a Church with a new</w:t>
      </w:r>
    </w:p>
    <w:p>
      <w:pPr>
        <w:pStyle w:val="BodyText"/>
        <w:spacing w:line="194" w:lineRule="auto" w:before="34"/>
        <w:ind w:left="2834" w:right="2692"/>
        <w:jc w:val="both"/>
      </w:pPr>
      <w:r>
        <w:rPr>
          <w:w w:val="120"/>
        </w:rPr>
        <w:t>enthusiasm for its work in God’s world. </w:t>
      </w:r>
      <w:r>
        <w:rPr>
          <w:i/>
          <w:w w:val="120"/>
        </w:rPr>
        <w:t>vision2020 </w:t>
      </w:r>
      <w:r>
        <w:rPr>
          <w:w w:val="120"/>
        </w:rPr>
        <w:t>sets the scene for</w:t>
      </w:r>
      <w:r>
        <w:rPr>
          <w:spacing w:val="-29"/>
          <w:w w:val="120"/>
        </w:rPr>
        <w:t> </w:t>
      </w:r>
      <w:r>
        <w:rPr>
          <w:w w:val="120"/>
        </w:rPr>
        <w:t>our</w:t>
      </w:r>
      <w:r>
        <w:rPr>
          <w:spacing w:val="-28"/>
          <w:w w:val="120"/>
        </w:rPr>
        <w:t> </w:t>
      </w:r>
      <w:r>
        <w:rPr>
          <w:w w:val="120"/>
        </w:rPr>
        <w:t>deliberations</w:t>
      </w:r>
      <w:r>
        <w:rPr>
          <w:spacing w:val="-28"/>
          <w:w w:val="120"/>
        </w:rPr>
        <w:t> </w:t>
      </w:r>
      <w:r>
        <w:rPr>
          <w:w w:val="120"/>
        </w:rPr>
        <w:t>and</w:t>
      </w:r>
      <w:r>
        <w:rPr>
          <w:spacing w:val="-28"/>
          <w:w w:val="120"/>
        </w:rPr>
        <w:t> </w:t>
      </w:r>
      <w:r>
        <w:rPr>
          <w:w w:val="120"/>
        </w:rPr>
        <w:t>our</w:t>
      </w:r>
      <w:r>
        <w:rPr>
          <w:spacing w:val="-28"/>
          <w:w w:val="120"/>
        </w:rPr>
        <w:t> </w:t>
      </w:r>
      <w:r>
        <w:rPr>
          <w:w w:val="120"/>
        </w:rPr>
        <w:t>plans</w:t>
      </w:r>
      <w:r>
        <w:rPr>
          <w:spacing w:val="-28"/>
          <w:w w:val="120"/>
        </w:rPr>
        <w:t> </w:t>
      </w:r>
      <w:r>
        <w:rPr>
          <w:w w:val="120"/>
        </w:rPr>
        <w:t>for</w:t>
      </w:r>
      <w:r>
        <w:rPr>
          <w:spacing w:val="-29"/>
          <w:w w:val="120"/>
        </w:rPr>
        <w:t> </w:t>
      </w:r>
      <w:r>
        <w:rPr>
          <w:w w:val="120"/>
        </w:rPr>
        <w:t>the</w:t>
      </w:r>
      <w:r>
        <w:rPr>
          <w:spacing w:val="-28"/>
          <w:w w:val="120"/>
        </w:rPr>
        <w:t> </w:t>
      </w:r>
      <w:r>
        <w:rPr>
          <w:w w:val="120"/>
        </w:rPr>
        <w:t>future.</w:t>
      </w:r>
      <w:r>
        <w:rPr>
          <w:spacing w:val="-27"/>
          <w:w w:val="120"/>
        </w:rPr>
        <w:t> </w:t>
      </w:r>
      <w:r>
        <w:rPr>
          <w:rFonts w:ascii="Arial Rounded MT Bold" w:hAnsi="Arial Rounded MT Bold"/>
          <w:sz w:val="21"/>
        </w:rPr>
        <w:t>Vision4</w:t>
      </w:r>
      <w:r>
        <w:rPr>
          <w:rFonts w:ascii="Bradley Hand ITC" w:hAnsi="Bradley Hand ITC"/>
          <w:color w:val="C20D19"/>
          <w:sz w:val="28"/>
        </w:rPr>
        <w:t>Life</w:t>
      </w:r>
      <w:r>
        <w:rPr/>
        <w:t>,</w:t>
      </w:r>
      <w:r>
        <w:rPr>
          <w:spacing w:val="-20"/>
        </w:rPr>
        <w:t> </w:t>
      </w:r>
      <w:r>
        <w:rPr>
          <w:w w:val="120"/>
        </w:rPr>
        <w:t>now in its second </w:t>
      </w:r>
      <w:r>
        <w:rPr>
          <w:spacing w:val="-4"/>
          <w:w w:val="120"/>
        </w:rPr>
        <w:t>year, </w:t>
      </w:r>
      <w:r>
        <w:rPr>
          <w:w w:val="120"/>
        </w:rPr>
        <w:t>has begun the renewal which will enable us</w:t>
      </w:r>
      <w:r>
        <w:rPr>
          <w:spacing w:val="9"/>
          <w:w w:val="120"/>
        </w:rPr>
        <w:t> </w:t>
      </w:r>
      <w:r>
        <w:rPr>
          <w:w w:val="120"/>
        </w:rPr>
        <w:t>to</w:t>
      </w:r>
    </w:p>
    <w:p>
      <w:pPr>
        <w:pStyle w:val="BodyText"/>
        <w:spacing w:before="5"/>
        <w:ind w:left="2834"/>
        <w:jc w:val="both"/>
      </w:pPr>
      <w:r>
        <w:rPr>
          <w:w w:val="120"/>
        </w:rPr>
        <w:t>reach out to people with a new confidence.</w:t>
      </w:r>
    </w:p>
    <w:p>
      <w:pPr>
        <w:pStyle w:val="BodyText"/>
        <w:spacing w:before="8"/>
        <w:rPr>
          <w:sz w:val="19"/>
        </w:rPr>
      </w:pPr>
    </w:p>
    <w:p>
      <w:pPr>
        <w:pStyle w:val="BodyText"/>
        <w:spacing w:line="235" w:lineRule="auto"/>
        <w:ind w:left="2834" w:right="2952"/>
        <w:jc w:val="both"/>
      </w:pPr>
      <w:r>
        <w:rPr>
          <w:w w:val="120"/>
        </w:rPr>
        <w:t>In the presentation of the Congregational Community awards we will again celebrate a wide range of innovative community projects that our church has instigated and developed.</w:t>
      </w:r>
    </w:p>
    <w:p>
      <w:pPr>
        <w:pStyle w:val="BodyText"/>
        <w:spacing w:before="10"/>
        <w:rPr>
          <w:sz w:val="19"/>
        </w:rPr>
      </w:pPr>
    </w:p>
    <w:p>
      <w:pPr>
        <w:pStyle w:val="BodyText"/>
        <w:spacing w:line="235" w:lineRule="auto"/>
        <w:ind w:left="2834" w:right="2573"/>
      </w:pPr>
      <w:r>
        <w:rPr>
          <w:w w:val="120"/>
        </w:rPr>
        <w:t>We will also enjoy the opportunity of sharing our thinking with members of the children’s assembly and look forward to hearing their views as, together, we reflect the broad church that is the United Reformed Church.</w:t>
      </w:r>
    </w:p>
    <w:p>
      <w:pPr>
        <w:pStyle w:val="BodyText"/>
        <w:spacing w:before="11"/>
        <w:rPr>
          <w:sz w:val="19"/>
        </w:rPr>
      </w:pPr>
    </w:p>
    <w:p>
      <w:pPr>
        <w:pStyle w:val="BodyText"/>
        <w:spacing w:line="235" w:lineRule="auto"/>
        <w:ind w:left="2834" w:right="2735"/>
      </w:pPr>
      <w:r>
        <w:rPr>
          <w:w w:val="120"/>
        </w:rPr>
        <w:t>We induct two women as Moderators: Mrs Val Morrison and the Revd Kirsty Thorpe who will serve until 2012.</w:t>
      </w:r>
    </w:p>
    <w:p>
      <w:pPr>
        <w:pStyle w:val="BodyText"/>
        <w:spacing w:before="9"/>
        <w:rPr>
          <w:sz w:val="19"/>
        </w:rPr>
      </w:pPr>
    </w:p>
    <w:p>
      <w:pPr>
        <w:pStyle w:val="BodyText"/>
        <w:spacing w:line="235" w:lineRule="auto" w:before="1"/>
        <w:ind w:left="2834" w:right="2735"/>
      </w:pPr>
      <w:r>
        <w:rPr>
          <w:w w:val="120"/>
        </w:rPr>
        <w:t>If you are coming to Loughborough, travel safely. We look forward to welcoming you. If you are not, please support our deliberations in prayer.</w:t>
      </w:r>
    </w:p>
    <w:p>
      <w:pPr>
        <w:pStyle w:val="BodyText"/>
        <w:spacing w:before="6"/>
        <w:rPr>
          <w:sz w:val="19"/>
        </w:rPr>
      </w:pPr>
    </w:p>
    <w:p>
      <w:pPr>
        <w:pStyle w:val="BodyText"/>
        <w:ind w:left="2834"/>
        <w:jc w:val="both"/>
      </w:pPr>
      <w:r>
        <w:rPr>
          <w:w w:val="120"/>
        </w:rPr>
        <w:t>May God bless our General Assembly.</w:t>
      </w:r>
    </w:p>
    <w:p>
      <w:pPr>
        <w:pStyle w:val="BodyText"/>
        <w:rPr>
          <w:sz w:val="24"/>
        </w:rPr>
      </w:pPr>
    </w:p>
    <w:p>
      <w:pPr>
        <w:pStyle w:val="BodyText"/>
        <w:spacing w:before="7"/>
        <w:rPr>
          <w:sz w:val="34"/>
        </w:rPr>
      </w:pPr>
    </w:p>
    <w:p>
      <w:pPr>
        <w:spacing w:before="0"/>
        <w:ind w:left="2834" w:right="0" w:firstLine="0"/>
        <w:jc w:val="both"/>
        <w:rPr>
          <w:sz w:val="18"/>
        </w:rPr>
      </w:pPr>
      <w:r>
        <w:rPr>
          <w:color w:val="8BA8BD"/>
          <w:w w:val="110"/>
          <w:sz w:val="18"/>
        </w:rPr>
        <w:t>Martin Hazell</w:t>
      </w:r>
    </w:p>
    <w:p>
      <w:pPr>
        <w:spacing w:before="1"/>
        <w:ind w:left="2834" w:right="6670" w:firstLine="0"/>
        <w:jc w:val="left"/>
        <w:rPr>
          <w:sz w:val="18"/>
        </w:rPr>
      </w:pPr>
      <w:r>
        <w:rPr>
          <w:color w:val="8BA8BD"/>
          <w:w w:val="110"/>
          <w:sz w:val="18"/>
        </w:rPr>
        <w:t>Director of Communications 18</w:t>
      </w:r>
      <w:r>
        <w:rPr>
          <w:color w:val="8BA8BD"/>
          <w:w w:val="110"/>
          <w:position w:val="6"/>
          <w:sz w:val="10"/>
        </w:rPr>
        <w:t>th </w:t>
      </w:r>
      <w:r>
        <w:rPr>
          <w:color w:val="8BA8BD"/>
          <w:w w:val="110"/>
          <w:sz w:val="18"/>
        </w:rPr>
        <w:t>May 2010</w:t>
      </w:r>
    </w:p>
    <w:p>
      <w:pPr>
        <w:pStyle w:val="BodyText"/>
      </w:pPr>
    </w:p>
    <w:p>
      <w:pPr>
        <w:pStyle w:val="BodyText"/>
      </w:pPr>
    </w:p>
    <w:p>
      <w:pPr>
        <w:pStyle w:val="BodyText"/>
      </w:pPr>
    </w:p>
    <w:p>
      <w:pPr>
        <w:pStyle w:val="BodyText"/>
      </w:pPr>
    </w:p>
    <w:p>
      <w:pPr>
        <w:spacing w:before="238"/>
        <w:ind w:left="2810" w:right="0" w:firstLine="0"/>
        <w:jc w:val="left"/>
        <w:rPr>
          <w:sz w:val="25"/>
        </w:rPr>
      </w:pPr>
      <w:r>
        <w:rPr>
          <w:color w:val="8BA8BD"/>
          <w:w w:val="125"/>
          <w:sz w:val="25"/>
        </w:rPr>
        <w:t>United Reformed Church General Assembly, Loughborough 2010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259"/>
        <w:ind w:left="0" w:right="791" w:firstLine="0"/>
        <w:jc w:val="right"/>
        <w:rPr>
          <w:rFonts w:ascii="Stone Sans II ITC Std X Bd"/>
          <w:b/>
          <w:sz w:val="24"/>
        </w:rPr>
      </w:pPr>
      <w:r>
        <w:rPr>
          <w:rFonts w:ascii="Stone Sans II ITC Std X Bd"/>
          <w:b/>
          <w:color w:val="FFFFFF"/>
          <w:sz w:val="24"/>
        </w:rPr>
        <w:t>5</w:t>
      </w:r>
    </w:p>
    <w:p>
      <w:pPr>
        <w:spacing w:after="0"/>
        <w:jc w:val="right"/>
        <w:rPr>
          <w:rFonts w:ascii="Stone Sans II ITC Std X Bd"/>
          <w:sz w:val="24"/>
        </w:rPr>
        <w:sectPr>
          <w:headerReference w:type="default" r:id="rId13"/>
          <w:pgSz w:w="11910" w:h="16840"/>
          <w:pgMar w:header="0" w:footer="0" w:top="1580" w:bottom="280" w:left="0" w:right="0"/>
        </w:sectPr>
      </w:pPr>
    </w:p>
    <w:p>
      <w:pPr>
        <w:pStyle w:val="BodyText"/>
        <w:ind w:left="240"/>
        <w:rPr>
          <w:rFonts w:ascii="Stone Sans II ITC Std X Bd"/>
        </w:rPr>
      </w:pPr>
      <w:r>
        <w:rPr/>
        <w:pict>
          <v:rect style="position:absolute;margin-left:12.047pt;margin-top:30.472pt;width:22.677pt;height:22.677pt;mso-position-horizontal-relative:page;mso-position-vertical-relative:paragraph;z-index:-251618304;mso-wrap-distance-left:0;mso-wrap-distance-right:0" filled="true" fillcolor="#ffffff" stroked="false">
            <v:fill type="solid"/>
            <w10:wrap type="topAndBottom"/>
          </v:rect>
        </w:pict>
      </w:r>
      <w:r>
        <w:rPr/>
        <w:pict>
          <v:rect style="position:absolute;margin-left:12.047pt;margin-top:61.653pt;width:22.677pt;height:22.677pt;mso-position-horizontal-relative:page;mso-position-vertical-relative:paragraph;z-index:-251617280;mso-wrap-distance-left:0;mso-wrap-distance-right:0" filled="true" fillcolor="#ffffff" stroked="false">
            <v:fill opacity="32768f" type="solid"/>
            <w10:wrap type="topAndBottom"/>
          </v:rect>
        </w:pict>
      </w:r>
      <w:r>
        <w:rPr/>
        <w:pict>
          <v:rect style="position:absolute;margin-left:0pt;margin-top:.000015pt;width:595.275pt;height:841.89pt;mso-position-horizontal-relative:page;mso-position-vertical-relative:page;z-index:-267719680" filled="true" fillcolor="#eab817" stroked="false">
            <v:fill type="solid"/>
            <w10:wrap type="none"/>
          </v:rect>
        </w:pict>
      </w:r>
      <w:r>
        <w:rPr/>
        <w:pict>
          <v:shape style="position:absolute;margin-left:147.717804pt;margin-top:628.712585pt;width:34.85pt;height:39.15pt;mso-position-horizontal-relative:page;mso-position-vertical-relative:page;z-index:-267718656" coordorigin="2954,12574" coordsize="697,783" path="m3061,12574l2954,12574,3256,13357,3358,13357,3394,13261,3306,13261,3061,12574xm3651,12574l3552,12574,3309,13261,3394,13261,3651,12574xe" filled="true" fillcolor="#c73e1c" stroked="false">
            <v:path arrowok="t"/>
            <v:fill type="solid"/>
            <w10:wrap type="none"/>
          </v:shape>
        </w:pict>
      </w:r>
      <w:r>
        <w:rPr/>
        <w:pict>
          <v:line style="position:absolute;mso-position-horizontal-relative:page;mso-position-vertical-relative:page;z-index:-267717632" from="189.695999pt,628.713013pt" to="189.695999pt,667.843013pt" stroked="true" strokeweight="4.778pt" strokecolor="#c73e1c">
            <v:stroke dashstyle="solid"/>
            <w10:wrap type="none"/>
          </v:line>
        </w:pict>
      </w:r>
      <w:r>
        <w:rPr/>
        <w:pict>
          <v:shape style="position:absolute;margin-left:199.064301pt;margin-top:627.573730pt;width:31.8pt;height:41.45pt;mso-position-horizontal-relative:page;mso-position-vertical-relative:page;z-index:-267716608" coordorigin="3981,12551" coordsize="636,829" path="m4077,13104l3981,13104,3994,13179,4020,13242,4057,13292,4105,13331,4162,13358,4229,13374,4303,13380,4377,13374,4449,13356,4514,13326,4546,13299,4307,13299,4235,13291,4173,13267,4125,13228,4091,13173,4077,13104xm4303,12551l4233,12557,4165,12573,4104,12602,4054,12644,4021,12700,4009,12771,4019,12841,4050,12893,4096,12931,4157,12959,4227,12981,4350,13008,4413,13026,4468,13053,4507,13093,4521,13151,4500,13220,4448,13266,4379,13291,4307,13299,4546,13299,4568,13281,4604,13221,4617,13145,4604,13071,4570,13014,4520,12972,4459,12943,4394,12928,4266,12899,4214,12883,4161,12858,4120,12821,4104,12767,4121,12703,4165,12661,4224,12639,4289,12632,4519,12632,4502,12614,4445,12579,4378,12558,4303,12551xm4519,12632l4289,12632,4367,12642,4431,12673,4475,12727,4494,12803,4590,12803,4577,12726,4547,12662,4519,12632xe" filled="true" fillcolor="#c73e1c" stroked="false">
            <v:path arrowok="t"/>
            <v:fill type="solid"/>
            <w10:wrap type="none"/>
          </v:shape>
        </w:pict>
      </w:r>
      <w:r>
        <w:rPr/>
        <w:pict>
          <v:line style="position:absolute;mso-position-horizontal-relative:page;mso-position-vertical-relative:page;z-index:-267715584" from="240.207001pt,628.713013pt" to="240.207001pt,667.843013pt" stroked="true" strokeweight="4.778pt" strokecolor="#c73e1c">
            <v:stroke dashstyle="solid"/>
            <w10:wrap type="none"/>
          </v:line>
        </w:pict>
      </w:r>
      <w:r>
        <w:rPr/>
        <w:pict>
          <v:shape style="position:absolute;margin-left:249.805313pt;margin-top:627.573730pt;width:37.050pt;height:41.45pt;mso-position-horizontal-relative:page;mso-position-vertical-relative:page;z-index:-267714560" coordorigin="4996,12551" coordsize="741,829" path="m5366,12551l5290,12558,5223,12578,5164,12609,5113,12650,5072,12700,5039,12758,5015,12823,5001,12892,4996,12965,5001,13039,5015,13108,5039,13173,5072,13231,5113,13281,5164,13322,5223,13353,5290,13373,5366,13380,5442,13373,5510,13353,5569,13322,5597,13299,5366,13299,5293,13290,5231,13262,5181,13220,5142,13167,5114,13105,5097,13037,5092,12965,5097,12894,5114,12826,5142,12764,5181,12711,5231,12669,5293,12642,5366,12632,5597,12632,5569,12609,5510,12578,5442,12558,5366,12551xm5597,12632l5366,12632,5439,12642,5501,12669,5551,12711,5590,12764,5618,12826,5635,12894,5641,12965,5635,13037,5618,13105,5590,13167,5551,13220,5501,13262,5439,13290,5366,13299,5597,13299,5619,13281,5661,13231,5694,13173,5717,13108,5731,13039,5736,12965,5731,12892,5717,12823,5694,12758,5661,12700,5619,12650,5597,12632xe" filled="true" fillcolor="#c73e1c" stroked="false">
            <v:path arrowok="t"/>
            <v:fill type="solid"/>
            <w10:wrap type="none"/>
          </v:shape>
        </w:pict>
      </w:r>
      <w:r>
        <w:rPr/>
        <w:pict>
          <v:shape style="position:absolute;margin-left:293.868317pt;margin-top:627.573608pt;width:31.8pt;height:40.3pt;mso-position-horizontal-relative:page;mso-position-vertical-relative:page;z-index:-267713536" coordorigin="5877,12551" coordsize="636,806" path="m5973,12574l5877,12574,5877,13357,5973,13357,5973,12900,5982,12827,6004,12763,6040,12709,5973,12709,5973,12574xm6449,12632l6219,12632,6299,12643,6355,12676,6392,12727,6412,12792,6417,12868,6417,13357,6513,13357,6513,12853,6509,12778,6495,12712,6469,12656,6449,12632xm6226,12551l6145,12563,6073,12595,6014,12645,5976,12709,6040,12709,6040,12709,6088,12667,6148,12641,6219,12632,6449,12632,6431,12612,6379,12579,6311,12558,6226,12551xe" filled="true" fillcolor="#c73e1c" stroked="false">
            <v:path arrowok="t"/>
            <v:fill type="solid"/>
            <w10:wrap type="none"/>
          </v:shape>
        </w:pict>
      </w:r>
      <w:r>
        <w:rPr>
          <w:rFonts w:ascii="Stone Sans II ITC Std X Bd"/>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Fonts w:ascii="Stone Sans II ITC Std X Bd"/>
        </w:rPr>
      </w:r>
    </w:p>
    <w:p>
      <w:pPr>
        <w:pStyle w:val="BodyText"/>
        <w:spacing w:before="7"/>
        <w:rPr>
          <w:rFonts w:ascii="Stone Sans II ITC Std X Bd"/>
          <w:b/>
          <w:sz w:val="7"/>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12"/>
        <w:rPr>
          <w:rFonts w:ascii="Stone Sans II ITC Std X Bd"/>
          <w:b/>
          <w:sz w:val="26"/>
        </w:rPr>
      </w:pPr>
      <w:r>
        <w:rPr/>
        <w:pict>
          <v:group style="position:absolute;margin-left:111.675987pt;margin-top:20.15102pt;width:300.05pt;height:414.3pt;mso-position-horizontal-relative:page;mso-position-vertical-relative:paragraph;z-index:-251616256;mso-wrap-distance-left:0;mso-wrap-distance-right:0" coordorigin="2234,403" coordsize="6001,8286">
            <v:shape style="position:absolute;left:3399;top:403;width:839;height:2213" type="#_x0000_t75" stroked="false">
              <v:imagedata r:id="rId19" o:title=""/>
            </v:shape>
            <v:shape style="position:absolute;left:4438;top:1850;width:1293;height:3880" type="#_x0000_t75" stroked="false">
              <v:imagedata r:id="rId20" o:title=""/>
            </v:shape>
            <v:shape style="position:absolute;left:5549;top:834;width:2528;height:4879" type="#_x0000_t75" stroked="false">
              <v:imagedata r:id="rId21" o:title=""/>
            </v:shape>
            <v:line style="position:absolute" from="3794,7584" to="3794,7737" stroked="true" strokeweight="4.778pt" strokecolor="#c73e1c">
              <v:stroke dashstyle="solid"/>
            </v:line>
            <v:shape style="position:absolute;left:6661;top:7583;width:727;height:1083" coordorigin="6662,7584" coordsize="727,1083" path="m7336,7728l7036,7728,7127,7747,7182,7793,7209,7855,7215,7916,7204,7982,7175,8040,7131,8091,7078,8138,7018,8181,6956,8223,6895,8265,6828,8316,6772,8373,6725,8436,6691,8506,6670,8583,6662,8667,7387,8667,7387,8512,6869,8512,6899,8459,6946,8410,7008,8364,7152,8268,7211,8224,7267,8175,7315,8120,7354,8059,7379,7989,7388,7910,7384,7857,7371,7801,7349,7747,7336,7728xm7047,7584l6972,7590,6905,7608,6847,7638,6797,7677,6756,7726,6723,7783,6700,7847,6686,7917,6681,7993,6854,7993,6862,7909,6881,7836,6915,7779,6965,7741,7036,7728,7336,7728,7315,7696,7269,7651,7210,7616,7136,7592,7047,7584xe" filled="true" fillcolor="#e1a11f" stroked="false">
              <v:path arrowok="t"/>
              <v:fill type="solid"/>
            </v:shape>
            <v:shape style="position:absolute;left:7500;top:7583;width:735;height:1105" coordorigin="7500,7584" coordsize="735,1105" path="m7868,7584l7790,7591,7724,7612,7668,7646,7622,7689,7585,7741,7556,7800,7534,7864,7518,7931,7508,8000,7502,8069,7500,8136,7502,8203,7508,8272,7518,8341,7534,8408,7556,8472,7585,8531,7622,8583,7668,8626,7724,8659,7790,8681,7868,8688,7945,8681,8011,8659,8066,8626,8112,8583,8140,8544,7868,8544,7809,8533,7763,8502,7727,8453,7702,8390,7685,8314,7676,8228,7673,8136,7676,8044,7685,7958,7702,7882,7727,7819,7763,7770,7809,7739,7868,7728,8140,7728,8112,7689,8066,7646,8011,7612,7945,7591,7868,7584xm8140,7728l7868,7728,7926,7739,7972,7770,8008,7819,8033,7882,8050,7958,8059,8044,8062,8136,8059,8228,8050,8314,8033,8390,8008,8453,7972,8502,7926,8533,7868,8544,8140,8544,8150,8531,8179,8472,8201,8408,8217,8341,8227,8272,8233,8203,8235,8136,8233,8069,8227,8000,8217,7931,8201,7864,8179,7800,8150,7741,8140,7728xe" filled="true" fillcolor="#e1a11f" stroked="false">
              <v:path arrowok="t"/>
              <v:fill type="solid"/>
            </v:shape>
            <v:shape style="position:absolute;left:2233;top:2200;width:5231;height:5549" type="#_x0000_t75" stroked="false">
              <v:imagedata r:id="rId22" o:title=""/>
            </v:shape>
            <w10:wrap type="topAndBottom"/>
          </v:group>
        </w:pict>
      </w:r>
      <w:r>
        <w:rPr/>
        <w:pict>
          <v:shape style="position:absolute;margin-left:417.415314pt;margin-top:379.194702pt;width:36.35pt;height:54.15pt;mso-position-horizontal-relative:page;mso-position-vertical-relative:paragraph;z-index:-251615232;mso-wrap-distance-left:0;mso-wrap-distance-right:0" coordorigin="8348,7584" coordsize="727,1083" path="m9023,7728l8723,7728,8814,7747,8869,7793,8896,7855,8902,7916,8891,7982,8861,8040,8818,8091,8765,8138,8705,8181,8643,8223,8582,8265,8515,8316,8458,8373,8412,8436,8378,8506,8356,8583,8348,8667,9073,8667,9073,8512,8556,8512,8585,8459,8633,8410,8695,8364,8838,8268,8898,8224,8954,8175,9002,8120,9040,8059,9066,7989,9075,7910,9071,7857,9058,7801,9035,7747,9023,7728xm8734,7584l8659,7590,8592,7608,8534,7638,8484,7677,8443,7726,8410,7783,8387,7847,8373,7917,8368,7993,8541,7993,8549,7909,8568,7836,8601,7779,8652,7741,8723,7728,9023,7728,9001,7696,8956,7651,8896,7616,8823,7592,8734,7584xe" filled="true" fillcolor="#e1a11f" stroked="false">
            <v:path arrowok="t"/>
            <v:fill type="solid"/>
            <w10:wrap type="topAndBottom"/>
          </v:shape>
        </w:pict>
      </w:r>
      <w:r>
        <w:rPr/>
        <w:pict>
          <v:shape style="position:absolute;margin-left:459.359314pt;margin-top:379.194702pt;width:36.75pt;height:55.25pt;mso-position-horizontal-relative:page;mso-position-vertical-relative:paragraph;z-index:-251614208;mso-wrap-distance-left:0;mso-wrap-distance-right:0" coordorigin="9187,7584" coordsize="735,1105" path="m9554,7584l9477,7591,9411,7612,9355,7646,9309,7689,9272,7741,9243,7800,9221,7864,9205,7931,9194,8000,9189,8069,9187,8136,9189,8203,9194,8272,9205,8341,9221,8408,9243,8472,9272,8531,9309,8583,9355,8626,9411,8659,9477,8681,9554,8688,9632,8681,9698,8659,9753,8626,9799,8583,9827,8544,9554,8544,9496,8533,9449,8502,9414,8453,9389,8390,9372,8314,9363,8228,9360,8136,9363,8044,9372,7958,9389,7882,9414,7819,9449,7770,9496,7739,9554,7728,9827,7728,9799,7689,9753,7646,9698,7612,9632,7591,9554,7584xm9827,7728l9554,7728,9613,7739,9659,7770,9694,7819,9720,7882,9736,7958,9746,8044,9748,8136,9746,8228,9736,8314,9720,8390,9694,8453,9659,8502,9613,8533,9554,8544,9827,8544,9836,8531,9866,8472,9888,8408,9904,8341,9914,8272,9920,8203,9921,8136,9920,8069,9914,8000,9904,7931,9888,7864,9866,7800,9836,7741,9827,7728xe" filled="true" fillcolor="#e1a11f" stroked="false">
            <v:path arrowok="t"/>
            <v:fill type="solid"/>
            <w10:wrap type="topAndBottom"/>
          </v:shape>
        </w:pict>
      </w:r>
      <w:r>
        <w:rPr/>
        <w:drawing>
          <wp:anchor distT="0" distB="0" distL="0" distR="0" allowOverlap="1" layoutInCell="1" locked="0" behindDoc="0" simplePos="0" relativeHeight="44">
            <wp:simplePos x="0" y="0"/>
            <wp:positionH relativeFrom="page">
              <wp:posOffset>539951</wp:posOffset>
            </wp:positionH>
            <wp:positionV relativeFrom="paragraph">
              <wp:posOffset>5677229</wp:posOffset>
            </wp:positionV>
            <wp:extent cx="3374790" cy="1486281"/>
            <wp:effectExtent l="0" t="0" r="0" b="0"/>
            <wp:wrapTopAndBottom/>
            <wp:docPr id="7" name="image13.png"/>
            <wp:cNvGraphicFramePr>
              <a:graphicFrameLocks noChangeAspect="1"/>
            </wp:cNvGraphicFramePr>
            <a:graphic>
              <a:graphicData uri="http://schemas.openxmlformats.org/drawingml/2006/picture">
                <pic:pic>
                  <pic:nvPicPr>
                    <pic:cNvPr id="8" name="image13.png"/>
                    <pic:cNvPicPr/>
                  </pic:nvPicPr>
                  <pic:blipFill>
                    <a:blip r:embed="rId23" cstate="print"/>
                    <a:stretch>
                      <a:fillRect/>
                    </a:stretch>
                  </pic:blipFill>
                  <pic:spPr>
                    <a:xfrm>
                      <a:off x="0" y="0"/>
                      <a:ext cx="3374790" cy="1486281"/>
                    </a:xfrm>
                    <a:prstGeom prst="rect">
                      <a:avLst/>
                    </a:prstGeom>
                  </pic:spPr>
                </pic:pic>
              </a:graphicData>
            </a:graphic>
          </wp:anchor>
        </w:drawing>
      </w:r>
    </w:p>
    <w:p>
      <w:pPr>
        <w:pStyle w:val="BodyText"/>
        <w:spacing w:before="8"/>
        <w:rPr>
          <w:rFonts w:ascii="Stone Sans II ITC Std X Bd"/>
          <w:b/>
          <w:sz w:val="13"/>
        </w:rPr>
      </w:pPr>
    </w:p>
    <w:p>
      <w:pPr>
        <w:spacing w:after="0"/>
        <w:rPr>
          <w:rFonts w:ascii="Stone Sans II ITC Std X Bd"/>
          <w:sz w:val="13"/>
        </w:rPr>
        <w:sectPr>
          <w:headerReference w:type="even" r:id="rId18"/>
          <w:pgSz w:w="11910" w:h="16840"/>
          <w:pgMar w:header="0" w:footer="0" w:top="0" w:bottom="280" w:left="0" w:right="0"/>
        </w:sectPr>
      </w:pPr>
    </w:p>
    <w:p>
      <w:pPr>
        <w:numPr>
          <w:ilvl w:val="0"/>
          <w:numId w:val="2"/>
        </w:numPr>
        <w:tabs>
          <w:tab w:pos="2704" w:val="left" w:leader="none"/>
          <w:tab w:pos="2705" w:val="left" w:leader="none"/>
        </w:tabs>
        <w:spacing w:before="86"/>
        <w:ind w:left="2704" w:right="0" w:hanging="721"/>
        <w:jc w:val="left"/>
        <w:rPr>
          <w:rFonts w:ascii="Stone Sans II ITC Std Bk"/>
          <w:b/>
          <w:sz w:val="21"/>
        </w:rPr>
      </w:pPr>
      <w:r>
        <w:rPr/>
        <w:pict>
          <v:rect style="position:absolute;margin-left:0pt;margin-top:.000015pt;width:595.275pt;height:841.89pt;mso-position-horizontal-relative:page;mso-position-vertical-relative:page;z-index:-267712512" filled="true" fillcolor="#eab817" stroked="false">
            <v:fill type="solid"/>
            <w10:wrap type="none"/>
          </v:rect>
        </w:pict>
      </w:r>
      <w:r>
        <w:rPr/>
        <w:pict>
          <v:group style="position:absolute;margin-left:75.826797pt;margin-top:.000015pt;width:519.4500pt;height:841.9pt;mso-position-horizontal-relative:page;mso-position-vertical-relative:page;z-index:-267711488" coordorigin="1517,0" coordsize="10389,16838">
            <v:rect style="position:absolute;left:1530;top:0;width:10375;height:15789" filled="true" fillcolor="#ffffff" stroked="false">
              <v:fill type="solid"/>
            </v:rect>
            <v:shape style="position:absolute;left:1516;top:14304;width:1540;height:1513" coordorigin="1517,14305" coordsize="1540,1513" path="m1517,14305l1517,15817,3053,15817,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xm3056,15817l3055,15817,3054,15817,3056,15817,3056,15817xe" filled="true" fillcolor="#eab817" stroked="false">
              <v:path arrowok="t"/>
              <v:fill type="solid"/>
            </v:shape>
            <v:shape style="position:absolute;left:7815;top:0;width:4090;height:16838" type="#_x0000_t75" stroked="false">
              <v:imagedata r:id="rId26" o:title=""/>
            </v:shape>
            <v:rect style="position:absolute;left:11168;top:0;width:454;height:471" filled="true" fillcolor="#eab817" stroked="false">
              <v:fill type="solid"/>
            </v:rect>
            <v:rect style="position:absolute;left:11168;top:626;width:454;height:454" filled="true" fillcolor="#f5db95" stroked="false">
              <v:fill type="solid"/>
            </v:rect>
            <v:rect style="position:absolute;left:11168;top:1249;width:454;height:454" filled="true" fillcolor="#f9e9c1" stroked="false">
              <v:fill opacity="32768f" type="solid"/>
            </v:rect>
            <v:rect style="position:absolute;left:10363;top:1784;width:915;height:4695" filled="true" fillcolor="#000000" stroked="false">
              <v:fill opacity="48496f" type="solid"/>
            </v:rect>
            <w10:wrap type="none"/>
          </v:group>
        </w:pict>
      </w:r>
      <w:r>
        <w:rPr>
          <w:rFonts w:ascii="Stone Sans II ITC Std Bk"/>
          <w:b/>
          <w:w w:val="115"/>
          <w:sz w:val="21"/>
        </w:rPr>
        <w:t>Background</w:t>
      </w:r>
    </w:p>
    <w:p>
      <w:pPr>
        <w:pStyle w:val="ListParagraph"/>
        <w:numPr>
          <w:ilvl w:val="1"/>
          <w:numId w:val="2"/>
        </w:numPr>
        <w:tabs>
          <w:tab w:pos="2664" w:val="left" w:leader="none"/>
          <w:tab w:pos="2665" w:val="left" w:leader="none"/>
        </w:tabs>
        <w:spacing w:line="235" w:lineRule="auto" w:before="223" w:after="0"/>
        <w:ind w:left="1984" w:right="3365" w:firstLine="0"/>
        <w:jc w:val="left"/>
        <w:rPr>
          <w:sz w:val="20"/>
        </w:rPr>
      </w:pPr>
      <w:r>
        <w:rPr/>
        <w:pict>
          <v:shape style="position:absolute;margin-left:512.259033pt;margin-top:15.221037pt;width:49pt;height:220.45pt;mso-position-horizontal-relative:page;mso-position-vertical-relative:paragraph;z-index:-267710464" type="#_x0000_t202" filled="false" stroked="false">
            <v:textbox inset="0,0,0,0" style="layout-flow:vertical">
              <w:txbxContent>
                <w:p>
                  <w:pPr>
                    <w:spacing w:line="964" w:lineRule="exact" w:before="15"/>
                    <w:ind w:left="20" w:right="0" w:firstLine="0"/>
                    <w:jc w:val="left"/>
                    <w:rPr>
                      <w:rFonts w:ascii="Stone Sans II ITC Std X Bd"/>
                      <w:b/>
                      <w:i/>
                      <w:sz w:val="74"/>
                    </w:rPr>
                  </w:pPr>
                  <w:r>
                    <w:rPr>
                      <w:rFonts w:ascii="Stone Sans II ITC Std X Bd"/>
                      <w:b/>
                      <w:i/>
                      <w:color w:val="FFFFFF"/>
                      <w:spacing w:val="-11"/>
                      <w:w w:val="115"/>
                      <w:sz w:val="74"/>
                    </w:rPr>
                    <w:t>vision2020</w:t>
                  </w:r>
                </w:p>
              </w:txbxContent>
            </v:textbox>
            <w10:wrap type="none"/>
          </v:shape>
        </w:pict>
      </w:r>
      <w:r>
        <w:rPr/>
        <w:pict>
          <v:shape style="position:absolute;margin-left:503.643188pt;margin-top:78.102341pt;width:14.75pt;height:169.55pt;mso-position-horizontal-relative:page;mso-position-vertical-relative:paragraph;z-index:-267709440" type="#_x0000_t202" filled="false" stroked="false">
            <v:textbox inset="0,0,0,0" style="layout-flow:vertical">
              <w:txbxContent>
                <w:p>
                  <w:pPr>
                    <w:spacing w:before="20"/>
                    <w:ind w:left="20" w:right="0" w:firstLine="0"/>
                    <w:jc w:val="left"/>
                    <w:rPr>
                      <w:rFonts w:ascii="Arial"/>
                      <w:sz w:val="22"/>
                    </w:rPr>
                  </w:pPr>
                  <w:r>
                    <w:rPr>
                      <w:rFonts w:ascii="Arial"/>
                      <w:w w:val="110"/>
                      <w:sz w:val="22"/>
                    </w:rPr>
                    <w:t>planning for growth in the URC</w:t>
                  </w:r>
                </w:p>
              </w:txbxContent>
            </v:textbox>
            <w10:wrap type="none"/>
          </v:shape>
        </w:pict>
      </w:r>
      <w:r>
        <w:rPr>
          <w:w w:val="120"/>
          <w:sz w:val="20"/>
        </w:rPr>
        <w:t>In 2006, General Assembly resolved to bring together the work of six Assembly Committees through the formation of the Mission Committee with a clear mandate to reappraise the mission priorities of the denomination and how they are resourced. Since then considerable progress has been made particularly in relation to the operation of staff secretaries as a ‘Mission </w:t>
      </w:r>
      <w:r>
        <w:rPr>
          <w:spacing w:val="-5"/>
          <w:w w:val="120"/>
          <w:sz w:val="20"/>
        </w:rPr>
        <w:t>Team’ </w:t>
      </w:r>
      <w:r>
        <w:rPr>
          <w:w w:val="120"/>
          <w:sz w:val="20"/>
        </w:rPr>
        <w:t>and also in identifying a series of work priorities for 2009 and </w:t>
      </w:r>
      <w:r>
        <w:rPr>
          <w:spacing w:val="-5"/>
          <w:w w:val="120"/>
          <w:sz w:val="20"/>
        </w:rPr>
        <w:t>2010. </w:t>
      </w:r>
      <w:r>
        <w:rPr>
          <w:w w:val="120"/>
          <w:sz w:val="20"/>
        </w:rPr>
        <w:t>These are detailed in the Mission Committee Report to General</w:t>
      </w:r>
      <w:r>
        <w:rPr>
          <w:spacing w:val="24"/>
          <w:w w:val="120"/>
          <w:sz w:val="20"/>
        </w:rPr>
        <w:t> </w:t>
      </w:r>
      <w:r>
        <w:rPr>
          <w:w w:val="120"/>
          <w:sz w:val="20"/>
        </w:rPr>
        <w:t>Assembly.</w:t>
      </w:r>
    </w:p>
    <w:p>
      <w:pPr>
        <w:pStyle w:val="BodyText"/>
        <w:spacing w:before="1"/>
      </w:pPr>
    </w:p>
    <w:p>
      <w:pPr>
        <w:pStyle w:val="ListParagraph"/>
        <w:numPr>
          <w:ilvl w:val="1"/>
          <w:numId w:val="2"/>
        </w:numPr>
        <w:tabs>
          <w:tab w:pos="2664" w:val="left" w:leader="none"/>
          <w:tab w:pos="2665" w:val="left" w:leader="none"/>
        </w:tabs>
        <w:spacing w:line="235" w:lineRule="auto" w:before="0" w:after="0"/>
        <w:ind w:left="1984" w:right="3564" w:firstLine="0"/>
        <w:jc w:val="left"/>
        <w:rPr>
          <w:sz w:val="20"/>
        </w:rPr>
      </w:pPr>
      <w:r>
        <w:rPr>
          <w:w w:val="120"/>
          <w:sz w:val="20"/>
        </w:rPr>
        <w:t>At General Assembly 2008, the Mission Committee introduced the notion of a denominational ‘mission strategy’ founded upon a series of 10-year </w:t>
      </w:r>
      <w:r>
        <w:rPr>
          <w:spacing w:val="-4"/>
          <w:w w:val="120"/>
          <w:sz w:val="20"/>
        </w:rPr>
        <w:t>‘outcomes’. </w:t>
      </w:r>
      <w:r>
        <w:rPr>
          <w:w w:val="120"/>
          <w:sz w:val="20"/>
        </w:rPr>
        <w:t>The Mission Committee </w:t>
      </w:r>
      <w:r>
        <w:rPr>
          <w:spacing w:val="2"/>
          <w:w w:val="120"/>
          <w:sz w:val="20"/>
        </w:rPr>
        <w:t>report </w:t>
      </w:r>
      <w:r>
        <w:rPr>
          <w:w w:val="120"/>
          <w:sz w:val="20"/>
        </w:rPr>
        <w:t>received warm approval and small group discussions about the outcomes indicated significant enthusiasm for the broad thrust of the approach. The primary concerns expressed by members of Assembly related to the need to</w:t>
      </w:r>
      <w:r>
        <w:rPr>
          <w:spacing w:val="31"/>
          <w:w w:val="120"/>
          <w:sz w:val="20"/>
        </w:rPr>
        <w:t> </w:t>
      </w:r>
      <w:r>
        <w:rPr>
          <w:w w:val="120"/>
          <w:sz w:val="20"/>
        </w:rPr>
        <w:t>avoid</w:t>
      </w:r>
    </w:p>
    <w:p>
      <w:pPr>
        <w:pStyle w:val="BodyText"/>
        <w:spacing w:line="235" w:lineRule="auto" w:before="5"/>
        <w:ind w:left="1984" w:right="3166"/>
      </w:pPr>
      <w:r>
        <w:rPr>
          <w:w w:val="120"/>
        </w:rPr>
        <w:t>the imposition of a strategy from the centre and for it to take greater account of issues of spirituality and worship.</w:t>
      </w:r>
    </w:p>
    <w:p>
      <w:pPr>
        <w:pStyle w:val="BodyText"/>
        <w:spacing w:before="10"/>
        <w:rPr>
          <w:sz w:val="19"/>
        </w:rPr>
      </w:pPr>
    </w:p>
    <w:p>
      <w:pPr>
        <w:pStyle w:val="ListParagraph"/>
        <w:numPr>
          <w:ilvl w:val="1"/>
          <w:numId w:val="2"/>
        </w:numPr>
        <w:tabs>
          <w:tab w:pos="2664" w:val="left" w:leader="none"/>
          <w:tab w:pos="2665" w:val="left" w:leader="none"/>
        </w:tabs>
        <w:spacing w:line="235" w:lineRule="auto" w:before="0" w:after="0"/>
        <w:ind w:left="1984" w:right="3036" w:firstLine="0"/>
        <w:jc w:val="left"/>
        <w:rPr>
          <w:sz w:val="20"/>
        </w:rPr>
      </w:pPr>
      <w:r>
        <w:rPr>
          <w:w w:val="120"/>
          <w:sz w:val="20"/>
        </w:rPr>
        <w:t>During 2009, the Mission Committee led an extensive consultation with local churches, synods, other Assembly Committees and ecumenical and international partners concerning what has become</w:t>
      </w:r>
      <w:r>
        <w:rPr>
          <w:spacing w:val="-7"/>
          <w:w w:val="120"/>
          <w:sz w:val="20"/>
        </w:rPr>
        <w:t> </w:t>
      </w:r>
      <w:r>
        <w:rPr>
          <w:w w:val="120"/>
          <w:sz w:val="20"/>
        </w:rPr>
        <w:t>known</w:t>
      </w:r>
      <w:r>
        <w:rPr>
          <w:spacing w:val="-6"/>
          <w:w w:val="120"/>
          <w:sz w:val="20"/>
        </w:rPr>
        <w:t> </w:t>
      </w:r>
      <w:r>
        <w:rPr>
          <w:w w:val="120"/>
          <w:sz w:val="20"/>
        </w:rPr>
        <w:t>as</w:t>
      </w:r>
      <w:r>
        <w:rPr>
          <w:spacing w:val="-6"/>
          <w:w w:val="120"/>
          <w:sz w:val="20"/>
        </w:rPr>
        <w:t> </w:t>
      </w:r>
      <w:r>
        <w:rPr>
          <w:i/>
          <w:w w:val="120"/>
          <w:sz w:val="20"/>
        </w:rPr>
        <w:t>vision2020:</w:t>
      </w:r>
      <w:r>
        <w:rPr>
          <w:i/>
          <w:spacing w:val="-8"/>
          <w:w w:val="120"/>
          <w:sz w:val="20"/>
        </w:rPr>
        <w:t> </w:t>
      </w:r>
      <w:r>
        <w:rPr>
          <w:i/>
          <w:w w:val="120"/>
          <w:sz w:val="20"/>
        </w:rPr>
        <w:t>planning</w:t>
      </w:r>
      <w:r>
        <w:rPr>
          <w:i/>
          <w:spacing w:val="-9"/>
          <w:w w:val="120"/>
          <w:sz w:val="20"/>
        </w:rPr>
        <w:t> </w:t>
      </w:r>
      <w:r>
        <w:rPr>
          <w:i/>
          <w:w w:val="120"/>
          <w:sz w:val="20"/>
        </w:rPr>
        <w:t>for</w:t>
      </w:r>
      <w:r>
        <w:rPr>
          <w:i/>
          <w:spacing w:val="-8"/>
          <w:w w:val="120"/>
          <w:sz w:val="20"/>
        </w:rPr>
        <w:t> </w:t>
      </w:r>
      <w:r>
        <w:rPr>
          <w:i/>
          <w:w w:val="120"/>
          <w:sz w:val="20"/>
        </w:rPr>
        <w:t>growth</w:t>
      </w:r>
      <w:r>
        <w:rPr>
          <w:i/>
          <w:spacing w:val="-9"/>
          <w:w w:val="120"/>
          <w:sz w:val="20"/>
        </w:rPr>
        <w:t> </w:t>
      </w:r>
      <w:r>
        <w:rPr>
          <w:i/>
          <w:w w:val="120"/>
          <w:sz w:val="20"/>
        </w:rPr>
        <w:t>in</w:t>
      </w:r>
      <w:r>
        <w:rPr>
          <w:i/>
          <w:spacing w:val="-9"/>
          <w:w w:val="120"/>
          <w:sz w:val="20"/>
        </w:rPr>
        <w:t> </w:t>
      </w:r>
      <w:r>
        <w:rPr>
          <w:i/>
          <w:w w:val="120"/>
          <w:sz w:val="20"/>
        </w:rPr>
        <w:t>the</w:t>
      </w:r>
      <w:r>
        <w:rPr>
          <w:i/>
          <w:spacing w:val="-8"/>
          <w:w w:val="120"/>
          <w:sz w:val="20"/>
        </w:rPr>
        <w:t> </w:t>
      </w:r>
      <w:r>
        <w:rPr>
          <w:i/>
          <w:w w:val="120"/>
          <w:sz w:val="20"/>
        </w:rPr>
        <w:t>URC</w:t>
      </w:r>
      <w:r>
        <w:rPr>
          <w:w w:val="120"/>
          <w:sz w:val="20"/>
        </w:rPr>
        <w:t>.</w:t>
      </w:r>
    </w:p>
    <w:p>
      <w:pPr>
        <w:pStyle w:val="BodyText"/>
        <w:spacing w:before="11"/>
        <w:rPr>
          <w:sz w:val="19"/>
        </w:rPr>
      </w:pPr>
    </w:p>
    <w:p>
      <w:pPr>
        <w:pStyle w:val="ListParagraph"/>
        <w:numPr>
          <w:ilvl w:val="1"/>
          <w:numId w:val="2"/>
        </w:numPr>
        <w:tabs>
          <w:tab w:pos="2664" w:val="left" w:leader="none"/>
          <w:tab w:pos="2665" w:val="left" w:leader="none"/>
        </w:tabs>
        <w:spacing w:line="235" w:lineRule="auto" w:before="0" w:after="0"/>
        <w:ind w:left="1984" w:right="2537" w:firstLine="0"/>
        <w:jc w:val="left"/>
        <w:rPr>
          <w:sz w:val="20"/>
        </w:rPr>
      </w:pPr>
      <w:r>
        <w:rPr>
          <w:w w:val="120"/>
          <w:sz w:val="20"/>
        </w:rPr>
        <w:t>Following over two years of discussion, this </w:t>
      </w:r>
      <w:r>
        <w:rPr>
          <w:spacing w:val="2"/>
          <w:w w:val="120"/>
          <w:sz w:val="20"/>
        </w:rPr>
        <w:t>report </w:t>
      </w:r>
      <w:r>
        <w:rPr>
          <w:w w:val="120"/>
          <w:sz w:val="20"/>
        </w:rPr>
        <w:t>sets out a framework which can both inspire and support mission planning at every level of the United Reformed Church. </w:t>
      </w:r>
      <w:r>
        <w:rPr>
          <w:spacing w:val="-7"/>
          <w:w w:val="120"/>
          <w:sz w:val="20"/>
        </w:rPr>
        <w:t>To </w:t>
      </w:r>
      <w:r>
        <w:rPr>
          <w:w w:val="120"/>
          <w:sz w:val="20"/>
        </w:rPr>
        <w:t>be </w:t>
      </w:r>
      <w:r>
        <w:rPr>
          <w:spacing w:val="-3"/>
          <w:w w:val="120"/>
          <w:sz w:val="20"/>
        </w:rPr>
        <w:t>clear, </w:t>
      </w:r>
      <w:r>
        <w:rPr>
          <w:i/>
          <w:w w:val="120"/>
          <w:sz w:val="20"/>
        </w:rPr>
        <w:t>vision2020 </w:t>
      </w:r>
      <w:r>
        <w:rPr>
          <w:w w:val="120"/>
          <w:sz w:val="20"/>
        </w:rPr>
        <w:t>is a framework and not a programme. It is designed to create a context through which different</w:t>
      </w:r>
      <w:r>
        <w:rPr>
          <w:spacing w:val="-5"/>
          <w:w w:val="120"/>
          <w:sz w:val="20"/>
        </w:rPr>
        <w:t> </w:t>
      </w:r>
      <w:r>
        <w:rPr>
          <w:w w:val="120"/>
          <w:sz w:val="20"/>
        </w:rPr>
        <w:t>levels</w:t>
      </w:r>
      <w:r>
        <w:rPr>
          <w:spacing w:val="-5"/>
          <w:w w:val="120"/>
          <w:sz w:val="20"/>
        </w:rPr>
        <w:t> </w:t>
      </w:r>
      <w:r>
        <w:rPr>
          <w:w w:val="120"/>
          <w:sz w:val="20"/>
        </w:rPr>
        <w:t>of</w:t>
      </w:r>
      <w:r>
        <w:rPr>
          <w:spacing w:val="-4"/>
          <w:w w:val="120"/>
          <w:sz w:val="20"/>
        </w:rPr>
        <w:t> </w:t>
      </w:r>
      <w:r>
        <w:rPr>
          <w:w w:val="120"/>
          <w:sz w:val="20"/>
        </w:rPr>
        <w:t>the</w:t>
      </w:r>
      <w:r>
        <w:rPr>
          <w:spacing w:val="-5"/>
          <w:w w:val="120"/>
          <w:sz w:val="20"/>
        </w:rPr>
        <w:t> </w:t>
      </w:r>
      <w:r>
        <w:rPr>
          <w:w w:val="120"/>
          <w:sz w:val="20"/>
        </w:rPr>
        <w:t>Church</w:t>
      </w:r>
      <w:r>
        <w:rPr>
          <w:spacing w:val="-4"/>
          <w:w w:val="120"/>
          <w:sz w:val="20"/>
        </w:rPr>
        <w:t> </w:t>
      </w:r>
      <w:r>
        <w:rPr>
          <w:w w:val="120"/>
          <w:sz w:val="20"/>
        </w:rPr>
        <w:t>can</w:t>
      </w:r>
      <w:r>
        <w:rPr>
          <w:spacing w:val="-5"/>
          <w:w w:val="120"/>
          <w:sz w:val="20"/>
        </w:rPr>
        <w:t> </w:t>
      </w:r>
      <w:r>
        <w:rPr>
          <w:w w:val="120"/>
          <w:sz w:val="20"/>
        </w:rPr>
        <w:t>inter-relate;</w:t>
      </w:r>
      <w:r>
        <w:rPr>
          <w:spacing w:val="-4"/>
          <w:w w:val="120"/>
          <w:sz w:val="20"/>
        </w:rPr>
        <w:t> </w:t>
      </w:r>
      <w:r>
        <w:rPr>
          <w:w w:val="120"/>
          <w:sz w:val="20"/>
        </w:rPr>
        <w:t>it</w:t>
      </w:r>
      <w:r>
        <w:rPr>
          <w:spacing w:val="-5"/>
          <w:w w:val="120"/>
          <w:sz w:val="20"/>
        </w:rPr>
        <w:t> </w:t>
      </w:r>
      <w:r>
        <w:rPr>
          <w:w w:val="120"/>
          <w:sz w:val="20"/>
        </w:rPr>
        <w:t>articulates</w:t>
      </w:r>
      <w:r>
        <w:rPr>
          <w:spacing w:val="-5"/>
          <w:w w:val="120"/>
          <w:sz w:val="20"/>
        </w:rPr>
        <w:t> </w:t>
      </w:r>
      <w:r>
        <w:rPr>
          <w:w w:val="120"/>
          <w:sz w:val="20"/>
        </w:rPr>
        <w:t>a</w:t>
      </w:r>
      <w:r>
        <w:rPr>
          <w:spacing w:val="-4"/>
          <w:w w:val="120"/>
          <w:sz w:val="20"/>
        </w:rPr>
        <w:t> </w:t>
      </w:r>
      <w:r>
        <w:rPr>
          <w:w w:val="120"/>
          <w:sz w:val="20"/>
        </w:rPr>
        <w:t>set</w:t>
      </w:r>
      <w:r>
        <w:rPr>
          <w:spacing w:val="-5"/>
          <w:w w:val="120"/>
          <w:sz w:val="20"/>
        </w:rPr>
        <w:t> </w:t>
      </w:r>
      <w:r>
        <w:rPr>
          <w:w w:val="120"/>
          <w:sz w:val="20"/>
        </w:rPr>
        <w:t>of</w:t>
      </w:r>
      <w:r>
        <w:rPr>
          <w:spacing w:val="-4"/>
          <w:w w:val="120"/>
          <w:sz w:val="20"/>
        </w:rPr>
        <w:t> </w:t>
      </w:r>
      <w:r>
        <w:rPr>
          <w:w w:val="120"/>
          <w:sz w:val="20"/>
        </w:rPr>
        <w:t>themes</w:t>
      </w:r>
    </w:p>
    <w:p>
      <w:pPr>
        <w:pStyle w:val="BodyText"/>
        <w:spacing w:line="235" w:lineRule="auto" w:before="3"/>
        <w:ind w:left="1984" w:right="2142"/>
      </w:pPr>
      <w:r>
        <w:rPr>
          <w:w w:val="120"/>
        </w:rPr>
        <w:t>within which we can better understand and shape our programmes and plans; and it provides something of a ‘routemap’ that will enable us to evaluate better our journey as a Church. </w:t>
      </w:r>
      <w:r>
        <w:rPr>
          <w:i/>
          <w:w w:val="120"/>
        </w:rPr>
        <w:t>vision2020 </w:t>
      </w:r>
      <w:r>
        <w:rPr>
          <w:w w:val="120"/>
        </w:rPr>
        <w:t>does not prescribe activity but we offer it to the denomination as a tool and resource that can be applied in almost any situation. We hope that over time </w:t>
      </w:r>
      <w:r>
        <w:rPr>
          <w:i/>
          <w:w w:val="120"/>
        </w:rPr>
        <w:t>vision2020 </w:t>
      </w:r>
      <w:r>
        <w:rPr>
          <w:w w:val="120"/>
        </w:rPr>
        <w:t>will become a type of ‘covenant’ between every </w:t>
      </w:r>
      <w:r>
        <w:rPr>
          <w:spacing w:val="2"/>
          <w:w w:val="120"/>
        </w:rPr>
        <w:t>part </w:t>
      </w:r>
      <w:r>
        <w:rPr>
          <w:w w:val="120"/>
        </w:rPr>
        <w:t>of the Church that chooses to work within its</w:t>
      </w:r>
      <w:r>
        <w:rPr>
          <w:spacing w:val="23"/>
          <w:w w:val="120"/>
        </w:rPr>
        <w:t> </w:t>
      </w:r>
      <w:r>
        <w:rPr>
          <w:w w:val="120"/>
        </w:rPr>
        <w:t>parameters.</w:t>
      </w:r>
    </w:p>
    <w:p>
      <w:pPr>
        <w:pStyle w:val="BodyText"/>
        <w:spacing w:before="11"/>
        <w:rPr>
          <w:sz w:val="17"/>
        </w:rPr>
      </w:pPr>
    </w:p>
    <w:p>
      <w:pPr>
        <w:pStyle w:val="ListParagraph"/>
        <w:numPr>
          <w:ilvl w:val="0"/>
          <w:numId w:val="2"/>
        </w:numPr>
        <w:tabs>
          <w:tab w:pos="2704" w:val="left" w:leader="none"/>
          <w:tab w:pos="2705" w:val="left" w:leader="none"/>
        </w:tabs>
        <w:spacing w:line="240" w:lineRule="auto" w:before="1" w:after="0"/>
        <w:ind w:left="2704" w:right="0" w:hanging="721"/>
        <w:jc w:val="left"/>
        <w:rPr>
          <w:rFonts w:ascii="Stone Sans II ITC Std Bk"/>
          <w:b/>
          <w:sz w:val="21"/>
        </w:rPr>
      </w:pPr>
      <w:r>
        <w:rPr>
          <w:rFonts w:ascii="Stone Sans II ITC Std Bk"/>
          <w:b/>
          <w:w w:val="115"/>
          <w:sz w:val="21"/>
        </w:rPr>
        <w:t>Feedback from the </w:t>
      </w:r>
      <w:r>
        <w:rPr>
          <w:rFonts w:ascii="Stone Sans II ITC Std Bk"/>
          <w:b/>
          <w:i/>
          <w:w w:val="115"/>
          <w:sz w:val="21"/>
        </w:rPr>
        <w:t>vision2020</w:t>
      </w:r>
      <w:r>
        <w:rPr>
          <w:rFonts w:ascii="Stone Sans II ITC Std Bk"/>
          <w:b/>
          <w:i/>
          <w:spacing w:val="-4"/>
          <w:w w:val="115"/>
          <w:sz w:val="21"/>
        </w:rPr>
        <w:t> </w:t>
      </w:r>
      <w:r>
        <w:rPr>
          <w:rFonts w:ascii="Stone Sans II ITC Std Bk"/>
          <w:b/>
          <w:w w:val="115"/>
          <w:sz w:val="21"/>
        </w:rPr>
        <w:t>consultation</w:t>
      </w:r>
    </w:p>
    <w:p>
      <w:pPr>
        <w:pStyle w:val="ListParagraph"/>
        <w:numPr>
          <w:ilvl w:val="1"/>
          <w:numId w:val="2"/>
        </w:numPr>
        <w:tabs>
          <w:tab w:pos="2664" w:val="left" w:leader="none"/>
          <w:tab w:pos="2665" w:val="left" w:leader="none"/>
        </w:tabs>
        <w:spacing w:line="235" w:lineRule="auto" w:before="222" w:after="0"/>
        <w:ind w:left="1984" w:right="2342" w:firstLine="0"/>
        <w:jc w:val="left"/>
        <w:rPr>
          <w:sz w:val="20"/>
        </w:rPr>
      </w:pPr>
      <w:r>
        <w:rPr>
          <w:w w:val="120"/>
          <w:sz w:val="20"/>
        </w:rPr>
        <w:t>Consultation about </w:t>
      </w:r>
      <w:r>
        <w:rPr>
          <w:i/>
          <w:w w:val="120"/>
          <w:sz w:val="20"/>
        </w:rPr>
        <w:t>vision2020 </w:t>
      </w:r>
      <w:r>
        <w:rPr>
          <w:w w:val="120"/>
          <w:sz w:val="20"/>
        </w:rPr>
        <w:t>took place in two phases throughout 2009. The first phase focused on local congregations and took place in the spring and summer; the second phase involved synods, other networks and ecumenical partners and started in the autumn of 2009. Local churches were asked to give their feedback on the two core ideas: the statements of our mission and purpose and local mission pledges. </w:t>
      </w:r>
      <w:r>
        <w:rPr>
          <w:spacing w:val="-4"/>
          <w:w w:val="120"/>
          <w:sz w:val="20"/>
        </w:rPr>
        <w:t>538 </w:t>
      </w:r>
      <w:r>
        <w:rPr>
          <w:w w:val="120"/>
          <w:sz w:val="20"/>
        </w:rPr>
        <w:t>forms were returned, which represents over a third of all local congregations. The highest number of responses came from the West Midlands, </w:t>
      </w:r>
      <w:r>
        <w:rPr>
          <w:spacing w:val="2"/>
          <w:w w:val="120"/>
          <w:sz w:val="20"/>
        </w:rPr>
        <w:t>North </w:t>
      </w:r>
      <w:r>
        <w:rPr>
          <w:w w:val="120"/>
          <w:sz w:val="20"/>
        </w:rPr>
        <w:t>Western, Yorkshire and Southern</w:t>
      </w:r>
      <w:r>
        <w:rPr>
          <w:spacing w:val="2"/>
          <w:w w:val="120"/>
          <w:sz w:val="20"/>
        </w:rPr>
        <w:t> </w:t>
      </w:r>
      <w:r>
        <w:rPr>
          <w:w w:val="120"/>
          <w:sz w:val="20"/>
        </w:rPr>
        <w:t>synods.</w:t>
      </w:r>
    </w:p>
    <w:p>
      <w:pPr>
        <w:pStyle w:val="BodyText"/>
        <w:spacing w:before="2"/>
      </w:pPr>
    </w:p>
    <w:p>
      <w:pPr>
        <w:pStyle w:val="ListParagraph"/>
        <w:numPr>
          <w:ilvl w:val="1"/>
          <w:numId w:val="2"/>
        </w:numPr>
        <w:tabs>
          <w:tab w:pos="2664" w:val="left" w:leader="none"/>
          <w:tab w:pos="2665" w:val="left" w:leader="none"/>
        </w:tabs>
        <w:spacing w:line="235" w:lineRule="auto" w:before="0" w:after="0"/>
        <w:ind w:left="1984" w:right="2989" w:firstLine="0"/>
        <w:jc w:val="left"/>
        <w:rPr>
          <w:sz w:val="20"/>
        </w:rPr>
      </w:pPr>
      <w:r>
        <w:rPr>
          <w:w w:val="115"/>
          <w:sz w:val="20"/>
        </w:rPr>
        <w:t>There was a largely positive response to the statements of our mission and purpose. Three out of every four churches indicated that  they thought the current statements outlined the main areas that the Church should prioritise in the next </w:t>
      </w:r>
      <w:r>
        <w:rPr>
          <w:spacing w:val="-6"/>
          <w:w w:val="115"/>
          <w:sz w:val="20"/>
        </w:rPr>
        <w:t>10 </w:t>
      </w:r>
      <w:r>
        <w:rPr>
          <w:w w:val="115"/>
          <w:sz w:val="20"/>
        </w:rPr>
        <w:t>years. The majority of churches </w:t>
      </w:r>
      <w:r>
        <w:rPr>
          <w:spacing w:val="-8"/>
          <w:w w:val="115"/>
          <w:sz w:val="20"/>
        </w:rPr>
        <w:t>(69%) </w:t>
      </w:r>
      <w:r>
        <w:rPr>
          <w:w w:val="115"/>
          <w:sz w:val="20"/>
        </w:rPr>
        <w:t>further indicated that they would find the idea of ‘Local Mission Pledges’</w:t>
      </w:r>
      <w:r>
        <w:rPr>
          <w:spacing w:val="21"/>
          <w:w w:val="115"/>
          <w:sz w:val="20"/>
        </w:rPr>
        <w:t> </w:t>
      </w:r>
      <w:r>
        <w:rPr>
          <w:w w:val="115"/>
          <w:sz w:val="20"/>
        </w:rPr>
        <w:t>helpful</w:t>
      </w:r>
      <w:r>
        <w:rPr>
          <w:spacing w:val="22"/>
          <w:w w:val="115"/>
          <w:sz w:val="20"/>
        </w:rPr>
        <w:t> </w:t>
      </w:r>
      <w:r>
        <w:rPr>
          <w:w w:val="115"/>
          <w:sz w:val="20"/>
        </w:rPr>
        <w:t>and</w:t>
      </w:r>
      <w:r>
        <w:rPr>
          <w:spacing w:val="22"/>
          <w:w w:val="115"/>
          <w:sz w:val="20"/>
        </w:rPr>
        <w:t> </w:t>
      </w:r>
      <w:r>
        <w:rPr>
          <w:w w:val="115"/>
          <w:sz w:val="20"/>
        </w:rPr>
        <w:t>64%</w:t>
      </w:r>
      <w:r>
        <w:rPr>
          <w:spacing w:val="21"/>
          <w:w w:val="115"/>
          <w:sz w:val="20"/>
        </w:rPr>
        <w:t> </w:t>
      </w:r>
      <w:r>
        <w:rPr>
          <w:w w:val="115"/>
          <w:sz w:val="20"/>
        </w:rPr>
        <w:t>agreed</w:t>
      </w:r>
      <w:r>
        <w:rPr>
          <w:spacing w:val="22"/>
          <w:w w:val="115"/>
          <w:sz w:val="20"/>
        </w:rPr>
        <w:t> </w:t>
      </w:r>
      <w:r>
        <w:rPr>
          <w:w w:val="115"/>
          <w:sz w:val="20"/>
        </w:rPr>
        <w:t>that</w:t>
      </w:r>
      <w:r>
        <w:rPr>
          <w:spacing w:val="22"/>
          <w:w w:val="115"/>
          <w:sz w:val="20"/>
        </w:rPr>
        <w:t> </w:t>
      </w:r>
      <w:r>
        <w:rPr>
          <w:w w:val="115"/>
          <w:sz w:val="20"/>
        </w:rPr>
        <w:t>such</w:t>
      </w:r>
      <w:r>
        <w:rPr>
          <w:spacing w:val="22"/>
          <w:w w:val="115"/>
          <w:sz w:val="20"/>
        </w:rPr>
        <w:t> </w:t>
      </w:r>
      <w:r>
        <w:rPr>
          <w:w w:val="115"/>
          <w:sz w:val="20"/>
        </w:rPr>
        <w:t>pledges</w:t>
      </w:r>
      <w:r>
        <w:rPr>
          <w:spacing w:val="21"/>
          <w:w w:val="115"/>
          <w:sz w:val="20"/>
        </w:rPr>
        <w:t> </w:t>
      </w:r>
      <w:r>
        <w:rPr>
          <w:w w:val="115"/>
          <w:sz w:val="20"/>
        </w:rPr>
        <w:t>would</w:t>
      </w:r>
      <w:r>
        <w:rPr>
          <w:spacing w:val="22"/>
          <w:w w:val="115"/>
          <w:sz w:val="20"/>
        </w:rPr>
        <w:t> </w:t>
      </w:r>
      <w:r>
        <w:rPr>
          <w:w w:val="115"/>
          <w:sz w:val="20"/>
        </w:rPr>
        <w:t>help</w:t>
      </w:r>
    </w:p>
    <w:p>
      <w:pPr>
        <w:pStyle w:val="BodyText"/>
        <w:spacing w:line="235" w:lineRule="auto" w:before="5"/>
        <w:ind w:left="1984" w:right="3166"/>
      </w:pPr>
      <w:r>
        <w:rPr>
          <w:w w:val="120"/>
        </w:rPr>
        <w:t>synod and Assembly staff plan the kind of support they could offer local churches.</w:t>
      </w:r>
    </w:p>
    <w:p>
      <w:pPr>
        <w:pStyle w:val="BodyText"/>
      </w:pPr>
    </w:p>
    <w:p>
      <w:pPr>
        <w:pStyle w:val="BodyText"/>
      </w:pPr>
    </w:p>
    <w:p>
      <w:pPr>
        <w:pStyle w:val="BodyText"/>
        <w:rPr>
          <w:sz w:val="24"/>
        </w:rPr>
      </w:pPr>
    </w:p>
    <w:p>
      <w:pPr>
        <w:tabs>
          <w:tab w:pos="10951" w:val="left" w:leader="none"/>
        </w:tabs>
        <w:spacing w:before="97"/>
        <w:ind w:left="500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8"/>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7</w:t>
      </w:r>
    </w:p>
    <w:p>
      <w:pPr>
        <w:spacing w:after="0"/>
        <w:jc w:val="left"/>
        <w:rPr>
          <w:rFonts w:ascii="Stone Sans II ITC Std X Bd" w:hAnsi="Stone Sans II ITC Std X Bd"/>
          <w:sz w:val="24"/>
        </w:rPr>
        <w:sectPr>
          <w:headerReference w:type="default" r:id="rId24"/>
          <w:headerReference w:type="even" r:id="rId25"/>
          <w:pgSz w:w="11910" w:h="16840"/>
          <w:pgMar w:header="0" w:footer="0" w:top="1060" w:bottom="280" w:left="0" w:right="0"/>
        </w:sectPr>
      </w:pPr>
    </w:p>
    <w:p>
      <w:pPr>
        <w:pStyle w:val="ListParagraph"/>
        <w:numPr>
          <w:ilvl w:val="1"/>
          <w:numId w:val="2"/>
        </w:numPr>
        <w:tabs>
          <w:tab w:pos="1814" w:val="left" w:leader="none"/>
          <w:tab w:pos="1815" w:val="left" w:leader="none"/>
        </w:tabs>
        <w:spacing w:line="235" w:lineRule="auto" w:before="46" w:after="0"/>
        <w:ind w:left="1133" w:right="2231" w:firstLine="0"/>
        <w:jc w:val="left"/>
        <w:rPr>
          <w:sz w:val="20"/>
        </w:rPr>
      </w:pPr>
      <w:r>
        <w:rPr/>
        <w:pict>
          <v:rect style="position:absolute;margin-left:12.047pt;margin-top:5.426854pt;width:22.677pt;height:22.677pt;mso-position-horizontal-relative:page;mso-position-vertical-relative:paragraph;z-index:251715584" filled="true" fillcolor="#f9e9c1" stroked="false">
            <v:fill opacity="32768f" type="solid"/>
            <w10:wrap type="none"/>
          </v:rect>
        </w:pict>
      </w:r>
      <w:r>
        <w:rPr/>
        <w:pict>
          <v:line style="position:absolute;mso-position-horizontal-relative:page;mso-position-vertical-relative:page;z-index:251716608" from="514.487183pt,59.687916pt" to="514.487183pt,797.873916pt" stroked="true" strokeweight="1pt" strokecolor="#868685">
            <v:stroke dashstyle="dot"/>
            <w10:wrap type="none"/>
          </v:line>
        </w:pict>
      </w:r>
      <w:r>
        <w:rPr>
          <w:w w:val="120"/>
          <w:sz w:val="20"/>
        </w:rPr>
        <w:t>The consultation highlighted a significant number of churches who are clearly engaged in wide ranging mission activities already and who use their resources creatively for this purpose. We wish to affirm the wonderful work that many United Reformed Churches are engaged with and re-state our intention that </w:t>
      </w:r>
      <w:r>
        <w:rPr>
          <w:i/>
          <w:w w:val="120"/>
          <w:sz w:val="20"/>
        </w:rPr>
        <w:t>vision2020 </w:t>
      </w:r>
      <w:r>
        <w:rPr>
          <w:w w:val="120"/>
          <w:sz w:val="20"/>
        </w:rPr>
        <w:t>should support and build upon these</w:t>
      </w:r>
      <w:r>
        <w:rPr>
          <w:spacing w:val="12"/>
          <w:w w:val="120"/>
          <w:sz w:val="20"/>
        </w:rPr>
        <w:t> </w:t>
      </w:r>
      <w:r>
        <w:rPr>
          <w:w w:val="120"/>
          <w:sz w:val="20"/>
        </w:rPr>
        <w:t>positives.</w:t>
      </w:r>
    </w:p>
    <w:p>
      <w:pPr>
        <w:pStyle w:val="BodyText"/>
        <w:spacing w:before="11"/>
        <w:rPr>
          <w:sz w:val="19"/>
        </w:rPr>
      </w:pPr>
    </w:p>
    <w:p>
      <w:pPr>
        <w:pStyle w:val="ListParagraph"/>
        <w:numPr>
          <w:ilvl w:val="1"/>
          <w:numId w:val="2"/>
        </w:numPr>
        <w:tabs>
          <w:tab w:pos="1814" w:val="left" w:leader="none"/>
          <w:tab w:pos="1815" w:val="left" w:leader="none"/>
        </w:tabs>
        <w:spacing w:line="235" w:lineRule="auto" w:before="1" w:after="0"/>
        <w:ind w:left="1133" w:right="1991" w:firstLine="0"/>
        <w:jc w:val="left"/>
        <w:rPr>
          <w:sz w:val="20"/>
        </w:rPr>
      </w:pPr>
      <w:r>
        <w:rPr>
          <w:w w:val="120"/>
          <w:sz w:val="20"/>
        </w:rPr>
        <w:t>The </w:t>
      </w:r>
      <w:r>
        <w:rPr>
          <w:spacing w:val="-3"/>
          <w:w w:val="120"/>
          <w:sz w:val="20"/>
        </w:rPr>
        <w:t>consultation revealed </w:t>
      </w:r>
      <w:r>
        <w:rPr>
          <w:w w:val="120"/>
          <w:sz w:val="20"/>
        </w:rPr>
        <w:t>a number of </w:t>
      </w:r>
      <w:r>
        <w:rPr>
          <w:spacing w:val="-3"/>
          <w:w w:val="120"/>
          <w:sz w:val="20"/>
        </w:rPr>
        <w:t>key issues. </w:t>
      </w:r>
      <w:r>
        <w:rPr>
          <w:w w:val="120"/>
          <w:sz w:val="20"/>
        </w:rPr>
        <w:t>Significant patterns emerged in response</w:t>
      </w:r>
      <w:r>
        <w:rPr>
          <w:spacing w:val="-9"/>
          <w:w w:val="120"/>
          <w:sz w:val="20"/>
        </w:rPr>
        <w:t> </w:t>
      </w:r>
      <w:r>
        <w:rPr>
          <w:spacing w:val="-3"/>
          <w:w w:val="120"/>
          <w:sz w:val="20"/>
        </w:rPr>
        <w:t>to</w:t>
      </w:r>
      <w:r>
        <w:rPr>
          <w:spacing w:val="-9"/>
          <w:w w:val="120"/>
          <w:sz w:val="20"/>
        </w:rPr>
        <w:t> </w:t>
      </w:r>
      <w:r>
        <w:rPr>
          <w:w w:val="120"/>
          <w:sz w:val="20"/>
        </w:rPr>
        <w:t>the</w:t>
      </w:r>
      <w:r>
        <w:rPr>
          <w:spacing w:val="-9"/>
          <w:w w:val="120"/>
          <w:sz w:val="20"/>
        </w:rPr>
        <w:t> </w:t>
      </w:r>
      <w:r>
        <w:rPr>
          <w:w w:val="120"/>
          <w:sz w:val="20"/>
        </w:rPr>
        <w:t>statements’</w:t>
      </w:r>
      <w:r>
        <w:rPr>
          <w:spacing w:val="-9"/>
          <w:w w:val="120"/>
          <w:sz w:val="20"/>
        </w:rPr>
        <w:t> </w:t>
      </w:r>
      <w:r>
        <w:rPr>
          <w:w w:val="120"/>
          <w:sz w:val="20"/>
        </w:rPr>
        <w:t>themes.</w:t>
      </w:r>
      <w:r>
        <w:rPr>
          <w:spacing w:val="-9"/>
          <w:w w:val="120"/>
          <w:sz w:val="20"/>
        </w:rPr>
        <w:t> </w:t>
      </w:r>
      <w:r>
        <w:rPr>
          <w:w w:val="120"/>
          <w:sz w:val="20"/>
        </w:rPr>
        <w:t>These</w:t>
      </w:r>
      <w:r>
        <w:rPr>
          <w:spacing w:val="-9"/>
          <w:w w:val="120"/>
          <w:sz w:val="20"/>
        </w:rPr>
        <w:t> </w:t>
      </w:r>
      <w:r>
        <w:rPr>
          <w:w w:val="120"/>
          <w:sz w:val="20"/>
        </w:rPr>
        <w:t>included</w:t>
      </w:r>
      <w:r>
        <w:rPr>
          <w:spacing w:val="-9"/>
          <w:w w:val="120"/>
          <w:sz w:val="20"/>
        </w:rPr>
        <w:t> </w:t>
      </w:r>
      <w:r>
        <w:rPr>
          <w:spacing w:val="-3"/>
          <w:w w:val="120"/>
          <w:sz w:val="20"/>
        </w:rPr>
        <w:t>concern</w:t>
      </w:r>
      <w:r>
        <w:rPr>
          <w:spacing w:val="-9"/>
          <w:w w:val="120"/>
          <w:sz w:val="20"/>
        </w:rPr>
        <w:t> </w:t>
      </w:r>
      <w:r>
        <w:rPr>
          <w:w w:val="120"/>
          <w:sz w:val="20"/>
        </w:rPr>
        <w:t>about</w:t>
      </w:r>
      <w:r>
        <w:rPr>
          <w:spacing w:val="-9"/>
          <w:w w:val="120"/>
          <w:sz w:val="20"/>
        </w:rPr>
        <w:t> </w:t>
      </w:r>
      <w:r>
        <w:rPr>
          <w:w w:val="120"/>
          <w:sz w:val="20"/>
        </w:rPr>
        <w:t>the</w:t>
      </w:r>
      <w:r>
        <w:rPr>
          <w:spacing w:val="-9"/>
          <w:w w:val="120"/>
          <w:sz w:val="20"/>
        </w:rPr>
        <w:t> </w:t>
      </w:r>
      <w:r>
        <w:rPr>
          <w:w w:val="120"/>
          <w:sz w:val="20"/>
        </w:rPr>
        <w:t>lack</w:t>
      </w:r>
      <w:r>
        <w:rPr>
          <w:spacing w:val="-9"/>
          <w:w w:val="120"/>
          <w:sz w:val="20"/>
        </w:rPr>
        <w:t> </w:t>
      </w:r>
      <w:r>
        <w:rPr>
          <w:w w:val="120"/>
          <w:sz w:val="20"/>
        </w:rPr>
        <w:t>of</w:t>
      </w:r>
      <w:r>
        <w:rPr>
          <w:spacing w:val="-8"/>
          <w:w w:val="120"/>
          <w:sz w:val="20"/>
        </w:rPr>
        <w:t> </w:t>
      </w:r>
      <w:r>
        <w:rPr>
          <w:spacing w:val="-3"/>
          <w:w w:val="120"/>
          <w:sz w:val="20"/>
        </w:rPr>
        <w:t>reference</w:t>
      </w:r>
      <w:r>
        <w:rPr>
          <w:spacing w:val="-9"/>
          <w:w w:val="120"/>
          <w:sz w:val="20"/>
        </w:rPr>
        <w:t> </w:t>
      </w:r>
      <w:r>
        <w:rPr>
          <w:spacing w:val="-3"/>
          <w:w w:val="120"/>
          <w:sz w:val="20"/>
        </w:rPr>
        <w:t>to children </w:t>
      </w:r>
      <w:r>
        <w:rPr>
          <w:w w:val="120"/>
          <w:sz w:val="20"/>
        </w:rPr>
        <w:t>and </w:t>
      </w:r>
      <w:r>
        <w:rPr>
          <w:spacing w:val="-3"/>
          <w:w w:val="120"/>
          <w:sz w:val="20"/>
        </w:rPr>
        <w:t>young </w:t>
      </w:r>
      <w:r>
        <w:rPr>
          <w:w w:val="120"/>
          <w:sz w:val="20"/>
        </w:rPr>
        <w:t>people; suggestions </w:t>
      </w:r>
      <w:r>
        <w:rPr>
          <w:spacing w:val="-3"/>
          <w:w w:val="120"/>
          <w:sz w:val="20"/>
        </w:rPr>
        <w:t>to enhance references to </w:t>
      </w:r>
      <w:r>
        <w:rPr>
          <w:w w:val="120"/>
          <w:sz w:val="20"/>
        </w:rPr>
        <w:t>Jesus, the Holy Spirit and the </w:t>
      </w:r>
      <w:r>
        <w:rPr>
          <w:spacing w:val="-3"/>
          <w:w w:val="120"/>
          <w:sz w:val="20"/>
        </w:rPr>
        <w:t>Bible; </w:t>
      </w:r>
      <w:r>
        <w:rPr>
          <w:w w:val="120"/>
          <w:sz w:val="20"/>
        </w:rPr>
        <w:t>a range of strong views about the statement on diversity; and a sense that the statements</w:t>
      </w:r>
      <w:r>
        <w:rPr>
          <w:spacing w:val="-4"/>
          <w:w w:val="120"/>
          <w:sz w:val="20"/>
        </w:rPr>
        <w:t> </w:t>
      </w:r>
      <w:r>
        <w:rPr>
          <w:w w:val="120"/>
          <w:sz w:val="20"/>
        </w:rPr>
        <w:t>were</w:t>
      </w:r>
      <w:r>
        <w:rPr>
          <w:spacing w:val="-4"/>
          <w:w w:val="120"/>
          <w:sz w:val="20"/>
        </w:rPr>
        <w:t> </w:t>
      </w:r>
      <w:r>
        <w:rPr>
          <w:w w:val="120"/>
          <w:sz w:val="20"/>
        </w:rPr>
        <w:t>too</w:t>
      </w:r>
      <w:r>
        <w:rPr>
          <w:spacing w:val="-4"/>
          <w:w w:val="120"/>
          <w:sz w:val="20"/>
        </w:rPr>
        <w:t> </w:t>
      </w:r>
      <w:r>
        <w:rPr>
          <w:w w:val="120"/>
          <w:sz w:val="20"/>
        </w:rPr>
        <w:t>wordy</w:t>
      </w:r>
      <w:r>
        <w:rPr>
          <w:spacing w:val="-4"/>
          <w:w w:val="120"/>
          <w:sz w:val="20"/>
        </w:rPr>
        <w:t> </w:t>
      </w:r>
      <w:r>
        <w:rPr>
          <w:w w:val="120"/>
          <w:sz w:val="20"/>
        </w:rPr>
        <w:t>and</w:t>
      </w:r>
      <w:r>
        <w:rPr>
          <w:spacing w:val="-4"/>
          <w:w w:val="120"/>
          <w:sz w:val="20"/>
        </w:rPr>
        <w:t> </w:t>
      </w:r>
      <w:r>
        <w:rPr>
          <w:w w:val="120"/>
          <w:sz w:val="20"/>
        </w:rPr>
        <w:t>that</w:t>
      </w:r>
      <w:r>
        <w:rPr>
          <w:spacing w:val="-4"/>
          <w:w w:val="120"/>
          <w:sz w:val="20"/>
        </w:rPr>
        <w:t> </w:t>
      </w:r>
      <w:r>
        <w:rPr>
          <w:w w:val="120"/>
          <w:sz w:val="20"/>
        </w:rPr>
        <w:t>some</w:t>
      </w:r>
      <w:r>
        <w:rPr>
          <w:spacing w:val="-4"/>
          <w:w w:val="120"/>
          <w:sz w:val="20"/>
        </w:rPr>
        <w:t> </w:t>
      </w:r>
      <w:r>
        <w:rPr>
          <w:w w:val="120"/>
          <w:sz w:val="20"/>
        </w:rPr>
        <w:t>of</w:t>
      </w:r>
      <w:r>
        <w:rPr>
          <w:spacing w:val="-4"/>
          <w:w w:val="120"/>
          <w:sz w:val="20"/>
        </w:rPr>
        <w:t> </w:t>
      </w:r>
      <w:r>
        <w:rPr>
          <w:w w:val="120"/>
          <w:sz w:val="20"/>
        </w:rPr>
        <w:t>the</w:t>
      </w:r>
      <w:r>
        <w:rPr>
          <w:spacing w:val="-4"/>
          <w:w w:val="120"/>
          <w:sz w:val="20"/>
        </w:rPr>
        <w:t> </w:t>
      </w:r>
      <w:r>
        <w:rPr>
          <w:w w:val="120"/>
          <w:sz w:val="20"/>
        </w:rPr>
        <w:t>language</w:t>
      </w:r>
      <w:r>
        <w:rPr>
          <w:spacing w:val="-4"/>
          <w:w w:val="120"/>
          <w:sz w:val="20"/>
        </w:rPr>
        <w:t> </w:t>
      </w:r>
      <w:r>
        <w:rPr>
          <w:w w:val="120"/>
          <w:sz w:val="20"/>
        </w:rPr>
        <w:t>was</w:t>
      </w:r>
      <w:r>
        <w:rPr>
          <w:spacing w:val="-4"/>
          <w:w w:val="120"/>
          <w:sz w:val="20"/>
        </w:rPr>
        <w:t> </w:t>
      </w:r>
      <w:r>
        <w:rPr>
          <w:w w:val="120"/>
          <w:sz w:val="20"/>
        </w:rPr>
        <w:t>too</w:t>
      </w:r>
      <w:r>
        <w:rPr>
          <w:spacing w:val="-4"/>
          <w:w w:val="120"/>
          <w:sz w:val="20"/>
        </w:rPr>
        <w:t> </w:t>
      </w:r>
      <w:r>
        <w:rPr>
          <w:spacing w:val="-3"/>
          <w:w w:val="120"/>
          <w:sz w:val="20"/>
        </w:rPr>
        <w:t>technical.</w:t>
      </w:r>
    </w:p>
    <w:p>
      <w:pPr>
        <w:pStyle w:val="BodyText"/>
        <w:spacing w:before="11"/>
        <w:rPr>
          <w:sz w:val="19"/>
        </w:rPr>
      </w:pPr>
    </w:p>
    <w:p>
      <w:pPr>
        <w:pStyle w:val="ListParagraph"/>
        <w:numPr>
          <w:ilvl w:val="1"/>
          <w:numId w:val="2"/>
        </w:numPr>
        <w:tabs>
          <w:tab w:pos="1814" w:val="left" w:leader="none"/>
          <w:tab w:pos="1815" w:val="left" w:leader="none"/>
        </w:tabs>
        <w:spacing w:line="235" w:lineRule="auto" w:before="0" w:after="0"/>
        <w:ind w:left="1133" w:right="2093" w:firstLine="0"/>
        <w:jc w:val="left"/>
        <w:rPr>
          <w:sz w:val="20"/>
        </w:rPr>
      </w:pPr>
      <w:r>
        <w:rPr>
          <w:w w:val="120"/>
          <w:sz w:val="20"/>
        </w:rPr>
        <w:t>A number of churches questioned the quantitative nature of many of the suggested activities and in particular the notion of numerical church growth being seen as a measure of success. A number of churches also felt that the phrase ‘In the next </w:t>
      </w:r>
      <w:r>
        <w:rPr>
          <w:spacing w:val="-6"/>
          <w:w w:val="120"/>
          <w:sz w:val="20"/>
        </w:rPr>
        <w:t>10 </w:t>
      </w:r>
      <w:r>
        <w:rPr>
          <w:w w:val="120"/>
          <w:sz w:val="20"/>
        </w:rPr>
        <w:t>years </w:t>
      </w:r>
      <w:r>
        <w:rPr>
          <w:spacing w:val="-8"/>
          <w:w w:val="120"/>
          <w:sz w:val="20"/>
        </w:rPr>
        <w:t>…’ </w:t>
      </w:r>
      <w:r>
        <w:rPr>
          <w:w w:val="120"/>
          <w:sz w:val="20"/>
        </w:rPr>
        <w:t>which introduces each statement was unhelpful, indicating delayed action for some and an unrealistic time frame for</w:t>
      </w:r>
      <w:r>
        <w:rPr>
          <w:spacing w:val="10"/>
          <w:w w:val="120"/>
          <w:sz w:val="20"/>
        </w:rPr>
        <w:t> </w:t>
      </w:r>
      <w:r>
        <w:rPr>
          <w:w w:val="120"/>
          <w:sz w:val="20"/>
        </w:rPr>
        <w:t>others.</w:t>
      </w:r>
    </w:p>
    <w:p>
      <w:pPr>
        <w:pStyle w:val="BodyText"/>
        <w:spacing w:before="12"/>
        <w:rPr>
          <w:sz w:val="19"/>
        </w:rPr>
      </w:pPr>
    </w:p>
    <w:p>
      <w:pPr>
        <w:pStyle w:val="ListParagraph"/>
        <w:numPr>
          <w:ilvl w:val="1"/>
          <w:numId w:val="2"/>
        </w:numPr>
        <w:tabs>
          <w:tab w:pos="1814" w:val="left" w:leader="none"/>
          <w:tab w:pos="1815" w:val="left" w:leader="none"/>
        </w:tabs>
        <w:spacing w:line="235" w:lineRule="auto" w:before="0" w:after="0"/>
        <w:ind w:left="1133" w:right="2170" w:firstLine="0"/>
        <w:jc w:val="left"/>
        <w:rPr>
          <w:sz w:val="20"/>
        </w:rPr>
      </w:pPr>
      <w:r>
        <w:rPr>
          <w:w w:val="120"/>
          <w:sz w:val="20"/>
        </w:rPr>
        <w:t>Many churches used the consultation exercise to express their sense of vulnerability and weakness. In some cases concern focused on small numbers, in others the </w:t>
      </w:r>
      <w:r>
        <w:rPr>
          <w:spacing w:val="2"/>
          <w:w w:val="120"/>
          <w:sz w:val="20"/>
        </w:rPr>
        <w:t>fact </w:t>
      </w:r>
      <w:r>
        <w:rPr>
          <w:w w:val="120"/>
          <w:sz w:val="20"/>
        </w:rPr>
        <w:t>that the congregation is ageing. Lack of capacity was frequently raised and it became clear to us that we did not communicate clearly enough that local churches would not be expected to do everything but to choose one or two things to ‘pledge’     as </w:t>
      </w:r>
      <w:r>
        <w:rPr>
          <w:spacing w:val="2"/>
          <w:w w:val="120"/>
          <w:sz w:val="20"/>
        </w:rPr>
        <w:t>part </w:t>
      </w:r>
      <w:r>
        <w:rPr>
          <w:w w:val="120"/>
          <w:sz w:val="20"/>
        </w:rPr>
        <w:t>of their local mission</w:t>
      </w:r>
      <w:r>
        <w:rPr>
          <w:spacing w:val="8"/>
          <w:w w:val="120"/>
          <w:sz w:val="20"/>
        </w:rPr>
        <w:t> </w:t>
      </w:r>
      <w:r>
        <w:rPr>
          <w:w w:val="120"/>
          <w:sz w:val="20"/>
        </w:rPr>
        <w:t>plans.</w:t>
      </w:r>
    </w:p>
    <w:p>
      <w:pPr>
        <w:pStyle w:val="BodyText"/>
      </w:pPr>
    </w:p>
    <w:p>
      <w:pPr>
        <w:pStyle w:val="ListParagraph"/>
        <w:numPr>
          <w:ilvl w:val="1"/>
          <w:numId w:val="2"/>
        </w:numPr>
        <w:tabs>
          <w:tab w:pos="1814" w:val="left" w:leader="none"/>
          <w:tab w:pos="1815" w:val="left" w:leader="none"/>
        </w:tabs>
        <w:spacing w:line="235" w:lineRule="auto" w:before="0" w:after="0"/>
        <w:ind w:left="1133" w:right="2711" w:firstLine="0"/>
        <w:jc w:val="left"/>
        <w:rPr>
          <w:sz w:val="20"/>
        </w:rPr>
      </w:pPr>
      <w:r>
        <w:rPr>
          <w:w w:val="120"/>
          <w:sz w:val="20"/>
        </w:rPr>
        <w:t>We have taken on board the issues and concerns raised and have sought to address them within the revised </w:t>
      </w:r>
      <w:r>
        <w:rPr>
          <w:i/>
          <w:w w:val="120"/>
          <w:sz w:val="20"/>
        </w:rPr>
        <w:t>vision2020</w:t>
      </w:r>
      <w:r>
        <w:rPr>
          <w:i/>
          <w:spacing w:val="2"/>
          <w:w w:val="120"/>
          <w:sz w:val="20"/>
        </w:rPr>
        <w:t> </w:t>
      </w:r>
      <w:r>
        <w:rPr>
          <w:w w:val="120"/>
          <w:sz w:val="20"/>
        </w:rPr>
        <w:t>framework.</w:t>
      </w:r>
    </w:p>
    <w:p>
      <w:pPr>
        <w:pStyle w:val="BodyText"/>
        <w:spacing w:before="9"/>
        <w:rPr>
          <w:sz w:val="19"/>
        </w:rPr>
      </w:pPr>
    </w:p>
    <w:p>
      <w:pPr>
        <w:pStyle w:val="ListParagraph"/>
        <w:numPr>
          <w:ilvl w:val="1"/>
          <w:numId w:val="2"/>
        </w:numPr>
        <w:tabs>
          <w:tab w:pos="1814" w:val="left" w:leader="none"/>
          <w:tab w:pos="1815" w:val="left" w:leader="none"/>
        </w:tabs>
        <w:spacing w:line="235" w:lineRule="auto" w:before="0" w:after="0"/>
        <w:ind w:left="1134" w:right="2189" w:hanging="1"/>
        <w:jc w:val="left"/>
        <w:rPr>
          <w:sz w:val="20"/>
        </w:rPr>
      </w:pPr>
      <w:r>
        <w:rPr>
          <w:spacing w:val="2"/>
          <w:w w:val="120"/>
          <w:sz w:val="20"/>
        </w:rPr>
        <w:t>The </w:t>
      </w:r>
      <w:r>
        <w:rPr>
          <w:w w:val="120"/>
          <w:sz w:val="20"/>
        </w:rPr>
        <w:t>consultation with </w:t>
      </w:r>
      <w:r>
        <w:rPr>
          <w:spacing w:val="2"/>
          <w:w w:val="120"/>
          <w:sz w:val="20"/>
        </w:rPr>
        <w:t>synods </w:t>
      </w:r>
      <w:r>
        <w:rPr>
          <w:w w:val="120"/>
          <w:sz w:val="20"/>
        </w:rPr>
        <w:t>focused on the link </w:t>
      </w:r>
      <w:r>
        <w:rPr>
          <w:spacing w:val="2"/>
          <w:w w:val="120"/>
          <w:sz w:val="20"/>
        </w:rPr>
        <w:t>between </w:t>
      </w:r>
      <w:r>
        <w:rPr>
          <w:w w:val="120"/>
          <w:sz w:val="20"/>
        </w:rPr>
        <w:t>the </w:t>
      </w:r>
      <w:r>
        <w:rPr>
          <w:i/>
          <w:w w:val="120"/>
          <w:sz w:val="20"/>
        </w:rPr>
        <w:t>vision2020 </w:t>
      </w:r>
      <w:r>
        <w:rPr>
          <w:spacing w:val="2"/>
          <w:w w:val="120"/>
          <w:sz w:val="20"/>
        </w:rPr>
        <w:t>statements </w:t>
      </w:r>
      <w:r>
        <w:rPr>
          <w:w w:val="120"/>
          <w:sz w:val="20"/>
        </w:rPr>
        <w:t>and the </w:t>
      </w:r>
      <w:r>
        <w:rPr>
          <w:spacing w:val="2"/>
          <w:w w:val="120"/>
          <w:sz w:val="20"/>
        </w:rPr>
        <w:t>synods’ </w:t>
      </w:r>
      <w:r>
        <w:rPr>
          <w:w w:val="120"/>
          <w:sz w:val="20"/>
        </w:rPr>
        <w:t>own </w:t>
      </w:r>
      <w:r>
        <w:rPr>
          <w:spacing w:val="2"/>
          <w:w w:val="120"/>
          <w:sz w:val="20"/>
        </w:rPr>
        <w:t>priorities, </w:t>
      </w:r>
      <w:r>
        <w:rPr>
          <w:w w:val="120"/>
          <w:sz w:val="20"/>
        </w:rPr>
        <w:t>and how </w:t>
      </w:r>
      <w:r>
        <w:rPr>
          <w:spacing w:val="2"/>
          <w:w w:val="120"/>
          <w:sz w:val="20"/>
        </w:rPr>
        <w:t>local </w:t>
      </w:r>
      <w:r>
        <w:rPr>
          <w:w w:val="120"/>
          <w:sz w:val="20"/>
        </w:rPr>
        <w:t>mission </w:t>
      </w:r>
      <w:r>
        <w:rPr>
          <w:spacing w:val="2"/>
          <w:w w:val="120"/>
          <w:sz w:val="20"/>
        </w:rPr>
        <w:t>pledges </w:t>
      </w:r>
      <w:r>
        <w:rPr>
          <w:w w:val="120"/>
          <w:sz w:val="20"/>
        </w:rPr>
        <w:t>can help </w:t>
      </w:r>
      <w:r>
        <w:rPr>
          <w:spacing w:val="2"/>
          <w:w w:val="120"/>
          <w:sz w:val="20"/>
        </w:rPr>
        <w:t>synods </w:t>
      </w:r>
      <w:r>
        <w:rPr>
          <w:w w:val="120"/>
          <w:sz w:val="20"/>
        </w:rPr>
        <w:t>with their mission planning and enabling. Five </w:t>
      </w:r>
      <w:r>
        <w:rPr>
          <w:spacing w:val="2"/>
          <w:w w:val="120"/>
          <w:sz w:val="20"/>
        </w:rPr>
        <w:t>synods </w:t>
      </w:r>
      <w:r>
        <w:rPr>
          <w:w w:val="120"/>
          <w:sz w:val="20"/>
        </w:rPr>
        <w:t>felt that </w:t>
      </w:r>
      <w:r>
        <w:rPr>
          <w:i/>
          <w:w w:val="120"/>
          <w:sz w:val="20"/>
        </w:rPr>
        <w:t>vision2020 </w:t>
      </w:r>
      <w:r>
        <w:rPr>
          <w:w w:val="120"/>
          <w:sz w:val="20"/>
        </w:rPr>
        <w:t>integrated well with their own plans and another six saw potential for integration but were not yet clear how this would be </w:t>
      </w:r>
      <w:r>
        <w:rPr>
          <w:spacing w:val="2"/>
          <w:w w:val="120"/>
          <w:sz w:val="20"/>
        </w:rPr>
        <w:t>done </w:t>
      </w:r>
      <w:r>
        <w:rPr>
          <w:w w:val="120"/>
          <w:sz w:val="20"/>
        </w:rPr>
        <w:t>in </w:t>
      </w:r>
      <w:r>
        <w:rPr>
          <w:spacing w:val="2"/>
          <w:w w:val="120"/>
          <w:sz w:val="20"/>
        </w:rPr>
        <w:t>practice. Only </w:t>
      </w:r>
      <w:r>
        <w:rPr>
          <w:w w:val="120"/>
          <w:sz w:val="20"/>
        </w:rPr>
        <w:t>one </w:t>
      </w:r>
      <w:r>
        <w:rPr>
          <w:spacing w:val="3"/>
          <w:w w:val="120"/>
          <w:sz w:val="20"/>
        </w:rPr>
        <w:t>synod </w:t>
      </w:r>
      <w:r>
        <w:rPr>
          <w:spacing w:val="2"/>
          <w:w w:val="120"/>
          <w:sz w:val="20"/>
        </w:rPr>
        <w:t>responded negatively </w:t>
      </w:r>
      <w:r>
        <w:rPr>
          <w:w w:val="120"/>
          <w:sz w:val="20"/>
        </w:rPr>
        <w:t>and one did not </w:t>
      </w:r>
      <w:r>
        <w:rPr>
          <w:spacing w:val="2"/>
          <w:w w:val="120"/>
          <w:sz w:val="20"/>
        </w:rPr>
        <w:t>respond </w:t>
      </w:r>
      <w:r>
        <w:rPr>
          <w:w w:val="120"/>
          <w:sz w:val="20"/>
        </w:rPr>
        <w:t>at all. </w:t>
      </w:r>
      <w:r>
        <w:rPr>
          <w:spacing w:val="2"/>
          <w:w w:val="120"/>
          <w:sz w:val="20"/>
        </w:rPr>
        <w:t>Some </w:t>
      </w:r>
      <w:r>
        <w:rPr>
          <w:spacing w:val="3"/>
          <w:w w:val="120"/>
          <w:sz w:val="20"/>
        </w:rPr>
        <w:t>synod </w:t>
      </w:r>
      <w:r>
        <w:rPr>
          <w:spacing w:val="2"/>
          <w:w w:val="120"/>
          <w:sz w:val="20"/>
        </w:rPr>
        <w:t>responses </w:t>
      </w:r>
      <w:r>
        <w:rPr>
          <w:w w:val="120"/>
          <w:sz w:val="20"/>
        </w:rPr>
        <w:t>reiterated </w:t>
      </w:r>
      <w:r>
        <w:rPr>
          <w:spacing w:val="2"/>
          <w:w w:val="120"/>
          <w:sz w:val="20"/>
        </w:rPr>
        <w:t>local </w:t>
      </w:r>
      <w:r>
        <w:rPr>
          <w:w w:val="120"/>
          <w:sz w:val="20"/>
        </w:rPr>
        <w:t>churches’</w:t>
      </w:r>
      <w:r>
        <w:rPr>
          <w:spacing w:val="8"/>
          <w:w w:val="120"/>
          <w:sz w:val="20"/>
        </w:rPr>
        <w:t> </w:t>
      </w:r>
      <w:r>
        <w:rPr>
          <w:w w:val="120"/>
          <w:sz w:val="20"/>
        </w:rPr>
        <w:t>concerns</w:t>
      </w:r>
      <w:r>
        <w:rPr>
          <w:spacing w:val="8"/>
          <w:w w:val="120"/>
          <w:sz w:val="20"/>
        </w:rPr>
        <w:t> </w:t>
      </w:r>
      <w:r>
        <w:rPr>
          <w:spacing w:val="2"/>
          <w:w w:val="120"/>
          <w:sz w:val="20"/>
        </w:rPr>
        <w:t>about</w:t>
      </w:r>
      <w:r>
        <w:rPr>
          <w:spacing w:val="8"/>
          <w:w w:val="120"/>
          <w:sz w:val="20"/>
        </w:rPr>
        <w:t> </w:t>
      </w:r>
      <w:r>
        <w:rPr>
          <w:w w:val="120"/>
          <w:sz w:val="20"/>
        </w:rPr>
        <w:t>some</w:t>
      </w:r>
      <w:r>
        <w:rPr>
          <w:spacing w:val="9"/>
          <w:w w:val="120"/>
          <w:sz w:val="20"/>
        </w:rPr>
        <w:t> </w:t>
      </w:r>
      <w:r>
        <w:rPr>
          <w:w w:val="120"/>
          <w:sz w:val="20"/>
        </w:rPr>
        <w:t>of</w:t>
      </w:r>
      <w:r>
        <w:rPr>
          <w:spacing w:val="8"/>
          <w:w w:val="120"/>
          <w:sz w:val="20"/>
        </w:rPr>
        <w:t> </w:t>
      </w:r>
      <w:r>
        <w:rPr>
          <w:w w:val="120"/>
          <w:sz w:val="20"/>
        </w:rPr>
        <w:t>the</w:t>
      </w:r>
      <w:r>
        <w:rPr>
          <w:spacing w:val="8"/>
          <w:w w:val="120"/>
          <w:sz w:val="20"/>
        </w:rPr>
        <w:t> </w:t>
      </w:r>
      <w:r>
        <w:rPr>
          <w:spacing w:val="2"/>
          <w:w w:val="120"/>
          <w:sz w:val="20"/>
        </w:rPr>
        <w:t>statements</w:t>
      </w:r>
      <w:r>
        <w:rPr>
          <w:spacing w:val="8"/>
          <w:w w:val="120"/>
          <w:sz w:val="20"/>
        </w:rPr>
        <w:t> </w:t>
      </w:r>
      <w:r>
        <w:rPr>
          <w:w w:val="120"/>
          <w:sz w:val="20"/>
        </w:rPr>
        <w:t>such</w:t>
      </w:r>
      <w:r>
        <w:rPr>
          <w:spacing w:val="9"/>
          <w:w w:val="120"/>
          <w:sz w:val="20"/>
        </w:rPr>
        <w:t> </w:t>
      </w:r>
      <w:r>
        <w:rPr>
          <w:w w:val="120"/>
          <w:sz w:val="20"/>
        </w:rPr>
        <w:t>as</w:t>
      </w:r>
      <w:r>
        <w:rPr>
          <w:spacing w:val="8"/>
          <w:w w:val="120"/>
          <w:sz w:val="20"/>
        </w:rPr>
        <w:t> </w:t>
      </w:r>
      <w:r>
        <w:rPr>
          <w:w w:val="120"/>
          <w:sz w:val="20"/>
        </w:rPr>
        <w:t>the</w:t>
      </w:r>
      <w:r>
        <w:rPr>
          <w:spacing w:val="8"/>
          <w:w w:val="120"/>
          <w:sz w:val="20"/>
        </w:rPr>
        <w:t> </w:t>
      </w:r>
      <w:r>
        <w:rPr>
          <w:w w:val="120"/>
          <w:sz w:val="20"/>
        </w:rPr>
        <w:t>lack</w:t>
      </w:r>
      <w:r>
        <w:rPr>
          <w:spacing w:val="8"/>
          <w:w w:val="120"/>
          <w:sz w:val="20"/>
        </w:rPr>
        <w:t> </w:t>
      </w:r>
      <w:r>
        <w:rPr>
          <w:w w:val="120"/>
          <w:sz w:val="20"/>
        </w:rPr>
        <w:t>of</w:t>
      </w:r>
      <w:r>
        <w:rPr>
          <w:spacing w:val="9"/>
          <w:w w:val="120"/>
          <w:sz w:val="20"/>
        </w:rPr>
        <w:t> </w:t>
      </w:r>
      <w:r>
        <w:rPr>
          <w:w w:val="120"/>
          <w:sz w:val="20"/>
        </w:rPr>
        <w:t>emphasis</w:t>
      </w:r>
      <w:r>
        <w:rPr>
          <w:spacing w:val="8"/>
          <w:w w:val="120"/>
          <w:sz w:val="20"/>
        </w:rPr>
        <w:t> </w:t>
      </w:r>
      <w:r>
        <w:rPr>
          <w:w w:val="120"/>
          <w:sz w:val="20"/>
        </w:rPr>
        <w:t>on</w:t>
      </w:r>
    </w:p>
    <w:p>
      <w:pPr>
        <w:pStyle w:val="BodyText"/>
        <w:spacing w:line="235" w:lineRule="auto" w:before="5"/>
        <w:ind w:left="1134" w:right="2191"/>
      </w:pPr>
      <w:r>
        <w:rPr>
          <w:w w:val="120"/>
        </w:rPr>
        <w:t>the Bible, and concern over the diversity statement. They further expressed the need to consider the implications of </w:t>
      </w:r>
      <w:r>
        <w:rPr>
          <w:i/>
          <w:w w:val="120"/>
        </w:rPr>
        <w:t>vision2020 </w:t>
      </w:r>
      <w:r>
        <w:rPr>
          <w:w w:val="120"/>
        </w:rPr>
        <w:t>for Local Ecumenical Partnerships and for smaller churches.</w:t>
      </w:r>
    </w:p>
    <w:p>
      <w:pPr>
        <w:pStyle w:val="BodyText"/>
        <w:spacing w:before="10"/>
        <w:rPr>
          <w:sz w:val="19"/>
        </w:rPr>
      </w:pPr>
    </w:p>
    <w:p>
      <w:pPr>
        <w:pStyle w:val="ListParagraph"/>
        <w:numPr>
          <w:ilvl w:val="1"/>
          <w:numId w:val="2"/>
        </w:numPr>
        <w:tabs>
          <w:tab w:pos="1814" w:val="left" w:leader="none"/>
          <w:tab w:pos="1815" w:val="left" w:leader="none"/>
        </w:tabs>
        <w:spacing w:line="235" w:lineRule="auto" w:before="1" w:after="0"/>
        <w:ind w:left="1134" w:right="2126" w:firstLine="0"/>
        <w:jc w:val="left"/>
        <w:rPr>
          <w:sz w:val="20"/>
        </w:rPr>
      </w:pPr>
      <w:r>
        <w:rPr>
          <w:w w:val="120"/>
          <w:sz w:val="20"/>
        </w:rPr>
        <w:t>Participation in the consultation on the </w:t>
      </w:r>
      <w:r>
        <w:rPr>
          <w:spacing w:val="2"/>
          <w:w w:val="120"/>
          <w:sz w:val="20"/>
        </w:rPr>
        <w:t>part </w:t>
      </w:r>
      <w:r>
        <w:rPr>
          <w:w w:val="120"/>
          <w:sz w:val="20"/>
        </w:rPr>
        <w:t>of Assembly Committees has been mixed. Some have engaged with the material in-depth, not least the Ministries and Education and Learning Committees, while others have given only limited feedback. However,</w:t>
      </w:r>
      <w:r>
        <w:rPr>
          <w:spacing w:val="-7"/>
          <w:w w:val="120"/>
          <w:sz w:val="20"/>
        </w:rPr>
        <w:t> </w:t>
      </w:r>
      <w:r>
        <w:rPr>
          <w:w w:val="120"/>
          <w:sz w:val="20"/>
        </w:rPr>
        <w:t>overall</w:t>
      </w:r>
      <w:r>
        <w:rPr>
          <w:spacing w:val="-6"/>
          <w:w w:val="120"/>
          <w:sz w:val="20"/>
        </w:rPr>
        <w:t> </w:t>
      </w:r>
      <w:r>
        <w:rPr>
          <w:w w:val="120"/>
          <w:sz w:val="20"/>
        </w:rPr>
        <w:t>the</w:t>
      </w:r>
      <w:r>
        <w:rPr>
          <w:spacing w:val="-7"/>
          <w:w w:val="120"/>
          <w:sz w:val="20"/>
        </w:rPr>
        <w:t> </w:t>
      </w:r>
      <w:r>
        <w:rPr>
          <w:w w:val="120"/>
          <w:sz w:val="20"/>
        </w:rPr>
        <w:t>response</w:t>
      </w:r>
      <w:r>
        <w:rPr>
          <w:spacing w:val="-6"/>
          <w:w w:val="120"/>
          <w:sz w:val="20"/>
        </w:rPr>
        <w:t> </w:t>
      </w:r>
      <w:r>
        <w:rPr>
          <w:w w:val="120"/>
          <w:sz w:val="20"/>
        </w:rPr>
        <w:t>to</w:t>
      </w:r>
      <w:r>
        <w:rPr>
          <w:spacing w:val="-6"/>
          <w:w w:val="120"/>
          <w:sz w:val="20"/>
        </w:rPr>
        <w:t> </w:t>
      </w:r>
      <w:r>
        <w:rPr>
          <w:i/>
          <w:w w:val="120"/>
          <w:sz w:val="20"/>
        </w:rPr>
        <w:t>vision2020</w:t>
      </w:r>
      <w:r>
        <w:rPr>
          <w:i/>
          <w:spacing w:val="-7"/>
          <w:w w:val="120"/>
          <w:sz w:val="20"/>
        </w:rPr>
        <w:t> </w:t>
      </w:r>
      <w:r>
        <w:rPr>
          <w:w w:val="120"/>
          <w:sz w:val="20"/>
        </w:rPr>
        <w:t>has</w:t>
      </w:r>
      <w:r>
        <w:rPr>
          <w:spacing w:val="-6"/>
          <w:w w:val="120"/>
          <w:sz w:val="20"/>
        </w:rPr>
        <w:t> </w:t>
      </w:r>
      <w:r>
        <w:rPr>
          <w:w w:val="120"/>
          <w:sz w:val="20"/>
        </w:rPr>
        <w:t>been</w:t>
      </w:r>
      <w:r>
        <w:rPr>
          <w:spacing w:val="-6"/>
          <w:w w:val="120"/>
          <w:sz w:val="20"/>
        </w:rPr>
        <w:t> </w:t>
      </w:r>
      <w:r>
        <w:rPr>
          <w:w w:val="120"/>
          <w:sz w:val="20"/>
        </w:rPr>
        <w:t>positive.</w:t>
      </w:r>
      <w:r>
        <w:rPr>
          <w:spacing w:val="-7"/>
          <w:w w:val="120"/>
          <w:sz w:val="20"/>
        </w:rPr>
        <w:t> </w:t>
      </w:r>
      <w:r>
        <w:rPr>
          <w:w w:val="120"/>
          <w:sz w:val="20"/>
        </w:rPr>
        <w:t>We</w:t>
      </w:r>
      <w:r>
        <w:rPr>
          <w:spacing w:val="-6"/>
          <w:w w:val="120"/>
          <w:sz w:val="20"/>
        </w:rPr>
        <w:t> </w:t>
      </w:r>
      <w:r>
        <w:rPr>
          <w:w w:val="120"/>
          <w:sz w:val="20"/>
        </w:rPr>
        <w:t>also</w:t>
      </w:r>
      <w:r>
        <w:rPr>
          <w:spacing w:val="-6"/>
          <w:w w:val="120"/>
          <w:sz w:val="20"/>
        </w:rPr>
        <w:t> </w:t>
      </w:r>
      <w:r>
        <w:rPr>
          <w:w w:val="120"/>
          <w:sz w:val="20"/>
        </w:rPr>
        <w:t>invited</w:t>
      </w:r>
      <w:r>
        <w:rPr>
          <w:spacing w:val="-7"/>
          <w:w w:val="120"/>
          <w:sz w:val="20"/>
        </w:rPr>
        <w:t> </w:t>
      </w:r>
      <w:r>
        <w:rPr>
          <w:w w:val="120"/>
          <w:sz w:val="20"/>
        </w:rPr>
        <w:t>the</w:t>
      </w:r>
      <w:r>
        <w:rPr>
          <w:spacing w:val="-6"/>
          <w:w w:val="120"/>
          <w:sz w:val="20"/>
        </w:rPr>
        <w:t> </w:t>
      </w:r>
      <w:r>
        <w:rPr>
          <w:w w:val="120"/>
          <w:sz w:val="20"/>
        </w:rPr>
        <w:t>views of our ecumenical and international partners, but had not received any responses when this </w:t>
      </w:r>
      <w:r>
        <w:rPr>
          <w:spacing w:val="2"/>
          <w:w w:val="120"/>
          <w:sz w:val="20"/>
        </w:rPr>
        <w:t>report </w:t>
      </w:r>
      <w:r>
        <w:rPr>
          <w:w w:val="120"/>
          <w:sz w:val="20"/>
        </w:rPr>
        <w:t>went to</w:t>
      </w:r>
      <w:r>
        <w:rPr>
          <w:spacing w:val="5"/>
          <w:w w:val="120"/>
          <w:sz w:val="20"/>
        </w:rPr>
        <w:t> </w:t>
      </w:r>
      <w:r>
        <w:rPr>
          <w:w w:val="120"/>
          <w:sz w:val="20"/>
        </w:rPr>
        <w:t>press.</w:t>
      </w:r>
    </w:p>
    <w:p>
      <w:pPr>
        <w:pStyle w:val="BodyText"/>
        <w:spacing w:before="11"/>
        <w:rPr>
          <w:sz w:val="17"/>
        </w:rPr>
      </w:pPr>
    </w:p>
    <w:p>
      <w:pPr>
        <w:numPr>
          <w:ilvl w:val="0"/>
          <w:numId w:val="2"/>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The theological basis for a URC mission</w:t>
      </w:r>
      <w:r>
        <w:rPr>
          <w:rFonts w:ascii="Stone Sans II ITC Std Bk"/>
          <w:b/>
          <w:spacing w:val="-14"/>
          <w:w w:val="115"/>
          <w:sz w:val="21"/>
        </w:rPr>
        <w:t> </w:t>
      </w:r>
      <w:r>
        <w:rPr>
          <w:rFonts w:ascii="Stone Sans II ITC Std Bk"/>
          <w:b/>
          <w:w w:val="115"/>
          <w:sz w:val="21"/>
        </w:rPr>
        <w:t>framework</w:t>
      </w:r>
    </w:p>
    <w:p>
      <w:pPr>
        <w:pStyle w:val="ListParagraph"/>
        <w:numPr>
          <w:ilvl w:val="1"/>
          <w:numId w:val="2"/>
        </w:numPr>
        <w:tabs>
          <w:tab w:pos="1814" w:val="left" w:leader="none"/>
          <w:tab w:pos="1815" w:val="left" w:leader="none"/>
        </w:tabs>
        <w:spacing w:line="235" w:lineRule="auto" w:before="223" w:after="0"/>
        <w:ind w:left="1133" w:right="2102" w:firstLine="0"/>
        <w:jc w:val="left"/>
        <w:rPr>
          <w:sz w:val="20"/>
        </w:rPr>
      </w:pPr>
      <w:r>
        <w:rPr>
          <w:spacing w:val="2"/>
          <w:w w:val="120"/>
          <w:sz w:val="20"/>
        </w:rPr>
        <w:t>The </w:t>
      </w:r>
      <w:r>
        <w:rPr>
          <w:w w:val="120"/>
          <w:sz w:val="20"/>
        </w:rPr>
        <w:t>Basis of Union of the United </w:t>
      </w:r>
      <w:r>
        <w:rPr>
          <w:spacing w:val="2"/>
          <w:w w:val="120"/>
          <w:sz w:val="20"/>
        </w:rPr>
        <w:t>Reformed </w:t>
      </w:r>
      <w:r>
        <w:rPr>
          <w:w w:val="120"/>
          <w:sz w:val="20"/>
        </w:rPr>
        <w:t>Church </w:t>
      </w:r>
      <w:r>
        <w:rPr>
          <w:spacing w:val="2"/>
          <w:w w:val="120"/>
          <w:sz w:val="20"/>
        </w:rPr>
        <w:t>speaks </w:t>
      </w:r>
      <w:r>
        <w:rPr>
          <w:w w:val="120"/>
          <w:sz w:val="20"/>
        </w:rPr>
        <w:t>of the church’s </w:t>
      </w:r>
      <w:r>
        <w:rPr>
          <w:spacing w:val="2"/>
          <w:w w:val="120"/>
          <w:sz w:val="20"/>
        </w:rPr>
        <w:t>responsibility </w:t>
      </w:r>
      <w:r>
        <w:rPr>
          <w:w w:val="120"/>
          <w:sz w:val="20"/>
        </w:rPr>
        <w:t>to offer </w:t>
      </w:r>
      <w:r>
        <w:rPr>
          <w:spacing w:val="2"/>
          <w:w w:val="120"/>
          <w:sz w:val="20"/>
        </w:rPr>
        <w:t>itself </w:t>
      </w:r>
      <w:r>
        <w:rPr>
          <w:w w:val="120"/>
          <w:sz w:val="20"/>
        </w:rPr>
        <w:t>and the </w:t>
      </w:r>
      <w:r>
        <w:rPr>
          <w:spacing w:val="2"/>
          <w:w w:val="120"/>
          <w:sz w:val="20"/>
        </w:rPr>
        <w:t>world </w:t>
      </w:r>
      <w:r>
        <w:rPr>
          <w:w w:val="120"/>
          <w:sz w:val="20"/>
        </w:rPr>
        <w:t>to </w:t>
      </w:r>
      <w:r>
        <w:rPr>
          <w:spacing w:val="2"/>
          <w:w w:val="120"/>
          <w:sz w:val="20"/>
        </w:rPr>
        <w:t>God </w:t>
      </w:r>
      <w:r>
        <w:rPr>
          <w:w w:val="120"/>
          <w:sz w:val="20"/>
        </w:rPr>
        <w:t>in worship; to receive and </w:t>
      </w:r>
      <w:r>
        <w:rPr>
          <w:spacing w:val="2"/>
          <w:w w:val="120"/>
          <w:sz w:val="20"/>
        </w:rPr>
        <w:t>express   </w:t>
      </w:r>
      <w:r>
        <w:rPr>
          <w:w w:val="120"/>
          <w:sz w:val="20"/>
        </w:rPr>
        <w:t>the renewing life of the </w:t>
      </w:r>
      <w:r>
        <w:rPr>
          <w:spacing w:val="2"/>
          <w:w w:val="120"/>
          <w:sz w:val="20"/>
        </w:rPr>
        <w:t>Holy </w:t>
      </w:r>
      <w:r>
        <w:rPr>
          <w:w w:val="120"/>
          <w:sz w:val="20"/>
        </w:rPr>
        <w:t>Spirit in each place and in </w:t>
      </w:r>
      <w:r>
        <w:rPr>
          <w:spacing w:val="2"/>
          <w:w w:val="120"/>
          <w:sz w:val="20"/>
        </w:rPr>
        <w:t>its </w:t>
      </w:r>
      <w:r>
        <w:rPr>
          <w:w w:val="120"/>
          <w:sz w:val="20"/>
        </w:rPr>
        <w:t>total fellowship; to declare  the reconciling and saving power of Jesus </w:t>
      </w:r>
      <w:r>
        <w:rPr>
          <w:spacing w:val="2"/>
          <w:w w:val="120"/>
          <w:sz w:val="20"/>
        </w:rPr>
        <w:t>Christ, </w:t>
      </w:r>
      <w:r>
        <w:rPr>
          <w:w w:val="120"/>
          <w:sz w:val="20"/>
        </w:rPr>
        <w:t>to live out Christ’s </w:t>
      </w:r>
      <w:r>
        <w:rPr>
          <w:spacing w:val="2"/>
          <w:w w:val="120"/>
          <w:sz w:val="20"/>
        </w:rPr>
        <w:t>ministry </w:t>
      </w:r>
      <w:r>
        <w:rPr>
          <w:w w:val="120"/>
          <w:sz w:val="20"/>
        </w:rPr>
        <w:t>of </w:t>
      </w:r>
      <w:r>
        <w:rPr>
          <w:spacing w:val="2"/>
          <w:w w:val="120"/>
          <w:sz w:val="20"/>
        </w:rPr>
        <w:t>caring, forgiving </w:t>
      </w:r>
      <w:r>
        <w:rPr>
          <w:w w:val="120"/>
          <w:sz w:val="20"/>
        </w:rPr>
        <w:t>and healing love; and to bear </w:t>
      </w:r>
      <w:r>
        <w:rPr>
          <w:spacing w:val="2"/>
          <w:w w:val="120"/>
          <w:sz w:val="20"/>
        </w:rPr>
        <w:t>witness </w:t>
      </w:r>
      <w:r>
        <w:rPr>
          <w:w w:val="120"/>
          <w:sz w:val="20"/>
        </w:rPr>
        <w:t>to Christ’s </w:t>
      </w:r>
      <w:r>
        <w:rPr>
          <w:spacing w:val="2"/>
          <w:w w:val="120"/>
          <w:sz w:val="20"/>
        </w:rPr>
        <w:t>rule </w:t>
      </w:r>
      <w:r>
        <w:rPr>
          <w:w w:val="120"/>
          <w:sz w:val="20"/>
        </w:rPr>
        <w:t>over the nations.   </w:t>
      </w:r>
      <w:r>
        <w:rPr>
          <w:spacing w:val="2"/>
          <w:w w:val="120"/>
          <w:sz w:val="20"/>
        </w:rPr>
        <w:t>Though </w:t>
      </w:r>
      <w:r>
        <w:rPr>
          <w:w w:val="120"/>
          <w:sz w:val="20"/>
        </w:rPr>
        <w:t>not </w:t>
      </w:r>
      <w:r>
        <w:rPr>
          <w:spacing w:val="2"/>
          <w:w w:val="120"/>
          <w:sz w:val="20"/>
        </w:rPr>
        <w:t>explicitly mentioned, </w:t>
      </w:r>
      <w:r>
        <w:rPr>
          <w:w w:val="120"/>
          <w:sz w:val="20"/>
        </w:rPr>
        <w:t>it is clear that mission is </w:t>
      </w:r>
      <w:r>
        <w:rPr>
          <w:spacing w:val="2"/>
          <w:w w:val="120"/>
          <w:sz w:val="20"/>
        </w:rPr>
        <w:t>fundamental </w:t>
      </w:r>
      <w:r>
        <w:rPr>
          <w:w w:val="120"/>
          <w:sz w:val="20"/>
        </w:rPr>
        <w:t>to the   existence of the</w:t>
      </w:r>
      <w:r>
        <w:rPr>
          <w:spacing w:val="18"/>
          <w:w w:val="120"/>
          <w:sz w:val="20"/>
        </w:rPr>
        <w:t> </w:t>
      </w:r>
      <w:r>
        <w:rPr>
          <w:w w:val="120"/>
          <w:sz w:val="20"/>
        </w:rPr>
        <w:t>church.</w:t>
      </w:r>
    </w:p>
    <w:p>
      <w:pPr>
        <w:pStyle w:val="BodyText"/>
      </w:pPr>
    </w:p>
    <w:p>
      <w:pPr>
        <w:pStyle w:val="ListParagraph"/>
        <w:numPr>
          <w:ilvl w:val="1"/>
          <w:numId w:val="2"/>
        </w:numPr>
        <w:tabs>
          <w:tab w:pos="1814" w:val="left" w:leader="none"/>
          <w:tab w:pos="1815" w:val="left" w:leader="none"/>
        </w:tabs>
        <w:spacing w:line="235" w:lineRule="auto" w:before="0" w:after="0"/>
        <w:ind w:left="1133" w:right="2120" w:firstLine="0"/>
        <w:jc w:val="left"/>
        <w:rPr>
          <w:sz w:val="20"/>
        </w:rPr>
      </w:pPr>
      <w:r>
        <w:rPr>
          <w:w w:val="120"/>
          <w:sz w:val="20"/>
        </w:rPr>
        <w:t>A much stronger focus on mission is visible in the </w:t>
      </w:r>
      <w:r>
        <w:rPr>
          <w:i/>
          <w:w w:val="120"/>
          <w:sz w:val="20"/>
        </w:rPr>
        <w:t>Growing Up </w:t>
      </w:r>
      <w:r>
        <w:rPr>
          <w:w w:val="120"/>
          <w:sz w:val="20"/>
        </w:rPr>
        <w:t>report, adopted by the </w:t>
      </w:r>
      <w:r>
        <w:rPr>
          <w:spacing w:val="-4"/>
          <w:w w:val="120"/>
          <w:sz w:val="20"/>
        </w:rPr>
        <w:t>1999 </w:t>
      </w:r>
      <w:r>
        <w:rPr>
          <w:w w:val="120"/>
          <w:sz w:val="20"/>
        </w:rPr>
        <w:t>General Assembly. The United Reformed Church was expressing its intention  to focus on faithful participation in God’s mission, rather than on the future of the URC as</w:t>
      </w:r>
      <w:r>
        <w:rPr>
          <w:spacing w:val="-4"/>
          <w:w w:val="120"/>
          <w:sz w:val="20"/>
        </w:rPr>
        <w:t> </w:t>
      </w:r>
      <w:r>
        <w:rPr>
          <w:w w:val="120"/>
          <w:sz w:val="20"/>
        </w:rPr>
        <w:t>a</w:t>
      </w:r>
      <w:r>
        <w:rPr>
          <w:spacing w:val="-4"/>
          <w:w w:val="120"/>
          <w:sz w:val="20"/>
        </w:rPr>
        <w:t> </w:t>
      </w:r>
      <w:r>
        <w:rPr>
          <w:w w:val="120"/>
          <w:sz w:val="20"/>
        </w:rPr>
        <w:t>Church.</w:t>
      </w:r>
      <w:r>
        <w:rPr>
          <w:spacing w:val="-4"/>
          <w:w w:val="120"/>
          <w:sz w:val="20"/>
        </w:rPr>
        <w:t> </w:t>
      </w:r>
      <w:r>
        <w:rPr>
          <w:i/>
          <w:w w:val="120"/>
          <w:sz w:val="20"/>
        </w:rPr>
        <w:t>Growing</w:t>
      </w:r>
      <w:r>
        <w:rPr>
          <w:i/>
          <w:spacing w:val="-7"/>
          <w:w w:val="120"/>
          <w:sz w:val="20"/>
        </w:rPr>
        <w:t> </w:t>
      </w:r>
      <w:r>
        <w:rPr>
          <w:i/>
          <w:w w:val="120"/>
          <w:sz w:val="20"/>
        </w:rPr>
        <w:t>Up</w:t>
      </w:r>
      <w:r>
        <w:rPr>
          <w:i/>
          <w:spacing w:val="-4"/>
          <w:w w:val="120"/>
          <w:sz w:val="20"/>
        </w:rPr>
        <w:t> </w:t>
      </w:r>
      <w:r>
        <w:rPr>
          <w:w w:val="120"/>
          <w:sz w:val="20"/>
        </w:rPr>
        <w:t>attempted</w:t>
      </w:r>
      <w:r>
        <w:rPr>
          <w:spacing w:val="-4"/>
          <w:w w:val="120"/>
          <w:sz w:val="20"/>
        </w:rPr>
        <w:t> </w:t>
      </w:r>
      <w:r>
        <w:rPr>
          <w:w w:val="120"/>
          <w:sz w:val="20"/>
        </w:rPr>
        <w:t>to</w:t>
      </w:r>
      <w:r>
        <w:rPr>
          <w:spacing w:val="-4"/>
          <w:w w:val="120"/>
          <w:sz w:val="20"/>
        </w:rPr>
        <w:t> </w:t>
      </w:r>
      <w:r>
        <w:rPr>
          <w:w w:val="120"/>
          <w:sz w:val="20"/>
        </w:rPr>
        <w:t>reawaken</w:t>
      </w:r>
      <w:r>
        <w:rPr>
          <w:spacing w:val="-3"/>
          <w:w w:val="120"/>
          <w:sz w:val="20"/>
        </w:rPr>
        <w:t> </w:t>
      </w:r>
      <w:r>
        <w:rPr>
          <w:w w:val="120"/>
          <w:sz w:val="20"/>
        </w:rPr>
        <w:t>the</w:t>
      </w:r>
      <w:r>
        <w:rPr>
          <w:spacing w:val="-4"/>
          <w:w w:val="120"/>
          <w:sz w:val="20"/>
        </w:rPr>
        <w:t> </w:t>
      </w:r>
      <w:r>
        <w:rPr>
          <w:w w:val="120"/>
          <w:sz w:val="20"/>
        </w:rPr>
        <w:t>Church</w:t>
      </w:r>
      <w:r>
        <w:rPr>
          <w:spacing w:val="-4"/>
          <w:w w:val="120"/>
          <w:sz w:val="20"/>
        </w:rPr>
        <w:t> </w:t>
      </w:r>
      <w:r>
        <w:rPr>
          <w:w w:val="120"/>
          <w:sz w:val="20"/>
        </w:rPr>
        <w:t>to</w:t>
      </w:r>
      <w:r>
        <w:rPr>
          <w:spacing w:val="-4"/>
          <w:w w:val="120"/>
          <w:sz w:val="20"/>
        </w:rPr>
        <w:t> </w:t>
      </w:r>
      <w:r>
        <w:rPr>
          <w:w w:val="120"/>
          <w:sz w:val="20"/>
        </w:rPr>
        <w:t>the</w:t>
      </w:r>
      <w:r>
        <w:rPr>
          <w:spacing w:val="-4"/>
          <w:w w:val="120"/>
          <w:sz w:val="20"/>
        </w:rPr>
        <w:t> </w:t>
      </w:r>
      <w:r>
        <w:rPr>
          <w:spacing w:val="2"/>
          <w:w w:val="120"/>
          <w:sz w:val="20"/>
        </w:rPr>
        <w:t>fact</w:t>
      </w:r>
      <w:r>
        <w:rPr>
          <w:spacing w:val="-4"/>
          <w:w w:val="120"/>
          <w:sz w:val="20"/>
        </w:rPr>
        <w:t> </w:t>
      </w:r>
      <w:r>
        <w:rPr>
          <w:w w:val="120"/>
          <w:sz w:val="20"/>
        </w:rPr>
        <w:t>that</w:t>
      </w:r>
      <w:r>
        <w:rPr>
          <w:spacing w:val="-4"/>
          <w:w w:val="120"/>
          <w:sz w:val="20"/>
        </w:rPr>
        <w:t> </w:t>
      </w:r>
      <w:r>
        <w:rPr>
          <w:w w:val="120"/>
          <w:sz w:val="20"/>
        </w:rPr>
        <w:t>it</w:t>
      </w:r>
      <w:r>
        <w:rPr>
          <w:spacing w:val="-4"/>
          <w:w w:val="120"/>
          <w:sz w:val="20"/>
        </w:rPr>
        <w:t> </w:t>
      </w:r>
      <w:r>
        <w:rPr>
          <w:w w:val="120"/>
          <w:sz w:val="20"/>
        </w:rPr>
        <w:t>is</w:t>
      </w:r>
      <w:r>
        <w:rPr>
          <w:spacing w:val="-4"/>
          <w:w w:val="120"/>
          <w:sz w:val="20"/>
        </w:rPr>
        <w:t> </w:t>
      </w:r>
      <w:r>
        <w:rPr>
          <w:w w:val="120"/>
          <w:sz w:val="20"/>
        </w:rPr>
        <w:t>mission-</w:t>
      </w:r>
    </w:p>
    <w:p>
      <w:pPr>
        <w:spacing w:after="0" w:line="235" w:lineRule="auto"/>
        <w:jc w:val="left"/>
        <w:rPr>
          <w:sz w:val="20"/>
        </w:rPr>
        <w:sectPr>
          <w:footerReference w:type="even" r:id="rId27"/>
          <w:footerReference w:type="default" r:id="rId28"/>
          <w:pgSz w:w="11910" w:h="16840"/>
          <w:pgMar w:footer="600" w:header="0" w:top="1120" w:bottom="800" w:left="0" w:right="0"/>
          <w:pgNumType w:start="8"/>
        </w:sectPr>
      </w:pPr>
    </w:p>
    <w:p>
      <w:pPr>
        <w:pStyle w:val="BodyText"/>
        <w:spacing w:line="235" w:lineRule="auto" w:before="70"/>
        <w:ind w:left="1984" w:right="1120"/>
      </w:pPr>
      <w:r>
        <w:rPr/>
        <w:pict>
          <v:rect style="position:absolute;margin-left:558.424988pt;margin-top:7.453854pt;width:22.677pt;height:22.677pt;mso-position-horizontal-relative:page;mso-position-vertical-relative:paragraph;z-index:251717632" filled="true" fillcolor="#f9e9c1" stroked="false">
            <v:fill opacity="32768f" type="solid"/>
            <w10:wrap type="none"/>
          </v:rect>
        </w:pict>
      </w:r>
      <w:r>
        <w:rPr/>
        <w:pict>
          <v:line style="position:absolute;mso-position-horizontal-relative:page;mso-position-vertical-relative:page;z-index:251718656" from="78.870102pt,59.687916pt" to="78.870102pt,797.873916pt" stroked="true" strokeweight="1pt" strokecolor="#868685">
            <v:stroke dashstyle="dot"/>
            <w10:wrap type="none"/>
          </v:line>
        </w:pict>
      </w:r>
      <w:r>
        <w:rPr>
          <w:w w:val="120"/>
        </w:rPr>
        <w:t>shaped and that in the words of Emil Brunner, it ‘exists by mission as fire exists by burning’. This found further expression in the strapline of the </w:t>
      </w:r>
      <w:r>
        <w:rPr>
          <w:i/>
          <w:w w:val="120"/>
        </w:rPr>
        <w:t>Catch the Vision </w:t>
      </w:r>
      <w:r>
        <w:rPr>
          <w:w w:val="120"/>
        </w:rPr>
        <w:t>process</w:t>
      </w:r>
    </w:p>
    <w:p>
      <w:pPr>
        <w:pStyle w:val="BodyText"/>
        <w:spacing w:line="235" w:lineRule="auto" w:before="2"/>
        <w:ind w:left="1984" w:right="1120"/>
      </w:pPr>
      <w:r>
        <w:rPr>
          <w:w w:val="120"/>
        </w:rPr>
        <w:t>in 2004: ‘called to be God’s people, transformed by the Gospel, making a difference for Christ’s sake’.</w:t>
      </w:r>
    </w:p>
    <w:p>
      <w:pPr>
        <w:pStyle w:val="BodyText"/>
        <w:spacing w:before="9"/>
        <w:rPr>
          <w:sz w:val="19"/>
        </w:rPr>
      </w:pPr>
    </w:p>
    <w:p>
      <w:pPr>
        <w:pStyle w:val="ListParagraph"/>
        <w:numPr>
          <w:ilvl w:val="1"/>
          <w:numId w:val="2"/>
        </w:numPr>
        <w:tabs>
          <w:tab w:pos="2664" w:val="left" w:leader="none"/>
          <w:tab w:pos="2665" w:val="left" w:leader="none"/>
        </w:tabs>
        <w:spacing w:line="235" w:lineRule="auto" w:before="0" w:after="0"/>
        <w:ind w:left="1984" w:right="1320" w:firstLine="0"/>
        <w:jc w:val="left"/>
        <w:rPr>
          <w:sz w:val="20"/>
        </w:rPr>
      </w:pPr>
      <w:r>
        <w:rPr>
          <w:i/>
          <w:w w:val="120"/>
          <w:sz w:val="20"/>
        </w:rPr>
        <w:t>vision2020 </w:t>
      </w:r>
      <w:r>
        <w:rPr>
          <w:w w:val="120"/>
          <w:sz w:val="20"/>
        </w:rPr>
        <w:t>builds on this understanding of mission and the </w:t>
      </w:r>
      <w:r>
        <w:rPr>
          <w:spacing w:val="-3"/>
          <w:w w:val="120"/>
          <w:sz w:val="20"/>
        </w:rPr>
        <w:t>church’s </w:t>
      </w:r>
      <w:r>
        <w:rPr>
          <w:w w:val="120"/>
          <w:sz w:val="20"/>
        </w:rPr>
        <w:t>role in it. It takes as its fundamental starting point that mission is God’s activity and entails all that God is doing to transform this world into the reign of God. It is a mission that finds its ultimate expression in Jesus and continues throughout history through the Spirit. The focus and scope of God’s mission is the transformation of all of created reality into what God intended in</w:t>
      </w:r>
      <w:r>
        <w:rPr>
          <w:spacing w:val="7"/>
          <w:w w:val="120"/>
          <w:sz w:val="20"/>
        </w:rPr>
        <w:t> </w:t>
      </w:r>
      <w:r>
        <w:rPr>
          <w:w w:val="120"/>
          <w:sz w:val="20"/>
        </w:rPr>
        <w:t>creation.</w:t>
      </w:r>
    </w:p>
    <w:p>
      <w:pPr>
        <w:pStyle w:val="BodyText"/>
      </w:pPr>
    </w:p>
    <w:p>
      <w:pPr>
        <w:pStyle w:val="ListParagraph"/>
        <w:numPr>
          <w:ilvl w:val="1"/>
          <w:numId w:val="2"/>
        </w:numPr>
        <w:tabs>
          <w:tab w:pos="2665" w:val="left" w:leader="none"/>
        </w:tabs>
        <w:spacing w:line="235" w:lineRule="auto" w:before="0" w:after="0"/>
        <w:ind w:left="1984" w:right="1456" w:firstLine="0"/>
        <w:jc w:val="both"/>
        <w:rPr>
          <w:sz w:val="20"/>
        </w:rPr>
      </w:pPr>
      <w:r>
        <w:rPr>
          <w:w w:val="120"/>
          <w:sz w:val="20"/>
        </w:rPr>
        <w:t>The Church is called, sent and empowered by God, through the Holy Spirit, to join in God’s mission of transformation. It is the Church-in-mission that is recognisably the community of the followers of</w:t>
      </w:r>
      <w:r>
        <w:rPr>
          <w:spacing w:val="9"/>
          <w:w w:val="120"/>
          <w:sz w:val="20"/>
        </w:rPr>
        <w:t> </w:t>
      </w:r>
      <w:r>
        <w:rPr>
          <w:w w:val="120"/>
          <w:sz w:val="20"/>
        </w:rPr>
        <w:t>Jesus.</w:t>
      </w:r>
    </w:p>
    <w:p>
      <w:pPr>
        <w:pStyle w:val="BodyText"/>
        <w:spacing w:before="10"/>
        <w:rPr>
          <w:sz w:val="19"/>
        </w:rPr>
      </w:pPr>
    </w:p>
    <w:p>
      <w:pPr>
        <w:pStyle w:val="ListParagraph"/>
        <w:numPr>
          <w:ilvl w:val="1"/>
          <w:numId w:val="2"/>
        </w:numPr>
        <w:tabs>
          <w:tab w:pos="2664" w:val="left" w:leader="none"/>
          <w:tab w:pos="2665" w:val="left" w:leader="none"/>
        </w:tabs>
        <w:spacing w:line="235" w:lineRule="auto" w:before="1" w:after="0"/>
        <w:ind w:left="1984" w:right="1273" w:firstLine="0"/>
        <w:jc w:val="left"/>
        <w:rPr>
          <w:sz w:val="20"/>
        </w:rPr>
      </w:pPr>
      <w:r>
        <w:rPr>
          <w:w w:val="120"/>
          <w:sz w:val="20"/>
        </w:rPr>
        <w:t>God’s mission is to be understood as all that God is doing to transform the world into God’s reign. Therefore mission has a comprehensive character. The </w:t>
      </w:r>
      <w:r>
        <w:rPr>
          <w:i/>
          <w:w w:val="120"/>
          <w:sz w:val="20"/>
        </w:rPr>
        <w:t>Growing Up </w:t>
      </w:r>
      <w:r>
        <w:rPr>
          <w:spacing w:val="2"/>
          <w:w w:val="120"/>
          <w:sz w:val="20"/>
        </w:rPr>
        <w:t>report </w:t>
      </w:r>
      <w:r>
        <w:rPr>
          <w:w w:val="120"/>
          <w:sz w:val="20"/>
        </w:rPr>
        <w:t>expressed this in the Five Marks of Mission. </w:t>
      </w:r>
      <w:r>
        <w:rPr>
          <w:i/>
          <w:w w:val="120"/>
          <w:sz w:val="20"/>
        </w:rPr>
        <w:t>vision2020 </w:t>
      </w:r>
      <w:r>
        <w:rPr>
          <w:w w:val="120"/>
          <w:sz w:val="20"/>
        </w:rPr>
        <w:t>builds on these in its ten statements of mission and</w:t>
      </w:r>
      <w:r>
        <w:rPr>
          <w:spacing w:val="7"/>
          <w:w w:val="120"/>
          <w:sz w:val="20"/>
        </w:rPr>
        <w:t> </w:t>
      </w:r>
      <w:r>
        <w:rPr>
          <w:w w:val="120"/>
          <w:sz w:val="20"/>
        </w:rPr>
        <w:t>purpose.</w:t>
      </w:r>
    </w:p>
    <w:p>
      <w:pPr>
        <w:pStyle w:val="BodyText"/>
        <w:spacing w:before="11"/>
        <w:rPr>
          <w:sz w:val="19"/>
        </w:rPr>
      </w:pPr>
    </w:p>
    <w:p>
      <w:pPr>
        <w:pStyle w:val="ListParagraph"/>
        <w:numPr>
          <w:ilvl w:val="1"/>
          <w:numId w:val="2"/>
        </w:numPr>
        <w:tabs>
          <w:tab w:pos="2664" w:val="left" w:leader="none"/>
          <w:tab w:pos="2665" w:val="left" w:leader="none"/>
        </w:tabs>
        <w:spacing w:line="235" w:lineRule="auto" w:before="0" w:after="0"/>
        <w:ind w:left="1984" w:right="1177" w:firstLine="0"/>
        <w:jc w:val="left"/>
        <w:rPr>
          <w:sz w:val="20"/>
        </w:rPr>
      </w:pPr>
      <w:r>
        <w:rPr>
          <w:w w:val="120"/>
          <w:sz w:val="20"/>
        </w:rPr>
        <w:t>If mission is God’s mission and is all that God is doing to transform this world,  then mission is contextual. It is the Holy Spirit who helps us discern how God is at work  in each place. It is in the power of the Holy Spirit and through constant reflection and prayer that we are enabled to give shape to the Good News in ways that address directly the lives of the people around us. This is reflected in the ten statements, in </w:t>
      </w:r>
      <w:r>
        <w:rPr>
          <w:i/>
          <w:w w:val="120"/>
          <w:sz w:val="20"/>
        </w:rPr>
        <w:t>vision2020</w:t>
      </w:r>
      <w:r>
        <w:rPr>
          <w:w w:val="120"/>
          <w:sz w:val="20"/>
        </w:rPr>
        <w:t>’s principles and approach and in the concept of the local mission</w:t>
      </w:r>
      <w:r>
        <w:rPr>
          <w:spacing w:val="48"/>
          <w:w w:val="120"/>
          <w:sz w:val="20"/>
        </w:rPr>
        <w:t> </w:t>
      </w:r>
      <w:r>
        <w:rPr>
          <w:w w:val="120"/>
          <w:sz w:val="20"/>
        </w:rPr>
        <w:t>pledges.</w:t>
      </w:r>
    </w:p>
    <w:p>
      <w:pPr>
        <w:pStyle w:val="BodyText"/>
      </w:pPr>
    </w:p>
    <w:p>
      <w:pPr>
        <w:pStyle w:val="ListParagraph"/>
        <w:numPr>
          <w:ilvl w:val="1"/>
          <w:numId w:val="2"/>
        </w:numPr>
        <w:tabs>
          <w:tab w:pos="2664" w:val="left" w:leader="none"/>
          <w:tab w:pos="2665" w:val="left" w:leader="none"/>
        </w:tabs>
        <w:spacing w:line="235" w:lineRule="auto" w:before="0" w:after="0"/>
        <w:ind w:left="1984" w:right="1149" w:firstLine="0"/>
        <w:jc w:val="left"/>
        <w:rPr>
          <w:sz w:val="20"/>
        </w:rPr>
      </w:pPr>
      <w:r>
        <w:rPr>
          <w:w w:val="120"/>
          <w:sz w:val="20"/>
        </w:rPr>
        <w:t>The Mission Committee and Mission </w:t>
      </w:r>
      <w:r>
        <w:rPr>
          <w:spacing w:val="-4"/>
          <w:w w:val="120"/>
          <w:sz w:val="20"/>
        </w:rPr>
        <w:t>Team </w:t>
      </w:r>
      <w:r>
        <w:rPr>
          <w:w w:val="120"/>
          <w:sz w:val="20"/>
        </w:rPr>
        <w:t>have sought to express these principles in the Mission Creed </w:t>
      </w:r>
      <w:r>
        <w:rPr>
          <w:spacing w:val="-4"/>
          <w:w w:val="120"/>
          <w:sz w:val="20"/>
        </w:rPr>
        <w:t>(see </w:t>
      </w:r>
      <w:r>
        <w:rPr>
          <w:w w:val="120"/>
          <w:sz w:val="20"/>
        </w:rPr>
        <w:t>Annexe </w:t>
      </w:r>
      <w:r>
        <w:rPr>
          <w:spacing w:val="-8"/>
          <w:w w:val="120"/>
          <w:sz w:val="20"/>
        </w:rPr>
        <w:t>1, </w:t>
      </w:r>
      <w:r>
        <w:rPr>
          <w:w w:val="120"/>
          <w:sz w:val="20"/>
        </w:rPr>
        <w:t>page</w:t>
      </w:r>
      <w:r>
        <w:rPr>
          <w:spacing w:val="35"/>
          <w:w w:val="120"/>
          <w:sz w:val="20"/>
        </w:rPr>
        <w:t> </w:t>
      </w:r>
      <w:r>
        <w:rPr>
          <w:spacing w:val="-7"/>
          <w:w w:val="120"/>
          <w:sz w:val="20"/>
        </w:rPr>
        <w:t>17).</w:t>
      </w:r>
    </w:p>
    <w:p>
      <w:pPr>
        <w:numPr>
          <w:ilvl w:val="0"/>
          <w:numId w:val="2"/>
        </w:numPr>
        <w:tabs>
          <w:tab w:pos="2705" w:val="left" w:leader="none"/>
        </w:tabs>
        <w:spacing w:before="215"/>
        <w:ind w:left="2704" w:right="0" w:hanging="721"/>
        <w:jc w:val="both"/>
        <w:rPr>
          <w:rFonts w:ascii="Stone Sans II ITC Std Bk"/>
          <w:b/>
          <w:sz w:val="21"/>
        </w:rPr>
      </w:pPr>
      <w:r>
        <w:rPr>
          <w:rFonts w:ascii="Stone Sans II ITC Std Bk"/>
          <w:b/>
          <w:w w:val="115"/>
          <w:sz w:val="21"/>
        </w:rPr>
        <w:t>Challenges and</w:t>
      </w:r>
      <w:r>
        <w:rPr>
          <w:rFonts w:ascii="Stone Sans II ITC Std Bk"/>
          <w:b/>
          <w:spacing w:val="-4"/>
          <w:w w:val="115"/>
          <w:sz w:val="21"/>
        </w:rPr>
        <w:t> </w:t>
      </w:r>
      <w:r>
        <w:rPr>
          <w:rFonts w:ascii="Stone Sans II ITC Std Bk"/>
          <w:b/>
          <w:w w:val="115"/>
          <w:sz w:val="21"/>
        </w:rPr>
        <w:t>tensions</w:t>
      </w:r>
    </w:p>
    <w:p>
      <w:pPr>
        <w:pStyle w:val="BodyText"/>
        <w:spacing w:line="235" w:lineRule="auto" w:before="223"/>
        <w:ind w:left="1984" w:right="1120"/>
      </w:pPr>
      <w:r>
        <w:rPr>
          <w:w w:val="120"/>
        </w:rPr>
        <w:t>As with much theological endeavour, our engagement in mission is not without questions, challenges and apparent contradictions. These have been made explicit in a number of ways as churches, synods and committees have engaged with the </w:t>
      </w:r>
      <w:r>
        <w:rPr>
          <w:i/>
          <w:w w:val="120"/>
        </w:rPr>
        <w:t>vision2020 </w:t>
      </w:r>
      <w:r>
        <w:rPr>
          <w:w w:val="120"/>
        </w:rPr>
        <w:t>materials.</w:t>
      </w:r>
    </w:p>
    <w:p>
      <w:pPr>
        <w:pStyle w:val="BodyText"/>
        <w:spacing w:line="235" w:lineRule="auto" w:before="2"/>
        <w:ind w:left="1984" w:right="1120"/>
      </w:pPr>
      <w:r>
        <w:rPr>
          <w:w w:val="120"/>
        </w:rPr>
        <w:t>Whilst much of the </w:t>
      </w:r>
      <w:r>
        <w:rPr>
          <w:i/>
          <w:spacing w:val="-4"/>
          <w:w w:val="120"/>
        </w:rPr>
        <w:t>vision2020 </w:t>
      </w:r>
      <w:r>
        <w:rPr>
          <w:spacing w:val="-3"/>
          <w:w w:val="120"/>
        </w:rPr>
        <w:t>consultation </w:t>
      </w:r>
      <w:r>
        <w:rPr>
          <w:w w:val="120"/>
        </w:rPr>
        <w:t>feedback can be reflected in changes </w:t>
      </w:r>
      <w:r>
        <w:rPr>
          <w:spacing w:val="-3"/>
          <w:w w:val="120"/>
        </w:rPr>
        <w:t>to </w:t>
      </w:r>
      <w:r>
        <w:rPr>
          <w:w w:val="120"/>
        </w:rPr>
        <w:t>our statements and plans, there are some more fundamental </w:t>
      </w:r>
      <w:r>
        <w:rPr>
          <w:spacing w:val="-3"/>
          <w:w w:val="120"/>
        </w:rPr>
        <w:t>tensions </w:t>
      </w:r>
      <w:r>
        <w:rPr>
          <w:w w:val="120"/>
        </w:rPr>
        <w:t>and challenges which </w:t>
      </w:r>
      <w:r>
        <w:rPr>
          <w:spacing w:val="-2"/>
          <w:w w:val="120"/>
        </w:rPr>
        <w:t>cannot </w:t>
      </w:r>
      <w:r>
        <w:rPr>
          <w:w w:val="120"/>
        </w:rPr>
        <w:t>be </w:t>
      </w:r>
      <w:r>
        <w:rPr>
          <w:spacing w:val="-3"/>
          <w:w w:val="120"/>
        </w:rPr>
        <w:t>easily </w:t>
      </w:r>
      <w:r>
        <w:rPr>
          <w:w w:val="120"/>
        </w:rPr>
        <w:t>resolved. These are challenges that we need </w:t>
      </w:r>
      <w:r>
        <w:rPr>
          <w:spacing w:val="-3"/>
          <w:w w:val="120"/>
        </w:rPr>
        <w:t>to </w:t>
      </w:r>
      <w:r>
        <w:rPr>
          <w:spacing w:val="-4"/>
          <w:w w:val="120"/>
        </w:rPr>
        <w:t>‘live </w:t>
      </w:r>
      <w:r>
        <w:rPr>
          <w:spacing w:val="-3"/>
          <w:w w:val="120"/>
        </w:rPr>
        <w:t>with’ </w:t>
      </w:r>
      <w:r>
        <w:rPr>
          <w:w w:val="120"/>
        </w:rPr>
        <w:t>and explore as we journey together in </w:t>
      </w:r>
      <w:r>
        <w:rPr>
          <w:spacing w:val="-4"/>
          <w:w w:val="120"/>
        </w:rPr>
        <w:t>God’s </w:t>
      </w:r>
      <w:r>
        <w:rPr>
          <w:w w:val="120"/>
        </w:rPr>
        <w:t>unfolding </w:t>
      </w:r>
      <w:r>
        <w:rPr>
          <w:spacing w:val="-3"/>
          <w:w w:val="120"/>
        </w:rPr>
        <w:t>mission. </w:t>
      </w:r>
      <w:r>
        <w:rPr>
          <w:w w:val="120"/>
        </w:rPr>
        <w:t>Here we </w:t>
      </w:r>
      <w:r>
        <w:rPr>
          <w:spacing w:val="-3"/>
          <w:w w:val="120"/>
        </w:rPr>
        <w:t>highlight </w:t>
      </w:r>
      <w:r>
        <w:rPr>
          <w:spacing w:val="-2"/>
          <w:w w:val="120"/>
        </w:rPr>
        <w:t>three:</w:t>
      </w:r>
    </w:p>
    <w:p>
      <w:pPr>
        <w:pStyle w:val="BodyText"/>
        <w:spacing w:before="7"/>
        <w:rPr>
          <w:sz w:val="19"/>
        </w:rPr>
      </w:pPr>
    </w:p>
    <w:p>
      <w:pPr>
        <w:pStyle w:val="ListParagraph"/>
        <w:numPr>
          <w:ilvl w:val="0"/>
          <w:numId w:val="3"/>
        </w:numPr>
        <w:tabs>
          <w:tab w:pos="2664" w:val="left" w:leader="none"/>
          <w:tab w:pos="2665" w:val="left" w:leader="none"/>
        </w:tabs>
        <w:spacing w:line="242" w:lineRule="exact" w:before="0" w:after="0"/>
        <w:ind w:left="2664" w:right="0" w:hanging="681"/>
        <w:jc w:val="left"/>
        <w:rPr>
          <w:i/>
          <w:sz w:val="20"/>
        </w:rPr>
      </w:pPr>
      <w:r>
        <w:rPr>
          <w:i/>
          <w:w w:val="110"/>
          <w:sz w:val="20"/>
        </w:rPr>
        <w:t>Faithfulness or</w:t>
      </w:r>
      <w:r>
        <w:rPr>
          <w:i/>
          <w:spacing w:val="6"/>
          <w:w w:val="110"/>
          <w:sz w:val="20"/>
        </w:rPr>
        <w:t> </w:t>
      </w:r>
      <w:r>
        <w:rPr>
          <w:i/>
          <w:w w:val="110"/>
          <w:sz w:val="20"/>
        </w:rPr>
        <w:t>fruitfulness</w:t>
      </w:r>
    </w:p>
    <w:p>
      <w:pPr>
        <w:pStyle w:val="BodyText"/>
        <w:spacing w:line="235" w:lineRule="auto" w:before="2"/>
        <w:ind w:left="2664" w:right="1199" w:hanging="1"/>
      </w:pPr>
      <w:r>
        <w:rPr>
          <w:i/>
          <w:w w:val="120"/>
        </w:rPr>
        <w:t>vision2020 </w:t>
      </w:r>
      <w:r>
        <w:rPr>
          <w:w w:val="120"/>
        </w:rPr>
        <w:t>aims to help the United Reformed Church plan for growth. Growth takes many forms. Every local church will be able to tell a </w:t>
      </w:r>
      <w:r>
        <w:rPr>
          <w:spacing w:val="2"/>
          <w:w w:val="120"/>
        </w:rPr>
        <w:t>story </w:t>
      </w:r>
      <w:r>
        <w:rPr>
          <w:w w:val="120"/>
        </w:rPr>
        <w:t>of how it has developed over the years, how its members have grown in faith, how it has grown </w:t>
      </w:r>
      <w:r>
        <w:rPr>
          <w:spacing w:val="2"/>
          <w:w w:val="120"/>
        </w:rPr>
        <w:t>part </w:t>
      </w:r>
      <w:r>
        <w:rPr>
          <w:w w:val="120"/>
        </w:rPr>
        <w:t>of its neighbourhood. This growth in ‘faithfulness’ is a key </w:t>
      </w:r>
      <w:r>
        <w:rPr>
          <w:spacing w:val="2"/>
          <w:w w:val="120"/>
        </w:rPr>
        <w:t>part </w:t>
      </w:r>
      <w:r>
        <w:rPr>
          <w:w w:val="120"/>
        </w:rPr>
        <w:t>of what we mean by growth. However, </w:t>
      </w:r>
      <w:r>
        <w:rPr>
          <w:i/>
          <w:w w:val="120"/>
        </w:rPr>
        <w:t>vision2020 </w:t>
      </w:r>
      <w:r>
        <w:rPr>
          <w:w w:val="120"/>
        </w:rPr>
        <w:t>is also concerned about numerical growth, not only because of institutional survival but out of the conviction that a church defined by mission ought to long to increase its shared fellowship in Christ. The growth of communities of faith which are centres of worship of God and where  the reign of God is made visible – our fruitfulness – is a key concern in</w:t>
      </w:r>
      <w:r>
        <w:rPr>
          <w:spacing w:val="52"/>
          <w:w w:val="120"/>
        </w:rPr>
        <w:t> </w:t>
      </w:r>
      <w:r>
        <w:rPr>
          <w:w w:val="120"/>
        </w:rPr>
        <w:t>mission.</w:t>
      </w:r>
    </w:p>
    <w:p>
      <w:pPr>
        <w:pStyle w:val="BodyText"/>
        <w:spacing w:before="3"/>
        <w:ind w:left="2664"/>
      </w:pPr>
      <w:r>
        <w:rPr>
          <w:w w:val="120"/>
        </w:rPr>
        <w:t>We are called to be both faithful and fruitful.</w:t>
      </w:r>
    </w:p>
    <w:p>
      <w:pPr>
        <w:pStyle w:val="BodyText"/>
        <w:spacing w:before="3"/>
        <w:rPr>
          <w:sz w:val="19"/>
        </w:rPr>
      </w:pPr>
    </w:p>
    <w:p>
      <w:pPr>
        <w:pStyle w:val="ListParagraph"/>
        <w:numPr>
          <w:ilvl w:val="0"/>
          <w:numId w:val="3"/>
        </w:numPr>
        <w:tabs>
          <w:tab w:pos="2664" w:val="left" w:leader="none"/>
          <w:tab w:pos="2665" w:val="left" w:leader="none"/>
        </w:tabs>
        <w:spacing w:line="242" w:lineRule="exact" w:before="1" w:after="0"/>
        <w:ind w:left="2664" w:right="0" w:hanging="681"/>
        <w:jc w:val="left"/>
        <w:rPr>
          <w:i/>
          <w:sz w:val="20"/>
        </w:rPr>
      </w:pPr>
      <w:r>
        <w:rPr>
          <w:i/>
          <w:w w:val="110"/>
          <w:sz w:val="20"/>
        </w:rPr>
        <w:t>Qualitative or quantitative</w:t>
      </w:r>
      <w:r>
        <w:rPr>
          <w:i/>
          <w:spacing w:val="10"/>
          <w:w w:val="110"/>
          <w:sz w:val="20"/>
        </w:rPr>
        <w:t> </w:t>
      </w:r>
      <w:r>
        <w:rPr>
          <w:i/>
          <w:w w:val="110"/>
          <w:sz w:val="20"/>
        </w:rPr>
        <w:t>measures</w:t>
      </w:r>
    </w:p>
    <w:p>
      <w:pPr>
        <w:pStyle w:val="BodyText"/>
        <w:spacing w:line="235" w:lineRule="auto" w:before="1"/>
        <w:ind w:left="2664" w:right="1273" w:hanging="1"/>
      </w:pPr>
      <w:r>
        <w:rPr>
          <w:i/>
          <w:w w:val="120"/>
        </w:rPr>
        <w:t>vision2020 </w:t>
      </w:r>
      <w:r>
        <w:rPr>
          <w:w w:val="120"/>
        </w:rPr>
        <w:t>seeks to enable churches to be more intentional in their mission planning and engagement. One of the weaknesses identified in the </w:t>
      </w:r>
      <w:r>
        <w:rPr>
          <w:i/>
          <w:w w:val="120"/>
        </w:rPr>
        <w:t>Growing Up </w:t>
      </w:r>
      <w:r>
        <w:rPr>
          <w:w w:val="120"/>
        </w:rPr>
        <w:t>process was that no clear targets were set. </w:t>
      </w:r>
      <w:r>
        <w:rPr>
          <w:i/>
          <w:w w:val="120"/>
        </w:rPr>
        <w:t>vision2020 </w:t>
      </w:r>
      <w:r>
        <w:rPr>
          <w:w w:val="120"/>
        </w:rPr>
        <w:t>has sought to address this by adding ‘indicators’ to each of the statements of our mission and purpose. It clearly recognises, however, that key to a church’s involvement in mission is the quality of its church life and not the number of activities carried out or people</w:t>
      </w:r>
    </w:p>
    <w:p>
      <w:pPr>
        <w:spacing w:after="0" w:line="235" w:lineRule="auto"/>
        <w:sectPr>
          <w:headerReference w:type="default" r:id="rId29"/>
          <w:headerReference w:type="even" r:id="rId30"/>
          <w:pgSz w:w="11910" w:h="16840"/>
          <w:pgMar w:header="0" w:footer="600" w:top="1080" w:bottom="800" w:left="0" w:right="0"/>
        </w:sectPr>
      </w:pPr>
    </w:p>
    <w:p>
      <w:pPr>
        <w:pStyle w:val="BodyText"/>
        <w:spacing w:line="235" w:lineRule="auto" w:before="3"/>
        <w:ind w:left="1814" w:right="2319"/>
        <w:jc w:val="both"/>
      </w:pPr>
      <w:r>
        <w:rPr/>
        <w:pict>
          <v:rect style="position:absolute;margin-left:12.047pt;margin-top:5.402831pt;width:22.677pt;height:22.677pt;mso-position-horizontal-relative:page;mso-position-vertical-relative:paragraph;z-index:251719680" filled="true" fillcolor="#f9e9c1" stroked="false">
            <v:fill opacity="32768f" type="solid"/>
            <w10:wrap type="none"/>
          </v:rect>
        </w:pict>
      </w:r>
      <w:r>
        <w:rPr/>
        <w:pict>
          <v:line style="position:absolute;mso-position-horizontal-relative:page;mso-position-vertical-relative:page;z-index:251720704" from="514.487183pt,59.687916pt" to="514.487183pt,797.873916pt" stroked="true" strokeweight="1pt" strokecolor="#868685">
            <v:stroke dashstyle="dot"/>
            <w10:wrap type="none"/>
          </v:line>
        </w:pict>
      </w:r>
      <w:r>
        <w:rPr>
          <w:w w:val="120"/>
        </w:rPr>
        <w:t>attending. Therefore, when we identify indicators to help us see where we are on the way, this is done in the recognition that these are only ‘signposts on the journey towards greater corporate Christ-likeness’ (Robert Warren, 2004). Our involvement in mission is as much about the being of the church as its doing.</w:t>
      </w:r>
    </w:p>
    <w:p>
      <w:pPr>
        <w:pStyle w:val="BodyText"/>
        <w:spacing w:before="7"/>
        <w:rPr>
          <w:sz w:val="19"/>
        </w:rPr>
      </w:pPr>
    </w:p>
    <w:p>
      <w:pPr>
        <w:pStyle w:val="ListParagraph"/>
        <w:numPr>
          <w:ilvl w:val="0"/>
          <w:numId w:val="3"/>
        </w:numPr>
        <w:tabs>
          <w:tab w:pos="1814" w:val="left" w:leader="none"/>
          <w:tab w:pos="1815" w:val="left" w:leader="none"/>
        </w:tabs>
        <w:spacing w:line="242" w:lineRule="exact" w:before="0" w:after="0"/>
        <w:ind w:left="1814" w:right="0" w:hanging="682"/>
        <w:jc w:val="left"/>
        <w:rPr>
          <w:i/>
          <w:sz w:val="20"/>
        </w:rPr>
      </w:pPr>
      <w:r>
        <w:rPr>
          <w:i/>
          <w:w w:val="110"/>
          <w:sz w:val="20"/>
        </w:rPr>
        <w:t>Unity and</w:t>
      </w:r>
      <w:r>
        <w:rPr>
          <w:i/>
          <w:spacing w:val="7"/>
          <w:w w:val="110"/>
          <w:sz w:val="20"/>
        </w:rPr>
        <w:t> </w:t>
      </w:r>
      <w:r>
        <w:rPr>
          <w:i/>
          <w:w w:val="110"/>
          <w:sz w:val="20"/>
        </w:rPr>
        <w:t>mission</w:t>
      </w:r>
    </w:p>
    <w:p>
      <w:pPr>
        <w:pStyle w:val="BodyText"/>
        <w:spacing w:line="235" w:lineRule="auto" w:before="2"/>
        <w:ind w:left="1814" w:right="2111"/>
      </w:pPr>
      <w:r>
        <w:rPr>
          <w:w w:val="120"/>
        </w:rPr>
        <w:t>The United Reformed Church was founded on a vision of unity and many regarded it as a temporary stage on the way to the visible unity of the Christian Church. For some the </w:t>
      </w:r>
      <w:r>
        <w:rPr>
          <w:spacing w:val="2"/>
          <w:w w:val="120"/>
        </w:rPr>
        <w:t>fact </w:t>
      </w:r>
      <w:r>
        <w:rPr>
          <w:w w:val="120"/>
        </w:rPr>
        <w:t>that it still exists is a sign of its failure to live out its founding vision. Both the </w:t>
      </w:r>
      <w:r>
        <w:rPr>
          <w:i/>
          <w:w w:val="120"/>
        </w:rPr>
        <w:t>Growing Up </w:t>
      </w:r>
      <w:r>
        <w:rPr>
          <w:spacing w:val="2"/>
          <w:w w:val="120"/>
        </w:rPr>
        <w:t>report </w:t>
      </w:r>
      <w:r>
        <w:rPr>
          <w:w w:val="120"/>
        </w:rPr>
        <w:t>and </w:t>
      </w:r>
      <w:r>
        <w:rPr>
          <w:i/>
          <w:w w:val="120"/>
        </w:rPr>
        <w:t>Catch the Vision </w:t>
      </w:r>
      <w:r>
        <w:rPr>
          <w:w w:val="120"/>
        </w:rPr>
        <w:t>sought to forge a new identity for the church in the belief that it has something distinctive and vital to contribute. </w:t>
      </w:r>
      <w:r>
        <w:rPr>
          <w:i/>
          <w:w w:val="120"/>
        </w:rPr>
        <w:t>vision2020 </w:t>
      </w:r>
      <w:r>
        <w:rPr>
          <w:w w:val="120"/>
        </w:rPr>
        <w:t>builds on this belief and seeks to help churches develop an identity that is strongly rooted in God’s mission: we are called to be God’s people, transformed by the gospel, making a difference for Christ’s sake. The renewed emphasis on our identity, </w:t>
      </w:r>
      <w:r>
        <w:rPr>
          <w:spacing w:val="-3"/>
          <w:w w:val="120"/>
        </w:rPr>
        <w:t>however, </w:t>
      </w:r>
      <w:r>
        <w:rPr>
          <w:w w:val="120"/>
        </w:rPr>
        <w:t>needs to be balanced with our continuing search for visible unity. Our ecumenical division falls far short of Jesus’ own vision of the unity of the church, and the need for the continued witness</w:t>
      </w:r>
      <w:r>
        <w:rPr>
          <w:spacing w:val="46"/>
          <w:w w:val="120"/>
        </w:rPr>
        <w:t> </w:t>
      </w:r>
      <w:r>
        <w:rPr>
          <w:w w:val="120"/>
        </w:rPr>
        <w:t>of</w:t>
      </w:r>
    </w:p>
    <w:p>
      <w:pPr>
        <w:pStyle w:val="BodyText"/>
        <w:spacing w:line="235" w:lineRule="auto" w:before="8"/>
        <w:ind w:left="1814" w:right="1997"/>
      </w:pPr>
      <w:r>
        <w:rPr>
          <w:w w:val="120"/>
        </w:rPr>
        <w:t>the United Reformed Church to the hope and goal of Christian unity remains. The aim of </w:t>
      </w:r>
      <w:r>
        <w:rPr>
          <w:i/>
          <w:w w:val="120"/>
        </w:rPr>
        <w:t>vision2020 </w:t>
      </w:r>
      <w:r>
        <w:rPr>
          <w:w w:val="120"/>
        </w:rPr>
        <w:t>is to balance the church’s commitment to the unity of all God’s people with a similar commitment to share in God’s mission. As with fruitfulness and faithfulness, unity and mission are not mutually exclusive goals; indeed they must be nurtured hand in hand.</w:t>
      </w:r>
    </w:p>
    <w:p>
      <w:pPr>
        <w:pStyle w:val="BodyText"/>
        <w:spacing w:before="10"/>
        <w:rPr>
          <w:sz w:val="17"/>
        </w:rPr>
      </w:pPr>
    </w:p>
    <w:p>
      <w:pPr>
        <w:numPr>
          <w:ilvl w:val="0"/>
          <w:numId w:val="2"/>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Links to other URC</w:t>
      </w:r>
      <w:r>
        <w:rPr>
          <w:rFonts w:ascii="Stone Sans II ITC Std Bk"/>
          <w:b/>
          <w:spacing w:val="-7"/>
          <w:w w:val="115"/>
          <w:sz w:val="21"/>
        </w:rPr>
        <w:t> </w:t>
      </w:r>
      <w:r>
        <w:rPr>
          <w:rFonts w:ascii="Stone Sans II ITC Std Bk"/>
          <w:b/>
          <w:w w:val="115"/>
          <w:sz w:val="21"/>
        </w:rPr>
        <w:t>programmes</w:t>
      </w:r>
    </w:p>
    <w:p>
      <w:pPr>
        <w:pStyle w:val="ListParagraph"/>
        <w:numPr>
          <w:ilvl w:val="1"/>
          <w:numId w:val="2"/>
        </w:numPr>
        <w:tabs>
          <w:tab w:pos="1814" w:val="left" w:leader="none"/>
          <w:tab w:pos="1815" w:val="left" w:leader="none"/>
        </w:tabs>
        <w:spacing w:line="235" w:lineRule="auto" w:before="223" w:after="0"/>
        <w:ind w:left="1133" w:right="2305" w:firstLine="0"/>
        <w:jc w:val="left"/>
        <w:rPr>
          <w:sz w:val="20"/>
        </w:rPr>
      </w:pPr>
      <w:r>
        <w:rPr>
          <w:w w:val="120"/>
          <w:sz w:val="20"/>
        </w:rPr>
        <w:t>One of the most common concerns expressed during the consultation was that churches are suffering from ‘initiative overload’ (although very few local</w:t>
      </w:r>
      <w:r>
        <w:rPr>
          <w:spacing w:val="26"/>
          <w:w w:val="120"/>
          <w:sz w:val="20"/>
        </w:rPr>
        <w:t> </w:t>
      </w:r>
      <w:r>
        <w:rPr>
          <w:w w:val="120"/>
          <w:sz w:val="20"/>
        </w:rPr>
        <w:t>churches</w:t>
      </w:r>
    </w:p>
    <w:p>
      <w:pPr>
        <w:pStyle w:val="BodyText"/>
        <w:spacing w:line="194" w:lineRule="auto" w:before="34"/>
        <w:ind w:left="1133" w:right="2191"/>
      </w:pPr>
      <w:r>
        <w:rPr/>
        <w:drawing>
          <wp:anchor distT="0" distB="0" distL="0" distR="0" allowOverlap="1" layoutInCell="1" locked="0" behindDoc="1" simplePos="0" relativeHeight="235614208">
            <wp:simplePos x="0" y="0"/>
            <wp:positionH relativeFrom="page">
              <wp:posOffset>1724701</wp:posOffset>
            </wp:positionH>
            <wp:positionV relativeFrom="paragraph">
              <wp:posOffset>144641</wp:posOffset>
            </wp:positionV>
            <wp:extent cx="232858" cy="181203"/>
            <wp:effectExtent l="0" t="0" r="0" b="0"/>
            <wp:wrapNone/>
            <wp:docPr id="9" name="image15.png"/>
            <wp:cNvGraphicFramePr>
              <a:graphicFrameLocks noChangeAspect="1"/>
            </wp:cNvGraphicFramePr>
            <a:graphic>
              <a:graphicData uri="http://schemas.openxmlformats.org/drawingml/2006/picture">
                <pic:pic>
                  <pic:nvPicPr>
                    <pic:cNvPr id="10" name="image15.png"/>
                    <pic:cNvPicPr/>
                  </pic:nvPicPr>
                  <pic:blipFill>
                    <a:blip r:embed="rId31" cstate="print"/>
                    <a:stretch>
                      <a:fillRect/>
                    </a:stretch>
                  </pic:blipFill>
                  <pic:spPr>
                    <a:xfrm>
                      <a:off x="0" y="0"/>
                      <a:ext cx="232858" cy="181203"/>
                    </a:xfrm>
                    <a:prstGeom prst="rect">
                      <a:avLst/>
                    </a:prstGeom>
                  </pic:spPr>
                </pic:pic>
              </a:graphicData>
            </a:graphic>
          </wp:anchor>
        </w:drawing>
      </w:r>
      <w:r>
        <w:rPr>
          <w:w w:val="120"/>
        </w:rPr>
        <w:t>expressed this view directly </w:t>
      </w:r>
      <w:r>
        <w:rPr>
          <w:spacing w:val="-3"/>
          <w:w w:val="120"/>
        </w:rPr>
        <w:t>themselves). </w:t>
      </w:r>
      <w:r>
        <w:rPr>
          <w:w w:val="120"/>
        </w:rPr>
        <w:t>At the heart of these concerns are four </w:t>
      </w:r>
      <w:r>
        <w:rPr>
          <w:w w:val="115"/>
        </w:rPr>
        <w:t>initiatives: </w:t>
      </w:r>
      <w:r>
        <w:rPr>
          <w:rFonts w:ascii="Arial Rounded MT Bold"/>
          <w:sz w:val="21"/>
        </w:rPr>
        <w:t>Vision4</w:t>
      </w:r>
      <w:r>
        <w:rPr>
          <w:rFonts w:ascii="Bradley Hand ITC"/>
          <w:color w:val="C20D19"/>
          <w:sz w:val="28"/>
        </w:rPr>
        <w:t>Life</w:t>
      </w:r>
      <w:r>
        <w:rPr/>
        <w:t>, </w:t>
      </w:r>
      <w:r>
        <w:rPr>
          <w:i/>
          <w:spacing w:val="-3"/>
          <w:w w:val="115"/>
        </w:rPr>
        <w:t>vision2020</w:t>
      </w:r>
      <w:r>
        <w:rPr>
          <w:spacing w:val="-3"/>
          <w:w w:val="115"/>
        </w:rPr>
        <w:t>, </w:t>
      </w:r>
      <w:r>
        <w:rPr>
          <w:w w:val="115"/>
        </w:rPr>
        <w:t>the </w:t>
      </w:r>
      <w:r>
        <w:rPr>
          <w:i/>
          <w:w w:val="115"/>
        </w:rPr>
        <w:t>Marketing Campaign </w:t>
      </w:r>
      <w:r>
        <w:rPr>
          <w:w w:val="115"/>
        </w:rPr>
        <w:t>and Challenge to the Church. </w:t>
      </w:r>
      <w:r>
        <w:rPr>
          <w:w w:val="120"/>
        </w:rPr>
        <w:t>Following numerous discussions with the General Secretary, Committee</w:t>
      </w:r>
      <w:r>
        <w:rPr>
          <w:spacing w:val="52"/>
          <w:w w:val="120"/>
        </w:rPr>
        <w:t> </w:t>
      </w:r>
      <w:r>
        <w:rPr>
          <w:w w:val="120"/>
        </w:rPr>
        <w:t>Convenors,</w:t>
      </w:r>
    </w:p>
    <w:p>
      <w:pPr>
        <w:pStyle w:val="BodyText"/>
        <w:spacing w:line="235" w:lineRule="auto" w:before="9"/>
        <w:ind w:left="1133" w:right="1997"/>
      </w:pPr>
      <w:r>
        <w:rPr>
          <w:w w:val="120"/>
        </w:rPr>
        <w:t>working groups and Synod Moderators, a clear pattern has been established as to how these programmes relate.</w:t>
      </w:r>
    </w:p>
    <w:p>
      <w:pPr>
        <w:pStyle w:val="BodyText"/>
        <w:spacing w:before="8"/>
      </w:pPr>
    </w:p>
    <w:p>
      <w:pPr>
        <w:pStyle w:val="ListParagraph"/>
        <w:numPr>
          <w:ilvl w:val="1"/>
          <w:numId w:val="2"/>
        </w:numPr>
        <w:tabs>
          <w:tab w:pos="1814" w:val="left" w:leader="none"/>
          <w:tab w:pos="1815" w:val="left" w:leader="none"/>
        </w:tabs>
        <w:spacing w:line="177" w:lineRule="auto" w:before="0" w:after="0"/>
        <w:ind w:left="1133" w:right="2199" w:firstLine="0"/>
        <w:jc w:val="left"/>
        <w:rPr>
          <w:sz w:val="20"/>
        </w:rPr>
      </w:pPr>
      <w:r>
        <w:rPr/>
        <w:drawing>
          <wp:anchor distT="0" distB="0" distL="0" distR="0" allowOverlap="1" layoutInCell="1" locked="0" behindDoc="1" simplePos="0" relativeHeight="235615232">
            <wp:simplePos x="0" y="0"/>
            <wp:positionH relativeFrom="page">
              <wp:posOffset>5425516</wp:posOffset>
            </wp:positionH>
            <wp:positionV relativeFrom="paragraph">
              <wp:posOffset>-15529</wp:posOffset>
            </wp:positionV>
            <wp:extent cx="232857" cy="181203"/>
            <wp:effectExtent l="0" t="0" r="0" b="0"/>
            <wp:wrapNone/>
            <wp:docPr id="11" name="image16.png"/>
            <wp:cNvGraphicFramePr>
              <a:graphicFrameLocks noChangeAspect="1"/>
            </wp:cNvGraphicFramePr>
            <a:graphic>
              <a:graphicData uri="http://schemas.openxmlformats.org/drawingml/2006/picture">
                <pic:pic>
                  <pic:nvPicPr>
                    <pic:cNvPr id="12" name="image16.png"/>
                    <pic:cNvPicPr/>
                  </pic:nvPicPr>
                  <pic:blipFill>
                    <a:blip r:embed="rId32" cstate="print"/>
                    <a:stretch>
                      <a:fillRect/>
                    </a:stretch>
                  </pic:blipFill>
                  <pic:spPr>
                    <a:xfrm>
                      <a:off x="0" y="0"/>
                      <a:ext cx="232857" cy="181203"/>
                    </a:xfrm>
                    <a:prstGeom prst="rect">
                      <a:avLst/>
                    </a:prstGeom>
                  </pic:spPr>
                </pic:pic>
              </a:graphicData>
            </a:graphic>
          </wp:anchor>
        </w:drawing>
      </w:r>
      <w:r>
        <w:rPr/>
        <w:drawing>
          <wp:anchor distT="0" distB="0" distL="0" distR="0" allowOverlap="1" layoutInCell="1" locked="0" behindDoc="1" simplePos="0" relativeHeight="235616256">
            <wp:simplePos x="0" y="0"/>
            <wp:positionH relativeFrom="page">
              <wp:posOffset>3012962</wp:posOffset>
            </wp:positionH>
            <wp:positionV relativeFrom="paragraph">
              <wp:posOffset>136870</wp:posOffset>
            </wp:positionV>
            <wp:extent cx="232857" cy="181203"/>
            <wp:effectExtent l="0" t="0" r="0" b="0"/>
            <wp:wrapNone/>
            <wp:docPr id="13" name="image17.png"/>
            <wp:cNvGraphicFramePr>
              <a:graphicFrameLocks noChangeAspect="1"/>
            </wp:cNvGraphicFramePr>
            <a:graphic>
              <a:graphicData uri="http://schemas.openxmlformats.org/drawingml/2006/picture">
                <pic:pic>
                  <pic:nvPicPr>
                    <pic:cNvPr id="14" name="image17.png"/>
                    <pic:cNvPicPr/>
                  </pic:nvPicPr>
                  <pic:blipFill>
                    <a:blip r:embed="rId33" cstate="print"/>
                    <a:stretch>
                      <a:fillRect/>
                    </a:stretch>
                  </pic:blipFill>
                  <pic:spPr>
                    <a:xfrm>
                      <a:off x="0" y="0"/>
                      <a:ext cx="232857" cy="181203"/>
                    </a:xfrm>
                    <a:prstGeom prst="rect">
                      <a:avLst/>
                    </a:prstGeom>
                  </pic:spPr>
                </pic:pic>
              </a:graphicData>
            </a:graphic>
          </wp:anchor>
        </w:drawing>
      </w:r>
      <w:r>
        <w:rPr>
          <w:w w:val="115"/>
          <w:sz w:val="20"/>
        </w:rPr>
        <w:t>The primary focus for local church activity until Advent </w:t>
      </w:r>
      <w:r>
        <w:rPr>
          <w:spacing w:val="-8"/>
          <w:w w:val="115"/>
          <w:sz w:val="20"/>
        </w:rPr>
        <w:t>2011 </w:t>
      </w:r>
      <w:r>
        <w:rPr>
          <w:w w:val="115"/>
          <w:sz w:val="20"/>
        </w:rPr>
        <w:t>is </w:t>
      </w:r>
      <w:r>
        <w:rPr>
          <w:rFonts w:ascii="Arial Rounded MT Bold"/>
          <w:sz w:val="21"/>
        </w:rPr>
        <w:t>Vision4</w:t>
      </w:r>
      <w:r>
        <w:rPr>
          <w:rFonts w:ascii="Bradley Hand ITC"/>
          <w:color w:val="C20D19"/>
          <w:sz w:val="28"/>
        </w:rPr>
        <w:t>Life</w:t>
      </w:r>
      <w:r>
        <w:rPr>
          <w:sz w:val="20"/>
        </w:rPr>
        <w:t>. </w:t>
      </w:r>
      <w:r>
        <w:rPr>
          <w:w w:val="115"/>
          <w:sz w:val="20"/>
        </w:rPr>
        <w:t>We are presently in the second year of </w:t>
      </w:r>
      <w:r>
        <w:rPr>
          <w:rFonts w:ascii="Arial Rounded MT Bold"/>
          <w:sz w:val="21"/>
        </w:rPr>
        <w:t>Vision4</w:t>
      </w:r>
      <w:r>
        <w:rPr>
          <w:rFonts w:ascii="Bradley Hand ITC"/>
          <w:color w:val="C20D19"/>
          <w:sz w:val="28"/>
        </w:rPr>
        <w:t>Life </w:t>
      </w:r>
      <w:r>
        <w:rPr>
          <w:w w:val="115"/>
          <w:sz w:val="20"/>
        </w:rPr>
        <w:t>with its theme of Prayer. In December </w:t>
      </w:r>
      <w:r>
        <w:rPr>
          <w:spacing w:val="-6"/>
          <w:w w:val="115"/>
          <w:sz w:val="20"/>
        </w:rPr>
        <w:t>2010 </w:t>
      </w:r>
      <w:r>
        <w:rPr>
          <w:w w:val="115"/>
          <w:sz w:val="20"/>
        </w:rPr>
        <w:t>we</w:t>
      </w:r>
      <w:r>
        <w:rPr>
          <w:spacing w:val="17"/>
          <w:w w:val="115"/>
          <w:sz w:val="20"/>
        </w:rPr>
        <w:t> </w:t>
      </w:r>
      <w:r>
        <w:rPr>
          <w:w w:val="115"/>
          <w:sz w:val="20"/>
        </w:rPr>
        <w:t>will</w:t>
      </w:r>
      <w:r>
        <w:rPr>
          <w:spacing w:val="18"/>
          <w:w w:val="115"/>
          <w:sz w:val="20"/>
        </w:rPr>
        <w:t> </w:t>
      </w:r>
      <w:r>
        <w:rPr>
          <w:w w:val="115"/>
          <w:sz w:val="20"/>
        </w:rPr>
        <w:t>move</w:t>
      </w:r>
      <w:r>
        <w:rPr>
          <w:spacing w:val="18"/>
          <w:w w:val="115"/>
          <w:sz w:val="20"/>
        </w:rPr>
        <w:t> </w:t>
      </w:r>
      <w:r>
        <w:rPr>
          <w:w w:val="115"/>
          <w:sz w:val="20"/>
        </w:rPr>
        <w:t>into</w:t>
      </w:r>
      <w:r>
        <w:rPr>
          <w:spacing w:val="18"/>
          <w:w w:val="115"/>
          <w:sz w:val="20"/>
        </w:rPr>
        <w:t> </w:t>
      </w:r>
      <w:r>
        <w:rPr>
          <w:w w:val="115"/>
          <w:sz w:val="20"/>
        </w:rPr>
        <w:t>the</w:t>
      </w:r>
      <w:r>
        <w:rPr>
          <w:spacing w:val="18"/>
          <w:w w:val="115"/>
          <w:sz w:val="20"/>
        </w:rPr>
        <w:t> </w:t>
      </w:r>
      <w:r>
        <w:rPr>
          <w:w w:val="115"/>
          <w:sz w:val="20"/>
        </w:rPr>
        <w:t>Evangelism</w:t>
      </w:r>
      <w:r>
        <w:rPr>
          <w:spacing w:val="18"/>
          <w:w w:val="115"/>
          <w:sz w:val="20"/>
        </w:rPr>
        <w:t> </w:t>
      </w:r>
      <w:r>
        <w:rPr>
          <w:w w:val="115"/>
          <w:sz w:val="20"/>
        </w:rPr>
        <w:t>year</w:t>
      </w:r>
      <w:r>
        <w:rPr>
          <w:spacing w:val="17"/>
          <w:w w:val="115"/>
          <w:sz w:val="20"/>
        </w:rPr>
        <w:t> </w:t>
      </w:r>
      <w:r>
        <w:rPr>
          <w:w w:val="115"/>
          <w:sz w:val="20"/>
        </w:rPr>
        <w:t>during</w:t>
      </w:r>
      <w:r>
        <w:rPr>
          <w:spacing w:val="18"/>
          <w:w w:val="115"/>
          <w:sz w:val="20"/>
        </w:rPr>
        <w:t> </w:t>
      </w:r>
      <w:r>
        <w:rPr>
          <w:w w:val="115"/>
          <w:sz w:val="20"/>
        </w:rPr>
        <w:t>which</w:t>
      </w:r>
      <w:r>
        <w:rPr>
          <w:spacing w:val="18"/>
          <w:w w:val="115"/>
          <w:sz w:val="20"/>
        </w:rPr>
        <w:t> </w:t>
      </w:r>
      <w:r>
        <w:rPr>
          <w:w w:val="115"/>
          <w:sz w:val="20"/>
        </w:rPr>
        <w:t>the</w:t>
      </w:r>
      <w:r>
        <w:rPr>
          <w:spacing w:val="18"/>
          <w:w w:val="115"/>
          <w:sz w:val="20"/>
        </w:rPr>
        <w:t> </w:t>
      </w:r>
      <w:r>
        <w:rPr>
          <w:i/>
          <w:w w:val="115"/>
          <w:sz w:val="20"/>
        </w:rPr>
        <w:t>Marketing</w:t>
      </w:r>
      <w:r>
        <w:rPr>
          <w:i/>
          <w:spacing w:val="14"/>
          <w:w w:val="115"/>
          <w:sz w:val="20"/>
        </w:rPr>
        <w:t> </w:t>
      </w:r>
      <w:r>
        <w:rPr>
          <w:i/>
          <w:w w:val="115"/>
          <w:sz w:val="20"/>
        </w:rPr>
        <w:t>Campaign</w:t>
      </w:r>
      <w:r>
        <w:rPr>
          <w:i/>
          <w:spacing w:val="18"/>
          <w:w w:val="115"/>
          <w:sz w:val="20"/>
        </w:rPr>
        <w:t> </w:t>
      </w:r>
      <w:r>
        <w:rPr>
          <w:w w:val="115"/>
          <w:sz w:val="20"/>
        </w:rPr>
        <w:t>will</w:t>
      </w:r>
      <w:r>
        <w:rPr>
          <w:spacing w:val="18"/>
          <w:w w:val="115"/>
          <w:sz w:val="20"/>
        </w:rPr>
        <w:t> </w:t>
      </w:r>
      <w:r>
        <w:rPr>
          <w:w w:val="115"/>
          <w:sz w:val="20"/>
        </w:rPr>
        <w:t>be</w:t>
      </w:r>
    </w:p>
    <w:p>
      <w:pPr>
        <w:pStyle w:val="BodyText"/>
        <w:spacing w:line="194" w:lineRule="auto" w:before="44"/>
        <w:ind w:left="1133" w:right="2006"/>
      </w:pPr>
      <w:r>
        <w:rPr/>
        <w:drawing>
          <wp:anchor distT="0" distB="0" distL="0" distR="0" allowOverlap="1" layoutInCell="1" locked="0" behindDoc="1" simplePos="0" relativeHeight="235617280">
            <wp:simplePos x="0" y="0"/>
            <wp:positionH relativeFrom="page">
              <wp:posOffset>1221945</wp:posOffset>
            </wp:positionH>
            <wp:positionV relativeFrom="paragraph">
              <wp:posOffset>150991</wp:posOffset>
            </wp:positionV>
            <wp:extent cx="232858" cy="181203"/>
            <wp:effectExtent l="0" t="0" r="0" b="0"/>
            <wp:wrapNone/>
            <wp:docPr id="15" name="image18.png"/>
            <wp:cNvGraphicFramePr>
              <a:graphicFrameLocks noChangeAspect="1"/>
            </wp:cNvGraphicFramePr>
            <a:graphic>
              <a:graphicData uri="http://schemas.openxmlformats.org/drawingml/2006/picture">
                <pic:pic>
                  <pic:nvPicPr>
                    <pic:cNvPr id="16" name="image18.png"/>
                    <pic:cNvPicPr/>
                  </pic:nvPicPr>
                  <pic:blipFill>
                    <a:blip r:embed="rId34" cstate="print"/>
                    <a:stretch>
                      <a:fillRect/>
                    </a:stretch>
                  </pic:blipFill>
                  <pic:spPr>
                    <a:xfrm>
                      <a:off x="0" y="0"/>
                      <a:ext cx="232858" cy="181203"/>
                    </a:xfrm>
                    <a:prstGeom prst="rect">
                      <a:avLst/>
                    </a:prstGeom>
                  </pic:spPr>
                </pic:pic>
              </a:graphicData>
            </a:graphic>
          </wp:anchor>
        </w:drawing>
      </w:r>
      <w:r>
        <w:rPr/>
        <w:drawing>
          <wp:anchor distT="0" distB="0" distL="0" distR="0" allowOverlap="1" layoutInCell="1" locked="0" behindDoc="1" simplePos="0" relativeHeight="235618304">
            <wp:simplePos x="0" y="0"/>
            <wp:positionH relativeFrom="page">
              <wp:posOffset>4382432</wp:posOffset>
            </wp:positionH>
            <wp:positionV relativeFrom="paragraph">
              <wp:posOffset>150991</wp:posOffset>
            </wp:positionV>
            <wp:extent cx="232857" cy="181203"/>
            <wp:effectExtent l="0" t="0" r="0" b="0"/>
            <wp:wrapNone/>
            <wp:docPr id="17" name="image19.png"/>
            <wp:cNvGraphicFramePr>
              <a:graphicFrameLocks noChangeAspect="1"/>
            </wp:cNvGraphicFramePr>
            <a:graphic>
              <a:graphicData uri="http://schemas.openxmlformats.org/drawingml/2006/picture">
                <pic:pic>
                  <pic:nvPicPr>
                    <pic:cNvPr id="18" name="image19.png"/>
                    <pic:cNvPicPr/>
                  </pic:nvPicPr>
                  <pic:blipFill>
                    <a:blip r:embed="rId35" cstate="print"/>
                    <a:stretch>
                      <a:fillRect/>
                    </a:stretch>
                  </pic:blipFill>
                  <pic:spPr>
                    <a:xfrm>
                      <a:off x="0" y="0"/>
                      <a:ext cx="232857" cy="181203"/>
                    </a:xfrm>
                    <a:prstGeom prst="rect">
                      <a:avLst/>
                    </a:prstGeom>
                  </pic:spPr>
                </pic:pic>
              </a:graphicData>
            </a:graphic>
          </wp:anchor>
        </w:drawing>
      </w:r>
      <w:r>
        <w:rPr>
          <w:w w:val="120"/>
        </w:rPr>
        <w:t>launched which, with its focus on evangelism, will act as a resource for and complement to </w:t>
      </w:r>
      <w:r>
        <w:rPr>
          <w:rFonts w:ascii="Arial Rounded MT Bold"/>
          <w:sz w:val="21"/>
        </w:rPr>
        <w:t>Vision4</w:t>
      </w:r>
      <w:r>
        <w:rPr>
          <w:rFonts w:ascii="Bradley Hand ITC"/>
          <w:color w:val="C20D19"/>
          <w:sz w:val="28"/>
        </w:rPr>
        <w:t>Life</w:t>
      </w:r>
      <w:r>
        <w:rPr/>
        <w:t>. </w:t>
      </w:r>
      <w:r>
        <w:rPr>
          <w:w w:val="120"/>
        </w:rPr>
        <w:t>At present, the </w:t>
      </w:r>
      <w:r>
        <w:rPr>
          <w:i/>
          <w:w w:val="120"/>
        </w:rPr>
        <w:t>Marketing Campaign </w:t>
      </w:r>
      <w:r>
        <w:rPr>
          <w:w w:val="120"/>
        </w:rPr>
        <w:t>and </w:t>
      </w:r>
      <w:r>
        <w:rPr>
          <w:rFonts w:ascii="Arial Rounded MT Bold"/>
          <w:sz w:val="21"/>
        </w:rPr>
        <w:t>Vision4</w:t>
      </w:r>
      <w:r>
        <w:rPr>
          <w:rFonts w:ascii="Bradley Hand ITC"/>
          <w:color w:val="C20D19"/>
          <w:sz w:val="28"/>
        </w:rPr>
        <w:t>Life</w:t>
      </w:r>
      <w:r>
        <w:rPr>
          <w:rFonts w:ascii="Bradley Hand ITC"/>
          <w:color w:val="C20D19"/>
          <w:spacing w:val="-52"/>
          <w:sz w:val="28"/>
        </w:rPr>
        <w:t> </w:t>
      </w:r>
      <w:r>
        <w:rPr>
          <w:w w:val="120"/>
        </w:rPr>
        <w:t>steering groups are working together to ensure these initiatives are joined up.</w:t>
      </w:r>
    </w:p>
    <w:p>
      <w:pPr>
        <w:pStyle w:val="BodyText"/>
        <w:spacing w:before="5"/>
      </w:pPr>
    </w:p>
    <w:p>
      <w:pPr>
        <w:pStyle w:val="ListParagraph"/>
        <w:numPr>
          <w:ilvl w:val="1"/>
          <w:numId w:val="2"/>
        </w:numPr>
        <w:tabs>
          <w:tab w:pos="1815" w:val="left" w:leader="none"/>
        </w:tabs>
        <w:spacing w:line="235" w:lineRule="auto" w:before="0" w:after="0"/>
        <w:ind w:left="1134" w:right="2142" w:hanging="1"/>
        <w:jc w:val="both"/>
        <w:rPr>
          <w:sz w:val="20"/>
        </w:rPr>
      </w:pPr>
      <w:r>
        <w:rPr>
          <w:i/>
          <w:w w:val="120"/>
          <w:sz w:val="20"/>
        </w:rPr>
        <w:t>vision2020 </w:t>
      </w:r>
      <w:r>
        <w:rPr>
          <w:w w:val="120"/>
          <w:sz w:val="20"/>
        </w:rPr>
        <w:t>is an over-arching </w:t>
      </w:r>
      <w:r>
        <w:rPr>
          <w:spacing w:val="2"/>
          <w:w w:val="120"/>
          <w:sz w:val="20"/>
        </w:rPr>
        <w:t>framework </w:t>
      </w:r>
      <w:r>
        <w:rPr>
          <w:w w:val="120"/>
          <w:sz w:val="20"/>
        </w:rPr>
        <w:t>within which URC mission planning at Assembly,</w:t>
      </w:r>
      <w:r>
        <w:rPr>
          <w:spacing w:val="11"/>
          <w:w w:val="120"/>
          <w:sz w:val="20"/>
        </w:rPr>
        <w:t> </w:t>
      </w:r>
      <w:r>
        <w:rPr>
          <w:spacing w:val="3"/>
          <w:w w:val="120"/>
          <w:sz w:val="20"/>
        </w:rPr>
        <w:t>synod</w:t>
      </w:r>
      <w:r>
        <w:rPr>
          <w:spacing w:val="11"/>
          <w:w w:val="120"/>
          <w:sz w:val="20"/>
        </w:rPr>
        <w:t> </w:t>
      </w:r>
      <w:r>
        <w:rPr>
          <w:w w:val="120"/>
          <w:sz w:val="20"/>
        </w:rPr>
        <w:t>and</w:t>
      </w:r>
      <w:r>
        <w:rPr>
          <w:spacing w:val="11"/>
          <w:w w:val="120"/>
          <w:sz w:val="20"/>
        </w:rPr>
        <w:t> </w:t>
      </w:r>
      <w:r>
        <w:rPr>
          <w:spacing w:val="2"/>
          <w:w w:val="120"/>
          <w:sz w:val="20"/>
        </w:rPr>
        <w:t>local</w:t>
      </w:r>
      <w:r>
        <w:rPr>
          <w:spacing w:val="12"/>
          <w:w w:val="120"/>
          <w:sz w:val="20"/>
        </w:rPr>
        <w:t> </w:t>
      </w:r>
      <w:r>
        <w:rPr>
          <w:w w:val="120"/>
          <w:sz w:val="20"/>
        </w:rPr>
        <w:t>levels</w:t>
      </w:r>
      <w:r>
        <w:rPr>
          <w:spacing w:val="11"/>
          <w:w w:val="120"/>
          <w:sz w:val="20"/>
        </w:rPr>
        <w:t> </w:t>
      </w:r>
      <w:r>
        <w:rPr>
          <w:w w:val="120"/>
          <w:sz w:val="20"/>
        </w:rPr>
        <w:t>can</w:t>
      </w:r>
      <w:r>
        <w:rPr>
          <w:spacing w:val="11"/>
          <w:w w:val="120"/>
          <w:sz w:val="20"/>
        </w:rPr>
        <w:t> </w:t>
      </w:r>
      <w:r>
        <w:rPr>
          <w:w w:val="120"/>
          <w:sz w:val="20"/>
        </w:rPr>
        <w:t>be</w:t>
      </w:r>
      <w:r>
        <w:rPr>
          <w:spacing w:val="11"/>
          <w:w w:val="120"/>
          <w:sz w:val="20"/>
        </w:rPr>
        <w:t> </w:t>
      </w:r>
      <w:r>
        <w:rPr>
          <w:w w:val="120"/>
          <w:sz w:val="20"/>
        </w:rPr>
        <w:t>promoted</w:t>
      </w:r>
      <w:r>
        <w:rPr>
          <w:spacing w:val="12"/>
          <w:w w:val="120"/>
          <w:sz w:val="20"/>
        </w:rPr>
        <w:t> </w:t>
      </w:r>
      <w:r>
        <w:rPr>
          <w:w w:val="120"/>
          <w:sz w:val="20"/>
        </w:rPr>
        <w:t>and</w:t>
      </w:r>
      <w:r>
        <w:rPr>
          <w:spacing w:val="11"/>
          <w:w w:val="120"/>
          <w:sz w:val="20"/>
        </w:rPr>
        <w:t> </w:t>
      </w:r>
      <w:r>
        <w:rPr>
          <w:spacing w:val="2"/>
          <w:w w:val="120"/>
          <w:sz w:val="20"/>
        </w:rPr>
        <w:t>understood</w:t>
      </w:r>
      <w:r>
        <w:rPr>
          <w:spacing w:val="11"/>
          <w:w w:val="120"/>
          <w:sz w:val="20"/>
        </w:rPr>
        <w:t> </w:t>
      </w:r>
      <w:r>
        <w:rPr>
          <w:w w:val="120"/>
          <w:sz w:val="20"/>
        </w:rPr>
        <w:t>over</w:t>
      </w:r>
      <w:r>
        <w:rPr>
          <w:spacing w:val="11"/>
          <w:w w:val="120"/>
          <w:sz w:val="20"/>
        </w:rPr>
        <w:t> </w:t>
      </w:r>
      <w:r>
        <w:rPr>
          <w:w w:val="120"/>
          <w:sz w:val="20"/>
        </w:rPr>
        <w:t>a</w:t>
      </w:r>
      <w:r>
        <w:rPr>
          <w:spacing w:val="12"/>
          <w:w w:val="120"/>
          <w:sz w:val="20"/>
        </w:rPr>
        <w:t> </w:t>
      </w:r>
      <w:r>
        <w:rPr>
          <w:w w:val="120"/>
          <w:sz w:val="20"/>
        </w:rPr>
        <w:t>ten</w:t>
      </w:r>
      <w:r>
        <w:rPr>
          <w:spacing w:val="11"/>
          <w:w w:val="120"/>
          <w:sz w:val="20"/>
        </w:rPr>
        <w:t> </w:t>
      </w:r>
      <w:r>
        <w:rPr>
          <w:w w:val="120"/>
          <w:sz w:val="20"/>
        </w:rPr>
        <w:t>year</w:t>
      </w:r>
    </w:p>
    <w:p>
      <w:pPr>
        <w:pStyle w:val="BodyText"/>
        <w:spacing w:line="194" w:lineRule="auto" w:before="34"/>
        <w:ind w:left="1133" w:right="2082"/>
        <w:jc w:val="both"/>
      </w:pPr>
      <w:r>
        <w:rPr/>
        <w:drawing>
          <wp:anchor distT="0" distB="0" distL="0" distR="0" allowOverlap="1" layoutInCell="1" locked="0" behindDoc="1" simplePos="0" relativeHeight="235619328">
            <wp:simplePos x="0" y="0"/>
            <wp:positionH relativeFrom="page">
              <wp:posOffset>4447123</wp:posOffset>
            </wp:positionH>
            <wp:positionV relativeFrom="paragraph">
              <wp:posOffset>144687</wp:posOffset>
            </wp:positionV>
            <wp:extent cx="232857" cy="181203"/>
            <wp:effectExtent l="0" t="0" r="0" b="0"/>
            <wp:wrapNone/>
            <wp:docPr id="19" name="image20.png"/>
            <wp:cNvGraphicFramePr>
              <a:graphicFrameLocks noChangeAspect="1"/>
            </wp:cNvGraphicFramePr>
            <a:graphic>
              <a:graphicData uri="http://schemas.openxmlformats.org/drawingml/2006/picture">
                <pic:pic>
                  <pic:nvPicPr>
                    <pic:cNvPr id="20" name="image20.png"/>
                    <pic:cNvPicPr/>
                  </pic:nvPicPr>
                  <pic:blipFill>
                    <a:blip r:embed="rId36" cstate="print"/>
                    <a:stretch>
                      <a:fillRect/>
                    </a:stretch>
                  </pic:blipFill>
                  <pic:spPr>
                    <a:xfrm>
                      <a:off x="0" y="0"/>
                      <a:ext cx="232857" cy="181203"/>
                    </a:xfrm>
                    <a:prstGeom prst="rect">
                      <a:avLst/>
                    </a:prstGeom>
                  </pic:spPr>
                </pic:pic>
              </a:graphicData>
            </a:graphic>
          </wp:anchor>
        </w:drawing>
      </w:r>
      <w:r>
        <w:rPr>
          <w:w w:val="115"/>
        </w:rPr>
        <w:t>period. Whilst it will have its own branding and relevant resource materials, these will cross-reference other Assembly programmes such as </w:t>
      </w:r>
      <w:r>
        <w:rPr>
          <w:rFonts w:ascii="Arial Rounded MT Bold"/>
          <w:sz w:val="21"/>
        </w:rPr>
        <w:t>Vision4</w:t>
      </w:r>
      <w:r>
        <w:rPr>
          <w:rFonts w:ascii="Bradley Hand ITC"/>
          <w:color w:val="C20D19"/>
          <w:sz w:val="28"/>
        </w:rPr>
        <w:t>Life</w:t>
      </w:r>
      <w:r>
        <w:rPr/>
        <w:t>, </w:t>
      </w:r>
      <w:r>
        <w:rPr>
          <w:w w:val="115"/>
        </w:rPr>
        <w:t>the </w:t>
      </w:r>
      <w:r>
        <w:rPr>
          <w:i/>
          <w:w w:val="115"/>
        </w:rPr>
        <w:t>Marketing Campaign </w:t>
      </w:r>
      <w:r>
        <w:rPr>
          <w:w w:val="115"/>
        </w:rPr>
        <w:t>and </w:t>
      </w:r>
      <w:r>
        <w:rPr>
          <w:i/>
          <w:w w:val="115"/>
        </w:rPr>
        <w:t>Commitment for Life </w:t>
      </w:r>
      <w:r>
        <w:rPr>
          <w:w w:val="115"/>
        </w:rPr>
        <w:t>and these resources will be designed to be tailored by synods</w:t>
      </w:r>
    </w:p>
    <w:p>
      <w:pPr>
        <w:pStyle w:val="BodyText"/>
        <w:spacing w:line="235" w:lineRule="auto" w:before="9"/>
        <w:ind w:left="1133" w:right="2663"/>
        <w:jc w:val="both"/>
      </w:pPr>
      <w:r>
        <w:rPr>
          <w:w w:val="120"/>
        </w:rPr>
        <w:t>and local churches to address their regional and local situations. (See Section 11, page 14 for more details).</w:t>
      </w:r>
    </w:p>
    <w:p>
      <w:pPr>
        <w:pStyle w:val="BodyText"/>
        <w:spacing w:before="10"/>
        <w:rPr>
          <w:sz w:val="19"/>
        </w:rPr>
      </w:pPr>
    </w:p>
    <w:p>
      <w:pPr>
        <w:pStyle w:val="ListParagraph"/>
        <w:numPr>
          <w:ilvl w:val="1"/>
          <w:numId w:val="2"/>
        </w:numPr>
        <w:tabs>
          <w:tab w:pos="1814" w:val="left" w:leader="none"/>
          <w:tab w:pos="1815" w:val="left" w:leader="none"/>
        </w:tabs>
        <w:spacing w:line="235" w:lineRule="auto" w:before="0" w:after="0"/>
        <w:ind w:left="1133" w:right="2050" w:firstLine="0"/>
        <w:jc w:val="left"/>
        <w:rPr>
          <w:sz w:val="20"/>
        </w:rPr>
      </w:pPr>
      <w:r>
        <w:rPr>
          <w:w w:val="120"/>
          <w:sz w:val="20"/>
        </w:rPr>
        <w:t>There is a strong hope that </w:t>
      </w:r>
      <w:r>
        <w:rPr>
          <w:i/>
          <w:w w:val="120"/>
          <w:sz w:val="20"/>
        </w:rPr>
        <w:t>vision2020 </w:t>
      </w:r>
      <w:r>
        <w:rPr>
          <w:w w:val="120"/>
          <w:sz w:val="20"/>
        </w:rPr>
        <w:t>will provide a framework and resource for synods to develop and adapt their own synod mission strategies and that local churches will use </w:t>
      </w:r>
      <w:r>
        <w:rPr>
          <w:i/>
          <w:w w:val="120"/>
          <w:sz w:val="20"/>
        </w:rPr>
        <w:t>vision2020 </w:t>
      </w:r>
      <w:r>
        <w:rPr>
          <w:w w:val="120"/>
          <w:sz w:val="20"/>
        </w:rPr>
        <w:t>and Synod Mission Strategies as a stimulus for making their own local mission pledges. It is also hoped that there is a clear relationship between synod mission strategies and synod ministerial deployment planning that forms </w:t>
      </w:r>
      <w:r>
        <w:rPr>
          <w:spacing w:val="2"/>
          <w:w w:val="120"/>
          <w:sz w:val="20"/>
        </w:rPr>
        <w:t>part </w:t>
      </w:r>
      <w:r>
        <w:rPr>
          <w:w w:val="120"/>
          <w:sz w:val="20"/>
        </w:rPr>
        <w:t>of the </w:t>
      </w:r>
      <w:r>
        <w:rPr>
          <w:i/>
          <w:w w:val="120"/>
          <w:sz w:val="20"/>
        </w:rPr>
        <w:t>Challenge to </w:t>
      </w:r>
      <w:r>
        <w:rPr>
          <w:i/>
          <w:w w:val="120"/>
          <w:sz w:val="20"/>
        </w:rPr>
        <w:t>the Church </w:t>
      </w:r>
      <w:r>
        <w:rPr>
          <w:w w:val="120"/>
          <w:sz w:val="20"/>
        </w:rPr>
        <w:t>process. </w:t>
      </w:r>
      <w:r>
        <w:rPr>
          <w:spacing w:val="-3"/>
          <w:w w:val="120"/>
          <w:sz w:val="20"/>
        </w:rPr>
        <w:t>(See </w:t>
      </w:r>
      <w:r>
        <w:rPr>
          <w:w w:val="120"/>
          <w:sz w:val="20"/>
        </w:rPr>
        <w:t>Section 9 for more</w:t>
      </w:r>
      <w:r>
        <w:rPr>
          <w:spacing w:val="16"/>
          <w:w w:val="120"/>
          <w:sz w:val="20"/>
        </w:rPr>
        <w:t> </w:t>
      </w:r>
      <w:r>
        <w:rPr>
          <w:spacing w:val="-3"/>
          <w:w w:val="120"/>
          <w:sz w:val="20"/>
        </w:rPr>
        <w:t>details).</w:t>
      </w:r>
    </w:p>
    <w:p>
      <w:pPr>
        <w:spacing w:after="0" w:line="235" w:lineRule="auto"/>
        <w:jc w:val="left"/>
        <w:rPr>
          <w:sz w:val="20"/>
        </w:rPr>
        <w:sectPr>
          <w:pgSz w:w="11910" w:h="16840"/>
          <w:pgMar w:header="0" w:footer="600" w:top="1120" w:bottom="800" w:left="0" w:right="0"/>
        </w:sectPr>
      </w:pPr>
    </w:p>
    <w:p>
      <w:pPr>
        <w:pStyle w:val="ListParagraph"/>
        <w:numPr>
          <w:ilvl w:val="0"/>
          <w:numId w:val="2"/>
        </w:numPr>
        <w:tabs>
          <w:tab w:pos="2704" w:val="left" w:leader="none"/>
          <w:tab w:pos="2705" w:val="left" w:leader="none"/>
        </w:tabs>
        <w:spacing w:line="292" w:lineRule="exact" w:before="0" w:after="0"/>
        <w:ind w:left="2704" w:right="0" w:hanging="721"/>
        <w:jc w:val="left"/>
        <w:rPr>
          <w:rFonts w:ascii="Stone Sans II ITC Std Bk"/>
          <w:b/>
          <w:sz w:val="21"/>
        </w:rPr>
      </w:pPr>
      <w:r>
        <w:rPr/>
        <w:pict>
          <v:rect style="position:absolute;margin-left:558.424988pt;margin-top:7.489299pt;width:22.677pt;height:22.677pt;mso-position-horizontal-relative:page;mso-position-vertical-relative:paragraph;z-index:251727872" filled="true" fillcolor="#f9e9c1" stroked="false">
            <v:fill opacity="32768f" type="solid"/>
            <w10:wrap type="none"/>
          </v:rect>
        </w:pict>
      </w:r>
      <w:r>
        <w:rPr/>
        <w:pict>
          <v:line style="position:absolute;mso-position-horizontal-relative:page;mso-position-vertical-relative:page;z-index:251728896" from="78.870102pt,59.687916pt" to="78.870102pt,797.873916pt" stroked="true" strokeweight="1pt" strokecolor="#868685">
            <v:stroke dashstyle="dot"/>
            <w10:wrap type="none"/>
          </v:line>
        </w:pict>
      </w:r>
      <w:r>
        <w:rPr>
          <w:rFonts w:ascii="Century Gothic"/>
          <w:b/>
          <w:i/>
          <w:w w:val="115"/>
          <w:sz w:val="22"/>
        </w:rPr>
        <w:t>vision2020 </w:t>
      </w:r>
      <w:r>
        <w:rPr>
          <w:rFonts w:ascii="Stone Sans II ITC Std Bk"/>
          <w:b/>
          <w:w w:val="115"/>
          <w:sz w:val="21"/>
        </w:rPr>
        <w:t>principles and</w:t>
      </w:r>
      <w:r>
        <w:rPr>
          <w:rFonts w:ascii="Stone Sans II ITC Std Bk"/>
          <w:b/>
          <w:spacing w:val="-11"/>
          <w:w w:val="115"/>
          <w:sz w:val="21"/>
        </w:rPr>
        <w:t> </w:t>
      </w:r>
      <w:r>
        <w:rPr>
          <w:rFonts w:ascii="Stone Sans II ITC Std Bk"/>
          <w:b/>
          <w:w w:val="115"/>
          <w:sz w:val="21"/>
        </w:rPr>
        <w:t>approach</w:t>
      </w:r>
    </w:p>
    <w:p>
      <w:pPr>
        <w:pStyle w:val="ListParagraph"/>
        <w:numPr>
          <w:ilvl w:val="1"/>
          <w:numId w:val="2"/>
        </w:numPr>
        <w:tabs>
          <w:tab w:pos="2664" w:val="left" w:leader="none"/>
          <w:tab w:pos="2665" w:val="left" w:leader="none"/>
        </w:tabs>
        <w:spacing w:line="235" w:lineRule="auto" w:before="222" w:after="0"/>
        <w:ind w:left="1984" w:right="1667" w:firstLine="0"/>
        <w:jc w:val="left"/>
        <w:rPr>
          <w:sz w:val="20"/>
        </w:rPr>
      </w:pPr>
      <w:r>
        <w:rPr>
          <w:i/>
          <w:w w:val="120"/>
          <w:sz w:val="20"/>
        </w:rPr>
        <w:t>vision2020 </w:t>
      </w:r>
      <w:r>
        <w:rPr>
          <w:w w:val="120"/>
          <w:sz w:val="20"/>
        </w:rPr>
        <w:t>is a ‘framework’ and as such recognises the autonomy of local churches, gathered as synods, to determine their own priorities and plans. The development of a denominational framework represents an attempt to inspire, encourage and co-ordinate and not to coerce or control. </w:t>
      </w:r>
      <w:r>
        <w:rPr>
          <w:spacing w:val="-7"/>
          <w:w w:val="120"/>
          <w:sz w:val="20"/>
        </w:rPr>
        <w:t>To </w:t>
      </w:r>
      <w:r>
        <w:rPr>
          <w:w w:val="120"/>
          <w:sz w:val="20"/>
        </w:rPr>
        <w:t>this end, a number of principles</w:t>
      </w:r>
      <w:r>
        <w:rPr>
          <w:spacing w:val="8"/>
          <w:w w:val="120"/>
          <w:sz w:val="20"/>
        </w:rPr>
        <w:t> </w:t>
      </w:r>
      <w:r>
        <w:rPr>
          <w:w w:val="120"/>
          <w:sz w:val="20"/>
        </w:rPr>
        <w:t>have</w:t>
      </w:r>
      <w:r>
        <w:rPr>
          <w:spacing w:val="9"/>
          <w:w w:val="120"/>
          <w:sz w:val="20"/>
        </w:rPr>
        <w:t> </w:t>
      </w:r>
      <w:r>
        <w:rPr>
          <w:w w:val="120"/>
          <w:sz w:val="20"/>
        </w:rPr>
        <w:t>been</w:t>
      </w:r>
      <w:r>
        <w:rPr>
          <w:spacing w:val="9"/>
          <w:w w:val="120"/>
          <w:sz w:val="20"/>
        </w:rPr>
        <w:t> </w:t>
      </w:r>
      <w:r>
        <w:rPr>
          <w:w w:val="120"/>
          <w:sz w:val="20"/>
        </w:rPr>
        <w:t>–</w:t>
      </w:r>
      <w:r>
        <w:rPr>
          <w:spacing w:val="9"/>
          <w:w w:val="120"/>
          <w:sz w:val="20"/>
        </w:rPr>
        <w:t> </w:t>
      </w:r>
      <w:r>
        <w:rPr>
          <w:w w:val="120"/>
          <w:sz w:val="20"/>
        </w:rPr>
        <w:t>and</w:t>
      </w:r>
      <w:r>
        <w:rPr>
          <w:spacing w:val="9"/>
          <w:w w:val="120"/>
          <w:sz w:val="20"/>
        </w:rPr>
        <w:t> </w:t>
      </w:r>
      <w:r>
        <w:rPr>
          <w:w w:val="120"/>
          <w:sz w:val="20"/>
        </w:rPr>
        <w:t>will</w:t>
      </w:r>
      <w:r>
        <w:rPr>
          <w:spacing w:val="9"/>
          <w:w w:val="120"/>
          <w:sz w:val="20"/>
        </w:rPr>
        <w:t> </w:t>
      </w:r>
      <w:r>
        <w:rPr>
          <w:w w:val="120"/>
          <w:sz w:val="20"/>
        </w:rPr>
        <w:t>continue</w:t>
      </w:r>
      <w:r>
        <w:rPr>
          <w:spacing w:val="9"/>
          <w:w w:val="120"/>
          <w:sz w:val="20"/>
        </w:rPr>
        <w:t> </w:t>
      </w:r>
      <w:r>
        <w:rPr>
          <w:w w:val="120"/>
          <w:sz w:val="20"/>
        </w:rPr>
        <w:t>to</w:t>
      </w:r>
      <w:r>
        <w:rPr>
          <w:spacing w:val="8"/>
          <w:w w:val="120"/>
          <w:sz w:val="20"/>
        </w:rPr>
        <w:t> </w:t>
      </w:r>
      <w:r>
        <w:rPr>
          <w:w w:val="120"/>
          <w:sz w:val="20"/>
        </w:rPr>
        <w:t>be</w:t>
      </w:r>
      <w:r>
        <w:rPr>
          <w:spacing w:val="9"/>
          <w:w w:val="120"/>
          <w:sz w:val="20"/>
        </w:rPr>
        <w:t> </w:t>
      </w:r>
      <w:r>
        <w:rPr>
          <w:w w:val="120"/>
          <w:sz w:val="20"/>
        </w:rPr>
        <w:t>–</w:t>
      </w:r>
      <w:r>
        <w:rPr>
          <w:spacing w:val="9"/>
          <w:w w:val="120"/>
          <w:sz w:val="20"/>
        </w:rPr>
        <w:t> </w:t>
      </w:r>
      <w:r>
        <w:rPr>
          <w:w w:val="120"/>
          <w:sz w:val="20"/>
        </w:rPr>
        <w:t>important</w:t>
      </w:r>
      <w:r>
        <w:rPr>
          <w:spacing w:val="9"/>
          <w:w w:val="120"/>
          <w:sz w:val="20"/>
        </w:rPr>
        <w:t> </w:t>
      </w:r>
      <w:r>
        <w:rPr>
          <w:w w:val="120"/>
          <w:sz w:val="20"/>
        </w:rPr>
        <w:t>to</w:t>
      </w:r>
      <w:r>
        <w:rPr>
          <w:spacing w:val="9"/>
          <w:w w:val="120"/>
          <w:sz w:val="20"/>
        </w:rPr>
        <w:t> </w:t>
      </w:r>
      <w:r>
        <w:rPr>
          <w:w w:val="120"/>
          <w:sz w:val="20"/>
        </w:rPr>
        <w:t>our</w:t>
      </w:r>
      <w:r>
        <w:rPr>
          <w:spacing w:val="9"/>
          <w:w w:val="120"/>
          <w:sz w:val="20"/>
        </w:rPr>
        <w:t> </w:t>
      </w:r>
      <w:r>
        <w:rPr>
          <w:w w:val="120"/>
          <w:sz w:val="20"/>
        </w:rPr>
        <w:t>mission</w:t>
      </w:r>
      <w:r>
        <w:rPr>
          <w:spacing w:val="9"/>
          <w:w w:val="120"/>
          <w:sz w:val="20"/>
        </w:rPr>
        <w:t> </w:t>
      </w:r>
      <w:r>
        <w:rPr>
          <w:w w:val="120"/>
          <w:sz w:val="20"/>
        </w:rPr>
        <w:t>planning.</w:t>
      </w:r>
    </w:p>
    <w:p>
      <w:pPr>
        <w:pStyle w:val="BodyText"/>
        <w:spacing w:before="8"/>
        <w:rPr>
          <w:sz w:val="19"/>
        </w:rPr>
      </w:pPr>
    </w:p>
    <w:p>
      <w:pPr>
        <w:pStyle w:val="ListParagraph"/>
        <w:numPr>
          <w:ilvl w:val="1"/>
          <w:numId w:val="2"/>
        </w:numPr>
        <w:tabs>
          <w:tab w:pos="2664" w:val="left" w:leader="none"/>
          <w:tab w:pos="2665" w:val="left" w:leader="none"/>
        </w:tabs>
        <w:spacing w:line="225" w:lineRule="auto" w:before="0" w:after="0"/>
        <w:ind w:left="1984" w:right="1219" w:firstLine="0"/>
        <w:jc w:val="left"/>
        <w:rPr>
          <w:sz w:val="20"/>
        </w:rPr>
      </w:pPr>
      <w:r>
        <w:rPr>
          <w:w w:val="120"/>
          <w:sz w:val="20"/>
        </w:rPr>
        <w:t>First, the </w:t>
      </w:r>
      <w:r>
        <w:rPr>
          <w:i/>
          <w:w w:val="120"/>
          <w:sz w:val="20"/>
        </w:rPr>
        <w:t>vision2020 </w:t>
      </w:r>
      <w:r>
        <w:rPr>
          <w:w w:val="120"/>
          <w:sz w:val="20"/>
        </w:rPr>
        <w:t>framework must be seen as a </w:t>
      </w:r>
      <w:r>
        <w:rPr>
          <w:rFonts w:ascii="Stone Sans II ITC Std X Bd"/>
          <w:b/>
          <w:w w:val="120"/>
          <w:sz w:val="20"/>
        </w:rPr>
        <w:t>process rather than a </w:t>
      </w:r>
      <w:r>
        <w:rPr>
          <w:rFonts w:ascii="Stone Sans II ITC Std X Bd"/>
          <w:b/>
          <w:spacing w:val="2"/>
          <w:w w:val="120"/>
          <w:sz w:val="20"/>
        </w:rPr>
        <w:t>document.</w:t>
      </w:r>
      <w:r>
        <w:rPr>
          <w:rFonts w:ascii="Stone Sans II ITC Std X Bd"/>
          <w:b/>
          <w:spacing w:val="-17"/>
          <w:w w:val="120"/>
          <w:sz w:val="20"/>
        </w:rPr>
        <w:t> </w:t>
      </w:r>
      <w:r>
        <w:rPr>
          <w:w w:val="120"/>
          <w:sz w:val="20"/>
        </w:rPr>
        <w:t>Whilst</w:t>
      </w:r>
      <w:r>
        <w:rPr>
          <w:spacing w:val="-8"/>
          <w:w w:val="120"/>
          <w:sz w:val="20"/>
        </w:rPr>
        <w:t> </w:t>
      </w:r>
      <w:r>
        <w:rPr>
          <w:w w:val="120"/>
          <w:sz w:val="20"/>
        </w:rPr>
        <w:t>the</w:t>
      </w:r>
      <w:r>
        <w:rPr>
          <w:spacing w:val="-9"/>
          <w:w w:val="120"/>
          <w:sz w:val="20"/>
        </w:rPr>
        <w:t> </w:t>
      </w:r>
      <w:r>
        <w:rPr>
          <w:w w:val="120"/>
          <w:sz w:val="20"/>
        </w:rPr>
        <w:t>different</w:t>
      </w:r>
      <w:r>
        <w:rPr>
          <w:spacing w:val="-8"/>
          <w:w w:val="120"/>
          <w:sz w:val="20"/>
        </w:rPr>
        <w:t> </w:t>
      </w:r>
      <w:r>
        <w:rPr>
          <w:spacing w:val="2"/>
          <w:w w:val="120"/>
          <w:sz w:val="20"/>
        </w:rPr>
        <w:t>parts</w:t>
      </w:r>
      <w:r>
        <w:rPr>
          <w:spacing w:val="-9"/>
          <w:w w:val="120"/>
          <w:sz w:val="20"/>
        </w:rPr>
        <w:t> </w:t>
      </w:r>
      <w:r>
        <w:rPr>
          <w:w w:val="120"/>
          <w:sz w:val="20"/>
        </w:rPr>
        <w:t>of</w:t>
      </w:r>
      <w:r>
        <w:rPr>
          <w:spacing w:val="-8"/>
          <w:w w:val="120"/>
          <w:sz w:val="20"/>
        </w:rPr>
        <w:t> </w:t>
      </w:r>
      <w:r>
        <w:rPr>
          <w:w w:val="120"/>
          <w:sz w:val="20"/>
        </w:rPr>
        <w:t>the</w:t>
      </w:r>
      <w:r>
        <w:rPr>
          <w:spacing w:val="-9"/>
          <w:w w:val="120"/>
          <w:sz w:val="20"/>
        </w:rPr>
        <w:t> </w:t>
      </w:r>
      <w:r>
        <w:rPr>
          <w:w w:val="120"/>
          <w:sz w:val="20"/>
        </w:rPr>
        <w:t>church</w:t>
      </w:r>
      <w:r>
        <w:rPr>
          <w:spacing w:val="-9"/>
          <w:w w:val="120"/>
          <w:sz w:val="20"/>
        </w:rPr>
        <w:t> </w:t>
      </w:r>
      <w:r>
        <w:rPr>
          <w:w w:val="120"/>
          <w:sz w:val="20"/>
        </w:rPr>
        <w:t>will</w:t>
      </w:r>
      <w:r>
        <w:rPr>
          <w:spacing w:val="-8"/>
          <w:w w:val="120"/>
          <w:sz w:val="20"/>
        </w:rPr>
        <w:t> </w:t>
      </w:r>
      <w:r>
        <w:rPr>
          <w:w w:val="120"/>
          <w:sz w:val="20"/>
        </w:rPr>
        <w:t>necessarily</w:t>
      </w:r>
      <w:r>
        <w:rPr>
          <w:spacing w:val="-9"/>
          <w:w w:val="120"/>
          <w:sz w:val="20"/>
        </w:rPr>
        <w:t> </w:t>
      </w:r>
      <w:r>
        <w:rPr>
          <w:w w:val="120"/>
          <w:sz w:val="20"/>
        </w:rPr>
        <w:t>need</w:t>
      </w:r>
      <w:r>
        <w:rPr>
          <w:spacing w:val="-8"/>
          <w:w w:val="120"/>
          <w:sz w:val="20"/>
        </w:rPr>
        <w:t> </w:t>
      </w:r>
      <w:r>
        <w:rPr>
          <w:w w:val="120"/>
          <w:sz w:val="20"/>
        </w:rPr>
        <w:t>to</w:t>
      </w:r>
      <w:r>
        <w:rPr>
          <w:spacing w:val="-9"/>
          <w:w w:val="120"/>
          <w:sz w:val="20"/>
        </w:rPr>
        <w:t> </w:t>
      </w:r>
      <w:r>
        <w:rPr>
          <w:w w:val="120"/>
          <w:sz w:val="20"/>
        </w:rPr>
        <w:t>set</w:t>
      </w:r>
      <w:r>
        <w:rPr>
          <w:spacing w:val="-8"/>
          <w:w w:val="120"/>
          <w:sz w:val="20"/>
        </w:rPr>
        <w:t> </w:t>
      </w:r>
      <w:r>
        <w:rPr>
          <w:w w:val="120"/>
          <w:sz w:val="20"/>
        </w:rPr>
        <w:t>out</w:t>
      </w:r>
      <w:r>
        <w:rPr>
          <w:spacing w:val="-9"/>
          <w:w w:val="120"/>
          <w:sz w:val="20"/>
        </w:rPr>
        <w:t> </w:t>
      </w:r>
      <w:r>
        <w:rPr>
          <w:w w:val="120"/>
          <w:sz w:val="20"/>
        </w:rPr>
        <w:t>their aims, objectives, priorities and programmes in forms of words, the importance of our approach to planning must be as much about the process of discussing, deciding and implementing ideas as it will be about creating a finely worded</w:t>
      </w:r>
      <w:r>
        <w:rPr>
          <w:spacing w:val="46"/>
          <w:w w:val="120"/>
          <w:sz w:val="20"/>
        </w:rPr>
        <w:t> </w:t>
      </w:r>
      <w:r>
        <w:rPr>
          <w:w w:val="120"/>
          <w:sz w:val="20"/>
        </w:rPr>
        <w:t>document.</w:t>
      </w:r>
    </w:p>
    <w:p>
      <w:pPr>
        <w:pStyle w:val="BodyText"/>
        <w:spacing w:before="8"/>
      </w:pPr>
    </w:p>
    <w:p>
      <w:pPr>
        <w:pStyle w:val="ListParagraph"/>
        <w:numPr>
          <w:ilvl w:val="1"/>
          <w:numId w:val="2"/>
        </w:numPr>
        <w:tabs>
          <w:tab w:pos="2664" w:val="left" w:leader="none"/>
          <w:tab w:pos="2665" w:val="left" w:leader="none"/>
        </w:tabs>
        <w:spacing w:line="228" w:lineRule="auto" w:before="1" w:after="0"/>
        <w:ind w:left="1984" w:right="1336" w:firstLine="0"/>
        <w:jc w:val="left"/>
        <w:rPr>
          <w:sz w:val="20"/>
        </w:rPr>
      </w:pPr>
      <w:r>
        <w:rPr>
          <w:w w:val="120"/>
          <w:sz w:val="20"/>
        </w:rPr>
        <w:t>Secondly, in-keeping with our denominational tradition, the starting point of   any mission framework must be </w:t>
      </w:r>
      <w:r>
        <w:rPr>
          <w:rFonts w:ascii="Stone Sans II ITC Std X Bd"/>
          <w:b/>
          <w:w w:val="120"/>
          <w:sz w:val="20"/>
        </w:rPr>
        <w:t>the local </w:t>
      </w:r>
      <w:r>
        <w:rPr>
          <w:rFonts w:ascii="Stone Sans II ITC Std X Bd"/>
          <w:b/>
          <w:spacing w:val="2"/>
          <w:w w:val="120"/>
          <w:sz w:val="20"/>
        </w:rPr>
        <w:t>congregation</w:t>
      </w:r>
      <w:r>
        <w:rPr>
          <w:spacing w:val="2"/>
          <w:w w:val="120"/>
          <w:sz w:val="20"/>
        </w:rPr>
        <w:t>. </w:t>
      </w:r>
      <w:r>
        <w:rPr>
          <w:w w:val="120"/>
          <w:sz w:val="20"/>
        </w:rPr>
        <w:t>Whilst there is a place for Assembly to suggest broad direction and for synods to encourage and guide, this must be a strategy that serves, inspires and is inspired by the local</w:t>
      </w:r>
      <w:r>
        <w:rPr>
          <w:spacing w:val="41"/>
          <w:w w:val="120"/>
          <w:sz w:val="20"/>
        </w:rPr>
        <w:t> </w:t>
      </w:r>
      <w:r>
        <w:rPr>
          <w:w w:val="120"/>
          <w:sz w:val="20"/>
        </w:rPr>
        <w:t>congregation.</w:t>
      </w:r>
    </w:p>
    <w:p>
      <w:pPr>
        <w:pStyle w:val="BodyText"/>
        <w:spacing w:before="5"/>
        <w:rPr>
          <w:sz w:val="19"/>
        </w:rPr>
      </w:pPr>
    </w:p>
    <w:p>
      <w:pPr>
        <w:pStyle w:val="ListParagraph"/>
        <w:numPr>
          <w:ilvl w:val="1"/>
          <w:numId w:val="2"/>
        </w:numPr>
        <w:tabs>
          <w:tab w:pos="2664" w:val="left" w:leader="none"/>
          <w:tab w:pos="2665" w:val="left" w:leader="none"/>
        </w:tabs>
        <w:spacing w:line="225" w:lineRule="auto" w:before="0" w:after="0"/>
        <w:ind w:left="1984" w:right="1295" w:firstLine="0"/>
        <w:jc w:val="left"/>
        <w:rPr>
          <w:sz w:val="20"/>
        </w:rPr>
      </w:pPr>
      <w:r>
        <w:rPr>
          <w:spacing w:val="-9"/>
          <w:w w:val="120"/>
          <w:sz w:val="20"/>
        </w:rPr>
        <w:t>To</w:t>
      </w:r>
      <w:r>
        <w:rPr>
          <w:spacing w:val="-25"/>
          <w:w w:val="120"/>
          <w:sz w:val="20"/>
        </w:rPr>
        <w:t> </w:t>
      </w:r>
      <w:r>
        <w:rPr>
          <w:spacing w:val="-3"/>
          <w:w w:val="120"/>
          <w:sz w:val="20"/>
        </w:rPr>
        <w:t>this</w:t>
      </w:r>
      <w:r>
        <w:rPr>
          <w:spacing w:val="-25"/>
          <w:w w:val="120"/>
          <w:sz w:val="20"/>
        </w:rPr>
        <w:t> </w:t>
      </w:r>
      <w:r>
        <w:rPr>
          <w:w w:val="120"/>
          <w:sz w:val="20"/>
        </w:rPr>
        <w:t>end,</w:t>
      </w:r>
      <w:r>
        <w:rPr>
          <w:spacing w:val="-25"/>
          <w:w w:val="120"/>
          <w:sz w:val="20"/>
        </w:rPr>
        <w:t> </w:t>
      </w:r>
      <w:r>
        <w:rPr>
          <w:w w:val="120"/>
          <w:sz w:val="20"/>
        </w:rPr>
        <w:t>the</w:t>
      </w:r>
      <w:r>
        <w:rPr>
          <w:spacing w:val="-24"/>
          <w:w w:val="120"/>
          <w:sz w:val="20"/>
        </w:rPr>
        <w:t> </w:t>
      </w:r>
      <w:r>
        <w:rPr>
          <w:w w:val="120"/>
          <w:sz w:val="20"/>
        </w:rPr>
        <w:t>third</w:t>
      </w:r>
      <w:r>
        <w:rPr>
          <w:spacing w:val="-25"/>
          <w:w w:val="120"/>
          <w:sz w:val="20"/>
        </w:rPr>
        <w:t> </w:t>
      </w:r>
      <w:r>
        <w:rPr>
          <w:w w:val="120"/>
          <w:sz w:val="20"/>
        </w:rPr>
        <w:t>principle</w:t>
      </w:r>
      <w:r>
        <w:rPr>
          <w:spacing w:val="-25"/>
          <w:w w:val="120"/>
          <w:sz w:val="20"/>
        </w:rPr>
        <w:t> </w:t>
      </w:r>
      <w:r>
        <w:rPr>
          <w:w w:val="120"/>
          <w:sz w:val="20"/>
        </w:rPr>
        <w:t>is</w:t>
      </w:r>
      <w:r>
        <w:rPr>
          <w:spacing w:val="-24"/>
          <w:w w:val="120"/>
          <w:sz w:val="20"/>
        </w:rPr>
        <w:t> </w:t>
      </w:r>
      <w:r>
        <w:rPr>
          <w:w w:val="120"/>
          <w:sz w:val="20"/>
        </w:rPr>
        <w:t>that</w:t>
      </w:r>
      <w:r>
        <w:rPr>
          <w:spacing w:val="-24"/>
          <w:w w:val="120"/>
          <w:sz w:val="20"/>
        </w:rPr>
        <w:t> </w:t>
      </w:r>
      <w:r>
        <w:rPr>
          <w:i/>
          <w:spacing w:val="-4"/>
          <w:w w:val="120"/>
          <w:sz w:val="20"/>
        </w:rPr>
        <w:t>vision2020</w:t>
      </w:r>
      <w:r>
        <w:rPr>
          <w:i/>
          <w:spacing w:val="-25"/>
          <w:w w:val="120"/>
          <w:sz w:val="20"/>
        </w:rPr>
        <w:t> </w:t>
      </w:r>
      <w:r>
        <w:rPr>
          <w:w w:val="120"/>
          <w:sz w:val="20"/>
        </w:rPr>
        <w:t>must</w:t>
      </w:r>
      <w:r>
        <w:rPr>
          <w:spacing w:val="-25"/>
          <w:w w:val="120"/>
          <w:sz w:val="20"/>
        </w:rPr>
        <w:t> </w:t>
      </w:r>
      <w:r>
        <w:rPr>
          <w:w w:val="120"/>
          <w:sz w:val="20"/>
        </w:rPr>
        <w:t>be</w:t>
      </w:r>
      <w:r>
        <w:rPr>
          <w:spacing w:val="-25"/>
          <w:w w:val="120"/>
          <w:sz w:val="20"/>
        </w:rPr>
        <w:t> </w:t>
      </w:r>
      <w:r>
        <w:rPr>
          <w:rFonts w:ascii="Stone Sans II ITC Std X Bd"/>
          <w:b/>
          <w:w w:val="120"/>
          <w:sz w:val="20"/>
        </w:rPr>
        <w:t>permissive</w:t>
      </w:r>
      <w:r>
        <w:rPr>
          <w:rFonts w:ascii="Stone Sans II ITC Std X Bd"/>
          <w:b/>
          <w:spacing w:val="-34"/>
          <w:w w:val="120"/>
          <w:sz w:val="20"/>
        </w:rPr>
        <w:t> </w:t>
      </w:r>
      <w:r>
        <w:rPr>
          <w:rFonts w:ascii="Stone Sans II ITC Std X Bd"/>
          <w:b/>
          <w:spacing w:val="-3"/>
          <w:w w:val="120"/>
          <w:sz w:val="20"/>
        </w:rPr>
        <w:t>rather</w:t>
      </w:r>
      <w:r>
        <w:rPr>
          <w:rFonts w:ascii="Stone Sans II ITC Std X Bd"/>
          <w:b/>
          <w:spacing w:val="-33"/>
          <w:w w:val="120"/>
          <w:sz w:val="20"/>
        </w:rPr>
        <w:t> </w:t>
      </w:r>
      <w:r>
        <w:rPr>
          <w:rFonts w:ascii="Stone Sans II ITC Std X Bd"/>
          <w:b/>
          <w:w w:val="120"/>
          <w:sz w:val="20"/>
        </w:rPr>
        <w:t>than prescriptive</w:t>
      </w:r>
      <w:r>
        <w:rPr>
          <w:w w:val="120"/>
          <w:sz w:val="20"/>
        </w:rPr>
        <w:t>. </w:t>
      </w:r>
      <w:r>
        <w:rPr>
          <w:spacing w:val="-3"/>
          <w:w w:val="120"/>
          <w:sz w:val="20"/>
        </w:rPr>
        <w:t>Ultimately </w:t>
      </w:r>
      <w:r>
        <w:rPr>
          <w:i/>
          <w:spacing w:val="-4"/>
          <w:w w:val="120"/>
          <w:sz w:val="20"/>
        </w:rPr>
        <w:t>vision2020 </w:t>
      </w:r>
      <w:r>
        <w:rPr>
          <w:w w:val="120"/>
          <w:sz w:val="20"/>
        </w:rPr>
        <w:t>must enable all of the local plans, developed in an organic and </w:t>
      </w:r>
      <w:r>
        <w:rPr>
          <w:spacing w:val="-3"/>
          <w:w w:val="120"/>
          <w:sz w:val="20"/>
        </w:rPr>
        <w:t>inclusive </w:t>
      </w:r>
      <w:r>
        <w:rPr>
          <w:spacing w:val="-6"/>
          <w:w w:val="120"/>
          <w:sz w:val="20"/>
        </w:rPr>
        <w:t>way, </w:t>
      </w:r>
      <w:r>
        <w:rPr>
          <w:w w:val="120"/>
          <w:sz w:val="20"/>
        </w:rPr>
        <w:t>the synod strategies and assembly </w:t>
      </w:r>
      <w:r>
        <w:rPr>
          <w:spacing w:val="-3"/>
          <w:w w:val="120"/>
          <w:sz w:val="20"/>
        </w:rPr>
        <w:t>committee </w:t>
      </w:r>
      <w:r>
        <w:rPr>
          <w:w w:val="120"/>
          <w:sz w:val="20"/>
        </w:rPr>
        <w:t>priorities </w:t>
      </w:r>
      <w:r>
        <w:rPr>
          <w:spacing w:val="-3"/>
          <w:w w:val="120"/>
          <w:sz w:val="20"/>
        </w:rPr>
        <w:t>to </w:t>
      </w:r>
      <w:r>
        <w:rPr>
          <w:w w:val="120"/>
          <w:sz w:val="20"/>
        </w:rPr>
        <w:t>find their </w:t>
      </w:r>
      <w:r>
        <w:rPr>
          <w:spacing w:val="-3"/>
          <w:w w:val="120"/>
          <w:sz w:val="20"/>
        </w:rPr>
        <w:t>place </w:t>
      </w:r>
      <w:r>
        <w:rPr>
          <w:w w:val="120"/>
          <w:sz w:val="20"/>
        </w:rPr>
        <w:t>as part of a </w:t>
      </w:r>
      <w:r>
        <w:rPr>
          <w:spacing w:val="-3"/>
          <w:w w:val="120"/>
          <w:sz w:val="20"/>
        </w:rPr>
        <w:t>coherent </w:t>
      </w:r>
      <w:r>
        <w:rPr>
          <w:spacing w:val="-2"/>
          <w:w w:val="120"/>
          <w:sz w:val="20"/>
        </w:rPr>
        <w:t>whole. </w:t>
      </w:r>
      <w:r>
        <w:rPr>
          <w:w w:val="120"/>
          <w:sz w:val="20"/>
        </w:rPr>
        <w:t>The framework is offered </w:t>
      </w:r>
      <w:r>
        <w:rPr>
          <w:spacing w:val="-3"/>
          <w:w w:val="120"/>
          <w:sz w:val="20"/>
        </w:rPr>
        <w:t>to inspire </w:t>
      </w:r>
      <w:r>
        <w:rPr>
          <w:w w:val="120"/>
          <w:sz w:val="20"/>
        </w:rPr>
        <w:t>and </w:t>
      </w:r>
      <w:r>
        <w:rPr>
          <w:spacing w:val="-3"/>
          <w:w w:val="120"/>
          <w:sz w:val="20"/>
        </w:rPr>
        <w:t>to </w:t>
      </w:r>
      <w:r>
        <w:rPr>
          <w:w w:val="120"/>
          <w:sz w:val="20"/>
        </w:rPr>
        <w:t>guide and </w:t>
      </w:r>
      <w:r>
        <w:rPr>
          <w:spacing w:val="-2"/>
          <w:w w:val="120"/>
          <w:sz w:val="20"/>
        </w:rPr>
        <w:t>not </w:t>
      </w:r>
      <w:r>
        <w:rPr>
          <w:spacing w:val="-3"/>
          <w:w w:val="120"/>
          <w:sz w:val="20"/>
        </w:rPr>
        <w:t>to</w:t>
      </w:r>
      <w:r>
        <w:rPr>
          <w:spacing w:val="-5"/>
          <w:w w:val="120"/>
          <w:sz w:val="20"/>
        </w:rPr>
        <w:t> </w:t>
      </w:r>
      <w:r>
        <w:rPr>
          <w:w w:val="120"/>
          <w:sz w:val="20"/>
        </w:rPr>
        <w:t>dictate.</w:t>
      </w:r>
    </w:p>
    <w:p>
      <w:pPr>
        <w:pStyle w:val="BodyText"/>
        <w:spacing w:before="5"/>
        <w:rPr>
          <w:sz w:val="19"/>
        </w:rPr>
      </w:pPr>
    </w:p>
    <w:p>
      <w:pPr>
        <w:pStyle w:val="ListParagraph"/>
        <w:numPr>
          <w:ilvl w:val="1"/>
          <w:numId w:val="2"/>
        </w:numPr>
        <w:tabs>
          <w:tab w:pos="2664" w:val="left" w:leader="none"/>
          <w:tab w:pos="2665" w:val="left" w:leader="none"/>
        </w:tabs>
        <w:spacing w:line="232" w:lineRule="auto" w:before="0" w:after="0"/>
        <w:ind w:left="1984" w:right="1226" w:firstLine="0"/>
        <w:jc w:val="left"/>
        <w:rPr>
          <w:sz w:val="20"/>
        </w:rPr>
      </w:pPr>
      <w:r>
        <w:rPr>
          <w:spacing w:val="-4"/>
          <w:w w:val="120"/>
          <w:sz w:val="20"/>
        </w:rPr>
        <w:t>Finally, </w:t>
      </w:r>
      <w:r>
        <w:rPr>
          <w:i/>
          <w:spacing w:val="-4"/>
          <w:w w:val="120"/>
          <w:sz w:val="20"/>
        </w:rPr>
        <w:t>vision2020 </w:t>
      </w:r>
      <w:r>
        <w:rPr>
          <w:w w:val="120"/>
          <w:sz w:val="20"/>
        </w:rPr>
        <w:t>must be driven by a </w:t>
      </w:r>
      <w:r>
        <w:rPr>
          <w:rFonts w:ascii="Stone Sans II ITC Std X Bd"/>
          <w:b/>
          <w:w w:val="120"/>
          <w:sz w:val="20"/>
        </w:rPr>
        <w:t>clear set of </w:t>
      </w:r>
      <w:r>
        <w:rPr>
          <w:rFonts w:ascii="Stone Sans II ITC Std X Bd"/>
          <w:b/>
          <w:spacing w:val="-3"/>
          <w:w w:val="120"/>
          <w:sz w:val="20"/>
        </w:rPr>
        <w:t>values </w:t>
      </w:r>
      <w:r>
        <w:rPr>
          <w:w w:val="120"/>
          <w:sz w:val="20"/>
        </w:rPr>
        <w:t>and </w:t>
      </w:r>
      <w:r>
        <w:rPr>
          <w:spacing w:val="-2"/>
          <w:w w:val="120"/>
          <w:sz w:val="20"/>
        </w:rPr>
        <w:t>not </w:t>
      </w:r>
      <w:r>
        <w:rPr>
          <w:w w:val="120"/>
          <w:sz w:val="20"/>
        </w:rPr>
        <w:t>become a framework for its </w:t>
      </w:r>
      <w:r>
        <w:rPr>
          <w:spacing w:val="-2"/>
          <w:w w:val="120"/>
          <w:sz w:val="20"/>
        </w:rPr>
        <w:t>own </w:t>
      </w:r>
      <w:r>
        <w:rPr>
          <w:spacing w:val="-3"/>
          <w:w w:val="120"/>
          <w:sz w:val="20"/>
        </w:rPr>
        <w:t>sake. </w:t>
      </w:r>
      <w:r>
        <w:rPr>
          <w:w w:val="120"/>
          <w:sz w:val="20"/>
        </w:rPr>
        <w:t>Our Reformed tradition and nearly forty years of history suggest that our framework must be distinctive and, whilst enabling some clear </w:t>
      </w:r>
      <w:r>
        <w:rPr>
          <w:spacing w:val="-3"/>
          <w:w w:val="120"/>
          <w:sz w:val="20"/>
        </w:rPr>
        <w:t>decisions </w:t>
      </w:r>
      <w:r>
        <w:rPr>
          <w:w w:val="120"/>
          <w:sz w:val="20"/>
        </w:rPr>
        <w:t>and</w:t>
      </w:r>
      <w:r>
        <w:rPr>
          <w:spacing w:val="-6"/>
          <w:w w:val="120"/>
          <w:sz w:val="20"/>
        </w:rPr>
        <w:t> </w:t>
      </w:r>
      <w:r>
        <w:rPr>
          <w:w w:val="120"/>
          <w:sz w:val="20"/>
        </w:rPr>
        <w:t>plans</w:t>
      </w:r>
      <w:r>
        <w:rPr>
          <w:spacing w:val="-5"/>
          <w:w w:val="120"/>
          <w:sz w:val="20"/>
        </w:rPr>
        <w:t> </w:t>
      </w:r>
      <w:r>
        <w:rPr>
          <w:spacing w:val="-3"/>
          <w:w w:val="120"/>
          <w:sz w:val="20"/>
        </w:rPr>
        <w:t>to</w:t>
      </w:r>
      <w:r>
        <w:rPr>
          <w:spacing w:val="-5"/>
          <w:w w:val="120"/>
          <w:sz w:val="20"/>
        </w:rPr>
        <w:t> </w:t>
      </w:r>
      <w:r>
        <w:rPr>
          <w:w w:val="120"/>
          <w:sz w:val="20"/>
        </w:rPr>
        <w:t>be</w:t>
      </w:r>
      <w:r>
        <w:rPr>
          <w:spacing w:val="-5"/>
          <w:w w:val="120"/>
          <w:sz w:val="20"/>
        </w:rPr>
        <w:t> </w:t>
      </w:r>
      <w:r>
        <w:rPr>
          <w:spacing w:val="-3"/>
          <w:w w:val="120"/>
          <w:sz w:val="20"/>
        </w:rPr>
        <w:t>made,</w:t>
      </w:r>
      <w:r>
        <w:rPr>
          <w:spacing w:val="-5"/>
          <w:w w:val="120"/>
          <w:sz w:val="20"/>
        </w:rPr>
        <w:t> </w:t>
      </w:r>
      <w:r>
        <w:rPr>
          <w:w w:val="120"/>
          <w:sz w:val="20"/>
        </w:rPr>
        <w:t>it</w:t>
      </w:r>
      <w:r>
        <w:rPr>
          <w:spacing w:val="-5"/>
          <w:w w:val="120"/>
          <w:sz w:val="20"/>
        </w:rPr>
        <w:t> </w:t>
      </w:r>
      <w:r>
        <w:rPr>
          <w:w w:val="120"/>
          <w:sz w:val="20"/>
        </w:rPr>
        <w:t>must</w:t>
      </w:r>
      <w:r>
        <w:rPr>
          <w:spacing w:val="-6"/>
          <w:w w:val="120"/>
          <w:sz w:val="20"/>
        </w:rPr>
        <w:t> </w:t>
      </w:r>
      <w:r>
        <w:rPr>
          <w:w w:val="120"/>
          <w:sz w:val="20"/>
        </w:rPr>
        <w:t>also</w:t>
      </w:r>
      <w:r>
        <w:rPr>
          <w:spacing w:val="-5"/>
          <w:w w:val="120"/>
          <w:sz w:val="20"/>
        </w:rPr>
        <w:t> </w:t>
      </w:r>
      <w:r>
        <w:rPr>
          <w:spacing w:val="-3"/>
          <w:w w:val="120"/>
          <w:sz w:val="20"/>
        </w:rPr>
        <w:t>tell</w:t>
      </w:r>
      <w:r>
        <w:rPr>
          <w:spacing w:val="-5"/>
          <w:w w:val="120"/>
          <w:sz w:val="20"/>
        </w:rPr>
        <w:t> </w:t>
      </w:r>
      <w:r>
        <w:rPr>
          <w:w w:val="120"/>
          <w:sz w:val="20"/>
        </w:rPr>
        <w:t>a</w:t>
      </w:r>
      <w:r>
        <w:rPr>
          <w:spacing w:val="-5"/>
          <w:w w:val="120"/>
          <w:sz w:val="20"/>
        </w:rPr>
        <w:t> </w:t>
      </w:r>
      <w:r>
        <w:rPr>
          <w:w w:val="120"/>
          <w:sz w:val="20"/>
        </w:rPr>
        <w:t>story</w:t>
      </w:r>
      <w:r>
        <w:rPr>
          <w:spacing w:val="-5"/>
          <w:w w:val="120"/>
          <w:sz w:val="20"/>
        </w:rPr>
        <w:t> </w:t>
      </w:r>
      <w:r>
        <w:rPr>
          <w:w w:val="120"/>
          <w:sz w:val="20"/>
        </w:rPr>
        <w:t>of</w:t>
      </w:r>
      <w:r>
        <w:rPr>
          <w:spacing w:val="-5"/>
          <w:w w:val="120"/>
          <w:sz w:val="20"/>
        </w:rPr>
        <w:t> </w:t>
      </w:r>
      <w:r>
        <w:rPr>
          <w:w w:val="120"/>
          <w:sz w:val="20"/>
        </w:rPr>
        <w:t>who</w:t>
      </w:r>
      <w:r>
        <w:rPr>
          <w:spacing w:val="-6"/>
          <w:w w:val="120"/>
          <w:sz w:val="20"/>
        </w:rPr>
        <w:t> </w:t>
      </w:r>
      <w:r>
        <w:rPr>
          <w:w w:val="120"/>
          <w:sz w:val="20"/>
        </w:rPr>
        <w:t>we</w:t>
      </w:r>
      <w:r>
        <w:rPr>
          <w:spacing w:val="-5"/>
          <w:w w:val="120"/>
          <w:sz w:val="20"/>
        </w:rPr>
        <w:t> </w:t>
      </w:r>
      <w:r>
        <w:rPr>
          <w:w w:val="120"/>
          <w:sz w:val="20"/>
        </w:rPr>
        <w:t>are</w:t>
      </w:r>
      <w:r>
        <w:rPr>
          <w:spacing w:val="-5"/>
          <w:w w:val="120"/>
          <w:sz w:val="20"/>
        </w:rPr>
        <w:t> </w:t>
      </w:r>
      <w:r>
        <w:rPr>
          <w:w w:val="120"/>
          <w:sz w:val="20"/>
        </w:rPr>
        <w:t>as</w:t>
      </w:r>
      <w:r>
        <w:rPr>
          <w:spacing w:val="-5"/>
          <w:w w:val="120"/>
          <w:sz w:val="20"/>
        </w:rPr>
        <w:t> </w:t>
      </w:r>
      <w:r>
        <w:rPr>
          <w:w w:val="120"/>
          <w:sz w:val="20"/>
        </w:rPr>
        <w:t>a</w:t>
      </w:r>
      <w:r>
        <w:rPr>
          <w:spacing w:val="-5"/>
          <w:w w:val="120"/>
          <w:sz w:val="20"/>
        </w:rPr>
        <w:t> </w:t>
      </w:r>
      <w:r>
        <w:rPr>
          <w:spacing w:val="-3"/>
          <w:w w:val="120"/>
          <w:sz w:val="20"/>
        </w:rPr>
        <w:t>denomination</w:t>
      </w:r>
      <w:r>
        <w:rPr>
          <w:spacing w:val="-5"/>
          <w:w w:val="120"/>
          <w:sz w:val="20"/>
        </w:rPr>
        <w:t> </w:t>
      </w:r>
      <w:r>
        <w:rPr>
          <w:w w:val="120"/>
          <w:sz w:val="20"/>
        </w:rPr>
        <w:t>and</w:t>
      </w:r>
      <w:r>
        <w:rPr>
          <w:spacing w:val="-5"/>
          <w:w w:val="120"/>
          <w:sz w:val="20"/>
        </w:rPr>
        <w:t> </w:t>
      </w:r>
      <w:r>
        <w:rPr>
          <w:w w:val="120"/>
          <w:sz w:val="20"/>
        </w:rPr>
        <w:t>where we are going. </w:t>
      </w:r>
      <w:r>
        <w:rPr>
          <w:spacing w:val="-3"/>
          <w:w w:val="120"/>
          <w:sz w:val="20"/>
        </w:rPr>
        <w:t>We </w:t>
      </w:r>
      <w:r>
        <w:rPr>
          <w:w w:val="120"/>
          <w:sz w:val="20"/>
        </w:rPr>
        <w:t>believe that the theological </w:t>
      </w:r>
      <w:r>
        <w:rPr>
          <w:spacing w:val="-3"/>
          <w:w w:val="120"/>
          <w:sz w:val="20"/>
        </w:rPr>
        <w:t>basis, </w:t>
      </w:r>
      <w:r>
        <w:rPr>
          <w:w w:val="120"/>
          <w:sz w:val="20"/>
        </w:rPr>
        <w:t>as set out </w:t>
      </w:r>
      <w:r>
        <w:rPr>
          <w:spacing w:val="-3"/>
          <w:w w:val="120"/>
          <w:sz w:val="20"/>
        </w:rPr>
        <w:t>above, </w:t>
      </w:r>
      <w:r>
        <w:rPr>
          <w:w w:val="120"/>
          <w:sz w:val="20"/>
        </w:rPr>
        <w:t>with the Mission Creed</w:t>
      </w:r>
      <w:r>
        <w:rPr>
          <w:spacing w:val="-9"/>
          <w:w w:val="120"/>
          <w:sz w:val="20"/>
        </w:rPr>
        <w:t> </w:t>
      </w:r>
      <w:r>
        <w:rPr>
          <w:w w:val="120"/>
          <w:sz w:val="20"/>
        </w:rPr>
        <w:t>and</w:t>
      </w:r>
      <w:r>
        <w:rPr>
          <w:spacing w:val="-8"/>
          <w:w w:val="120"/>
          <w:sz w:val="20"/>
        </w:rPr>
        <w:t> </w:t>
      </w:r>
      <w:r>
        <w:rPr>
          <w:w w:val="120"/>
          <w:sz w:val="20"/>
        </w:rPr>
        <w:t>the</w:t>
      </w:r>
      <w:r>
        <w:rPr>
          <w:spacing w:val="-8"/>
          <w:w w:val="120"/>
          <w:sz w:val="20"/>
        </w:rPr>
        <w:t> </w:t>
      </w:r>
      <w:r>
        <w:rPr>
          <w:w w:val="120"/>
          <w:sz w:val="20"/>
        </w:rPr>
        <w:t>Statements</w:t>
      </w:r>
      <w:r>
        <w:rPr>
          <w:spacing w:val="-8"/>
          <w:w w:val="120"/>
          <w:sz w:val="20"/>
        </w:rPr>
        <w:t> </w:t>
      </w:r>
      <w:r>
        <w:rPr>
          <w:w w:val="120"/>
          <w:sz w:val="20"/>
        </w:rPr>
        <w:t>of</w:t>
      </w:r>
      <w:r>
        <w:rPr>
          <w:spacing w:val="-8"/>
          <w:w w:val="120"/>
          <w:sz w:val="20"/>
        </w:rPr>
        <w:t> </w:t>
      </w:r>
      <w:r>
        <w:rPr>
          <w:w w:val="120"/>
          <w:sz w:val="20"/>
        </w:rPr>
        <w:t>Mission</w:t>
      </w:r>
      <w:r>
        <w:rPr>
          <w:spacing w:val="-9"/>
          <w:w w:val="120"/>
          <w:sz w:val="20"/>
        </w:rPr>
        <w:t> </w:t>
      </w:r>
      <w:r>
        <w:rPr>
          <w:spacing w:val="-3"/>
          <w:w w:val="120"/>
          <w:sz w:val="20"/>
        </w:rPr>
        <w:t>Purpose,</w:t>
      </w:r>
      <w:r>
        <w:rPr>
          <w:spacing w:val="-8"/>
          <w:w w:val="120"/>
          <w:sz w:val="20"/>
        </w:rPr>
        <w:t> </w:t>
      </w:r>
      <w:r>
        <w:rPr>
          <w:w w:val="120"/>
          <w:sz w:val="20"/>
        </w:rPr>
        <w:t>together</w:t>
      </w:r>
      <w:r>
        <w:rPr>
          <w:spacing w:val="-8"/>
          <w:w w:val="120"/>
          <w:sz w:val="20"/>
        </w:rPr>
        <w:t> </w:t>
      </w:r>
      <w:r>
        <w:rPr>
          <w:w w:val="120"/>
          <w:sz w:val="20"/>
        </w:rPr>
        <w:t>present</w:t>
      </w:r>
      <w:r>
        <w:rPr>
          <w:spacing w:val="-8"/>
          <w:w w:val="120"/>
          <w:sz w:val="20"/>
        </w:rPr>
        <w:t> </w:t>
      </w:r>
      <w:r>
        <w:rPr>
          <w:w w:val="120"/>
          <w:sz w:val="20"/>
        </w:rPr>
        <w:t>a</w:t>
      </w:r>
      <w:r>
        <w:rPr>
          <w:spacing w:val="-8"/>
          <w:w w:val="120"/>
          <w:sz w:val="20"/>
        </w:rPr>
        <w:t> </w:t>
      </w:r>
      <w:r>
        <w:rPr>
          <w:w w:val="120"/>
          <w:sz w:val="20"/>
        </w:rPr>
        <w:t>sound</w:t>
      </w:r>
      <w:r>
        <w:rPr>
          <w:spacing w:val="-9"/>
          <w:w w:val="120"/>
          <w:sz w:val="20"/>
        </w:rPr>
        <w:t> </w:t>
      </w:r>
      <w:r>
        <w:rPr>
          <w:spacing w:val="-3"/>
          <w:w w:val="120"/>
          <w:sz w:val="20"/>
        </w:rPr>
        <w:t>basis</w:t>
      </w:r>
      <w:r>
        <w:rPr>
          <w:spacing w:val="-8"/>
          <w:w w:val="120"/>
          <w:sz w:val="20"/>
        </w:rPr>
        <w:t> </w:t>
      </w:r>
      <w:r>
        <w:rPr>
          <w:w w:val="120"/>
          <w:sz w:val="20"/>
        </w:rPr>
        <w:t>from</w:t>
      </w:r>
      <w:r>
        <w:rPr>
          <w:spacing w:val="-8"/>
          <w:w w:val="120"/>
          <w:sz w:val="20"/>
        </w:rPr>
        <w:t> </w:t>
      </w:r>
      <w:r>
        <w:rPr>
          <w:w w:val="120"/>
          <w:sz w:val="20"/>
        </w:rPr>
        <w:t>which </w:t>
      </w:r>
      <w:r>
        <w:rPr>
          <w:spacing w:val="-3"/>
          <w:w w:val="120"/>
          <w:sz w:val="20"/>
        </w:rPr>
        <w:t>mission </w:t>
      </w:r>
      <w:r>
        <w:rPr>
          <w:w w:val="120"/>
          <w:sz w:val="20"/>
        </w:rPr>
        <w:t>planning can</w:t>
      </w:r>
      <w:r>
        <w:rPr>
          <w:spacing w:val="-2"/>
          <w:w w:val="120"/>
          <w:sz w:val="20"/>
        </w:rPr>
        <w:t> </w:t>
      </w:r>
      <w:r>
        <w:rPr>
          <w:spacing w:val="-3"/>
          <w:w w:val="120"/>
          <w:sz w:val="20"/>
        </w:rPr>
        <w:t>develop.</w:t>
      </w:r>
    </w:p>
    <w:p>
      <w:pPr>
        <w:pStyle w:val="BodyText"/>
        <w:spacing w:before="2"/>
      </w:pPr>
    </w:p>
    <w:p>
      <w:pPr>
        <w:pStyle w:val="ListParagraph"/>
        <w:numPr>
          <w:ilvl w:val="1"/>
          <w:numId w:val="2"/>
        </w:numPr>
        <w:tabs>
          <w:tab w:pos="2664" w:val="left" w:leader="none"/>
          <w:tab w:pos="2665" w:val="left" w:leader="none"/>
        </w:tabs>
        <w:spacing w:line="235" w:lineRule="auto" w:before="1" w:after="0"/>
        <w:ind w:left="1984" w:right="1219" w:firstLine="0"/>
        <w:jc w:val="left"/>
        <w:rPr>
          <w:sz w:val="20"/>
        </w:rPr>
      </w:pPr>
      <w:r>
        <w:rPr>
          <w:w w:val="120"/>
          <w:sz w:val="20"/>
        </w:rPr>
        <w:t>With these principles in mind, the diagram in Annexe 2 is one portrayal of how different processes within the United Reformed Church might operate together in order to enable a more effective approach to mission. Just as a body with many </w:t>
      </w:r>
      <w:r>
        <w:rPr>
          <w:spacing w:val="2"/>
          <w:w w:val="120"/>
          <w:sz w:val="20"/>
        </w:rPr>
        <w:t>parts, </w:t>
      </w:r>
      <w:r>
        <w:rPr>
          <w:w w:val="120"/>
          <w:sz w:val="20"/>
        </w:rPr>
        <w:t>effective mission planning requires the co-operation of these different </w:t>
      </w:r>
      <w:r>
        <w:rPr>
          <w:spacing w:val="2"/>
          <w:w w:val="120"/>
          <w:sz w:val="20"/>
        </w:rPr>
        <w:t>parts, </w:t>
      </w:r>
      <w:r>
        <w:rPr>
          <w:w w:val="120"/>
          <w:sz w:val="20"/>
        </w:rPr>
        <w:t>from Local Mission Pledges, through Synod Mission Strategies to the overarching Assembly Framework.  </w:t>
      </w:r>
      <w:r>
        <w:rPr>
          <w:spacing w:val="-3"/>
          <w:w w:val="120"/>
          <w:sz w:val="20"/>
        </w:rPr>
        <w:t>(See </w:t>
      </w:r>
      <w:r>
        <w:rPr>
          <w:w w:val="120"/>
          <w:sz w:val="20"/>
        </w:rPr>
        <w:t>Sections </w:t>
      </w:r>
      <w:r>
        <w:rPr>
          <w:spacing w:val="-5"/>
          <w:w w:val="120"/>
          <w:sz w:val="20"/>
        </w:rPr>
        <w:t>8-10 </w:t>
      </w:r>
      <w:r>
        <w:rPr>
          <w:w w:val="120"/>
          <w:sz w:val="20"/>
        </w:rPr>
        <w:t>for more</w:t>
      </w:r>
      <w:r>
        <w:rPr>
          <w:spacing w:val="20"/>
          <w:w w:val="120"/>
          <w:sz w:val="20"/>
        </w:rPr>
        <w:t> </w:t>
      </w:r>
      <w:r>
        <w:rPr>
          <w:spacing w:val="-3"/>
          <w:w w:val="120"/>
          <w:sz w:val="20"/>
        </w:rPr>
        <w:t>details).</w:t>
      </w:r>
    </w:p>
    <w:p>
      <w:pPr>
        <w:pStyle w:val="BodyText"/>
        <w:spacing w:before="11"/>
        <w:rPr>
          <w:sz w:val="17"/>
        </w:rPr>
      </w:pPr>
    </w:p>
    <w:p>
      <w:pPr>
        <w:numPr>
          <w:ilvl w:val="0"/>
          <w:numId w:val="2"/>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Statements of Mission</w:t>
      </w:r>
      <w:r>
        <w:rPr>
          <w:rFonts w:ascii="Stone Sans II ITC Std Bk"/>
          <w:b/>
          <w:spacing w:val="-6"/>
          <w:w w:val="115"/>
          <w:sz w:val="21"/>
        </w:rPr>
        <w:t> </w:t>
      </w:r>
      <w:r>
        <w:rPr>
          <w:rFonts w:ascii="Stone Sans II ITC Std Bk"/>
          <w:b/>
          <w:w w:val="115"/>
          <w:sz w:val="21"/>
        </w:rPr>
        <w:t>Purpose</w:t>
      </w:r>
    </w:p>
    <w:p>
      <w:pPr>
        <w:pStyle w:val="ListParagraph"/>
        <w:numPr>
          <w:ilvl w:val="1"/>
          <w:numId w:val="2"/>
        </w:numPr>
        <w:tabs>
          <w:tab w:pos="2664" w:val="left" w:leader="none"/>
          <w:tab w:pos="2665" w:val="left" w:leader="none"/>
        </w:tabs>
        <w:spacing w:line="235" w:lineRule="auto" w:before="222" w:after="0"/>
        <w:ind w:left="1984" w:right="1310" w:firstLine="0"/>
        <w:jc w:val="left"/>
        <w:rPr>
          <w:sz w:val="20"/>
        </w:rPr>
      </w:pPr>
      <w:r>
        <w:rPr>
          <w:w w:val="120"/>
          <w:sz w:val="20"/>
        </w:rPr>
        <w:t>At the centre of the </w:t>
      </w:r>
      <w:r>
        <w:rPr>
          <w:i/>
          <w:w w:val="120"/>
          <w:sz w:val="20"/>
        </w:rPr>
        <w:t>vision2020 </w:t>
      </w:r>
      <w:r>
        <w:rPr>
          <w:w w:val="120"/>
          <w:sz w:val="20"/>
        </w:rPr>
        <w:t>framework are a set of ten ‘statements of our mission purpose’ which describe the kind of denomination we hope the United Reformed Church will be in the future. Each statement is followed by a short paragraph of additional explanation and a series of</w:t>
      </w:r>
      <w:r>
        <w:rPr>
          <w:spacing w:val="11"/>
          <w:w w:val="120"/>
          <w:sz w:val="20"/>
        </w:rPr>
        <w:t> </w:t>
      </w:r>
      <w:r>
        <w:rPr>
          <w:w w:val="120"/>
          <w:sz w:val="20"/>
        </w:rPr>
        <w:t>‘indicators’.</w:t>
      </w:r>
    </w:p>
    <w:p>
      <w:pPr>
        <w:pStyle w:val="BodyText"/>
        <w:spacing w:before="11"/>
        <w:rPr>
          <w:sz w:val="19"/>
        </w:rPr>
      </w:pPr>
    </w:p>
    <w:p>
      <w:pPr>
        <w:pStyle w:val="ListParagraph"/>
        <w:numPr>
          <w:ilvl w:val="1"/>
          <w:numId w:val="2"/>
        </w:numPr>
        <w:tabs>
          <w:tab w:pos="2664" w:val="left" w:leader="none"/>
          <w:tab w:pos="2665" w:val="left" w:leader="none"/>
        </w:tabs>
        <w:spacing w:line="235" w:lineRule="auto" w:before="0" w:after="0"/>
        <w:ind w:left="1984" w:right="1377" w:firstLine="0"/>
        <w:jc w:val="left"/>
        <w:rPr>
          <w:sz w:val="20"/>
        </w:rPr>
      </w:pPr>
      <w:r>
        <w:rPr>
          <w:w w:val="120"/>
          <w:sz w:val="20"/>
        </w:rPr>
        <w:t>There has been much detailed feedback on these statements. Many of these issues have been taken on board and the revised statements appear as Annexe 3. A decision has been taken not to include a separate statement about children and young people but to ensure that reference to the importance of children and young people is woven</w:t>
      </w:r>
      <w:r>
        <w:rPr>
          <w:spacing w:val="7"/>
          <w:w w:val="120"/>
          <w:sz w:val="20"/>
        </w:rPr>
        <w:t> </w:t>
      </w:r>
      <w:r>
        <w:rPr>
          <w:w w:val="120"/>
          <w:sz w:val="20"/>
        </w:rPr>
        <w:t>into</w:t>
      </w:r>
      <w:r>
        <w:rPr>
          <w:spacing w:val="8"/>
          <w:w w:val="120"/>
          <w:sz w:val="20"/>
        </w:rPr>
        <w:t> </w:t>
      </w:r>
      <w:r>
        <w:rPr>
          <w:w w:val="120"/>
          <w:sz w:val="20"/>
        </w:rPr>
        <w:t>each</w:t>
      </w:r>
      <w:r>
        <w:rPr>
          <w:spacing w:val="7"/>
          <w:w w:val="120"/>
          <w:sz w:val="20"/>
        </w:rPr>
        <w:t> </w:t>
      </w:r>
      <w:r>
        <w:rPr>
          <w:w w:val="120"/>
          <w:sz w:val="20"/>
        </w:rPr>
        <w:t>theme,</w:t>
      </w:r>
      <w:r>
        <w:rPr>
          <w:spacing w:val="8"/>
          <w:w w:val="120"/>
          <w:sz w:val="20"/>
        </w:rPr>
        <w:t> </w:t>
      </w:r>
      <w:r>
        <w:rPr>
          <w:w w:val="120"/>
          <w:sz w:val="20"/>
        </w:rPr>
        <w:t>particularly</w:t>
      </w:r>
      <w:r>
        <w:rPr>
          <w:spacing w:val="7"/>
          <w:w w:val="120"/>
          <w:sz w:val="20"/>
        </w:rPr>
        <w:t> </w:t>
      </w:r>
      <w:r>
        <w:rPr>
          <w:w w:val="120"/>
          <w:sz w:val="20"/>
        </w:rPr>
        <w:t>through</w:t>
      </w:r>
      <w:r>
        <w:rPr>
          <w:spacing w:val="8"/>
          <w:w w:val="120"/>
          <w:sz w:val="20"/>
        </w:rPr>
        <w:t> </w:t>
      </w:r>
      <w:r>
        <w:rPr>
          <w:w w:val="120"/>
          <w:sz w:val="20"/>
        </w:rPr>
        <w:t>the</w:t>
      </w:r>
      <w:r>
        <w:rPr>
          <w:spacing w:val="7"/>
          <w:w w:val="120"/>
          <w:sz w:val="20"/>
        </w:rPr>
        <w:t> </w:t>
      </w:r>
      <w:r>
        <w:rPr>
          <w:w w:val="120"/>
          <w:sz w:val="20"/>
        </w:rPr>
        <w:t>‘indicators’</w:t>
      </w:r>
      <w:r>
        <w:rPr>
          <w:spacing w:val="8"/>
          <w:w w:val="120"/>
          <w:sz w:val="20"/>
        </w:rPr>
        <w:t> </w:t>
      </w:r>
      <w:r>
        <w:rPr>
          <w:spacing w:val="-4"/>
          <w:w w:val="120"/>
          <w:sz w:val="20"/>
        </w:rPr>
        <w:t>(see</w:t>
      </w:r>
      <w:r>
        <w:rPr>
          <w:spacing w:val="7"/>
          <w:w w:val="120"/>
          <w:sz w:val="20"/>
        </w:rPr>
        <w:t> </w:t>
      </w:r>
      <w:r>
        <w:rPr>
          <w:w w:val="120"/>
          <w:sz w:val="20"/>
        </w:rPr>
        <w:t>Section</w:t>
      </w:r>
      <w:r>
        <w:rPr>
          <w:spacing w:val="8"/>
          <w:w w:val="120"/>
          <w:sz w:val="20"/>
        </w:rPr>
        <w:t> </w:t>
      </w:r>
      <w:r>
        <w:rPr>
          <w:w w:val="120"/>
          <w:sz w:val="20"/>
        </w:rPr>
        <w:t>8</w:t>
      </w:r>
      <w:r>
        <w:rPr>
          <w:spacing w:val="7"/>
          <w:w w:val="120"/>
          <w:sz w:val="20"/>
        </w:rPr>
        <w:t> </w:t>
      </w:r>
      <w:r>
        <w:rPr>
          <w:spacing w:val="-3"/>
          <w:w w:val="120"/>
          <w:sz w:val="20"/>
        </w:rPr>
        <w:t>below).</w:t>
      </w:r>
    </w:p>
    <w:p>
      <w:pPr>
        <w:pStyle w:val="BodyText"/>
      </w:pPr>
    </w:p>
    <w:p>
      <w:pPr>
        <w:pStyle w:val="ListParagraph"/>
        <w:numPr>
          <w:ilvl w:val="1"/>
          <w:numId w:val="2"/>
        </w:numPr>
        <w:tabs>
          <w:tab w:pos="2664" w:val="left" w:leader="none"/>
          <w:tab w:pos="2665" w:val="left" w:leader="none"/>
        </w:tabs>
        <w:spacing w:line="235" w:lineRule="auto" w:before="0" w:after="0"/>
        <w:ind w:left="1984" w:right="1242" w:firstLine="0"/>
        <w:jc w:val="left"/>
        <w:rPr>
          <w:sz w:val="20"/>
        </w:rPr>
      </w:pPr>
      <w:r>
        <w:rPr>
          <w:w w:val="120"/>
          <w:sz w:val="20"/>
        </w:rPr>
        <w:t>Concerns were also raised about the relationship between the proposed statements and the Five Marks of Mission. It is the view of the Mission Committee that the two sets of statements are entirely complementary but that the more detailed set of </w:t>
      </w:r>
      <w:r>
        <w:rPr>
          <w:spacing w:val="-6"/>
          <w:w w:val="120"/>
          <w:sz w:val="20"/>
        </w:rPr>
        <w:t>10 </w:t>
      </w:r>
      <w:r>
        <w:rPr>
          <w:w w:val="120"/>
          <w:sz w:val="20"/>
        </w:rPr>
        <w:t>statements set out in </w:t>
      </w:r>
      <w:r>
        <w:rPr>
          <w:i/>
          <w:w w:val="120"/>
          <w:sz w:val="20"/>
        </w:rPr>
        <w:t>vision2020 </w:t>
      </w:r>
      <w:r>
        <w:rPr>
          <w:w w:val="120"/>
          <w:sz w:val="20"/>
        </w:rPr>
        <w:t>will be helpful for churches in their mission</w:t>
      </w:r>
      <w:r>
        <w:rPr>
          <w:spacing w:val="-9"/>
          <w:w w:val="120"/>
          <w:sz w:val="20"/>
        </w:rPr>
        <w:t> </w:t>
      </w:r>
      <w:r>
        <w:rPr>
          <w:w w:val="120"/>
          <w:sz w:val="20"/>
        </w:rPr>
        <w:t>planning.</w:t>
      </w:r>
    </w:p>
    <w:p>
      <w:pPr>
        <w:pStyle w:val="BodyText"/>
        <w:spacing w:before="10"/>
        <w:rPr>
          <w:sz w:val="19"/>
        </w:rPr>
      </w:pPr>
    </w:p>
    <w:p>
      <w:pPr>
        <w:pStyle w:val="ListParagraph"/>
        <w:numPr>
          <w:ilvl w:val="1"/>
          <w:numId w:val="2"/>
        </w:numPr>
        <w:tabs>
          <w:tab w:pos="2664" w:val="left" w:leader="none"/>
          <w:tab w:pos="2665" w:val="left" w:leader="none"/>
        </w:tabs>
        <w:spacing w:line="235" w:lineRule="auto" w:before="1" w:after="0"/>
        <w:ind w:left="1984" w:right="1175" w:firstLine="0"/>
        <w:jc w:val="left"/>
        <w:rPr>
          <w:sz w:val="20"/>
        </w:rPr>
      </w:pPr>
      <w:r>
        <w:rPr>
          <w:w w:val="120"/>
          <w:sz w:val="20"/>
        </w:rPr>
        <w:t>In</w:t>
      </w:r>
      <w:r>
        <w:rPr>
          <w:spacing w:val="-22"/>
          <w:w w:val="120"/>
          <w:sz w:val="20"/>
        </w:rPr>
        <w:t> </w:t>
      </w:r>
      <w:r>
        <w:rPr>
          <w:w w:val="120"/>
          <w:sz w:val="20"/>
        </w:rPr>
        <w:t>the</w:t>
      </w:r>
      <w:r>
        <w:rPr>
          <w:spacing w:val="-21"/>
          <w:w w:val="120"/>
          <w:sz w:val="20"/>
        </w:rPr>
        <w:t> </w:t>
      </w:r>
      <w:r>
        <w:rPr>
          <w:i/>
          <w:spacing w:val="-3"/>
          <w:w w:val="120"/>
          <w:sz w:val="20"/>
        </w:rPr>
        <w:t>Hearing</w:t>
      </w:r>
      <w:r>
        <w:rPr>
          <w:i/>
          <w:spacing w:val="-24"/>
          <w:w w:val="120"/>
          <w:sz w:val="20"/>
        </w:rPr>
        <w:t> </w:t>
      </w:r>
      <w:r>
        <w:rPr>
          <w:i/>
          <w:spacing w:val="-5"/>
          <w:w w:val="120"/>
          <w:sz w:val="20"/>
        </w:rPr>
        <w:t>Your</w:t>
      </w:r>
      <w:r>
        <w:rPr>
          <w:i/>
          <w:spacing w:val="-24"/>
          <w:w w:val="120"/>
          <w:sz w:val="20"/>
        </w:rPr>
        <w:t> </w:t>
      </w:r>
      <w:r>
        <w:rPr>
          <w:i/>
          <w:w w:val="120"/>
          <w:sz w:val="20"/>
        </w:rPr>
        <w:t>Views</w:t>
      </w:r>
      <w:r>
        <w:rPr>
          <w:i/>
          <w:spacing w:val="-21"/>
          <w:w w:val="120"/>
          <w:sz w:val="20"/>
        </w:rPr>
        <w:t> </w:t>
      </w:r>
      <w:r>
        <w:rPr>
          <w:i/>
          <w:spacing w:val="-4"/>
          <w:w w:val="120"/>
          <w:sz w:val="20"/>
        </w:rPr>
        <w:t>vision2020</w:t>
      </w:r>
      <w:r>
        <w:rPr>
          <w:i/>
          <w:spacing w:val="-21"/>
          <w:w w:val="120"/>
          <w:sz w:val="20"/>
        </w:rPr>
        <w:t> </w:t>
      </w:r>
      <w:r>
        <w:rPr>
          <w:spacing w:val="-3"/>
          <w:w w:val="120"/>
          <w:sz w:val="20"/>
        </w:rPr>
        <w:t>consultation</w:t>
      </w:r>
      <w:r>
        <w:rPr>
          <w:spacing w:val="-21"/>
          <w:w w:val="120"/>
          <w:sz w:val="20"/>
        </w:rPr>
        <w:t> </w:t>
      </w:r>
      <w:r>
        <w:rPr>
          <w:w w:val="120"/>
          <w:sz w:val="20"/>
        </w:rPr>
        <w:t>booklet</w:t>
      </w:r>
      <w:r>
        <w:rPr>
          <w:spacing w:val="-22"/>
          <w:w w:val="120"/>
          <w:sz w:val="20"/>
        </w:rPr>
        <w:t> </w:t>
      </w:r>
      <w:r>
        <w:rPr>
          <w:w w:val="120"/>
          <w:sz w:val="20"/>
        </w:rPr>
        <w:t>each</w:t>
      </w:r>
      <w:r>
        <w:rPr>
          <w:spacing w:val="-21"/>
          <w:w w:val="120"/>
          <w:sz w:val="20"/>
        </w:rPr>
        <w:t> </w:t>
      </w:r>
      <w:r>
        <w:rPr>
          <w:w w:val="120"/>
          <w:sz w:val="20"/>
        </w:rPr>
        <w:t>statement</w:t>
      </w:r>
      <w:r>
        <w:rPr>
          <w:spacing w:val="-21"/>
          <w:w w:val="120"/>
          <w:sz w:val="20"/>
        </w:rPr>
        <w:t> </w:t>
      </w:r>
      <w:r>
        <w:rPr>
          <w:w w:val="120"/>
          <w:sz w:val="20"/>
        </w:rPr>
        <w:t>began</w:t>
      </w:r>
      <w:r>
        <w:rPr>
          <w:spacing w:val="-22"/>
          <w:w w:val="120"/>
          <w:sz w:val="20"/>
        </w:rPr>
        <w:t> </w:t>
      </w:r>
      <w:r>
        <w:rPr>
          <w:w w:val="120"/>
          <w:sz w:val="20"/>
        </w:rPr>
        <w:t>with the phrase: ‘In </w:t>
      </w:r>
      <w:r>
        <w:rPr>
          <w:spacing w:val="-3"/>
          <w:w w:val="120"/>
          <w:sz w:val="20"/>
        </w:rPr>
        <w:t>ten years’ </w:t>
      </w:r>
      <w:r>
        <w:rPr>
          <w:w w:val="120"/>
          <w:sz w:val="20"/>
        </w:rPr>
        <w:t>time </w:t>
      </w:r>
      <w:r>
        <w:rPr>
          <w:spacing w:val="-9"/>
          <w:w w:val="120"/>
          <w:sz w:val="20"/>
        </w:rPr>
        <w:t>…’ </w:t>
      </w:r>
      <w:r>
        <w:rPr>
          <w:w w:val="120"/>
          <w:sz w:val="20"/>
        </w:rPr>
        <w:t>Feedback said that </w:t>
      </w:r>
      <w:r>
        <w:rPr>
          <w:spacing w:val="-3"/>
          <w:w w:val="120"/>
          <w:sz w:val="20"/>
        </w:rPr>
        <w:t>this </w:t>
      </w:r>
      <w:r>
        <w:rPr>
          <w:w w:val="120"/>
          <w:sz w:val="20"/>
        </w:rPr>
        <w:t>was unhelpful. </w:t>
      </w:r>
      <w:r>
        <w:rPr>
          <w:spacing w:val="-3"/>
          <w:w w:val="120"/>
          <w:sz w:val="20"/>
        </w:rPr>
        <w:t>We have </w:t>
      </w:r>
      <w:r>
        <w:rPr>
          <w:w w:val="120"/>
          <w:sz w:val="20"/>
        </w:rPr>
        <w:t>decided </w:t>
      </w:r>
      <w:r>
        <w:rPr>
          <w:spacing w:val="-3"/>
          <w:w w:val="120"/>
          <w:sz w:val="20"/>
        </w:rPr>
        <w:t>to </w:t>
      </w:r>
      <w:r>
        <w:rPr>
          <w:w w:val="120"/>
          <w:sz w:val="20"/>
        </w:rPr>
        <w:t>drop that introductory phrase and </w:t>
      </w:r>
      <w:r>
        <w:rPr>
          <w:spacing w:val="-3"/>
          <w:w w:val="120"/>
          <w:sz w:val="20"/>
        </w:rPr>
        <w:t>emphasise </w:t>
      </w:r>
      <w:r>
        <w:rPr>
          <w:w w:val="120"/>
          <w:sz w:val="20"/>
        </w:rPr>
        <w:t>the </w:t>
      </w:r>
      <w:r>
        <w:rPr>
          <w:spacing w:val="-3"/>
          <w:w w:val="120"/>
          <w:sz w:val="20"/>
        </w:rPr>
        <w:t>following</w:t>
      </w:r>
      <w:r>
        <w:rPr>
          <w:spacing w:val="-7"/>
          <w:w w:val="120"/>
          <w:sz w:val="20"/>
        </w:rPr>
        <w:t> </w:t>
      </w:r>
      <w:r>
        <w:rPr>
          <w:spacing w:val="-3"/>
          <w:w w:val="120"/>
          <w:sz w:val="20"/>
        </w:rPr>
        <w:t>things:</w:t>
      </w:r>
    </w:p>
    <w:p>
      <w:pPr>
        <w:spacing w:after="0" w:line="235" w:lineRule="auto"/>
        <w:jc w:val="left"/>
        <w:rPr>
          <w:sz w:val="20"/>
        </w:rPr>
        <w:sectPr>
          <w:pgSz w:w="11910" w:h="16840"/>
          <w:pgMar w:header="0" w:footer="600" w:top="1080" w:bottom="800" w:left="0" w:right="0"/>
        </w:sectPr>
      </w:pPr>
    </w:p>
    <w:p>
      <w:pPr>
        <w:pStyle w:val="BodyText"/>
        <w:spacing w:before="10"/>
        <w:rPr>
          <w:sz w:val="18"/>
        </w:rPr>
      </w:pPr>
      <w:r>
        <w:rPr/>
        <w:pict>
          <v:group style="position:absolute;margin-left:56.692902pt;margin-top:56.193214pt;width:477.65pt;height:741.7pt;mso-position-horizontal-relative:page;mso-position-vertical-relative:page;z-index:-267693056" coordorigin="1134,1124" coordsize="9553,14834">
            <v:line style="position:absolute" from="10290,5847" to="10290,15957" stroked="true" strokeweight="1pt" strokecolor="#868685">
              <v:stroke dashstyle="dot"/>
            </v:line>
            <v:line style="position:absolute" from="10290,1134" to="10290,1134" stroked="true" strokeweight="1pt" strokecolor="#868685">
              <v:stroke dashstyle="solid"/>
            </v:line>
            <v:rect style="position:absolute;left:1133;top:1143;width:9553;height:4704" filled="true" fillcolor="#fcf4e0" stroked="false">
              <v:fill type="solid"/>
            </v:rect>
            <v:shape style="position:absolute;left:1133;top:1133;width:9553;height:4724" coordorigin="1134,1134" coordsize="9553,4724" path="m10687,5837l1134,5837,1134,5857,10687,5857,10687,5837m10687,1134l1134,1134,1134,1154,10687,1154,10687,1134e" filled="true" fillcolor="#ca4f1b" stroked="false">
              <v:path arrowok="t"/>
              <v:fill type="solid"/>
            </v:shape>
            <v:shape style="position:absolute;left:9517;top:1159;width:1170;height:4659" type="#_x0000_t75" stroked="false">
              <v:imagedata r:id="rId41" o:title=""/>
            </v:shape>
            <w10:wrap type="none"/>
          </v:group>
        </w:pict>
      </w:r>
    </w:p>
    <w:p>
      <w:pPr>
        <w:spacing w:before="101"/>
        <w:ind w:left="1474" w:right="0" w:firstLine="0"/>
        <w:jc w:val="left"/>
        <w:rPr>
          <w:sz w:val="29"/>
        </w:rPr>
      </w:pPr>
      <w:r>
        <w:rPr/>
        <w:pict>
          <v:rect style="position:absolute;margin-left:12.047pt;margin-top:-3.005763pt;width:22.677pt;height:22.677pt;mso-position-horizontal-relative:page;mso-position-vertical-relative:paragraph;z-index:251729920" filled="true" fillcolor="#f9e9c1" stroked="false">
            <v:fill opacity="32768f" type="solid"/>
            <w10:wrap type="none"/>
          </v:rect>
        </w:pict>
      </w:r>
      <w:r>
        <w:rPr>
          <w:color w:val="CA4F1B"/>
          <w:spacing w:val="4"/>
          <w:w w:val="115"/>
          <w:sz w:val="29"/>
        </w:rPr>
        <w:t>Statements </w:t>
      </w:r>
      <w:r>
        <w:rPr>
          <w:color w:val="CA4F1B"/>
          <w:spacing w:val="3"/>
          <w:w w:val="115"/>
          <w:sz w:val="29"/>
        </w:rPr>
        <w:t>of </w:t>
      </w:r>
      <w:r>
        <w:rPr>
          <w:color w:val="CA4F1B"/>
          <w:spacing w:val="4"/>
          <w:w w:val="115"/>
          <w:sz w:val="29"/>
        </w:rPr>
        <w:t>Mission</w:t>
      </w:r>
      <w:r>
        <w:rPr>
          <w:color w:val="CA4F1B"/>
          <w:spacing w:val="67"/>
          <w:w w:val="115"/>
          <w:sz w:val="29"/>
        </w:rPr>
        <w:t> </w:t>
      </w:r>
      <w:r>
        <w:rPr>
          <w:color w:val="CA4F1B"/>
          <w:spacing w:val="4"/>
          <w:w w:val="115"/>
          <w:sz w:val="29"/>
        </w:rPr>
        <w:t>Purpose</w:t>
      </w:r>
    </w:p>
    <w:p>
      <w:pPr>
        <w:pStyle w:val="ListParagraph"/>
        <w:numPr>
          <w:ilvl w:val="0"/>
          <w:numId w:val="4"/>
        </w:numPr>
        <w:tabs>
          <w:tab w:pos="1815" w:val="left" w:leader="none"/>
        </w:tabs>
        <w:spacing w:line="235" w:lineRule="auto" w:before="216" w:after="0"/>
        <w:ind w:left="1814" w:right="2795" w:hanging="341"/>
        <w:jc w:val="left"/>
        <w:rPr>
          <w:sz w:val="20"/>
        </w:rPr>
      </w:pPr>
      <w:r>
        <w:rPr>
          <w:spacing w:val="4"/>
          <w:w w:val="120"/>
          <w:sz w:val="20"/>
        </w:rPr>
        <w:t>Our </w:t>
      </w:r>
      <w:r>
        <w:rPr>
          <w:spacing w:val="5"/>
          <w:w w:val="120"/>
          <w:sz w:val="20"/>
        </w:rPr>
        <w:t>statements </w:t>
      </w:r>
      <w:r>
        <w:rPr>
          <w:spacing w:val="3"/>
          <w:w w:val="120"/>
          <w:sz w:val="20"/>
        </w:rPr>
        <w:t>of </w:t>
      </w:r>
      <w:r>
        <w:rPr>
          <w:spacing w:val="4"/>
          <w:w w:val="120"/>
          <w:sz w:val="20"/>
        </w:rPr>
        <w:t>mission </w:t>
      </w:r>
      <w:r>
        <w:rPr>
          <w:spacing w:val="5"/>
          <w:w w:val="120"/>
          <w:sz w:val="20"/>
        </w:rPr>
        <w:t>purpose </w:t>
      </w:r>
      <w:r>
        <w:rPr>
          <w:spacing w:val="4"/>
          <w:w w:val="120"/>
          <w:sz w:val="20"/>
        </w:rPr>
        <w:t>are </w:t>
      </w:r>
      <w:r>
        <w:rPr>
          <w:spacing w:val="5"/>
          <w:w w:val="120"/>
          <w:sz w:val="20"/>
        </w:rPr>
        <w:t>designed </w:t>
      </w:r>
      <w:r>
        <w:rPr>
          <w:w w:val="120"/>
          <w:sz w:val="20"/>
        </w:rPr>
        <w:t>to </w:t>
      </w:r>
      <w:r>
        <w:rPr>
          <w:spacing w:val="3"/>
          <w:w w:val="120"/>
          <w:sz w:val="20"/>
        </w:rPr>
        <w:t>set out </w:t>
      </w:r>
      <w:r>
        <w:rPr>
          <w:w w:val="120"/>
          <w:sz w:val="20"/>
        </w:rPr>
        <w:t>a </w:t>
      </w:r>
      <w:r>
        <w:rPr>
          <w:spacing w:val="4"/>
          <w:w w:val="120"/>
          <w:sz w:val="20"/>
        </w:rPr>
        <w:t>vision </w:t>
      </w:r>
      <w:r>
        <w:rPr>
          <w:spacing w:val="3"/>
          <w:w w:val="120"/>
          <w:sz w:val="20"/>
        </w:rPr>
        <w:t>for </w:t>
      </w:r>
      <w:r>
        <w:rPr>
          <w:spacing w:val="4"/>
          <w:w w:val="120"/>
          <w:sz w:val="20"/>
        </w:rPr>
        <w:t>the </w:t>
      </w:r>
      <w:r>
        <w:rPr>
          <w:spacing w:val="5"/>
          <w:w w:val="120"/>
          <w:sz w:val="20"/>
        </w:rPr>
        <w:t>development </w:t>
      </w:r>
      <w:r>
        <w:rPr>
          <w:spacing w:val="3"/>
          <w:w w:val="120"/>
          <w:sz w:val="20"/>
        </w:rPr>
        <w:t>of </w:t>
      </w:r>
      <w:r>
        <w:rPr>
          <w:spacing w:val="4"/>
          <w:w w:val="120"/>
          <w:sz w:val="20"/>
        </w:rPr>
        <w:t>the United </w:t>
      </w:r>
      <w:r>
        <w:rPr>
          <w:spacing w:val="5"/>
          <w:w w:val="120"/>
          <w:sz w:val="20"/>
        </w:rPr>
        <w:t>Reformed </w:t>
      </w:r>
      <w:r>
        <w:rPr>
          <w:spacing w:val="3"/>
          <w:w w:val="120"/>
          <w:sz w:val="20"/>
        </w:rPr>
        <w:t>Church for </w:t>
      </w:r>
      <w:r>
        <w:rPr>
          <w:spacing w:val="4"/>
          <w:w w:val="120"/>
          <w:sz w:val="20"/>
        </w:rPr>
        <w:t>the </w:t>
      </w:r>
      <w:r>
        <w:rPr>
          <w:spacing w:val="6"/>
          <w:w w:val="120"/>
          <w:sz w:val="20"/>
        </w:rPr>
        <w:t>next </w:t>
      </w:r>
      <w:r>
        <w:rPr>
          <w:spacing w:val="-3"/>
          <w:w w:val="120"/>
          <w:sz w:val="20"/>
        </w:rPr>
        <w:t>10 </w:t>
      </w:r>
      <w:r>
        <w:rPr>
          <w:spacing w:val="4"/>
          <w:w w:val="120"/>
          <w:sz w:val="20"/>
        </w:rPr>
        <w:t>years and beyond. They arise from </w:t>
      </w:r>
      <w:r>
        <w:rPr>
          <w:w w:val="120"/>
          <w:sz w:val="20"/>
        </w:rPr>
        <w:t>– </w:t>
      </w:r>
      <w:r>
        <w:rPr>
          <w:spacing w:val="4"/>
          <w:w w:val="120"/>
          <w:sz w:val="20"/>
        </w:rPr>
        <w:t>and </w:t>
      </w:r>
      <w:r>
        <w:rPr>
          <w:spacing w:val="5"/>
          <w:w w:val="120"/>
          <w:sz w:val="20"/>
        </w:rPr>
        <w:t>act </w:t>
      </w:r>
      <w:r>
        <w:rPr>
          <w:spacing w:val="2"/>
          <w:w w:val="120"/>
          <w:sz w:val="20"/>
        </w:rPr>
        <w:t>as </w:t>
      </w:r>
      <w:r>
        <w:rPr>
          <w:w w:val="120"/>
          <w:sz w:val="20"/>
        </w:rPr>
        <w:t>a </w:t>
      </w:r>
      <w:r>
        <w:rPr>
          <w:spacing w:val="4"/>
          <w:w w:val="120"/>
          <w:sz w:val="20"/>
        </w:rPr>
        <w:t>complement </w:t>
      </w:r>
      <w:r>
        <w:rPr>
          <w:w w:val="120"/>
          <w:sz w:val="20"/>
        </w:rPr>
        <w:t>to – </w:t>
      </w:r>
      <w:r>
        <w:rPr>
          <w:spacing w:val="4"/>
          <w:w w:val="120"/>
          <w:sz w:val="20"/>
        </w:rPr>
        <w:t>the Five </w:t>
      </w:r>
      <w:r>
        <w:rPr>
          <w:spacing w:val="6"/>
          <w:w w:val="120"/>
          <w:sz w:val="20"/>
        </w:rPr>
        <w:t>Marks </w:t>
      </w:r>
      <w:r>
        <w:rPr>
          <w:spacing w:val="3"/>
          <w:w w:val="120"/>
          <w:sz w:val="20"/>
        </w:rPr>
        <w:t>of</w:t>
      </w:r>
      <w:r>
        <w:rPr>
          <w:spacing w:val="19"/>
          <w:w w:val="120"/>
          <w:sz w:val="20"/>
        </w:rPr>
        <w:t> </w:t>
      </w:r>
      <w:r>
        <w:rPr>
          <w:spacing w:val="4"/>
          <w:w w:val="120"/>
          <w:sz w:val="20"/>
        </w:rPr>
        <w:t>Mission.</w:t>
      </w:r>
    </w:p>
    <w:p>
      <w:pPr>
        <w:pStyle w:val="BodyText"/>
        <w:spacing w:before="10"/>
        <w:rPr>
          <w:sz w:val="19"/>
        </w:rPr>
      </w:pPr>
    </w:p>
    <w:p>
      <w:pPr>
        <w:pStyle w:val="ListParagraph"/>
        <w:numPr>
          <w:ilvl w:val="0"/>
          <w:numId w:val="4"/>
        </w:numPr>
        <w:tabs>
          <w:tab w:pos="1815" w:val="left" w:leader="none"/>
        </w:tabs>
        <w:spacing w:line="235" w:lineRule="auto" w:before="1" w:after="0"/>
        <w:ind w:left="1814" w:right="2483" w:hanging="341"/>
        <w:jc w:val="left"/>
        <w:rPr>
          <w:sz w:val="20"/>
        </w:rPr>
      </w:pPr>
      <w:r>
        <w:rPr>
          <w:spacing w:val="5"/>
          <w:w w:val="120"/>
          <w:sz w:val="20"/>
        </w:rPr>
        <w:t>As statements </w:t>
      </w:r>
      <w:r>
        <w:rPr>
          <w:spacing w:val="3"/>
          <w:w w:val="120"/>
          <w:sz w:val="20"/>
        </w:rPr>
        <w:t>of </w:t>
      </w:r>
      <w:r>
        <w:rPr>
          <w:spacing w:val="5"/>
          <w:w w:val="120"/>
          <w:sz w:val="20"/>
        </w:rPr>
        <w:t>purpose </w:t>
      </w:r>
      <w:r>
        <w:rPr>
          <w:w w:val="120"/>
          <w:sz w:val="20"/>
        </w:rPr>
        <w:t>we </w:t>
      </w:r>
      <w:r>
        <w:rPr>
          <w:spacing w:val="4"/>
          <w:w w:val="120"/>
          <w:sz w:val="20"/>
        </w:rPr>
        <w:t>can see </w:t>
      </w:r>
      <w:r>
        <w:rPr>
          <w:spacing w:val="3"/>
          <w:w w:val="120"/>
          <w:sz w:val="20"/>
        </w:rPr>
        <w:t>many of </w:t>
      </w:r>
      <w:r>
        <w:rPr>
          <w:spacing w:val="4"/>
          <w:w w:val="120"/>
          <w:sz w:val="20"/>
        </w:rPr>
        <w:t>them </w:t>
      </w:r>
      <w:r>
        <w:rPr>
          <w:spacing w:val="5"/>
          <w:w w:val="120"/>
          <w:sz w:val="20"/>
        </w:rPr>
        <w:t>working </w:t>
      </w:r>
      <w:r>
        <w:rPr>
          <w:spacing w:val="4"/>
          <w:w w:val="120"/>
          <w:sz w:val="20"/>
        </w:rPr>
        <w:t>already </w:t>
      </w:r>
      <w:r>
        <w:rPr>
          <w:spacing w:val="2"/>
          <w:w w:val="120"/>
          <w:sz w:val="20"/>
        </w:rPr>
        <w:t>in </w:t>
      </w:r>
      <w:r>
        <w:rPr>
          <w:spacing w:val="3"/>
          <w:w w:val="120"/>
          <w:sz w:val="20"/>
        </w:rPr>
        <w:t>all </w:t>
      </w:r>
      <w:r>
        <w:rPr>
          <w:spacing w:val="6"/>
          <w:w w:val="120"/>
          <w:sz w:val="20"/>
        </w:rPr>
        <w:t>aspects </w:t>
      </w:r>
      <w:r>
        <w:rPr>
          <w:spacing w:val="3"/>
          <w:w w:val="120"/>
          <w:sz w:val="20"/>
        </w:rPr>
        <w:t>of </w:t>
      </w:r>
      <w:r>
        <w:rPr>
          <w:spacing w:val="4"/>
          <w:w w:val="120"/>
          <w:sz w:val="20"/>
        </w:rPr>
        <w:t>the life </w:t>
      </w:r>
      <w:r>
        <w:rPr>
          <w:spacing w:val="3"/>
          <w:w w:val="120"/>
          <w:sz w:val="20"/>
        </w:rPr>
        <w:t>of </w:t>
      </w:r>
      <w:r>
        <w:rPr>
          <w:spacing w:val="4"/>
          <w:w w:val="120"/>
          <w:sz w:val="20"/>
        </w:rPr>
        <w:t>the United </w:t>
      </w:r>
      <w:r>
        <w:rPr>
          <w:spacing w:val="5"/>
          <w:w w:val="120"/>
          <w:sz w:val="20"/>
        </w:rPr>
        <w:t>Reformed </w:t>
      </w:r>
      <w:r>
        <w:rPr>
          <w:spacing w:val="4"/>
          <w:w w:val="120"/>
          <w:sz w:val="20"/>
        </w:rPr>
        <w:t>Church. </w:t>
      </w:r>
      <w:r>
        <w:rPr>
          <w:spacing w:val="3"/>
          <w:w w:val="120"/>
          <w:sz w:val="20"/>
        </w:rPr>
        <w:t>In this </w:t>
      </w:r>
      <w:r>
        <w:rPr>
          <w:w w:val="120"/>
          <w:sz w:val="20"/>
        </w:rPr>
        <w:t>we </w:t>
      </w:r>
      <w:r>
        <w:rPr>
          <w:spacing w:val="4"/>
          <w:w w:val="120"/>
          <w:sz w:val="20"/>
        </w:rPr>
        <w:t>can </w:t>
      </w:r>
      <w:r>
        <w:rPr>
          <w:spacing w:val="3"/>
          <w:w w:val="120"/>
          <w:sz w:val="20"/>
        </w:rPr>
        <w:t>rejoice. </w:t>
      </w:r>
      <w:r>
        <w:rPr>
          <w:spacing w:val="4"/>
          <w:w w:val="120"/>
          <w:sz w:val="20"/>
        </w:rPr>
        <w:t>But they remain both </w:t>
      </w:r>
      <w:r>
        <w:rPr>
          <w:w w:val="120"/>
          <w:sz w:val="20"/>
        </w:rPr>
        <w:t>a </w:t>
      </w:r>
      <w:r>
        <w:rPr>
          <w:spacing w:val="5"/>
          <w:w w:val="120"/>
          <w:sz w:val="20"/>
        </w:rPr>
        <w:t>challenge </w:t>
      </w:r>
      <w:r>
        <w:rPr>
          <w:spacing w:val="4"/>
          <w:w w:val="120"/>
          <w:sz w:val="20"/>
        </w:rPr>
        <w:t>and </w:t>
      </w:r>
      <w:r>
        <w:rPr>
          <w:spacing w:val="3"/>
          <w:w w:val="120"/>
          <w:sz w:val="20"/>
        </w:rPr>
        <w:t>an </w:t>
      </w:r>
      <w:r>
        <w:rPr>
          <w:spacing w:val="5"/>
          <w:w w:val="120"/>
          <w:sz w:val="20"/>
        </w:rPr>
        <w:t>inspiration </w:t>
      </w:r>
      <w:r>
        <w:rPr>
          <w:spacing w:val="2"/>
          <w:w w:val="120"/>
          <w:sz w:val="20"/>
        </w:rPr>
        <w:t>as </w:t>
      </w:r>
      <w:r>
        <w:rPr>
          <w:spacing w:val="4"/>
          <w:w w:val="120"/>
          <w:sz w:val="20"/>
        </w:rPr>
        <w:t>beacons </w:t>
      </w:r>
      <w:r>
        <w:rPr>
          <w:spacing w:val="3"/>
          <w:w w:val="120"/>
          <w:sz w:val="20"/>
        </w:rPr>
        <w:t>on </w:t>
      </w:r>
      <w:r>
        <w:rPr>
          <w:w w:val="120"/>
          <w:sz w:val="20"/>
        </w:rPr>
        <w:t>a </w:t>
      </w:r>
      <w:r>
        <w:rPr>
          <w:spacing w:val="5"/>
          <w:w w:val="120"/>
          <w:sz w:val="20"/>
        </w:rPr>
        <w:t>journey</w:t>
      </w:r>
      <w:r>
        <w:rPr>
          <w:spacing w:val="15"/>
          <w:w w:val="120"/>
          <w:sz w:val="20"/>
        </w:rPr>
        <w:t> </w:t>
      </w:r>
      <w:r>
        <w:rPr>
          <w:w w:val="120"/>
          <w:sz w:val="20"/>
        </w:rPr>
        <w:t>we</w:t>
      </w:r>
      <w:r>
        <w:rPr>
          <w:spacing w:val="15"/>
          <w:w w:val="120"/>
          <w:sz w:val="20"/>
        </w:rPr>
        <w:t> </w:t>
      </w:r>
      <w:r>
        <w:rPr>
          <w:spacing w:val="4"/>
          <w:w w:val="120"/>
          <w:sz w:val="20"/>
        </w:rPr>
        <w:t>must</w:t>
      </w:r>
      <w:r>
        <w:rPr>
          <w:spacing w:val="15"/>
          <w:w w:val="120"/>
          <w:sz w:val="20"/>
        </w:rPr>
        <w:t> </w:t>
      </w:r>
      <w:r>
        <w:rPr>
          <w:spacing w:val="3"/>
          <w:w w:val="120"/>
          <w:sz w:val="20"/>
        </w:rPr>
        <w:t>make</w:t>
      </w:r>
      <w:r>
        <w:rPr>
          <w:spacing w:val="15"/>
          <w:w w:val="120"/>
          <w:sz w:val="20"/>
        </w:rPr>
        <w:t> </w:t>
      </w:r>
      <w:r>
        <w:rPr>
          <w:spacing w:val="4"/>
          <w:w w:val="120"/>
          <w:sz w:val="20"/>
        </w:rPr>
        <w:t>together</w:t>
      </w:r>
      <w:r>
        <w:rPr>
          <w:spacing w:val="15"/>
          <w:w w:val="120"/>
          <w:sz w:val="20"/>
        </w:rPr>
        <w:t> </w:t>
      </w:r>
      <w:r>
        <w:rPr>
          <w:spacing w:val="3"/>
          <w:w w:val="120"/>
          <w:sz w:val="20"/>
        </w:rPr>
        <w:t>over</w:t>
      </w:r>
      <w:r>
        <w:rPr>
          <w:spacing w:val="15"/>
          <w:w w:val="120"/>
          <w:sz w:val="20"/>
        </w:rPr>
        <w:t> </w:t>
      </w:r>
      <w:r>
        <w:rPr>
          <w:spacing w:val="4"/>
          <w:w w:val="120"/>
          <w:sz w:val="20"/>
        </w:rPr>
        <w:t>the</w:t>
      </w:r>
      <w:r>
        <w:rPr>
          <w:spacing w:val="15"/>
          <w:w w:val="120"/>
          <w:sz w:val="20"/>
        </w:rPr>
        <w:t> </w:t>
      </w:r>
      <w:r>
        <w:rPr>
          <w:spacing w:val="3"/>
          <w:w w:val="120"/>
          <w:sz w:val="20"/>
        </w:rPr>
        <w:t>coming</w:t>
      </w:r>
      <w:r>
        <w:rPr>
          <w:spacing w:val="15"/>
          <w:w w:val="120"/>
          <w:sz w:val="20"/>
        </w:rPr>
        <w:t> </w:t>
      </w:r>
      <w:r>
        <w:rPr>
          <w:spacing w:val="4"/>
          <w:w w:val="120"/>
          <w:sz w:val="20"/>
        </w:rPr>
        <w:t>decade.</w:t>
      </w:r>
    </w:p>
    <w:p>
      <w:pPr>
        <w:pStyle w:val="BodyText"/>
        <w:spacing w:before="10"/>
        <w:rPr>
          <w:sz w:val="19"/>
        </w:rPr>
      </w:pPr>
    </w:p>
    <w:p>
      <w:pPr>
        <w:pStyle w:val="ListParagraph"/>
        <w:numPr>
          <w:ilvl w:val="0"/>
          <w:numId w:val="4"/>
        </w:numPr>
        <w:tabs>
          <w:tab w:pos="1815" w:val="left" w:leader="none"/>
        </w:tabs>
        <w:spacing w:line="235" w:lineRule="auto" w:before="0" w:after="0"/>
        <w:ind w:left="1814" w:right="2443" w:hanging="341"/>
        <w:jc w:val="left"/>
        <w:rPr>
          <w:sz w:val="20"/>
        </w:rPr>
      </w:pPr>
      <w:r>
        <w:rPr>
          <w:spacing w:val="5"/>
          <w:w w:val="120"/>
          <w:sz w:val="20"/>
        </w:rPr>
        <w:t>With </w:t>
      </w:r>
      <w:r>
        <w:rPr>
          <w:spacing w:val="4"/>
          <w:w w:val="120"/>
          <w:sz w:val="20"/>
        </w:rPr>
        <w:t>the </w:t>
      </w:r>
      <w:r>
        <w:rPr>
          <w:spacing w:val="3"/>
          <w:w w:val="120"/>
          <w:sz w:val="20"/>
        </w:rPr>
        <w:t>coming </w:t>
      </w:r>
      <w:r>
        <w:rPr>
          <w:spacing w:val="5"/>
          <w:w w:val="120"/>
          <w:sz w:val="20"/>
        </w:rPr>
        <w:t>decade </w:t>
      </w:r>
      <w:r>
        <w:rPr>
          <w:spacing w:val="2"/>
          <w:w w:val="120"/>
          <w:sz w:val="20"/>
        </w:rPr>
        <w:t>in </w:t>
      </w:r>
      <w:r>
        <w:rPr>
          <w:spacing w:val="4"/>
          <w:w w:val="120"/>
          <w:sz w:val="20"/>
        </w:rPr>
        <w:t>mind, </w:t>
      </w:r>
      <w:r>
        <w:rPr>
          <w:w w:val="120"/>
          <w:sz w:val="20"/>
        </w:rPr>
        <w:t>we </w:t>
      </w:r>
      <w:r>
        <w:rPr>
          <w:spacing w:val="4"/>
          <w:w w:val="120"/>
          <w:sz w:val="20"/>
        </w:rPr>
        <w:t>see them </w:t>
      </w:r>
      <w:r>
        <w:rPr>
          <w:spacing w:val="2"/>
          <w:w w:val="120"/>
          <w:sz w:val="20"/>
        </w:rPr>
        <w:t>as </w:t>
      </w:r>
      <w:r>
        <w:rPr>
          <w:spacing w:val="5"/>
          <w:w w:val="120"/>
          <w:sz w:val="20"/>
        </w:rPr>
        <w:t>statements </w:t>
      </w:r>
      <w:r>
        <w:rPr>
          <w:spacing w:val="4"/>
          <w:w w:val="120"/>
          <w:sz w:val="20"/>
        </w:rPr>
        <w:t>which can motivate and guide </w:t>
      </w:r>
      <w:r>
        <w:rPr>
          <w:w w:val="120"/>
          <w:sz w:val="20"/>
        </w:rPr>
        <w:t>us </w:t>
      </w:r>
      <w:r>
        <w:rPr>
          <w:spacing w:val="4"/>
          <w:w w:val="120"/>
          <w:sz w:val="20"/>
        </w:rPr>
        <w:t>until </w:t>
      </w:r>
      <w:r>
        <w:rPr>
          <w:spacing w:val="2"/>
          <w:w w:val="120"/>
          <w:sz w:val="20"/>
        </w:rPr>
        <w:t>at </w:t>
      </w:r>
      <w:r>
        <w:rPr>
          <w:spacing w:val="4"/>
          <w:w w:val="120"/>
          <w:sz w:val="20"/>
        </w:rPr>
        <w:t>least </w:t>
      </w:r>
      <w:r>
        <w:rPr>
          <w:spacing w:val="2"/>
          <w:w w:val="120"/>
          <w:sz w:val="20"/>
        </w:rPr>
        <w:t>2020, </w:t>
      </w:r>
      <w:r>
        <w:rPr>
          <w:spacing w:val="3"/>
          <w:w w:val="120"/>
          <w:sz w:val="20"/>
        </w:rPr>
        <w:t>but </w:t>
      </w:r>
      <w:r>
        <w:rPr>
          <w:spacing w:val="4"/>
          <w:w w:val="120"/>
          <w:sz w:val="20"/>
        </w:rPr>
        <w:t>recognise that the mission task </w:t>
      </w:r>
      <w:r>
        <w:rPr>
          <w:w w:val="120"/>
          <w:sz w:val="20"/>
        </w:rPr>
        <w:t>is </w:t>
      </w:r>
      <w:r>
        <w:rPr>
          <w:spacing w:val="3"/>
          <w:w w:val="120"/>
          <w:sz w:val="20"/>
        </w:rPr>
        <w:t>much </w:t>
      </w:r>
      <w:r>
        <w:rPr>
          <w:spacing w:val="4"/>
          <w:w w:val="120"/>
          <w:sz w:val="20"/>
        </w:rPr>
        <w:t>more </w:t>
      </w:r>
      <w:r>
        <w:rPr>
          <w:spacing w:val="5"/>
          <w:w w:val="120"/>
          <w:sz w:val="20"/>
        </w:rPr>
        <w:t>urgent. Unless </w:t>
      </w:r>
      <w:r>
        <w:rPr>
          <w:w w:val="120"/>
          <w:sz w:val="20"/>
        </w:rPr>
        <w:t>we </w:t>
      </w:r>
      <w:r>
        <w:rPr>
          <w:spacing w:val="5"/>
          <w:w w:val="120"/>
          <w:sz w:val="20"/>
        </w:rPr>
        <w:t>act </w:t>
      </w:r>
      <w:r>
        <w:rPr>
          <w:spacing w:val="3"/>
          <w:w w:val="120"/>
          <w:sz w:val="20"/>
        </w:rPr>
        <w:t>immediately, </w:t>
      </w:r>
      <w:r>
        <w:rPr>
          <w:spacing w:val="4"/>
          <w:w w:val="120"/>
          <w:sz w:val="20"/>
        </w:rPr>
        <w:t>the life and </w:t>
      </w:r>
      <w:r>
        <w:rPr>
          <w:spacing w:val="5"/>
          <w:w w:val="120"/>
          <w:sz w:val="20"/>
        </w:rPr>
        <w:t>witness </w:t>
      </w:r>
      <w:r>
        <w:rPr>
          <w:spacing w:val="3"/>
          <w:w w:val="120"/>
          <w:sz w:val="20"/>
        </w:rPr>
        <w:t>of our </w:t>
      </w:r>
      <w:r>
        <w:rPr>
          <w:spacing w:val="5"/>
          <w:w w:val="120"/>
          <w:sz w:val="20"/>
        </w:rPr>
        <w:t>denomination </w:t>
      </w:r>
      <w:r>
        <w:rPr>
          <w:spacing w:val="2"/>
          <w:w w:val="120"/>
          <w:sz w:val="20"/>
        </w:rPr>
        <w:t>as </w:t>
      </w:r>
      <w:r>
        <w:rPr>
          <w:w w:val="120"/>
          <w:sz w:val="20"/>
        </w:rPr>
        <w:t>we </w:t>
      </w:r>
      <w:r>
        <w:rPr>
          <w:spacing w:val="4"/>
          <w:w w:val="120"/>
          <w:sz w:val="20"/>
        </w:rPr>
        <w:t>know </w:t>
      </w:r>
      <w:r>
        <w:rPr>
          <w:spacing w:val="2"/>
          <w:w w:val="120"/>
          <w:sz w:val="20"/>
        </w:rPr>
        <w:t>it </w:t>
      </w:r>
      <w:r>
        <w:rPr>
          <w:w w:val="120"/>
          <w:sz w:val="20"/>
        </w:rPr>
        <w:t>is </w:t>
      </w:r>
      <w:r>
        <w:rPr>
          <w:spacing w:val="4"/>
          <w:w w:val="120"/>
          <w:sz w:val="20"/>
        </w:rPr>
        <w:t>unlikely </w:t>
      </w:r>
      <w:r>
        <w:rPr>
          <w:w w:val="120"/>
          <w:sz w:val="20"/>
        </w:rPr>
        <w:t>to </w:t>
      </w:r>
      <w:r>
        <w:rPr>
          <w:spacing w:val="5"/>
          <w:w w:val="120"/>
          <w:sz w:val="20"/>
        </w:rPr>
        <w:t>thrive </w:t>
      </w:r>
      <w:r>
        <w:rPr>
          <w:spacing w:val="4"/>
          <w:w w:val="120"/>
          <w:sz w:val="20"/>
        </w:rPr>
        <w:t>beyond the </w:t>
      </w:r>
      <w:r>
        <w:rPr>
          <w:spacing w:val="6"/>
          <w:w w:val="120"/>
          <w:sz w:val="20"/>
        </w:rPr>
        <w:t>next</w:t>
      </w:r>
      <w:r>
        <w:rPr>
          <w:spacing w:val="66"/>
          <w:w w:val="120"/>
          <w:sz w:val="20"/>
        </w:rPr>
        <w:t> </w:t>
      </w:r>
      <w:r>
        <w:rPr>
          <w:spacing w:val="5"/>
          <w:w w:val="120"/>
          <w:sz w:val="20"/>
        </w:rPr>
        <w:t>decade </w:t>
      </w:r>
      <w:r>
        <w:rPr>
          <w:spacing w:val="2"/>
          <w:w w:val="120"/>
          <w:sz w:val="20"/>
        </w:rPr>
        <w:t>at</w:t>
      </w:r>
      <w:r>
        <w:rPr>
          <w:spacing w:val="21"/>
          <w:w w:val="120"/>
          <w:sz w:val="20"/>
        </w:rPr>
        <w:t> </w:t>
      </w:r>
      <w:r>
        <w:rPr>
          <w:spacing w:val="3"/>
          <w:w w:val="120"/>
          <w:sz w:val="20"/>
        </w:rPr>
        <w:t>all.</w:t>
      </w:r>
    </w:p>
    <w:p>
      <w:pPr>
        <w:pStyle w:val="BodyText"/>
        <w:rPr>
          <w:sz w:val="24"/>
        </w:rPr>
      </w:pPr>
    </w:p>
    <w:p>
      <w:pPr>
        <w:pStyle w:val="BodyText"/>
        <w:rPr>
          <w:sz w:val="25"/>
        </w:rPr>
      </w:pPr>
    </w:p>
    <w:p>
      <w:pPr>
        <w:numPr>
          <w:ilvl w:val="0"/>
          <w:numId w:val="2"/>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Indicators: steps along the</w:t>
      </w:r>
      <w:r>
        <w:rPr>
          <w:rFonts w:ascii="Stone Sans II ITC Std Bk"/>
          <w:b/>
          <w:spacing w:val="-7"/>
          <w:w w:val="115"/>
          <w:sz w:val="21"/>
        </w:rPr>
        <w:t> </w:t>
      </w:r>
      <w:r>
        <w:rPr>
          <w:rFonts w:ascii="Stone Sans II ITC Std Bk"/>
          <w:b/>
          <w:spacing w:val="-3"/>
          <w:w w:val="115"/>
          <w:sz w:val="21"/>
        </w:rPr>
        <w:t>way</w:t>
      </w:r>
    </w:p>
    <w:p>
      <w:pPr>
        <w:pStyle w:val="ListParagraph"/>
        <w:numPr>
          <w:ilvl w:val="1"/>
          <w:numId w:val="2"/>
        </w:numPr>
        <w:tabs>
          <w:tab w:pos="1814" w:val="left" w:leader="none"/>
          <w:tab w:pos="1815" w:val="left" w:leader="none"/>
        </w:tabs>
        <w:spacing w:line="235" w:lineRule="auto" w:before="182" w:after="0"/>
        <w:ind w:left="1133" w:right="2131" w:firstLine="0"/>
        <w:jc w:val="left"/>
        <w:rPr>
          <w:sz w:val="20"/>
        </w:rPr>
      </w:pPr>
      <w:r>
        <w:rPr>
          <w:w w:val="120"/>
          <w:sz w:val="20"/>
        </w:rPr>
        <w:t>An indicator is a sign or signal that we are making progress towards our desired outcome – it is a milestone on a journey. Whilst it can be very helpful for an indicator to be measurable in some way it is not the same as a ‘target’ as a target is normally seen as an end in itself or something by which we are judged or</w:t>
      </w:r>
      <w:r>
        <w:rPr>
          <w:spacing w:val="43"/>
          <w:w w:val="120"/>
          <w:sz w:val="20"/>
        </w:rPr>
        <w:t> </w:t>
      </w:r>
      <w:r>
        <w:rPr>
          <w:w w:val="120"/>
          <w:sz w:val="20"/>
        </w:rPr>
        <w:t>monitored.</w:t>
      </w:r>
    </w:p>
    <w:p>
      <w:pPr>
        <w:pStyle w:val="BodyText"/>
        <w:spacing w:before="11"/>
        <w:rPr>
          <w:sz w:val="19"/>
        </w:rPr>
      </w:pPr>
    </w:p>
    <w:p>
      <w:pPr>
        <w:pStyle w:val="ListParagraph"/>
        <w:numPr>
          <w:ilvl w:val="1"/>
          <w:numId w:val="2"/>
        </w:numPr>
        <w:tabs>
          <w:tab w:pos="1814" w:val="left" w:leader="none"/>
          <w:tab w:pos="1815" w:val="left" w:leader="none"/>
        </w:tabs>
        <w:spacing w:line="235" w:lineRule="auto" w:before="0" w:after="0"/>
        <w:ind w:left="1133" w:right="2670" w:firstLine="0"/>
        <w:jc w:val="left"/>
        <w:rPr>
          <w:sz w:val="20"/>
        </w:rPr>
      </w:pPr>
      <w:r>
        <w:rPr>
          <w:w w:val="120"/>
          <w:sz w:val="20"/>
        </w:rPr>
        <w:t>During the </w:t>
      </w:r>
      <w:r>
        <w:rPr>
          <w:i/>
          <w:w w:val="120"/>
          <w:sz w:val="20"/>
        </w:rPr>
        <w:t>vision2020 </w:t>
      </w:r>
      <w:r>
        <w:rPr>
          <w:w w:val="120"/>
          <w:sz w:val="20"/>
        </w:rPr>
        <w:t>consultation we have been struck by the reaction to suggested indicators, not least the apparent fear of using numerical measures. In   a culture of targets and league tables which has sometimes led to unnecessary bureaucracy, perverse incentives and unhappy workplaces this reaction is</w:t>
      </w:r>
      <w:r>
        <w:rPr>
          <w:spacing w:val="43"/>
          <w:w w:val="120"/>
          <w:sz w:val="20"/>
        </w:rPr>
        <w:t> </w:t>
      </w:r>
      <w:r>
        <w:rPr>
          <w:w w:val="120"/>
          <w:sz w:val="20"/>
        </w:rPr>
        <w:t>perhaps</w:t>
      </w:r>
    </w:p>
    <w:p>
      <w:pPr>
        <w:pStyle w:val="BodyText"/>
        <w:spacing w:line="235" w:lineRule="auto" w:before="3"/>
        <w:ind w:left="1133" w:right="1997"/>
      </w:pPr>
      <w:r>
        <w:rPr>
          <w:w w:val="120"/>
        </w:rPr>
        <w:t>understandable. But there is a danger of throwing the baby out with the proverbial bathwater and not facing up to our fears. Measurable indicators can be a helpful tool for both celebration and reflection.</w:t>
      </w:r>
    </w:p>
    <w:p>
      <w:pPr>
        <w:pStyle w:val="BodyText"/>
        <w:spacing w:before="10"/>
        <w:rPr>
          <w:sz w:val="19"/>
        </w:rPr>
      </w:pPr>
    </w:p>
    <w:p>
      <w:pPr>
        <w:pStyle w:val="ListParagraph"/>
        <w:numPr>
          <w:ilvl w:val="1"/>
          <w:numId w:val="2"/>
        </w:numPr>
        <w:tabs>
          <w:tab w:pos="1814" w:val="left" w:leader="none"/>
          <w:tab w:pos="1815" w:val="left" w:leader="none"/>
        </w:tabs>
        <w:spacing w:line="235" w:lineRule="auto" w:before="0" w:after="0"/>
        <w:ind w:left="1133" w:right="2088" w:firstLine="0"/>
        <w:jc w:val="left"/>
        <w:rPr>
          <w:sz w:val="20"/>
        </w:rPr>
      </w:pPr>
      <w:r>
        <w:rPr>
          <w:w w:val="120"/>
          <w:sz w:val="20"/>
        </w:rPr>
        <w:t>Another concern raised during the consultation was that churches would be expected to address every statement and it would be too much for many to </w:t>
      </w:r>
      <w:r>
        <w:rPr>
          <w:spacing w:val="-3"/>
          <w:w w:val="120"/>
          <w:sz w:val="20"/>
        </w:rPr>
        <w:t>bear. </w:t>
      </w:r>
      <w:r>
        <w:rPr>
          <w:w w:val="120"/>
          <w:sz w:val="20"/>
        </w:rPr>
        <w:t>This is not the intention. The idea of having multiple statements and indicators is that churches can use them to help identify a small number of mission priorities which are particularly pressing or relevant to their own context. For smaller churches, the idea of having a range</w:t>
      </w:r>
      <w:r>
        <w:rPr>
          <w:spacing w:val="4"/>
          <w:w w:val="120"/>
          <w:sz w:val="20"/>
        </w:rPr>
        <w:t> </w:t>
      </w:r>
      <w:r>
        <w:rPr>
          <w:w w:val="120"/>
          <w:sz w:val="20"/>
        </w:rPr>
        <w:t>of</w:t>
      </w:r>
      <w:r>
        <w:rPr>
          <w:spacing w:val="4"/>
          <w:w w:val="120"/>
          <w:sz w:val="20"/>
        </w:rPr>
        <w:t> </w:t>
      </w:r>
      <w:r>
        <w:rPr>
          <w:w w:val="120"/>
          <w:sz w:val="20"/>
        </w:rPr>
        <w:t>indicators</w:t>
      </w:r>
      <w:r>
        <w:rPr>
          <w:spacing w:val="5"/>
          <w:w w:val="120"/>
          <w:sz w:val="20"/>
        </w:rPr>
        <w:t> </w:t>
      </w:r>
      <w:r>
        <w:rPr>
          <w:w w:val="120"/>
          <w:sz w:val="20"/>
        </w:rPr>
        <w:t>is</w:t>
      </w:r>
      <w:r>
        <w:rPr>
          <w:spacing w:val="4"/>
          <w:w w:val="120"/>
          <w:sz w:val="20"/>
        </w:rPr>
        <w:t> </w:t>
      </w:r>
      <w:r>
        <w:rPr>
          <w:w w:val="120"/>
          <w:sz w:val="20"/>
        </w:rPr>
        <w:t>that</w:t>
      </w:r>
      <w:r>
        <w:rPr>
          <w:spacing w:val="5"/>
          <w:w w:val="120"/>
          <w:sz w:val="20"/>
        </w:rPr>
        <w:t> </w:t>
      </w:r>
      <w:r>
        <w:rPr>
          <w:w w:val="120"/>
          <w:sz w:val="20"/>
        </w:rPr>
        <w:t>they</w:t>
      </w:r>
      <w:r>
        <w:rPr>
          <w:spacing w:val="4"/>
          <w:w w:val="120"/>
          <w:sz w:val="20"/>
        </w:rPr>
        <w:t> </w:t>
      </w:r>
      <w:r>
        <w:rPr>
          <w:w w:val="120"/>
          <w:sz w:val="20"/>
        </w:rPr>
        <w:t>might</w:t>
      </w:r>
      <w:r>
        <w:rPr>
          <w:spacing w:val="5"/>
          <w:w w:val="120"/>
          <w:sz w:val="20"/>
        </w:rPr>
        <w:t> </w:t>
      </w:r>
      <w:r>
        <w:rPr>
          <w:w w:val="120"/>
          <w:sz w:val="20"/>
        </w:rPr>
        <w:t>pick</w:t>
      </w:r>
      <w:r>
        <w:rPr>
          <w:spacing w:val="4"/>
          <w:w w:val="120"/>
          <w:sz w:val="20"/>
        </w:rPr>
        <w:t> </w:t>
      </w:r>
      <w:r>
        <w:rPr>
          <w:w w:val="120"/>
          <w:sz w:val="20"/>
        </w:rPr>
        <w:t>just</w:t>
      </w:r>
      <w:r>
        <w:rPr>
          <w:spacing w:val="5"/>
          <w:w w:val="120"/>
          <w:sz w:val="20"/>
        </w:rPr>
        <w:t> </w:t>
      </w:r>
      <w:r>
        <w:rPr>
          <w:w w:val="120"/>
          <w:sz w:val="20"/>
        </w:rPr>
        <w:t>one</w:t>
      </w:r>
      <w:r>
        <w:rPr>
          <w:spacing w:val="4"/>
          <w:w w:val="120"/>
          <w:sz w:val="20"/>
        </w:rPr>
        <w:t> </w:t>
      </w:r>
      <w:r>
        <w:rPr>
          <w:w w:val="120"/>
          <w:sz w:val="20"/>
        </w:rPr>
        <w:t>or</w:t>
      </w:r>
      <w:r>
        <w:rPr>
          <w:spacing w:val="5"/>
          <w:w w:val="120"/>
          <w:sz w:val="20"/>
        </w:rPr>
        <w:t> </w:t>
      </w:r>
      <w:r>
        <w:rPr>
          <w:w w:val="120"/>
          <w:sz w:val="20"/>
        </w:rPr>
        <w:t>two</w:t>
      </w:r>
      <w:r>
        <w:rPr>
          <w:spacing w:val="4"/>
          <w:w w:val="120"/>
          <w:sz w:val="20"/>
        </w:rPr>
        <w:t> </w:t>
      </w:r>
      <w:r>
        <w:rPr>
          <w:w w:val="120"/>
          <w:sz w:val="20"/>
        </w:rPr>
        <w:t>to</w:t>
      </w:r>
      <w:r>
        <w:rPr>
          <w:spacing w:val="5"/>
          <w:w w:val="120"/>
          <w:sz w:val="20"/>
        </w:rPr>
        <w:t> </w:t>
      </w:r>
      <w:r>
        <w:rPr>
          <w:w w:val="120"/>
          <w:sz w:val="20"/>
        </w:rPr>
        <w:t>help</w:t>
      </w:r>
      <w:r>
        <w:rPr>
          <w:spacing w:val="4"/>
          <w:w w:val="120"/>
          <w:sz w:val="20"/>
        </w:rPr>
        <w:t> </w:t>
      </w:r>
      <w:r>
        <w:rPr>
          <w:w w:val="120"/>
          <w:sz w:val="20"/>
        </w:rPr>
        <w:t>guide</w:t>
      </w:r>
      <w:r>
        <w:rPr>
          <w:spacing w:val="5"/>
          <w:w w:val="120"/>
          <w:sz w:val="20"/>
        </w:rPr>
        <w:t> </w:t>
      </w:r>
      <w:r>
        <w:rPr>
          <w:w w:val="120"/>
          <w:sz w:val="20"/>
        </w:rPr>
        <w:t>their</w:t>
      </w:r>
      <w:r>
        <w:rPr>
          <w:spacing w:val="4"/>
          <w:w w:val="120"/>
          <w:sz w:val="20"/>
        </w:rPr>
        <w:t> </w:t>
      </w:r>
      <w:r>
        <w:rPr>
          <w:w w:val="120"/>
          <w:sz w:val="20"/>
        </w:rPr>
        <w:t>work.</w:t>
      </w:r>
    </w:p>
    <w:p>
      <w:pPr>
        <w:pStyle w:val="BodyText"/>
      </w:pPr>
    </w:p>
    <w:p>
      <w:pPr>
        <w:pStyle w:val="ListParagraph"/>
        <w:numPr>
          <w:ilvl w:val="1"/>
          <w:numId w:val="2"/>
        </w:numPr>
        <w:tabs>
          <w:tab w:pos="1814" w:val="left" w:leader="none"/>
          <w:tab w:pos="1815" w:val="left" w:leader="none"/>
        </w:tabs>
        <w:spacing w:line="235" w:lineRule="auto" w:before="1" w:after="0"/>
        <w:ind w:left="1133" w:right="2367" w:firstLine="0"/>
        <w:jc w:val="left"/>
        <w:rPr>
          <w:sz w:val="20"/>
        </w:rPr>
      </w:pPr>
      <w:r>
        <w:rPr>
          <w:w w:val="120"/>
          <w:sz w:val="20"/>
        </w:rPr>
        <w:t>The examples of </w:t>
      </w:r>
      <w:r>
        <w:rPr>
          <w:spacing w:val="-3"/>
          <w:w w:val="120"/>
          <w:sz w:val="20"/>
        </w:rPr>
        <w:t>indicators </w:t>
      </w:r>
      <w:r>
        <w:rPr>
          <w:w w:val="120"/>
          <w:sz w:val="20"/>
        </w:rPr>
        <w:t>set out in the table in Annexe 3 are </w:t>
      </w:r>
      <w:r>
        <w:rPr>
          <w:spacing w:val="-3"/>
          <w:w w:val="120"/>
          <w:sz w:val="20"/>
        </w:rPr>
        <w:t>intended to </w:t>
      </w:r>
      <w:r>
        <w:rPr>
          <w:w w:val="120"/>
          <w:sz w:val="20"/>
        </w:rPr>
        <w:t>act as prompts for </w:t>
      </w:r>
      <w:r>
        <w:rPr>
          <w:spacing w:val="-3"/>
          <w:w w:val="120"/>
          <w:sz w:val="20"/>
        </w:rPr>
        <w:t>discussion </w:t>
      </w:r>
      <w:r>
        <w:rPr>
          <w:w w:val="120"/>
          <w:sz w:val="20"/>
        </w:rPr>
        <w:t>and </w:t>
      </w:r>
      <w:r>
        <w:rPr>
          <w:spacing w:val="-2"/>
          <w:w w:val="120"/>
          <w:sz w:val="20"/>
        </w:rPr>
        <w:t>planning. </w:t>
      </w:r>
      <w:r>
        <w:rPr>
          <w:w w:val="120"/>
          <w:sz w:val="20"/>
        </w:rPr>
        <w:t>They </w:t>
      </w:r>
      <w:r>
        <w:rPr>
          <w:spacing w:val="-3"/>
          <w:w w:val="120"/>
          <w:sz w:val="20"/>
        </w:rPr>
        <w:t>have </w:t>
      </w:r>
      <w:r>
        <w:rPr>
          <w:w w:val="120"/>
          <w:sz w:val="20"/>
        </w:rPr>
        <w:t>been developed by members of the Mission </w:t>
      </w:r>
      <w:r>
        <w:rPr>
          <w:spacing w:val="-3"/>
          <w:w w:val="120"/>
          <w:sz w:val="20"/>
        </w:rPr>
        <w:t>Committee </w:t>
      </w:r>
      <w:r>
        <w:rPr>
          <w:w w:val="120"/>
          <w:sz w:val="20"/>
        </w:rPr>
        <w:t>drawing on their </w:t>
      </w:r>
      <w:r>
        <w:rPr>
          <w:spacing w:val="-2"/>
          <w:w w:val="120"/>
          <w:sz w:val="20"/>
        </w:rPr>
        <w:t>own </w:t>
      </w:r>
      <w:r>
        <w:rPr>
          <w:w w:val="120"/>
          <w:sz w:val="20"/>
        </w:rPr>
        <w:t>experiences of </w:t>
      </w:r>
      <w:r>
        <w:rPr>
          <w:spacing w:val="-3"/>
          <w:w w:val="120"/>
          <w:sz w:val="20"/>
        </w:rPr>
        <w:t>church </w:t>
      </w:r>
      <w:r>
        <w:rPr>
          <w:w w:val="120"/>
          <w:sz w:val="20"/>
        </w:rPr>
        <w:t>life. They are</w:t>
      </w:r>
      <w:r>
        <w:rPr>
          <w:spacing w:val="-25"/>
          <w:w w:val="120"/>
          <w:sz w:val="20"/>
        </w:rPr>
        <w:t> </w:t>
      </w:r>
      <w:r>
        <w:rPr>
          <w:w w:val="120"/>
          <w:sz w:val="20"/>
        </w:rPr>
        <w:t>divided</w:t>
      </w:r>
    </w:p>
    <w:p>
      <w:pPr>
        <w:pStyle w:val="BodyText"/>
        <w:spacing w:line="235" w:lineRule="auto" w:before="2"/>
        <w:ind w:left="1133" w:right="1997"/>
      </w:pPr>
      <w:r>
        <w:rPr>
          <w:w w:val="120"/>
        </w:rPr>
        <w:t>into three groups depending upon the ‘level’ of the church at which they might be best applied. They are also separated out by the ten </w:t>
      </w:r>
      <w:r>
        <w:rPr>
          <w:i/>
          <w:w w:val="120"/>
        </w:rPr>
        <w:t>vision2020 </w:t>
      </w:r>
      <w:r>
        <w:rPr>
          <w:w w:val="120"/>
        </w:rPr>
        <w:t>statements. But they are not designed to be used in a rigid fashion. Though we hope some churches and synods might use them as they are, the intention is that they can be adapted to suit different contexts.</w:t>
      </w:r>
    </w:p>
    <w:p>
      <w:pPr>
        <w:pStyle w:val="BodyText"/>
        <w:spacing w:before="9"/>
        <w:rPr>
          <w:sz w:val="17"/>
        </w:rPr>
      </w:pPr>
    </w:p>
    <w:p>
      <w:pPr>
        <w:numPr>
          <w:ilvl w:val="0"/>
          <w:numId w:val="2"/>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Local Mission</w:t>
      </w:r>
      <w:r>
        <w:rPr>
          <w:rFonts w:ascii="Stone Sans II ITC Std Bk"/>
          <w:b/>
          <w:spacing w:val="-3"/>
          <w:w w:val="115"/>
          <w:sz w:val="21"/>
        </w:rPr>
        <w:t> </w:t>
      </w:r>
      <w:r>
        <w:rPr>
          <w:rFonts w:ascii="Stone Sans II ITC Std Bk"/>
          <w:b/>
          <w:w w:val="115"/>
          <w:sz w:val="21"/>
        </w:rPr>
        <w:t>pledges</w:t>
      </w:r>
    </w:p>
    <w:p>
      <w:pPr>
        <w:pStyle w:val="ListParagraph"/>
        <w:numPr>
          <w:ilvl w:val="1"/>
          <w:numId w:val="2"/>
        </w:numPr>
        <w:tabs>
          <w:tab w:pos="1814" w:val="left" w:leader="none"/>
          <w:tab w:pos="1815" w:val="left" w:leader="none"/>
        </w:tabs>
        <w:spacing w:line="235" w:lineRule="auto" w:before="183" w:after="0"/>
        <w:ind w:left="1133" w:right="1995" w:firstLine="0"/>
        <w:jc w:val="left"/>
        <w:rPr>
          <w:sz w:val="20"/>
        </w:rPr>
      </w:pPr>
      <w:r>
        <w:rPr>
          <w:i/>
          <w:w w:val="120"/>
          <w:sz w:val="20"/>
        </w:rPr>
        <w:t>vision2020 </w:t>
      </w:r>
      <w:r>
        <w:rPr>
          <w:w w:val="120"/>
          <w:sz w:val="20"/>
        </w:rPr>
        <w:t>recognises local mission to be the most important priority for the United Reformed Church. The mission activity of our local congregations represents the cornerstone of our denominational ethos and our future hope. </w:t>
      </w:r>
      <w:r>
        <w:rPr>
          <w:spacing w:val="-7"/>
          <w:w w:val="120"/>
          <w:sz w:val="20"/>
        </w:rPr>
        <w:t>To </w:t>
      </w:r>
      <w:r>
        <w:rPr>
          <w:w w:val="120"/>
          <w:sz w:val="20"/>
        </w:rPr>
        <w:t>this end, the </w:t>
      </w:r>
      <w:r>
        <w:rPr>
          <w:i/>
          <w:w w:val="120"/>
          <w:sz w:val="20"/>
        </w:rPr>
        <w:t>vision2020 </w:t>
      </w:r>
      <w:r>
        <w:rPr>
          <w:w w:val="120"/>
          <w:sz w:val="20"/>
        </w:rPr>
        <w:t>consultation indicated significant levels of support for the notion of the </w:t>
      </w:r>
      <w:r>
        <w:rPr>
          <w:i/>
          <w:w w:val="120"/>
          <w:sz w:val="20"/>
        </w:rPr>
        <w:t>Local Mission </w:t>
      </w:r>
      <w:r>
        <w:rPr>
          <w:i/>
          <w:w w:val="120"/>
          <w:sz w:val="20"/>
        </w:rPr>
        <w:t>Pledge</w:t>
      </w:r>
      <w:r>
        <w:rPr>
          <w:w w:val="120"/>
          <w:sz w:val="20"/>
        </w:rPr>
        <w:t>. Many local congregations expressed their enthusiasm for identifying one or more activities that might give direction to their mission and a number of synods indicated   that they would find it helpful to gather and analyse local church priorities with a view to offering appropriate support where</w:t>
      </w:r>
      <w:r>
        <w:rPr>
          <w:spacing w:val="9"/>
          <w:w w:val="120"/>
          <w:sz w:val="20"/>
        </w:rPr>
        <w:t> </w:t>
      </w:r>
      <w:r>
        <w:rPr>
          <w:w w:val="120"/>
          <w:sz w:val="20"/>
        </w:rPr>
        <w:t>possible.</w:t>
      </w:r>
    </w:p>
    <w:p>
      <w:pPr>
        <w:spacing w:after="0" w:line="235" w:lineRule="auto"/>
        <w:jc w:val="left"/>
        <w:rPr>
          <w:sz w:val="20"/>
        </w:rPr>
        <w:sectPr>
          <w:headerReference w:type="even" r:id="rId37"/>
          <w:headerReference w:type="default" r:id="rId38"/>
          <w:footerReference w:type="even" r:id="rId39"/>
          <w:footerReference w:type="default" r:id="rId40"/>
          <w:pgSz w:w="11910" w:h="16840"/>
          <w:pgMar w:header="0" w:footer="600" w:top="1060" w:bottom="800" w:left="0" w:right="0"/>
          <w:pgNumType w:start="12"/>
        </w:sectPr>
      </w:pPr>
    </w:p>
    <w:p>
      <w:pPr>
        <w:pStyle w:val="BodyText"/>
        <w:spacing w:before="1"/>
        <w:rPr>
          <w:sz w:val="4"/>
        </w:rPr>
      </w:pPr>
      <w:r>
        <w:rPr/>
        <w:drawing>
          <wp:anchor distT="0" distB="0" distL="0" distR="0" allowOverlap="1" layoutInCell="1" locked="0" behindDoc="1" simplePos="0" relativeHeight="235625472">
            <wp:simplePos x="0" y="0"/>
            <wp:positionH relativeFrom="page">
              <wp:posOffset>734717</wp:posOffset>
            </wp:positionH>
            <wp:positionV relativeFrom="page">
              <wp:posOffset>1926005</wp:posOffset>
            </wp:positionV>
            <wp:extent cx="896457" cy="3414712"/>
            <wp:effectExtent l="0" t="0" r="0" b="0"/>
            <wp:wrapNone/>
            <wp:docPr id="21" name="image22.png"/>
            <wp:cNvGraphicFramePr>
              <a:graphicFrameLocks noChangeAspect="1"/>
            </wp:cNvGraphicFramePr>
            <a:graphic>
              <a:graphicData uri="http://schemas.openxmlformats.org/drawingml/2006/picture">
                <pic:pic>
                  <pic:nvPicPr>
                    <pic:cNvPr id="22" name="image22.png"/>
                    <pic:cNvPicPr/>
                  </pic:nvPicPr>
                  <pic:blipFill>
                    <a:blip r:embed="rId42" cstate="print"/>
                    <a:stretch>
                      <a:fillRect/>
                    </a:stretch>
                  </pic:blipFill>
                  <pic:spPr>
                    <a:xfrm>
                      <a:off x="0" y="0"/>
                      <a:ext cx="896457" cy="3414712"/>
                    </a:xfrm>
                    <a:prstGeom prst="rect">
                      <a:avLst/>
                    </a:prstGeom>
                  </pic:spPr>
                </pic:pic>
              </a:graphicData>
            </a:graphic>
          </wp:anchor>
        </w:drawing>
      </w:r>
    </w:p>
    <w:p>
      <w:pPr>
        <w:pStyle w:val="BodyText"/>
        <w:tabs>
          <w:tab w:pos="11168" w:val="left" w:leader="none"/>
        </w:tabs>
        <w:ind w:left="1218"/>
      </w:pPr>
      <w:r>
        <w:rPr/>
        <w:pict>
          <v:shape style="width:477.65pt;height:738.2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9"/>
                    <w:gridCol w:w="9195"/>
                  </w:tblGrid>
                  <w:tr>
                    <w:trPr>
                      <w:trHeight w:val="1810" w:hRule="atLeast"/>
                    </w:trPr>
                    <w:tc>
                      <w:tcPr>
                        <w:tcW w:w="359" w:type="dxa"/>
                        <w:tcBorders>
                          <w:bottom w:val="single" w:sz="8" w:space="0" w:color="CA4F1B"/>
                          <w:right w:val="dotted" w:sz="8" w:space="0" w:color="868685"/>
                        </w:tcBorders>
                      </w:tcPr>
                      <w:p>
                        <w:pPr>
                          <w:pStyle w:val="TableParagraph"/>
                          <w:rPr>
                            <w:rFonts w:ascii="Times New Roman"/>
                            <w:sz w:val="22"/>
                          </w:rPr>
                        </w:pPr>
                      </w:p>
                    </w:tc>
                    <w:tc>
                      <w:tcPr>
                        <w:tcW w:w="9195" w:type="dxa"/>
                        <w:tcBorders>
                          <w:left w:val="dotted" w:sz="8" w:space="0" w:color="868685"/>
                          <w:bottom w:val="single" w:sz="8" w:space="0" w:color="CA4F1B"/>
                        </w:tcBorders>
                      </w:tcPr>
                      <w:p>
                        <w:pPr>
                          <w:pStyle w:val="TableParagraph"/>
                          <w:numPr>
                            <w:ilvl w:val="1"/>
                            <w:numId w:val="5"/>
                          </w:numPr>
                          <w:tabs>
                            <w:tab w:pos="1076" w:val="left" w:leader="none"/>
                            <w:tab w:pos="1077" w:val="left" w:leader="none"/>
                          </w:tabs>
                          <w:spacing w:line="215" w:lineRule="exact" w:before="0" w:after="0"/>
                          <w:ind w:left="1076" w:right="0" w:hanging="681"/>
                          <w:jc w:val="left"/>
                          <w:rPr>
                            <w:sz w:val="20"/>
                          </w:rPr>
                        </w:pPr>
                        <w:r>
                          <w:rPr>
                            <w:w w:val="120"/>
                            <w:sz w:val="20"/>
                          </w:rPr>
                          <w:t>There</w:t>
                        </w:r>
                        <w:r>
                          <w:rPr>
                            <w:spacing w:val="-10"/>
                            <w:w w:val="120"/>
                            <w:sz w:val="20"/>
                          </w:rPr>
                          <w:t> </w:t>
                        </w:r>
                        <w:r>
                          <w:rPr>
                            <w:w w:val="120"/>
                            <w:sz w:val="20"/>
                          </w:rPr>
                          <w:t>was</w:t>
                        </w:r>
                        <w:r>
                          <w:rPr>
                            <w:spacing w:val="-9"/>
                            <w:w w:val="120"/>
                            <w:sz w:val="20"/>
                          </w:rPr>
                          <w:t> </w:t>
                        </w:r>
                        <w:r>
                          <w:rPr>
                            <w:w w:val="120"/>
                            <w:sz w:val="20"/>
                          </w:rPr>
                          <w:t>a</w:t>
                        </w:r>
                        <w:r>
                          <w:rPr>
                            <w:spacing w:val="-10"/>
                            <w:w w:val="120"/>
                            <w:sz w:val="20"/>
                          </w:rPr>
                          <w:t> </w:t>
                        </w:r>
                        <w:r>
                          <w:rPr>
                            <w:w w:val="120"/>
                            <w:sz w:val="20"/>
                          </w:rPr>
                          <w:t>strong</w:t>
                        </w:r>
                        <w:r>
                          <w:rPr>
                            <w:spacing w:val="-9"/>
                            <w:w w:val="120"/>
                            <w:sz w:val="20"/>
                          </w:rPr>
                          <w:t> </w:t>
                        </w:r>
                        <w:r>
                          <w:rPr>
                            <w:w w:val="120"/>
                            <w:sz w:val="20"/>
                          </w:rPr>
                          <w:t>feeling</w:t>
                        </w:r>
                        <w:r>
                          <w:rPr>
                            <w:spacing w:val="-9"/>
                            <w:w w:val="120"/>
                            <w:sz w:val="20"/>
                          </w:rPr>
                          <w:t> </w:t>
                        </w:r>
                        <w:r>
                          <w:rPr>
                            <w:w w:val="120"/>
                            <w:sz w:val="20"/>
                          </w:rPr>
                          <w:t>that</w:t>
                        </w:r>
                        <w:r>
                          <w:rPr>
                            <w:spacing w:val="-10"/>
                            <w:w w:val="120"/>
                            <w:sz w:val="20"/>
                          </w:rPr>
                          <w:t> </w:t>
                        </w:r>
                        <w:r>
                          <w:rPr>
                            <w:i/>
                            <w:spacing w:val="-3"/>
                            <w:w w:val="120"/>
                            <w:sz w:val="20"/>
                          </w:rPr>
                          <w:t>Local</w:t>
                        </w:r>
                        <w:r>
                          <w:rPr>
                            <w:i/>
                            <w:spacing w:val="-13"/>
                            <w:w w:val="120"/>
                            <w:sz w:val="20"/>
                          </w:rPr>
                          <w:t> </w:t>
                        </w:r>
                        <w:r>
                          <w:rPr>
                            <w:i/>
                            <w:spacing w:val="-3"/>
                            <w:w w:val="120"/>
                            <w:sz w:val="20"/>
                          </w:rPr>
                          <w:t>Mission</w:t>
                        </w:r>
                        <w:r>
                          <w:rPr>
                            <w:i/>
                            <w:spacing w:val="-12"/>
                            <w:w w:val="120"/>
                            <w:sz w:val="20"/>
                          </w:rPr>
                          <w:t> </w:t>
                        </w:r>
                        <w:r>
                          <w:rPr>
                            <w:i/>
                            <w:spacing w:val="-3"/>
                            <w:w w:val="120"/>
                            <w:sz w:val="20"/>
                          </w:rPr>
                          <w:t>Pledges</w:t>
                        </w:r>
                        <w:r>
                          <w:rPr>
                            <w:i/>
                            <w:spacing w:val="-10"/>
                            <w:w w:val="120"/>
                            <w:sz w:val="20"/>
                          </w:rPr>
                          <w:t> </w:t>
                        </w:r>
                        <w:r>
                          <w:rPr>
                            <w:spacing w:val="-3"/>
                            <w:w w:val="120"/>
                            <w:sz w:val="20"/>
                          </w:rPr>
                          <w:t>would</w:t>
                        </w:r>
                        <w:r>
                          <w:rPr>
                            <w:spacing w:val="-9"/>
                            <w:w w:val="120"/>
                            <w:sz w:val="20"/>
                          </w:rPr>
                          <w:t> </w:t>
                        </w:r>
                        <w:r>
                          <w:rPr>
                            <w:w w:val="120"/>
                            <w:sz w:val="20"/>
                          </w:rPr>
                          <w:t>be</w:t>
                        </w:r>
                        <w:r>
                          <w:rPr>
                            <w:spacing w:val="-10"/>
                            <w:w w:val="120"/>
                            <w:sz w:val="20"/>
                          </w:rPr>
                          <w:t> </w:t>
                        </w:r>
                        <w:r>
                          <w:rPr>
                            <w:w w:val="120"/>
                            <w:sz w:val="20"/>
                          </w:rPr>
                          <w:t>best</w:t>
                        </w:r>
                        <w:r>
                          <w:rPr>
                            <w:spacing w:val="-9"/>
                            <w:w w:val="120"/>
                            <w:sz w:val="20"/>
                          </w:rPr>
                          <w:t> </w:t>
                        </w:r>
                        <w:r>
                          <w:rPr>
                            <w:w w:val="120"/>
                            <w:sz w:val="20"/>
                          </w:rPr>
                          <w:t>made</w:t>
                        </w:r>
                        <w:r>
                          <w:rPr>
                            <w:spacing w:val="-9"/>
                            <w:w w:val="120"/>
                            <w:sz w:val="20"/>
                          </w:rPr>
                          <w:t> </w:t>
                        </w:r>
                        <w:r>
                          <w:rPr>
                            <w:w w:val="120"/>
                            <w:sz w:val="20"/>
                          </w:rPr>
                          <w:t>by</w:t>
                        </w:r>
                        <w:r>
                          <w:rPr>
                            <w:spacing w:val="-10"/>
                            <w:w w:val="120"/>
                            <w:sz w:val="20"/>
                          </w:rPr>
                          <w:t> </w:t>
                        </w:r>
                        <w:r>
                          <w:rPr>
                            <w:w w:val="120"/>
                            <w:sz w:val="20"/>
                          </w:rPr>
                          <w:t>local</w:t>
                        </w:r>
                      </w:p>
                      <w:p>
                        <w:pPr>
                          <w:pStyle w:val="TableParagraph"/>
                          <w:spacing w:line="235" w:lineRule="auto" w:before="1"/>
                          <w:ind w:left="396"/>
                          <w:rPr>
                            <w:sz w:val="20"/>
                          </w:rPr>
                        </w:pPr>
                        <w:r>
                          <w:rPr>
                            <w:spacing w:val="-3"/>
                            <w:w w:val="120"/>
                            <w:sz w:val="20"/>
                          </w:rPr>
                          <w:t>churches</w:t>
                        </w:r>
                        <w:r>
                          <w:rPr>
                            <w:spacing w:val="-22"/>
                            <w:w w:val="120"/>
                            <w:sz w:val="20"/>
                          </w:rPr>
                          <w:t> </w:t>
                        </w:r>
                        <w:r>
                          <w:rPr>
                            <w:w w:val="120"/>
                            <w:sz w:val="20"/>
                          </w:rPr>
                          <w:t>as</w:t>
                        </w:r>
                        <w:r>
                          <w:rPr>
                            <w:spacing w:val="-22"/>
                            <w:w w:val="120"/>
                            <w:sz w:val="20"/>
                          </w:rPr>
                          <w:t> </w:t>
                        </w:r>
                        <w:r>
                          <w:rPr>
                            <w:w w:val="120"/>
                            <w:sz w:val="20"/>
                          </w:rPr>
                          <w:t>part</w:t>
                        </w:r>
                        <w:r>
                          <w:rPr>
                            <w:spacing w:val="-22"/>
                            <w:w w:val="120"/>
                            <w:sz w:val="20"/>
                          </w:rPr>
                          <w:t> </w:t>
                        </w:r>
                        <w:r>
                          <w:rPr>
                            <w:w w:val="120"/>
                            <w:sz w:val="20"/>
                          </w:rPr>
                          <w:t>of</w:t>
                        </w:r>
                        <w:r>
                          <w:rPr>
                            <w:spacing w:val="-22"/>
                            <w:w w:val="120"/>
                            <w:sz w:val="20"/>
                          </w:rPr>
                          <w:t> </w:t>
                        </w:r>
                        <w:r>
                          <w:rPr>
                            <w:w w:val="120"/>
                            <w:sz w:val="20"/>
                          </w:rPr>
                          <w:t>their</w:t>
                        </w:r>
                        <w:r>
                          <w:rPr>
                            <w:spacing w:val="-22"/>
                            <w:w w:val="120"/>
                            <w:sz w:val="20"/>
                          </w:rPr>
                          <w:t> </w:t>
                        </w:r>
                        <w:r>
                          <w:rPr>
                            <w:w w:val="120"/>
                            <w:sz w:val="20"/>
                          </w:rPr>
                          <w:t>biennial</w:t>
                        </w:r>
                        <w:r>
                          <w:rPr>
                            <w:spacing w:val="-22"/>
                            <w:w w:val="120"/>
                            <w:sz w:val="20"/>
                          </w:rPr>
                          <w:t> </w:t>
                        </w:r>
                        <w:r>
                          <w:rPr>
                            <w:w w:val="120"/>
                            <w:sz w:val="20"/>
                          </w:rPr>
                          <w:t>process</w:t>
                        </w:r>
                        <w:r>
                          <w:rPr>
                            <w:spacing w:val="-22"/>
                            <w:w w:val="120"/>
                            <w:sz w:val="20"/>
                          </w:rPr>
                          <w:t> </w:t>
                        </w:r>
                        <w:r>
                          <w:rPr>
                            <w:w w:val="120"/>
                            <w:sz w:val="20"/>
                          </w:rPr>
                          <w:t>of</w:t>
                        </w:r>
                        <w:r>
                          <w:rPr>
                            <w:spacing w:val="-22"/>
                            <w:w w:val="120"/>
                            <w:sz w:val="20"/>
                          </w:rPr>
                          <w:t> </w:t>
                        </w:r>
                        <w:r>
                          <w:rPr>
                            <w:i/>
                            <w:spacing w:val="-3"/>
                            <w:w w:val="120"/>
                            <w:sz w:val="20"/>
                          </w:rPr>
                          <w:t>Local</w:t>
                        </w:r>
                        <w:r>
                          <w:rPr>
                            <w:i/>
                            <w:spacing w:val="-24"/>
                            <w:w w:val="120"/>
                            <w:sz w:val="20"/>
                          </w:rPr>
                          <w:t> </w:t>
                        </w:r>
                        <w:r>
                          <w:rPr>
                            <w:i/>
                            <w:spacing w:val="-3"/>
                            <w:w w:val="120"/>
                            <w:sz w:val="20"/>
                          </w:rPr>
                          <w:t>Mission</w:t>
                        </w:r>
                        <w:r>
                          <w:rPr>
                            <w:i/>
                            <w:spacing w:val="-25"/>
                            <w:w w:val="120"/>
                            <w:sz w:val="20"/>
                          </w:rPr>
                          <w:t> </w:t>
                        </w:r>
                        <w:r>
                          <w:rPr>
                            <w:i/>
                            <w:w w:val="120"/>
                            <w:sz w:val="20"/>
                          </w:rPr>
                          <w:t>and</w:t>
                        </w:r>
                        <w:r>
                          <w:rPr>
                            <w:i/>
                            <w:spacing w:val="-24"/>
                            <w:w w:val="120"/>
                            <w:sz w:val="20"/>
                          </w:rPr>
                          <w:t> </w:t>
                        </w:r>
                        <w:r>
                          <w:rPr>
                            <w:i/>
                            <w:w w:val="120"/>
                            <w:sz w:val="20"/>
                          </w:rPr>
                          <w:t>Ministry</w:t>
                        </w:r>
                        <w:r>
                          <w:rPr>
                            <w:i/>
                            <w:spacing w:val="-25"/>
                            <w:w w:val="120"/>
                            <w:sz w:val="20"/>
                          </w:rPr>
                          <w:t> </w:t>
                        </w:r>
                        <w:r>
                          <w:rPr>
                            <w:i/>
                            <w:w w:val="120"/>
                            <w:sz w:val="20"/>
                          </w:rPr>
                          <w:t>Review</w:t>
                        </w:r>
                        <w:r>
                          <w:rPr>
                            <w:i/>
                            <w:spacing w:val="-22"/>
                            <w:w w:val="120"/>
                            <w:sz w:val="20"/>
                          </w:rPr>
                          <w:t> </w:t>
                        </w:r>
                        <w:r>
                          <w:rPr>
                            <w:spacing w:val="-4"/>
                            <w:w w:val="120"/>
                            <w:sz w:val="20"/>
                          </w:rPr>
                          <w:t>(LMMR).</w:t>
                        </w:r>
                        <w:r>
                          <w:rPr>
                            <w:spacing w:val="-22"/>
                            <w:w w:val="120"/>
                            <w:sz w:val="20"/>
                          </w:rPr>
                          <w:t> </w:t>
                        </w:r>
                        <w:r>
                          <w:rPr>
                            <w:w w:val="120"/>
                            <w:sz w:val="20"/>
                          </w:rPr>
                          <w:t>Each </w:t>
                        </w:r>
                        <w:r>
                          <w:rPr>
                            <w:spacing w:val="-3"/>
                            <w:w w:val="120"/>
                            <w:sz w:val="20"/>
                          </w:rPr>
                          <w:t>Synod </w:t>
                        </w:r>
                        <w:r>
                          <w:rPr>
                            <w:w w:val="120"/>
                            <w:sz w:val="20"/>
                          </w:rPr>
                          <w:t>is currently implementing LMMR in its </w:t>
                        </w:r>
                        <w:r>
                          <w:rPr>
                            <w:spacing w:val="-2"/>
                            <w:w w:val="120"/>
                            <w:sz w:val="20"/>
                          </w:rPr>
                          <w:t>own way </w:t>
                        </w:r>
                        <w:r>
                          <w:rPr>
                            <w:w w:val="120"/>
                            <w:sz w:val="20"/>
                          </w:rPr>
                          <w:t>and it is proposed that some form of </w:t>
                        </w:r>
                        <w:r>
                          <w:rPr>
                            <w:spacing w:val="-3"/>
                            <w:w w:val="120"/>
                            <w:sz w:val="20"/>
                          </w:rPr>
                          <w:t>guidance, </w:t>
                        </w:r>
                        <w:r>
                          <w:rPr>
                            <w:w w:val="120"/>
                            <w:sz w:val="20"/>
                          </w:rPr>
                          <w:t>developed in </w:t>
                        </w:r>
                        <w:r>
                          <w:rPr>
                            <w:spacing w:val="-3"/>
                            <w:w w:val="120"/>
                            <w:sz w:val="20"/>
                          </w:rPr>
                          <w:t>consultation </w:t>
                        </w:r>
                        <w:r>
                          <w:rPr>
                            <w:w w:val="120"/>
                            <w:sz w:val="20"/>
                          </w:rPr>
                          <w:t>with synods, might be produced which suggests a unified</w:t>
                        </w:r>
                        <w:r>
                          <w:rPr>
                            <w:spacing w:val="-7"/>
                            <w:w w:val="120"/>
                            <w:sz w:val="20"/>
                          </w:rPr>
                          <w:t> </w:t>
                        </w:r>
                        <w:r>
                          <w:rPr>
                            <w:w w:val="120"/>
                            <w:sz w:val="20"/>
                          </w:rPr>
                          <w:t>process</w:t>
                        </w:r>
                        <w:r>
                          <w:rPr>
                            <w:spacing w:val="-7"/>
                            <w:w w:val="120"/>
                            <w:sz w:val="20"/>
                          </w:rPr>
                          <w:t> </w:t>
                        </w:r>
                        <w:r>
                          <w:rPr>
                            <w:w w:val="120"/>
                            <w:sz w:val="20"/>
                          </w:rPr>
                          <w:t>for</w:t>
                        </w:r>
                        <w:r>
                          <w:rPr>
                            <w:spacing w:val="-7"/>
                            <w:w w:val="120"/>
                            <w:sz w:val="20"/>
                          </w:rPr>
                          <w:t> </w:t>
                        </w:r>
                        <w:r>
                          <w:rPr>
                            <w:w w:val="120"/>
                            <w:sz w:val="20"/>
                          </w:rPr>
                          <w:t>LMMR</w:t>
                        </w:r>
                        <w:r>
                          <w:rPr>
                            <w:spacing w:val="-6"/>
                            <w:w w:val="120"/>
                            <w:sz w:val="20"/>
                          </w:rPr>
                          <w:t> </w:t>
                        </w:r>
                        <w:r>
                          <w:rPr>
                            <w:w w:val="120"/>
                            <w:sz w:val="20"/>
                          </w:rPr>
                          <w:t>and</w:t>
                        </w:r>
                        <w:r>
                          <w:rPr>
                            <w:spacing w:val="-7"/>
                            <w:w w:val="120"/>
                            <w:sz w:val="20"/>
                          </w:rPr>
                          <w:t> </w:t>
                        </w:r>
                        <w:r>
                          <w:rPr>
                            <w:w w:val="120"/>
                            <w:sz w:val="20"/>
                          </w:rPr>
                          <w:t>the</w:t>
                        </w:r>
                        <w:r>
                          <w:rPr>
                            <w:spacing w:val="-7"/>
                            <w:w w:val="120"/>
                            <w:sz w:val="20"/>
                          </w:rPr>
                          <w:t> </w:t>
                        </w:r>
                        <w:r>
                          <w:rPr>
                            <w:w w:val="120"/>
                            <w:sz w:val="20"/>
                          </w:rPr>
                          <w:t>development</w:t>
                        </w:r>
                        <w:r>
                          <w:rPr>
                            <w:spacing w:val="-6"/>
                            <w:w w:val="120"/>
                            <w:sz w:val="20"/>
                          </w:rPr>
                          <w:t> </w:t>
                        </w:r>
                        <w:r>
                          <w:rPr>
                            <w:w w:val="120"/>
                            <w:sz w:val="20"/>
                          </w:rPr>
                          <w:t>of</w:t>
                        </w:r>
                        <w:r>
                          <w:rPr>
                            <w:spacing w:val="-7"/>
                            <w:w w:val="120"/>
                            <w:sz w:val="20"/>
                          </w:rPr>
                          <w:t> </w:t>
                        </w:r>
                        <w:r>
                          <w:rPr>
                            <w:i/>
                            <w:spacing w:val="-3"/>
                            <w:w w:val="120"/>
                            <w:sz w:val="20"/>
                          </w:rPr>
                          <w:t>Local</w:t>
                        </w:r>
                        <w:r>
                          <w:rPr>
                            <w:i/>
                            <w:spacing w:val="-10"/>
                            <w:w w:val="120"/>
                            <w:sz w:val="20"/>
                          </w:rPr>
                          <w:t> </w:t>
                        </w:r>
                        <w:r>
                          <w:rPr>
                            <w:i/>
                            <w:spacing w:val="-3"/>
                            <w:w w:val="120"/>
                            <w:sz w:val="20"/>
                          </w:rPr>
                          <w:t>Mission</w:t>
                        </w:r>
                        <w:r>
                          <w:rPr>
                            <w:i/>
                            <w:spacing w:val="-11"/>
                            <w:w w:val="120"/>
                            <w:sz w:val="20"/>
                          </w:rPr>
                          <w:t> </w:t>
                        </w:r>
                        <w:r>
                          <w:rPr>
                            <w:i/>
                            <w:spacing w:val="-3"/>
                            <w:w w:val="120"/>
                            <w:sz w:val="20"/>
                          </w:rPr>
                          <w:t>Pledges</w:t>
                        </w:r>
                        <w:r>
                          <w:rPr>
                            <w:spacing w:val="-3"/>
                            <w:w w:val="120"/>
                            <w:sz w:val="20"/>
                          </w:rPr>
                          <w:t>.</w:t>
                        </w:r>
                      </w:p>
                      <w:p>
                        <w:pPr>
                          <w:pStyle w:val="TableParagraph"/>
                          <w:spacing w:before="7"/>
                          <w:rPr>
                            <w:sz w:val="19"/>
                          </w:rPr>
                        </w:pPr>
                      </w:p>
                      <w:p>
                        <w:pPr>
                          <w:pStyle w:val="TableParagraph"/>
                          <w:numPr>
                            <w:ilvl w:val="1"/>
                            <w:numId w:val="5"/>
                          </w:numPr>
                          <w:tabs>
                            <w:tab w:pos="1076" w:val="left" w:leader="none"/>
                            <w:tab w:pos="1077" w:val="left" w:leader="none"/>
                          </w:tabs>
                          <w:spacing w:line="240" w:lineRule="auto" w:before="1" w:after="0"/>
                          <w:ind w:left="1076" w:right="0" w:hanging="681"/>
                          <w:jc w:val="left"/>
                          <w:rPr>
                            <w:sz w:val="20"/>
                          </w:rPr>
                        </w:pPr>
                        <w:r>
                          <w:rPr>
                            <w:w w:val="120"/>
                            <w:sz w:val="20"/>
                          </w:rPr>
                          <w:t>In</w:t>
                        </w:r>
                        <w:r>
                          <w:rPr>
                            <w:spacing w:val="1"/>
                            <w:w w:val="120"/>
                            <w:sz w:val="20"/>
                          </w:rPr>
                          <w:t> </w:t>
                        </w:r>
                        <w:r>
                          <w:rPr>
                            <w:w w:val="120"/>
                            <w:sz w:val="20"/>
                          </w:rPr>
                          <w:t>summary:</w:t>
                        </w:r>
                      </w:p>
                    </w:tc>
                  </w:tr>
                  <w:tr>
                    <w:trPr>
                      <w:trHeight w:val="5403" w:hRule="atLeast"/>
                    </w:trPr>
                    <w:tc>
                      <w:tcPr>
                        <w:tcW w:w="9554" w:type="dxa"/>
                        <w:gridSpan w:val="2"/>
                        <w:tcBorders>
                          <w:top w:val="single" w:sz="8" w:space="0" w:color="CA4F1B"/>
                          <w:bottom w:val="single" w:sz="8" w:space="0" w:color="CA4F1B"/>
                        </w:tcBorders>
                        <w:shd w:val="clear" w:color="auto" w:fill="FCF4E0"/>
                      </w:tcPr>
                      <w:p>
                        <w:pPr>
                          <w:pStyle w:val="TableParagraph"/>
                          <w:spacing w:before="216"/>
                          <w:ind w:left="1105"/>
                          <w:rPr>
                            <w:sz w:val="29"/>
                          </w:rPr>
                        </w:pPr>
                        <w:r>
                          <w:rPr>
                            <w:color w:val="CA4F1B"/>
                            <w:w w:val="120"/>
                            <w:sz w:val="29"/>
                          </w:rPr>
                          <w:t>Local Mission Pledges</w:t>
                        </w:r>
                      </w:p>
                      <w:p>
                        <w:pPr>
                          <w:pStyle w:val="TableParagraph"/>
                          <w:numPr>
                            <w:ilvl w:val="0"/>
                            <w:numId w:val="6"/>
                          </w:numPr>
                          <w:tabs>
                            <w:tab w:pos="1446" w:val="left" w:leader="none"/>
                          </w:tabs>
                          <w:spacing w:line="235" w:lineRule="auto" w:before="216" w:after="0"/>
                          <w:ind w:left="1445" w:right="766" w:hanging="341"/>
                          <w:jc w:val="left"/>
                          <w:rPr>
                            <w:sz w:val="20"/>
                          </w:rPr>
                        </w:pPr>
                        <w:r>
                          <w:rPr>
                            <w:spacing w:val="4"/>
                            <w:w w:val="120"/>
                            <w:sz w:val="20"/>
                          </w:rPr>
                          <w:t>Each </w:t>
                        </w:r>
                        <w:r>
                          <w:rPr>
                            <w:spacing w:val="5"/>
                            <w:w w:val="120"/>
                            <w:sz w:val="20"/>
                          </w:rPr>
                          <w:t>local </w:t>
                        </w:r>
                        <w:r>
                          <w:rPr>
                            <w:spacing w:val="4"/>
                            <w:w w:val="120"/>
                            <w:sz w:val="20"/>
                          </w:rPr>
                          <w:t>congregation will be </w:t>
                        </w:r>
                        <w:r>
                          <w:rPr>
                            <w:spacing w:val="5"/>
                            <w:w w:val="120"/>
                            <w:sz w:val="20"/>
                          </w:rPr>
                          <w:t>encouraged </w:t>
                        </w:r>
                        <w:r>
                          <w:rPr>
                            <w:w w:val="120"/>
                            <w:sz w:val="20"/>
                          </w:rPr>
                          <w:t>to </w:t>
                        </w:r>
                        <w:r>
                          <w:rPr>
                            <w:spacing w:val="3"/>
                            <w:w w:val="120"/>
                            <w:sz w:val="20"/>
                          </w:rPr>
                          <w:t>make </w:t>
                        </w:r>
                        <w:r>
                          <w:rPr>
                            <w:spacing w:val="4"/>
                            <w:w w:val="120"/>
                            <w:sz w:val="20"/>
                          </w:rPr>
                          <w:t>one </w:t>
                        </w:r>
                        <w:r>
                          <w:rPr>
                            <w:spacing w:val="3"/>
                            <w:w w:val="120"/>
                            <w:sz w:val="20"/>
                          </w:rPr>
                          <w:t>or </w:t>
                        </w:r>
                        <w:r>
                          <w:rPr>
                            <w:spacing w:val="4"/>
                            <w:w w:val="120"/>
                            <w:sz w:val="20"/>
                          </w:rPr>
                          <w:t>more </w:t>
                        </w:r>
                        <w:r>
                          <w:rPr>
                            <w:spacing w:val="5"/>
                            <w:w w:val="120"/>
                            <w:sz w:val="20"/>
                          </w:rPr>
                          <w:t>local </w:t>
                        </w:r>
                        <w:r>
                          <w:rPr>
                            <w:spacing w:val="4"/>
                            <w:w w:val="120"/>
                            <w:sz w:val="20"/>
                          </w:rPr>
                          <w:t>mission</w:t>
                        </w:r>
                        <w:r>
                          <w:rPr>
                            <w:spacing w:val="13"/>
                            <w:w w:val="120"/>
                            <w:sz w:val="20"/>
                          </w:rPr>
                          <w:t> </w:t>
                        </w:r>
                        <w:r>
                          <w:rPr>
                            <w:spacing w:val="4"/>
                            <w:w w:val="120"/>
                            <w:sz w:val="20"/>
                          </w:rPr>
                          <w:t>pledge.</w:t>
                        </w:r>
                      </w:p>
                      <w:p>
                        <w:pPr>
                          <w:pStyle w:val="TableParagraph"/>
                          <w:spacing w:before="9"/>
                          <w:rPr>
                            <w:sz w:val="19"/>
                          </w:rPr>
                        </w:pPr>
                      </w:p>
                      <w:p>
                        <w:pPr>
                          <w:pStyle w:val="TableParagraph"/>
                          <w:numPr>
                            <w:ilvl w:val="0"/>
                            <w:numId w:val="6"/>
                          </w:numPr>
                          <w:tabs>
                            <w:tab w:pos="1446" w:val="left" w:leader="none"/>
                          </w:tabs>
                          <w:spacing w:line="235" w:lineRule="auto" w:before="0" w:after="0"/>
                          <w:ind w:left="1445" w:right="722" w:hanging="341"/>
                          <w:jc w:val="left"/>
                          <w:rPr>
                            <w:sz w:val="20"/>
                          </w:rPr>
                        </w:pPr>
                        <w:r>
                          <w:rPr>
                            <w:w w:val="120"/>
                            <w:sz w:val="20"/>
                          </w:rPr>
                          <w:t>A </w:t>
                        </w:r>
                        <w:r>
                          <w:rPr>
                            <w:spacing w:val="5"/>
                            <w:w w:val="120"/>
                            <w:sz w:val="20"/>
                          </w:rPr>
                          <w:t>local </w:t>
                        </w:r>
                        <w:r>
                          <w:rPr>
                            <w:spacing w:val="4"/>
                            <w:w w:val="120"/>
                            <w:sz w:val="20"/>
                          </w:rPr>
                          <w:t>mission </w:t>
                        </w:r>
                        <w:r>
                          <w:rPr>
                            <w:spacing w:val="5"/>
                            <w:w w:val="120"/>
                            <w:sz w:val="20"/>
                          </w:rPr>
                          <w:t>pledge </w:t>
                        </w:r>
                        <w:r>
                          <w:rPr>
                            <w:spacing w:val="4"/>
                            <w:w w:val="120"/>
                            <w:sz w:val="20"/>
                          </w:rPr>
                          <w:t>will be </w:t>
                        </w:r>
                        <w:r>
                          <w:rPr>
                            <w:w w:val="120"/>
                            <w:sz w:val="20"/>
                          </w:rPr>
                          <w:t>a </w:t>
                        </w:r>
                        <w:r>
                          <w:rPr>
                            <w:spacing w:val="6"/>
                            <w:w w:val="120"/>
                            <w:sz w:val="20"/>
                          </w:rPr>
                          <w:t>short </w:t>
                        </w:r>
                        <w:r>
                          <w:rPr>
                            <w:spacing w:val="5"/>
                            <w:w w:val="120"/>
                            <w:sz w:val="20"/>
                          </w:rPr>
                          <w:t>statement expressing </w:t>
                        </w:r>
                        <w:r>
                          <w:rPr>
                            <w:spacing w:val="4"/>
                            <w:w w:val="120"/>
                            <w:sz w:val="20"/>
                          </w:rPr>
                          <w:t>the mission </w:t>
                        </w:r>
                        <w:r>
                          <w:rPr>
                            <w:spacing w:val="6"/>
                            <w:w w:val="120"/>
                            <w:sz w:val="20"/>
                          </w:rPr>
                          <w:t>priority </w:t>
                        </w:r>
                        <w:r>
                          <w:rPr>
                            <w:spacing w:val="3"/>
                            <w:w w:val="120"/>
                            <w:sz w:val="20"/>
                          </w:rPr>
                          <w:t>of </w:t>
                        </w:r>
                        <w:r>
                          <w:rPr>
                            <w:spacing w:val="4"/>
                            <w:w w:val="120"/>
                            <w:sz w:val="20"/>
                          </w:rPr>
                          <w:t>the </w:t>
                        </w:r>
                        <w:r>
                          <w:rPr>
                            <w:spacing w:val="5"/>
                            <w:w w:val="120"/>
                            <w:sz w:val="20"/>
                          </w:rPr>
                          <w:t>local</w:t>
                        </w:r>
                        <w:r>
                          <w:rPr>
                            <w:spacing w:val="39"/>
                            <w:w w:val="120"/>
                            <w:sz w:val="20"/>
                          </w:rPr>
                          <w:t> </w:t>
                        </w:r>
                        <w:r>
                          <w:rPr>
                            <w:spacing w:val="4"/>
                            <w:w w:val="120"/>
                            <w:sz w:val="20"/>
                          </w:rPr>
                          <w:t>church.</w:t>
                        </w:r>
                      </w:p>
                      <w:p>
                        <w:pPr>
                          <w:pStyle w:val="TableParagraph"/>
                          <w:spacing w:before="9"/>
                          <w:rPr>
                            <w:sz w:val="19"/>
                          </w:rPr>
                        </w:pPr>
                      </w:p>
                      <w:p>
                        <w:pPr>
                          <w:pStyle w:val="TableParagraph"/>
                          <w:numPr>
                            <w:ilvl w:val="0"/>
                            <w:numId w:val="6"/>
                          </w:numPr>
                          <w:tabs>
                            <w:tab w:pos="1446" w:val="left" w:leader="none"/>
                          </w:tabs>
                          <w:spacing w:line="235" w:lineRule="auto" w:before="1" w:after="0"/>
                          <w:ind w:left="1445" w:right="381" w:hanging="341"/>
                          <w:jc w:val="left"/>
                          <w:rPr>
                            <w:sz w:val="20"/>
                          </w:rPr>
                        </w:pPr>
                        <w:r>
                          <w:rPr>
                            <w:w w:val="120"/>
                            <w:sz w:val="20"/>
                          </w:rPr>
                          <w:t>A </w:t>
                        </w:r>
                        <w:r>
                          <w:rPr>
                            <w:spacing w:val="5"/>
                            <w:w w:val="120"/>
                            <w:sz w:val="20"/>
                          </w:rPr>
                          <w:t>local </w:t>
                        </w:r>
                        <w:r>
                          <w:rPr>
                            <w:spacing w:val="4"/>
                            <w:w w:val="120"/>
                            <w:sz w:val="20"/>
                          </w:rPr>
                          <w:t>mission </w:t>
                        </w:r>
                        <w:r>
                          <w:rPr>
                            <w:spacing w:val="5"/>
                            <w:w w:val="120"/>
                            <w:sz w:val="20"/>
                          </w:rPr>
                          <w:t>pledge </w:t>
                        </w:r>
                        <w:r>
                          <w:rPr>
                            <w:spacing w:val="4"/>
                            <w:w w:val="120"/>
                            <w:sz w:val="20"/>
                          </w:rPr>
                          <w:t>will be made </w:t>
                        </w:r>
                        <w:r>
                          <w:rPr>
                            <w:w w:val="120"/>
                            <w:sz w:val="20"/>
                          </w:rPr>
                          <w:t>as </w:t>
                        </w:r>
                        <w:r>
                          <w:rPr>
                            <w:spacing w:val="6"/>
                            <w:w w:val="120"/>
                            <w:sz w:val="20"/>
                          </w:rPr>
                          <w:t>part </w:t>
                        </w:r>
                        <w:r>
                          <w:rPr>
                            <w:spacing w:val="3"/>
                            <w:w w:val="120"/>
                            <w:sz w:val="20"/>
                          </w:rPr>
                          <w:t>of </w:t>
                        </w:r>
                        <w:r>
                          <w:rPr>
                            <w:spacing w:val="4"/>
                            <w:w w:val="120"/>
                            <w:sz w:val="20"/>
                          </w:rPr>
                          <w:t>the biennial process </w:t>
                        </w:r>
                        <w:r>
                          <w:rPr>
                            <w:spacing w:val="3"/>
                            <w:w w:val="120"/>
                            <w:sz w:val="20"/>
                          </w:rPr>
                          <w:t>of </w:t>
                        </w:r>
                        <w:r>
                          <w:rPr>
                            <w:spacing w:val="5"/>
                            <w:w w:val="120"/>
                            <w:sz w:val="20"/>
                          </w:rPr>
                          <w:t>local </w:t>
                        </w:r>
                        <w:r>
                          <w:rPr>
                            <w:spacing w:val="4"/>
                            <w:w w:val="120"/>
                            <w:sz w:val="20"/>
                          </w:rPr>
                          <w:t>mission and </w:t>
                        </w:r>
                        <w:r>
                          <w:rPr>
                            <w:spacing w:val="6"/>
                            <w:w w:val="120"/>
                            <w:sz w:val="20"/>
                          </w:rPr>
                          <w:t>ministry</w:t>
                        </w:r>
                        <w:r>
                          <w:rPr>
                            <w:spacing w:val="30"/>
                            <w:w w:val="120"/>
                            <w:sz w:val="20"/>
                          </w:rPr>
                          <w:t> </w:t>
                        </w:r>
                        <w:r>
                          <w:rPr>
                            <w:spacing w:val="3"/>
                            <w:w w:val="120"/>
                            <w:sz w:val="20"/>
                          </w:rPr>
                          <w:t>review.</w:t>
                        </w:r>
                      </w:p>
                      <w:p>
                        <w:pPr>
                          <w:pStyle w:val="TableParagraph"/>
                          <w:spacing w:before="9"/>
                          <w:rPr>
                            <w:sz w:val="19"/>
                          </w:rPr>
                        </w:pPr>
                      </w:p>
                      <w:p>
                        <w:pPr>
                          <w:pStyle w:val="TableParagraph"/>
                          <w:numPr>
                            <w:ilvl w:val="0"/>
                            <w:numId w:val="6"/>
                          </w:numPr>
                          <w:tabs>
                            <w:tab w:pos="1446" w:val="left" w:leader="none"/>
                          </w:tabs>
                          <w:spacing w:line="235" w:lineRule="auto" w:before="0" w:after="0"/>
                          <w:ind w:left="1445" w:right="429" w:hanging="341"/>
                          <w:jc w:val="both"/>
                          <w:rPr>
                            <w:sz w:val="20"/>
                          </w:rPr>
                        </w:pPr>
                        <w:r>
                          <w:rPr>
                            <w:w w:val="120"/>
                            <w:sz w:val="20"/>
                          </w:rPr>
                          <w:t>A </w:t>
                        </w:r>
                        <w:r>
                          <w:rPr>
                            <w:spacing w:val="5"/>
                            <w:w w:val="120"/>
                            <w:sz w:val="20"/>
                          </w:rPr>
                          <w:t>local </w:t>
                        </w:r>
                        <w:r>
                          <w:rPr>
                            <w:spacing w:val="4"/>
                            <w:w w:val="120"/>
                            <w:sz w:val="20"/>
                          </w:rPr>
                          <w:t>mission </w:t>
                        </w:r>
                        <w:r>
                          <w:rPr>
                            <w:spacing w:val="5"/>
                            <w:w w:val="120"/>
                            <w:sz w:val="20"/>
                          </w:rPr>
                          <w:t>pledge </w:t>
                        </w:r>
                        <w:r>
                          <w:rPr>
                            <w:spacing w:val="4"/>
                            <w:w w:val="120"/>
                            <w:sz w:val="20"/>
                          </w:rPr>
                          <w:t>might be stimulated </w:t>
                        </w:r>
                        <w:r>
                          <w:rPr>
                            <w:w w:val="120"/>
                            <w:sz w:val="20"/>
                          </w:rPr>
                          <w:t>by </w:t>
                        </w:r>
                        <w:r>
                          <w:rPr>
                            <w:spacing w:val="4"/>
                            <w:w w:val="120"/>
                            <w:sz w:val="20"/>
                          </w:rPr>
                          <w:t>one </w:t>
                        </w:r>
                        <w:r>
                          <w:rPr>
                            <w:spacing w:val="3"/>
                            <w:w w:val="120"/>
                            <w:sz w:val="20"/>
                          </w:rPr>
                          <w:t>or </w:t>
                        </w:r>
                        <w:r>
                          <w:rPr>
                            <w:spacing w:val="4"/>
                            <w:w w:val="120"/>
                            <w:sz w:val="20"/>
                          </w:rPr>
                          <w:t>more </w:t>
                        </w:r>
                        <w:r>
                          <w:rPr>
                            <w:spacing w:val="3"/>
                            <w:w w:val="120"/>
                            <w:sz w:val="20"/>
                          </w:rPr>
                          <w:t>of </w:t>
                        </w:r>
                        <w:r>
                          <w:rPr>
                            <w:spacing w:val="4"/>
                            <w:w w:val="120"/>
                            <w:sz w:val="20"/>
                          </w:rPr>
                          <w:t>the Mission </w:t>
                        </w:r>
                        <w:r>
                          <w:rPr>
                            <w:spacing w:val="5"/>
                            <w:w w:val="120"/>
                            <w:sz w:val="20"/>
                          </w:rPr>
                          <w:t>Statements </w:t>
                        </w:r>
                        <w:r>
                          <w:rPr>
                            <w:spacing w:val="4"/>
                            <w:w w:val="120"/>
                            <w:sz w:val="20"/>
                          </w:rPr>
                          <w:t>and Indicators </w:t>
                        </w:r>
                        <w:r>
                          <w:rPr>
                            <w:spacing w:val="3"/>
                            <w:w w:val="120"/>
                            <w:sz w:val="20"/>
                          </w:rPr>
                          <w:t>set out </w:t>
                        </w:r>
                        <w:r>
                          <w:rPr>
                            <w:w w:val="120"/>
                            <w:sz w:val="20"/>
                          </w:rPr>
                          <w:t>in </w:t>
                        </w:r>
                        <w:r>
                          <w:rPr>
                            <w:spacing w:val="4"/>
                            <w:w w:val="120"/>
                            <w:sz w:val="20"/>
                          </w:rPr>
                          <w:t>the </w:t>
                        </w:r>
                        <w:r>
                          <w:rPr>
                            <w:i/>
                            <w:spacing w:val="3"/>
                            <w:w w:val="120"/>
                            <w:sz w:val="20"/>
                          </w:rPr>
                          <w:t>vision2020 </w:t>
                        </w:r>
                        <w:r>
                          <w:rPr>
                            <w:spacing w:val="5"/>
                            <w:w w:val="120"/>
                            <w:sz w:val="20"/>
                          </w:rPr>
                          <w:t>Framework </w:t>
                        </w:r>
                        <w:r>
                          <w:rPr>
                            <w:spacing w:val="3"/>
                            <w:w w:val="120"/>
                            <w:sz w:val="20"/>
                          </w:rPr>
                          <w:t>but </w:t>
                        </w:r>
                        <w:r>
                          <w:rPr>
                            <w:spacing w:val="2"/>
                            <w:w w:val="120"/>
                            <w:sz w:val="20"/>
                          </w:rPr>
                          <w:t>may </w:t>
                        </w:r>
                        <w:r>
                          <w:rPr>
                            <w:spacing w:val="4"/>
                            <w:w w:val="120"/>
                            <w:sz w:val="20"/>
                          </w:rPr>
                          <w:t>be adapted </w:t>
                        </w:r>
                        <w:r>
                          <w:rPr>
                            <w:w w:val="120"/>
                            <w:sz w:val="20"/>
                          </w:rPr>
                          <w:t>to </w:t>
                        </w:r>
                        <w:r>
                          <w:rPr>
                            <w:spacing w:val="3"/>
                            <w:w w:val="120"/>
                            <w:sz w:val="20"/>
                          </w:rPr>
                          <w:t>suit </w:t>
                        </w:r>
                        <w:r>
                          <w:rPr>
                            <w:w w:val="120"/>
                            <w:sz w:val="20"/>
                          </w:rPr>
                          <w:t>a </w:t>
                        </w:r>
                        <w:r>
                          <w:rPr>
                            <w:spacing w:val="5"/>
                            <w:w w:val="120"/>
                            <w:sz w:val="20"/>
                          </w:rPr>
                          <w:t>local </w:t>
                        </w:r>
                        <w:r>
                          <w:rPr>
                            <w:spacing w:val="4"/>
                            <w:w w:val="120"/>
                            <w:sz w:val="20"/>
                          </w:rPr>
                          <w:t>mission</w:t>
                        </w:r>
                        <w:r>
                          <w:rPr>
                            <w:spacing w:val="8"/>
                            <w:w w:val="120"/>
                            <w:sz w:val="20"/>
                          </w:rPr>
                          <w:t> </w:t>
                        </w:r>
                        <w:r>
                          <w:rPr>
                            <w:spacing w:val="5"/>
                            <w:w w:val="120"/>
                            <w:sz w:val="20"/>
                          </w:rPr>
                          <w:t>context.</w:t>
                        </w:r>
                      </w:p>
                      <w:p>
                        <w:pPr>
                          <w:pStyle w:val="TableParagraph"/>
                          <w:spacing w:before="10"/>
                          <w:rPr>
                            <w:sz w:val="19"/>
                          </w:rPr>
                        </w:pPr>
                      </w:p>
                      <w:p>
                        <w:pPr>
                          <w:pStyle w:val="TableParagraph"/>
                          <w:numPr>
                            <w:ilvl w:val="0"/>
                            <w:numId w:val="6"/>
                          </w:numPr>
                          <w:tabs>
                            <w:tab w:pos="1446" w:val="left" w:leader="none"/>
                          </w:tabs>
                          <w:spacing w:line="235" w:lineRule="auto" w:before="0" w:after="0"/>
                          <w:ind w:left="1445" w:right="1136" w:hanging="341"/>
                          <w:jc w:val="left"/>
                          <w:rPr>
                            <w:sz w:val="20"/>
                          </w:rPr>
                        </w:pPr>
                        <w:r>
                          <w:rPr>
                            <w:w w:val="120"/>
                            <w:sz w:val="20"/>
                          </w:rPr>
                          <w:t>Together, </w:t>
                        </w:r>
                        <w:r>
                          <w:rPr>
                            <w:spacing w:val="5"/>
                            <w:w w:val="120"/>
                            <w:sz w:val="20"/>
                          </w:rPr>
                          <w:t>local </w:t>
                        </w:r>
                        <w:r>
                          <w:rPr>
                            <w:spacing w:val="4"/>
                            <w:w w:val="120"/>
                            <w:sz w:val="20"/>
                          </w:rPr>
                          <w:t>mission </w:t>
                        </w:r>
                        <w:r>
                          <w:rPr>
                            <w:spacing w:val="5"/>
                            <w:w w:val="120"/>
                            <w:sz w:val="20"/>
                          </w:rPr>
                          <w:t>pledges represent </w:t>
                        </w:r>
                        <w:r>
                          <w:rPr>
                            <w:w w:val="120"/>
                            <w:sz w:val="20"/>
                          </w:rPr>
                          <w:t>a </w:t>
                        </w:r>
                        <w:r>
                          <w:rPr>
                            <w:spacing w:val="4"/>
                            <w:w w:val="120"/>
                            <w:sz w:val="20"/>
                          </w:rPr>
                          <w:t>process </w:t>
                        </w:r>
                        <w:r>
                          <w:rPr>
                            <w:spacing w:val="3"/>
                            <w:w w:val="120"/>
                            <w:sz w:val="20"/>
                          </w:rPr>
                          <w:t>of </w:t>
                        </w:r>
                        <w:r>
                          <w:rPr>
                            <w:spacing w:val="4"/>
                            <w:w w:val="120"/>
                            <w:sz w:val="20"/>
                          </w:rPr>
                          <w:t>covenanting </w:t>
                        </w:r>
                        <w:r>
                          <w:rPr>
                            <w:spacing w:val="5"/>
                            <w:w w:val="120"/>
                            <w:sz w:val="20"/>
                          </w:rPr>
                          <w:t>between </w:t>
                        </w:r>
                        <w:r>
                          <w:rPr>
                            <w:spacing w:val="4"/>
                            <w:w w:val="120"/>
                            <w:sz w:val="20"/>
                          </w:rPr>
                          <w:t>churches </w:t>
                        </w:r>
                        <w:r>
                          <w:rPr>
                            <w:w w:val="120"/>
                            <w:sz w:val="20"/>
                          </w:rPr>
                          <w:t>in a</w:t>
                        </w:r>
                        <w:r>
                          <w:rPr>
                            <w:spacing w:val="45"/>
                            <w:w w:val="120"/>
                            <w:sz w:val="20"/>
                          </w:rPr>
                          <w:t> </w:t>
                        </w:r>
                        <w:r>
                          <w:rPr>
                            <w:spacing w:val="5"/>
                            <w:w w:val="120"/>
                            <w:sz w:val="20"/>
                          </w:rPr>
                          <w:t>synod.</w:t>
                        </w:r>
                      </w:p>
                      <w:p>
                        <w:pPr>
                          <w:pStyle w:val="TableParagraph"/>
                          <w:spacing w:before="9"/>
                          <w:rPr>
                            <w:sz w:val="19"/>
                          </w:rPr>
                        </w:pPr>
                      </w:p>
                      <w:p>
                        <w:pPr>
                          <w:pStyle w:val="TableParagraph"/>
                          <w:numPr>
                            <w:ilvl w:val="0"/>
                            <w:numId w:val="6"/>
                          </w:numPr>
                          <w:tabs>
                            <w:tab w:pos="1446" w:val="left" w:leader="none"/>
                          </w:tabs>
                          <w:spacing w:line="235" w:lineRule="auto" w:before="1" w:after="0"/>
                          <w:ind w:left="1445" w:right="376" w:hanging="341"/>
                          <w:jc w:val="both"/>
                          <w:rPr>
                            <w:sz w:val="20"/>
                          </w:rPr>
                        </w:pPr>
                        <w:r>
                          <w:rPr>
                            <w:spacing w:val="3"/>
                            <w:w w:val="120"/>
                            <w:sz w:val="20"/>
                          </w:rPr>
                          <w:t>Synods </w:t>
                        </w:r>
                        <w:r>
                          <w:rPr>
                            <w:spacing w:val="2"/>
                            <w:w w:val="120"/>
                            <w:sz w:val="20"/>
                          </w:rPr>
                          <w:t>may </w:t>
                        </w:r>
                        <w:r>
                          <w:rPr>
                            <w:spacing w:val="4"/>
                            <w:w w:val="120"/>
                            <w:sz w:val="20"/>
                          </w:rPr>
                          <w:t>gather and </w:t>
                        </w:r>
                        <w:r>
                          <w:rPr>
                            <w:spacing w:val="3"/>
                            <w:w w:val="120"/>
                            <w:sz w:val="20"/>
                          </w:rPr>
                          <w:t>use </w:t>
                        </w:r>
                        <w:r>
                          <w:rPr>
                            <w:spacing w:val="5"/>
                            <w:w w:val="120"/>
                            <w:sz w:val="20"/>
                          </w:rPr>
                          <w:t>local </w:t>
                        </w:r>
                        <w:r>
                          <w:rPr>
                            <w:spacing w:val="4"/>
                            <w:w w:val="120"/>
                            <w:sz w:val="20"/>
                          </w:rPr>
                          <w:t>mission </w:t>
                        </w:r>
                        <w:r>
                          <w:rPr>
                            <w:spacing w:val="5"/>
                            <w:w w:val="120"/>
                            <w:sz w:val="20"/>
                          </w:rPr>
                          <w:t>pledges </w:t>
                        </w:r>
                        <w:r>
                          <w:rPr>
                            <w:w w:val="120"/>
                            <w:sz w:val="20"/>
                          </w:rPr>
                          <w:t>to </w:t>
                        </w:r>
                        <w:r>
                          <w:rPr>
                            <w:spacing w:val="4"/>
                            <w:w w:val="120"/>
                            <w:sz w:val="20"/>
                          </w:rPr>
                          <w:t>guide and </w:t>
                        </w:r>
                        <w:r>
                          <w:rPr>
                            <w:spacing w:val="5"/>
                            <w:w w:val="120"/>
                            <w:sz w:val="20"/>
                          </w:rPr>
                          <w:t>direct </w:t>
                        </w:r>
                        <w:r>
                          <w:rPr>
                            <w:spacing w:val="4"/>
                            <w:w w:val="120"/>
                            <w:sz w:val="20"/>
                          </w:rPr>
                          <w:t>their </w:t>
                        </w:r>
                        <w:r>
                          <w:rPr>
                            <w:spacing w:val="3"/>
                            <w:w w:val="120"/>
                            <w:sz w:val="20"/>
                          </w:rPr>
                          <w:t>own </w:t>
                        </w:r>
                        <w:r>
                          <w:rPr>
                            <w:spacing w:val="4"/>
                            <w:w w:val="120"/>
                            <w:sz w:val="20"/>
                          </w:rPr>
                          <w:t>mission</w:t>
                        </w:r>
                        <w:r>
                          <w:rPr>
                            <w:spacing w:val="24"/>
                            <w:w w:val="120"/>
                            <w:sz w:val="20"/>
                          </w:rPr>
                          <w:t> </w:t>
                        </w:r>
                        <w:r>
                          <w:rPr>
                            <w:spacing w:val="4"/>
                            <w:w w:val="120"/>
                            <w:sz w:val="20"/>
                          </w:rPr>
                          <w:t>planning.</w:t>
                        </w:r>
                      </w:p>
                    </w:tc>
                  </w:tr>
                  <w:tr>
                    <w:trPr>
                      <w:trHeight w:val="7509" w:hRule="atLeast"/>
                    </w:trPr>
                    <w:tc>
                      <w:tcPr>
                        <w:tcW w:w="359" w:type="dxa"/>
                        <w:tcBorders>
                          <w:top w:val="single" w:sz="8" w:space="0" w:color="CA4F1B"/>
                          <w:right w:val="dotted" w:sz="8" w:space="0" w:color="868685"/>
                        </w:tcBorders>
                      </w:tcPr>
                      <w:p>
                        <w:pPr>
                          <w:pStyle w:val="TableParagraph"/>
                          <w:rPr>
                            <w:rFonts w:ascii="Times New Roman"/>
                            <w:sz w:val="22"/>
                          </w:rPr>
                        </w:pPr>
                      </w:p>
                    </w:tc>
                    <w:tc>
                      <w:tcPr>
                        <w:tcW w:w="9195" w:type="dxa"/>
                        <w:tcBorders>
                          <w:top w:val="single" w:sz="8" w:space="0" w:color="CA4F1B"/>
                          <w:left w:val="dotted" w:sz="8" w:space="0" w:color="868685"/>
                        </w:tcBorders>
                      </w:tcPr>
                      <w:p>
                        <w:pPr>
                          <w:pStyle w:val="TableParagraph"/>
                          <w:spacing w:before="9"/>
                          <w:rPr>
                            <w:sz w:val="30"/>
                          </w:rPr>
                        </w:pPr>
                      </w:p>
                      <w:p>
                        <w:pPr>
                          <w:pStyle w:val="TableParagraph"/>
                          <w:numPr>
                            <w:ilvl w:val="0"/>
                            <w:numId w:val="7"/>
                          </w:numPr>
                          <w:tabs>
                            <w:tab w:pos="1116" w:val="left" w:leader="none"/>
                            <w:tab w:pos="1117" w:val="left" w:leader="none"/>
                          </w:tabs>
                          <w:spacing w:line="240" w:lineRule="auto" w:before="1" w:after="0"/>
                          <w:ind w:left="1116" w:right="0" w:hanging="721"/>
                          <w:jc w:val="left"/>
                          <w:rPr>
                            <w:rFonts w:ascii="Stone Sans II ITC Std Bk"/>
                            <w:b/>
                            <w:sz w:val="21"/>
                          </w:rPr>
                        </w:pPr>
                        <w:r>
                          <w:rPr>
                            <w:rFonts w:ascii="Stone Sans II ITC Std Bk"/>
                            <w:b/>
                            <w:w w:val="115"/>
                            <w:sz w:val="21"/>
                          </w:rPr>
                          <w:t>Synod Mission</w:t>
                        </w:r>
                        <w:r>
                          <w:rPr>
                            <w:rFonts w:ascii="Stone Sans II ITC Std Bk"/>
                            <w:b/>
                            <w:spacing w:val="-4"/>
                            <w:w w:val="115"/>
                            <w:sz w:val="21"/>
                          </w:rPr>
                          <w:t> </w:t>
                        </w:r>
                        <w:r>
                          <w:rPr>
                            <w:rFonts w:ascii="Stone Sans II ITC Std Bk"/>
                            <w:b/>
                            <w:w w:val="115"/>
                            <w:sz w:val="21"/>
                          </w:rPr>
                          <w:t>Strategies</w:t>
                        </w:r>
                      </w:p>
                      <w:p>
                        <w:pPr>
                          <w:pStyle w:val="TableParagraph"/>
                          <w:numPr>
                            <w:ilvl w:val="1"/>
                            <w:numId w:val="7"/>
                          </w:numPr>
                          <w:tabs>
                            <w:tab w:pos="1076" w:val="left" w:leader="none"/>
                            <w:tab w:pos="1077" w:val="left" w:leader="none"/>
                          </w:tabs>
                          <w:spacing w:line="235" w:lineRule="auto" w:before="222" w:after="0"/>
                          <w:ind w:left="396" w:right="1" w:firstLine="0"/>
                          <w:jc w:val="left"/>
                          <w:rPr>
                            <w:sz w:val="20"/>
                          </w:rPr>
                        </w:pPr>
                        <w:r>
                          <w:rPr>
                            <w:i/>
                            <w:w w:val="120"/>
                            <w:sz w:val="20"/>
                          </w:rPr>
                          <w:t>vision2020 </w:t>
                        </w:r>
                        <w:r>
                          <w:rPr>
                            <w:w w:val="120"/>
                            <w:sz w:val="20"/>
                          </w:rPr>
                          <w:t>seeks to support and build on synod mission strategies. Feedback from the consultation with synods suggests that there is great diversity not only in the stages  of development of synod mission strategies, but also in the understanding of their nature and</w:t>
                        </w:r>
                        <w:r>
                          <w:rPr>
                            <w:spacing w:val="2"/>
                            <w:w w:val="120"/>
                            <w:sz w:val="20"/>
                          </w:rPr>
                          <w:t> </w:t>
                        </w:r>
                        <w:r>
                          <w:rPr>
                            <w:w w:val="120"/>
                            <w:sz w:val="20"/>
                          </w:rPr>
                          <w:t>function.</w:t>
                        </w:r>
                      </w:p>
                      <w:p>
                        <w:pPr>
                          <w:pStyle w:val="TableParagraph"/>
                          <w:spacing w:before="11"/>
                          <w:rPr>
                            <w:sz w:val="19"/>
                          </w:rPr>
                        </w:pPr>
                      </w:p>
                      <w:p>
                        <w:pPr>
                          <w:pStyle w:val="TableParagraph"/>
                          <w:numPr>
                            <w:ilvl w:val="1"/>
                            <w:numId w:val="7"/>
                          </w:numPr>
                          <w:tabs>
                            <w:tab w:pos="1076" w:val="left" w:leader="none"/>
                            <w:tab w:pos="1077" w:val="left" w:leader="none"/>
                          </w:tabs>
                          <w:spacing w:line="235" w:lineRule="auto" w:before="0" w:after="0"/>
                          <w:ind w:left="396" w:right="53" w:firstLine="0"/>
                          <w:jc w:val="left"/>
                          <w:rPr>
                            <w:sz w:val="20"/>
                          </w:rPr>
                        </w:pPr>
                        <w:r>
                          <w:rPr>
                            <w:w w:val="120"/>
                            <w:sz w:val="20"/>
                          </w:rPr>
                          <w:t>Some synods feel that their mission strategy is to encourage, enable and support local churches in their own stated mission priorities. They therefore see no need for the synod to formulate synod mission priorities. These synods suggest that the </w:t>
                        </w:r>
                        <w:r>
                          <w:rPr>
                            <w:i/>
                            <w:w w:val="120"/>
                            <w:sz w:val="20"/>
                          </w:rPr>
                          <w:t>vision2020 </w:t>
                        </w:r>
                        <w:r>
                          <w:rPr>
                            <w:w w:val="120"/>
                            <w:sz w:val="20"/>
                          </w:rPr>
                          <w:t>document might be a point of reference or complementary tool for local churches in their reflection on mission in their own context. Though this approach offers limited scope for engagement with </w:t>
                        </w:r>
                        <w:r>
                          <w:rPr>
                            <w:i/>
                            <w:spacing w:val="-3"/>
                            <w:w w:val="120"/>
                            <w:sz w:val="20"/>
                          </w:rPr>
                          <w:t>vision2020</w:t>
                        </w:r>
                        <w:r>
                          <w:rPr>
                            <w:spacing w:val="-3"/>
                            <w:w w:val="120"/>
                            <w:sz w:val="20"/>
                          </w:rPr>
                          <w:t>, </w:t>
                        </w:r>
                        <w:r>
                          <w:rPr>
                            <w:w w:val="120"/>
                            <w:sz w:val="20"/>
                          </w:rPr>
                          <w:t>one synod reported that it uses a particular process which encourages churches to make an action plan and this could form the basis for making </w:t>
                        </w:r>
                        <w:r>
                          <w:rPr>
                            <w:i/>
                            <w:w w:val="120"/>
                            <w:sz w:val="20"/>
                          </w:rPr>
                          <w:t>Local Mission</w:t>
                        </w:r>
                        <w:r>
                          <w:rPr>
                            <w:i/>
                            <w:spacing w:val="-5"/>
                            <w:w w:val="120"/>
                            <w:sz w:val="20"/>
                          </w:rPr>
                          <w:t> </w:t>
                        </w:r>
                        <w:r>
                          <w:rPr>
                            <w:i/>
                            <w:w w:val="120"/>
                            <w:sz w:val="20"/>
                          </w:rPr>
                          <w:t>Pledges</w:t>
                        </w:r>
                        <w:r>
                          <w:rPr>
                            <w:w w:val="120"/>
                            <w:sz w:val="20"/>
                          </w:rPr>
                          <w:t>.</w:t>
                        </w:r>
                      </w:p>
                      <w:p>
                        <w:pPr>
                          <w:pStyle w:val="TableParagraph"/>
                          <w:spacing w:before="1"/>
                          <w:rPr>
                            <w:sz w:val="20"/>
                          </w:rPr>
                        </w:pPr>
                      </w:p>
                      <w:p>
                        <w:pPr>
                          <w:pStyle w:val="TableParagraph"/>
                          <w:numPr>
                            <w:ilvl w:val="1"/>
                            <w:numId w:val="7"/>
                          </w:numPr>
                          <w:tabs>
                            <w:tab w:pos="1076" w:val="left" w:leader="none"/>
                            <w:tab w:pos="1077" w:val="left" w:leader="none"/>
                          </w:tabs>
                          <w:spacing w:line="235" w:lineRule="auto" w:before="1" w:after="0"/>
                          <w:ind w:left="396" w:right="17" w:firstLine="0"/>
                          <w:jc w:val="left"/>
                          <w:rPr>
                            <w:sz w:val="20"/>
                          </w:rPr>
                        </w:pPr>
                        <w:r>
                          <w:rPr>
                            <w:w w:val="120"/>
                            <w:sz w:val="20"/>
                          </w:rPr>
                          <w:t>Other synods are at the beginning of formulating a synod mission strategy and   are using </w:t>
                        </w:r>
                        <w:r>
                          <w:rPr>
                            <w:i/>
                            <w:w w:val="120"/>
                            <w:sz w:val="20"/>
                          </w:rPr>
                          <w:t>vision2020 </w:t>
                        </w:r>
                        <w:r>
                          <w:rPr>
                            <w:w w:val="120"/>
                            <w:sz w:val="20"/>
                          </w:rPr>
                          <w:t>to help shape this process. Feedback received suggests that the ten mission statements in particular are being used to help synods identify their own mission priorities. These synods are seeking to link their work on a synod strategy with </w:t>
                        </w:r>
                        <w:r>
                          <w:rPr>
                            <w:i/>
                            <w:w w:val="120"/>
                            <w:sz w:val="20"/>
                          </w:rPr>
                          <w:t>vision2020 </w:t>
                        </w:r>
                        <w:r>
                          <w:rPr>
                            <w:w w:val="120"/>
                            <w:sz w:val="20"/>
                          </w:rPr>
                          <w:t>from the beginning to ensure integration. They see the development of </w:t>
                        </w:r>
                        <w:r>
                          <w:rPr>
                            <w:i/>
                            <w:w w:val="120"/>
                            <w:sz w:val="20"/>
                          </w:rPr>
                          <w:t>Local Mission </w:t>
                        </w:r>
                        <w:r>
                          <w:rPr>
                            <w:i/>
                            <w:w w:val="120"/>
                            <w:sz w:val="20"/>
                          </w:rPr>
                          <w:t>Pledges </w:t>
                        </w:r>
                        <w:r>
                          <w:rPr>
                            <w:w w:val="120"/>
                            <w:sz w:val="20"/>
                          </w:rPr>
                          <w:t>as a positive tool in this</w:t>
                        </w:r>
                        <w:r>
                          <w:rPr>
                            <w:spacing w:val="7"/>
                            <w:w w:val="120"/>
                            <w:sz w:val="20"/>
                          </w:rPr>
                          <w:t> </w:t>
                        </w:r>
                        <w:r>
                          <w:rPr>
                            <w:w w:val="120"/>
                            <w:sz w:val="20"/>
                          </w:rPr>
                          <w:t>process.</w:t>
                        </w:r>
                      </w:p>
                      <w:p>
                        <w:pPr>
                          <w:pStyle w:val="TableParagraph"/>
                          <w:rPr>
                            <w:sz w:val="20"/>
                          </w:rPr>
                        </w:pPr>
                      </w:p>
                      <w:p>
                        <w:pPr>
                          <w:pStyle w:val="TableParagraph"/>
                          <w:numPr>
                            <w:ilvl w:val="1"/>
                            <w:numId w:val="7"/>
                          </w:numPr>
                          <w:tabs>
                            <w:tab w:pos="1076" w:val="left" w:leader="none"/>
                            <w:tab w:pos="1077" w:val="left" w:leader="none"/>
                          </w:tabs>
                          <w:spacing w:line="235" w:lineRule="auto" w:before="0" w:after="0"/>
                          <w:ind w:left="396" w:right="688" w:firstLine="0"/>
                          <w:jc w:val="left"/>
                          <w:rPr>
                            <w:sz w:val="20"/>
                          </w:rPr>
                        </w:pPr>
                        <w:r>
                          <w:rPr>
                            <w:w w:val="120"/>
                            <w:sz w:val="20"/>
                          </w:rPr>
                          <w:t>The majority of synods have done significant work on identifying mission priorities and in some cases this has resulted in fully formulated mission strategies. Where synods have identified their own mission priorities most indicate that there are clear links between those and the statements in </w:t>
                        </w:r>
                        <w:r>
                          <w:rPr>
                            <w:i/>
                            <w:spacing w:val="-3"/>
                            <w:w w:val="120"/>
                            <w:sz w:val="20"/>
                          </w:rPr>
                          <w:t>vision2020</w:t>
                        </w:r>
                        <w:r>
                          <w:rPr>
                            <w:spacing w:val="-3"/>
                            <w:w w:val="120"/>
                            <w:sz w:val="20"/>
                          </w:rPr>
                          <w:t>. </w:t>
                        </w:r>
                        <w:r>
                          <w:rPr>
                            <w:w w:val="120"/>
                            <w:sz w:val="20"/>
                          </w:rPr>
                          <w:t>Some have</w:t>
                        </w:r>
                        <w:r>
                          <w:rPr>
                            <w:spacing w:val="-35"/>
                            <w:w w:val="120"/>
                            <w:sz w:val="20"/>
                          </w:rPr>
                          <w:t> </w:t>
                        </w:r>
                        <w:r>
                          <w:rPr>
                            <w:w w:val="120"/>
                            <w:sz w:val="20"/>
                          </w:rPr>
                          <w:t>actively</w:t>
                        </w:r>
                      </w:p>
                      <w:p>
                        <w:pPr>
                          <w:pStyle w:val="TableParagraph"/>
                          <w:spacing w:line="243" w:lineRule="exact"/>
                          <w:ind w:left="396"/>
                          <w:rPr>
                            <w:sz w:val="20"/>
                          </w:rPr>
                        </w:pPr>
                        <w:r>
                          <w:rPr>
                            <w:w w:val="120"/>
                            <w:sz w:val="20"/>
                          </w:rPr>
                          <w:t>incorporated </w:t>
                        </w:r>
                        <w:r>
                          <w:rPr>
                            <w:i/>
                            <w:w w:val="120"/>
                            <w:sz w:val="20"/>
                          </w:rPr>
                          <w:t>vision2020 </w:t>
                        </w:r>
                        <w:r>
                          <w:rPr>
                            <w:w w:val="120"/>
                            <w:sz w:val="20"/>
                          </w:rPr>
                          <w:t>in their strategies, while others see significant potential for the</w:t>
                        </w:r>
                      </w:p>
                    </w:tc>
                  </w:tr>
                </w:tbl>
                <w:p>
                  <w:pPr>
                    <w:pStyle w:val="BodyText"/>
                  </w:pPr>
                </w:p>
              </w:txbxContent>
            </v:textbox>
          </v:shape>
        </w:pict>
      </w:r>
      <w:r>
        <w:rPr/>
      </w:r>
      <w:r>
        <w:rPr/>
        <w:tab/>
      </w:r>
      <w:r>
        <w:rPr>
          <w:position w:val="1425"/>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position w:val="1425"/>
        </w:rPr>
      </w:r>
    </w:p>
    <w:p>
      <w:pPr>
        <w:spacing w:after="0"/>
        <w:sectPr>
          <w:pgSz w:w="11910" w:h="16840"/>
          <w:pgMar w:header="0" w:footer="600" w:top="1140" w:bottom="800" w:left="0" w:right="0"/>
        </w:sectPr>
      </w:pPr>
    </w:p>
    <w:p>
      <w:pPr>
        <w:pStyle w:val="BodyText"/>
        <w:spacing w:line="242" w:lineRule="exact" w:before="23"/>
        <w:ind w:left="1133"/>
      </w:pPr>
      <w:r>
        <w:rPr/>
        <w:pict>
          <v:rect style="position:absolute;margin-left:12.047pt;margin-top:4.467772pt;width:22.677pt;height:22.677pt;mso-position-horizontal-relative:page;mso-position-vertical-relative:paragraph;z-index:251734016" filled="true" fillcolor="#f9e9c1" stroked="false">
            <v:fill opacity="32768f" type="solid"/>
            <w10:wrap type="none"/>
          </v:rect>
        </w:pict>
      </w:r>
      <w:r>
        <w:rPr/>
        <w:pict>
          <v:group style="position:absolute;margin-left:56.692902pt;margin-top:59.687416pt;width:467.2pt;height:738.2pt;mso-position-horizontal-relative:page;mso-position-vertical-relative:page;z-index:-267688960" coordorigin="1134,1194" coordsize="9344,14764">
            <v:shape style="position:absolute;left:10289;top:1193;width:2;height:14764" coordorigin="10290,1194" coordsize="0,14764" path="m10290,1194l10290,4007m10290,9430l10290,15957e" filled="false" stroked="true" strokeweight="1pt" strokecolor="#868685">
              <v:path arrowok="t"/>
              <v:stroke dashstyle="dot"/>
            </v:shape>
            <v:rect style="position:absolute;left:1133;top:4006;width:9344;height:5424" filled="true" fillcolor="#fcf4e0" stroked="false">
              <v:fill type="solid"/>
            </v:rect>
            <v:shape style="position:absolute;left:1133;top:3996;width:9344;height:5444" coordorigin="1134,3997" coordsize="9344,5444" path="m10478,9420l1134,9420,1134,9440,10478,9440,10478,9420m10478,3997l1134,3997,1134,4017,10478,4017,10478,3997e" filled="true" fillcolor="#ca4f1b" stroked="false">
              <v:path arrowok="t"/>
              <v:fill type="solid"/>
            </v:shape>
            <v:shape style="position:absolute;left:9127;top:4025;width:1351;height:5381" type="#_x0000_t75" stroked="false">
              <v:imagedata r:id="rId47" o:title=""/>
            </v:shape>
            <w10:wrap type="none"/>
          </v:group>
        </w:pict>
      </w:r>
      <w:r>
        <w:rPr>
          <w:w w:val="120"/>
        </w:rPr>
        <w:t>two strategies supporting one another. They are intending to integrate the concept of</w:t>
      </w:r>
    </w:p>
    <w:p>
      <w:pPr>
        <w:spacing w:line="242" w:lineRule="exact" w:before="0"/>
        <w:ind w:left="1133" w:right="0" w:firstLine="0"/>
        <w:jc w:val="left"/>
        <w:rPr>
          <w:sz w:val="20"/>
        </w:rPr>
      </w:pPr>
      <w:r>
        <w:rPr>
          <w:i/>
          <w:w w:val="115"/>
          <w:sz w:val="20"/>
        </w:rPr>
        <w:t>Local Mission Pledges </w:t>
      </w:r>
      <w:r>
        <w:rPr>
          <w:w w:val="115"/>
          <w:sz w:val="20"/>
        </w:rPr>
        <w:t>in their work on LMMR and the revision of pastorate profiles.</w:t>
      </w:r>
    </w:p>
    <w:p>
      <w:pPr>
        <w:pStyle w:val="BodyText"/>
        <w:spacing w:before="7"/>
        <w:rPr>
          <w:sz w:val="19"/>
        </w:rPr>
      </w:pPr>
    </w:p>
    <w:p>
      <w:pPr>
        <w:pStyle w:val="ListParagraph"/>
        <w:numPr>
          <w:ilvl w:val="1"/>
          <w:numId w:val="8"/>
        </w:numPr>
        <w:tabs>
          <w:tab w:pos="1814" w:val="left" w:leader="none"/>
          <w:tab w:pos="1815" w:val="left" w:leader="none"/>
        </w:tabs>
        <w:spacing w:line="235" w:lineRule="auto" w:before="0" w:after="0"/>
        <w:ind w:left="1133" w:right="2284" w:firstLine="0"/>
        <w:jc w:val="left"/>
        <w:rPr>
          <w:sz w:val="20"/>
        </w:rPr>
      </w:pPr>
      <w:r>
        <w:rPr>
          <w:w w:val="120"/>
          <w:sz w:val="20"/>
        </w:rPr>
        <w:t>It is entirely appropriate for each synod to adopt its own approach to mission planning. However, the Mission Committee believes there are already clear benefits in those synods where there is a positive and proactive commitment to integrating their own plans with the </w:t>
      </w:r>
      <w:r>
        <w:rPr>
          <w:i/>
          <w:w w:val="120"/>
          <w:sz w:val="20"/>
        </w:rPr>
        <w:t>vision2020</w:t>
      </w:r>
      <w:r>
        <w:rPr>
          <w:i/>
          <w:spacing w:val="6"/>
          <w:w w:val="120"/>
          <w:sz w:val="20"/>
        </w:rPr>
        <w:t> </w:t>
      </w:r>
      <w:r>
        <w:rPr>
          <w:w w:val="120"/>
          <w:sz w:val="20"/>
        </w:rPr>
        <w:t>process.</w:t>
      </w:r>
    </w:p>
    <w:p>
      <w:pPr>
        <w:pStyle w:val="BodyText"/>
        <w:spacing w:before="11"/>
        <w:rPr>
          <w:sz w:val="19"/>
        </w:rPr>
      </w:pPr>
    </w:p>
    <w:p>
      <w:pPr>
        <w:pStyle w:val="ListParagraph"/>
        <w:numPr>
          <w:ilvl w:val="1"/>
          <w:numId w:val="8"/>
        </w:numPr>
        <w:tabs>
          <w:tab w:pos="1814" w:val="left" w:leader="none"/>
          <w:tab w:pos="1815" w:val="left" w:leader="none"/>
        </w:tabs>
        <w:spacing w:line="235" w:lineRule="auto" w:before="0" w:after="0"/>
        <w:ind w:left="1133" w:right="2452" w:firstLine="0"/>
        <w:jc w:val="left"/>
        <w:rPr>
          <w:sz w:val="20"/>
        </w:rPr>
      </w:pPr>
      <w:r>
        <w:rPr>
          <w:w w:val="120"/>
          <w:sz w:val="20"/>
        </w:rPr>
        <w:t>Without wanting to suggest any form of prescription, the following box is intended</w:t>
      </w:r>
      <w:r>
        <w:rPr>
          <w:spacing w:val="-11"/>
          <w:w w:val="120"/>
          <w:sz w:val="20"/>
        </w:rPr>
        <w:t> </w:t>
      </w:r>
      <w:r>
        <w:rPr>
          <w:w w:val="120"/>
          <w:sz w:val="20"/>
        </w:rPr>
        <w:t>to</w:t>
      </w:r>
      <w:r>
        <w:rPr>
          <w:spacing w:val="-10"/>
          <w:w w:val="120"/>
          <w:sz w:val="20"/>
        </w:rPr>
        <w:t> </w:t>
      </w:r>
      <w:r>
        <w:rPr>
          <w:w w:val="120"/>
          <w:sz w:val="20"/>
        </w:rPr>
        <w:t>indicate</w:t>
      </w:r>
      <w:r>
        <w:rPr>
          <w:spacing w:val="-11"/>
          <w:w w:val="120"/>
          <w:sz w:val="20"/>
        </w:rPr>
        <w:t> </w:t>
      </w:r>
      <w:r>
        <w:rPr>
          <w:w w:val="120"/>
          <w:sz w:val="20"/>
        </w:rPr>
        <w:t>how</w:t>
      </w:r>
      <w:r>
        <w:rPr>
          <w:spacing w:val="-10"/>
          <w:w w:val="120"/>
          <w:sz w:val="20"/>
        </w:rPr>
        <w:t> </w:t>
      </w:r>
      <w:r>
        <w:rPr>
          <w:w w:val="120"/>
          <w:sz w:val="20"/>
        </w:rPr>
        <w:t>a</w:t>
      </w:r>
      <w:r>
        <w:rPr>
          <w:spacing w:val="-10"/>
          <w:w w:val="120"/>
          <w:sz w:val="20"/>
        </w:rPr>
        <w:t> </w:t>
      </w:r>
      <w:r>
        <w:rPr>
          <w:i/>
          <w:w w:val="120"/>
          <w:sz w:val="20"/>
        </w:rPr>
        <w:t>Synod</w:t>
      </w:r>
      <w:r>
        <w:rPr>
          <w:i/>
          <w:spacing w:val="-13"/>
          <w:w w:val="120"/>
          <w:sz w:val="20"/>
        </w:rPr>
        <w:t> </w:t>
      </w:r>
      <w:r>
        <w:rPr>
          <w:i/>
          <w:w w:val="120"/>
          <w:sz w:val="20"/>
        </w:rPr>
        <w:t>Mission</w:t>
      </w:r>
      <w:r>
        <w:rPr>
          <w:i/>
          <w:spacing w:val="-13"/>
          <w:w w:val="120"/>
          <w:sz w:val="20"/>
        </w:rPr>
        <w:t> </w:t>
      </w:r>
      <w:r>
        <w:rPr>
          <w:i/>
          <w:w w:val="120"/>
          <w:sz w:val="20"/>
        </w:rPr>
        <w:t>Strategy</w:t>
      </w:r>
      <w:r>
        <w:rPr>
          <w:i/>
          <w:spacing w:val="-10"/>
          <w:w w:val="120"/>
          <w:sz w:val="20"/>
        </w:rPr>
        <w:t> </w:t>
      </w:r>
      <w:r>
        <w:rPr>
          <w:w w:val="120"/>
          <w:sz w:val="20"/>
        </w:rPr>
        <w:t>can</w:t>
      </w:r>
      <w:r>
        <w:rPr>
          <w:spacing w:val="-10"/>
          <w:w w:val="120"/>
          <w:sz w:val="20"/>
        </w:rPr>
        <w:t> </w:t>
      </w:r>
      <w:r>
        <w:rPr>
          <w:w w:val="120"/>
          <w:sz w:val="20"/>
        </w:rPr>
        <w:t>become</w:t>
      </w:r>
      <w:r>
        <w:rPr>
          <w:spacing w:val="-11"/>
          <w:w w:val="120"/>
          <w:sz w:val="20"/>
        </w:rPr>
        <w:t> </w:t>
      </w:r>
      <w:r>
        <w:rPr>
          <w:w w:val="120"/>
          <w:sz w:val="20"/>
        </w:rPr>
        <w:t>an</w:t>
      </w:r>
      <w:r>
        <w:rPr>
          <w:spacing w:val="-10"/>
          <w:w w:val="120"/>
          <w:sz w:val="20"/>
        </w:rPr>
        <w:t> </w:t>
      </w:r>
      <w:r>
        <w:rPr>
          <w:w w:val="120"/>
          <w:sz w:val="20"/>
        </w:rPr>
        <w:t>effective,</w:t>
      </w:r>
      <w:r>
        <w:rPr>
          <w:spacing w:val="-10"/>
          <w:w w:val="120"/>
          <w:sz w:val="20"/>
        </w:rPr>
        <w:t> </w:t>
      </w:r>
      <w:r>
        <w:rPr>
          <w:w w:val="120"/>
          <w:sz w:val="20"/>
        </w:rPr>
        <w:t>joined-up mission planning</w:t>
      </w:r>
      <w:r>
        <w:rPr>
          <w:spacing w:val="4"/>
          <w:w w:val="120"/>
          <w:sz w:val="20"/>
        </w:rPr>
        <w:t> </w:t>
      </w:r>
      <w:r>
        <w:rPr>
          <w:w w:val="120"/>
          <w:sz w:val="20"/>
        </w:rPr>
        <w:t>tool.</w:t>
      </w:r>
    </w:p>
    <w:p>
      <w:pPr>
        <w:pStyle w:val="BodyText"/>
        <w:spacing w:before="2"/>
        <w:rPr>
          <w:sz w:val="32"/>
        </w:rPr>
      </w:pPr>
    </w:p>
    <w:p>
      <w:pPr>
        <w:spacing w:before="0"/>
        <w:ind w:left="1474" w:right="0" w:firstLine="0"/>
        <w:jc w:val="left"/>
        <w:rPr>
          <w:sz w:val="29"/>
        </w:rPr>
      </w:pPr>
      <w:r>
        <w:rPr>
          <w:color w:val="CA4F1B"/>
          <w:w w:val="115"/>
          <w:sz w:val="29"/>
        </w:rPr>
        <w:t>Some elements of a </w:t>
      </w:r>
      <w:r>
        <w:rPr>
          <w:i/>
          <w:color w:val="CA4F1B"/>
          <w:spacing w:val="-5"/>
          <w:w w:val="115"/>
          <w:sz w:val="29"/>
        </w:rPr>
        <w:t>Synod </w:t>
      </w:r>
      <w:r>
        <w:rPr>
          <w:i/>
          <w:color w:val="CA4F1B"/>
          <w:spacing w:val="-4"/>
          <w:w w:val="115"/>
          <w:sz w:val="29"/>
        </w:rPr>
        <w:t>Mission Strategy </w:t>
      </w:r>
      <w:r>
        <w:rPr>
          <w:color w:val="CA4F1B"/>
          <w:spacing w:val="-3"/>
          <w:w w:val="115"/>
          <w:sz w:val="29"/>
        </w:rPr>
        <w:t>might</w:t>
      </w:r>
      <w:r>
        <w:rPr>
          <w:color w:val="CA4F1B"/>
          <w:spacing w:val="67"/>
          <w:w w:val="115"/>
          <w:sz w:val="29"/>
        </w:rPr>
        <w:t> </w:t>
      </w:r>
      <w:r>
        <w:rPr>
          <w:color w:val="CA4F1B"/>
          <w:spacing w:val="-4"/>
          <w:w w:val="115"/>
          <w:sz w:val="29"/>
        </w:rPr>
        <w:t>include:</w:t>
      </w:r>
    </w:p>
    <w:p>
      <w:pPr>
        <w:pStyle w:val="ListParagraph"/>
        <w:numPr>
          <w:ilvl w:val="2"/>
          <w:numId w:val="8"/>
        </w:numPr>
        <w:tabs>
          <w:tab w:pos="1815" w:val="left" w:leader="none"/>
        </w:tabs>
        <w:spacing w:line="235" w:lineRule="auto" w:before="216" w:after="0"/>
        <w:ind w:left="1814" w:right="2799" w:hanging="341"/>
        <w:jc w:val="left"/>
        <w:rPr>
          <w:sz w:val="20"/>
        </w:rPr>
      </w:pPr>
      <w:r>
        <w:rPr>
          <w:w w:val="120"/>
          <w:sz w:val="20"/>
        </w:rPr>
        <w:t>A </w:t>
      </w:r>
      <w:r>
        <w:rPr>
          <w:spacing w:val="5"/>
          <w:w w:val="120"/>
          <w:sz w:val="20"/>
        </w:rPr>
        <w:t>series </w:t>
      </w:r>
      <w:r>
        <w:rPr>
          <w:spacing w:val="3"/>
          <w:w w:val="120"/>
          <w:sz w:val="20"/>
        </w:rPr>
        <w:t>of </w:t>
      </w:r>
      <w:r>
        <w:rPr>
          <w:spacing w:val="4"/>
          <w:w w:val="120"/>
          <w:sz w:val="20"/>
        </w:rPr>
        <w:t>clear mission </w:t>
      </w:r>
      <w:r>
        <w:rPr>
          <w:spacing w:val="5"/>
          <w:w w:val="120"/>
          <w:sz w:val="20"/>
        </w:rPr>
        <w:t>priorities </w:t>
      </w:r>
      <w:r>
        <w:rPr>
          <w:spacing w:val="3"/>
          <w:w w:val="120"/>
          <w:sz w:val="20"/>
        </w:rPr>
        <w:t>for </w:t>
      </w:r>
      <w:r>
        <w:rPr>
          <w:spacing w:val="4"/>
          <w:w w:val="120"/>
          <w:sz w:val="20"/>
        </w:rPr>
        <w:t>the </w:t>
      </w:r>
      <w:r>
        <w:rPr>
          <w:spacing w:val="5"/>
          <w:w w:val="120"/>
          <w:sz w:val="20"/>
        </w:rPr>
        <w:t>synod </w:t>
      </w:r>
      <w:r>
        <w:rPr>
          <w:spacing w:val="4"/>
          <w:w w:val="120"/>
          <w:sz w:val="20"/>
        </w:rPr>
        <w:t>with explicit reference </w:t>
      </w:r>
      <w:r>
        <w:rPr>
          <w:w w:val="120"/>
          <w:sz w:val="20"/>
        </w:rPr>
        <w:t>to </w:t>
      </w:r>
      <w:r>
        <w:rPr>
          <w:spacing w:val="4"/>
          <w:w w:val="120"/>
          <w:sz w:val="20"/>
        </w:rPr>
        <w:t>their relationship with the wider </w:t>
      </w:r>
      <w:r>
        <w:rPr>
          <w:i/>
          <w:spacing w:val="3"/>
          <w:w w:val="120"/>
          <w:sz w:val="20"/>
        </w:rPr>
        <w:t>vision2020</w:t>
      </w:r>
      <w:r>
        <w:rPr>
          <w:i/>
          <w:spacing w:val="58"/>
          <w:w w:val="120"/>
          <w:sz w:val="20"/>
        </w:rPr>
        <w:t> </w:t>
      </w:r>
      <w:r>
        <w:rPr>
          <w:spacing w:val="6"/>
          <w:w w:val="120"/>
          <w:sz w:val="20"/>
        </w:rPr>
        <w:t>framework.</w:t>
      </w:r>
    </w:p>
    <w:p>
      <w:pPr>
        <w:pStyle w:val="BodyText"/>
        <w:spacing w:before="9"/>
        <w:rPr>
          <w:sz w:val="19"/>
        </w:rPr>
      </w:pPr>
    </w:p>
    <w:p>
      <w:pPr>
        <w:pStyle w:val="ListParagraph"/>
        <w:numPr>
          <w:ilvl w:val="2"/>
          <w:numId w:val="8"/>
        </w:numPr>
        <w:tabs>
          <w:tab w:pos="1815" w:val="left" w:leader="none"/>
        </w:tabs>
        <w:spacing w:line="235" w:lineRule="auto" w:before="0" w:after="0"/>
        <w:ind w:left="1814" w:right="2861" w:hanging="341"/>
        <w:jc w:val="left"/>
        <w:rPr>
          <w:sz w:val="20"/>
        </w:rPr>
      </w:pPr>
      <w:r>
        <w:rPr>
          <w:w w:val="120"/>
          <w:sz w:val="20"/>
        </w:rPr>
        <w:t>A </w:t>
      </w:r>
      <w:r>
        <w:rPr>
          <w:spacing w:val="5"/>
          <w:w w:val="120"/>
          <w:sz w:val="20"/>
        </w:rPr>
        <w:t>series </w:t>
      </w:r>
      <w:r>
        <w:rPr>
          <w:spacing w:val="3"/>
          <w:w w:val="120"/>
          <w:sz w:val="20"/>
        </w:rPr>
        <w:t>of </w:t>
      </w:r>
      <w:r>
        <w:rPr>
          <w:spacing w:val="6"/>
          <w:w w:val="120"/>
          <w:sz w:val="20"/>
        </w:rPr>
        <w:t>synod-level </w:t>
      </w:r>
      <w:r>
        <w:rPr>
          <w:spacing w:val="4"/>
          <w:w w:val="120"/>
          <w:sz w:val="20"/>
        </w:rPr>
        <w:t>indicators which can </w:t>
      </w:r>
      <w:r>
        <w:rPr>
          <w:spacing w:val="3"/>
          <w:w w:val="120"/>
          <w:sz w:val="20"/>
        </w:rPr>
        <w:t>be used </w:t>
      </w:r>
      <w:r>
        <w:rPr>
          <w:w w:val="120"/>
          <w:sz w:val="20"/>
        </w:rPr>
        <w:t>to </w:t>
      </w:r>
      <w:r>
        <w:rPr>
          <w:spacing w:val="4"/>
          <w:w w:val="120"/>
          <w:sz w:val="20"/>
        </w:rPr>
        <w:t>celebrate and </w:t>
      </w:r>
      <w:r>
        <w:rPr>
          <w:spacing w:val="6"/>
          <w:w w:val="120"/>
          <w:sz w:val="20"/>
        </w:rPr>
        <w:t>reflect </w:t>
      </w:r>
      <w:r>
        <w:rPr>
          <w:spacing w:val="3"/>
          <w:w w:val="120"/>
          <w:sz w:val="20"/>
        </w:rPr>
        <w:t>on </w:t>
      </w:r>
      <w:r>
        <w:rPr>
          <w:spacing w:val="5"/>
          <w:w w:val="120"/>
          <w:sz w:val="20"/>
        </w:rPr>
        <w:t>progress </w:t>
      </w:r>
      <w:r>
        <w:rPr>
          <w:spacing w:val="2"/>
          <w:w w:val="120"/>
          <w:sz w:val="20"/>
        </w:rPr>
        <w:t>in </w:t>
      </w:r>
      <w:r>
        <w:rPr>
          <w:spacing w:val="4"/>
          <w:w w:val="120"/>
          <w:sz w:val="20"/>
        </w:rPr>
        <w:t>relation </w:t>
      </w:r>
      <w:r>
        <w:rPr>
          <w:w w:val="120"/>
          <w:sz w:val="20"/>
        </w:rPr>
        <w:t>to </w:t>
      </w:r>
      <w:r>
        <w:rPr>
          <w:spacing w:val="4"/>
          <w:w w:val="120"/>
          <w:sz w:val="20"/>
        </w:rPr>
        <w:t>mission </w:t>
      </w:r>
      <w:r>
        <w:rPr>
          <w:spacing w:val="5"/>
          <w:w w:val="120"/>
          <w:sz w:val="20"/>
        </w:rPr>
        <w:t>priorities </w:t>
      </w:r>
      <w:r>
        <w:rPr>
          <w:spacing w:val="4"/>
          <w:w w:val="120"/>
          <w:sz w:val="20"/>
        </w:rPr>
        <w:t>and might </w:t>
      </w:r>
      <w:r>
        <w:rPr>
          <w:spacing w:val="5"/>
          <w:w w:val="120"/>
          <w:sz w:val="20"/>
        </w:rPr>
        <w:t>act </w:t>
      </w:r>
      <w:r>
        <w:rPr>
          <w:spacing w:val="2"/>
          <w:w w:val="120"/>
          <w:sz w:val="20"/>
        </w:rPr>
        <w:t>as </w:t>
      </w:r>
      <w:r>
        <w:rPr>
          <w:w w:val="120"/>
          <w:sz w:val="20"/>
        </w:rPr>
        <w:t>a </w:t>
      </w:r>
      <w:r>
        <w:rPr>
          <w:spacing w:val="3"/>
          <w:w w:val="120"/>
          <w:sz w:val="20"/>
        </w:rPr>
        <w:t>‘covenant’ </w:t>
      </w:r>
      <w:r>
        <w:rPr>
          <w:spacing w:val="5"/>
          <w:w w:val="120"/>
          <w:sz w:val="20"/>
        </w:rPr>
        <w:t>between synods </w:t>
      </w:r>
      <w:r>
        <w:rPr>
          <w:spacing w:val="4"/>
          <w:w w:val="120"/>
          <w:sz w:val="20"/>
        </w:rPr>
        <w:t>and with the wider </w:t>
      </w:r>
      <w:r>
        <w:rPr>
          <w:spacing w:val="5"/>
          <w:w w:val="120"/>
          <w:sz w:val="20"/>
        </w:rPr>
        <w:t>Assembly </w:t>
      </w:r>
      <w:r>
        <w:rPr>
          <w:spacing w:val="2"/>
          <w:w w:val="120"/>
          <w:sz w:val="20"/>
        </w:rPr>
        <w:t>(these </w:t>
      </w:r>
      <w:r>
        <w:rPr>
          <w:spacing w:val="4"/>
          <w:w w:val="120"/>
          <w:sz w:val="20"/>
        </w:rPr>
        <w:t>indicators </w:t>
      </w:r>
      <w:r>
        <w:rPr>
          <w:spacing w:val="3"/>
          <w:w w:val="120"/>
          <w:sz w:val="20"/>
        </w:rPr>
        <w:t>could </w:t>
      </w:r>
      <w:r>
        <w:rPr>
          <w:spacing w:val="4"/>
          <w:w w:val="120"/>
          <w:sz w:val="20"/>
        </w:rPr>
        <w:t>simply be </w:t>
      </w:r>
      <w:r>
        <w:rPr>
          <w:w w:val="120"/>
          <w:sz w:val="20"/>
        </w:rPr>
        <w:t>a </w:t>
      </w:r>
      <w:r>
        <w:rPr>
          <w:spacing w:val="2"/>
          <w:w w:val="120"/>
          <w:sz w:val="20"/>
        </w:rPr>
        <w:t>‘collation’ </w:t>
      </w:r>
      <w:r>
        <w:rPr>
          <w:spacing w:val="3"/>
          <w:w w:val="120"/>
          <w:sz w:val="20"/>
        </w:rPr>
        <w:t>of all </w:t>
      </w:r>
      <w:r>
        <w:rPr>
          <w:spacing w:val="4"/>
          <w:w w:val="120"/>
          <w:sz w:val="20"/>
        </w:rPr>
        <w:t>the </w:t>
      </w:r>
      <w:r>
        <w:rPr>
          <w:i/>
          <w:spacing w:val="3"/>
          <w:w w:val="120"/>
          <w:sz w:val="20"/>
        </w:rPr>
        <w:t>Local Mission</w:t>
      </w:r>
      <w:r>
        <w:rPr>
          <w:i/>
          <w:spacing w:val="50"/>
          <w:w w:val="120"/>
          <w:sz w:val="20"/>
        </w:rPr>
        <w:t> </w:t>
      </w:r>
      <w:r>
        <w:rPr>
          <w:i/>
          <w:spacing w:val="2"/>
          <w:w w:val="120"/>
          <w:sz w:val="20"/>
        </w:rPr>
        <w:t>Pledges</w:t>
      </w:r>
      <w:r>
        <w:rPr>
          <w:spacing w:val="2"/>
          <w:w w:val="120"/>
          <w:sz w:val="20"/>
        </w:rPr>
        <w:t>).</w:t>
      </w:r>
    </w:p>
    <w:p>
      <w:pPr>
        <w:pStyle w:val="BodyText"/>
        <w:spacing w:before="11"/>
        <w:rPr>
          <w:sz w:val="19"/>
        </w:rPr>
      </w:pPr>
    </w:p>
    <w:p>
      <w:pPr>
        <w:pStyle w:val="ListParagraph"/>
        <w:numPr>
          <w:ilvl w:val="2"/>
          <w:numId w:val="8"/>
        </w:numPr>
        <w:tabs>
          <w:tab w:pos="1815" w:val="left" w:leader="none"/>
        </w:tabs>
        <w:spacing w:line="235" w:lineRule="auto" w:before="0" w:after="0"/>
        <w:ind w:left="1814" w:right="2726" w:hanging="341"/>
        <w:jc w:val="left"/>
        <w:rPr>
          <w:sz w:val="20"/>
        </w:rPr>
      </w:pPr>
      <w:r>
        <w:rPr>
          <w:w w:val="120"/>
          <w:sz w:val="20"/>
        </w:rPr>
        <w:t>A </w:t>
      </w:r>
      <w:r>
        <w:rPr>
          <w:spacing w:val="4"/>
          <w:w w:val="120"/>
          <w:sz w:val="20"/>
        </w:rPr>
        <w:t>clear relationship </w:t>
      </w:r>
      <w:r>
        <w:rPr>
          <w:spacing w:val="5"/>
          <w:w w:val="120"/>
          <w:sz w:val="20"/>
        </w:rPr>
        <w:t>between synod </w:t>
      </w:r>
      <w:r>
        <w:rPr>
          <w:spacing w:val="4"/>
          <w:w w:val="120"/>
          <w:sz w:val="20"/>
        </w:rPr>
        <w:t>mission </w:t>
      </w:r>
      <w:r>
        <w:rPr>
          <w:spacing w:val="5"/>
          <w:w w:val="120"/>
          <w:sz w:val="20"/>
        </w:rPr>
        <w:t>priorities </w:t>
      </w:r>
      <w:r>
        <w:rPr>
          <w:spacing w:val="4"/>
          <w:w w:val="120"/>
          <w:sz w:val="20"/>
        </w:rPr>
        <w:t>and the </w:t>
      </w:r>
      <w:r>
        <w:rPr>
          <w:spacing w:val="5"/>
          <w:w w:val="120"/>
          <w:sz w:val="20"/>
        </w:rPr>
        <w:t>priorities </w:t>
      </w:r>
      <w:r>
        <w:rPr>
          <w:spacing w:val="3"/>
          <w:w w:val="120"/>
          <w:sz w:val="20"/>
        </w:rPr>
        <w:t>of </w:t>
      </w:r>
      <w:r>
        <w:rPr>
          <w:spacing w:val="5"/>
          <w:w w:val="120"/>
          <w:sz w:val="20"/>
        </w:rPr>
        <w:t>local </w:t>
      </w:r>
      <w:r>
        <w:rPr>
          <w:spacing w:val="4"/>
          <w:w w:val="120"/>
          <w:sz w:val="20"/>
        </w:rPr>
        <w:t>churches </w:t>
      </w:r>
      <w:r>
        <w:rPr>
          <w:w w:val="120"/>
          <w:sz w:val="20"/>
        </w:rPr>
        <w:t>– </w:t>
      </w:r>
      <w:r>
        <w:rPr>
          <w:spacing w:val="2"/>
          <w:w w:val="120"/>
          <w:sz w:val="20"/>
        </w:rPr>
        <w:t>as </w:t>
      </w:r>
      <w:r>
        <w:rPr>
          <w:spacing w:val="5"/>
          <w:w w:val="120"/>
          <w:sz w:val="20"/>
        </w:rPr>
        <w:t>expressed </w:t>
      </w:r>
      <w:r>
        <w:rPr>
          <w:spacing w:val="4"/>
          <w:w w:val="120"/>
          <w:sz w:val="20"/>
        </w:rPr>
        <w:t>through their </w:t>
      </w:r>
      <w:r>
        <w:rPr>
          <w:i/>
          <w:spacing w:val="3"/>
          <w:w w:val="120"/>
          <w:sz w:val="20"/>
        </w:rPr>
        <w:t>Local Mission</w:t>
      </w:r>
      <w:r>
        <w:rPr>
          <w:i/>
          <w:spacing w:val="34"/>
          <w:w w:val="120"/>
          <w:sz w:val="20"/>
        </w:rPr>
        <w:t> </w:t>
      </w:r>
      <w:r>
        <w:rPr>
          <w:i/>
          <w:spacing w:val="3"/>
          <w:w w:val="120"/>
          <w:sz w:val="20"/>
        </w:rPr>
        <w:t>Pledges</w:t>
      </w:r>
      <w:r>
        <w:rPr>
          <w:spacing w:val="3"/>
          <w:w w:val="120"/>
          <w:sz w:val="20"/>
        </w:rPr>
        <w:t>.</w:t>
      </w:r>
    </w:p>
    <w:p>
      <w:pPr>
        <w:pStyle w:val="BodyText"/>
        <w:spacing w:before="10"/>
        <w:rPr>
          <w:sz w:val="19"/>
        </w:rPr>
      </w:pPr>
    </w:p>
    <w:p>
      <w:pPr>
        <w:pStyle w:val="ListParagraph"/>
        <w:numPr>
          <w:ilvl w:val="2"/>
          <w:numId w:val="8"/>
        </w:numPr>
        <w:tabs>
          <w:tab w:pos="1814" w:val="left" w:leader="none"/>
        </w:tabs>
        <w:spacing w:line="235" w:lineRule="auto" w:before="0" w:after="0"/>
        <w:ind w:left="1813" w:right="4135" w:hanging="341"/>
        <w:jc w:val="left"/>
        <w:rPr>
          <w:sz w:val="20"/>
        </w:rPr>
      </w:pPr>
      <w:r>
        <w:rPr>
          <w:w w:val="120"/>
          <w:sz w:val="20"/>
        </w:rPr>
        <w:t>A </w:t>
      </w:r>
      <w:r>
        <w:rPr>
          <w:spacing w:val="4"/>
          <w:w w:val="120"/>
          <w:sz w:val="20"/>
        </w:rPr>
        <w:t>clear relationship </w:t>
      </w:r>
      <w:r>
        <w:rPr>
          <w:spacing w:val="5"/>
          <w:w w:val="120"/>
          <w:sz w:val="20"/>
        </w:rPr>
        <w:t>between synod </w:t>
      </w:r>
      <w:r>
        <w:rPr>
          <w:spacing w:val="4"/>
          <w:w w:val="120"/>
          <w:sz w:val="20"/>
        </w:rPr>
        <w:t>mission </w:t>
      </w:r>
      <w:r>
        <w:rPr>
          <w:spacing w:val="5"/>
          <w:w w:val="120"/>
          <w:sz w:val="20"/>
        </w:rPr>
        <w:t>priorities </w:t>
      </w:r>
      <w:r>
        <w:rPr>
          <w:spacing w:val="4"/>
          <w:w w:val="120"/>
          <w:sz w:val="20"/>
        </w:rPr>
        <w:t>and </w:t>
      </w:r>
      <w:r>
        <w:rPr>
          <w:spacing w:val="5"/>
          <w:w w:val="120"/>
          <w:sz w:val="20"/>
        </w:rPr>
        <w:t>deployment</w:t>
      </w:r>
      <w:r>
        <w:rPr>
          <w:spacing w:val="14"/>
          <w:w w:val="120"/>
          <w:sz w:val="20"/>
        </w:rPr>
        <w:t> </w:t>
      </w:r>
      <w:r>
        <w:rPr>
          <w:spacing w:val="4"/>
          <w:w w:val="120"/>
          <w:sz w:val="20"/>
        </w:rPr>
        <w:t>planning.</w:t>
      </w:r>
    </w:p>
    <w:p>
      <w:pPr>
        <w:pStyle w:val="BodyText"/>
        <w:spacing w:before="9"/>
        <w:rPr>
          <w:sz w:val="19"/>
        </w:rPr>
      </w:pPr>
    </w:p>
    <w:p>
      <w:pPr>
        <w:pStyle w:val="ListParagraph"/>
        <w:numPr>
          <w:ilvl w:val="2"/>
          <w:numId w:val="8"/>
        </w:numPr>
        <w:tabs>
          <w:tab w:pos="1814" w:val="left" w:leader="none"/>
        </w:tabs>
        <w:spacing w:line="235" w:lineRule="auto" w:before="0" w:after="0"/>
        <w:ind w:left="1813" w:right="3444" w:hanging="341"/>
        <w:jc w:val="left"/>
        <w:rPr>
          <w:sz w:val="20"/>
        </w:rPr>
      </w:pPr>
      <w:r>
        <w:rPr>
          <w:w w:val="120"/>
          <w:sz w:val="20"/>
        </w:rPr>
        <w:t>A </w:t>
      </w:r>
      <w:r>
        <w:rPr>
          <w:spacing w:val="4"/>
          <w:w w:val="120"/>
          <w:sz w:val="20"/>
        </w:rPr>
        <w:t>clear relationship </w:t>
      </w:r>
      <w:r>
        <w:rPr>
          <w:spacing w:val="5"/>
          <w:w w:val="120"/>
          <w:sz w:val="20"/>
        </w:rPr>
        <w:t>between synod </w:t>
      </w:r>
      <w:r>
        <w:rPr>
          <w:spacing w:val="4"/>
          <w:w w:val="120"/>
          <w:sz w:val="20"/>
        </w:rPr>
        <w:t>mission </w:t>
      </w:r>
      <w:r>
        <w:rPr>
          <w:spacing w:val="5"/>
          <w:w w:val="120"/>
          <w:sz w:val="20"/>
        </w:rPr>
        <w:t>priorities </w:t>
      </w:r>
      <w:r>
        <w:rPr>
          <w:spacing w:val="4"/>
          <w:w w:val="120"/>
          <w:sz w:val="20"/>
        </w:rPr>
        <w:t>and </w:t>
      </w:r>
      <w:r>
        <w:rPr>
          <w:spacing w:val="5"/>
          <w:w w:val="120"/>
          <w:sz w:val="20"/>
        </w:rPr>
        <w:t>synod personnel, programmes, training </w:t>
      </w:r>
      <w:r>
        <w:rPr>
          <w:spacing w:val="4"/>
          <w:w w:val="120"/>
          <w:sz w:val="20"/>
        </w:rPr>
        <w:t>and</w:t>
      </w:r>
      <w:r>
        <w:rPr>
          <w:spacing w:val="44"/>
          <w:w w:val="120"/>
          <w:sz w:val="20"/>
        </w:rPr>
        <w:t> </w:t>
      </w:r>
      <w:r>
        <w:rPr>
          <w:spacing w:val="4"/>
          <w:w w:val="120"/>
          <w:sz w:val="20"/>
        </w:rPr>
        <w:t>resources.</w:t>
      </w:r>
    </w:p>
    <w:p>
      <w:pPr>
        <w:pStyle w:val="BodyText"/>
        <w:spacing w:before="6"/>
        <w:rPr>
          <w:sz w:val="19"/>
        </w:rPr>
      </w:pPr>
    </w:p>
    <w:p>
      <w:pPr>
        <w:pStyle w:val="ListParagraph"/>
        <w:numPr>
          <w:ilvl w:val="2"/>
          <w:numId w:val="8"/>
        </w:numPr>
        <w:tabs>
          <w:tab w:pos="1815" w:val="left" w:leader="none"/>
        </w:tabs>
        <w:spacing w:line="240" w:lineRule="auto" w:before="0" w:after="0"/>
        <w:ind w:left="1814" w:right="0" w:hanging="342"/>
        <w:jc w:val="left"/>
        <w:rPr>
          <w:sz w:val="20"/>
        </w:rPr>
      </w:pPr>
      <w:r>
        <w:rPr>
          <w:w w:val="120"/>
          <w:sz w:val="20"/>
        </w:rPr>
        <w:t>A </w:t>
      </w:r>
      <w:r>
        <w:rPr>
          <w:spacing w:val="5"/>
          <w:w w:val="120"/>
          <w:sz w:val="20"/>
        </w:rPr>
        <w:t>regularly </w:t>
      </w:r>
      <w:r>
        <w:rPr>
          <w:spacing w:val="4"/>
          <w:w w:val="120"/>
          <w:sz w:val="20"/>
        </w:rPr>
        <w:t>updated </w:t>
      </w:r>
      <w:r>
        <w:rPr>
          <w:spacing w:val="5"/>
          <w:w w:val="120"/>
          <w:sz w:val="20"/>
        </w:rPr>
        <w:t>synod </w:t>
      </w:r>
      <w:r>
        <w:rPr>
          <w:spacing w:val="4"/>
          <w:w w:val="120"/>
          <w:sz w:val="20"/>
        </w:rPr>
        <w:t>mission </w:t>
      </w:r>
      <w:r>
        <w:rPr>
          <w:spacing w:val="5"/>
          <w:w w:val="120"/>
          <w:sz w:val="20"/>
        </w:rPr>
        <w:t>action </w:t>
      </w:r>
      <w:r>
        <w:rPr>
          <w:spacing w:val="4"/>
          <w:w w:val="120"/>
          <w:sz w:val="20"/>
        </w:rPr>
        <w:t>plan.</w:t>
      </w:r>
    </w:p>
    <w:p>
      <w:pPr>
        <w:pStyle w:val="BodyText"/>
        <w:rPr>
          <w:sz w:val="24"/>
        </w:rPr>
      </w:pPr>
    </w:p>
    <w:p>
      <w:pPr>
        <w:pStyle w:val="BodyText"/>
        <w:spacing w:before="10"/>
        <w:rPr>
          <w:sz w:val="32"/>
        </w:rPr>
      </w:pPr>
    </w:p>
    <w:p>
      <w:pPr>
        <w:numPr>
          <w:ilvl w:val="0"/>
          <w:numId w:val="9"/>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Assembly</w:t>
      </w:r>
      <w:r>
        <w:rPr>
          <w:rFonts w:ascii="Stone Sans II ITC Std Bk"/>
          <w:b/>
          <w:spacing w:val="-2"/>
          <w:w w:val="115"/>
          <w:sz w:val="21"/>
        </w:rPr>
        <w:t> </w:t>
      </w:r>
      <w:r>
        <w:rPr>
          <w:rFonts w:ascii="Stone Sans II ITC Std Bk"/>
          <w:b/>
          <w:w w:val="115"/>
          <w:sz w:val="21"/>
        </w:rPr>
        <w:t>Framework</w:t>
      </w:r>
    </w:p>
    <w:p>
      <w:pPr>
        <w:pStyle w:val="ListParagraph"/>
        <w:numPr>
          <w:ilvl w:val="1"/>
          <w:numId w:val="9"/>
        </w:numPr>
        <w:tabs>
          <w:tab w:pos="1814" w:val="left" w:leader="none"/>
          <w:tab w:pos="1815" w:val="left" w:leader="none"/>
        </w:tabs>
        <w:spacing w:line="235" w:lineRule="auto" w:before="223" w:after="0"/>
        <w:ind w:left="1134" w:right="2182" w:hanging="1"/>
        <w:jc w:val="left"/>
        <w:rPr>
          <w:sz w:val="20"/>
        </w:rPr>
      </w:pPr>
      <w:r>
        <w:rPr>
          <w:spacing w:val="2"/>
          <w:w w:val="120"/>
          <w:sz w:val="20"/>
        </w:rPr>
        <w:t>Clearly </w:t>
      </w:r>
      <w:r>
        <w:rPr>
          <w:w w:val="120"/>
          <w:sz w:val="20"/>
        </w:rPr>
        <w:t>the </w:t>
      </w:r>
      <w:r>
        <w:rPr>
          <w:i/>
          <w:w w:val="120"/>
          <w:sz w:val="20"/>
        </w:rPr>
        <w:t>vision2020 </w:t>
      </w:r>
      <w:r>
        <w:rPr>
          <w:spacing w:val="2"/>
          <w:w w:val="120"/>
          <w:sz w:val="20"/>
        </w:rPr>
        <w:t>framework </w:t>
      </w:r>
      <w:r>
        <w:rPr>
          <w:w w:val="120"/>
          <w:sz w:val="20"/>
        </w:rPr>
        <w:t>also has significant implications for the URC  as a whole. At the </w:t>
      </w:r>
      <w:r>
        <w:rPr>
          <w:spacing w:val="2"/>
          <w:w w:val="120"/>
          <w:sz w:val="20"/>
        </w:rPr>
        <w:t>simplest </w:t>
      </w:r>
      <w:r>
        <w:rPr>
          <w:w w:val="120"/>
          <w:sz w:val="20"/>
        </w:rPr>
        <w:t>level, </w:t>
      </w:r>
      <w:r>
        <w:rPr>
          <w:i/>
          <w:w w:val="120"/>
          <w:sz w:val="20"/>
        </w:rPr>
        <w:t>vision2020 </w:t>
      </w:r>
      <w:r>
        <w:rPr>
          <w:w w:val="120"/>
          <w:sz w:val="20"/>
        </w:rPr>
        <w:t>provides a </w:t>
      </w:r>
      <w:r>
        <w:rPr>
          <w:spacing w:val="2"/>
          <w:w w:val="120"/>
          <w:sz w:val="20"/>
        </w:rPr>
        <w:t>framework </w:t>
      </w:r>
      <w:r>
        <w:rPr>
          <w:w w:val="120"/>
          <w:sz w:val="20"/>
        </w:rPr>
        <w:t>or context for the work of the Mission Committee. </w:t>
      </w:r>
      <w:r>
        <w:rPr>
          <w:spacing w:val="4"/>
          <w:w w:val="120"/>
          <w:sz w:val="20"/>
        </w:rPr>
        <w:t>As </w:t>
      </w:r>
      <w:r>
        <w:rPr>
          <w:w w:val="120"/>
          <w:sz w:val="20"/>
        </w:rPr>
        <w:t>we move away </w:t>
      </w:r>
      <w:r>
        <w:rPr>
          <w:spacing w:val="2"/>
          <w:w w:val="120"/>
          <w:sz w:val="20"/>
        </w:rPr>
        <w:t>from </w:t>
      </w:r>
      <w:r>
        <w:rPr>
          <w:w w:val="120"/>
          <w:sz w:val="20"/>
        </w:rPr>
        <w:t>the old committee </w:t>
      </w:r>
      <w:r>
        <w:rPr>
          <w:spacing w:val="3"/>
          <w:w w:val="120"/>
          <w:sz w:val="20"/>
        </w:rPr>
        <w:t>structures </w:t>
      </w:r>
      <w:r>
        <w:rPr>
          <w:w w:val="120"/>
          <w:sz w:val="20"/>
        </w:rPr>
        <w:t>the </w:t>
      </w:r>
      <w:r>
        <w:rPr>
          <w:spacing w:val="2"/>
          <w:w w:val="120"/>
          <w:sz w:val="20"/>
        </w:rPr>
        <w:t>themes </w:t>
      </w:r>
      <w:r>
        <w:rPr>
          <w:w w:val="120"/>
          <w:sz w:val="20"/>
        </w:rPr>
        <w:t>of the </w:t>
      </w:r>
      <w:r>
        <w:rPr>
          <w:spacing w:val="2"/>
          <w:w w:val="120"/>
          <w:sz w:val="20"/>
        </w:rPr>
        <w:t>statements need </w:t>
      </w:r>
      <w:r>
        <w:rPr>
          <w:w w:val="120"/>
          <w:sz w:val="20"/>
        </w:rPr>
        <w:t>to guide the work of the Mission </w:t>
      </w:r>
      <w:r>
        <w:rPr>
          <w:spacing w:val="-3"/>
          <w:w w:val="120"/>
          <w:sz w:val="20"/>
        </w:rPr>
        <w:t>Team </w:t>
      </w:r>
      <w:r>
        <w:rPr>
          <w:w w:val="120"/>
          <w:sz w:val="20"/>
        </w:rPr>
        <w:t>at Church House. This will involve Mission Committee – </w:t>
      </w:r>
      <w:r>
        <w:rPr>
          <w:spacing w:val="2"/>
          <w:w w:val="120"/>
          <w:sz w:val="20"/>
        </w:rPr>
        <w:t>informed </w:t>
      </w:r>
      <w:r>
        <w:rPr>
          <w:w w:val="120"/>
          <w:sz w:val="20"/>
        </w:rPr>
        <w:t>by </w:t>
      </w:r>
      <w:r>
        <w:rPr>
          <w:spacing w:val="2"/>
          <w:w w:val="120"/>
          <w:sz w:val="20"/>
        </w:rPr>
        <w:t>synods </w:t>
      </w:r>
      <w:r>
        <w:rPr>
          <w:w w:val="120"/>
          <w:sz w:val="20"/>
        </w:rPr>
        <w:t>and </w:t>
      </w:r>
      <w:r>
        <w:rPr>
          <w:spacing w:val="2"/>
          <w:w w:val="120"/>
          <w:sz w:val="20"/>
        </w:rPr>
        <w:t>local </w:t>
      </w:r>
      <w:r>
        <w:rPr>
          <w:w w:val="120"/>
          <w:sz w:val="20"/>
        </w:rPr>
        <w:t>church </w:t>
      </w:r>
      <w:r>
        <w:rPr>
          <w:spacing w:val="2"/>
          <w:w w:val="120"/>
          <w:sz w:val="20"/>
        </w:rPr>
        <w:t>experiences </w:t>
      </w:r>
      <w:r>
        <w:rPr>
          <w:w w:val="120"/>
          <w:sz w:val="20"/>
        </w:rPr>
        <w:t>– reshaping the Mission </w:t>
      </w:r>
      <w:r>
        <w:rPr>
          <w:spacing w:val="-3"/>
          <w:w w:val="120"/>
          <w:sz w:val="20"/>
        </w:rPr>
        <w:t>Team </w:t>
      </w:r>
      <w:r>
        <w:rPr>
          <w:w w:val="120"/>
          <w:sz w:val="20"/>
        </w:rPr>
        <w:t>work </w:t>
      </w:r>
      <w:r>
        <w:rPr>
          <w:spacing w:val="2"/>
          <w:w w:val="120"/>
          <w:sz w:val="20"/>
        </w:rPr>
        <w:t>programme </w:t>
      </w:r>
      <w:r>
        <w:rPr>
          <w:w w:val="120"/>
          <w:sz w:val="20"/>
        </w:rPr>
        <w:t>and introducing new </w:t>
      </w:r>
      <w:r>
        <w:rPr>
          <w:spacing w:val="2"/>
          <w:w w:val="120"/>
          <w:sz w:val="20"/>
        </w:rPr>
        <w:t>programmes </w:t>
      </w:r>
      <w:r>
        <w:rPr>
          <w:w w:val="120"/>
          <w:sz w:val="20"/>
        </w:rPr>
        <w:t>of work such as Fresh </w:t>
      </w:r>
      <w:r>
        <w:rPr>
          <w:spacing w:val="2"/>
          <w:w w:val="120"/>
          <w:sz w:val="20"/>
        </w:rPr>
        <w:t>Expression </w:t>
      </w:r>
      <w:r>
        <w:rPr>
          <w:w w:val="120"/>
          <w:sz w:val="20"/>
        </w:rPr>
        <w:t>and the </w:t>
      </w:r>
      <w:r>
        <w:rPr>
          <w:i/>
          <w:w w:val="120"/>
          <w:sz w:val="20"/>
        </w:rPr>
        <w:t>Marketing Campaign </w:t>
      </w:r>
      <w:r>
        <w:rPr>
          <w:w w:val="120"/>
          <w:sz w:val="20"/>
        </w:rPr>
        <w:t>to </w:t>
      </w:r>
      <w:r>
        <w:rPr>
          <w:spacing w:val="3"/>
          <w:w w:val="120"/>
          <w:sz w:val="20"/>
        </w:rPr>
        <w:t>support </w:t>
      </w:r>
      <w:r>
        <w:rPr>
          <w:w w:val="120"/>
          <w:sz w:val="20"/>
        </w:rPr>
        <w:t>the different </w:t>
      </w:r>
      <w:r>
        <w:rPr>
          <w:spacing w:val="2"/>
          <w:w w:val="120"/>
          <w:sz w:val="20"/>
        </w:rPr>
        <w:t>statements </w:t>
      </w:r>
      <w:r>
        <w:rPr>
          <w:w w:val="120"/>
          <w:sz w:val="20"/>
        </w:rPr>
        <w:t>of mission purpose. In </w:t>
      </w:r>
      <w:r>
        <w:rPr>
          <w:spacing w:val="-3"/>
          <w:w w:val="120"/>
          <w:sz w:val="20"/>
        </w:rPr>
        <w:t>2010, </w:t>
      </w:r>
      <w:r>
        <w:rPr>
          <w:w w:val="120"/>
          <w:sz w:val="20"/>
        </w:rPr>
        <w:t>for </w:t>
      </w:r>
      <w:r>
        <w:rPr>
          <w:spacing w:val="2"/>
          <w:w w:val="120"/>
          <w:sz w:val="20"/>
        </w:rPr>
        <w:t>example, </w:t>
      </w:r>
      <w:r>
        <w:rPr>
          <w:w w:val="120"/>
          <w:sz w:val="20"/>
        </w:rPr>
        <w:t>it will shape the Review of Ecumenical Relations and the new </w:t>
      </w:r>
      <w:r>
        <w:rPr>
          <w:i/>
          <w:w w:val="120"/>
          <w:sz w:val="20"/>
        </w:rPr>
        <w:t>vision2020 </w:t>
      </w:r>
      <w:r>
        <w:rPr>
          <w:w w:val="120"/>
          <w:sz w:val="20"/>
        </w:rPr>
        <w:t>Mission </w:t>
      </w:r>
      <w:r>
        <w:rPr>
          <w:spacing w:val="3"/>
          <w:w w:val="120"/>
          <w:sz w:val="20"/>
        </w:rPr>
        <w:t>Grants </w:t>
      </w:r>
      <w:r>
        <w:rPr>
          <w:spacing w:val="2"/>
          <w:w w:val="120"/>
          <w:sz w:val="20"/>
        </w:rPr>
        <w:t>Programme.</w:t>
      </w:r>
    </w:p>
    <w:p>
      <w:pPr>
        <w:pStyle w:val="BodyText"/>
        <w:spacing w:line="235" w:lineRule="auto" w:before="6"/>
        <w:ind w:left="1134" w:right="1997"/>
      </w:pPr>
      <w:r>
        <w:rPr>
          <w:w w:val="120"/>
        </w:rPr>
        <w:t>It will also shape any revision of staff secretary posts. A flavour of this is given in the Mission Committee report to General Assembly.</w:t>
      </w:r>
    </w:p>
    <w:p>
      <w:pPr>
        <w:pStyle w:val="BodyText"/>
        <w:spacing w:before="9"/>
        <w:rPr>
          <w:sz w:val="19"/>
        </w:rPr>
      </w:pPr>
    </w:p>
    <w:p>
      <w:pPr>
        <w:pStyle w:val="ListParagraph"/>
        <w:numPr>
          <w:ilvl w:val="1"/>
          <w:numId w:val="9"/>
        </w:numPr>
        <w:tabs>
          <w:tab w:pos="1814" w:val="left" w:leader="none"/>
          <w:tab w:pos="1815" w:val="left" w:leader="none"/>
        </w:tabs>
        <w:spacing w:line="235" w:lineRule="auto" w:before="0" w:after="0"/>
        <w:ind w:left="1134" w:right="2023" w:firstLine="0"/>
        <w:jc w:val="left"/>
        <w:rPr>
          <w:sz w:val="20"/>
        </w:rPr>
      </w:pPr>
      <w:r>
        <w:rPr>
          <w:w w:val="120"/>
          <w:sz w:val="20"/>
        </w:rPr>
        <w:t>Whilst it has been driven by the Mission </w:t>
      </w:r>
      <w:r>
        <w:rPr>
          <w:spacing w:val="-3"/>
          <w:w w:val="120"/>
          <w:sz w:val="20"/>
        </w:rPr>
        <w:t>Committee </w:t>
      </w:r>
      <w:r>
        <w:rPr>
          <w:w w:val="120"/>
          <w:sz w:val="20"/>
        </w:rPr>
        <w:t>and has specific </w:t>
      </w:r>
      <w:r>
        <w:rPr>
          <w:spacing w:val="-3"/>
          <w:w w:val="120"/>
          <w:sz w:val="20"/>
        </w:rPr>
        <w:t>relevance to Assembly’s </w:t>
      </w:r>
      <w:r>
        <w:rPr>
          <w:w w:val="120"/>
          <w:sz w:val="20"/>
        </w:rPr>
        <w:t>Mission Department, it has often been made clear that </w:t>
      </w:r>
      <w:r>
        <w:rPr>
          <w:spacing w:val="-4"/>
          <w:w w:val="120"/>
          <w:sz w:val="20"/>
        </w:rPr>
        <w:t>‘mission’ </w:t>
      </w:r>
      <w:r>
        <w:rPr>
          <w:w w:val="120"/>
          <w:sz w:val="20"/>
        </w:rPr>
        <w:t>is </w:t>
      </w:r>
      <w:r>
        <w:rPr>
          <w:spacing w:val="-2"/>
          <w:w w:val="120"/>
          <w:sz w:val="20"/>
        </w:rPr>
        <w:t>not </w:t>
      </w:r>
      <w:r>
        <w:rPr>
          <w:w w:val="120"/>
          <w:sz w:val="20"/>
        </w:rPr>
        <w:t>the sole domain of the Mission </w:t>
      </w:r>
      <w:r>
        <w:rPr>
          <w:spacing w:val="-3"/>
          <w:w w:val="120"/>
          <w:sz w:val="20"/>
        </w:rPr>
        <w:t>Committee </w:t>
      </w:r>
      <w:r>
        <w:rPr>
          <w:w w:val="120"/>
          <w:sz w:val="20"/>
        </w:rPr>
        <w:t>but underlies all other aspects of </w:t>
      </w:r>
      <w:r>
        <w:rPr>
          <w:spacing w:val="-3"/>
          <w:w w:val="120"/>
          <w:sz w:val="20"/>
        </w:rPr>
        <w:t>denominational </w:t>
      </w:r>
      <w:r>
        <w:rPr>
          <w:w w:val="120"/>
          <w:sz w:val="20"/>
        </w:rPr>
        <w:t>life. Throughout </w:t>
      </w:r>
      <w:r>
        <w:rPr>
          <w:spacing w:val="-3"/>
          <w:w w:val="120"/>
          <w:sz w:val="20"/>
        </w:rPr>
        <w:t>this </w:t>
      </w:r>
      <w:r>
        <w:rPr>
          <w:w w:val="120"/>
          <w:sz w:val="20"/>
        </w:rPr>
        <w:t>document, </w:t>
      </w:r>
      <w:r>
        <w:rPr>
          <w:spacing w:val="-3"/>
          <w:w w:val="120"/>
          <w:sz w:val="20"/>
        </w:rPr>
        <w:t>references have </w:t>
      </w:r>
      <w:r>
        <w:rPr>
          <w:w w:val="120"/>
          <w:sz w:val="20"/>
        </w:rPr>
        <w:t>been made </w:t>
      </w:r>
      <w:r>
        <w:rPr>
          <w:spacing w:val="-3"/>
          <w:w w:val="120"/>
          <w:sz w:val="20"/>
        </w:rPr>
        <w:t>to </w:t>
      </w:r>
      <w:r>
        <w:rPr>
          <w:i/>
          <w:spacing w:val="-3"/>
          <w:w w:val="120"/>
          <w:sz w:val="20"/>
        </w:rPr>
        <w:t>Challenge </w:t>
      </w:r>
      <w:r>
        <w:rPr>
          <w:i/>
          <w:w w:val="120"/>
          <w:sz w:val="20"/>
        </w:rPr>
        <w:t>to the </w:t>
      </w:r>
      <w:r>
        <w:rPr>
          <w:i/>
          <w:spacing w:val="-4"/>
          <w:w w:val="120"/>
          <w:sz w:val="20"/>
        </w:rPr>
        <w:t>Church</w:t>
      </w:r>
      <w:r>
        <w:rPr>
          <w:spacing w:val="-4"/>
          <w:w w:val="120"/>
          <w:sz w:val="20"/>
        </w:rPr>
        <w:t>, </w:t>
      </w:r>
      <w:r>
        <w:rPr>
          <w:w w:val="120"/>
          <w:sz w:val="20"/>
        </w:rPr>
        <w:t>synod deployment</w:t>
      </w:r>
      <w:r>
        <w:rPr>
          <w:spacing w:val="-16"/>
          <w:w w:val="120"/>
          <w:sz w:val="20"/>
        </w:rPr>
        <w:t> </w:t>
      </w:r>
      <w:r>
        <w:rPr>
          <w:w w:val="120"/>
          <w:sz w:val="20"/>
        </w:rPr>
        <w:t>planning</w:t>
      </w:r>
      <w:r>
        <w:rPr>
          <w:spacing w:val="-16"/>
          <w:w w:val="120"/>
          <w:sz w:val="20"/>
        </w:rPr>
        <w:t> </w:t>
      </w:r>
      <w:r>
        <w:rPr>
          <w:w w:val="120"/>
          <w:sz w:val="20"/>
        </w:rPr>
        <w:t>and</w:t>
      </w:r>
      <w:r>
        <w:rPr>
          <w:spacing w:val="-16"/>
          <w:w w:val="120"/>
          <w:sz w:val="20"/>
        </w:rPr>
        <w:t> </w:t>
      </w:r>
      <w:r>
        <w:rPr>
          <w:i/>
          <w:spacing w:val="-3"/>
          <w:w w:val="120"/>
          <w:sz w:val="20"/>
        </w:rPr>
        <w:t>Local</w:t>
      </w:r>
      <w:r>
        <w:rPr>
          <w:i/>
          <w:spacing w:val="-19"/>
          <w:w w:val="120"/>
          <w:sz w:val="20"/>
        </w:rPr>
        <w:t> </w:t>
      </w:r>
      <w:r>
        <w:rPr>
          <w:i/>
          <w:spacing w:val="-3"/>
          <w:w w:val="120"/>
          <w:sz w:val="20"/>
        </w:rPr>
        <w:t>Mission</w:t>
      </w:r>
      <w:r>
        <w:rPr>
          <w:i/>
          <w:spacing w:val="-19"/>
          <w:w w:val="120"/>
          <w:sz w:val="20"/>
        </w:rPr>
        <w:t> </w:t>
      </w:r>
      <w:r>
        <w:rPr>
          <w:i/>
          <w:w w:val="120"/>
          <w:sz w:val="20"/>
        </w:rPr>
        <w:t>and</w:t>
      </w:r>
      <w:r>
        <w:rPr>
          <w:i/>
          <w:spacing w:val="-19"/>
          <w:w w:val="120"/>
          <w:sz w:val="20"/>
        </w:rPr>
        <w:t> </w:t>
      </w:r>
      <w:r>
        <w:rPr>
          <w:i/>
          <w:w w:val="120"/>
          <w:sz w:val="20"/>
        </w:rPr>
        <w:t>Ministry</w:t>
      </w:r>
      <w:r>
        <w:rPr>
          <w:i/>
          <w:spacing w:val="-18"/>
          <w:w w:val="120"/>
          <w:sz w:val="20"/>
        </w:rPr>
        <w:t> </w:t>
      </w:r>
      <w:r>
        <w:rPr>
          <w:i/>
          <w:spacing w:val="-3"/>
          <w:w w:val="120"/>
          <w:sz w:val="20"/>
        </w:rPr>
        <w:t>Reviews</w:t>
      </w:r>
      <w:r>
        <w:rPr>
          <w:spacing w:val="-3"/>
          <w:w w:val="120"/>
          <w:sz w:val="20"/>
        </w:rPr>
        <w:t>.</w:t>
      </w:r>
      <w:r>
        <w:rPr>
          <w:spacing w:val="-16"/>
          <w:w w:val="120"/>
          <w:sz w:val="20"/>
        </w:rPr>
        <w:t> </w:t>
      </w:r>
      <w:r>
        <w:rPr>
          <w:w w:val="120"/>
          <w:sz w:val="20"/>
        </w:rPr>
        <w:t>These</w:t>
      </w:r>
      <w:r>
        <w:rPr>
          <w:spacing w:val="-16"/>
          <w:w w:val="120"/>
          <w:sz w:val="20"/>
        </w:rPr>
        <w:t> </w:t>
      </w:r>
      <w:r>
        <w:rPr>
          <w:w w:val="120"/>
          <w:sz w:val="20"/>
        </w:rPr>
        <w:t>all</w:t>
      </w:r>
      <w:r>
        <w:rPr>
          <w:spacing w:val="-16"/>
          <w:w w:val="120"/>
          <w:sz w:val="20"/>
        </w:rPr>
        <w:t> </w:t>
      </w:r>
      <w:r>
        <w:rPr>
          <w:w w:val="120"/>
          <w:sz w:val="20"/>
        </w:rPr>
        <w:t>lie</w:t>
      </w:r>
      <w:r>
        <w:rPr>
          <w:spacing w:val="-16"/>
          <w:w w:val="120"/>
          <w:sz w:val="20"/>
        </w:rPr>
        <w:t> </w:t>
      </w:r>
      <w:r>
        <w:rPr>
          <w:spacing w:val="-3"/>
          <w:w w:val="120"/>
          <w:sz w:val="20"/>
        </w:rPr>
        <w:t>within</w:t>
      </w:r>
      <w:r>
        <w:rPr>
          <w:spacing w:val="-16"/>
          <w:w w:val="120"/>
          <w:sz w:val="20"/>
        </w:rPr>
        <w:t> </w:t>
      </w:r>
      <w:r>
        <w:rPr>
          <w:w w:val="120"/>
          <w:sz w:val="20"/>
        </w:rPr>
        <w:t>the</w:t>
      </w:r>
      <w:r>
        <w:rPr>
          <w:spacing w:val="-16"/>
          <w:w w:val="120"/>
          <w:sz w:val="20"/>
        </w:rPr>
        <w:t> </w:t>
      </w:r>
      <w:r>
        <w:rPr>
          <w:spacing w:val="-3"/>
          <w:w w:val="120"/>
          <w:sz w:val="20"/>
        </w:rPr>
        <w:t>scope </w:t>
      </w:r>
      <w:r>
        <w:rPr>
          <w:w w:val="120"/>
          <w:sz w:val="20"/>
        </w:rPr>
        <w:t>of the Ministries </w:t>
      </w:r>
      <w:r>
        <w:rPr>
          <w:spacing w:val="-3"/>
          <w:w w:val="120"/>
          <w:sz w:val="20"/>
        </w:rPr>
        <w:t>Committee </w:t>
      </w:r>
      <w:r>
        <w:rPr>
          <w:w w:val="120"/>
          <w:sz w:val="20"/>
        </w:rPr>
        <w:t>and Department and we are beginning </w:t>
      </w:r>
      <w:r>
        <w:rPr>
          <w:spacing w:val="-3"/>
          <w:w w:val="120"/>
          <w:sz w:val="20"/>
        </w:rPr>
        <w:t>to </w:t>
      </w:r>
      <w:r>
        <w:rPr>
          <w:w w:val="120"/>
          <w:sz w:val="20"/>
        </w:rPr>
        <w:t>work through the </w:t>
      </w:r>
      <w:r>
        <w:rPr>
          <w:spacing w:val="-3"/>
          <w:w w:val="120"/>
          <w:sz w:val="20"/>
        </w:rPr>
        <w:t>implications </w:t>
      </w:r>
      <w:r>
        <w:rPr>
          <w:w w:val="120"/>
          <w:sz w:val="20"/>
        </w:rPr>
        <w:t>of </w:t>
      </w:r>
      <w:r>
        <w:rPr>
          <w:i/>
          <w:spacing w:val="-4"/>
          <w:w w:val="120"/>
          <w:sz w:val="20"/>
        </w:rPr>
        <w:t>vision2020 </w:t>
      </w:r>
      <w:r>
        <w:rPr>
          <w:w w:val="120"/>
          <w:sz w:val="20"/>
        </w:rPr>
        <w:t>in that regard. </w:t>
      </w:r>
      <w:r>
        <w:rPr>
          <w:spacing w:val="-4"/>
          <w:w w:val="120"/>
          <w:sz w:val="20"/>
        </w:rPr>
        <w:t>Similarly, </w:t>
      </w:r>
      <w:r>
        <w:rPr>
          <w:w w:val="120"/>
          <w:sz w:val="20"/>
        </w:rPr>
        <w:t>the </w:t>
      </w:r>
      <w:r>
        <w:rPr>
          <w:spacing w:val="-3"/>
          <w:w w:val="120"/>
          <w:sz w:val="20"/>
        </w:rPr>
        <w:t>Education </w:t>
      </w:r>
      <w:r>
        <w:rPr>
          <w:w w:val="120"/>
          <w:sz w:val="20"/>
        </w:rPr>
        <w:t>and Learning </w:t>
      </w:r>
      <w:r>
        <w:rPr>
          <w:spacing w:val="-3"/>
          <w:w w:val="120"/>
          <w:sz w:val="20"/>
        </w:rPr>
        <w:t>Committee have</w:t>
      </w:r>
      <w:r>
        <w:rPr>
          <w:spacing w:val="-14"/>
          <w:w w:val="120"/>
          <w:sz w:val="20"/>
        </w:rPr>
        <w:t> </w:t>
      </w:r>
      <w:r>
        <w:rPr>
          <w:spacing w:val="-3"/>
          <w:w w:val="120"/>
          <w:sz w:val="20"/>
        </w:rPr>
        <w:t>initiated</w:t>
      </w:r>
      <w:r>
        <w:rPr>
          <w:spacing w:val="-13"/>
          <w:w w:val="120"/>
          <w:sz w:val="20"/>
        </w:rPr>
        <w:t> </w:t>
      </w:r>
      <w:r>
        <w:rPr>
          <w:spacing w:val="-3"/>
          <w:w w:val="120"/>
          <w:sz w:val="20"/>
        </w:rPr>
        <w:t>conversations</w:t>
      </w:r>
      <w:r>
        <w:rPr>
          <w:spacing w:val="-13"/>
          <w:w w:val="120"/>
          <w:sz w:val="20"/>
        </w:rPr>
        <w:t> </w:t>
      </w:r>
      <w:r>
        <w:rPr>
          <w:w w:val="120"/>
          <w:sz w:val="20"/>
        </w:rPr>
        <w:t>about</w:t>
      </w:r>
      <w:r>
        <w:rPr>
          <w:spacing w:val="-13"/>
          <w:w w:val="120"/>
          <w:sz w:val="20"/>
        </w:rPr>
        <w:t> </w:t>
      </w:r>
      <w:r>
        <w:rPr>
          <w:w w:val="120"/>
          <w:sz w:val="20"/>
        </w:rPr>
        <w:t>the</w:t>
      </w:r>
      <w:r>
        <w:rPr>
          <w:spacing w:val="-13"/>
          <w:w w:val="120"/>
          <w:sz w:val="20"/>
        </w:rPr>
        <w:t> </w:t>
      </w:r>
      <w:r>
        <w:rPr>
          <w:w w:val="120"/>
          <w:sz w:val="20"/>
        </w:rPr>
        <w:t>impact</w:t>
      </w:r>
      <w:r>
        <w:rPr>
          <w:spacing w:val="-13"/>
          <w:w w:val="120"/>
          <w:sz w:val="20"/>
        </w:rPr>
        <w:t> </w:t>
      </w:r>
      <w:r>
        <w:rPr>
          <w:w w:val="120"/>
          <w:sz w:val="20"/>
        </w:rPr>
        <w:t>of</w:t>
      </w:r>
      <w:r>
        <w:rPr>
          <w:spacing w:val="-13"/>
          <w:w w:val="120"/>
          <w:sz w:val="20"/>
        </w:rPr>
        <w:t> </w:t>
      </w:r>
      <w:r>
        <w:rPr>
          <w:i/>
          <w:spacing w:val="-4"/>
          <w:w w:val="120"/>
          <w:sz w:val="20"/>
        </w:rPr>
        <w:t>vision2020</w:t>
      </w:r>
      <w:r>
        <w:rPr>
          <w:i/>
          <w:spacing w:val="-13"/>
          <w:w w:val="120"/>
          <w:sz w:val="20"/>
        </w:rPr>
        <w:t> </w:t>
      </w:r>
      <w:r>
        <w:rPr>
          <w:w w:val="120"/>
          <w:sz w:val="20"/>
        </w:rPr>
        <w:t>on</w:t>
      </w:r>
      <w:r>
        <w:rPr>
          <w:spacing w:val="-13"/>
          <w:w w:val="120"/>
          <w:sz w:val="20"/>
        </w:rPr>
        <w:t> </w:t>
      </w:r>
      <w:r>
        <w:rPr>
          <w:w w:val="120"/>
          <w:sz w:val="20"/>
        </w:rPr>
        <w:t>their</w:t>
      </w:r>
      <w:r>
        <w:rPr>
          <w:spacing w:val="-13"/>
          <w:w w:val="120"/>
          <w:sz w:val="20"/>
        </w:rPr>
        <w:t> </w:t>
      </w:r>
      <w:r>
        <w:rPr>
          <w:w w:val="120"/>
          <w:sz w:val="20"/>
        </w:rPr>
        <w:t>work:</w:t>
      </w:r>
      <w:r>
        <w:rPr>
          <w:spacing w:val="-13"/>
          <w:w w:val="120"/>
          <w:sz w:val="20"/>
        </w:rPr>
        <w:t> </w:t>
      </w:r>
      <w:r>
        <w:rPr>
          <w:w w:val="120"/>
          <w:sz w:val="20"/>
        </w:rPr>
        <w:t>for</w:t>
      </w:r>
      <w:r>
        <w:rPr>
          <w:spacing w:val="-13"/>
          <w:w w:val="120"/>
          <w:sz w:val="20"/>
        </w:rPr>
        <w:t> </w:t>
      </w:r>
      <w:r>
        <w:rPr>
          <w:w w:val="120"/>
          <w:sz w:val="20"/>
        </w:rPr>
        <w:t>the</w:t>
      </w:r>
      <w:r>
        <w:rPr>
          <w:spacing w:val="-13"/>
          <w:w w:val="120"/>
          <w:sz w:val="20"/>
        </w:rPr>
        <w:t> </w:t>
      </w:r>
      <w:r>
        <w:rPr>
          <w:i/>
          <w:spacing w:val="-3"/>
          <w:w w:val="120"/>
          <w:sz w:val="20"/>
        </w:rPr>
        <w:t>Resource </w:t>
      </w:r>
      <w:r>
        <w:rPr>
          <w:i/>
          <w:spacing w:val="-3"/>
          <w:w w:val="120"/>
          <w:sz w:val="20"/>
        </w:rPr>
        <w:t>Centres</w:t>
      </w:r>
      <w:r>
        <w:rPr>
          <w:i/>
          <w:spacing w:val="-16"/>
          <w:w w:val="120"/>
          <w:sz w:val="20"/>
        </w:rPr>
        <w:t> </w:t>
      </w:r>
      <w:r>
        <w:rPr>
          <w:i/>
          <w:w w:val="120"/>
          <w:sz w:val="20"/>
        </w:rPr>
        <w:t>for</w:t>
      </w:r>
      <w:r>
        <w:rPr>
          <w:i/>
          <w:spacing w:val="-15"/>
          <w:w w:val="120"/>
          <w:sz w:val="20"/>
        </w:rPr>
        <w:t> </w:t>
      </w:r>
      <w:r>
        <w:rPr>
          <w:i/>
          <w:spacing w:val="-3"/>
          <w:w w:val="120"/>
          <w:sz w:val="20"/>
        </w:rPr>
        <w:t>Learning</w:t>
      </w:r>
      <w:r>
        <w:rPr>
          <w:spacing w:val="-3"/>
          <w:w w:val="120"/>
          <w:sz w:val="20"/>
        </w:rPr>
        <w:t>,</w:t>
      </w:r>
      <w:r>
        <w:rPr>
          <w:spacing w:val="-12"/>
          <w:w w:val="120"/>
          <w:sz w:val="20"/>
        </w:rPr>
        <w:t> </w:t>
      </w:r>
      <w:r>
        <w:rPr>
          <w:w w:val="120"/>
          <w:sz w:val="20"/>
        </w:rPr>
        <w:t>the</w:t>
      </w:r>
      <w:r>
        <w:rPr>
          <w:spacing w:val="-13"/>
          <w:w w:val="120"/>
          <w:sz w:val="20"/>
        </w:rPr>
        <w:t> </w:t>
      </w:r>
      <w:r>
        <w:rPr>
          <w:w w:val="120"/>
          <w:sz w:val="20"/>
        </w:rPr>
        <w:t>TLS</w:t>
      </w:r>
      <w:r>
        <w:rPr>
          <w:spacing w:val="-12"/>
          <w:w w:val="120"/>
          <w:sz w:val="20"/>
        </w:rPr>
        <w:t> </w:t>
      </w:r>
      <w:r>
        <w:rPr>
          <w:w w:val="120"/>
          <w:sz w:val="20"/>
        </w:rPr>
        <w:t>programme,</w:t>
      </w:r>
      <w:r>
        <w:rPr>
          <w:spacing w:val="-12"/>
          <w:w w:val="120"/>
          <w:sz w:val="20"/>
        </w:rPr>
        <w:t> </w:t>
      </w:r>
      <w:r>
        <w:rPr>
          <w:w w:val="120"/>
          <w:sz w:val="20"/>
        </w:rPr>
        <w:t>for</w:t>
      </w:r>
      <w:r>
        <w:rPr>
          <w:spacing w:val="-12"/>
          <w:w w:val="120"/>
          <w:sz w:val="20"/>
        </w:rPr>
        <w:t> </w:t>
      </w:r>
      <w:r>
        <w:rPr>
          <w:spacing w:val="-7"/>
          <w:w w:val="120"/>
          <w:sz w:val="20"/>
        </w:rPr>
        <w:t>EM1/2/3</w:t>
      </w:r>
      <w:r>
        <w:rPr>
          <w:spacing w:val="-12"/>
          <w:w w:val="120"/>
          <w:sz w:val="20"/>
        </w:rPr>
        <w:t> </w:t>
      </w:r>
      <w:r>
        <w:rPr>
          <w:w w:val="120"/>
          <w:sz w:val="20"/>
        </w:rPr>
        <w:t>and</w:t>
      </w:r>
      <w:r>
        <w:rPr>
          <w:spacing w:val="-12"/>
          <w:w w:val="120"/>
          <w:sz w:val="20"/>
        </w:rPr>
        <w:t> </w:t>
      </w:r>
      <w:r>
        <w:rPr>
          <w:w w:val="120"/>
          <w:sz w:val="20"/>
        </w:rPr>
        <w:t>for</w:t>
      </w:r>
      <w:r>
        <w:rPr>
          <w:spacing w:val="-13"/>
          <w:w w:val="120"/>
          <w:sz w:val="20"/>
        </w:rPr>
        <w:t> </w:t>
      </w:r>
      <w:r>
        <w:rPr>
          <w:w w:val="120"/>
          <w:sz w:val="20"/>
        </w:rPr>
        <w:t>elders.</w:t>
      </w:r>
      <w:r>
        <w:rPr>
          <w:spacing w:val="-12"/>
          <w:w w:val="120"/>
          <w:sz w:val="20"/>
        </w:rPr>
        <w:t> </w:t>
      </w:r>
      <w:r>
        <w:rPr>
          <w:spacing w:val="-3"/>
          <w:w w:val="120"/>
          <w:sz w:val="20"/>
        </w:rPr>
        <w:t>We</w:t>
      </w:r>
      <w:r>
        <w:rPr>
          <w:spacing w:val="-12"/>
          <w:w w:val="120"/>
          <w:sz w:val="20"/>
        </w:rPr>
        <w:t> </w:t>
      </w:r>
      <w:r>
        <w:rPr>
          <w:w w:val="120"/>
          <w:sz w:val="20"/>
        </w:rPr>
        <w:t>hope</w:t>
      </w:r>
      <w:r>
        <w:rPr>
          <w:spacing w:val="-12"/>
          <w:w w:val="120"/>
          <w:sz w:val="20"/>
        </w:rPr>
        <w:t> </w:t>
      </w:r>
      <w:r>
        <w:rPr>
          <w:spacing w:val="-3"/>
          <w:w w:val="120"/>
          <w:sz w:val="20"/>
        </w:rPr>
        <w:t>to</w:t>
      </w:r>
      <w:r>
        <w:rPr>
          <w:spacing w:val="-12"/>
          <w:w w:val="120"/>
          <w:sz w:val="20"/>
        </w:rPr>
        <w:t> </w:t>
      </w:r>
      <w:r>
        <w:rPr>
          <w:w w:val="120"/>
          <w:sz w:val="20"/>
        </w:rPr>
        <w:t>give</w:t>
      </w:r>
      <w:r>
        <w:rPr>
          <w:spacing w:val="-12"/>
          <w:w w:val="120"/>
          <w:sz w:val="20"/>
        </w:rPr>
        <w:t> </w:t>
      </w:r>
      <w:r>
        <w:rPr>
          <w:w w:val="120"/>
          <w:sz w:val="20"/>
        </w:rPr>
        <w:t>more of a </w:t>
      </w:r>
      <w:r>
        <w:rPr>
          <w:spacing w:val="-3"/>
          <w:w w:val="120"/>
          <w:sz w:val="20"/>
        </w:rPr>
        <w:t>flavour </w:t>
      </w:r>
      <w:r>
        <w:rPr>
          <w:w w:val="120"/>
          <w:sz w:val="20"/>
        </w:rPr>
        <w:t>of these plans through presentations at General</w:t>
      </w:r>
      <w:r>
        <w:rPr>
          <w:spacing w:val="-38"/>
          <w:w w:val="120"/>
          <w:sz w:val="20"/>
        </w:rPr>
        <w:t> </w:t>
      </w:r>
      <w:r>
        <w:rPr>
          <w:spacing w:val="-3"/>
          <w:w w:val="120"/>
          <w:sz w:val="20"/>
        </w:rPr>
        <w:t>Assembly.</w:t>
      </w:r>
    </w:p>
    <w:p>
      <w:pPr>
        <w:spacing w:after="0" w:line="235" w:lineRule="auto"/>
        <w:jc w:val="left"/>
        <w:rPr>
          <w:sz w:val="20"/>
        </w:rPr>
        <w:sectPr>
          <w:headerReference w:type="even" r:id="rId43"/>
          <w:headerReference w:type="default" r:id="rId44"/>
          <w:footerReference w:type="even" r:id="rId45"/>
          <w:footerReference w:type="default" r:id="rId46"/>
          <w:pgSz w:w="11910" w:h="16840"/>
          <w:pgMar w:header="0" w:footer="600" w:top="1140" w:bottom="800" w:left="0" w:right="0"/>
          <w:pgNumType w:start="14"/>
        </w:sectPr>
      </w:pPr>
    </w:p>
    <w:p>
      <w:pPr>
        <w:pStyle w:val="BodyText"/>
        <w:spacing w:before="1"/>
        <w:rPr>
          <w:sz w:val="4"/>
        </w:rPr>
      </w:pPr>
      <w:r>
        <w:rPr/>
        <w:drawing>
          <wp:anchor distT="0" distB="0" distL="0" distR="0" allowOverlap="1" layoutInCell="1" locked="0" behindDoc="1" simplePos="0" relativeHeight="235629568">
            <wp:simplePos x="0" y="0"/>
            <wp:positionH relativeFrom="page">
              <wp:posOffset>3127874</wp:posOffset>
            </wp:positionH>
            <wp:positionV relativeFrom="page">
              <wp:posOffset>1344065</wp:posOffset>
            </wp:positionV>
            <wp:extent cx="232563" cy="180975"/>
            <wp:effectExtent l="0" t="0" r="0" b="0"/>
            <wp:wrapNone/>
            <wp:docPr id="23" name="image24.png"/>
            <wp:cNvGraphicFramePr>
              <a:graphicFrameLocks noChangeAspect="1"/>
            </wp:cNvGraphicFramePr>
            <a:graphic>
              <a:graphicData uri="http://schemas.openxmlformats.org/drawingml/2006/picture">
                <pic:pic>
                  <pic:nvPicPr>
                    <pic:cNvPr id="24" name="image24.png"/>
                    <pic:cNvPicPr/>
                  </pic:nvPicPr>
                  <pic:blipFill>
                    <a:blip r:embed="rId48"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630592">
            <wp:simplePos x="0" y="0"/>
            <wp:positionH relativeFrom="page">
              <wp:posOffset>736466</wp:posOffset>
            </wp:positionH>
            <wp:positionV relativeFrom="page">
              <wp:posOffset>2556002</wp:posOffset>
            </wp:positionV>
            <wp:extent cx="855209" cy="3257550"/>
            <wp:effectExtent l="0" t="0" r="0" b="0"/>
            <wp:wrapNone/>
            <wp:docPr id="25" name="image25.png"/>
            <wp:cNvGraphicFramePr>
              <a:graphicFrameLocks noChangeAspect="1"/>
            </wp:cNvGraphicFramePr>
            <a:graphic>
              <a:graphicData uri="http://schemas.openxmlformats.org/drawingml/2006/picture">
                <pic:pic>
                  <pic:nvPicPr>
                    <pic:cNvPr id="26" name="image25.png"/>
                    <pic:cNvPicPr/>
                  </pic:nvPicPr>
                  <pic:blipFill>
                    <a:blip r:embed="rId49" cstate="print"/>
                    <a:stretch>
                      <a:fillRect/>
                    </a:stretch>
                  </pic:blipFill>
                  <pic:spPr>
                    <a:xfrm>
                      <a:off x="0" y="0"/>
                      <a:ext cx="855209" cy="3257550"/>
                    </a:xfrm>
                    <a:prstGeom prst="rect">
                      <a:avLst/>
                    </a:prstGeom>
                  </pic:spPr>
                </pic:pic>
              </a:graphicData>
            </a:graphic>
          </wp:anchor>
        </w:drawing>
      </w:r>
    </w:p>
    <w:p>
      <w:pPr>
        <w:pStyle w:val="BodyText"/>
        <w:tabs>
          <w:tab w:pos="11168" w:val="left" w:leader="none"/>
        </w:tabs>
        <w:ind w:left="1218"/>
      </w:pPr>
      <w:r>
        <w:rPr/>
        <w:pict>
          <v:shape style="width:477.65pt;height:738.2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9"/>
                    <w:gridCol w:w="9195"/>
                  </w:tblGrid>
                  <w:tr>
                    <w:trPr>
                      <w:trHeight w:val="2805" w:hRule="atLeast"/>
                    </w:trPr>
                    <w:tc>
                      <w:tcPr>
                        <w:tcW w:w="359" w:type="dxa"/>
                        <w:tcBorders>
                          <w:bottom w:val="single" w:sz="8" w:space="0" w:color="CA4F1B"/>
                          <w:right w:val="dotted" w:sz="8" w:space="0" w:color="868685"/>
                        </w:tcBorders>
                      </w:tcPr>
                      <w:p>
                        <w:pPr>
                          <w:pStyle w:val="TableParagraph"/>
                          <w:rPr>
                            <w:rFonts w:ascii="Times New Roman"/>
                            <w:sz w:val="22"/>
                          </w:rPr>
                        </w:pPr>
                      </w:p>
                    </w:tc>
                    <w:tc>
                      <w:tcPr>
                        <w:tcW w:w="9195" w:type="dxa"/>
                        <w:tcBorders>
                          <w:left w:val="dotted" w:sz="8" w:space="0" w:color="868685"/>
                          <w:bottom w:val="single" w:sz="8" w:space="0" w:color="CA4F1B"/>
                        </w:tcBorders>
                      </w:tcPr>
                      <w:p>
                        <w:pPr>
                          <w:pStyle w:val="TableParagraph"/>
                          <w:numPr>
                            <w:ilvl w:val="1"/>
                            <w:numId w:val="10"/>
                          </w:numPr>
                          <w:tabs>
                            <w:tab w:pos="1076" w:val="left" w:leader="none"/>
                            <w:tab w:pos="1077" w:val="left" w:leader="none"/>
                          </w:tabs>
                          <w:spacing w:line="215" w:lineRule="exact" w:before="0" w:after="0"/>
                          <w:ind w:left="1076" w:right="0" w:hanging="681"/>
                          <w:jc w:val="left"/>
                          <w:rPr>
                            <w:sz w:val="20"/>
                          </w:rPr>
                        </w:pPr>
                        <w:r>
                          <w:rPr>
                            <w:w w:val="120"/>
                            <w:sz w:val="20"/>
                          </w:rPr>
                          <w:t>Finally,</w:t>
                        </w:r>
                        <w:r>
                          <w:rPr>
                            <w:spacing w:val="-8"/>
                            <w:w w:val="120"/>
                            <w:sz w:val="20"/>
                          </w:rPr>
                          <w:t> </w:t>
                        </w:r>
                        <w:r>
                          <w:rPr>
                            <w:w w:val="120"/>
                            <w:sz w:val="20"/>
                          </w:rPr>
                          <w:t>for</w:t>
                        </w:r>
                        <w:r>
                          <w:rPr>
                            <w:spacing w:val="-7"/>
                            <w:w w:val="120"/>
                            <w:sz w:val="20"/>
                          </w:rPr>
                          <w:t> </w:t>
                        </w:r>
                        <w:r>
                          <w:rPr>
                            <w:i/>
                            <w:w w:val="120"/>
                            <w:sz w:val="20"/>
                          </w:rPr>
                          <w:t>vision2020</w:t>
                        </w:r>
                        <w:r>
                          <w:rPr>
                            <w:i/>
                            <w:spacing w:val="-7"/>
                            <w:w w:val="120"/>
                            <w:sz w:val="20"/>
                          </w:rPr>
                          <w:t> </w:t>
                        </w:r>
                        <w:r>
                          <w:rPr>
                            <w:w w:val="120"/>
                            <w:sz w:val="20"/>
                          </w:rPr>
                          <w:t>to</w:t>
                        </w:r>
                        <w:r>
                          <w:rPr>
                            <w:spacing w:val="-8"/>
                            <w:w w:val="120"/>
                            <w:sz w:val="20"/>
                          </w:rPr>
                          <w:t> </w:t>
                        </w:r>
                        <w:r>
                          <w:rPr>
                            <w:w w:val="120"/>
                            <w:sz w:val="20"/>
                          </w:rPr>
                          <w:t>offer</w:t>
                        </w:r>
                        <w:r>
                          <w:rPr>
                            <w:spacing w:val="-7"/>
                            <w:w w:val="120"/>
                            <w:sz w:val="20"/>
                          </w:rPr>
                          <w:t> </w:t>
                        </w:r>
                        <w:r>
                          <w:rPr>
                            <w:w w:val="120"/>
                            <w:sz w:val="20"/>
                          </w:rPr>
                          <w:t>any</w:t>
                        </w:r>
                        <w:r>
                          <w:rPr>
                            <w:spacing w:val="-7"/>
                            <w:w w:val="120"/>
                            <w:sz w:val="20"/>
                          </w:rPr>
                          <w:t> </w:t>
                        </w:r>
                        <w:r>
                          <w:rPr>
                            <w:w w:val="120"/>
                            <w:sz w:val="20"/>
                          </w:rPr>
                          <w:t>coherence</w:t>
                        </w:r>
                        <w:r>
                          <w:rPr>
                            <w:spacing w:val="-7"/>
                            <w:w w:val="120"/>
                            <w:sz w:val="20"/>
                          </w:rPr>
                          <w:t> </w:t>
                        </w:r>
                        <w:r>
                          <w:rPr>
                            <w:w w:val="120"/>
                            <w:sz w:val="20"/>
                          </w:rPr>
                          <w:t>or</w:t>
                        </w:r>
                        <w:r>
                          <w:rPr>
                            <w:spacing w:val="-8"/>
                            <w:w w:val="120"/>
                            <w:sz w:val="20"/>
                          </w:rPr>
                          <w:t> </w:t>
                        </w:r>
                        <w:r>
                          <w:rPr>
                            <w:w w:val="120"/>
                            <w:sz w:val="20"/>
                          </w:rPr>
                          <w:t>inspiration</w:t>
                        </w:r>
                        <w:r>
                          <w:rPr>
                            <w:spacing w:val="-7"/>
                            <w:w w:val="120"/>
                            <w:sz w:val="20"/>
                          </w:rPr>
                          <w:t> </w:t>
                        </w:r>
                        <w:r>
                          <w:rPr>
                            <w:w w:val="120"/>
                            <w:sz w:val="20"/>
                          </w:rPr>
                          <w:t>to</w:t>
                        </w:r>
                        <w:r>
                          <w:rPr>
                            <w:spacing w:val="-7"/>
                            <w:w w:val="120"/>
                            <w:sz w:val="20"/>
                          </w:rPr>
                          <w:t> </w:t>
                        </w:r>
                        <w:r>
                          <w:rPr>
                            <w:w w:val="120"/>
                            <w:sz w:val="20"/>
                          </w:rPr>
                          <w:t>the</w:t>
                        </w:r>
                        <w:r>
                          <w:rPr>
                            <w:spacing w:val="-7"/>
                            <w:w w:val="120"/>
                            <w:sz w:val="20"/>
                          </w:rPr>
                          <w:t> </w:t>
                        </w:r>
                        <w:r>
                          <w:rPr>
                            <w:w w:val="120"/>
                            <w:sz w:val="20"/>
                          </w:rPr>
                          <w:t>different</w:t>
                        </w:r>
                        <w:r>
                          <w:rPr>
                            <w:spacing w:val="-8"/>
                            <w:w w:val="120"/>
                            <w:sz w:val="20"/>
                          </w:rPr>
                          <w:t> </w:t>
                        </w:r>
                        <w:r>
                          <w:rPr>
                            <w:w w:val="120"/>
                            <w:sz w:val="20"/>
                          </w:rPr>
                          <w:t>levels</w:t>
                        </w:r>
                      </w:p>
                      <w:p>
                        <w:pPr>
                          <w:pStyle w:val="TableParagraph"/>
                          <w:spacing w:line="235" w:lineRule="auto" w:before="1"/>
                          <w:ind w:left="396"/>
                          <w:rPr>
                            <w:sz w:val="20"/>
                          </w:rPr>
                        </w:pPr>
                        <w:r>
                          <w:rPr>
                            <w:w w:val="120"/>
                            <w:sz w:val="20"/>
                          </w:rPr>
                          <w:t>of the denomination it needs to have a strong identity and relevant resource materials. It is proposed that we maintain the </w:t>
                        </w:r>
                        <w:r>
                          <w:rPr>
                            <w:i/>
                            <w:w w:val="120"/>
                            <w:sz w:val="20"/>
                          </w:rPr>
                          <w:t>vision2020 </w:t>
                        </w:r>
                        <w:r>
                          <w:rPr>
                            <w:w w:val="120"/>
                            <w:sz w:val="20"/>
                          </w:rPr>
                          <w:t>logo, supported by the successful ‘look and feel’ of the </w:t>
                        </w:r>
                        <w:r>
                          <w:rPr>
                            <w:i/>
                            <w:w w:val="120"/>
                            <w:sz w:val="20"/>
                          </w:rPr>
                          <w:t>Hearing Your Views </w:t>
                        </w:r>
                        <w:r>
                          <w:rPr>
                            <w:w w:val="120"/>
                            <w:sz w:val="20"/>
                          </w:rPr>
                          <w:t>booklet which itself is based upon the communications</w:t>
                        </w:r>
                      </w:p>
                      <w:p>
                        <w:pPr>
                          <w:pStyle w:val="TableParagraph"/>
                          <w:spacing w:line="192" w:lineRule="auto"/>
                          <w:ind w:left="396" w:right="-8" w:hanging="1"/>
                          <w:rPr>
                            <w:sz w:val="20"/>
                          </w:rPr>
                        </w:pPr>
                        <w:r>
                          <w:rPr>
                            <w:w w:val="120"/>
                            <w:sz w:val="20"/>
                          </w:rPr>
                          <w:t>approach</w:t>
                        </w:r>
                        <w:r>
                          <w:rPr>
                            <w:spacing w:val="-37"/>
                            <w:w w:val="120"/>
                            <w:sz w:val="20"/>
                          </w:rPr>
                          <w:t> </w:t>
                        </w:r>
                        <w:r>
                          <w:rPr>
                            <w:w w:val="120"/>
                            <w:sz w:val="20"/>
                          </w:rPr>
                          <w:t>developed</w:t>
                        </w:r>
                        <w:r>
                          <w:rPr>
                            <w:spacing w:val="-37"/>
                            <w:w w:val="120"/>
                            <w:sz w:val="20"/>
                          </w:rPr>
                          <w:t> </w:t>
                        </w:r>
                        <w:r>
                          <w:rPr>
                            <w:w w:val="120"/>
                            <w:sz w:val="20"/>
                          </w:rPr>
                          <w:t>by</w:t>
                        </w:r>
                        <w:r>
                          <w:rPr>
                            <w:spacing w:val="-37"/>
                            <w:w w:val="120"/>
                            <w:sz w:val="20"/>
                          </w:rPr>
                          <w:t> </w:t>
                        </w:r>
                        <w:r>
                          <w:rPr>
                            <w:rFonts w:ascii="Arial Rounded MT Bold" w:hAnsi="Arial Rounded MT Bold"/>
                            <w:w w:val="120"/>
                            <w:sz w:val="21"/>
                          </w:rPr>
                          <w:t>Vision4</w:t>
                        </w:r>
                        <w:r>
                          <w:rPr>
                            <w:rFonts w:ascii="Bradley Hand ITC" w:hAnsi="Bradley Hand ITC"/>
                            <w:color w:val="C20D19"/>
                            <w:w w:val="120"/>
                            <w:sz w:val="28"/>
                          </w:rPr>
                          <w:t>Life</w:t>
                        </w:r>
                        <w:r>
                          <w:rPr>
                            <w:w w:val="120"/>
                            <w:sz w:val="20"/>
                          </w:rPr>
                          <w:t>.</w:t>
                        </w:r>
                        <w:r>
                          <w:rPr>
                            <w:spacing w:val="-36"/>
                            <w:w w:val="120"/>
                            <w:sz w:val="20"/>
                          </w:rPr>
                          <w:t> </w:t>
                        </w:r>
                        <w:r>
                          <w:rPr>
                            <w:w w:val="120"/>
                            <w:sz w:val="20"/>
                          </w:rPr>
                          <w:t>The</w:t>
                        </w:r>
                        <w:r>
                          <w:rPr>
                            <w:spacing w:val="-37"/>
                            <w:w w:val="120"/>
                            <w:sz w:val="20"/>
                          </w:rPr>
                          <w:t> </w:t>
                        </w:r>
                        <w:r>
                          <w:rPr>
                            <w:w w:val="120"/>
                            <w:sz w:val="20"/>
                          </w:rPr>
                          <w:t>URC</w:t>
                        </w:r>
                        <w:r>
                          <w:rPr>
                            <w:spacing w:val="-36"/>
                            <w:w w:val="120"/>
                            <w:sz w:val="20"/>
                          </w:rPr>
                          <w:t> </w:t>
                        </w:r>
                        <w:r>
                          <w:rPr>
                            <w:w w:val="120"/>
                            <w:sz w:val="20"/>
                          </w:rPr>
                          <w:t>website</w:t>
                        </w:r>
                        <w:r>
                          <w:rPr>
                            <w:spacing w:val="-37"/>
                            <w:w w:val="120"/>
                            <w:sz w:val="20"/>
                          </w:rPr>
                          <w:t> </w:t>
                        </w:r>
                        <w:r>
                          <w:rPr>
                            <w:w w:val="120"/>
                            <w:sz w:val="20"/>
                          </w:rPr>
                          <w:t>will</w:t>
                        </w:r>
                        <w:r>
                          <w:rPr>
                            <w:spacing w:val="-37"/>
                            <w:w w:val="120"/>
                            <w:sz w:val="20"/>
                          </w:rPr>
                          <w:t> </w:t>
                        </w:r>
                        <w:r>
                          <w:rPr>
                            <w:w w:val="120"/>
                            <w:sz w:val="20"/>
                          </w:rPr>
                          <w:t>also</w:t>
                        </w:r>
                        <w:r>
                          <w:rPr>
                            <w:spacing w:val="-36"/>
                            <w:w w:val="120"/>
                            <w:sz w:val="20"/>
                          </w:rPr>
                          <w:t> </w:t>
                        </w:r>
                        <w:r>
                          <w:rPr>
                            <w:w w:val="120"/>
                            <w:sz w:val="20"/>
                          </w:rPr>
                          <w:t>be</w:t>
                        </w:r>
                        <w:r>
                          <w:rPr>
                            <w:spacing w:val="-37"/>
                            <w:w w:val="120"/>
                            <w:sz w:val="20"/>
                          </w:rPr>
                          <w:t> </w:t>
                        </w:r>
                        <w:r>
                          <w:rPr>
                            <w:w w:val="120"/>
                            <w:sz w:val="20"/>
                          </w:rPr>
                          <w:t>an</w:t>
                        </w:r>
                        <w:r>
                          <w:rPr>
                            <w:spacing w:val="-37"/>
                            <w:w w:val="120"/>
                            <w:sz w:val="20"/>
                          </w:rPr>
                          <w:t> </w:t>
                        </w:r>
                        <w:r>
                          <w:rPr>
                            <w:w w:val="120"/>
                            <w:sz w:val="20"/>
                          </w:rPr>
                          <w:t>important</w:t>
                        </w:r>
                        <w:r>
                          <w:rPr>
                            <w:spacing w:val="-37"/>
                            <w:w w:val="120"/>
                            <w:sz w:val="20"/>
                          </w:rPr>
                          <w:t> </w:t>
                        </w:r>
                        <w:r>
                          <w:rPr>
                            <w:w w:val="120"/>
                            <w:sz w:val="20"/>
                          </w:rPr>
                          <w:t>‘repository’ for stories, discussions and web-based resources in the coming decade. However,</w:t>
                        </w:r>
                        <w:r>
                          <w:rPr>
                            <w:spacing w:val="49"/>
                            <w:w w:val="120"/>
                            <w:sz w:val="20"/>
                          </w:rPr>
                          <w:t> </w:t>
                        </w:r>
                        <w:r>
                          <w:rPr>
                            <w:w w:val="120"/>
                            <w:sz w:val="20"/>
                          </w:rPr>
                          <w:t>whilst</w:t>
                        </w:r>
                      </w:p>
                      <w:p>
                        <w:pPr>
                          <w:pStyle w:val="TableParagraph"/>
                          <w:spacing w:line="235" w:lineRule="auto" w:before="8"/>
                          <w:ind w:left="396"/>
                          <w:rPr>
                            <w:sz w:val="20"/>
                          </w:rPr>
                        </w:pPr>
                        <w:r>
                          <w:rPr>
                            <w:w w:val="120"/>
                            <w:sz w:val="20"/>
                          </w:rPr>
                          <w:t>maintaining the unifying logo, statements and overall approach, it is hoped that synods and local churches will themselves adopt, develop and expand </w:t>
                        </w:r>
                        <w:r>
                          <w:rPr>
                            <w:i/>
                            <w:w w:val="120"/>
                            <w:sz w:val="20"/>
                          </w:rPr>
                          <w:t>vision2020 </w:t>
                        </w:r>
                        <w:r>
                          <w:rPr>
                            <w:w w:val="120"/>
                            <w:sz w:val="20"/>
                          </w:rPr>
                          <w:t>according to their own situations.</w:t>
                        </w:r>
                      </w:p>
                      <w:p>
                        <w:pPr>
                          <w:pStyle w:val="TableParagraph"/>
                          <w:spacing w:before="6"/>
                          <w:rPr>
                            <w:sz w:val="19"/>
                          </w:rPr>
                        </w:pPr>
                      </w:p>
                      <w:p>
                        <w:pPr>
                          <w:pStyle w:val="TableParagraph"/>
                          <w:numPr>
                            <w:ilvl w:val="1"/>
                            <w:numId w:val="10"/>
                          </w:numPr>
                          <w:tabs>
                            <w:tab w:pos="1076" w:val="left" w:leader="none"/>
                            <w:tab w:pos="1077" w:val="left" w:leader="none"/>
                          </w:tabs>
                          <w:spacing w:line="240" w:lineRule="auto" w:before="0" w:after="0"/>
                          <w:ind w:left="1076" w:right="0" w:hanging="681"/>
                          <w:jc w:val="left"/>
                          <w:rPr>
                            <w:sz w:val="20"/>
                          </w:rPr>
                        </w:pPr>
                        <w:r>
                          <w:rPr>
                            <w:w w:val="120"/>
                            <w:sz w:val="20"/>
                          </w:rPr>
                          <w:t>In</w:t>
                        </w:r>
                        <w:r>
                          <w:rPr>
                            <w:spacing w:val="1"/>
                            <w:w w:val="120"/>
                            <w:sz w:val="20"/>
                          </w:rPr>
                          <w:t> </w:t>
                        </w:r>
                        <w:r>
                          <w:rPr>
                            <w:w w:val="120"/>
                            <w:sz w:val="20"/>
                          </w:rPr>
                          <w:t>summary:</w:t>
                        </w:r>
                      </w:p>
                    </w:tc>
                  </w:tr>
                  <w:tr>
                    <w:trPr>
                      <w:trHeight w:val="5163" w:hRule="atLeast"/>
                    </w:trPr>
                    <w:tc>
                      <w:tcPr>
                        <w:tcW w:w="9554" w:type="dxa"/>
                        <w:gridSpan w:val="2"/>
                        <w:tcBorders>
                          <w:top w:val="single" w:sz="8" w:space="0" w:color="CA4F1B"/>
                          <w:bottom w:val="single" w:sz="8" w:space="0" w:color="CA4F1B"/>
                        </w:tcBorders>
                        <w:shd w:val="clear" w:color="auto" w:fill="FCF4E0"/>
                      </w:tcPr>
                      <w:p>
                        <w:pPr>
                          <w:pStyle w:val="TableParagraph"/>
                          <w:spacing w:before="172"/>
                          <w:ind w:left="1105"/>
                          <w:rPr>
                            <w:sz w:val="29"/>
                          </w:rPr>
                        </w:pPr>
                        <w:r>
                          <w:rPr>
                            <w:color w:val="CA4F1B"/>
                            <w:w w:val="120"/>
                            <w:sz w:val="29"/>
                          </w:rPr>
                          <w:t>The </w:t>
                        </w:r>
                        <w:r>
                          <w:rPr>
                            <w:i/>
                            <w:color w:val="CA4F1B"/>
                            <w:w w:val="120"/>
                            <w:sz w:val="30"/>
                          </w:rPr>
                          <w:t>vision2020 </w:t>
                        </w:r>
                        <w:r>
                          <w:rPr>
                            <w:color w:val="CA4F1B"/>
                            <w:w w:val="120"/>
                            <w:sz w:val="29"/>
                          </w:rPr>
                          <w:t>Assembly Framework</w:t>
                        </w:r>
                      </w:p>
                      <w:p>
                        <w:pPr>
                          <w:pStyle w:val="TableParagraph"/>
                          <w:numPr>
                            <w:ilvl w:val="0"/>
                            <w:numId w:val="11"/>
                          </w:numPr>
                          <w:tabs>
                            <w:tab w:pos="1446" w:val="left" w:leader="none"/>
                          </w:tabs>
                          <w:spacing w:line="235" w:lineRule="auto" w:before="213" w:after="0"/>
                          <w:ind w:left="1445" w:right="509" w:hanging="341"/>
                          <w:jc w:val="left"/>
                          <w:rPr>
                            <w:sz w:val="20"/>
                          </w:rPr>
                        </w:pPr>
                        <w:r>
                          <w:rPr>
                            <w:i/>
                            <w:spacing w:val="3"/>
                            <w:w w:val="120"/>
                            <w:sz w:val="20"/>
                          </w:rPr>
                          <w:t>vision2020 </w:t>
                        </w:r>
                        <w:r>
                          <w:rPr>
                            <w:w w:val="120"/>
                            <w:sz w:val="20"/>
                          </w:rPr>
                          <w:t>is </w:t>
                        </w:r>
                        <w:r>
                          <w:rPr>
                            <w:spacing w:val="3"/>
                            <w:w w:val="120"/>
                            <w:sz w:val="20"/>
                          </w:rPr>
                          <w:t>not </w:t>
                        </w:r>
                        <w:r>
                          <w:rPr>
                            <w:spacing w:val="4"/>
                            <w:w w:val="120"/>
                            <w:sz w:val="20"/>
                          </w:rPr>
                          <w:t>another </w:t>
                        </w:r>
                        <w:r>
                          <w:rPr>
                            <w:spacing w:val="5"/>
                            <w:w w:val="120"/>
                            <w:sz w:val="20"/>
                          </w:rPr>
                          <w:t>resource-intensive programme </w:t>
                        </w:r>
                        <w:r>
                          <w:rPr>
                            <w:spacing w:val="3"/>
                            <w:w w:val="120"/>
                            <w:sz w:val="20"/>
                          </w:rPr>
                          <w:t>of </w:t>
                        </w:r>
                        <w:r>
                          <w:rPr>
                            <w:spacing w:val="5"/>
                            <w:w w:val="120"/>
                            <w:sz w:val="20"/>
                          </w:rPr>
                          <w:t>Assembly </w:t>
                        </w:r>
                        <w:r>
                          <w:rPr>
                            <w:spacing w:val="6"/>
                            <w:w w:val="120"/>
                            <w:sz w:val="20"/>
                          </w:rPr>
                          <w:t>activity </w:t>
                        </w:r>
                        <w:r>
                          <w:rPr>
                            <w:spacing w:val="3"/>
                            <w:w w:val="120"/>
                            <w:sz w:val="20"/>
                          </w:rPr>
                          <w:t>but </w:t>
                        </w:r>
                        <w:r>
                          <w:rPr>
                            <w:spacing w:val="5"/>
                            <w:w w:val="120"/>
                            <w:sz w:val="20"/>
                          </w:rPr>
                          <w:t>rather </w:t>
                        </w:r>
                        <w:r>
                          <w:rPr>
                            <w:w w:val="120"/>
                            <w:sz w:val="20"/>
                          </w:rPr>
                          <w:t>a </w:t>
                        </w:r>
                        <w:r>
                          <w:rPr>
                            <w:spacing w:val="5"/>
                            <w:w w:val="120"/>
                            <w:sz w:val="20"/>
                          </w:rPr>
                          <w:t>deliberate </w:t>
                        </w:r>
                        <w:r>
                          <w:rPr>
                            <w:spacing w:val="4"/>
                            <w:w w:val="120"/>
                            <w:sz w:val="20"/>
                          </w:rPr>
                          <w:t>and </w:t>
                        </w:r>
                        <w:r>
                          <w:rPr>
                            <w:spacing w:val="5"/>
                            <w:w w:val="120"/>
                            <w:sz w:val="20"/>
                          </w:rPr>
                          <w:t>systematic </w:t>
                        </w:r>
                        <w:r>
                          <w:rPr>
                            <w:spacing w:val="4"/>
                            <w:w w:val="120"/>
                            <w:sz w:val="20"/>
                          </w:rPr>
                          <w:t>attempt </w:t>
                        </w:r>
                        <w:r>
                          <w:rPr>
                            <w:w w:val="120"/>
                            <w:sz w:val="20"/>
                          </w:rPr>
                          <w:t>to </w:t>
                        </w:r>
                        <w:r>
                          <w:rPr>
                            <w:spacing w:val="4"/>
                            <w:w w:val="120"/>
                            <w:sz w:val="20"/>
                          </w:rPr>
                          <w:t>shape </w:t>
                        </w:r>
                        <w:r>
                          <w:rPr>
                            <w:w w:val="120"/>
                            <w:sz w:val="20"/>
                          </w:rPr>
                          <w:t>– </w:t>
                        </w:r>
                        <w:r>
                          <w:rPr>
                            <w:spacing w:val="4"/>
                            <w:w w:val="120"/>
                            <w:sz w:val="20"/>
                          </w:rPr>
                          <w:t>and </w:t>
                        </w:r>
                        <w:r>
                          <w:rPr>
                            <w:spacing w:val="3"/>
                            <w:w w:val="120"/>
                            <w:sz w:val="20"/>
                          </w:rPr>
                          <w:t>go on </w:t>
                        </w:r>
                        <w:r>
                          <w:rPr>
                            <w:spacing w:val="5"/>
                            <w:w w:val="120"/>
                            <w:sz w:val="20"/>
                          </w:rPr>
                          <w:t>re-shaping </w:t>
                        </w:r>
                        <w:r>
                          <w:rPr>
                            <w:w w:val="120"/>
                            <w:sz w:val="20"/>
                          </w:rPr>
                          <w:t>– </w:t>
                        </w:r>
                        <w:r>
                          <w:rPr>
                            <w:spacing w:val="5"/>
                            <w:w w:val="120"/>
                            <w:sz w:val="20"/>
                          </w:rPr>
                          <w:t>existing </w:t>
                        </w:r>
                        <w:r>
                          <w:rPr>
                            <w:spacing w:val="4"/>
                            <w:w w:val="120"/>
                            <w:sz w:val="20"/>
                          </w:rPr>
                          <w:t>and developing </w:t>
                        </w:r>
                        <w:r>
                          <w:rPr>
                            <w:spacing w:val="5"/>
                            <w:w w:val="120"/>
                            <w:sz w:val="20"/>
                          </w:rPr>
                          <w:t>programmes </w:t>
                        </w:r>
                        <w:r>
                          <w:rPr>
                            <w:spacing w:val="3"/>
                            <w:w w:val="120"/>
                            <w:sz w:val="20"/>
                          </w:rPr>
                          <w:t>of </w:t>
                        </w:r>
                        <w:r>
                          <w:rPr>
                            <w:spacing w:val="6"/>
                            <w:w w:val="120"/>
                            <w:sz w:val="20"/>
                          </w:rPr>
                          <w:t>activity </w:t>
                        </w:r>
                        <w:r>
                          <w:rPr>
                            <w:w w:val="120"/>
                            <w:sz w:val="20"/>
                          </w:rPr>
                          <w:t>in </w:t>
                        </w:r>
                        <w:r>
                          <w:rPr>
                            <w:spacing w:val="6"/>
                            <w:w w:val="120"/>
                            <w:sz w:val="20"/>
                          </w:rPr>
                          <w:t>every </w:t>
                        </w:r>
                        <w:r>
                          <w:rPr>
                            <w:spacing w:val="3"/>
                            <w:w w:val="120"/>
                            <w:sz w:val="20"/>
                          </w:rPr>
                          <w:t>council </w:t>
                        </w:r>
                        <w:r>
                          <w:rPr>
                            <w:spacing w:val="4"/>
                            <w:w w:val="120"/>
                            <w:sz w:val="20"/>
                          </w:rPr>
                          <w:t>and committee </w:t>
                        </w:r>
                        <w:r>
                          <w:rPr>
                            <w:spacing w:val="3"/>
                            <w:w w:val="120"/>
                            <w:sz w:val="20"/>
                          </w:rPr>
                          <w:t>of church</w:t>
                        </w:r>
                        <w:r>
                          <w:rPr>
                            <w:spacing w:val="54"/>
                            <w:w w:val="120"/>
                            <w:sz w:val="20"/>
                          </w:rPr>
                          <w:t> </w:t>
                        </w:r>
                        <w:r>
                          <w:rPr>
                            <w:spacing w:val="4"/>
                            <w:w w:val="120"/>
                            <w:sz w:val="20"/>
                          </w:rPr>
                          <w:t>life.</w:t>
                        </w:r>
                      </w:p>
                      <w:p>
                        <w:pPr>
                          <w:pStyle w:val="TableParagraph"/>
                          <w:spacing w:before="11"/>
                          <w:rPr>
                            <w:sz w:val="19"/>
                          </w:rPr>
                        </w:pPr>
                      </w:p>
                      <w:p>
                        <w:pPr>
                          <w:pStyle w:val="TableParagraph"/>
                          <w:numPr>
                            <w:ilvl w:val="0"/>
                            <w:numId w:val="11"/>
                          </w:numPr>
                          <w:tabs>
                            <w:tab w:pos="1446" w:val="left" w:leader="none"/>
                          </w:tabs>
                          <w:spacing w:line="235" w:lineRule="auto" w:before="0" w:after="0"/>
                          <w:ind w:left="1445" w:right="497" w:hanging="341"/>
                          <w:jc w:val="both"/>
                          <w:rPr>
                            <w:sz w:val="20"/>
                          </w:rPr>
                        </w:pPr>
                        <w:r>
                          <w:rPr>
                            <w:spacing w:val="4"/>
                            <w:w w:val="120"/>
                            <w:sz w:val="20"/>
                          </w:rPr>
                          <w:t>The </w:t>
                        </w:r>
                        <w:r>
                          <w:rPr>
                            <w:spacing w:val="5"/>
                            <w:w w:val="120"/>
                            <w:sz w:val="20"/>
                          </w:rPr>
                          <w:t>Assembly Framework </w:t>
                        </w:r>
                        <w:r>
                          <w:rPr>
                            <w:w w:val="120"/>
                            <w:sz w:val="20"/>
                          </w:rPr>
                          <w:t>is </w:t>
                        </w:r>
                        <w:r>
                          <w:rPr>
                            <w:spacing w:val="4"/>
                            <w:w w:val="120"/>
                            <w:sz w:val="20"/>
                          </w:rPr>
                          <w:t>the combination </w:t>
                        </w:r>
                        <w:r>
                          <w:rPr>
                            <w:spacing w:val="3"/>
                            <w:w w:val="120"/>
                            <w:sz w:val="20"/>
                          </w:rPr>
                          <w:t>of </w:t>
                        </w:r>
                        <w:r>
                          <w:rPr>
                            <w:spacing w:val="4"/>
                            <w:w w:val="120"/>
                            <w:sz w:val="20"/>
                          </w:rPr>
                          <w:t>the </w:t>
                        </w:r>
                        <w:r>
                          <w:rPr>
                            <w:spacing w:val="5"/>
                            <w:w w:val="120"/>
                            <w:sz w:val="20"/>
                          </w:rPr>
                          <w:t>statements </w:t>
                        </w:r>
                        <w:r>
                          <w:rPr>
                            <w:spacing w:val="3"/>
                            <w:w w:val="120"/>
                            <w:sz w:val="20"/>
                          </w:rPr>
                          <w:t>of </w:t>
                        </w:r>
                        <w:r>
                          <w:rPr>
                            <w:spacing w:val="4"/>
                            <w:w w:val="120"/>
                            <w:sz w:val="20"/>
                          </w:rPr>
                          <w:t>mission purpose, the guiding </w:t>
                        </w:r>
                        <w:r>
                          <w:rPr>
                            <w:spacing w:val="5"/>
                            <w:w w:val="120"/>
                            <w:sz w:val="20"/>
                          </w:rPr>
                          <w:t>principles </w:t>
                        </w:r>
                        <w:r>
                          <w:rPr>
                            <w:spacing w:val="4"/>
                            <w:w w:val="120"/>
                            <w:sz w:val="20"/>
                          </w:rPr>
                          <w:t>and the resources produced through the Mission </w:t>
                        </w:r>
                        <w:r>
                          <w:rPr>
                            <w:spacing w:val="6"/>
                            <w:w w:val="120"/>
                            <w:sz w:val="20"/>
                          </w:rPr>
                          <w:t>department </w:t>
                        </w:r>
                        <w:r>
                          <w:rPr>
                            <w:w w:val="120"/>
                            <w:sz w:val="20"/>
                          </w:rPr>
                          <w:t>to </w:t>
                        </w:r>
                        <w:r>
                          <w:rPr>
                            <w:spacing w:val="4"/>
                            <w:w w:val="120"/>
                            <w:sz w:val="20"/>
                          </w:rPr>
                          <w:t>guide and steer the </w:t>
                        </w:r>
                        <w:r>
                          <w:rPr>
                            <w:i/>
                            <w:spacing w:val="3"/>
                            <w:w w:val="120"/>
                            <w:sz w:val="20"/>
                          </w:rPr>
                          <w:t>vision2020</w:t>
                        </w:r>
                        <w:r>
                          <w:rPr>
                            <w:i/>
                            <w:spacing w:val="18"/>
                            <w:w w:val="120"/>
                            <w:sz w:val="20"/>
                          </w:rPr>
                          <w:t> </w:t>
                        </w:r>
                        <w:r>
                          <w:rPr>
                            <w:spacing w:val="4"/>
                            <w:w w:val="120"/>
                            <w:sz w:val="20"/>
                          </w:rPr>
                          <w:t>decade.</w:t>
                        </w:r>
                      </w:p>
                      <w:p>
                        <w:pPr>
                          <w:pStyle w:val="TableParagraph"/>
                          <w:spacing w:before="10"/>
                          <w:rPr>
                            <w:sz w:val="19"/>
                          </w:rPr>
                        </w:pPr>
                      </w:p>
                      <w:p>
                        <w:pPr>
                          <w:pStyle w:val="TableParagraph"/>
                          <w:numPr>
                            <w:ilvl w:val="0"/>
                            <w:numId w:val="11"/>
                          </w:numPr>
                          <w:tabs>
                            <w:tab w:pos="1446" w:val="left" w:leader="none"/>
                          </w:tabs>
                          <w:spacing w:line="235" w:lineRule="auto" w:before="0" w:after="0"/>
                          <w:ind w:left="1445" w:right="367" w:hanging="341"/>
                          <w:jc w:val="left"/>
                          <w:rPr>
                            <w:sz w:val="20"/>
                          </w:rPr>
                        </w:pPr>
                        <w:r>
                          <w:rPr>
                            <w:spacing w:val="3"/>
                            <w:w w:val="120"/>
                            <w:sz w:val="20"/>
                          </w:rPr>
                          <w:t>It </w:t>
                        </w:r>
                        <w:r>
                          <w:rPr>
                            <w:spacing w:val="4"/>
                            <w:w w:val="120"/>
                            <w:sz w:val="20"/>
                          </w:rPr>
                          <w:t>will be </w:t>
                        </w:r>
                        <w:r>
                          <w:rPr>
                            <w:spacing w:val="5"/>
                            <w:w w:val="120"/>
                            <w:sz w:val="20"/>
                          </w:rPr>
                          <w:t>supported </w:t>
                        </w:r>
                        <w:r>
                          <w:rPr>
                            <w:w w:val="120"/>
                            <w:sz w:val="20"/>
                          </w:rPr>
                          <w:t>by </w:t>
                        </w:r>
                        <w:r>
                          <w:rPr>
                            <w:spacing w:val="4"/>
                            <w:w w:val="120"/>
                            <w:sz w:val="20"/>
                          </w:rPr>
                          <w:t>the annual Mission Committee </w:t>
                        </w:r>
                        <w:r>
                          <w:rPr>
                            <w:spacing w:val="5"/>
                            <w:w w:val="120"/>
                            <w:sz w:val="20"/>
                          </w:rPr>
                          <w:t>Workplan </w:t>
                        </w:r>
                        <w:r>
                          <w:rPr>
                            <w:spacing w:val="4"/>
                            <w:w w:val="120"/>
                            <w:sz w:val="20"/>
                          </w:rPr>
                          <w:t>and the </w:t>
                        </w:r>
                        <w:r>
                          <w:rPr>
                            <w:spacing w:val="5"/>
                            <w:w w:val="120"/>
                            <w:sz w:val="20"/>
                          </w:rPr>
                          <w:t>activities </w:t>
                        </w:r>
                        <w:r>
                          <w:rPr>
                            <w:spacing w:val="3"/>
                            <w:w w:val="120"/>
                            <w:sz w:val="20"/>
                          </w:rPr>
                          <w:t>of </w:t>
                        </w:r>
                        <w:r>
                          <w:rPr>
                            <w:spacing w:val="4"/>
                            <w:w w:val="120"/>
                            <w:sz w:val="20"/>
                          </w:rPr>
                          <w:t>the Mission </w:t>
                        </w:r>
                        <w:r>
                          <w:rPr>
                            <w:w w:val="120"/>
                            <w:sz w:val="20"/>
                          </w:rPr>
                          <w:t>Team </w:t>
                        </w:r>
                        <w:r>
                          <w:rPr>
                            <w:spacing w:val="4"/>
                            <w:w w:val="120"/>
                            <w:sz w:val="20"/>
                          </w:rPr>
                          <w:t>and </w:t>
                        </w:r>
                        <w:r>
                          <w:rPr>
                            <w:spacing w:val="5"/>
                            <w:w w:val="120"/>
                            <w:sz w:val="20"/>
                          </w:rPr>
                          <w:t>its programmes </w:t>
                        </w:r>
                        <w:r>
                          <w:rPr>
                            <w:spacing w:val="3"/>
                            <w:w w:val="120"/>
                            <w:sz w:val="20"/>
                          </w:rPr>
                          <w:t>but </w:t>
                        </w:r>
                        <w:r>
                          <w:rPr>
                            <w:spacing w:val="5"/>
                            <w:w w:val="120"/>
                            <w:sz w:val="20"/>
                          </w:rPr>
                          <w:t>its </w:t>
                        </w:r>
                        <w:r>
                          <w:rPr>
                            <w:spacing w:val="4"/>
                            <w:w w:val="120"/>
                            <w:sz w:val="20"/>
                          </w:rPr>
                          <w:t>real </w:t>
                        </w:r>
                        <w:r>
                          <w:rPr>
                            <w:spacing w:val="5"/>
                            <w:w w:val="120"/>
                            <w:sz w:val="20"/>
                          </w:rPr>
                          <w:t>strength </w:t>
                        </w:r>
                        <w:r>
                          <w:rPr>
                            <w:spacing w:val="4"/>
                            <w:w w:val="120"/>
                            <w:sz w:val="20"/>
                          </w:rPr>
                          <w:t>will </w:t>
                        </w:r>
                        <w:r>
                          <w:rPr>
                            <w:spacing w:val="3"/>
                            <w:w w:val="120"/>
                            <w:sz w:val="20"/>
                          </w:rPr>
                          <w:t>lie </w:t>
                        </w:r>
                        <w:r>
                          <w:rPr>
                            <w:w w:val="120"/>
                            <w:sz w:val="20"/>
                          </w:rPr>
                          <w:t>in </w:t>
                        </w:r>
                        <w:r>
                          <w:rPr>
                            <w:spacing w:val="3"/>
                            <w:w w:val="120"/>
                            <w:sz w:val="20"/>
                          </w:rPr>
                          <w:t>how </w:t>
                        </w:r>
                        <w:r>
                          <w:rPr>
                            <w:spacing w:val="4"/>
                            <w:w w:val="120"/>
                            <w:sz w:val="20"/>
                          </w:rPr>
                          <w:t>far </w:t>
                        </w:r>
                        <w:r>
                          <w:rPr>
                            <w:w w:val="120"/>
                            <w:sz w:val="20"/>
                          </w:rPr>
                          <w:t>it </w:t>
                        </w:r>
                        <w:r>
                          <w:rPr>
                            <w:spacing w:val="5"/>
                            <w:w w:val="120"/>
                            <w:sz w:val="20"/>
                          </w:rPr>
                          <w:t>nurtures </w:t>
                        </w:r>
                        <w:r>
                          <w:rPr>
                            <w:spacing w:val="4"/>
                            <w:w w:val="120"/>
                            <w:sz w:val="20"/>
                          </w:rPr>
                          <w:t>and </w:t>
                        </w:r>
                        <w:r>
                          <w:rPr>
                            <w:spacing w:val="5"/>
                            <w:w w:val="120"/>
                            <w:sz w:val="20"/>
                          </w:rPr>
                          <w:t>enables </w:t>
                        </w:r>
                        <w:r>
                          <w:rPr>
                            <w:spacing w:val="4"/>
                            <w:w w:val="120"/>
                            <w:sz w:val="20"/>
                          </w:rPr>
                          <w:t>mission planning and </w:t>
                        </w:r>
                        <w:r>
                          <w:rPr>
                            <w:spacing w:val="5"/>
                            <w:w w:val="120"/>
                            <w:sz w:val="20"/>
                          </w:rPr>
                          <w:t>action </w:t>
                        </w:r>
                        <w:r>
                          <w:rPr>
                            <w:w w:val="120"/>
                            <w:sz w:val="20"/>
                          </w:rPr>
                          <w:t>in </w:t>
                        </w:r>
                        <w:r>
                          <w:rPr>
                            <w:spacing w:val="5"/>
                            <w:w w:val="120"/>
                            <w:sz w:val="20"/>
                          </w:rPr>
                          <w:t>local </w:t>
                        </w:r>
                        <w:r>
                          <w:rPr>
                            <w:spacing w:val="4"/>
                            <w:w w:val="120"/>
                            <w:sz w:val="20"/>
                          </w:rPr>
                          <w:t>churches and</w:t>
                        </w:r>
                        <w:r>
                          <w:rPr>
                            <w:spacing w:val="22"/>
                            <w:w w:val="120"/>
                            <w:sz w:val="20"/>
                          </w:rPr>
                          <w:t> </w:t>
                        </w:r>
                        <w:r>
                          <w:rPr>
                            <w:spacing w:val="5"/>
                            <w:w w:val="120"/>
                            <w:sz w:val="20"/>
                          </w:rPr>
                          <w:t>synods.</w:t>
                        </w:r>
                      </w:p>
                      <w:p>
                        <w:pPr>
                          <w:pStyle w:val="TableParagraph"/>
                          <w:spacing w:before="11"/>
                          <w:rPr>
                            <w:sz w:val="19"/>
                          </w:rPr>
                        </w:pPr>
                      </w:p>
                      <w:p>
                        <w:pPr>
                          <w:pStyle w:val="TableParagraph"/>
                          <w:numPr>
                            <w:ilvl w:val="0"/>
                            <w:numId w:val="11"/>
                          </w:numPr>
                          <w:tabs>
                            <w:tab w:pos="1446" w:val="left" w:leader="none"/>
                          </w:tabs>
                          <w:spacing w:line="235" w:lineRule="auto" w:before="0" w:after="0"/>
                          <w:ind w:left="1445" w:right="290" w:hanging="341"/>
                          <w:jc w:val="left"/>
                          <w:rPr>
                            <w:sz w:val="20"/>
                          </w:rPr>
                        </w:pPr>
                        <w:r>
                          <w:rPr>
                            <w:w w:val="120"/>
                            <w:sz w:val="20"/>
                          </w:rPr>
                          <w:t>A  </w:t>
                        </w:r>
                        <w:r>
                          <w:rPr>
                            <w:spacing w:val="5"/>
                            <w:w w:val="120"/>
                            <w:sz w:val="20"/>
                          </w:rPr>
                          <w:t>series </w:t>
                        </w:r>
                        <w:r>
                          <w:rPr>
                            <w:spacing w:val="3"/>
                            <w:w w:val="120"/>
                            <w:sz w:val="20"/>
                          </w:rPr>
                          <w:t>of </w:t>
                        </w:r>
                        <w:r>
                          <w:rPr>
                            <w:spacing w:val="5"/>
                            <w:w w:val="120"/>
                            <w:sz w:val="20"/>
                          </w:rPr>
                          <w:t>Assembly-level </w:t>
                        </w:r>
                        <w:r>
                          <w:rPr>
                            <w:spacing w:val="4"/>
                            <w:w w:val="120"/>
                            <w:sz w:val="20"/>
                          </w:rPr>
                          <w:t>indicators can be </w:t>
                        </w:r>
                        <w:r>
                          <w:rPr>
                            <w:spacing w:val="3"/>
                            <w:w w:val="120"/>
                            <w:sz w:val="20"/>
                          </w:rPr>
                          <w:t>used </w:t>
                        </w:r>
                        <w:r>
                          <w:rPr>
                            <w:w w:val="120"/>
                            <w:sz w:val="20"/>
                          </w:rPr>
                          <w:t>to  </w:t>
                        </w:r>
                        <w:r>
                          <w:rPr>
                            <w:spacing w:val="4"/>
                            <w:w w:val="120"/>
                            <w:sz w:val="20"/>
                          </w:rPr>
                          <w:t>celebrate and </w:t>
                        </w:r>
                        <w:r>
                          <w:rPr>
                            <w:spacing w:val="6"/>
                            <w:w w:val="120"/>
                            <w:sz w:val="20"/>
                          </w:rPr>
                          <w:t>reflect </w:t>
                        </w:r>
                        <w:r>
                          <w:rPr>
                            <w:spacing w:val="3"/>
                            <w:w w:val="120"/>
                            <w:sz w:val="20"/>
                          </w:rPr>
                          <w:t>on </w:t>
                        </w:r>
                        <w:r>
                          <w:rPr>
                            <w:spacing w:val="5"/>
                            <w:w w:val="120"/>
                            <w:sz w:val="20"/>
                          </w:rPr>
                          <w:t>progress </w:t>
                        </w:r>
                        <w:r>
                          <w:rPr>
                            <w:spacing w:val="4"/>
                            <w:w w:val="120"/>
                            <w:sz w:val="20"/>
                          </w:rPr>
                          <w:t>and might </w:t>
                        </w:r>
                        <w:r>
                          <w:rPr>
                            <w:spacing w:val="5"/>
                            <w:w w:val="120"/>
                            <w:sz w:val="20"/>
                          </w:rPr>
                          <w:t>act </w:t>
                        </w:r>
                        <w:r>
                          <w:rPr>
                            <w:w w:val="120"/>
                            <w:sz w:val="20"/>
                          </w:rPr>
                          <w:t>as a </w:t>
                        </w:r>
                        <w:r>
                          <w:rPr>
                            <w:spacing w:val="5"/>
                            <w:w w:val="120"/>
                            <w:sz w:val="20"/>
                          </w:rPr>
                          <w:t>denominational </w:t>
                        </w:r>
                        <w:r>
                          <w:rPr>
                            <w:spacing w:val="3"/>
                            <w:w w:val="120"/>
                            <w:sz w:val="20"/>
                          </w:rPr>
                          <w:t>‘covenant’ </w:t>
                        </w:r>
                        <w:r>
                          <w:rPr>
                            <w:spacing w:val="2"/>
                            <w:w w:val="120"/>
                            <w:sz w:val="20"/>
                          </w:rPr>
                          <w:t>(these </w:t>
                        </w:r>
                        <w:r>
                          <w:rPr>
                            <w:spacing w:val="4"/>
                            <w:w w:val="120"/>
                            <w:sz w:val="20"/>
                          </w:rPr>
                          <w:t>indicators </w:t>
                        </w:r>
                        <w:r>
                          <w:rPr>
                            <w:spacing w:val="3"/>
                            <w:w w:val="120"/>
                            <w:sz w:val="20"/>
                          </w:rPr>
                          <w:t>could</w:t>
                        </w:r>
                        <w:r>
                          <w:rPr>
                            <w:spacing w:val="15"/>
                            <w:w w:val="120"/>
                            <w:sz w:val="20"/>
                          </w:rPr>
                          <w:t> </w:t>
                        </w:r>
                        <w:r>
                          <w:rPr>
                            <w:spacing w:val="4"/>
                            <w:w w:val="120"/>
                            <w:sz w:val="20"/>
                          </w:rPr>
                          <w:t>simply</w:t>
                        </w:r>
                        <w:r>
                          <w:rPr>
                            <w:spacing w:val="16"/>
                            <w:w w:val="120"/>
                            <w:sz w:val="20"/>
                          </w:rPr>
                          <w:t> </w:t>
                        </w:r>
                        <w:r>
                          <w:rPr>
                            <w:spacing w:val="4"/>
                            <w:w w:val="120"/>
                            <w:sz w:val="20"/>
                          </w:rPr>
                          <w:t>be</w:t>
                        </w:r>
                        <w:r>
                          <w:rPr>
                            <w:spacing w:val="15"/>
                            <w:w w:val="120"/>
                            <w:sz w:val="20"/>
                          </w:rPr>
                          <w:t> </w:t>
                        </w:r>
                        <w:r>
                          <w:rPr>
                            <w:w w:val="120"/>
                            <w:sz w:val="20"/>
                          </w:rPr>
                          <w:t>a</w:t>
                        </w:r>
                        <w:r>
                          <w:rPr>
                            <w:spacing w:val="16"/>
                            <w:w w:val="120"/>
                            <w:sz w:val="20"/>
                          </w:rPr>
                          <w:t> </w:t>
                        </w:r>
                        <w:r>
                          <w:rPr>
                            <w:w w:val="120"/>
                            <w:sz w:val="20"/>
                          </w:rPr>
                          <w:t>‘collation’</w:t>
                        </w:r>
                        <w:r>
                          <w:rPr>
                            <w:spacing w:val="15"/>
                            <w:w w:val="120"/>
                            <w:sz w:val="20"/>
                          </w:rPr>
                          <w:t> </w:t>
                        </w:r>
                        <w:r>
                          <w:rPr>
                            <w:spacing w:val="3"/>
                            <w:w w:val="120"/>
                            <w:sz w:val="20"/>
                          </w:rPr>
                          <w:t>of</w:t>
                        </w:r>
                        <w:r>
                          <w:rPr>
                            <w:spacing w:val="16"/>
                            <w:w w:val="120"/>
                            <w:sz w:val="20"/>
                          </w:rPr>
                          <w:t> </w:t>
                        </w:r>
                        <w:r>
                          <w:rPr>
                            <w:spacing w:val="3"/>
                            <w:w w:val="120"/>
                            <w:sz w:val="20"/>
                          </w:rPr>
                          <w:t>all</w:t>
                        </w:r>
                        <w:r>
                          <w:rPr>
                            <w:spacing w:val="16"/>
                            <w:w w:val="120"/>
                            <w:sz w:val="20"/>
                          </w:rPr>
                          <w:t> </w:t>
                        </w:r>
                        <w:r>
                          <w:rPr>
                            <w:spacing w:val="4"/>
                            <w:w w:val="120"/>
                            <w:sz w:val="20"/>
                          </w:rPr>
                          <w:t>the</w:t>
                        </w:r>
                        <w:r>
                          <w:rPr>
                            <w:spacing w:val="16"/>
                            <w:w w:val="120"/>
                            <w:sz w:val="20"/>
                          </w:rPr>
                          <w:t> </w:t>
                        </w:r>
                        <w:r>
                          <w:rPr>
                            <w:spacing w:val="5"/>
                            <w:w w:val="120"/>
                            <w:sz w:val="20"/>
                          </w:rPr>
                          <w:t>synod</w:t>
                        </w:r>
                        <w:r>
                          <w:rPr>
                            <w:spacing w:val="16"/>
                            <w:w w:val="120"/>
                            <w:sz w:val="20"/>
                          </w:rPr>
                          <w:t> </w:t>
                        </w:r>
                        <w:r>
                          <w:rPr>
                            <w:spacing w:val="3"/>
                            <w:w w:val="120"/>
                            <w:sz w:val="20"/>
                          </w:rPr>
                          <w:t>indicators).</w:t>
                        </w:r>
                      </w:p>
                    </w:tc>
                  </w:tr>
                  <w:tr>
                    <w:trPr>
                      <w:trHeight w:val="6754" w:hRule="atLeast"/>
                    </w:trPr>
                    <w:tc>
                      <w:tcPr>
                        <w:tcW w:w="359" w:type="dxa"/>
                        <w:tcBorders>
                          <w:top w:val="single" w:sz="8" w:space="0" w:color="CA4F1B"/>
                          <w:right w:val="dotted" w:sz="8" w:space="0" w:color="868685"/>
                        </w:tcBorders>
                      </w:tcPr>
                      <w:p>
                        <w:pPr>
                          <w:pStyle w:val="TableParagraph"/>
                          <w:rPr>
                            <w:rFonts w:ascii="Times New Roman"/>
                            <w:sz w:val="22"/>
                          </w:rPr>
                        </w:pPr>
                      </w:p>
                    </w:tc>
                    <w:tc>
                      <w:tcPr>
                        <w:tcW w:w="9195" w:type="dxa"/>
                        <w:tcBorders>
                          <w:top w:val="single" w:sz="8" w:space="0" w:color="CA4F1B"/>
                          <w:left w:val="dotted" w:sz="8" w:space="0" w:color="868685"/>
                        </w:tcBorders>
                      </w:tcPr>
                      <w:p>
                        <w:pPr>
                          <w:pStyle w:val="TableParagraph"/>
                          <w:spacing w:before="11"/>
                          <w:rPr>
                            <w:sz w:val="27"/>
                          </w:rPr>
                        </w:pPr>
                      </w:p>
                      <w:p>
                        <w:pPr>
                          <w:pStyle w:val="TableParagraph"/>
                          <w:numPr>
                            <w:ilvl w:val="0"/>
                            <w:numId w:val="12"/>
                          </w:numPr>
                          <w:tabs>
                            <w:tab w:pos="1117" w:val="left" w:leader="none"/>
                          </w:tabs>
                          <w:spacing w:line="240" w:lineRule="auto" w:before="1" w:after="0"/>
                          <w:ind w:left="1116" w:right="0" w:hanging="721"/>
                          <w:jc w:val="both"/>
                          <w:rPr>
                            <w:rFonts w:ascii="Stone Sans II ITC Std Bk"/>
                            <w:b/>
                            <w:sz w:val="21"/>
                          </w:rPr>
                        </w:pPr>
                        <w:r>
                          <w:rPr>
                            <w:rFonts w:ascii="Stone Sans II ITC Std Bk"/>
                            <w:b/>
                            <w:w w:val="115"/>
                            <w:sz w:val="21"/>
                          </w:rPr>
                          <w:t>Implementation / resources /</w:t>
                        </w:r>
                        <w:r>
                          <w:rPr>
                            <w:rFonts w:ascii="Stone Sans II ITC Std Bk"/>
                            <w:b/>
                            <w:spacing w:val="-10"/>
                            <w:w w:val="115"/>
                            <w:sz w:val="21"/>
                          </w:rPr>
                          <w:t> </w:t>
                        </w:r>
                        <w:r>
                          <w:rPr>
                            <w:rFonts w:ascii="Stone Sans II ITC Std Bk"/>
                            <w:b/>
                            <w:w w:val="115"/>
                            <w:sz w:val="21"/>
                          </w:rPr>
                          <w:t>communications</w:t>
                        </w:r>
                      </w:p>
                      <w:p>
                        <w:pPr>
                          <w:pStyle w:val="TableParagraph"/>
                          <w:numPr>
                            <w:ilvl w:val="1"/>
                            <w:numId w:val="12"/>
                          </w:numPr>
                          <w:tabs>
                            <w:tab w:pos="1077" w:val="left" w:leader="none"/>
                          </w:tabs>
                          <w:spacing w:line="235" w:lineRule="auto" w:before="222" w:after="0"/>
                          <w:ind w:left="396" w:right="417" w:firstLine="0"/>
                          <w:jc w:val="both"/>
                          <w:rPr>
                            <w:sz w:val="20"/>
                          </w:rPr>
                        </w:pPr>
                        <w:r>
                          <w:rPr>
                            <w:w w:val="120"/>
                            <w:sz w:val="20"/>
                          </w:rPr>
                          <w:t>The implementation of </w:t>
                        </w:r>
                        <w:r>
                          <w:rPr>
                            <w:i/>
                            <w:w w:val="120"/>
                            <w:sz w:val="20"/>
                          </w:rPr>
                          <w:t>vision2020 </w:t>
                        </w:r>
                        <w:r>
                          <w:rPr>
                            <w:w w:val="120"/>
                            <w:sz w:val="20"/>
                          </w:rPr>
                          <w:t>needs to follow the principles set out in the sections above, not least the challenge to every council and committee of the church to</w:t>
                        </w:r>
                        <w:r>
                          <w:rPr>
                            <w:spacing w:val="-7"/>
                            <w:w w:val="120"/>
                            <w:sz w:val="20"/>
                          </w:rPr>
                          <w:t> </w:t>
                        </w:r>
                        <w:r>
                          <w:rPr>
                            <w:w w:val="120"/>
                            <w:sz w:val="20"/>
                          </w:rPr>
                          <w:t>work</w:t>
                        </w:r>
                        <w:r>
                          <w:rPr>
                            <w:spacing w:val="-6"/>
                            <w:w w:val="120"/>
                            <w:sz w:val="20"/>
                          </w:rPr>
                          <w:t> </w:t>
                        </w:r>
                        <w:r>
                          <w:rPr>
                            <w:w w:val="120"/>
                            <w:sz w:val="20"/>
                          </w:rPr>
                          <w:t>out</w:t>
                        </w:r>
                        <w:r>
                          <w:rPr>
                            <w:spacing w:val="-7"/>
                            <w:w w:val="120"/>
                            <w:sz w:val="20"/>
                          </w:rPr>
                          <w:t> </w:t>
                        </w:r>
                        <w:r>
                          <w:rPr>
                            <w:w w:val="120"/>
                            <w:sz w:val="20"/>
                          </w:rPr>
                          <w:t>for</w:t>
                        </w:r>
                        <w:r>
                          <w:rPr>
                            <w:spacing w:val="-6"/>
                            <w:w w:val="120"/>
                            <w:sz w:val="20"/>
                          </w:rPr>
                          <w:t> </w:t>
                        </w:r>
                        <w:r>
                          <w:rPr>
                            <w:w w:val="120"/>
                            <w:sz w:val="20"/>
                          </w:rPr>
                          <w:t>itself</w:t>
                        </w:r>
                        <w:r>
                          <w:rPr>
                            <w:spacing w:val="-7"/>
                            <w:w w:val="120"/>
                            <w:sz w:val="20"/>
                          </w:rPr>
                          <w:t> </w:t>
                        </w:r>
                        <w:r>
                          <w:rPr>
                            <w:w w:val="120"/>
                            <w:sz w:val="20"/>
                          </w:rPr>
                          <w:t>the</w:t>
                        </w:r>
                        <w:r>
                          <w:rPr>
                            <w:spacing w:val="-7"/>
                            <w:w w:val="120"/>
                            <w:sz w:val="20"/>
                          </w:rPr>
                          <w:t> </w:t>
                        </w:r>
                        <w:r>
                          <w:rPr>
                            <w:w w:val="120"/>
                            <w:sz w:val="20"/>
                          </w:rPr>
                          <w:t>implications</w:t>
                        </w:r>
                        <w:r>
                          <w:rPr>
                            <w:spacing w:val="-6"/>
                            <w:w w:val="120"/>
                            <w:sz w:val="20"/>
                          </w:rPr>
                          <w:t> </w:t>
                        </w:r>
                        <w:r>
                          <w:rPr>
                            <w:w w:val="120"/>
                            <w:sz w:val="20"/>
                          </w:rPr>
                          <w:t>of</w:t>
                        </w:r>
                        <w:r>
                          <w:rPr>
                            <w:spacing w:val="-7"/>
                            <w:w w:val="120"/>
                            <w:sz w:val="20"/>
                          </w:rPr>
                          <w:t> </w:t>
                        </w:r>
                        <w:r>
                          <w:rPr>
                            <w:w w:val="120"/>
                            <w:sz w:val="20"/>
                          </w:rPr>
                          <w:t>the</w:t>
                        </w:r>
                        <w:r>
                          <w:rPr>
                            <w:spacing w:val="-6"/>
                            <w:w w:val="120"/>
                            <w:sz w:val="20"/>
                          </w:rPr>
                          <w:t> </w:t>
                        </w:r>
                        <w:r>
                          <w:rPr>
                            <w:i/>
                            <w:w w:val="120"/>
                            <w:sz w:val="20"/>
                          </w:rPr>
                          <w:t>vision2020</w:t>
                        </w:r>
                        <w:r>
                          <w:rPr>
                            <w:i/>
                            <w:spacing w:val="-7"/>
                            <w:w w:val="120"/>
                            <w:sz w:val="20"/>
                          </w:rPr>
                          <w:t> </w:t>
                        </w:r>
                        <w:r>
                          <w:rPr>
                            <w:w w:val="120"/>
                            <w:sz w:val="20"/>
                          </w:rPr>
                          <w:t>statements</w:t>
                        </w:r>
                        <w:r>
                          <w:rPr>
                            <w:spacing w:val="-6"/>
                            <w:w w:val="120"/>
                            <w:sz w:val="20"/>
                          </w:rPr>
                          <w:t> </w:t>
                        </w:r>
                        <w:r>
                          <w:rPr>
                            <w:w w:val="120"/>
                            <w:sz w:val="20"/>
                          </w:rPr>
                          <w:t>of</w:t>
                        </w:r>
                        <w:r>
                          <w:rPr>
                            <w:spacing w:val="-7"/>
                            <w:w w:val="120"/>
                            <w:sz w:val="20"/>
                          </w:rPr>
                          <w:t> </w:t>
                        </w:r>
                        <w:r>
                          <w:rPr>
                            <w:w w:val="120"/>
                            <w:sz w:val="20"/>
                          </w:rPr>
                          <w:t>mission</w:t>
                        </w:r>
                        <w:r>
                          <w:rPr>
                            <w:spacing w:val="-6"/>
                            <w:w w:val="120"/>
                            <w:sz w:val="20"/>
                          </w:rPr>
                          <w:t> </w:t>
                        </w:r>
                        <w:r>
                          <w:rPr>
                            <w:w w:val="120"/>
                            <w:sz w:val="20"/>
                          </w:rPr>
                          <w:t>purpose for its own</w:t>
                        </w:r>
                        <w:r>
                          <w:rPr>
                            <w:spacing w:val="5"/>
                            <w:w w:val="120"/>
                            <w:sz w:val="20"/>
                          </w:rPr>
                          <w:t> </w:t>
                        </w:r>
                        <w:r>
                          <w:rPr>
                            <w:w w:val="120"/>
                            <w:sz w:val="20"/>
                          </w:rPr>
                          <w:t>context.</w:t>
                        </w:r>
                      </w:p>
                      <w:p>
                        <w:pPr>
                          <w:pStyle w:val="TableParagraph"/>
                          <w:spacing w:before="11"/>
                          <w:rPr>
                            <w:sz w:val="19"/>
                          </w:rPr>
                        </w:pPr>
                      </w:p>
                      <w:p>
                        <w:pPr>
                          <w:pStyle w:val="TableParagraph"/>
                          <w:numPr>
                            <w:ilvl w:val="1"/>
                            <w:numId w:val="12"/>
                          </w:numPr>
                          <w:tabs>
                            <w:tab w:pos="1076" w:val="left" w:leader="none"/>
                            <w:tab w:pos="1077" w:val="left" w:leader="none"/>
                          </w:tabs>
                          <w:spacing w:line="235" w:lineRule="auto" w:before="0" w:after="0"/>
                          <w:ind w:left="396" w:right="339" w:firstLine="0"/>
                          <w:jc w:val="left"/>
                          <w:rPr>
                            <w:sz w:val="20"/>
                          </w:rPr>
                        </w:pPr>
                        <w:r>
                          <w:rPr>
                            <w:spacing w:val="4"/>
                            <w:w w:val="120"/>
                            <w:sz w:val="20"/>
                          </w:rPr>
                          <w:t>As </w:t>
                        </w:r>
                        <w:r>
                          <w:rPr>
                            <w:w w:val="120"/>
                            <w:sz w:val="20"/>
                          </w:rPr>
                          <w:t>stated above, all of the work of the Mission </w:t>
                        </w:r>
                        <w:r>
                          <w:rPr>
                            <w:spacing w:val="3"/>
                            <w:w w:val="120"/>
                            <w:sz w:val="20"/>
                          </w:rPr>
                          <w:t>Department </w:t>
                        </w:r>
                        <w:r>
                          <w:rPr>
                            <w:w w:val="120"/>
                            <w:sz w:val="20"/>
                          </w:rPr>
                          <w:t>will be gradually </w:t>
                        </w:r>
                        <w:r>
                          <w:rPr>
                            <w:spacing w:val="3"/>
                            <w:w w:val="120"/>
                            <w:sz w:val="20"/>
                          </w:rPr>
                          <w:t>re-orientated </w:t>
                        </w:r>
                        <w:r>
                          <w:rPr>
                            <w:w w:val="120"/>
                            <w:sz w:val="20"/>
                          </w:rPr>
                          <w:t>around the Assembly Framework and already, for example, the </w:t>
                        </w:r>
                        <w:r>
                          <w:rPr>
                            <w:spacing w:val="3"/>
                            <w:w w:val="120"/>
                            <w:sz w:val="20"/>
                          </w:rPr>
                          <w:t>variety </w:t>
                        </w:r>
                        <w:r>
                          <w:rPr>
                            <w:w w:val="120"/>
                            <w:sz w:val="20"/>
                          </w:rPr>
                          <w:t>of </w:t>
                        </w:r>
                        <w:r>
                          <w:rPr>
                            <w:spacing w:val="3"/>
                            <w:w w:val="120"/>
                            <w:sz w:val="20"/>
                          </w:rPr>
                          <w:t>grants </w:t>
                        </w:r>
                        <w:r>
                          <w:rPr>
                            <w:w w:val="120"/>
                            <w:sz w:val="20"/>
                          </w:rPr>
                          <w:t>under committee oversight has been </w:t>
                        </w:r>
                        <w:r>
                          <w:rPr>
                            <w:spacing w:val="3"/>
                            <w:w w:val="120"/>
                            <w:sz w:val="20"/>
                          </w:rPr>
                          <w:t>restructured </w:t>
                        </w:r>
                        <w:r>
                          <w:rPr>
                            <w:w w:val="120"/>
                            <w:sz w:val="20"/>
                          </w:rPr>
                          <w:t>as a </w:t>
                        </w:r>
                        <w:r>
                          <w:rPr>
                            <w:i/>
                            <w:w w:val="120"/>
                            <w:sz w:val="20"/>
                          </w:rPr>
                          <w:t>vision2020 </w:t>
                        </w:r>
                        <w:r>
                          <w:rPr>
                            <w:w w:val="120"/>
                            <w:sz w:val="20"/>
                          </w:rPr>
                          <w:t>Mission </w:t>
                        </w:r>
                        <w:r>
                          <w:rPr>
                            <w:spacing w:val="3"/>
                            <w:w w:val="120"/>
                            <w:sz w:val="20"/>
                          </w:rPr>
                          <w:t>Grants</w:t>
                        </w:r>
                        <w:r>
                          <w:rPr>
                            <w:spacing w:val="6"/>
                            <w:w w:val="120"/>
                            <w:sz w:val="20"/>
                          </w:rPr>
                          <w:t> </w:t>
                        </w:r>
                        <w:r>
                          <w:rPr>
                            <w:w w:val="120"/>
                            <w:sz w:val="20"/>
                          </w:rPr>
                          <w:t>Programme.</w:t>
                        </w:r>
                      </w:p>
                      <w:p>
                        <w:pPr>
                          <w:pStyle w:val="TableParagraph"/>
                          <w:spacing w:before="7"/>
                          <w:rPr>
                            <w:sz w:val="19"/>
                          </w:rPr>
                        </w:pPr>
                      </w:p>
                      <w:p>
                        <w:pPr>
                          <w:pStyle w:val="TableParagraph"/>
                          <w:numPr>
                            <w:ilvl w:val="1"/>
                            <w:numId w:val="12"/>
                          </w:numPr>
                          <w:tabs>
                            <w:tab w:pos="1076" w:val="left" w:leader="none"/>
                            <w:tab w:pos="1077" w:val="left" w:leader="none"/>
                          </w:tabs>
                          <w:spacing w:line="240" w:lineRule="auto" w:before="0" w:after="0"/>
                          <w:ind w:left="1076" w:right="0" w:hanging="681"/>
                          <w:jc w:val="left"/>
                          <w:rPr>
                            <w:sz w:val="20"/>
                          </w:rPr>
                        </w:pPr>
                        <w:r>
                          <w:rPr>
                            <w:spacing w:val="-7"/>
                            <w:w w:val="120"/>
                            <w:sz w:val="20"/>
                          </w:rPr>
                          <w:t>To </w:t>
                        </w:r>
                        <w:r>
                          <w:rPr>
                            <w:w w:val="120"/>
                            <w:sz w:val="20"/>
                          </w:rPr>
                          <w:t>this end the first priority for </w:t>
                        </w:r>
                        <w:r>
                          <w:rPr>
                            <w:i/>
                            <w:w w:val="120"/>
                            <w:sz w:val="20"/>
                          </w:rPr>
                          <w:t>vision2020 </w:t>
                        </w:r>
                        <w:r>
                          <w:rPr>
                            <w:w w:val="120"/>
                            <w:sz w:val="20"/>
                          </w:rPr>
                          <w:t>implementation will</w:t>
                        </w:r>
                        <w:r>
                          <w:rPr>
                            <w:spacing w:val="12"/>
                            <w:w w:val="120"/>
                            <w:sz w:val="20"/>
                          </w:rPr>
                          <w:t> </w:t>
                        </w:r>
                        <w:r>
                          <w:rPr>
                            <w:w w:val="120"/>
                            <w:sz w:val="20"/>
                          </w:rPr>
                          <w:t>be:</w:t>
                        </w:r>
                      </w:p>
                      <w:p>
                        <w:pPr>
                          <w:pStyle w:val="TableParagraph"/>
                          <w:spacing w:before="8"/>
                          <w:rPr>
                            <w:sz w:val="19"/>
                          </w:rPr>
                        </w:pPr>
                      </w:p>
                      <w:p>
                        <w:pPr>
                          <w:pStyle w:val="TableParagraph"/>
                          <w:numPr>
                            <w:ilvl w:val="0"/>
                            <w:numId w:val="13"/>
                          </w:numPr>
                          <w:tabs>
                            <w:tab w:pos="1076" w:val="left" w:leader="none"/>
                            <w:tab w:pos="1077" w:val="left" w:leader="none"/>
                          </w:tabs>
                          <w:spacing w:line="235" w:lineRule="auto" w:before="0" w:after="0"/>
                          <w:ind w:left="1076" w:right="5" w:hanging="681"/>
                          <w:jc w:val="left"/>
                          <w:rPr>
                            <w:sz w:val="20"/>
                          </w:rPr>
                        </w:pPr>
                        <w:r>
                          <w:rPr>
                            <w:spacing w:val="-7"/>
                            <w:w w:val="120"/>
                            <w:sz w:val="20"/>
                          </w:rPr>
                          <w:t>To </w:t>
                        </w:r>
                        <w:r>
                          <w:rPr>
                            <w:w w:val="120"/>
                            <w:sz w:val="20"/>
                          </w:rPr>
                          <w:t>work with each synod and each Assembly Committee to help them devise their own response to</w:t>
                        </w:r>
                        <w:r>
                          <w:rPr>
                            <w:spacing w:val="4"/>
                            <w:w w:val="120"/>
                            <w:sz w:val="20"/>
                          </w:rPr>
                          <w:t> </w:t>
                        </w:r>
                        <w:r>
                          <w:rPr>
                            <w:i/>
                            <w:spacing w:val="-3"/>
                            <w:w w:val="120"/>
                            <w:sz w:val="20"/>
                          </w:rPr>
                          <w:t>vision2020</w:t>
                        </w:r>
                        <w:r>
                          <w:rPr>
                            <w:spacing w:val="-3"/>
                            <w:w w:val="120"/>
                            <w:sz w:val="20"/>
                          </w:rPr>
                          <w:t>.</w:t>
                        </w:r>
                      </w:p>
                      <w:p>
                        <w:pPr>
                          <w:pStyle w:val="TableParagraph"/>
                          <w:spacing w:before="5"/>
                          <w:rPr>
                            <w:sz w:val="19"/>
                          </w:rPr>
                        </w:pPr>
                      </w:p>
                      <w:p>
                        <w:pPr>
                          <w:pStyle w:val="TableParagraph"/>
                          <w:spacing w:before="1"/>
                          <w:ind w:left="396"/>
                          <w:rPr>
                            <w:sz w:val="20"/>
                          </w:rPr>
                        </w:pPr>
                        <w:r>
                          <w:rPr>
                            <w:w w:val="120"/>
                            <w:sz w:val="20"/>
                          </w:rPr>
                          <w:t>Beyond this, key aspects of implementation are as follows:</w:t>
                        </w:r>
                      </w:p>
                      <w:p>
                        <w:pPr>
                          <w:pStyle w:val="TableParagraph"/>
                          <w:spacing w:before="7"/>
                          <w:rPr>
                            <w:sz w:val="19"/>
                          </w:rPr>
                        </w:pPr>
                      </w:p>
                      <w:p>
                        <w:pPr>
                          <w:pStyle w:val="TableParagraph"/>
                          <w:numPr>
                            <w:ilvl w:val="0"/>
                            <w:numId w:val="13"/>
                          </w:numPr>
                          <w:tabs>
                            <w:tab w:pos="1076" w:val="left" w:leader="none"/>
                            <w:tab w:pos="1077" w:val="left" w:leader="none"/>
                          </w:tabs>
                          <w:spacing w:line="235" w:lineRule="auto" w:before="0" w:after="0"/>
                          <w:ind w:left="1076" w:right="22" w:hanging="681"/>
                          <w:jc w:val="left"/>
                          <w:rPr>
                            <w:sz w:val="20"/>
                          </w:rPr>
                        </w:pPr>
                        <w:r>
                          <w:rPr>
                            <w:w w:val="120"/>
                            <w:sz w:val="20"/>
                          </w:rPr>
                          <w:t>A simple ‘feedback’ leaflet will be produced thanking those that have participated in the </w:t>
                        </w:r>
                        <w:r>
                          <w:rPr>
                            <w:i/>
                            <w:w w:val="120"/>
                            <w:sz w:val="20"/>
                          </w:rPr>
                          <w:t>vision2020 </w:t>
                        </w:r>
                        <w:r>
                          <w:rPr>
                            <w:w w:val="120"/>
                            <w:sz w:val="20"/>
                          </w:rPr>
                          <w:t>consultation and informing them of the decision of General Assembly and the </w:t>
                        </w:r>
                        <w:r>
                          <w:rPr>
                            <w:i/>
                            <w:w w:val="120"/>
                            <w:sz w:val="20"/>
                          </w:rPr>
                          <w:t>vision2020 </w:t>
                        </w:r>
                        <w:r>
                          <w:rPr>
                            <w:w w:val="120"/>
                            <w:sz w:val="20"/>
                          </w:rPr>
                          <w:t>Assembly</w:t>
                        </w:r>
                        <w:r>
                          <w:rPr>
                            <w:spacing w:val="4"/>
                            <w:w w:val="120"/>
                            <w:sz w:val="20"/>
                          </w:rPr>
                          <w:t> </w:t>
                        </w:r>
                        <w:r>
                          <w:rPr>
                            <w:w w:val="120"/>
                            <w:sz w:val="20"/>
                          </w:rPr>
                          <w:t>framework.</w:t>
                        </w:r>
                      </w:p>
                      <w:p>
                        <w:pPr>
                          <w:pStyle w:val="TableParagraph"/>
                          <w:spacing w:before="10"/>
                          <w:rPr>
                            <w:sz w:val="19"/>
                          </w:rPr>
                        </w:pPr>
                      </w:p>
                      <w:p>
                        <w:pPr>
                          <w:pStyle w:val="TableParagraph"/>
                          <w:numPr>
                            <w:ilvl w:val="0"/>
                            <w:numId w:val="13"/>
                          </w:numPr>
                          <w:tabs>
                            <w:tab w:pos="1076" w:val="left" w:leader="none"/>
                            <w:tab w:pos="1077" w:val="left" w:leader="none"/>
                          </w:tabs>
                          <w:spacing w:line="235" w:lineRule="auto" w:before="0" w:after="0"/>
                          <w:ind w:left="1076" w:right="27" w:hanging="681"/>
                          <w:jc w:val="left"/>
                          <w:rPr>
                            <w:sz w:val="20"/>
                          </w:rPr>
                        </w:pPr>
                        <w:r>
                          <w:rPr>
                            <w:w w:val="120"/>
                            <w:sz w:val="20"/>
                          </w:rPr>
                          <w:t>Rather than producing a single communications resource about </w:t>
                        </w:r>
                        <w:r>
                          <w:rPr>
                            <w:i/>
                            <w:w w:val="120"/>
                            <w:sz w:val="20"/>
                          </w:rPr>
                          <w:t>vision2020 </w:t>
                        </w:r>
                        <w:r>
                          <w:rPr>
                            <w:w w:val="120"/>
                            <w:sz w:val="20"/>
                          </w:rPr>
                          <w:t>a series of</w:t>
                        </w:r>
                        <w:r>
                          <w:rPr>
                            <w:spacing w:val="11"/>
                            <w:w w:val="120"/>
                            <w:sz w:val="20"/>
                          </w:rPr>
                          <w:t> </w:t>
                        </w:r>
                        <w:r>
                          <w:rPr>
                            <w:w w:val="120"/>
                            <w:sz w:val="20"/>
                          </w:rPr>
                          <w:t>web-based</w:t>
                        </w:r>
                        <w:r>
                          <w:rPr>
                            <w:spacing w:val="12"/>
                            <w:w w:val="120"/>
                            <w:sz w:val="20"/>
                          </w:rPr>
                          <w:t> </w:t>
                        </w:r>
                        <w:r>
                          <w:rPr>
                            <w:w w:val="120"/>
                            <w:sz w:val="20"/>
                          </w:rPr>
                          <w:t>resources</w:t>
                        </w:r>
                        <w:r>
                          <w:rPr>
                            <w:spacing w:val="12"/>
                            <w:w w:val="120"/>
                            <w:sz w:val="20"/>
                          </w:rPr>
                          <w:t> </w:t>
                        </w:r>
                        <w:r>
                          <w:rPr>
                            <w:w w:val="120"/>
                            <w:sz w:val="20"/>
                          </w:rPr>
                          <w:t>will</w:t>
                        </w:r>
                        <w:r>
                          <w:rPr>
                            <w:spacing w:val="12"/>
                            <w:w w:val="120"/>
                            <w:sz w:val="20"/>
                          </w:rPr>
                          <w:t> </w:t>
                        </w:r>
                        <w:r>
                          <w:rPr>
                            <w:w w:val="120"/>
                            <w:sz w:val="20"/>
                          </w:rPr>
                          <w:t>be</w:t>
                        </w:r>
                        <w:r>
                          <w:rPr>
                            <w:spacing w:val="12"/>
                            <w:w w:val="120"/>
                            <w:sz w:val="20"/>
                          </w:rPr>
                          <w:t> </w:t>
                        </w:r>
                        <w:r>
                          <w:rPr>
                            <w:w w:val="120"/>
                            <w:sz w:val="20"/>
                          </w:rPr>
                          <w:t>developed</w:t>
                        </w:r>
                        <w:r>
                          <w:rPr>
                            <w:spacing w:val="12"/>
                            <w:w w:val="120"/>
                            <w:sz w:val="20"/>
                          </w:rPr>
                          <w:t> </w:t>
                        </w:r>
                        <w:r>
                          <w:rPr>
                            <w:w w:val="120"/>
                            <w:sz w:val="20"/>
                          </w:rPr>
                          <w:t>depending</w:t>
                        </w:r>
                        <w:r>
                          <w:rPr>
                            <w:spacing w:val="12"/>
                            <w:w w:val="120"/>
                            <w:sz w:val="20"/>
                          </w:rPr>
                          <w:t> </w:t>
                        </w:r>
                        <w:r>
                          <w:rPr>
                            <w:w w:val="120"/>
                            <w:sz w:val="20"/>
                          </w:rPr>
                          <w:t>on</w:t>
                        </w:r>
                        <w:r>
                          <w:rPr>
                            <w:spacing w:val="12"/>
                            <w:w w:val="120"/>
                            <w:sz w:val="20"/>
                          </w:rPr>
                          <w:t> </w:t>
                        </w:r>
                        <w:r>
                          <w:rPr>
                            <w:w w:val="120"/>
                            <w:sz w:val="20"/>
                          </w:rPr>
                          <w:t>the</w:t>
                        </w:r>
                        <w:r>
                          <w:rPr>
                            <w:spacing w:val="12"/>
                            <w:w w:val="120"/>
                            <w:sz w:val="20"/>
                          </w:rPr>
                          <w:t> </w:t>
                        </w:r>
                        <w:r>
                          <w:rPr>
                            <w:w w:val="120"/>
                            <w:sz w:val="20"/>
                          </w:rPr>
                          <w:t>needs</w:t>
                        </w:r>
                        <w:r>
                          <w:rPr>
                            <w:spacing w:val="12"/>
                            <w:w w:val="120"/>
                            <w:sz w:val="20"/>
                          </w:rPr>
                          <w:t> </w:t>
                        </w:r>
                        <w:r>
                          <w:rPr>
                            <w:w w:val="120"/>
                            <w:sz w:val="20"/>
                          </w:rPr>
                          <w:t>and</w:t>
                        </w:r>
                        <w:r>
                          <w:rPr>
                            <w:spacing w:val="12"/>
                            <w:w w:val="120"/>
                            <w:sz w:val="20"/>
                          </w:rPr>
                          <w:t> </w:t>
                        </w:r>
                        <w:r>
                          <w:rPr>
                            <w:w w:val="120"/>
                            <w:sz w:val="20"/>
                          </w:rPr>
                          <w:t>demands</w:t>
                        </w:r>
                      </w:p>
                    </w:tc>
                  </w:tr>
                </w:tbl>
                <w:p>
                  <w:pPr>
                    <w:pStyle w:val="BodyText"/>
                  </w:pPr>
                </w:p>
              </w:txbxContent>
            </v:textbox>
          </v:shape>
        </w:pict>
      </w:r>
      <w:r>
        <w:rPr/>
      </w:r>
      <w:r>
        <w:rPr/>
        <w:tab/>
      </w:r>
      <w:r>
        <w:rPr>
          <w:position w:val="1425"/>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position w:val="1425"/>
        </w:rPr>
      </w:r>
    </w:p>
    <w:p>
      <w:pPr>
        <w:spacing w:after="0"/>
        <w:sectPr>
          <w:pgSz w:w="11910" w:h="16840"/>
          <w:pgMar w:header="0" w:footer="600" w:top="1140" w:bottom="800" w:left="0" w:right="0"/>
        </w:sectPr>
      </w:pPr>
    </w:p>
    <w:p>
      <w:pPr>
        <w:pStyle w:val="BodyText"/>
        <w:spacing w:line="227" w:lineRule="exact" w:before="23"/>
        <w:ind w:left="1814"/>
      </w:pPr>
      <w:r>
        <w:rPr/>
        <w:pict>
          <v:rect style="position:absolute;margin-left:12.047pt;margin-top:4.467772pt;width:22.677pt;height:22.677pt;mso-position-horizontal-relative:page;mso-position-vertical-relative:paragraph;z-index:251739136" filled="true" fillcolor="#f9e9c1" stroked="false">
            <v:fill opacity="32768f" type="solid"/>
            <w10:wrap type="none"/>
          </v:rect>
        </w:pict>
      </w:r>
      <w:r>
        <w:rPr/>
        <w:pict>
          <v:group style="position:absolute;margin-left:45.354294pt;margin-top:59.687408pt;width:500.8pt;height:738.2pt;mso-position-horizontal-relative:page;mso-position-vertical-relative:page;z-index:-267683840" coordorigin="907,1194" coordsize="10016,14764">
            <v:shape style="position:absolute;left:10289;top:1193;width:2;height:14764" coordorigin="10290,1194" coordsize="0,14764" path="m10290,1194l10290,6926m10290,11017l10290,15957e" filled="false" stroked="true" strokeweight="1pt" strokecolor="#868685">
              <v:path arrowok="t"/>
              <v:stroke dashstyle="dot"/>
            </v:shape>
            <v:rect style="position:absolute;left:1194;top:6992;width:3806;height:643" filled="true" fillcolor="#9662a1" stroked="false">
              <v:fill opacity="45875f" type="solid"/>
            </v:rect>
            <v:rect style="position:absolute;left:1194;top:6992;width:3806;height:643" filled="false" stroked="true" strokeweight="1pt" strokecolor="#9662a1">
              <v:stroke dashstyle="solid"/>
            </v:rect>
            <v:shape style="position:absolute;left:937;top:6970;width:9720;height:4018" coordorigin="937,6970" coordsize="9720,4018" path="m937,10747l941,10886,967,10957,1038,10984,1177,10987,10417,10987,10555,10984,10627,10957,10653,10886,10657,10747,10657,7210,10653,7071,10627,7000,10555,6974,10417,6970,1177,6970,1038,6974,967,7000,941,7071,937,7210,937,10747xe" filled="false" stroked="true" strokeweight="3pt" strokecolor="#000000">
              <v:path arrowok="t"/>
              <v:stroke dashstyle="solid"/>
            </v:shape>
            <v:rect style="position:absolute;left:10243;top:6926;width:679;height:4092" filled="true" fillcolor="#ffffff" stroked="false">
              <v:fill type="solid"/>
            </v:rect>
            <w10:wrap type="none"/>
          </v:group>
        </w:pict>
      </w:r>
      <w:r>
        <w:rPr>
          <w:w w:val="120"/>
        </w:rPr>
        <w:t>of synods and local churches. These might include:</w:t>
      </w:r>
    </w:p>
    <w:p>
      <w:pPr>
        <w:pStyle w:val="ListParagraph"/>
        <w:numPr>
          <w:ilvl w:val="2"/>
          <w:numId w:val="9"/>
        </w:numPr>
        <w:tabs>
          <w:tab w:pos="2607" w:val="left" w:leader="none"/>
          <w:tab w:pos="2608" w:val="left" w:leader="none"/>
        </w:tabs>
        <w:spacing w:line="196" w:lineRule="auto" w:before="22" w:after="0"/>
        <w:ind w:left="2607" w:right="2772" w:hanging="794"/>
        <w:jc w:val="left"/>
        <w:rPr>
          <w:sz w:val="20"/>
        </w:rPr>
      </w:pPr>
      <w:r>
        <w:rPr>
          <w:w w:val="120"/>
          <w:sz w:val="20"/>
        </w:rPr>
        <w:t>further reflections and resource materials in relation to each of</w:t>
      </w:r>
      <w:r>
        <w:rPr>
          <w:spacing w:val="-38"/>
          <w:w w:val="120"/>
          <w:sz w:val="20"/>
        </w:rPr>
        <w:t> </w:t>
      </w:r>
      <w:r>
        <w:rPr>
          <w:w w:val="120"/>
          <w:sz w:val="20"/>
        </w:rPr>
        <w:t>the statements of mission</w:t>
      </w:r>
      <w:r>
        <w:rPr>
          <w:spacing w:val="4"/>
          <w:w w:val="120"/>
          <w:sz w:val="20"/>
        </w:rPr>
        <w:t> </w:t>
      </w:r>
      <w:r>
        <w:rPr>
          <w:w w:val="120"/>
          <w:sz w:val="20"/>
        </w:rPr>
        <w:t>purpose;</w:t>
      </w:r>
    </w:p>
    <w:p>
      <w:pPr>
        <w:pStyle w:val="ListParagraph"/>
        <w:numPr>
          <w:ilvl w:val="2"/>
          <w:numId w:val="9"/>
        </w:numPr>
        <w:tabs>
          <w:tab w:pos="2607" w:val="left" w:leader="none"/>
          <w:tab w:pos="2608" w:val="left" w:leader="none"/>
        </w:tabs>
        <w:spacing w:line="257" w:lineRule="exact" w:before="0" w:after="0"/>
        <w:ind w:left="2607" w:right="0" w:hanging="794"/>
        <w:jc w:val="left"/>
        <w:rPr>
          <w:sz w:val="20"/>
        </w:rPr>
      </w:pPr>
      <w:r>
        <w:rPr>
          <w:w w:val="120"/>
          <w:sz w:val="20"/>
        </w:rPr>
        <w:t>resources to help churches think through their </w:t>
      </w:r>
      <w:r>
        <w:rPr>
          <w:i/>
          <w:w w:val="120"/>
          <w:sz w:val="20"/>
        </w:rPr>
        <w:t>Local Mission</w:t>
      </w:r>
      <w:r>
        <w:rPr>
          <w:i/>
          <w:spacing w:val="-13"/>
          <w:w w:val="120"/>
          <w:sz w:val="20"/>
        </w:rPr>
        <w:t> </w:t>
      </w:r>
      <w:r>
        <w:rPr>
          <w:i/>
          <w:w w:val="120"/>
          <w:sz w:val="20"/>
        </w:rPr>
        <w:t>Pledges</w:t>
      </w:r>
      <w:r>
        <w:rPr>
          <w:w w:val="120"/>
          <w:sz w:val="20"/>
        </w:rPr>
        <w:t>;</w:t>
      </w:r>
    </w:p>
    <w:p>
      <w:pPr>
        <w:pStyle w:val="ListParagraph"/>
        <w:numPr>
          <w:ilvl w:val="2"/>
          <w:numId w:val="9"/>
        </w:numPr>
        <w:tabs>
          <w:tab w:pos="2607" w:val="left" w:leader="none"/>
          <w:tab w:pos="2608" w:val="left" w:leader="none"/>
        </w:tabs>
        <w:spacing w:line="196" w:lineRule="auto" w:before="0" w:after="0"/>
        <w:ind w:left="2607" w:right="2693" w:hanging="794"/>
        <w:jc w:val="left"/>
        <w:rPr>
          <w:sz w:val="20"/>
        </w:rPr>
      </w:pPr>
      <w:r>
        <w:rPr>
          <w:w w:val="120"/>
          <w:sz w:val="20"/>
        </w:rPr>
        <w:t>stories and case studies from local churches and synods about how they are engaging with</w:t>
      </w:r>
      <w:r>
        <w:rPr>
          <w:spacing w:val="8"/>
          <w:w w:val="120"/>
          <w:sz w:val="20"/>
        </w:rPr>
        <w:t> </w:t>
      </w:r>
      <w:r>
        <w:rPr>
          <w:i/>
          <w:spacing w:val="-3"/>
          <w:w w:val="120"/>
          <w:sz w:val="20"/>
        </w:rPr>
        <w:t>vision2020</w:t>
      </w:r>
      <w:r>
        <w:rPr>
          <w:spacing w:val="-3"/>
          <w:w w:val="120"/>
          <w:sz w:val="20"/>
        </w:rPr>
        <w:t>.</w:t>
      </w:r>
    </w:p>
    <w:p>
      <w:pPr>
        <w:pStyle w:val="BodyText"/>
        <w:spacing w:before="5"/>
      </w:pPr>
    </w:p>
    <w:p>
      <w:pPr>
        <w:pStyle w:val="ListParagraph"/>
        <w:numPr>
          <w:ilvl w:val="0"/>
          <w:numId w:val="14"/>
        </w:numPr>
        <w:tabs>
          <w:tab w:pos="1813" w:val="left" w:leader="none"/>
          <w:tab w:pos="1815" w:val="left" w:leader="none"/>
        </w:tabs>
        <w:spacing w:line="235" w:lineRule="auto" w:before="0" w:after="0"/>
        <w:ind w:left="1814" w:right="2245" w:hanging="681"/>
        <w:jc w:val="left"/>
        <w:rPr>
          <w:sz w:val="20"/>
        </w:rPr>
      </w:pPr>
      <w:r>
        <w:rPr>
          <w:spacing w:val="3"/>
          <w:w w:val="120"/>
          <w:sz w:val="20"/>
        </w:rPr>
        <w:t>As </w:t>
      </w:r>
      <w:r>
        <w:rPr>
          <w:w w:val="120"/>
          <w:sz w:val="20"/>
        </w:rPr>
        <w:t>well as these central web-based resources, the Mission department will allocate from within its existing budget a small communications budget to each synod for it to decide how best to communicate </w:t>
      </w:r>
      <w:r>
        <w:rPr>
          <w:i/>
          <w:w w:val="120"/>
          <w:sz w:val="20"/>
        </w:rPr>
        <w:t>vision2020 </w:t>
      </w:r>
      <w:r>
        <w:rPr>
          <w:w w:val="120"/>
          <w:sz w:val="20"/>
        </w:rPr>
        <w:t>amongst its own churches. Mission Committee core members and Mission </w:t>
      </w:r>
      <w:r>
        <w:rPr>
          <w:spacing w:val="-4"/>
          <w:w w:val="120"/>
          <w:sz w:val="20"/>
        </w:rPr>
        <w:t>Team </w:t>
      </w:r>
      <w:r>
        <w:rPr>
          <w:w w:val="120"/>
          <w:sz w:val="20"/>
        </w:rPr>
        <w:t>synod links will work closely with each synod to explore how best to do</w:t>
      </w:r>
      <w:r>
        <w:rPr>
          <w:spacing w:val="32"/>
          <w:w w:val="120"/>
          <w:sz w:val="20"/>
        </w:rPr>
        <w:t> </w:t>
      </w:r>
      <w:r>
        <w:rPr>
          <w:w w:val="120"/>
          <w:sz w:val="20"/>
        </w:rPr>
        <w:t>this.</w:t>
      </w:r>
    </w:p>
    <w:p>
      <w:pPr>
        <w:pStyle w:val="BodyText"/>
        <w:spacing w:before="11"/>
        <w:rPr>
          <w:sz w:val="19"/>
        </w:rPr>
      </w:pPr>
    </w:p>
    <w:p>
      <w:pPr>
        <w:pStyle w:val="ListParagraph"/>
        <w:numPr>
          <w:ilvl w:val="0"/>
          <w:numId w:val="14"/>
        </w:numPr>
        <w:tabs>
          <w:tab w:pos="1813" w:val="left" w:leader="none"/>
          <w:tab w:pos="1815" w:val="left" w:leader="none"/>
        </w:tabs>
        <w:spacing w:line="235" w:lineRule="auto" w:before="1" w:after="0"/>
        <w:ind w:left="1814" w:right="2001" w:hanging="681"/>
        <w:jc w:val="both"/>
        <w:rPr>
          <w:sz w:val="20"/>
        </w:rPr>
      </w:pPr>
      <w:r>
        <w:rPr>
          <w:w w:val="115"/>
          <w:sz w:val="20"/>
        </w:rPr>
        <w:t>The Mission </w:t>
      </w:r>
      <w:r>
        <w:rPr>
          <w:spacing w:val="-3"/>
          <w:w w:val="115"/>
          <w:sz w:val="20"/>
        </w:rPr>
        <w:t>Committee </w:t>
      </w:r>
      <w:r>
        <w:rPr>
          <w:w w:val="115"/>
          <w:sz w:val="20"/>
        </w:rPr>
        <w:t>and the Ministries </w:t>
      </w:r>
      <w:r>
        <w:rPr>
          <w:spacing w:val="-3"/>
          <w:w w:val="115"/>
          <w:sz w:val="20"/>
        </w:rPr>
        <w:t>Committee </w:t>
      </w:r>
      <w:r>
        <w:rPr>
          <w:w w:val="115"/>
          <w:sz w:val="20"/>
        </w:rPr>
        <w:t>will work together on further </w:t>
      </w:r>
      <w:r>
        <w:rPr>
          <w:spacing w:val="-5"/>
          <w:w w:val="115"/>
          <w:sz w:val="20"/>
        </w:rPr>
        <w:t>‘guidance’ </w:t>
      </w:r>
      <w:r>
        <w:rPr>
          <w:w w:val="115"/>
          <w:sz w:val="20"/>
        </w:rPr>
        <w:t>and </w:t>
      </w:r>
      <w:r>
        <w:rPr>
          <w:spacing w:val="-3"/>
          <w:w w:val="115"/>
          <w:sz w:val="20"/>
        </w:rPr>
        <w:t>resources </w:t>
      </w:r>
      <w:r>
        <w:rPr>
          <w:w w:val="115"/>
          <w:sz w:val="20"/>
        </w:rPr>
        <w:t>for synods and local </w:t>
      </w:r>
      <w:r>
        <w:rPr>
          <w:spacing w:val="-3"/>
          <w:w w:val="115"/>
          <w:sz w:val="20"/>
        </w:rPr>
        <w:t>churches </w:t>
      </w:r>
      <w:r>
        <w:rPr>
          <w:w w:val="115"/>
          <w:sz w:val="20"/>
        </w:rPr>
        <w:t>relating </w:t>
      </w:r>
      <w:r>
        <w:rPr>
          <w:spacing w:val="-3"/>
          <w:w w:val="115"/>
          <w:sz w:val="20"/>
        </w:rPr>
        <w:t>to </w:t>
      </w:r>
      <w:r>
        <w:rPr>
          <w:w w:val="115"/>
          <w:sz w:val="20"/>
        </w:rPr>
        <w:t>the Local Mission and Ministry </w:t>
      </w:r>
      <w:r>
        <w:rPr>
          <w:spacing w:val="-3"/>
          <w:w w:val="115"/>
          <w:sz w:val="20"/>
        </w:rPr>
        <w:t>Review </w:t>
      </w:r>
      <w:r>
        <w:rPr>
          <w:w w:val="115"/>
          <w:sz w:val="20"/>
        </w:rPr>
        <w:t>process and the next steps for </w:t>
      </w:r>
      <w:r>
        <w:rPr>
          <w:i/>
          <w:spacing w:val="-3"/>
          <w:w w:val="115"/>
          <w:sz w:val="20"/>
        </w:rPr>
        <w:t>Challenge </w:t>
      </w:r>
      <w:r>
        <w:rPr>
          <w:i/>
          <w:w w:val="115"/>
          <w:sz w:val="20"/>
        </w:rPr>
        <w:t>to the</w:t>
      </w:r>
      <w:r>
        <w:rPr>
          <w:i/>
          <w:spacing w:val="46"/>
          <w:w w:val="115"/>
          <w:sz w:val="20"/>
        </w:rPr>
        <w:t> </w:t>
      </w:r>
      <w:r>
        <w:rPr>
          <w:i/>
          <w:spacing w:val="-4"/>
          <w:w w:val="115"/>
          <w:sz w:val="20"/>
        </w:rPr>
        <w:t>Church</w:t>
      </w:r>
      <w:r>
        <w:rPr>
          <w:spacing w:val="-4"/>
          <w:w w:val="115"/>
          <w:sz w:val="20"/>
        </w:rPr>
        <w:t>.</w:t>
      </w:r>
    </w:p>
    <w:p>
      <w:pPr>
        <w:pStyle w:val="BodyText"/>
        <w:spacing w:before="10"/>
        <w:rPr>
          <w:sz w:val="19"/>
        </w:rPr>
      </w:pPr>
    </w:p>
    <w:p>
      <w:pPr>
        <w:pStyle w:val="BodyText"/>
        <w:tabs>
          <w:tab w:pos="1814" w:val="left" w:leader="none"/>
        </w:tabs>
        <w:spacing w:line="235" w:lineRule="auto"/>
        <w:ind w:left="1133" w:right="1982"/>
      </w:pPr>
      <w:r>
        <w:rPr>
          <w:spacing w:val="-8"/>
          <w:w w:val="120"/>
        </w:rPr>
        <w:t>12.4</w:t>
        <w:tab/>
      </w:r>
      <w:r>
        <w:rPr>
          <w:spacing w:val="-4"/>
          <w:w w:val="120"/>
        </w:rPr>
        <w:t>Finally,</w:t>
      </w:r>
      <w:r>
        <w:rPr>
          <w:spacing w:val="-12"/>
          <w:w w:val="120"/>
        </w:rPr>
        <w:t> </w:t>
      </w:r>
      <w:r>
        <w:rPr>
          <w:w w:val="120"/>
        </w:rPr>
        <w:t>the</w:t>
      </w:r>
      <w:r>
        <w:rPr>
          <w:spacing w:val="-11"/>
          <w:w w:val="120"/>
        </w:rPr>
        <w:t> </w:t>
      </w:r>
      <w:r>
        <w:rPr>
          <w:w w:val="120"/>
        </w:rPr>
        <w:t>development</w:t>
      </w:r>
      <w:r>
        <w:rPr>
          <w:spacing w:val="-11"/>
          <w:w w:val="120"/>
        </w:rPr>
        <w:t> </w:t>
      </w:r>
      <w:r>
        <w:rPr>
          <w:w w:val="120"/>
        </w:rPr>
        <w:t>and</w:t>
      </w:r>
      <w:r>
        <w:rPr>
          <w:spacing w:val="-11"/>
          <w:w w:val="120"/>
        </w:rPr>
        <w:t> </w:t>
      </w:r>
      <w:r>
        <w:rPr>
          <w:w w:val="120"/>
        </w:rPr>
        <w:t>implementation</w:t>
      </w:r>
      <w:r>
        <w:rPr>
          <w:spacing w:val="-11"/>
          <w:w w:val="120"/>
        </w:rPr>
        <w:t> </w:t>
      </w:r>
      <w:r>
        <w:rPr>
          <w:w w:val="120"/>
        </w:rPr>
        <w:t>of</w:t>
      </w:r>
      <w:r>
        <w:rPr>
          <w:spacing w:val="-11"/>
          <w:w w:val="120"/>
        </w:rPr>
        <w:t> </w:t>
      </w:r>
      <w:r>
        <w:rPr>
          <w:i/>
          <w:spacing w:val="-4"/>
          <w:w w:val="120"/>
        </w:rPr>
        <w:t>vision2020</w:t>
      </w:r>
      <w:r>
        <w:rPr>
          <w:i/>
          <w:spacing w:val="-10"/>
          <w:w w:val="120"/>
        </w:rPr>
        <w:t> </w:t>
      </w:r>
      <w:r>
        <w:rPr>
          <w:w w:val="120"/>
        </w:rPr>
        <w:t>will</w:t>
      </w:r>
      <w:r>
        <w:rPr>
          <w:spacing w:val="-11"/>
          <w:w w:val="120"/>
        </w:rPr>
        <w:t> </w:t>
      </w:r>
      <w:r>
        <w:rPr>
          <w:w w:val="120"/>
        </w:rPr>
        <w:t>be</w:t>
      </w:r>
      <w:r>
        <w:rPr>
          <w:spacing w:val="-11"/>
          <w:w w:val="120"/>
        </w:rPr>
        <w:t> </w:t>
      </w:r>
      <w:r>
        <w:rPr>
          <w:w w:val="120"/>
        </w:rPr>
        <w:t>subject</w:t>
      </w:r>
      <w:r>
        <w:rPr>
          <w:spacing w:val="-11"/>
          <w:w w:val="120"/>
        </w:rPr>
        <w:t> </w:t>
      </w:r>
      <w:r>
        <w:rPr>
          <w:spacing w:val="-3"/>
          <w:w w:val="120"/>
        </w:rPr>
        <w:t>to</w:t>
      </w:r>
      <w:r>
        <w:rPr>
          <w:spacing w:val="-11"/>
          <w:w w:val="120"/>
        </w:rPr>
        <w:t> </w:t>
      </w:r>
      <w:r>
        <w:rPr>
          <w:w w:val="120"/>
        </w:rPr>
        <w:t>regular monitoring and review by the Mission </w:t>
      </w:r>
      <w:r>
        <w:rPr>
          <w:spacing w:val="-3"/>
          <w:w w:val="120"/>
        </w:rPr>
        <w:t>Committee </w:t>
      </w:r>
      <w:r>
        <w:rPr>
          <w:w w:val="120"/>
        </w:rPr>
        <w:t>with opportunities for annual review by Mission </w:t>
      </w:r>
      <w:r>
        <w:rPr>
          <w:spacing w:val="-3"/>
          <w:w w:val="120"/>
        </w:rPr>
        <w:t>Council </w:t>
      </w:r>
      <w:r>
        <w:rPr>
          <w:w w:val="120"/>
        </w:rPr>
        <w:t>and </w:t>
      </w:r>
      <w:r>
        <w:rPr>
          <w:spacing w:val="-3"/>
          <w:w w:val="120"/>
        </w:rPr>
        <w:t>evaluation </w:t>
      </w:r>
      <w:r>
        <w:rPr>
          <w:w w:val="120"/>
        </w:rPr>
        <w:t>at each General Assembly in the </w:t>
      </w:r>
      <w:r>
        <w:rPr>
          <w:spacing w:val="-3"/>
          <w:w w:val="120"/>
        </w:rPr>
        <w:t>coming</w:t>
      </w:r>
      <w:r>
        <w:rPr>
          <w:spacing w:val="-12"/>
          <w:w w:val="120"/>
        </w:rPr>
        <w:t> </w:t>
      </w:r>
      <w:r>
        <w:rPr>
          <w:w w:val="120"/>
        </w:rPr>
        <w:t>decade.</w:t>
      </w:r>
    </w:p>
    <w:p>
      <w:pPr>
        <w:pStyle w:val="BodyText"/>
        <w:rPr>
          <w:sz w:val="24"/>
        </w:rPr>
      </w:pPr>
    </w:p>
    <w:p>
      <w:pPr>
        <w:pStyle w:val="BodyText"/>
        <w:spacing w:before="2"/>
        <w:rPr>
          <w:sz w:val="18"/>
        </w:rPr>
      </w:pPr>
    </w:p>
    <w:p>
      <w:pPr>
        <w:spacing w:before="0"/>
        <w:ind w:left="1133" w:right="0" w:firstLine="0"/>
        <w:jc w:val="left"/>
        <w:rPr>
          <w:i/>
          <w:sz w:val="33"/>
        </w:rPr>
      </w:pPr>
      <w:r>
        <w:rPr>
          <w:color w:val="9662A1"/>
          <w:w w:val="120"/>
          <w:sz w:val="32"/>
        </w:rPr>
        <w:t>Mission Committee: </w:t>
      </w:r>
      <w:r>
        <w:rPr>
          <w:i/>
          <w:color w:val="9662A1"/>
          <w:w w:val="120"/>
          <w:sz w:val="33"/>
        </w:rPr>
        <w:t>vision2020</w:t>
      </w:r>
    </w:p>
    <w:p>
      <w:pPr>
        <w:tabs>
          <w:tab w:pos="4486" w:val="left" w:leader="none"/>
        </w:tabs>
        <w:spacing w:before="3"/>
        <w:ind w:left="1317" w:right="0" w:firstLine="0"/>
        <w:jc w:val="left"/>
        <w:rPr>
          <w:rFonts w:ascii="Stone Sans II ITC Std X Bd"/>
          <w:b/>
          <w:sz w:val="57"/>
        </w:rPr>
      </w:pPr>
      <w:r>
        <w:rPr>
          <w:rFonts w:ascii="Stone Sans II ITC Std X Bd"/>
          <w:b/>
          <w:color w:val="FFFFFF"/>
          <w:w w:val="110"/>
          <w:sz w:val="47"/>
        </w:rPr>
        <w:t>Resolution</w:t>
        <w:tab/>
      </w:r>
      <w:r>
        <w:rPr>
          <w:rFonts w:ascii="Stone Sans II ITC Std X Bd"/>
          <w:b/>
          <w:w w:val="110"/>
          <w:position w:val="-18"/>
          <w:sz w:val="57"/>
        </w:rPr>
        <w:t>1</w:t>
      </w:r>
    </w:p>
    <w:p>
      <w:pPr>
        <w:pStyle w:val="BodyText"/>
        <w:spacing w:before="4"/>
        <w:rPr>
          <w:rFonts w:ascii="Stone Sans II ITC Std X Bd"/>
          <w:b/>
          <w:sz w:val="8"/>
        </w:rPr>
      </w:pPr>
    </w:p>
    <w:p>
      <w:pPr>
        <w:pStyle w:val="ListParagraph"/>
        <w:numPr>
          <w:ilvl w:val="0"/>
          <w:numId w:val="15"/>
        </w:numPr>
        <w:tabs>
          <w:tab w:pos="1814" w:val="left" w:leader="none"/>
          <w:tab w:pos="1815" w:val="left" w:leader="none"/>
        </w:tabs>
        <w:spacing w:line="242" w:lineRule="exact" w:before="100" w:after="0"/>
        <w:ind w:left="1814" w:right="0" w:hanging="682"/>
        <w:jc w:val="left"/>
        <w:rPr>
          <w:sz w:val="20"/>
        </w:rPr>
      </w:pPr>
      <w:r>
        <w:rPr>
          <w:spacing w:val="5"/>
          <w:w w:val="120"/>
          <w:sz w:val="20"/>
        </w:rPr>
        <w:t>General</w:t>
      </w:r>
      <w:r>
        <w:rPr>
          <w:spacing w:val="14"/>
          <w:w w:val="120"/>
          <w:sz w:val="20"/>
        </w:rPr>
        <w:t> </w:t>
      </w:r>
      <w:r>
        <w:rPr>
          <w:spacing w:val="5"/>
          <w:w w:val="120"/>
          <w:sz w:val="20"/>
        </w:rPr>
        <w:t>Assembly</w:t>
      </w:r>
      <w:r>
        <w:rPr>
          <w:spacing w:val="15"/>
          <w:w w:val="120"/>
          <w:sz w:val="20"/>
        </w:rPr>
        <w:t> </w:t>
      </w:r>
      <w:r>
        <w:rPr>
          <w:spacing w:val="4"/>
          <w:w w:val="120"/>
          <w:sz w:val="20"/>
        </w:rPr>
        <w:t>celebrates</w:t>
      </w:r>
      <w:r>
        <w:rPr>
          <w:spacing w:val="14"/>
          <w:w w:val="120"/>
          <w:sz w:val="20"/>
        </w:rPr>
        <w:t> </w:t>
      </w:r>
      <w:r>
        <w:rPr>
          <w:spacing w:val="2"/>
          <w:w w:val="120"/>
          <w:sz w:val="20"/>
        </w:rPr>
        <w:t>God’s</w:t>
      </w:r>
      <w:r>
        <w:rPr>
          <w:spacing w:val="15"/>
          <w:w w:val="120"/>
          <w:sz w:val="20"/>
        </w:rPr>
        <w:t> </w:t>
      </w:r>
      <w:r>
        <w:rPr>
          <w:spacing w:val="4"/>
          <w:w w:val="120"/>
          <w:sz w:val="20"/>
        </w:rPr>
        <w:t>calling</w:t>
      </w:r>
      <w:r>
        <w:rPr>
          <w:spacing w:val="14"/>
          <w:w w:val="120"/>
          <w:sz w:val="20"/>
        </w:rPr>
        <w:t> </w:t>
      </w:r>
      <w:r>
        <w:rPr>
          <w:w w:val="120"/>
          <w:sz w:val="20"/>
        </w:rPr>
        <w:t>to</w:t>
      </w:r>
      <w:r>
        <w:rPr>
          <w:spacing w:val="15"/>
          <w:w w:val="120"/>
          <w:sz w:val="20"/>
        </w:rPr>
        <w:t> </w:t>
      </w:r>
      <w:r>
        <w:rPr>
          <w:spacing w:val="3"/>
          <w:w w:val="120"/>
          <w:sz w:val="20"/>
        </w:rPr>
        <w:t>each</w:t>
      </w:r>
      <w:r>
        <w:rPr>
          <w:spacing w:val="14"/>
          <w:w w:val="120"/>
          <w:sz w:val="20"/>
        </w:rPr>
        <w:t> </w:t>
      </w:r>
      <w:r>
        <w:rPr>
          <w:spacing w:val="4"/>
          <w:w w:val="120"/>
          <w:sz w:val="20"/>
        </w:rPr>
        <w:t>and</w:t>
      </w:r>
      <w:r>
        <w:rPr>
          <w:spacing w:val="15"/>
          <w:w w:val="120"/>
          <w:sz w:val="20"/>
        </w:rPr>
        <w:t> </w:t>
      </w:r>
      <w:r>
        <w:rPr>
          <w:spacing w:val="6"/>
          <w:w w:val="120"/>
          <w:sz w:val="20"/>
        </w:rPr>
        <w:t>every</w:t>
      </w:r>
      <w:r>
        <w:rPr>
          <w:spacing w:val="14"/>
          <w:w w:val="120"/>
          <w:sz w:val="20"/>
        </w:rPr>
        <w:t> </w:t>
      </w:r>
      <w:r>
        <w:rPr>
          <w:spacing w:val="3"/>
          <w:w w:val="120"/>
          <w:sz w:val="20"/>
        </w:rPr>
        <w:t>member,</w:t>
      </w:r>
    </w:p>
    <w:p>
      <w:pPr>
        <w:pStyle w:val="BodyText"/>
        <w:spacing w:line="235" w:lineRule="auto" w:before="2"/>
        <w:ind w:left="1814" w:right="1997"/>
      </w:pPr>
      <w:r>
        <w:rPr>
          <w:spacing w:val="5"/>
          <w:w w:val="120"/>
        </w:rPr>
        <w:t>local </w:t>
      </w:r>
      <w:r>
        <w:rPr>
          <w:spacing w:val="3"/>
          <w:w w:val="120"/>
        </w:rPr>
        <w:t>church, </w:t>
      </w:r>
      <w:r>
        <w:rPr>
          <w:spacing w:val="5"/>
          <w:w w:val="120"/>
        </w:rPr>
        <w:t>synod, </w:t>
      </w:r>
      <w:r>
        <w:rPr>
          <w:spacing w:val="3"/>
          <w:w w:val="120"/>
        </w:rPr>
        <w:t>council </w:t>
      </w:r>
      <w:r>
        <w:rPr>
          <w:spacing w:val="4"/>
          <w:w w:val="120"/>
        </w:rPr>
        <w:t>and committee </w:t>
      </w:r>
      <w:r>
        <w:rPr>
          <w:w w:val="120"/>
        </w:rPr>
        <w:t>to </w:t>
      </w:r>
      <w:r>
        <w:rPr>
          <w:spacing w:val="4"/>
          <w:w w:val="120"/>
        </w:rPr>
        <w:t>join </w:t>
      </w:r>
      <w:r>
        <w:rPr>
          <w:spacing w:val="2"/>
          <w:w w:val="120"/>
        </w:rPr>
        <w:t>in God’s </w:t>
      </w:r>
      <w:r>
        <w:rPr>
          <w:spacing w:val="5"/>
          <w:w w:val="120"/>
        </w:rPr>
        <w:t>transformational journey </w:t>
      </w:r>
      <w:r>
        <w:rPr>
          <w:spacing w:val="3"/>
          <w:w w:val="120"/>
        </w:rPr>
        <w:t>of </w:t>
      </w:r>
      <w:r>
        <w:rPr>
          <w:spacing w:val="5"/>
          <w:w w:val="120"/>
        </w:rPr>
        <w:t>good </w:t>
      </w:r>
      <w:r>
        <w:rPr>
          <w:spacing w:val="4"/>
          <w:w w:val="120"/>
        </w:rPr>
        <w:t>news </w:t>
      </w:r>
      <w:r>
        <w:rPr>
          <w:spacing w:val="3"/>
          <w:w w:val="120"/>
        </w:rPr>
        <w:t>for all</w:t>
      </w:r>
      <w:r>
        <w:rPr>
          <w:spacing w:val="59"/>
          <w:w w:val="120"/>
        </w:rPr>
        <w:t> </w:t>
      </w:r>
      <w:r>
        <w:rPr>
          <w:spacing w:val="4"/>
          <w:w w:val="120"/>
        </w:rPr>
        <w:t>creation.</w:t>
      </w:r>
    </w:p>
    <w:p>
      <w:pPr>
        <w:pStyle w:val="BodyText"/>
        <w:spacing w:before="9"/>
        <w:rPr>
          <w:sz w:val="19"/>
        </w:rPr>
      </w:pPr>
    </w:p>
    <w:p>
      <w:pPr>
        <w:pStyle w:val="ListParagraph"/>
        <w:numPr>
          <w:ilvl w:val="0"/>
          <w:numId w:val="15"/>
        </w:numPr>
        <w:tabs>
          <w:tab w:pos="1814" w:val="left" w:leader="none"/>
          <w:tab w:pos="1815" w:val="left" w:leader="none"/>
        </w:tabs>
        <w:spacing w:line="235" w:lineRule="auto" w:before="0" w:after="0"/>
        <w:ind w:left="1814" w:right="2210" w:hanging="681"/>
        <w:jc w:val="left"/>
        <w:rPr>
          <w:sz w:val="20"/>
        </w:rPr>
      </w:pPr>
      <w:r>
        <w:rPr>
          <w:spacing w:val="5"/>
          <w:w w:val="120"/>
          <w:sz w:val="20"/>
        </w:rPr>
        <w:t>General Assembly </w:t>
      </w:r>
      <w:r>
        <w:rPr>
          <w:spacing w:val="4"/>
          <w:w w:val="120"/>
          <w:sz w:val="20"/>
        </w:rPr>
        <w:t>gives </w:t>
      </w:r>
      <w:r>
        <w:rPr>
          <w:spacing w:val="5"/>
          <w:w w:val="120"/>
          <w:sz w:val="20"/>
        </w:rPr>
        <w:t>thanks </w:t>
      </w:r>
      <w:r>
        <w:rPr>
          <w:spacing w:val="3"/>
          <w:w w:val="120"/>
          <w:sz w:val="20"/>
        </w:rPr>
        <w:t>for </w:t>
      </w:r>
      <w:r>
        <w:rPr>
          <w:spacing w:val="4"/>
          <w:w w:val="120"/>
          <w:sz w:val="20"/>
        </w:rPr>
        <w:t>the mission </w:t>
      </w:r>
      <w:r>
        <w:rPr>
          <w:spacing w:val="5"/>
          <w:w w:val="120"/>
          <w:sz w:val="20"/>
        </w:rPr>
        <w:t>journey </w:t>
      </w:r>
      <w:r>
        <w:rPr>
          <w:spacing w:val="3"/>
          <w:w w:val="120"/>
          <w:sz w:val="20"/>
        </w:rPr>
        <w:t>of </w:t>
      </w:r>
      <w:r>
        <w:rPr>
          <w:spacing w:val="4"/>
          <w:w w:val="120"/>
          <w:sz w:val="20"/>
        </w:rPr>
        <w:t>the United </w:t>
      </w:r>
      <w:r>
        <w:rPr>
          <w:spacing w:val="5"/>
          <w:w w:val="120"/>
          <w:sz w:val="20"/>
        </w:rPr>
        <w:t>Reformed </w:t>
      </w:r>
      <w:r>
        <w:rPr>
          <w:spacing w:val="3"/>
          <w:w w:val="120"/>
          <w:sz w:val="20"/>
        </w:rPr>
        <w:t>Church </w:t>
      </w:r>
      <w:r>
        <w:rPr>
          <w:spacing w:val="2"/>
          <w:w w:val="120"/>
          <w:sz w:val="20"/>
        </w:rPr>
        <w:t>in </w:t>
      </w:r>
      <w:r>
        <w:rPr>
          <w:spacing w:val="4"/>
          <w:w w:val="120"/>
          <w:sz w:val="20"/>
        </w:rPr>
        <w:t>years gone </w:t>
      </w:r>
      <w:r>
        <w:rPr>
          <w:w w:val="120"/>
          <w:sz w:val="20"/>
        </w:rPr>
        <w:t>by </w:t>
      </w:r>
      <w:r>
        <w:rPr>
          <w:spacing w:val="3"/>
          <w:w w:val="120"/>
          <w:sz w:val="20"/>
        </w:rPr>
        <w:t>but </w:t>
      </w:r>
      <w:r>
        <w:rPr>
          <w:spacing w:val="4"/>
          <w:w w:val="120"/>
          <w:sz w:val="20"/>
        </w:rPr>
        <w:t>recognises the </w:t>
      </w:r>
      <w:r>
        <w:rPr>
          <w:spacing w:val="5"/>
          <w:w w:val="120"/>
          <w:sz w:val="20"/>
        </w:rPr>
        <w:t>significant challenges </w:t>
      </w:r>
      <w:r>
        <w:rPr>
          <w:spacing w:val="4"/>
          <w:w w:val="120"/>
          <w:sz w:val="20"/>
        </w:rPr>
        <w:t>ahead </w:t>
      </w:r>
      <w:r>
        <w:rPr>
          <w:spacing w:val="2"/>
          <w:w w:val="120"/>
          <w:sz w:val="20"/>
        </w:rPr>
        <w:t>in </w:t>
      </w:r>
      <w:r>
        <w:rPr>
          <w:spacing w:val="3"/>
          <w:w w:val="120"/>
          <w:sz w:val="20"/>
        </w:rPr>
        <w:t>our </w:t>
      </w:r>
      <w:r>
        <w:rPr>
          <w:spacing w:val="5"/>
          <w:w w:val="120"/>
          <w:sz w:val="20"/>
        </w:rPr>
        <w:t>denomination </w:t>
      </w:r>
      <w:r>
        <w:rPr>
          <w:spacing w:val="4"/>
          <w:w w:val="120"/>
          <w:sz w:val="20"/>
        </w:rPr>
        <w:t>and </w:t>
      </w:r>
      <w:r>
        <w:rPr>
          <w:spacing w:val="2"/>
          <w:w w:val="120"/>
          <w:sz w:val="20"/>
        </w:rPr>
        <w:t>in </w:t>
      </w:r>
      <w:r>
        <w:rPr>
          <w:spacing w:val="3"/>
          <w:w w:val="120"/>
          <w:sz w:val="20"/>
        </w:rPr>
        <w:t>our</w:t>
      </w:r>
      <w:r>
        <w:rPr>
          <w:spacing w:val="20"/>
          <w:w w:val="120"/>
          <w:sz w:val="20"/>
        </w:rPr>
        <w:t> </w:t>
      </w:r>
      <w:r>
        <w:rPr>
          <w:spacing w:val="4"/>
          <w:w w:val="120"/>
          <w:sz w:val="20"/>
        </w:rPr>
        <w:t>world.</w:t>
      </w:r>
    </w:p>
    <w:p>
      <w:pPr>
        <w:pStyle w:val="BodyText"/>
        <w:spacing w:before="10"/>
        <w:rPr>
          <w:sz w:val="19"/>
        </w:rPr>
      </w:pPr>
    </w:p>
    <w:p>
      <w:pPr>
        <w:pStyle w:val="ListParagraph"/>
        <w:numPr>
          <w:ilvl w:val="0"/>
          <w:numId w:val="15"/>
        </w:numPr>
        <w:tabs>
          <w:tab w:pos="1814" w:val="left" w:leader="none"/>
          <w:tab w:pos="1815" w:val="left" w:leader="none"/>
        </w:tabs>
        <w:spacing w:line="235" w:lineRule="auto" w:before="0" w:after="0"/>
        <w:ind w:left="1814" w:right="2433" w:hanging="681"/>
        <w:jc w:val="left"/>
        <w:rPr>
          <w:sz w:val="20"/>
        </w:rPr>
      </w:pPr>
      <w:r>
        <w:rPr>
          <w:spacing w:val="5"/>
          <w:w w:val="120"/>
          <w:sz w:val="20"/>
        </w:rPr>
        <w:t>General Assembly adopts </w:t>
      </w:r>
      <w:r>
        <w:rPr>
          <w:spacing w:val="4"/>
          <w:w w:val="120"/>
          <w:sz w:val="20"/>
        </w:rPr>
        <w:t>the </w:t>
      </w:r>
      <w:r>
        <w:rPr>
          <w:i/>
          <w:w w:val="120"/>
          <w:sz w:val="20"/>
        </w:rPr>
        <w:t>vision2020 </w:t>
      </w:r>
      <w:r>
        <w:rPr>
          <w:spacing w:val="5"/>
          <w:w w:val="120"/>
          <w:sz w:val="20"/>
        </w:rPr>
        <w:t>framework </w:t>
      </w:r>
      <w:r>
        <w:rPr>
          <w:spacing w:val="2"/>
          <w:w w:val="120"/>
          <w:sz w:val="20"/>
        </w:rPr>
        <w:t>as </w:t>
      </w:r>
      <w:r>
        <w:rPr>
          <w:spacing w:val="4"/>
          <w:w w:val="120"/>
          <w:sz w:val="20"/>
        </w:rPr>
        <w:t>the </w:t>
      </w:r>
      <w:r>
        <w:rPr>
          <w:spacing w:val="6"/>
          <w:w w:val="120"/>
          <w:sz w:val="20"/>
        </w:rPr>
        <w:t>primary </w:t>
      </w:r>
      <w:r>
        <w:rPr>
          <w:spacing w:val="4"/>
          <w:w w:val="120"/>
          <w:sz w:val="20"/>
        </w:rPr>
        <w:t>process </w:t>
      </w:r>
      <w:r>
        <w:rPr>
          <w:spacing w:val="3"/>
          <w:w w:val="120"/>
          <w:sz w:val="20"/>
        </w:rPr>
        <w:t>of </w:t>
      </w:r>
      <w:r>
        <w:rPr>
          <w:spacing w:val="4"/>
          <w:w w:val="120"/>
          <w:sz w:val="20"/>
        </w:rPr>
        <w:t>mission planning and </w:t>
      </w:r>
      <w:r>
        <w:rPr>
          <w:spacing w:val="3"/>
          <w:w w:val="120"/>
          <w:sz w:val="20"/>
        </w:rPr>
        <w:t>church </w:t>
      </w:r>
      <w:r>
        <w:rPr>
          <w:spacing w:val="5"/>
          <w:w w:val="120"/>
          <w:sz w:val="20"/>
        </w:rPr>
        <w:t>growth </w:t>
      </w:r>
      <w:r>
        <w:rPr>
          <w:spacing w:val="3"/>
          <w:w w:val="120"/>
          <w:sz w:val="20"/>
        </w:rPr>
        <w:t>for </w:t>
      </w:r>
      <w:r>
        <w:rPr>
          <w:spacing w:val="4"/>
          <w:w w:val="120"/>
          <w:sz w:val="20"/>
        </w:rPr>
        <w:t>the United </w:t>
      </w:r>
      <w:r>
        <w:rPr>
          <w:spacing w:val="5"/>
          <w:w w:val="120"/>
          <w:sz w:val="20"/>
        </w:rPr>
        <w:t>Reformed </w:t>
      </w:r>
      <w:r>
        <w:rPr>
          <w:spacing w:val="3"/>
          <w:w w:val="120"/>
          <w:sz w:val="20"/>
        </w:rPr>
        <w:t>Church    </w:t>
      </w:r>
      <w:r>
        <w:rPr>
          <w:spacing w:val="2"/>
          <w:w w:val="120"/>
          <w:sz w:val="20"/>
        </w:rPr>
        <w:t>in </w:t>
      </w:r>
      <w:r>
        <w:rPr>
          <w:spacing w:val="4"/>
          <w:w w:val="120"/>
          <w:sz w:val="20"/>
        </w:rPr>
        <w:t>the </w:t>
      </w:r>
      <w:r>
        <w:rPr>
          <w:spacing w:val="3"/>
          <w:w w:val="120"/>
          <w:sz w:val="20"/>
        </w:rPr>
        <w:t>coming</w:t>
      </w:r>
      <w:r>
        <w:rPr>
          <w:spacing w:val="35"/>
          <w:w w:val="120"/>
          <w:sz w:val="20"/>
        </w:rPr>
        <w:t> </w:t>
      </w:r>
      <w:r>
        <w:rPr>
          <w:spacing w:val="4"/>
          <w:w w:val="120"/>
          <w:sz w:val="20"/>
        </w:rPr>
        <w:t>decade.</w:t>
      </w:r>
    </w:p>
    <w:p>
      <w:pPr>
        <w:spacing w:after="0" w:line="235" w:lineRule="auto"/>
        <w:jc w:val="left"/>
        <w:rPr>
          <w:sz w:val="20"/>
        </w:rPr>
        <w:sectPr>
          <w:pgSz w:w="11910" w:h="16840"/>
          <w:pgMar w:header="0" w:footer="600" w:top="1140" w:bottom="800" w:left="0" w:right="0"/>
        </w:sectPr>
      </w:pPr>
    </w:p>
    <w:p>
      <w:pPr>
        <w:spacing w:before="65"/>
        <w:ind w:left="6416" w:right="0" w:firstLine="0"/>
        <w:jc w:val="left"/>
        <w:rPr>
          <w:rFonts w:ascii="Arial"/>
          <w:sz w:val="19"/>
        </w:rPr>
      </w:pPr>
      <w:r>
        <w:rPr/>
        <w:pict>
          <v:group style="position:absolute;margin-left:0pt;margin-top:.000004pt;width:595.3pt;height:841.9pt;mso-position-horizontal-relative:page;mso-position-vertical-relative:page;z-index:-267682816" coordorigin="0,0" coordsize="11906,16838">
            <v:line style="position:absolute" from="1577,1194" to="1577,15957" stroked="true" strokeweight="1pt" strokecolor="#868685">
              <v:stroke dashstyle="dot"/>
            </v:line>
            <v:shape style="position:absolute;left:0;top:16837;width:2;height:14854" coordorigin="0,16838" coordsize="0,14854" path="m1577,1134l1577,1134m1577,15987l1577,15987e" filled="false" stroked="true" strokeweight="1pt" strokecolor="#868685">
              <v:path arrowok="t"/>
              <v:stroke dashstyle="solid"/>
            </v:shape>
            <v:shape style="position:absolute;left:0;top:0;width:11906;height:16838" type="#_x0000_t75" stroked="false">
              <v:imagedata r:id="rId52" o:title=""/>
            </v:shape>
            <v:shape style="position:absolute;left:7815;top:0;width:4090;height:16838" type="#_x0000_t75" stroked="false">
              <v:imagedata r:id="rId53" o:title=""/>
            </v:shape>
            <v:shape style="position:absolute;left:11168;top:0;width:454;height:1080" coordorigin="11169,0" coordsize="454,1080" path="m11622,626l11169,626,11169,1080,11622,1080,11622,626m11622,0l11169,0,11169,470,11622,470,11622,0e" filled="true" fillcolor="#ffffff" stroked="false">
              <v:path arrowok="t"/>
              <v:fill type="solid"/>
            </v:shape>
            <v:rect style="position:absolute;left:11168;top:1249;width:454;height:454" filled="true" fillcolor="#ffffff" stroked="false">
              <v:fill opacity="32768f" type="solid"/>
            </v:rect>
            <v:shape style="position:absolute;left:8421;top:15956;width:285;height:320" type="#_x0000_t75" stroked="false">
              <v:imagedata r:id="rId54" o:title=""/>
            </v:shape>
            <v:line style="position:absolute" from="8765,15957" to="8765,16276" stroked="true" strokeweight="1.952pt" strokecolor="#c73e1c">
              <v:stroke dashstyle="solid"/>
            </v:line>
            <v:rect style="position:absolute;left:8745;top:15833;width:40;height:63" filled="true" fillcolor="#c73e1c" stroked="false">
              <v:fill type="solid"/>
            </v:rect>
            <v:shape style="position:absolute;left:8841;top:15947;width:260;height:339" type="#_x0000_t75" stroked="false">
              <v:imagedata r:id="rId55" o:title=""/>
            </v:shape>
            <v:line style="position:absolute" from="9177,15957" to="9177,16276" stroked="true" strokeweight="1.952pt" strokecolor="#c73e1c">
              <v:stroke dashstyle="solid"/>
            </v:line>
            <v:shape style="position:absolute;left:9255;top:15947;width:303;height:339" type="#_x0000_t75" stroked="false">
              <v:imagedata r:id="rId56" o:title=""/>
            </v:shape>
            <v:shape style="position:absolute;left:9615;top:15947;width:260;height:329" type="#_x0000_t75" stroked="false">
              <v:imagedata r:id="rId57" o:title=""/>
            </v:shape>
            <v:shape style="position:absolute;left:9936;top:15833;width:1332;height:452" coordorigin="9936,15834" coordsize="1332,452" path="m10233,15967l10226,15923,10210,15893,10203,15880,10160,15847,10093,15834,10029,15847,9983,15882,9954,15935,9944,16001,10015,16001,10019,15959,10032,15924,10054,15901,10089,15893,10126,15900,10149,15920,10160,15945,10162,15970,10149,16015,10118,16051,10076,16082,10032,16112,9992,16144,9962,16182,9943,16226,9936,16276,10232,16276,10232,16213,10021,16213,10037,16186,10064,16162,10099,16138,10136,16113,10172,16086,10203,16053,10225,16014,10233,15967m10579,16059l10573,15983,10550,15910,10536,15893,10508,15859,10508,16059,10504,16124,10492,16177,10467,16213,10429,16226,10390,16213,10366,16177,10353,16124,10349,16059,10353,15995,10366,15942,10390,15906,10429,15893,10467,15906,10492,15942,10504,15995,10508,16059,10508,15859,10505,15855,10429,15834,10353,15855,10307,15910,10285,15983,10279,16059,10285,16136,10307,16209,10353,16264,10429,16285,10505,16264,10536,16226,10550,16209,10573,16136,10579,16059m10922,15967l10915,15923,10899,15893,10892,15880,10849,15847,10783,15834,10718,15847,10672,15882,10643,15935,10633,16001,10704,16001,10708,15959,10721,15924,10743,15901,10778,15893,10815,15900,10838,15920,10849,15945,10851,15970,10838,16015,10807,16051,10765,16082,10721,16112,10681,16144,10651,16182,10632,16226,10625,16276,10921,16276,10921,16213,10710,16213,10726,16186,10754,16162,10788,16138,10825,16113,10861,16086,10892,16053,10914,16014,10922,15967m11268,16059l11262,15983,11239,15910,11225,15893,11197,15859,11197,16059,11193,16124,11181,16177,11156,16213,11118,16226,11079,16213,11055,16177,11042,16124,11039,16059,11042,15995,11055,15942,11079,15906,11118,15893,11156,15906,11181,15942,11193,15995,11197,16059,11197,15859,11194,15855,11118,15834,11042,15855,10996,15910,10974,15983,10968,16059,10974,16136,10996,16209,11042,16264,11118,16285,11194,16264,11225,16226,11239,16209,11262,16136,11268,16059e" filled="true" fillcolor="#e1a11f" stroked="false">
              <v:path arrowok="t"/>
              <v:fill type="solid"/>
            </v:shape>
            <v:shape style="position:absolute;left:8127;top:13634;width:2137;height:2267" type="#_x0000_t75" stroked="false">
              <v:imagedata r:id="rId58" o:title=""/>
            </v:shape>
            <w10:wrap type="none"/>
          </v:group>
        </w:pict>
      </w:r>
      <w:r>
        <w:rPr>
          <w:rFonts w:ascii="Arial"/>
          <w:color w:val="8BA8BD"/>
          <w:w w:val="105"/>
          <w:sz w:val="19"/>
        </w:rPr>
        <w:t>vision2020: </w:t>
      </w:r>
      <w:r>
        <w:rPr>
          <w:rFonts w:ascii="Arial"/>
          <w:color w:val="868685"/>
          <w:w w:val="105"/>
          <w:sz w:val="19"/>
        </w:rPr>
        <w:t>ten statements of our mission purpose</w:t>
      </w:r>
    </w:p>
    <w:p>
      <w:pPr>
        <w:pStyle w:val="BodyText"/>
        <w:rPr>
          <w:rFonts w:ascii="Arial"/>
        </w:rPr>
      </w:pPr>
    </w:p>
    <w:p>
      <w:pPr>
        <w:pStyle w:val="BodyText"/>
        <w:spacing w:before="11"/>
        <w:rPr>
          <w:rFonts w:ascii="Arial"/>
          <w:sz w:val="15"/>
        </w:rPr>
      </w:pPr>
    </w:p>
    <w:p>
      <w:pPr>
        <w:pStyle w:val="Heading2"/>
      </w:pPr>
      <w:r>
        <w:rPr>
          <w:color w:val="CA4F1B"/>
          <w:w w:val="110"/>
        </w:rPr>
        <w:t>Annexe 1</w:t>
      </w:r>
    </w:p>
    <w:p>
      <w:pPr>
        <w:pStyle w:val="Heading6"/>
        <w:spacing w:before="27"/>
        <w:ind w:left="1984"/>
      </w:pPr>
      <w:r>
        <w:rPr>
          <w:w w:val="110"/>
        </w:rPr>
        <w:t>The Mission Creed</w:t>
      </w:r>
    </w:p>
    <w:p>
      <w:pPr>
        <w:pStyle w:val="BodyText"/>
        <w:spacing w:before="13"/>
        <w:rPr>
          <w:rFonts w:ascii="Stone Sans II ITC Std Bk"/>
          <w:b/>
          <w:sz w:val="24"/>
        </w:rPr>
      </w:pPr>
    </w:p>
    <w:p>
      <w:pPr>
        <w:spacing w:before="106"/>
        <w:ind w:left="2891" w:right="0" w:firstLine="0"/>
        <w:jc w:val="left"/>
        <w:rPr>
          <w:sz w:val="23"/>
        </w:rPr>
      </w:pPr>
      <w:r>
        <w:rPr>
          <w:w w:val="125"/>
          <w:sz w:val="23"/>
        </w:rPr>
        <w:t>We believe in God’s mission:</w:t>
      </w:r>
    </w:p>
    <w:p>
      <w:pPr>
        <w:pStyle w:val="BodyText"/>
        <w:spacing w:before="10"/>
        <w:rPr>
          <w:sz w:val="22"/>
        </w:rPr>
      </w:pPr>
    </w:p>
    <w:p>
      <w:pPr>
        <w:spacing w:before="0"/>
        <w:ind w:left="3384" w:right="5549" w:firstLine="0"/>
        <w:jc w:val="left"/>
        <w:rPr>
          <w:sz w:val="23"/>
        </w:rPr>
      </w:pPr>
      <w:r>
        <w:rPr>
          <w:w w:val="125"/>
          <w:sz w:val="23"/>
        </w:rPr>
        <w:t>beginning at creation with a word of </w:t>
      </w:r>
      <w:r>
        <w:rPr>
          <w:spacing w:val="-4"/>
          <w:w w:val="125"/>
          <w:sz w:val="23"/>
        </w:rPr>
        <w:t>possibility,</w:t>
      </w:r>
    </w:p>
    <w:p>
      <w:pPr>
        <w:spacing w:line="279" w:lineRule="exact" w:before="0"/>
        <w:ind w:left="3384" w:right="0" w:firstLine="0"/>
        <w:jc w:val="left"/>
        <w:rPr>
          <w:sz w:val="23"/>
        </w:rPr>
      </w:pPr>
      <w:r>
        <w:rPr>
          <w:w w:val="120"/>
          <w:sz w:val="23"/>
        </w:rPr>
        <w:t>and a promise of abundance;</w:t>
      </w:r>
    </w:p>
    <w:p>
      <w:pPr>
        <w:pStyle w:val="BodyText"/>
        <w:spacing w:before="11"/>
        <w:rPr>
          <w:sz w:val="22"/>
        </w:rPr>
      </w:pPr>
    </w:p>
    <w:p>
      <w:pPr>
        <w:spacing w:before="0"/>
        <w:ind w:left="3384" w:right="5349" w:firstLine="0"/>
        <w:jc w:val="left"/>
        <w:rPr>
          <w:sz w:val="23"/>
        </w:rPr>
      </w:pPr>
      <w:r>
        <w:rPr>
          <w:w w:val="125"/>
          <w:sz w:val="23"/>
        </w:rPr>
        <w:t>breathing us into existence to delight in creation,</w:t>
      </w:r>
    </w:p>
    <w:p>
      <w:pPr>
        <w:spacing w:line="279" w:lineRule="exact" w:before="0"/>
        <w:ind w:left="3384" w:right="0" w:firstLine="0"/>
        <w:jc w:val="left"/>
        <w:rPr>
          <w:sz w:val="23"/>
        </w:rPr>
      </w:pPr>
      <w:r>
        <w:rPr>
          <w:w w:val="120"/>
          <w:sz w:val="23"/>
        </w:rPr>
        <w:t>and to tread carefully;</w:t>
      </w:r>
    </w:p>
    <w:p>
      <w:pPr>
        <w:pStyle w:val="BodyText"/>
        <w:spacing w:before="10"/>
        <w:rPr>
          <w:sz w:val="22"/>
        </w:rPr>
      </w:pPr>
    </w:p>
    <w:p>
      <w:pPr>
        <w:spacing w:before="1"/>
        <w:ind w:left="3384" w:right="4239" w:firstLine="0"/>
        <w:jc w:val="left"/>
        <w:rPr>
          <w:sz w:val="23"/>
        </w:rPr>
      </w:pPr>
      <w:r>
        <w:rPr>
          <w:w w:val="125"/>
          <w:sz w:val="23"/>
        </w:rPr>
        <w:t>we are creatures of the earth, reflecting God’s diversity, interconnected and interdependent.</w:t>
      </w:r>
    </w:p>
    <w:p>
      <w:pPr>
        <w:spacing w:line="560" w:lineRule="exact" w:before="49"/>
        <w:ind w:left="3384" w:right="4942" w:hanging="720"/>
        <w:jc w:val="left"/>
        <w:rPr>
          <w:sz w:val="23"/>
        </w:rPr>
      </w:pPr>
      <w:r>
        <w:rPr>
          <w:spacing w:val="-3"/>
          <w:w w:val="125"/>
          <w:sz w:val="23"/>
        </w:rPr>
        <w:t>We </w:t>
      </w:r>
      <w:r>
        <w:rPr>
          <w:w w:val="125"/>
          <w:sz w:val="23"/>
        </w:rPr>
        <w:t>believe in </w:t>
      </w:r>
      <w:r>
        <w:rPr>
          <w:spacing w:val="-4"/>
          <w:w w:val="125"/>
          <w:sz w:val="23"/>
        </w:rPr>
        <w:t>God’s </w:t>
      </w:r>
      <w:r>
        <w:rPr>
          <w:spacing w:val="-3"/>
          <w:w w:val="125"/>
          <w:sz w:val="23"/>
        </w:rPr>
        <w:t>mission: </w:t>
      </w:r>
      <w:r>
        <w:rPr>
          <w:w w:val="125"/>
          <w:sz w:val="23"/>
        </w:rPr>
        <w:t>bringing good news in</w:t>
      </w:r>
      <w:r>
        <w:rPr>
          <w:spacing w:val="47"/>
          <w:w w:val="125"/>
          <w:sz w:val="23"/>
        </w:rPr>
        <w:t> </w:t>
      </w:r>
      <w:r>
        <w:rPr>
          <w:w w:val="125"/>
          <w:sz w:val="23"/>
        </w:rPr>
        <w:t>person,</w:t>
      </w:r>
    </w:p>
    <w:p>
      <w:pPr>
        <w:spacing w:line="229" w:lineRule="exact" w:before="0"/>
        <w:ind w:left="3384" w:right="0" w:firstLine="0"/>
        <w:jc w:val="left"/>
        <w:rPr>
          <w:sz w:val="23"/>
        </w:rPr>
      </w:pPr>
      <w:r>
        <w:rPr>
          <w:w w:val="125"/>
          <w:sz w:val="23"/>
        </w:rPr>
        <w:t>starting where others need to begin</w:t>
      </w:r>
    </w:p>
    <w:p>
      <w:pPr>
        <w:spacing w:line="280" w:lineRule="exact" w:before="0"/>
        <w:ind w:left="3384" w:right="0" w:firstLine="0"/>
        <w:jc w:val="left"/>
        <w:rPr>
          <w:sz w:val="23"/>
        </w:rPr>
      </w:pPr>
      <w:r>
        <w:rPr>
          <w:w w:val="125"/>
          <w:sz w:val="23"/>
        </w:rPr>
        <w:t>and finding holiness in every encounter;</w:t>
      </w:r>
    </w:p>
    <w:p>
      <w:pPr>
        <w:pStyle w:val="BodyText"/>
        <w:spacing w:before="10"/>
        <w:rPr>
          <w:sz w:val="22"/>
        </w:rPr>
      </w:pPr>
    </w:p>
    <w:p>
      <w:pPr>
        <w:spacing w:before="0"/>
        <w:ind w:left="3384" w:right="3289" w:firstLine="0"/>
        <w:jc w:val="left"/>
        <w:rPr>
          <w:sz w:val="23"/>
        </w:rPr>
      </w:pPr>
      <w:r>
        <w:rPr>
          <w:w w:val="125"/>
          <w:sz w:val="23"/>
        </w:rPr>
        <w:t>bursting through the walls of our churches, to reach out to the marginalised</w:t>
      </w:r>
    </w:p>
    <w:p>
      <w:pPr>
        <w:spacing w:line="279" w:lineRule="exact" w:before="0"/>
        <w:ind w:left="3384" w:right="0" w:firstLine="0"/>
        <w:jc w:val="left"/>
        <w:rPr>
          <w:sz w:val="23"/>
        </w:rPr>
      </w:pPr>
      <w:r>
        <w:rPr>
          <w:w w:val="125"/>
          <w:sz w:val="23"/>
        </w:rPr>
        <w:t>with unconditional love;</w:t>
      </w:r>
    </w:p>
    <w:p>
      <w:pPr>
        <w:pStyle w:val="BodyText"/>
        <w:spacing w:before="11"/>
        <w:rPr>
          <w:sz w:val="22"/>
        </w:rPr>
      </w:pPr>
    </w:p>
    <w:p>
      <w:pPr>
        <w:spacing w:before="0"/>
        <w:ind w:left="3384" w:right="2573" w:firstLine="0"/>
        <w:jc w:val="left"/>
        <w:rPr>
          <w:sz w:val="23"/>
        </w:rPr>
      </w:pPr>
      <w:r>
        <w:rPr>
          <w:w w:val="120"/>
          <w:sz w:val="23"/>
        </w:rPr>
        <w:t>we are called to be a people of resurrection, sojourners in this generation,</w:t>
      </w:r>
    </w:p>
    <w:p>
      <w:pPr>
        <w:spacing w:line="279" w:lineRule="exact" w:before="0"/>
        <w:ind w:left="3384" w:right="0" w:firstLine="0"/>
        <w:jc w:val="left"/>
        <w:rPr>
          <w:sz w:val="23"/>
        </w:rPr>
      </w:pPr>
      <w:r>
        <w:rPr>
          <w:w w:val="125"/>
          <w:sz w:val="23"/>
        </w:rPr>
        <w:t>dependent on the generosity of God.</w:t>
      </w:r>
    </w:p>
    <w:p>
      <w:pPr>
        <w:pStyle w:val="BodyText"/>
        <w:spacing w:before="10"/>
        <w:rPr>
          <w:sz w:val="22"/>
        </w:rPr>
      </w:pPr>
    </w:p>
    <w:p>
      <w:pPr>
        <w:spacing w:before="0"/>
        <w:ind w:left="2664" w:right="0" w:firstLine="0"/>
        <w:jc w:val="left"/>
        <w:rPr>
          <w:sz w:val="23"/>
        </w:rPr>
      </w:pPr>
      <w:r>
        <w:rPr>
          <w:w w:val="125"/>
          <w:sz w:val="23"/>
        </w:rPr>
        <w:t>We believe in God’s mission:</w:t>
      </w:r>
    </w:p>
    <w:p>
      <w:pPr>
        <w:pStyle w:val="BodyText"/>
        <w:spacing w:before="11"/>
        <w:rPr>
          <w:sz w:val="22"/>
        </w:rPr>
      </w:pPr>
    </w:p>
    <w:p>
      <w:pPr>
        <w:spacing w:before="0"/>
        <w:ind w:left="3384" w:right="5188" w:firstLine="0"/>
        <w:jc w:val="left"/>
        <w:rPr>
          <w:sz w:val="23"/>
        </w:rPr>
      </w:pPr>
      <w:r>
        <w:rPr>
          <w:w w:val="125"/>
          <w:sz w:val="23"/>
        </w:rPr>
        <w:t>challenging complacency, and calling for action, through contemplative love;</w:t>
      </w:r>
    </w:p>
    <w:p>
      <w:pPr>
        <w:pStyle w:val="BodyText"/>
        <w:spacing w:before="9"/>
        <w:rPr>
          <w:sz w:val="22"/>
        </w:rPr>
      </w:pPr>
    </w:p>
    <w:p>
      <w:pPr>
        <w:spacing w:before="0"/>
        <w:ind w:left="3384" w:right="5349" w:firstLine="0"/>
        <w:jc w:val="left"/>
        <w:rPr>
          <w:sz w:val="23"/>
        </w:rPr>
      </w:pPr>
      <w:r>
        <w:rPr>
          <w:w w:val="125"/>
          <w:sz w:val="23"/>
        </w:rPr>
        <w:t>so that we might be at one with each other,</w:t>
      </w:r>
    </w:p>
    <w:p>
      <w:pPr>
        <w:spacing w:line="279" w:lineRule="exact" w:before="0"/>
        <w:ind w:left="3384" w:right="0" w:firstLine="0"/>
        <w:jc w:val="left"/>
        <w:rPr>
          <w:sz w:val="23"/>
        </w:rPr>
      </w:pPr>
      <w:r>
        <w:rPr>
          <w:w w:val="125"/>
          <w:sz w:val="23"/>
        </w:rPr>
        <w:t>and at peace with the world;</w:t>
      </w:r>
    </w:p>
    <w:p>
      <w:pPr>
        <w:pStyle w:val="BodyText"/>
        <w:spacing w:before="11"/>
        <w:rPr>
          <w:sz w:val="22"/>
        </w:rPr>
      </w:pPr>
    </w:p>
    <w:p>
      <w:pPr>
        <w:spacing w:before="0"/>
        <w:ind w:left="3384" w:right="4239" w:firstLine="0"/>
        <w:jc w:val="left"/>
        <w:rPr>
          <w:sz w:val="23"/>
        </w:rPr>
      </w:pPr>
      <w:r>
        <w:rPr>
          <w:w w:val="125"/>
          <w:sz w:val="23"/>
        </w:rPr>
        <w:t>we are commissioned by God, Creator, Saviour, Holy Spirit,</w:t>
      </w:r>
    </w:p>
    <w:p>
      <w:pPr>
        <w:spacing w:line="279" w:lineRule="exact" w:before="0"/>
        <w:ind w:left="3384" w:right="0" w:firstLine="0"/>
        <w:jc w:val="left"/>
        <w:rPr>
          <w:sz w:val="23"/>
        </w:rPr>
      </w:pPr>
      <w:r>
        <w:rPr>
          <w:w w:val="120"/>
          <w:sz w:val="23"/>
        </w:rPr>
        <w:t>Source of the mission we seek to fulfil.</w:t>
      </w:r>
    </w:p>
    <w:p>
      <w:pPr>
        <w:spacing w:after="0" w:line="279" w:lineRule="exact"/>
        <w:jc w:val="left"/>
        <w:rPr>
          <w:sz w:val="23"/>
        </w:rPr>
        <w:sectPr>
          <w:headerReference w:type="default" r:id="rId50"/>
          <w:footerReference w:type="default" r:id="rId51"/>
          <w:pgSz w:w="11910" w:h="16840"/>
          <w:pgMar w:header="0" w:footer="0" w:top="480" w:bottom="280" w:left="0" w:right="0"/>
        </w:sectPr>
      </w:pPr>
    </w:p>
    <w:p>
      <w:pPr>
        <w:spacing w:before="131"/>
        <w:ind w:left="1133" w:right="0" w:firstLine="0"/>
        <w:jc w:val="left"/>
        <w:rPr>
          <w:rFonts w:ascii="Stone Sans II ITC Std Bk"/>
          <w:b/>
          <w:sz w:val="50"/>
        </w:rPr>
      </w:pPr>
      <w:r>
        <w:rPr/>
        <w:pict>
          <v:rect style="position:absolute;margin-left:12.047pt;margin-top:8.466283pt;width:22.677pt;height:22.677pt;mso-position-horizontal-relative:page;mso-position-vertical-relative:paragraph;z-index:251742208" filled="true" fillcolor="#f9e9c1" stroked="false">
            <v:fill opacity="32768f" type="solid"/>
            <w10:wrap type="none"/>
          </v:rect>
        </w:pict>
      </w:r>
      <w:r>
        <w:rPr>
          <w:rFonts w:ascii="Stone Sans II ITC Std Bk"/>
          <w:b/>
          <w:color w:val="CA4F1B"/>
          <w:w w:val="110"/>
          <w:sz w:val="50"/>
        </w:rPr>
        <w:t>Annexe 2</w:t>
      </w:r>
    </w:p>
    <w:p>
      <w:pPr>
        <w:spacing w:line="196" w:lineRule="auto" w:before="73"/>
        <w:ind w:left="1133" w:right="5549" w:hanging="1"/>
        <w:jc w:val="left"/>
        <w:rPr>
          <w:rFonts w:ascii="Stone Sans II ITC Std Bk"/>
          <w:b/>
          <w:sz w:val="29"/>
        </w:rPr>
      </w:pPr>
      <w:r>
        <w:rPr>
          <w:rFonts w:ascii="Century Gothic"/>
          <w:b/>
          <w:i/>
          <w:w w:val="110"/>
          <w:sz w:val="30"/>
        </w:rPr>
        <w:t>vision2020 </w:t>
      </w:r>
      <w:r>
        <w:rPr>
          <w:rFonts w:ascii="Stone Sans II ITC Std Bk"/>
          <w:b/>
          <w:w w:val="110"/>
          <w:sz w:val="29"/>
        </w:rPr>
        <w:t>Mission Strategy overall framework</w:t>
      </w: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rPr>
          <w:rFonts w:ascii="Stone Sans II ITC Std Bk"/>
          <w:b/>
        </w:rPr>
      </w:pPr>
    </w:p>
    <w:p>
      <w:pPr>
        <w:pStyle w:val="BodyText"/>
        <w:spacing w:before="12"/>
        <w:rPr>
          <w:rFonts w:ascii="Stone Sans II ITC Std Bk"/>
          <w:b/>
          <w:sz w:val="23"/>
        </w:rPr>
      </w:pPr>
    </w:p>
    <w:p>
      <w:pPr>
        <w:spacing w:after="0"/>
        <w:rPr>
          <w:rFonts w:ascii="Stone Sans II ITC Std Bk"/>
          <w:sz w:val="23"/>
        </w:rPr>
        <w:sectPr>
          <w:headerReference w:type="even" r:id="rId59"/>
          <w:headerReference w:type="default" r:id="rId60"/>
          <w:footerReference w:type="even" r:id="rId61"/>
          <w:pgSz w:w="11910" w:h="16840"/>
          <w:pgMar w:header="0" w:footer="0" w:top="1060" w:bottom="280" w:left="0" w:right="0"/>
        </w:sectPr>
      </w:pPr>
    </w:p>
    <w:p>
      <w:pPr>
        <w:pStyle w:val="BodyText"/>
        <w:spacing w:line="235" w:lineRule="auto" w:before="104"/>
        <w:ind w:left="1833"/>
      </w:pPr>
      <w:r>
        <w:rPr>
          <w:w w:val="120"/>
        </w:rPr>
        <w:t>Assembly indicator set reflecting milestones reviewed biennially at Assembly.</w:t>
      </w:r>
    </w:p>
    <w:p>
      <w:pPr>
        <w:pStyle w:val="BodyText"/>
        <w:spacing w:before="11"/>
        <w:rPr>
          <w:sz w:val="19"/>
        </w:rPr>
      </w:pPr>
    </w:p>
    <w:p>
      <w:pPr>
        <w:spacing w:line="235" w:lineRule="auto" w:before="0"/>
        <w:ind w:left="1833" w:right="562" w:firstLine="0"/>
        <w:jc w:val="left"/>
        <w:rPr>
          <w:i/>
          <w:sz w:val="20"/>
        </w:rPr>
      </w:pPr>
      <w:r>
        <w:rPr>
          <w:w w:val="115"/>
          <w:sz w:val="20"/>
        </w:rPr>
        <w:t>Example: </w:t>
      </w:r>
      <w:r>
        <w:rPr>
          <w:i/>
          <w:w w:val="115"/>
          <w:sz w:val="20"/>
        </w:rPr>
        <w:t>the </w:t>
      </w:r>
      <w:r>
        <w:rPr>
          <w:i/>
          <w:w w:val="115"/>
          <w:sz w:val="20"/>
        </w:rPr>
        <w:t>growth in URC membership by 2020.</w:t>
      </w:r>
    </w:p>
    <w:p>
      <w:pPr>
        <w:pStyle w:val="BodyText"/>
        <w:spacing w:before="7"/>
        <w:rPr>
          <w:i/>
          <w:sz w:val="34"/>
        </w:rPr>
      </w:pPr>
      <w:r>
        <w:rPr/>
        <w:br w:type="column"/>
      </w:r>
      <w:r>
        <w:rPr>
          <w:i/>
          <w:sz w:val="34"/>
        </w:rPr>
      </w:r>
    </w:p>
    <w:p>
      <w:pPr>
        <w:pStyle w:val="BodyText"/>
        <w:spacing w:line="235" w:lineRule="auto"/>
        <w:ind w:left="822" w:right="166"/>
      </w:pPr>
      <w:r>
        <w:rPr>
          <w:w w:val="120"/>
        </w:rPr>
        <w:t>Synod ‘covenant’ with commitments for each national </w:t>
      </w:r>
      <w:r>
        <w:rPr>
          <w:w w:val="115"/>
        </w:rPr>
        <w:t>statement/indicator.</w:t>
      </w:r>
    </w:p>
    <w:p>
      <w:pPr>
        <w:pStyle w:val="BodyText"/>
        <w:spacing w:before="11"/>
        <w:rPr>
          <w:sz w:val="19"/>
        </w:rPr>
      </w:pPr>
    </w:p>
    <w:p>
      <w:pPr>
        <w:spacing w:line="235" w:lineRule="auto" w:before="0"/>
        <w:ind w:left="822" w:right="25" w:firstLine="0"/>
        <w:jc w:val="left"/>
        <w:rPr>
          <w:i/>
          <w:sz w:val="20"/>
        </w:rPr>
      </w:pPr>
      <w:r>
        <w:rPr>
          <w:w w:val="110"/>
          <w:sz w:val="20"/>
        </w:rPr>
        <w:t>Example:  </w:t>
      </w:r>
      <w:r>
        <w:rPr>
          <w:i/>
          <w:w w:val="110"/>
          <w:sz w:val="20"/>
        </w:rPr>
        <w:t>the  number </w:t>
      </w:r>
      <w:r>
        <w:rPr>
          <w:i/>
          <w:w w:val="110"/>
          <w:sz w:val="20"/>
        </w:rPr>
        <w:t>of new church </w:t>
      </w:r>
      <w:r>
        <w:rPr>
          <w:i/>
          <w:spacing w:val="-3"/>
          <w:w w:val="110"/>
          <w:sz w:val="20"/>
        </w:rPr>
        <w:t>members </w:t>
      </w:r>
      <w:r>
        <w:rPr>
          <w:i/>
          <w:w w:val="110"/>
          <w:sz w:val="20"/>
        </w:rPr>
        <w:t>and adherents across the whole</w:t>
      </w:r>
      <w:r>
        <w:rPr>
          <w:i/>
          <w:spacing w:val="10"/>
          <w:w w:val="110"/>
          <w:sz w:val="20"/>
        </w:rPr>
        <w:t> </w:t>
      </w:r>
      <w:r>
        <w:rPr>
          <w:i/>
          <w:w w:val="110"/>
          <w:sz w:val="20"/>
        </w:rPr>
        <w:t>synod.</w:t>
      </w:r>
    </w:p>
    <w:p>
      <w:pPr>
        <w:pStyle w:val="BodyText"/>
        <w:rPr>
          <w:i/>
          <w:sz w:val="24"/>
        </w:rPr>
      </w:pPr>
      <w:r>
        <w:rPr/>
        <w:br w:type="column"/>
      </w:r>
      <w:r>
        <w:rPr>
          <w:i/>
          <w:sz w:val="24"/>
        </w:rPr>
      </w:r>
    </w:p>
    <w:p>
      <w:pPr>
        <w:pStyle w:val="BodyText"/>
        <w:spacing w:before="3"/>
        <w:rPr>
          <w:i/>
          <w:sz w:val="32"/>
        </w:rPr>
      </w:pPr>
    </w:p>
    <w:p>
      <w:pPr>
        <w:pStyle w:val="BodyText"/>
        <w:spacing w:line="235" w:lineRule="auto"/>
        <w:ind w:left="553" w:right="1524"/>
        <w:jc w:val="both"/>
      </w:pPr>
      <w:r>
        <w:rPr>
          <w:color w:val="FFFFFF"/>
          <w:w w:val="120"/>
        </w:rPr>
        <w:t>Small number of local mission pledges made through LMMR process.</w:t>
      </w:r>
    </w:p>
    <w:p>
      <w:pPr>
        <w:pStyle w:val="BodyText"/>
        <w:spacing w:before="10"/>
        <w:rPr>
          <w:sz w:val="19"/>
        </w:rPr>
      </w:pPr>
    </w:p>
    <w:p>
      <w:pPr>
        <w:spacing w:line="235" w:lineRule="auto" w:before="0"/>
        <w:ind w:left="553" w:right="1266" w:firstLine="0"/>
        <w:jc w:val="left"/>
        <w:rPr>
          <w:i/>
          <w:sz w:val="20"/>
        </w:rPr>
      </w:pPr>
      <w:r>
        <w:rPr>
          <w:color w:val="FFFFFF"/>
          <w:w w:val="110"/>
          <w:sz w:val="20"/>
        </w:rPr>
        <w:t>Example: </w:t>
      </w:r>
      <w:r>
        <w:rPr>
          <w:i/>
          <w:color w:val="FFFFFF"/>
          <w:w w:val="110"/>
          <w:sz w:val="20"/>
        </w:rPr>
        <w:t>the numbers of new </w:t>
      </w:r>
      <w:r>
        <w:rPr>
          <w:i/>
          <w:color w:val="FFFFFF"/>
          <w:w w:val="110"/>
          <w:sz w:val="20"/>
        </w:rPr>
        <w:t>people attending church and returning for a second time.</w:t>
      </w:r>
    </w:p>
    <w:p>
      <w:pPr>
        <w:pStyle w:val="BodyText"/>
        <w:rPr>
          <w:i/>
          <w:sz w:val="24"/>
        </w:rPr>
      </w:pPr>
    </w:p>
    <w:p>
      <w:pPr>
        <w:pStyle w:val="BodyText"/>
        <w:rPr>
          <w:i/>
          <w:sz w:val="24"/>
        </w:rPr>
      </w:pPr>
    </w:p>
    <w:p>
      <w:pPr>
        <w:pStyle w:val="BodyText"/>
        <w:spacing w:before="11"/>
        <w:rPr>
          <w:i/>
          <w:sz w:val="18"/>
        </w:rPr>
      </w:pPr>
    </w:p>
    <w:p>
      <w:pPr>
        <w:pStyle w:val="BodyText"/>
        <w:spacing w:line="235" w:lineRule="auto"/>
        <w:ind w:left="2460" w:right="508"/>
      </w:pPr>
      <w:r>
        <w:rPr>
          <w:color w:val="FFFFFF"/>
          <w:w w:val="120"/>
        </w:rPr>
        <w:t>Local Bible studies/V4L resources etc.</w:t>
      </w:r>
    </w:p>
    <w:p>
      <w:pPr>
        <w:spacing w:after="0" w:line="235" w:lineRule="auto"/>
        <w:sectPr>
          <w:type w:val="continuous"/>
          <w:pgSz w:w="11910" w:h="16840"/>
          <w:pgMar w:top="860" w:bottom="280" w:left="0" w:right="0"/>
          <w:cols w:num="3" w:equalWidth="0">
            <w:col w:w="3758" w:space="40"/>
            <w:col w:w="3030" w:space="39"/>
            <w:col w:w="5043"/>
          </w:cols>
        </w:sectPr>
      </w:pPr>
    </w:p>
    <w:p>
      <w:pPr>
        <w:pStyle w:val="BodyText"/>
      </w:pPr>
      <w:r>
        <w:rPr/>
        <w:pict>
          <v:group style="position:absolute;margin-left:39.685001pt;margin-top:68.034012pt;width:556.1pt;height:744.1pt;mso-position-horizontal-relative:page;mso-position-vertical-relative:page;z-index:-267680768" coordorigin="794,1361" coordsize="11122,14882">
            <v:shape style="position:absolute;left:793;top:1360;width:11112;height:14880" type="#_x0000_t75" stroked="false">
              <v:imagedata r:id="rId62" o:title=""/>
            </v:shape>
            <v:line style="position:absolute" from="2941,2703" to="11906,8768" stroked="true" strokeweight="1pt" strokecolor="#8ba8bd">
              <v:stroke dashstyle="longdash"/>
            </v:line>
            <v:line style="position:absolute" from="11906,8798" to="876,16232" stroked="true" strokeweight="1pt" strokecolor="#8ba8bd">
              <v:stroke dashstyle="longdash"/>
            </v:line>
            <w10:wrap type="none"/>
          </v:group>
        </w:pict>
      </w:r>
    </w:p>
    <w:p>
      <w:pPr>
        <w:pStyle w:val="BodyText"/>
      </w:pPr>
    </w:p>
    <w:p>
      <w:pPr>
        <w:pStyle w:val="BodyText"/>
        <w:spacing w:before="11"/>
        <w:rPr>
          <w:sz w:val="25"/>
        </w:rPr>
      </w:pPr>
    </w:p>
    <w:p>
      <w:pPr>
        <w:pStyle w:val="BodyText"/>
        <w:spacing w:line="235" w:lineRule="auto" w:before="103"/>
        <w:ind w:left="7575" w:right="1634"/>
      </w:pPr>
      <w:r>
        <w:rPr>
          <w:w w:val="120"/>
        </w:rPr>
        <w:t>Synod workshops/seminars linked to training offer.</w:t>
      </w:r>
    </w:p>
    <w:p>
      <w:pPr>
        <w:pStyle w:val="BodyText"/>
      </w:pPr>
    </w:p>
    <w:p>
      <w:pPr>
        <w:pStyle w:val="BodyText"/>
      </w:pPr>
    </w:p>
    <w:p>
      <w:pPr>
        <w:pStyle w:val="BodyText"/>
      </w:pPr>
    </w:p>
    <w:p>
      <w:pPr>
        <w:pStyle w:val="BodyText"/>
        <w:spacing w:before="1"/>
        <w:rPr>
          <w:sz w:val="25"/>
        </w:rPr>
      </w:pPr>
    </w:p>
    <w:p>
      <w:pPr>
        <w:pStyle w:val="BodyText"/>
        <w:spacing w:line="235" w:lineRule="auto" w:before="104"/>
        <w:ind w:left="6390" w:right="2735"/>
      </w:pPr>
      <w:r>
        <w:rPr>
          <w:w w:val="120"/>
        </w:rPr>
        <w:t>National resources such as V4L materials.</w:t>
      </w:r>
    </w:p>
    <w:p>
      <w:pPr>
        <w:pStyle w:val="BodyText"/>
      </w:pPr>
    </w:p>
    <w:p>
      <w:pPr>
        <w:pStyle w:val="BodyText"/>
      </w:pPr>
    </w:p>
    <w:p>
      <w:pPr>
        <w:pStyle w:val="BodyText"/>
      </w:pPr>
    </w:p>
    <w:p>
      <w:pPr>
        <w:pStyle w:val="BodyText"/>
      </w:pPr>
    </w:p>
    <w:p>
      <w:pPr>
        <w:pStyle w:val="BodyText"/>
      </w:pPr>
    </w:p>
    <w:p>
      <w:pPr>
        <w:pStyle w:val="BodyText"/>
        <w:spacing w:before="7"/>
      </w:pPr>
    </w:p>
    <w:p>
      <w:pPr>
        <w:tabs>
          <w:tab w:pos="1369" w:val="left" w:leader="none"/>
        </w:tabs>
        <w:spacing w:before="96"/>
        <w:ind w:left="793" w:right="0" w:firstLine="0"/>
        <w:jc w:val="left"/>
        <w:rPr>
          <w:sz w:val="23"/>
        </w:rPr>
      </w:pPr>
      <w:r>
        <w:rPr>
          <w:rFonts w:ascii="Stone Sans II ITC Std X Bd" w:hAnsi="Stone Sans II ITC Std X Bd"/>
          <w:b/>
          <w:w w:val="110"/>
          <w:sz w:val="24"/>
        </w:rPr>
        <w:t>18</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5"/>
          <w:w w:val="110"/>
          <w:sz w:val="23"/>
        </w:rPr>
        <w:t> </w:t>
      </w:r>
      <w:r>
        <w:rPr>
          <w:color w:val="8BA8BD"/>
          <w:w w:val="110"/>
          <w:sz w:val="23"/>
        </w:rPr>
        <w:t>2010</w:t>
      </w:r>
    </w:p>
    <w:p>
      <w:pPr>
        <w:spacing w:after="0"/>
        <w:jc w:val="left"/>
        <w:rPr>
          <w:sz w:val="23"/>
        </w:rPr>
        <w:sectPr>
          <w:type w:val="continuous"/>
          <w:pgSz w:w="11910" w:h="16840"/>
          <w:pgMar w:top="860" w:bottom="280" w:left="0" w:right="0"/>
        </w:sectPr>
      </w:pPr>
    </w:p>
    <w:p>
      <w:pPr>
        <w:pStyle w:val="BodyText"/>
        <w:spacing w:before="11"/>
        <w:rPr>
          <w:sz w:val="13"/>
        </w:rPr>
      </w:pPr>
    </w:p>
    <w:p>
      <w:pPr>
        <w:pStyle w:val="BodyText"/>
        <w:ind w:left="11168"/>
      </w:pPr>
      <w:r>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r>
    </w:p>
    <w:p>
      <w:pPr>
        <w:pStyle w:val="BodyText"/>
      </w:pPr>
    </w:p>
    <w:p>
      <w:pPr>
        <w:pStyle w:val="BodyText"/>
      </w:pPr>
    </w:p>
    <w:p>
      <w:pPr>
        <w:pStyle w:val="BodyText"/>
      </w:pPr>
    </w:p>
    <w:p>
      <w:pPr>
        <w:pStyle w:val="ListParagraph"/>
        <w:numPr>
          <w:ilvl w:val="0"/>
          <w:numId w:val="16"/>
        </w:numPr>
        <w:tabs>
          <w:tab w:pos="1182" w:val="left" w:leader="none"/>
          <w:tab w:pos="1183" w:val="left" w:leader="none"/>
        </w:tabs>
        <w:spacing w:line="296" w:lineRule="exact" w:before="249" w:after="0"/>
        <w:ind w:left="1182" w:right="0" w:hanging="361"/>
        <w:jc w:val="left"/>
        <w:rPr>
          <w:rFonts w:ascii="Wingdings" w:hAnsi="Wingdings"/>
          <w:sz w:val="29"/>
        </w:rPr>
      </w:pPr>
      <w:r>
        <w:rPr>
          <w:w w:val="120"/>
          <w:sz w:val="20"/>
        </w:rPr>
        <w:t>based on 10-year</w:t>
      </w:r>
      <w:r>
        <w:rPr>
          <w:spacing w:val="5"/>
          <w:w w:val="120"/>
          <w:sz w:val="20"/>
        </w:rPr>
        <w:t> </w:t>
      </w:r>
      <w:r>
        <w:rPr>
          <w:w w:val="120"/>
          <w:sz w:val="20"/>
        </w:rPr>
        <w:t>statements</w:t>
      </w:r>
    </w:p>
    <w:p>
      <w:pPr>
        <w:pStyle w:val="BodyText"/>
        <w:spacing w:line="216" w:lineRule="exact"/>
        <w:ind w:left="1182"/>
      </w:pPr>
      <w:r>
        <w:rPr>
          <w:w w:val="120"/>
        </w:rPr>
        <w:t>with annual mission team objectives</w:t>
      </w:r>
    </w:p>
    <w:p>
      <w:pPr>
        <w:pStyle w:val="BodyText"/>
        <w:spacing w:line="242" w:lineRule="exact"/>
        <w:ind w:left="1182"/>
      </w:pPr>
      <w:r>
        <w:rPr>
          <w:w w:val="120"/>
        </w:rPr>
        <w:t>and programme plan.</w:t>
      </w:r>
    </w:p>
    <w:p>
      <w:pPr>
        <w:pStyle w:val="BodyText"/>
      </w:pPr>
    </w:p>
    <w:p>
      <w:pPr>
        <w:pStyle w:val="BodyText"/>
      </w:pPr>
    </w:p>
    <w:p>
      <w:pPr>
        <w:pStyle w:val="BodyText"/>
        <w:spacing w:before="8"/>
        <w:rPr>
          <w:sz w:val="15"/>
        </w:rPr>
      </w:pPr>
    </w:p>
    <w:p>
      <w:pPr>
        <w:pStyle w:val="ListParagraph"/>
        <w:numPr>
          <w:ilvl w:val="0"/>
          <w:numId w:val="16"/>
        </w:numPr>
        <w:tabs>
          <w:tab w:pos="1182" w:val="left" w:leader="none"/>
          <w:tab w:pos="1183" w:val="left" w:leader="none"/>
        </w:tabs>
        <w:spacing w:line="196" w:lineRule="auto" w:before="138" w:after="0"/>
        <w:ind w:left="1182" w:right="8389" w:hanging="361"/>
        <w:jc w:val="left"/>
        <w:rPr>
          <w:rFonts w:ascii="Wingdings" w:hAnsi="Wingdings"/>
          <w:sz w:val="29"/>
        </w:rPr>
      </w:pPr>
      <w:r>
        <w:rPr>
          <w:w w:val="120"/>
          <w:sz w:val="20"/>
        </w:rPr>
        <w:t>5-year aims with annual objectives action</w:t>
      </w:r>
      <w:r>
        <w:rPr>
          <w:spacing w:val="19"/>
          <w:w w:val="120"/>
          <w:sz w:val="20"/>
        </w:rPr>
        <w:t> </w:t>
      </w:r>
      <w:r>
        <w:rPr>
          <w:w w:val="120"/>
          <w:sz w:val="20"/>
        </w:rPr>
        <w:t>plan.</w:t>
      </w:r>
    </w:p>
    <w:p>
      <w:pPr>
        <w:pStyle w:val="BodyText"/>
      </w:pPr>
    </w:p>
    <w:p>
      <w:pPr>
        <w:pStyle w:val="BodyText"/>
      </w:pPr>
    </w:p>
    <w:p>
      <w:pPr>
        <w:pStyle w:val="BodyText"/>
        <w:spacing w:before="10"/>
        <w:rPr>
          <w:sz w:val="24"/>
        </w:rPr>
      </w:pPr>
    </w:p>
    <w:p>
      <w:pPr>
        <w:spacing w:after="0"/>
        <w:rPr>
          <w:sz w:val="24"/>
        </w:rPr>
        <w:sectPr>
          <w:headerReference w:type="default" r:id="rId63"/>
          <w:headerReference w:type="even" r:id="rId64"/>
          <w:footerReference w:type="default" r:id="rId65"/>
          <w:pgSz w:w="11910" w:h="16840"/>
          <w:pgMar w:header="0" w:footer="0" w:top="1060" w:bottom="280" w:left="0" w:right="0"/>
        </w:sectPr>
      </w:pPr>
    </w:p>
    <w:p>
      <w:pPr>
        <w:pStyle w:val="BodyText"/>
        <w:spacing w:before="5"/>
        <w:rPr>
          <w:sz w:val="33"/>
        </w:rPr>
      </w:pPr>
    </w:p>
    <w:p>
      <w:pPr>
        <w:pStyle w:val="ListParagraph"/>
        <w:numPr>
          <w:ilvl w:val="0"/>
          <w:numId w:val="16"/>
        </w:numPr>
        <w:tabs>
          <w:tab w:pos="1182" w:val="left" w:leader="none"/>
          <w:tab w:pos="1183" w:val="left" w:leader="none"/>
        </w:tabs>
        <w:spacing w:line="296" w:lineRule="exact" w:before="0" w:after="0"/>
        <w:ind w:left="1182" w:right="0" w:hanging="361"/>
        <w:jc w:val="left"/>
        <w:rPr>
          <w:rFonts w:ascii="Wingdings" w:hAnsi="Wingdings"/>
          <w:color w:val="FFFFFF"/>
          <w:sz w:val="29"/>
        </w:rPr>
      </w:pPr>
      <w:r>
        <w:rPr>
          <w:color w:val="FFFFFF"/>
          <w:w w:val="120"/>
          <w:sz w:val="20"/>
        </w:rPr>
        <w:t>2/3-year</w:t>
      </w:r>
    </w:p>
    <w:p>
      <w:pPr>
        <w:pStyle w:val="BodyText"/>
        <w:spacing w:line="216" w:lineRule="exact"/>
        <w:ind w:left="1182"/>
      </w:pPr>
      <w:r>
        <w:rPr>
          <w:color w:val="FFFFFF"/>
          <w:w w:val="115"/>
        </w:rPr>
        <w:t>objectives for</w:t>
      </w:r>
    </w:p>
    <w:p>
      <w:pPr>
        <w:pStyle w:val="BodyText"/>
        <w:spacing w:line="235" w:lineRule="auto" w:before="2"/>
        <w:ind w:left="1182" w:right="-11"/>
      </w:pPr>
      <w:r>
        <w:rPr>
          <w:color w:val="FFFFFF"/>
          <w:w w:val="120"/>
        </w:rPr>
        <w:t>local churches/ groups/LEPs.</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spacing w:before="4"/>
        <w:rPr>
          <w:sz w:val="28"/>
        </w:rPr>
      </w:pPr>
    </w:p>
    <w:p>
      <w:pPr>
        <w:pStyle w:val="BodyText"/>
        <w:spacing w:line="212" w:lineRule="exact"/>
        <w:ind w:left="29"/>
      </w:pPr>
      <w:r>
        <w:rPr>
          <w:color w:val="FFFFFF"/>
          <w:w w:val="120"/>
        </w:rPr>
        <w:t>‘Mission</w:t>
      </w:r>
      <w:r>
        <w:rPr>
          <w:color w:val="FFFFFF"/>
          <w:spacing w:val="-5"/>
          <w:w w:val="120"/>
        </w:rPr>
        <w:t> Plan’</w:t>
      </w:r>
    </w:p>
    <w:p>
      <w:pPr>
        <w:pStyle w:val="BodyText"/>
        <w:rPr>
          <w:sz w:val="24"/>
        </w:rPr>
      </w:pPr>
      <w:r>
        <w:rPr/>
        <w:br w:type="column"/>
      </w:r>
      <w:r>
        <w:rPr>
          <w:sz w:val="24"/>
        </w:rPr>
      </w:r>
    </w:p>
    <w:p>
      <w:pPr>
        <w:pStyle w:val="BodyText"/>
        <w:rPr>
          <w:sz w:val="24"/>
        </w:rPr>
      </w:pPr>
    </w:p>
    <w:p>
      <w:pPr>
        <w:pStyle w:val="BodyText"/>
        <w:spacing w:before="1"/>
        <w:rPr>
          <w:sz w:val="35"/>
        </w:rPr>
      </w:pPr>
    </w:p>
    <w:p>
      <w:pPr>
        <w:pStyle w:val="BodyText"/>
        <w:spacing w:line="235" w:lineRule="auto"/>
        <w:ind w:left="182" w:right="-13"/>
      </w:pPr>
      <w:r>
        <w:rPr>
          <w:w w:val="120"/>
        </w:rPr>
        <w:t>‘Annual Action Plan’ including:</w:t>
      </w:r>
    </w:p>
    <w:p>
      <w:pPr>
        <w:pStyle w:val="ListParagraph"/>
        <w:numPr>
          <w:ilvl w:val="0"/>
          <w:numId w:val="16"/>
        </w:numPr>
        <w:tabs>
          <w:tab w:pos="1090" w:val="left" w:leader="none"/>
        </w:tabs>
        <w:spacing w:line="238" w:lineRule="exact" w:before="0" w:after="0"/>
        <w:ind w:left="1089" w:right="0" w:hanging="228"/>
        <w:jc w:val="left"/>
        <w:rPr>
          <w:rFonts w:ascii="Wingdings" w:hAnsi="Wingdings"/>
          <w:sz w:val="29"/>
        </w:rPr>
      </w:pPr>
      <w:r>
        <w:rPr>
          <w:w w:val="120"/>
          <w:sz w:val="20"/>
        </w:rPr>
        <w:t>mission</w:t>
      </w:r>
    </w:p>
    <w:p>
      <w:pPr>
        <w:pStyle w:val="BodyText"/>
        <w:spacing w:line="235" w:lineRule="auto" w:before="104"/>
        <w:ind w:left="634" w:right="2556"/>
      </w:pPr>
      <w:r>
        <w:rPr/>
        <w:br w:type="column"/>
      </w:r>
      <w:r>
        <w:rPr>
          <w:w w:val="120"/>
        </w:rPr>
        <w:t>‘Annual Programme Plan’ including programme support:</w:t>
      </w:r>
    </w:p>
    <w:p>
      <w:pPr>
        <w:pStyle w:val="ListParagraph"/>
        <w:numPr>
          <w:ilvl w:val="1"/>
          <w:numId w:val="16"/>
        </w:numPr>
        <w:tabs>
          <w:tab w:pos="1542" w:val="left" w:leader="none"/>
        </w:tabs>
        <w:spacing w:line="196" w:lineRule="auto" w:before="8" w:after="0"/>
        <w:ind w:left="1541" w:right="2469" w:hanging="274"/>
        <w:jc w:val="left"/>
        <w:rPr>
          <w:sz w:val="20"/>
        </w:rPr>
      </w:pPr>
      <w:r>
        <w:rPr>
          <w:spacing w:val="-3"/>
          <w:w w:val="120"/>
          <w:sz w:val="20"/>
        </w:rPr>
        <w:t>mission </w:t>
      </w:r>
      <w:r>
        <w:rPr>
          <w:w w:val="120"/>
          <w:sz w:val="20"/>
        </w:rPr>
        <w:t>strategy and </w:t>
      </w:r>
      <w:r>
        <w:rPr>
          <w:spacing w:val="-7"/>
          <w:w w:val="120"/>
          <w:sz w:val="20"/>
        </w:rPr>
        <w:t>21C</w:t>
      </w:r>
      <w:r>
        <w:rPr>
          <w:spacing w:val="4"/>
          <w:w w:val="120"/>
          <w:sz w:val="20"/>
        </w:rPr>
        <w:t> </w:t>
      </w:r>
      <w:r>
        <w:rPr>
          <w:spacing w:val="-4"/>
          <w:w w:val="120"/>
          <w:sz w:val="20"/>
        </w:rPr>
        <w:t>Church</w:t>
      </w:r>
    </w:p>
    <w:p>
      <w:pPr>
        <w:spacing w:line="235" w:lineRule="auto" w:before="10"/>
        <w:ind w:left="1541" w:right="2556" w:firstLine="0"/>
        <w:jc w:val="left"/>
        <w:rPr>
          <w:i/>
          <w:sz w:val="20"/>
        </w:rPr>
      </w:pPr>
      <w:r>
        <w:rPr>
          <w:w w:val="115"/>
          <w:sz w:val="20"/>
        </w:rPr>
        <w:t>support – </w:t>
      </w:r>
      <w:r>
        <w:rPr>
          <w:i/>
          <w:w w:val="115"/>
          <w:sz w:val="20"/>
        </w:rPr>
        <w:t>Fresh </w:t>
      </w:r>
      <w:r>
        <w:rPr>
          <w:i/>
          <w:w w:val="115"/>
          <w:sz w:val="20"/>
        </w:rPr>
        <w:t>Expressions;</w:t>
      </w:r>
    </w:p>
    <w:p>
      <w:pPr>
        <w:spacing w:after="0" w:line="235" w:lineRule="auto"/>
        <w:jc w:val="left"/>
        <w:rPr>
          <w:sz w:val="20"/>
        </w:rPr>
        <w:sectPr>
          <w:type w:val="continuous"/>
          <w:pgSz w:w="11910" w:h="16840"/>
          <w:pgMar w:top="860" w:bottom="280" w:left="0" w:right="0"/>
          <w:cols w:num="4" w:equalWidth="0">
            <w:col w:w="2670" w:space="40"/>
            <w:col w:w="1368" w:space="39"/>
            <w:col w:w="2154" w:space="39"/>
            <w:col w:w="5600"/>
          </w:cols>
        </w:sectPr>
      </w:pPr>
    </w:p>
    <w:p>
      <w:pPr>
        <w:pStyle w:val="BodyText"/>
        <w:spacing w:line="218" w:lineRule="exact"/>
        <w:ind w:right="618"/>
        <w:jc w:val="right"/>
      </w:pPr>
      <w:r>
        <w:rPr>
          <w:color w:val="FFFFFF"/>
          <w:w w:val="120"/>
        </w:rPr>
        <w:t>derived from</w:t>
      </w:r>
      <w:r>
        <w:rPr>
          <w:color w:val="FFFFFF"/>
          <w:spacing w:val="20"/>
          <w:w w:val="120"/>
        </w:rPr>
        <w:t> </w:t>
      </w:r>
      <w:r>
        <w:rPr>
          <w:color w:val="FFFFFF"/>
          <w:w w:val="120"/>
        </w:rPr>
        <w:t>local</w:t>
      </w:r>
    </w:p>
    <w:p>
      <w:pPr>
        <w:pStyle w:val="BodyText"/>
        <w:spacing w:line="235" w:lineRule="auto" w:before="1"/>
        <w:ind w:left="2368" w:right="618" w:hanging="322"/>
        <w:jc w:val="right"/>
      </w:pPr>
      <w:r>
        <w:rPr>
          <w:color w:val="FFFFFF"/>
          <w:w w:val="120"/>
        </w:rPr>
        <w:t>mission</w:t>
      </w:r>
      <w:r>
        <w:rPr>
          <w:color w:val="FFFFFF"/>
          <w:spacing w:val="4"/>
          <w:w w:val="120"/>
        </w:rPr>
        <w:t> </w:t>
      </w:r>
      <w:r>
        <w:rPr>
          <w:color w:val="FFFFFF"/>
          <w:w w:val="120"/>
        </w:rPr>
        <w:t>and</w:t>
      </w:r>
      <w:r>
        <w:rPr>
          <w:color w:val="FFFFFF"/>
          <w:spacing w:val="4"/>
          <w:w w:val="120"/>
        </w:rPr>
        <w:t> </w:t>
      </w:r>
      <w:r>
        <w:rPr>
          <w:color w:val="FFFFFF"/>
          <w:w w:val="120"/>
        </w:rPr>
        <w:t>ministry</w:t>
      </w:r>
      <w:r>
        <w:rPr>
          <w:color w:val="FFFFFF"/>
          <w:w w:val="121"/>
        </w:rPr>
        <w:t> </w:t>
      </w:r>
      <w:r>
        <w:rPr>
          <w:color w:val="FFFFFF"/>
          <w:w w:val="120"/>
        </w:rPr>
        <w:t>review</w:t>
      </w:r>
      <w:r>
        <w:rPr>
          <w:color w:val="FFFFFF"/>
          <w:spacing w:val="7"/>
          <w:w w:val="120"/>
        </w:rPr>
        <w:t> </w:t>
      </w:r>
      <w:r>
        <w:rPr>
          <w:color w:val="FFFFFF"/>
          <w:spacing w:val="-3"/>
          <w:w w:val="120"/>
        </w:rPr>
        <w:t>including:</w:t>
      </w:r>
    </w:p>
    <w:p>
      <w:pPr>
        <w:pStyle w:val="ListParagraph"/>
        <w:numPr>
          <w:ilvl w:val="2"/>
          <w:numId w:val="16"/>
        </w:numPr>
        <w:tabs>
          <w:tab w:pos="2142" w:val="left" w:leader="none"/>
          <w:tab w:pos="2143" w:val="left" w:leader="none"/>
        </w:tabs>
        <w:spacing w:line="248" w:lineRule="exact" w:before="0" w:after="0"/>
        <w:ind w:left="2142" w:right="0" w:hanging="397"/>
        <w:jc w:val="left"/>
        <w:rPr>
          <w:sz w:val="20"/>
        </w:rPr>
      </w:pPr>
      <w:r>
        <w:rPr>
          <w:color w:val="FFFFFF"/>
          <w:w w:val="120"/>
          <w:sz w:val="20"/>
        </w:rPr>
        <w:t>ministry</w:t>
      </w:r>
      <w:r>
        <w:rPr>
          <w:color w:val="FFFFFF"/>
          <w:spacing w:val="1"/>
          <w:w w:val="120"/>
          <w:sz w:val="20"/>
        </w:rPr>
        <w:t> </w:t>
      </w:r>
      <w:r>
        <w:rPr>
          <w:color w:val="FFFFFF"/>
          <w:w w:val="120"/>
          <w:sz w:val="20"/>
        </w:rPr>
        <w:t>team;</w:t>
      </w:r>
    </w:p>
    <w:p>
      <w:pPr>
        <w:pStyle w:val="ListParagraph"/>
        <w:numPr>
          <w:ilvl w:val="2"/>
          <w:numId w:val="16"/>
        </w:numPr>
        <w:tabs>
          <w:tab w:pos="2142" w:val="left" w:leader="none"/>
          <w:tab w:pos="2143" w:val="left" w:leader="none"/>
        </w:tabs>
        <w:spacing w:line="240" w:lineRule="exact" w:before="0" w:after="0"/>
        <w:ind w:left="2142" w:right="0" w:hanging="397"/>
        <w:jc w:val="left"/>
        <w:rPr>
          <w:sz w:val="20"/>
        </w:rPr>
      </w:pPr>
      <w:r>
        <w:rPr>
          <w:color w:val="FFFFFF"/>
          <w:w w:val="120"/>
          <w:sz w:val="20"/>
        </w:rPr>
        <w:t>use of</w:t>
      </w:r>
      <w:r>
        <w:rPr>
          <w:color w:val="FFFFFF"/>
          <w:spacing w:val="6"/>
          <w:w w:val="120"/>
          <w:sz w:val="20"/>
        </w:rPr>
        <w:t> </w:t>
      </w:r>
      <w:r>
        <w:rPr>
          <w:color w:val="FFFFFF"/>
          <w:w w:val="120"/>
          <w:sz w:val="20"/>
        </w:rPr>
        <w:t>buildings;</w:t>
      </w:r>
    </w:p>
    <w:p>
      <w:pPr>
        <w:pStyle w:val="ListParagraph"/>
        <w:numPr>
          <w:ilvl w:val="2"/>
          <w:numId w:val="16"/>
        </w:numPr>
        <w:tabs>
          <w:tab w:pos="2142" w:val="left" w:leader="none"/>
          <w:tab w:pos="2143" w:val="left" w:leader="none"/>
        </w:tabs>
        <w:spacing w:line="255" w:lineRule="exact" w:before="0" w:after="0"/>
        <w:ind w:left="2142" w:right="0" w:hanging="397"/>
        <w:jc w:val="left"/>
        <w:rPr>
          <w:sz w:val="20"/>
        </w:rPr>
      </w:pPr>
      <w:r>
        <w:rPr>
          <w:color w:val="FFFFFF"/>
          <w:w w:val="120"/>
          <w:sz w:val="20"/>
        </w:rPr>
        <w:t>ecumenical</w:t>
      </w:r>
      <w:r>
        <w:rPr>
          <w:color w:val="FFFFFF"/>
          <w:spacing w:val="-15"/>
          <w:w w:val="120"/>
          <w:sz w:val="20"/>
        </w:rPr>
        <w:t> </w:t>
      </w:r>
      <w:r>
        <w:rPr>
          <w:color w:val="FFFFFF"/>
          <w:w w:val="120"/>
          <w:sz w:val="20"/>
        </w:rPr>
        <w:t>arrangements</w:t>
      </w:r>
    </w:p>
    <w:p>
      <w:pPr>
        <w:pStyle w:val="BodyText"/>
        <w:spacing w:line="216" w:lineRule="exact"/>
        <w:ind w:left="2142"/>
      </w:pPr>
      <w:r>
        <w:rPr>
          <w:color w:val="FFFFFF"/>
          <w:w w:val="120"/>
        </w:rPr>
        <w:t>– </w:t>
      </w:r>
      <w:r>
        <w:rPr>
          <w:color w:val="FFFFFF"/>
          <w:spacing w:val="-3"/>
          <w:w w:val="120"/>
        </w:rPr>
        <w:t>associations </w:t>
      </w:r>
      <w:r>
        <w:rPr>
          <w:color w:val="FFFFFF"/>
          <w:w w:val="120"/>
        </w:rPr>
        <w:t>of </w:t>
      </w:r>
      <w:r>
        <w:rPr>
          <w:color w:val="FFFFFF"/>
          <w:spacing w:val="-3"/>
          <w:w w:val="120"/>
        </w:rPr>
        <w:t>churches,</w:t>
      </w:r>
    </w:p>
    <w:p>
      <w:pPr>
        <w:pStyle w:val="BodyText"/>
        <w:spacing w:line="235" w:lineRule="auto" w:before="2"/>
        <w:ind w:left="2142"/>
      </w:pPr>
      <w:r>
        <w:rPr>
          <w:color w:val="FFFFFF"/>
          <w:w w:val="120"/>
        </w:rPr>
        <w:t>Churches Together, belonging to the wider world Church;</w:t>
      </w:r>
    </w:p>
    <w:p>
      <w:pPr>
        <w:pStyle w:val="ListParagraph"/>
        <w:numPr>
          <w:ilvl w:val="2"/>
          <w:numId w:val="16"/>
        </w:numPr>
        <w:tabs>
          <w:tab w:pos="2142" w:val="left" w:leader="none"/>
          <w:tab w:pos="2143" w:val="left" w:leader="none"/>
        </w:tabs>
        <w:spacing w:line="196" w:lineRule="auto" w:before="8" w:after="0"/>
        <w:ind w:left="2142" w:right="458" w:hanging="397"/>
        <w:jc w:val="left"/>
        <w:rPr>
          <w:sz w:val="20"/>
        </w:rPr>
      </w:pPr>
      <w:r>
        <w:rPr>
          <w:color w:val="FFFFFF"/>
          <w:w w:val="120"/>
          <w:sz w:val="20"/>
        </w:rPr>
        <w:t>external partnerships and</w:t>
      </w:r>
      <w:r>
        <w:rPr>
          <w:color w:val="FFFFFF"/>
          <w:spacing w:val="4"/>
          <w:w w:val="120"/>
          <w:sz w:val="20"/>
        </w:rPr>
        <w:t> </w:t>
      </w:r>
      <w:r>
        <w:rPr>
          <w:color w:val="FFFFFF"/>
          <w:w w:val="120"/>
          <w:sz w:val="20"/>
        </w:rPr>
        <w:t>funding;</w:t>
      </w:r>
    </w:p>
    <w:p>
      <w:pPr>
        <w:pStyle w:val="ListParagraph"/>
        <w:numPr>
          <w:ilvl w:val="3"/>
          <w:numId w:val="16"/>
        </w:numPr>
        <w:tabs>
          <w:tab w:pos="2960" w:val="left" w:leader="none"/>
        </w:tabs>
        <w:spacing w:line="298" w:lineRule="exact" w:before="0" w:after="0"/>
        <w:ind w:left="2959" w:right="0" w:hanging="271"/>
        <w:jc w:val="left"/>
        <w:rPr>
          <w:sz w:val="20"/>
        </w:rPr>
      </w:pPr>
      <w:r>
        <w:rPr>
          <w:color w:val="FFFFFF"/>
          <w:w w:val="120"/>
          <w:sz w:val="20"/>
        </w:rPr>
        <w:t>etc.</w:t>
      </w:r>
    </w:p>
    <w:p>
      <w:pPr>
        <w:pStyle w:val="BodyText"/>
        <w:spacing w:line="175" w:lineRule="exact"/>
        <w:ind w:left="468"/>
      </w:pPr>
      <w:r>
        <w:rPr/>
        <w:br w:type="column"/>
      </w:r>
      <w:r>
        <w:rPr>
          <w:w w:val="120"/>
        </w:rPr>
        <w:t>planning support;</w:t>
      </w:r>
    </w:p>
    <w:p>
      <w:pPr>
        <w:pStyle w:val="ListParagraph"/>
        <w:numPr>
          <w:ilvl w:val="0"/>
          <w:numId w:val="17"/>
        </w:numPr>
        <w:tabs>
          <w:tab w:pos="469" w:val="left" w:leader="none"/>
        </w:tabs>
        <w:spacing w:line="264" w:lineRule="exact" w:before="0" w:after="0"/>
        <w:ind w:left="468" w:right="0" w:hanging="227"/>
        <w:jc w:val="left"/>
        <w:rPr>
          <w:sz w:val="20"/>
        </w:rPr>
      </w:pPr>
      <w:r>
        <w:rPr>
          <w:w w:val="120"/>
          <w:sz w:val="20"/>
        </w:rPr>
        <w:t>deployment</w:t>
      </w:r>
      <w:r>
        <w:rPr>
          <w:spacing w:val="4"/>
          <w:w w:val="120"/>
          <w:sz w:val="20"/>
        </w:rPr>
        <w:t> </w:t>
      </w:r>
      <w:r>
        <w:rPr>
          <w:w w:val="120"/>
          <w:sz w:val="20"/>
        </w:rPr>
        <w:t>plan;</w:t>
      </w:r>
    </w:p>
    <w:p>
      <w:pPr>
        <w:pStyle w:val="ListParagraph"/>
        <w:numPr>
          <w:ilvl w:val="0"/>
          <w:numId w:val="17"/>
        </w:numPr>
        <w:tabs>
          <w:tab w:pos="469" w:val="left" w:leader="none"/>
        </w:tabs>
        <w:spacing w:line="240" w:lineRule="exact" w:before="0" w:after="0"/>
        <w:ind w:left="468" w:right="0" w:hanging="227"/>
        <w:jc w:val="left"/>
        <w:rPr>
          <w:sz w:val="20"/>
        </w:rPr>
      </w:pPr>
      <w:r>
        <w:rPr>
          <w:w w:val="120"/>
          <w:sz w:val="20"/>
        </w:rPr>
        <w:t>training</w:t>
      </w:r>
      <w:r>
        <w:rPr>
          <w:spacing w:val="1"/>
          <w:w w:val="120"/>
          <w:sz w:val="20"/>
        </w:rPr>
        <w:t> </w:t>
      </w:r>
      <w:r>
        <w:rPr>
          <w:w w:val="120"/>
          <w:sz w:val="20"/>
        </w:rPr>
        <w:t>offer;</w:t>
      </w:r>
    </w:p>
    <w:p>
      <w:pPr>
        <w:pStyle w:val="ListParagraph"/>
        <w:numPr>
          <w:ilvl w:val="0"/>
          <w:numId w:val="17"/>
        </w:numPr>
        <w:tabs>
          <w:tab w:pos="469" w:val="left" w:leader="none"/>
        </w:tabs>
        <w:spacing w:line="240" w:lineRule="exact" w:before="0" w:after="0"/>
        <w:ind w:left="468" w:right="0" w:hanging="227"/>
        <w:jc w:val="left"/>
        <w:rPr>
          <w:sz w:val="20"/>
        </w:rPr>
      </w:pPr>
      <w:r>
        <w:rPr>
          <w:spacing w:val="2"/>
          <w:w w:val="120"/>
          <w:sz w:val="20"/>
        </w:rPr>
        <w:t>CYDO</w:t>
      </w:r>
      <w:r>
        <w:rPr>
          <w:spacing w:val="3"/>
          <w:w w:val="120"/>
          <w:sz w:val="20"/>
        </w:rPr>
        <w:t> </w:t>
      </w:r>
      <w:r>
        <w:rPr>
          <w:w w:val="120"/>
          <w:sz w:val="20"/>
        </w:rPr>
        <w:t>offer;</w:t>
      </w:r>
    </w:p>
    <w:p>
      <w:pPr>
        <w:pStyle w:val="ListParagraph"/>
        <w:numPr>
          <w:ilvl w:val="0"/>
          <w:numId w:val="17"/>
        </w:numPr>
        <w:tabs>
          <w:tab w:pos="469" w:val="left" w:leader="none"/>
        </w:tabs>
        <w:spacing w:line="196" w:lineRule="auto" w:before="0" w:after="0"/>
        <w:ind w:left="468" w:right="673" w:hanging="227"/>
        <w:jc w:val="left"/>
        <w:rPr>
          <w:sz w:val="20"/>
        </w:rPr>
      </w:pPr>
      <w:r>
        <w:rPr>
          <w:w w:val="120"/>
          <w:sz w:val="20"/>
        </w:rPr>
        <w:t>grants/funding programmes;</w:t>
      </w:r>
    </w:p>
    <w:p>
      <w:pPr>
        <w:pStyle w:val="ListParagraph"/>
        <w:numPr>
          <w:ilvl w:val="0"/>
          <w:numId w:val="17"/>
        </w:numPr>
        <w:tabs>
          <w:tab w:pos="469" w:val="left" w:leader="none"/>
        </w:tabs>
        <w:spacing w:line="216" w:lineRule="auto" w:before="0" w:after="0"/>
        <w:ind w:left="468" w:right="0" w:hanging="227"/>
        <w:jc w:val="left"/>
        <w:rPr>
          <w:sz w:val="20"/>
        </w:rPr>
      </w:pPr>
      <w:r>
        <w:rPr>
          <w:w w:val="120"/>
          <w:sz w:val="20"/>
        </w:rPr>
        <w:t>links to other regional church leaders, regional</w:t>
      </w:r>
      <w:r>
        <w:rPr>
          <w:spacing w:val="3"/>
          <w:w w:val="120"/>
          <w:sz w:val="20"/>
        </w:rPr>
        <w:t> </w:t>
      </w:r>
      <w:r>
        <w:rPr>
          <w:w w:val="120"/>
          <w:sz w:val="20"/>
        </w:rPr>
        <w:t>media,</w:t>
      </w:r>
    </w:p>
    <w:p>
      <w:pPr>
        <w:spacing w:line="235" w:lineRule="auto" w:before="0"/>
        <w:ind w:left="468" w:right="74" w:firstLine="0"/>
        <w:jc w:val="left"/>
        <w:rPr>
          <w:sz w:val="20"/>
        </w:rPr>
      </w:pPr>
      <w:r>
        <w:rPr>
          <w:i/>
          <w:w w:val="115"/>
          <w:sz w:val="20"/>
        </w:rPr>
        <w:t>Belonging to the </w:t>
      </w:r>
      <w:r>
        <w:rPr>
          <w:i/>
          <w:w w:val="115"/>
          <w:sz w:val="20"/>
        </w:rPr>
        <w:t>World Church</w:t>
      </w:r>
      <w:r>
        <w:rPr>
          <w:w w:val="115"/>
          <w:sz w:val="20"/>
        </w:rPr>
        <w:t>;</w:t>
      </w:r>
    </w:p>
    <w:p>
      <w:pPr>
        <w:pStyle w:val="ListParagraph"/>
        <w:numPr>
          <w:ilvl w:val="0"/>
          <w:numId w:val="17"/>
        </w:numPr>
        <w:tabs>
          <w:tab w:pos="469" w:val="left" w:leader="none"/>
        </w:tabs>
        <w:spacing w:line="289" w:lineRule="exact" w:before="0" w:after="0"/>
        <w:ind w:left="468" w:right="0" w:hanging="227"/>
        <w:jc w:val="left"/>
        <w:rPr>
          <w:sz w:val="20"/>
        </w:rPr>
      </w:pPr>
      <w:r>
        <w:rPr>
          <w:w w:val="120"/>
          <w:sz w:val="20"/>
        </w:rPr>
        <w:t>etc.</w:t>
      </w:r>
    </w:p>
    <w:p>
      <w:pPr>
        <w:pStyle w:val="ListParagraph"/>
        <w:numPr>
          <w:ilvl w:val="0"/>
          <w:numId w:val="17"/>
        </w:numPr>
        <w:tabs>
          <w:tab w:pos="444" w:val="left" w:leader="none"/>
        </w:tabs>
        <w:spacing w:line="196" w:lineRule="auto" w:before="8" w:after="0"/>
        <w:ind w:left="443" w:right="2629" w:hanging="227"/>
        <w:jc w:val="left"/>
        <w:rPr>
          <w:sz w:val="20"/>
        </w:rPr>
      </w:pPr>
      <w:r>
        <w:rPr>
          <w:spacing w:val="-1"/>
          <w:w w:val="120"/>
          <w:sz w:val="20"/>
        </w:rPr>
        <w:br w:type="column"/>
      </w:r>
      <w:r>
        <w:rPr>
          <w:w w:val="120"/>
          <w:sz w:val="20"/>
        </w:rPr>
        <w:t>mission grants programme;</w:t>
      </w:r>
    </w:p>
    <w:p>
      <w:pPr>
        <w:pStyle w:val="ListParagraph"/>
        <w:numPr>
          <w:ilvl w:val="0"/>
          <w:numId w:val="17"/>
        </w:numPr>
        <w:tabs>
          <w:tab w:pos="444" w:val="left" w:leader="none"/>
        </w:tabs>
        <w:spacing w:line="216" w:lineRule="auto" w:before="0" w:after="0"/>
        <w:ind w:left="443" w:right="2120" w:hanging="227"/>
        <w:jc w:val="left"/>
        <w:rPr>
          <w:sz w:val="20"/>
        </w:rPr>
      </w:pPr>
      <w:r>
        <w:rPr>
          <w:w w:val="120"/>
          <w:sz w:val="20"/>
        </w:rPr>
        <w:t>public issues, campaigns and </w:t>
      </w:r>
      <w:r>
        <w:rPr>
          <w:i/>
          <w:w w:val="115"/>
          <w:sz w:val="20"/>
        </w:rPr>
        <w:t>Commitment for</w:t>
      </w:r>
      <w:r>
        <w:rPr>
          <w:i/>
          <w:spacing w:val="-38"/>
          <w:w w:val="115"/>
          <w:sz w:val="20"/>
        </w:rPr>
        <w:t> </w:t>
      </w:r>
      <w:r>
        <w:rPr>
          <w:i/>
          <w:spacing w:val="-4"/>
          <w:w w:val="115"/>
          <w:sz w:val="20"/>
        </w:rPr>
        <w:t>Life</w:t>
      </w:r>
      <w:r>
        <w:rPr>
          <w:spacing w:val="-4"/>
          <w:w w:val="115"/>
          <w:sz w:val="20"/>
        </w:rPr>
        <w:t>;</w:t>
      </w:r>
    </w:p>
    <w:p>
      <w:pPr>
        <w:pStyle w:val="ListParagraph"/>
        <w:numPr>
          <w:ilvl w:val="0"/>
          <w:numId w:val="17"/>
        </w:numPr>
        <w:tabs>
          <w:tab w:pos="444" w:val="left" w:leader="none"/>
        </w:tabs>
        <w:spacing w:line="250" w:lineRule="exact" w:before="0" w:after="0"/>
        <w:ind w:left="443" w:right="0" w:hanging="227"/>
        <w:jc w:val="left"/>
        <w:rPr>
          <w:sz w:val="20"/>
        </w:rPr>
      </w:pPr>
      <w:r>
        <w:rPr>
          <w:w w:val="120"/>
          <w:sz w:val="20"/>
        </w:rPr>
        <w:t>ecumenical</w:t>
      </w:r>
      <w:r>
        <w:rPr>
          <w:spacing w:val="2"/>
          <w:w w:val="120"/>
          <w:sz w:val="20"/>
        </w:rPr>
        <w:t> </w:t>
      </w:r>
      <w:r>
        <w:rPr>
          <w:w w:val="120"/>
          <w:sz w:val="20"/>
        </w:rPr>
        <w:t>support;</w:t>
      </w:r>
    </w:p>
    <w:p>
      <w:pPr>
        <w:pStyle w:val="ListParagraph"/>
        <w:numPr>
          <w:ilvl w:val="0"/>
          <w:numId w:val="17"/>
        </w:numPr>
        <w:tabs>
          <w:tab w:pos="444" w:val="left" w:leader="none"/>
        </w:tabs>
        <w:spacing w:line="196" w:lineRule="auto" w:before="0" w:after="0"/>
        <w:ind w:left="443" w:right="2068" w:hanging="227"/>
        <w:jc w:val="left"/>
        <w:rPr>
          <w:sz w:val="20"/>
        </w:rPr>
      </w:pPr>
      <w:r>
        <w:rPr>
          <w:w w:val="120"/>
          <w:sz w:val="20"/>
        </w:rPr>
        <w:t>theological/worship resources</w:t>
      </w:r>
      <w:r>
        <w:rPr>
          <w:spacing w:val="14"/>
          <w:w w:val="120"/>
          <w:sz w:val="20"/>
        </w:rPr>
        <w:t> </w:t>
      </w:r>
      <w:r>
        <w:rPr>
          <w:w w:val="120"/>
          <w:sz w:val="20"/>
        </w:rPr>
        <w:t>including</w:t>
      </w:r>
    </w:p>
    <w:p>
      <w:pPr>
        <w:pStyle w:val="BodyText"/>
        <w:spacing w:line="227" w:lineRule="exact" w:before="3"/>
        <w:ind w:left="443"/>
      </w:pPr>
      <w:r>
        <w:rPr>
          <w:w w:val="120"/>
        </w:rPr>
        <w:t>V4L;</w:t>
      </w:r>
    </w:p>
    <w:p>
      <w:pPr>
        <w:pStyle w:val="ListParagraph"/>
        <w:numPr>
          <w:ilvl w:val="0"/>
          <w:numId w:val="17"/>
        </w:numPr>
        <w:tabs>
          <w:tab w:pos="444" w:val="left" w:leader="none"/>
        </w:tabs>
        <w:spacing w:line="196" w:lineRule="auto" w:before="23" w:after="0"/>
        <w:ind w:left="443" w:right="2409" w:hanging="227"/>
        <w:jc w:val="left"/>
        <w:rPr>
          <w:sz w:val="20"/>
        </w:rPr>
      </w:pPr>
      <w:r>
        <w:rPr>
          <w:w w:val="120"/>
          <w:sz w:val="20"/>
        </w:rPr>
        <w:t>evangelism and witness</w:t>
      </w:r>
      <w:r>
        <w:rPr>
          <w:spacing w:val="3"/>
          <w:w w:val="120"/>
          <w:sz w:val="20"/>
        </w:rPr>
        <w:t> </w:t>
      </w:r>
      <w:r>
        <w:rPr>
          <w:w w:val="120"/>
          <w:sz w:val="20"/>
        </w:rPr>
        <w:t>support;</w:t>
      </w:r>
    </w:p>
    <w:p>
      <w:pPr>
        <w:pStyle w:val="ListParagraph"/>
        <w:numPr>
          <w:ilvl w:val="0"/>
          <w:numId w:val="17"/>
        </w:numPr>
        <w:tabs>
          <w:tab w:pos="444" w:val="left" w:leader="none"/>
        </w:tabs>
        <w:spacing w:line="216" w:lineRule="auto" w:before="0" w:after="0"/>
        <w:ind w:left="443" w:right="2150" w:hanging="227"/>
        <w:jc w:val="left"/>
        <w:rPr>
          <w:sz w:val="20"/>
        </w:rPr>
      </w:pPr>
      <w:r>
        <w:rPr>
          <w:w w:val="120"/>
          <w:sz w:val="20"/>
        </w:rPr>
        <w:t>empowerment and equalities support (RJMM);</w:t>
      </w:r>
    </w:p>
    <w:p>
      <w:pPr>
        <w:pStyle w:val="ListParagraph"/>
        <w:numPr>
          <w:ilvl w:val="0"/>
          <w:numId w:val="17"/>
        </w:numPr>
        <w:tabs>
          <w:tab w:pos="444" w:val="left" w:leader="none"/>
        </w:tabs>
        <w:spacing w:line="196" w:lineRule="auto" w:before="6" w:after="0"/>
        <w:ind w:left="443" w:right="2521" w:hanging="227"/>
        <w:jc w:val="left"/>
        <w:rPr>
          <w:sz w:val="20"/>
        </w:rPr>
      </w:pPr>
      <w:r>
        <w:rPr>
          <w:w w:val="120"/>
          <w:sz w:val="20"/>
        </w:rPr>
        <w:t>Methodist/URC and</w:t>
      </w:r>
      <w:r>
        <w:rPr>
          <w:spacing w:val="2"/>
          <w:w w:val="120"/>
          <w:sz w:val="20"/>
        </w:rPr>
        <w:t> </w:t>
      </w:r>
      <w:r>
        <w:rPr>
          <w:w w:val="120"/>
          <w:sz w:val="20"/>
        </w:rPr>
        <w:t>other</w:t>
      </w:r>
    </w:p>
    <w:p>
      <w:pPr>
        <w:pStyle w:val="BodyText"/>
        <w:spacing w:line="235" w:lineRule="auto" w:before="10"/>
        <w:ind w:left="443" w:right="2048"/>
      </w:pPr>
      <w:r>
        <w:rPr>
          <w:w w:val="120"/>
        </w:rPr>
        <w:t>ecumenical relations;</w:t>
      </w:r>
    </w:p>
    <w:p>
      <w:pPr>
        <w:pStyle w:val="ListParagraph"/>
        <w:numPr>
          <w:ilvl w:val="0"/>
          <w:numId w:val="17"/>
        </w:numPr>
        <w:tabs>
          <w:tab w:pos="444" w:val="left" w:leader="none"/>
        </w:tabs>
        <w:spacing w:line="289" w:lineRule="exact" w:before="0" w:after="0"/>
        <w:ind w:left="443" w:right="0" w:hanging="227"/>
        <w:jc w:val="left"/>
        <w:rPr>
          <w:sz w:val="20"/>
        </w:rPr>
      </w:pPr>
      <w:r>
        <w:rPr>
          <w:w w:val="120"/>
          <w:sz w:val="20"/>
        </w:rPr>
        <w:t>etc.</w:t>
      </w:r>
    </w:p>
    <w:p>
      <w:pPr>
        <w:spacing w:after="0" w:line="289" w:lineRule="exact"/>
        <w:jc w:val="left"/>
        <w:rPr>
          <w:sz w:val="20"/>
        </w:rPr>
        <w:sectPr>
          <w:type w:val="continuous"/>
          <w:pgSz w:w="11910" w:h="16840"/>
          <w:pgMar w:top="860" w:bottom="280" w:left="0" w:right="0"/>
          <w:cols w:num="3" w:equalWidth="0">
            <w:col w:w="4698" w:space="40"/>
            <w:col w:w="2631" w:space="39"/>
            <w:col w:w="4502"/>
          </w:cols>
        </w:sectPr>
      </w:pPr>
    </w:p>
    <w:p>
      <w:pPr>
        <w:pStyle w:val="BodyText"/>
      </w:pPr>
      <w:r>
        <w:rPr/>
        <w:pict>
          <v:group style="position:absolute;margin-left:-.5pt;margin-top:68.034012pt;width:539.35pt;height:744pt;mso-position-horizontal-relative:page;mso-position-vertical-relative:page;z-index:-267678720" coordorigin="-10,1361" coordsize="10787,14880">
            <v:shape style="position:absolute;left:0;top:1360;width:10777;height:14880" type="#_x0000_t75" stroked="false">
              <v:imagedata r:id="rId66" o:title=""/>
            </v:shape>
            <v:line style="position:absolute" from="0,8768" to="10630,15960" stroked="true" strokeweight="1pt" strokecolor="#8ba8bd">
              <v:stroke dashstyle="longdash"/>
            </v:line>
            <v:line style="position:absolute" from="10619,1641" to="0,8798" stroked="true" strokeweight="1pt" strokecolor="#8ba8bd">
              <v:stroke dashstyle="longdash"/>
            </v:lin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3"/>
        </w:rPr>
      </w:pPr>
    </w:p>
    <w:p>
      <w:pPr>
        <w:tabs>
          <w:tab w:pos="10791" w:val="left" w:leader="none"/>
        </w:tabs>
        <w:spacing w:before="96"/>
        <w:ind w:left="4844"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10"/>
          <w:sz w:val="24"/>
        </w:rPr>
        <w:t>19</w:t>
      </w:r>
    </w:p>
    <w:p>
      <w:pPr>
        <w:spacing w:after="0"/>
        <w:jc w:val="left"/>
        <w:rPr>
          <w:rFonts w:ascii="Stone Sans II ITC Std X Bd" w:hAnsi="Stone Sans II ITC Std X Bd"/>
          <w:sz w:val="24"/>
        </w:rPr>
        <w:sectPr>
          <w:type w:val="continuous"/>
          <w:pgSz w:w="11910" w:h="16840"/>
          <w:pgMar w:top="860" w:bottom="280" w:left="0" w:right="0"/>
        </w:sectPr>
      </w:pPr>
    </w:p>
    <w:p>
      <w:pPr>
        <w:spacing w:before="131"/>
        <w:ind w:left="1133" w:right="0" w:firstLine="0"/>
        <w:jc w:val="left"/>
        <w:rPr>
          <w:rFonts w:ascii="Stone Sans II ITC Std Bk"/>
          <w:b/>
          <w:sz w:val="50"/>
        </w:rPr>
      </w:pPr>
      <w:r>
        <w:rPr/>
        <w:pict>
          <v:rect style="position:absolute;margin-left:12.047pt;margin-top:8.466283pt;width:22.677pt;height:22.677pt;mso-position-horizontal-relative:page;mso-position-vertical-relative:paragraph;z-index:251746304" filled="true" fillcolor="#f9e9c1" stroked="false">
            <v:fill opacity="32768f" type="solid"/>
            <w10:wrap type="none"/>
          </v:rect>
        </w:pict>
      </w:r>
      <w:r>
        <w:rPr/>
        <w:pict>
          <v:line style="position:absolute;mso-position-horizontal-relative:page;mso-position-vertical-relative:page;z-index:251747328" from="514.487183pt,59.687416pt" to="514.487183pt,797.873416pt" stroked="true" strokeweight="1pt" strokecolor="#868685">
            <v:stroke dashstyle="dot"/>
            <w10:wrap type="none"/>
          </v:line>
        </w:pict>
      </w:r>
      <w:r>
        <w:rPr/>
        <w:drawing>
          <wp:anchor distT="0" distB="0" distL="0" distR="0" allowOverlap="1" layoutInCell="1" locked="0" behindDoc="1" simplePos="0" relativeHeight="235640832">
            <wp:simplePos x="0" y="0"/>
            <wp:positionH relativeFrom="page">
              <wp:posOffset>3486114</wp:posOffset>
            </wp:positionH>
            <wp:positionV relativeFrom="page">
              <wp:posOffset>6964131</wp:posOffset>
            </wp:positionV>
            <wp:extent cx="232563" cy="180975"/>
            <wp:effectExtent l="0" t="0" r="0" b="0"/>
            <wp:wrapNone/>
            <wp:docPr id="27" name="image35.png"/>
            <wp:cNvGraphicFramePr>
              <a:graphicFrameLocks noChangeAspect="1"/>
            </wp:cNvGraphicFramePr>
            <a:graphic>
              <a:graphicData uri="http://schemas.openxmlformats.org/drawingml/2006/picture">
                <pic:pic>
                  <pic:nvPicPr>
                    <pic:cNvPr id="28" name="image35.png"/>
                    <pic:cNvPicPr/>
                  </pic:nvPicPr>
                  <pic:blipFill>
                    <a:blip r:embed="rId71"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641856">
            <wp:simplePos x="0" y="0"/>
            <wp:positionH relativeFrom="page">
              <wp:posOffset>6052660</wp:posOffset>
            </wp:positionH>
            <wp:positionV relativeFrom="page">
              <wp:posOffset>6659331</wp:posOffset>
            </wp:positionV>
            <wp:extent cx="232563" cy="180975"/>
            <wp:effectExtent l="0" t="0" r="0" b="0"/>
            <wp:wrapNone/>
            <wp:docPr id="29" name="image36.png"/>
            <wp:cNvGraphicFramePr>
              <a:graphicFrameLocks noChangeAspect="1"/>
            </wp:cNvGraphicFramePr>
            <a:graphic>
              <a:graphicData uri="http://schemas.openxmlformats.org/drawingml/2006/picture">
                <pic:pic>
                  <pic:nvPicPr>
                    <pic:cNvPr id="30" name="image36.png"/>
                    <pic:cNvPicPr/>
                  </pic:nvPicPr>
                  <pic:blipFill>
                    <a:blip r:embed="rId72"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642880">
            <wp:simplePos x="0" y="0"/>
            <wp:positionH relativeFrom="page">
              <wp:posOffset>732002</wp:posOffset>
            </wp:positionH>
            <wp:positionV relativeFrom="page">
              <wp:posOffset>7917002</wp:posOffset>
            </wp:positionV>
            <wp:extent cx="5693891" cy="742950"/>
            <wp:effectExtent l="0" t="0" r="0" b="0"/>
            <wp:wrapNone/>
            <wp:docPr id="31" name="image37.png"/>
            <wp:cNvGraphicFramePr>
              <a:graphicFrameLocks noChangeAspect="1"/>
            </wp:cNvGraphicFramePr>
            <a:graphic>
              <a:graphicData uri="http://schemas.openxmlformats.org/drawingml/2006/picture">
                <pic:pic>
                  <pic:nvPicPr>
                    <pic:cNvPr id="32" name="image37.png"/>
                    <pic:cNvPicPr/>
                  </pic:nvPicPr>
                  <pic:blipFill>
                    <a:blip r:embed="rId73" cstate="print"/>
                    <a:stretch>
                      <a:fillRect/>
                    </a:stretch>
                  </pic:blipFill>
                  <pic:spPr>
                    <a:xfrm>
                      <a:off x="0" y="0"/>
                      <a:ext cx="5693891" cy="742950"/>
                    </a:xfrm>
                    <a:prstGeom prst="rect">
                      <a:avLst/>
                    </a:prstGeom>
                  </pic:spPr>
                </pic:pic>
              </a:graphicData>
            </a:graphic>
          </wp:anchor>
        </w:drawing>
      </w:r>
      <w:r>
        <w:rPr>
          <w:rFonts w:ascii="Stone Sans II ITC Std Bk"/>
          <w:b/>
          <w:color w:val="CA4F1B"/>
          <w:w w:val="110"/>
          <w:sz w:val="50"/>
        </w:rPr>
        <w:t>Annexe 3</w:t>
      </w:r>
    </w:p>
    <w:p>
      <w:pPr>
        <w:spacing w:line="196" w:lineRule="auto" w:before="73"/>
        <w:ind w:left="1133" w:right="2573" w:hanging="1"/>
        <w:jc w:val="left"/>
        <w:rPr>
          <w:rFonts w:ascii="Stone Sans II ITC Std Bk"/>
          <w:b/>
          <w:sz w:val="29"/>
        </w:rPr>
      </w:pPr>
      <w:r>
        <w:rPr>
          <w:rFonts w:ascii="Century Gothic"/>
          <w:b/>
          <w:i/>
          <w:w w:val="110"/>
          <w:sz w:val="30"/>
        </w:rPr>
        <w:t>vision2020 </w:t>
      </w:r>
      <w:r>
        <w:rPr>
          <w:rFonts w:ascii="Stone Sans II ITC Std Bk"/>
          <w:b/>
          <w:w w:val="110"/>
          <w:sz w:val="29"/>
        </w:rPr>
        <w:t>Statements of mission purpose and indicators</w:t>
      </w:r>
    </w:p>
    <w:p>
      <w:pPr>
        <w:spacing w:before="264"/>
        <w:ind w:left="1133" w:right="0" w:firstLine="0"/>
        <w:jc w:val="left"/>
        <w:rPr>
          <w:rFonts w:ascii="Stone Sans II ITC Std Bk"/>
          <w:b/>
          <w:sz w:val="29"/>
        </w:rPr>
      </w:pPr>
      <w:r>
        <w:rPr>
          <w:rFonts w:ascii="Stone Sans II ITC Std Bk"/>
          <w:b/>
          <w:color w:val="CA4F1B"/>
          <w:spacing w:val="2"/>
          <w:w w:val="110"/>
          <w:sz w:val="29"/>
        </w:rPr>
        <w:t>Statement </w:t>
      </w:r>
      <w:r>
        <w:rPr>
          <w:rFonts w:ascii="Stone Sans II ITC Std Bk"/>
          <w:b/>
          <w:color w:val="CA4F1B"/>
          <w:spacing w:val="-9"/>
          <w:w w:val="110"/>
          <w:sz w:val="29"/>
        </w:rPr>
        <w:t>1: </w:t>
      </w:r>
      <w:r>
        <w:rPr>
          <w:rFonts w:ascii="Stone Sans II ITC Std Bk"/>
          <w:b/>
          <w:spacing w:val="4"/>
          <w:w w:val="110"/>
          <w:sz w:val="29"/>
        </w:rPr>
        <w:t>Spirituality </w:t>
      </w:r>
      <w:r>
        <w:rPr>
          <w:rFonts w:ascii="Stone Sans II ITC Std Bk"/>
          <w:b/>
          <w:spacing w:val="3"/>
          <w:w w:val="110"/>
          <w:sz w:val="29"/>
        </w:rPr>
        <w:t>and</w:t>
      </w:r>
      <w:r>
        <w:rPr>
          <w:rFonts w:ascii="Stone Sans II ITC Std Bk"/>
          <w:b/>
          <w:spacing w:val="54"/>
          <w:w w:val="110"/>
          <w:sz w:val="29"/>
        </w:rPr>
        <w:t> </w:t>
      </w:r>
      <w:r>
        <w:rPr>
          <w:rFonts w:ascii="Stone Sans II ITC Std Bk"/>
          <w:b/>
          <w:spacing w:val="2"/>
          <w:w w:val="110"/>
          <w:sz w:val="29"/>
        </w:rPr>
        <w:t>prayer</w:t>
      </w:r>
    </w:p>
    <w:p>
      <w:pPr>
        <w:spacing w:line="213" w:lineRule="auto" w:before="202"/>
        <w:ind w:left="1133" w:right="1997" w:firstLine="0"/>
        <w:jc w:val="left"/>
        <w:rPr>
          <w:rFonts w:ascii="Stone Sans II ITC Std Bk"/>
          <w:b/>
          <w:sz w:val="20"/>
        </w:rPr>
      </w:pPr>
      <w:r>
        <w:rPr>
          <w:rFonts w:ascii="Stone Sans II ITC Std Bk"/>
          <w:b/>
          <w:w w:val="110"/>
          <w:sz w:val="20"/>
        </w:rPr>
        <w:t>We will grow in our practice of prayer and spirituality, nurturing strength for our witness to Jesus Christ, and developing our discernment of where God is and what God is calling us to do by reading and studying the Bible and through the power of the Holy</w:t>
      </w:r>
      <w:r>
        <w:rPr>
          <w:rFonts w:ascii="Stone Sans II ITC Std Bk"/>
          <w:b/>
          <w:spacing w:val="-1"/>
          <w:w w:val="110"/>
          <w:sz w:val="20"/>
        </w:rPr>
        <w:t> </w:t>
      </w:r>
      <w:r>
        <w:rPr>
          <w:rFonts w:ascii="Stone Sans II ITC Std Bk"/>
          <w:b/>
          <w:w w:val="110"/>
          <w:sz w:val="20"/>
        </w:rPr>
        <w:t>Spirit.</w:t>
      </w:r>
    </w:p>
    <w:p>
      <w:pPr>
        <w:pStyle w:val="BodyText"/>
        <w:spacing w:before="1"/>
        <w:rPr>
          <w:rFonts w:ascii="Stone Sans II ITC Std Bk"/>
          <w:b/>
          <w:sz w:val="17"/>
        </w:rPr>
      </w:pPr>
    </w:p>
    <w:p>
      <w:pPr>
        <w:pStyle w:val="BodyText"/>
        <w:spacing w:line="235" w:lineRule="auto"/>
        <w:ind w:left="1133" w:right="2191"/>
      </w:pPr>
      <w:r>
        <w:rPr>
          <w:w w:val="120"/>
        </w:rPr>
        <w:t>Our faith must be at the heart of all we do. Faith is nurtured by worship and prayer, by reading and studying the Bible, by the life of our church community and by how we practice it from day to day. We must therefore seek to engage more deeply with Bible study and prayer, seek to develop worship that is engaging and joyful, seek to live faithfully and hopefully as a church community and as individuals, confident that God still talks to us and shows us how to live.</w:t>
      </w:r>
    </w:p>
    <w:p>
      <w:pPr>
        <w:pStyle w:val="BodyText"/>
        <w:rPr>
          <w:sz w:val="24"/>
        </w:rPr>
      </w:pPr>
    </w:p>
    <w:p>
      <w:pPr>
        <w:spacing w:before="175"/>
        <w:ind w:left="1133" w:right="0" w:firstLine="0"/>
        <w:jc w:val="left"/>
        <w:rPr>
          <w:rFonts w:ascii="Stone Sans II ITC Std Bk"/>
          <w:b/>
          <w:i/>
          <w:sz w:val="20"/>
        </w:rPr>
      </w:pPr>
      <w:r>
        <w:rPr>
          <w:rFonts w:ascii="Stone Sans II ITC Std Bk"/>
          <w:b/>
          <w:i/>
          <w:w w:val="110"/>
          <w:sz w:val="20"/>
        </w:rPr>
        <w:t>Some suggested indicators:</w:t>
      </w:r>
    </w:p>
    <w:p>
      <w:pPr>
        <w:pStyle w:val="BodyText"/>
        <w:spacing w:before="10"/>
        <w:rPr>
          <w:rFonts w:ascii="Stone Sans II ITC Std Bk"/>
          <w:b/>
          <w:i/>
          <w:sz w:val="18"/>
        </w:r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5"/>
        <w:gridCol w:w="2920"/>
        <w:gridCol w:w="2972"/>
      </w:tblGrid>
      <w:tr>
        <w:trPr>
          <w:trHeight w:val="393" w:hRule="atLeast"/>
        </w:trPr>
        <w:tc>
          <w:tcPr>
            <w:tcW w:w="3085" w:type="dxa"/>
            <w:shd w:val="clear" w:color="auto" w:fill="CA4F1B"/>
          </w:tcPr>
          <w:p>
            <w:pPr>
              <w:pStyle w:val="TableParagraph"/>
              <w:spacing w:line="268" w:lineRule="exact" w:before="105"/>
              <w:ind w:left="79"/>
              <w:rPr>
                <w:rFonts w:ascii="Stone Sans II ITC Std Bk"/>
                <w:b/>
                <w:i/>
                <w:sz w:val="21"/>
              </w:rPr>
            </w:pPr>
            <w:r>
              <w:rPr>
                <w:rFonts w:ascii="Stone Sans II ITC Std Bk"/>
                <w:b/>
                <w:i/>
                <w:color w:val="FFFFFF"/>
                <w:w w:val="115"/>
                <w:sz w:val="21"/>
              </w:rPr>
              <w:t>Local Indicators</w:t>
            </w:r>
          </w:p>
        </w:tc>
        <w:tc>
          <w:tcPr>
            <w:tcW w:w="2920" w:type="dxa"/>
            <w:shd w:val="clear" w:color="auto" w:fill="CA4F1B"/>
          </w:tcPr>
          <w:p>
            <w:pPr>
              <w:pStyle w:val="TableParagraph"/>
              <w:spacing w:line="268" w:lineRule="exact" w:before="105"/>
              <w:ind w:left="79"/>
              <w:rPr>
                <w:rFonts w:ascii="Stone Sans II ITC Std Bk"/>
                <w:b/>
                <w:i/>
                <w:sz w:val="21"/>
              </w:rPr>
            </w:pPr>
            <w:r>
              <w:rPr>
                <w:rFonts w:ascii="Stone Sans II ITC Std Bk"/>
                <w:b/>
                <w:i/>
                <w:color w:val="FFFFFF"/>
                <w:w w:val="115"/>
                <w:sz w:val="21"/>
              </w:rPr>
              <w:t>Synod Indicators</w:t>
            </w:r>
          </w:p>
        </w:tc>
        <w:tc>
          <w:tcPr>
            <w:tcW w:w="2972" w:type="dxa"/>
            <w:shd w:val="clear" w:color="auto" w:fill="CA4F1B"/>
          </w:tcPr>
          <w:p>
            <w:pPr>
              <w:pStyle w:val="TableParagraph"/>
              <w:spacing w:line="268" w:lineRule="exact" w:before="105"/>
              <w:ind w:left="79"/>
              <w:rPr>
                <w:rFonts w:ascii="Stone Sans II ITC Std Bk"/>
                <w:b/>
                <w:i/>
                <w:sz w:val="21"/>
              </w:rPr>
            </w:pPr>
            <w:r>
              <w:rPr>
                <w:rFonts w:ascii="Stone Sans II ITC Std Bk"/>
                <w:b/>
                <w:i/>
                <w:color w:val="FFFFFF"/>
                <w:w w:val="115"/>
                <w:sz w:val="21"/>
              </w:rPr>
              <w:t>Assembly Indicators</w:t>
            </w:r>
          </w:p>
        </w:tc>
      </w:tr>
      <w:tr>
        <w:trPr>
          <w:trHeight w:val="6156" w:hRule="atLeast"/>
        </w:trPr>
        <w:tc>
          <w:tcPr>
            <w:tcW w:w="3085" w:type="dxa"/>
          </w:tcPr>
          <w:p>
            <w:pPr>
              <w:pStyle w:val="TableParagraph"/>
              <w:numPr>
                <w:ilvl w:val="0"/>
                <w:numId w:val="18"/>
              </w:numPr>
              <w:tabs>
                <w:tab w:pos="307" w:val="left" w:leader="none"/>
              </w:tabs>
              <w:spacing w:line="216" w:lineRule="auto" w:before="123" w:after="0"/>
              <w:ind w:left="306" w:right="219" w:hanging="227"/>
              <w:jc w:val="left"/>
              <w:rPr>
                <w:sz w:val="20"/>
              </w:rPr>
            </w:pPr>
            <w:r>
              <w:rPr>
                <w:w w:val="120"/>
                <w:sz w:val="20"/>
              </w:rPr>
              <w:t>Providing opportunities for prayer and Bible study in small groups and in</w:t>
            </w:r>
            <w:r>
              <w:rPr>
                <w:spacing w:val="19"/>
                <w:w w:val="120"/>
                <w:sz w:val="20"/>
              </w:rPr>
              <w:t> </w:t>
            </w:r>
            <w:r>
              <w:rPr>
                <w:w w:val="120"/>
                <w:sz w:val="20"/>
              </w:rPr>
              <w:t>a</w:t>
            </w:r>
          </w:p>
          <w:p>
            <w:pPr>
              <w:pStyle w:val="TableParagraph"/>
              <w:spacing w:line="226" w:lineRule="exact"/>
              <w:ind w:left="306"/>
              <w:rPr>
                <w:sz w:val="20"/>
              </w:rPr>
            </w:pPr>
            <w:r>
              <w:rPr>
                <w:w w:val="115"/>
                <w:sz w:val="20"/>
              </w:rPr>
              <w:t>variety of styles.</w:t>
            </w:r>
          </w:p>
          <w:p>
            <w:pPr>
              <w:pStyle w:val="TableParagraph"/>
              <w:numPr>
                <w:ilvl w:val="0"/>
                <w:numId w:val="18"/>
              </w:numPr>
              <w:tabs>
                <w:tab w:pos="307" w:val="left" w:leader="none"/>
              </w:tabs>
              <w:spacing w:line="216" w:lineRule="auto" w:before="5" w:after="0"/>
              <w:ind w:left="306" w:right="217" w:hanging="227"/>
              <w:jc w:val="left"/>
              <w:rPr>
                <w:sz w:val="20"/>
              </w:rPr>
            </w:pPr>
            <w:r>
              <w:rPr>
                <w:w w:val="120"/>
                <w:sz w:val="20"/>
              </w:rPr>
              <w:t>The number of people for whom prayer and Bible study is a natural habit</w:t>
            </w:r>
            <w:r>
              <w:rPr>
                <w:spacing w:val="2"/>
                <w:w w:val="120"/>
                <w:sz w:val="20"/>
              </w:rPr>
              <w:t> </w:t>
            </w:r>
            <w:r>
              <w:rPr>
                <w:w w:val="120"/>
                <w:sz w:val="20"/>
              </w:rPr>
              <w:t>–</w:t>
            </w:r>
          </w:p>
          <w:p>
            <w:pPr>
              <w:pStyle w:val="TableParagraph"/>
              <w:spacing w:line="226" w:lineRule="exact"/>
              <w:ind w:left="306"/>
              <w:rPr>
                <w:sz w:val="20"/>
              </w:rPr>
            </w:pPr>
            <w:r>
              <w:rPr>
                <w:w w:val="120"/>
                <w:sz w:val="20"/>
              </w:rPr>
              <w:t>not just on Sunday.</w:t>
            </w:r>
          </w:p>
          <w:p>
            <w:pPr>
              <w:pStyle w:val="TableParagraph"/>
              <w:numPr>
                <w:ilvl w:val="0"/>
                <w:numId w:val="18"/>
              </w:numPr>
              <w:tabs>
                <w:tab w:pos="307" w:val="left" w:leader="none"/>
              </w:tabs>
              <w:spacing w:line="216" w:lineRule="auto" w:before="5" w:after="0"/>
              <w:ind w:left="306" w:right="157" w:hanging="227"/>
              <w:jc w:val="left"/>
              <w:rPr>
                <w:sz w:val="20"/>
              </w:rPr>
            </w:pPr>
            <w:r>
              <w:rPr>
                <w:w w:val="120"/>
                <w:sz w:val="20"/>
              </w:rPr>
              <w:t>Directly involving children and young people in prayer, Bible study</w:t>
            </w:r>
            <w:r>
              <w:rPr>
                <w:spacing w:val="7"/>
                <w:w w:val="120"/>
                <w:sz w:val="20"/>
              </w:rPr>
              <w:t> </w:t>
            </w:r>
            <w:r>
              <w:rPr>
                <w:w w:val="120"/>
                <w:sz w:val="20"/>
              </w:rPr>
              <w:t>and</w:t>
            </w:r>
          </w:p>
          <w:p>
            <w:pPr>
              <w:pStyle w:val="TableParagraph"/>
              <w:spacing w:line="226" w:lineRule="exact"/>
              <w:ind w:left="306"/>
              <w:rPr>
                <w:sz w:val="20"/>
              </w:rPr>
            </w:pPr>
            <w:r>
              <w:rPr>
                <w:w w:val="125"/>
                <w:sz w:val="20"/>
              </w:rPr>
              <w:t>leading worship.</w:t>
            </w:r>
          </w:p>
          <w:p>
            <w:pPr>
              <w:pStyle w:val="TableParagraph"/>
              <w:numPr>
                <w:ilvl w:val="0"/>
                <w:numId w:val="18"/>
              </w:numPr>
              <w:tabs>
                <w:tab w:pos="307" w:val="left" w:leader="none"/>
              </w:tabs>
              <w:spacing w:line="196" w:lineRule="auto" w:before="22" w:after="0"/>
              <w:ind w:left="306" w:right="309" w:hanging="227"/>
              <w:jc w:val="left"/>
              <w:rPr>
                <w:sz w:val="20"/>
              </w:rPr>
            </w:pPr>
            <w:r>
              <w:rPr>
                <w:w w:val="120"/>
                <w:sz w:val="20"/>
              </w:rPr>
              <w:t>How far we see all we do as an ‘act of</w:t>
            </w:r>
            <w:r>
              <w:rPr>
                <w:spacing w:val="8"/>
                <w:w w:val="120"/>
                <w:sz w:val="20"/>
              </w:rPr>
              <w:t> </w:t>
            </w:r>
            <w:r>
              <w:rPr>
                <w:spacing w:val="-4"/>
                <w:w w:val="120"/>
                <w:sz w:val="20"/>
              </w:rPr>
              <w:t>worship’.</w:t>
            </w:r>
          </w:p>
        </w:tc>
        <w:tc>
          <w:tcPr>
            <w:tcW w:w="2920" w:type="dxa"/>
          </w:tcPr>
          <w:p>
            <w:pPr>
              <w:pStyle w:val="TableParagraph"/>
              <w:numPr>
                <w:ilvl w:val="0"/>
                <w:numId w:val="19"/>
              </w:numPr>
              <w:tabs>
                <w:tab w:pos="307" w:val="left" w:leader="none"/>
              </w:tabs>
              <w:spacing w:line="216" w:lineRule="auto" w:before="123" w:after="0"/>
              <w:ind w:left="306" w:right="384" w:hanging="227"/>
              <w:jc w:val="left"/>
              <w:rPr>
                <w:sz w:val="20"/>
              </w:rPr>
            </w:pPr>
            <w:r>
              <w:rPr>
                <w:w w:val="120"/>
                <w:sz w:val="20"/>
              </w:rPr>
              <w:t>How far worship, prayer and Bible study forms a </w:t>
            </w:r>
            <w:r>
              <w:rPr>
                <w:spacing w:val="2"/>
                <w:w w:val="120"/>
                <w:sz w:val="20"/>
              </w:rPr>
              <w:t>part </w:t>
            </w:r>
            <w:r>
              <w:rPr>
                <w:w w:val="120"/>
                <w:sz w:val="20"/>
              </w:rPr>
              <w:t>of</w:t>
            </w:r>
            <w:r>
              <w:rPr>
                <w:spacing w:val="-5"/>
                <w:w w:val="120"/>
                <w:sz w:val="20"/>
              </w:rPr>
              <w:t> </w:t>
            </w:r>
            <w:r>
              <w:rPr>
                <w:w w:val="120"/>
                <w:sz w:val="20"/>
              </w:rPr>
              <w:t>all</w:t>
            </w:r>
          </w:p>
          <w:p>
            <w:pPr>
              <w:pStyle w:val="TableParagraph"/>
              <w:spacing w:line="235" w:lineRule="auto" w:before="3"/>
              <w:ind w:left="306"/>
              <w:rPr>
                <w:sz w:val="20"/>
              </w:rPr>
            </w:pPr>
            <w:r>
              <w:rPr>
                <w:w w:val="120"/>
                <w:sz w:val="20"/>
              </w:rPr>
              <w:t>Synod meetings and committees.</w:t>
            </w:r>
          </w:p>
          <w:p>
            <w:pPr>
              <w:pStyle w:val="TableParagraph"/>
              <w:numPr>
                <w:ilvl w:val="0"/>
                <w:numId w:val="19"/>
              </w:numPr>
              <w:tabs>
                <w:tab w:pos="307" w:val="left" w:leader="none"/>
              </w:tabs>
              <w:spacing w:line="216" w:lineRule="auto" w:before="0" w:after="0"/>
              <w:ind w:left="306" w:right="91" w:hanging="227"/>
              <w:jc w:val="left"/>
              <w:rPr>
                <w:sz w:val="20"/>
              </w:rPr>
            </w:pPr>
            <w:r>
              <w:rPr>
                <w:w w:val="120"/>
                <w:sz w:val="20"/>
              </w:rPr>
              <w:t>The number of churches supported and resourced to develop</w:t>
            </w:r>
            <w:r>
              <w:rPr>
                <w:spacing w:val="4"/>
                <w:w w:val="120"/>
                <w:sz w:val="20"/>
              </w:rPr>
              <w:t> </w:t>
            </w:r>
            <w:r>
              <w:rPr>
                <w:w w:val="120"/>
                <w:sz w:val="20"/>
              </w:rPr>
              <w:t>their</w:t>
            </w:r>
          </w:p>
          <w:p>
            <w:pPr>
              <w:pStyle w:val="TableParagraph"/>
              <w:spacing w:line="226" w:lineRule="exact"/>
              <w:ind w:left="306"/>
              <w:rPr>
                <w:sz w:val="20"/>
              </w:rPr>
            </w:pPr>
            <w:r>
              <w:rPr>
                <w:w w:val="120"/>
                <w:sz w:val="20"/>
              </w:rPr>
              <w:t>spirituality and prayer.</w:t>
            </w:r>
          </w:p>
          <w:p>
            <w:pPr>
              <w:pStyle w:val="TableParagraph"/>
              <w:numPr>
                <w:ilvl w:val="0"/>
                <w:numId w:val="19"/>
              </w:numPr>
              <w:tabs>
                <w:tab w:pos="307" w:val="left" w:leader="none"/>
              </w:tabs>
              <w:spacing w:line="216" w:lineRule="auto" w:before="0" w:after="0"/>
              <w:ind w:left="306" w:right="193" w:hanging="227"/>
              <w:jc w:val="left"/>
              <w:rPr>
                <w:sz w:val="20"/>
              </w:rPr>
            </w:pPr>
            <w:r>
              <w:rPr>
                <w:w w:val="120"/>
                <w:sz w:val="20"/>
              </w:rPr>
              <w:t>The number of churches taking </w:t>
            </w:r>
            <w:r>
              <w:rPr>
                <w:spacing w:val="2"/>
                <w:w w:val="120"/>
                <w:sz w:val="20"/>
              </w:rPr>
              <w:t>part </w:t>
            </w:r>
            <w:r>
              <w:rPr>
                <w:w w:val="120"/>
                <w:sz w:val="20"/>
              </w:rPr>
              <w:t>in specific initiatives to</w:t>
            </w:r>
            <w:r>
              <w:rPr>
                <w:spacing w:val="6"/>
                <w:w w:val="120"/>
                <w:sz w:val="20"/>
              </w:rPr>
              <w:t> </w:t>
            </w:r>
            <w:r>
              <w:rPr>
                <w:w w:val="120"/>
                <w:sz w:val="20"/>
              </w:rPr>
              <w:t>engage</w:t>
            </w:r>
          </w:p>
          <w:p>
            <w:pPr>
              <w:pStyle w:val="TableParagraph"/>
              <w:spacing w:line="235" w:lineRule="auto"/>
              <w:ind w:left="306" w:right="437"/>
              <w:rPr>
                <w:sz w:val="20"/>
              </w:rPr>
            </w:pPr>
            <w:r>
              <w:rPr>
                <w:w w:val="120"/>
                <w:sz w:val="20"/>
              </w:rPr>
              <w:t>more deeply with spirituality and prayer</w:t>
            </w:r>
          </w:p>
          <w:p>
            <w:pPr>
              <w:pStyle w:val="TableParagraph"/>
              <w:spacing w:line="253" w:lineRule="exact"/>
              <w:ind w:left="306"/>
              <w:rPr>
                <w:sz w:val="20"/>
              </w:rPr>
            </w:pPr>
            <w:r>
              <w:rPr>
                <w:sz w:val="20"/>
              </w:rPr>
              <w:t>e.g. </w:t>
            </w:r>
            <w:r>
              <w:rPr>
                <w:rFonts w:ascii="Arial Rounded MT Bold"/>
                <w:sz w:val="21"/>
              </w:rPr>
              <w:t>Vision4</w:t>
            </w:r>
            <w:r>
              <w:rPr>
                <w:rFonts w:ascii="Bradley Hand ITC"/>
                <w:color w:val="C20D19"/>
                <w:sz w:val="28"/>
              </w:rPr>
              <w:t>Life</w:t>
            </w:r>
            <w:r>
              <w:rPr>
                <w:sz w:val="20"/>
              </w:rPr>
              <w:t>.</w:t>
            </w:r>
          </w:p>
          <w:p>
            <w:pPr>
              <w:pStyle w:val="TableParagraph"/>
              <w:numPr>
                <w:ilvl w:val="0"/>
                <w:numId w:val="20"/>
              </w:numPr>
              <w:tabs>
                <w:tab w:pos="307" w:val="left" w:leader="none"/>
              </w:tabs>
              <w:spacing w:line="196" w:lineRule="auto" w:before="0" w:after="0"/>
              <w:ind w:left="306" w:right="85" w:hanging="227"/>
              <w:jc w:val="left"/>
              <w:rPr>
                <w:sz w:val="20"/>
              </w:rPr>
            </w:pPr>
            <w:r>
              <w:rPr>
                <w:w w:val="120"/>
                <w:sz w:val="20"/>
              </w:rPr>
              <w:t>Demonstrating clear links between policies</w:t>
            </w:r>
            <w:r>
              <w:rPr>
                <w:spacing w:val="10"/>
                <w:w w:val="120"/>
                <w:sz w:val="20"/>
              </w:rPr>
              <w:t> </w:t>
            </w:r>
            <w:r>
              <w:rPr>
                <w:w w:val="120"/>
                <w:sz w:val="20"/>
              </w:rPr>
              <w:t>and</w:t>
            </w:r>
          </w:p>
          <w:p>
            <w:pPr>
              <w:pStyle w:val="TableParagraph"/>
              <w:spacing w:line="235" w:lineRule="auto" w:before="1"/>
              <w:ind w:left="306" w:right="51"/>
              <w:rPr>
                <w:sz w:val="20"/>
              </w:rPr>
            </w:pPr>
            <w:r>
              <w:rPr>
                <w:w w:val="120"/>
                <w:sz w:val="20"/>
              </w:rPr>
              <w:t>plans and spirituality, Bible study and prayer.</w:t>
            </w:r>
          </w:p>
        </w:tc>
        <w:tc>
          <w:tcPr>
            <w:tcW w:w="2972" w:type="dxa"/>
          </w:tcPr>
          <w:p>
            <w:pPr>
              <w:pStyle w:val="TableParagraph"/>
              <w:numPr>
                <w:ilvl w:val="0"/>
                <w:numId w:val="21"/>
              </w:numPr>
              <w:tabs>
                <w:tab w:pos="307" w:val="left" w:leader="none"/>
              </w:tabs>
              <w:spacing w:line="216" w:lineRule="auto" w:before="123" w:after="0"/>
              <w:ind w:left="306" w:right="70" w:hanging="227"/>
              <w:jc w:val="left"/>
              <w:rPr>
                <w:sz w:val="20"/>
              </w:rPr>
            </w:pPr>
            <w:r>
              <w:rPr>
                <w:w w:val="120"/>
                <w:sz w:val="20"/>
              </w:rPr>
              <w:t>How far worship, prayer and Bible study forms a </w:t>
            </w:r>
            <w:r>
              <w:rPr>
                <w:spacing w:val="2"/>
                <w:w w:val="120"/>
                <w:sz w:val="20"/>
              </w:rPr>
              <w:t>part </w:t>
            </w:r>
            <w:r>
              <w:rPr>
                <w:w w:val="120"/>
                <w:sz w:val="20"/>
              </w:rPr>
              <w:t>of all Synod</w:t>
            </w:r>
            <w:r>
              <w:rPr>
                <w:spacing w:val="18"/>
                <w:w w:val="120"/>
                <w:sz w:val="20"/>
              </w:rPr>
              <w:t> </w:t>
            </w:r>
            <w:r>
              <w:rPr>
                <w:w w:val="120"/>
                <w:sz w:val="20"/>
              </w:rPr>
              <w:t>meetings</w:t>
            </w:r>
          </w:p>
          <w:p>
            <w:pPr>
              <w:pStyle w:val="TableParagraph"/>
              <w:spacing w:line="226" w:lineRule="exact"/>
              <w:ind w:left="306"/>
              <w:rPr>
                <w:sz w:val="20"/>
              </w:rPr>
            </w:pPr>
            <w:r>
              <w:rPr>
                <w:w w:val="120"/>
                <w:sz w:val="20"/>
              </w:rPr>
              <w:t>and committees.</w:t>
            </w:r>
          </w:p>
          <w:p>
            <w:pPr>
              <w:pStyle w:val="TableParagraph"/>
              <w:numPr>
                <w:ilvl w:val="0"/>
                <w:numId w:val="21"/>
              </w:numPr>
              <w:tabs>
                <w:tab w:pos="307" w:val="left" w:leader="none"/>
              </w:tabs>
              <w:spacing w:line="216" w:lineRule="auto" w:before="5" w:after="0"/>
              <w:ind w:left="306" w:right="144" w:hanging="227"/>
              <w:jc w:val="left"/>
              <w:rPr>
                <w:sz w:val="20"/>
              </w:rPr>
            </w:pPr>
            <w:r>
              <w:rPr>
                <w:w w:val="120"/>
                <w:sz w:val="20"/>
              </w:rPr>
              <w:t>The number of churches supported and resourced to develop</w:t>
            </w:r>
            <w:r>
              <w:rPr>
                <w:spacing w:val="4"/>
                <w:w w:val="120"/>
                <w:sz w:val="20"/>
              </w:rPr>
              <w:t> </w:t>
            </w:r>
            <w:r>
              <w:rPr>
                <w:w w:val="120"/>
                <w:sz w:val="20"/>
              </w:rPr>
              <w:t>their</w:t>
            </w:r>
          </w:p>
          <w:p>
            <w:pPr>
              <w:pStyle w:val="TableParagraph"/>
              <w:spacing w:line="226" w:lineRule="exact"/>
              <w:ind w:left="306"/>
              <w:rPr>
                <w:sz w:val="20"/>
              </w:rPr>
            </w:pPr>
            <w:r>
              <w:rPr>
                <w:w w:val="120"/>
                <w:sz w:val="20"/>
              </w:rPr>
              <w:t>spirituality and prayer.</w:t>
            </w:r>
          </w:p>
          <w:p>
            <w:pPr>
              <w:pStyle w:val="TableParagraph"/>
              <w:numPr>
                <w:ilvl w:val="0"/>
                <w:numId w:val="21"/>
              </w:numPr>
              <w:tabs>
                <w:tab w:pos="307" w:val="left" w:leader="none"/>
              </w:tabs>
              <w:spacing w:line="216" w:lineRule="auto" w:before="5" w:after="0"/>
              <w:ind w:left="306" w:right="79" w:hanging="227"/>
              <w:jc w:val="left"/>
              <w:rPr>
                <w:sz w:val="20"/>
              </w:rPr>
            </w:pPr>
            <w:r>
              <w:rPr>
                <w:w w:val="120"/>
                <w:sz w:val="20"/>
              </w:rPr>
              <w:t>The number of churches taking </w:t>
            </w:r>
            <w:r>
              <w:rPr>
                <w:spacing w:val="2"/>
                <w:w w:val="120"/>
                <w:sz w:val="20"/>
              </w:rPr>
              <w:t>part </w:t>
            </w:r>
            <w:r>
              <w:rPr>
                <w:w w:val="120"/>
                <w:sz w:val="20"/>
              </w:rPr>
              <w:t>in specific initiatives to engage</w:t>
            </w:r>
            <w:r>
              <w:rPr>
                <w:spacing w:val="19"/>
                <w:w w:val="120"/>
                <w:sz w:val="20"/>
              </w:rPr>
              <w:t> </w:t>
            </w:r>
            <w:r>
              <w:rPr>
                <w:w w:val="120"/>
                <w:sz w:val="20"/>
              </w:rPr>
              <w:t>more</w:t>
            </w:r>
          </w:p>
          <w:p>
            <w:pPr>
              <w:pStyle w:val="TableParagraph"/>
              <w:spacing w:line="196" w:lineRule="auto" w:before="33"/>
              <w:ind w:left="306" w:right="150"/>
              <w:rPr>
                <w:sz w:val="20"/>
              </w:rPr>
            </w:pPr>
            <w:r>
              <w:rPr>
                <w:w w:val="115"/>
                <w:sz w:val="20"/>
              </w:rPr>
              <w:t>deeply with  spirituality </w:t>
            </w:r>
            <w:r>
              <w:rPr>
                <w:sz w:val="20"/>
              </w:rPr>
              <w:t>and</w:t>
            </w:r>
            <w:r>
              <w:rPr>
                <w:spacing w:val="-13"/>
                <w:sz w:val="20"/>
              </w:rPr>
              <w:t> </w:t>
            </w:r>
            <w:r>
              <w:rPr>
                <w:sz w:val="20"/>
              </w:rPr>
              <w:t>prayer</w:t>
            </w:r>
            <w:r>
              <w:rPr>
                <w:spacing w:val="-12"/>
                <w:sz w:val="20"/>
              </w:rPr>
              <w:t> </w:t>
            </w:r>
            <w:r>
              <w:rPr>
                <w:sz w:val="20"/>
              </w:rPr>
              <w:t>e.g.</w:t>
            </w:r>
            <w:r>
              <w:rPr>
                <w:spacing w:val="-13"/>
                <w:sz w:val="20"/>
              </w:rPr>
              <w:t> </w:t>
            </w:r>
            <w:r>
              <w:rPr>
                <w:rFonts w:ascii="Arial Rounded MT Bold"/>
                <w:sz w:val="21"/>
              </w:rPr>
              <w:t>Vision4</w:t>
            </w:r>
            <w:r>
              <w:rPr>
                <w:rFonts w:ascii="Bradley Hand ITC"/>
                <w:color w:val="C20D19"/>
                <w:sz w:val="28"/>
              </w:rPr>
              <w:t>Life</w:t>
            </w:r>
            <w:r>
              <w:rPr>
                <w:sz w:val="20"/>
              </w:rPr>
              <w:t>.</w:t>
            </w:r>
          </w:p>
          <w:p>
            <w:pPr>
              <w:pStyle w:val="TableParagraph"/>
              <w:numPr>
                <w:ilvl w:val="0"/>
                <w:numId w:val="21"/>
              </w:numPr>
              <w:tabs>
                <w:tab w:pos="307" w:val="left" w:leader="none"/>
              </w:tabs>
              <w:spacing w:line="225" w:lineRule="exact" w:before="0" w:after="0"/>
              <w:ind w:left="306" w:right="0" w:hanging="228"/>
              <w:jc w:val="left"/>
              <w:rPr>
                <w:sz w:val="20"/>
              </w:rPr>
            </w:pPr>
            <w:r>
              <w:rPr>
                <w:w w:val="120"/>
                <w:sz w:val="20"/>
              </w:rPr>
              <w:t>Demonstrating clear</w:t>
            </w:r>
            <w:r>
              <w:rPr>
                <w:spacing w:val="12"/>
                <w:w w:val="120"/>
                <w:sz w:val="20"/>
              </w:rPr>
              <w:t> </w:t>
            </w:r>
            <w:r>
              <w:rPr>
                <w:w w:val="120"/>
                <w:sz w:val="20"/>
              </w:rPr>
              <w:t>links</w:t>
            </w:r>
          </w:p>
          <w:p>
            <w:pPr>
              <w:pStyle w:val="TableParagraph"/>
              <w:spacing w:line="216" w:lineRule="exact"/>
              <w:ind w:left="306"/>
              <w:rPr>
                <w:sz w:val="20"/>
              </w:rPr>
            </w:pPr>
            <w:r>
              <w:rPr>
                <w:w w:val="120"/>
                <w:sz w:val="20"/>
              </w:rPr>
              <w:t>between policies and</w:t>
            </w:r>
          </w:p>
          <w:p>
            <w:pPr>
              <w:pStyle w:val="TableParagraph"/>
              <w:spacing w:line="235" w:lineRule="auto" w:before="2"/>
              <w:ind w:left="306" w:right="150"/>
              <w:rPr>
                <w:sz w:val="20"/>
              </w:rPr>
            </w:pPr>
            <w:r>
              <w:rPr>
                <w:w w:val="120"/>
                <w:sz w:val="20"/>
              </w:rPr>
              <w:t>plans and spirituality, Bible study and prayer.</w:t>
            </w:r>
          </w:p>
        </w:tc>
      </w:tr>
    </w:tbl>
    <w:p>
      <w:pPr>
        <w:spacing w:after="0" w:line="235" w:lineRule="auto"/>
        <w:rPr>
          <w:sz w:val="20"/>
        </w:rPr>
        <w:sectPr>
          <w:headerReference w:type="even" r:id="rId67"/>
          <w:headerReference w:type="default" r:id="rId68"/>
          <w:footerReference w:type="even" r:id="rId69"/>
          <w:footerReference w:type="default" r:id="rId70"/>
          <w:pgSz w:w="11910" w:h="16840"/>
          <w:pgMar w:header="0" w:footer="600" w:top="1060" w:bottom="800" w:left="0" w:right="0"/>
          <w:pgNumType w:start="20"/>
        </w:sectPr>
      </w:pPr>
    </w:p>
    <w:p>
      <w:pPr>
        <w:spacing w:before="84"/>
        <w:ind w:left="1984" w:right="0" w:firstLine="0"/>
        <w:jc w:val="left"/>
        <w:rPr>
          <w:rFonts w:ascii="Stone Sans II ITC Std Bk"/>
          <w:b/>
          <w:sz w:val="29"/>
        </w:rPr>
      </w:pPr>
      <w:r>
        <w:rPr/>
        <w:pict>
          <v:rect style="position:absolute;margin-left:558.424988pt;margin-top:8.464775pt;width:22.677pt;height:22.677pt;mso-position-horizontal-relative:page;mso-position-vertical-relative:paragraph;z-index:251751424" filled="true" fillcolor="#f9e9c1" stroked="false">
            <v:fill opacity="32768f" type="solid"/>
            <w10:wrap type="none"/>
          </v:rect>
        </w:pict>
      </w:r>
      <w:r>
        <w:rPr/>
        <w:pict>
          <v:line style="position:absolute;mso-position-horizontal-relative:page;mso-position-vertical-relative:page;z-index:251752448" from="78.870102pt,59.687416pt" to="78.870102pt,797.873416pt" stroked="true" strokeweight="1pt" strokecolor="#868685">
            <v:stroke dashstyle="dot"/>
            <w10:wrap type="none"/>
          </v:line>
        </w:pict>
      </w:r>
      <w:r>
        <w:rPr/>
        <w:drawing>
          <wp:anchor distT="0" distB="0" distL="0" distR="0" allowOverlap="1" layoutInCell="1" locked="0" behindDoc="1" simplePos="0" relativeHeight="235646976">
            <wp:simplePos x="0" y="0"/>
            <wp:positionH relativeFrom="page">
              <wp:posOffset>1268996</wp:posOffset>
            </wp:positionH>
            <wp:positionV relativeFrom="page">
              <wp:posOffset>6070498</wp:posOffset>
            </wp:positionV>
            <wp:extent cx="5853601" cy="742950"/>
            <wp:effectExtent l="0" t="0" r="0" b="0"/>
            <wp:wrapNone/>
            <wp:docPr id="33" name="image38.png"/>
            <wp:cNvGraphicFramePr>
              <a:graphicFrameLocks noChangeAspect="1"/>
            </wp:cNvGraphicFramePr>
            <a:graphic>
              <a:graphicData uri="http://schemas.openxmlformats.org/drawingml/2006/picture">
                <pic:pic>
                  <pic:nvPicPr>
                    <pic:cNvPr id="34" name="image38.png"/>
                    <pic:cNvPicPr/>
                  </pic:nvPicPr>
                  <pic:blipFill>
                    <a:blip r:embed="rId74" cstate="print"/>
                    <a:stretch>
                      <a:fillRect/>
                    </a:stretch>
                  </pic:blipFill>
                  <pic:spPr>
                    <a:xfrm>
                      <a:off x="0" y="0"/>
                      <a:ext cx="5853601" cy="742950"/>
                    </a:xfrm>
                    <a:prstGeom prst="rect">
                      <a:avLst/>
                    </a:prstGeom>
                  </pic:spPr>
                </pic:pic>
              </a:graphicData>
            </a:graphic>
          </wp:anchor>
        </w:drawing>
      </w:r>
      <w:r>
        <w:rPr>
          <w:rFonts w:ascii="Stone Sans II ITC Std Bk"/>
          <w:b/>
          <w:color w:val="CA4F1B"/>
          <w:w w:val="110"/>
          <w:sz w:val="29"/>
        </w:rPr>
        <w:t>Statement 2: </w:t>
      </w:r>
      <w:r>
        <w:rPr>
          <w:rFonts w:ascii="Stone Sans II ITC Std Bk"/>
          <w:b/>
          <w:w w:val="110"/>
          <w:sz w:val="29"/>
        </w:rPr>
        <w:t>Identity</w:t>
      </w:r>
    </w:p>
    <w:p>
      <w:pPr>
        <w:spacing w:line="213" w:lineRule="auto" w:before="202"/>
        <w:ind w:left="1984" w:right="1120" w:firstLine="0"/>
        <w:jc w:val="left"/>
        <w:rPr>
          <w:rFonts w:ascii="Stone Sans II ITC Std Bk"/>
          <w:b/>
          <w:sz w:val="20"/>
        </w:rPr>
      </w:pPr>
      <w:r>
        <w:rPr>
          <w:rFonts w:ascii="Stone Sans II ITC Std Bk"/>
          <w:b/>
          <w:w w:val="110"/>
          <w:sz w:val="20"/>
        </w:rPr>
        <w:t>The URC will be a Church where every local congregation will be able to say who they are, what they do and why they do it.</w:t>
      </w:r>
    </w:p>
    <w:p>
      <w:pPr>
        <w:pStyle w:val="BodyText"/>
        <w:spacing w:before="3"/>
        <w:rPr>
          <w:rFonts w:ascii="Stone Sans II ITC Std Bk"/>
          <w:b/>
          <w:sz w:val="17"/>
        </w:rPr>
      </w:pPr>
    </w:p>
    <w:p>
      <w:pPr>
        <w:pStyle w:val="BodyText"/>
        <w:spacing w:line="235" w:lineRule="auto"/>
        <w:ind w:left="1984" w:right="1273"/>
      </w:pPr>
      <w:r>
        <w:rPr>
          <w:w w:val="120"/>
        </w:rPr>
        <w:t>One of our greatest strengths is our diversity and flexibility which allows our churches to serve so creatively and effectively across a wide variety of contexts. However, constant pragmatism can lead to a lack of identity, focus and purpose. Our identity in Jesus Christ is central to our mission. We want to encourage local churches to develop mission plans specific to their local contexts, which are owned by the membership of the church, allowing them to articulate clearly to friends, colleagues and neighbours ‘who they are, what they do, and why they do it.’</w:t>
      </w:r>
    </w:p>
    <w:p>
      <w:pPr>
        <w:pStyle w:val="BodyText"/>
        <w:rPr>
          <w:sz w:val="24"/>
        </w:rPr>
      </w:pPr>
    </w:p>
    <w:p>
      <w:pPr>
        <w:spacing w:before="176"/>
        <w:ind w:left="1984" w:right="0" w:firstLine="0"/>
        <w:jc w:val="left"/>
        <w:rPr>
          <w:rFonts w:ascii="Stone Sans II ITC Std Bk"/>
          <w:b/>
          <w:i/>
          <w:sz w:val="20"/>
        </w:rPr>
      </w:pPr>
      <w:r>
        <w:rPr/>
        <w:drawing>
          <wp:anchor distT="0" distB="0" distL="0" distR="0" allowOverlap="1" layoutInCell="1" locked="0" behindDoc="1" simplePos="0" relativeHeight="235645952">
            <wp:simplePos x="0" y="0"/>
            <wp:positionH relativeFrom="page">
              <wp:posOffset>6597313</wp:posOffset>
            </wp:positionH>
            <wp:positionV relativeFrom="paragraph">
              <wp:posOffset>923157</wp:posOffset>
            </wp:positionV>
            <wp:extent cx="232564" cy="180975"/>
            <wp:effectExtent l="0" t="0" r="0" b="0"/>
            <wp:wrapNone/>
            <wp:docPr id="35" name="image39.png"/>
            <wp:cNvGraphicFramePr>
              <a:graphicFrameLocks noChangeAspect="1"/>
            </wp:cNvGraphicFramePr>
            <a:graphic>
              <a:graphicData uri="http://schemas.openxmlformats.org/drawingml/2006/picture">
                <pic:pic>
                  <pic:nvPicPr>
                    <pic:cNvPr id="36" name="image39.png"/>
                    <pic:cNvPicPr/>
                  </pic:nvPicPr>
                  <pic:blipFill>
                    <a:blip r:embed="rId75" cstate="print"/>
                    <a:stretch>
                      <a:fillRect/>
                    </a:stretch>
                  </pic:blipFill>
                  <pic:spPr>
                    <a:xfrm>
                      <a:off x="0" y="0"/>
                      <a:ext cx="232564" cy="180975"/>
                    </a:xfrm>
                    <a:prstGeom prst="rect">
                      <a:avLst/>
                    </a:prstGeom>
                  </pic:spPr>
                </pic:pic>
              </a:graphicData>
            </a:graphic>
          </wp:anchor>
        </w:drawing>
      </w:r>
      <w:r>
        <w:rPr>
          <w:rFonts w:ascii="Stone Sans II ITC Std Bk"/>
          <w:b/>
          <w:i/>
          <w:w w:val="110"/>
          <w:sz w:val="20"/>
        </w:rPr>
        <w:t>Some suggested indicators:</w:t>
      </w:r>
    </w:p>
    <w:p>
      <w:pPr>
        <w:pStyle w:val="BodyText"/>
        <w:spacing w:before="9"/>
        <w:rPr>
          <w:rFonts w:ascii="Stone Sans II ITC Std Bk"/>
          <w:b/>
          <w:i/>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87"/>
        <w:gridCol w:w="3094"/>
        <w:gridCol w:w="3062"/>
      </w:tblGrid>
      <w:tr>
        <w:trPr>
          <w:trHeight w:val="373" w:hRule="atLeast"/>
        </w:trPr>
        <w:tc>
          <w:tcPr>
            <w:tcW w:w="3087"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3094"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Synod Indicators</w:t>
            </w:r>
          </w:p>
        </w:tc>
        <w:tc>
          <w:tcPr>
            <w:tcW w:w="3062"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Assembly Indicators</w:t>
            </w:r>
          </w:p>
        </w:tc>
      </w:tr>
      <w:tr>
        <w:trPr>
          <w:trHeight w:val="5196" w:hRule="atLeast"/>
        </w:trPr>
        <w:tc>
          <w:tcPr>
            <w:tcW w:w="3087" w:type="dxa"/>
          </w:tcPr>
          <w:p>
            <w:pPr>
              <w:pStyle w:val="TableParagraph"/>
              <w:numPr>
                <w:ilvl w:val="0"/>
                <w:numId w:val="22"/>
              </w:numPr>
              <w:tabs>
                <w:tab w:pos="307" w:val="left" w:leader="none"/>
              </w:tabs>
              <w:spacing w:line="216" w:lineRule="auto" w:before="123" w:after="0"/>
              <w:ind w:left="306" w:right="447" w:hanging="227"/>
              <w:jc w:val="left"/>
              <w:rPr>
                <w:sz w:val="20"/>
              </w:rPr>
            </w:pPr>
            <w:r>
              <w:rPr>
                <w:w w:val="120"/>
                <w:sz w:val="20"/>
              </w:rPr>
              <w:t>Having a clear ‘mission plan’ understood and owned by all</w:t>
            </w:r>
            <w:r>
              <w:rPr>
                <w:spacing w:val="33"/>
                <w:w w:val="120"/>
                <w:sz w:val="20"/>
              </w:rPr>
              <w:t> </w:t>
            </w:r>
            <w:r>
              <w:rPr>
                <w:w w:val="120"/>
                <w:sz w:val="20"/>
              </w:rPr>
              <w:t>members.</w:t>
            </w:r>
          </w:p>
          <w:p>
            <w:pPr>
              <w:pStyle w:val="TableParagraph"/>
              <w:numPr>
                <w:ilvl w:val="0"/>
                <w:numId w:val="22"/>
              </w:numPr>
              <w:tabs>
                <w:tab w:pos="307" w:val="left" w:leader="none"/>
              </w:tabs>
              <w:spacing w:line="216" w:lineRule="auto" w:before="0" w:after="0"/>
              <w:ind w:left="306" w:right="313" w:hanging="227"/>
              <w:jc w:val="left"/>
              <w:rPr>
                <w:sz w:val="20"/>
              </w:rPr>
            </w:pPr>
            <w:r>
              <w:rPr>
                <w:w w:val="120"/>
                <w:sz w:val="20"/>
              </w:rPr>
              <w:t>Having an up to date ‘Welcome </w:t>
            </w:r>
            <w:r>
              <w:rPr>
                <w:spacing w:val="-3"/>
                <w:w w:val="120"/>
                <w:sz w:val="20"/>
              </w:rPr>
              <w:t>Pack’, </w:t>
            </w:r>
            <w:r>
              <w:rPr>
                <w:w w:val="120"/>
                <w:sz w:val="20"/>
              </w:rPr>
              <w:t>noticeboard and</w:t>
            </w:r>
            <w:r>
              <w:rPr>
                <w:spacing w:val="17"/>
                <w:w w:val="120"/>
                <w:sz w:val="20"/>
              </w:rPr>
              <w:t> </w:t>
            </w:r>
            <w:r>
              <w:rPr>
                <w:w w:val="120"/>
                <w:sz w:val="20"/>
              </w:rPr>
              <w:t>website</w:t>
            </w:r>
          </w:p>
          <w:p>
            <w:pPr>
              <w:pStyle w:val="TableParagraph"/>
              <w:spacing w:line="235" w:lineRule="auto"/>
              <w:ind w:left="306"/>
              <w:rPr>
                <w:sz w:val="20"/>
              </w:rPr>
            </w:pPr>
            <w:r>
              <w:rPr>
                <w:w w:val="120"/>
                <w:sz w:val="20"/>
              </w:rPr>
              <w:t>– including resources for children.</w:t>
            </w:r>
          </w:p>
          <w:p>
            <w:pPr>
              <w:pStyle w:val="TableParagraph"/>
              <w:numPr>
                <w:ilvl w:val="0"/>
                <w:numId w:val="22"/>
              </w:numPr>
              <w:tabs>
                <w:tab w:pos="307" w:val="left" w:leader="none"/>
              </w:tabs>
              <w:spacing w:line="216" w:lineRule="auto" w:before="0" w:after="0"/>
              <w:ind w:left="306" w:right="333" w:hanging="227"/>
              <w:jc w:val="left"/>
              <w:rPr>
                <w:sz w:val="20"/>
              </w:rPr>
            </w:pPr>
            <w:r>
              <w:rPr>
                <w:w w:val="120"/>
                <w:sz w:val="20"/>
              </w:rPr>
              <w:t>Offering a warm space, warm coffee and warm welcome to people</w:t>
            </w:r>
            <w:r>
              <w:rPr>
                <w:spacing w:val="24"/>
                <w:w w:val="120"/>
                <w:sz w:val="20"/>
              </w:rPr>
              <w:t> </w:t>
            </w:r>
            <w:r>
              <w:rPr>
                <w:spacing w:val="-3"/>
                <w:w w:val="120"/>
                <w:sz w:val="20"/>
              </w:rPr>
              <w:t>from</w:t>
            </w:r>
          </w:p>
          <w:p>
            <w:pPr>
              <w:pStyle w:val="TableParagraph"/>
              <w:spacing w:line="243" w:lineRule="exact"/>
              <w:ind w:left="306"/>
              <w:rPr>
                <w:sz w:val="20"/>
              </w:rPr>
            </w:pPr>
            <w:r>
              <w:rPr>
                <w:w w:val="120"/>
                <w:sz w:val="20"/>
              </w:rPr>
              <w:t>any background.</w:t>
            </w:r>
          </w:p>
        </w:tc>
        <w:tc>
          <w:tcPr>
            <w:tcW w:w="3094" w:type="dxa"/>
          </w:tcPr>
          <w:p>
            <w:pPr>
              <w:pStyle w:val="TableParagraph"/>
              <w:numPr>
                <w:ilvl w:val="0"/>
                <w:numId w:val="23"/>
              </w:numPr>
              <w:tabs>
                <w:tab w:pos="307" w:val="left" w:leader="none"/>
              </w:tabs>
              <w:spacing w:line="196" w:lineRule="auto" w:before="140" w:after="0"/>
              <w:ind w:left="306" w:right="360" w:hanging="227"/>
              <w:jc w:val="left"/>
              <w:rPr>
                <w:sz w:val="20"/>
              </w:rPr>
            </w:pPr>
            <w:r>
              <w:rPr>
                <w:w w:val="120"/>
                <w:sz w:val="20"/>
              </w:rPr>
              <w:t>Number of churches with a clear mission</w:t>
            </w:r>
            <w:r>
              <w:rPr>
                <w:spacing w:val="2"/>
                <w:w w:val="120"/>
                <w:sz w:val="20"/>
              </w:rPr>
              <w:t> </w:t>
            </w:r>
            <w:r>
              <w:rPr>
                <w:w w:val="120"/>
                <w:sz w:val="20"/>
              </w:rPr>
              <w:t>plan</w:t>
            </w:r>
          </w:p>
          <w:p>
            <w:pPr>
              <w:pStyle w:val="TableParagraph"/>
              <w:spacing w:line="235" w:lineRule="auto" w:before="11"/>
              <w:ind w:left="306" w:right="165"/>
              <w:rPr>
                <w:sz w:val="20"/>
              </w:rPr>
            </w:pPr>
            <w:r>
              <w:rPr>
                <w:w w:val="120"/>
                <w:sz w:val="20"/>
              </w:rPr>
              <w:t>– expressed through a Local Mission and Ministry Review.</w:t>
            </w:r>
          </w:p>
          <w:p>
            <w:pPr>
              <w:pStyle w:val="TableParagraph"/>
              <w:numPr>
                <w:ilvl w:val="0"/>
                <w:numId w:val="23"/>
              </w:numPr>
              <w:tabs>
                <w:tab w:pos="307" w:val="left" w:leader="none"/>
              </w:tabs>
              <w:spacing w:line="196" w:lineRule="auto" w:before="8" w:after="0"/>
              <w:ind w:left="306" w:right="510" w:hanging="227"/>
              <w:jc w:val="left"/>
              <w:rPr>
                <w:sz w:val="20"/>
              </w:rPr>
            </w:pPr>
            <w:r>
              <w:rPr>
                <w:w w:val="120"/>
                <w:sz w:val="20"/>
              </w:rPr>
              <w:t>Provision of resources to support, enable</w:t>
            </w:r>
            <w:r>
              <w:rPr>
                <w:spacing w:val="34"/>
                <w:w w:val="120"/>
                <w:sz w:val="20"/>
              </w:rPr>
              <w:t> </w:t>
            </w:r>
            <w:r>
              <w:rPr>
                <w:w w:val="120"/>
                <w:sz w:val="20"/>
              </w:rPr>
              <w:t>and</w:t>
            </w:r>
          </w:p>
          <w:p>
            <w:pPr>
              <w:pStyle w:val="TableParagraph"/>
              <w:spacing w:line="235" w:lineRule="auto" w:before="10"/>
              <w:ind w:left="306" w:right="165"/>
              <w:rPr>
                <w:sz w:val="20"/>
              </w:rPr>
            </w:pPr>
            <w:r>
              <w:rPr>
                <w:w w:val="120"/>
                <w:sz w:val="20"/>
              </w:rPr>
              <w:t>encourage local churches to develop their local mission plans.</w:t>
            </w:r>
          </w:p>
          <w:p>
            <w:pPr>
              <w:pStyle w:val="TableParagraph"/>
              <w:numPr>
                <w:ilvl w:val="0"/>
                <w:numId w:val="23"/>
              </w:numPr>
              <w:tabs>
                <w:tab w:pos="307" w:val="left" w:leader="none"/>
              </w:tabs>
              <w:spacing w:line="216" w:lineRule="auto" w:before="0" w:after="0"/>
              <w:ind w:left="306" w:right="85" w:hanging="227"/>
              <w:jc w:val="left"/>
              <w:rPr>
                <w:sz w:val="20"/>
              </w:rPr>
            </w:pPr>
            <w:r>
              <w:rPr>
                <w:w w:val="120"/>
                <w:sz w:val="20"/>
              </w:rPr>
              <w:t>Demonstrating clear links between policies and plans and ‘who we are’ as</w:t>
            </w:r>
            <w:r>
              <w:rPr>
                <w:spacing w:val="7"/>
                <w:w w:val="120"/>
                <w:sz w:val="20"/>
              </w:rPr>
              <w:t> </w:t>
            </w:r>
            <w:r>
              <w:rPr>
                <w:w w:val="120"/>
                <w:sz w:val="20"/>
              </w:rPr>
              <w:t>a</w:t>
            </w:r>
          </w:p>
          <w:p>
            <w:pPr>
              <w:pStyle w:val="TableParagraph"/>
              <w:spacing w:line="243" w:lineRule="exact"/>
              <w:ind w:left="306"/>
              <w:rPr>
                <w:sz w:val="20"/>
              </w:rPr>
            </w:pPr>
            <w:r>
              <w:rPr>
                <w:w w:val="120"/>
                <w:sz w:val="20"/>
              </w:rPr>
              <w:t>denomination.</w:t>
            </w:r>
          </w:p>
        </w:tc>
        <w:tc>
          <w:tcPr>
            <w:tcW w:w="3062" w:type="dxa"/>
          </w:tcPr>
          <w:p>
            <w:pPr>
              <w:pStyle w:val="TableParagraph"/>
              <w:numPr>
                <w:ilvl w:val="0"/>
                <w:numId w:val="24"/>
              </w:numPr>
              <w:tabs>
                <w:tab w:pos="306" w:val="left" w:leader="none"/>
              </w:tabs>
              <w:spacing w:line="180" w:lineRule="auto" w:before="156" w:after="0"/>
              <w:ind w:left="305" w:right="464" w:hanging="227"/>
              <w:jc w:val="left"/>
              <w:rPr>
                <w:i/>
                <w:sz w:val="20"/>
              </w:rPr>
            </w:pPr>
            <w:r>
              <w:rPr>
                <w:w w:val="115"/>
                <w:sz w:val="20"/>
              </w:rPr>
              <w:t>Number of churches </w:t>
            </w:r>
            <w:r>
              <w:rPr>
                <w:sz w:val="20"/>
              </w:rPr>
              <w:t>taking</w:t>
            </w:r>
            <w:r>
              <w:rPr>
                <w:spacing w:val="-25"/>
                <w:sz w:val="20"/>
              </w:rPr>
              <w:t> </w:t>
            </w:r>
            <w:r>
              <w:rPr>
                <w:spacing w:val="2"/>
                <w:sz w:val="20"/>
              </w:rPr>
              <w:t>part</w:t>
            </w:r>
            <w:r>
              <w:rPr>
                <w:spacing w:val="-24"/>
                <w:sz w:val="20"/>
              </w:rPr>
              <w:t> </w:t>
            </w:r>
            <w:r>
              <w:rPr>
                <w:sz w:val="20"/>
              </w:rPr>
              <w:t>in</w:t>
            </w:r>
            <w:r>
              <w:rPr>
                <w:spacing w:val="-23"/>
                <w:sz w:val="20"/>
              </w:rPr>
              <w:t> </w:t>
            </w:r>
            <w:r>
              <w:rPr>
                <w:rFonts w:ascii="Arial Rounded MT Bold" w:hAnsi="Arial Rounded MT Bold"/>
                <w:sz w:val="21"/>
              </w:rPr>
              <w:t>Vision4</w:t>
            </w:r>
            <w:r>
              <w:rPr>
                <w:rFonts w:ascii="Bradley Hand ITC" w:hAnsi="Bradley Hand ITC"/>
                <w:color w:val="C20D19"/>
                <w:sz w:val="28"/>
              </w:rPr>
              <w:t>Life</w:t>
            </w:r>
            <w:r>
              <w:rPr>
                <w:rFonts w:ascii="Bradley Hand ITC" w:hAnsi="Bradley Hand ITC"/>
                <w:sz w:val="28"/>
              </w:rPr>
              <w:t> </w:t>
            </w:r>
            <w:r>
              <w:rPr>
                <w:w w:val="115"/>
                <w:sz w:val="20"/>
              </w:rPr>
              <w:t>and the</w:t>
            </w:r>
            <w:r>
              <w:rPr>
                <w:spacing w:val="7"/>
                <w:w w:val="115"/>
                <w:sz w:val="20"/>
              </w:rPr>
              <w:t> </w:t>
            </w:r>
            <w:r>
              <w:rPr>
                <w:i/>
                <w:w w:val="115"/>
                <w:sz w:val="20"/>
              </w:rPr>
              <w:t>Marketing</w:t>
            </w:r>
          </w:p>
          <w:p>
            <w:pPr>
              <w:pStyle w:val="TableParagraph"/>
              <w:spacing w:line="235" w:lineRule="auto" w:before="12"/>
              <w:ind w:left="305" w:right="451"/>
              <w:rPr>
                <w:sz w:val="20"/>
              </w:rPr>
            </w:pPr>
            <w:r>
              <w:rPr>
                <w:i/>
                <w:w w:val="120"/>
                <w:sz w:val="20"/>
              </w:rPr>
              <w:t>Campaign </w:t>
            </w:r>
            <w:r>
              <w:rPr>
                <w:w w:val="120"/>
                <w:sz w:val="20"/>
              </w:rPr>
              <w:t>programmes exploring URC faith and</w:t>
            </w:r>
            <w:r>
              <w:rPr>
                <w:spacing w:val="2"/>
                <w:w w:val="120"/>
                <w:sz w:val="20"/>
              </w:rPr>
              <w:t> </w:t>
            </w:r>
            <w:r>
              <w:rPr>
                <w:w w:val="120"/>
                <w:sz w:val="20"/>
              </w:rPr>
              <w:t>mission.</w:t>
            </w:r>
          </w:p>
          <w:p>
            <w:pPr>
              <w:pStyle w:val="TableParagraph"/>
              <w:numPr>
                <w:ilvl w:val="0"/>
                <w:numId w:val="24"/>
              </w:numPr>
              <w:tabs>
                <w:tab w:pos="306" w:val="left" w:leader="none"/>
              </w:tabs>
              <w:spacing w:line="196" w:lineRule="auto" w:before="8" w:after="0"/>
              <w:ind w:left="305" w:right="300" w:hanging="227"/>
              <w:jc w:val="left"/>
              <w:rPr>
                <w:sz w:val="20"/>
              </w:rPr>
            </w:pPr>
            <w:r>
              <w:rPr>
                <w:w w:val="120"/>
                <w:sz w:val="20"/>
              </w:rPr>
              <w:t>Demonstrable support to synods to nurture</w:t>
            </w:r>
            <w:r>
              <w:rPr>
                <w:spacing w:val="16"/>
                <w:w w:val="120"/>
                <w:sz w:val="20"/>
              </w:rPr>
              <w:t> </w:t>
            </w:r>
            <w:r>
              <w:rPr>
                <w:w w:val="120"/>
                <w:sz w:val="20"/>
              </w:rPr>
              <w:t>and</w:t>
            </w:r>
          </w:p>
          <w:p>
            <w:pPr>
              <w:pStyle w:val="TableParagraph"/>
              <w:spacing w:line="235" w:lineRule="auto" w:before="10"/>
              <w:ind w:left="305"/>
              <w:rPr>
                <w:sz w:val="20"/>
              </w:rPr>
            </w:pPr>
            <w:r>
              <w:rPr>
                <w:w w:val="120"/>
                <w:sz w:val="20"/>
              </w:rPr>
              <w:t>develop their own regional and national identities.</w:t>
            </w:r>
          </w:p>
          <w:p>
            <w:pPr>
              <w:pStyle w:val="TableParagraph"/>
              <w:numPr>
                <w:ilvl w:val="0"/>
                <w:numId w:val="24"/>
              </w:numPr>
              <w:tabs>
                <w:tab w:pos="306" w:val="left" w:leader="none"/>
              </w:tabs>
              <w:spacing w:line="216" w:lineRule="auto" w:before="0" w:after="0"/>
              <w:ind w:left="305" w:right="211" w:hanging="227"/>
              <w:jc w:val="left"/>
              <w:rPr>
                <w:sz w:val="20"/>
              </w:rPr>
            </w:pPr>
            <w:r>
              <w:rPr>
                <w:w w:val="120"/>
                <w:sz w:val="20"/>
              </w:rPr>
              <w:t>Demonstrating clear links between policies and plans and ‘who we are’</w:t>
            </w:r>
            <w:r>
              <w:rPr>
                <w:spacing w:val="8"/>
                <w:w w:val="120"/>
                <w:sz w:val="20"/>
              </w:rPr>
              <w:t> </w:t>
            </w:r>
            <w:r>
              <w:rPr>
                <w:w w:val="120"/>
                <w:sz w:val="20"/>
              </w:rPr>
              <w:t>as</w:t>
            </w:r>
          </w:p>
          <w:p>
            <w:pPr>
              <w:pStyle w:val="TableParagraph"/>
              <w:spacing w:line="243" w:lineRule="exact"/>
              <w:ind w:left="305"/>
              <w:rPr>
                <w:sz w:val="20"/>
              </w:rPr>
            </w:pPr>
            <w:r>
              <w:rPr>
                <w:w w:val="120"/>
                <w:sz w:val="20"/>
              </w:rPr>
              <w:t>a denomination.</w:t>
            </w:r>
          </w:p>
        </w:tc>
      </w:tr>
    </w:tbl>
    <w:p>
      <w:pPr>
        <w:spacing w:after="0" w:line="243" w:lineRule="exact"/>
        <w:rPr>
          <w:sz w:val="20"/>
        </w:rPr>
        <w:sectPr>
          <w:pgSz w:w="11910" w:h="16840"/>
          <w:pgMar w:header="0" w:footer="600" w:top="1060" w:bottom="800" w:left="0" w:right="0"/>
        </w:sectPr>
      </w:pPr>
    </w:p>
    <w:p>
      <w:pPr>
        <w:spacing w:before="20"/>
        <w:ind w:left="1133" w:right="0" w:firstLine="0"/>
        <w:jc w:val="left"/>
        <w:rPr>
          <w:rFonts w:ascii="Stone Sans II ITC Std Bk"/>
          <w:b/>
          <w:sz w:val="29"/>
        </w:rPr>
      </w:pPr>
      <w:r>
        <w:rPr/>
        <w:pict>
          <v:rect style="position:absolute;margin-left:12.047pt;margin-top:4.438776pt;width:22.677pt;height:22.677pt;mso-position-horizontal-relative:page;mso-position-vertical-relative:paragraph;z-index:251755520" filled="true" fillcolor="#f9e9c1" stroked="false">
            <v:fill opacity="32768f" type="solid"/>
            <w10:wrap type="none"/>
          </v:rect>
        </w:pict>
      </w:r>
      <w:r>
        <w:rPr/>
        <w:pict>
          <v:line style="position:absolute;mso-position-horizontal-relative:page;mso-position-vertical-relative:page;z-index:251756544" from="514.487183pt,59.687416pt" to="514.487183pt,797.873416pt" stroked="true" strokeweight="1pt" strokecolor="#868685">
            <v:stroke dashstyle="dot"/>
            <w10:wrap type="none"/>
          </v:line>
        </w:pict>
      </w:r>
      <w:r>
        <w:rPr/>
        <w:drawing>
          <wp:anchor distT="0" distB="0" distL="0" distR="0" allowOverlap="1" layoutInCell="1" locked="0" behindDoc="1" simplePos="0" relativeHeight="235650048">
            <wp:simplePos x="0" y="0"/>
            <wp:positionH relativeFrom="page">
              <wp:posOffset>732002</wp:posOffset>
            </wp:positionH>
            <wp:positionV relativeFrom="page">
              <wp:posOffset>7284288</wp:posOffset>
            </wp:positionV>
            <wp:extent cx="5562320" cy="742950"/>
            <wp:effectExtent l="0" t="0" r="0" b="0"/>
            <wp:wrapNone/>
            <wp:docPr id="37" name="image40.png"/>
            <wp:cNvGraphicFramePr>
              <a:graphicFrameLocks noChangeAspect="1"/>
            </wp:cNvGraphicFramePr>
            <a:graphic>
              <a:graphicData uri="http://schemas.openxmlformats.org/drawingml/2006/picture">
                <pic:pic>
                  <pic:nvPicPr>
                    <pic:cNvPr id="38" name="image40.png"/>
                    <pic:cNvPicPr/>
                  </pic:nvPicPr>
                  <pic:blipFill>
                    <a:blip r:embed="rId76" cstate="print"/>
                    <a:stretch>
                      <a:fillRect/>
                    </a:stretch>
                  </pic:blipFill>
                  <pic:spPr>
                    <a:xfrm>
                      <a:off x="0" y="0"/>
                      <a:ext cx="5562320" cy="742950"/>
                    </a:xfrm>
                    <a:prstGeom prst="rect">
                      <a:avLst/>
                    </a:prstGeom>
                  </pic:spPr>
                </pic:pic>
              </a:graphicData>
            </a:graphic>
          </wp:anchor>
        </w:drawing>
      </w:r>
      <w:r>
        <w:rPr>
          <w:rFonts w:ascii="Stone Sans II ITC Std Bk"/>
          <w:b/>
          <w:color w:val="CA4F1B"/>
          <w:w w:val="110"/>
          <w:sz w:val="29"/>
        </w:rPr>
        <w:t>Statement 3: </w:t>
      </w:r>
      <w:r>
        <w:rPr>
          <w:rFonts w:ascii="Stone Sans II ITC Std Bk"/>
          <w:b/>
          <w:w w:val="110"/>
          <w:sz w:val="29"/>
        </w:rPr>
        <w:t>Christian Ecumenical Partnerships</w:t>
      </w:r>
    </w:p>
    <w:p>
      <w:pPr>
        <w:spacing w:line="213" w:lineRule="auto" w:before="202"/>
        <w:ind w:left="1133" w:right="1997" w:firstLine="0"/>
        <w:jc w:val="left"/>
        <w:rPr>
          <w:rFonts w:ascii="Stone Sans II ITC Std Bk"/>
          <w:b/>
          <w:sz w:val="20"/>
        </w:rPr>
      </w:pPr>
      <w:r>
        <w:rPr>
          <w:rFonts w:ascii="Stone Sans II ITC Std Bk"/>
          <w:b/>
          <w:w w:val="110"/>
          <w:sz w:val="20"/>
        </w:rPr>
        <w:t>We will be more confident in our identity, valuing the treasures of our tradition, discerning when to seek ecumenical partnerships, and when and how to seek the further unity of the Church.</w:t>
      </w:r>
    </w:p>
    <w:p>
      <w:pPr>
        <w:pStyle w:val="BodyText"/>
        <w:spacing w:before="2"/>
        <w:rPr>
          <w:rFonts w:ascii="Stone Sans II ITC Std Bk"/>
          <w:b/>
          <w:sz w:val="17"/>
        </w:rPr>
      </w:pPr>
    </w:p>
    <w:p>
      <w:pPr>
        <w:pStyle w:val="BodyText"/>
        <w:spacing w:line="235" w:lineRule="auto"/>
        <w:ind w:left="1133" w:right="2394"/>
      </w:pPr>
      <w:r>
        <w:rPr>
          <w:w w:val="120"/>
        </w:rPr>
        <w:t>A lot has developed ecumenically since our unions in 1972, 1981 and 2000; the focus has changed from seeking further union, to forming a wide variety of partnerships –</w:t>
      </w:r>
    </w:p>
    <w:p>
      <w:pPr>
        <w:pStyle w:val="BodyText"/>
        <w:spacing w:line="235" w:lineRule="auto" w:before="1"/>
        <w:ind w:left="1133" w:right="2076"/>
      </w:pPr>
      <w:r>
        <w:rPr>
          <w:w w:val="120"/>
        </w:rPr>
        <w:t>at local and national levels. Whilst our instincts remain deeply rooted in seeking further unity, we do not believe our dreams are served well by lacking in confidence, purpose and identity. Being confident in ourselves and working with others are not mutually exclusive; on the contrary, empowered by the Holy Spirit, celebrating and offering our many gifts will make our partnerships stronger and may speed the way to further union.</w:t>
      </w:r>
    </w:p>
    <w:p>
      <w:pPr>
        <w:pStyle w:val="BodyText"/>
        <w:rPr>
          <w:sz w:val="24"/>
        </w:rPr>
      </w:pPr>
    </w:p>
    <w:p>
      <w:pPr>
        <w:spacing w:before="175"/>
        <w:ind w:left="1133" w:right="0" w:firstLine="0"/>
        <w:jc w:val="left"/>
        <w:rPr>
          <w:rFonts w:ascii="Stone Sans II ITC Std Bk"/>
          <w:b/>
          <w:i/>
          <w:sz w:val="20"/>
        </w:rPr>
      </w:pPr>
      <w:r>
        <w:rPr>
          <w:rFonts w:ascii="Stone Sans II ITC Std Bk"/>
          <w:b/>
          <w:i/>
          <w:w w:val="110"/>
          <w:sz w:val="20"/>
        </w:rPr>
        <w:t>Some suggested indicators:</w:t>
      </w:r>
    </w:p>
    <w:p>
      <w:pPr>
        <w:pStyle w:val="BodyText"/>
        <w:spacing w:before="9"/>
        <w:rPr>
          <w:rFonts w:ascii="Stone Sans II ITC Std Bk"/>
          <w:b/>
          <w:i/>
          <w:sz w:val="18"/>
        </w:r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11"/>
        <w:gridCol w:w="3024"/>
        <w:gridCol w:w="2943"/>
      </w:tblGrid>
      <w:tr>
        <w:trPr>
          <w:trHeight w:val="373" w:hRule="atLeast"/>
        </w:trPr>
        <w:tc>
          <w:tcPr>
            <w:tcW w:w="2811"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3024"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Synod Indicators</w:t>
            </w:r>
          </w:p>
        </w:tc>
        <w:tc>
          <w:tcPr>
            <w:tcW w:w="2943"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Assembly Indicators</w:t>
            </w:r>
          </w:p>
        </w:tc>
      </w:tr>
      <w:tr>
        <w:trPr>
          <w:trHeight w:val="6876" w:hRule="atLeast"/>
        </w:trPr>
        <w:tc>
          <w:tcPr>
            <w:tcW w:w="2811" w:type="dxa"/>
          </w:tcPr>
          <w:p>
            <w:pPr>
              <w:pStyle w:val="TableParagraph"/>
              <w:numPr>
                <w:ilvl w:val="0"/>
                <w:numId w:val="25"/>
              </w:numPr>
              <w:tabs>
                <w:tab w:pos="307" w:val="left" w:leader="none"/>
              </w:tabs>
              <w:spacing w:line="216" w:lineRule="auto" w:before="123" w:after="0"/>
              <w:ind w:left="306" w:right="71" w:hanging="227"/>
              <w:jc w:val="left"/>
              <w:rPr>
                <w:sz w:val="20"/>
              </w:rPr>
            </w:pPr>
            <w:r>
              <w:rPr>
                <w:w w:val="120"/>
                <w:sz w:val="20"/>
              </w:rPr>
              <w:t>Sharing people, finances and  buildings  with other local</w:t>
            </w:r>
            <w:r>
              <w:rPr>
                <w:spacing w:val="6"/>
                <w:w w:val="120"/>
                <w:sz w:val="20"/>
              </w:rPr>
              <w:t> </w:t>
            </w:r>
            <w:r>
              <w:rPr>
                <w:w w:val="120"/>
                <w:sz w:val="20"/>
              </w:rPr>
              <w:t>churches,</w:t>
            </w:r>
          </w:p>
          <w:p>
            <w:pPr>
              <w:pStyle w:val="TableParagraph"/>
              <w:spacing w:line="226" w:lineRule="exact"/>
              <w:ind w:left="306"/>
              <w:rPr>
                <w:sz w:val="20"/>
              </w:rPr>
            </w:pPr>
            <w:r>
              <w:rPr>
                <w:w w:val="120"/>
                <w:sz w:val="20"/>
              </w:rPr>
              <w:t>e.g. youth work.</w:t>
            </w:r>
          </w:p>
          <w:p>
            <w:pPr>
              <w:pStyle w:val="TableParagraph"/>
              <w:numPr>
                <w:ilvl w:val="0"/>
                <w:numId w:val="26"/>
              </w:numPr>
              <w:tabs>
                <w:tab w:pos="307" w:val="left" w:leader="none"/>
              </w:tabs>
              <w:spacing w:line="216" w:lineRule="auto" w:before="5" w:after="0"/>
              <w:ind w:left="306" w:right="331" w:hanging="227"/>
              <w:jc w:val="left"/>
              <w:rPr>
                <w:sz w:val="20"/>
              </w:rPr>
            </w:pPr>
            <w:r>
              <w:rPr>
                <w:w w:val="120"/>
                <w:sz w:val="20"/>
              </w:rPr>
              <w:t>Regular opportunities for worship, prayer and reflection</w:t>
            </w:r>
            <w:r>
              <w:rPr>
                <w:spacing w:val="7"/>
                <w:w w:val="120"/>
                <w:sz w:val="20"/>
              </w:rPr>
              <w:t> </w:t>
            </w:r>
            <w:r>
              <w:rPr>
                <w:w w:val="120"/>
                <w:sz w:val="20"/>
              </w:rPr>
              <w:t>with</w:t>
            </w:r>
          </w:p>
          <w:p>
            <w:pPr>
              <w:pStyle w:val="TableParagraph"/>
              <w:spacing w:line="235" w:lineRule="auto" w:before="3"/>
              <w:ind w:left="306" w:right="161"/>
              <w:rPr>
                <w:sz w:val="20"/>
              </w:rPr>
            </w:pPr>
            <w:r>
              <w:rPr>
                <w:w w:val="120"/>
                <w:sz w:val="20"/>
              </w:rPr>
              <w:t>other local churches for people of all ages.</w:t>
            </w:r>
          </w:p>
          <w:p>
            <w:pPr>
              <w:pStyle w:val="TableParagraph"/>
              <w:numPr>
                <w:ilvl w:val="0"/>
                <w:numId w:val="26"/>
              </w:numPr>
              <w:tabs>
                <w:tab w:pos="307" w:val="left" w:leader="none"/>
              </w:tabs>
              <w:spacing w:line="216" w:lineRule="auto" w:before="0" w:after="0"/>
              <w:ind w:left="306" w:right="286" w:hanging="227"/>
              <w:jc w:val="left"/>
              <w:rPr>
                <w:sz w:val="20"/>
              </w:rPr>
            </w:pPr>
            <w:r>
              <w:rPr>
                <w:w w:val="120"/>
                <w:sz w:val="20"/>
              </w:rPr>
              <w:t>Hosting or supporting Christian  activities and churches</w:t>
            </w:r>
            <w:r>
              <w:rPr>
                <w:spacing w:val="6"/>
                <w:w w:val="120"/>
                <w:sz w:val="20"/>
              </w:rPr>
              <w:t> </w:t>
            </w:r>
            <w:r>
              <w:rPr>
                <w:w w:val="120"/>
                <w:sz w:val="20"/>
              </w:rPr>
              <w:t>not</w:t>
            </w:r>
          </w:p>
          <w:p>
            <w:pPr>
              <w:pStyle w:val="TableParagraph"/>
              <w:spacing w:line="235" w:lineRule="auto"/>
              <w:ind w:left="306"/>
              <w:rPr>
                <w:sz w:val="20"/>
              </w:rPr>
            </w:pPr>
            <w:r>
              <w:rPr>
                <w:w w:val="120"/>
                <w:sz w:val="20"/>
              </w:rPr>
              <w:t>part of mainstream denominations.</w:t>
            </w:r>
          </w:p>
          <w:p>
            <w:pPr>
              <w:pStyle w:val="TableParagraph"/>
              <w:numPr>
                <w:ilvl w:val="0"/>
                <w:numId w:val="26"/>
              </w:numPr>
              <w:tabs>
                <w:tab w:pos="307" w:val="left" w:leader="none"/>
              </w:tabs>
              <w:spacing w:line="216" w:lineRule="auto" w:before="0" w:after="0"/>
              <w:ind w:left="306" w:right="290" w:hanging="227"/>
              <w:jc w:val="left"/>
              <w:rPr>
                <w:sz w:val="20"/>
              </w:rPr>
            </w:pPr>
            <w:r>
              <w:rPr>
                <w:w w:val="120"/>
                <w:sz w:val="20"/>
              </w:rPr>
              <w:t>Coming together with other churches to run local mission</w:t>
            </w:r>
            <w:r>
              <w:rPr>
                <w:spacing w:val="18"/>
                <w:w w:val="120"/>
                <w:sz w:val="20"/>
              </w:rPr>
              <w:t> </w:t>
            </w:r>
            <w:r>
              <w:rPr>
                <w:w w:val="120"/>
                <w:sz w:val="20"/>
              </w:rPr>
              <w:t>projects.</w:t>
            </w:r>
          </w:p>
          <w:p>
            <w:pPr>
              <w:pStyle w:val="TableParagraph"/>
              <w:numPr>
                <w:ilvl w:val="0"/>
                <w:numId w:val="26"/>
              </w:numPr>
              <w:tabs>
                <w:tab w:pos="307" w:val="left" w:leader="none"/>
              </w:tabs>
              <w:spacing w:line="216" w:lineRule="auto" w:before="0" w:after="0"/>
              <w:ind w:left="306" w:right="544" w:hanging="227"/>
              <w:jc w:val="left"/>
              <w:rPr>
                <w:sz w:val="20"/>
              </w:rPr>
            </w:pPr>
            <w:r>
              <w:rPr>
                <w:w w:val="120"/>
                <w:sz w:val="20"/>
              </w:rPr>
              <w:t>Speaking with confidence about the </w:t>
            </w:r>
            <w:r>
              <w:rPr>
                <w:spacing w:val="2"/>
                <w:w w:val="120"/>
                <w:sz w:val="20"/>
              </w:rPr>
              <w:t>gifts </w:t>
            </w:r>
            <w:r>
              <w:rPr>
                <w:w w:val="120"/>
                <w:sz w:val="20"/>
              </w:rPr>
              <w:t>of our</w:t>
            </w:r>
            <w:r>
              <w:rPr>
                <w:spacing w:val="20"/>
                <w:w w:val="120"/>
                <w:sz w:val="20"/>
              </w:rPr>
              <w:t> </w:t>
            </w:r>
            <w:r>
              <w:rPr>
                <w:w w:val="120"/>
                <w:sz w:val="20"/>
              </w:rPr>
              <w:t>URC</w:t>
            </w:r>
          </w:p>
          <w:p>
            <w:pPr>
              <w:pStyle w:val="TableParagraph"/>
              <w:spacing w:line="243" w:lineRule="exact"/>
              <w:ind w:left="306"/>
              <w:rPr>
                <w:sz w:val="20"/>
              </w:rPr>
            </w:pPr>
            <w:r>
              <w:rPr>
                <w:w w:val="120"/>
                <w:sz w:val="20"/>
              </w:rPr>
              <w:t>tradition.</w:t>
            </w:r>
          </w:p>
        </w:tc>
        <w:tc>
          <w:tcPr>
            <w:tcW w:w="3024" w:type="dxa"/>
          </w:tcPr>
          <w:p>
            <w:pPr>
              <w:pStyle w:val="TableParagraph"/>
              <w:numPr>
                <w:ilvl w:val="0"/>
                <w:numId w:val="27"/>
              </w:numPr>
              <w:tabs>
                <w:tab w:pos="307" w:val="left" w:leader="none"/>
              </w:tabs>
              <w:spacing w:line="216" w:lineRule="auto" w:before="123" w:after="0"/>
              <w:ind w:left="306" w:right="69" w:hanging="227"/>
              <w:jc w:val="left"/>
              <w:rPr>
                <w:sz w:val="20"/>
              </w:rPr>
            </w:pPr>
            <w:r>
              <w:rPr>
                <w:w w:val="120"/>
                <w:sz w:val="20"/>
              </w:rPr>
              <w:t>The number of ecumenical partnerships appropriate to the synod’s</w:t>
            </w:r>
            <w:r>
              <w:rPr>
                <w:spacing w:val="7"/>
                <w:w w:val="120"/>
                <w:sz w:val="20"/>
              </w:rPr>
              <w:t> </w:t>
            </w:r>
            <w:r>
              <w:rPr>
                <w:w w:val="120"/>
                <w:sz w:val="20"/>
              </w:rPr>
              <w:t>context.</w:t>
            </w:r>
          </w:p>
          <w:p>
            <w:pPr>
              <w:pStyle w:val="TableParagraph"/>
              <w:numPr>
                <w:ilvl w:val="0"/>
                <w:numId w:val="27"/>
              </w:numPr>
              <w:tabs>
                <w:tab w:pos="307" w:val="left" w:leader="none"/>
              </w:tabs>
              <w:spacing w:line="216" w:lineRule="auto" w:before="0" w:after="0"/>
              <w:ind w:left="306" w:right="86" w:hanging="227"/>
              <w:jc w:val="left"/>
              <w:rPr>
                <w:sz w:val="20"/>
              </w:rPr>
            </w:pPr>
            <w:r>
              <w:rPr>
                <w:w w:val="120"/>
                <w:sz w:val="20"/>
              </w:rPr>
              <w:t>Opportunities provided to learn about our different traditions with</w:t>
            </w:r>
            <w:r>
              <w:rPr>
                <w:spacing w:val="7"/>
                <w:w w:val="120"/>
                <w:sz w:val="20"/>
              </w:rPr>
              <w:t> </w:t>
            </w:r>
            <w:r>
              <w:rPr>
                <w:w w:val="120"/>
                <w:sz w:val="20"/>
              </w:rPr>
              <w:t>Christian</w:t>
            </w:r>
          </w:p>
          <w:p>
            <w:pPr>
              <w:pStyle w:val="TableParagraph"/>
              <w:spacing w:line="226" w:lineRule="exact"/>
              <w:ind w:left="306"/>
              <w:rPr>
                <w:sz w:val="20"/>
              </w:rPr>
            </w:pPr>
            <w:r>
              <w:rPr>
                <w:w w:val="120"/>
                <w:sz w:val="20"/>
              </w:rPr>
              <w:t>ecumenical partners.</w:t>
            </w:r>
          </w:p>
          <w:p>
            <w:pPr>
              <w:pStyle w:val="TableParagraph"/>
              <w:numPr>
                <w:ilvl w:val="0"/>
                <w:numId w:val="27"/>
              </w:numPr>
              <w:tabs>
                <w:tab w:pos="307" w:val="left" w:leader="none"/>
              </w:tabs>
              <w:spacing w:line="216" w:lineRule="auto" w:before="0" w:after="0"/>
              <w:ind w:left="306" w:right="160" w:hanging="227"/>
              <w:jc w:val="left"/>
              <w:rPr>
                <w:sz w:val="20"/>
              </w:rPr>
            </w:pPr>
            <w:r>
              <w:rPr>
                <w:w w:val="120"/>
                <w:sz w:val="20"/>
              </w:rPr>
              <w:t>Activities for children and young people to meet with others from</w:t>
            </w:r>
            <w:r>
              <w:rPr>
                <w:spacing w:val="-22"/>
                <w:w w:val="120"/>
                <w:sz w:val="20"/>
              </w:rPr>
              <w:t> </w:t>
            </w:r>
            <w:r>
              <w:rPr>
                <w:w w:val="120"/>
                <w:sz w:val="20"/>
              </w:rPr>
              <w:t>different</w:t>
            </w:r>
          </w:p>
          <w:p>
            <w:pPr>
              <w:pStyle w:val="TableParagraph"/>
              <w:spacing w:line="243" w:lineRule="exact"/>
              <w:ind w:left="306"/>
              <w:rPr>
                <w:sz w:val="20"/>
              </w:rPr>
            </w:pPr>
            <w:r>
              <w:rPr>
                <w:w w:val="120"/>
                <w:sz w:val="20"/>
              </w:rPr>
              <w:t>Christian traditions.</w:t>
            </w:r>
          </w:p>
        </w:tc>
        <w:tc>
          <w:tcPr>
            <w:tcW w:w="2943" w:type="dxa"/>
          </w:tcPr>
          <w:p>
            <w:pPr>
              <w:pStyle w:val="TableParagraph"/>
              <w:numPr>
                <w:ilvl w:val="0"/>
                <w:numId w:val="28"/>
              </w:numPr>
              <w:tabs>
                <w:tab w:pos="307" w:val="left" w:leader="none"/>
              </w:tabs>
              <w:spacing w:line="196" w:lineRule="auto" w:before="140" w:after="0"/>
              <w:ind w:left="306" w:right="265" w:hanging="227"/>
              <w:jc w:val="left"/>
              <w:rPr>
                <w:sz w:val="20"/>
              </w:rPr>
            </w:pPr>
            <w:r>
              <w:rPr>
                <w:w w:val="120"/>
                <w:sz w:val="20"/>
              </w:rPr>
              <w:t>Opportunities provided to learn about</w:t>
            </w:r>
            <w:r>
              <w:rPr>
                <w:spacing w:val="5"/>
                <w:w w:val="120"/>
                <w:sz w:val="20"/>
              </w:rPr>
              <w:t> </w:t>
            </w:r>
            <w:r>
              <w:rPr>
                <w:w w:val="120"/>
                <w:sz w:val="20"/>
              </w:rPr>
              <w:t>our</w:t>
            </w:r>
          </w:p>
          <w:p>
            <w:pPr>
              <w:pStyle w:val="TableParagraph"/>
              <w:spacing w:line="235" w:lineRule="auto" w:before="11"/>
              <w:ind w:left="306"/>
              <w:rPr>
                <w:sz w:val="20"/>
              </w:rPr>
            </w:pPr>
            <w:r>
              <w:rPr>
                <w:w w:val="120"/>
                <w:sz w:val="20"/>
              </w:rPr>
              <w:t>different traditions with Christian ecumenical partners.</w:t>
            </w:r>
          </w:p>
          <w:p>
            <w:pPr>
              <w:pStyle w:val="TableParagraph"/>
              <w:numPr>
                <w:ilvl w:val="0"/>
                <w:numId w:val="28"/>
              </w:numPr>
              <w:tabs>
                <w:tab w:pos="307" w:val="left" w:leader="none"/>
              </w:tabs>
              <w:spacing w:line="216" w:lineRule="auto" w:before="0" w:after="0"/>
              <w:ind w:left="306" w:right="116" w:hanging="227"/>
              <w:jc w:val="left"/>
              <w:rPr>
                <w:sz w:val="20"/>
              </w:rPr>
            </w:pPr>
            <w:r>
              <w:rPr>
                <w:w w:val="120"/>
                <w:sz w:val="20"/>
              </w:rPr>
              <w:t>The amount of Assembly- level activity and resourcing carried</w:t>
            </w:r>
            <w:r>
              <w:rPr>
                <w:spacing w:val="11"/>
                <w:w w:val="120"/>
                <w:sz w:val="20"/>
              </w:rPr>
              <w:t> </w:t>
            </w:r>
            <w:r>
              <w:rPr>
                <w:w w:val="120"/>
                <w:sz w:val="20"/>
              </w:rPr>
              <w:t>out</w:t>
            </w:r>
          </w:p>
          <w:p>
            <w:pPr>
              <w:pStyle w:val="TableParagraph"/>
              <w:spacing w:line="235" w:lineRule="auto"/>
              <w:ind w:left="306"/>
              <w:rPr>
                <w:sz w:val="20"/>
              </w:rPr>
            </w:pPr>
            <w:r>
              <w:rPr>
                <w:w w:val="120"/>
                <w:sz w:val="20"/>
              </w:rPr>
              <w:t>in partnership with ecumenical partners.</w:t>
            </w:r>
          </w:p>
          <w:p>
            <w:pPr>
              <w:pStyle w:val="TableParagraph"/>
              <w:numPr>
                <w:ilvl w:val="0"/>
                <w:numId w:val="28"/>
              </w:numPr>
              <w:tabs>
                <w:tab w:pos="307" w:val="left" w:leader="none"/>
              </w:tabs>
              <w:spacing w:line="216" w:lineRule="auto" w:before="0" w:after="0"/>
              <w:ind w:left="306" w:right="337" w:hanging="227"/>
              <w:jc w:val="left"/>
              <w:rPr>
                <w:sz w:val="20"/>
              </w:rPr>
            </w:pPr>
            <w:r>
              <w:rPr>
                <w:w w:val="120"/>
                <w:sz w:val="20"/>
              </w:rPr>
              <w:t>Demonstrating clear links between our national, European</w:t>
            </w:r>
            <w:r>
              <w:rPr>
                <w:spacing w:val="2"/>
                <w:w w:val="120"/>
                <w:sz w:val="20"/>
              </w:rPr>
              <w:t> </w:t>
            </w:r>
            <w:r>
              <w:rPr>
                <w:w w:val="120"/>
                <w:sz w:val="20"/>
              </w:rPr>
              <w:t>and</w:t>
            </w:r>
          </w:p>
          <w:p>
            <w:pPr>
              <w:pStyle w:val="TableParagraph"/>
              <w:spacing w:line="235" w:lineRule="auto"/>
              <w:ind w:left="306" w:right="178"/>
              <w:rPr>
                <w:sz w:val="20"/>
              </w:rPr>
            </w:pPr>
            <w:r>
              <w:rPr>
                <w:w w:val="120"/>
                <w:sz w:val="20"/>
              </w:rPr>
              <w:t>international ecumenical partnerships and the ministry and mission of our local churches.</w:t>
            </w:r>
          </w:p>
        </w:tc>
      </w:tr>
    </w:tbl>
    <w:p>
      <w:pPr>
        <w:spacing w:after="0" w:line="235" w:lineRule="auto"/>
        <w:rPr>
          <w:sz w:val="20"/>
        </w:rPr>
        <w:sectPr>
          <w:pgSz w:w="11910" w:h="16840"/>
          <w:pgMar w:header="0" w:footer="600" w:top="1140" w:bottom="800" w:left="0" w:right="0"/>
        </w:sectPr>
      </w:pPr>
    </w:p>
    <w:p>
      <w:pPr>
        <w:spacing w:before="20"/>
        <w:ind w:left="1984" w:right="0" w:firstLine="0"/>
        <w:jc w:val="left"/>
        <w:rPr>
          <w:rFonts w:ascii="Stone Sans II ITC Std Bk"/>
          <w:b/>
          <w:sz w:val="29"/>
        </w:rPr>
      </w:pPr>
      <w:r>
        <w:rPr/>
        <w:pict>
          <v:rect style="position:absolute;margin-left:558.424988pt;margin-top:5.264775pt;width:22.677pt;height:22.677pt;mso-position-horizontal-relative:page;mso-position-vertical-relative:paragraph;z-index:251758592" filled="true" fillcolor="#f9e9c1" stroked="false">
            <v:fill opacity="32768f" type="solid"/>
            <w10:wrap type="none"/>
          </v:rect>
        </w:pict>
      </w:r>
      <w:r>
        <w:rPr/>
        <w:pict>
          <v:line style="position:absolute;mso-position-horizontal-relative:page;mso-position-vertical-relative:page;z-index:251759616" from="78.870102pt,59.687416pt" to="78.870102pt,797.873416pt" stroked="true" strokeweight="1pt" strokecolor="#868685">
            <v:stroke dashstyle="dot"/>
            <w10:wrap type="none"/>
          </v:line>
        </w:pict>
      </w:r>
      <w:r>
        <w:rPr/>
        <w:drawing>
          <wp:anchor distT="0" distB="0" distL="0" distR="0" allowOverlap="1" layoutInCell="1" locked="0" behindDoc="1" simplePos="0" relativeHeight="235653120">
            <wp:simplePos x="0" y="0"/>
            <wp:positionH relativeFrom="page">
              <wp:posOffset>1271994</wp:posOffset>
            </wp:positionH>
            <wp:positionV relativeFrom="page">
              <wp:posOffset>6834594</wp:posOffset>
            </wp:positionV>
            <wp:extent cx="5760556" cy="742950"/>
            <wp:effectExtent l="0" t="0" r="0" b="0"/>
            <wp:wrapNone/>
            <wp:docPr id="39" name="image41.png"/>
            <wp:cNvGraphicFramePr>
              <a:graphicFrameLocks noChangeAspect="1"/>
            </wp:cNvGraphicFramePr>
            <a:graphic>
              <a:graphicData uri="http://schemas.openxmlformats.org/drawingml/2006/picture">
                <pic:pic>
                  <pic:nvPicPr>
                    <pic:cNvPr id="40" name="image41.png"/>
                    <pic:cNvPicPr/>
                  </pic:nvPicPr>
                  <pic:blipFill>
                    <a:blip r:embed="rId77" cstate="print"/>
                    <a:stretch>
                      <a:fillRect/>
                    </a:stretch>
                  </pic:blipFill>
                  <pic:spPr>
                    <a:xfrm>
                      <a:off x="0" y="0"/>
                      <a:ext cx="5760556" cy="742950"/>
                    </a:xfrm>
                    <a:prstGeom prst="rect">
                      <a:avLst/>
                    </a:prstGeom>
                  </pic:spPr>
                </pic:pic>
              </a:graphicData>
            </a:graphic>
          </wp:anchor>
        </w:drawing>
      </w:r>
      <w:r>
        <w:rPr>
          <w:rFonts w:ascii="Stone Sans II ITC Std Bk"/>
          <w:b/>
          <w:color w:val="CA4F1B"/>
          <w:w w:val="110"/>
          <w:sz w:val="29"/>
        </w:rPr>
        <w:t>Statement 4: </w:t>
      </w:r>
      <w:r>
        <w:rPr>
          <w:rFonts w:ascii="Stone Sans II ITC Std Bk"/>
          <w:b/>
          <w:w w:val="110"/>
          <w:sz w:val="29"/>
        </w:rPr>
        <w:t>Community partnerships</w:t>
      </w:r>
    </w:p>
    <w:p>
      <w:pPr>
        <w:spacing w:before="179"/>
        <w:ind w:left="1984" w:right="0" w:firstLine="0"/>
        <w:jc w:val="left"/>
        <w:rPr>
          <w:rFonts w:ascii="Stone Sans II ITC Std Bk"/>
          <w:b/>
          <w:sz w:val="20"/>
        </w:rPr>
      </w:pPr>
      <w:r>
        <w:rPr>
          <w:rFonts w:ascii="Stone Sans II ITC Std Bk"/>
          <w:b/>
          <w:w w:val="110"/>
          <w:sz w:val="20"/>
        </w:rPr>
        <w:t>We will be a Church that is more active in the life of local neighbourhoods.</w:t>
      </w:r>
    </w:p>
    <w:p>
      <w:pPr>
        <w:pStyle w:val="BodyText"/>
        <w:spacing w:before="6"/>
        <w:rPr>
          <w:rFonts w:ascii="Stone Sans II ITC Std Bk"/>
          <w:b/>
          <w:sz w:val="16"/>
        </w:rPr>
      </w:pPr>
    </w:p>
    <w:p>
      <w:pPr>
        <w:pStyle w:val="BodyText"/>
        <w:spacing w:line="242" w:lineRule="exact"/>
        <w:ind w:left="1984"/>
      </w:pPr>
      <w:r>
        <w:rPr>
          <w:w w:val="120"/>
        </w:rPr>
        <w:t>Many churches already have strong and long-standing links with their local communities</w:t>
      </w:r>
    </w:p>
    <w:p>
      <w:pPr>
        <w:pStyle w:val="ListParagraph"/>
        <w:numPr>
          <w:ilvl w:val="0"/>
          <w:numId w:val="29"/>
        </w:numPr>
        <w:tabs>
          <w:tab w:pos="2169" w:val="left" w:leader="none"/>
        </w:tabs>
        <w:spacing w:line="235" w:lineRule="auto" w:before="2" w:after="0"/>
        <w:ind w:left="1984" w:right="1199" w:firstLine="0"/>
        <w:jc w:val="left"/>
        <w:rPr>
          <w:sz w:val="20"/>
        </w:rPr>
      </w:pPr>
      <w:r>
        <w:rPr>
          <w:w w:val="120"/>
          <w:sz w:val="20"/>
        </w:rPr>
        <w:t>but others have become gathered congregations with little connection to the places where they meet to worship. An incarnational understanding of mission calls us to</w:t>
      </w:r>
      <w:r>
        <w:rPr>
          <w:spacing w:val="30"/>
          <w:w w:val="120"/>
          <w:sz w:val="20"/>
        </w:rPr>
        <w:t> </w:t>
      </w:r>
      <w:r>
        <w:rPr>
          <w:w w:val="120"/>
          <w:sz w:val="20"/>
        </w:rPr>
        <w:t>shape</w:t>
      </w:r>
    </w:p>
    <w:p>
      <w:pPr>
        <w:pStyle w:val="ListParagraph"/>
        <w:numPr>
          <w:ilvl w:val="0"/>
          <w:numId w:val="29"/>
        </w:numPr>
        <w:tabs>
          <w:tab w:pos="2169" w:val="left" w:leader="none"/>
        </w:tabs>
        <w:spacing w:line="235" w:lineRule="auto" w:before="1" w:after="0"/>
        <w:ind w:left="1984" w:right="1314" w:firstLine="0"/>
        <w:jc w:val="left"/>
        <w:rPr>
          <w:sz w:val="20"/>
        </w:rPr>
      </w:pPr>
      <w:r>
        <w:rPr>
          <w:w w:val="120"/>
          <w:sz w:val="20"/>
        </w:rPr>
        <w:t>and to be shaped – by the communities in which we worship and serve. We want to encourage local churches to get involved in their local neighbourhoods in new ways, being creative and taking risks in forming active partnerships with other local agencies, working with people of other faiths in the area to seek the benefit of those that live or work in the</w:t>
      </w:r>
      <w:r>
        <w:rPr>
          <w:spacing w:val="5"/>
          <w:w w:val="120"/>
          <w:sz w:val="20"/>
        </w:rPr>
        <w:t> </w:t>
      </w:r>
      <w:r>
        <w:rPr>
          <w:w w:val="120"/>
          <w:sz w:val="20"/>
        </w:rPr>
        <w:t>area.</w:t>
      </w:r>
    </w:p>
    <w:p>
      <w:pPr>
        <w:pStyle w:val="BodyText"/>
        <w:rPr>
          <w:sz w:val="24"/>
        </w:rPr>
      </w:pPr>
    </w:p>
    <w:p>
      <w:pPr>
        <w:spacing w:before="175"/>
        <w:ind w:left="1984" w:right="0" w:firstLine="0"/>
        <w:jc w:val="left"/>
        <w:rPr>
          <w:rFonts w:ascii="Stone Sans II ITC Std Bk"/>
          <w:b/>
          <w:i/>
          <w:sz w:val="20"/>
        </w:rPr>
      </w:pPr>
      <w:r>
        <w:rPr>
          <w:rFonts w:ascii="Stone Sans II ITC Std Bk"/>
          <w:b/>
          <w:i/>
          <w:w w:val="110"/>
          <w:sz w:val="20"/>
        </w:rPr>
        <w:t>Some suggested indicators:</w:t>
      </w:r>
    </w:p>
    <w:p>
      <w:pPr>
        <w:pStyle w:val="BodyText"/>
        <w:spacing w:before="9"/>
        <w:rPr>
          <w:rFonts w:ascii="Stone Sans II ITC Std Bk"/>
          <w:b/>
          <w:i/>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40"/>
        <w:gridCol w:w="3040"/>
        <w:gridCol w:w="2909"/>
      </w:tblGrid>
      <w:tr>
        <w:trPr>
          <w:trHeight w:val="373" w:hRule="atLeast"/>
        </w:trPr>
        <w:tc>
          <w:tcPr>
            <w:tcW w:w="3140"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3040"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Synod Indicators</w:t>
            </w:r>
          </w:p>
        </w:tc>
        <w:tc>
          <w:tcPr>
            <w:tcW w:w="2909"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Assembly Indicators</w:t>
            </w:r>
          </w:p>
        </w:tc>
      </w:tr>
      <w:tr>
        <w:trPr>
          <w:trHeight w:val="6396" w:hRule="atLeast"/>
        </w:trPr>
        <w:tc>
          <w:tcPr>
            <w:tcW w:w="3140" w:type="dxa"/>
          </w:tcPr>
          <w:p>
            <w:pPr>
              <w:pStyle w:val="TableParagraph"/>
              <w:numPr>
                <w:ilvl w:val="0"/>
                <w:numId w:val="30"/>
              </w:numPr>
              <w:tabs>
                <w:tab w:pos="307" w:val="left" w:leader="none"/>
              </w:tabs>
              <w:spacing w:line="216" w:lineRule="auto" w:before="123" w:after="0"/>
              <w:ind w:left="306" w:right="471" w:hanging="227"/>
              <w:jc w:val="left"/>
              <w:rPr>
                <w:sz w:val="20"/>
              </w:rPr>
            </w:pPr>
            <w:r>
              <w:rPr>
                <w:w w:val="120"/>
                <w:sz w:val="20"/>
              </w:rPr>
              <w:t>Playing an active role to run or support a local community</w:t>
            </w:r>
            <w:r>
              <w:rPr>
                <w:spacing w:val="5"/>
                <w:w w:val="120"/>
                <w:sz w:val="20"/>
              </w:rPr>
              <w:t> </w:t>
            </w:r>
            <w:r>
              <w:rPr>
                <w:w w:val="120"/>
                <w:sz w:val="20"/>
              </w:rPr>
              <w:t>project.</w:t>
            </w:r>
          </w:p>
          <w:p>
            <w:pPr>
              <w:pStyle w:val="TableParagraph"/>
              <w:numPr>
                <w:ilvl w:val="0"/>
                <w:numId w:val="30"/>
              </w:numPr>
              <w:tabs>
                <w:tab w:pos="307" w:val="left" w:leader="none"/>
              </w:tabs>
              <w:spacing w:line="216" w:lineRule="auto" w:before="0" w:after="0"/>
              <w:ind w:left="306" w:right="366" w:hanging="227"/>
              <w:jc w:val="both"/>
              <w:rPr>
                <w:sz w:val="20"/>
              </w:rPr>
            </w:pPr>
            <w:r>
              <w:rPr>
                <w:w w:val="120"/>
                <w:sz w:val="20"/>
              </w:rPr>
              <w:t>The number of members actively involved in local civic and political</w:t>
            </w:r>
            <w:r>
              <w:rPr>
                <w:spacing w:val="15"/>
                <w:w w:val="120"/>
                <w:sz w:val="20"/>
              </w:rPr>
              <w:t> </w:t>
            </w:r>
            <w:r>
              <w:rPr>
                <w:w w:val="120"/>
                <w:sz w:val="20"/>
              </w:rPr>
              <w:t>life.</w:t>
            </w:r>
          </w:p>
          <w:p>
            <w:pPr>
              <w:pStyle w:val="TableParagraph"/>
              <w:numPr>
                <w:ilvl w:val="0"/>
                <w:numId w:val="30"/>
              </w:numPr>
              <w:tabs>
                <w:tab w:pos="307" w:val="left" w:leader="none"/>
              </w:tabs>
              <w:spacing w:line="196" w:lineRule="auto" w:before="0" w:after="0"/>
              <w:ind w:left="306" w:right="157" w:hanging="227"/>
              <w:jc w:val="both"/>
              <w:rPr>
                <w:sz w:val="20"/>
              </w:rPr>
            </w:pPr>
            <w:r>
              <w:rPr>
                <w:w w:val="120"/>
                <w:sz w:val="20"/>
              </w:rPr>
              <w:t>Support given to members working or</w:t>
            </w:r>
            <w:r>
              <w:rPr>
                <w:spacing w:val="17"/>
                <w:w w:val="120"/>
                <w:sz w:val="20"/>
              </w:rPr>
              <w:t> </w:t>
            </w:r>
            <w:r>
              <w:rPr>
                <w:w w:val="120"/>
                <w:sz w:val="20"/>
              </w:rPr>
              <w:t>volunteering</w:t>
            </w:r>
          </w:p>
          <w:p>
            <w:pPr>
              <w:pStyle w:val="TableParagraph"/>
              <w:spacing w:line="235" w:lineRule="auto" w:before="9"/>
              <w:ind w:left="306" w:right="274"/>
              <w:jc w:val="both"/>
              <w:rPr>
                <w:sz w:val="20"/>
              </w:rPr>
            </w:pPr>
            <w:r>
              <w:rPr>
                <w:w w:val="120"/>
                <w:sz w:val="20"/>
              </w:rPr>
              <w:t>in local community-based organisations.</w:t>
            </w:r>
          </w:p>
          <w:p>
            <w:pPr>
              <w:pStyle w:val="TableParagraph"/>
              <w:numPr>
                <w:ilvl w:val="0"/>
                <w:numId w:val="30"/>
              </w:numPr>
              <w:tabs>
                <w:tab w:pos="307" w:val="left" w:leader="none"/>
              </w:tabs>
              <w:spacing w:line="216" w:lineRule="auto" w:before="0" w:after="0"/>
              <w:ind w:left="306" w:right="490" w:hanging="227"/>
              <w:jc w:val="both"/>
              <w:rPr>
                <w:sz w:val="20"/>
              </w:rPr>
            </w:pPr>
            <w:r>
              <w:rPr>
                <w:w w:val="120"/>
                <w:sz w:val="20"/>
              </w:rPr>
              <w:t>Playing an active role in work with children and young people</w:t>
            </w:r>
            <w:r>
              <w:rPr>
                <w:spacing w:val="-12"/>
                <w:w w:val="120"/>
                <w:sz w:val="20"/>
              </w:rPr>
              <w:t> </w:t>
            </w:r>
            <w:r>
              <w:rPr>
                <w:w w:val="120"/>
                <w:sz w:val="20"/>
              </w:rPr>
              <w:t>‘outside’</w:t>
            </w:r>
          </w:p>
          <w:p>
            <w:pPr>
              <w:pStyle w:val="TableParagraph"/>
              <w:spacing w:line="226" w:lineRule="exact"/>
              <w:ind w:left="306"/>
              <w:jc w:val="both"/>
              <w:rPr>
                <w:sz w:val="20"/>
              </w:rPr>
            </w:pPr>
            <w:r>
              <w:rPr>
                <w:w w:val="120"/>
                <w:sz w:val="20"/>
              </w:rPr>
              <w:t>the church.</w:t>
            </w:r>
          </w:p>
          <w:p>
            <w:pPr>
              <w:pStyle w:val="TableParagraph"/>
              <w:numPr>
                <w:ilvl w:val="0"/>
                <w:numId w:val="30"/>
              </w:numPr>
              <w:tabs>
                <w:tab w:pos="307" w:val="left" w:leader="none"/>
              </w:tabs>
              <w:spacing w:line="216" w:lineRule="auto" w:before="0" w:after="0"/>
              <w:ind w:left="306" w:right="129" w:hanging="227"/>
              <w:jc w:val="left"/>
              <w:rPr>
                <w:sz w:val="20"/>
              </w:rPr>
            </w:pPr>
            <w:r>
              <w:rPr>
                <w:w w:val="120"/>
                <w:sz w:val="20"/>
              </w:rPr>
              <w:t>Having a ‘buildings’ policy’ that encourages local groups who share</w:t>
            </w:r>
            <w:r>
              <w:rPr>
                <w:spacing w:val="9"/>
                <w:w w:val="120"/>
                <w:sz w:val="20"/>
              </w:rPr>
              <w:t> </w:t>
            </w:r>
            <w:r>
              <w:rPr>
                <w:w w:val="120"/>
                <w:sz w:val="20"/>
              </w:rPr>
              <w:t>our</w:t>
            </w:r>
          </w:p>
          <w:p>
            <w:pPr>
              <w:pStyle w:val="TableParagraph"/>
              <w:spacing w:line="243" w:lineRule="exact"/>
              <w:ind w:left="306"/>
              <w:rPr>
                <w:sz w:val="20"/>
              </w:rPr>
            </w:pPr>
            <w:r>
              <w:rPr>
                <w:w w:val="120"/>
                <w:sz w:val="20"/>
              </w:rPr>
              <w:t>values and concerns.</w:t>
            </w:r>
          </w:p>
        </w:tc>
        <w:tc>
          <w:tcPr>
            <w:tcW w:w="3040" w:type="dxa"/>
          </w:tcPr>
          <w:p>
            <w:pPr>
              <w:pStyle w:val="TableParagraph"/>
              <w:numPr>
                <w:ilvl w:val="0"/>
                <w:numId w:val="31"/>
              </w:numPr>
              <w:tabs>
                <w:tab w:pos="307" w:val="left" w:leader="none"/>
              </w:tabs>
              <w:spacing w:line="196" w:lineRule="auto" w:before="140" w:after="0"/>
              <w:ind w:left="306" w:right="313" w:hanging="227"/>
              <w:jc w:val="left"/>
              <w:rPr>
                <w:sz w:val="20"/>
              </w:rPr>
            </w:pPr>
            <w:r>
              <w:rPr>
                <w:w w:val="120"/>
                <w:sz w:val="20"/>
              </w:rPr>
              <w:t>The number of churches running some form</w:t>
            </w:r>
            <w:r>
              <w:rPr>
                <w:spacing w:val="11"/>
                <w:w w:val="120"/>
                <w:sz w:val="20"/>
              </w:rPr>
              <w:t> </w:t>
            </w:r>
            <w:r>
              <w:rPr>
                <w:w w:val="120"/>
                <w:sz w:val="20"/>
              </w:rPr>
              <w:t>of</w:t>
            </w:r>
          </w:p>
          <w:p>
            <w:pPr>
              <w:pStyle w:val="TableParagraph"/>
              <w:spacing w:line="235" w:lineRule="auto" w:before="11"/>
              <w:ind w:left="306" w:right="166"/>
              <w:rPr>
                <w:sz w:val="20"/>
              </w:rPr>
            </w:pPr>
            <w:r>
              <w:rPr>
                <w:w w:val="120"/>
                <w:sz w:val="20"/>
              </w:rPr>
              <w:t>community project or working in partnership with other local agencies.</w:t>
            </w:r>
          </w:p>
          <w:p>
            <w:pPr>
              <w:pStyle w:val="TableParagraph"/>
              <w:numPr>
                <w:ilvl w:val="0"/>
                <w:numId w:val="31"/>
              </w:numPr>
              <w:tabs>
                <w:tab w:pos="307" w:val="left" w:leader="none"/>
              </w:tabs>
              <w:spacing w:line="216" w:lineRule="auto" w:before="0" w:after="0"/>
              <w:ind w:left="306" w:right="202" w:hanging="227"/>
              <w:jc w:val="left"/>
              <w:rPr>
                <w:sz w:val="20"/>
              </w:rPr>
            </w:pPr>
            <w:r>
              <w:rPr>
                <w:w w:val="120"/>
                <w:sz w:val="20"/>
              </w:rPr>
              <w:t>Direct support through grants, training or other resources for</w:t>
            </w:r>
            <w:r>
              <w:rPr>
                <w:spacing w:val="-11"/>
                <w:w w:val="120"/>
                <w:sz w:val="20"/>
              </w:rPr>
              <w:t> </w:t>
            </w:r>
            <w:r>
              <w:rPr>
                <w:w w:val="120"/>
                <w:sz w:val="20"/>
              </w:rPr>
              <w:t>community-</w:t>
            </w:r>
          </w:p>
          <w:p>
            <w:pPr>
              <w:pStyle w:val="TableParagraph"/>
              <w:spacing w:line="226" w:lineRule="exact"/>
              <w:ind w:left="306"/>
              <w:rPr>
                <w:sz w:val="20"/>
              </w:rPr>
            </w:pPr>
            <w:r>
              <w:rPr>
                <w:w w:val="120"/>
                <w:sz w:val="20"/>
              </w:rPr>
              <w:t>based mission.</w:t>
            </w:r>
          </w:p>
          <w:p>
            <w:pPr>
              <w:pStyle w:val="TableParagraph"/>
              <w:numPr>
                <w:ilvl w:val="0"/>
                <w:numId w:val="31"/>
              </w:numPr>
              <w:tabs>
                <w:tab w:pos="307" w:val="left" w:leader="none"/>
              </w:tabs>
              <w:spacing w:line="216" w:lineRule="auto" w:before="0" w:after="0"/>
              <w:ind w:left="306" w:right="88" w:hanging="227"/>
              <w:jc w:val="left"/>
              <w:rPr>
                <w:sz w:val="20"/>
              </w:rPr>
            </w:pPr>
            <w:r>
              <w:rPr>
                <w:w w:val="120"/>
                <w:sz w:val="20"/>
              </w:rPr>
              <w:t>Involvement with other regionally-based initiatives addressing</w:t>
            </w:r>
            <w:r>
              <w:rPr>
                <w:spacing w:val="3"/>
                <w:w w:val="120"/>
                <w:sz w:val="20"/>
              </w:rPr>
              <w:t> </w:t>
            </w:r>
            <w:r>
              <w:rPr>
                <w:w w:val="120"/>
                <w:sz w:val="20"/>
              </w:rPr>
              <w:t>wider</w:t>
            </w:r>
          </w:p>
          <w:p>
            <w:pPr>
              <w:pStyle w:val="TableParagraph"/>
              <w:spacing w:line="235" w:lineRule="auto"/>
              <w:ind w:left="306" w:right="166"/>
              <w:rPr>
                <w:sz w:val="20"/>
              </w:rPr>
            </w:pPr>
            <w:r>
              <w:rPr>
                <w:w w:val="120"/>
                <w:sz w:val="20"/>
              </w:rPr>
              <w:t>social, economic and environmental issues, e.g. Regional Development Agencies.</w:t>
            </w:r>
          </w:p>
        </w:tc>
        <w:tc>
          <w:tcPr>
            <w:tcW w:w="2909" w:type="dxa"/>
          </w:tcPr>
          <w:p>
            <w:pPr>
              <w:pStyle w:val="TableParagraph"/>
              <w:numPr>
                <w:ilvl w:val="0"/>
                <w:numId w:val="32"/>
              </w:numPr>
              <w:tabs>
                <w:tab w:pos="307" w:val="left" w:leader="none"/>
              </w:tabs>
              <w:spacing w:line="196" w:lineRule="auto" w:before="140" w:after="0"/>
              <w:ind w:left="306" w:right="71" w:hanging="227"/>
              <w:jc w:val="left"/>
              <w:rPr>
                <w:sz w:val="20"/>
              </w:rPr>
            </w:pPr>
            <w:r>
              <w:rPr>
                <w:w w:val="120"/>
                <w:sz w:val="20"/>
              </w:rPr>
              <w:t>Direct support through grants, training or</w:t>
            </w:r>
            <w:r>
              <w:rPr>
                <w:spacing w:val="19"/>
                <w:w w:val="120"/>
                <w:sz w:val="20"/>
              </w:rPr>
              <w:t> </w:t>
            </w:r>
            <w:r>
              <w:rPr>
                <w:w w:val="120"/>
                <w:sz w:val="20"/>
              </w:rPr>
              <w:t>other</w:t>
            </w:r>
          </w:p>
          <w:p>
            <w:pPr>
              <w:pStyle w:val="TableParagraph"/>
              <w:spacing w:line="235" w:lineRule="auto" w:before="11"/>
              <w:ind w:left="306" w:right="51"/>
              <w:rPr>
                <w:sz w:val="20"/>
              </w:rPr>
            </w:pPr>
            <w:r>
              <w:rPr>
                <w:w w:val="120"/>
                <w:sz w:val="20"/>
              </w:rPr>
              <w:t>resources for community- based mission.</w:t>
            </w:r>
          </w:p>
          <w:p>
            <w:pPr>
              <w:pStyle w:val="TableParagraph"/>
              <w:numPr>
                <w:ilvl w:val="0"/>
                <w:numId w:val="32"/>
              </w:numPr>
              <w:tabs>
                <w:tab w:pos="307" w:val="left" w:leader="none"/>
              </w:tabs>
              <w:spacing w:line="216" w:lineRule="auto" w:before="0" w:after="0"/>
              <w:ind w:left="306" w:right="279" w:hanging="227"/>
              <w:jc w:val="left"/>
              <w:rPr>
                <w:sz w:val="20"/>
              </w:rPr>
            </w:pPr>
            <w:r>
              <w:rPr>
                <w:w w:val="120"/>
                <w:sz w:val="20"/>
              </w:rPr>
              <w:t>Involvement with other national initiatives addressing</w:t>
            </w:r>
            <w:r>
              <w:rPr>
                <w:spacing w:val="4"/>
                <w:w w:val="120"/>
                <w:sz w:val="20"/>
              </w:rPr>
              <w:t> </w:t>
            </w:r>
            <w:r>
              <w:rPr>
                <w:w w:val="120"/>
                <w:sz w:val="20"/>
              </w:rPr>
              <w:t>wider</w:t>
            </w:r>
          </w:p>
          <w:p>
            <w:pPr>
              <w:pStyle w:val="TableParagraph"/>
              <w:spacing w:line="235" w:lineRule="auto"/>
              <w:ind w:left="306" w:right="718"/>
              <w:rPr>
                <w:sz w:val="20"/>
              </w:rPr>
            </w:pPr>
            <w:r>
              <w:rPr>
                <w:w w:val="120"/>
                <w:sz w:val="20"/>
              </w:rPr>
              <w:t>social, economic and environmental</w:t>
            </w:r>
          </w:p>
          <w:p>
            <w:pPr>
              <w:pStyle w:val="TableParagraph"/>
              <w:spacing w:line="235" w:lineRule="auto"/>
              <w:ind w:left="306"/>
              <w:rPr>
                <w:sz w:val="20"/>
              </w:rPr>
            </w:pPr>
            <w:r>
              <w:rPr>
                <w:w w:val="120"/>
                <w:sz w:val="20"/>
              </w:rPr>
              <w:t>issues, e.g. community development networks.</w:t>
            </w:r>
          </w:p>
        </w:tc>
      </w:tr>
    </w:tbl>
    <w:p>
      <w:pPr>
        <w:spacing w:after="0" w:line="235" w:lineRule="auto"/>
        <w:rPr>
          <w:sz w:val="20"/>
        </w:rPr>
        <w:sectPr>
          <w:pgSz w:w="11910" w:h="16840"/>
          <w:pgMar w:header="0" w:footer="600" w:top="1140" w:bottom="800" w:left="0" w:right="0"/>
        </w:sectPr>
      </w:pPr>
    </w:p>
    <w:p>
      <w:pPr>
        <w:spacing w:before="20"/>
        <w:ind w:left="1133" w:right="0" w:firstLine="0"/>
        <w:jc w:val="left"/>
        <w:rPr>
          <w:rFonts w:ascii="Stone Sans II ITC Std Bk"/>
          <w:b/>
          <w:sz w:val="29"/>
        </w:rPr>
      </w:pPr>
      <w:r>
        <w:rPr/>
        <w:pict>
          <v:rect style="position:absolute;margin-left:12.047pt;margin-top:4.438776pt;width:22.677pt;height:22.677pt;mso-position-horizontal-relative:page;mso-position-vertical-relative:paragraph;z-index:251761664" filled="true" fillcolor="#f9e9c1" stroked="false">
            <v:fill opacity="32768f" type="solid"/>
            <w10:wrap type="none"/>
          </v:rect>
        </w:pict>
      </w:r>
      <w:r>
        <w:rPr/>
        <w:pict>
          <v:line style="position:absolute;mso-position-horizontal-relative:page;mso-position-vertical-relative:page;z-index:251762688" from="514.487183pt,59.687416pt" to="514.487183pt,797.873416pt" stroked="true" strokeweight="1pt" strokecolor="#868685">
            <v:stroke dashstyle="dot"/>
            <w10:wrap type="none"/>
          </v:line>
        </w:pict>
      </w:r>
      <w:r>
        <w:rPr/>
        <w:drawing>
          <wp:anchor distT="0" distB="0" distL="0" distR="0" allowOverlap="1" layoutInCell="1" locked="0" behindDoc="1" simplePos="0" relativeHeight="235656192">
            <wp:simplePos x="0" y="0"/>
            <wp:positionH relativeFrom="page">
              <wp:posOffset>732002</wp:posOffset>
            </wp:positionH>
            <wp:positionV relativeFrom="page">
              <wp:posOffset>7439088</wp:posOffset>
            </wp:positionV>
            <wp:extent cx="5684894" cy="742950"/>
            <wp:effectExtent l="0" t="0" r="0" b="0"/>
            <wp:wrapNone/>
            <wp:docPr id="41" name="image42.png"/>
            <wp:cNvGraphicFramePr>
              <a:graphicFrameLocks noChangeAspect="1"/>
            </wp:cNvGraphicFramePr>
            <a:graphic>
              <a:graphicData uri="http://schemas.openxmlformats.org/drawingml/2006/picture">
                <pic:pic>
                  <pic:nvPicPr>
                    <pic:cNvPr id="42" name="image42.png"/>
                    <pic:cNvPicPr/>
                  </pic:nvPicPr>
                  <pic:blipFill>
                    <a:blip r:embed="rId78" cstate="print"/>
                    <a:stretch>
                      <a:fillRect/>
                    </a:stretch>
                  </pic:blipFill>
                  <pic:spPr>
                    <a:xfrm>
                      <a:off x="0" y="0"/>
                      <a:ext cx="5684894" cy="742950"/>
                    </a:xfrm>
                    <a:prstGeom prst="rect">
                      <a:avLst/>
                    </a:prstGeom>
                  </pic:spPr>
                </pic:pic>
              </a:graphicData>
            </a:graphic>
          </wp:anchor>
        </w:drawing>
      </w:r>
      <w:r>
        <w:rPr>
          <w:rFonts w:ascii="Stone Sans II ITC Std Bk"/>
          <w:b/>
          <w:color w:val="CA4F1B"/>
          <w:w w:val="110"/>
          <w:sz w:val="29"/>
        </w:rPr>
        <w:t>Statement 5: </w:t>
      </w:r>
      <w:r>
        <w:rPr>
          <w:rFonts w:ascii="Stone Sans II ITC Std Bk"/>
          <w:b/>
          <w:w w:val="110"/>
          <w:sz w:val="29"/>
        </w:rPr>
        <w:t>Hospitality and diversity</w:t>
      </w:r>
    </w:p>
    <w:p>
      <w:pPr>
        <w:spacing w:line="213" w:lineRule="auto" w:before="202"/>
        <w:ind w:left="1133" w:right="1997" w:firstLine="0"/>
        <w:jc w:val="left"/>
        <w:rPr>
          <w:rFonts w:ascii="Stone Sans II ITC Std Bk"/>
          <w:b/>
          <w:sz w:val="20"/>
        </w:rPr>
      </w:pPr>
      <w:r>
        <w:rPr>
          <w:rFonts w:ascii="Stone Sans II ITC Std Bk"/>
          <w:b/>
          <w:w w:val="110"/>
          <w:sz w:val="20"/>
        </w:rPr>
        <w:t>We will be a Church committed to becoming even more welcoming and hospitable, and embracing all people equally.</w:t>
      </w:r>
    </w:p>
    <w:p>
      <w:pPr>
        <w:pStyle w:val="BodyText"/>
        <w:spacing w:before="2"/>
        <w:rPr>
          <w:rFonts w:ascii="Stone Sans II ITC Std Bk"/>
          <w:b/>
          <w:sz w:val="17"/>
        </w:rPr>
      </w:pPr>
    </w:p>
    <w:p>
      <w:pPr>
        <w:pStyle w:val="BodyText"/>
        <w:spacing w:line="235" w:lineRule="auto" w:before="1"/>
        <w:ind w:left="1133" w:right="1997"/>
      </w:pPr>
      <w:r>
        <w:rPr>
          <w:w w:val="120"/>
        </w:rPr>
        <w:t>Our story is one of a people from rich and diverse journeys. Differences, not similarities, are the source of our vitality and strength in our common faith in Jesus Christ. This includes our Church heritages, theologies, cultures, national heritages and life experiences. As a multicultural Church we are building on a biblical understanding</w:t>
      </w:r>
    </w:p>
    <w:p>
      <w:pPr>
        <w:pStyle w:val="BodyText"/>
        <w:spacing w:line="235" w:lineRule="auto" w:before="2"/>
        <w:ind w:left="1133" w:right="2191"/>
      </w:pPr>
      <w:r>
        <w:rPr>
          <w:w w:val="120"/>
        </w:rPr>
        <w:t>of God’s mission to which the gospel calls us to living God’s Word, embodying God’s love and promoting God’s justice as we aim to include, affirm and welcome all. We will continue to live our calling of prophetic witness to holiness, hope and reconciliation, as we seek greater participation of all to reflect our rich and diverse journeys in all of our life together as a</w:t>
      </w:r>
      <w:r>
        <w:rPr>
          <w:spacing w:val="8"/>
          <w:w w:val="120"/>
        </w:rPr>
        <w:t> </w:t>
      </w:r>
      <w:r>
        <w:rPr>
          <w:w w:val="120"/>
        </w:rPr>
        <w:t>Church.</w:t>
      </w:r>
    </w:p>
    <w:p>
      <w:pPr>
        <w:pStyle w:val="BodyText"/>
        <w:rPr>
          <w:sz w:val="24"/>
        </w:rPr>
      </w:pPr>
    </w:p>
    <w:p>
      <w:pPr>
        <w:spacing w:before="175"/>
        <w:ind w:left="1133" w:right="0" w:firstLine="0"/>
        <w:jc w:val="left"/>
        <w:rPr>
          <w:rFonts w:ascii="Stone Sans II ITC Std Bk"/>
          <w:b/>
          <w:i/>
          <w:sz w:val="20"/>
        </w:rPr>
      </w:pPr>
      <w:r>
        <w:rPr>
          <w:rFonts w:ascii="Stone Sans II ITC Std Bk"/>
          <w:b/>
          <w:i/>
          <w:w w:val="110"/>
          <w:sz w:val="20"/>
        </w:rPr>
        <w:t>Some suggested indicators:</w:t>
      </w:r>
    </w:p>
    <w:p>
      <w:pPr>
        <w:pStyle w:val="BodyText"/>
        <w:spacing w:before="9"/>
        <w:rPr>
          <w:rFonts w:ascii="Stone Sans II ITC Std Bk"/>
          <w:b/>
          <w:i/>
          <w:sz w:val="18"/>
        </w:r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13"/>
        <w:gridCol w:w="2971"/>
        <w:gridCol w:w="2892"/>
      </w:tblGrid>
      <w:tr>
        <w:trPr>
          <w:trHeight w:val="373" w:hRule="atLeast"/>
        </w:trPr>
        <w:tc>
          <w:tcPr>
            <w:tcW w:w="3113"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2971"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Synod Indicators</w:t>
            </w:r>
          </w:p>
        </w:tc>
        <w:tc>
          <w:tcPr>
            <w:tcW w:w="2892"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Assembly Indicators</w:t>
            </w:r>
          </w:p>
        </w:tc>
      </w:tr>
      <w:tr>
        <w:trPr>
          <w:trHeight w:val="6876" w:hRule="atLeast"/>
        </w:trPr>
        <w:tc>
          <w:tcPr>
            <w:tcW w:w="3113" w:type="dxa"/>
          </w:tcPr>
          <w:p>
            <w:pPr>
              <w:pStyle w:val="TableParagraph"/>
              <w:numPr>
                <w:ilvl w:val="0"/>
                <w:numId w:val="33"/>
              </w:numPr>
              <w:tabs>
                <w:tab w:pos="307" w:val="left" w:leader="none"/>
              </w:tabs>
              <w:spacing w:line="216" w:lineRule="auto" w:before="123" w:after="0"/>
              <w:ind w:left="306" w:right="112" w:hanging="227"/>
              <w:jc w:val="left"/>
              <w:rPr>
                <w:sz w:val="20"/>
              </w:rPr>
            </w:pPr>
            <w:r>
              <w:rPr>
                <w:w w:val="120"/>
                <w:sz w:val="20"/>
              </w:rPr>
              <w:t>The involvement of children and young people in all aspects of church</w:t>
            </w:r>
            <w:r>
              <w:rPr>
                <w:spacing w:val="9"/>
                <w:w w:val="120"/>
                <w:sz w:val="20"/>
              </w:rPr>
              <w:t> </w:t>
            </w:r>
            <w:r>
              <w:rPr>
                <w:w w:val="120"/>
                <w:sz w:val="20"/>
              </w:rPr>
              <w:t>life.</w:t>
            </w:r>
          </w:p>
          <w:p>
            <w:pPr>
              <w:pStyle w:val="TableParagraph"/>
              <w:numPr>
                <w:ilvl w:val="0"/>
                <w:numId w:val="33"/>
              </w:numPr>
              <w:tabs>
                <w:tab w:pos="307" w:val="left" w:leader="none"/>
              </w:tabs>
              <w:spacing w:line="216" w:lineRule="auto" w:before="0" w:after="0"/>
              <w:ind w:left="306" w:right="393" w:hanging="227"/>
              <w:jc w:val="left"/>
              <w:rPr>
                <w:sz w:val="20"/>
              </w:rPr>
            </w:pPr>
            <w:r>
              <w:rPr>
                <w:w w:val="120"/>
                <w:sz w:val="20"/>
              </w:rPr>
              <w:t>The extent to which the congregation reflects the make-up of the</w:t>
            </w:r>
            <w:r>
              <w:rPr>
                <w:spacing w:val="8"/>
                <w:w w:val="120"/>
                <w:sz w:val="20"/>
              </w:rPr>
              <w:t> </w:t>
            </w:r>
            <w:r>
              <w:rPr>
                <w:w w:val="120"/>
                <w:sz w:val="20"/>
              </w:rPr>
              <w:t>local</w:t>
            </w:r>
          </w:p>
          <w:p>
            <w:pPr>
              <w:pStyle w:val="TableParagraph"/>
              <w:spacing w:line="226" w:lineRule="exact"/>
              <w:ind w:left="306"/>
              <w:rPr>
                <w:sz w:val="20"/>
              </w:rPr>
            </w:pPr>
            <w:r>
              <w:rPr>
                <w:w w:val="120"/>
                <w:sz w:val="20"/>
              </w:rPr>
              <w:t>community.</w:t>
            </w:r>
          </w:p>
          <w:p>
            <w:pPr>
              <w:pStyle w:val="TableParagraph"/>
              <w:numPr>
                <w:ilvl w:val="0"/>
                <w:numId w:val="33"/>
              </w:numPr>
              <w:tabs>
                <w:tab w:pos="307" w:val="left" w:leader="none"/>
              </w:tabs>
              <w:spacing w:line="216" w:lineRule="auto" w:before="0" w:after="0"/>
              <w:ind w:left="306" w:right="321" w:hanging="227"/>
              <w:jc w:val="left"/>
              <w:rPr>
                <w:sz w:val="20"/>
              </w:rPr>
            </w:pPr>
            <w:r>
              <w:rPr>
                <w:w w:val="120"/>
                <w:sz w:val="20"/>
              </w:rPr>
              <w:t>The extent to which the congregation recognises and affirms other</w:t>
            </w:r>
            <w:r>
              <w:rPr>
                <w:spacing w:val="-18"/>
                <w:w w:val="120"/>
                <w:sz w:val="20"/>
              </w:rPr>
              <w:t> </w:t>
            </w:r>
            <w:r>
              <w:rPr>
                <w:w w:val="120"/>
                <w:sz w:val="20"/>
              </w:rPr>
              <w:t>aspects</w:t>
            </w:r>
          </w:p>
          <w:p>
            <w:pPr>
              <w:pStyle w:val="TableParagraph"/>
              <w:spacing w:line="235" w:lineRule="auto"/>
              <w:ind w:left="306"/>
              <w:rPr>
                <w:sz w:val="20"/>
              </w:rPr>
            </w:pPr>
            <w:r>
              <w:rPr>
                <w:w w:val="120"/>
                <w:sz w:val="20"/>
              </w:rPr>
              <w:t>of diversity, including theological diversity.</w:t>
            </w:r>
          </w:p>
          <w:p>
            <w:pPr>
              <w:pStyle w:val="TableParagraph"/>
              <w:numPr>
                <w:ilvl w:val="0"/>
                <w:numId w:val="33"/>
              </w:numPr>
              <w:tabs>
                <w:tab w:pos="307" w:val="left" w:leader="none"/>
              </w:tabs>
              <w:spacing w:line="216" w:lineRule="auto" w:before="0" w:after="0"/>
              <w:ind w:left="306" w:right="339" w:hanging="227"/>
              <w:jc w:val="left"/>
              <w:rPr>
                <w:sz w:val="20"/>
              </w:rPr>
            </w:pPr>
            <w:r>
              <w:rPr>
                <w:w w:val="120"/>
                <w:sz w:val="20"/>
              </w:rPr>
              <w:t>The number of members who have undertaken ‘training’ about</w:t>
            </w:r>
            <w:r>
              <w:rPr>
                <w:spacing w:val="28"/>
                <w:w w:val="120"/>
                <w:sz w:val="20"/>
              </w:rPr>
              <w:t> </w:t>
            </w:r>
            <w:r>
              <w:rPr>
                <w:w w:val="120"/>
                <w:sz w:val="20"/>
              </w:rPr>
              <w:t>diversity</w:t>
            </w:r>
          </w:p>
          <w:p>
            <w:pPr>
              <w:pStyle w:val="TableParagraph"/>
              <w:spacing w:line="243" w:lineRule="exact"/>
              <w:ind w:left="306"/>
              <w:rPr>
                <w:sz w:val="20"/>
              </w:rPr>
            </w:pPr>
            <w:r>
              <w:rPr>
                <w:w w:val="120"/>
                <w:sz w:val="20"/>
              </w:rPr>
              <w:t>and inclusiveness.</w:t>
            </w:r>
          </w:p>
        </w:tc>
        <w:tc>
          <w:tcPr>
            <w:tcW w:w="2971" w:type="dxa"/>
          </w:tcPr>
          <w:p>
            <w:pPr>
              <w:pStyle w:val="TableParagraph"/>
              <w:numPr>
                <w:ilvl w:val="0"/>
                <w:numId w:val="34"/>
              </w:numPr>
              <w:tabs>
                <w:tab w:pos="307" w:val="left" w:leader="none"/>
              </w:tabs>
              <w:spacing w:line="196" w:lineRule="auto" w:before="140" w:after="0"/>
              <w:ind w:left="306" w:right="277" w:hanging="227"/>
              <w:jc w:val="left"/>
              <w:rPr>
                <w:sz w:val="20"/>
              </w:rPr>
            </w:pPr>
            <w:r>
              <w:rPr>
                <w:w w:val="120"/>
                <w:sz w:val="20"/>
              </w:rPr>
              <w:t>Provision of training and awareness</w:t>
            </w:r>
            <w:r>
              <w:rPr>
                <w:spacing w:val="-13"/>
                <w:w w:val="120"/>
                <w:sz w:val="20"/>
              </w:rPr>
              <w:t> </w:t>
            </w:r>
            <w:r>
              <w:rPr>
                <w:w w:val="120"/>
                <w:sz w:val="20"/>
              </w:rPr>
              <w:t>activities</w:t>
            </w:r>
          </w:p>
          <w:p>
            <w:pPr>
              <w:pStyle w:val="TableParagraph"/>
              <w:spacing w:line="235" w:lineRule="auto" w:before="11"/>
              <w:ind w:left="306"/>
              <w:rPr>
                <w:sz w:val="20"/>
              </w:rPr>
            </w:pPr>
            <w:r>
              <w:rPr>
                <w:w w:val="120"/>
                <w:sz w:val="20"/>
              </w:rPr>
              <w:t>about diversity and inclusiveness.</w:t>
            </w:r>
          </w:p>
          <w:p>
            <w:pPr>
              <w:pStyle w:val="TableParagraph"/>
              <w:numPr>
                <w:ilvl w:val="0"/>
                <w:numId w:val="34"/>
              </w:numPr>
              <w:tabs>
                <w:tab w:pos="307" w:val="left" w:leader="none"/>
              </w:tabs>
              <w:spacing w:line="216" w:lineRule="auto" w:before="0" w:after="0"/>
              <w:ind w:left="306" w:right="244" w:hanging="227"/>
              <w:jc w:val="left"/>
              <w:rPr>
                <w:sz w:val="20"/>
              </w:rPr>
            </w:pPr>
            <w:r>
              <w:rPr>
                <w:w w:val="120"/>
                <w:sz w:val="20"/>
              </w:rPr>
              <w:t>The number of churches who regularly monitor their membership</w:t>
            </w:r>
            <w:r>
              <w:rPr>
                <w:spacing w:val="8"/>
                <w:w w:val="120"/>
                <w:sz w:val="20"/>
              </w:rPr>
              <w:t> </w:t>
            </w:r>
            <w:r>
              <w:rPr>
                <w:w w:val="120"/>
                <w:sz w:val="20"/>
              </w:rPr>
              <w:t>and</w:t>
            </w:r>
          </w:p>
          <w:p>
            <w:pPr>
              <w:pStyle w:val="TableParagraph"/>
              <w:spacing w:line="235" w:lineRule="auto"/>
              <w:ind w:left="306" w:right="746"/>
              <w:rPr>
                <w:sz w:val="20"/>
              </w:rPr>
            </w:pPr>
            <w:r>
              <w:rPr>
                <w:w w:val="120"/>
                <w:sz w:val="20"/>
              </w:rPr>
              <w:t>eldership to ensure inclusiveness.</w:t>
            </w:r>
          </w:p>
          <w:p>
            <w:pPr>
              <w:pStyle w:val="TableParagraph"/>
              <w:numPr>
                <w:ilvl w:val="0"/>
                <w:numId w:val="34"/>
              </w:numPr>
              <w:tabs>
                <w:tab w:pos="307" w:val="left" w:leader="none"/>
              </w:tabs>
              <w:spacing w:line="216" w:lineRule="auto" w:before="0" w:after="0"/>
              <w:ind w:left="306" w:right="418" w:hanging="227"/>
              <w:jc w:val="left"/>
              <w:rPr>
                <w:sz w:val="20"/>
              </w:rPr>
            </w:pPr>
            <w:r>
              <w:rPr>
                <w:w w:val="120"/>
                <w:sz w:val="20"/>
              </w:rPr>
              <w:t>Representation and participation of all minority and</w:t>
            </w:r>
            <w:r>
              <w:rPr>
                <w:spacing w:val="-13"/>
                <w:w w:val="120"/>
                <w:sz w:val="20"/>
              </w:rPr>
              <w:t> </w:t>
            </w:r>
            <w:r>
              <w:rPr>
                <w:w w:val="120"/>
                <w:sz w:val="20"/>
              </w:rPr>
              <w:t>excluded</w:t>
            </w:r>
          </w:p>
          <w:p>
            <w:pPr>
              <w:pStyle w:val="TableParagraph"/>
              <w:spacing w:line="235" w:lineRule="auto"/>
              <w:ind w:left="306" w:right="183"/>
              <w:rPr>
                <w:sz w:val="20"/>
              </w:rPr>
            </w:pPr>
            <w:r>
              <w:rPr>
                <w:w w:val="120"/>
                <w:sz w:val="20"/>
              </w:rPr>
              <w:t>groups (as spelt out by our Equal Opportunities policy and the recent Equalities Act 2010) on key councils, committees and task groups.</w:t>
            </w:r>
          </w:p>
        </w:tc>
        <w:tc>
          <w:tcPr>
            <w:tcW w:w="2892" w:type="dxa"/>
          </w:tcPr>
          <w:p>
            <w:pPr>
              <w:pStyle w:val="TableParagraph"/>
              <w:numPr>
                <w:ilvl w:val="0"/>
                <w:numId w:val="35"/>
              </w:numPr>
              <w:tabs>
                <w:tab w:pos="307" w:val="left" w:leader="none"/>
              </w:tabs>
              <w:spacing w:line="196" w:lineRule="auto" w:before="140" w:after="0"/>
              <w:ind w:left="306" w:right="82" w:hanging="227"/>
              <w:jc w:val="left"/>
              <w:rPr>
                <w:sz w:val="20"/>
              </w:rPr>
            </w:pPr>
            <w:r>
              <w:rPr>
                <w:w w:val="120"/>
                <w:sz w:val="20"/>
              </w:rPr>
              <w:t>An increase in the diversity of</w:t>
            </w:r>
            <w:r>
              <w:rPr>
                <w:spacing w:val="3"/>
                <w:w w:val="120"/>
                <w:sz w:val="20"/>
              </w:rPr>
              <w:t> </w:t>
            </w:r>
            <w:r>
              <w:rPr>
                <w:w w:val="120"/>
                <w:sz w:val="20"/>
              </w:rPr>
              <w:t>the</w:t>
            </w:r>
          </w:p>
          <w:p>
            <w:pPr>
              <w:pStyle w:val="TableParagraph"/>
              <w:spacing w:line="235" w:lineRule="auto" w:before="11"/>
              <w:ind w:left="306" w:right="79"/>
              <w:rPr>
                <w:sz w:val="20"/>
              </w:rPr>
            </w:pPr>
            <w:r>
              <w:rPr>
                <w:w w:val="120"/>
                <w:sz w:val="20"/>
              </w:rPr>
              <w:t>denomination (measured through church annual </w:t>
            </w:r>
            <w:r>
              <w:rPr>
                <w:spacing w:val="-3"/>
                <w:w w:val="120"/>
                <w:sz w:val="20"/>
              </w:rPr>
              <w:t>returns).</w:t>
            </w:r>
          </w:p>
          <w:p>
            <w:pPr>
              <w:pStyle w:val="TableParagraph"/>
              <w:numPr>
                <w:ilvl w:val="0"/>
                <w:numId w:val="35"/>
              </w:numPr>
              <w:tabs>
                <w:tab w:pos="307" w:val="left" w:leader="none"/>
              </w:tabs>
              <w:spacing w:line="196" w:lineRule="auto" w:before="8" w:after="0"/>
              <w:ind w:left="306" w:right="440" w:hanging="227"/>
              <w:jc w:val="left"/>
              <w:rPr>
                <w:sz w:val="20"/>
              </w:rPr>
            </w:pPr>
            <w:r>
              <w:rPr>
                <w:w w:val="120"/>
                <w:sz w:val="20"/>
              </w:rPr>
              <w:t>Appropriate numbers of black and</w:t>
            </w:r>
            <w:r>
              <w:rPr>
                <w:spacing w:val="24"/>
                <w:w w:val="120"/>
                <w:sz w:val="20"/>
              </w:rPr>
              <w:t> </w:t>
            </w:r>
            <w:r>
              <w:rPr>
                <w:w w:val="120"/>
                <w:sz w:val="20"/>
              </w:rPr>
              <w:t>minority</w:t>
            </w:r>
          </w:p>
          <w:p>
            <w:pPr>
              <w:pStyle w:val="TableParagraph"/>
              <w:spacing w:line="235" w:lineRule="auto" w:before="10"/>
              <w:ind w:left="306"/>
              <w:rPr>
                <w:sz w:val="20"/>
              </w:rPr>
            </w:pPr>
            <w:r>
              <w:rPr>
                <w:w w:val="120"/>
                <w:sz w:val="20"/>
              </w:rPr>
              <w:t>ethnic ministers, church- related community workers, staff and candidates.</w:t>
            </w:r>
          </w:p>
          <w:p>
            <w:pPr>
              <w:pStyle w:val="TableParagraph"/>
              <w:numPr>
                <w:ilvl w:val="0"/>
                <w:numId w:val="35"/>
              </w:numPr>
              <w:tabs>
                <w:tab w:pos="307" w:val="left" w:leader="none"/>
              </w:tabs>
              <w:spacing w:line="216" w:lineRule="auto" w:before="0" w:after="0"/>
              <w:ind w:left="306" w:right="339" w:hanging="227"/>
              <w:jc w:val="left"/>
              <w:rPr>
                <w:sz w:val="20"/>
              </w:rPr>
            </w:pPr>
            <w:r>
              <w:rPr>
                <w:w w:val="120"/>
                <w:sz w:val="20"/>
              </w:rPr>
              <w:t>Representation and participation of all minority and</w:t>
            </w:r>
            <w:r>
              <w:rPr>
                <w:spacing w:val="-13"/>
                <w:w w:val="120"/>
                <w:sz w:val="20"/>
              </w:rPr>
              <w:t> </w:t>
            </w:r>
            <w:r>
              <w:rPr>
                <w:w w:val="120"/>
                <w:sz w:val="20"/>
              </w:rPr>
              <w:t>excluded</w:t>
            </w:r>
          </w:p>
          <w:p>
            <w:pPr>
              <w:pStyle w:val="TableParagraph"/>
              <w:spacing w:line="235" w:lineRule="auto"/>
              <w:ind w:left="306" w:right="104"/>
              <w:rPr>
                <w:sz w:val="20"/>
              </w:rPr>
            </w:pPr>
            <w:r>
              <w:rPr>
                <w:w w:val="120"/>
                <w:sz w:val="20"/>
              </w:rPr>
              <w:t>groups (as spelt out by our Equal Opportunities policy and the recent Equalities Act 2010) on key councils, committees and task groups.</w:t>
            </w:r>
          </w:p>
        </w:tc>
      </w:tr>
    </w:tbl>
    <w:p>
      <w:pPr>
        <w:spacing w:after="0" w:line="235" w:lineRule="auto"/>
        <w:rPr>
          <w:sz w:val="20"/>
        </w:rPr>
        <w:sectPr>
          <w:pgSz w:w="11910" w:h="16840"/>
          <w:pgMar w:header="0" w:footer="600" w:top="1140" w:bottom="800" w:left="0" w:right="0"/>
        </w:sectPr>
      </w:pPr>
    </w:p>
    <w:p>
      <w:pPr>
        <w:spacing w:before="20"/>
        <w:ind w:left="1984" w:right="0" w:firstLine="0"/>
        <w:jc w:val="left"/>
        <w:rPr>
          <w:rFonts w:ascii="Stone Sans II ITC Std Bk"/>
          <w:b/>
          <w:sz w:val="29"/>
        </w:rPr>
      </w:pPr>
      <w:r>
        <w:rPr/>
        <w:pict>
          <v:rect style="position:absolute;margin-left:558.424988pt;margin-top:5.264775pt;width:22.677pt;height:22.677pt;mso-position-horizontal-relative:page;mso-position-vertical-relative:paragraph;z-index:251764736" filled="true" fillcolor="#f9e9c1" stroked="false">
            <v:fill opacity="32768f" type="solid"/>
            <w10:wrap type="none"/>
          </v:rect>
        </w:pict>
      </w:r>
      <w:r>
        <w:rPr/>
        <w:pict>
          <v:line style="position:absolute;mso-position-horizontal-relative:page;mso-position-vertical-relative:page;z-index:251765760" from="78.870102pt,59.687416pt" to="78.870102pt,797.873416pt" stroked="true" strokeweight="1pt" strokecolor="#868685">
            <v:stroke dashstyle="dot"/>
            <w10:wrap type="none"/>
          </v:line>
        </w:pict>
      </w:r>
      <w:r>
        <w:rPr/>
        <w:drawing>
          <wp:anchor distT="0" distB="0" distL="0" distR="0" allowOverlap="1" layoutInCell="1" locked="0" behindDoc="1" simplePos="0" relativeHeight="235659264">
            <wp:simplePos x="0" y="0"/>
            <wp:positionH relativeFrom="page">
              <wp:posOffset>4064862</wp:posOffset>
            </wp:positionH>
            <wp:positionV relativeFrom="page">
              <wp:posOffset>4808955</wp:posOffset>
            </wp:positionV>
            <wp:extent cx="232563" cy="180975"/>
            <wp:effectExtent l="0" t="0" r="0" b="0"/>
            <wp:wrapNone/>
            <wp:docPr id="43" name="image43.png"/>
            <wp:cNvGraphicFramePr>
              <a:graphicFrameLocks noChangeAspect="1"/>
            </wp:cNvGraphicFramePr>
            <a:graphic>
              <a:graphicData uri="http://schemas.openxmlformats.org/drawingml/2006/picture">
                <pic:pic>
                  <pic:nvPicPr>
                    <pic:cNvPr id="44" name="image43.png"/>
                    <pic:cNvPicPr/>
                  </pic:nvPicPr>
                  <pic:blipFill>
                    <a:blip r:embed="rId79"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660288">
            <wp:simplePos x="0" y="0"/>
            <wp:positionH relativeFrom="page">
              <wp:posOffset>5886461</wp:posOffset>
            </wp:positionH>
            <wp:positionV relativeFrom="page">
              <wp:posOffset>4961355</wp:posOffset>
            </wp:positionV>
            <wp:extent cx="232564" cy="180975"/>
            <wp:effectExtent l="0" t="0" r="0" b="0"/>
            <wp:wrapNone/>
            <wp:docPr id="45" name="image44.png"/>
            <wp:cNvGraphicFramePr>
              <a:graphicFrameLocks noChangeAspect="1"/>
            </wp:cNvGraphicFramePr>
            <a:graphic>
              <a:graphicData uri="http://schemas.openxmlformats.org/drawingml/2006/picture">
                <pic:pic>
                  <pic:nvPicPr>
                    <pic:cNvPr id="46" name="image44.png"/>
                    <pic:cNvPicPr/>
                  </pic:nvPicPr>
                  <pic:blipFill>
                    <a:blip r:embed="rId80"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661312">
            <wp:simplePos x="0" y="0"/>
            <wp:positionH relativeFrom="page">
              <wp:posOffset>1271993</wp:posOffset>
            </wp:positionH>
            <wp:positionV relativeFrom="page">
              <wp:posOffset>6215393</wp:posOffset>
            </wp:positionV>
            <wp:extent cx="5571438" cy="742950"/>
            <wp:effectExtent l="0" t="0" r="0" b="0"/>
            <wp:wrapNone/>
            <wp:docPr id="47" name="image45.png"/>
            <wp:cNvGraphicFramePr>
              <a:graphicFrameLocks noChangeAspect="1"/>
            </wp:cNvGraphicFramePr>
            <a:graphic>
              <a:graphicData uri="http://schemas.openxmlformats.org/drawingml/2006/picture">
                <pic:pic>
                  <pic:nvPicPr>
                    <pic:cNvPr id="48" name="image45.png"/>
                    <pic:cNvPicPr/>
                  </pic:nvPicPr>
                  <pic:blipFill>
                    <a:blip r:embed="rId81" cstate="print"/>
                    <a:stretch>
                      <a:fillRect/>
                    </a:stretch>
                  </pic:blipFill>
                  <pic:spPr>
                    <a:xfrm>
                      <a:off x="0" y="0"/>
                      <a:ext cx="5571438" cy="742950"/>
                    </a:xfrm>
                    <a:prstGeom prst="rect">
                      <a:avLst/>
                    </a:prstGeom>
                  </pic:spPr>
                </pic:pic>
              </a:graphicData>
            </a:graphic>
          </wp:anchor>
        </w:drawing>
      </w:r>
      <w:r>
        <w:rPr>
          <w:rFonts w:ascii="Stone Sans II ITC Std Bk"/>
          <w:b/>
          <w:color w:val="CA4F1B"/>
          <w:w w:val="110"/>
          <w:sz w:val="29"/>
        </w:rPr>
        <w:t>Statement 6: </w:t>
      </w:r>
      <w:r>
        <w:rPr>
          <w:rFonts w:ascii="Stone Sans II ITC Std Bk"/>
          <w:b/>
          <w:w w:val="110"/>
          <w:sz w:val="29"/>
        </w:rPr>
        <w:t>Evangelism</w:t>
      </w:r>
    </w:p>
    <w:p>
      <w:pPr>
        <w:spacing w:line="213" w:lineRule="auto" w:before="202"/>
        <w:ind w:left="1984" w:right="1466" w:firstLine="0"/>
        <w:jc w:val="left"/>
        <w:rPr>
          <w:rFonts w:ascii="Stone Sans II ITC Std Bk"/>
          <w:b/>
          <w:sz w:val="20"/>
        </w:rPr>
      </w:pPr>
      <w:r>
        <w:rPr>
          <w:rFonts w:ascii="Stone Sans II ITC Std Bk"/>
          <w:b/>
          <w:w w:val="110"/>
          <w:sz w:val="20"/>
        </w:rPr>
        <w:t>We will be more confident to engage in evangelism, proclaiming the good news of the kingdom of God with friends, families and strangers, through story and</w:t>
      </w:r>
      <w:r>
        <w:rPr>
          <w:rFonts w:ascii="Stone Sans II ITC Std Bk"/>
          <w:b/>
          <w:spacing w:val="-1"/>
          <w:w w:val="110"/>
          <w:sz w:val="20"/>
        </w:rPr>
        <w:t> </w:t>
      </w:r>
      <w:r>
        <w:rPr>
          <w:rFonts w:ascii="Stone Sans II ITC Std Bk"/>
          <w:b/>
          <w:w w:val="110"/>
          <w:sz w:val="20"/>
        </w:rPr>
        <w:t>action.</w:t>
      </w:r>
    </w:p>
    <w:p>
      <w:pPr>
        <w:pStyle w:val="BodyText"/>
        <w:spacing w:before="2"/>
        <w:rPr>
          <w:rFonts w:ascii="Stone Sans II ITC Std Bk"/>
          <w:b/>
          <w:sz w:val="17"/>
        </w:rPr>
      </w:pPr>
    </w:p>
    <w:p>
      <w:pPr>
        <w:pStyle w:val="BodyText"/>
        <w:spacing w:line="235" w:lineRule="auto"/>
        <w:ind w:left="1984" w:right="1120"/>
      </w:pPr>
      <w:r>
        <w:rPr>
          <w:w w:val="120"/>
        </w:rPr>
        <w:t>We need to re-claim an understanding and practice of evangelism. Learning to tell the Christian story and our ever evolving stories of faith needs to be a regular part of church life so that disciples of all ages are equipped and encouraged to share the good news</w:t>
      </w:r>
    </w:p>
    <w:p>
      <w:pPr>
        <w:pStyle w:val="BodyText"/>
        <w:spacing w:line="235" w:lineRule="auto" w:before="2"/>
        <w:ind w:left="1984" w:right="1290"/>
      </w:pPr>
      <w:r>
        <w:rPr>
          <w:w w:val="120"/>
        </w:rPr>
        <w:t>of Jesus Christ in their daily lives. Equipped with a robust and reflective knowledge of  the Bible and a commitment to openness, our churches will be communities where faith is</w:t>
      </w:r>
      <w:r>
        <w:rPr>
          <w:spacing w:val="6"/>
          <w:w w:val="120"/>
        </w:rPr>
        <w:t> </w:t>
      </w:r>
      <w:r>
        <w:rPr>
          <w:w w:val="120"/>
        </w:rPr>
        <w:t>explored</w:t>
      </w:r>
      <w:r>
        <w:rPr>
          <w:spacing w:val="6"/>
          <w:w w:val="120"/>
        </w:rPr>
        <w:t> </w:t>
      </w:r>
      <w:r>
        <w:rPr>
          <w:w w:val="120"/>
        </w:rPr>
        <w:t>and</w:t>
      </w:r>
      <w:r>
        <w:rPr>
          <w:spacing w:val="6"/>
          <w:w w:val="120"/>
        </w:rPr>
        <w:t> </w:t>
      </w:r>
      <w:r>
        <w:rPr>
          <w:w w:val="120"/>
        </w:rPr>
        <w:t>the</w:t>
      </w:r>
      <w:r>
        <w:rPr>
          <w:spacing w:val="6"/>
          <w:w w:val="120"/>
        </w:rPr>
        <w:t> </w:t>
      </w:r>
      <w:r>
        <w:rPr>
          <w:w w:val="120"/>
        </w:rPr>
        <w:t>questions</w:t>
      </w:r>
      <w:r>
        <w:rPr>
          <w:spacing w:val="6"/>
          <w:w w:val="120"/>
        </w:rPr>
        <w:t> </w:t>
      </w:r>
      <w:r>
        <w:rPr>
          <w:w w:val="120"/>
        </w:rPr>
        <w:t>of</w:t>
      </w:r>
      <w:r>
        <w:rPr>
          <w:spacing w:val="6"/>
          <w:w w:val="120"/>
        </w:rPr>
        <w:t> </w:t>
      </w:r>
      <w:r>
        <w:rPr>
          <w:w w:val="120"/>
        </w:rPr>
        <w:t>the</w:t>
      </w:r>
      <w:r>
        <w:rPr>
          <w:spacing w:val="6"/>
          <w:w w:val="120"/>
        </w:rPr>
        <w:t> </w:t>
      </w:r>
      <w:r>
        <w:rPr>
          <w:w w:val="120"/>
        </w:rPr>
        <w:t>present</w:t>
      </w:r>
      <w:r>
        <w:rPr>
          <w:spacing w:val="7"/>
          <w:w w:val="120"/>
        </w:rPr>
        <w:t> </w:t>
      </w:r>
      <w:r>
        <w:rPr>
          <w:w w:val="120"/>
        </w:rPr>
        <w:t>day</w:t>
      </w:r>
      <w:r>
        <w:rPr>
          <w:spacing w:val="6"/>
          <w:w w:val="120"/>
        </w:rPr>
        <w:t> </w:t>
      </w:r>
      <w:r>
        <w:rPr>
          <w:w w:val="120"/>
        </w:rPr>
        <w:t>engaged</w:t>
      </w:r>
      <w:r>
        <w:rPr>
          <w:spacing w:val="6"/>
          <w:w w:val="120"/>
        </w:rPr>
        <w:t> </w:t>
      </w:r>
      <w:r>
        <w:rPr>
          <w:w w:val="120"/>
        </w:rPr>
        <w:t>with.</w:t>
      </w:r>
      <w:r>
        <w:rPr>
          <w:spacing w:val="6"/>
          <w:w w:val="120"/>
        </w:rPr>
        <w:t> </w:t>
      </w:r>
      <w:r>
        <w:rPr>
          <w:w w:val="120"/>
        </w:rPr>
        <w:t>The</w:t>
      </w:r>
      <w:r>
        <w:rPr>
          <w:spacing w:val="6"/>
          <w:w w:val="120"/>
        </w:rPr>
        <w:t> </w:t>
      </w:r>
      <w:r>
        <w:rPr>
          <w:w w:val="120"/>
        </w:rPr>
        <w:t>call</w:t>
      </w:r>
      <w:r>
        <w:rPr>
          <w:spacing w:val="6"/>
          <w:w w:val="120"/>
        </w:rPr>
        <w:t> </w:t>
      </w:r>
      <w:r>
        <w:rPr>
          <w:w w:val="120"/>
        </w:rPr>
        <w:t>to</w:t>
      </w:r>
      <w:r>
        <w:rPr>
          <w:spacing w:val="6"/>
          <w:w w:val="120"/>
        </w:rPr>
        <w:t> </w:t>
      </w:r>
      <w:r>
        <w:rPr>
          <w:spacing w:val="-5"/>
          <w:w w:val="120"/>
        </w:rPr>
        <w:t>‘go’</w:t>
      </w:r>
      <w:r>
        <w:rPr>
          <w:spacing w:val="7"/>
          <w:w w:val="120"/>
        </w:rPr>
        <w:t> </w:t>
      </w:r>
      <w:r>
        <w:rPr>
          <w:w w:val="120"/>
        </w:rPr>
        <w:t>into</w:t>
      </w:r>
    </w:p>
    <w:p>
      <w:pPr>
        <w:pStyle w:val="BodyText"/>
        <w:spacing w:line="235" w:lineRule="auto" w:before="2"/>
        <w:ind w:left="1984" w:right="1120"/>
      </w:pPr>
      <w:r>
        <w:rPr>
          <w:w w:val="120"/>
        </w:rPr>
        <w:t>the world and ‘make’ new disciples (Matthew 28:19) being heard and taken up with imagination and creativity inspired by the Holy Spirit.</w:t>
      </w:r>
    </w:p>
    <w:p>
      <w:pPr>
        <w:pStyle w:val="BodyText"/>
        <w:rPr>
          <w:sz w:val="24"/>
        </w:rPr>
      </w:pPr>
    </w:p>
    <w:p>
      <w:pPr>
        <w:spacing w:before="172"/>
        <w:ind w:left="1984" w:right="0" w:firstLine="0"/>
        <w:jc w:val="left"/>
        <w:rPr>
          <w:rFonts w:ascii="Stone Sans II ITC Std Bk"/>
          <w:b/>
          <w:i/>
          <w:sz w:val="20"/>
        </w:rPr>
      </w:pPr>
      <w:r>
        <w:rPr>
          <w:rFonts w:ascii="Stone Sans II ITC Std Bk"/>
          <w:b/>
          <w:i/>
          <w:w w:val="110"/>
          <w:sz w:val="20"/>
        </w:rPr>
        <w:t>Some suggested indicators:</w:t>
      </w:r>
    </w:p>
    <w:p>
      <w:pPr>
        <w:pStyle w:val="BodyText"/>
        <w:spacing w:before="10"/>
        <w:rPr>
          <w:rFonts w:ascii="Stone Sans II ITC Std Bk"/>
          <w:b/>
          <w:i/>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79"/>
        <w:gridCol w:w="2869"/>
        <w:gridCol w:w="2830"/>
      </w:tblGrid>
      <w:tr>
        <w:trPr>
          <w:trHeight w:val="373" w:hRule="atLeast"/>
        </w:trPr>
        <w:tc>
          <w:tcPr>
            <w:tcW w:w="3079"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2869"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Synod Indicators</w:t>
            </w:r>
          </w:p>
        </w:tc>
        <w:tc>
          <w:tcPr>
            <w:tcW w:w="2830"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Assembly Indicators</w:t>
            </w:r>
          </w:p>
        </w:tc>
      </w:tr>
      <w:tr>
        <w:trPr>
          <w:trHeight w:val="4956" w:hRule="atLeast"/>
        </w:trPr>
        <w:tc>
          <w:tcPr>
            <w:tcW w:w="3079" w:type="dxa"/>
          </w:tcPr>
          <w:p>
            <w:pPr>
              <w:pStyle w:val="TableParagraph"/>
              <w:numPr>
                <w:ilvl w:val="0"/>
                <w:numId w:val="36"/>
              </w:numPr>
              <w:tabs>
                <w:tab w:pos="307" w:val="left" w:leader="none"/>
              </w:tabs>
              <w:spacing w:line="196" w:lineRule="auto" w:before="140" w:after="0"/>
              <w:ind w:left="306" w:right="198" w:hanging="227"/>
              <w:jc w:val="left"/>
              <w:rPr>
                <w:sz w:val="20"/>
              </w:rPr>
            </w:pPr>
            <w:r>
              <w:rPr>
                <w:w w:val="120"/>
                <w:sz w:val="20"/>
              </w:rPr>
              <w:t>Planning and carrying out activities whose</w:t>
            </w:r>
            <w:r>
              <w:rPr>
                <w:spacing w:val="8"/>
                <w:w w:val="120"/>
                <w:sz w:val="20"/>
              </w:rPr>
              <w:t> </w:t>
            </w:r>
            <w:r>
              <w:rPr>
                <w:w w:val="120"/>
                <w:sz w:val="20"/>
              </w:rPr>
              <w:t>primary</w:t>
            </w:r>
          </w:p>
          <w:p>
            <w:pPr>
              <w:pStyle w:val="TableParagraph"/>
              <w:spacing w:line="235" w:lineRule="auto" w:before="11"/>
              <w:ind w:left="306" w:right="491"/>
              <w:rPr>
                <w:sz w:val="20"/>
              </w:rPr>
            </w:pPr>
            <w:r>
              <w:rPr>
                <w:w w:val="120"/>
                <w:sz w:val="20"/>
              </w:rPr>
              <w:t>function is to share the gospel.</w:t>
            </w:r>
          </w:p>
          <w:p>
            <w:pPr>
              <w:pStyle w:val="TableParagraph"/>
              <w:numPr>
                <w:ilvl w:val="0"/>
                <w:numId w:val="36"/>
              </w:numPr>
              <w:tabs>
                <w:tab w:pos="307" w:val="left" w:leader="none"/>
              </w:tabs>
              <w:spacing w:line="216" w:lineRule="auto" w:before="0" w:after="0"/>
              <w:ind w:left="306" w:right="416" w:hanging="227"/>
              <w:jc w:val="left"/>
              <w:rPr>
                <w:sz w:val="20"/>
              </w:rPr>
            </w:pPr>
            <w:r>
              <w:rPr>
                <w:w w:val="120"/>
                <w:sz w:val="20"/>
              </w:rPr>
              <w:t>Ensuring that worship regularly includes some form of call to</w:t>
            </w:r>
            <w:r>
              <w:rPr>
                <w:spacing w:val="-1"/>
                <w:w w:val="120"/>
                <w:sz w:val="20"/>
              </w:rPr>
              <w:t> </w:t>
            </w:r>
            <w:r>
              <w:rPr>
                <w:w w:val="120"/>
                <w:sz w:val="20"/>
              </w:rPr>
              <w:t>faith.</w:t>
            </w:r>
          </w:p>
          <w:p>
            <w:pPr>
              <w:pStyle w:val="TableParagraph"/>
              <w:numPr>
                <w:ilvl w:val="0"/>
                <w:numId w:val="36"/>
              </w:numPr>
              <w:tabs>
                <w:tab w:pos="307" w:val="left" w:leader="none"/>
              </w:tabs>
              <w:spacing w:line="216" w:lineRule="auto" w:before="0" w:after="0"/>
              <w:ind w:left="306" w:right="503" w:hanging="227"/>
              <w:jc w:val="left"/>
              <w:rPr>
                <w:sz w:val="20"/>
              </w:rPr>
            </w:pPr>
            <w:r>
              <w:rPr>
                <w:w w:val="120"/>
                <w:sz w:val="20"/>
              </w:rPr>
              <w:t>The number of local church activities which attract and</w:t>
            </w:r>
            <w:r>
              <w:rPr>
                <w:spacing w:val="4"/>
                <w:w w:val="120"/>
                <w:sz w:val="20"/>
              </w:rPr>
              <w:t> </w:t>
            </w:r>
            <w:r>
              <w:rPr>
                <w:w w:val="120"/>
                <w:sz w:val="20"/>
              </w:rPr>
              <w:t>involve</w:t>
            </w:r>
          </w:p>
          <w:p>
            <w:pPr>
              <w:pStyle w:val="TableParagraph"/>
              <w:spacing w:line="235" w:lineRule="auto"/>
              <w:ind w:left="306"/>
              <w:rPr>
                <w:sz w:val="20"/>
              </w:rPr>
            </w:pPr>
            <w:r>
              <w:rPr>
                <w:w w:val="120"/>
                <w:sz w:val="20"/>
              </w:rPr>
              <w:t>children and young people from outside the church.</w:t>
            </w:r>
          </w:p>
        </w:tc>
        <w:tc>
          <w:tcPr>
            <w:tcW w:w="2869" w:type="dxa"/>
          </w:tcPr>
          <w:p>
            <w:pPr>
              <w:pStyle w:val="TableParagraph"/>
              <w:numPr>
                <w:ilvl w:val="0"/>
                <w:numId w:val="37"/>
              </w:numPr>
              <w:tabs>
                <w:tab w:pos="307" w:val="left" w:leader="none"/>
              </w:tabs>
              <w:spacing w:line="196" w:lineRule="auto" w:before="140" w:after="0"/>
              <w:ind w:left="306" w:right="113" w:hanging="227"/>
              <w:jc w:val="left"/>
              <w:rPr>
                <w:sz w:val="20"/>
              </w:rPr>
            </w:pPr>
            <w:r>
              <w:rPr>
                <w:w w:val="120"/>
                <w:sz w:val="20"/>
              </w:rPr>
              <w:t>The number of churches drawing on</w:t>
            </w:r>
            <w:r>
              <w:rPr>
                <w:spacing w:val="11"/>
                <w:w w:val="120"/>
                <w:sz w:val="20"/>
              </w:rPr>
              <w:t> </w:t>
            </w:r>
            <w:r>
              <w:rPr>
                <w:w w:val="120"/>
                <w:sz w:val="20"/>
              </w:rPr>
              <w:t>synod</w:t>
            </w:r>
          </w:p>
          <w:p>
            <w:pPr>
              <w:pStyle w:val="TableParagraph"/>
              <w:spacing w:line="235" w:lineRule="auto" w:before="11"/>
              <w:ind w:left="306"/>
              <w:rPr>
                <w:sz w:val="20"/>
              </w:rPr>
            </w:pPr>
            <w:r>
              <w:rPr>
                <w:w w:val="120"/>
                <w:sz w:val="20"/>
              </w:rPr>
              <w:t>resources for evangelism training and networking.</w:t>
            </w:r>
          </w:p>
          <w:p>
            <w:pPr>
              <w:pStyle w:val="TableParagraph"/>
              <w:numPr>
                <w:ilvl w:val="0"/>
                <w:numId w:val="37"/>
              </w:numPr>
              <w:tabs>
                <w:tab w:pos="307" w:val="left" w:leader="none"/>
              </w:tabs>
              <w:spacing w:line="196" w:lineRule="auto" w:before="7" w:after="0"/>
              <w:ind w:left="306" w:right="142" w:hanging="227"/>
              <w:jc w:val="left"/>
              <w:rPr>
                <w:sz w:val="20"/>
              </w:rPr>
            </w:pPr>
            <w:r>
              <w:rPr>
                <w:w w:val="120"/>
                <w:sz w:val="20"/>
              </w:rPr>
              <w:t>The number of churches actively</w:t>
            </w:r>
            <w:r>
              <w:rPr>
                <w:spacing w:val="7"/>
                <w:w w:val="120"/>
                <w:sz w:val="20"/>
              </w:rPr>
              <w:t> </w:t>
            </w:r>
            <w:r>
              <w:rPr>
                <w:w w:val="120"/>
                <w:sz w:val="20"/>
              </w:rPr>
              <w:t>engaging</w:t>
            </w:r>
          </w:p>
          <w:p>
            <w:pPr>
              <w:pStyle w:val="TableParagraph"/>
              <w:spacing w:line="277" w:lineRule="exact"/>
              <w:ind w:left="306"/>
              <w:rPr>
                <w:sz w:val="20"/>
              </w:rPr>
            </w:pPr>
            <w:r>
              <w:rPr>
                <w:w w:val="105"/>
                <w:sz w:val="20"/>
              </w:rPr>
              <w:t>with </w:t>
            </w:r>
            <w:r>
              <w:rPr>
                <w:rFonts w:ascii="Arial Rounded MT Bold"/>
                <w:sz w:val="21"/>
              </w:rPr>
              <w:t>Vision4</w:t>
            </w:r>
            <w:r>
              <w:rPr>
                <w:rFonts w:ascii="Bradley Hand ITC"/>
                <w:color w:val="C20D19"/>
                <w:sz w:val="28"/>
              </w:rPr>
              <w:t>Life</w:t>
            </w:r>
            <w:r>
              <w:rPr>
                <w:rFonts w:ascii="Bradley Hand ITC"/>
                <w:color w:val="C20D19"/>
                <w:spacing w:val="-60"/>
                <w:sz w:val="28"/>
              </w:rPr>
              <w:t> </w:t>
            </w:r>
            <w:r>
              <w:rPr>
                <w:w w:val="105"/>
                <w:sz w:val="20"/>
              </w:rPr>
              <w:t>and the</w:t>
            </w:r>
          </w:p>
          <w:p>
            <w:pPr>
              <w:pStyle w:val="TableParagraph"/>
              <w:spacing w:line="211" w:lineRule="exact"/>
              <w:ind w:left="306"/>
              <w:rPr>
                <w:i/>
                <w:sz w:val="20"/>
              </w:rPr>
            </w:pPr>
            <w:r>
              <w:rPr>
                <w:i/>
                <w:w w:val="115"/>
                <w:sz w:val="20"/>
              </w:rPr>
              <w:t>Marketing Campaign</w:t>
            </w:r>
          </w:p>
          <w:p>
            <w:pPr>
              <w:pStyle w:val="TableParagraph"/>
              <w:spacing w:line="242" w:lineRule="exact"/>
              <w:ind w:left="306"/>
              <w:rPr>
                <w:sz w:val="20"/>
              </w:rPr>
            </w:pPr>
            <w:r>
              <w:rPr>
                <w:w w:val="120"/>
                <w:sz w:val="20"/>
              </w:rPr>
              <w:t>programmes.</w:t>
            </w:r>
          </w:p>
        </w:tc>
        <w:tc>
          <w:tcPr>
            <w:tcW w:w="2830" w:type="dxa"/>
          </w:tcPr>
          <w:p>
            <w:pPr>
              <w:pStyle w:val="TableParagraph"/>
              <w:numPr>
                <w:ilvl w:val="0"/>
                <w:numId w:val="38"/>
              </w:numPr>
              <w:tabs>
                <w:tab w:pos="307" w:val="left" w:leader="none"/>
              </w:tabs>
              <w:spacing w:line="196" w:lineRule="auto" w:before="140" w:after="0"/>
              <w:ind w:left="306" w:right="251" w:hanging="227"/>
              <w:jc w:val="left"/>
              <w:rPr>
                <w:sz w:val="20"/>
              </w:rPr>
            </w:pPr>
            <w:r>
              <w:rPr>
                <w:w w:val="120"/>
                <w:sz w:val="20"/>
              </w:rPr>
              <w:t>The number of churches drawing</w:t>
            </w:r>
            <w:r>
              <w:rPr>
                <w:spacing w:val="19"/>
                <w:w w:val="120"/>
                <w:sz w:val="20"/>
              </w:rPr>
              <w:t> </w:t>
            </w:r>
            <w:r>
              <w:rPr>
                <w:w w:val="120"/>
                <w:sz w:val="20"/>
              </w:rPr>
              <w:t>on</w:t>
            </w:r>
          </w:p>
          <w:p>
            <w:pPr>
              <w:pStyle w:val="TableParagraph"/>
              <w:spacing w:line="235" w:lineRule="auto" w:before="11"/>
              <w:ind w:left="306"/>
              <w:rPr>
                <w:sz w:val="20"/>
              </w:rPr>
            </w:pPr>
            <w:r>
              <w:rPr>
                <w:w w:val="120"/>
                <w:sz w:val="20"/>
              </w:rPr>
              <w:t>Assembly resources for evangelism training and networking.</w:t>
            </w:r>
          </w:p>
          <w:p>
            <w:pPr>
              <w:pStyle w:val="TableParagraph"/>
              <w:numPr>
                <w:ilvl w:val="0"/>
                <w:numId w:val="38"/>
              </w:numPr>
              <w:tabs>
                <w:tab w:pos="307" w:val="left" w:leader="none"/>
              </w:tabs>
              <w:spacing w:line="196" w:lineRule="auto" w:before="8" w:after="0"/>
              <w:ind w:left="306" w:right="103" w:hanging="227"/>
              <w:jc w:val="left"/>
              <w:rPr>
                <w:sz w:val="20"/>
              </w:rPr>
            </w:pPr>
            <w:r>
              <w:rPr>
                <w:w w:val="120"/>
                <w:sz w:val="20"/>
              </w:rPr>
              <w:t>The number of churches actively</w:t>
            </w:r>
            <w:r>
              <w:rPr>
                <w:spacing w:val="7"/>
                <w:w w:val="120"/>
                <w:sz w:val="20"/>
              </w:rPr>
              <w:t> </w:t>
            </w:r>
            <w:r>
              <w:rPr>
                <w:w w:val="120"/>
                <w:sz w:val="20"/>
              </w:rPr>
              <w:t>engaging</w:t>
            </w:r>
          </w:p>
          <w:p>
            <w:pPr>
              <w:pStyle w:val="TableParagraph"/>
              <w:spacing w:line="277" w:lineRule="exact"/>
              <w:ind w:left="306"/>
              <w:rPr>
                <w:sz w:val="20"/>
              </w:rPr>
            </w:pPr>
            <w:r>
              <w:rPr>
                <w:w w:val="105"/>
                <w:sz w:val="20"/>
              </w:rPr>
              <w:t>with </w:t>
            </w:r>
            <w:r>
              <w:rPr>
                <w:rFonts w:ascii="Arial Rounded MT Bold"/>
                <w:sz w:val="21"/>
              </w:rPr>
              <w:t>Vision4</w:t>
            </w:r>
            <w:r>
              <w:rPr>
                <w:rFonts w:ascii="Bradley Hand ITC"/>
                <w:color w:val="C20D19"/>
                <w:sz w:val="28"/>
              </w:rPr>
              <w:t>Life </w:t>
            </w:r>
            <w:r>
              <w:rPr>
                <w:w w:val="105"/>
                <w:sz w:val="20"/>
              </w:rPr>
              <w:t>and the</w:t>
            </w:r>
          </w:p>
          <w:p>
            <w:pPr>
              <w:pStyle w:val="TableParagraph"/>
              <w:spacing w:line="211" w:lineRule="exact"/>
              <w:ind w:left="306"/>
              <w:rPr>
                <w:i/>
                <w:sz w:val="20"/>
              </w:rPr>
            </w:pPr>
            <w:r>
              <w:rPr>
                <w:i/>
                <w:w w:val="115"/>
                <w:sz w:val="20"/>
              </w:rPr>
              <w:t>Marketing Campaign</w:t>
            </w:r>
          </w:p>
          <w:p>
            <w:pPr>
              <w:pStyle w:val="TableParagraph"/>
              <w:spacing w:line="242" w:lineRule="exact"/>
              <w:ind w:left="306"/>
              <w:rPr>
                <w:sz w:val="20"/>
              </w:rPr>
            </w:pPr>
            <w:r>
              <w:rPr>
                <w:w w:val="120"/>
                <w:sz w:val="20"/>
              </w:rPr>
              <w:t>programmes.</w:t>
            </w:r>
          </w:p>
        </w:tc>
      </w:tr>
    </w:tbl>
    <w:p>
      <w:pPr>
        <w:spacing w:after="0" w:line="242" w:lineRule="exact"/>
        <w:rPr>
          <w:sz w:val="20"/>
        </w:rPr>
        <w:sectPr>
          <w:pgSz w:w="11910" w:h="16840"/>
          <w:pgMar w:header="0" w:footer="600" w:top="1140" w:bottom="800" w:left="0" w:right="0"/>
        </w:sectPr>
      </w:pPr>
    </w:p>
    <w:p>
      <w:pPr>
        <w:pStyle w:val="BodyText"/>
        <w:tabs>
          <w:tab w:pos="1133" w:val="left" w:leader="none"/>
        </w:tabs>
        <w:ind w:left="240"/>
        <w:rPr>
          <w:rFonts w:ascii="Stone Sans II ITC Std Bk"/>
        </w:rPr>
      </w:pPr>
      <w:r>
        <w:rPr/>
        <w:drawing>
          <wp:anchor distT="0" distB="0" distL="0" distR="0" allowOverlap="1" layoutInCell="1" locked="0" behindDoc="1" simplePos="0" relativeHeight="235663360">
            <wp:simplePos x="0" y="0"/>
            <wp:positionH relativeFrom="page">
              <wp:posOffset>3859156</wp:posOffset>
            </wp:positionH>
            <wp:positionV relativeFrom="page">
              <wp:posOffset>2170519</wp:posOffset>
            </wp:positionV>
            <wp:extent cx="232563" cy="180975"/>
            <wp:effectExtent l="0" t="0" r="0" b="0"/>
            <wp:wrapNone/>
            <wp:docPr id="49" name="image46.png"/>
            <wp:cNvGraphicFramePr>
              <a:graphicFrameLocks noChangeAspect="1"/>
            </wp:cNvGraphicFramePr>
            <a:graphic>
              <a:graphicData uri="http://schemas.openxmlformats.org/drawingml/2006/picture">
                <pic:pic>
                  <pic:nvPicPr>
                    <pic:cNvPr id="50" name="image46.png"/>
                    <pic:cNvPicPr/>
                  </pic:nvPicPr>
                  <pic:blipFill>
                    <a:blip r:embed="rId82"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664384">
            <wp:simplePos x="0" y="0"/>
            <wp:positionH relativeFrom="page">
              <wp:posOffset>737997</wp:posOffset>
            </wp:positionH>
            <wp:positionV relativeFrom="page">
              <wp:posOffset>6672465</wp:posOffset>
            </wp:positionV>
            <wp:extent cx="5772552" cy="742950"/>
            <wp:effectExtent l="0" t="0" r="0" b="0"/>
            <wp:wrapNone/>
            <wp:docPr id="51" name="image47.png"/>
            <wp:cNvGraphicFramePr>
              <a:graphicFrameLocks noChangeAspect="1"/>
            </wp:cNvGraphicFramePr>
            <a:graphic>
              <a:graphicData uri="http://schemas.openxmlformats.org/drawingml/2006/picture">
                <pic:pic>
                  <pic:nvPicPr>
                    <pic:cNvPr id="52" name="image47.png"/>
                    <pic:cNvPicPr/>
                  </pic:nvPicPr>
                  <pic:blipFill>
                    <a:blip r:embed="rId83" cstate="print"/>
                    <a:stretch>
                      <a:fillRect/>
                    </a:stretch>
                  </pic:blipFill>
                  <pic:spPr>
                    <a:xfrm>
                      <a:off x="0" y="0"/>
                      <a:ext cx="5772552" cy="742950"/>
                    </a:xfrm>
                    <a:prstGeom prst="rect">
                      <a:avLst/>
                    </a:prstGeom>
                  </pic:spPr>
                </pic:pic>
              </a:graphicData>
            </a:graphic>
          </wp:anchor>
        </w:drawing>
      </w:r>
      <w:r>
        <w:rPr>
          <w:rFonts w:ascii="Stone Sans II ITC Std Bk"/>
          <w:position w:val="1427"/>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rFonts w:ascii="Stone Sans II ITC Std Bk"/>
          <w:position w:val="1427"/>
        </w:rPr>
      </w:r>
      <w:r>
        <w:rPr>
          <w:rFonts w:ascii="Stone Sans II ITC Std Bk"/>
          <w:position w:val="1427"/>
        </w:rPr>
        <w:tab/>
      </w:r>
      <w:r>
        <w:rPr>
          <w:rFonts w:ascii="Stone Sans II ITC Std Bk"/>
        </w:rPr>
        <w:pict>
          <v:shape style="width:458.8pt;height:738.7pt;mso-position-horizontal-relative:char;mso-position-vertical-relative:line" type="#_x0000_t202" filled="false" stroked="false">
            <w10:anchorlock/>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56"/>
                    <w:gridCol w:w="3095"/>
                    <w:gridCol w:w="2999"/>
                  </w:tblGrid>
                  <w:tr>
                    <w:trPr>
                      <w:trHeight w:val="4184" w:hRule="atLeast"/>
                    </w:trPr>
                    <w:tc>
                      <w:tcPr>
                        <w:tcW w:w="9150" w:type="dxa"/>
                        <w:gridSpan w:val="3"/>
                        <w:tcBorders>
                          <w:top w:val="nil"/>
                          <w:left w:val="nil"/>
                          <w:right w:val="dotted" w:sz="8" w:space="0" w:color="868685"/>
                        </w:tcBorders>
                      </w:tcPr>
                      <w:p>
                        <w:pPr>
                          <w:pStyle w:val="TableParagraph"/>
                          <w:spacing w:line="373" w:lineRule="exact"/>
                          <w:ind w:left="-1"/>
                          <w:rPr>
                            <w:rFonts w:ascii="Stone Sans II ITC Std Bk"/>
                            <w:b/>
                            <w:sz w:val="29"/>
                          </w:rPr>
                        </w:pPr>
                        <w:r>
                          <w:rPr>
                            <w:rFonts w:ascii="Stone Sans II ITC Std Bk"/>
                            <w:b/>
                            <w:color w:val="CA4F1B"/>
                            <w:w w:val="110"/>
                            <w:sz w:val="29"/>
                          </w:rPr>
                          <w:t>Statement 7: </w:t>
                        </w:r>
                        <w:r>
                          <w:rPr>
                            <w:rFonts w:ascii="Stone Sans II ITC Std Bk"/>
                            <w:b/>
                            <w:w w:val="110"/>
                            <w:sz w:val="29"/>
                          </w:rPr>
                          <w:t>Church growth</w:t>
                        </w:r>
                      </w:p>
                      <w:p>
                        <w:pPr>
                          <w:pStyle w:val="TableParagraph"/>
                          <w:spacing w:before="179"/>
                          <w:ind w:left="-1"/>
                          <w:rPr>
                            <w:rFonts w:ascii="Stone Sans II ITC Std Bk"/>
                            <w:b/>
                            <w:sz w:val="20"/>
                          </w:rPr>
                        </w:pPr>
                        <w:r>
                          <w:rPr>
                            <w:rFonts w:ascii="Stone Sans II ITC Std Bk"/>
                            <w:b/>
                            <w:w w:val="110"/>
                            <w:sz w:val="20"/>
                          </w:rPr>
                          <w:t>We will be a growing Church with an increasing membership.</w:t>
                        </w:r>
                      </w:p>
                      <w:p>
                        <w:pPr>
                          <w:pStyle w:val="TableParagraph"/>
                          <w:spacing w:before="9"/>
                          <w:rPr>
                            <w:rFonts w:ascii="Stone Sans II ITC Std Bk"/>
                            <w:b/>
                            <w:i/>
                            <w:sz w:val="16"/>
                          </w:rPr>
                        </w:pPr>
                      </w:p>
                      <w:p>
                        <w:pPr>
                          <w:pStyle w:val="TableParagraph"/>
                          <w:spacing w:line="235" w:lineRule="auto" w:before="1"/>
                          <w:ind w:left="-1" w:right="445"/>
                          <w:rPr>
                            <w:sz w:val="20"/>
                          </w:rPr>
                        </w:pPr>
                        <w:r>
                          <w:rPr>
                            <w:w w:val="120"/>
                            <w:sz w:val="20"/>
                          </w:rPr>
                          <w:t>The numerical decline of the United Reformed Church raises profound concerns for the denomination’s future sustainability. And yet a significant number of local congregations are growing in number – and other denominations  are  experiencing  local  growth points too. Whilst our growth must be qualitative in terms of our spirituality</w:t>
                        </w:r>
                        <w:r>
                          <w:rPr>
                            <w:spacing w:val="27"/>
                            <w:w w:val="120"/>
                            <w:sz w:val="20"/>
                          </w:rPr>
                          <w:t> </w:t>
                        </w:r>
                        <w:r>
                          <w:rPr>
                            <w:w w:val="120"/>
                            <w:sz w:val="20"/>
                          </w:rPr>
                          <w:t>and</w:t>
                        </w:r>
                      </w:p>
                      <w:p>
                        <w:pPr>
                          <w:pStyle w:val="TableParagraph"/>
                          <w:spacing w:line="194" w:lineRule="auto" w:before="35"/>
                          <w:ind w:left="-1" w:right="445"/>
                          <w:rPr>
                            <w:sz w:val="20"/>
                          </w:rPr>
                        </w:pPr>
                        <w:r>
                          <w:rPr>
                            <w:w w:val="120"/>
                            <w:sz w:val="20"/>
                          </w:rPr>
                          <w:t>fellowship </w:t>
                        </w:r>
                        <w:r>
                          <w:rPr>
                            <w:spacing w:val="-5"/>
                            <w:w w:val="120"/>
                            <w:sz w:val="20"/>
                          </w:rPr>
                          <w:t>(our </w:t>
                        </w:r>
                        <w:r>
                          <w:rPr>
                            <w:w w:val="120"/>
                            <w:sz w:val="20"/>
                          </w:rPr>
                          <w:t>faithfulness), we should be bold enough to seek quantitative growth too </w:t>
                        </w:r>
                        <w:r>
                          <w:rPr>
                            <w:spacing w:val="-5"/>
                            <w:w w:val="120"/>
                            <w:sz w:val="20"/>
                          </w:rPr>
                          <w:t>(our</w:t>
                        </w:r>
                        <w:r>
                          <w:rPr>
                            <w:spacing w:val="-39"/>
                            <w:w w:val="120"/>
                            <w:sz w:val="20"/>
                          </w:rPr>
                          <w:t> </w:t>
                        </w:r>
                        <w:r>
                          <w:rPr>
                            <w:w w:val="120"/>
                            <w:sz w:val="20"/>
                          </w:rPr>
                          <w:t>fruitfulness).</w:t>
                        </w:r>
                        <w:r>
                          <w:rPr>
                            <w:spacing w:val="-38"/>
                            <w:w w:val="120"/>
                            <w:sz w:val="20"/>
                          </w:rPr>
                          <w:t> </w:t>
                        </w:r>
                        <w:r>
                          <w:rPr>
                            <w:w w:val="120"/>
                            <w:sz w:val="20"/>
                          </w:rPr>
                          <w:t>With</w:t>
                        </w:r>
                        <w:r>
                          <w:rPr>
                            <w:spacing w:val="-39"/>
                            <w:w w:val="120"/>
                            <w:sz w:val="20"/>
                          </w:rPr>
                          <w:t> </w:t>
                        </w:r>
                        <w:r>
                          <w:rPr>
                            <w:w w:val="120"/>
                            <w:sz w:val="20"/>
                          </w:rPr>
                          <w:t>resources</w:t>
                        </w:r>
                        <w:r>
                          <w:rPr>
                            <w:spacing w:val="-38"/>
                            <w:w w:val="120"/>
                            <w:sz w:val="20"/>
                          </w:rPr>
                          <w:t> </w:t>
                        </w:r>
                        <w:r>
                          <w:rPr>
                            <w:w w:val="120"/>
                            <w:sz w:val="20"/>
                          </w:rPr>
                          <w:t>such</w:t>
                        </w:r>
                        <w:r>
                          <w:rPr>
                            <w:spacing w:val="-38"/>
                            <w:w w:val="120"/>
                            <w:sz w:val="20"/>
                          </w:rPr>
                          <w:t> </w:t>
                        </w:r>
                        <w:r>
                          <w:rPr>
                            <w:w w:val="120"/>
                            <w:sz w:val="20"/>
                          </w:rPr>
                          <w:t>as</w:t>
                        </w:r>
                        <w:r>
                          <w:rPr>
                            <w:spacing w:val="-39"/>
                            <w:w w:val="120"/>
                            <w:sz w:val="20"/>
                          </w:rPr>
                          <w:t> </w:t>
                        </w:r>
                        <w:r>
                          <w:rPr>
                            <w:w w:val="120"/>
                            <w:sz w:val="20"/>
                          </w:rPr>
                          <w:t>the</w:t>
                        </w:r>
                        <w:r>
                          <w:rPr>
                            <w:spacing w:val="-38"/>
                            <w:w w:val="120"/>
                            <w:sz w:val="20"/>
                          </w:rPr>
                          <w:t> </w:t>
                        </w:r>
                        <w:r>
                          <w:rPr>
                            <w:rFonts w:ascii="Arial Rounded MT Bold"/>
                            <w:w w:val="120"/>
                            <w:sz w:val="21"/>
                          </w:rPr>
                          <w:t>Vision4</w:t>
                        </w:r>
                        <w:r>
                          <w:rPr>
                            <w:rFonts w:ascii="Bradley Hand ITC"/>
                            <w:color w:val="C20D19"/>
                            <w:w w:val="120"/>
                            <w:sz w:val="28"/>
                          </w:rPr>
                          <w:t>Life</w:t>
                        </w:r>
                        <w:r>
                          <w:rPr>
                            <w:rFonts w:ascii="Bradley Hand ITC"/>
                            <w:color w:val="C20D19"/>
                            <w:spacing w:val="-72"/>
                            <w:w w:val="120"/>
                            <w:sz w:val="28"/>
                          </w:rPr>
                          <w:t> </w:t>
                        </w:r>
                        <w:r>
                          <w:rPr>
                            <w:w w:val="120"/>
                            <w:sz w:val="20"/>
                          </w:rPr>
                          <w:t>evangelism</w:t>
                        </w:r>
                        <w:r>
                          <w:rPr>
                            <w:spacing w:val="-38"/>
                            <w:w w:val="120"/>
                            <w:sz w:val="20"/>
                          </w:rPr>
                          <w:t> </w:t>
                        </w:r>
                        <w:r>
                          <w:rPr>
                            <w:spacing w:val="-4"/>
                            <w:w w:val="120"/>
                            <w:sz w:val="20"/>
                          </w:rPr>
                          <w:t>year,</w:t>
                        </w:r>
                        <w:r>
                          <w:rPr>
                            <w:spacing w:val="-38"/>
                            <w:w w:val="120"/>
                            <w:sz w:val="20"/>
                          </w:rPr>
                          <w:t> </w:t>
                        </w:r>
                        <w:r>
                          <w:rPr>
                            <w:w w:val="120"/>
                            <w:sz w:val="20"/>
                          </w:rPr>
                          <w:t>the</w:t>
                        </w:r>
                        <w:r>
                          <w:rPr>
                            <w:spacing w:val="-39"/>
                            <w:w w:val="120"/>
                            <w:sz w:val="20"/>
                          </w:rPr>
                          <w:t> </w:t>
                        </w:r>
                        <w:r>
                          <w:rPr>
                            <w:i/>
                            <w:w w:val="120"/>
                            <w:sz w:val="20"/>
                          </w:rPr>
                          <w:t>Marketing </w:t>
                        </w:r>
                        <w:r>
                          <w:rPr>
                            <w:i/>
                            <w:w w:val="120"/>
                            <w:sz w:val="20"/>
                          </w:rPr>
                          <w:t>Campaign</w:t>
                        </w:r>
                        <w:r>
                          <w:rPr>
                            <w:i/>
                            <w:spacing w:val="-10"/>
                            <w:w w:val="120"/>
                            <w:sz w:val="20"/>
                          </w:rPr>
                          <w:t> </w:t>
                        </w:r>
                        <w:r>
                          <w:rPr>
                            <w:w w:val="120"/>
                            <w:sz w:val="20"/>
                          </w:rPr>
                          <w:t>and</w:t>
                        </w:r>
                        <w:r>
                          <w:rPr>
                            <w:spacing w:val="-9"/>
                            <w:w w:val="120"/>
                            <w:sz w:val="20"/>
                          </w:rPr>
                          <w:t> </w:t>
                        </w:r>
                        <w:r>
                          <w:rPr>
                            <w:i/>
                            <w:w w:val="120"/>
                            <w:sz w:val="20"/>
                          </w:rPr>
                          <w:t>Fresh</w:t>
                        </w:r>
                        <w:r>
                          <w:rPr>
                            <w:i/>
                            <w:spacing w:val="-11"/>
                            <w:w w:val="120"/>
                            <w:sz w:val="20"/>
                          </w:rPr>
                          <w:t> </w:t>
                        </w:r>
                        <w:r>
                          <w:rPr>
                            <w:i/>
                            <w:w w:val="120"/>
                            <w:sz w:val="20"/>
                          </w:rPr>
                          <w:t>Expressions</w:t>
                        </w:r>
                        <w:r>
                          <w:rPr>
                            <w:i/>
                            <w:spacing w:val="-10"/>
                            <w:w w:val="120"/>
                            <w:sz w:val="20"/>
                          </w:rPr>
                          <w:t> </w:t>
                        </w:r>
                        <w:r>
                          <w:rPr>
                            <w:w w:val="120"/>
                            <w:sz w:val="20"/>
                          </w:rPr>
                          <w:t>at</w:t>
                        </w:r>
                        <w:r>
                          <w:rPr>
                            <w:spacing w:val="-9"/>
                            <w:w w:val="120"/>
                            <w:sz w:val="20"/>
                          </w:rPr>
                          <w:t> </w:t>
                        </w:r>
                        <w:r>
                          <w:rPr>
                            <w:w w:val="120"/>
                            <w:sz w:val="20"/>
                          </w:rPr>
                          <w:t>our</w:t>
                        </w:r>
                        <w:r>
                          <w:rPr>
                            <w:spacing w:val="-9"/>
                            <w:w w:val="120"/>
                            <w:sz w:val="20"/>
                          </w:rPr>
                          <w:t> </w:t>
                        </w:r>
                        <w:r>
                          <w:rPr>
                            <w:w w:val="120"/>
                            <w:sz w:val="20"/>
                          </w:rPr>
                          <w:t>disposal</w:t>
                        </w:r>
                        <w:r>
                          <w:rPr>
                            <w:spacing w:val="-9"/>
                            <w:w w:val="120"/>
                            <w:sz w:val="20"/>
                          </w:rPr>
                          <w:t> </w:t>
                        </w:r>
                        <w:r>
                          <w:rPr>
                            <w:w w:val="120"/>
                            <w:sz w:val="20"/>
                          </w:rPr>
                          <w:t>we</w:t>
                        </w:r>
                        <w:r>
                          <w:rPr>
                            <w:spacing w:val="-9"/>
                            <w:w w:val="120"/>
                            <w:sz w:val="20"/>
                          </w:rPr>
                          <w:t> </w:t>
                        </w:r>
                        <w:r>
                          <w:rPr>
                            <w:w w:val="120"/>
                            <w:sz w:val="20"/>
                          </w:rPr>
                          <w:t>have</w:t>
                        </w:r>
                        <w:r>
                          <w:rPr>
                            <w:spacing w:val="-10"/>
                            <w:w w:val="120"/>
                            <w:sz w:val="20"/>
                          </w:rPr>
                          <w:t> </w:t>
                        </w:r>
                        <w:r>
                          <w:rPr>
                            <w:w w:val="120"/>
                            <w:sz w:val="20"/>
                          </w:rPr>
                          <w:t>every</w:t>
                        </w:r>
                        <w:r>
                          <w:rPr>
                            <w:spacing w:val="-9"/>
                            <w:w w:val="120"/>
                            <w:sz w:val="20"/>
                          </w:rPr>
                          <w:t> </w:t>
                        </w:r>
                        <w:r>
                          <w:rPr>
                            <w:w w:val="120"/>
                            <w:sz w:val="20"/>
                          </w:rPr>
                          <w:t>reason</w:t>
                        </w:r>
                        <w:r>
                          <w:rPr>
                            <w:spacing w:val="-9"/>
                            <w:w w:val="120"/>
                            <w:sz w:val="20"/>
                          </w:rPr>
                          <w:t> </w:t>
                        </w:r>
                        <w:r>
                          <w:rPr>
                            <w:w w:val="120"/>
                            <w:sz w:val="20"/>
                          </w:rPr>
                          <w:t>to</w:t>
                        </w:r>
                        <w:r>
                          <w:rPr>
                            <w:spacing w:val="-9"/>
                            <w:w w:val="120"/>
                            <w:sz w:val="20"/>
                          </w:rPr>
                          <w:t> </w:t>
                        </w:r>
                        <w:r>
                          <w:rPr>
                            <w:w w:val="120"/>
                            <w:sz w:val="20"/>
                          </w:rPr>
                          <w:t>be</w:t>
                        </w:r>
                        <w:r>
                          <w:rPr>
                            <w:spacing w:val="-9"/>
                            <w:w w:val="120"/>
                            <w:sz w:val="20"/>
                          </w:rPr>
                          <w:t> </w:t>
                        </w:r>
                        <w:r>
                          <w:rPr>
                            <w:w w:val="120"/>
                            <w:sz w:val="20"/>
                          </w:rPr>
                          <w:t>hopeful</w:t>
                        </w:r>
                        <w:r>
                          <w:rPr>
                            <w:spacing w:val="-10"/>
                            <w:w w:val="120"/>
                            <w:sz w:val="20"/>
                          </w:rPr>
                          <w:t> </w:t>
                        </w:r>
                        <w:r>
                          <w:rPr>
                            <w:w w:val="120"/>
                            <w:sz w:val="20"/>
                          </w:rPr>
                          <w:t>that</w:t>
                        </w:r>
                      </w:p>
                      <w:p>
                        <w:pPr>
                          <w:pStyle w:val="TableParagraph"/>
                          <w:spacing w:line="235" w:lineRule="auto" w:before="9"/>
                          <w:rPr>
                            <w:sz w:val="20"/>
                          </w:rPr>
                        </w:pPr>
                        <w:r>
                          <w:rPr>
                            <w:w w:val="120"/>
                            <w:sz w:val="20"/>
                          </w:rPr>
                          <w:t>our denomination can grow again. We must also explore and embrace new forms of the emerging Church.</w:t>
                        </w:r>
                      </w:p>
                      <w:p>
                        <w:pPr>
                          <w:pStyle w:val="TableParagraph"/>
                          <w:spacing w:before="5"/>
                          <w:rPr>
                            <w:rFonts w:ascii="Stone Sans II ITC Std Bk"/>
                            <w:b/>
                            <w:i/>
                            <w:sz w:val="34"/>
                          </w:rPr>
                        </w:pPr>
                      </w:p>
                      <w:p>
                        <w:pPr>
                          <w:pStyle w:val="TableParagraph"/>
                          <w:spacing w:before="1"/>
                          <w:rPr>
                            <w:rFonts w:ascii="Stone Sans II ITC Std Bk"/>
                            <w:b/>
                            <w:i/>
                            <w:sz w:val="20"/>
                          </w:rPr>
                        </w:pPr>
                        <w:r>
                          <w:rPr>
                            <w:rFonts w:ascii="Stone Sans II ITC Std Bk"/>
                            <w:b/>
                            <w:i/>
                            <w:w w:val="110"/>
                            <w:sz w:val="20"/>
                          </w:rPr>
                          <w:t>Some suggested indicators:</w:t>
                        </w:r>
                      </w:p>
                    </w:tc>
                  </w:tr>
                  <w:tr>
                    <w:trPr>
                      <w:trHeight w:val="373" w:hRule="atLeast"/>
                    </w:trPr>
                    <w:tc>
                      <w:tcPr>
                        <w:tcW w:w="3056" w:type="dxa"/>
                        <w:shd w:val="clear" w:color="auto" w:fill="CA4F1B"/>
                      </w:tcPr>
                      <w:p>
                        <w:pPr>
                          <w:pStyle w:val="TableParagraph"/>
                          <w:spacing w:line="248" w:lineRule="exact" w:before="105"/>
                          <w:ind w:left="79"/>
                          <w:rPr>
                            <w:rFonts w:ascii="Stone Sans II ITC Std Bk"/>
                            <w:b/>
                            <w:i/>
                            <w:sz w:val="20"/>
                          </w:rPr>
                        </w:pPr>
                        <w:r>
                          <w:rPr>
                            <w:rFonts w:ascii="Stone Sans II ITC Std Bk"/>
                            <w:b/>
                            <w:i/>
                            <w:color w:val="FFFFFF"/>
                            <w:w w:val="110"/>
                            <w:sz w:val="20"/>
                          </w:rPr>
                          <w:t>Local Indicators</w:t>
                        </w:r>
                      </w:p>
                    </w:tc>
                    <w:tc>
                      <w:tcPr>
                        <w:tcW w:w="3095" w:type="dxa"/>
                        <w:shd w:val="clear" w:color="auto" w:fill="CA4F1B"/>
                      </w:tcPr>
                      <w:p>
                        <w:pPr>
                          <w:pStyle w:val="TableParagraph"/>
                          <w:spacing w:line="248" w:lineRule="exact" w:before="105"/>
                          <w:ind w:left="80"/>
                          <w:rPr>
                            <w:rFonts w:ascii="Stone Sans II ITC Std Bk"/>
                            <w:b/>
                            <w:i/>
                            <w:sz w:val="20"/>
                          </w:rPr>
                        </w:pPr>
                        <w:r>
                          <w:rPr>
                            <w:rFonts w:ascii="Stone Sans II ITC Std Bk"/>
                            <w:b/>
                            <w:i/>
                            <w:color w:val="FFFFFF"/>
                            <w:w w:val="110"/>
                            <w:sz w:val="20"/>
                          </w:rPr>
                          <w:t>Synod Indicators</w:t>
                        </w:r>
                      </w:p>
                    </w:tc>
                    <w:tc>
                      <w:tcPr>
                        <w:tcW w:w="2999" w:type="dxa"/>
                        <w:tcBorders>
                          <w:right w:val="thickThinMediumGap" w:sz="4" w:space="0" w:color="868685"/>
                        </w:tcBorders>
                        <w:shd w:val="clear" w:color="auto" w:fill="CA4F1B"/>
                      </w:tcPr>
                      <w:p>
                        <w:pPr>
                          <w:pStyle w:val="TableParagraph"/>
                          <w:spacing w:line="248" w:lineRule="exact" w:before="105"/>
                          <w:ind w:left="80"/>
                          <w:rPr>
                            <w:rFonts w:ascii="Stone Sans II ITC Std Bk"/>
                            <w:b/>
                            <w:i/>
                            <w:sz w:val="20"/>
                          </w:rPr>
                        </w:pPr>
                        <w:r>
                          <w:rPr>
                            <w:rFonts w:ascii="Stone Sans II ITC Std Bk"/>
                            <w:b/>
                            <w:i/>
                            <w:color w:val="FFFFFF"/>
                            <w:w w:val="110"/>
                            <w:sz w:val="20"/>
                          </w:rPr>
                          <w:t>Assembly Indicators</w:t>
                        </w:r>
                      </w:p>
                    </w:tc>
                  </w:tr>
                  <w:tr>
                    <w:trPr>
                      <w:trHeight w:val="5916" w:hRule="atLeast"/>
                    </w:trPr>
                    <w:tc>
                      <w:tcPr>
                        <w:tcW w:w="3056" w:type="dxa"/>
                      </w:tcPr>
                      <w:p>
                        <w:pPr>
                          <w:pStyle w:val="TableParagraph"/>
                          <w:numPr>
                            <w:ilvl w:val="0"/>
                            <w:numId w:val="39"/>
                          </w:numPr>
                          <w:tabs>
                            <w:tab w:pos="307" w:val="left" w:leader="none"/>
                          </w:tabs>
                          <w:spacing w:line="196" w:lineRule="auto" w:before="150" w:after="0"/>
                          <w:ind w:left="306" w:right="115" w:hanging="227"/>
                          <w:jc w:val="left"/>
                          <w:rPr>
                            <w:sz w:val="20"/>
                          </w:rPr>
                        </w:pPr>
                        <w:r>
                          <w:rPr>
                            <w:w w:val="120"/>
                            <w:sz w:val="20"/>
                          </w:rPr>
                          <w:t>The numbers of new people attending</w:t>
                        </w:r>
                        <w:r>
                          <w:rPr>
                            <w:spacing w:val="25"/>
                            <w:w w:val="120"/>
                            <w:sz w:val="20"/>
                          </w:rPr>
                          <w:t> </w:t>
                        </w:r>
                        <w:r>
                          <w:rPr>
                            <w:w w:val="120"/>
                            <w:sz w:val="20"/>
                          </w:rPr>
                          <w:t>church</w:t>
                        </w:r>
                      </w:p>
                      <w:p>
                        <w:pPr>
                          <w:pStyle w:val="TableParagraph"/>
                          <w:spacing w:line="235" w:lineRule="auto" w:before="11"/>
                          <w:ind w:left="306"/>
                          <w:rPr>
                            <w:sz w:val="20"/>
                          </w:rPr>
                        </w:pPr>
                        <w:r>
                          <w:rPr>
                            <w:w w:val="120"/>
                            <w:sz w:val="20"/>
                          </w:rPr>
                          <w:t>and returning for a second time.</w:t>
                        </w:r>
                      </w:p>
                      <w:p>
                        <w:pPr>
                          <w:pStyle w:val="TableParagraph"/>
                          <w:numPr>
                            <w:ilvl w:val="0"/>
                            <w:numId w:val="39"/>
                          </w:numPr>
                          <w:tabs>
                            <w:tab w:pos="307" w:val="left" w:leader="none"/>
                          </w:tabs>
                          <w:spacing w:line="196" w:lineRule="auto" w:before="7" w:after="0"/>
                          <w:ind w:left="306" w:right="794" w:hanging="227"/>
                          <w:jc w:val="left"/>
                          <w:rPr>
                            <w:sz w:val="20"/>
                          </w:rPr>
                        </w:pPr>
                        <w:r>
                          <w:rPr>
                            <w:w w:val="120"/>
                            <w:sz w:val="20"/>
                          </w:rPr>
                          <w:t>The number of </w:t>
                        </w:r>
                        <w:r>
                          <w:rPr>
                            <w:spacing w:val="-4"/>
                            <w:w w:val="120"/>
                            <w:sz w:val="20"/>
                          </w:rPr>
                          <w:t>new </w:t>
                        </w:r>
                        <w:r>
                          <w:rPr>
                            <w:w w:val="120"/>
                            <w:sz w:val="20"/>
                          </w:rPr>
                          <w:t>church</w:t>
                        </w:r>
                        <w:r>
                          <w:rPr>
                            <w:spacing w:val="6"/>
                            <w:w w:val="120"/>
                            <w:sz w:val="20"/>
                          </w:rPr>
                          <w:t> </w:t>
                        </w:r>
                        <w:r>
                          <w:rPr>
                            <w:w w:val="120"/>
                            <w:sz w:val="20"/>
                          </w:rPr>
                          <w:t>members.</w:t>
                        </w:r>
                      </w:p>
                      <w:p>
                        <w:pPr>
                          <w:pStyle w:val="TableParagraph"/>
                          <w:numPr>
                            <w:ilvl w:val="0"/>
                            <w:numId w:val="39"/>
                          </w:numPr>
                          <w:tabs>
                            <w:tab w:pos="307" w:val="left" w:leader="none"/>
                          </w:tabs>
                          <w:spacing w:line="216" w:lineRule="auto" w:before="0" w:after="0"/>
                          <w:ind w:left="306" w:right="67" w:hanging="227"/>
                          <w:jc w:val="left"/>
                          <w:rPr>
                            <w:sz w:val="20"/>
                          </w:rPr>
                        </w:pPr>
                        <w:r>
                          <w:rPr>
                            <w:w w:val="120"/>
                            <w:sz w:val="20"/>
                          </w:rPr>
                          <w:t>The number of children and young people who </w:t>
                        </w:r>
                        <w:r>
                          <w:rPr>
                            <w:spacing w:val="-4"/>
                            <w:w w:val="120"/>
                            <w:sz w:val="20"/>
                          </w:rPr>
                          <w:t>are </w:t>
                        </w:r>
                        <w:r>
                          <w:rPr>
                            <w:w w:val="120"/>
                            <w:sz w:val="20"/>
                          </w:rPr>
                          <w:t>actively involved in</w:t>
                        </w:r>
                        <w:r>
                          <w:rPr>
                            <w:spacing w:val="30"/>
                            <w:w w:val="120"/>
                            <w:sz w:val="20"/>
                          </w:rPr>
                          <w:t> </w:t>
                        </w:r>
                        <w:r>
                          <w:rPr>
                            <w:w w:val="120"/>
                            <w:sz w:val="20"/>
                          </w:rPr>
                          <w:t>church</w:t>
                        </w:r>
                      </w:p>
                      <w:p>
                        <w:pPr>
                          <w:pStyle w:val="TableParagraph"/>
                          <w:spacing w:line="226" w:lineRule="exact"/>
                          <w:ind w:left="306"/>
                          <w:rPr>
                            <w:sz w:val="20"/>
                          </w:rPr>
                        </w:pPr>
                        <w:r>
                          <w:rPr>
                            <w:w w:val="120"/>
                            <w:sz w:val="20"/>
                          </w:rPr>
                          <w:t>life.</w:t>
                        </w:r>
                      </w:p>
                      <w:p>
                        <w:pPr>
                          <w:pStyle w:val="TableParagraph"/>
                          <w:numPr>
                            <w:ilvl w:val="0"/>
                            <w:numId w:val="39"/>
                          </w:numPr>
                          <w:tabs>
                            <w:tab w:pos="307" w:val="left" w:leader="none"/>
                          </w:tabs>
                          <w:spacing w:line="216" w:lineRule="auto" w:before="3" w:after="0"/>
                          <w:ind w:left="306" w:right="178" w:hanging="227"/>
                          <w:jc w:val="left"/>
                          <w:rPr>
                            <w:sz w:val="20"/>
                          </w:rPr>
                        </w:pPr>
                        <w:r>
                          <w:rPr>
                            <w:w w:val="120"/>
                            <w:sz w:val="20"/>
                          </w:rPr>
                          <w:t>Developing a ‘fresh expression’ or new way of doing</w:t>
                        </w:r>
                        <w:r>
                          <w:rPr>
                            <w:spacing w:val="4"/>
                            <w:w w:val="120"/>
                            <w:sz w:val="20"/>
                          </w:rPr>
                          <w:t> </w:t>
                        </w:r>
                        <w:r>
                          <w:rPr>
                            <w:w w:val="120"/>
                            <w:sz w:val="20"/>
                          </w:rPr>
                          <w:t>church.</w:t>
                        </w:r>
                      </w:p>
                      <w:p>
                        <w:pPr>
                          <w:pStyle w:val="TableParagraph"/>
                          <w:numPr>
                            <w:ilvl w:val="0"/>
                            <w:numId w:val="39"/>
                          </w:numPr>
                          <w:tabs>
                            <w:tab w:pos="307" w:val="left" w:leader="none"/>
                          </w:tabs>
                          <w:spacing w:line="216" w:lineRule="auto" w:before="0" w:after="0"/>
                          <w:ind w:left="306" w:right="109" w:hanging="227"/>
                          <w:jc w:val="left"/>
                          <w:rPr>
                            <w:sz w:val="20"/>
                          </w:rPr>
                        </w:pPr>
                        <w:r>
                          <w:rPr>
                            <w:w w:val="120"/>
                            <w:sz w:val="20"/>
                          </w:rPr>
                          <w:t>An increased profile and awareness of the church in local</w:t>
                        </w:r>
                        <w:r>
                          <w:rPr>
                            <w:spacing w:val="2"/>
                            <w:w w:val="120"/>
                            <w:sz w:val="20"/>
                          </w:rPr>
                          <w:t> </w:t>
                        </w:r>
                        <w:r>
                          <w:rPr>
                            <w:w w:val="120"/>
                            <w:sz w:val="20"/>
                          </w:rPr>
                          <w:t>media.</w:t>
                        </w:r>
                      </w:p>
                    </w:tc>
                    <w:tc>
                      <w:tcPr>
                        <w:tcW w:w="3095" w:type="dxa"/>
                      </w:tcPr>
                      <w:p>
                        <w:pPr>
                          <w:pStyle w:val="TableParagraph"/>
                          <w:numPr>
                            <w:ilvl w:val="0"/>
                            <w:numId w:val="40"/>
                          </w:numPr>
                          <w:tabs>
                            <w:tab w:pos="308" w:val="left" w:leader="none"/>
                          </w:tabs>
                          <w:spacing w:line="216" w:lineRule="auto" w:before="133" w:after="0"/>
                          <w:ind w:left="307" w:right="97" w:hanging="227"/>
                          <w:jc w:val="left"/>
                          <w:rPr>
                            <w:sz w:val="20"/>
                          </w:rPr>
                        </w:pPr>
                        <w:r>
                          <w:rPr>
                            <w:w w:val="120"/>
                            <w:sz w:val="20"/>
                          </w:rPr>
                          <w:t>The number of new church members and adherents across the whole</w:t>
                        </w:r>
                        <w:r>
                          <w:rPr>
                            <w:spacing w:val="10"/>
                            <w:w w:val="120"/>
                            <w:sz w:val="20"/>
                          </w:rPr>
                          <w:t> </w:t>
                        </w:r>
                        <w:r>
                          <w:rPr>
                            <w:w w:val="120"/>
                            <w:sz w:val="20"/>
                          </w:rPr>
                          <w:t>Synod.</w:t>
                        </w:r>
                      </w:p>
                      <w:p>
                        <w:pPr>
                          <w:pStyle w:val="TableParagraph"/>
                          <w:numPr>
                            <w:ilvl w:val="0"/>
                            <w:numId w:val="40"/>
                          </w:numPr>
                          <w:tabs>
                            <w:tab w:pos="308" w:val="left" w:leader="none"/>
                          </w:tabs>
                          <w:spacing w:line="216" w:lineRule="auto" w:before="0" w:after="0"/>
                          <w:ind w:left="307" w:right="146" w:hanging="227"/>
                          <w:jc w:val="left"/>
                          <w:rPr>
                            <w:sz w:val="20"/>
                          </w:rPr>
                        </w:pPr>
                        <w:r>
                          <w:rPr>
                            <w:w w:val="120"/>
                            <w:sz w:val="20"/>
                          </w:rPr>
                          <w:t>The number of churches supported to explore</w:t>
                        </w:r>
                        <w:r>
                          <w:rPr>
                            <w:spacing w:val="-16"/>
                            <w:w w:val="120"/>
                            <w:sz w:val="20"/>
                          </w:rPr>
                          <w:t> </w:t>
                        </w:r>
                        <w:r>
                          <w:rPr>
                            <w:i/>
                            <w:w w:val="120"/>
                            <w:sz w:val="20"/>
                          </w:rPr>
                          <w:t>Fresh </w:t>
                        </w:r>
                        <w:r>
                          <w:rPr>
                            <w:i/>
                            <w:w w:val="120"/>
                            <w:sz w:val="20"/>
                          </w:rPr>
                          <w:t>Expressions</w:t>
                        </w:r>
                        <w:r>
                          <w:rPr>
                            <w:i/>
                            <w:spacing w:val="-19"/>
                            <w:w w:val="120"/>
                            <w:sz w:val="20"/>
                          </w:rPr>
                          <w:t> </w:t>
                        </w:r>
                        <w:r>
                          <w:rPr>
                            <w:w w:val="120"/>
                            <w:sz w:val="20"/>
                          </w:rPr>
                          <w:t>or</w:t>
                        </w:r>
                        <w:r>
                          <w:rPr>
                            <w:spacing w:val="-19"/>
                            <w:w w:val="120"/>
                            <w:sz w:val="20"/>
                          </w:rPr>
                          <w:t> </w:t>
                        </w:r>
                        <w:r>
                          <w:rPr>
                            <w:w w:val="120"/>
                            <w:sz w:val="20"/>
                          </w:rPr>
                          <w:t>new</w:t>
                        </w:r>
                        <w:r>
                          <w:rPr>
                            <w:spacing w:val="-18"/>
                            <w:w w:val="120"/>
                            <w:sz w:val="20"/>
                          </w:rPr>
                          <w:t> </w:t>
                        </w:r>
                        <w:r>
                          <w:rPr>
                            <w:w w:val="120"/>
                            <w:sz w:val="20"/>
                          </w:rPr>
                          <w:t>ways</w:t>
                        </w:r>
                        <w:r>
                          <w:rPr>
                            <w:spacing w:val="-19"/>
                            <w:w w:val="120"/>
                            <w:sz w:val="20"/>
                          </w:rPr>
                          <w:t> </w:t>
                        </w:r>
                        <w:r>
                          <w:rPr>
                            <w:w w:val="120"/>
                            <w:sz w:val="20"/>
                          </w:rPr>
                          <w:t>of</w:t>
                        </w:r>
                      </w:p>
                      <w:p>
                        <w:pPr>
                          <w:pStyle w:val="TableParagraph"/>
                          <w:spacing w:line="226" w:lineRule="exact"/>
                          <w:ind w:left="307"/>
                          <w:rPr>
                            <w:sz w:val="20"/>
                          </w:rPr>
                        </w:pPr>
                        <w:r>
                          <w:rPr>
                            <w:w w:val="125"/>
                            <w:sz w:val="20"/>
                          </w:rPr>
                          <w:t>doing church.</w:t>
                        </w:r>
                      </w:p>
                      <w:p>
                        <w:pPr>
                          <w:pStyle w:val="TableParagraph"/>
                          <w:numPr>
                            <w:ilvl w:val="0"/>
                            <w:numId w:val="40"/>
                          </w:numPr>
                          <w:tabs>
                            <w:tab w:pos="308" w:val="left" w:leader="none"/>
                          </w:tabs>
                          <w:spacing w:line="216" w:lineRule="auto" w:before="0" w:after="0"/>
                          <w:ind w:left="307" w:right="642" w:hanging="227"/>
                          <w:jc w:val="left"/>
                          <w:rPr>
                            <w:sz w:val="20"/>
                          </w:rPr>
                        </w:pPr>
                        <w:r>
                          <w:rPr>
                            <w:w w:val="120"/>
                            <w:sz w:val="20"/>
                          </w:rPr>
                          <w:t>The number of new ‘communities of</w:t>
                        </w:r>
                        <w:r>
                          <w:rPr>
                            <w:spacing w:val="-18"/>
                            <w:w w:val="120"/>
                            <w:sz w:val="20"/>
                          </w:rPr>
                          <w:t> </w:t>
                        </w:r>
                        <w:r>
                          <w:rPr>
                            <w:w w:val="120"/>
                            <w:sz w:val="20"/>
                          </w:rPr>
                          <w:t>faith’ within the</w:t>
                        </w:r>
                        <w:r>
                          <w:rPr>
                            <w:spacing w:val="8"/>
                            <w:w w:val="120"/>
                            <w:sz w:val="20"/>
                          </w:rPr>
                          <w:t> </w:t>
                        </w:r>
                        <w:r>
                          <w:rPr>
                            <w:w w:val="120"/>
                            <w:sz w:val="20"/>
                          </w:rPr>
                          <w:t>synod.</w:t>
                        </w:r>
                      </w:p>
                      <w:p>
                        <w:pPr>
                          <w:pStyle w:val="TableParagraph"/>
                          <w:numPr>
                            <w:ilvl w:val="0"/>
                            <w:numId w:val="40"/>
                          </w:numPr>
                          <w:tabs>
                            <w:tab w:pos="308" w:val="left" w:leader="none"/>
                          </w:tabs>
                          <w:spacing w:line="216" w:lineRule="auto" w:before="0" w:after="0"/>
                          <w:ind w:left="307" w:right="159" w:hanging="227"/>
                          <w:jc w:val="left"/>
                          <w:rPr>
                            <w:sz w:val="20"/>
                          </w:rPr>
                        </w:pPr>
                        <w:r>
                          <w:rPr>
                            <w:w w:val="120"/>
                            <w:sz w:val="20"/>
                          </w:rPr>
                          <w:t>The number of people involved in </w:t>
                        </w:r>
                        <w:r>
                          <w:rPr>
                            <w:spacing w:val="2"/>
                            <w:w w:val="120"/>
                            <w:sz w:val="20"/>
                          </w:rPr>
                          <w:t>TLS </w:t>
                        </w:r>
                        <w:r>
                          <w:rPr>
                            <w:w w:val="120"/>
                            <w:sz w:val="20"/>
                          </w:rPr>
                          <w:t>and similar programmes.</w:t>
                        </w:r>
                      </w:p>
                    </w:tc>
                    <w:tc>
                      <w:tcPr>
                        <w:tcW w:w="2999" w:type="dxa"/>
                        <w:tcBorders>
                          <w:right w:val="thickThinMediumGap" w:sz="4" w:space="0" w:color="868685"/>
                        </w:tcBorders>
                      </w:tcPr>
                      <w:p>
                        <w:pPr>
                          <w:pStyle w:val="TableParagraph"/>
                          <w:numPr>
                            <w:ilvl w:val="0"/>
                            <w:numId w:val="41"/>
                          </w:numPr>
                          <w:tabs>
                            <w:tab w:pos="308" w:val="left" w:leader="none"/>
                          </w:tabs>
                          <w:spacing w:line="196" w:lineRule="auto" w:before="150" w:after="0"/>
                          <w:ind w:left="307" w:right="498" w:hanging="227"/>
                          <w:jc w:val="left"/>
                          <w:rPr>
                            <w:sz w:val="20"/>
                          </w:rPr>
                        </w:pPr>
                        <w:r>
                          <w:rPr>
                            <w:w w:val="125"/>
                            <w:sz w:val="20"/>
                          </w:rPr>
                          <w:t>The growth in URC membership by</w:t>
                        </w:r>
                        <w:r>
                          <w:rPr>
                            <w:spacing w:val="-45"/>
                            <w:w w:val="125"/>
                            <w:sz w:val="20"/>
                          </w:rPr>
                          <w:t> </w:t>
                        </w:r>
                        <w:r>
                          <w:rPr>
                            <w:w w:val="125"/>
                            <w:sz w:val="20"/>
                          </w:rPr>
                          <w:t>2020.</w:t>
                        </w:r>
                      </w:p>
                      <w:p>
                        <w:pPr>
                          <w:pStyle w:val="TableParagraph"/>
                          <w:numPr>
                            <w:ilvl w:val="0"/>
                            <w:numId w:val="41"/>
                          </w:numPr>
                          <w:tabs>
                            <w:tab w:pos="308" w:val="left" w:leader="none"/>
                          </w:tabs>
                          <w:spacing w:line="216" w:lineRule="auto" w:before="0" w:after="0"/>
                          <w:ind w:left="307" w:right="451" w:hanging="227"/>
                          <w:jc w:val="left"/>
                          <w:rPr>
                            <w:sz w:val="20"/>
                          </w:rPr>
                        </w:pPr>
                        <w:r>
                          <w:rPr>
                            <w:w w:val="120"/>
                            <w:sz w:val="20"/>
                          </w:rPr>
                          <w:t>The number of people candidating to be ministers and</w:t>
                        </w:r>
                        <w:r>
                          <w:rPr>
                            <w:spacing w:val="5"/>
                            <w:w w:val="120"/>
                            <w:sz w:val="20"/>
                          </w:rPr>
                          <w:t> </w:t>
                        </w:r>
                        <w:r>
                          <w:rPr>
                            <w:w w:val="120"/>
                            <w:sz w:val="20"/>
                          </w:rPr>
                          <w:t>church-</w:t>
                        </w:r>
                      </w:p>
                      <w:p>
                        <w:pPr>
                          <w:pStyle w:val="TableParagraph"/>
                          <w:spacing w:line="235" w:lineRule="auto" w:before="1"/>
                          <w:ind w:left="307" w:right="790"/>
                          <w:rPr>
                            <w:sz w:val="20"/>
                          </w:rPr>
                        </w:pPr>
                        <w:r>
                          <w:rPr>
                            <w:w w:val="120"/>
                            <w:sz w:val="20"/>
                          </w:rPr>
                          <w:t>related community workers.</w:t>
                        </w:r>
                      </w:p>
                      <w:p>
                        <w:pPr>
                          <w:pStyle w:val="TableParagraph"/>
                          <w:numPr>
                            <w:ilvl w:val="0"/>
                            <w:numId w:val="41"/>
                          </w:numPr>
                          <w:tabs>
                            <w:tab w:pos="308" w:val="left" w:leader="none"/>
                          </w:tabs>
                          <w:spacing w:line="216" w:lineRule="auto" w:before="0" w:after="0"/>
                          <w:ind w:left="307" w:right="272" w:hanging="227"/>
                          <w:jc w:val="both"/>
                          <w:rPr>
                            <w:sz w:val="20"/>
                          </w:rPr>
                        </w:pPr>
                        <w:r>
                          <w:rPr>
                            <w:w w:val="120"/>
                            <w:sz w:val="20"/>
                          </w:rPr>
                          <w:t>An increased profile and awareness of the URC in national</w:t>
                        </w:r>
                        <w:r>
                          <w:rPr>
                            <w:spacing w:val="1"/>
                            <w:w w:val="120"/>
                            <w:sz w:val="20"/>
                          </w:rPr>
                          <w:t> </w:t>
                        </w:r>
                        <w:r>
                          <w:rPr>
                            <w:w w:val="120"/>
                            <w:sz w:val="20"/>
                          </w:rPr>
                          <w:t>media.</w:t>
                        </w:r>
                      </w:p>
                      <w:p>
                        <w:pPr>
                          <w:pStyle w:val="TableParagraph"/>
                          <w:numPr>
                            <w:ilvl w:val="0"/>
                            <w:numId w:val="41"/>
                          </w:numPr>
                          <w:tabs>
                            <w:tab w:pos="308" w:val="left" w:leader="none"/>
                          </w:tabs>
                          <w:spacing w:line="216" w:lineRule="auto" w:before="0" w:after="0"/>
                          <w:ind w:left="307" w:right="261" w:hanging="227"/>
                          <w:jc w:val="left"/>
                          <w:rPr>
                            <w:sz w:val="20"/>
                          </w:rPr>
                        </w:pPr>
                        <w:r>
                          <w:rPr>
                            <w:w w:val="120"/>
                            <w:sz w:val="20"/>
                          </w:rPr>
                          <w:t>The number of churches supported to explore </w:t>
                        </w:r>
                        <w:r>
                          <w:rPr>
                            <w:i/>
                            <w:w w:val="120"/>
                            <w:sz w:val="20"/>
                          </w:rPr>
                          <w:t>Fresh</w:t>
                        </w:r>
                        <w:r>
                          <w:rPr>
                            <w:i/>
                            <w:spacing w:val="-29"/>
                            <w:w w:val="120"/>
                            <w:sz w:val="20"/>
                          </w:rPr>
                          <w:t> </w:t>
                        </w:r>
                        <w:r>
                          <w:rPr>
                            <w:i/>
                            <w:w w:val="120"/>
                            <w:sz w:val="20"/>
                          </w:rPr>
                          <w:t>Expressions</w:t>
                        </w:r>
                        <w:r>
                          <w:rPr>
                            <w:i/>
                            <w:spacing w:val="-28"/>
                            <w:w w:val="120"/>
                            <w:sz w:val="20"/>
                          </w:rPr>
                          <w:t> </w:t>
                        </w:r>
                        <w:r>
                          <w:rPr>
                            <w:w w:val="120"/>
                            <w:sz w:val="20"/>
                          </w:rPr>
                          <w:t>or</w:t>
                        </w:r>
                        <w:r>
                          <w:rPr>
                            <w:spacing w:val="-28"/>
                            <w:w w:val="120"/>
                            <w:sz w:val="20"/>
                          </w:rPr>
                          <w:t> </w:t>
                        </w:r>
                        <w:r>
                          <w:rPr>
                            <w:w w:val="120"/>
                            <w:sz w:val="20"/>
                          </w:rPr>
                          <w:t>new</w:t>
                        </w:r>
                      </w:p>
                      <w:p>
                        <w:pPr>
                          <w:pStyle w:val="TableParagraph"/>
                          <w:spacing w:line="243" w:lineRule="exact"/>
                          <w:ind w:left="307"/>
                          <w:rPr>
                            <w:sz w:val="20"/>
                          </w:rPr>
                        </w:pPr>
                        <w:r>
                          <w:rPr>
                            <w:w w:val="120"/>
                            <w:sz w:val="20"/>
                          </w:rPr>
                          <w:t>ways of doing church.</w:t>
                        </w:r>
                      </w:p>
                    </w:tc>
                  </w:tr>
                  <w:tr>
                    <w:trPr>
                      <w:trHeight w:val="4258" w:hRule="atLeast"/>
                    </w:trPr>
                    <w:tc>
                      <w:tcPr>
                        <w:tcW w:w="9150" w:type="dxa"/>
                        <w:gridSpan w:val="3"/>
                        <w:tcBorders>
                          <w:left w:val="nil"/>
                          <w:bottom w:val="nil"/>
                          <w:right w:val="dotted" w:sz="8" w:space="0" w:color="868685"/>
                        </w:tcBorders>
                      </w:tcPr>
                      <w:p>
                        <w:pPr>
                          <w:pStyle w:val="TableParagraph"/>
                          <w:rPr>
                            <w:rFonts w:ascii="Times New Roman"/>
                            <w:sz w:val="22"/>
                          </w:rPr>
                        </w:pPr>
                      </w:p>
                    </w:tc>
                  </w:tr>
                </w:tbl>
                <w:p>
                  <w:pPr>
                    <w:pStyle w:val="BodyText"/>
                  </w:pPr>
                </w:p>
              </w:txbxContent>
            </v:textbox>
          </v:shape>
        </w:pict>
      </w:r>
      <w:r>
        <w:rPr>
          <w:rFonts w:ascii="Stone Sans II ITC Std Bk"/>
        </w:rPr>
      </w:r>
    </w:p>
    <w:p>
      <w:pPr>
        <w:spacing w:after="0"/>
        <w:rPr>
          <w:rFonts w:ascii="Stone Sans II ITC Std Bk"/>
        </w:rPr>
        <w:sectPr>
          <w:pgSz w:w="11910" w:h="16840"/>
          <w:pgMar w:header="0" w:footer="600" w:top="1180" w:bottom="880" w:left="0" w:right="0"/>
        </w:sectPr>
      </w:pPr>
    </w:p>
    <w:p>
      <w:pPr>
        <w:pStyle w:val="Heading6"/>
        <w:spacing w:before="20"/>
        <w:ind w:left="1984"/>
      </w:pPr>
      <w:r>
        <w:rPr/>
        <w:pict>
          <v:rect style="position:absolute;margin-left:558.424988pt;margin-top:5.264775pt;width:22.677pt;height:22.677pt;mso-position-horizontal-relative:page;mso-position-vertical-relative:paragraph;z-index:251773952" filled="true" fillcolor="#f9e9c1" stroked="false">
            <v:fill opacity="32768f" type="solid"/>
            <w10:wrap type="none"/>
          </v:rect>
        </w:pict>
      </w:r>
      <w:r>
        <w:rPr/>
        <w:pict>
          <v:line style="position:absolute;mso-position-horizontal-relative:page;mso-position-vertical-relative:page;z-index:251774976" from="78.870102pt,59.687416pt" to="78.870102pt,797.873416pt" stroked="true" strokeweight="1pt" strokecolor="#868685">
            <v:stroke dashstyle="dot"/>
            <w10:wrap type="none"/>
          </v:line>
        </w:pict>
      </w:r>
      <w:r>
        <w:rPr/>
        <w:drawing>
          <wp:anchor distT="0" distB="0" distL="0" distR="0" allowOverlap="1" layoutInCell="1" locked="0" behindDoc="1" simplePos="0" relativeHeight="235668480">
            <wp:simplePos x="0" y="0"/>
            <wp:positionH relativeFrom="page">
              <wp:posOffset>1271993</wp:posOffset>
            </wp:positionH>
            <wp:positionV relativeFrom="page">
              <wp:posOffset>5001755</wp:posOffset>
            </wp:positionV>
            <wp:extent cx="5724531" cy="742950"/>
            <wp:effectExtent l="0" t="0" r="0" b="0"/>
            <wp:wrapNone/>
            <wp:docPr id="53" name="image48.png"/>
            <wp:cNvGraphicFramePr>
              <a:graphicFrameLocks noChangeAspect="1"/>
            </wp:cNvGraphicFramePr>
            <a:graphic>
              <a:graphicData uri="http://schemas.openxmlformats.org/drawingml/2006/picture">
                <pic:pic>
                  <pic:nvPicPr>
                    <pic:cNvPr id="54" name="image48.png"/>
                    <pic:cNvPicPr/>
                  </pic:nvPicPr>
                  <pic:blipFill>
                    <a:blip r:embed="rId84" cstate="print"/>
                    <a:stretch>
                      <a:fillRect/>
                    </a:stretch>
                  </pic:blipFill>
                  <pic:spPr>
                    <a:xfrm>
                      <a:off x="0" y="0"/>
                      <a:ext cx="5724531" cy="742950"/>
                    </a:xfrm>
                    <a:prstGeom prst="rect">
                      <a:avLst/>
                    </a:prstGeom>
                  </pic:spPr>
                </pic:pic>
              </a:graphicData>
            </a:graphic>
          </wp:anchor>
        </w:drawing>
      </w:r>
      <w:r>
        <w:rPr>
          <w:color w:val="CA4F1B"/>
          <w:w w:val="110"/>
        </w:rPr>
        <w:t>Statement 8: </w:t>
      </w:r>
      <w:r>
        <w:rPr>
          <w:w w:val="110"/>
        </w:rPr>
        <w:t>Global partnerships</w:t>
      </w:r>
    </w:p>
    <w:p>
      <w:pPr>
        <w:spacing w:line="213" w:lineRule="auto" w:before="202"/>
        <w:ind w:left="1984" w:right="1120" w:firstLine="0"/>
        <w:jc w:val="left"/>
        <w:rPr>
          <w:rFonts w:ascii="Stone Sans II ITC Std Bk" w:hAnsi="Stone Sans II ITC Std Bk"/>
          <w:b/>
          <w:sz w:val="20"/>
        </w:rPr>
      </w:pPr>
      <w:r>
        <w:rPr>
          <w:rFonts w:ascii="Stone Sans II ITC Std Bk" w:hAnsi="Stone Sans II ITC Std Bk"/>
          <w:b/>
          <w:w w:val="110"/>
          <w:sz w:val="20"/>
        </w:rPr>
        <w:t>We will be a Church that is an active partner in God’s global mission with other Churches around the world.</w:t>
      </w:r>
    </w:p>
    <w:p>
      <w:pPr>
        <w:pStyle w:val="BodyText"/>
        <w:spacing w:before="2"/>
        <w:rPr>
          <w:rFonts w:ascii="Stone Sans II ITC Std Bk"/>
          <w:b/>
          <w:sz w:val="17"/>
        </w:rPr>
      </w:pPr>
    </w:p>
    <w:p>
      <w:pPr>
        <w:pStyle w:val="BodyText"/>
        <w:spacing w:line="235" w:lineRule="auto" w:before="1"/>
        <w:ind w:left="1984" w:right="1357"/>
      </w:pPr>
      <w:r>
        <w:rPr>
          <w:w w:val="120"/>
        </w:rPr>
        <w:t>We will continue our </w:t>
      </w:r>
      <w:r>
        <w:rPr>
          <w:spacing w:val="2"/>
          <w:w w:val="120"/>
        </w:rPr>
        <w:t>active participation </w:t>
      </w:r>
      <w:r>
        <w:rPr>
          <w:w w:val="120"/>
        </w:rPr>
        <w:t>in the </w:t>
      </w:r>
      <w:r>
        <w:rPr>
          <w:spacing w:val="2"/>
          <w:w w:val="120"/>
        </w:rPr>
        <w:t>world </w:t>
      </w:r>
      <w:r>
        <w:rPr>
          <w:w w:val="120"/>
        </w:rPr>
        <w:t>Church, knowing that together  we will </w:t>
      </w:r>
      <w:r>
        <w:rPr>
          <w:spacing w:val="2"/>
          <w:w w:val="120"/>
        </w:rPr>
        <w:t>more faithfully </w:t>
      </w:r>
      <w:r>
        <w:rPr>
          <w:w w:val="120"/>
        </w:rPr>
        <w:t>discern God’s </w:t>
      </w:r>
      <w:r>
        <w:rPr>
          <w:spacing w:val="3"/>
          <w:w w:val="120"/>
        </w:rPr>
        <w:t>action </w:t>
      </w:r>
      <w:r>
        <w:rPr>
          <w:w w:val="120"/>
        </w:rPr>
        <w:t>and call, and that by sharing our resources we will be able to </w:t>
      </w:r>
      <w:r>
        <w:rPr>
          <w:spacing w:val="2"/>
          <w:w w:val="120"/>
        </w:rPr>
        <w:t>respond obediently </w:t>
      </w:r>
      <w:r>
        <w:rPr>
          <w:w w:val="120"/>
        </w:rPr>
        <w:t>and </w:t>
      </w:r>
      <w:r>
        <w:rPr>
          <w:spacing w:val="2"/>
          <w:w w:val="120"/>
        </w:rPr>
        <w:t>effectively </w:t>
      </w:r>
      <w:r>
        <w:rPr>
          <w:w w:val="120"/>
        </w:rPr>
        <w:t>in the costly </w:t>
      </w:r>
      <w:r>
        <w:rPr>
          <w:spacing w:val="3"/>
          <w:w w:val="120"/>
        </w:rPr>
        <w:t>struggle </w:t>
      </w:r>
      <w:r>
        <w:rPr>
          <w:w w:val="120"/>
        </w:rPr>
        <w:t>for peace with</w:t>
      </w:r>
      <w:r>
        <w:rPr>
          <w:spacing w:val="6"/>
          <w:w w:val="120"/>
        </w:rPr>
        <w:t> </w:t>
      </w:r>
      <w:r>
        <w:rPr>
          <w:w w:val="120"/>
        </w:rPr>
        <w:t>justice.</w:t>
      </w:r>
    </w:p>
    <w:p>
      <w:pPr>
        <w:pStyle w:val="BodyText"/>
        <w:rPr>
          <w:sz w:val="24"/>
        </w:rPr>
      </w:pPr>
    </w:p>
    <w:p>
      <w:pPr>
        <w:spacing w:before="173"/>
        <w:ind w:left="1984" w:right="0" w:firstLine="0"/>
        <w:jc w:val="left"/>
        <w:rPr>
          <w:rFonts w:ascii="Stone Sans II ITC Std Bk"/>
          <w:b/>
          <w:i/>
          <w:sz w:val="20"/>
        </w:rPr>
      </w:pPr>
      <w:r>
        <w:rPr>
          <w:rFonts w:ascii="Stone Sans II ITC Std Bk"/>
          <w:b/>
          <w:i/>
          <w:w w:val="110"/>
          <w:sz w:val="20"/>
        </w:rPr>
        <w:t>Some suggested indicators:</w:t>
      </w:r>
    </w:p>
    <w:p>
      <w:pPr>
        <w:pStyle w:val="BodyText"/>
        <w:spacing w:before="9" w:after="1"/>
        <w:rPr>
          <w:rFonts w:ascii="Stone Sans II ITC Std Bk"/>
          <w:b/>
          <w:i/>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28"/>
        <w:gridCol w:w="2891"/>
        <w:gridCol w:w="3118"/>
      </w:tblGrid>
      <w:tr>
        <w:trPr>
          <w:trHeight w:val="373" w:hRule="atLeast"/>
        </w:trPr>
        <w:tc>
          <w:tcPr>
            <w:tcW w:w="3028"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2891"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Synod Indicators</w:t>
            </w:r>
          </w:p>
        </w:tc>
        <w:tc>
          <w:tcPr>
            <w:tcW w:w="3118"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Assembly Indicators</w:t>
            </w:r>
          </w:p>
        </w:tc>
      </w:tr>
      <w:tr>
        <w:trPr>
          <w:trHeight w:val="4236" w:hRule="atLeast"/>
        </w:trPr>
        <w:tc>
          <w:tcPr>
            <w:tcW w:w="3028" w:type="dxa"/>
          </w:tcPr>
          <w:p>
            <w:pPr>
              <w:pStyle w:val="TableParagraph"/>
              <w:numPr>
                <w:ilvl w:val="0"/>
                <w:numId w:val="42"/>
              </w:numPr>
              <w:tabs>
                <w:tab w:pos="307" w:val="left" w:leader="none"/>
              </w:tabs>
              <w:spacing w:line="196" w:lineRule="auto" w:before="140" w:after="0"/>
              <w:ind w:left="306" w:right="199" w:hanging="227"/>
              <w:jc w:val="left"/>
              <w:rPr>
                <w:sz w:val="20"/>
              </w:rPr>
            </w:pPr>
            <w:r>
              <w:rPr>
                <w:w w:val="120"/>
                <w:sz w:val="20"/>
              </w:rPr>
              <w:t>An active and regular link with a church</w:t>
            </w:r>
            <w:r>
              <w:rPr>
                <w:spacing w:val="2"/>
                <w:w w:val="120"/>
                <w:sz w:val="20"/>
              </w:rPr>
              <w:t> </w:t>
            </w:r>
            <w:r>
              <w:rPr>
                <w:w w:val="120"/>
                <w:sz w:val="20"/>
              </w:rPr>
              <w:t>overseas.</w:t>
            </w:r>
          </w:p>
          <w:p>
            <w:pPr>
              <w:pStyle w:val="TableParagraph"/>
              <w:numPr>
                <w:ilvl w:val="0"/>
                <w:numId w:val="42"/>
              </w:numPr>
              <w:tabs>
                <w:tab w:pos="307" w:val="left" w:leader="none"/>
              </w:tabs>
              <w:spacing w:line="216" w:lineRule="auto" w:before="0" w:after="0"/>
              <w:ind w:left="306" w:right="460" w:hanging="227"/>
              <w:jc w:val="left"/>
              <w:rPr>
                <w:sz w:val="20"/>
              </w:rPr>
            </w:pPr>
            <w:r>
              <w:rPr>
                <w:w w:val="120"/>
                <w:sz w:val="20"/>
              </w:rPr>
              <w:t>Active participation in </w:t>
            </w:r>
            <w:r>
              <w:rPr>
                <w:w w:val="115"/>
                <w:sz w:val="20"/>
              </w:rPr>
              <w:t>the </w:t>
            </w:r>
            <w:r>
              <w:rPr>
                <w:i/>
                <w:w w:val="115"/>
                <w:sz w:val="20"/>
              </w:rPr>
              <w:t>Commitment for</w:t>
            </w:r>
            <w:r>
              <w:rPr>
                <w:i/>
                <w:spacing w:val="-40"/>
                <w:w w:val="115"/>
                <w:sz w:val="20"/>
              </w:rPr>
              <w:t> </w:t>
            </w:r>
            <w:r>
              <w:rPr>
                <w:i/>
                <w:w w:val="115"/>
                <w:sz w:val="20"/>
              </w:rPr>
              <w:t>Life </w:t>
            </w:r>
            <w:r>
              <w:rPr>
                <w:w w:val="120"/>
                <w:sz w:val="20"/>
              </w:rPr>
              <w:t>programme.</w:t>
            </w:r>
          </w:p>
        </w:tc>
        <w:tc>
          <w:tcPr>
            <w:tcW w:w="2891" w:type="dxa"/>
          </w:tcPr>
          <w:p>
            <w:pPr>
              <w:pStyle w:val="TableParagraph"/>
              <w:numPr>
                <w:ilvl w:val="0"/>
                <w:numId w:val="43"/>
              </w:numPr>
              <w:tabs>
                <w:tab w:pos="307" w:val="left" w:leader="none"/>
              </w:tabs>
              <w:spacing w:line="216" w:lineRule="auto" w:before="123" w:after="0"/>
              <w:ind w:left="306" w:right="291" w:hanging="227"/>
              <w:jc w:val="left"/>
              <w:rPr>
                <w:sz w:val="20"/>
              </w:rPr>
            </w:pPr>
            <w:r>
              <w:rPr>
                <w:w w:val="120"/>
                <w:sz w:val="20"/>
              </w:rPr>
              <w:t>The number of churches involved with </w:t>
            </w:r>
            <w:r>
              <w:rPr>
                <w:i/>
                <w:w w:val="120"/>
                <w:sz w:val="20"/>
              </w:rPr>
              <w:t>Commitment for</w:t>
            </w:r>
            <w:r>
              <w:rPr>
                <w:i/>
                <w:spacing w:val="-35"/>
                <w:w w:val="120"/>
                <w:sz w:val="20"/>
              </w:rPr>
              <w:t> </w:t>
            </w:r>
            <w:r>
              <w:rPr>
                <w:i/>
                <w:w w:val="120"/>
                <w:sz w:val="20"/>
              </w:rPr>
              <w:t>Life</w:t>
            </w:r>
            <w:r>
              <w:rPr>
                <w:w w:val="120"/>
                <w:sz w:val="20"/>
              </w:rPr>
              <w:t>.</w:t>
            </w:r>
          </w:p>
          <w:p>
            <w:pPr>
              <w:pStyle w:val="TableParagraph"/>
              <w:numPr>
                <w:ilvl w:val="0"/>
                <w:numId w:val="43"/>
              </w:numPr>
              <w:tabs>
                <w:tab w:pos="307" w:val="left" w:leader="none"/>
              </w:tabs>
              <w:spacing w:line="216" w:lineRule="auto" w:before="0" w:after="0"/>
              <w:ind w:left="306" w:right="427" w:hanging="227"/>
              <w:jc w:val="both"/>
              <w:rPr>
                <w:sz w:val="20"/>
              </w:rPr>
            </w:pPr>
            <w:r>
              <w:rPr>
                <w:w w:val="120"/>
                <w:sz w:val="20"/>
              </w:rPr>
              <w:t>The reach and impact of the synod’s Global Partners</w:t>
            </w:r>
            <w:r>
              <w:rPr>
                <w:spacing w:val="8"/>
                <w:w w:val="120"/>
                <w:sz w:val="20"/>
              </w:rPr>
              <w:t> </w:t>
            </w:r>
            <w:r>
              <w:rPr>
                <w:w w:val="120"/>
                <w:sz w:val="20"/>
              </w:rPr>
              <w:t>programme.</w:t>
            </w:r>
          </w:p>
          <w:p>
            <w:pPr>
              <w:pStyle w:val="TableParagraph"/>
              <w:numPr>
                <w:ilvl w:val="0"/>
                <w:numId w:val="43"/>
              </w:numPr>
              <w:tabs>
                <w:tab w:pos="307" w:val="left" w:leader="none"/>
              </w:tabs>
              <w:spacing w:line="216" w:lineRule="auto" w:before="0" w:after="0"/>
              <w:ind w:left="306" w:right="103" w:hanging="227"/>
              <w:jc w:val="left"/>
              <w:rPr>
                <w:sz w:val="20"/>
              </w:rPr>
            </w:pPr>
            <w:r>
              <w:rPr>
                <w:w w:val="120"/>
                <w:sz w:val="20"/>
              </w:rPr>
              <w:t>Development of a regular ‘youth exchange’ programme with</w:t>
            </w:r>
            <w:r>
              <w:rPr>
                <w:spacing w:val="7"/>
                <w:w w:val="120"/>
                <w:sz w:val="20"/>
              </w:rPr>
              <w:t> </w:t>
            </w:r>
            <w:r>
              <w:rPr>
                <w:w w:val="120"/>
                <w:sz w:val="20"/>
              </w:rPr>
              <w:t>a</w:t>
            </w:r>
          </w:p>
          <w:p>
            <w:pPr>
              <w:pStyle w:val="TableParagraph"/>
              <w:spacing w:line="243" w:lineRule="exact"/>
              <w:ind w:left="306"/>
              <w:rPr>
                <w:sz w:val="20"/>
              </w:rPr>
            </w:pPr>
            <w:r>
              <w:rPr>
                <w:w w:val="120"/>
                <w:sz w:val="20"/>
              </w:rPr>
              <w:t>global partner.</w:t>
            </w:r>
          </w:p>
        </w:tc>
        <w:tc>
          <w:tcPr>
            <w:tcW w:w="3118" w:type="dxa"/>
          </w:tcPr>
          <w:p>
            <w:pPr>
              <w:pStyle w:val="TableParagraph"/>
              <w:numPr>
                <w:ilvl w:val="0"/>
                <w:numId w:val="44"/>
              </w:numPr>
              <w:tabs>
                <w:tab w:pos="308" w:val="left" w:leader="none"/>
              </w:tabs>
              <w:spacing w:line="216" w:lineRule="auto" w:before="123" w:after="0"/>
              <w:ind w:left="307" w:right="201" w:hanging="227"/>
              <w:jc w:val="left"/>
              <w:rPr>
                <w:sz w:val="20"/>
              </w:rPr>
            </w:pPr>
            <w:r>
              <w:rPr>
                <w:w w:val="120"/>
                <w:sz w:val="20"/>
              </w:rPr>
              <w:t>The number of churches involved</w:t>
            </w:r>
            <w:r>
              <w:rPr>
                <w:spacing w:val="-23"/>
                <w:w w:val="120"/>
                <w:sz w:val="20"/>
              </w:rPr>
              <w:t> </w:t>
            </w:r>
            <w:r>
              <w:rPr>
                <w:w w:val="120"/>
                <w:sz w:val="20"/>
              </w:rPr>
              <w:t>with</w:t>
            </w:r>
            <w:r>
              <w:rPr>
                <w:spacing w:val="-23"/>
                <w:w w:val="120"/>
                <w:sz w:val="20"/>
              </w:rPr>
              <w:t> </w:t>
            </w:r>
            <w:r>
              <w:rPr>
                <w:i/>
                <w:w w:val="120"/>
                <w:sz w:val="20"/>
              </w:rPr>
              <w:t>Commitment </w:t>
            </w:r>
            <w:r>
              <w:rPr>
                <w:i/>
                <w:w w:val="120"/>
                <w:sz w:val="20"/>
              </w:rPr>
              <w:t>for</w:t>
            </w:r>
            <w:r>
              <w:rPr>
                <w:i/>
                <w:spacing w:val="-3"/>
                <w:w w:val="120"/>
                <w:sz w:val="20"/>
              </w:rPr>
              <w:t> </w:t>
            </w:r>
            <w:r>
              <w:rPr>
                <w:i/>
                <w:w w:val="120"/>
                <w:sz w:val="20"/>
              </w:rPr>
              <w:t>Life</w:t>
            </w:r>
            <w:r>
              <w:rPr>
                <w:w w:val="120"/>
                <w:sz w:val="20"/>
              </w:rPr>
              <w:t>.</w:t>
            </w:r>
          </w:p>
          <w:p>
            <w:pPr>
              <w:pStyle w:val="TableParagraph"/>
              <w:numPr>
                <w:ilvl w:val="0"/>
                <w:numId w:val="44"/>
              </w:numPr>
              <w:tabs>
                <w:tab w:pos="308" w:val="left" w:leader="none"/>
              </w:tabs>
              <w:spacing w:line="196" w:lineRule="auto" w:before="8" w:after="0"/>
              <w:ind w:left="307" w:right="111" w:hanging="227"/>
              <w:jc w:val="left"/>
              <w:rPr>
                <w:sz w:val="20"/>
              </w:rPr>
            </w:pPr>
            <w:r>
              <w:rPr>
                <w:w w:val="120"/>
                <w:sz w:val="20"/>
              </w:rPr>
              <w:t>The take-up of resources to enable children and </w:t>
            </w:r>
            <w:r>
              <w:rPr>
                <w:spacing w:val="2"/>
                <w:w w:val="120"/>
                <w:sz w:val="20"/>
              </w:rPr>
              <w:t> </w:t>
            </w:r>
            <w:r>
              <w:rPr>
                <w:w w:val="120"/>
                <w:sz w:val="20"/>
              </w:rPr>
              <w:t>young</w:t>
            </w:r>
          </w:p>
          <w:p>
            <w:pPr>
              <w:pStyle w:val="TableParagraph"/>
              <w:spacing w:line="235" w:lineRule="auto" w:before="11"/>
              <w:ind w:left="307"/>
              <w:rPr>
                <w:sz w:val="20"/>
              </w:rPr>
            </w:pPr>
            <w:r>
              <w:rPr>
                <w:w w:val="120"/>
                <w:sz w:val="20"/>
              </w:rPr>
              <w:t>people to engage with the world church.</w:t>
            </w:r>
          </w:p>
          <w:p>
            <w:pPr>
              <w:pStyle w:val="TableParagraph"/>
              <w:numPr>
                <w:ilvl w:val="0"/>
                <w:numId w:val="44"/>
              </w:numPr>
              <w:tabs>
                <w:tab w:pos="308" w:val="left" w:leader="none"/>
              </w:tabs>
              <w:spacing w:line="216" w:lineRule="auto" w:before="0" w:after="0"/>
              <w:ind w:left="307" w:right="154" w:hanging="227"/>
              <w:jc w:val="both"/>
              <w:rPr>
                <w:sz w:val="20"/>
              </w:rPr>
            </w:pPr>
            <w:r>
              <w:rPr>
                <w:w w:val="120"/>
                <w:sz w:val="20"/>
              </w:rPr>
              <w:t>The number of synods and churches supported to link up with global</w:t>
            </w:r>
            <w:r>
              <w:rPr>
                <w:spacing w:val="23"/>
                <w:w w:val="120"/>
                <w:sz w:val="20"/>
              </w:rPr>
              <w:t> </w:t>
            </w:r>
            <w:r>
              <w:rPr>
                <w:w w:val="120"/>
                <w:sz w:val="20"/>
              </w:rPr>
              <w:t>partners.</w:t>
            </w:r>
          </w:p>
        </w:tc>
      </w:tr>
    </w:tbl>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spacing w:before="8"/>
        <w:rPr>
          <w:rFonts w:ascii="Stone Sans II ITC Std Bk"/>
          <w:b/>
          <w:i/>
          <w:sz w:val="27"/>
        </w:rPr>
      </w:pPr>
      <w:r>
        <w:rPr/>
        <w:pict>
          <v:group style="position:absolute;margin-left:369.660004pt;margin-top:20.635416pt;width:188.8pt;height:203.5pt;mso-position-horizontal-relative:page;mso-position-vertical-relative:paragraph;z-index:-251543552;mso-wrap-distance-left:0;mso-wrap-distance-right:0" coordorigin="7393,413" coordsize="3776,4070">
            <v:shape style="position:absolute;left:7965;top:412;width:412;height:1087" type="#_x0000_t75" stroked="false">
              <v:imagedata r:id="rId85" o:title=""/>
            </v:shape>
            <v:shape style="position:absolute;left:8475;top:1123;width:635;height:1906" type="#_x0000_t75" stroked="false">
              <v:imagedata r:id="rId86" o:title=""/>
            </v:shape>
            <v:shape style="position:absolute;left:9022;top:624;width:1240;height:2396" type="#_x0000_t75" stroked="false">
              <v:imagedata r:id="rId87" o:title=""/>
            </v:shape>
            <v:shape style="position:absolute;left:7747;top:4086;width:342;height:385" type="#_x0000_t75" stroked="false">
              <v:imagedata r:id="rId88" o:title=""/>
            </v:shape>
            <v:line style="position:absolute" from="8159,4087" to="8159,4471" stroked="true" strokeweight="2.347pt" strokecolor="#c73e1c">
              <v:stroke dashstyle="solid"/>
            </v:line>
            <v:rect style="position:absolute;left:8136;top:3939;width:47;height:76" filled="true" fillcolor="#c73e1c" stroked="false">
              <v:fill type="solid"/>
            </v:rect>
            <v:shape style="position:absolute;left:8251;top:4075;width:313;height:407" coordorigin="8251,4075" coordsize="313,407" path="m8298,4347l8251,4347,8267,4407,8300,4449,8348,4474,8409,4482,8464,4476,8513,4456,8526,4443,8412,4443,8368,4437,8333,4418,8309,4388,8298,4347xm8409,4075l8358,4081,8312,4100,8278,4134,8265,4183,8273,4225,8296,4253,8330,4272,8372,4286,8432,4300,8464,4309,8491,4322,8509,4341,8517,4370,8506,4404,8481,4426,8447,4439,8412,4443,8526,4443,8550,4420,8564,4367,8554,4323,8529,4291,8494,4271,8454,4260,8392,4246,8366,4238,8340,4226,8320,4208,8312,4181,8320,4150,8342,4129,8371,4118,8403,4115,8514,4115,8507,4106,8463,4083,8409,4075xm8514,4115l8403,4115,8441,4120,8472,4135,8494,4161,8503,4199,8550,4199,8538,4145,8514,4115xe" filled="true" fillcolor="#c73e1c" stroked="false">
              <v:path arrowok="t"/>
              <v:fill type="solid"/>
            </v:shape>
            <v:line style="position:absolute" from="8656,4087" to="8656,4471" stroked="true" strokeweight="2.346pt" strokecolor="#c73e1c">
              <v:stroke dashstyle="solid"/>
            </v:line>
            <v:shape style="position:absolute;left:8749;top:4075;width:364;height:407" coordorigin="8750,4075" coordsize="364,407" path="m8932,4075l8854,4092,8797,4136,8762,4200,8750,4279,8762,4357,8797,4422,8854,4466,8932,4482,9010,4466,9040,4443,8932,4443,8872,4429,8830,4391,8805,4339,8797,4279,8805,4219,8830,4166,8872,4129,8932,4115,9040,4115,9010,4092,8932,4075xm9040,4115l8932,4115,8991,4129,9033,4166,9058,4219,9066,4279,9058,4339,9033,4391,8991,4429,8932,4443,9040,4443,9067,4422,9101,4357,9113,4279,9101,4200,9067,4136,9040,4115xe" filled="true" fillcolor="#c73e1c" stroked="false">
              <v:path arrowok="t"/>
              <v:fill type="solid"/>
            </v:shape>
            <v:shape style="position:absolute;left:9182;top:4075;width:313;height:396" type="#_x0000_t75" stroked="false">
              <v:imagedata r:id="rId89" o:title=""/>
            </v:shape>
            <v:shape style="position:absolute;left:9567;top:3939;width:357;height:532" coordorigin="9568,3939" coordsize="357,532" path="m9897,4010l9752,4010,9796,4019,9823,4042,9836,4072,9840,4102,9824,4156,9786,4200,9735,4237,9682,4274,9635,4312,9599,4358,9576,4411,9568,4471,9924,4471,9924,4395,9670,4395,9689,4363,9722,4333,9763,4305,9808,4275,9852,4242,9889,4202,9915,4156,9925,4099,9916,4046,9897,4010xm9757,3939l9680,3954,9624,3996,9589,4060,9577,4140,9662,4140,9668,4089,9683,4048,9710,4020,9752,4010,9897,4010,9888,3994,9837,3955,9757,3939xe" filled="true" fillcolor="#e1a11f" stroked="false">
              <v:path arrowok="t"/>
              <v:fill type="solid"/>
            </v:shape>
            <v:shape style="position:absolute;left:9979;top:3939;width:361;height:543" coordorigin="9980,3939" coordsize="361,543" path="m10160,3939l10084,3956,10032,4000,10000,4064,9984,4137,9980,4210,9984,4284,10000,4357,10032,4420,10084,4465,10160,4481,10236,4465,10288,4420,10293,4411,10160,4411,10114,4395,10084,4351,10069,4287,10065,4210,10069,4133,10084,4069,10114,4026,10160,4010,10293,4010,10288,4000,10236,3956,10160,3939xm10293,4010l10160,4010,10206,4026,10236,4069,10251,4133,10255,4210,10251,4287,10236,4351,10206,4395,10160,4411,10293,4411,10320,4357,10336,4284,10340,4210,10336,4137,10320,4064,10293,4010xe" filled="true" fillcolor="#e1a11f" stroked="false">
              <v:path arrowok="t"/>
              <v:fill type="solid"/>
            </v:shape>
            <v:shape style="position:absolute;left:10396;top:3939;width:357;height:532" coordorigin="10396,3939" coordsize="357,532" path="m10725,4010l10580,4010,10625,4019,10652,4042,10665,4072,10668,4102,10652,4156,10614,4200,10564,4237,10511,4274,10463,4312,10427,4358,10404,4411,10396,4471,10752,4471,10752,4395,10498,4395,10518,4363,10550,4333,10592,4305,10637,4275,10680,4242,10717,4202,10743,4156,10753,4099,10745,4046,10725,4010xm10585,3939l10508,3954,10452,3996,10417,4060,10406,4140,10491,4140,10496,4089,10511,4048,10538,4020,10580,4010,10725,4010,10717,3994,10665,3955,10585,3939xe" filled="true" fillcolor="#e1a11f" stroked="false">
              <v:path arrowok="t"/>
              <v:fill type="solid"/>
            </v:shape>
            <v:shape style="position:absolute;left:10808;top:3939;width:361;height:543" coordorigin="10808,3939" coordsize="361,543" path="m10988,3939l10912,3956,10860,4000,10828,4064,10812,4137,10808,4210,10812,4284,10828,4357,10860,4420,10912,4465,10988,4481,11065,4465,11116,4420,11121,4411,10988,4411,10942,4395,10913,4351,10897,4287,10893,4210,10897,4133,10913,4069,10942,4026,10988,4010,11121,4010,11116,4000,11065,3956,10988,3939xm11121,4010l10988,4010,11035,4026,11064,4069,11079,4133,11084,4210,11079,4287,11064,4351,11035,4395,10988,4411,11121,4411,11148,4357,11164,4284,11169,4210,11164,4137,11148,4064,11121,4010xe" filled="true" fillcolor="#e1a11f" stroked="false">
              <v:path arrowok="t"/>
              <v:fill type="solid"/>
            </v:shape>
            <v:shape style="position:absolute;left:7393;top:1295;width:2569;height:2725" type="#_x0000_t75" stroked="false">
              <v:imagedata r:id="rId90" o:title=""/>
            </v:shape>
            <w10:wrap type="topAndBottom"/>
          </v:group>
        </w:pict>
      </w:r>
    </w:p>
    <w:p>
      <w:pPr>
        <w:spacing w:after="0"/>
        <w:rPr>
          <w:rFonts w:ascii="Stone Sans II ITC Std Bk"/>
          <w:sz w:val="27"/>
        </w:rPr>
        <w:sectPr>
          <w:pgSz w:w="11910" w:h="16840"/>
          <w:pgMar w:header="0" w:footer="600" w:top="1140" w:bottom="800" w:left="0" w:right="0"/>
        </w:sectPr>
      </w:pPr>
    </w:p>
    <w:p>
      <w:pPr>
        <w:spacing w:before="20"/>
        <w:ind w:left="1133" w:right="0" w:firstLine="0"/>
        <w:jc w:val="left"/>
        <w:rPr>
          <w:rFonts w:ascii="Stone Sans II ITC Std Bk"/>
          <w:b/>
          <w:sz w:val="29"/>
        </w:rPr>
      </w:pPr>
      <w:r>
        <w:rPr/>
        <w:pict>
          <v:rect style="position:absolute;margin-left:12.047pt;margin-top:4.438776pt;width:22.677pt;height:22.677pt;mso-position-horizontal-relative:page;mso-position-vertical-relative:paragraph;z-index:251777024" filled="true" fillcolor="#f9e9c1" stroked="false">
            <v:fill opacity="32768f" type="solid"/>
            <w10:wrap type="none"/>
          </v:rect>
        </w:pict>
      </w:r>
      <w:r>
        <w:rPr/>
        <w:pict>
          <v:line style="position:absolute;mso-position-horizontal-relative:page;mso-position-vertical-relative:page;z-index:251778048" from="514.487183pt,59.687416pt" to="514.487183pt,797.873416pt" stroked="true" strokeweight="1pt" strokecolor="#868685">
            <v:stroke dashstyle="dot"/>
            <w10:wrap type="none"/>
          </v:line>
        </w:pict>
      </w:r>
      <w:r>
        <w:rPr/>
        <w:drawing>
          <wp:anchor distT="0" distB="0" distL="0" distR="0" allowOverlap="1" layoutInCell="1" locked="0" behindDoc="1" simplePos="0" relativeHeight="235671552">
            <wp:simplePos x="0" y="0"/>
            <wp:positionH relativeFrom="page">
              <wp:posOffset>737984</wp:posOffset>
            </wp:positionH>
            <wp:positionV relativeFrom="page">
              <wp:posOffset>7136714</wp:posOffset>
            </wp:positionV>
            <wp:extent cx="5682505" cy="742950"/>
            <wp:effectExtent l="0" t="0" r="0" b="0"/>
            <wp:wrapNone/>
            <wp:docPr id="55" name="image55.png"/>
            <wp:cNvGraphicFramePr>
              <a:graphicFrameLocks noChangeAspect="1"/>
            </wp:cNvGraphicFramePr>
            <a:graphic>
              <a:graphicData uri="http://schemas.openxmlformats.org/drawingml/2006/picture">
                <pic:pic>
                  <pic:nvPicPr>
                    <pic:cNvPr id="56" name="image55.png"/>
                    <pic:cNvPicPr/>
                  </pic:nvPicPr>
                  <pic:blipFill>
                    <a:blip r:embed="rId91" cstate="print"/>
                    <a:stretch>
                      <a:fillRect/>
                    </a:stretch>
                  </pic:blipFill>
                  <pic:spPr>
                    <a:xfrm>
                      <a:off x="0" y="0"/>
                      <a:ext cx="5682505" cy="742950"/>
                    </a:xfrm>
                    <a:prstGeom prst="rect">
                      <a:avLst/>
                    </a:prstGeom>
                  </pic:spPr>
                </pic:pic>
              </a:graphicData>
            </a:graphic>
          </wp:anchor>
        </w:drawing>
      </w:r>
      <w:r>
        <w:rPr>
          <w:rFonts w:ascii="Stone Sans II ITC Std Bk"/>
          <w:b/>
          <w:color w:val="CA4F1B"/>
          <w:w w:val="110"/>
          <w:sz w:val="29"/>
        </w:rPr>
        <w:t>Statement 9: </w:t>
      </w:r>
      <w:r>
        <w:rPr>
          <w:rFonts w:ascii="Stone Sans II ITC Std Bk"/>
          <w:b/>
          <w:w w:val="110"/>
          <w:sz w:val="29"/>
        </w:rPr>
        <w:t>Justice and peace</w:t>
      </w:r>
    </w:p>
    <w:p>
      <w:pPr>
        <w:spacing w:line="213" w:lineRule="auto" w:before="202"/>
        <w:ind w:left="1133" w:right="2191" w:firstLine="0"/>
        <w:jc w:val="left"/>
        <w:rPr>
          <w:rFonts w:ascii="Stone Sans II ITC Std Bk"/>
          <w:b/>
          <w:sz w:val="20"/>
        </w:rPr>
      </w:pPr>
      <w:r>
        <w:rPr>
          <w:rFonts w:ascii="Stone Sans II ITC Std Bk"/>
          <w:b/>
          <w:w w:val="110"/>
          <w:sz w:val="20"/>
        </w:rPr>
        <w:t>We will be a Church committed to peacemaking and reconciliation that keeps faith with the poor and challenges injustice.</w:t>
      </w:r>
    </w:p>
    <w:p>
      <w:pPr>
        <w:pStyle w:val="BodyText"/>
        <w:spacing w:before="2"/>
        <w:rPr>
          <w:rFonts w:ascii="Stone Sans II ITC Std Bk"/>
          <w:b/>
          <w:sz w:val="17"/>
        </w:rPr>
      </w:pPr>
    </w:p>
    <w:p>
      <w:pPr>
        <w:pStyle w:val="BodyText"/>
        <w:spacing w:line="235" w:lineRule="auto" w:before="1"/>
        <w:ind w:left="1133" w:right="2225"/>
      </w:pPr>
      <w:r>
        <w:rPr>
          <w:w w:val="120"/>
        </w:rPr>
        <w:t>The kingdom of God is a realm in which compassion, justice and peace prevail. The gospel summons us as peacemakers and calls us to work against poverty and the structures that keep people oppressed. Together with our ecumenical partners we need to influence those in power and equip local congregations to take action against everything that undermines or destroys fullness of life. If the Church, local, across the </w:t>
      </w:r>
      <w:r>
        <w:rPr>
          <w:spacing w:val="2"/>
          <w:w w:val="120"/>
        </w:rPr>
        <w:t>UK, </w:t>
      </w:r>
      <w:r>
        <w:rPr>
          <w:w w:val="120"/>
        </w:rPr>
        <w:t>and international, is to be </w:t>
      </w:r>
      <w:r>
        <w:rPr>
          <w:spacing w:val="2"/>
          <w:w w:val="120"/>
        </w:rPr>
        <w:t>part </w:t>
      </w:r>
      <w:r>
        <w:rPr>
          <w:w w:val="120"/>
        </w:rPr>
        <w:t>of a movement for change in our world, it will need to discern and understand the contexts in which we live and the issues which affect</w:t>
      </w:r>
      <w:r>
        <w:rPr>
          <w:spacing w:val="49"/>
          <w:w w:val="120"/>
        </w:rPr>
        <w:t> </w:t>
      </w:r>
      <w:r>
        <w:rPr>
          <w:w w:val="120"/>
        </w:rPr>
        <w:t>us.</w:t>
      </w:r>
    </w:p>
    <w:p>
      <w:pPr>
        <w:pStyle w:val="BodyText"/>
        <w:spacing w:line="235" w:lineRule="auto" w:before="5"/>
        <w:ind w:left="1133" w:right="2064"/>
      </w:pPr>
      <w:r>
        <w:rPr>
          <w:w w:val="120"/>
        </w:rPr>
        <w:t>Only by developing a sound reputation for intelligent critique and co-ordinated action  will we be able to challenge unjust structures and seek economic justice from the local to the global</w:t>
      </w:r>
      <w:r>
        <w:rPr>
          <w:spacing w:val="4"/>
          <w:w w:val="120"/>
        </w:rPr>
        <w:t> </w:t>
      </w:r>
      <w:r>
        <w:rPr>
          <w:w w:val="120"/>
        </w:rPr>
        <w:t>marketplace.</w:t>
      </w:r>
    </w:p>
    <w:p>
      <w:pPr>
        <w:pStyle w:val="BodyText"/>
        <w:rPr>
          <w:sz w:val="24"/>
        </w:rPr>
      </w:pPr>
    </w:p>
    <w:p>
      <w:pPr>
        <w:spacing w:before="172"/>
        <w:ind w:left="1133" w:right="0" w:firstLine="0"/>
        <w:jc w:val="left"/>
        <w:rPr>
          <w:rFonts w:ascii="Stone Sans II ITC Std Bk"/>
          <w:b/>
          <w:i/>
          <w:sz w:val="20"/>
        </w:rPr>
      </w:pPr>
      <w:r>
        <w:rPr>
          <w:rFonts w:ascii="Stone Sans II ITC Std Bk"/>
          <w:b/>
          <w:i/>
          <w:w w:val="110"/>
          <w:sz w:val="20"/>
        </w:rPr>
        <w:t>Some suggested indicators:</w:t>
      </w:r>
    </w:p>
    <w:p>
      <w:pPr>
        <w:pStyle w:val="BodyText"/>
        <w:spacing w:before="10"/>
        <w:rPr>
          <w:rFonts w:ascii="Stone Sans II ITC Std Bk"/>
          <w:b/>
          <w:i/>
          <w:sz w:val="18"/>
        </w:rPr>
      </w:pPr>
    </w:p>
    <w:tbl>
      <w:tblPr>
        <w:tblW w:w="0" w:type="auto"/>
        <w:jc w:val="left"/>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00"/>
        <w:gridCol w:w="3062"/>
        <w:gridCol w:w="2915"/>
      </w:tblGrid>
      <w:tr>
        <w:trPr>
          <w:trHeight w:val="373" w:hRule="atLeast"/>
        </w:trPr>
        <w:tc>
          <w:tcPr>
            <w:tcW w:w="3000"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3062"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Synod Indicators</w:t>
            </w:r>
          </w:p>
        </w:tc>
        <w:tc>
          <w:tcPr>
            <w:tcW w:w="2915"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Assembly Indicators</w:t>
            </w:r>
          </w:p>
        </w:tc>
      </w:tr>
      <w:tr>
        <w:trPr>
          <w:trHeight w:val="6156" w:hRule="atLeast"/>
        </w:trPr>
        <w:tc>
          <w:tcPr>
            <w:tcW w:w="3000" w:type="dxa"/>
          </w:tcPr>
          <w:p>
            <w:pPr>
              <w:pStyle w:val="TableParagraph"/>
              <w:numPr>
                <w:ilvl w:val="0"/>
                <w:numId w:val="45"/>
              </w:numPr>
              <w:tabs>
                <w:tab w:pos="307" w:val="left" w:leader="none"/>
              </w:tabs>
              <w:spacing w:line="216" w:lineRule="auto" w:before="123" w:after="0"/>
              <w:ind w:left="306" w:right="72" w:hanging="227"/>
              <w:jc w:val="left"/>
              <w:rPr>
                <w:sz w:val="20"/>
              </w:rPr>
            </w:pPr>
            <w:r>
              <w:rPr>
                <w:w w:val="120"/>
                <w:sz w:val="20"/>
              </w:rPr>
              <w:t>Having a group which meets regularly to discuss and act on issues of</w:t>
            </w:r>
            <w:r>
              <w:rPr>
                <w:spacing w:val="-5"/>
                <w:w w:val="120"/>
                <w:sz w:val="20"/>
              </w:rPr>
              <w:t> </w:t>
            </w:r>
            <w:r>
              <w:rPr>
                <w:w w:val="120"/>
                <w:sz w:val="20"/>
              </w:rPr>
              <w:t>justice</w:t>
            </w:r>
          </w:p>
          <w:p>
            <w:pPr>
              <w:pStyle w:val="TableParagraph"/>
              <w:spacing w:line="226" w:lineRule="exact"/>
              <w:ind w:left="306"/>
              <w:rPr>
                <w:sz w:val="20"/>
              </w:rPr>
            </w:pPr>
            <w:r>
              <w:rPr>
                <w:w w:val="120"/>
                <w:sz w:val="20"/>
              </w:rPr>
              <w:t>and peace.</w:t>
            </w:r>
          </w:p>
          <w:p>
            <w:pPr>
              <w:pStyle w:val="TableParagraph"/>
              <w:numPr>
                <w:ilvl w:val="0"/>
                <w:numId w:val="45"/>
              </w:numPr>
              <w:tabs>
                <w:tab w:pos="307" w:val="left" w:leader="none"/>
              </w:tabs>
              <w:spacing w:line="196" w:lineRule="auto" w:before="22" w:after="0"/>
              <w:ind w:left="306" w:right="500" w:hanging="227"/>
              <w:jc w:val="left"/>
              <w:rPr>
                <w:sz w:val="20"/>
              </w:rPr>
            </w:pPr>
            <w:r>
              <w:rPr>
                <w:w w:val="120"/>
                <w:sz w:val="20"/>
              </w:rPr>
              <w:t>Active participation in a particular activity</w:t>
            </w:r>
            <w:r>
              <w:rPr>
                <w:spacing w:val="11"/>
                <w:w w:val="120"/>
                <w:sz w:val="20"/>
              </w:rPr>
              <w:t> </w:t>
            </w:r>
            <w:r>
              <w:rPr>
                <w:w w:val="120"/>
                <w:sz w:val="20"/>
              </w:rPr>
              <w:t>or</w:t>
            </w:r>
          </w:p>
          <w:p>
            <w:pPr>
              <w:pStyle w:val="TableParagraph"/>
              <w:spacing w:line="235" w:lineRule="auto" w:before="11"/>
              <w:ind w:left="306"/>
              <w:rPr>
                <w:sz w:val="20"/>
              </w:rPr>
            </w:pPr>
            <w:r>
              <w:rPr>
                <w:w w:val="120"/>
                <w:sz w:val="20"/>
              </w:rPr>
              <w:t>campaign addressing an issue of justice.</w:t>
            </w:r>
          </w:p>
          <w:p>
            <w:pPr>
              <w:pStyle w:val="TableParagraph"/>
              <w:numPr>
                <w:ilvl w:val="0"/>
                <w:numId w:val="45"/>
              </w:numPr>
              <w:tabs>
                <w:tab w:pos="307" w:val="left" w:leader="none"/>
              </w:tabs>
              <w:spacing w:line="216" w:lineRule="auto" w:before="0" w:after="0"/>
              <w:ind w:left="306" w:right="258" w:hanging="227"/>
              <w:jc w:val="left"/>
              <w:rPr>
                <w:sz w:val="20"/>
              </w:rPr>
            </w:pPr>
            <w:r>
              <w:rPr>
                <w:w w:val="120"/>
                <w:sz w:val="20"/>
              </w:rPr>
              <w:t>Support to individuals – especially children and young people – who</w:t>
            </w:r>
            <w:r>
              <w:rPr>
                <w:spacing w:val="7"/>
                <w:w w:val="120"/>
                <w:sz w:val="20"/>
              </w:rPr>
              <w:t> </w:t>
            </w:r>
            <w:r>
              <w:rPr>
                <w:spacing w:val="-4"/>
                <w:w w:val="120"/>
                <w:sz w:val="20"/>
              </w:rPr>
              <w:t>are</w:t>
            </w:r>
          </w:p>
          <w:p>
            <w:pPr>
              <w:pStyle w:val="TableParagraph"/>
              <w:spacing w:line="235" w:lineRule="auto"/>
              <w:ind w:left="306"/>
              <w:rPr>
                <w:sz w:val="20"/>
              </w:rPr>
            </w:pPr>
            <w:r>
              <w:rPr>
                <w:w w:val="120"/>
                <w:sz w:val="20"/>
              </w:rPr>
              <w:t>involved in particular campaigns.</w:t>
            </w:r>
          </w:p>
          <w:p>
            <w:pPr>
              <w:pStyle w:val="TableParagraph"/>
              <w:numPr>
                <w:ilvl w:val="0"/>
                <w:numId w:val="45"/>
              </w:numPr>
              <w:tabs>
                <w:tab w:pos="307" w:val="left" w:leader="none"/>
              </w:tabs>
              <w:spacing w:line="216" w:lineRule="auto" w:before="0" w:after="0"/>
              <w:ind w:left="306" w:right="169" w:hanging="227"/>
              <w:jc w:val="left"/>
              <w:rPr>
                <w:sz w:val="20"/>
              </w:rPr>
            </w:pPr>
            <w:r>
              <w:rPr>
                <w:w w:val="120"/>
                <w:sz w:val="20"/>
              </w:rPr>
              <w:t>Integrating justice issues within worship in a planned and regular</w:t>
            </w:r>
            <w:r>
              <w:rPr>
                <w:spacing w:val="39"/>
                <w:w w:val="120"/>
                <w:sz w:val="20"/>
              </w:rPr>
              <w:t> </w:t>
            </w:r>
            <w:r>
              <w:rPr>
                <w:spacing w:val="-4"/>
                <w:w w:val="120"/>
                <w:sz w:val="20"/>
              </w:rPr>
              <w:t>way.</w:t>
            </w:r>
          </w:p>
          <w:p>
            <w:pPr>
              <w:pStyle w:val="TableParagraph"/>
              <w:numPr>
                <w:ilvl w:val="0"/>
                <w:numId w:val="45"/>
              </w:numPr>
              <w:tabs>
                <w:tab w:pos="307" w:val="left" w:leader="none"/>
              </w:tabs>
              <w:spacing w:line="196" w:lineRule="auto" w:before="0" w:after="0"/>
              <w:ind w:left="306" w:right="571" w:hanging="227"/>
              <w:jc w:val="left"/>
              <w:rPr>
                <w:sz w:val="20"/>
              </w:rPr>
            </w:pPr>
            <w:r>
              <w:rPr>
                <w:w w:val="120"/>
                <w:sz w:val="20"/>
              </w:rPr>
              <w:t>Becoming a fair trade church.</w:t>
            </w:r>
          </w:p>
        </w:tc>
        <w:tc>
          <w:tcPr>
            <w:tcW w:w="3062" w:type="dxa"/>
          </w:tcPr>
          <w:p>
            <w:pPr>
              <w:pStyle w:val="TableParagraph"/>
              <w:numPr>
                <w:ilvl w:val="0"/>
                <w:numId w:val="46"/>
              </w:numPr>
              <w:tabs>
                <w:tab w:pos="307" w:val="left" w:leader="none"/>
              </w:tabs>
              <w:spacing w:line="216" w:lineRule="auto" w:before="123" w:after="0"/>
              <w:ind w:left="306" w:right="335" w:hanging="227"/>
              <w:jc w:val="left"/>
              <w:rPr>
                <w:sz w:val="20"/>
              </w:rPr>
            </w:pPr>
            <w:r>
              <w:rPr>
                <w:w w:val="120"/>
                <w:sz w:val="20"/>
              </w:rPr>
              <w:t>The number of churches actively participating in a synod or</w:t>
            </w:r>
            <w:r>
              <w:rPr>
                <w:spacing w:val="10"/>
                <w:w w:val="120"/>
                <w:sz w:val="20"/>
              </w:rPr>
              <w:t> </w:t>
            </w:r>
            <w:r>
              <w:rPr>
                <w:w w:val="120"/>
                <w:sz w:val="20"/>
              </w:rPr>
              <w:t>Assembly-</w:t>
            </w:r>
          </w:p>
          <w:p>
            <w:pPr>
              <w:pStyle w:val="TableParagraph"/>
              <w:spacing w:line="235" w:lineRule="auto" w:before="3"/>
              <w:ind w:left="306"/>
              <w:rPr>
                <w:sz w:val="20"/>
              </w:rPr>
            </w:pPr>
            <w:r>
              <w:rPr>
                <w:w w:val="120"/>
                <w:sz w:val="20"/>
              </w:rPr>
              <w:t>promoted activity or campaign addressing an issue of justice.</w:t>
            </w:r>
          </w:p>
          <w:p>
            <w:pPr>
              <w:pStyle w:val="TableParagraph"/>
              <w:numPr>
                <w:ilvl w:val="0"/>
                <w:numId w:val="46"/>
              </w:numPr>
              <w:tabs>
                <w:tab w:pos="307" w:val="left" w:leader="none"/>
              </w:tabs>
              <w:spacing w:line="216" w:lineRule="auto" w:before="0" w:after="0"/>
              <w:ind w:left="306" w:right="233" w:hanging="227"/>
              <w:jc w:val="left"/>
              <w:rPr>
                <w:sz w:val="20"/>
              </w:rPr>
            </w:pPr>
            <w:r>
              <w:rPr>
                <w:w w:val="120"/>
                <w:sz w:val="20"/>
              </w:rPr>
              <w:t>Endorsement, implementation and monitoring of the</w:t>
            </w:r>
            <w:r>
              <w:rPr>
                <w:spacing w:val="22"/>
                <w:w w:val="120"/>
                <w:sz w:val="20"/>
              </w:rPr>
              <w:t> </w:t>
            </w:r>
            <w:r>
              <w:rPr>
                <w:w w:val="120"/>
                <w:sz w:val="20"/>
              </w:rPr>
              <w:t>revised</w:t>
            </w:r>
          </w:p>
          <w:p>
            <w:pPr>
              <w:pStyle w:val="TableParagraph"/>
              <w:spacing w:line="235" w:lineRule="auto"/>
              <w:ind w:left="306" w:right="131"/>
              <w:rPr>
                <w:sz w:val="20"/>
              </w:rPr>
            </w:pPr>
            <w:r>
              <w:rPr>
                <w:w w:val="120"/>
                <w:sz w:val="20"/>
              </w:rPr>
              <w:t>ethical investment policy of the URC.</w:t>
            </w:r>
          </w:p>
          <w:p>
            <w:pPr>
              <w:pStyle w:val="TableParagraph"/>
              <w:numPr>
                <w:ilvl w:val="0"/>
                <w:numId w:val="46"/>
              </w:numPr>
              <w:tabs>
                <w:tab w:pos="307" w:val="left" w:leader="none"/>
              </w:tabs>
              <w:spacing w:line="216" w:lineRule="auto" w:before="0" w:after="0"/>
              <w:ind w:left="306" w:right="162" w:hanging="227"/>
              <w:jc w:val="left"/>
              <w:rPr>
                <w:sz w:val="20"/>
              </w:rPr>
            </w:pPr>
            <w:r>
              <w:rPr>
                <w:w w:val="120"/>
                <w:sz w:val="20"/>
              </w:rPr>
              <w:t>The number of churches supported and equipped to address issues of</w:t>
            </w:r>
            <w:r>
              <w:rPr>
                <w:spacing w:val="-26"/>
                <w:w w:val="120"/>
                <w:sz w:val="20"/>
              </w:rPr>
              <w:t> </w:t>
            </w:r>
            <w:r>
              <w:rPr>
                <w:w w:val="120"/>
                <w:sz w:val="20"/>
              </w:rPr>
              <w:t>justice</w:t>
            </w:r>
          </w:p>
          <w:p>
            <w:pPr>
              <w:pStyle w:val="TableParagraph"/>
              <w:spacing w:line="235" w:lineRule="auto"/>
              <w:ind w:left="306"/>
              <w:rPr>
                <w:sz w:val="20"/>
              </w:rPr>
            </w:pPr>
            <w:r>
              <w:rPr>
                <w:w w:val="120"/>
                <w:sz w:val="20"/>
              </w:rPr>
              <w:t>and peace in the local community.</w:t>
            </w:r>
          </w:p>
        </w:tc>
        <w:tc>
          <w:tcPr>
            <w:tcW w:w="2915" w:type="dxa"/>
          </w:tcPr>
          <w:p>
            <w:pPr>
              <w:pStyle w:val="TableParagraph"/>
              <w:numPr>
                <w:ilvl w:val="0"/>
                <w:numId w:val="47"/>
              </w:numPr>
              <w:tabs>
                <w:tab w:pos="306" w:val="left" w:leader="none"/>
              </w:tabs>
              <w:spacing w:line="216" w:lineRule="auto" w:before="123" w:after="0"/>
              <w:ind w:left="305" w:right="189" w:hanging="227"/>
              <w:jc w:val="left"/>
              <w:rPr>
                <w:sz w:val="20"/>
              </w:rPr>
            </w:pPr>
            <w:r>
              <w:rPr>
                <w:w w:val="120"/>
                <w:sz w:val="20"/>
              </w:rPr>
              <w:t>The number of churches actively participating in a synod or</w:t>
            </w:r>
            <w:r>
              <w:rPr>
                <w:spacing w:val="10"/>
                <w:w w:val="120"/>
                <w:sz w:val="20"/>
              </w:rPr>
              <w:t> </w:t>
            </w:r>
            <w:r>
              <w:rPr>
                <w:w w:val="120"/>
                <w:sz w:val="20"/>
              </w:rPr>
              <w:t>Assembly-</w:t>
            </w:r>
          </w:p>
          <w:p>
            <w:pPr>
              <w:pStyle w:val="TableParagraph"/>
              <w:spacing w:line="235" w:lineRule="auto" w:before="3"/>
              <w:ind w:left="305"/>
              <w:rPr>
                <w:sz w:val="20"/>
              </w:rPr>
            </w:pPr>
            <w:r>
              <w:rPr>
                <w:w w:val="120"/>
                <w:sz w:val="20"/>
              </w:rPr>
              <w:t>promoted activity or campaign addressing an issue of justice.</w:t>
            </w:r>
          </w:p>
          <w:p>
            <w:pPr>
              <w:pStyle w:val="TableParagraph"/>
              <w:numPr>
                <w:ilvl w:val="0"/>
                <w:numId w:val="47"/>
              </w:numPr>
              <w:tabs>
                <w:tab w:pos="306" w:val="left" w:leader="none"/>
              </w:tabs>
              <w:spacing w:line="216" w:lineRule="auto" w:before="0" w:after="0"/>
              <w:ind w:left="305" w:right="742" w:hanging="227"/>
              <w:jc w:val="left"/>
              <w:rPr>
                <w:sz w:val="20"/>
              </w:rPr>
            </w:pPr>
            <w:r>
              <w:rPr>
                <w:w w:val="120"/>
                <w:sz w:val="20"/>
              </w:rPr>
              <w:t>The demonstrable impact of Mission Council or</w:t>
            </w:r>
            <w:r>
              <w:rPr>
                <w:spacing w:val="26"/>
                <w:w w:val="120"/>
                <w:sz w:val="20"/>
              </w:rPr>
              <w:t> </w:t>
            </w:r>
            <w:r>
              <w:rPr>
                <w:w w:val="120"/>
                <w:sz w:val="20"/>
              </w:rPr>
              <w:t>General</w:t>
            </w:r>
          </w:p>
          <w:p>
            <w:pPr>
              <w:pStyle w:val="TableParagraph"/>
              <w:spacing w:line="235" w:lineRule="auto"/>
              <w:ind w:left="305" w:right="204"/>
              <w:rPr>
                <w:sz w:val="20"/>
              </w:rPr>
            </w:pPr>
            <w:r>
              <w:rPr>
                <w:w w:val="120"/>
                <w:sz w:val="20"/>
              </w:rPr>
              <w:t>Assembly resolutions on justice issues.</w:t>
            </w:r>
          </w:p>
          <w:p>
            <w:pPr>
              <w:pStyle w:val="TableParagraph"/>
              <w:numPr>
                <w:ilvl w:val="0"/>
                <w:numId w:val="47"/>
              </w:numPr>
              <w:tabs>
                <w:tab w:pos="306" w:val="left" w:leader="none"/>
              </w:tabs>
              <w:spacing w:line="216" w:lineRule="auto" w:before="0" w:after="0"/>
              <w:ind w:left="305" w:right="627" w:hanging="227"/>
              <w:jc w:val="left"/>
              <w:rPr>
                <w:sz w:val="20"/>
              </w:rPr>
            </w:pPr>
            <w:r>
              <w:rPr>
                <w:w w:val="120"/>
                <w:sz w:val="20"/>
              </w:rPr>
              <w:t>Children and young people supported and equipped</w:t>
            </w:r>
            <w:r>
              <w:rPr>
                <w:spacing w:val="13"/>
                <w:w w:val="120"/>
                <w:sz w:val="20"/>
              </w:rPr>
              <w:t> </w:t>
            </w:r>
            <w:r>
              <w:rPr>
                <w:w w:val="120"/>
                <w:sz w:val="20"/>
              </w:rPr>
              <w:t>to</w:t>
            </w:r>
          </w:p>
          <w:p>
            <w:pPr>
              <w:pStyle w:val="TableParagraph"/>
              <w:spacing w:line="235" w:lineRule="auto"/>
              <w:ind w:left="305"/>
              <w:rPr>
                <w:sz w:val="20"/>
              </w:rPr>
            </w:pPr>
            <w:r>
              <w:rPr>
                <w:w w:val="120"/>
                <w:sz w:val="20"/>
              </w:rPr>
              <w:t>address issues of justice and peace through involvement in Children’s Assembly, FURY etc.</w:t>
            </w:r>
          </w:p>
        </w:tc>
      </w:tr>
    </w:tbl>
    <w:p>
      <w:pPr>
        <w:spacing w:after="0" w:line="235" w:lineRule="auto"/>
        <w:rPr>
          <w:sz w:val="20"/>
        </w:rPr>
        <w:sectPr>
          <w:pgSz w:w="11910" w:h="16840"/>
          <w:pgMar w:header="0" w:footer="600" w:top="1140" w:bottom="860" w:left="0" w:right="0"/>
        </w:sectPr>
      </w:pPr>
    </w:p>
    <w:p>
      <w:pPr>
        <w:spacing w:before="20"/>
        <w:ind w:left="1984" w:right="0" w:firstLine="0"/>
        <w:jc w:val="left"/>
        <w:rPr>
          <w:rFonts w:ascii="Stone Sans II ITC Std Bk"/>
          <w:b/>
          <w:sz w:val="29"/>
        </w:rPr>
      </w:pPr>
      <w:r>
        <w:rPr/>
        <w:pict>
          <v:rect style="position:absolute;margin-left:558.424988pt;margin-top:5.264775pt;width:22.677pt;height:22.677pt;mso-position-horizontal-relative:page;mso-position-vertical-relative:paragraph;z-index:251785216" filled="true" fillcolor="#f9e9c1" stroked="false">
            <v:fill opacity="32768f" type="solid"/>
            <w10:wrap type="none"/>
          </v:rect>
        </w:pict>
      </w:r>
      <w:r>
        <w:rPr/>
        <w:pict>
          <v:line style="position:absolute;mso-position-horizontal-relative:page;mso-position-vertical-relative:page;z-index:251786240" from="78.870102pt,59.687416pt" to="78.870102pt,797.873416pt" stroked="true" strokeweight="1pt" strokecolor="#868685">
            <v:stroke dashstyle="dot"/>
            <w10:wrap type="none"/>
          </v:line>
        </w:pict>
      </w:r>
      <w:r>
        <w:rPr/>
        <w:drawing>
          <wp:anchor distT="0" distB="0" distL="0" distR="0" allowOverlap="1" layoutInCell="1" locked="0" behindDoc="1" simplePos="0" relativeHeight="235679744">
            <wp:simplePos x="0" y="0"/>
            <wp:positionH relativeFrom="page">
              <wp:posOffset>1271993</wp:posOffset>
            </wp:positionH>
            <wp:positionV relativeFrom="page">
              <wp:posOffset>6833997</wp:posOffset>
            </wp:positionV>
            <wp:extent cx="5556430" cy="742950"/>
            <wp:effectExtent l="0" t="0" r="0" b="0"/>
            <wp:wrapNone/>
            <wp:docPr id="57" name="image56.png"/>
            <wp:cNvGraphicFramePr>
              <a:graphicFrameLocks noChangeAspect="1"/>
            </wp:cNvGraphicFramePr>
            <a:graphic>
              <a:graphicData uri="http://schemas.openxmlformats.org/drawingml/2006/picture">
                <pic:pic>
                  <pic:nvPicPr>
                    <pic:cNvPr id="58" name="image56.png"/>
                    <pic:cNvPicPr/>
                  </pic:nvPicPr>
                  <pic:blipFill>
                    <a:blip r:embed="rId92" cstate="print"/>
                    <a:stretch>
                      <a:fillRect/>
                    </a:stretch>
                  </pic:blipFill>
                  <pic:spPr>
                    <a:xfrm>
                      <a:off x="0" y="0"/>
                      <a:ext cx="5556430" cy="742950"/>
                    </a:xfrm>
                    <a:prstGeom prst="rect">
                      <a:avLst/>
                    </a:prstGeom>
                  </pic:spPr>
                </pic:pic>
              </a:graphicData>
            </a:graphic>
          </wp:anchor>
        </w:drawing>
      </w:r>
      <w:r>
        <w:rPr>
          <w:rFonts w:ascii="Stone Sans II ITC Std Bk"/>
          <w:b/>
          <w:color w:val="CA4F1B"/>
          <w:spacing w:val="2"/>
          <w:w w:val="110"/>
          <w:sz w:val="29"/>
        </w:rPr>
        <w:t>Statement </w:t>
      </w:r>
      <w:r>
        <w:rPr>
          <w:rFonts w:ascii="Stone Sans II ITC Std Bk"/>
          <w:b/>
          <w:color w:val="CA4F1B"/>
          <w:spacing w:val="-3"/>
          <w:w w:val="110"/>
          <w:sz w:val="29"/>
        </w:rPr>
        <w:t>10: </w:t>
      </w:r>
      <w:r>
        <w:rPr>
          <w:rFonts w:ascii="Stone Sans II ITC Std Bk"/>
          <w:b/>
          <w:spacing w:val="4"/>
          <w:w w:val="110"/>
          <w:sz w:val="29"/>
        </w:rPr>
        <w:t>The </w:t>
      </w:r>
      <w:r>
        <w:rPr>
          <w:rFonts w:ascii="Stone Sans II ITC Std Bk"/>
          <w:b/>
          <w:spacing w:val="3"/>
          <w:w w:val="110"/>
          <w:sz w:val="29"/>
        </w:rPr>
        <w:t>integrity </w:t>
      </w:r>
      <w:r>
        <w:rPr>
          <w:rFonts w:ascii="Stone Sans II ITC Std Bk"/>
          <w:b/>
          <w:w w:val="110"/>
          <w:sz w:val="29"/>
        </w:rPr>
        <w:t>of</w:t>
      </w:r>
      <w:r>
        <w:rPr>
          <w:rFonts w:ascii="Stone Sans II ITC Std Bk"/>
          <w:b/>
          <w:spacing w:val="60"/>
          <w:w w:val="110"/>
          <w:sz w:val="29"/>
        </w:rPr>
        <w:t> </w:t>
      </w:r>
      <w:r>
        <w:rPr>
          <w:rFonts w:ascii="Stone Sans II ITC Std Bk"/>
          <w:b/>
          <w:spacing w:val="3"/>
          <w:w w:val="110"/>
          <w:sz w:val="29"/>
        </w:rPr>
        <w:t>creation</w:t>
      </w:r>
    </w:p>
    <w:p>
      <w:pPr>
        <w:spacing w:line="213" w:lineRule="auto" w:before="202"/>
        <w:ind w:left="1984" w:right="1120" w:firstLine="0"/>
        <w:jc w:val="left"/>
        <w:rPr>
          <w:rFonts w:ascii="Stone Sans II ITC Std Bk"/>
          <w:b/>
          <w:sz w:val="20"/>
        </w:rPr>
      </w:pPr>
      <w:r>
        <w:rPr>
          <w:rFonts w:ascii="Stone Sans II ITC Std Bk"/>
          <w:b/>
          <w:w w:val="110"/>
          <w:sz w:val="20"/>
        </w:rPr>
        <w:t>We will be a Church that has taken significant steps to safeguard the integrity of creation, to sustain and renew the life of the earth.</w:t>
      </w:r>
    </w:p>
    <w:p>
      <w:pPr>
        <w:pStyle w:val="BodyText"/>
        <w:spacing w:before="2"/>
        <w:rPr>
          <w:rFonts w:ascii="Stone Sans II ITC Std Bk"/>
          <w:b/>
          <w:sz w:val="17"/>
        </w:rPr>
      </w:pPr>
    </w:p>
    <w:p>
      <w:pPr>
        <w:pStyle w:val="BodyText"/>
        <w:spacing w:line="235" w:lineRule="auto" w:before="1"/>
        <w:ind w:left="1984" w:right="1706"/>
      </w:pPr>
      <w:r>
        <w:rPr>
          <w:w w:val="120"/>
        </w:rPr>
        <w:t>The changing climate and its consequences for all life on planet earth cannot be over emphasised as the most significant underlying issue of our time. Being an intergenerational community of faith that trust in the God of creation past, present and to come, it is vital that the Church recognizes the reality and fear present in environmental debates and lives hopefully in the present climate. </w:t>
      </w:r>
      <w:r>
        <w:rPr>
          <w:spacing w:val="-5"/>
          <w:w w:val="120"/>
        </w:rPr>
        <w:t>Too </w:t>
      </w:r>
      <w:r>
        <w:rPr>
          <w:w w:val="120"/>
        </w:rPr>
        <w:t>often the ‘prophets’</w:t>
      </w:r>
      <w:r>
        <w:rPr>
          <w:spacing w:val="9"/>
          <w:w w:val="120"/>
        </w:rPr>
        <w:t> </w:t>
      </w:r>
      <w:r>
        <w:rPr>
          <w:w w:val="120"/>
        </w:rPr>
        <w:t>who</w:t>
      </w:r>
      <w:r>
        <w:rPr>
          <w:spacing w:val="9"/>
          <w:w w:val="120"/>
        </w:rPr>
        <w:t> </w:t>
      </w:r>
      <w:r>
        <w:rPr>
          <w:w w:val="120"/>
        </w:rPr>
        <w:t>see</w:t>
      </w:r>
      <w:r>
        <w:rPr>
          <w:spacing w:val="9"/>
          <w:w w:val="120"/>
        </w:rPr>
        <w:t> </w:t>
      </w:r>
      <w:r>
        <w:rPr>
          <w:w w:val="120"/>
        </w:rPr>
        <w:t>the</w:t>
      </w:r>
      <w:r>
        <w:rPr>
          <w:spacing w:val="10"/>
          <w:w w:val="120"/>
        </w:rPr>
        <w:t> </w:t>
      </w:r>
      <w:r>
        <w:rPr>
          <w:w w:val="120"/>
        </w:rPr>
        <w:t>truth</w:t>
      </w:r>
      <w:r>
        <w:rPr>
          <w:spacing w:val="9"/>
          <w:w w:val="120"/>
        </w:rPr>
        <w:t> </w:t>
      </w:r>
      <w:r>
        <w:rPr>
          <w:w w:val="120"/>
        </w:rPr>
        <w:t>and</w:t>
      </w:r>
      <w:r>
        <w:rPr>
          <w:spacing w:val="9"/>
          <w:w w:val="120"/>
        </w:rPr>
        <w:t> </w:t>
      </w:r>
      <w:r>
        <w:rPr>
          <w:w w:val="120"/>
        </w:rPr>
        <w:t>challenge</w:t>
      </w:r>
      <w:r>
        <w:rPr>
          <w:spacing w:val="9"/>
          <w:w w:val="120"/>
        </w:rPr>
        <w:t> </w:t>
      </w:r>
      <w:r>
        <w:rPr>
          <w:w w:val="120"/>
        </w:rPr>
        <w:t>for</w:t>
      </w:r>
      <w:r>
        <w:rPr>
          <w:spacing w:val="10"/>
          <w:w w:val="120"/>
        </w:rPr>
        <w:t> </w:t>
      </w:r>
      <w:r>
        <w:rPr>
          <w:w w:val="120"/>
        </w:rPr>
        <w:t>change</w:t>
      </w:r>
      <w:r>
        <w:rPr>
          <w:spacing w:val="9"/>
          <w:w w:val="120"/>
        </w:rPr>
        <w:t> </w:t>
      </w:r>
      <w:r>
        <w:rPr>
          <w:w w:val="120"/>
        </w:rPr>
        <w:t>are</w:t>
      </w:r>
      <w:r>
        <w:rPr>
          <w:spacing w:val="9"/>
          <w:w w:val="120"/>
        </w:rPr>
        <w:t> </w:t>
      </w:r>
      <w:r>
        <w:rPr>
          <w:w w:val="120"/>
        </w:rPr>
        <w:t>outside</w:t>
      </w:r>
      <w:r>
        <w:rPr>
          <w:spacing w:val="9"/>
          <w:w w:val="120"/>
        </w:rPr>
        <w:t> </w:t>
      </w:r>
      <w:r>
        <w:rPr>
          <w:w w:val="120"/>
        </w:rPr>
        <w:t>the</w:t>
      </w:r>
      <w:r>
        <w:rPr>
          <w:spacing w:val="10"/>
          <w:w w:val="120"/>
        </w:rPr>
        <w:t> </w:t>
      </w:r>
      <w:r>
        <w:rPr>
          <w:w w:val="120"/>
        </w:rPr>
        <w:t>Church.</w:t>
      </w:r>
      <w:r>
        <w:rPr>
          <w:spacing w:val="9"/>
          <w:w w:val="120"/>
        </w:rPr>
        <w:t> </w:t>
      </w:r>
      <w:r>
        <w:rPr>
          <w:w w:val="120"/>
        </w:rPr>
        <w:t>Our</w:t>
      </w:r>
    </w:p>
    <w:p>
      <w:pPr>
        <w:pStyle w:val="BodyText"/>
        <w:spacing w:line="235" w:lineRule="auto" w:before="4"/>
        <w:ind w:left="1984" w:right="1120"/>
      </w:pPr>
      <w:r>
        <w:rPr>
          <w:w w:val="120"/>
        </w:rPr>
        <w:t>churches, reflecting faith in God the creator and sustainer of life in all its fullness, must discover the radical voice of care for the earth that is supported by the way we</w:t>
      </w:r>
      <w:r>
        <w:rPr>
          <w:spacing w:val="24"/>
          <w:w w:val="120"/>
        </w:rPr>
        <w:t> </w:t>
      </w:r>
      <w:r>
        <w:rPr>
          <w:w w:val="120"/>
        </w:rPr>
        <w:t>live.</w:t>
      </w:r>
    </w:p>
    <w:p>
      <w:pPr>
        <w:pStyle w:val="BodyText"/>
        <w:rPr>
          <w:sz w:val="24"/>
        </w:rPr>
      </w:pPr>
    </w:p>
    <w:p>
      <w:pPr>
        <w:spacing w:before="172"/>
        <w:ind w:left="1984" w:right="0" w:firstLine="0"/>
        <w:jc w:val="left"/>
        <w:rPr>
          <w:rFonts w:ascii="Stone Sans II ITC Std Bk"/>
          <w:b/>
          <w:i/>
          <w:sz w:val="20"/>
        </w:rPr>
      </w:pPr>
      <w:r>
        <w:rPr>
          <w:rFonts w:ascii="Stone Sans II ITC Std Bk"/>
          <w:b/>
          <w:i/>
          <w:w w:val="110"/>
          <w:sz w:val="20"/>
        </w:rPr>
        <w:t>Some suggested indicators:</w:t>
      </w:r>
    </w:p>
    <w:p>
      <w:pPr>
        <w:pStyle w:val="BodyText"/>
        <w:spacing w:before="9"/>
        <w:rPr>
          <w:rFonts w:ascii="Stone Sans II ITC Std Bk"/>
          <w:b/>
          <w:i/>
          <w:sz w:val="18"/>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56"/>
        <w:gridCol w:w="2990"/>
        <w:gridCol w:w="2714"/>
      </w:tblGrid>
      <w:tr>
        <w:trPr>
          <w:trHeight w:val="373" w:hRule="atLeast"/>
        </w:trPr>
        <w:tc>
          <w:tcPr>
            <w:tcW w:w="3056" w:type="dxa"/>
            <w:shd w:val="clear" w:color="auto" w:fill="CA4F1B"/>
          </w:tcPr>
          <w:p>
            <w:pPr>
              <w:pStyle w:val="TableParagraph"/>
              <w:spacing w:line="258" w:lineRule="exact" w:before="95"/>
              <w:ind w:left="79"/>
              <w:rPr>
                <w:rFonts w:ascii="Stone Sans II ITC Std Bk"/>
                <w:b/>
                <w:i/>
                <w:sz w:val="20"/>
              </w:rPr>
            </w:pPr>
            <w:r>
              <w:rPr>
                <w:rFonts w:ascii="Stone Sans II ITC Std Bk"/>
                <w:b/>
                <w:i/>
                <w:color w:val="FFFFFF"/>
                <w:w w:val="110"/>
                <w:sz w:val="20"/>
              </w:rPr>
              <w:t>Local Indicators</w:t>
            </w:r>
          </w:p>
        </w:tc>
        <w:tc>
          <w:tcPr>
            <w:tcW w:w="2990" w:type="dxa"/>
            <w:shd w:val="clear" w:color="auto" w:fill="CA4F1B"/>
          </w:tcPr>
          <w:p>
            <w:pPr>
              <w:pStyle w:val="TableParagraph"/>
              <w:spacing w:line="258" w:lineRule="exact" w:before="95"/>
              <w:ind w:left="80"/>
              <w:rPr>
                <w:rFonts w:ascii="Stone Sans II ITC Std Bk"/>
                <w:b/>
                <w:i/>
                <w:sz w:val="20"/>
              </w:rPr>
            </w:pPr>
            <w:r>
              <w:rPr>
                <w:rFonts w:ascii="Stone Sans II ITC Std Bk"/>
                <w:b/>
                <w:i/>
                <w:color w:val="FFFFFF"/>
                <w:w w:val="110"/>
                <w:sz w:val="20"/>
              </w:rPr>
              <w:t>Synod Indicators</w:t>
            </w:r>
          </w:p>
        </w:tc>
        <w:tc>
          <w:tcPr>
            <w:tcW w:w="2714" w:type="dxa"/>
            <w:shd w:val="clear" w:color="auto" w:fill="CA4F1B"/>
          </w:tcPr>
          <w:p>
            <w:pPr>
              <w:pStyle w:val="TableParagraph"/>
              <w:spacing w:line="258" w:lineRule="exact" w:before="95"/>
              <w:ind w:left="81"/>
              <w:rPr>
                <w:rFonts w:ascii="Stone Sans II ITC Std Bk"/>
                <w:b/>
                <w:i/>
                <w:sz w:val="20"/>
              </w:rPr>
            </w:pPr>
            <w:r>
              <w:rPr>
                <w:rFonts w:ascii="Stone Sans II ITC Std Bk"/>
                <w:b/>
                <w:i/>
                <w:color w:val="FFFFFF"/>
                <w:w w:val="110"/>
                <w:sz w:val="20"/>
              </w:rPr>
              <w:t>Assembly Indicators</w:t>
            </w:r>
          </w:p>
        </w:tc>
      </w:tr>
      <w:tr>
        <w:trPr>
          <w:trHeight w:val="6156" w:hRule="atLeast"/>
        </w:trPr>
        <w:tc>
          <w:tcPr>
            <w:tcW w:w="3056" w:type="dxa"/>
          </w:tcPr>
          <w:p>
            <w:pPr>
              <w:pStyle w:val="TableParagraph"/>
              <w:numPr>
                <w:ilvl w:val="0"/>
                <w:numId w:val="48"/>
              </w:numPr>
              <w:tabs>
                <w:tab w:pos="307" w:val="left" w:leader="none"/>
              </w:tabs>
              <w:spacing w:line="196" w:lineRule="auto" w:before="140" w:after="0"/>
              <w:ind w:left="306" w:right="526" w:hanging="227"/>
              <w:jc w:val="left"/>
              <w:rPr>
                <w:sz w:val="20"/>
              </w:rPr>
            </w:pPr>
            <w:r>
              <w:rPr>
                <w:w w:val="120"/>
                <w:sz w:val="20"/>
              </w:rPr>
              <w:t>Carrying out an environmental</w:t>
            </w:r>
            <w:r>
              <w:rPr>
                <w:spacing w:val="1"/>
                <w:w w:val="120"/>
                <w:sz w:val="20"/>
              </w:rPr>
              <w:t> </w:t>
            </w:r>
            <w:r>
              <w:rPr>
                <w:w w:val="120"/>
                <w:sz w:val="20"/>
              </w:rPr>
              <w:t>audit</w:t>
            </w:r>
          </w:p>
          <w:p>
            <w:pPr>
              <w:pStyle w:val="TableParagraph"/>
              <w:spacing w:line="235" w:lineRule="auto" w:before="11"/>
              <w:ind w:left="306"/>
              <w:rPr>
                <w:sz w:val="20"/>
              </w:rPr>
            </w:pPr>
            <w:r>
              <w:rPr>
                <w:w w:val="120"/>
                <w:sz w:val="20"/>
              </w:rPr>
              <w:t>and implementing the resulting action plan.</w:t>
            </w:r>
          </w:p>
          <w:p>
            <w:pPr>
              <w:pStyle w:val="TableParagraph"/>
              <w:numPr>
                <w:ilvl w:val="0"/>
                <w:numId w:val="48"/>
              </w:numPr>
              <w:tabs>
                <w:tab w:pos="307" w:val="left" w:leader="none"/>
              </w:tabs>
              <w:spacing w:line="216" w:lineRule="auto" w:before="0" w:after="0"/>
              <w:ind w:left="306" w:right="362" w:hanging="227"/>
              <w:jc w:val="left"/>
              <w:rPr>
                <w:sz w:val="20"/>
              </w:rPr>
            </w:pPr>
            <w:r>
              <w:rPr>
                <w:w w:val="120"/>
                <w:sz w:val="20"/>
              </w:rPr>
              <w:t>Giving voice to the God whose life and love is expressed in all</w:t>
            </w:r>
            <w:r>
              <w:rPr>
                <w:spacing w:val="2"/>
                <w:w w:val="120"/>
                <w:sz w:val="20"/>
              </w:rPr>
              <w:t> </w:t>
            </w:r>
            <w:r>
              <w:rPr>
                <w:w w:val="120"/>
                <w:sz w:val="20"/>
              </w:rPr>
              <w:t>creation</w:t>
            </w:r>
          </w:p>
          <w:p>
            <w:pPr>
              <w:pStyle w:val="TableParagraph"/>
              <w:spacing w:line="235" w:lineRule="auto"/>
              <w:ind w:left="306" w:right="5"/>
              <w:rPr>
                <w:sz w:val="20"/>
              </w:rPr>
            </w:pPr>
            <w:r>
              <w:rPr>
                <w:w w:val="120"/>
                <w:sz w:val="20"/>
              </w:rPr>
              <w:t>through worship, Bible study and prayer.</w:t>
            </w:r>
          </w:p>
          <w:p>
            <w:pPr>
              <w:pStyle w:val="TableParagraph"/>
              <w:numPr>
                <w:ilvl w:val="0"/>
                <w:numId w:val="48"/>
              </w:numPr>
              <w:tabs>
                <w:tab w:pos="307" w:val="left" w:leader="none"/>
              </w:tabs>
              <w:spacing w:line="216" w:lineRule="auto" w:before="0" w:after="0"/>
              <w:ind w:left="306" w:right="188" w:hanging="227"/>
              <w:jc w:val="left"/>
              <w:rPr>
                <w:sz w:val="20"/>
              </w:rPr>
            </w:pPr>
            <w:r>
              <w:rPr>
                <w:w w:val="120"/>
                <w:sz w:val="20"/>
              </w:rPr>
              <w:t>Involving children and young people in activities focusing on care for</w:t>
            </w:r>
            <w:r>
              <w:rPr>
                <w:spacing w:val="10"/>
                <w:w w:val="120"/>
                <w:sz w:val="20"/>
              </w:rPr>
              <w:t> </w:t>
            </w:r>
            <w:r>
              <w:rPr>
                <w:w w:val="120"/>
                <w:sz w:val="20"/>
              </w:rPr>
              <w:t>the</w:t>
            </w:r>
          </w:p>
          <w:p>
            <w:pPr>
              <w:pStyle w:val="TableParagraph"/>
              <w:spacing w:line="226" w:lineRule="exact"/>
              <w:ind w:left="306"/>
              <w:rPr>
                <w:sz w:val="20"/>
              </w:rPr>
            </w:pPr>
            <w:r>
              <w:rPr>
                <w:w w:val="120"/>
                <w:sz w:val="20"/>
              </w:rPr>
              <w:t>environment.</w:t>
            </w:r>
          </w:p>
          <w:p>
            <w:pPr>
              <w:pStyle w:val="TableParagraph"/>
              <w:numPr>
                <w:ilvl w:val="0"/>
                <w:numId w:val="48"/>
              </w:numPr>
              <w:tabs>
                <w:tab w:pos="307" w:val="left" w:leader="none"/>
              </w:tabs>
              <w:spacing w:line="216" w:lineRule="auto" w:before="0" w:after="0"/>
              <w:ind w:left="306" w:right="438" w:hanging="227"/>
              <w:jc w:val="left"/>
              <w:rPr>
                <w:sz w:val="20"/>
              </w:rPr>
            </w:pPr>
            <w:r>
              <w:rPr>
                <w:w w:val="120"/>
                <w:sz w:val="20"/>
              </w:rPr>
              <w:t>Production of a piece of community </w:t>
            </w:r>
            <w:r>
              <w:rPr>
                <w:spacing w:val="2"/>
                <w:w w:val="120"/>
                <w:sz w:val="20"/>
              </w:rPr>
              <w:t>artwork </w:t>
            </w:r>
            <w:r>
              <w:rPr>
                <w:w w:val="120"/>
                <w:sz w:val="20"/>
              </w:rPr>
              <w:t>celebrating the</w:t>
            </w:r>
            <w:r>
              <w:rPr>
                <w:spacing w:val="22"/>
                <w:w w:val="120"/>
                <w:sz w:val="20"/>
              </w:rPr>
              <w:t> </w:t>
            </w:r>
            <w:r>
              <w:rPr>
                <w:w w:val="120"/>
                <w:sz w:val="20"/>
              </w:rPr>
              <w:t>Creator</w:t>
            </w:r>
          </w:p>
          <w:p>
            <w:pPr>
              <w:pStyle w:val="TableParagraph"/>
              <w:spacing w:line="243" w:lineRule="exact"/>
              <w:ind w:left="306"/>
              <w:rPr>
                <w:sz w:val="20"/>
              </w:rPr>
            </w:pPr>
            <w:r>
              <w:rPr>
                <w:w w:val="125"/>
                <w:sz w:val="20"/>
              </w:rPr>
              <w:t>God.</w:t>
            </w:r>
          </w:p>
        </w:tc>
        <w:tc>
          <w:tcPr>
            <w:tcW w:w="2990" w:type="dxa"/>
          </w:tcPr>
          <w:p>
            <w:pPr>
              <w:pStyle w:val="TableParagraph"/>
              <w:numPr>
                <w:ilvl w:val="0"/>
                <w:numId w:val="49"/>
              </w:numPr>
              <w:tabs>
                <w:tab w:pos="308" w:val="left" w:leader="none"/>
              </w:tabs>
              <w:spacing w:line="196" w:lineRule="auto" w:before="140" w:after="0"/>
              <w:ind w:left="307" w:right="665" w:hanging="227"/>
              <w:jc w:val="left"/>
              <w:rPr>
                <w:sz w:val="20"/>
              </w:rPr>
            </w:pPr>
            <w:r>
              <w:rPr>
                <w:w w:val="120"/>
                <w:sz w:val="20"/>
              </w:rPr>
              <w:t>The number of </w:t>
            </w:r>
            <w:r>
              <w:rPr>
                <w:spacing w:val="-5"/>
                <w:w w:val="120"/>
                <w:sz w:val="20"/>
              </w:rPr>
              <w:t>‘eco- </w:t>
            </w:r>
            <w:r>
              <w:rPr>
                <w:w w:val="120"/>
                <w:sz w:val="20"/>
              </w:rPr>
              <w:t>congregations’</w:t>
            </w:r>
            <w:r>
              <w:rPr>
                <w:spacing w:val="8"/>
                <w:w w:val="120"/>
                <w:sz w:val="20"/>
              </w:rPr>
              <w:t> </w:t>
            </w:r>
            <w:r>
              <w:rPr>
                <w:w w:val="120"/>
                <w:sz w:val="20"/>
              </w:rPr>
              <w:t>or</w:t>
            </w:r>
          </w:p>
          <w:p>
            <w:pPr>
              <w:pStyle w:val="TableParagraph"/>
              <w:spacing w:line="235" w:lineRule="auto" w:before="11"/>
              <w:ind w:left="307" w:right="24"/>
              <w:rPr>
                <w:sz w:val="20"/>
              </w:rPr>
            </w:pPr>
            <w:r>
              <w:rPr>
                <w:w w:val="120"/>
                <w:sz w:val="20"/>
              </w:rPr>
              <w:t>churches with clear environmental action plans.</w:t>
            </w:r>
          </w:p>
          <w:p>
            <w:pPr>
              <w:pStyle w:val="TableParagraph"/>
              <w:numPr>
                <w:ilvl w:val="0"/>
                <w:numId w:val="49"/>
              </w:numPr>
              <w:tabs>
                <w:tab w:pos="308" w:val="left" w:leader="none"/>
              </w:tabs>
              <w:spacing w:line="216" w:lineRule="auto" w:before="0" w:after="0"/>
              <w:ind w:left="307" w:right="312" w:hanging="227"/>
              <w:jc w:val="left"/>
              <w:rPr>
                <w:sz w:val="20"/>
              </w:rPr>
            </w:pPr>
            <w:r>
              <w:rPr>
                <w:w w:val="120"/>
                <w:sz w:val="20"/>
              </w:rPr>
              <w:t>Developing and implementing plans to become an</w:t>
            </w:r>
            <w:r>
              <w:rPr>
                <w:spacing w:val="-7"/>
                <w:w w:val="120"/>
                <w:sz w:val="20"/>
              </w:rPr>
              <w:t> </w:t>
            </w:r>
            <w:r>
              <w:rPr>
                <w:spacing w:val="-4"/>
                <w:w w:val="120"/>
                <w:sz w:val="20"/>
              </w:rPr>
              <w:t>‘eco-Synod’.</w:t>
            </w:r>
          </w:p>
          <w:p>
            <w:pPr>
              <w:pStyle w:val="TableParagraph"/>
              <w:numPr>
                <w:ilvl w:val="0"/>
                <w:numId w:val="49"/>
              </w:numPr>
              <w:tabs>
                <w:tab w:pos="308" w:val="left" w:leader="none"/>
              </w:tabs>
              <w:spacing w:line="216" w:lineRule="auto" w:before="0" w:after="0"/>
              <w:ind w:left="307" w:right="262" w:hanging="227"/>
              <w:jc w:val="left"/>
              <w:rPr>
                <w:sz w:val="20"/>
              </w:rPr>
            </w:pPr>
            <w:r>
              <w:rPr>
                <w:w w:val="120"/>
                <w:sz w:val="20"/>
              </w:rPr>
              <w:t>The number of churches receiving training and support on issues</w:t>
            </w:r>
            <w:r>
              <w:rPr>
                <w:spacing w:val="6"/>
                <w:w w:val="120"/>
                <w:sz w:val="20"/>
              </w:rPr>
              <w:t> </w:t>
            </w:r>
            <w:r>
              <w:rPr>
                <w:w w:val="120"/>
                <w:sz w:val="20"/>
              </w:rPr>
              <w:t>of</w:t>
            </w:r>
          </w:p>
          <w:p>
            <w:pPr>
              <w:pStyle w:val="TableParagraph"/>
              <w:spacing w:line="235" w:lineRule="auto"/>
              <w:ind w:left="307" w:right="685"/>
              <w:rPr>
                <w:sz w:val="20"/>
              </w:rPr>
            </w:pPr>
            <w:r>
              <w:rPr>
                <w:w w:val="120"/>
                <w:sz w:val="20"/>
              </w:rPr>
              <w:t>climate justice and environmental care.</w:t>
            </w:r>
          </w:p>
        </w:tc>
        <w:tc>
          <w:tcPr>
            <w:tcW w:w="2714" w:type="dxa"/>
          </w:tcPr>
          <w:p>
            <w:pPr>
              <w:pStyle w:val="TableParagraph"/>
              <w:numPr>
                <w:ilvl w:val="0"/>
                <w:numId w:val="50"/>
              </w:numPr>
              <w:tabs>
                <w:tab w:pos="308" w:val="left" w:leader="none"/>
              </w:tabs>
              <w:spacing w:line="216" w:lineRule="auto" w:before="123" w:after="0"/>
              <w:ind w:left="307" w:right="250" w:hanging="227"/>
              <w:jc w:val="left"/>
              <w:rPr>
                <w:sz w:val="20"/>
              </w:rPr>
            </w:pPr>
            <w:r>
              <w:rPr>
                <w:w w:val="120"/>
                <w:sz w:val="20"/>
              </w:rPr>
              <w:t>Significant year-on- year cuts to the </w:t>
            </w:r>
            <w:r>
              <w:rPr>
                <w:spacing w:val="-3"/>
                <w:w w:val="120"/>
                <w:sz w:val="20"/>
              </w:rPr>
              <w:t>URC’s </w:t>
            </w:r>
            <w:r>
              <w:rPr>
                <w:w w:val="120"/>
                <w:sz w:val="20"/>
              </w:rPr>
              <w:t>carbon</w:t>
            </w:r>
            <w:r>
              <w:rPr>
                <w:spacing w:val="3"/>
                <w:w w:val="120"/>
                <w:sz w:val="20"/>
              </w:rPr>
              <w:t> </w:t>
            </w:r>
            <w:r>
              <w:rPr>
                <w:w w:val="120"/>
                <w:sz w:val="20"/>
              </w:rPr>
              <w:t>footprint.</w:t>
            </w:r>
          </w:p>
          <w:p>
            <w:pPr>
              <w:pStyle w:val="TableParagraph"/>
              <w:numPr>
                <w:ilvl w:val="0"/>
                <w:numId w:val="50"/>
              </w:numPr>
              <w:tabs>
                <w:tab w:pos="308" w:val="left" w:leader="none"/>
              </w:tabs>
              <w:spacing w:line="216" w:lineRule="auto" w:before="0" w:after="0"/>
              <w:ind w:left="307" w:right="614" w:hanging="227"/>
              <w:jc w:val="both"/>
              <w:rPr>
                <w:sz w:val="20"/>
              </w:rPr>
            </w:pPr>
            <w:r>
              <w:rPr>
                <w:w w:val="120"/>
                <w:sz w:val="20"/>
              </w:rPr>
              <w:t>The development of a FURY</w:t>
            </w:r>
            <w:r>
              <w:rPr>
                <w:spacing w:val="-14"/>
                <w:w w:val="120"/>
                <w:sz w:val="20"/>
              </w:rPr>
              <w:t> </w:t>
            </w:r>
            <w:r>
              <w:rPr>
                <w:w w:val="120"/>
                <w:sz w:val="20"/>
              </w:rPr>
              <w:t>strategy responding to</w:t>
            </w:r>
            <w:r>
              <w:rPr>
                <w:spacing w:val="-22"/>
                <w:w w:val="120"/>
                <w:sz w:val="20"/>
              </w:rPr>
              <w:t> </w:t>
            </w:r>
            <w:r>
              <w:rPr>
                <w:w w:val="120"/>
                <w:sz w:val="20"/>
              </w:rPr>
              <w:t>the</w:t>
            </w:r>
          </w:p>
          <w:p>
            <w:pPr>
              <w:pStyle w:val="TableParagraph"/>
              <w:spacing w:line="235" w:lineRule="auto"/>
              <w:ind w:left="307" w:right="417"/>
              <w:jc w:val="both"/>
              <w:rPr>
                <w:sz w:val="20"/>
              </w:rPr>
            </w:pPr>
            <w:r>
              <w:rPr>
                <w:w w:val="120"/>
                <w:sz w:val="20"/>
              </w:rPr>
              <w:t>challenge of climate change.</w:t>
            </w:r>
          </w:p>
        </w:tc>
      </w:tr>
    </w:tbl>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spacing w:before="3"/>
        <w:rPr>
          <w:rFonts w:ascii="Stone Sans II ITC Std Bk"/>
          <w:b/>
          <w:i/>
          <w:sz w:val="22"/>
        </w:rPr>
      </w:pPr>
      <w:r>
        <w:rPr/>
        <w:pict>
          <v:shape style="position:absolute;margin-left:99.212601pt;margin-top:23.309702pt;width:183.85pt;height:.1pt;mso-position-horizontal-relative:page;mso-position-vertical-relative:paragraph;z-index:-251536384;mso-wrap-distance-left:0;mso-wrap-distance-right:0" coordorigin="1984,466" coordsize="3677,0" path="m1984,466l5661,466e" filled="false" stroked="true" strokeweight=".5pt" strokecolor="#8ba8bd">
            <v:path arrowok="t"/>
            <v:stroke dashstyle="solid"/>
            <w10:wrap type="topAndBottom"/>
          </v:shape>
        </w:pict>
      </w:r>
      <w:r>
        <w:rPr/>
        <w:pict>
          <v:rect style="position:absolute;margin-left:293.385986pt;margin-top:16.987406pt;width:13.721pt;height:13.721pt;mso-position-horizontal-relative:page;mso-position-vertical-relative:paragraph;z-index:-251535360;mso-wrap-distance-left:0;mso-wrap-distance-right:0" filled="true" fillcolor="#8ba8bd" stroked="false">
            <v:fill type="solid"/>
            <w10:wrap type="topAndBottom"/>
          </v:rect>
        </w:pict>
      </w:r>
      <w:r>
        <w:rPr/>
        <w:pict>
          <v:rect style="position:absolute;margin-left:311.822998pt;margin-top:16.987406pt;width:13.721pt;height:13.721pt;mso-position-horizontal-relative:page;mso-position-vertical-relative:paragraph;z-index:-251534336;mso-wrap-distance-left:0;mso-wrap-distance-right:0" filled="true" fillcolor="#c2d2df" stroked="false">
            <v:fill type="solid"/>
            <w10:wrap type="topAndBottom"/>
          </v:rect>
        </w:pict>
      </w:r>
      <w:r>
        <w:rPr/>
        <w:pict>
          <v:rect style="position:absolute;margin-left:330.688995pt;margin-top:16.987406pt;width:13.721pt;height:13.721pt;mso-position-horizontal-relative:page;mso-position-vertical-relative:paragraph;z-index:-251533312;mso-wrap-distance-left:0;mso-wrap-distance-right:0" filled="true" fillcolor="#dae4ec" stroked="false">
            <v:fill opacity="32768f" type="solid"/>
            <w10:wrap type="topAndBottom"/>
          </v:rect>
        </w:pict>
      </w:r>
      <w:r>
        <w:rPr/>
        <w:pict>
          <v:shape style="position:absolute;margin-left:354.235992pt;margin-top:23.309702pt;width:184.35pt;height:.1pt;mso-position-horizontal-relative:page;mso-position-vertical-relative:paragraph;z-index:-251532288;mso-wrap-distance-left:0;mso-wrap-distance-right:0" coordorigin="7085,466" coordsize="3687,0" path="m7085,466l10772,466e" filled="false" stroked="true" strokeweight=".5pt" strokecolor="#8ba8bd">
            <v:path arrowok="t"/>
            <v:stroke dashstyle="solid"/>
            <w10:wrap type="topAndBottom"/>
          </v:shape>
        </w:pict>
      </w:r>
    </w:p>
    <w:p>
      <w:pPr>
        <w:spacing w:after="0"/>
        <w:rPr>
          <w:rFonts w:ascii="Stone Sans II ITC Std Bk"/>
          <w:sz w:val="22"/>
        </w:rPr>
        <w:sectPr>
          <w:pgSz w:w="11910" w:h="16840"/>
          <w:pgMar w:header="0" w:footer="600" w:top="1140" w:bottom="800" w:left="0" w:right="0"/>
        </w:sectPr>
      </w:pPr>
    </w:p>
    <w:p>
      <w:pPr>
        <w:pStyle w:val="BodyText"/>
        <w:ind w:left="240"/>
        <w:rPr>
          <w:rFonts w:ascii="Stone Sans II ITC Std Bk"/>
        </w:rPr>
      </w:pPr>
      <w:r>
        <w:rPr/>
        <w:pict>
          <v:rect style="position:absolute;margin-left:12.047pt;margin-top:30.471001pt;width:22.677pt;height:22.677pt;mso-position-horizontal-relative:page;mso-position-vertical-relative:paragraph;z-index:-251527168;mso-wrap-distance-left:0;mso-wrap-distance-right:0" filled="true" fillcolor="#ffffff" stroked="false">
            <v:fill type="solid"/>
            <w10:wrap type="topAndBottom"/>
          </v:rect>
        </w:pict>
      </w:r>
      <w:r>
        <w:rPr/>
        <w:pict>
          <v:rect style="position:absolute;margin-left:12.047pt;margin-top:61.653pt;width:22.677pt;height:22.677pt;mso-position-horizontal-relative:page;mso-position-vertical-relative:paragraph;z-index:-251526144;mso-wrap-distance-left:0;mso-wrap-distance-right:0" filled="true" fillcolor="#ffffff" stroked="false">
            <v:fill opacity="32768f" type="solid"/>
            <w10:wrap type="topAndBottom"/>
          </v:rect>
        </w:pict>
      </w:r>
      <w:r>
        <w:rPr/>
        <w:pict>
          <v:rect style="position:absolute;margin-left:0pt;margin-top:.000015pt;width:595.275pt;height:841.89pt;mso-position-horizontal-relative:page;mso-position-vertical-relative:page;z-index:-267631616" filled="true" fillcolor="#c20d19" stroked="false">
            <v:fill type="solid"/>
            <w10:wrap type="none"/>
          </v:rect>
        </w:pict>
      </w:r>
      <w:r>
        <w:rPr/>
        <w:drawing>
          <wp:anchor distT="0" distB="0" distL="0" distR="0" allowOverlap="1" layoutInCell="1" locked="0" behindDoc="1" simplePos="0" relativeHeight="235685888">
            <wp:simplePos x="0" y="0"/>
            <wp:positionH relativeFrom="page">
              <wp:posOffset>0</wp:posOffset>
            </wp:positionH>
            <wp:positionV relativeFrom="page">
              <wp:posOffset>2148357</wp:posOffset>
            </wp:positionV>
            <wp:extent cx="7559992" cy="5139448"/>
            <wp:effectExtent l="0" t="0" r="0" b="0"/>
            <wp:wrapNone/>
            <wp:docPr id="59" name="image57.jpeg"/>
            <wp:cNvGraphicFramePr>
              <a:graphicFrameLocks noChangeAspect="1"/>
            </wp:cNvGraphicFramePr>
            <a:graphic>
              <a:graphicData uri="http://schemas.openxmlformats.org/drawingml/2006/picture">
                <pic:pic>
                  <pic:nvPicPr>
                    <pic:cNvPr id="60" name="image57.jpeg"/>
                    <pic:cNvPicPr/>
                  </pic:nvPicPr>
                  <pic:blipFill>
                    <a:blip r:embed="rId95" cstate="print"/>
                    <a:stretch>
                      <a:fillRect/>
                    </a:stretch>
                  </pic:blipFill>
                  <pic:spPr>
                    <a:xfrm>
                      <a:off x="0" y="0"/>
                      <a:ext cx="7559992" cy="5139448"/>
                    </a:xfrm>
                    <a:prstGeom prst="rect">
                      <a:avLst/>
                    </a:prstGeom>
                  </pic:spPr>
                </pic:pic>
              </a:graphicData>
            </a:graphic>
          </wp:anchor>
        </w:drawing>
      </w:r>
      <w:r>
        <w:rPr>
          <w:rFonts w:ascii="Stone Sans II ITC Std Bk"/>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Fonts w:ascii="Stone Sans II ITC Std Bk"/>
        </w:rPr>
      </w:r>
    </w:p>
    <w:p>
      <w:pPr>
        <w:pStyle w:val="BodyText"/>
        <w:spacing w:before="7"/>
        <w:rPr>
          <w:rFonts w:ascii="Stone Sans II ITC Std Bk"/>
          <w:b/>
          <w:i/>
          <w:sz w:val="7"/>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rPr>
          <w:rFonts w:ascii="Stone Sans II ITC Std Bk"/>
          <w:b/>
          <w:i/>
        </w:rPr>
      </w:pPr>
    </w:p>
    <w:p>
      <w:pPr>
        <w:pStyle w:val="BodyText"/>
        <w:spacing w:before="5"/>
        <w:rPr>
          <w:rFonts w:ascii="Stone Sans II ITC Std Bk"/>
          <w:b/>
          <w:i/>
          <w:sz w:val="18"/>
        </w:rPr>
      </w:pPr>
      <w:r>
        <w:rPr/>
        <w:drawing>
          <wp:anchor distT="0" distB="0" distL="0" distR="0" allowOverlap="1" layoutInCell="1" locked="0" behindDoc="0" simplePos="0" relativeHeight="130">
            <wp:simplePos x="0" y="0"/>
            <wp:positionH relativeFrom="page">
              <wp:posOffset>539951</wp:posOffset>
            </wp:positionH>
            <wp:positionV relativeFrom="paragraph">
              <wp:posOffset>182694</wp:posOffset>
            </wp:positionV>
            <wp:extent cx="3374790" cy="1486281"/>
            <wp:effectExtent l="0" t="0" r="0" b="0"/>
            <wp:wrapTopAndBottom/>
            <wp:docPr id="61" name="image58.png"/>
            <wp:cNvGraphicFramePr>
              <a:graphicFrameLocks noChangeAspect="1"/>
            </wp:cNvGraphicFramePr>
            <a:graphic>
              <a:graphicData uri="http://schemas.openxmlformats.org/drawingml/2006/picture">
                <pic:pic>
                  <pic:nvPicPr>
                    <pic:cNvPr id="62" name="image58.png"/>
                    <pic:cNvPicPr/>
                  </pic:nvPicPr>
                  <pic:blipFill>
                    <a:blip r:embed="rId96" cstate="print"/>
                    <a:stretch>
                      <a:fillRect/>
                    </a:stretch>
                  </pic:blipFill>
                  <pic:spPr>
                    <a:xfrm>
                      <a:off x="0" y="0"/>
                      <a:ext cx="3374790" cy="1486281"/>
                    </a:xfrm>
                    <a:prstGeom prst="rect">
                      <a:avLst/>
                    </a:prstGeom>
                  </pic:spPr>
                </pic:pic>
              </a:graphicData>
            </a:graphic>
          </wp:anchor>
        </w:drawing>
      </w:r>
    </w:p>
    <w:p>
      <w:pPr>
        <w:spacing w:after="0"/>
        <w:rPr>
          <w:rFonts w:ascii="Stone Sans II ITC Std Bk"/>
          <w:sz w:val="18"/>
        </w:rPr>
        <w:sectPr>
          <w:headerReference w:type="even" r:id="rId93"/>
          <w:footerReference w:type="even" r:id="rId94"/>
          <w:pgSz w:w="11910" w:h="16840"/>
          <w:pgMar w:header="0" w:footer="0" w:top="0" w:bottom="280" w:left="0" w:right="0"/>
        </w:sectPr>
      </w:pPr>
    </w:p>
    <w:p>
      <w:pPr>
        <w:spacing w:line="213" w:lineRule="auto" w:before="119"/>
        <w:ind w:left="1984" w:right="1997" w:firstLine="0"/>
        <w:jc w:val="left"/>
        <w:rPr>
          <w:rFonts w:ascii="Stone Sans II ITC Std Bk"/>
          <w:b/>
          <w:sz w:val="50"/>
        </w:rPr>
      </w:pPr>
      <w:r>
        <w:rPr/>
        <w:pict>
          <v:rect style="position:absolute;margin-left:0pt;margin-top:.000015pt;width:595.275pt;height:841.89pt;mso-position-horizontal-relative:page;mso-position-vertical-relative:page;z-index:-267629568" filled="true" fillcolor="#c20d19" stroked="false">
            <v:fill type="solid"/>
            <w10:wrap type="none"/>
          </v:rect>
        </w:pict>
      </w:r>
      <w:r>
        <w:rPr/>
        <w:pict>
          <v:group style="position:absolute;margin-left:33.332001pt;margin-top:.000015pt;width:561.950pt;height:799.4pt;mso-position-horizontal-relative:page;mso-position-vertical-relative:page;z-index:-267628544" coordorigin="667,0" coordsize="11239,15988">
            <v:rect style="position:absolute;left:1530;top:0;width:10375;height:15789" filled="true" fillcolor="#ffffff" stroked="false">
              <v:fill type="solid"/>
            </v:rect>
            <v:rect style="position:absolute;left:1245;top:11929;width:9866;height:3846" filled="true" fillcolor="#f5e1d6" stroked="false">
              <v:fill type="solid"/>
            </v:rect>
            <v:rect style="position:absolute;left:1245;top:11919;width:9866;height:20" filled="true" fillcolor="#f5e1d6" stroked="false">
              <v:fill type="solid"/>
            </v:rect>
            <v:rect style="position:absolute;left:1302;top:8032;width:9810;height:1344" filled="true" fillcolor="#f5e1d6" stroked="false">
              <v:fill type="solid"/>
            </v:rect>
            <v:shape style="position:absolute;left:1302;top:8022;width:9810;height:1364" coordorigin="1303,8022" coordsize="9810,1364" path="m11112,9365l1303,9365,1303,9385,11112,9385,11112,9365m11112,8022l1303,8022,1303,8042,11112,8042,11112,8022e" filled="true" fillcolor="#f5e1d6" stroked="false">
              <v:path arrowok="t"/>
              <v:fill type="solid"/>
            </v:shape>
            <v:shape style="position:absolute;left:1289;top:3413;width:7628;height:1460" coordorigin="1290,3413" coordsize="7628,1460" path="m8677,3413l1530,3413,1391,3417,1320,3443,1293,3514,1290,3653,1290,4633,1293,4771,1320,4843,1391,4869,1530,4873,8677,4873,8816,4869,8887,4843,8914,4771,8917,4633,8917,3653,8914,3514,8887,3443,8816,3417,8677,3413xe" filled="true" fillcolor="#ffffff" stroked="false">
              <v:path arrowok="t"/>
              <v:fill type="solid"/>
            </v:shape>
            <v:shape style="position:absolute;left:1289;top:3413;width:7628;height:1460" coordorigin="1290,3413" coordsize="7628,1460" path="m1530,3413l1391,3417,1320,3443,1293,3514,1290,3653,1290,4633,1293,4771,1320,4843,1391,4869,1530,4873,8677,4873,8816,4869,8887,4843,8914,4771,8917,4633,8917,3653,8914,3514,8887,3443,8816,3417,8677,3413,1530,3413xe" filled="false" stroked="true" strokeweight="3.0pt" strokecolor="#000000">
              <v:path arrowok="t"/>
              <v:stroke dashstyle="solid"/>
            </v:shape>
            <v:shape style="position:absolute;left:9157;top:1048;width:2142;height:5840" type="#_x0000_t75" stroked="false">
              <v:imagedata r:id="rId99" o:title=""/>
            </v:shape>
            <v:rect style="position:absolute;left:11168;top:0;width:454;height:471" filled="true" fillcolor="#c20d19" stroked="false">
              <v:fill type="solid"/>
            </v:rect>
            <v:rect style="position:absolute;left:11168;top:625;width:454;height:454" filled="true" fillcolor="#dd977b" stroked="false">
              <v:fill type="solid"/>
            </v:rect>
            <v:rect style="position:absolute;left:11168;top:1249;width:454;height:454" filled="true" fillcolor="#ebc3ae" stroked="false">
              <v:fill opacity="32768f" type="solid"/>
            </v:rect>
            <v:shape style="position:absolute;left:2684;top:3592;width:469;height:365" type="#_x0000_t75" stroked="false">
              <v:imagedata r:id="rId100" o:title=""/>
            </v:shape>
            <v:shape style="position:absolute;left:3195;top:5785;width:367;height:286" type="#_x0000_t75" stroked="false">
              <v:imagedata r:id="rId101" o:title=""/>
            </v:shape>
            <v:shape style="position:absolute;left:9025;top:8680;width:367;height:286" type="#_x0000_t75" stroked="false">
              <v:imagedata r:id="rId102" o:title=""/>
            </v:shape>
            <v:rect style="position:absolute;left:8636;top:3288;width:454;height:1744" filled="true" fillcolor="#ffffff" stroked="false">
              <v:fill type="solid"/>
            </v:rect>
            <v:shape style="position:absolute;left:1302;top:8022;width:1012;height:1030" type="#_x0000_t75" stroked="false">
              <v:imagedata r:id="rId103" o:title=""/>
            </v:shape>
            <v:shape style="position:absolute;left:1246;top:11933;width:998;height:1015" type="#_x0000_t75" stroked="false">
              <v:imagedata r:id="rId104" o:title=""/>
            </v:shape>
            <v:shape style="position:absolute;left:666;top:14304;width:11239;height:1683" coordorigin="667,14305" coordsize="11239,1683" path="m11906,15775l2382,15775,2372,15773,2302,15753,2233,15731,2165,15706,2099,15677,2035,15646,1972,15611,1912,15574,1853,15534,1796,15492,1741,15447,1688,15400,1638,15350,1590,15298,1544,15244,1501,15188,1460,15129,1422,15069,1387,15007,1355,14943,1325,14878,1299,14811,1275,14742,1255,14672,1238,14601,1225,14529,1214,14455,1208,14380,1205,14305,1205,15775,667,15775,667,15987,11906,15987,11906,15775e" filled="true" fillcolor="#c20d19" stroked="false">
              <v:path arrowok="t"/>
              <v:fill type="solid"/>
            </v:shape>
            <w10:wrap type="none"/>
          </v:group>
        </w:pict>
      </w:r>
      <w:r>
        <w:rPr>
          <w:rFonts w:ascii="Stone Sans II ITC Std Bk"/>
          <w:b/>
          <w:w w:val="110"/>
          <w:sz w:val="50"/>
        </w:rPr>
        <w:t>Relighting the candle: transforming the</w:t>
      </w:r>
    </w:p>
    <w:p>
      <w:pPr>
        <w:spacing w:line="616" w:lineRule="exact" w:before="0"/>
        <w:ind w:left="1984" w:right="0" w:firstLine="0"/>
        <w:jc w:val="left"/>
        <w:rPr>
          <w:rFonts w:ascii="Stone Sans II ITC Std Bk"/>
          <w:b/>
          <w:sz w:val="50"/>
        </w:rPr>
      </w:pPr>
      <w:r>
        <w:rPr/>
        <w:drawing>
          <wp:anchor distT="0" distB="0" distL="0" distR="0" allowOverlap="1" layoutInCell="1" locked="0" behindDoc="0" simplePos="0" relativeHeight="251796480">
            <wp:simplePos x="0" y="0"/>
            <wp:positionH relativeFrom="page">
              <wp:posOffset>0</wp:posOffset>
            </wp:positionH>
            <wp:positionV relativeFrom="paragraph">
              <wp:posOffset>446156</wp:posOffset>
            </wp:positionV>
            <wp:extent cx="9461" cy="5139448"/>
            <wp:effectExtent l="0" t="0" r="0" b="0"/>
            <wp:wrapNone/>
            <wp:docPr id="63" name="image65.jpeg"/>
            <wp:cNvGraphicFramePr>
              <a:graphicFrameLocks noChangeAspect="1"/>
            </wp:cNvGraphicFramePr>
            <a:graphic>
              <a:graphicData uri="http://schemas.openxmlformats.org/drawingml/2006/picture">
                <pic:pic>
                  <pic:nvPicPr>
                    <pic:cNvPr id="64" name="image65.jpeg"/>
                    <pic:cNvPicPr/>
                  </pic:nvPicPr>
                  <pic:blipFill>
                    <a:blip r:embed="rId105" cstate="print"/>
                    <a:stretch>
                      <a:fillRect/>
                    </a:stretch>
                  </pic:blipFill>
                  <pic:spPr>
                    <a:xfrm>
                      <a:off x="0" y="0"/>
                      <a:ext cx="9461" cy="5139448"/>
                    </a:xfrm>
                    <a:prstGeom prst="rect">
                      <a:avLst/>
                    </a:prstGeom>
                  </pic:spPr>
                </pic:pic>
              </a:graphicData>
            </a:graphic>
          </wp:anchor>
        </w:drawing>
      </w:r>
      <w:r>
        <w:rPr>
          <w:rFonts w:ascii="Stone Sans II ITC Std Bk"/>
          <w:b/>
          <w:w w:val="110"/>
          <w:sz w:val="50"/>
        </w:rPr>
        <w:t>United Reformed Church</w:t>
      </w:r>
    </w:p>
    <w:p>
      <w:pPr>
        <w:spacing w:line="430" w:lineRule="exact" w:before="247"/>
        <w:ind w:left="1984" w:right="0" w:firstLine="0"/>
        <w:jc w:val="left"/>
        <w:rPr>
          <w:rFonts w:ascii="Bradley Hand ITC"/>
          <w:sz w:val="36"/>
        </w:rPr>
      </w:pPr>
      <w:r>
        <w:rPr>
          <w:rFonts w:ascii="Arial Rounded MT Bold"/>
          <w:w w:val="85"/>
          <w:sz w:val="29"/>
        </w:rPr>
        <w:t>Vision4</w:t>
      </w:r>
      <w:r>
        <w:rPr>
          <w:rFonts w:ascii="Bradley Hand ITC"/>
          <w:color w:val="C20D19"/>
          <w:w w:val="85"/>
          <w:sz w:val="36"/>
        </w:rPr>
        <w:t>Life</w:t>
      </w:r>
    </w:p>
    <w:p>
      <w:pPr>
        <w:pStyle w:val="BodyText"/>
        <w:spacing w:line="224" w:lineRule="exact"/>
        <w:ind w:left="1724" w:right="5392"/>
        <w:jc w:val="center"/>
      </w:pPr>
      <w:r>
        <w:rPr>
          <w:w w:val="120"/>
        </w:rPr>
        <w:t>transformed by the Bible</w:t>
      </w:r>
    </w:p>
    <w:p>
      <w:pPr>
        <w:pStyle w:val="BodyText"/>
        <w:spacing w:line="240" w:lineRule="exact"/>
        <w:ind w:left="1724" w:right="4587"/>
        <w:jc w:val="center"/>
      </w:pPr>
      <w:r>
        <w:rPr>
          <w:w w:val="120"/>
        </w:rPr>
        <w:t>transformed by Prayer</w:t>
      </w:r>
    </w:p>
    <w:p>
      <w:pPr>
        <w:pStyle w:val="BodyText"/>
        <w:spacing w:line="242" w:lineRule="exact"/>
        <w:ind w:left="1380" w:right="2280"/>
        <w:jc w:val="center"/>
      </w:pPr>
      <w:r>
        <w:rPr>
          <w:w w:val="115"/>
        </w:rPr>
        <w:t>transformed for Evangelism</w:t>
      </w:r>
    </w:p>
    <w:p>
      <w:pPr>
        <w:pStyle w:val="BodyText"/>
        <w:rPr>
          <w:sz w:val="24"/>
        </w:rPr>
      </w:pPr>
    </w:p>
    <w:p>
      <w:pPr>
        <w:pStyle w:val="BodyText"/>
        <w:spacing w:before="2"/>
        <w:rPr>
          <w:sz w:val="26"/>
        </w:rPr>
      </w:pPr>
    </w:p>
    <w:p>
      <w:pPr>
        <w:pStyle w:val="ListParagraph"/>
        <w:numPr>
          <w:ilvl w:val="0"/>
          <w:numId w:val="51"/>
        </w:numPr>
        <w:tabs>
          <w:tab w:pos="2704" w:val="left" w:leader="none"/>
          <w:tab w:pos="2705" w:val="left" w:leader="none"/>
        </w:tabs>
        <w:spacing w:line="240" w:lineRule="auto" w:before="0" w:after="0"/>
        <w:ind w:left="2704" w:right="0" w:hanging="721"/>
        <w:jc w:val="left"/>
        <w:rPr>
          <w:rFonts w:ascii="Stone Sans II ITC Std Bk"/>
          <w:b/>
          <w:sz w:val="21"/>
        </w:rPr>
      </w:pPr>
      <w:r>
        <w:rPr>
          <w:rFonts w:ascii="Stone Sans II ITC Std Bk"/>
          <w:b/>
          <w:color w:val="C20D19"/>
          <w:w w:val="115"/>
          <w:sz w:val="21"/>
        </w:rPr>
        <w:t>Since we last</w:t>
      </w:r>
      <w:r>
        <w:rPr>
          <w:rFonts w:ascii="Stone Sans II ITC Std Bk"/>
          <w:b/>
          <w:color w:val="C20D19"/>
          <w:spacing w:val="-5"/>
          <w:w w:val="115"/>
          <w:sz w:val="21"/>
        </w:rPr>
        <w:t> </w:t>
      </w:r>
      <w:r>
        <w:rPr>
          <w:rFonts w:ascii="Stone Sans II ITC Std Bk"/>
          <w:b/>
          <w:color w:val="C20D19"/>
          <w:w w:val="115"/>
          <w:sz w:val="21"/>
        </w:rPr>
        <w:t>met</w:t>
      </w:r>
    </w:p>
    <w:p>
      <w:pPr>
        <w:pStyle w:val="ListParagraph"/>
        <w:numPr>
          <w:ilvl w:val="1"/>
          <w:numId w:val="51"/>
        </w:numPr>
        <w:tabs>
          <w:tab w:pos="2664" w:val="left" w:leader="none"/>
          <w:tab w:pos="2665" w:val="left" w:leader="none"/>
        </w:tabs>
        <w:spacing w:line="192" w:lineRule="auto" w:before="219" w:after="0"/>
        <w:ind w:left="1984" w:right="2757" w:hanging="1"/>
        <w:jc w:val="left"/>
        <w:rPr>
          <w:sz w:val="20"/>
        </w:rPr>
      </w:pPr>
      <w:r>
        <w:rPr>
          <w:rFonts w:ascii="Arial Rounded MT Bold"/>
          <w:sz w:val="21"/>
        </w:rPr>
        <w:t>Vision4</w:t>
      </w:r>
      <w:r>
        <w:rPr>
          <w:rFonts w:ascii="Bradley Hand ITC"/>
          <w:color w:val="C20D19"/>
          <w:sz w:val="28"/>
        </w:rPr>
        <w:t>Life</w:t>
      </w:r>
      <w:r>
        <w:rPr>
          <w:rFonts w:ascii="Bradley Hand ITC"/>
          <w:color w:val="C20D19"/>
          <w:spacing w:val="-41"/>
          <w:sz w:val="28"/>
        </w:rPr>
        <w:t> </w:t>
      </w:r>
      <w:r>
        <w:rPr>
          <w:w w:val="120"/>
          <w:sz w:val="20"/>
        </w:rPr>
        <w:t>has</w:t>
      </w:r>
      <w:r>
        <w:rPr>
          <w:spacing w:val="-19"/>
          <w:w w:val="120"/>
          <w:sz w:val="20"/>
        </w:rPr>
        <w:t> </w:t>
      </w:r>
      <w:r>
        <w:rPr>
          <w:w w:val="120"/>
          <w:sz w:val="20"/>
        </w:rPr>
        <w:t>got</w:t>
      </w:r>
      <w:r>
        <w:rPr>
          <w:spacing w:val="-19"/>
          <w:w w:val="120"/>
          <w:sz w:val="20"/>
        </w:rPr>
        <w:t> </w:t>
      </w:r>
      <w:r>
        <w:rPr>
          <w:w w:val="120"/>
          <w:sz w:val="20"/>
        </w:rPr>
        <w:t>underway.</w:t>
      </w:r>
      <w:r>
        <w:rPr>
          <w:spacing w:val="-19"/>
          <w:w w:val="120"/>
          <w:sz w:val="20"/>
        </w:rPr>
        <w:t> </w:t>
      </w:r>
      <w:r>
        <w:rPr>
          <w:w w:val="120"/>
          <w:sz w:val="20"/>
        </w:rPr>
        <w:t>Bible</w:t>
      </w:r>
      <w:r>
        <w:rPr>
          <w:spacing w:val="-19"/>
          <w:w w:val="120"/>
          <w:sz w:val="20"/>
        </w:rPr>
        <w:t> </w:t>
      </w:r>
      <w:r>
        <w:rPr>
          <w:spacing w:val="-4"/>
          <w:w w:val="120"/>
          <w:sz w:val="20"/>
        </w:rPr>
        <w:t>Year</w:t>
      </w:r>
      <w:r>
        <w:rPr>
          <w:spacing w:val="-19"/>
          <w:w w:val="120"/>
          <w:sz w:val="20"/>
        </w:rPr>
        <w:t> </w:t>
      </w:r>
      <w:r>
        <w:rPr>
          <w:w w:val="120"/>
          <w:sz w:val="20"/>
        </w:rPr>
        <w:t>began</w:t>
      </w:r>
      <w:r>
        <w:rPr>
          <w:spacing w:val="-19"/>
          <w:w w:val="120"/>
          <w:sz w:val="20"/>
        </w:rPr>
        <w:t> </w:t>
      </w:r>
      <w:r>
        <w:rPr>
          <w:w w:val="120"/>
          <w:sz w:val="20"/>
        </w:rPr>
        <w:t>in</w:t>
      </w:r>
      <w:r>
        <w:rPr>
          <w:spacing w:val="-19"/>
          <w:w w:val="120"/>
          <w:sz w:val="20"/>
        </w:rPr>
        <w:t> </w:t>
      </w:r>
      <w:r>
        <w:rPr>
          <w:w w:val="120"/>
          <w:sz w:val="20"/>
        </w:rPr>
        <w:t>December</w:t>
      </w:r>
      <w:r>
        <w:rPr>
          <w:spacing w:val="-19"/>
          <w:w w:val="120"/>
          <w:sz w:val="20"/>
        </w:rPr>
        <w:t> </w:t>
      </w:r>
      <w:r>
        <w:rPr>
          <w:w w:val="120"/>
          <w:sz w:val="20"/>
        </w:rPr>
        <w:t>2008 followed by Prayer </w:t>
      </w:r>
      <w:r>
        <w:rPr>
          <w:spacing w:val="-4"/>
          <w:w w:val="120"/>
          <w:sz w:val="20"/>
        </w:rPr>
        <w:t>Year </w:t>
      </w:r>
      <w:r>
        <w:rPr>
          <w:w w:val="120"/>
          <w:sz w:val="20"/>
        </w:rPr>
        <w:t>in December 2009. By </w:t>
      </w:r>
      <w:r>
        <w:rPr>
          <w:spacing w:val="2"/>
          <w:w w:val="120"/>
          <w:sz w:val="20"/>
        </w:rPr>
        <w:t>February </w:t>
      </w:r>
      <w:r>
        <w:rPr>
          <w:spacing w:val="-6"/>
          <w:w w:val="120"/>
          <w:sz w:val="20"/>
        </w:rPr>
        <w:t>2010 </w:t>
      </w:r>
      <w:r>
        <w:rPr>
          <w:w w:val="120"/>
          <w:sz w:val="20"/>
        </w:rPr>
        <w:t>there</w:t>
      </w:r>
      <w:r>
        <w:rPr>
          <w:spacing w:val="52"/>
          <w:w w:val="120"/>
          <w:sz w:val="20"/>
        </w:rPr>
        <w:t> </w:t>
      </w:r>
      <w:r>
        <w:rPr>
          <w:w w:val="120"/>
          <w:sz w:val="20"/>
        </w:rPr>
        <w:t>were</w:t>
      </w:r>
    </w:p>
    <w:p>
      <w:pPr>
        <w:pStyle w:val="BodyText"/>
        <w:spacing w:line="235" w:lineRule="auto" w:before="9"/>
        <w:ind w:left="1984" w:right="2735"/>
      </w:pPr>
      <w:r>
        <w:rPr>
          <w:w w:val="120"/>
        </w:rPr>
        <w:t>650 churches signed up, well over a third of our congregations. These come from every synod and include churches of all sizes and a range of contexts, including LEPs. This diversity is a strength that we celebrate.</w:t>
      </w:r>
    </w:p>
    <w:p>
      <w:pPr>
        <w:pStyle w:val="BodyText"/>
        <w:spacing w:before="8"/>
        <w:rPr>
          <w:sz w:val="17"/>
        </w:rPr>
      </w:pPr>
    </w:p>
    <w:p>
      <w:pPr>
        <w:pStyle w:val="ListParagraph"/>
        <w:numPr>
          <w:ilvl w:val="0"/>
          <w:numId w:val="52"/>
        </w:numPr>
        <w:tabs>
          <w:tab w:pos="2704" w:val="left" w:leader="none"/>
          <w:tab w:pos="2705" w:val="left" w:leader="none"/>
        </w:tabs>
        <w:spacing w:line="240" w:lineRule="auto" w:before="1" w:after="0"/>
        <w:ind w:left="2704" w:right="0" w:hanging="721"/>
        <w:jc w:val="left"/>
        <w:rPr>
          <w:rFonts w:ascii="Stone Sans II ITC Std Bk"/>
          <w:b/>
          <w:sz w:val="21"/>
        </w:rPr>
      </w:pPr>
      <w:r>
        <w:rPr>
          <w:rFonts w:ascii="Stone Sans II ITC Std Bk"/>
          <w:b/>
          <w:color w:val="C20D19"/>
          <w:w w:val="115"/>
          <w:sz w:val="21"/>
        </w:rPr>
        <w:t>Bible</w:t>
      </w:r>
      <w:r>
        <w:rPr>
          <w:rFonts w:ascii="Stone Sans II ITC Std Bk"/>
          <w:b/>
          <w:color w:val="C20D19"/>
          <w:spacing w:val="-2"/>
          <w:w w:val="115"/>
          <w:sz w:val="21"/>
        </w:rPr>
        <w:t> </w:t>
      </w:r>
      <w:r>
        <w:rPr>
          <w:rFonts w:ascii="Stone Sans II ITC Std Bk"/>
          <w:b/>
          <w:color w:val="C20D19"/>
          <w:spacing w:val="-4"/>
          <w:w w:val="115"/>
          <w:sz w:val="21"/>
        </w:rPr>
        <w:t>Year</w:t>
      </w:r>
    </w:p>
    <w:p>
      <w:pPr>
        <w:pStyle w:val="ListParagraph"/>
        <w:numPr>
          <w:ilvl w:val="1"/>
          <w:numId w:val="52"/>
        </w:numPr>
        <w:tabs>
          <w:tab w:pos="2664" w:val="left" w:leader="none"/>
          <w:tab w:pos="2665" w:val="left" w:leader="none"/>
        </w:tabs>
        <w:spacing w:line="240" w:lineRule="auto" w:before="218" w:after="0"/>
        <w:ind w:left="2664" w:right="0" w:hanging="681"/>
        <w:jc w:val="left"/>
        <w:rPr>
          <w:sz w:val="20"/>
        </w:rPr>
      </w:pPr>
      <w:r>
        <w:rPr>
          <w:w w:val="120"/>
          <w:sz w:val="20"/>
        </w:rPr>
        <w:t>Let me tell you about Bible</w:t>
      </w:r>
      <w:r>
        <w:rPr>
          <w:spacing w:val="13"/>
          <w:w w:val="120"/>
          <w:sz w:val="20"/>
        </w:rPr>
        <w:t> </w:t>
      </w:r>
      <w:r>
        <w:rPr>
          <w:spacing w:val="-6"/>
          <w:w w:val="120"/>
          <w:sz w:val="20"/>
        </w:rPr>
        <w:t>Year…</w:t>
      </w:r>
    </w:p>
    <w:p>
      <w:pPr>
        <w:pStyle w:val="BodyText"/>
        <w:spacing w:before="11"/>
      </w:pPr>
    </w:p>
    <w:p>
      <w:pPr>
        <w:pStyle w:val="BodyText"/>
        <w:spacing w:line="235" w:lineRule="auto"/>
        <w:ind w:left="2437" w:right="1273"/>
      </w:pPr>
      <w:r>
        <w:rPr>
          <w:w w:val="120"/>
        </w:rPr>
        <w:t>The elders did one of the encountering Mark studies the other week and it was really good with loads of people giving it the thumbs up.</w:t>
      </w:r>
    </w:p>
    <w:p>
      <w:pPr>
        <w:pStyle w:val="BodyText"/>
        <w:spacing w:line="189" w:lineRule="auto" w:before="1"/>
        <w:ind w:left="2437" w:right="1120" w:hanging="1"/>
      </w:pPr>
      <w:r>
        <w:rPr>
          <w:w w:val="115"/>
        </w:rPr>
        <w:t>We have two extra Bible study groups running as a result of </w:t>
      </w:r>
      <w:r>
        <w:rPr>
          <w:rFonts w:ascii="Arial Rounded MT Bold"/>
          <w:sz w:val="21"/>
        </w:rPr>
        <w:t>Vision4</w:t>
      </w:r>
      <w:r>
        <w:rPr>
          <w:rFonts w:ascii="Bradley Hand ITC"/>
          <w:color w:val="C20D19"/>
          <w:sz w:val="28"/>
        </w:rPr>
        <w:t>Life</w:t>
      </w:r>
      <w:r>
        <w:rPr/>
        <w:t>. </w:t>
      </w:r>
      <w:r>
        <w:rPr>
          <w:w w:val="115"/>
        </w:rPr>
        <w:t>The material has been helpful and we are now branching out with our own material.</w:t>
      </w:r>
    </w:p>
    <w:p>
      <w:pPr>
        <w:pStyle w:val="BodyText"/>
        <w:rPr>
          <w:sz w:val="24"/>
        </w:rPr>
      </w:pPr>
    </w:p>
    <w:p>
      <w:pPr>
        <w:pStyle w:val="ListParagraph"/>
        <w:numPr>
          <w:ilvl w:val="1"/>
          <w:numId w:val="52"/>
        </w:numPr>
        <w:tabs>
          <w:tab w:pos="2664" w:val="left" w:leader="none"/>
          <w:tab w:pos="2665" w:val="left" w:leader="none"/>
        </w:tabs>
        <w:spacing w:line="235" w:lineRule="auto" w:before="159" w:after="0"/>
        <w:ind w:left="1984" w:right="1246" w:firstLine="0"/>
        <w:jc w:val="left"/>
        <w:rPr>
          <w:sz w:val="20"/>
        </w:rPr>
      </w:pPr>
      <w:r>
        <w:rPr>
          <w:w w:val="120"/>
          <w:sz w:val="20"/>
        </w:rPr>
        <w:t>A menu of items for Bible </w:t>
      </w:r>
      <w:r>
        <w:rPr>
          <w:spacing w:val="-4"/>
          <w:w w:val="120"/>
          <w:sz w:val="20"/>
        </w:rPr>
        <w:t>Year </w:t>
      </w:r>
      <w:r>
        <w:rPr>
          <w:w w:val="120"/>
          <w:sz w:val="20"/>
        </w:rPr>
        <w:t>was created to be downloaded from the website, supplemented throughout the </w:t>
      </w:r>
      <w:r>
        <w:rPr>
          <w:spacing w:val="-4"/>
          <w:w w:val="120"/>
          <w:sz w:val="20"/>
        </w:rPr>
        <w:t>year. </w:t>
      </w:r>
      <w:r>
        <w:rPr>
          <w:w w:val="120"/>
          <w:sz w:val="20"/>
        </w:rPr>
        <w:t>A booklet and a DVD were produced and sent to all participating churches. The twenty contributors are thanked for their</w:t>
      </w:r>
      <w:r>
        <w:rPr>
          <w:spacing w:val="29"/>
          <w:w w:val="120"/>
          <w:sz w:val="20"/>
        </w:rPr>
        <w:t> </w:t>
      </w:r>
      <w:r>
        <w:rPr>
          <w:w w:val="120"/>
          <w:sz w:val="20"/>
        </w:rPr>
        <w:t>work.</w:t>
      </w:r>
    </w:p>
    <w:p>
      <w:pPr>
        <w:pStyle w:val="BodyText"/>
        <w:spacing w:before="6"/>
        <w:rPr>
          <w:sz w:val="19"/>
        </w:rPr>
      </w:pPr>
    </w:p>
    <w:p>
      <w:pPr>
        <w:pStyle w:val="ListParagraph"/>
        <w:numPr>
          <w:ilvl w:val="1"/>
          <w:numId w:val="52"/>
        </w:numPr>
        <w:tabs>
          <w:tab w:pos="2664" w:val="left" w:leader="none"/>
          <w:tab w:pos="2665" w:val="left" w:leader="none"/>
        </w:tabs>
        <w:spacing w:line="227" w:lineRule="exact" w:before="0" w:after="0"/>
        <w:ind w:left="2664" w:right="0" w:hanging="681"/>
        <w:jc w:val="left"/>
        <w:rPr>
          <w:sz w:val="20"/>
        </w:rPr>
      </w:pPr>
      <w:r>
        <w:rPr>
          <w:w w:val="120"/>
          <w:sz w:val="20"/>
        </w:rPr>
        <w:t>The aims of Bible </w:t>
      </w:r>
      <w:r>
        <w:rPr>
          <w:spacing w:val="-4"/>
          <w:w w:val="120"/>
          <w:sz w:val="20"/>
        </w:rPr>
        <w:t>Year</w:t>
      </w:r>
      <w:r>
        <w:rPr>
          <w:spacing w:val="9"/>
          <w:w w:val="120"/>
          <w:sz w:val="20"/>
        </w:rPr>
        <w:t> </w:t>
      </w:r>
      <w:r>
        <w:rPr>
          <w:w w:val="120"/>
          <w:sz w:val="20"/>
        </w:rPr>
        <w:t>were</w:t>
      </w:r>
    </w:p>
    <w:p>
      <w:pPr>
        <w:pStyle w:val="ListParagraph"/>
        <w:numPr>
          <w:ilvl w:val="2"/>
          <w:numId w:val="52"/>
        </w:numPr>
        <w:tabs>
          <w:tab w:pos="3458" w:val="left" w:leader="none"/>
          <w:tab w:pos="3459" w:val="left" w:leader="none"/>
        </w:tabs>
        <w:spacing w:line="264" w:lineRule="exact" w:before="0" w:after="0"/>
        <w:ind w:left="3458" w:right="0" w:hanging="795"/>
        <w:jc w:val="left"/>
        <w:rPr>
          <w:sz w:val="20"/>
        </w:rPr>
      </w:pPr>
      <w:r>
        <w:rPr>
          <w:w w:val="120"/>
          <w:sz w:val="20"/>
        </w:rPr>
        <w:t>to enable a fresher, deeper engagement with the</w:t>
      </w:r>
      <w:r>
        <w:rPr>
          <w:spacing w:val="1"/>
          <w:w w:val="120"/>
          <w:sz w:val="20"/>
        </w:rPr>
        <w:t> </w:t>
      </w:r>
      <w:r>
        <w:rPr>
          <w:w w:val="120"/>
          <w:sz w:val="20"/>
        </w:rPr>
        <w:t>Bible;</w:t>
      </w:r>
    </w:p>
    <w:p>
      <w:pPr>
        <w:pStyle w:val="ListParagraph"/>
        <w:numPr>
          <w:ilvl w:val="2"/>
          <w:numId w:val="52"/>
        </w:numPr>
        <w:tabs>
          <w:tab w:pos="3458" w:val="left" w:leader="none"/>
          <w:tab w:pos="3459" w:val="left" w:leader="none"/>
        </w:tabs>
        <w:spacing w:line="240" w:lineRule="exact" w:before="0" w:after="0"/>
        <w:ind w:left="3458" w:right="0" w:hanging="795"/>
        <w:jc w:val="left"/>
        <w:rPr>
          <w:sz w:val="20"/>
        </w:rPr>
      </w:pPr>
      <w:r>
        <w:rPr>
          <w:w w:val="120"/>
          <w:sz w:val="20"/>
        </w:rPr>
        <w:t>to get everyone involved – all can receive insight, all have experience to</w:t>
      </w:r>
      <w:r>
        <w:rPr>
          <w:spacing w:val="-32"/>
          <w:w w:val="120"/>
          <w:sz w:val="20"/>
        </w:rPr>
        <w:t> </w:t>
      </w:r>
      <w:r>
        <w:rPr>
          <w:w w:val="120"/>
          <w:sz w:val="20"/>
        </w:rPr>
        <w:t>offer;</w:t>
      </w:r>
    </w:p>
    <w:p>
      <w:pPr>
        <w:pStyle w:val="ListParagraph"/>
        <w:numPr>
          <w:ilvl w:val="2"/>
          <w:numId w:val="52"/>
        </w:numPr>
        <w:tabs>
          <w:tab w:pos="3458" w:val="left" w:leader="none"/>
          <w:tab w:pos="3459" w:val="left" w:leader="none"/>
        </w:tabs>
        <w:spacing w:line="255" w:lineRule="exact" w:before="0" w:after="0"/>
        <w:ind w:left="3458" w:right="0" w:hanging="795"/>
        <w:jc w:val="left"/>
        <w:rPr>
          <w:sz w:val="20"/>
        </w:rPr>
      </w:pPr>
      <w:r>
        <w:rPr>
          <w:w w:val="120"/>
          <w:sz w:val="20"/>
        </w:rPr>
        <w:t>to build</w:t>
      </w:r>
      <w:r>
        <w:rPr>
          <w:spacing w:val="4"/>
          <w:w w:val="120"/>
          <w:sz w:val="20"/>
        </w:rPr>
        <w:t> </w:t>
      </w:r>
      <w:r>
        <w:rPr>
          <w:w w:val="120"/>
          <w:sz w:val="20"/>
        </w:rPr>
        <w:t>confidence.</w:t>
      </w:r>
    </w:p>
    <w:p>
      <w:pPr>
        <w:pStyle w:val="BodyText"/>
        <w:spacing w:line="218" w:lineRule="exact"/>
        <w:ind w:left="1984"/>
      </w:pPr>
      <w:r>
        <w:rPr>
          <w:w w:val="120"/>
        </w:rPr>
        <w:t>Feedback we’ve received encourages us to think that all of the aims were met.</w:t>
      </w:r>
    </w:p>
    <w:p>
      <w:pPr>
        <w:pStyle w:val="BodyText"/>
        <w:spacing w:before="6"/>
        <w:rPr>
          <w:sz w:val="29"/>
        </w:rPr>
      </w:pPr>
    </w:p>
    <w:p>
      <w:pPr>
        <w:pStyle w:val="BodyText"/>
        <w:spacing w:line="235" w:lineRule="auto"/>
        <w:ind w:left="2438" w:right="1120" w:hanging="1"/>
      </w:pPr>
      <w:r>
        <w:rPr>
          <w:w w:val="120"/>
        </w:rPr>
        <w:t>Encouraged me to read the Bible more: excited about the prospect of reading it. Made me dig deeper. It’s good to get together and share.</w:t>
      </w:r>
    </w:p>
    <w:p>
      <w:pPr>
        <w:pStyle w:val="BodyText"/>
        <w:spacing w:line="240" w:lineRule="exact"/>
        <w:ind w:left="2438"/>
      </w:pPr>
      <w:r>
        <w:rPr>
          <w:w w:val="115"/>
        </w:rPr>
        <w:t>Putting flesh on the bones of biblical characters.</w:t>
      </w:r>
    </w:p>
    <w:p>
      <w:pPr>
        <w:pStyle w:val="BodyText"/>
        <w:spacing w:line="235" w:lineRule="auto" w:before="2"/>
        <w:ind w:left="2438" w:right="1569"/>
      </w:pPr>
      <w:r>
        <w:rPr>
          <w:w w:val="115"/>
        </w:rPr>
        <w:t>It was </w:t>
      </w:r>
      <w:r>
        <w:rPr>
          <w:spacing w:val="2"/>
          <w:w w:val="115"/>
        </w:rPr>
        <w:t>good </w:t>
      </w:r>
      <w:r>
        <w:rPr>
          <w:w w:val="115"/>
        </w:rPr>
        <w:t>to learn how to think of the Bible in the now. </w:t>
      </w:r>
      <w:r>
        <w:rPr>
          <w:spacing w:val="-7"/>
          <w:w w:val="115"/>
        </w:rPr>
        <w:t>To </w:t>
      </w:r>
      <w:r>
        <w:rPr>
          <w:w w:val="115"/>
        </w:rPr>
        <w:t>see it as a guide to daily living and not so much the big </w:t>
      </w:r>
      <w:r>
        <w:rPr>
          <w:spacing w:val="4"/>
          <w:w w:val="115"/>
        </w:rPr>
        <w:t>scary </w:t>
      </w:r>
      <w:r>
        <w:rPr>
          <w:spacing w:val="2"/>
          <w:w w:val="115"/>
        </w:rPr>
        <w:t>book </w:t>
      </w:r>
      <w:r>
        <w:rPr>
          <w:w w:val="115"/>
        </w:rPr>
        <w:t>that sits on so many </w:t>
      </w:r>
      <w:r>
        <w:rPr>
          <w:spacing w:val="2"/>
          <w:w w:val="115"/>
        </w:rPr>
        <w:t>bookshelves </w:t>
      </w:r>
      <w:r>
        <w:rPr>
          <w:w w:val="115"/>
        </w:rPr>
        <w:t>unread.          I</w:t>
      </w:r>
      <w:r>
        <w:rPr>
          <w:spacing w:val="25"/>
          <w:w w:val="115"/>
        </w:rPr>
        <w:t> </w:t>
      </w:r>
      <w:r>
        <w:rPr>
          <w:spacing w:val="4"/>
          <w:w w:val="115"/>
        </w:rPr>
        <w:t>love</w:t>
      </w:r>
      <w:r>
        <w:rPr>
          <w:spacing w:val="25"/>
          <w:w w:val="115"/>
        </w:rPr>
        <w:t> </w:t>
      </w:r>
      <w:r>
        <w:rPr>
          <w:spacing w:val="6"/>
          <w:w w:val="115"/>
        </w:rPr>
        <w:t>different</w:t>
      </w:r>
      <w:r>
        <w:rPr>
          <w:spacing w:val="26"/>
          <w:w w:val="115"/>
        </w:rPr>
        <w:t> </w:t>
      </w:r>
      <w:r>
        <w:rPr>
          <w:spacing w:val="4"/>
          <w:w w:val="115"/>
        </w:rPr>
        <w:t>ways</w:t>
      </w:r>
      <w:r>
        <w:rPr>
          <w:spacing w:val="25"/>
          <w:w w:val="115"/>
        </w:rPr>
        <w:t> </w:t>
      </w:r>
      <w:r>
        <w:rPr>
          <w:spacing w:val="3"/>
          <w:w w:val="115"/>
        </w:rPr>
        <w:t>of</w:t>
      </w:r>
      <w:r>
        <w:rPr>
          <w:spacing w:val="25"/>
          <w:w w:val="115"/>
        </w:rPr>
        <w:t> </w:t>
      </w:r>
      <w:r>
        <w:rPr>
          <w:spacing w:val="5"/>
          <w:w w:val="115"/>
        </w:rPr>
        <w:t>encouraging</w:t>
      </w:r>
      <w:r>
        <w:rPr>
          <w:spacing w:val="26"/>
          <w:w w:val="115"/>
        </w:rPr>
        <w:t> </w:t>
      </w:r>
      <w:r>
        <w:rPr>
          <w:spacing w:val="6"/>
          <w:w w:val="115"/>
        </w:rPr>
        <w:t>people</w:t>
      </w:r>
      <w:r>
        <w:rPr>
          <w:spacing w:val="25"/>
          <w:w w:val="115"/>
        </w:rPr>
        <w:t> </w:t>
      </w:r>
      <w:r>
        <w:rPr>
          <w:w w:val="115"/>
        </w:rPr>
        <w:t>to</w:t>
      </w:r>
      <w:r>
        <w:rPr>
          <w:spacing w:val="26"/>
          <w:w w:val="115"/>
        </w:rPr>
        <w:t> </w:t>
      </w:r>
      <w:r>
        <w:rPr>
          <w:spacing w:val="5"/>
          <w:w w:val="115"/>
        </w:rPr>
        <w:t>engage</w:t>
      </w:r>
      <w:r>
        <w:rPr>
          <w:spacing w:val="25"/>
          <w:w w:val="115"/>
        </w:rPr>
        <w:t> </w:t>
      </w:r>
      <w:r>
        <w:rPr>
          <w:spacing w:val="5"/>
          <w:w w:val="115"/>
        </w:rPr>
        <w:t>with</w:t>
      </w:r>
      <w:r>
        <w:rPr>
          <w:spacing w:val="25"/>
          <w:w w:val="115"/>
        </w:rPr>
        <w:t> </w:t>
      </w:r>
      <w:r>
        <w:rPr>
          <w:spacing w:val="4"/>
          <w:w w:val="115"/>
        </w:rPr>
        <w:t>the</w:t>
      </w:r>
      <w:r>
        <w:rPr>
          <w:spacing w:val="26"/>
          <w:w w:val="115"/>
        </w:rPr>
        <w:t> </w:t>
      </w:r>
      <w:r>
        <w:rPr>
          <w:spacing w:val="5"/>
          <w:w w:val="115"/>
        </w:rPr>
        <w:t>Bible.</w:t>
      </w:r>
    </w:p>
    <w:p>
      <w:pPr>
        <w:pStyle w:val="BodyText"/>
        <w:spacing w:line="240" w:lineRule="exact"/>
        <w:ind w:left="2438"/>
      </w:pPr>
      <w:r>
        <w:rPr>
          <w:w w:val="115"/>
        </w:rPr>
        <w:t>It was interesting to see how different people look at the same thing.</w:t>
      </w:r>
    </w:p>
    <w:p>
      <w:pPr>
        <w:pStyle w:val="BodyText"/>
        <w:spacing w:line="235" w:lineRule="auto" w:before="2"/>
        <w:ind w:left="2438" w:right="1120"/>
      </w:pPr>
      <w:r>
        <w:rPr>
          <w:w w:val="120"/>
        </w:rPr>
        <w:t>Very suitable for lay leadership; genuinely related to individual life and experience. The emphasis is gentle and on accommodating inclusion.</w:t>
      </w:r>
    </w:p>
    <w:p>
      <w:pPr>
        <w:pStyle w:val="BodyText"/>
        <w:spacing w:line="235" w:lineRule="auto" w:before="1"/>
        <w:ind w:left="2438" w:right="898"/>
      </w:pPr>
      <w:r>
        <w:rPr>
          <w:spacing w:val="-3"/>
          <w:w w:val="120"/>
        </w:rPr>
        <w:t>Pooling </w:t>
      </w:r>
      <w:r>
        <w:rPr>
          <w:spacing w:val="-4"/>
          <w:w w:val="120"/>
        </w:rPr>
        <w:t>everyone’s </w:t>
      </w:r>
      <w:r>
        <w:rPr>
          <w:w w:val="120"/>
        </w:rPr>
        <w:t>knowledge. </w:t>
      </w:r>
      <w:r>
        <w:rPr>
          <w:spacing w:val="-3"/>
          <w:w w:val="120"/>
        </w:rPr>
        <w:t>Gaining </w:t>
      </w:r>
      <w:r>
        <w:rPr>
          <w:w w:val="120"/>
        </w:rPr>
        <w:t>new knowledge from </w:t>
      </w:r>
      <w:r>
        <w:rPr>
          <w:spacing w:val="-3"/>
          <w:w w:val="120"/>
        </w:rPr>
        <w:t>each other </w:t>
      </w:r>
      <w:r>
        <w:rPr>
          <w:w w:val="120"/>
        </w:rPr>
        <w:t>about the </w:t>
      </w:r>
      <w:r>
        <w:rPr>
          <w:spacing w:val="-3"/>
          <w:w w:val="120"/>
        </w:rPr>
        <w:t>Bible. </w:t>
      </w:r>
      <w:r>
        <w:rPr>
          <w:spacing w:val="5"/>
          <w:w w:val="120"/>
        </w:rPr>
        <w:t>Has </w:t>
      </w:r>
      <w:r>
        <w:rPr>
          <w:spacing w:val="4"/>
          <w:w w:val="120"/>
        </w:rPr>
        <w:t>given </w:t>
      </w:r>
      <w:r>
        <w:rPr>
          <w:spacing w:val="3"/>
          <w:w w:val="120"/>
        </w:rPr>
        <w:t>me </w:t>
      </w:r>
      <w:r>
        <w:rPr>
          <w:spacing w:val="5"/>
          <w:w w:val="120"/>
        </w:rPr>
        <w:t>some confidence </w:t>
      </w:r>
      <w:r>
        <w:rPr>
          <w:w w:val="120"/>
        </w:rPr>
        <w:t>to </w:t>
      </w:r>
      <w:r>
        <w:rPr>
          <w:spacing w:val="5"/>
          <w:w w:val="120"/>
        </w:rPr>
        <w:t>engage with others.</w:t>
      </w:r>
    </w:p>
    <w:p>
      <w:pPr>
        <w:pStyle w:val="BodyText"/>
        <w:spacing w:line="240" w:lineRule="exact"/>
        <w:ind w:left="2438"/>
      </w:pPr>
      <w:r>
        <w:rPr>
          <w:w w:val="115"/>
        </w:rPr>
        <w:t>It’s not as threatening as I thought.</w:t>
      </w:r>
    </w:p>
    <w:p>
      <w:pPr>
        <w:pStyle w:val="BodyText"/>
        <w:spacing w:line="235" w:lineRule="auto" w:before="2"/>
        <w:ind w:left="2438" w:right="3166"/>
      </w:pPr>
      <w:r>
        <w:rPr>
          <w:w w:val="120"/>
        </w:rPr>
        <w:t>Useful workable things to do with unconfident people. It energized me in a way I haven’t experienced before.</w:t>
      </w:r>
    </w:p>
    <w:p>
      <w:pPr>
        <w:pStyle w:val="BodyText"/>
      </w:pPr>
    </w:p>
    <w:p>
      <w:pPr>
        <w:tabs>
          <w:tab w:pos="10791" w:val="left" w:leader="none"/>
        </w:tabs>
        <w:spacing w:before="250"/>
        <w:ind w:left="484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31</w:t>
      </w:r>
    </w:p>
    <w:p>
      <w:pPr>
        <w:spacing w:after="0"/>
        <w:jc w:val="left"/>
        <w:rPr>
          <w:rFonts w:ascii="Stone Sans II ITC Std X Bd" w:hAnsi="Stone Sans II ITC Std X Bd"/>
          <w:sz w:val="24"/>
        </w:rPr>
        <w:sectPr>
          <w:headerReference w:type="default" r:id="rId97"/>
          <w:footerReference w:type="default" r:id="rId98"/>
          <w:pgSz w:w="11910" w:h="16840"/>
          <w:pgMar w:header="0" w:footer="0" w:top="1340" w:bottom="280" w:left="0" w:right="0"/>
        </w:sectPr>
      </w:pPr>
    </w:p>
    <w:p>
      <w:pPr>
        <w:pStyle w:val="BodyText"/>
        <w:ind w:left="240"/>
        <w:rPr>
          <w:rFonts w:ascii="Stone Sans II ITC Std X Bd"/>
        </w:rPr>
      </w:pPr>
      <w:r>
        <w:rPr/>
        <w:pict>
          <v:rect style="position:absolute;margin-left:12.047pt;margin-top:30.472015pt;width:22.677pt;height:22.677pt;mso-position-horizontal-relative:page;mso-position-vertical-relative:paragraph;z-index:-251517952;mso-wrap-distance-left:0;mso-wrap-distance-right:0" filled="true" fillcolor="#dd977b" stroked="false">
            <v:fill type="solid"/>
            <w10:wrap type="topAndBottom"/>
          </v:rect>
        </w:pict>
      </w:r>
      <w:r>
        <w:rPr/>
        <w:drawing>
          <wp:anchor distT="0" distB="0" distL="0" distR="0" allowOverlap="1" layoutInCell="1" locked="0" behindDoc="0" simplePos="0" relativeHeight="138">
            <wp:simplePos x="0" y="0"/>
            <wp:positionH relativeFrom="page">
              <wp:posOffset>593999</wp:posOffset>
            </wp:positionH>
            <wp:positionV relativeFrom="paragraph">
              <wp:posOffset>377998</wp:posOffset>
            </wp:positionV>
            <wp:extent cx="1149417" cy="420624"/>
            <wp:effectExtent l="0" t="0" r="0" b="0"/>
            <wp:wrapTopAndBottom/>
            <wp:docPr id="65" name="image66.jpeg"/>
            <wp:cNvGraphicFramePr>
              <a:graphicFrameLocks noChangeAspect="1"/>
            </wp:cNvGraphicFramePr>
            <a:graphic>
              <a:graphicData uri="http://schemas.openxmlformats.org/drawingml/2006/picture">
                <pic:pic>
                  <pic:nvPicPr>
                    <pic:cNvPr id="66" name="image66.jpeg"/>
                    <pic:cNvPicPr/>
                  </pic:nvPicPr>
                  <pic:blipFill>
                    <a:blip r:embed="rId109" cstate="print"/>
                    <a:stretch>
                      <a:fillRect/>
                    </a:stretch>
                  </pic:blipFill>
                  <pic:spPr>
                    <a:xfrm>
                      <a:off x="0" y="0"/>
                      <a:ext cx="1149417" cy="420624"/>
                    </a:xfrm>
                    <a:prstGeom prst="rect">
                      <a:avLst/>
                    </a:prstGeom>
                  </pic:spPr>
                </pic:pic>
              </a:graphicData>
            </a:graphic>
          </wp:anchor>
        </w:drawing>
      </w:r>
      <w:r>
        <w:rPr/>
        <w:pict>
          <v:group style="position:absolute;margin-left:31.114pt;margin-top:68.031113pt;width:481.65pt;height:723.7pt;mso-position-horizontal-relative:page;mso-position-vertical-relative:page;z-index:-267622400" coordorigin="622,1361" coordsize="9633,14474">
            <v:line style="position:absolute" from="889,1431" to="889,2230" stroked="true" strokeweight="1pt" strokecolor="#868685">
              <v:stroke dashstyle="dot"/>
            </v:line>
            <v:line style="position:absolute" from="889,1371" to="889,1371" stroked="true" strokeweight="1pt" strokecolor="#868685">
              <v:stroke dashstyle="solid"/>
            </v:line>
            <v:shape style="position:absolute;left:888;top:3093;width:2;height:12741" coordorigin="889,3094" coordsize="0,12741" path="m889,3094l889,7229m889,11452l889,13367m889,15190l889,15834e" filled="false" stroked="true" strokeweight="1pt" strokecolor="#868685">
              <v:path arrowok="t"/>
              <v:stroke dashstyle="dot"/>
            </v:shape>
            <v:rect style="position:absolute;left:641;top:13366;width:9614;height:1824" filled="true" fillcolor="#f5e1d6" stroked="false">
              <v:fill type="solid"/>
            </v:rect>
            <v:shape style="position:absolute;left:641;top:13356;width:9614;height:1844" coordorigin="641,13357" coordsize="9614,1844" path="m10255,15180l641,15180,641,15200,10255,15200,10255,15180m10255,13357l641,13357,641,13377,10255,13377,10255,13357e" filled="true" fillcolor="#f5e1d6" stroked="false">
              <v:path arrowok="t"/>
              <v:fill type="solid"/>
            </v:shape>
            <v:shape style="position:absolute;left:655;top:13371;width:998;height:1015" type="#_x0000_t75" stroked="false">
              <v:imagedata r:id="rId110" o:title=""/>
            </v:shape>
            <v:rect style="position:absolute;left:641;top:7228;width:9614;height:4224" filled="true" fillcolor="#f5e1d6" stroked="false">
              <v:fill type="solid"/>
            </v:rect>
            <v:shape style="position:absolute;left:641;top:7218;width:9614;height:4244" coordorigin="641,7219" coordsize="9614,4244" path="m10255,11442l641,11442,641,11462,10255,11462,10255,11442m10255,7219l641,7219,641,7239,10255,7239,10255,7219e" filled="true" fillcolor="#f5e1d6" stroked="false">
              <v:path arrowok="t"/>
              <v:fill type="solid"/>
            </v:shape>
            <v:shape style="position:absolute;left:655;top:7233;width:998;height:1015" type="#_x0000_t75" stroked="false">
              <v:imagedata r:id="rId111" o:title=""/>
            </v:shape>
            <v:rect style="position:absolute;left:622;top:2230;width:9614;height:864" filled="true" fillcolor="#f5e1d6" stroked="false">
              <v:fill type="solid"/>
            </v:rect>
            <v:shape style="position:absolute;left:622;top:2220;width:9614;height:884" coordorigin="622,2220" coordsize="9614,884" path="m10236,3084l622,3084,622,3104,10236,3104,10236,3084m10236,2220l622,2220,622,2240,10236,2240,10236,2220e" filled="true" fillcolor="#f5e1d6" stroked="false">
              <v:path arrowok="t"/>
              <v:fill type="solid"/>
            </v:shape>
            <v:shape style="position:absolute;left:9432;top:1623;width:367;height:286" type="#_x0000_t75" stroked="false">
              <v:imagedata r:id="rId112" o:title=""/>
            </v:shape>
            <v:shape style="position:absolute;left:7746;top:12223;width:367;height:286" type="#_x0000_t75" stroked="false">
              <v:imagedata r:id="rId113" o:title=""/>
            </v:shape>
            <v:shape style="position:absolute;left:641;top:2234;width:861;height:876" type="#_x0000_t75" stroked="false">
              <v:imagedata r:id="rId114" o:title=""/>
            </v:shape>
            <w10:wrap type="none"/>
          </v:group>
        </w:pict>
      </w:r>
      <w:r>
        <w:rPr>
          <w:rFonts w:ascii="Stone Sans II ITC Std X Bd"/>
        </w:rPr>
        <w:pict>
          <v:group style="width:22.7pt;height:22.7pt;mso-position-horizontal-relative:char;mso-position-vertical-relative:line" coordorigin="0,0" coordsize="454,454">
            <v:rect style="position:absolute;left:0;top:0;width:454;height:454" filled="true" fillcolor="#c20d19" stroked="false">
              <v:fill type="solid"/>
            </v:rect>
          </v:group>
        </w:pict>
      </w:r>
      <w:r>
        <w:rPr>
          <w:rFonts w:ascii="Stone Sans II ITC Std X Bd"/>
        </w:rPr>
      </w:r>
    </w:p>
    <w:p>
      <w:pPr>
        <w:pStyle w:val="BodyText"/>
        <w:spacing w:before="8"/>
        <w:rPr>
          <w:rFonts w:ascii="Stone Sans II ITC Std X Bd"/>
          <w:b/>
          <w:sz w:val="14"/>
        </w:rPr>
      </w:pPr>
    </w:p>
    <w:p>
      <w:pPr>
        <w:pStyle w:val="BodyText"/>
        <w:spacing w:line="318" w:lineRule="exact" w:before="102"/>
        <w:ind w:left="1133"/>
        <w:rPr>
          <w:rFonts w:ascii="Bradley Hand ITC"/>
          <w:sz w:val="28"/>
        </w:rPr>
      </w:pPr>
      <w:r>
        <w:rPr/>
        <w:pict>
          <v:rect style="position:absolute;margin-left:12.047pt;margin-top:-12.554579pt;width:22.677pt;height:22.677pt;mso-position-horizontal-relative:page;mso-position-vertical-relative:paragraph;z-index:-267623424" filled="true" fillcolor="#ebc3ae" stroked="false">
            <v:fill opacity="32768f" type="solid"/>
            <w10:wrap type="none"/>
          </v:rect>
        </w:pict>
      </w:r>
      <w:r>
        <w:rPr>
          <w:w w:val="120"/>
        </w:rPr>
        <w:t>This comment on confidence building is the one that gets to the heart of what </w:t>
      </w:r>
      <w:r>
        <w:rPr>
          <w:rFonts w:ascii="Arial Rounded MT Bold"/>
          <w:sz w:val="21"/>
        </w:rPr>
        <w:t>Vision4</w:t>
      </w:r>
      <w:r>
        <w:rPr>
          <w:rFonts w:ascii="Bradley Hand ITC"/>
          <w:color w:val="C20D19"/>
          <w:sz w:val="28"/>
        </w:rPr>
        <w:t>Life</w:t>
      </w:r>
    </w:p>
    <w:p>
      <w:pPr>
        <w:pStyle w:val="BodyText"/>
        <w:spacing w:line="213" w:lineRule="exact"/>
        <w:ind w:left="1133"/>
      </w:pPr>
      <w:r>
        <w:rPr>
          <w:w w:val="120"/>
        </w:rPr>
        <w:t>is about:</w:t>
      </w:r>
    </w:p>
    <w:p>
      <w:pPr>
        <w:pStyle w:val="BodyText"/>
        <w:spacing w:before="10"/>
        <w:rPr>
          <w:sz w:val="27"/>
        </w:rPr>
      </w:pPr>
    </w:p>
    <w:p>
      <w:pPr>
        <w:pStyle w:val="BodyText"/>
        <w:spacing w:line="235" w:lineRule="auto"/>
        <w:ind w:left="1587" w:right="2394" w:hanging="1"/>
      </w:pPr>
      <w:r>
        <w:rPr>
          <w:spacing w:val="3"/>
          <w:w w:val="115"/>
        </w:rPr>
        <w:t>It  </w:t>
      </w:r>
      <w:r>
        <w:rPr>
          <w:spacing w:val="4"/>
          <w:w w:val="115"/>
        </w:rPr>
        <w:t>was </w:t>
      </w:r>
      <w:r>
        <w:rPr>
          <w:spacing w:val="5"/>
          <w:w w:val="115"/>
        </w:rPr>
        <w:t>helpful </w:t>
      </w:r>
      <w:r>
        <w:rPr>
          <w:w w:val="115"/>
        </w:rPr>
        <w:t>to  </w:t>
      </w:r>
      <w:r>
        <w:rPr>
          <w:spacing w:val="6"/>
          <w:w w:val="115"/>
        </w:rPr>
        <w:t>suggest </w:t>
      </w:r>
      <w:r>
        <w:rPr>
          <w:spacing w:val="4"/>
          <w:w w:val="115"/>
        </w:rPr>
        <w:t>that </w:t>
      </w:r>
      <w:r>
        <w:rPr>
          <w:w w:val="115"/>
        </w:rPr>
        <w:t>I  </w:t>
      </w:r>
      <w:r>
        <w:rPr>
          <w:spacing w:val="4"/>
          <w:w w:val="115"/>
        </w:rPr>
        <w:t>could </w:t>
      </w:r>
      <w:r>
        <w:rPr>
          <w:spacing w:val="3"/>
          <w:w w:val="115"/>
        </w:rPr>
        <w:t>do  </w:t>
      </w:r>
      <w:r>
        <w:rPr>
          <w:w w:val="115"/>
        </w:rPr>
        <w:t>a  </w:t>
      </w:r>
      <w:r>
        <w:rPr>
          <w:spacing w:val="5"/>
          <w:w w:val="115"/>
        </w:rPr>
        <w:t>Bible study because </w:t>
      </w:r>
      <w:r>
        <w:rPr>
          <w:w w:val="115"/>
        </w:rPr>
        <w:t>I  </w:t>
      </w:r>
      <w:r>
        <w:rPr>
          <w:spacing w:val="4"/>
          <w:w w:val="115"/>
        </w:rPr>
        <w:t>never </w:t>
      </w:r>
      <w:r>
        <w:rPr>
          <w:spacing w:val="5"/>
          <w:w w:val="115"/>
        </w:rPr>
        <w:t>thought  </w:t>
      </w:r>
      <w:r>
        <w:rPr>
          <w:w w:val="115"/>
        </w:rPr>
        <w:t>I</w:t>
      </w:r>
      <w:r>
        <w:rPr>
          <w:spacing w:val="17"/>
          <w:w w:val="115"/>
        </w:rPr>
        <w:t> </w:t>
      </w:r>
      <w:r>
        <w:rPr>
          <w:spacing w:val="4"/>
          <w:w w:val="115"/>
        </w:rPr>
        <w:t>could.</w:t>
      </w:r>
    </w:p>
    <w:p>
      <w:pPr>
        <w:pStyle w:val="BodyText"/>
        <w:rPr>
          <w:sz w:val="24"/>
        </w:rPr>
      </w:pPr>
    </w:p>
    <w:p>
      <w:pPr>
        <w:pStyle w:val="ListParagraph"/>
        <w:numPr>
          <w:ilvl w:val="0"/>
          <w:numId w:val="52"/>
        </w:numPr>
        <w:tabs>
          <w:tab w:pos="1853" w:val="left" w:leader="none"/>
          <w:tab w:pos="1854" w:val="left" w:leader="none"/>
        </w:tabs>
        <w:spacing w:line="240" w:lineRule="auto" w:before="162" w:after="0"/>
        <w:ind w:left="1853" w:right="0" w:hanging="721"/>
        <w:jc w:val="left"/>
        <w:rPr>
          <w:rFonts w:ascii="Stone Sans II ITC Std Bk"/>
          <w:b/>
          <w:sz w:val="21"/>
        </w:rPr>
      </w:pPr>
      <w:r>
        <w:rPr>
          <w:rFonts w:ascii="Stone Sans II ITC Std Bk"/>
          <w:b/>
          <w:color w:val="C20D19"/>
          <w:w w:val="115"/>
          <w:sz w:val="21"/>
        </w:rPr>
        <w:t>Onto Prayer</w:t>
      </w:r>
      <w:r>
        <w:rPr>
          <w:rFonts w:ascii="Stone Sans II ITC Std Bk"/>
          <w:b/>
          <w:color w:val="C20D19"/>
          <w:spacing w:val="-3"/>
          <w:w w:val="115"/>
          <w:sz w:val="21"/>
        </w:rPr>
        <w:t> </w:t>
      </w:r>
      <w:r>
        <w:rPr>
          <w:rFonts w:ascii="Stone Sans II ITC Std Bk"/>
          <w:b/>
          <w:color w:val="C20D19"/>
          <w:spacing w:val="-4"/>
          <w:w w:val="115"/>
          <w:sz w:val="21"/>
        </w:rPr>
        <w:t>Year</w:t>
      </w:r>
    </w:p>
    <w:p>
      <w:pPr>
        <w:pStyle w:val="ListParagraph"/>
        <w:numPr>
          <w:ilvl w:val="1"/>
          <w:numId w:val="52"/>
        </w:numPr>
        <w:tabs>
          <w:tab w:pos="1814" w:val="left" w:leader="none"/>
          <w:tab w:pos="1815" w:val="left" w:leader="none"/>
        </w:tabs>
        <w:spacing w:line="235" w:lineRule="auto" w:before="223" w:after="0"/>
        <w:ind w:left="1133" w:right="2478" w:firstLine="0"/>
        <w:jc w:val="left"/>
        <w:rPr>
          <w:sz w:val="20"/>
        </w:rPr>
      </w:pPr>
      <w:r>
        <w:rPr>
          <w:w w:val="120"/>
          <w:sz w:val="20"/>
        </w:rPr>
        <w:t>Resources produced for Prayer </w:t>
      </w:r>
      <w:r>
        <w:rPr>
          <w:spacing w:val="-4"/>
          <w:w w:val="120"/>
          <w:sz w:val="20"/>
        </w:rPr>
        <w:t>Year </w:t>
      </w:r>
      <w:r>
        <w:rPr>
          <w:w w:val="120"/>
          <w:sz w:val="20"/>
        </w:rPr>
        <w:t>included two booklets that were sent out to</w:t>
      </w:r>
      <w:r>
        <w:rPr>
          <w:spacing w:val="7"/>
          <w:w w:val="120"/>
          <w:sz w:val="20"/>
        </w:rPr>
        <w:t> </w:t>
      </w:r>
      <w:r>
        <w:rPr>
          <w:w w:val="120"/>
          <w:sz w:val="20"/>
        </w:rPr>
        <w:t>all</w:t>
      </w:r>
      <w:r>
        <w:rPr>
          <w:spacing w:val="8"/>
          <w:w w:val="120"/>
          <w:sz w:val="20"/>
        </w:rPr>
        <w:t> </w:t>
      </w:r>
      <w:r>
        <w:rPr>
          <w:w w:val="120"/>
          <w:sz w:val="20"/>
        </w:rPr>
        <w:t>signed</w:t>
      </w:r>
      <w:r>
        <w:rPr>
          <w:spacing w:val="8"/>
          <w:w w:val="120"/>
          <w:sz w:val="20"/>
        </w:rPr>
        <w:t> </w:t>
      </w:r>
      <w:r>
        <w:rPr>
          <w:w w:val="120"/>
          <w:sz w:val="20"/>
        </w:rPr>
        <w:t>up</w:t>
      </w:r>
      <w:r>
        <w:rPr>
          <w:spacing w:val="7"/>
          <w:w w:val="120"/>
          <w:sz w:val="20"/>
        </w:rPr>
        <w:t> </w:t>
      </w:r>
      <w:r>
        <w:rPr>
          <w:w w:val="120"/>
          <w:sz w:val="20"/>
        </w:rPr>
        <w:t>churches.</w:t>
      </w:r>
      <w:r>
        <w:rPr>
          <w:spacing w:val="8"/>
          <w:w w:val="120"/>
          <w:sz w:val="20"/>
        </w:rPr>
        <w:t> </w:t>
      </w:r>
      <w:r>
        <w:rPr>
          <w:w w:val="120"/>
          <w:sz w:val="20"/>
        </w:rPr>
        <w:t>The</w:t>
      </w:r>
      <w:r>
        <w:rPr>
          <w:spacing w:val="8"/>
          <w:w w:val="120"/>
          <w:sz w:val="20"/>
        </w:rPr>
        <w:t> </w:t>
      </w:r>
      <w:r>
        <w:rPr>
          <w:w w:val="120"/>
          <w:sz w:val="20"/>
        </w:rPr>
        <w:t>first</w:t>
      </w:r>
      <w:r>
        <w:rPr>
          <w:spacing w:val="8"/>
          <w:w w:val="120"/>
          <w:sz w:val="20"/>
        </w:rPr>
        <w:t> </w:t>
      </w:r>
      <w:r>
        <w:rPr>
          <w:w w:val="120"/>
          <w:sz w:val="20"/>
        </w:rPr>
        <w:t>was</w:t>
      </w:r>
      <w:r>
        <w:rPr>
          <w:spacing w:val="7"/>
          <w:w w:val="120"/>
          <w:sz w:val="20"/>
        </w:rPr>
        <w:t> </w:t>
      </w:r>
      <w:r>
        <w:rPr>
          <w:w w:val="120"/>
          <w:sz w:val="20"/>
        </w:rPr>
        <w:t>produced</w:t>
      </w:r>
      <w:r>
        <w:rPr>
          <w:spacing w:val="8"/>
          <w:w w:val="120"/>
          <w:sz w:val="20"/>
        </w:rPr>
        <w:t> </w:t>
      </w:r>
      <w:r>
        <w:rPr>
          <w:w w:val="120"/>
          <w:sz w:val="20"/>
        </w:rPr>
        <w:t>in</w:t>
      </w:r>
      <w:r>
        <w:rPr>
          <w:spacing w:val="8"/>
          <w:w w:val="120"/>
          <w:sz w:val="20"/>
        </w:rPr>
        <w:t> </w:t>
      </w:r>
      <w:r>
        <w:rPr>
          <w:w w:val="120"/>
          <w:sz w:val="20"/>
        </w:rPr>
        <w:t>collaboration</w:t>
      </w:r>
      <w:r>
        <w:rPr>
          <w:spacing w:val="8"/>
          <w:w w:val="120"/>
          <w:sz w:val="20"/>
        </w:rPr>
        <w:t> </w:t>
      </w:r>
      <w:r>
        <w:rPr>
          <w:w w:val="120"/>
          <w:sz w:val="20"/>
        </w:rPr>
        <w:t>with</w:t>
      </w:r>
      <w:r>
        <w:rPr>
          <w:spacing w:val="7"/>
          <w:w w:val="120"/>
          <w:sz w:val="20"/>
        </w:rPr>
        <w:t> </w:t>
      </w:r>
      <w:r>
        <w:rPr>
          <w:w w:val="120"/>
          <w:sz w:val="20"/>
        </w:rPr>
        <w:t>Nationwide</w:t>
      </w:r>
    </w:p>
    <w:p>
      <w:pPr>
        <w:pStyle w:val="BodyText"/>
        <w:spacing w:line="240" w:lineRule="exact"/>
        <w:ind w:left="1133"/>
        <w:rPr>
          <w:i/>
        </w:rPr>
      </w:pPr>
      <w:r>
        <w:rPr>
          <w:w w:val="120"/>
        </w:rPr>
        <w:t>Christian Trust and written by Andy Twilley, their director. It is one of the </w:t>
      </w:r>
      <w:r>
        <w:rPr>
          <w:i/>
          <w:w w:val="120"/>
        </w:rPr>
        <w:t>God’s Apprentice</w:t>
      </w:r>
    </w:p>
    <w:p>
      <w:pPr>
        <w:pStyle w:val="BodyText"/>
        <w:spacing w:line="235" w:lineRule="auto" w:before="1"/>
        <w:ind w:left="1133" w:right="2573"/>
      </w:pPr>
      <w:r>
        <w:rPr>
          <w:w w:val="120"/>
        </w:rPr>
        <w:t>series of booklets, which builds on the notion that all Christians are ‘apprentices’. Further copies can be obtained from NCT. Some good feedback about this booklet has been received.</w:t>
      </w:r>
    </w:p>
    <w:p>
      <w:pPr>
        <w:pStyle w:val="BodyText"/>
        <w:spacing w:before="10"/>
        <w:rPr>
          <w:sz w:val="19"/>
        </w:rPr>
      </w:pPr>
    </w:p>
    <w:p>
      <w:pPr>
        <w:pStyle w:val="ListParagraph"/>
        <w:numPr>
          <w:ilvl w:val="1"/>
          <w:numId w:val="52"/>
        </w:numPr>
        <w:tabs>
          <w:tab w:pos="1814" w:val="left" w:leader="none"/>
          <w:tab w:pos="1815" w:val="left" w:leader="none"/>
        </w:tabs>
        <w:spacing w:line="235" w:lineRule="auto" w:before="1" w:after="0"/>
        <w:ind w:left="1133" w:right="2050" w:firstLine="0"/>
        <w:jc w:val="left"/>
        <w:rPr>
          <w:sz w:val="20"/>
        </w:rPr>
      </w:pPr>
      <w:r>
        <w:rPr>
          <w:w w:val="120"/>
          <w:sz w:val="20"/>
        </w:rPr>
        <w:t>The Prayer </w:t>
      </w:r>
      <w:r>
        <w:rPr>
          <w:spacing w:val="-4"/>
          <w:w w:val="120"/>
          <w:sz w:val="20"/>
        </w:rPr>
        <w:t>Year </w:t>
      </w:r>
      <w:r>
        <w:rPr>
          <w:w w:val="120"/>
          <w:sz w:val="20"/>
        </w:rPr>
        <w:t>Group produced </w:t>
      </w:r>
      <w:r>
        <w:rPr>
          <w:i/>
          <w:w w:val="120"/>
          <w:sz w:val="20"/>
        </w:rPr>
        <w:t>Praying our Days: Welcome to Prayer </w:t>
      </w:r>
      <w:r>
        <w:rPr>
          <w:i/>
          <w:spacing w:val="-6"/>
          <w:w w:val="120"/>
          <w:sz w:val="20"/>
        </w:rPr>
        <w:t>Year</w:t>
      </w:r>
      <w:r>
        <w:rPr>
          <w:spacing w:val="-6"/>
          <w:w w:val="120"/>
          <w:sz w:val="20"/>
        </w:rPr>
        <w:t>. </w:t>
      </w:r>
      <w:r>
        <w:rPr>
          <w:w w:val="120"/>
          <w:sz w:val="20"/>
        </w:rPr>
        <w:t>There was a high demand for this material and many churches chose to sign up in order to receive more copies. Less than half way through Prayer </w:t>
      </w:r>
      <w:r>
        <w:rPr>
          <w:spacing w:val="-4"/>
          <w:w w:val="120"/>
          <w:sz w:val="20"/>
        </w:rPr>
        <w:t>Year </w:t>
      </w:r>
      <w:r>
        <w:rPr>
          <w:w w:val="120"/>
          <w:sz w:val="20"/>
        </w:rPr>
        <w:t>there were already materials from more than 25 contributors on the website: many thanks to them</w:t>
      </w:r>
      <w:r>
        <w:rPr>
          <w:spacing w:val="16"/>
          <w:w w:val="120"/>
          <w:sz w:val="20"/>
        </w:rPr>
        <w:t> </w:t>
      </w:r>
      <w:r>
        <w:rPr>
          <w:w w:val="120"/>
          <w:sz w:val="20"/>
        </w:rPr>
        <w:t>all.</w:t>
      </w:r>
    </w:p>
    <w:p>
      <w:pPr>
        <w:pStyle w:val="BodyText"/>
        <w:spacing w:before="6"/>
        <w:rPr>
          <w:sz w:val="19"/>
        </w:rPr>
      </w:pPr>
    </w:p>
    <w:p>
      <w:pPr>
        <w:pStyle w:val="ListParagraph"/>
        <w:numPr>
          <w:ilvl w:val="1"/>
          <w:numId w:val="52"/>
        </w:numPr>
        <w:tabs>
          <w:tab w:pos="1814" w:val="left" w:leader="none"/>
          <w:tab w:pos="1815" w:val="left" w:leader="none"/>
        </w:tabs>
        <w:spacing w:line="240" w:lineRule="auto" w:before="1" w:after="0"/>
        <w:ind w:left="1814" w:right="0" w:hanging="682"/>
        <w:jc w:val="left"/>
        <w:rPr>
          <w:sz w:val="20"/>
        </w:rPr>
      </w:pPr>
      <w:r>
        <w:rPr>
          <w:w w:val="120"/>
          <w:sz w:val="20"/>
        </w:rPr>
        <w:t>Let me tell</w:t>
      </w:r>
      <w:r>
        <w:rPr>
          <w:spacing w:val="5"/>
          <w:w w:val="120"/>
          <w:sz w:val="20"/>
        </w:rPr>
        <w:t> </w:t>
      </w:r>
      <w:r>
        <w:rPr>
          <w:w w:val="120"/>
          <w:sz w:val="20"/>
        </w:rPr>
        <w:t>you...</w:t>
      </w:r>
    </w:p>
    <w:p>
      <w:pPr>
        <w:pStyle w:val="BodyText"/>
        <w:spacing w:before="4"/>
        <w:rPr>
          <w:sz w:val="34"/>
        </w:rPr>
      </w:pPr>
    </w:p>
    <w:p>
      <w:pPr>
        <w:pStyle w:val="BodyText"/>
        <w:spacing w:line="235" w:lineRule="auto"/>
        <w:ind w:left="1587" w:right="2251"/>
      </w:pPr>
      <w:r>
        <w:rPr>
          <w:w w:val="115"/>
        </w:rPr>
        <w:t>We </w:t>
      </w:r>
      <w:r>
        <w:rPr>
          <w:spacing w:val="3"/>
          <w:w w:val="115"/>
        </w:rPr>
        <w:t>have </w:t>
      </w:r>
      <w:r>
        <w:rPr>
          <w:spacing w:val="5"/>
          <w:w w:val="115"/>
        </w:rPr>
        <w:t>made </w:t>
      </w:r>
      <w:r>
        <w:rPr>
          <w:w w:val="115"/>
        </w:rPr>
        <w:t>a </w:t>
      </w:r>
      <w:r>
        <w:rPr>
          <w:spacing w:val="5"/>
          <w:w w:val="115"/>
        </w:rPr>
        <w:t>prayer </w:t>
      </w:r>
      <w:r>
        <w:rPr>
          <w:spacing w:val="4"/>
          <w:w w:val="115"/>
        </w:rPr>
        <w:t>jigsaw </w:t>
      </w:r>
      <w:r>
        <w:rPr>
          <w:spacing w:val="5"/>
          <w:w w:val="115"/>
        </w:rPr>
        <w:t>during </w:t>
      </w:r>
      <w:r>
        <w:rPr>
          <w:spacing w:val="4"/>
          <w:w w:val="115"/>
        </w:rPr>
        <w:t>our </w:t>
      </w:r>
      <w:r>
        <w:rPr>
          <w:spacing w:val="5"/>
          <w:w w:val="115"/>
        </w:rPr>
        <w:t>family </w:t>
      </w:r>
      <w:r>
        <w:rPr>
          <w:spacing w:val="6"/>
          <w:w w:val="115"/>
        </w:rPr>
        <w:t>service. </w:t>
      </w:r>
      <w:r>
        <w:rPr>
          <w:w w:val="115"/>
        </w:rPr>
        <w:t>We </w:t>
      </w:r>
      <w:r>
        <w:rPr>
          <w:spacing w:val="4"/>
          <w:w w:val="115"/>
        </w:rPr>
        <w:t>had the </w:t>
      </w:r>
      <w:r>
        <w:rPr>
          <w:w w:val="115"/>
        </w:rPr>
        <w:t>63 </w:t>
      </w:r>
      <w:r>
        <w:rPr>
          <w:spacing w:val="4"/>
          <w:w w:val="115"/>
        </w:rPr>
        <w:t>piece  jigsaw </w:t>
      </w:r>
      <w:r>
        <w:rPr>
          <w:spacing w:val="5"/>
          <w:w w:val="115"/>
        </w:rPr>
        <w:t>made </w:t>
      </w:r>
      <w:r>
        <w:rPr>
          <w:spacing w:val="2"/>
          <w:w w:val="115"/>
        </w:rPr>
        <w:t>by </w:t>
      </w:r>
      <w:r>
        <w:rPr>
          <w:w w:val="115"/>
        </w:rPr>
        <w:t>a </w:t>
      </w:r>
      <w:r>
        <w:rPr>
          <w:spacing w:val="4"/>
          <w:w w:val="115"/>
        </w:rPr>
        <w:t>company </w:t>
      </w:r>
      <w:r>
        <w:rPr>
          <w:spacing w:val="3"/>
          <w:w w:val="115"/>
        </w:rPr>
        <w:t>on </w:t>
      </w:r>
      <w:r>
        <w:rPr>
          <w:spacing w:val="4"/>
          <w:w w:val="115"/>
        </w:rPr>
        <w:t>the </w:t>
      </w:r>
      <w:r>
        <w:rPr>
          <w:spacing w:val="5"/>
          <w:w w:val="115"/>
        </w:rPr>
        <w:t>internet </w:t>
      </w:r>
      <w:r>
        <w:rPr>
          <w:spacing w:val="4"/>
          <w:w w:val="115"/>
        </w:rPr>
        <w:t>using </w:t>
      </w:r>
      <w:r>
        <w:rPr>
          <w:w w:val="115"/>
        </w:rPr>
        <w:t>a </w:t>
      </w:r>
      <w:r>
        <w:rPr>
          <w:spacing w:val="6"/>
          <w:w w:val="115"/>
        </w:rPr>
        <w:t>photograph </w:t>
      </w:r>
      <w:r>
        <w:rPr>
          <w:spacing w:val="3"/>
          <w:w w:val="115"/>
        </w:rPr>
        <w:t>of </w:t>
      </w:r>
      <w:r>
        <w:rPr>
          <w:spacing w:val="4"/>
          <w:w w:val="115"/>
        </w:rPr>
        <w:t>our </w:t>
      </w:r>
      <w:r>
        <w:rPr>
          <w:spacing w:val="5"/>
          <w:w w:val="115"/>
        </w:rPr>
        <w:t>sanctuary. </w:t>
      </w:r>
      <w:r>
        <w:rPr>
          <w:spacing w:val="6"/>
          <w:w w:val="115"/>
        </w:rPr>
        <w:t>Members </w:t>
      </w:r>
      <w:r>
        <w:rPr>
          <w:spacing w:val="3"/>
          <w:w w:val="115"/>
        </w:rPr>
        <w:t>of </w:t>
      </w:r>
      <w:r>
        <w:rPr>
          <w:spacing w:val="4"/>
          <w:w w:val="115"/>
        </w:rPr>
        <w:t>the </w:t>
      </w:r>
      <w:r>
        <w:rPr>
          <w:spacing w:val="5"/>
          <w:w w:val="115"/>
        </w:rPr>
        <w:t>congregation </w:t>
      </w:r>
      <w:r>
        <w:rPr>
          <w:spacing w:val="4"/>
          <w:w w:val="115"/>
        </w:rPr>
        <w:t>were each given </w:t>
      </w:r>
      <w:r>
        <w:rPr>
          <w:w w:val="115"/>
        </w:rPr>
        <w:t>a </w:t>
      </w:r>
      <w:r>
        <w:rPr>
          <w:spacing w:val="4"/>
          <w:w w:val="115"/>
        </w:rPr>
        <w:t>piece and asked </w:t>
      </w:r>
      <w:r>
        <w:rPr>
          <w:w w:val="115"/>
        </w:rPr>
        <w:t>to </w:t>
      </w:r>
      <w:r>
        <w:rPr>
          <w:spacing w:val="5"/>
          <w:w w:val="115"/>
        </w:rPr>
        <w:t>write </w:t>
      </w:r>
      <w:r>
        <w:rPr>
          <w:spacing w:val="4"/>
          <w:w w:val="115"/>
        </w:rPr>
        <w:t>their </w:t>
      </w:r>
      <w:r>
        <w:rPr>
          <w:spacing w:val="5"/>
          <w:w w:val="115"/>
        </w:rPr>
        <w:t>names </w:t>
      </w:r>
      <w:r>
        <w:rPr>
          <w:spacing w:val="3"/>
          <w:w w:val="115"/>
        </w:rPr>
        <w:t>on </w:t>
      </w:r>
      <w:r>
        <w:rPr>
          <w:spacing w:val="4"/>
          <w:w w:val="115"/>
        </w:rPr>
        <w:t>the </w:t>
      </w:r>
      <w:r>
        <w:rPr>
          <w:spacing w:val="5"/>
          <w:w w:val="115"/>
        </w:rPr>
        <w:t>back. They then came </w:t>
      </w:r>
      <w:r>
        <w:rPr>
          <w:spacing w:val="2"/>
          <w:w w:val="115"/>
        </w:rPr>
        <w:t>up </w:t>
      </w:r>
      <w:r>
        <w:rPr>
          <w:spacing w:val="4"/>
          <w:w w:val="115"/>
        </w:rPr>
        <w:t>and </w:t>
      </w:r>
      <w:r>
        <w:rPr>
          <w:spacing w:val="3"/>
          <w:w w:val="115"/>
        </w:rPr>
        <w:t>as </w:t>
      </w:r>
      <w:r>
        <w:rPr>
          <w:w w:val="115"/>
        </w:rPr>
        <w:t>a </w:t>
      </w:r>
      <w:r>
        <w:rPr>
          <w:spacing w:val="5"/>
          <w:w w:val="115"/>
        </w:rPr>
        <w:t>prayer </w:t>
      </w:r>
      <w:r>
        <w:rPr>
          <w:spacing w:val="7"/>
          <w:w w:val="115"/>
        </w:rPr>
        <w:t>activity </w:t>
      </w:r>
      <w:r>
        <w:rPr>
          <w:spacing w:val="3"/>
          <w:w w:val="115"/>
        </w:rPr>
        <w:t>of  </w:t>
      </w:r>
      <w:r>
        <w:rPr>
          <w:spacing w:val="4"/>
          <w:w w:val="115"/>
        </w:rPr>
        <w:t>the  church </w:t>
      </w:r>
      <w:r>
        <w:rPr>
          <w:spacing w:val="5"/>
          <w:w w:val="115"/>
        </w:rPr>
        <w:t>family </w:t>
      </w:r>
      <w:r>
        <w:rPr>
          <w:spacing w:val="6"/>
          <w:w w:val="115"/>
        </w:rPr>
        <w:t>assembled </w:t>
      </w:r>
      <w:r>
        <w:rPr>
          <w:spacing w:val="4"/>
          <w:w w:val="115"/>
        </w:rPr>
        <w:t>the jigsaw together. Any </w:t>
      </w:r>
      <w:r>
        <w:rPr>
          <w:spacing w:val="5"/>
          <w:w w:val="115"/>
        </w:rPr>
        <w:t>spare </w:t>
      </w:r>
      <w:r>
        <w:rPr>
          <w:spacing w:val="4"/>
          <w:w w:val="115"/>
        </w:rPr>
        <w:t>pieces were </w:t>
      </w:r>
      <w:r>
        <w:rPr>
          <w:spacing w:val="5"/>
          <w:w w:val="115"/>
        </w:rPr>
        <w:t>taken </w:t>
      </w:r>
      <w:r>
        <w:rPr>
          <w:spacing w:val="4"/>
          <w:w w:val="115"/>
        </w:rPr>
        <w:t>and had the </w:t>
      </w:r>
      <w:r>
        <w:rPr>
          <w:spacing w:val="5"/>
          <w:w w:val="115"/>
        </w:rPr>
        <w:t>names </w:t>
      </w:r>
      <w:r>
        <w:rPr>
          <w:spacing w:val="3"/>
          <w:w w:val="115"/>
        </w:rPr>
        <w:t>of  </w:t>
      </w:r>
      <w:r>
        <w:rPr>
          <w:spacing w:val="4"/>
          <w:w w:val="115"/>
        </w:rPr>
        <w:t>those who were absent, for </w:t>
      </w:r>
      <w:r>
        <w:rPr>
          <w:spacing w:val="6"/>
          <w:w w:val="115"/>
        </w:rPr>
        <w:t>example </w:t>
      </w:r>
      <w:r>
        <w:rPr>
          <w:spacing w:val="4"/>
          <w:w w:val="115"/>
        </w:rPr>
        <w:t>the </w:t>
      </w:r>
      <w:r>
        <w:rPr>
          <w:spacing w:val="5"/>
          <w:w w:val="115"/>
        </w:rPr>
        <w:t>housebound </w:t>
      </w:r>
      <w:r>
        <w:rPr>
          <w:spacing w:val="3"/>
          <w:w w:val="115"/>
        </w:rPr>
        <w:t>or  </w:t>
      </w:r>
      <w:r>
        <w:rPr>
          <w:spacing w:val="4"/>
          <w:w w:val="115"/>
        </w:rPr>
        <w:t>those </w:t>
      </w:r>
      <w:r>
        <w:rPr>
          <w:spacing w:val="7"/>
          <w:w w:val="115"/>
        </w:rPr>
        <w:t>serving </w:t>
      </w:r>
      <w:r>
        <w:rPr>
          <w:spacing w:val="66"/>
          <w:w w:val="115"/>
        </w:rPr>
        <w:t> </w:t>
      </w:r>
      <w:r>
        <w:rPr>
          <w:spacing w:val="2"/>
          <w:w w:val="115"/>
        </w:rPr>
        <w:t>in </w:t>
      </w:r>
      <w:r>
        <w:rPr>
          <w:spacing w:val="4"/>
          <w:w w:val="115"/>
        </w:rPr>
        <w:t>the forces </w:t>
      </w:r>
      <w:r>
        <w:rPr>
          <w:spacing w:val="5"/>
          <w:w w:val="115"/>
        </w:rPr>
        <w:t>abroad </w:t>
      </w:r>
      <w:r>
        <w:rPr>
          <w:spacing w:val="3"/>
          <w:w w:val="115"/>
        </w:rPr>
        <w:t>etc. </w:t>
      </w:r>
      <w:r>
        <w:rPr>
          <w:spacing w:val="4"/>
          <w:w w:val="115"/>
        </w:rPr>
        <w:t>This will </w:t>
      </w:r>
      <w:r>
        <w:rPr>
          <w:spacing w:val="5"/>
          <w:w w:val="115"/>
        </w:rPr>
        <w:t>then </w:t>
      </w:r>
      <w:r>
        <w:rPr>
          <w:spacing w:val="7"/>
          <w:w w:val="115"/>
        </w:rPr>
        <w:t>serve </w:t>
      </w:r>
      <w:r>
        <w:rPr>
          <w:spacing w:val="3"/>
          <w:w w:val="115"/>
        </w:rPr>
        <w:t>as </w:t>
      </w:r>
      <w:r>
        <w:rPr>
          <w:w w:val="115"/>
        </w:rPr>
        <w:t>a </w:t>
      </w:r>
      <w:r>
        <w:rPr>
          <w:spacing w:val="6"/>
          <w:w w:val="115"/>
        </w:rPr>
        <w:t>permanent </w:t>
      </w:r>
      <w:r>
        <w:rPr>
          <w:spacing w:val="5"/>
          <w:w w:val="115"/>
        </w:rPr>
        <w:t>reminder </w:t>
      </w:r>
      <w:r>
        <w:rPr>
          <w:spacing w:val="3"/>
          <w:w w:val="115"/>
        </w:rPr>
        <w:t>of  </w:t>
      </w:r>
      <w:r>
        <w:rPr>
          <w:spacing w:val="4"/>
          <w:w w:val="115"/>
        </w:rPr>
        <w:t>our church</w:t>
      </w:r>
      <w:r>
        <w:rPr>
          <w:spacing w:val="17"/>
          <w:w w:val="115"/>
        </w:rPr>
        <w:t> </w:t>
      </w:r>
      <w:r>
        <w:rPr>
          <w:spacing w:val="3"/>
          <w:w w:val="115"/>
        </w:rPr>
        <w:t>family.</w:t>
      </w:r>
    </w:p>
    <w:p>
      <w:pPr>
        <w:pStyle w:val="BodyText"/>
        <w:spacing w:before="2"/>
      </w:pPr>
    </w:p>
    <w:p>
      <w:pPr>
        <w:pStyle w:val="BodyText"/>
        <w:spacing w:line="235" w:lineRule="auto"/>
        <w:ind w:left="1587" w:right="2288"/>
        <w:jc w:val="both"/>
      </w:pPr>
      <w:r>
        <w:rPr>
          <w:spacing w:val="5"/>
          <w:w w:val="115"/>
        </w:rPr>
        <w:t>Through </w:t>
      </w:r>
      <w:r>
        <w:rPr>
          <w:spacing w:val="4"/>
          <w:w w:val="115"/>
        </w:rPr>
        <w:t>our four </w:t>
      </w:r>
      <w:r>
        <w:rPr>
          <w:spacing w:val="5"/>
          <w:w w:val="115"/>
        </w:rPr>
        <w:t>house </w:t>
      </w:r>
      <w:r>
        <w:rPr>
          <w:spacing w:val="4"/>
          <w:w w:val="115"/>
        </w:rPr>
        <w:t>groups  </w:t>
      </w:r>
      <w:r>
        <w:rPr>
          <w:spacing w:val="2"/>
          <w:w w:val="115"/>
        </w:rPr>
        <w:t>we  </w:t>
      </w:r>
      <w:r>
        <w:rPr>
          <w:spacing w:val="3"/>
          <w:w w:val="115"/>
        </w:rPr>
        <w:t>have  </w:t>
      </w:r>
      <w:r>
        <w:rPr>
          <w:spacing w:val="6"/>
          <w:w w:val="115"/>
        </w:rPr>
        <w:t>constructed </w:t>
      </w:r>
      <w:r>
        <w:rPr>
          <w:spacing w:val="5"/>
          <w:w w:val="115"/>
        </w:rPr>
        <w:t>Prayer </w:t>
      </w:r>
      <w:r>
        <w:rPr>
          <w:spacing w:val="6"/>
          <w:w w:val="115"/>
        </w:rPr>
        <w:t>Alphabets </w:t>
      </w:r>
      <w:r>
        <w:rPr>
          <w:w w:val="115"/>
        </w:rPr>
        <w:t>(an  </w:t>
      </w:r>
      <w:r>
        <w:rPr>
          <w:spacing w:val="5"/>
          <w:w w:val="115"/>
        </w:rPr>
        <w:t>A-Z </w:t>
      </w:r>
      <w:r>
        <w:rPr>
          <w:spacing w:val="3"/>
          <w:w w:val="115"/>
        </w:rPr>
        <w:t>of </w:t>
      </w:r>
      <w:r>
        <w:rPr>
          <w:spacing w:val="4"/>
          <w:w w:val="115"/>
        </w:rPr>
        <w:t>things that </w:t>
      </w:r>
      <w:r>
        <w:rPr>
          <w:spacing w:val="2"/>
          <w:w w:val="115"/>
        </w:rPr>
        <w:t>we  </w:t>
      </w:r>
      <w:r>
        <w:rPr>
          <w:spacing w:val="5"/>
          <w:w w:val="115"/>
        </w:rPr>
        <w:t>pray </w:t>
      </w:r>
      <w:r>
        <w:rPr>
          <w:spacing w:val="3"/>
          <w:w w:val="115"/>
        </w:rPr>
        <w:t>about). </w:t>
      </w:r>
      <w:r>
        <w:rPr>
          <w:spacing w:val="4"/>
          <w:w w:val="115"/>
        </w:rPr>
        <w:t>This </w:t>
      </w:r>
      <w:r>
        <w:rPr>
          <w:spacing w:val="6"/>
          <w:w w:val="115"/>
        </w:rPr>
        <w:t>demonstrated </w:t>
      </w:r>
      <w:r>
        <w:rPr>
          <w:spacing w:val="4"/>
          <w:w w:val="115"/>
        </w:rPr>
        <w:t>the </w:t>
      </w:r>
      <w:r>
        <w:rPr>
          <w:spacing w:val="5"/>
          <w:w w:val="115"/>
        </w:rPr>
        <w:t>scope there </w:t>
      </w:r>
      <w:r>
        <w:rPr>
          <w:w w:val="115"/>
        </w:rPr>
        <w:t>is</w:t>
      </w:r>
      <w:r>
        <w:rPr>
          <w:spacing w:val="52"/>
          <w:w w:val="115"/>
        </w:rPr>
        <w:t> </w:t>
      </w:r>
      <w:r>
        <w:rPr>
          <w:spacing w:val="4"/>
          <w:w w:val="115"/>
        </w:rPr>
        <w:t>for </w:t>
      </w:r>
      <w:r>
        <w:rPr>
          <w:spacing w:val="5"/>
          <w:w w:val="115"/>
        </w:rPr>
        <w:t>prayer </w:t>
      </w:r>
      <w:r>
        <w:rPr>
          <w:spacing w:val="62"/>
          <w:w w:val="115"/>
        </w:rPr>
        <w:t> </w:t>
      </w:r>
      <w:r>
        <w:rPr>
          <w:spacing w:val="2"/>
          <w:w w:val="115"/>
        </w:rPr>
        <w:t>in</w:t>
      </w:r>
      <w:r>
        <w:rPr>
          <w:spacing w:val="26"/>
          <w:w w:val="115"/>
        </w:rPr>
        <w:t> </w:t>
      </w:r>
      <w:r>
        <w:rPr>
          <w:spacing w:val="4"/>
          <w:w w:val="115"/>
        </w:rPr>
        <w:t>our</w:t>
      </w:r>
      <w:r>
        <w:rPr>
          <w:spacing w:val="26"/>
          <w:w w:val="115"/>
        </w:rPr>
        <w:t> </w:t>
      </w:r>
      <w:r>
        <w:rPr>
          <w:spacing w:val="5"/>
          <w:w w:val="115"/>
        </w:rPr>
        <w:t>fellowship</w:t>
      </w:r>
      <w:r>
        <w:rPr>
          <w:spacing w:val="26"/>
          <w:w w:val="115"/>
        </w:rPr>
        <w:t> </w:t>
      </w:r>
      <w:r>
        <w:rPr>
          <w:spacing w:val="4"/>
          <w:w w:val="115"/>
        </w:rPr>
        <w:t>and</w:t>
      </w:r>
      <w:r>
        <w:rPr>
          <w:spacing w:val="26"/>
          <w:w w:val="115"/>
        </w:rPr>
        <w:t> </w:t>
      </w:r>
      <w:r>
        <w:rPr>
          <w:spacing w:val="4"/>
          <w:w w:val="115"/>
        </w:rPr>
        <w:t>has</w:t>
      </w:r>
      <w:r>
        <w:rPr>
          <w:spacing w:val="26"/>
          <w:w w:val="115"/>
        </w:rPr>
        <w:t> </w:t>
      </w:r>
      <w:r>
        <w:rPr>
          <w:spacing w:val="5"/>
          <w:w w:val="115"/>
        </w:rPr>
        <w:t>been</w:t>
      </w:r>
      <w:r>
        <w:rPr>
          <w:spacing w:val="26"/>
          <w:w w:val="115"/>
        </w:rPr>
        <w:t> </w:t>
      </w:r>
      <w:r>
        <w:rPr>
          <w:spacing w:val="4"/>
          <w:w w:val="115"/>
        </w:rPr>
        <w:t>displayed</w:t>
      </w:r>
      <w:r>
        <w:rPr>
          <w:spacing w:val="26"/>
          <w:w w:val="115"/>
        </w:rPr>
        <w:t> </w:t>
      </w:r>
      <w:r>
        <w:rPr>
          <w:spacing w:val="3"/>
          <w:w w:val="115"/>
        </w:rPr>
        <w:t>on</w:t>
      </w:r>
      <w:r>
        <w:rPr>
          <w:spacing w:val="26"/>
          <w:w w:val="115"/>
        </w:rPr>
        <w:t> </w:t>
      </w:r>
      <w:r>
        <w:rPr>
          <w:spacing w:val="4"/>
          <w:w w:val="115"/>
        </w:rPr>
        <w:t>the</w:t>
      </w:r>
      <w:r>
        <w:rPr>
          <w:spacing w:val="26"/>
          <w:w w:val="115"/>
        </w:rPr>
        <w:t> </w:t>
      </w:r>
      <w:r>
        <w:rPr>
          <w:spacing w:val="4"/>
          <w:w w:val="115"/>
        </w:rPr>
        <w:t>walls</w:t>
      </w:r>
      <w:r>
        <w:rPr>
          <w:spacing w:val="26"/>
          <w:w w:val="115"/>
        </w:rPr>
        <w:t> </w:t>
      </w:r>
      <w:r>
        <w:rPr>
          <w:spacing w:val="2"/>
          <w:w w:val="115"/>
        </w:rPr>
        <w:t>in</w:t>
      </w:r>
      <w:r>
        <w:rPr>
          <w:spacing w:val="26"/>
          <w:w w:val="115"/>
        </w:rPr>
        <w:t> </w:t>
      </w:r>
      <w:r>
        <w:rPr>
          <w:spacing w:val="4"/>
          <w:w w:val="115"/>
        </w:rPr>
        <w:t>the</w:t>
      </w:r>
      <w:r>
        <w:rPr>
          <w:spacing w:val="26"/>
          <w:w w:val="115"/>
        </w:rPr>
        <w:t> </w:t>
      </w:r>
      <w:r>
        <w:rPr>
          <w:spacing w:val="4"/>
          <w:w w:val="115"/>
        </w:rPr>
        <w:t>church</w:t>
      </w:r>
      <w:r>
        <w:rPr>
          <w:spacing w:val="26"/>
          <w:w w:val="115"/>
        </w:rPr>
        <w:t> </w:t>
      </w:r>
      <w:r>
        <w:rPr>
          <w:spacing w:val="4"/>
          <w:w w:val="115"/>
        </w:rPr>
        <w:t>hall.</w:t>
      </w:r>
    </w:p>
    <w:p>
      <w:pPr>
        <w:pStyle w:val="BodyText"/>
        <w:spacing w:before="10"/>
        <w:rPr>
          <w:sz w:val="19"/>
        </w:rPr>
      </w:pPr>
    </w:p>
    <w:p>
      <w:pPr>
        <w:pStyle w:val="BodyText"/>
        <w:spacing w:line="235" w:lineRule="auto"/>
        <w:ind w:left="1588" w:right="2191" w:hanging="1"/>
      </w:pPr>
      <w:r>
        <w:rPr>
          <w:spacing w:val="5"/>
          <w:w w:val="115"/>
        </w:rPr>
        <w:t>During </w:t>
      </w:r>
      <w:r>
        <w:rPr>
          <w:spacing w:val="7"/>
          <w:w w:val="115"/>
        </w:rPr>
        <w:t>February </w:t>
      </w:r>
      <w:r>
        <w:rPr>
          <w:spacing w:val="2"/>
          <w:w w:val="115"/>
        </w:rPr>
        <w:t>we </w:t>
      </w:r>
      <w:r>
        <w:rPr>
          <w:spacing w:val="4"/>
          <w:w w:val="115"/>
        </w:rPr>
        <w:t>will </w:t>
      </w:r>
      <w:r>
        <w:rPr>
          <w:spacing w:val="5"/>
          <w:w w:val="115"/>
        </w:rPr>
        <w:t>look </w:t>
      </w:r>
      <w:r>
        <w:rPr>
          <w:spacing w:val="2"/>
          <w:w w:val="115"/>
        </w:rPr>
        <w:t>at </w:t>
      </w:r>
      <w:r>
        <w:rPr>
          <w:spacing w:val="4"/>
          <w:w w:val="115"/>
        </w:rPr>
        <w:t>the </w:t>
      </w:r>
      <w:r>
        <w:rPr>
          <w:spacing w:val="6"/>
          <w:w w:val="115"/>
        </w:rPr>
        <w:t>tradition </w:t>
      </w:r>
      <w:r>
        <w:rPr>
          <w:spacing w:val="3"/>
          <w:w w:val="115"/>
        </w:rPr>
        <w:t>of </w:t>
      </w:r>
      <w:r>
        <w:rPr>
          <w:spacing w:val="4"/>
          <w:w w:val="115"/>
        </w:rPr>
        <w:t>using </w:t>
      </w:r>
      <w:r>
        <w:rPr>
          <w:spacing w:val="5"/>
          <w:w w:val="115"/>
        </w:rPr>
        <w:t>prayer beads, rosaries </w:t>
      </w:r>
      <w:r>
        <w:rPr>
          <w:spacing w:val="2"/>
          <w:w w:val="115"/>
        </w:rPr>
        <w:t>etc </w:t>
      </w:r>
      <w:r>
        <w:rPr>
          <w:spacing w:val="4"/>
          <w:w w:val="115"/>
        </w:rPr>
        <w:t>and </w:t>
      </w:r>
      <w:r>
        <w:rPr>
          <w:spacing w:val="5"/>
          <w:w w:val="115"/>
        </w:rPr>
        <w:t>then </w:t>
      </w:r>
      <w:r>
        <w:rPr>
          <w:spacing w:val="4"/>
          <w:w w:val="115"/>
        </w:rPr>
        <w:t>make </w:t>
      </w:r>
      <w:r>
        <w:rPr>
          <w:w w:val="115"/>
        </w:rPr>
        <w:t>a </w:t>
      </w:r>
      <w:r>
        <w:rPr>
          <w:spacing w:val="5"/>
          <w:w w:val="115"/>
        </w:rPr>
        <w:t>prayer bead bracelet where </w:t>
      </w:r>
      <w:r>
        <w:rPr>
          <w:spacing w:val="4"/>
          <w:w w:val="115"/>
        </w:rPr>
        <w:t>each </w:t>
      </w:r>
      <w:r>
        <w:rPr>
          <w:spacing w:val="5"/>
          <w:w w:val="115"/>
        </w:rPr>
        <w:t>bead </w:t>
      </w:r>
      <w:r>
        <w:rPr>
          <w:spacing w:val="6"/>
          <w:w w:val="115"/>
        </w:rPr>
        <w:t>represents </w:t>
      </w:r>
      <w:r>
        <w:rPr>
          <w:spacing w:val="5"/>
          <w:w w:val="115"/>
        </w:rPr>
        <w:t>something special </w:t>
      </w:r>
      <w:r>
        <w:rPr>
          <w:w w:val="115"/>
        </w:rPr>
        <w:t>to </w:t>
      </w:r>
      <w:r>
        <w:rPr>
          <w:spacing w:val="4"/>
          <w:w w:val="115"/>
        </w:rPr>
        <w:t>the</w:t>
      </w:r>
      <w:r>
        <w:rPr>
          <w:spacing w:val="-3"/>
          <w:w w:val="115"/>
        </w:rPr>
        <w:t> </w:t>
      </w:r>
      <w:r>
        <w:rPr>
          <w:spacing w:val="6"/>
          <w:w w:val="115"/>
        </w:rPr>
        <w:t>person.</w:t>
      </w:r>
    </w:p>
    <w:p>
      <w:pPr>
        <w:pStyle w:val="BodyText"/>
        <w:rPr>
          <w:sz w:val="24"/>
        </w:rPr>
      </w:pPr>
    </w:p>
    <w:p>
      <w:pPr>
        <w:pStyle w:val="ListParagraph"/>
        <w:numPr>
          <w:ilvl w:val="1"/>
          <w:numId w:val="52"/>
        </w:numPr>
        <w:tabs>
          <w:tab w:pos="1815" w:val="left" w:leader="none"/>
          <w:tab w:pos="1816" w:val="left" w:leader="none"/>
        </w:tabs>
        <w:spacing w:line="240" w:lineRule="auto" w:before="185" w:after="0"/>
        <w:ind w:left="1815" w:right="0" w:hanging="681"/>
        <w:jc w:val="left"/>
        <w:rPr>
          <w:sz w:val="20"/>
        </w:rPr>
      </w:pPr>
      <w:r>
        <w:rPr>
          <w:spacing w:val="-4"/>
          <w:w w:val="120"/>
          <w:sz w:val="20"/>
        </w:rPr>
        <w:t>24-7</w:t>
      </w:r>
      <w:r>
        <w:rPr>
          <w:spacing w:val="1"/>
          <w:w w:val="120"/>
          <w:sz w:val="20"/>
        </w:rPr>
        <w:t> </w:t>
      </w:r>
      <w:r>
        <w:rPr>
          <w:w w:val="120"/>
          <w:sz w:val="20"/>
        </w:rPr>
        <w:t>Prayer</w:t>
      </w:r>
    </w:p>
    <w:p>
      <w:pPr>
        <w:pStyle w:val="BodyText"/>
        <w:spacing w:before="10"/>
        <w:rPr>
          <w:sz w:val="17"/>
        </w:rPr>
      </w:pPr>
    </w:p>
    <w:p>
      <w:pPr>
        <w:pStyle w:val="BodyText"/>
        <w:spacing w:line="211" w:lineRule="auto" w:before="1"/>
        <w:ind w:left="1133" w:right="2084" w:firstLine="1"/>
      </w:pPr>
      <w:r>
        <w:rPr>
          <w:w w:val="120"/>
        </w:rPr>
        <w:t>Holy Week was the time chosen for a </w:t>
      </w:r>
      <w:r>
        <w:rPr>
          <w:spacing w:val="-4"/>
          <w:w w:val="120"/>
        </w:rPr>
        <w:t>24-7 </w:t>
      </w:r>
      <w:r>
        <w:rPr>
          <w:w w:val="120"/>
        </w:rPr>
        <w:t>prayer event for all </w:t>
      </w:r>
      <w:r>
        <w:rPr>
          <w:rFonts w:ascii="Arial Rounded MT Bold"/>
          <w:sz w:val="21"/>
        </w:rPr>
        <w:t>Vision4</w:t>
      </w:r>
      <w:r>
        <w:rPr>
          <w:rFonts w:ascii="Bradley Hand ITC"/>
          <w:color w:val="C20D19"/>
          <w:sz w:val="28"/>
        </w:rPr>
        <w:t>Life </w:t>
      </w:r>
      <w:r>
        <w:rPr>
          <w:w w:val="120"/>
        </w:rPr>
        <w:t>churches. For the first hour from </w:t>
      </w:r>
      <w:r>
        <w:rPr>
          <w:spacing w:val="-4"/>
          <w:w w:val="120"/>
        </w:rPr>
        <w:t>12.00-13.00 </w:t>
      </w:r>
      <w:r>
        <w:rPr>
          <w:w w:val="120"/>
        </w:rPr>
        <w:t>hours on Palm Sunday all churches were invited to join  in. The rest of the time was then available for churches to choose slots according to</w:t>
      </w:r>
      <w:r>
        <w:rPr>
          <w:spacing w:val="20"/>
          <w:w w:val="120"/>
        </w:rPr>
        <w:t> </w:t>
      </w:r>
      <w:r>
        <w:rPr>
          <w:w w:val="120"/>
        </w:rPr>
        <w:t>their</w:t>
      </w:r>
    </w:p>
    <w:p>
      <w:pPr>
        <w:pStyle w:val="BodyText"/>
        <w:spacing w:before="1"/>
        <w:ind w:left="1133"/>
      </w:pPr>
      <w:r>
        <w:rPr>
          <w:w w:val="120"/>
        </w:rPr>
        <w:t>local situation. Here is a response from the event:</w:t>
      </w:r>
    </w:p>
    <w:p>
      <w:pPr>
        <w:pStyle w:val="BodyText"/>
        <w:rPr>
          <w:sz w:val="24"/>
        </w:rPr>
      </w:pPr>
    </w:p>
    <w:p>
      <w:pPr>
        <w:pStyle w:val="BodyText"/>
        <w:spacing w:line="235" w:lineRule="auto" w:before="187"/>
        <w:ind w:left="1587" w:right="2394"/>
      </w:pPr>
      <w:r>
        <w:rPr>
          <w:w w:val="115"/>
        </w:rPr>
        <w:t>We </w:t>
      </w:r>
      <w:r>
        <w:rPr>
          <w:spacing w:val="4"/>
          <w:w w:val="115"/>
        </w:rPr>
        <w:t>had </w:t>
      </w:r>
      <w:r>
        <w:rPr>
          <w:w w:val="115"/>
        </w:rPr>
        <w:t>a  </w:t>
      </w:r>
      <w:r>
        <w:rPr>
          <w:spacing w:val="2"/>
          <w:w w:val="115"/>
        </w:rPr>
        <w:t>‘quiet  </w:t>
      </w:r>
      <w:r>
        <w:rPr>
          <w:spacing w:val="4"/>
          <w:w w:val="115"/>
        </w:rPr>
        <w:t>time’ </w:t>
      </w:r>
      <w:r>
        <w:rPr>
          <w:spacing w:val="3"/>
          <w:w w:val="115"/>
        </w:rPr>
        <w:t>of </w:t>
      </w:r>
      <w:r>
        <w:rPr>
          <w:spacing w:val="5"/>
          <w:w w:val="115"/>
        </w:rPr>
        <w:t>prayer </w:t>
      </w:r>
      <w:r>
        <w:rPr>
          <w:spacing w:val="7"/>
          <w:w w:val="115"/>
        </w:rPr>
        <w:t>starting </w:t>
      </w:r>
      <w:r>
        <w:rPr>
          <w:spacing w:val="2"/>
          <w:w w:val="115"/>
        </w:rPr>
        <w:t>at  </w:t>
      </w:r>
      <w:r>
        <w:rPr>
          <w:w w:val="115"/>
        </w:rPr>
        <w:t>12.00  </w:t>
      </w:r>
      <w:r>
        <w:rPr>
          <w:spacing w:val="3"/>
          <w:w w:val="115"/>
        </w:rPr>
        <w:t>on </w:t>
      </w:r>
      <w:r>
        <w:rPr>
          <w:spacing w:val="4"/>
          <w:w w:val="115"/>
        </w:rPr>
        <w:t>the </w:t>
      </w:r>
      <w:r>
        <w:rPr>
          <w:spacing w:val="6"/>
          <w:w w:val="115"/>
        </w:rPr>
        <w:t>first </w:t>
      </w:r>
      <w:r>
        <w:rPr>
          <w:w w:val="115"/>
        </w:rPr>
        <w:t>day.  </w:t>
      </w:r>
      <w:r>
        <w:rPr>
          <w:spacing w:val="6"/>
          <w:w w:val="115"/>
        </w:rPr>
        <w:t>About </w:t>
      </w:r>
      <w:r>
        <w:rPr>
          <w:spacing w:val="-6"/>
          <w:w w:val="115"/>
        </w:rPr>
        <w:t>12  </w:t>
      </w:r>
      <w:r>
        <w:rPr>
          <w:spacing w:val="3"/>
          <w:w w:val="115"/>
        </w:rPr>
        <w:t>of </w:t>
      </w:r>
      <w:r>
        <w:rPr>
          <w:w w:val="115"/>
        </w:rPr>
        <w:t>us </w:t>
      </w:r>
      <w:r>
        <w:rPr>
          <w:spacing w:val="6"/>
          <w:w w:val="115"/>
        </w:rPr>
        <w:t>reflected </w:t>
      </w:r>
      <w:r>
        <w:rPr>
          <w:spacing w:val="3"/>
          <w:w w:val="115"/>
        </w:rPr>
        <w:t>on </w:t>
      </w:r>
      <w:r>
        <w:rPr>
          <w:spacing w:val="5"/>
          <w:w w:val="115"/>
        </w:rPr>
        <w:t>various </w:t>
      </w:r>
      <w:r>
        <w:rPr>
          <w:spacing w:val="6"/>
          <w:w w:val="115"/>
        </w:rPr>
        <w:t>prayers, </w:t>
      </w:r>
      <w:r>
        <w:rPr>
          <w:spacing w:val="4"/>
          <w:w w:val="115"/>
        </w:rPr>
        <w:t>which </w:t>
      </w:r>
      <w:r>
        <w:rPr>
          <w:spacing w:val="2"/>
          <w:w w:val="115"/>
        </w:rPr>
        <w:t>we </w:t>
      </w:r>
      <w:r>
        <w:rPr>
          <w:spacing w:val="4"/>
          <w:w w:val="115"/>
        </w:rPr>
        <w:t>had put </w:t>
      </w:r>
      <w:r>
        <w:rPr>
          <w:spacing w:val="3"/>
          <w:w w:val="115"/>
        </w:rPr>
        <w:t>on </w:t>
      </w:r>
      <w:r>
        <w:rPr>
          <w:w w:val="115"/>
        </w:rPr>
        <w:t>a </w:t>
      </w:r>
      <w:r>
        <w:rPr>
          <w:spacing w:val="5"/>
          <w:w w:val="115"/>
        </w:rPr>
        <w:t>table </w:t>
      </w:r>
      <w:r>
        <w:rPr>
          <w:spacing w:val="2"/>
          <w:w w:val="115"/>
        </w:rPr>
        <w:t>in </w:t>
      </w:r>
      <w:r>
        <w:rPr>
          <w:spacing w:val="4"/>
          <w:w w:val="115"/>
        </w:rPr>
        <w:t>the </w:t>
      </w:r>
      <w:r>
        <w:rPr>
          <w:spacing w:val="5"/>
          <w:w w:val="115"/>
        </w:rPr>
        <w:t>shape </w:t>
      </w:r>
      <w:r>
        <w:rPr>
          <w:spacing w:val="3"/>
          <w:w w:val="115"/>
        </w:rPr>
        <w:t>of</w:t>
      </w:r>
      <w:r>
        <w:rPr>
          <w:spacing w:val="9"/>
          <w:w w:val="115"/>
        </w:rPr>
        <w:t> </w:t>
      </w:r>
      <w:r>
        <w:rPr>
          <w:w w:val="115"/>
        </w:rPr>
        <w:t>a</w:t>
      </w:r>
    </w:p>
    <w:p>
      <w:pPr>
        <w:pStyle w:val="BodyText"/>
        <w:spacing w:line="235" w:lineRule="auto" w:before="1"/>
        <w:ind w:left="1587" w:right="2191"/>
      </w:pPr>
      <w:r>
        <w:rPr>
          <w:spacing w:val="4"/>
          <w:w w:val="115"/>
        </w:rPr>
        <w:t>cross. </w:t>
      </w:r>
      <w:r>
        <w:rPr>
          <w:spacing w:val="3"/>
          <w:w w:val="115"/>
        </w:rPr>
        <w:t>It </w:t>
      </w:r>
      <w:r>
        <w:rPr>
          <w:spacing w:val="5"/>
          <w:w w:val="115"/>
        </w:rPr>
        <w:t>seemed </w:t>
      </w:r>
      <w:r>
        <w:rPr>
          <w:w w:val="115"/>
        </w:rPr>
        <w:t>a </w:t>
      </w:r>
      <w:r>
        <w:rPr>
          <w:spacing w:val="7"/>
          <w:w w:val="115"/>
        </w:rPr>
        <w:t>wonderful </w:t>
      </w:r>
      <w:r>
        <w:rPr>
          <w:spacing w:val="4"/>
          <w:w w:val="115"/>
        </w:rPr>
        <w:t>hour </w:t>
      </w:r>
      <w:r>
        <w:rPr>
          <w:spacing w:val="3"/>
          <w:w w:val="115"/>
        </w:rPr>
        <w:t>of </w:t>
      </w:r>
      <w:r>
        <w:rPr>
          <w:spacing w:val="4"/>
          <w:w w:val="115"/>
        </w:rPr>
        <w:t>peace </w:t>
      </w:r>
      <w:r>
        <w:rPr>
          <w:spacing w:val="2"/>
          <w:w w:val="115"/>
        </w:rPr>
        <w:t>in </w:t>
      </w:r>
      <w:r>
        <w:rPr>
          <w:spacing w:val="4"/>
          <w:w w:val="115"/>
        </w:rPr>
        <w:t>our </w:t>
      </w:r>
      <w:r>
        <w:rPr>
          <w:spacing w:val="5"/>
          <w:w w:val="115"/>
        </w:rPr>
        <w:t>busy </w:t>
      </w:r>
      <w:r>
        <w:rPr>
          <w:spacing w:val="4"/>
          <w:w w:val="115"/>
        </w:rPr>
        <w:t>lives and </w:t>
      </w:r>
      <w:r>
        <w:rPr>
          <w:w w:val="115"/>
        </w:rPr>
        <w:t>I </w:t>
      </w:r>
      <w:r>
        <w:rPr>
          <w:spacing w:val="5"/>
          <w:w w:val="115"/>
        </w:rPr>
        <w:t>thought </w:t>
      </w:r>
      <w:r>
        <w:rPr>
          <w:spacing w:val="3"/>
          <w:w w:val="115"/>
        </w:rPr>
        <w:t>it </w:t>
      </w:r>
      <w:r>
        <w:rPr>
          <w:spacing w:val="4"/>
          <w:w w:val="115"/>
        </w:rPr>
        <w:t>was </w:t>
      </w:r>
      <w:r>
        <w:rPr>
          <w:spacing w:val="7"/>
          <w:w w:val="115"/>
        </w:rPr>
        <w:t>powerful </w:t>
      </w:r>
      <w:r>
        <w:rPr>
          <w:w w:val="115"/>
        </w:rPr>
        <w:t>to </w:t>
      </w:r>
      <w:r>
        <w:rPr>
          <w:spacing w:val="4"/>
          <w:w w:val="115"/>
        </w:rPr>
        <w:t>think </w:t>
      </w:r>
      <w:r>
        <w:rPr>
          <w:spacing w:val="3"/>
          <w:w w:val="115"/>
        </w:rPr>
        <w:t>of all  </w:t>
      </w:r>
      <w:r>
        <w:rPr>
          <w:spacing w:val="4"/>
          <w:w w:val="115"/>
        </w:rPr>
        <w:t>the </w:t>
      </w:r>
      <w:r>
        <w:rPr>
          <w:spacing w:val="5"/>
          <w:w w:val="115"/>
        </w:rPr>
        <w:t>other churches </w:t>
      </w:r>
      <w:r>
        <w:rPr>
          <w:spacing w:val="4"/>
          <w:w w:val="115"/>
        </w:rPr>
        <w:t>that were </w:t>
      </w:r>
      <w:r>
        <w:rPr>
          <w:spacing w:val="5"/>
          <w:w w:val="115"/>
        </w:rPr>
        <w:t>doing something </w:t>
      </w:r>
      <w:r>
        <w:rPr>
          <w:spacing w:val="4"/>
          <w:w w:val="115"/>
        </w:rPr>
        <w:t>similar </w:t>
      </w:r>
      <w:r>
        <w:rPr>
          <w:spacing w:val="2"/>
          <w:w w:val="115"/>
        </w:rPr>
        <w:t>at </w:t>
      </w:r>
      <w:r>
        <w:rPr>
          <w:spacing w:val="56"/>
          <w:w w:val="115"/>
        </w:rPr>
        <w:t> </w:t>
      </w:r>
      <w:r>
        <w:rPr>
          <w:spacing w:val="4"/>
          <w:w w:val="115"/>
        </w:rPr>
        <w:t>the </w:t>
      </w:r>
      <w:r>
        <w:rPr>
          <w:spacing w:val="5"/>
          <w:w w:val="115"/>
        </w:rPr>
        <w:t>same</w:t>
      </w:r>
      <w:r>
        <w:rPr>
          <w:spacing w:val="31"/>
          <w:w w:val="115"/>
        </w:rPr>
        <w:t> </w:t>
      </w:r>
      <w:r>
        <w:rPr>
          <w:spacing w:val="4"/>
          <w:w w:val="115"/>
        </w:rPr>
        <w:t>time.</w:t>
      </w:r>
    </w:p>
    <w:p>
      <w:pPr>
        <w:spacing w:after="0" w:line="235" w:lineRule="auto"/>
        <w:sectPr>
          <w:headerReference w:type="even" r:id="rId106"/>
          <w:footerReference w:type="even" r:id="rId107"/>
          <w:footerReference w:type="default" r:id="rId108"/>
          <w:pgSz w:w="11910" w:h="16840"/>
          <w:pgMar w:header="0" w:footer="724" w:top="0" w:bottom="920" w:left="0" w:right="0"/>
          <w:pgNumType w:start="32"/>
        </w:sectPr>
      </w:pPr>
    </w:p>
    <w:tbl>
      <w:tblPr>
        <w:tblW w:w="0" w:type="auto"/>
        <w:jc w:val="left"/>
        <w:tblInd w:w="1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3"/>
        <w:gridCol w:w="9241"/>
      </w:tblGrid>
      <w:tr>
        <w:trPr>
          <w:trHeight w:val="2797" w:hRule="atLeast"/>
        </w:trPr>
        <w:tc>
          <w:tcPr>
            <w:tcW w:w="373" w:type="dxa"/>
            <w:tcBorders>
              <w:bottom w:val="single" w:sz="8" w:space="0" w:color="F5E1D6"/>
              <w:right w:val="dotted" w:sz="8" w:space="0" w:color="868685"/>
            </w:tcBorders>
          </w:tcPr>
          <w:p>
            <w:pPr>
              <w:pStyle w:val="TableParagraph"/>
              <w:rPr>
                <w:rFonts w:ascii="Times New Roman"/>
                <w:sz w:val="20"/>
              </w:rPr>
            </w:pPr>
          </w:p>
        </w:tc>
        <w:tc>
          <w:tcPr>
            <w:tcW w:w="9241" w:type="dxa"/>
            <w:tcBorders>
              <w:left w:val="dotted" w:sz="8" w:space="0" w:color="868685"/>
              <w:bottom w:val="single" w:sz="8" w:space="0" w:color="F5E1D6"/>
            </w:tcBorders>
          </w:tcPr>
          <w:p>
            <w:pPr>
              <w:pStyle w:val="TableParagraph"/>
              <w:numPr>
                <w:ilvl w:val="0"/>
                <w:numId w:val="53"/>
              </w:numPr>
              <w:tabs>
                <w:tab w:pos="960" w:val="left" w:leader="none"/>
                <w:tab w:pos="961" w:val="left" w:leader="none"/>
              </w:tabs>
              <w:spacing w:line="240" w:lineRule="auto" w:before="200" w:after="0"/>
              <w:ind w:left="960" w:right="0" w:hanging="721"/>
              <w:jc w:val="left"/>
              <w:rPr>
                <w:rFonts w:ascii="Stone Sans II ITC Std Bk"/>
                <w:b/>
                <w:sz w:val="21"/>
              </w:rPr>
            </w:pPr>
            <w:r>
              <w:rPr>
                <w:rFonts w:ascii="Stone Sans II ITC Std Bk"/>
                <w:b/>
                <w:color w:val="C20D19"/>
                <w:w w:val="115"/>
                <w:sz w:val="21"/>
              </w:rPr>
              <w:t>Looking ahead to Evangelism</w:t>
            </w:r>
            <w:r>
              <w:rPr>
                <w:rFonts w:ascii="Stone Sans II ITC Std Bk"/>
                <w:b/>
                <w:color w:val="C20D19"/>
                <w:spacing w:val="-8"/>
                <w:w w:val="115"/>
                <w:sz w:val="21"/>
              </w:rPr>
              <w:t> </w:t>
            </w:r>
            <w:r>
              <w:rPr>
                <w:rFonts w:ascii="Stone Sans II ITC Std Bk"/>
                <w:b/>
                <w:color w:val="C20D19"/>
                <w:spacing w:val="-4"/>
                <w:w w:val="115"/>
                <w:sz w:val="21"/>
              </w:rPr>
              <w:t>Year</w:t>
            </w:r>
          </w:p>
          <w:p>
            <w:pPr>
              <w:pStyle w:val="TableParagraph"/>
              <w:spacing w:before="11"/>
              <w:rPr>
                <w:sz w:val="20"/>
              </w:rPr>
            </w:pPr>
          </w:p>
          <w:p>
            <w:pPr>
              <w:pStyle w:val="TableParagraph"/>
              <w:numPr>
                <w:ilvl w:val="1"/>
                <w:numId w:val="53"/>
              </w:numPr>
              <w:tabs>
                <w:tab w:pos="920" w:val="left" w:leader="none"/>
                <w:tab w:pos="921" w:val="left" w:leader="none"/>
              </w:tabs>
              <w:spacing w:line="194" w:lineRule="auto" w:before="0" w:after="0"/>
              <w:ind w:left="240" w:right="306" w:firstLine="0"/>
              <w:jc w:val="left"/>
              <w:rPr>
                <w:sz w:val="20"/>
              </w:rPr>
            </w:pPr>
            <w:r>
              <w:rPr>
                <w:w w:val="120"/>
                <w:sz w:val="20"/>
              </w:rPr>
              <w:t>What do you understand by evangelism? This was the question with which the preparation</w:t>
            </w:r>
            <w:r>
              <w:rPr>
                <w:spacing w:val="-20"/>
                <w:w w:val="120"/>
                <w:sz w:val="20"/>
              </w:rPr>
              <w:t> </w:t>
            </w:r>
            <w:r>
              <w:rPr>
                <w:w w:val="120"/>
                <w:sz w:val="20"/>
              </w:rPr>
              <w:t>for</w:t>
            </w:r>
            <w:r>
              <w:rPr>
                <w:spacing w:val="-20"/>
                <w:w w:val="120"/>
                <w:sz w:val="20"/>
              </w:rPr>
              <w:t> </w:t>
            </w:r>
            <w:r>
              <w:rPr>
                <w:w w:val="120"/>
                <w:sz w:val="20"/>
              </w:rPr>
              <w:t>the</w:t>
            </w:r>
            <w:r>
              <w:rPr>
                <w:spacing w:val="-19"/>
                <w:w w:val="120"/>
                <w:sz w:val="20"/>
              </w:rPr>
              <w:t> </w:t>
            </w:r>
            <w:r>
              <w:rPr>
                <w:w w:val="120"/>
                <w:sz w:val="20"/>
              </w:rPr>
              <w:t>third</w:t>
            </w:r>
            <w:r>
              <w:rPr>
                <w:spacing w:val="-20"/>
                <w:w w:val="120"/>
                <w:sz w:val="20"/>
              </w:rPr>
              <w:t> </w:t>
            </w:r>
            <w:r>
              <w:rPr>
                <w:w w:val="120"/>
                <w:sz w:val="20"/>
              </w:rPr>
              <w:t>and</w:t>
            </w:r>
            <w:r>
              <w:rPr>
                <w:spacing w:val="-19"/>
                <w:w w:val="120"/>
                <w:sz w:val="20"/>
              </w:rPr>
              <w:t> </w:t>
            </w:r>
            <w:r>
              <w:rPr>
                <w:w w:val="120"/>
                <w:sz w:val="20"/>
              </w:rPr>
              <w:t>final</w:t>
            </w:r>
            <w:r>
              <w:rPr>
                <w:spacing w:val="-20"/>
                <w:w w:val="120"/>
                <w:sz w:val="20"/>
              </w:rPr>
              <w:t> </w:t>
            </w:r>
            <w:r>
              <w:rPr>
                <w:w w:val="120"/>
                <w:sz w:val="20"/>
              </w:rPr>
              <w:t>year</w:t>
            </w:r>
            <w:r>
              <w:rPr>
                <w:spacing w:val="-20"/>
                <w:w w:val="120"/>
                <w:sz w:val="20"/>
              </w:rPr>
              <w:t> </w:t>
            </w:r>
            <w:r>
              <w:rPr>
                <w:w w:val="120"/>
                <w:sz w:val="20"/>
              </w:rPr>
              <w:t>of</w:t>
            </w:r>
            <w:r>
              <w:rPr>
                <w:spacing w:val="-19"/>
                <w:w w:val="120"/>
                <w:sz w:val="20"/>
              </w:rPr>
              <w:t> </w:t>
            </w:r>
            <w:r>
              <w:rPr>
                <w:rFonts w:ascii="Arial Rounded MT Bold"/>
                <w:sz w:val="21"/>
              </w:rPr>
              <w:t>Vision4</w:t>
            </w:r>
            <w:r>
              <w:rPr>
                <w:rFonts w:ascii="Bradley Hand ITC"/>
                <w:color w:val="C20D19"/>
                <w:sz w:val="28"/>
              </w:rPr>
              <w:t>Life</w:t>
            </w:r>
            <w:r>
              <w:rPr>
                <w:rFonts w:ascii="Bradley Hand ITC"/>
                <w:color w:val="C20D19"/>
                <w:spacing w:val="-41"/>
                <w:sz w:val="28"/>
              </w:rPr>
              <w:t> </w:t>
            </w:r>
            <w:r>
              <w:rPr>
                <w:w w:val="120"/>
                <w:sz w:val="20"/>
              </w:rPr>
              <w:t>began.</w:t>
            </w:r>
            <w:r>
              <w:rPr>
                <w:spacing w:val="-20"/>
                <w:w w:val="120"/>
                <w:sz w:val="20"/>
              </w:rPr>
              <w:t> </w:t>
            </w:r>
            <w:r>
              <w:rPr>
                <w:w w:val="120"/>
                <w:sz w:val="20"/>
              </w:rPr>
              <w:t>It</w:t>
            </w:r>
            <w:r>
              <w:rPr>
                <w:spacing w:val="-19"/>
                <w:w w:val="120"/>
                <w:sz w:val="20"/>
              </w:rPr>
              <w:t> </w:t>
            </w:r>
            <w:r>
              <w:rPr>
                <w:w w:val="120"/>
                <w:sz w:val="20"/>
              </w:rPr>
              <w:t>seems</w:t>
            </w:r>
            <w:r>
              <w:rPr>
                <w:spacing w:val="-20"/>
                <w:w w:val="120"/>
                <w:sz w:val="20"/>
              </w:rPr>
              <w:t> </w:t>
            </w:r>
            <w:r>
              <w:rPr>
                <w:w w:val="120"/>
                <w:sz w:val="20"/>
              </w:rPr>
              <w:t>that</w:t>
            </w:r>
            <w:r>
              <w:rPr>
                <w:spacing w:val="-20"/>
                <w:w w:val="120"/>
                <w:sz w:val="20"/>
              </w:rPr>
              <w:t> </w:t>
            </w:r>
            <w:r>
              <w:rPr>
                <w:w w:val="120"/>
                <w:sz w:val="20"/>
              </w:rPr>
              <w:t>some</w:t>
            </w:r>
            <w:r>
              <w:rPr>
                <w:spacing w:val="-19"/>
                <w:w w:val="120"/>
                <w:sz w:val="20"/>
              </w:rPr>
              <w:t> </w:t>
            </w:r>
            <w:r>
              <w:rPr>
                <w:w w:val="120"/>
                <w:sz w:val="20"/>
              </w:rPr>
              <w:t>would-be participants</w:t>
            </w:r>
            <w:r>
              <w:rPr>
                <w:spacing w:val="5"/>
                <w:w w:val="120"/>
                <w:sz w:val="20"/>
              </w:rPr>
              <w:t> </w:t>
            </w:r>
            <w:r>
              <w:rPr>
                <w:w w:val="120"/>
                <w:sz w:val="20"/>
              </w:rPr>
              <w:t>find</w:t>
            </w:r>
            <w:r>
              <w:rPr>
                <w:spacing w:val="6"/>
                <w:w w:val="120"/>
                <w:sz w:val="20"/>
              </w:rPr>
              <w:t> </w:t>
            </w:r>
            <w:r>
              <w:rPr>
                <w:w w:val="120"/>
                <w:sz w:val="20"/>
              </w:rPr>
              <w:t>the</w:t>
            </w:r>
            <w:r>
              <w:rPr>
                <w:spacing w:val="5"/>
                <w:w w:val="120"/>
                <w:sz w:val="20"/>
              </w:rPr>
              <w:t> </w:t>
            </w:r>
            <w:r>
              <w:rPr>
                <w:w w:val="120"/>
                <w:sz w:val="20"/>
              </w:rPr>
              <w:t>idea</w:t>
            </w:r>
            <w:r>
              <w:rPr>
                <w:spacing w:val="6"/>
                <w:w w:val="120"/>
                <w:sz w:val="20"/>
              </w:rPr>
              <w:t> </w:t>
            </w:r>
            <w:r>
              <w:rPr>
                <w:w w:val="120"/>
                <w:sz w:val="20"/>
              </w:rPr>
              <w:t>of</w:t>
            </w:r>
            <w:r>
              <w:rPr>
                <w:spacing w:val="6"/>
                <w:w w:val="120"/>
                <w:sz w:val="20"/>
              </w:rPr>
              <w:t> </w:t>
            </w:r>
            <w:r>
              <w:rPr>
                <w:w w:val="120"/>
                <w:sz w:val="20"/>
              </w:rPr>
              <w:t>Evangelism</w:t>
            </w:r>
            <w:r>
              <w:rPr>
                <w:spacing w:val="5"/>
                <w:w w:val="120"/>
                <w:sz w:val="20"/>
              </w:rPr>
              <w:t> </w:t>
            </w:r>
            <w:r>
              <w:rPr>
                <w:spacing w:val="-4"/>
                <w:w w:val="120"/>
                <w:sz w:val="20"/>
              </w:rPr>
              <w:t>Year</w:t>
            </w:r>
            <w:r>
              <w:rPr>
                <w:spacing w:val="6"/>
                <w:w w:val="120"/>
                <w:sz w:val="20"/>
              </w:rPr>
              <w:t> </w:t>
            </w:r>
            <w:r>
              <w:rPr>
                <w:w w:val="120"/>
                <w:sz w:val="20"/>
              </w:rPr>
              <w:t>the</w:t>
            </w:r>
            <w:r>
              <w:rPr>
                <w:spacing w:val="6"/>
                <w:w w:val="120"/>
                <w:sz w:val="20"/>
              </w:rPr>
              <w:t> </w:t>
            </w:r>
            <w:r>
              <w:rPr>
                <w:w w:val="120"/>
                <w:sz w:val="20"/>
              </w:rPr>
              <w:t>most</w:t>
            </w:r>
            <w:r>
              <w:rPr>
                <w:spacing w:val="5"/>
                <w:w w:val="120"/>
                <w:sz w:val="20"/>
              </w:rPr>
              <w:t> </w:t>
            </w:r>
            <w:r>
              <w:rPr>
                <w:w w:val="120"/>
                <w:sz w:val="20"/>
              </w:rPr>
              <w:t>challenging</w:t>
            </w:r>
            <w:r>
              <w:rPr>
                <w:spacing w:val="6"/>
                <w:w w:val="120"/>
                <w:sz w:val="20"/>
              </w:rPr>
              <w:t> </w:t>
            </w:r>
            <w:r>
              <w:rPr>
                <w:w w:val="120"/>
                <w:sz w:val="20"/>
              </w:rPr>
              <w:t>and</w:t>
            </w:r>
            <w:r>
              <w:rPr>
                <w:spacing w:val="6"/>
                <w:w w:val="120"/>
                <w:sz w:val="20"/>
              </w:rPr>
              <w:t> </w:t>
            </w:r>
            <w:r>
              <w:rPr>
                <w:w w:val="120"/>
                <w:sz w:val="20"/>
              </w:rPr>
              <w:t>perhaps</w:t>
            </w:r>
            <w:r>
              <w:rPr>
                <w:spacing w:val="5"/>
                <w:w w:val="120"/>
                <w:sz w:val="20"/>
              </w:rPr>
              <w:t> </w:t>
            </w:r>
            <w:r>
              <w:rPr>
                <w:w w:val="120"/>
                <w:sz w:val="20"/>
              </w:rPr>
              <w:t>the</w:t>
            </w:r>
            <w:r>
              <w:rPr>
                <w:spacing w:val="6"/>
                <w:w w:val="120"/>
                <w:sz w:val="20"/>
              </w:rPr>
              <w:t> </w:t>
            </w:r>
            <w:r>
              <w:rPr>
                <w:w w:val="120"/>
                <w:sz w:val="20"/>
              </w:rPr>
              <w:t>least</w:t>
            </w:r>
          </w:p>
          <w:p>
            <w:pPr>
              <w:pStyle w:val="TableParagraph"/>
              <w:spacing w:line="235" w:lineRule="auto" w:before="9"/>
              <w:ind w:left="240" w:right="275"/>
              <w:rPr>
                <w:sz w:val="20"/>
              </w:rPr>
            </w:pPr>
            <w:r>
              <w:rPr>
                <w:w w:val="120"/>
                <w:sz w:val="20"/>
              </w:rPr>
              <w:t>attractive. Evangelism has become equated with a range of unhelpful stereotypes which see it as an aggressive single-handed way of selling faith rather than a sensitive and collaborative form of sharing faith.</w:t>
            </w:r>
          </w:p>
          <w:p>
            <w:pPr>
              <w:pStyle w:val="TableParagraph"/>
              <w:spacing w:before="7"/>
              <w:rPr>
                <w:sz w:val="19"/>
              </w:rPr>
            </w:pPr>
          </w:p>
          <w:p>
            <w:pPr>
              <w:pStyle w:val="TableParagraph"/>
              <w:numPr>
                <w:ilvl w:val="1"/>
                <w:numId w:val="53"/>
              </w:numPr>
              <w:tabs>
                <w:tab w:pos="920" w:val="left" w:leader="none"/>
                <w:tab w:pos="921" w:val="left" w:leader="none"/>
              </w:tabs>
              <w:spacing w:line="240" w:lineRule="auto" w:before="0" w:after="0"/>
              <w:ind w:left="920" w:right="0" w:hanging="681"/>
              <w:jc w:val="left"/>
              <w:rPr>
                <w:sz w:val="20"/>
              </w:rPr>
            </w:pPr>
            <w:r>
              <w:rPr>
                <w:w w:val="120"/>
                <w:sz w:val="20"/>
              </w:rPr>
              <w:t>Let me tell</w:t>
            </w:r>
            <w:r>
              <w:rPr>
                <w:spacing w:val="6"/>
                <w:w w:val="120"/>
                <w:sz w:val="20"/>
              </w:rPr>
              <w:t> </w:t>
            </w:r>
            <w:r>
              <w:rPr>
                <w:w w:val="120"/>
                <w:sz w:val="20"/>
              </w:rPr>
              <w:t>you…</w:t>
            </w:r>
          </w:p>
        </w:tc>
      </w:tr>
      <w:tr>
        <w:trPr>
          <w:trHeight w:val="7083" w:hRule="atLeast"/>
        </w:trPr>
        <w:tc>
          <w:tcPr>
            <w:tcW w:w="9614" w:type="dxa"/>
            <w:gridSpan w:val="2"/>
            <w:tcBorders>
              <w:top w:val="single" w:sz="8" w:space="0" w:color="F5E1D6"/>
              <w:bottom w:val="single" w:sz="8" w:space="0" w:color="F5E1D6"/>
            </w:tcBorders>
          </w:tcPr>
          <w:p>
            <w:pPr>
              <w:pStyle w:val="TableParagraph"/>
              <w:spacing w:before="8"/>
              <w:rPr>
                <w:sz w:val="23"/>
              </w:rPr>
            </w:pPr>
          </w:p>
          <w:p>
            <w:pPr>
              <w:pStyle w:val="TableParagraph"/>
              <w:spacing w:line="235" w:lineRule="auto"/>
              <w:ind w:left="1076" w:right="302"/>
              <w:rPr>
                <w:sz w:val="20"/>
              </w:rPr>
            </w:pPr>
            <w:r>
              <w:rPr>
                <w:spacing w:val="4"/>
                <w:w w:val="120"/>
                <w:sz w:val="20"/>
              </w:rPr>
              <w:t>Welcome </w:t>
            </w:r>
            <w:r>
              <w:rPr>
                <w:w w:val="120"/>
                <w:sz w:val="20"/>
              </w:rPr>
              <w:t>is </w:t>
            </w:r>
            <w:r>
              <w:rPr>
                <w:spacing w:val="7"/>
                <w:w w:val="120"/>
                <w:sz w:val="20"/>
              </w:rPr>
              <w:t>very </w:t>
            </w:r>
            <w:r>
              <w:rPr>
                <w:spacing w:val="6"/>
                <w:w w:val="120"/>
                <w:sz w:val="20"/>
              </w:rPr>
              <w:t>important </w:t>
            </w:r>
            <w:r>
              <w:rPr>
                <w:spacing w:val="2"/>
                <w:w w:val="120"/>
                <w:sz w:val="20"/>
              </w:rPr>
              <w:t>at </w:t>
            </w:r>
            <w:r>
              <w:rPr>
                <w:spacing w:val="4"/>
                <w:w w:val="120"/>
                <w:sz w:val="20"/>
              </w:rPr>
              <w:t>our church. </w:t>
            </w:r>
            <w:r>
              <w:rPr>
                <w:spacing w:val="5"/>
                <w:w w:val="120"/>
                <w:sz w:val="20"/>
              </w:rPr>
              <w:t>Beryl’s </w:t>
            </w:r>
            <w:r>
              <w:rPr>
                <w:spacing w:val="6"/>
                <w:w w:val="120"/>
                <w:sz w:val="20"/>
              </w:rPr>
              <w:t>grand </w:t>
            </w:r>
            <w:r>
              <w:rPr>
                <w:spacing w:val="4"/>
                <w:w w:val="120"/>
                <w:sz w:val="20"/>
              </w:rPr>
              <w:t>daughter Anna has </w:t>
            </w:r>
            <w:r>
              <w:rPr>
                <w:w w:val="120"/>
                <w:sz w:val="20"/>
              </w:rPr>
              <w:t>a </w:t>
            </w:r>
            <w:r>
              <w:rPr>
                <w:spacing w:val="5"/>
                <w:w w:val="120"/>
                <w:sz w:val="20"/>
              </w:rPr>
              <w:t>badge saying </w:t>
            </w:r>
            <w:r>
              <w:rPr>
                <w:spacing w:val="6"/>
                <w:w w:val="120"/>
                <w:sz w:val="20"/>
              </w:rPr>
              <w:t>‘Little </w:t>
            </w:r>
            <w:r>
              <w:rPr>
                <w:spacing w:val="5"/>
                <w:w w:val="120"/>
                <w:sz w:val="20"/>
              </w:rPr>
              <w:t>Greeter’ </w:t>
            </w:r>
            <w:r>
              <w:rPr>
                <w:spacing w:val="4"/>
                <w:w w:val="120"/>
                <w:sz w:val="20"/>
              </w:rPr>
              <w:t>and she </w:t>
            </w:r>
            <w:r>
              <w:rPr>
                <w:spacing w:val="5"/>
                <w:w w:val="120"/>
                <w:sz w:val="20"/>
              </w:rPr>
              <w:t>wears </w:t>
            </w:r>
            <w:r>
              <w:rPr>
                <w:spacing w:val="3"/>
                <w:w w:val="120"/>
                <w:sz w:val="20"/>
              </w:rPr>
              <w:t>it </w:t>
            </w:r>
            <w:r>
              <w:rPr>
                <w:spacing w:val="5"/>
                <w:w w:val="120"/>
                <w:sz w:val="20"/>
              </w:rPr>
              <w:t>when </w:t>
            </w:r>
            <w:r>
              <w:rPr>
                <w:spacing w:val="4"/>
                <w:w w:val="120"/>
                <w:sz w:val="20"/>
              </w:rPr>
              <w:t>she </w:t>
            </w:r>
            <w:r>
              <w:rPr>
                <w:spacing w:val="6"/>
                <w:w w:val="120"/>
                <w:sz w:val="20"/>
              </w:rPr>
              <w:t>stands </w:t>
            </w:r>
            <w:r>
              <w:rPr>
                <w:spacing w:val="2"/>
                <w:w w:val="120"/>
                <w:sz w:val="20"/>
              </w:rPr>
              <w:t>at </w:t>
            </w:r>
            <w:r>
              <w:rPr>
                <w:spacing w:val="4"/>
                <w:w w:val="120"/>
                <w:sz w:val="20"/>
              </w:rPr>
              <w:t>the church </w:t>
            </w:r>
            <w:r>
              <w:rPr>
                <w:spacing w:val="5"/>
                <w:w w:val="120"/>
                <w:sz w:val="20"/>
              </w:rPr>
              <w:t>door with </w:t>
            </w:r>
            <w:r>
              <w:rPr>
                <w:spacing w:val="4"/>
                <w:w w:val="120"/>
                <w:sz w:val="20"/>
              </w:rPr>
              <w:t>her </w:t>
            </w:r>
            <w:r>
              <w:rPr>
                <w:spacing w:val="6"/>
                <w:w w:val="120"/>
                <w:sz w:val="20"/>
              </w:rPr>
              <w:t>Grandmother </w:t>
            </w:r>
            <w:r>
              <w:rPr>
                <w:spacing w:val="3"/>
                <w:w w:val="120"/>
                <w:sz w:val="20"/>
              </w:rPr>
              <w:t>on </w:t>
            </w:r>
            <w:r>
              <w:rPr>
                <w:spacing w:val="4"/>
                <w:w w:val="120"/>
                <w:sz w:val="20"/>
              </w:rPr>
              <w:t>Sunday </w:t>
            </w:r>
            <w:r>
              <w:rPr>
                <w:spacing w:val="5"/>
                <w:w w:val="120"/>
                <w:sz w:val="20"/>
              </w:rPr>
              <w:t>mornings. </w:t>
            </w:r>
            <w:r>
              <w:rPr>
                <w:spacing w:val="4"/>
                <w:w w:val="120"/>
                <w:sz w:val="20"/>
              </w:rPr>
              <w:t>She </w:t>
            </w:r>
            <w:r>
              <w:rPr>
                <w:w w:val="120"/>
                <w:sz w:val="20"/>
              </w:rPr>
              <w:t>is </w:t>
            </w:r>
            <w:r>
              <w:rPr>
                <w:spacing w:val="7"/>
                <w:w w:val="120"/>
                <w:sz w:val="20"/>
              </w:rPr>
              <w:t>very </w:t>
            </w:r>
            <w:r>
              <w:rPr>
                <w:spacing w:val="5"/>
                <w:w w:val="120"/>
                <w:sz w:val="20"/>
              </w:rPr>
              <w:t>enthusiastic about </w:t>
            </w:r>
            <w:r>
              <w:rPr>
                <w:spacing w:val="4"/>
                <w:w w:val="120"/>
                <w:sz w:val="20"/>
              </w:rPr>
              <w:t>her </w:t>
            </w:r>
            <w:r>
              <w:rPr>
                <w:spacing w:val="5"/>
                <w:w w:val="120"/>
                <w:sz w:val="20"/>
              </w:rPr>
              <w:t>role </w:t>
            </w:r>
            <w:r>
              <w:rPr>
                <w:spacing w:val="3"/>
                <w:w w:val="120"/>
                <w:sz w:val="20"/>
              </w:rPr>
              <w:t>as greeter. </w:t>
            </w:r>
            <w:r>
              <w:rPr>
                <w:spacing w:val="5"/>
                <w:w w:val="120"/>
                <w:sz w:val="20"/>
              </w:rPr>
              <w:t>When </w:t>
            </w:r>
            <w:r>
              <w:rPr>
                <w:spacing w:val="4"/>
                <w:w w:val="120"/>
                <w:sz w:val="20"/>
              </w:rPr>
              <w:t>she </w:t>
            </w:r>
            <w:r>
              <w:rPr>
                <w:spacing w:val="5"/>
                <w:w w:val="120"/>
                <w:sz w:val="20"/>
              </w:rPr>
              <w:t>sees </w:t>
            </w:r>
            <w:r>
              <w:rPr>
                <w:spacing w:val="4"/>
                <w:w w:val="120"/>
                <w:sz w:val="20"/>
              </w:rPr>
              <w:t>anyone coming </w:t>
            </w:r>
            <w:r>
              <w:rPr>
                <w:spacing w:val="2"/>
                <w:w w:val="120"/>
                <w:sz w:val="20"/>
              </w:rPr>
              <w:t>up </w:t>
            </w:r>
            <w:r>
              <w:rPr>
                <w:spacing w:val="4"/>
                <w:w w:val="120"/>
                <w:sz w:val="20"/>
              </w:rPr>
              <w:t>the path she says ‘There’s </w:t>
            </w:r>
            <w:r>
              <w:rPr>
                <w:spacing w:val="5"/>
                <w:w w:val="120"/>
                <w:sz w:val="20"/>
              </w:rPr>
              <w:t>another </w:t>
            </w:r>
            <w:r>
              <w:rPr>
                <w:spacing w:val="4"/>
                <w:w w:val="120"/>
                <w:sz w:val="20"/>
              </w:rPr>
              <w:t>new customer, </w:t>
            </w:r>
            <w:r>
              <w:rPr>
                <w:spacing w:val="3"/>
                <w:w w:val="120"/>
                <w:sz w:val="20"/>
              </w:rPr>
              <w:t>Grandma’, </w:t>
            </w:r>
            <w:r>
              <w:rPr>
                <w:spacing w:val="4"/>
                <w:w w:val="120"/>
                <w:sz w:val="20"/>
              </w:rPr>
              <w:t>and </w:t>
            </w:r>
            <w:r>
              <w:rPr>
                <w:spacing w:val="5"/>
                <w:w w:val="120"/>
                <w:sz w:val="20"/>
              </w:rPr>
              <w:t>rushes </w:t>
            </w:r>
            <w:r>
              <w:rPr>
                <w:spacing w:val="4"/>
                <w:w w:val="120"/>
                <w:sz w:val="20"/>
              </w:rPr>
              <w:t>down the path </w:t>
            </w:r>
            <w:r>
              <w:rPr>
                <w:w w:val="120"/>
                <w:sz w:val="20"/>
              </w:rPr>
              <w:t>to </w:t>
            </w:r>
            <w:r>
              <w:rPr>
                <w:spacing w:val="4"/>
                <w:w w:val="120"/>
                <w:sz w:val="20"/>
              </w:rPr>
              <w:t>welcome</w:t>
            </w:r>
            <w:r>
              <w:rPr>
                <w:spacing w:val="61"/>
                <w:w w:val="120"/>
                <w:sz w:val="20"/>
              </w:rPr>
              <w:t> </w:t>
            </w:r>
            <w:r>
              <w:rPr>
                <w:spacing w:val="5"/>
                <w:w w:val="120"/>
                <w:sz w:val="20"/>
              </w:rPr>
              <w:t>them.</w:t>
            </w:r>
          </w:p>
          <w:p>
            <w:pPr>
              <w:pStyle w:val="TableParagraph"/>
              <w:spacing w:before="11"/>
              <w:rPr>
                <w:sz w:val="19"/>
              </w:rPr>
            </w:pPr>
          </w:p>
          <w:p>
            <w:pPr>
              <w:pStyle w:val="TableParagraph"/>
              <w:spacing w:line="235" w:lineRule="auto" w:before="1"/>
              <w:ind w:left="1075" w:right="662"/>
              <w:rPr>
                <w:sz w:val="20"/>
              </w:rPr>
            </w:pPr>
            <w:r>
              <w:rPr>
                <w:spacing w:val="5"/>
                <w:w w:val="115"/>
                <w:sz w:val="20"/>
              </w:rPr>
              <w:t>For </w:t>
            </w:r>
            <w:r>
              <w:rPr>
                <w:w w:val="115"/>
                <w:sz w:val="20"/>
              </w:rPr>
              <w:t>my </w:t>
            </w:r>
            <w:r>
              <w:rPr>
                <w:spacing w:val="4"/>
                <w:w w:val="115"/>
                <w:sz w:val="20"/>
              </w:rPr>
              <w:t>area </w:t>
            </w:r>
            <w:r>
              <w:rPr>
                <w:spacing w:val="3"/>
                <w:w w:val="115"/>
                <w:sz w:val="20"/>
              </w:rPr>
              <w:t>of </w:t>
            </w:r>
            <w:r>
              <w:rPr>
                <w:spacing w:val="6"/>
                <w:w w:val="115"/>
                <w:sz w:val="20"/>
              </w:rPr>
              <w:t>service </w:t>
            </w:r>
            <w:r>
              <w:rPr>
                <w:spacing w:val="2"/>
                <w:w w:val="115"/>
                <w:sz w:val="20"/>
              </w:rPr>
              <w:t>in </w:t>
            </w:r>
            <w:r>
              <w:rPr>
                <w:spacing w:val="7"/>
                <w:w w:val="115"/>
                <w:sz w:val="20"/>
              </w:rPr>
              <w:t>TLS </w:t>
            </w:r>
            <w:r>
              <w:rPr>
                <w:w w:val="115"/>
                <w:sz w:val="20"/>
              </w:rPr>
              <w:t>I’m </w:t>
            </w:r>
            <w:r>
              <w:rPr>
                <w:spacing w:val="5"/>
                <w:w w:val="115"/>
                <w:sz w:val="20"/>
              </w:rPr>
              <w:t>going </w:t>
            </w:r>
            <w:r>
              <w:rPr>
                <w:w w:val="115"/>
                <w:sz w:val="20"/>
              </w:rPr>
              <w:t>to </w:t>
            </w:r>
            <w:r>
              <w:rPr>
                <w:spacing w:val="5"/>
                <w:w w:val="115"/>
                <w:sz w:val="20"/>
              </w:rPr>
              <w:t>become </w:t>
            </w:r>
            <w:r>
              <w:rPr>
                <w:w w:val="115"/>
                <w:sz w:val="20"/>
              </w:rPr>
              <w:t>a </w:t>
            </w:r>
            <w:r>
              <w:rPr>
                <w:spacing w:val="3"/>
                <w:w w:val="115"/>
                <w:sz w:val="20"/>
              </w:rPr>
              <w:t>link  </w:t>
            </w:r>
            <w:r>
              <w:rPr>
                <w:spacing w:val="6"/>
                <w:w w:val="115"/>
                <w:sz w:val="20"/>
              </w:rPr>
              <w:t>person </w:t>
            </w:r>
            <w:r>
              <w:rPr>
                <w:spacing w:val="4"/>
                <w:w w:val="115"/>
                <w:sz w:val="20"/>
              </w:rPr>
              <w:t>for  baptism  </w:t>
            </w:r>
            <w:r>
              <w:rPr>
                <w:spacing w:val="2"/>
                <w:w w:val="115"/>
                <w:sz w:val="20"/>
              </w:rPr>
              <w:t>in </w:t>
            </w:r>
            <w:r>
              <w:rPr>
                <w:spacing w:val="4"/>
                <w:w w:val="115"/>
                <w:sz w:val="20"/>
              </w:rPr>
              <w:t>our church. </w:t>
            </w:r>
            <w:r>
              <w:rPr>
                <w:spacing w:val="5"/>
                <w:w w:val="115"/>
                <w:sz w:val="20"/>
              </w:rPr>
              <w:t>When families </w:t>
            </w:r>
            <w:r>
              <w:rPr>
                <w:spacing w:val="4"/>
                <w:w w:val="115"/>
                <w:sz w:val="20"/>
              </w:rPr>
              <w:t>come for baptism </w:t>
            </w:r>
            <w:r>
              <w:rPr>
                <w:w w:val="115"/>
                <w:sz w:val="20"/>
              </w:rPr>
              <w:t>I  </w:t>
            </w:r>
            <w:r>
              <w:rPr>
                <w:spacing w:val="4"/>
                <w:w w:val="115"/>
                <w:sz w:val="20"/>
              </w:rPr>
              <w:t>will also meet </w:t>
            </w:r>
            <w:r>
              <w:rPr>
                <w:spacing w:val="5"/>
                <w:w w:val="115"/>
                <w:sz w:val="20"/>
              </w:rPr>
              <w:t>them </w:t>
            </w:r>
            <w:r>
              <w:rPr>
                <w:spacing w:val="4"/>
                <w:w w:val="115"/>
                <w:sz w:val="20"/>
              </w:rPr>
              <w:t>and </w:t>
            </w:r>
            <w:r>
              <w:rPr>
                <w:w w:val="115"/>
                <w:sz w:val="20"/>
              </w:rPr>
              <w:t>I  </w:t>
            </w:r>
            <w:r>
              <w:rPr>
                <w:spacing w:val="4"/>
                <w:w w:val="115"/>
                <w:sz w:val="20"/>
              </w:rPr>
              <w:t>will </w:t>
            </w:r>
            <w:r>
              <w:rPr>
                <w:spacing w:val="8"/>
                <w:w w:val="115"/>
                <w:sz w:val="20"/>
              </w:rPr>
              <w:t>try  </w:t>
            </w:r>
            <w:r>
              <w:rPr>
                <w:w w:val="115"/>
                <w:sz w:val="20"/>
              </w:rPr>
              <w:t>to </w:t>
            </w:r>
            <w:r>
              <w:rPr>
                <w:spacing w:val="4"/>
                <w:w w:val="115"/>
                <w:sz w:val="20"/>
              </w:rPr>
              <w:t>keep </w:t>
            </w:r>
            <w:r>
              <w:rPr>
                <w:spacing w:val="2"/>
                <w:w w:val="115"/>
                <w:sz w:val="20"/>
              </w:rPr>
              <w:t>in </w:t>
            </w:r>
            <w:r>
              <w:rPr>
                <w:spacing w:val="4"/>
                <w:w w:val="115"/>
                <w:sz w:val="20"/>
              </w:rPr>
              <w:t>touch </w:t>
            </w:r>
            <w:r>
              <w:rPr>
                <w:spacing w:val="5"/>
                <w:w w:val="115"/>
                <w:sz w:val="20"/>
              </w:rPr>
              <w:t>with them, </w:t>
            </w:r>
            <w:r>
              <w:rPr>
                <w:spacing w:val="4"/>
                <w:w w:val="115"/>
                <w:sz w:val="20"/>
              </w:rPr>
              <w:t>invite </w:t>
            </w:r>
            <w:r>
              <w:rPr>
                <w:spacing w:val="5"/>
                <w:w w:val="115"/>
                <w:sz w:val="20"/>
              </w:rPr>
              <w:t>them </w:t>
            </w:r>
            <w:r>
              <w:rPr>
                <w:w w:val="115"/>
                <w:sz w:val="20"/>
              </w:rPr>
              <w:t>to </w:t>
            </w:r>
            <w:r>
              <w:rPr>
                <w:spacing w:val="5"/>
                <w:w w:val="115"/>
                <w:sz w:val="20"/>
              </w:rPr>
              <w:t>events </w:t>
            </w:r>
            <w:r>
              <w:rPr>
                <w:spacing w:val="4"/>
                <w:w w:val="115"/>
                <w:sz w:val="20"/>
              </w:rPr>
              <w:t>and </w:t>
            </w:r>
            <w:r>
              <w:rPr>
                <w:spacing w:val="5"/>
                <w:w w:val="115"/>
                <w:sz w:val="20"/>
              </w:rPr>
              <w:t>send them </w:t>
            </w:r>
            <w:r>
              <w:rPr>
                <w:spacing w:val="4"/>
                <w:w w:val="115"/>
                <w:sz w:val="20"/>
              </w:rPr>
              <w:t>cards and </w:t>
            </w:r>
            <w:r>
              <w:rPr>
                <w:spacing w:val="5"/>
                <w:w w:val="115"/>
                <w:sz w:val="20"/>
              </w:rPr>
              <w:t>regular information about </w:t>
            </w:r>
            <w:r>
              <w:rPr>
                <w:spacing w:val="3"/>
                <w:w w:val="115"/>
                <w:sz w:val="20"/>
              </w:rPr>
              <w:t>what’s </w:t>
            </w:r>
            <w:r>
              <w:rPr>
                <w:spacing w:val="5"/>
                <w:w w:val="115"/>
                <w:sz w:val="20"/>
              </w:rPr>
              <w:t>going </w:t>
            </w:r>
            <w:r>
              <w:rPr>
                <w:spacing w:val="3"/>
                <w:w w:val="115"/>
                <w:sz w:val="20"/>
              </w:rPr>
              <w:t>on </w:t>
            </w:r>
            <w:r>
              <w:rPr>
                <w:spacing w:val="2"/>
                <w:w w:val="115"/>
                <w:sz w:val="20"/>
              </w:rPr>
              <w:t>at </w:t>
            </w:r>
            <w:r>
              <w:rPr>
                <w:spacing w:val="4"/>
                <w:w w:val="115"/>
                <w:sz w:val="20"/>
              </w:rPr>
              <w:t>our church. If they want </w:t>
            </w:r>
            <w:r>
              <w:rPr>
                <w:w w:val="115"/>
                <w:sz w:val="20"/>
              </w:rPr>
              <w:t>to  </w:t>
            </w:r>
            <w:r>
              <w:rPr>
                <w:spacing w:val="4"/>
                <w:w w:val="115"/>
                <w:sz w:val="20"/>
              </w:rPr>
              <w:t>come  </w:t>
            </w:r>
            <w:r>
              <w:rPr>
                <w:spacing w:val="60"/>
                <w:w w:val="115"/>
                <w:sz w:val="20"/>
              </w:rPr>
              <w:t> </w:t>
            </w:r>
            <w:r>
              <w:rPr>
                <w:w w:val="115"/>
                <w:sz w:val="20"/>
              </w:rPr>
              <w:t>to a </w:t>
            </w:r>
            <w:r>
              <w:rPr>
                <w:spacing w:val="6"/>
                <w:w w:val="115"/>
                <w:sz w:val="20"/>
              </w:rPr>
              <w:t>service </w:t>
            </w:r>
            <w:r>
              <w:rPr>
                <w:spacing w:val="5"/>
                <w:w w:val="115"/>
                <w:sz w:val="20"/>
              </w:rPr>
              <w:t>then </w:t>
            </w:r>
            <w:r>
              <w:rPr>
                <w:w w:val="115"/>
                <w:sz w:val="20"/>
              </w:rPr>
              <w:t>I </w:t>
            </w:r>
            <w:r>
              <w:rPr>
                <w:spacing w:val="4"/>
                <w:w w:val="115"/>
                <w:sz w:val="20"/>
              </w:rPr>
              <w:t>could also meet </w:t>
            </w:r>
            <w:r>
              <w:rPr>
                <w:spacing w:val="5"/>
                <w:w w:val="115"/>
                <w:sz w:val="20"/>
              </w:rPr>
              <w:t>them </w:t>
            </w:r>
            <w:r>
              <w:rPr>
                <w:spacing w:val="2"/>
                <w:w w:val="115"/>
                <w:sz w:val="20"/>
              </w:rPr>
              <w:t>at </w:t>
            </w:r>
            <w:r>
              <w:rPr>
                <w:spacing w:val="4"/>
                <w:w w:val="115"/>
                <w:sz w:val="20"/>
              </w:rPr>
              <w:t>church, </w:t>
            </w:r>
            <w:r>
              <w:rPr>
                <w:spacing w:val="3"/>
                <w:w w:val="115"/>
                <w:sz w:val="20"/>
              </w:rPr>
              <w:t>sit </w:t>
            </w:r>
            <w:r>
              <w:rPr>
                <w:spacing w:val="5"/>
                <w:w w:val="115"/>
                <w:sz w:val="20"/>
              </w:rPr>
              <w:t>with them </w:t>
            </w:r>
            <w:r>
              <w:rPr>
                <w:spacing w:val="4"/>
                <w:w w:val="115"/>
                <w:sz w:val="20"/>
              </w:rPr>
              <w:t>if they feel unsure and </w:t>
            </w:r>
            <w:r>
              <w:rPr>
                <w:spacing w:val="6"/>
                <w:w w:val="115"/>
                <w:sz w:val="20"/>
              </w:rPr>
              <w:t>generally </w:t>
            </w:r>
            <w:r>
              <w:rPr>
                <w:spacing w:val="4"/>
                <w:w w:val="115"/>
                <w:sz w:val="20"/>
              </w:rPr>
              <w:t>be </w:t>
            </w:r>
            <w:r>
              <w:rPr>
                <w:w w:val="115"/>
                <w:sz w:val="20"/>
              </w:rPr>
              <w:t>a </w:t>
            </w:r>
            <w:r>
              <w:rPr>
                <w:spacing w:val="6"/>
                <w:w w:val="115"/>
                <w:sz w:val="20"/>
              </w:rPr>
              <w:t>bridge between </w:t>
            </w:r>
            <w:r>
              <w:rPr>
                <w:spacing w:val="4"/>
                <w:w w:val="115"/>
                <w:sz w:val="20"/>
              </w:rPr>
              <w:t>the church and the  </w:t>
            </w:r>
            <w:r>
              <w:rPr>
                <w:spacing w:val="5"/>
                <w:w w:val="115"/>
                <w:sz w:val="20"/>
              </w:rPr>
              <w:t>family  </w:t>
            </w:r>
            <w:r>
              <w:rPr>
                <w:spacing w:val="3"/>
                <w:w w:val="115"/>
                <w:sz w:val="20"/>
              </w:rPr>
              <w:t>of  </w:t>
            </w:r>
            <w:r>
              <w:rPr>
                <w:spacing w:val="4"/>
                <w:w w:val="115"/>
                <w:sz w:val="20"/>
              </w:rPr>
              <w:t>the </w:t>
            </w:r>
            <w:r>
              <w:rPr>
                <w:spacing w:val="5"/>
                <w:w w:val="115"/>
                <w:sz w:val="20"/>
              </w:rPr>
              <w:t>newly</w:t>
            </w:r>
            <w:r>
              <w:rPr>
                <w:spacing w:val="18"/>
                <w:w w:val="115"/>
                <w:sz w:val="20"/>
              </w:rPr>
              <w:t> </w:t>
            </w:r>
            <w:r>
              <w:rPr>
                <w:spacing w:val="5"/>
                <w:w w:val="115"/>
                <w:sz w:val="20"/>
              </w:rPr>
              <w:t>baptised.</w:t>
            </w:r>
          </w:p>
          <w:p>
            <w:pPr>
              <w:pStyle w:val="TableParagraph"/>
              <w:rPr>
                <w:sz w:val="20"/>
              </w:rPr>
            </w:pPr>
          </w:p>
          <w:p>
            <w:pPr>
              <w:pStyle w:val="TableParagraph"/>
              <w:spacing w:line="235" w:lineRule="auto"/>
              <w:ind w:left="1073" w:right="404" w:firstLine="2"/>
              <w:rPr>
                <w:sz w:val="20"/>
              </w:rPr>
            </w:pPr>
            <w:r>
              <w:rPr>
                <w:spacing w:val="4"/>
                <w:w w:val="120"/>
                <w:sz w:val="20"/>
              </w:rPr>
              <w:t>My </w:t>
            </w:r>
            <w:r>
              <w:rPr>
                <w:spacing w:val="5"/>
                <w:w w:val="120"/>
                <w:sz w:val="20"/>
              </w:rPr>
              <w:t>mother </w:t>
            </w:r>
            <w:r>
              <w:rPr>
                <w:spacing w:val="4"/>
                <w:w w:val="120"/>
                <w:sz w:val="20"/>
              </w:rPr>
              <w:t>was </w:t>
            </w:r>
            <w:r>
              <w:rPr>
                <w:spacing w:val="5"/>
                <w:w w:val="120"/>
                <w:sz w:val="20"/>
              </w:rPr>
              <w:t>involved </w:t>
            </w:r>
            <w:r>
              <w:rPr>
                <w:spacing w:val="2"/>
                <w:w w:val="120"/>
                <w:sz w:val="20"/>
              </w:rPr>
              <w:t>in </w:t>
            </w:r>
            <w:r>
              <w:rPr>
                <w:w w:val="120"/>
                <w:sz w:val="20"/>
              </w:rPr>
              <w:t>a </w:t>
            </w:r>
            <w:r>
              <w:rPr>
                <w:spacing w:val="5"/>
                <w:w w:val="120"/>
                <w:sz w:val="20"/>
              </w:rPr>
              <w:t>prayer </w:t>
            </w:r>
            <w:r>
              <w:rPr>
                <w:spacing w:val="4"/>
                <w:w w:val="120"/>
                <w:sz w:val="20"/>
              </w:rPr>
              <w:t>shawl </w:t>
            </w:r>
            <w:r>
              <w:rPr>
                <w:spacing w:val="6"/>
                <w:w w:val="120"/>
                <w:sz w:val="20"/>
              </w:rPr>
              <w:t>ministry </w:t>
            </w:r>
            <w:r>
              <w:rPr>
                <w:spacing w:val="2"/>
                <w:w w:val="120"/>
                <w:sz w:val="20"/>
              </w:rPr>
              <w:t>at </w:t>
            </w:r>
            <w:r>
              <w:rPr>
                <w:spacing w:val="4"/>
                <w:w w:val="120"/>
                <w:sz w:val="20"/>
              </w:rPr>
              <w:t>her church. </w:t>
            </w:r>
            <w:r>
              <w:rPr>
                <w:spacing w:val="5"/>
                <w:w w:val="120"/>
                <w:sz w:val="20"/>
              </w:rPr>
              <w:t>When </w:t>
            </w:r>
            <w:r>
              <w:rPr>
                <w:spacing w:val="6"/>
                <w:w w:val="120"/>
                <w:sz w:val="20"/>
              </w:rPr>
              <w:t>someone </w:t>
            </w:r>
            <w:r>
              <w:rPr>
                <w:spacing w:val="4"/>
                <w:w w:val="120"/>
                <w:sz w:val="20"/>
              </w:rPr>
              <w:t>had </w:t>
            </w:r>
            <w:r>
              <w:rPr>
                <w:spacing w:val="5"/>
                <w:w w:val="120"/>
                <w:sz w:val="20"/>
              </w:rPr>
              <w:t>knitted </w:t>
            </w:r>
            <w:r>
              <w:rPr>
                <w:w w:val="120"/>
                <w:sz w:val="20"/>
              </w:rPr>
              <w:t>a </w:t>
            </w:r>
            <w:r>
              <w:rPr>
                <w:spacing w:val="5"/>
                <w:w w:val="120"/>
                <w:sz w:val="20"/>
              </w:rPr>
              <w:t>prayer </w:t>
            </w:r>
            <w:r>
              <w:rPr>
                <w:spacing w:val="4"/>
                <w:w w:val="120"/>
                <w:sz w:val="20"/>
              </w:rPr>
              <w:t>shawl </w:t>
            </w:r>
            <w:r>
              <w:rPr>
                <w:spacing w:val="3"/>
                <w:w w:val="120"/>
                <w:sz w:val="20"/>
              </w:rPr>
              <w:t>it </w:t>
            </w:r>
            <w:r>
              <w:rPr>
                <w:spacing w:val="4"/>
                <w:w w:val="120"/>
                <w:sz w:val="20"/>
              </w:rPr>
              <w:t>was </w:t>
            </w:r>
            <w:r>
              <w:rPr>
                <w:spacing w:val="5"/>
                <w:w w:val="120"/>
                <w:sz w:val="20"/>
              </w:rPr>
              <w:t>taken </w:t>
            </w:r>
            <w:r>
              <w:rPr>
                <w:w w:val="120"/>
                <w:sz w:val="20"/>
              </w:rPr>
              <w:t>to a </w:t>
            </w:r>
            <w:r>
              <w:rPr>
                <w:spacing w:val="6"/>
                <w:w w:val="120"/>
                <w:sz w:val="20"/>
              </w:rPr>
              <w:t>person </w:t>
            </w:r>
            <w:r>
              <w:rPr>
                <w:spacing w:val="2"/>
                <w:w w:val="120"/>
                <w:sz w:val="20"/>
              </w:rPr>
              <w:t>in </w:t>
            </w:r>
            <w:r>
              <w:rPr>
                <w:spacing w:val="4"/>
                <w:w w:val="120"/>
                <w:sz w:val="20"/>
              </w:rPr>
              <w:t>the </w:t>
            </w:r>
            <w:r>
              <w:rPr>
                <w:spacing w:val="5"/>
                <w:w w:val="120"/>
                <w:sz w:val="20"/>
              </w:rPr>
              <w:t>local </w:t>
            </w:r>
            <w:r>
              <w:rPr>
                <w:spacing w:val="4"/>
                <w:w w:val="120"/>
                <w:sz w:val="20"/>
              </w:rPr>
              <w:t>community. This </w:t>
            </w:r>
            <w:r>
              <w:rPr>
                <w:w w:val="120"/>
                <w:sz w:val="20"/>
              </w:rPr>
              <w:t>is </w:t>
            </w:r>
            <w:r>
              <w:rPr>
                <w:spacing w:val="4"/>
                <w:w w:val="120"/>
                <w:sz w:val="20"/>
              </w:rPr>
              <w:t>the bit </w:t>
            </w:r>
            <w:r>
              <w:rPr>
                <w:w w:val="120"/>
                <w:sz w:val="20"/>
              </w:rPr>
              <w:t>my </w:t>
            </w:r>
            <w:r>
              <w:rPr>
                <w:spacing w:val="3"/>
                <w:w w:val="120"/>
                <w:sz w:val="20"/>
              </w:rPr>
              <w:t>mum </w:t>
            </w:r>
            <w:r>
              <w:rPr>
                <w:spacing w:val="4"/>
                <w:w w:val="120"/>
                <w:sz w:val="20"/>
              </w:rPr>
              <w:t>did. </w:t>
            </w:r>
            <w:r>
              <w:rPr>
                <w:spacing w:val="5"/>
                <w:w w:val="120"/>
                <w:sz w:val="20"/>
              </w:rPr>
              <w:t>One </w:t>
            </w:r>
            <w:r>
              <w:rPr>
                <w:spacing w:val="3"/>
                <w:w w:val="120"/>
                <w:sz w:val="20"/>
              </w:rPr>
              <w:t>day </w:t>
            </w:r>
            <w:r>
              <w:rPr>
                <w:spacing w:val="4"/>
                <w:w w:val="120"/>
                <w:sz w:val="20"/>
              </w:rPr>
              <w:t>she </w:t>
            </w:r>
            <w:r>
              <w:rPr>
                <w:spacing w:val="3"/>
                <w:w w:val="120"/>
                <w:sz w:val="20"/>
              </w:rPr>
              <w:t>went </w:t>
            </w:r>
            <w:r>
              <w:rPr>
                <w:spacing w:val="7"/>
                <w:w w:val="120"/>
                <w:sz w:val="20"/>
              </w:rPr>
              <w:t>off </w:t>
            </w:r>
            <w:r>
              <w:rPr>
                <w:spacing w:val="5"/>
                <w:w w:val="120"/>
                <w:sz w:val="20"/>
              </w:rPr>
              <w:t>with </w:t>
            </w:r>
            <w:r>
              <w:rPr>
                <w:w w:val="120"/>
                <w:sz w:val="20"/>
              </w:rPr>
              <w:t>a </w:t>
            </w:r>
            <w:r>
              <w:rPr>
                <w:spacing w:val="5"/>
                <w:w w:val="120"/>
                <w:sz w:val="20"/>
              </w:rPr>
              <w:t>prayer </w:t>
            </w:r>
            <w:r>
              <w:rPr>
                <w:spacing w:val="4"/>
                <w:w w:val="120"/>
                <w:sz w:val="20"/>
              </w:rPr>
              <w:t>shawl </w:t>
            </w:r>
            <w:r>
              <w:rPr>
                <w:w w:val="120"/>
                <w:sz w:val="20"/>
              </w:rPr>
              <w:t>to </w:t>
            </w:r>
            <w:r>
              <w:rPr>
                <w:spacing w:val="4"/>
                <w:w w:val="120"/>
                <w:sz w:val="20"/>
              </w:rPr>
              <w:t>take </w:t>
            </w:r>
            <w:r>
              <w:rPr>
                <w:spacing w:val="3"/>
                <w:w w:val="120"/>
                <w:sz w:val="20"/>
              </w:rPr>
              <w:t>it </w:t>
            </w:r>
            <w:r>
              <w:rPr>
                <w:w w:val="120"/>
                <w:sz w:val="20"/>
              </w:rPr>
              <w:t>to a </w:t>
            </w:r>
            <w:r>
              <w:rPr>
                <w:spacing w:val="4"/>
                <w:w w:val="120"/>
                <w:sz w:val="20"/>
              </w:rPr>
              <w:t>man </w:t>
            </w:r>
            <w:r>
              <w:rPr>
                <w:spacing w:val="2"/>
                <w:w w:val="120"/>
                <w:sz w:val="20"/>
              </w:rPr>
              <w:t>at </w:t>
            </w:r>
            <w:r>
              <w:rPr>
                <w:w w:val="120"/>
                <w:sz w:val="20"/>
              </w:rPr>
              <w:t>a </w:t>
            </w:r>
            <w:r>
              <w:rPr>
                <w:spacing w:val="5"/>
                <w:w w:val="120"/>
                <w:sz w:val="20"/>
              </w:rPr>
              <w:t>convalescent </w:t>
            </w:r>
            <w:r>
              <w:rPr>
                <w:spacing w:val="4"/>
                <w:w w:val="120"/>
                <w:sz w:val="20"/>
              </w:rPr>
              <w:t>home. </w:t>
            </w:r>
            <w:r>
              <w:rPr>
                <w:spacing w:val="5"/>
                <w:w w:val="120"/>
                <w:sz w:val="20"/>
              </w:rPr>
              <w:t>When </w:t>
            </w:r>
            <w:r>
              <w:rPr>
                <w:spacing w:val="4"/>
                <w:w w:val="120"/>
                <w:sz w:val="20"/>
              </w:rPr>
              <w:t>she got </w:t>
            </w:r>
            <w:r>
              <w:rPr>
                <w:spacing w:val="5"/>
                <w:w w:val="120"/>
                <w:sz w:val="20"/>
              </w:rPr>
              <w:t>there </w:t>
            </w:r>
            <w:r>
              <w:rPr>
                <w:spacing w:val="4"/>
                <w:w w:val="120"/>
                <w:sz w:val="20"/>
              </w:rPr>
              <w:t>she </w:t>
            </w:r>
            <w:r>
              <w:rPr>
                <w:spacing w:val="3"/>
                <w:w w:val="120"/>
                <w:sz w:val="20"/>
              </w:rPr>
              <w:t>went </w:t>
            </w:r>
            <w:r>
              <w:rPr>
                <w:w w:val="120"/>
                <w:sz w:val="20"/>
              </w:rPr>
              <w:t>to </w:t>
            </w:r>
            <w:r>
              <w:rPr>
                <w:spacing w:val="4"/>
                <w:w w:val="120"/>
                <w:sz w:val="20"/>
              </w:rPr>
              <w:t>the </w:t>
            </w:r>
            <w:r>
              <w:rPr>
                <w:spacing w:val="5"/>
                <w:w w:val="120"/>
                <w:sz w:val="20"/>
              </w:rPr>
              <w:t>room number </w:t>
            </w:r>
            <w:r>
              <w:rPr>
                <w:spacing w:val="4"/>
                <w:w w:val="120"/>
                <w:sz w:val="20"/>
              </w:rPr>
              <w:t>she had </w:t>
            </w:r>
            <w:r>
              <w:rPr>
                <w:spacing w:val="5"/>
                <w:w w:val="120"/>
                <w:sz w:val="20"/>
              </w:rPr>
              <w:t>been </w:t>
            </w:r>
            <w:r>
              <w:rPr>
                <w:spacing w:val="4"/>
                <w:w w:val="120"/>
                <w:sz w:val="20"/>
              </w:rPr>
              <w:t>told, </w:t>
            </w:r>
            <w:r>
              <w:rPr>
                <w:spacing w:val="5"/>
                <w:w w:val="120"/>
                <w:sz w:val="20"/>
              </w:rPr>
              <w:t>knocked </w:t>
            </w:r>
            <w:r>
              <w:rPr>
                <w:spacing w:val="3"/>
                <w:w w:val="120"/>
                <w:sz w:val="20"/>
              </w:rPr>
              <w:t>on </w:t>
            </w:r>
            <w:r>
              <w:rPr>
                <w:spacing w:val="4"/>
                <w:w w:val="120"/>
                <w:sz w:val="20"/>
              </w:rPr>
              <w:t>the </w:t>
            </w:r>
            <w:r>
              <w:rPr>
                <w:spacing w:val="5"/>
                <w:w w:val="120"/>
                <w:sz w:val="20"/>
              </w:rPr>
              <w:t>door </w:t>
            </w:r>
            <w:r>
              <w:rPr>
                <w:spacing w:val="4"/>
                <w:w w:val="120"/>
                <w:sz w:val="20"/>
              </w:rPr>
              <w:t>and </w:t>
            </w:r>
            <w:r>
              <w:rPr>
                <w:spacing w:val="5"/>
                <w:w w:val="120"/>
                <w:sz w:val="20"/>
              </w:rPr>
              <w:t>introduced </w:t>
            </w:r>
            <w:r>
              <w:rPr>
                <w:spacing w:val="6"/>
                <w:w w:val="120"/>
                <w:sz w:val="20"/>
              </w:rPr>
              <w:t>herself </w:t>
            </w:r>
            <w:r>
              <w:rPr>
                <w:w w:val="120"/>
                <w:sz w:val="20"/>
              </w:rPr>
              <w:t>to </w:t>
            </w:r>
            <w:r>
              <w:rPr>
                <w:spacing w:val="4"/>
                <w:w w:val="120"/>
                <w:sz w:val="20"/>
              </w:rPr>
              <w:t>the man </w:t>
            </w:r>
            <w:r>
              <w:rPr>
                <w:spacing w:val="2"/>
                <w:w w:val="120"/>
                <w:sz w:val="20"/>
              </w:rPr>
              <w:t>in </w:t>
            </w:r>
            <w:r>
              <w:rPr>
                <w:spacing w:val="4"/>
                <w:w w:val="120"/>
                <w:sz w:val="20"/>
              </w:rPr>
              <w:t>the </w:t>
            </w:r>
            <w:r>
              <w:rPr>
                <w:spacing w:val="5"/>
                <w:w w:val="120"/>
                <w:sz w:val="20"/>
              </w:rPr>
              <w:t>room. </w:t>
            </w:r>
            <w:r>
              <w:rPr>
                <w:spacing w:val="4"/>
                <w:w w:val="120"/>
                <w:sz w:val="20"/>
              </w:rPr>
              <w:t>He </w:t>
            </w:r>
            <w:r>
              <w:rPr>
                <w:spacing w:val="5"/>
                <w:w w:val="120"/>
                <w:sz w:val="20"/>
              </w:rPr>
              <w:t>welcomed </w:t>
            </w:r>
            <w:r>
              <w:rPr>
                <w:spacing w:val="4"/>
                <w:w w:val="120"/>
                <w:sz w:val="20"/>
              </w:rPr>
              <w:t>her </w:t>
            </w:r>
            <w:r>
              <w:rPr>
                <w:spacing w:val="2"/>
                <w:w w:val="120"/>
                <w:sz w:val="20"/>
              </w:rPr>
              <w:t>in </w:t>
            </w:r>
            <w:r>
              <w:rPr>
                <w:spacing w:val="4"/>
                <w:w w:val="120"/>
                <w:sz w:val="20"/>
              </w:rPr>
              <w:t>and she sat and </w:t>
            </w:r>
            <w:r>
              <w:rPr>
                <w:spacing w:val="5"/>
                <w:w w:val="120"/>
                <w:sz w:val="20"/>
              </w:rPr>
              <w:t>talked </w:t>
            </w:r>
            <w:r>
              <w:rPr>
                <w:w w:val="120"/>
                <w:sz w:val="20"/>
              </w:rPr>
              <w:t>to </w:t>
            </w:r>
            <w:r>
              <w:rPr>
                <w:spacing w:val="3"/>
                <w:w w:val="120"/>
                <w:sz w:val="20"/>
              </w:rPr>
              <w:t>him, </w:t>
            </w:r>
            <w:r>
              <w:rPr>
                <w:spacing w:val="4"/>
                <w:w w:val="120"/>
                <w:sz w:val="20"/>
              </w:rPr>
              <w:t>told </w:t>
            </w:r>
            <w:r>
              <w:rPr>
                <w:spacing w:val="3"/>
                <w:w w:val="120"/>
                <w:sz w:val="20"/>
              </w:rPr>
              <w:t>him </w:t>
            </w:r>
            <w:r>
              <w:rPr>
                <w:spacing w:val="5"/>
                <w:w w:val="120"/>
                <w:sz w:val="20"/>
              </w:rPr>
              <w:t>about </w:t>
            </w:r>
            <w:r>
              <w:rPr>
                <w:spacing w:val="4"/>
                <w:w w:val="120"/>
                <w:sz w:val="20"/>
              </w:rPr>
              <w:t>the </w:t>
            </w:r>
            <w:r>
              <w:rPr>
                <w:spacing w:val="5"/>
                <w:w w:val="120"/>
                <w:sz w:val="20"/>
              </w:rPr>
              <w:t>prayer </w:t>
            </w:r>
            <w:r>
              <w:rPr>
                <w:spacing w:val="4"/>
                <w:w w:val="120"/>
                <w:sz w:val="20"/>
              </w:rPr>
              <w:t>shawl and gave </w:t>
            </w:r>
            <w:r>
              <w:rPr>
                <w:spacing w:val="3"/>
                <w:w w:val="120"/>
                <w:sz w:val="20"/>
              </w:rPr>
              <w:t>it </w:t>
            </w:r>
            <w:r>
              <w:rPr>
                <w:w w:val="120"/>
                <w:sz w:val="20"/>
              </w:rPr>
              <w:t>to </w:t>
            </w:r>
            <w:r>
              <w:rPr>
                <w:spacing w:val="3"/>
                <w:w w:val="120"/>
                <w:sz w:val="20"/>
              </w:rPr>
              <w:t>him. </w:t>
            </w:r>
            <w:r>
              <w:rPr>
                <w:spacing w:val="4"/>
                <w:w w:val="120"/>
                <w:sz w:val="20"/>
              </w:rPr>
              <w:t>He was </w:t>
            </w:r>
            <w:r>
              <w:rPr>
                <w:w w:val="120"/>
                <w:sz w:val="20"/>
              </w:rPr>
              <w:t>a </w:t>
            </w:r>
            <w:r>
              <w:rPr>
                <w:spacing w:val="4"/>
                <w:w w:val="120"/>
                <w:sz w:val="20"/>
              </w:rPr>
              <w:t>bit </w:t>
            </w:r>
            <w:r>
              <w:rPr>
                <w:spacing w:val="6"/>
                <w:w w:val="120"/>
                <w:sz w:val="20"/>
              </w:rPr>
              <w:t>surprised </w:t>
            </w:r>
            <w:r>
              <w:rPr>
                <w:spacing w:val="4"/>
                <w:w w:val="120"/>
                <w:sz w:val="20"/>
              </w:rPr>
              <w:t>but was also quite </w:t>
            </w:r>
            <w:r>
              <w:rPr>
                <w:spacing w:val="5"/>
                <w:w w:val="120"/>
                <w:sz w:val="20"/>
              </w:rPr>
              <w:t>touched </w:t>
            </w:r>
            <w:r>
              <w:rPr>
                <w:spacing w:val="4"/>
                <w:w w:val="120"/>
                <w:sz w:val="20"/>
              </w:rPr>
              <w:t>and </w:t>
            </w:r>
            <w:r>
              <w:rPr>
                <w:spacing w:val="5"/>
                <w:w w:val="120"/>
                <w:sz w:val="20"/>
              </w:rPr>
              <w:t>grateful </w:t>
            </w:r>
            <w:r>
              <w:rPr>
                <w:spacing w:val="4"/>
                <w:w w:val="120"/>
                <w:sz w:val="20"/>
              </w:rPr>
              <w:t>for </w:t>
            </w:r>
            <w:r>
              <w:rPr>
                <w:spacing w:val="3"/>
                <w:w w:val="120"/>
                <w:sz w:val="20"/>
              </w:rPr>
              <w:t>it </w:t>
            </w:r>
            <w:r>
              <w:rPr>
                <w:spacing w:val="4"/>
                <w:w w:val="120"/>
                <w:sz w:val="20"/>
              </w:rPr>
              <w:t>and </w:t>
            </w:r>
            <w:r>
              <w:rPr>
                <w:spacing w:val="5"/>
                <w:w w:val="120"/>
                <w:sz w:val="20"/>
              </w:rPr>
              <w:t>before </w:t>
            </w:r>
            <w:r>
              <w:rPr>
                <w:spacing w:val="4"/>
                <w:w w:val="120"/>
                <w:sz w:val="20"/>
              </w:rPr>
              <w:t>she </w:t>
            </w:r>
            <w:r>
              <w:rPr>
                <w:spacing w:val="7"/>
                <w:w w:val="120"/>
                <w:sz w:val="20"/>
              </w:rPr>
              <w:t>left </w:t>
            </w:r>
            <w:r>
              <w:rPr>
                <w:w w:val="120"/>
                <w:sz w:val="20"/>
              </w:rPr>
              <w:t>my </w:t>
            </w:r>
            <w:r>
              <w:rPr>
                <w:spacing w:val="3"/>
                <w:w w:val="120"/>
                <w:sz w:val="20"/>
              </w:rPr>
              <w:t>mum </w:t>
            </w:r>
            <w:r>
              <w:rPr>
                <w:spacing w:val="5"/>
                <w:w w:val="120"/>
                <w:sz w:val="20"/>
              </w:rPr>
              <w:t>said </w:t>
            </w:r>
            <w:r>
              <w:rPr>
                <w:w w:val="120"/>
                <w:sz w:val="20"/>
              </w:rPr>
              <w:t>a </w:t>
            </w:r>
            <w:r>
              <w:rPr>
                <w:spacing w:val="7"/>
                <w:w w:val="120"/>
                <w:sz w:val="20"/>
              </w:rPr>
              <w:t>short </w:t>
            </w:r>
            <w:r>
              <w:rPr>
                <w:spacing w:val="5"/>
                <w:w w:val="120"/>
                <w:sz w:val="20"/>
              </w:rPr>
              <w:t>prayer with </w:t>
            </w:r>
            <w:r>
              <w:rPr>
                <w:spacing w:val="3"/>
                <w:w w:val="120"/>
                <w:sz w:val="20"/>
              </w:rPr>
              <w:t>him. </w:t>
            </w:r>
            <w:r>
              <w:rPr>
                <w:spacing w:val="5"/>
                <w:w w:val="120"/>
                <w:sz w:val="20"/>
              </w:rPr>
              <w:t>When </w:t>
            </w:r>
            <w:r>
              <w:rPr>
                <w:spacing w:val="4"/>
                <w:w w:val="120"/>
                <w:sz w:val="20"/>
              </w:rPr>
              <w:t>she got </w:t>
            </w:r>
            <w:r>
              <w:rPr>
                <w:spacing w:val="5"/>
                <w:w w:val="120"/>
                <w:sz w:val="20"/>
              </w:rPr>
              <w:t>home </w:t>
            </w:r>
            <w:r>
              <w:rPr>
                <w:spacing w:val="4"/>
                <w:w w:val="120"/>
                <w:sz w:val="20"/>
              </w:rPr>
              <w:t>she got </w:t>
            </w:r>
            <w:r>
              <w:rPr>
                <w:w w:val="120"/>
                <w:sz w:val="20"/>
              </w:rPr>
              <w:t>a </w:t>
            </w:r>
            <w:r>
              <w:rPr>
                <w:spacing w:val="6"/>
                <w:w w:val="120"/>
                <w:sz w:val="20"/>
              </w:rPr>
              <w:t>message </w:t>
            </w:r>
            <w:r>
              <w:rPr>
                <w:w w:val="120"/>
                <w:sz w:val="20"/>
              </w:rPr>
              <w:t>to </w:t>
            </w:r>
            <w:r>
              <w:rPr>
                <w:spacing w:val="4"/>
                <w:w w:val="120"/>
                <w:sz w:val="20"/>
              </w:rPr>
              <w:t>say that the man she </w:t>
            </w:r>
            <w:r>
              <w:rPr>
                <w:spacing w:val="5"/>
                <w:w w:val="120"/>
                <w:sz w:val="20"/>
              </w:rPr>
              <w:t>should </w:t>
            </w:r>
            <w:r>
              <w:rPr>
                <w:spacing w:val="3"/>
                <w:w w:val="120"/>
                <w:sz w:val="20"/>
              </w:rPr>
              <w:t>have </w:t>
            </w:r>
            <w:r>
              <w:rPr>
                <w:spacing w:val="4"/>
                <w:w w:val="120"/>
                <w:sz w:val="20"/>
              </w:rPr>
              <w:t>visited </w:t>
            </w:r>
            <w:r>
              <w:rPr>
                <w:spacing w:val="5"/>
                <w:w w:val="120"/>
                <w:sz w:val="20"/>
              </w:rPr>
              <w:t>with </w:t>
            </w:r>
            <w:r>
              <w:rPr>
                <w:spacing w:val="4"/>
                <w:w w:val="120"/>
                <w:sz w:val="20"/>
              </w:rPr>
              <w:t>the </w:t>
            </w:r>
            <w:r>
              <w:rPr>
                <w:spacing w:val="5"/>
                <w:w w:val="120"/>
                <w:sz w:val="20"/>
              </w:rPr>
              <w:t>prayer </w:t>
            </w:r>
            <w:r>
              <w:rPr>
                <w:spacing w:val="4"/>
                <w:w w:val="120"/>
                <w:sz w:val="20"/>
              </w:rPr>
              <w:t>shawl </w:t>
            </w:r>
            <w:r>
              <w:rPr>
                <w:spacing w:val="3"/>
                <w:w w:val="120"/>
                <w:sz w:val="20"/>
              </w:rPr>
              <w:t>wasn’t </w:t>
            </w:r>
            <w:r>
              <w:rPr>
                <w:spacing w:val="2"/>
                <w:w w:val="120"/>
                <w:sz w:val="20"/>
              </w:rPr>
              <w:t>in </w:t>
            </w:r>
            <w:r>
              <w:rPr>
                <w:spacing w:val="4"/>
                <w:w w:val="120"/>
                <w:sz w:val="20"/>
              </w:rPr>
              <w:t>the </w:t>
            </w:r>
            <w:r>
              <w:rPr>
                <w:spacing w:val="5"/>
                <w:w w:val="120"/>
                <w:sz w:val="20"/>
              </w:rPr>
              <w:t>home anymore </w:t>
            </w:r>
            <w:r>
              <w:rPr>
                <w:spacing w:val="4"/>
                <w:w w:val="120"/>
                <w:sz w:val="20"/>
              </w:rPr>
              <w:t>having </w:t>
            </w:r>
            <w:r>
              <w:rPr>
                <w:spacing w:val="5"/>
                <w:w w:val="120"/>
                <w:sz w:val="20"/>
              </w:rPr>
              <w:t>gone </w:t>
            </w:r>
            <w:r>
              <w:rPr>
                <w:spacing w:val="4"/>
                <w:w w:val="120"/>
                <w:sz w:val="20"/>
              </w:rPr>
              <w:t>back </w:t>
            </w:r>
            <w:r>
              <w:rPr>
                <w:w w:val="120"/>
                <w:sz w:val="20"/>
              </w:rPr>
              <w:t>to </w:t>
            </w:r>
            <w:r>
              <w:rPr>
                <w:spacing w:val="3"/>
                <w:w w:val="120"/>
                <w:sz w:val="20"/>
              </w:rPr>
              <w:t>his </w:t>
            </w:r>
            <w:r>
              <w:rPr>
                <w:spacing w:val="4"/>
                <w:w w:val="120"/>
                <w:sz w:val="20"/>
              </w:rPr>
              <w:t>own house. </w:t>
            </w:r>
            <w:r>
              <w:rPr>
                <w:spacing w:val="5"/>
                <w:w w:val="120"/>
                <w:sz w:val="20"/>
              </w:rPr>
              <w:t>The </w:t>
            </w:r>
            <w:r>
              <w:rPr>
                <w:spacing w:val="4"/>
                <w:w w:val="120"/>
                <w:sz w:val="20"/>
              </w:rPr>
              <w:t>man she saw was </w:t>
            </w:r>
            <w:r>
              <w:rPr>
                <w:spacing w:val="6"/>
                <w:w w:val="120"/>
                <w:sz w:val="20"/>
              </w:rPr>
              <w:t>someone </w:t>
            </w:r>
            <w:r>
              <w:rPr>
                <w:spacing w:val="4"/>
                <w:w w:val="120"/>
                <w:sz w:val="20"/>
              </w:rPr>
              <w:t>else </w:t>
            </w:r>
            <w:r>
              <w:rPr>
                <w:spacing w:val="5"/>
                <w:w w:val="120"/>
                <w:sz w:val="20"/>
              </w:rPr>
              <w:t>completely</w:t>
            </w:r>
            <w:r>
              <w:rPr>
                <w:spacing w:val="12"/>
                <w:w w:val="120"/>
                <w:sz w:val="20"/>
              </w:rPr>
              <w:t> </w:t>
            </w:r>
            <w:r>
              <w:rPr>
                <w:spacing w:val="6"/>
                <w:w w:val="120"/>
                <w:sz w:val="20"/>
              </w:rPr>
              <w:t>different.</w:t>
            </w:r>
            <w:r>
              <w:rPr>
                <w:spacing w:val="12"/>
                <w:w w:val="120"/>
                <w:sz w:val="20"/>
              </w:rPr>
              <w:t> </w:t>
            </w:r>
            <w:r>
              <w:rPr>
                <w:spacing w:val="5"/>
                <w:w w:val="120"/>
                <w:sz w:val="20"/>
              </w:rPr>
              <w:t>‘That</w:t>
            </w:r>
            <w:r>
              <w:rPr>
                <w:spacing w:val="12"/>
                <w:w w:val="120"/>
                <w:sz w:val="20"/>
              </w:rPr>
              <w:t> </w:t>
            </w:r>
            <w:r>
              <w:rPr>
                <w:spacing w:val="5"/>
                <w:w w:val="120"/>
                <w:sz w:val="20"/>
              </w:rPr>
              <w:t>explains</w:t>
            </w:r>
            <w:r>
              <w:rPr>
                <w:spacing w:val="12"/>
                <w:w w:val="120"/>
                <w:sz w:val="20"/>
              </w:rPr>
              <w:t> </w:t>
            </w:r>
            <w:r>
              <w:rPr>
                <w:spacing w:val="3"/>
                <w:w w:val="120"/>
                <w:sz w:val="20"/>
              </w:rPr>
              <w:t>why</w:t>
            </w:r>
            <w:r>
              <w:rPr>
                <w:spacing w:val="12"/>
                <w:w w:val="120"/>
                <w:sz w:val="20"/>
              </w:rPr>
              <w:t> </w:t>
            </w:r>
            <w:r>
              <w:rPr>
                <w:w w:val="120"/>
                <w:sz w:val="20"/>
              </w:rPr>
              <w:t>he’d</w:t>
            </w:r>
            <w:r>
              <w:rPr>
                <w:spacing w:val="12"/>
                <w:w w:val="120"/>
                <w:sz w:val="20"/>
              </w:rPr>
              <w:t> </w:t>
            </w:r>
            <w:r>
              <w:rPr>
                <w:spacing w:val="4"/>
                <w:w w:val="120"/>
                <w:sz w:val="20"/>
              </w:rPr>
              <w:t>never</w:t>
            </w:r>
            <w:r>
              <w:rPr>
                <w:spacing w:val="12"/>
                <w:w w:val="120"/>
                <w:sz w:val="20"/>
              </w:rPr>
              <w:t> </w:t>
            </w:r>
            <w:r>
              <w:rPr>
                <w:spacing w:val="5"/>
                <w:w w:val="120"/>
                <w:sz w:val="20"/>
              </w:rPr>
              <w:t>heard</w:t>
            </w:r>
            <w:r>
              <w:rPr>
                <w:spacing w:val="12"/>
                <w:w w:val="120"/>
                <w:sz w:val="20"/>
              </w:rPr>
              <w:t> </w:t>
            </w:r>
            <w:r>
              <w:rPr>
                <w:spacing w:val="3"/>
                <w:w w:val="120"/>
                <w:sz w:val="20"/>
              </w:rPr>
              <w:t>of</w:t>
            </w:r>
            <w:r>
              <w:rPr>
                <w:spacing w:val="12"/>
                <w:w w:val="120"/>
                <w:sz w:val="20"/>
              </w:rPr>
              <w:t> </w:t>
            </w:r>
            <w:r>
              <w:rPr>
                <w:spacing w:val="4"/>
                <w:w w:val="120"/>
                <w:sz w:val="20"/>
              </w:rPr>
              <w:t>our</w:t>
            </w:r>
            <w:r>
              <w:rPr>
                <w:spacing w:val="12"/>
                <w:w w:val="120"/>
                <w:sz w:val="20"/>
              </w:rPr>
              <w:t> </w:t>
            </w:r>
            <w:r>
              <w:rPr>
                <w:w w:val="120"/>
                <w:sz w:val="20"/>
              </w:rPr>
              <w:t>church’,</w:t>
            </w:r>
          </w:p>
          <w:p>
            <w:pPr>
              <w:pStyle w:val="TableParagraph"/>
              <w:spacing w:before="5"/>
              <w:ind w:left="1074"/>
              <w:rPr>
                <w:sz w:val="20"/>
              </w:rPr>
            </w:pPr>
            <w:r>
              <w:rPr>
                <w:spacing w:val="5"/>
                <w:w w:val="120"/>
                <w:sz w:val="20"/>
              </w:rPr>
              <w:t>said</w:t>
            </w:r>
            <w:r>
              <w:rPr>
                <w:spacing w:val="11"/>
                <w:w w:val="120"/>
                <w:sz w:val="20"/>
              </w:rPr>
              <w:t> </w:t>
            </w:r>
            <w:r>
              <w:rPr>
                <w:w w:val="120"/>
                <w:sz w:val="20"/>
              </w:rPr>
              <w:t>my</w:t>
            </w:r>
            <w:r>
              <w:rPr>
                <w:spacing w:val="11"/>
                <w:w w:val="120"/>
                <w:sz w:val="20"/>
              </w:rPr>
              <w:t> </w:t>
            </w:r>
            <w:r>
              <w:rPr>
                <w:spacing w:val="4"/>
                <w:w w:val="120"/>
                <w:sz w:val="20"/>
              </w:rPr>
              <w:t>mum,</w:t>
            </w:r>
            <w:r>
              <w:rPr>
                <w:spacing w:val="11"/>
                <w:w w:val="120"/>
                <w:sz w:val="20"/>
              </w:rPr>
              <w:t> </w:t>
            </w:r>
            <w:r>
              <w:rPr>
                <w:spacing w:val="3"/>
                <w:w w:val="120"/>
                <w:sz w:val="20"/>
              </w:rPr>
              <w:t>‘but</w:t>
            </w:r>
            <w:r>
              <w:rPr>
                <w:spacing w:val="11"/>
                <w:w w:val="120"/>
                <w:sz w:val="20"/>
              </w:rPr>
              <w:t> </w:t>
            </w:r>
            <w:r>
              <w:rPr>
                <w:spacing w:val="3"/>
                <w:w w:val="120"/>
                <w:sz w:val="20"/>
              </w:rPr>
              <w:t>he</w:t>
            </w:r>
            <w:r>
              <w:rPr>
                <w:spacing w:val="11"/>
                <w:w w:val="120"/>
                <w:sz w:val="20"/>
              </w:rPr>
              <w:t> </w:t>
            </w:r>
            <w:r>
              <w:rPr>
                <w:spacing w:val="4"/>
                <w:w w:val="120"/>
                <w:sz w:val="20"/>
              </w:rPr>
              <w:t>was</w:t>
            </w:r>
            <w:r>
              <w:rPr>
                <w:spacing w:val="11"/>
                <w:w w:val="120"/>
                <w:sz w:val="20"/>
              </w:rPr>
              <w:t> </w:t>
            </w:r>
            <w:r>
              <w:rPr>
                <w:spacing w:val="4"/>
                <w:w w:val="120"/>
                <w:sz w:val="20"/>
              </w:rPr>
              <w:t>glad</w:t>
            </w:r>
            <w:r>
              <w:rPr>
                <w:spacing w:val="11"/>
                <w:w w:val="120"/>
                <w:sz w:val="20"/>
              </w:rPr>
              <w:t> </w:t>
            </w:r>
            <w:r>
              <w:rPr>
                <w:w w:val="120"/>
                <w:sz w:val="20"/>
              </w:rPr>
              <w:t>to</w:t>
            </w:r>
            <w:r>
              <w:rPr>
                <w:spacing w:val="12"/>
                <w:w w:val="120"/>
                <w:sz w:val="20"/>
              </w:rPr>
              <w:t> </w:t>
            </w:r>
            <w:r>
              <w:rPr>
                <w:spacing w:val="4"/>
                <w:w w:val="120"/>
                <w:sz w:val="20"/>
              </w:rPr>
              <w:t>see</w:t>
            </w:r>
            <w:r>
              <w:rPr>
                <w:spacing w:val="11"/>
                <w:w w:val="120"/>
                <w:sz w:val="20"/>
              </w:rPr>
              <w:t> </w:t>
            </w:r>
            <w:r>
              <w:rPr>
                <w:spacing w:val="3"/>
                <w:w w:val="120"/>
                <w:sz w:val="20"/>
              </w:rPr>
              <w:t>me</w:t>
            </w:r>
            <w:r>
              <w:rPr>
                <w:spacing w:val="11"/>
                <w:w w:val="120"/>
                <w:sz w:val="20"/>
              </w:rPr>
              <w:t> </w:t>
            </w:r>
            <w:r>
              <w:rPr>
                <w:spacing w:val="4"/>
                <w:w w:val="120"/>
                <w:sz w:val="20"/>
              </w:rPr>
              <w:t>and</w:t>
            </w:r>
            <w:r>
              <w:rPr>
                <w:spacing w:val="11"/>
                <w:w w:val="120"/>
                <w:sz w:val="20"/>
              </w:rPr>
              <w:t> </w:t>
            </w:r>
            <w:r>
              <w:rPr>
                <w:spacing w:val="3"/>
                <w:w w:val="120"/>
                <w:sz w:val="20"/>
              </w:rPr>
              <w:t>he</w:t>
            </w:r>
            <w:r>
              <w:rPr>
                <w:spacing w:val="11"/>
                <w:w w:val="120"/>
                <w:sz w:val="20"/>
              </w:rPr>
              <w:t> </w:t>
            </w:r>
            <w:r>
              <w:rPr>
                <w:spacing w:val="4"/>
                <w:w w:val="120"/>
                <w:sz w:val="20"/>
              </w:rPr>
              <w:t>liked</w:t>
            </w:r>
            <w:r>
              <w:rPr>
                <w:spacing w:val="11"/>
                <w:w w:val="120"/>
                <w:sz w:val="20"/>
              </w:rPr>
              <w:t> </w:t>
            </w:r>
            <w:r>
              <w:rPr>
                <w:spacing w:val="4"/>
                <w:w w:val="120"/>
                <w:sz w:val="20"/>
              </w:rPr>
              <w:t>the</w:t>
            </w:r>
            <w:r>
              <w:rPr>
                <w:spacing w:val="11"/>
                <w:w w:val="120"/>
                <w:sz w:val="20"/>
              </w:rPr>
              <w:t> </w:t>
            </w:r>
            <w:r>
              <w:rPr>
                <w:spacing w:val="5"/>
                <w:w w:val="120"/>
                <w:sz w:val="20"/>
              </w:rPr>
              <w:t>prayer</w:t>
            </w:r>
            <w:r>
              <w:rPr>
                <w:spacing w:val="12"/>
                <w:w w:val="120"/>
                <w:sz w:val="20"/>
              </w:rPr>
              <w:t> </w:t>
            </w:r>
            <w:r>
              <w:rPr>
                <w:spacing w:val="2"/>
                <w:w w:val="120"/>
                <w:sz w:val="20"/>
              </w:rPr>
              <w:t>shawl’.</w:t>
            </w:r>
          </w:p>
        </w:tc>
      </w:tr>
      <w:tr>
        <w:trPr>
          <w:trHeight w:val="4482" w:hRule="atLeast"/>
        </w:trPr>
        <w:tc>
          <w:tcPr>
            <w:tcW w:w="373" w:type="dxa"/>
            <w:tcBorders>
              <w:top w:val="single" w:sz="8" w:space="0" w:color="F5E1D6"/>
              <w:right w:val="dotted" w:sz="8" w:space="0" w:color="868685"/>
            </w:tcBorders>
          </w:tcPr>
          <w:p>
            <w:pPr>
              <w:pStyle w:val="TableParagraph"/>
              <w:rPr>
                <w:rFonts w:ascii="Times New Roman"/>
                <w:sz w:val="20"/>
              </w:rPr>
            </w:pPr>
          </w:p>
        </w:tc>
        <w:tc>
          <w:tcPr>
            <w:tcW w:w="9241" w:type="dxa"/>
            <w:tcBorders>
              <w:top w:val="single" w:sz="8" w:space="0" w:color="F5E1D6"/>
              <w:left w:val="dotted" w:sz="8" w:space="0" w:color="868685"/>
            </w:tcBorders>
          </w:tcPr>
          <w:p>
            <w:pPr>
              <w:pStyle w:val="TableParagraph"/>
              <w:spacing w:before="4"/>
              <w:rPr>
                <w:sz w:val="23"/>
              </w:rPr>
            </w:pPr>
          </w:p>
          <w:p>
            <w:pPr>
              <w:pStyle w:val="TableParagraph"/>
              <w:tabs>
                <w:tab w:pos="918" w:val="left" w:leader="none"/>
              </w:tabs>
              <w:spacing w:line="235" w:lineRule="auto"/>
              <w:ind w:left="237" w:right="470"/>
              <w:rPr>
                <w:sz w:val="20"/>
              </w:rPr>
            </w:pPr>
            <w:r>
              <w:rPr>
                <w:spacing w:val="-3"/>
                <w:w w:val="120"/>
                <w:sz w:val="20"/>
              </w:rPr>
              <w:t>4.3</w:t>
              <w:tab/>
            </w:r>
            <w:r>
              <w:rPr>
                <w:w w:val="120"/>
                <w:sz w:val="20"/>
              </w:rPr>
              <w:t>We hope you will have some stories of faith sharing to tell. Please get in touch at </w:t>
            </w:r>
            <w:hyperlink r:id="rId116">
              <w:r>
                <w:rPr>
                  <w:w w:val="120"/>
                  <w:sz w:val="20"/>
                </w:rPr>
                <w:t>admin@Vision4Life.org.uk </w:t>
              </w:r>
            </w:hyperlink>
            <w:r>
              <w:rPr>
                <w:w w:val="120"/>
                <w:sz w:val="20"/>
              </w:rPr>
              <w:t>. A booklet and web based materials are being produced. Don’t forget to sign up in good time if you have not already done so. This helps us to know how many booklets will be</w:t>
            </w:r>
            <w:r>
              <w:rPr>
                <w:spacing w:val="15"/>
                <w:w w:val="120"/>
                <w:sz w:val="20"/>
              </w:rPr>
              <w:t> </w:t>
            </w:r>
            <w:r>
              <w:rPr>
                <w:w w:val="120"/>
                <w:sz w:val="20"/>
              </w:rPr>
              <w:t>required.</w:t>
            </w:r>
          </w:p>
          <w:p>
            <w:pPr>
              <w:pStyle w:val="TableParagraph"/>
              <w:tabs>
                <w:tab w:pos="960" w:val="left" w:leader="none"/>
              </w:tabs>
              <w:spacing w:before="125"/>
              <w:ind w:left="240"/>
              <w:rPr>
                <w:rFonts w:ascii="Stone Sans II ITC Std Bk"/>
                <w:b/>
                <w:sz w:val="21"/>
              </w:rPr>
            </w:pPr>
            <w:r>
              <w:rPr>
                <w:rFonts w:ascii="Stone Sans II ITC Std Bk"/>
                <w:b/>
                <w:w w:val="110"/>
                <w:sz w:val="21"/>
              </w:rPr>
              <w:t>5</w:t>
              <w:tab/>
            </w:r>
            <w:r>
              <w:rPr>
                <w:rFonts w:ascii="Arial Rounded MT Bold"/>
                <w:sz w:val="29"/>
              </w:rPr>
              <w:t>Vision4</w:t>
            </w:r>
            <w:r>
              <w:rPr>
                <w:rFonts w:ascii="Bradley Hand ITC"/>
                <w:color w:val="C20D19"/>
                <w:sz w:val="36"/>
              </w:rPr>
              <w:t>Life</w:t>
            </w:r>
            <w:r>
              <w:rPr>
                <w:rFonts w:ascii="Bradley Hand ITC"/>
                <w:color w:val="C20D19"/>
                <w:spacing w:val="-56"/>
                <w:sz w:val="36"/>
              </w:rPr>
              <w:t> </w:t>
            </w:r>
            <w:r>
              <w:rPr>
                <w:rFonts w:ascii="Stone Sans II ITC Std Bk"/>
                <w:b/>
                <w:color w:val="C20D19"/>
                <w:w w:val="110"/>
                <w:sz w:val="21"/>
              </w:rPr>
              <w:t>at the Windermere Centre</w:t>
            </w:r>
          </w:p>
          <w:p>
            <w:pPr>
              <w:pStyle w:val="TableParagraph"/>
              <w:spacing w:line="211" w:lineRule="auto" w:before="127"/>
              <w:ind w:left="240" w:right="275" w:hanging="1"/>
              <w:rPr>
                <w:sz w:val="20"/>
              </w:rPr>
            </w:pPr>
            <w:r>
              <w:rPr>
                <w:w w:val="120"/>
                <w:sz w:val="20"/>
              </w:rPr>
              <w:t>Since 2008, the Windermere Centre has based its programme around </w:t>
            </w:r>
            <w:r>
              <w:rPr>
                <w:rFonts w:ascii="Arial Rounded MT Bold"/>
                <w:sz w:val="21"/>
              </w:rPr>
              <w:t>Vision4</w:t>
            </w:r>
            <w:r>
              <w:rPr>
                <w:rFonts w:ascii="Bradley Hand ITC"/>
                <w:color w:val="C20D19"/>
                <w:sz w:val="28"/>
              </w:rPr>
              <w:t>Life</w:t>
            </w:r>
            <w:r>
              <w:rPr>
                <w:sz w:val="20"/>
              </w:rPr>
              <w:t>, </w:t>
            </w:r>
            <w:r>
              <w:rPr>
                <w:w w:val="120"/>
                <w:sz w:val="20"/>
              </w:rPr>
              <w:t>looking to prepare churches for the relevant year ahead: Bible study leaders, prayer group leaders and people who can begin to unearth the faith stories of local church</w:t>
            </w:r>
          </w:p>
          <w:p>
            <w:pPr>
              <w:pStyle w:val="TableParagraph"/>
              <w:spacing w:line="216" w:lineRule="auto" w:before="21"/>
              <w:ind w:left="240" w:right="678"/>
              <w:rPr>
                <w:sz w:val="20"/>
              </w:rPr>
            </w:pPr>
            <w:r>
              <w:rPr>
                <w:w w:val="120"/>
                <w:sz w:val="20"/>
              </w:rPr>
              <w:t>congregations and their members. The Centre has run courses which look at prayer, Bible study and evangelism from different angles and approaches, supplementing the</w:t>
            </w:r>
            <w:r>
              <w:rPr>
                <w:spacing w:val="-22"/>
                <w:w w:val="120"/>
                <w:sz w:val="20"/>
              </w:rPr>
              <w:t> </w:t>
            </w:r>
            <w:r>
              <w:rPr>
                <w:w w:val="120"/>
                <w:sz w:val="20"/>
              </w:rPr>
              <w:t>materials</w:t>
            </w:r>
            <w:r>
              <w:rPr>
                <w:spacing w:val="-21"/>
                <w:w w:val="120"/>
                <w:sz w:val="20"/>
              </w:rPr>
              <w:t> </w:t>
            </w:r>
            <w:r>
              <w:rPr>
                <w:w w:val="120"/>
                <w:sz w:val="20"/>
              </w:rPr>
              <w:t>produced</w:t>
            </w:r>
            <w:r>
              <w:rPr>
                <w:spacing w:val="-21"/>
                <w:w w:val="120"/>
                <w:sz w:val="20"/>
              </w:rPr>
              <w:t> </w:t>
            </w:r>
            <w:r>
              <w:rPr>
                <w:w w:val="120"/>
                <w:sz w:val="20"/>
              </w:rPr>
              <w:t>by</w:t>
            </w:r>
            <w:r>
              <w:rPr>
                <w:spacing w:val="-21"/>
                <w:w w:val="120"/>
                <w:sz w:val="20"/>
              </w:rPr>
              <w:t> </w:t>
            </w:r>
            <w:r>
              <w:rPr>
                <w:rFonts w:ascii="Arial Rounded MT Bold"/>
                <w:sz w:val="21"/>
              </w:rPr>
              <w:t>Vision4</w:t>
            </w:r>
            <w:r>
              <w:rPr>
                <w:rFonts w:ascii="Bradley Hand ITC"/>
                <w:color w:val="C20D19"/>
                <w:sz w:val="28"/>
              </w:rPr>
              <w:t>Life</w:t>
            </w:r>
            <w:r>
              <w:rPr>
                <w:sz w:val="20"/>
              </w:rPr>
              <w:t>.</w:t>
            </w:r>
            <w:r>
              <w:rPr>
                <w:spacing w:val="-12"/>
                <w:sz w:val="20"/>
              </w:rPr>
              <w:t> </w:t>
            </w:r>
            <w:r>
              <w:rPr>
                <w:w w:val="120"/>
                <w:sz w:val="20"/>
              </w:rPr>
              <w:t>Importantly,</w:t>
            </w:r>
            <w:r>
              <w:rPr>
                <w:spacing w:val="-21"/>
                <w:w w:val="120"/>
                <w:sz w:val="20"/>
              </w:rPr>
              <w:t> </w:t>
            </w:r>
            <w:r>
              <w:rPr>
                <w:w w:val="120"/>
                <w:sz w:val="20"/>
              </w:rPr>
              <w:t>by</w:t>
            </w:r>
            <w:r>
              <w:rPr>
                <w:spacing w:val="-22"/>
                <w:w w:val="120"/>
                <w:sz w:val="20"/>
              </w:rPr>
              <w:t> </w:t>
            </w:r>
            <w:r>
              <w:rPr>
                <w:w w:val="120"/>
                <w:sz w:val="20"/>
              </w:rPr>
              <w:t>running</w:t>
            </w:r>
            <w:r>
              <w:rPr>
                <w:spacing w:val="-21"/>
                <w:w w:val="120"/>
                <w:sz w:val="20"/>
              </w:rPr>
              <w:t> </w:t>
            </w:r>
            <w:r>
              <w:rPr>
                <w:w w:val="120"/>
                <w:sz w:val="20"/>
              </w:rPr>
              <w:t>events</w:t>
            </w:r>
            <w:r>
              <w:rPr>
                <w:spacing w:val="-21"/>
                <w:w w:val="120"/>
                <w:sz w:val="20"/>
              </w:rPr>
              <w:t> </w:t>
            </w:r>
            <w:r>
              <w:rPr>
                <w:w w:val="120"/>
                <w:sz w:val="20"/>
              </w:rPr>
              <w:t>each</w:t>
            </w:r>
            <w:r>
              <w:rPr>
                <w:spacing w:val="-21"/>
                <w:w w:val="120"/>
                <w:sz w:val="20"/>
              </w:rPr>
              <w:t> </w:t>
            </w:r>
            <w:r>
              <w:rPr>
                <w:w w:val="120"/>
                <w:sz w:val="20"/>
              </w:rPr>
              <w:t>year</w:t>
            </w:r>
            <w:r>
              <w:rPr>
                <w:spacing w:val="-21"/>
                <w:w w:val="120"/>
                <w:sz w:val="20"/>
              </w:rPr>
              <w:t> </w:t>
            </w:r>
            <w:r>
              <w:rPr>
                <w:w w:val="120"/>
                <w:sz w:val="20"/>
              </w:rPr>
              <w:t>on</w:t>
            </w:r>
            <w:r>
              <w:rPr>
                <w:spacing w:val="-22"/>
                <w:w w:val="120"/>
                <w:sz w:val="20"/>
              </w:rPr>
              <w:t> </w:t>
            </w:r>
            <w:r>
              <w:rPr>
                <w:w w:val="120"/>
                <w:sz w:val="20"/>
              </w:rPr>
              <w:t>all</w:t>
            </w:r>
          </w:p>
          <w:p>
            <w:pPr>
              <w:pStyle w:val="TableParagraph"/>
              <w:spacing w:line="218" w:lineRule="exact"/>
              <w:ind w:left="240"/>
              <w:rPr>
                <w:sz w:val="20"/>
              </w:rPr>
            </w:pPr>
            <w:r>
              <w:rPr>
                <w:w w:val="115"/>
                <w:sz w:val="20"/>
              </w:rPr>
              <w:t>three aspects of </w:t>
            </w:r>
            <w:r>
              <w:rPr>
                <w:rFonts w:ascii="Arial Rounded MT Bold" w:hAnsi="Arial Rounded MT Bold"/>
                <w:sz w:val="21"/>
              </w:rPr>
              <w:t>Vision4</w:t>
            </w:r>
            <w:r>
              <w:rPr>
                <w:rFonts w:ascii="Bradley Hand ITC" w:hAnsi="Bradley Hand ITC"/>
                <w:color w:val="C20D19"/>
                <w:sz w:val="28"/>
              </w:rPr>
              <w:t>Life</w:t>
            </w:r>
            <w:r>
              <w:rPr>
                <w:sz w:val="20"/>
              </w:rPr>
              <w:t>, </w:t>
            </w:r>
            <w:r>
              <w:rPr>
                <w:w w:val="115"/>
                <w:sz w:val="20"/>
              </w:rPr>
              <w:t>the </w:t>
            </w:r>
            <w:r>
              <w:rPr>
                <w:spacing w:val="-3"/>
                <w:w w:val="115"/>
                <w:sz w:val="20"/>
              </w:rPr>
              <w:t>Centre’s </w:t>
            </w:r>
            <w:r>
              <w:rPr>
                <w:w w:val="115"/>
                <w:sz w:val="20"/>
              </w:rPr>
              <w:t>programme is intended to emphasise the</w:t>
            </w:r>
            <w:r>
              <w:rPr>
                <w:spacing w:val="28"/>
                <w:w w:val="115"/>
                <w:sz w:val="20"/>
              </w:rPr>
              <w:t> </w:t>
            </w:r>
            <w:r>
              <w:rPr>
                <w:w w:val="115"/>
                <w:sz w:val="20"/>
              </w:rPr>
              <w:t>inter-</w:t>
            </w:r>
          </w:p>
          <w:p>
            <w:pPr>
              <w:pStyle w:val="TableParagraph"/>
              <w:spacing w:line="211" w:lineRule="exact"/>
              <w:ind w:left="240"/>
              <w:rPr>
                <w:sz w:val="20"/>
              </w:rPr>
            </w:pPr>
            <w:r>
              <w:rPr>
                <w:w w:val="120"/>
                <w:sz w:val="20"/>
              </w:rPr>
              <w:t>connectedness of the three year process of re-engagement with our spiritual roots</w:t>
            </w:r>
            <w:r>
              <w:rPr>
                <w:spacing w:val="39"/>
                <w:w w:val="120"/>
                <w:sz w:val="20"/>
              </w:rPr>
              <w:t> </w:t>
            </w:r>
            <w:r>
              <w:rPr>
                <w:w w:val="120"/>
                <w:sz w:val="20"/>
              </w:rPr>
              <w:t>and</w:t>
            </w:r>
          </w:p>
          <w:p>
            <w:pPr>
              <w:pStyle w:val="TableParagraph"/>
              <w:spacing w:line="235" w:lineRule="auto" w:before="2"/>
              <w:ind w:left="240" w:right="275"/>
              <w:rPr>
                <w:sz w:val="20"/>
              </w:rPr>
            </w:pPr>
            <w:r>
              <w:rPr>
                <w:w w:val="120"/>
                <w:sz w:val="20"/>
              </w:rPr>
              <w:t>of renewal and transformation. Please visit the Windermere Centre website for their full programme: </w:t>
            </w:r>
            <w:hyperlink r:id="rId117">
              <w:r>
                <w:rPr>
                  <w:w w:val="120"/>
                  <w:sz w:val="20"/>
                </w:rPr>
                <w:t>http://windermere.urc.org.uk</w:t>
              </w:r>
            </w:hyperlink>
          </w:p>
        </w:tc>
      </w:tr>
    </w:tbl>
    <w:p>
      <w:pPr>
        <w:pStyle w:val="BodyText"/>
        <w:spacing w:line="20" w:lineRule="exact"/>
        <w:ind w:left="1723"/>
        <w:rPr>
          <w:sz w:val="2"/>
        </w:rPr>
      </w:pPr>
      <w:r>
        <w:rPr/>
        <w:pict>
          <v:rect style="position:absolute;margin-left:558.424988pt;margin-top:62.480015pt;width:22.677pt;height:22.677pt;mso-position-horizontal-relative:page;mso-position-vertical-relative:page;z-index:-267620352" filled="true" fillcolor="#ebc3ae" stroked="false">
            <v:fill opacity="32768f" type="solid"/>
            <w10:wrap type="none"/>
          </v:rect>
        </w:pict>
      </w:r>
      <w:r>
        <w:rPr/>
        <w:pict>
          <v:line style="position:absolute;mso-position-horizontal-relative:page;mso-position-vertical-relative:page;z-index:251804672" from="86.673203pt,68.531113pt" to="86.673203pt,68.531113pt" stroked="true" strokeweight="1pt" strokecolor="#868685">
            <v:stroke dashstyle="solid"/>
            <w10:wrap type="none"/>
          </v:line>
        </w:pict>
      </w:r>
      <w:r>
        <w:rPr/>
        <w:pict>
          <v:group style="position:absolute;margin-left:68.030998pt;margin-top:211.917007pt;width:480.7pt;height:355.2pt;mso-position-horizontal-relative:page;mso-position-vertical-relative:page;z-index:-267618304" coordorigin="1361,4238" coordsize="9614,7104">
            <v:rect style="position:absolute;left:1360;top:4238;width:9614;height:7104" filled="true" fillcolor="#f5e1d6" stroked="false">
              <v:fill type="solid"/>
            </v:rect>
            <v:shape style="position:absolute;left:1375;top:4242;width:998;height:1015" type="#_x0000_t75" stroked="false">
              <v:imagedata r:id="rId118" o:title=""/>
            </v:shape>
            <w10:wrap type="none"/>
          </v:group>
        </w:pict>
      </w:r>
      <w:r>
        <w:rPr/>
        <w:drawing>
          <wp:anchor distT="0" distB="0" distL="0" distR="0" allowOverlap="1" layoutInCell="1" locked="0" behindDoc="1" simplePos="0" relativeHeight="235699200">
            <wp:simplePos x="0" y="0"/>
            <wp:positionH relativeFrom="page">
              <wp:posOffset>4196229</wp:posOffset>
            </wp:positionH>
            <wp:positionV relativeFrom="page">
              <wp:posOffset>1500956</wp:posOffset>
            </wp:positionV>
            <wp:extent cx="232563" cy="180975"/>
            <wp:effectExtent l="0" t="0" r="0" b="0"/>
            <wp:wrapNone/>
            <wp:docPr id="69" name="image73.png"/>
            <wp:cNvGraphicFramePr>
              <a:graphicFrameLocks noChangeAspect="1"/>
            </wp:cNvGraphicFramePr>
            <a:graphic>
              <a:graphicData uri="http://schemas.openxmlformats.org/drawingml/2006/picture">
                <pic:pic>
                  <pic:nvPicPr>
                    <pic:cNvPr id="70" name="image73.png"/>
                    <pic:cNvPicPr/>
                  </pic:nvPicPr>
                  <pic:blipFill>
                    <a:blip r:embed="rId119"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700224">
            <wp:simplePos x="0" y="0"/>
            <wp:positionH relativeFrom="page">
              <wp:posOffset>2162150</wp:posOffset>
            </wp:positionH>
            <wp:positionV relativeFrom="page">
              <wp:posOffset>8107583</wp:posOffset>
            </wp:positionV>
            <wp:extent cx="300426" cy="233362"/>
            <wp:effectExtent l="0" t="0" r="0" b="0"/>
            <wp:wrapNone/>
            <wp:docPr id="71" name="image74.png"/>
            <wp:cNvGraphicFramePr>
              <a:graphicFrameLocks noChangeAspect="1"/>
            </wp:cNvGraphicFramePr>
            <a:graphic>
              <a:graphicData uri="http://schemas.openxmlformats.org/drawingml/2006/picture">
                <pic:pic>
                  <pic:nvPicPr>
                    <pic:cNvPr id="72" name="image74.png"/>
                    <pic:cNvPicPr/>
                  </pic:nvPicPr>
                  <pic:blipFill>
                    <a:blip r:embed="rId120" cstate="print"/>
                    <a:stretch>
                      <a:fillRect/>
                    </a:stretch>
                  </pic:blipFill>
                  <pic:spPr>
                    <a:xfrm>
                      <a:off x="0" y="0"/>
                      <a:ext cx="300426" cy="233362"/>
                    </a:xfrm>
                    <a:prstGeom prst="rect">
                      <a:avLst/>
                    </a:prstGeom>
                  </pic:spPr>
                </pic:pic>
              </a:graphicData>
            </a:graphic>
          </wp:anchor>
        </w:drawing>
      </w:r>
      <w:r>
        <w:rPr/>
        <w:drawing>
          <wp:anchor distT="0" distB="0" distL="0" distR="0" allowOverlap="1" layoutInCell="1" locked="0" behindDoc="1" simplePos="0" relativeHeight="235701248">
            <wp:simplePos x="0" y="0"/>
            <wp:positionH relativeFrom="page">
              <wp:posOffset>5999830</wp:posOffset>
            </wp:positionH>
            <wp:positionV relativeFrom="page">
              <wp:posOffset>8447855</wp:posOffset>
            </wp:positionV>
            <wp:extent cx="232564" cy="180975"/>
            <wp:effectExtent l="0" t="0" r="0" b="0"/>
            <wp:wrapNone/>
            <wp:docPr id="73" name="image75.png"/>
            <wp:cNvGraphicFramePr>
              <a:graphicFrameLocks noChangeAspect="1"/>
            </wp:cNvGraphicFramePr>
            <a:graphic>
              <a:graphicData uri="http://schemas.openxmlformats.org/drawingml/2006/picture">
                <pic:pic>
                  <pic:nvPicPr>
                    <pic:cNvPr id="74" name="image75.png"/>
                    <pic:cNvPicPr/>
                  </pic:nvPicPr>
                  <pic:blipFill>
                    <a:blip r:embed="rId121"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702272">
            <wp:simplePos x="0" y="0"/>
            <wp:positionH relativeFrom="page">
              <wp:posOffset>3281652</wp:posOffset>
            </wp:positionH>
            <wp:positionV relativeFrom="page">
              <wp:posOffset>9209855</wp:posOffset>
            </wp:positionV>
            <wp:extent cx="232564" cy="180975"/>
            <wp:effectExtent l="0" t="0" r="0" b="0"/>
            <wp:wrapNone/>
            <wp:docPr id="75" name="image76.png"/>
            <wp:cNvGraphicFramePr>
              <a:graphicFrameLocks noChangeAspect="1"/>
            </wp:cNvGraphicFramePr>
            <a:graphic>
              <a:graphicData uri="http://schemas.openxmlformats.org/drawingml/2006/picture">
                <pic:pic>
                  <pic:nvPicPr>
                    <pic:cNvPr id="76" name="image76.png"/>
                    <pic:cNvPicPr/>
                  </pic:nvPicPr>
                  <pic:blipFill>
                    <a:blip r:embed="rId122"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703296">
            <wp:simplePos x="0" y="0"/>
            <wp:positionH relativeFrom="page">
              <wp:posOffset>2629613</wp:posOffset>
            </wp:positionH>
            <wp:positionV relativeFrom="page">
              <wp:posOffset>9362255</wp:posOffset>
            </wp:positionV>
            <wp:extent cx="232563" cy="180975"/>
            <wp:effectExtent l="0" t="0" r="0" b="0"/>
            <wp:wrapNone/>
            <wp:docPr id="77" name="image77.png"/>
            <wp:cNvGraphicFramePr>
              <a:graphicFrameLocks noChangeAspect="1"/>
            </wp:cNvGraphicFramePr>
            <a:graphic>
              <a:graphicData uri="http://schemas.openxmlformats.org/drawingml/2006/picture">
                <pic:pic>
                  <pic:nvPicPr>
                    <pic:cNvPr id="78" name="image77.png"/>
                    <pic:cNvPicPr/>
                  </pic:nvPicPr>
                  <pic:blipFill>
                    <a:blip r:embed="rId123" cstate="print"/>
                    <a:stretch>
                      <a:fillRect/>
                    </a:stretch>
                  </pic:blipFill>
                  <pic:spPr>
                    <a:xfrm>
                      <a:off x="0" y="0"/>
                      <a:ext cx="232563" cy="180975"/>
                    </a:xfrm>
                    <a:prstGeom prst="rect">
                      <a:avLst/>
                    </a:prstGeom>
                  </pic:spPr>
                </pic:pic>
              </a:graphicData>
            </a:graphic>
          </wp:anchor>
        </w:drawing>
      </w:r>
      <w:r>
        <w:rPr>
          <w:sz w:val="2"/>
        </w:rPr>
        <w:pict>
          <v:group style="width:.1pt;height:1pt;mso-position-horizontal-relative:char;mso-position-vertical-relative:line" coordorigin="0,0" coordsize="2,20">
            <v:line style="position:absolute" from="0,10" to="0,10" stroked="true" strokeweight="1pt" strokecolor="#868685">
              <v:stroke dashstyle="solid"/>
            </v:line>
          </v:group>
        </w:pict>
      </w:r>
      <w:r>
        <w:rPr>
          <w:sz w:val="2"/>
        </w:rPr>
      </w:r>
    </w:p>
    <w:p>
      <w:pPr>
        <w:spacing w:after="0" w:line="20" w:lineRule="exact"/>
        <w:rPr>
          <w:sz w:val="2"/>
        </w:rPr>
        <w:sectPr>
          <w:headerReference w:type="default" r:id="rId115"/>
          <w:pgSz w:w="11910" w:h="16840"/>
          <w:pgMar w:header="0" w:footer="567" w:top="1420" w:bottom="760" w:left="0" w:right="0"/>
        </w:sectPr>
      </w:pPr>
    </w:p>
    <w:p>
      <w:pPr>
        <w:pStyle w:val="BodyText"/>
        <w:ind w:left="240"/>
      </w:pPr>
      <w:r>
        <w:rPr/>
        <w:pict>
          <v:rect style="position:absolute;margin-left:12.047pt;margin-top:30.472015pt;width:22.677pt;height:22.677pt;mso-position-horizontal-relative:page;mso-position-vertical-relative:paragraph;z-index:-251503616;mso-wrap-distance-left:0;mso-wrap-distance-right:0" filled="true" fillcolor="#dd977b" stroked="false">
            <v:fill type="solid"/>
            <w10:wrap type="topAndBottom"/>
          </v:rect>
        </w:pict>
      </w:r>
      <w:r>
        <w:rPr/>
        <w:drawing>
          <wp:anchor distT="0" distB="0" distL="0" distR="0" allowOverlap="1" layoutInCell="1" locked="0" behindDoc="0" simplePos="0" relativeHeight="152">
            <wp:simplePos x="0" y="0"/>
            <wp:positionH relativeFrom="page">
              <wp:posOffset>593999</wp:posOffset>
            </wp:positionH>
            <wp:positionV relativeFrom="paragraph">
              <wp:posOffset>377998</wp:posOffset>
            </wp:positionV>
            <wp:extent cx="1149417" cy="420624"/>
            <wp:effectExtent l="0" t="0" r="0" b="0"/>
            <wp:wrapTopAndBottom/>
            <wp:docPr id="79" name="image66.jpeg"/>
            <wp:cNvGraphicFramePr>
              <a:graphicFrameLocks noChangeAspect="1"/>
            </wp:cNvGraphicFramePr>
            <a:graphic>
              <a:graphicData uri="http://schemas.openxmlformats.org/drawingml/2006/picture">
                <pic:pic>
                  <pic:nvPicPr>
                    <pic:cNvPr id="80" name="image66.jpeg"/>
                    <pic:cNvPicPr/>
                  </pic:nvPicPr>
                  <pic:blipFill>
                    <a:blip r:embed="rId109" cstate="print"/>
                    <a:stretch>
                      <a:fillRect/>
                    </a:stretch>
                  </pic:blipFill>
                  <pic:spPr>
                    <a:xfrm>
                      <a:off x="0" y="0"/>
                      <a:ext cx="1149417" cy="420624"/>
                    </a:xfrm>
                    <a:prstGeom prst="rect">
                      <a:avLst/>
                    </a:prstGeom>
                  </pic:spPr>
                </pic:pic>
              </a:graphicData>
            </a:graphic>
          </wp:anchor>
        </w:drawing>
      </w:r>
      <w:r>
        <w:rPr/>
        <w:pict>
          <v:group style="position:absolute;margin-left:29.713593pt;margin-top:68.031113pt;width:480.7pt;height:723.7pt;mso-position-horizontal-relative:page;mso-position-vertical-relative:page;z-index:-267608064" coordorigin="594,1361" coordsize="9614,14474">
            <v:line style="position:absolute" from="889,1431" to="889,3360" stroked="true" strokeweight="1pt" strokecolor="#868685">
              <v:stroke dashstyle="dot"/>
            </v:line>
            <v:line style="position:absolute" from="889,1371" to="889,1371" stroked="true" strokeweight="1pt" strokecolor="#868685">
              <v:stroke dashstyle="solid"/>
            </v:line>
            <v:shape style="position:absolute;left:888;top:5902;width:2;height:9932" coordorigin="889,5903" coordsize="0,9932" path="m889,5903l889,9473m889,15616l889,15834e" filled="false" stroked="true" strokeweight="1pt" strokecolor="#868685">
              <v:path arrowok="t"/>
              <v:stroke dashstyle="dot"/>
            </v:shape>
            <v:rect style="position:absolute;left:594;top:9472;width:9614;height:6144" filled="true" fillcolor="#f5e1d6" stroked="false">
              <v:fill type="solid"/>
            </v:rect>
            <v:shape style="position:absolute;left:594;top:9462;width:9614;height:6164" coordorigin="594,9463" coordsize="9614,6164" path="m10208,15606l594,15606,594,15626,10208,15626,10208,15606m10208,9463l594,9463,594,9483,10208,9483,10208,9463e" filled="true" fillcolor="#f5e1d6" stroked="false">
              <v:path arrowok="t"/>
              <v:fill type="solid"/>
            </v:shape>
            <v:shape style="position:absolute;left:609;top:9477;width:998;height:1015" type="#_x0000_t75" stroked="false">
              <v:imagedata r:id="rId125" o:title=""/>
            </v:shape>
            <v:rect style="position:absolute;left:594;top:3359;width:9614;height:2544" filled="true" fillcolor="#f5e1d6" stroked="false">
              <v:fill type="solid"/>
            </v:rect>
            <v:shape style="position:absolute;left:594;top:3349;width:9614;height:2564" coordorigin="594,3350" coordsize="9614,2564" path="m10208,5893l594,5893,594,5913,10208,5913,10208,5893m10208,3350l594,3350,594,3370,10208,3370,10208,3350e" filled="true" fillcolor="#f5e1d6" stroked="false">
              <v:path arrowok="t"/>
              <v:fill type="solid"/>
            </v:shape>
            <v:shape style="position:absolute;left:609;top:3363;width:998;height:1015" type="#_x0000_t75" stroked="false">
              <v:imagedata r:id="rId126" o:title=""/>
            </v:shape>
            <v:shape style="position:absolute;left:3789;top:1587;width:469;height:365" type="#_x0000_t75" stroked="false">
              <v:imagedata r:id="rId127" o:title=""/>
            </v:shape>
            <v:shape style="position:absolute;left:6391;top:2123;width:367;height:286" type="#_x0000_t75" stroked="false">
              <v:imagedata r:id="rId128" o:title=""/>
            </v:shape>
            <v:shape style="position:absolute;left:9359;top:7143;width:367;height:286" type="#_x0000_t75" stroked="false">
              <v:imagedata r:id="rId129" o:title=""/>
            </v:shape>
            <v:shape style="position:absolute;left:2566;top:9783;width:367;height:286" type="#_x0000_t75" stroked="false">
              <v:imagedata r:id="rId130" o:title=""/>
            </v:shape>
            <v:shape style="position:absolute;left:3089;top:13383;width:367;height:286" type="#_x0000_t75" stroked="false">
              <v:imagedata r:id="rId131" o:title=""/>
            </v:shape>
            <v:shape style="position:absolute;left:4574;top:14583;width:367;height:286" type="#_x0000_t75" stroked="false">
              <v:imagedata r:id="rId131" o:title=""/>
            </v:shape>
            <w10:wrap type="none"/>
          </v:group>
        </w:pict>
      </w:r>
      <w:r>
        <w:rPr/>
        <w:pict>
          <v:group style="width:22.7pt;height:22.7pt;mso-position-horizontal-relative:char;mso-position-vertical-relative:line" coordorigin="0,0" coordsize="454,454">
            <v:rect style="position:absolute;left:0;top:0;width:454;height:454" filled="true" fillcolor="#c20d19" stroked="false">
              <v:fill type="solid"/>
            </v:rect>
          </v:group>
        </w:pict>
      </w:r>
      <w:r>
        <w:rPr/>
      </w:r>
    </w:p>
    <w:p>
      <w:pPr>
        <w:pStyle w:val="BodyText"/>
        <w:spacing w:before="3"/>
        <w:rPr>
          <w:sz w:val="12"/>
        </w:rPr>
      </w:pPr>
    </w:p>
    <w:p>
      <w:pPr>
        <w:pStyle w:val="ListParagraph"/>
        <w:numPr>
          <w:ilvl w:val="0"/>
          <w:numId w:val="54"/>
        </w:numPr>
        <w:tabs>
          <w:tab w:pos="1853" w:val="left" w:leader="none"/>
          <w:tab w:pos="1854" w:val="left" w:leader="none"/>
        </w:tabs>
        <w:spacing w:line="240" w:lineRule="auto" w:before="102" w:after="0"/>
        <w:ind w:left="1853" w:right="0" w:hanging="721"/>
        <w:jc w:val="left"/>
        <w:rPr>
          <w:rFonts w:ascii="Bradley Hand ITC"/>
          <w:sz w:val="36"/>
        </w:rPr>
      </w:pPr>
      <w:r>
        <w:rPr/>
        <w:pict>
          <v:rect style="position:absolute;margin-left:12.047pt;margin-top:-10.173109pt;width:22.677pt;height:22.677pt;mso-position-horizontal-relative:page;mso-position-vertical-relative:paragraph;z-index:-267609088" filled="true" fillcolor="#ebc3ae" stroked="false">
            <v:fill opacity="32768f" type="solid"/>
            <w10:wrap type="none"/>
          </v:rect>
        </w:pict>
      </w:r>
      <w:r>
        <w:rPr>
          <w:rFonts w:ascii="Stone Sans II ITC Std Bk"/>
          <w:b/>
          <w:color w:val="C20D19"/>
          <w:sz w:val="21"/>
        </w:rPr>
        <w:t>Not doing</w:t>
      </w:r>
      <w:r>
        <w:rPr>
          <w:rFonts w:ascii="Stone Sans II ITC Std Bk"/>
          <w:b/>
          <w:color w:val="C20D19"/>
          <w:spacing w:val="9"/>
          <w:sz w:val="21"/>
        </w:rPr>
        <w:t> </w:t>
      </w:r>
      <w:r>
        <w:rPr>
          <w:rFonts w:ascii="Arial Rounded MT Bold"/>
          <w:sz w:val="29"/>
        </w:rPr>
        <w:t>Vision4</w:t>
      </w:r>
      <w:r>
        <w:rPr>
          <w:rFonts w:ascii="Bradley Hand ITC"/>
          <w:color w:val="C20D19"/>
          <w:sz w:val="36"/>
        </w:rPr>
        <w:t>Life</w:t>
      </w:r>
    </w:p>
    <w:p>
      <w:pPr>
        <w:pStyle w:val="ListParagraph"/>
        <w:numPr>
          <w:ilvl w:val="1"/>
          <w:numId w:val="54"/>
        </w:numPr>
        <w:tabs>
          <w:tab w:pos="1853" w:val="left" w:leader="none"/>
          <w:tab w:pos="1854" w:val="left" w:leader="none"/>
        </w:tabs>
        <w:spacing w:line="192" w:lineRule="auto" w:before="147" w:after="0"/>
        <w:ind w:left="1133" w:right="2056" w:firstLine="0"/>
        <w:jc w:val="left"/>
        <w:rPr>
          <w:sz w:val="20"/>
        </w:rPr>
      </w:pPr>
      <w:r>
        <w:rPr>
          <w:w w:val="120"/>
          <w:sz w:val="20"/>
        </w:rPr>
        <w:t>What about churches that are not doing </w:t>
      </w:r>
      <w:r>
        <w:rPr>
          <w:rFonts w:ascii="Arial Rounded MT Bold"/>
          <w:sz w:val="21"/>
        </w:rPr>
        <w:t>Vision4</w:t>
      </w:r>
      <w:r>
        <w:rPr>
          <w:rFonts w:ascii="Bradley Hand ITC"/>
          <w:color w:val="C20D19"/>
          <w:sz w:val="28"/>
        </w:rPr>
        <w:t>Life</w:t>
      </w:r>
      <w:r>
        <w:rPr>
          <w:sz w:val="20"/>
        </w:rPr>
        <w:t>? </w:t>
      </w:r>
      <w:r>
        <w:rPr>
          <w:w w:val="120"/>
          <w:sz w:val="20"/>
        </w:rPr>
        <w:t>Nearly two thirds of the </w:t>
      </w:r>
      <w:r>
        <w:rPr>
          <w:spacing w:val="-3"/>
          <w:w w:val="120"/>
          <w:sz w:val="20"/>
        </w:rPr>
        <w:t>churches </w:t>
      </w:r>
      <w:r>
        <w:rPr>
          <w:w w:val="120"/>
          <w:sz w:val="20"/>
        </w:rPr>
        <w:t>are </w:t>
      </w:r>
      <w:r>
        <w:rPr>
          <w:spacing w:val="-2"/>
          <w:w w:val="120"/>
          <w:sz w:val="20"/>
        </w:rPr>
        <w:t>not </w:t>
      </w:r>
      <w:r>
        <w:rPr>
          <w:w w:val="120"/>
          <w:sz w:val="20"/>
        </w:rPr>
        <w:t>signed </w:t>
      </w:r>
      <w:r>
        <w:rPr>
          <w:spacing w:val="-3"/>
          <w:w w:val="120"/>
          <w:sz w:val="20"/>
        </w:rPr>
        <w:t>up. </w:t>
      </w:r>
      <w:r>
        <w:rPr>
          <w:spacing w:val="-4"/>
          <w:w w:val="120"/>
          <w:sz w:val="20"/>
        </w:rPr>
        <w:t>However, </w:t>
      </w:r>
      <w:r>
        <w:rPr>
          <w:w w:val="120"/>
          <w:sz w:val="20"/>
        </w:rPr>
        <w:t>some of them </w:t>
      </w:r>
      <w:r>
        <w:rPr>
          <w:spacing w:val="-2"/>
          <w:w w:val="120"/>
          <w:sz w:val="20"/>
        </w:rPr>
        <w:t>use </w:t>
      </w:r>
      <w:r>
        <w:rPr>
          <w:w w:val="120"/>
          <w:sz w:val="20"/>
        </w:rPr>
        <w:t>the </w:t>
      </w:r>
      <w:r>
        <w:rPr>
          <w:spacing w:val="-3"/>
          <w:w w:val="120"/>
          <w:sz w:val="20"/>
        </w:rPr>
        <w:t>material. </w:t>
      </w:r>
      <w:r>
        <w:rPr>
          <w:w w:val="120"/>
          <w:sz w:val="20"/>
        </w:rPr>
        <w:t>The purpose</w:t>
      </w:r>
      <w:r>
        <w:rPr>
          <w:spacing w:val="-15"/>
          <w:w w:val="120"/>
          <w:sz w:val="20"/>
        </w:rPr>
        <w:t> </w:t>
      </w:r>
      <w:r>
        <w:rPr>
          <w:w w:val="120"/>
          <w:sz w:val="20"/>
        </w:rPr>
        <w:t>of</w:t>
      </w:r>
    </w:p>
    <w:p>
      <w:pPr>
        <w:pStyle w:val="BodyText"/>
        <w:spacing w:line="235" w:lineRule="auto" w:before="8"/>
        <w:ind w:left="1133" w:right="1970"/>
      </w:pPr>
      <w:r>
        <w:rPr>
          <w:w w:val="120"/>
        </w:rPr>
        <w:t>signing up is to help us to co-ordinate the process, particularly the production of materials and receiving feedback. Even so, some groups are clearly struggling to get started:</w:t>
      </w:r>
    </w:p>
    <w:p>
      <w:pPr>
        <w:pStyle w:val="BodyText"/>
        <w:rPr>
          <w:sz w:val="24"/>
        </w:rPr>
      </w:pPr>
    </w:p>
    <w:p>
      <w:pPr>
        <w:pStyle w:val="BodyText"/>
        <w:spacing w:line="235" w:lineRule="auto" w:before="169"/>
        <w:ind w:left="1587" w:right="2130"/>
      </w:pPr>
      <w:r>
        <w:rPr>
          <w:w w:val="120"/>
        </w:rPr>
        <w:t>I </w:t>
      </w:r>
      <w:r>
        <w:rPr>
          <w:spacing w:val="4"/>
          <w:w w:val="120"/>
        </w:rPr>
        <w:t>was using </w:t>
      </w:r>
      <w:r>
        <w:rPr>
          <w:w w:val="120"/>
        </w:rPr>
        <w:t>a </w:t>
      </w:r>
      <w:r>
        <w:rPr>
          <w:spacing w:val="7"/>
          <w:w w:val="120"/>
        </w:rPr>
        <w:t>starter </w:t>
      </w:r>
      <w:r>
        <w:rPr>
          <w:spacing w:val="4"/>
          <w:w w:val="120"/>
        </w:rPr>
        <w:t>[from </w:t>
      </w:r>
      <w:r>
        <w:rPr>
          <w:spacing w:val="5"/>
          <w:w w:val="120"/>
        </w:rPr>
        <w:t>Bible </w:t>
      </w:r>
      <w:r>
        <w:rPr>
          <w:w w:val="120"/>
        </w:rPr>
        <w:t>Year] </w:t>
      </w:r>
      <w:r>
        <w:rPr>
          <w:spacing w:val="3"/>
          <w:w w:val="120"/>
        </w:rPr>
        <w:t>as </w:t>
      </w:r>
      <w:r>
        <w:rPr>
          <w:spacing w:val="5"/>
          <w:w w:val="120"/>
        </w:rPr>
        <w:t>opening devotions </w:t>
      </w:r>
      <w:r>
        <w:rPr>
          <w:spacing w:val="2"/>
          <w:w w:val="120"/>
        </w:rPr>
        <w:t>at </w:t>
      </w:r>
      <w:r>
        <w:rPr>
          <w:w w:val="120"/>
        </w:rPr>
        <w:t>a </w:t>
      </w:r>
      <w:r>
        <w:rPr>
          <w:spacing w:val="4"/>
          <w:w w:val="120"/>
        </w:rPr>
        <w:t>church </w:t>
      </w:r>
      <w:r>
        <w:rPr>
          <w:spacing w:val="5"/>
          <w:w w:val="120"/>
        </w:rPr>
        <w:t>meeting: some </w:t>
      </w:r>
      <w:r>
        <w:rPr>
          <w:spacing w:val="6"/>
          <w:w w:val="120"/>
        </w:rPr>
        <w:t>people </w:t>
      </w:r>
      <w:r>
        <w:rPr>
          <w:spacing w:val="4"/>
          <w:w w:val="120"/>
        </w:rPr>
        <w:t>saw the </w:t>
      </w:r>
      <w:r>
        <w:rPr>
          <w:spacing w:val="5"/>
          <w:w w:val="120"/>
        </w:rPr>
        <w:t>links with </w:t>
      </w:r>
      <w:r>
        <w:rPr>
          <w:spacing w:val="4"/>
          <w:w w:val="120"/>
        </w:rPr>
        <w:t>what </w:t>
      </w:r>
      <w:r>
        <w:rPr>
          <w:spacing w:val="2"/>
          <w:w w:val="120"/>
        </w:rPr>
        <w:t>we </w:t>
      </w:r>
      <w:r>
        <w:rPr>
          <w:spacing w:val="4"/>
          <w:w w:val="120"/>
        </w:rPr>
        <w:t>were </w:t>
      </w:r>
      <w:r>
        <w:rPr>
          <w:spacing w:val="5"/>
          <w:w w:val="120"/>
        </w:rPr>
        <w:t>going </w:t>
      </w:r>
      <w:r>
        <w:rPr>
          <w:w w:val="120"/>
        </w:rPr>
        <w:t>to </w:t>
      </w:r>
      <w:r>
        <w:rPr>
          <w:spacing w:val="5"/>
          <w:w w:val="120"/>
        </w:rPr>
        <w:t>discuss. </w:t>
      </w:r>
      <w:r>
        <w:rPr>
          <w:spacing w:val="6"/>
          <w:w w:val="120"/>
        </w:rPr>
        <w:t>Others </w:t>
      </w:r>
      <w:r>
        <w:rPr>
          <w:spacing w:val="4"/>
          <w:w w:val="120"/>
        </w:rPr>
        <w:t>were  glad </w:t>
      </w:r>
      <w:r>
        <w:rPr>
          <w:spacing w:val="5"/>
          <w:w w:val="120"/>
        </w:rPr>
        <w:t>when </w:t>
      </w:r>
      <w:r>
        <w:rPr>
          <w:spacing w:val="3"/>
          <w:w w:val="120"/>
        </w:rPr>
        <w:t>it </w:t>
      </w:r>
      <w:r>
        <w:rPr>
          <w:spacing w:val="4"/>
          <w:w w:val="120"/>
        </w:rPr>
        <w:t>was over and the </w:t>
      </w:r>
      <w:r>
        <w:rPr>
          <w:spacing w:val="5"/>
          <w:w w:val="120"/>
        </w:rPr>
        <w:t>business </w:t>
      </w:r>
      <w:r>
        <w:rPr>
          <w:spacing w:val="3"/>
          <w:w w:val="120"/>
        </w:rPr>
        <w:t>of </w:t>
      </w:r>
      <w:r>
        <w:rPr>
          <w:spacing w:val="4"/>
          <w:w w:val="120"/>
        </w:rPr>
        <w:t>the </w:t>
      </w:r>
      <w:r>
        <w:rPr>
          <w:spacing w:val="5"/>
          <w:w w:val="120"/>
        </w:rPr>
        <w:t>meeting </w:t>
      </w:r>
      <w:r>
        <w:rPr>
          <w:spacing w:val="4"/>
          <w:w w:val="120"/>
        </w:rPr>
        <w:t>could be done. </w:t>
      </w:r>
      <w:r>
        <w:rPr>
          <w:w w:val="120"/>
        </w:rPr>
        <w:t>Yet I </w:t>
      </w:r>
      <w:r>
        <w:rPr>
          <w:spacing w:val="4"/>
          <w:w w:val="120"/>
        </w:rPr>
        <w:t>saw  </w:t>
      </w:r>
      <w:r>
        <w:rPr>
          <w:spacing w:val="3"/>
          <w:w w:val="120"/>
        </w:rPr>
        <w:t>it</w:t>
      </w:r>
      <w:r>
        <w:rPr>
          <w:spacing w:val="13"/>
          <w:w w:val="120"/>
        </w:rPr>
        <w:t> </w:t>
      </w:r>
      <w:r>
        <w:rPr>
          <w:spacing w:val="3"/>
          <w:w w:val="120"/>
        </w:rPr>
        <w:t>as</w:t>
      </w:r>
      <w:r>
        <w:rPr>
          <w:spacing w:val="13"/>
          <w:w w:val="120"/>
        </w:rPr>
        <w:t> </w:t>
      </w:r>
      <w:r>
        <w:rPr>
          <w:spacing w:val="7"/>
          <w:w w:val="120"/>
        </w:rPr>
        <w:t>part</w:t>
      </w:r>
      <w:r>
        <w:rPr>
          <w:spacing w:val="13"/>
          <w:w w:val="120"/>
        </w:rPr>
        <w:t> </w:t>
      </w:r>
      <w:r>
        <w:rPr>
          <w:spacing w:val="3"/>
          <w:w w:val="120"/>
        </w:rPr>
        <w:t>of</w:t>
      </w:r>
      <w:r>
        <w:rPr>
          <w:spacing w:val="13"/>
          <w:w w:val="120"/>
        </w:rPr>
        <w:t> </w:t>
      </w:r>
      <w:r>
        <w:rPr>
          <w:spacing w:val="4"/>
          <w:w w:val="120"/>
        </w:rPr>
        <w:t>the</w:t>
      </w:r>
      <w:r>
        <w:rPr>
          <w:spacing w:val="13"/>
          <w:w w:val="120"/>
        </w:rPr>
        <w:t> </w:t>
      </w:r>
      <w:r>
        <w:rPr>
          <w:spacing w:val="5"/>
          <w:w w:val="120"/>
        </w:rPr>
        <w:t>business</w:t>
      </w:r>
      <w:r>
        <w:rPr>
          <w:spacing w:val="14"/>
          <w:w w:val="120"/>
        </w:rPr>
        <w:t> </w:t>
      </w:r>
      <w:r>
        <w:rPr>
          <w:spacing w:val="3"/>
          <w:w w:val="120"/>
        </w:rPr>
        <w:t>of</w:t>
      </w:r>
      <w:r>
        <w:rPr>
          <w:spacing w:val="13"/>
          <w:w w:val="120"/>
        </w:rPr>
        <w:t> </w:t>
      </w:r>
      <w:r>
        <w:rPr>
          <w:spacing w:val="4"/>
          <w:w w:val="120"/>
        </w:rPr>
        <w:t>the</w:t>
      </w:r>
      <w:r>
        <w:rPr>
          <w:spacing w:val="13"/>
          <w:w w:val="120"/>
        </w:rPr>
        <w:t> </w:t>
      </w:r>
      <w:r>
        <w:rPr>
          <w:spacing w:val="5"/>
          <w:w w:val="120"/>
        </w:rPr>
        <w:t>meeting</w:t>
      </w:r>
      <w:r>
        <w:rPr>
          <w:spacing w:val="13"/>
          <w:w w:val="120"/>
        </w:rPr>
        <w:t> </w:t>
      </w:r>
      <w:r>
        <w:rPr>
          <w:spacing w:val="4"/>
          <w:w w:val="120"/>
        </w:rPr>
        <w:t>and</w:t>
      </w:r>
      <w:r>
        <w:rPr>
          <w:spacing w:val="13"/>
          <w:w w:val="120"/>
        </w:rPr>
        <w:t> </w:t>
      </w:r>
      <w:r>
        <w:rPr>
          <w:spacing w:val="4"/>
          <w:w w:val="120"/>
        </w:rPr>
        <w:t>will</w:t>
      </w:r>
      <w:r>
        <w:rPr>
          <w:spacing w:val="14"/>
          <w:w w:val="120"/>
        </w:rPr>
        <w:t> </w:t>
      </w:r>
      <w:r>
        <w:rPr>
          <w:spacing w:val="3"/>
          <w:w w:val="120"/>
        </w:rPr>
        <w:t>do</w:t>
      </w:r>
      <w:r>
        <w:rPr>
          <w:spacing w:val="13"/>
          <w:w w:val="120"/>
        </w:rPr>
        <w:t> </w:t>
      </w:r>
      <w:r>
        <w:rPr>
          <w:spacing w:val="3"/>
          <w:w w:val="120"/>
        </w:rPr>
        <w:t>it</w:t>
      </w:r>
      <w:r>
        <w:rPr>
          <w:spacing w:val="13"/>
          <w:w w:val="120"/>
        </w:rPr>
        <w:t> </w:t>
      </w:r>
      <w:r>
        <w:rPr>
          <w:spacing w:val="5"/>
          <w:w w:val="120"/>
        </w:rPr>
        <w:t>again.</w:t>
      </w:r>
    </w:p>
    <w:p>
      <w:pPr>
        <w:pStyle w:val="BodyText"/>
        <w:spacing w:before="11"/>
        <w:rPr>
          <w:sz w:val="19"/>
        </w:rPr>
      </w:pPr>
    </w:p>
    <w:p>
      <w:pPr>
        <w:pStyle w:val="BodyText"/>
        <w:spacing w:line="235" w:lineRule="auto"/>
        <w:ind w:left="1587" w:right="2919" w:hanging="1"/>
      </w:pPr>
      <w:r>
        <w:rPr>
          <w:w w:val="115"/>
        </w:rPr>
        <w:t>I </w:t>
      </w:r>
      <w:r>
        <w:rPr>
          <w:spacing w:val="6"/>
          <w:w w:val="115"/>
        </w:rPr>
        <w:t>stopped looking </w:t>
      </w:r>
      <w:r>
        <w:rPr>
          <w:spacing w:val="2"/>
          <w:w w:val="115"/>
        </w:rPr>
        <w:t>at  </w:t>
      </w:r>
      <w:r>
        <w:rPr>
          <w:spacing w:val="4"/>
          <w:w w:val="115"/>
        </w:rPr>
        <w:t>the website </w:t>
      </w:r>
      <w:r>
        <w:rPr>
          <w:spacing w:val="5"/>
          <w:w w:val="115"/>
        </w:rPr>
        <w:t>because none/few </w:t>
      </w:r>
      <w:r>
        <w:rPr>
          <w:spacing w:val="3"/>
          <w:w w:val="115"/>
        </w:rPr>
        <w:t>of  </w:t>
      </w:r>
      <w:r>
        <w:rPr>
          <w:spacing w:val="4"/>
          <w:w w:val="115"/>
        </w:rPr>
        <w:t>the </w:t>
      </w:r>
      <w:r>
        <w:rPr>
          <w:spacing w:val="5"/>
          <w:w w:val="115"/>
        </w:rPr>
        <w:t>headings </w:t>
      </w:r>
      <w:r>
        <w:rPr>
          <w:spacing w:val="4"/>
          <w:w w:val="115"/>
        </w:rPr>
        <w:t>linked</w:t>
      </w:r>
      <w:r>
        <w:rPr>
          <w:spacing w:val="60"/>
          <w:w w:val="115"/>
        </w:rPr>
        <w:t> </w:t>
      </w:r>
      <w:r>
        <w:rPr>
          <w:w w:val="115"/>
        </w:rPr>
        <w:t>to</w:t>
      </w:r>
      <w:r>
        <w:rPr>
          <w:spacing w:val="18"/>
          <w:w w:val="115"/>
        </w:rPr>
        <w:t> </w:t>
      </w:r>
      <w:r>
        <w:rPr>
          <w:spacing w:val="5"/>
          <w:w w:val="115"/>
        </w:rPr>
        <w:t>anything.</w:t>
      </w:r>
    </w:p>
    <w:p>
      <w:pPr>
        <w:pStyle w:val="BodyText"/>
        <w:spacing w:before="5"/>
        <w:rPr>
          <w:sz w:val="19"/>
        </w:rPr>
      </w:pPr>
    </w:p>
    <w:p>
      <w:pPr>
        <w:pStyle w:val="BodyText"/>
        <w:spacing w:before="1"/>
        <w:ind w:left="1587"/>
      </w:pPr>
      <w:r>
        <w:rPr>
          <w:w w:val="115"/>
        </w:rPr>
        <w:t>We need more activities which were not there.</w:t>
      </w:r>
    </w:p>
    <w:p>
      <w:pPr>
        <w:pStyle w:val="BodyText"/>
        <w:rPr>
          <w:sz w:val="24"/>
        </w:rPr>
      </w:pPr>
    </w:p>
    <w:p>
      <w:pPr>
        <w:pStyle w:val="ListParagraph"/>
        <w:numPr>
          <w:ilvl w:val="1"/>
          <w:numId w:val="54"/>
        </w:numPr>
        <w:tabs>
          <w:tab w:pos="1814" w:val="left" w:leader="none"/>
          <w:tab w:pos="1815" w:val="left" w:leader="none"/>
        </w:tabs>
        <w:spacing w:line="240" w:lineRule="auto" w:before="182" w:after="0"/>
        <w:ind w:left="1814" w:right="0" w:hanging="681"/>
        <w:jc w:val="left"/>
        <w:rPr>
          <w:sz w:val="20"/>
        </w:rPr>
      </w:pPr>
      <w:r>
        <w:rPr>
          <w:w w:val="120"/>
          <w:sz w:val="20"/>
        </w:rPr>
        <w:t>Technology-related</w:t>
      </w:r>
      <w:r>
        <w:rPr>
          <w:spacing w:val="2"/>
          <w:w w:val="120"/>
          <w:sz w:val="20"/>
        </w:rPr>
        <w:t> </w:t>
      </w:r>
      <w:r>
        <w:rPr>
          <w:w w:val="120"/>
          <w:sz w:val="20"/>
        </w:rPr>
        <w:t>challenges</w:t>
      </w:r>
    </w:p>
    <w:p>
      <w:pPr>
        <w:pStyle w:val="BodyText"/>
        <w:spacing w:before="11"/>
      </w:pPr>
    </w:p>
    <w:p>
      <w:pPr>
        <w:pStyle w:val="ListParagraph"/>
        <w:numPr>
          <w:ilvl w:val="2"/>
          <w:numId w:val="54"/>
        </w:numPr>
        <w:tabs>
          <w:tab w:pos="1854" w:val="left" w:leader="none"/>
          <w:tab w:pos="1855" w:val="left" w:leader="none"/>
        </w:tabs>
        <w:spacing w:line="216" w:lineRule="auto" w:before="0" w:after="0"/>
        <w:ind w:left="1134" w:right="2177" w:firstLine="0"/>
        <w:jc w:val="left"/>
        <w:rPr>
          <w:rFonts w:ascii="Bradley Hand ITC"/>
          <w:sz w:val="28"/>
        </w:rPr>
      </w:pPr>
      <w:r>
        <w:rPr>
          <w:w w:val="120"/>
          <w:sz w:val="20"/>
        </w:rPr>
        <w:t>It was ambitious to provide the bulk of the materials online without knowing  the level of computer literacy of the potential participants. However, this was the only realistic</w:t>
      </w:r>
      <w:r>
        <w:rPr>
          <w:spacing w:val="-18"/>
          <w:w w:val="120"/>
          <w:sz w:val="20"/>
        </w:rPr>
        <w:t> </w:t>
      </w:r>
      <w:r>
        <w:rPr>
          <w:w w:val="120"/>
          <w:sz w:val="20"/>
        </w:rPr>
        <w:t>option</w:t>
      </w:r>
      <w:r>
        <w:rPr>
          <w:spacing w:val="-17"/>
          <w:w w:val="120"/>
          <w:sz w:val="20"/>
        </w:rPr>
        <w:t> </w:t>
      </w:r>
      <w:r>
        <w:rPr>
          <w:w w:val="120"/>
          <w:sz w:val="20"/>
        </w:rPr>
        <w:t>in</w:t>
      </w:r>
      <w:r>
        <w:rPr>
          <w:spacing w:val="-17"/>
          <w:w w:val="120"/>
          <w:sz w:val="20"/>
        </w:rPr>
        <w:t> </w:t>
      </w:r>
      <w:r>
        <w:rPr>
          <w:w w:val="120"/>
          <w:sz w:val="20"/>
        </w:rPr>
        <w:t>terms</w:t>
      </w:r>
      <w:r>
        <w:rPr>
          <w:spacing w:val="-17"/>
          <w:w w:val="120"/>
          <w:sz w:val="20"/>
        </w:rPr>
        <w:t> </w:t>
      </w:r>
      <w:r>
        <w:rPr>
          <w:w w:val="120"/>
          <w:sz w:val="20"/>
        </w:rPr>
        <w:t>of</w:t>
      </w:r>
      <w:r>
        <w:rPr>
          <w:spacing w:val="-17"/>
          <w:w w:val="120"/>
          <w:sz w:val="20"/>
        </w:rPr>
        <w:t> </w:t>
      </w:r>
      <w:r>
        <w:rPr>
          <w:w w:val="120"/>
          <w:sz w:val="20"/>
        </w:rPr>
        <w:t>budgeting</w:t>
      </w:r>
      <w:r>
        <w:rPr>
          <w:spacing w:val="-17"/>
          <w:w w:val="120"/>
          <w:sz w:val="20"/>
        </w:rPr>
        <w:t> </w:t>
      </w:r>
      <w:r>
        <w:rPr>
          <w:w w:val="120"/>
          <w:sz w:val="20"/>
        </w:rPr>
        <w:t>and</w:t>
      </w:r>
      <w:r>
        <w:rPr>
          <w:spacing w:val="-17"/>
          <w:w w:val="120"/>
          <w:sz w:val="20"/>
        </w:rPr>
        <w:t> </w:t>
      </w:r>
      <w:r>
        <w:rPr>
          <w:w w:val="120"/>
          <w:sz w:val="20"/>
        </w:rPr>
        <w:t>timing</w:t>
      </w:r>
      <w:r>
        <w:rPr>
          <w:spacing w:val="-17"/>
          <w:w w:val="120"/>
          <w:sz w:val="20"/>
        </w:rPr>
        <w:t> </w:t>
      </w:r>
      <w:r>
        <w:rPr>
          <w:w w:val="120"/>
          <w:sz w:val="20"/>
        </w:rPr>
        <w:t>of</w:t>
      </w:r>
      <w:r>
        <w:rPr>
          <w:spacing w:val="-17"/>
          <w:w w:val="120"/>
          <w:sz w:val="20"/>
        </w:rPr>
        <w:t> </w:t>
      </w:r>
      <w:r>
        <w:rPr>
          <w:w w:val="120"/>
          <w:sz w:val="20"/>
        </w:rPr>
        <w:t>resources.</w:t>
      </w:r>
      <w:r>
        <w:rPr>
          <w:spacing w:val="-17"/>
          <w:w w:val="120"/>
          <w:sz w:val="20"/>
        </w:rPr>
        <w:t> </w:t>
      </w:r>
      <w:r>
        <w:rPr>
          <w:w w:val="120"/>
          <w:sz w:val="20"/>
        </w:rPr>
        <w:t>If</w:t>
      </w:r>
      <w:r>
        <w:rPr>
          <w:spacing w:val="-18"/>
          <w:w w:val="120"/>
          <w:sz w:val="20"/>
        </w:rPr>
        <w:t> </w:t>
      </w:r>
      <w:r>
        <w:rPr>
          <w:w w:val="120"/>
          <w:sz w:val="20"/>
        </w:rPr>
        <w:t>nothing</w:t>
      </w:r>
      <w:r>
        <w:rPr>
          <w:spacing w:val="-17"/>
          <w:w w:val="120"/>
          <w:sz w:val="20"/>
        </w:rPr>
        <w:t> </w:t>
      </w:r>
      <w:r>
        <w:rPr>
          <w:w w:val="120"/>
          <w:sz w:val="20"/>
        </w:rPr>
        <w:t>else,</w:t>
      </w:r>
      <w:r>
        <w:rPr>
          <w:spacing w:val="-15"/>
          <w:w w:val="120"/>
          <w:sz w:val="20"/>
        </w:rPr>
        <w:t> </w:t>
      </w:r>
      <w:r>
        <w:rPr>
          <w:rFonts w:ascii="Arial Rounded MT Bold"/>
          <w:sz w:val="21"/>
        </w:rPr>
        <w:t>Vision4</w:t>
      </w:r>
      <w:r>
        <w:rPr>
          <w:rFonts w:ascii="Bradley Hand ITC"/>
          <w:color w:val="C20D19"/>
          <w:sz w:val="28"/>
        </w:rPr>
        <w:t>Life</w:t>
      </w:r>
    </w:p>
    <w:p>
      <w:pPr>
        <w:pStyle w:val="BodyText"/>
        <w:spacing w:line="192" w:lineRule="exact"/>
        <w:ind w:left="1133"/>
      </w:pPr>
      <w:r>
        <w:rPr>
          <w:w w:val="120"/>
        </w:rPr>
        <w:t>will also have taken the denomination up a gear towards future web-based learning.</w:t>
      </w:r>
    </w:p>
    <w:p>
      <w:pPr>
        <w:pStyle w:val="BodyText"/>
        <w:spacing w:before="8"/>
        <w:rPr>
          <w:sz w:val="19"/>
        </w:rPr>
      </w:pPr>
    </w:p>
    <w:p>
      <w:pPr>
        <w:pStyle w:val="ListParagraph"/>
        <w:numPr>
          <w:ilvl w:val="2"/>
          <w:numId w:val="54"/>
        </w:numPr>
        <w:tabs>
          <w:tab w:pos="1853" w:val="left" w:leader="none"/>
          <w:tab w:pos="1854" w:val="left" w:leader="none"/>
        </w:tabs>
        <w:spacing w:line="235" w:lineRule="auto" w:before="0" w:after="0"/>
        <w:ind w:left="1133" w:right="2119" w:firstLine="0"/>
        <w:jc w:val="left"/>
        <w:rPr>
          <w:sz w:val="20"/>
        </w:rPr>
      </w:pPr>
      <w:r>
        <w:rPr>
          <w:w w:val="120"/>
          <w:sz w:val="20"/>
        </w:rPr>
        <w:t>During 2009 the website underwent a complete rebuild. The aim has been to make navigation of the site as simple as possible with multiple ways in to a particular page or item. With such a large site, </w:t>
      </w:r>
      <w:r>
        <w:rPr>
          <w:spacing w:val="-5"/>
          <w:w w:val="120"/>
          <w:sz w:val="20"/>
        </w:rPr>
        <w:t>(we </w:t>
      </w:r>
      <w:r>
        <w:rPr>
          <w:w w:val="120"/>
          <w:sz w:val="20"/>
        </w:rPr>
        <w:t>currently have over 60 documents available for the Prayer </w:t>
      </w:r>
      <w:r>
        <w:rPr>
          <w:spacing w:val="-4"/>
          <w:w w:val="120"/>
          <w:sz w:val="20"/>
        </w:rPr>
        <w:t>Year </w:t>
      </w:r>
      <w:r>
        <w:rPr>
          <w:w w:val="120"/>
          <w:sz w:val="20"/>
        </w:rPr>
        <w:t>and a total of over 100 items on </w:t>
      </w:r>
      <w:r>
        <w:rPr>
          <w:spacing w:val="-5"/>
          <w:w w:val="120"/>
          <w:sz w:val="20"/>
        </w:rPr>
        <w:t>105 </w:t>
      </w:r>
      <w:r>
        <w:rPr>
          <w:spacing w:val="-3"/>
          <w:w w:val="120"/>
          <w:sz w:val="20"/>
        </w:rPr>
        <w:t>pages) </w:t>
      </w:r>
      <w:r>
        <w:rPr>
          <w:w w:val="120"/>
          <w:sz w:val="20"/>
        </w:rPr>
        <w:t>this is not</w:t>
      </w:r>
      <w:r>
        <w:rPr>
          <w:spacing w:val="30"/>
          <w:w w:val="120"/>
          <w:sz w:val="20"/>
        </w:rPr>
        <w:t> </w:t>
      </w:r>
      <w:r>
        <w:rPr>
          <w:w w:val="120"/>
          <w:sz w:val="20"/>
        </w:rPr>
        <w:t>easy.</w:t>
      </w:r>
    </w:p>
    <w:p>
      <w:pPr>
        <w:pStyle w:val="BodyText"/>
        <w:spacing w:before="7"/>
        <w:rPr>
          <w:sz w:val="19"/>
        </w:rPr>
      </w:pPr>
    </w:p>
    <w:p>
      <w:pPr>
        <w:pStyle w:val="ListParagraph"/>
        <w:numPr>
          <w:ilvl w:val="2"/>
          <w:numId w:val="54"/>
        </w:numPr>
        <w:tabs>
          <w:tab w:pos="1853" w:val="left" w:leader="none"/>
          <w:tab w:pos="1854" w:val="left" w:leader="none"/>
        </w:tabs>
        <w:spacing w:line="240" w:lineRule="auto" w:before="0" w:after="0"/>
        <w:ind w:left="1853" w:right="0" w:hanging="721"/>
        <w:jc w:val="left"/>
        <w:rPr>
          <w:sz w:val="20"/>
        </w:rPr>
      </w:pPr>
      <w:r>
        <w:rPr>
          <w:w w:val="120"/>
          <w:sz w:val="20"/>
        </w:rPr>
        <w:t>Our web manager, Paul Snell,</w:t>
      </w:r>
      <w:r>
        <w:rPr>
          <w:spacing w:val="9"/>
          <w:w w:val="120"/>
          <w:sz w:val="20"/>
        </w:rPr>
        <w:t> </w:t>
      </w:r>
      <w:r>
        <w:rPr>
          <w:w w:val="120"/>
          <w:sz w:val="20"/>
        </w:rPr>
        <w:t>writes:</w:t>
      </w:r>
    </w:p>
    <w:p>
      <w:pPr>
        <w:pStyle w:val="BodyText"/>
        <w:rPr>
          <w:sz w:val="24"/>
        </w:rPr>
      </w:pPr>
    </w:p>
    <w:p>
      <w:pPr>
        <w:pStyle w:val="BodyText"/>
        <w:spacing w:line="211" w:lineRule="auto" w:before="164"/>
        <w:ind w:left="1587" w:right="2251"/>
      </w:pPr>
      <w:r>
        <w:rPr>
          <w:spacing w:val="5"/>
          <w:w w:val="115"/>
        </w:rPr>
        <w:t>The </w:t>
      </w:r>
      <w:r>
        <w:rPr>
          <w:rFonts w:ascii="Arial Rounded MT Bold"/>
          <w:sz w:val="21"/>
        </w:rPr>
        <w:t>Vision4</w:t>
      </w:r>
      <w:r>
        <w:rPr>
          <w:rFonts w:ascii="Bradley Hand ITC"/>
          <w:color w:val="C20D19"/>
          <w:sz w:val="28"/>
        </w:rPr>
        <w:t>Life </w:t>
      </w:r>
      <w:r>
        <w:rPr>
          <w:spacing w:val="4"/>
          <w:w w:val="115"/>
        </w:rPr>
        <w:t>website </w:t>
      </w:r>
      <w:r>
        <w:rPr>
          <w:spacing w:val="7"/>
          <w:w w:val="115"/>
        </w:rPr>
        <w:t>started </w:t>
      </w:r>
      <w:r>
        <w:rPr>
          <w:spacing w:val="3"/>
          <w:w w:val="115"/>
        </w:rPr>
        <w:t>as an </w:t>
      </w:r>
      <w:r>
        <w:rPr>
          <w:spacing w:val="6"/>
          <w:w w:val="115"/>
        </w:rPr>
        <w:t>experiment </w:t>
      </w:r>
      <w:r>
        <w:rPr>
          <w:spacing w:val="2"/>
          <w:w w:val="115"/>
        </w:rPr>
        <w:t>in </w:t>
      </w:r>
      <w:r>
        <w:rPr>
          <w:w w:val="115"/>
        </w:rPr>
        <w:t>a </w:t>
      </w:r>
      <w:r>
        <w:rPr>
          <w:spacing w:val="6"/>
          <w:w w:val="115"/>
        </w:rPr>
        <w:t>different </w:t>
      </w:r>
      <w:r>
        <w:rPr>
          <w:spacing w:val="5"/>
          <w:w w:val="115"/>
        </w:rPr>
        <w:t>form </w:t>
      </w:r>
      <w:r>
        <w:rPr>
          <w:spacing w:val="3"/>
          <w:w w:val="115"/>
        </w:rPr>
        <w:t>of </w:t>
      </w:r>
      <w:r>
        <w:rPr>
          <w:spacing w:val="5"/>
          <w:w w:val="115"/>
        </w:rPr>
        <w:t>communicating materials  </w:t>
      </w:r>
      <w:r>
        <w:rPr>
          <w:spacing w:val="4"/>
          <w:w w:val="115"/>
        </w:rPr>
        <w:t>and  </w:t>
      </w:r>
      <w:r>
        <w:rPr>
          <w:spacing w:val="6"/>
          <w:w w:val="115"/>
        </w:rPr>
        <w:t>engendering  </w:t>
      </w:r>
      <w:r>
        <w:rPr>
          <w:spacing w:val="4"/>
          <w:w w:val="115"/>
        </w:rPr>
        <w:t>enthusiasm  and  mutual  </w:t>
      </w:r>
      <w:r>
        <w:rPr>
          <w:spacing w:val="6"/>
          <w:w w:val="115"/>
        </w:rPr>
        <w:t>support  </w:t>
      </w:r>
      <w:r>
        <w:rPr>
          <w:spacing w:val="2"/>
          <w:w w:val="115"/>
        </w:rPr>
        <w:t>in </w:t>
      </w:r>
      <w:r>
        <w:rPr>
          <w:w w:val="115"/>
        </w:rPr>
        <w:t>a</w:t>
      </w:r>
      <w:r>
        <w:rPr>
          <w:spacing w:val="39"/>
          <w:w w:val="115"/>
        </w:rPr>
        <w:t> </w:t>
      </w:r>
      <w:r>
        <w:rPr>
          <w:spacing w:val="5"/>
          <w:w w:val="115"/>
        </w:rPr>
        <w:t>diverse</w:t>
      </w:r>
      <w:r>
        <w:rPr>
          <w:spacing w:val="40"/>
          <w:w w:val="115"/>
        </w:rPr>
        <w:t> </w:t>
      </w:r>
      <w:r>
        <w:rPr>
          <w:spacing w:val="5"/>
          <w:w w:val="115"/>
        </w:rPr>
        <w:t>denomination,</w:t>
      </w:r>
      <w:r>
        <w:rPr>
          <w:spacing w:val="40"/>
          <w:w w:val="115"/>
        </w:rPr>
        <w:t> </w:t>
      </w:r>
      <w:r>
        <w:rPr>
          <w:spacing w:val="5"/>
          <w:w w:val="115"/>
        </w:rPr>
        <w:t>seeking</w:t>
      </w:r>
      <w:r>
        <w:rPr>
          <w:spacing w:val="40"/>
          <w:w w:val="115"/>
        </w:rPr>
        <w:t> </w:t>
      </w:r>
      <w:r>
        <w:rPr>
          <w:w w:val="115"/>
        </w:rPr>
        <w:t>to</w:t>
      </w:r>
      <w:r>
        <w:rPr>
          <w:spacing w:val="40"/>
          <w:w w:val="115"/>
        </w:rPr>
        <w:t> </w:t>
      </w:r>
      <w:r>
        <w:rPr>
          <w:spacing w:val="4"/>
          <w:w w:val="115"/>
        </w:rPr>
        <w:t>grow</w:t>
      </w:r>
      <w:r>
        <w:rPr>
          <w:spacing w:val="40"/>
          <w:w w:val="115"/>
        </w:rPr>
        <w:t> </w:t>
      </w:r>
      <w:r>
        <w:rPr>
          <w:spacing w:val="4"/>
          <w:w w:val="115"/>
        </w:rPr>
        <w:t>using</w:t>
      </w:r>
      <w:r>
        <w:rPr>
          <w:spacing w:val="40"/>
          <w:w w:val="115"/>
        </w:rPr>
        <w:t> </w:t>
      </w:r>
      <w:r>
        <w:rPr>
          <w:w w:val="115"/>
        </w:rPr>
        <w:t>21</w:t>
      </w:r>
      <w:r>
        <w:rPr>
          <w:w w:val="115"/>
          <w:position w:val="7"/>
          <w:sz w:val="11"/>
        </w:rPr>
        <w:t>st</w:t>
      </w:r>
      <w:r>
        <w:rPr>
          <w:spacing w:val="3"/>
          <w:w w:val="115"/>
          <w:position w:val="7"/>
          <w:sz w:val="11"/>
        </w:rPr>
        <w:t> </w:t>
      </w:r>
      <w:r>
        <w:rPr>
          <w:spacing w:val="5"/>
          <w:w w:val="115"/>
        </w:rPr>
        <w:t>century</w:t>
      </w:r>
      <w:r>
        <w:rPr>
          <w:spacing w:val="40"/>
          <w:w w:val="115"/>
        </w:rPr>
        <w:t> </w:t>
      </w:r>
      <w:r>
        <w:rPr>
          <w:spacing w:val="5"/>
          <w:w w:val="115"/>
        </w:rPr>
        <w:t>means.</w:t>
      </w:r>
      <w:r>
        <w:rPr>
          <w:spacing w:val="40"/>
          <w:w w:val="115"/>
        </w:rPr>
        <w:t> </w:t>
      </w:r>
      <w:r>
        <w:rPr>
          <w:spacing w:val="5"/>
          <w:w w:val="115"/>
        </w:rPr>
        <w:t>The</w:t>
      </w:r>
      <w:r>
        <w:rPr>
          <w:spacing w:val="40"/>
          <w:w w:val="115"/>
        </w:rPr>
        <w:t> </w:t>
      </w:r>
      <w:r>
        <w:rPr>
          <w:spacing w:val="4"/>
          <w:w w:val="115"/>
        </w:rPr>
        <w:t>success</w:t>
      </w:r>
    </w:p>
    <w:p>
      <w:pPr>
        <w:pStyle w:val="BodyText"/>
        <w:spacing w:line="235" w:lineRule="auto" w:before="6"/>
        <w:ind w:left="1586" w:right="2251"/>
      </w:pPr>
      <w:r>
        <w:rPr>
          <w:spacing w:val="3"/>
          <w:w w:val="115"/>
        </w:rPr>
        <w:t>of </w:t>
      </w:r>
      <w:r>
        <w:rPr>
          <w:spacing w:val="4"/>
          <w:w w:val="115"/>
        </w:rPr>
        <w:t>the </w:t>
      </w:r>
      <w:r>
        <w:rPr>
          <w:spacing w:val="6"/>
          <w:w w:val="115"/>
        </w:rPr>
        <w:t>experiment </w:t>
      </w:r>
      <w:r>
        <w:rPr>
          <w:spacing w:val="4"/>
          <w:w w:val="115"/>
        </w:rPr>
        <w:t>can be </w:t>
      </w:r>
      <w:r>
        <w:rPr>
          <w:spacing w:val="5"/>
          <w:w w:val="115"/>
        </w:rPr>
        <w:t>seen </w:t>
      </w:r>
      <w:r>
        <w:rPr>
          <w:spacing w:val="2"/>
          <w:w w:val="115"/>
        </w:rPr>
        <w:t>in </w:t>
      </w:r>
      <w:r>
        <w:rPr>
          <w:spacing w:val="4"/>
          <w:w w:val="115"/>
        </w:rPr>
        <w:t>the </w:t>
      </w:r>
      <w:r>
        <w:rPr>
          <w:spacing w:val="5"/>
          <w:w w:val="115"/>
        </w:rPr>
        <w:t>number </w:t>
      </w:r>
      <w:r>
        <w:rPr>
          <w:spacing w:val="3"/>
          <w:w w:val="115"/>
        </w:rPr>
        <w:t>of </w:t>
      </w:r>
      <w:r>
        <w:rPr>
          <w:spacing w:val="4"/>
          <w:w w:val="115"/>
        </w:rPr>
        <w:t>‘hits’ the </w:t>
      </w:r>
      <w:r>
        <w:rPr>
          <w:spacing w:val="3"/>
          <w:w w:val="115"/>
        </w:rPr>
        <w:t>site </w:t>
      </w:r>
      <w:r>
        <w:rPr>
          <w:spacing w:val="4"/>
          <w:w w:val="115"/>
        </w:rPr>
        <w:t>now </w:t>
      </w:r>
      <w:r>
        <w:rPr>
          <w:spacing w:val="5"/>
          <w:w w:val="115"/>
        </w:rPr>
        <w:t>receives </w:t>
      </w:r>
      <w:r>
        <w:rPr>
          <w:spacing w:val="3"/>
          <w:w w:val="115"/>
        </w:rPr>
        <w:t>on </w:t>
      </w:r>
      <w:r>
        <w:rPr>
          <w:w w:val="115"/>
        </w:rPr>
        <w:t>a </w:t>
      </w:r>
      <w:r>
        <w:rPr>
          <w:spacing w:val="4"/>
          <w:w w:val="115"/>
        </w:rPr>
        <w:t>daily </w:t>
      </w:r>
      <w:r>
        <w:rPr>
          <w:spacing w:val="5"/>
          <w:w w:val="115"/>
        </w:rPr>
        <w:t>basis. </w:t>
      </w:r>
      <w:r>
        <w:rPr>
          <w:spacing w:val="3"/>
          <w:w w:val="115"/>
        </w:rPr>
        <w:t>At </w:t>
      </w:r>
      <w:r>
        <w:rPr>
          <w:spacing w:val="4"/>
          <w:w w:val="115"/>
        </w:rPr>
        <w:t>the </w:t>
      </w:r>
      <w:r>
        <w:rPr>
          <w:spacing w:val="5"/>
          <w:w w:val="115"/>
        </w:rPr>
        <w:t>highest </w:t>
      </w:r>
      <w:r>
        <w:rPr>
          <w:spacing w:val="4"/>
          <w:w w:val="115"/>
        </w:rPr>
        <w:t>point </w:t>
      </w:r>
      <w:r>
        <w:rPr>
          <w:spacing w:val="2"/>
          <w:w w:val="115"/>
        </w:rPr>
        <w:t>in </w:t>
      </w:r>
      <w:r>
        <w:rPr>
          <w:spacing w:val="4"/>
          <w:w w:val="115"/>
        </w:rPr>
        <w:t>mid  </w:t>
      </w:r>
      <w:r>
        <w:rPr>
          <w:spacing w:val="6"/>
          <w:w w:val="115"/>
        </w:rPr>
        <w:t>October </w:t>
      </w:r>
      <w:r>
        <w:rPr>
          <w:spacing w:val="3"/>
          <w:w w:val="115"/>
        </w:rPr>
        <w:t>of  2009,  </w:t>
      </w:r>
      <w:r>
        <w:rPr>
          <w:spacing w:val="4"/>
          <w:w w:val="115"/>
        </w:rPr>
        <w:t>the  </w:t>
      </w:r>
      <w:r>
        <w:rPr>
          <w:spacing w:val="3"/>
          <w:w w:val="115"/>
        </w:rPr>
        <w:t>site  </w:t>
      </w:r>
      <w:r>
        <w:rPr>
          <w:spacing w:val="5"/>
          <w:w w:val="115"/>
        </w:rPr>
        <w:t>received </w:t>
      </w:r>
      <w:r>
        <w:rPr>
          <w:w w:val="115"/>
        </w:rPr>
        <w:t>1655 </w:t>
      </w:r>
      <w:r>
        <w:rPr>
          <w:spacing w:val="5"/>
          <w:w w:val="115"/>
        </w:rPr>
        <w:t>hits </w:t>
      </w:r>
      <w:r>
        <w:rPr>
          <w:spacing w:val="2"/>
          <w:w w:val="115"/>
        </w:rPr>
        <w:t>in </w:t>
      </w:r>
      <w:r>
        <w:rPr>
          <w:w w:val="115"/>
        </w:rPr>
        <w:t>a </w:t>
      </w:r>
      <w:r>
        <w:rPr>
          <w:spacing w:val="5"/>
          <w:w w:val="115"/>
        </w:rPr>
        <w:t>week, </w:t>
      </w:r>
      <w:r>
        <w:rPr>
          <w:spacing w:val="4"/>
          <w:w w:val="115"/>
        </w:rPr>
        <w:t>and </w:t>
      </w:r>
      <w:r>
        <w:rPr>
          <w:spacing w:val="2"/>
          <w:w w:val="115"/>
        </w:rPr>
        <w:t>in </w:t>
      </w:r>
      <w:r>
        <w:rPr>
          <w:spacing w:val="7"/>
          <w:w w:val="115"/>
        </w:rPr>
        <w:t>February </w:t>
      </w:r>
      <w:r>
        <w:rPr>
          <w:w w:val="115"/>
        </w:rPr>
        <w:t>2010 </w:t>
      </w:r>
      <w:r>
        <w:rPr>
          <w:spacing w:val="2"/>
          <w:w w:val="115"/>
        </w:rPr>
        <w:t>we </w:t>
      </w:r>
      <w:r>
        <w:rPr>
          <w:spacing w:val="5"/>
          <w:w w:val="115"/>
        </w:rPr>
        <w:t>received </w:t>
      </w:r>
      <w:r>
        <w:rPr>
          <w:spacing w:val="4"/>
          <w:w w:val="115"/>
        </w:rPr>
        <w:t>over </w:t>
      </w:r>
      <w:r>
        <w:rPr>
          <w:spacing w:val="5"/>
          <w:w w:val="115"/>
        </w:rPr>
        <w:t>4,500 during </w:t>
      </w:r>
      <w:r>
        <w:rPr>
          <w:spacing w:val="4"/>
          <w:w w:val="115"/>
        </w:rPr>
        <w:t>the </w:t>
      </w:r>
      <w:r>
        <w:rPr>
          <w:spacing w:val="5"/>
          <w:w w:val="115"/>
        </w:rPr>
        <w:t>month.  </w:t>
      </w:r>
      <w:r>
        <w:rPr>
          <w:spacing w:val="4"/>
          <w:w w:val="115"/>
        </w:rPr>
        <w:t>From </w:t>
      </w:r>
      <w:r>
        <w:rPr>
          <w:spacing w:val="5"/>
          <w:w w:val="115"/>
        </w:rPr>
        <w:t>August </w:t>
      </w:r>
      <w:r>
        <w:rPr>
          <w:spacing w:val="6"/>
          <w:w w:val="115"/>
        </w:rPr>
        <w:t>2009 </w:t>
      </w:r>
      <w:r>
        <w:rPr>
          <w:w w:val="115"/>
        </w:rPr>
        <w:t>to </w:t>
      </w:r>
      <w:r>
        <w:rPr>
          <w:spacing w:val="3"/>
          <w:w w:val="115"/>
        </w:rPr>
        <w:t>date </w:t>
      </w:r>
      <w:r>
        <w:rPr>
          <w:spacing w:val="2"/>
          <w:w w:val="115"/>
        </w:rPr>
        <w:t>we </w:t>
      </w:r>
      <w:r>
        <w:rPr>
          <w:spacing w:val="3"/>
          <w:w w:val="115"/>
        </w:rPr>
        <w:t>have </w:t>
      </w:r>
      <w:r>
        <w:rPr>
          <w:spacing w:val="5"/>
          <w:w w:val="115"/>
        </w:rPr>
        <w:t>received </w:t>
      </w:r>
      <w:r>
        <w:rPr>
          <w:w w:val="115"/>
        </w:rPr>
        <w:t>a </w:t>
      </w:r>
      <w:r>
        <w:rPr>
          <w:spacing w:val="4"/>
          <w:w w:val="115"/>
        </w:rPr>
        <w:t>total </w:t>
      </w:r>
      <w:r>
        <w:rPr>
          <w:spacing w:val="3"/>
          <w:w w:val="115"/>
        </w:rPr>
        <w:t>of </w:t>
      </w:r>
      <w:r>
        <w:rPr>
          <w:w w:val="115"/>
        </w:rPr>
        <w:t>23,363 </w:t>
      </w:r>
      <w:r>
        <w:rPr>
          <w:spacing w:val="5"/>
          <w:w w:val="115"/>
        </w:rPr>
        <w:t>visits, </w:t>
      </w:r>
      <w:r>
        <w:rPr>
          <w:spacing w:val="4"/>
          <w:w w:val="115"/>
        </w:rPr>
        <w:t>and </w:t>
      </w:r>
      <w:r>
        <w:rPr>
          <w:spacing w:val="2"/>
          <w:w w:val="115"/>
        </w:rPr>
        <w:t>we </w:t>
      </w:r>
      <w:r>
        <w:rPr>
          <w:spacing w:val="3"/>
          <w:w w:val="115"/>
        </w:rPr>
        <w:t>have </w:t>
      </w:r>
      <w:r>
        <w:rPr>
          <w:spacing w:val="6"/>
          <w:w w:val="115"/>
        </w:rPr>
        <w:t>averaged </w:t>
      </w:r>
      <w:r>
        <w:rPr>
          <w:spacing w:val="3"/>
          <w:w w:val="115"/>
        </w:rPr>
        <w:t>so </w:t>
      </w:r>
      <w:r>
        <w:rPr>
          <w:spacing w:val="5"/>
          <w:w w:val="115"/>
        </w:rPr>
        <w:t>far </w:t>
      </w:r>
      <w:r>
        <w:rPr>
          <w:spacing w:val="4"/>
          <w:w w:val="115"/>
        </w:rPr>
        <w:t>this year </w:t>
      </w:r>
      <w:r>
        <w:rPr>
          <w:w w:val="115"/>
        </w:rPr>
        <w:t>104  </w:t>
      </w:r>
      <w:r>
        <w:rPr>
          <w:spacing w:val="5"/>
          <w:w w:val="115"/>
        </w:rPr>
        <w:t>visits per </w:t>
      </w:r>
      <w:r>
        <w:rPr>
          <w:w w:val="115"/>
        </w:rPr>
        <w:t>day.  </w:t>
      </w:r>
      <w:r>
        <w:rPr>
          <w:spacing w:val="4"/>
          <w:w w:val="115"/>
        </w:rPr>
        <w:t>This </w:t>
      </w:r>
      <w:r>
        <w:rPr>
          <w:spacing w:val="6"/>
          <w:w w:val="115"/>
        </w:rPr>
        <w:t>represents </w:t>
      </w:r>
      <w:r>
        <w:rPr>
          <w:w w:val="115"/>
        </w:rPr>
        <w:t>a  </w:t>
      </w:r>
      <w:r>
        <w:rPr>
          <w:spacing w:val="4"/>
          <w:w w:val="115"/>
        </w:rPr>
        <w:t>lot </w:t>
      </w:r>
      <w:r>
        <w:rPr>
          <w:spacing w:val="3"/>
          <w:w w:val="115"/>
        </w:rPr>
        <w:t>of </w:t>
      </w:r>
      <w:r>
        <w:rPr>
          <w:spacing w:val="7"/>
          <w:w w:val="115"/>
        </w:rPr>
        <w:t>activity </w:t>
      </w:r>
      <w:r>
        <w:rPr>
          <w:spacing w:val="5"/>
          <w:w w:val="115"/>
        </w:rPr>
        <w:t>from    </w:t>
      </w:r>
      <w:r>
        <w:rPr>
          <w:w w:val="115"/>
        </w:rPr>
        <w:t>a </w:t>
      </w:r>
      <w:r>
        <w:rPr>
          <w:spacing w:val="5"/>
          <w:w w:val="115"/>
        </w:rPr>
        <w:t>wide </w:t>
      </w:r>
      <w:r>
        <w:rPr>
          <w:spacing w:val="6"/>
          <w:w w:val="115"/>
        </w:rPr>
        <w:t>variety </w:t>
      </w:r>
      <w:r>
        <w:rPr>
          <w:spacing w:val="3"/>
          <w:w w:val="115"/>
        </w:rPr>
        <w:t>of</w:t>
      </w:r>
      <w:r>
        <w:rPr>
          <w:spacing w:val="9"/>
          <w:w w:val="115"/>
        </w:rPr>
        <w:t> </w:t>
      </w:r>
      <w:r>
        <w:rPr>
          <w:spacing w:val="5"/>
          <w:w w:val="115"/>
        </w:rPr>
        <w:t>people.</w:t>
      </w:r>
    </w:p>
    <w:p>
      <w:pPr>
        <w:pStyle w:val="BodyText"/>
      </w:pPr>
    </w:p>
    <w:p>
      <w:pPr>
        <w:pStyle w:val="BodyText"/>
        <w:spacing w:line="235" w:lineRule="auto"/>
        <w:ind w:left="1587" w:right="2270"/>
        <w:jc w:val="both"/>
      </w:pPr>
      <w:r>
        <w:rPr>
          <w:w w:val="120"/>
        </w:rPr>
        <w:t>The one area of the site that does not seem to have taken off as we had hoped is the forums. We have tried to encourage people to post their comments and share their ideas on the site forums but this does not seem to appeal to many</w:t>
      </w:r>
    </w:p>
    <w:p>
      <w:pPr>
        <w:pStyle w:val="BodyText"/>
        <w:spacing w:line="216" w:lineRule="auto" w:before="17"/>
        <w:ind w:left="1587" w:right="2191"/>
      </w:pPr>
      <w:r>
        <w:rPr>
          <w:spacing w:val="5"/>
          <w:w w:val="115"/>
        </w:rPr>
        <w:t>people. However </w:t>
      </w:r>
      <w:r>
        <w:rPr>
          <w:spacing w:val="4"/>
          <w:w w:val="115"/>
        </w:rPr>
        <w:t>they </w:t>
      </w:r>
      <w:r>
        <w:rPr>
          <w:spacing w:val="5"/>
          <w:w w:val="115"/>
        </w:rPr>
        <w:t>remain open </w:t>
      </w:r>
      <w:r>
        <w:rPr>
          <w:spacing w:val="4"/>
          <w:w w:val="115"/>
        </w:rPr>
        <w:t>and anyone wishing </w:t>
      </w:r>
      <w:r>
        <w:rPr>
          <w:w w:val="115"/>
        </w:rPr>
        <w:t>to </w:t>
      </w:r>
      <w:r>
        <w:rPr>
          <w:spacing w:val="5"/>
          <w:w w:val="115"/>
        </w:rPr>
        <w:t>stimulate </w:t>
      </w:r>
      <w:r>
        <w:rPr>
          <w:w w:val="115"/>
        </w:rPr>
        <w:t>a </w:t>
      </w:r>
      <w:r>
        <w:rPr>
          <w:spacing w:val="5"/>
          <w:w w:val="115"/>
        </w:rPr>
        <w:t>discussion  </w:t>
      </w:r>
      <w:r>
        <w:rPr>
          <w:spacing w:val="4"/>
          <w:w w:val="115"/>
        </w:rPr>
        <w:t>can easily </w:t>
      </w:r>
      <w:r>
        <w:rPr>
          <w:spacing w:val="5"/>
          <w:w w:val="115"/>
        </w:rPr>
        <w:t>register </w:t>
      </w:r>
      <w:r>
        <w:rPr>
          <w:spacing w:val="4"/>
          <w:w w:val="115"/>
        </w:rPr>
        <w:t>and kick </w:t>
      </w:r>
      <w:r>
        <w:rPr>
          <w:spacing w:val="5"/>
          <w:w w:val="115"/>
        </w:rPr>
        <w:t>something off. </w:t>
      </w:r>
      <w:r>
        <w:rPr>
          <w:spacing w:val="-5"/>
          <w:w w:val="115"/>
        </w:rPr>
        <w:t>To </w:t>
      </w:r>
      <w:r>
        <w:rPr>
          <w:spacing w:val="8"/>
          <w:w w:val="115"/>
        </w:rPr>
        <w:t>try </w:t>
      </w:r>
      <w:r>
        <w:rPr>
          <w:spacing w:val="4"/>
          <w:w w:val="115"/>
        </w:rPr>
        <w:t>and </w:t>
      </w:r>
      <w:r>
        <w:rPr>
          <w:spacing w:val="7"/>
          <w:w w:val="115"/>
        </w:rPr>
        <w:t>further </w:t>
      </w:r>
      <w:r>
        <w:rPr>
          <w:spacing w:val="5"/>
          <w:w w:val="115"/>
        </w:rPr>
        <w:t>direct conversation </w:t>
      </w:r>
      <w:r>
        <w:rPr>
          <w:spacing w:val="6"/>
          <w:w w:val="115"/>
        </w:rPr>
        <w:t>between </w:t>
      </w:r>
      <w:r>
        <w:rPr>
          <w:rFonts w:ascii="Arial Rounded MT Bold"/>
          <w:sz w:val="21"/>
        </w:rPr>
        <w:t>Vision4</w:t>
      </w:r>
      <w:r>
        <w:rPr>
          <w:rFonts w:ascii="Bradley Hand ITC"/>
          <w:color w:val="C20D19"/>
          <w:sz w:val="28"/>
        </w:rPr>
        <w:t>Life </w:t>
      </w:r>
      <w:r>
        <w:rPr>
          <w:spacing w:val="6"/>
          <w:w w:val="115"/>
        </w:rPr>
        <w:t>participants, </w:t>
      </w:r>
      <w:r>
        <w:rPr>
          <w:spacing w:val="2"/>
          <w:w w:val="115"/>
        </w:rPr>
        <w:t>we </w:t>
      </w:r>
      <w:r>
        <w:rPr>
          <w:spacing w:val="3"/>
          <w:w w:val="115"/>
        </w:rPr>
        <w:t>have </w:t>
      </w:r>
      <w:r>
        <w:rPr>
          <w:spacing w:val="4"/>
          <w:w w:val="115"/>
        </w:rPr>
        <w:t>now set </w:t>
      </w:r>
      <w:r>
        <w:rPr>
          <w:spacing w:val="2"/>
          <w:w w:val="115"/>
        </w:rPr>
        <w:t>up </w:t>
      </w:r>
      <w:r>
        <w:rPr>
          <w:w w:val="115"/>
        </w:rPr>
        <w:t>a </w:t>
      </w:r>
      <w:r>
        <w:rPr>
          <w:spacing w:val="5"/>
          <w:w w:val="115"/>
        </w:rPr>
        <w:t>Facebook</w:t>
      </w:r>
      <w:r>
        <w:rPr>
          <w:spacing w:val="61"/>
          <w:w w:val="115"/>
        </w:rPr>
        <w:t> </w:t>
      </w:r>
      <w:r>
        <w:rPr>
          <w:spacing w:val="4"/>
          <w:w w:val="115"/>
        </w:rPr>
        <w:t>group.</w:t>
      </w:r>
    </w:p>
    <w:p>
      <w:pPr>
        <w:pStyle w:val="BodyText"/>
        <w:spacing w:line="235" w:lineRule="auto" w:before="192"/>
        <w:ind w:left="1587" w:right="1997"/>
      </w:pPr>
      <w:r>
        <w:rPr>
          <w:w w:val="120"/>
        </w:rPr>
        <w:t>We believe the site has proven that we can use modern technology to make things work and that many people in local churches are willing to run with this</w:t>
      </w:r>
    </w:p>
    <w:p>
      <w:pPr>
        <w:pStyle w:val="BodyText"/>
        <w:spacing w:line="194" w:lineRule="auto" w:before="33"/>
        <w:ind w:left="1587" w:right="2191"/>
      </w:pPr>
      <w:r>
        <w:rPr>
          <w:w w:val="120"/>
        </w:rPr>
        <w:t>and extend their computing know-how to make this happen. It is not the site however that has made </w:t>
      </w:r>
      <w:r>
        <w:rPr>
          <w:rFonts w:ascii="Arial Rounded MT Bold"/>
          <w:sz w:val="21"/>
        </w:rPr>
        <w:t>Vision4</w:t>
      </w:r>
      <w:r>
        <w:rPr>
          <w:rFonts w:ascii="Bradley Hand ITC"/>
          <w:color w:val="C20D19"/>
          <w:sz w:val="28"/>
        </w:rPr>
        <w:t>Life </w:t>
      </w:r>
      <w:r>
        <w:rPr>
          <w:w w:val="120"/>
        </w:rPr>
        <w:t>fruitful, but the Spirit of God who has moved in us all to encourage us forward into greater faith and growth. For that we</w:t>
      </w:r>
    </w:p>
    <w:p>
      <w:pPr>
        <w:pStyle w:val="BodyText"/>
        <w:spacing w:before="6"/>
        <w:ind w:left="1587"/>
      </w:pPr>
      <w:r>
        <w:rPr>
          <w:w w:val="115"/>
        </w:rPr>
        <w:t>praise God!</w:t>
      </w:r>
    </w:p>
    <w:p>
      <w:pPr>
        <w:spacing w:after="0"/>
        <w:sectPr>
          <w:headerReference w:type="even" r:id="rId124"/>
          <w:pgSz w:w="11910" w:h="16840"/>
          <w:pgMar w:header="0" w:footer="724" w:top="0" w:bottom="920" w:left="0" w:right="0"/>
        </w:sectPr>
      </w:pPr>
    </w:p>
    <w:tbl>
      <w:tblPr>
        <w:tblW w:w="0" w:type="auto"/>
        <w:jc w:val="left"/>
        <w:tblInd w:w="1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0"/>
        <w:gridCol w:w="9263"/>
      </w:tblGrid>
      <w:tr>
        <w:trPr>
          <w:trHeight w:val="1432" w:hRule="atLeast"/>
        </w:trPr>
        <w:tc>
          <w:tcPr>
            <w:tcW w:w="350" w:type="dxa"/>
            <w:tcBorders>
              <w:right w:val="dotted" w:sz="8" w:space="0" w:color="868685"/>
            </w:tcBorders>
          </w:tcPr>
          <w:p>
            <w:pPr>
              <w:pStyle w:val="TableParagraph"/>
              <w:rPr>
                <w:rFonts w:ascii="Times New Roman"/>
                <w:sz w:val="20"/>
              </w:rPr>
            </w:pPr>
          </w:p>
        </w:tc>
        <w:tc>
          <w:tcPr>
            <w:tcW w:w="9263" w:type="dxa"/>
            <w:tcBorders>
              <w:left w:val="dotted" w:sz="8" w:space="0" w:color="868685"/>
            </w:tcBorders>
          </w:tcPr>
          <w:p>
            <w:pPr>
              <w:pStyle w:val="TableParagraph"/>
              <w:tabs>
                <w:tab w:pos="961" w:val="left" w:leader="none"/>
              </w:tabs>
              <w:spacing w:before="203"/>
              <w:ind w:left="241"/>
              <w:rPr>
                <w:sz w:val="20"/>
              </w:rPr>
            </w:pPr>
            <w:r>
              <w:rPr>
                <w:w w:val="120"/>
                <w:sz w:val="20"/>
              </w:rPr>
              <w:t>6.3</w:t>
              <w:tab/>
              <w:t>Time-related</w:t>
            </w:r>
            <w:r>
              <w:rPr>
                <w:spacing w:val="2"/>
                <w:w w:val="120"/>
                <w:sz w:val="20"/>
              </w:rPr>
              <w:t> </w:t>
            </w:r>
            <w:r>
              <w:rPr>
                <w:w w:val="120"/>
                <w:sz w:val="20"/>
              </w:rPr>
              <w:t>challenges</w:t>
            </w:r>
          </w:p>
          <w:p>
            <w:pPr>
              <w:pStyle w:val="TableParagraph"/>
              <w:spacing w:before="7"/>
              <w:rPr>
                <w:sz w:val="19"/>
              </w:rPr>
            </w:pPr>
          </w:p>
          <w:p>
            <w:pPr>
              <w:pStyle w:val="TableParagraph"/>
              <w:spacing w:line="235" w:lineRule="auto"/>
              <w:ind w:left="241" w:right="415"/>
              <w:rPr>
                <w:sz w:val="20"/>
              </w:rPr>
            </w:pPr>
            <w:r>
              <w:rPr>
                <w:w w:val="120"/>
                <w:sz w:val="20"/>
              </w:rPr>
              <w:t>Some comments suggest that our churches are ambitious but struggle with priorities and planning:</w:t>
            </w:r>
          </w:p>
        </w:tc>
      </w:tr>
      <w:tr>
        <w:trPr>
          <w:trHeight w:val="883" w:hRule="atLeast"/>
        </w:trPr>
        <w:tc>
          <w:tcPr>
            <w:tcW w:w="9613" w:type="dxa"/>
            <w:gridSpan w:val="2"/>
          </w:tcPr>
          <w:p>
            <w:pPr>
              <w:pStyle w:val="TableParagraph"/>
              <w:tabs>
                <w:tab w:pos="2766" w:val="left" w:leader="dot"/>
              </w:tabs>
              <w:spacing w:line="235" w:lineRule="auto" w:before="214"/>
              <w:ind w:left="1054" w:right="644"/>
              <w:rPr>
                <w:sz w:val="20"/>
              </w:rPr>
            </w:pPr>
            <w:r>
              <w:rPr>
                <w:spacing w:val="3"/>
                <w:w w:val="120"/>
                <w:sz w:val="20"/>
              </w:rPr>
              <w:t>There’s so </w:t>
            </w:r>
            <w:r>
              <w:rPr>
                <w:spacing w:val="4"/>
                <w:w w:val="120"/>
                <w:sz w:val="20"/>
              </w:rPr>
              <w:t>much </w:t>
            </w:r>
            <w:r>
              <w:rPr>
                <w:spacing w:val="5"/>
                <w:w w:val="120"/>
                <w:sz w:val="20"/>
              </w:rPr>
              <w:t>more </w:t>
            </w:r>
            <w:r>
              <w:rPr>
                <w:w w:val="120"/>
                <w:sz w:val="20"/>
              </w:rPr>
              <w:t>to </w:t>
            </w:r>
            <w:r>
              <w:rPr>
                <w:spacing w:val="5"/>
                <w:w w:val="120"/>
                <w:sz w:val="20"/>
              </w:rPr>
              <w:t>explore…There </w:t>
            </w:r>
            <w:r>
              <w:rPr>
                <w:w w:val="120"/>
                <w:sz w:val="20"/>
              </w:rPr>
              <w:t>is a </w:t>
            </w:r>
            <w:r>
              <w:rPr>
                <w:spacing w:val="5"/>
                <w:w w:val="120"/>
                <w:sz w:val="20"/>
              </w:rPr>
              <w:t>need </w:t>
            </w:r>
            <w:r>
              <w:rPr>
                <w:w w:val="120"/>
                <w:sz w:val="20"/>
              </w:rPr>
              <w:t>to </w:t>
            </w:r>
            <w:r>
              <w:rPr>
                <w:spacing w:val="4"/>
                <w:w w:val="120"/>
                <w:sz w:val="20"/>
              </w:rPr>
              <w:t>plan the </w:t>
            </w:r>
            <w:r>
              <w:rPr>
                <w:spacing w:val="5"/>
                <w:w w:val="120"/>
                <w:sz w:val="20"/>
              </w:rPr>
              <w:t>sessions </w:t>
            </w:r>
            <w:r>
              <w:rPr>
                <w:spacing w:val="4"/>
                <w:w w:val="120"/>
                <w:sz w:val="20"/>
              </w:rPr>
              <w:t>and </w:t>
            </w:r>
            <w:r>
              <w:rPr>
                <w:w w:val="120"/>
                <w:sz w:val="20"/>
              </w:rPr>
              <w:t>to </w:t>
            </w:r>
            <w:r>
              <w:rPr>
                <w:spacing w:val="4"/>
                <w:w w:val="120"/>
                <w:sz w:val="20"/>
              </w:rPr>
              <w:t>evaluate</w:t>
            </w:r>
            <w:r>
              <w:rPr>
                <w:spacing w:val="1"/>
                <w:w w:val="120"/>
                <w:sz w:val="20"/>
              </w:rPr>
              <w:t> </w:t>
            </w:r>
            <w:r>
              <w:rPr>
                <w:spacing w:val="5"/>
                <w:w w:val="120"/>
                <w:sz w:val="20"/>
              </w:rPr>
              <w:t>them</w:t>
              <w:tab/>
              <w:t>Need more </w:t>
            </w:r>
            <w:r>
              <w:rPr>
                <w:spacing w:val="6"/>
                <w:w w:val="120"/>
                <w:sz w:val="20"/>
              </w:rPr>
              <w:t>reflection </w:t>
            </w:r>
            <w:r>
              <w:rPr>
                <w:spacing w:val="3"/>
                <w:w w:val="120"/>
                <w:sz w:val="20"/>
              </w:rPr>
              <w:t>on </w:t>
            </w:r>
            <w:r>
              <w:rPr>
                <w:spacing w:val="4"/>
                <w:w w:val="120"/>
                <w:sz w:val="20"/>
              </w:rPr>
              <w:t>what </w:t>
            </w:r>
            <w:r>
              <w:rPr>
                <w:w w:val="120"/>
                <w:sz w:val="20"/>
              </w:rPr>
              <w:t>to </w:t>
            </w:r>
            <w:r>
              <w:rPr>
                <w:spacing w:val="3"/>
                <w:w w:val="120"/>
                <w:sz w:val="20"/>
              </w:rPr>
              <w:t>do</w:t>
            </w:r>
            <w:r>
              <w:rPr>
                <w:spacing w:val="18"/>
                <w:w w:val="120"/>
                <w:sz w:val="20"/>
              </w:rPr>
              <w:t> </w:t>
            </w:r>
            <w:r>
              <w:rPr>
                <w:spacing w:val="7"/>
                <w:w w:val="120"/>
                <w:sz w:val="20"/>
              </w:rPr>
              <w:t>next.</w:t>
            </w:r>
          </w:p>
        </w:tc>
      </w:tr>
      <w:tr>
        <w:trPr>
          <w:trHeight w:val="1298" w:hRule="atLeast"/>
        </w:trPr>
        <w:tc>
          <w:tcPr>
            <w:tcW w:w="350" w:type="dxa"/>
            <w:tcBorders>
              <w:right w:val="dotted" w:sz="8" w:space="0" w:color="868685"/>
            </w:tcBorders>
          </w:tcPr>
          <w:p>
            <w:pPr>
              <w:pStyle w:val="TableParagraph"/>
              <w:rPr>
                <w:rFonts w:ascii="Times New Roman"/>
                <w:sz w:val="20"/>
              </w:rPr>
            </w:pPr>
          </w:p>
        </w:tc>
        <w:tc>
          <w:tcPr>
            <w:tcW w:w="9263" w:type="dxa"/>
            <w:tcBorders>
              <w:left w:val="dotted" w:sz="8" w:space="0" w:color="868685"/>
            </w:tcBorders>
          </w:tcPr>
          <w:p>
            <w:pPr>
              <w:pStyle w:val="TableParagraph"/>
              <w:spacing w:before="6"/>
              <w:rPr>
                <w:sz w:val="23"/>
              </w:rPr>
            </w:pPr>
          </w:p>
          <w:p>
            <w:pPr>
              <w:pStyle w:val="TableParagraph"/>
              <w:tabs>
                <w:tab w:pos="921" w:val="left" w:leader="none"/>
              </w:tabs>
              <w:ind w:left="241"/>
              <w:rPr>
                <w:sz w:val="20"/>
              </w:rPr>
            </w:pPr>
            <w:r>
              <w:rPr>
                <w:spacing w:val="-3"/>
                <w:w w:val="120"/>
                <w:sz w:val="20"/>
              </w:rPr>
              <w:t>6.4</w:t>
              <w:tab/>
            </w:r>
            <w:r>
              <w:rPr>
                <w:w w:val="120"/>
                <w:sz w:val="20"/>
              </w:rPr>
              <w:t>Attitude-related</w:t>
            </w:r>
            <w:r>
              <w:rPr>
                <w:spacing w:val="2"/>
                <w:w w:val="120"/>
                <w:sz w:val="20"/>
              </w:rPr>
              <w:t> </w:t>
            </w:r>
            <w:r>
              <w:rPr>
                <w:w w:val="120"/>
                <w:sz w:val="20"/>
              </w:rPr>
              <w:t>challenges</w:t>
            </w:r>
          </w:p>
          <w:p>
            <w:pPr>
              <w:pStyle w:val="TableParagraph"/>
              <w:spacing w:before="4"/>
              <w:rPr>
                <w:sz w:val="19"/>
              </w:rPr>
            </w:pPr>
          </w:p>
          <w:p>
            <w:pPr>
              <w:pStyle w:val="TableParagraph"/>
              <w:ind w:left="241"/>
              <w:rPr>
                <w:sz w:val="20"/>
              </w:rPr>
            </w:pPr>
            <w:r>
              <w:rPr>
                <w:w w:val="120"/>
                <w:sz w:val="20"/>
              </w:rPr>
              <w:t>Some people found a church based learning process a bit threatening:</w:t>
            </w:r>
          </w:p>
        </w:tc>
      </w:tr>
      <w:tr>
        <w:trPr>
          <w:trHeight w:val="883" w:hRule="atLeast"/>
        </w:trPr>
        <w:tc>
          <w:tcPr>
            <w:tcW w:w="9613" w:type="dxa"/>
            <w:gridSpan w:val="2"/>
          </w:tcPr>
          <w:p>
            <w:pPr>
              <w:pStyle w:val="TableParagraph"/>
              <w:spacing w:line="235" w:lineRule="auto" w:before="192"/>
              <w:ind w:left="1055" w:right="441" w:hanging="1"/>
              <w:rPr>
                <w:sz w:val="20"/>
              </w:rPr>
            </w:pPr>
            <w:r>
              <w:rPr>
                <w:w w:val="120"/>
                <w:sz w:val="20"/>
              </w:rPr>
              <w:t>Felt like I was back at school...I had expected to do a Bible study not to be told how to do a Bible study.</w:t>
            </w:r>
          </w:p>
        </w:tc>
      </w:tr>
      <w:tr>
        <w:trPr>
          <w:trHeight w:val="702" w:hRule="atLeast"/>
        </w:trPr>
        <w:tc>
          <w:tcPr>
            <w:tcW w:w="350" w:type="dxa"/>
            <w:tcBorders>
              <w:right w:val="dotted" w:sz="8" w:space="0" w:color="868685"/>
            </w:tcBorders>
          </w:tcPr>
          <w:p>
            <w:pPr>
              <w:pStyle w:val="TableParagraph"/>
              <w:rPr>
                <w:rFonts w:ascii="Times New Roman"/>
                <w:sz w:val="20"/>
              </w:rPr>
            </w:pPr>
          </w:p>
        </w:tc>
        <w:tc>
          <w:tcPr>
            <w:tcW w:w="9263" w:type="dxa"/>
            <w:tcBorders>
              <w:left w:val="dotted" w:sz="8" w:space="0" w:color="868685"/>
            </w:tcBorders>
          </w:tcPr>
          <w:p>
            <w:pPr>
              <w:pStyle w:val="TableParagraph"/>
              <w:spacing w:before="8"/>
              <w:rPr>
                <w:sz w:val="21"/>
              </w:rPr>
            </w:pPr>
          </w:p>
          <w:p>
            <w:pPr>
              <w:pStyle w:val="TableParagraph"/>
              <w:ind w:left="241"/>
              <w:rPr>
                <w:sz w:val="20"/>
              </w:rPr>
            </w:pPr>
            <w:r>
              <w:rPr>
                <w:w w:val="120"/>
                <w:sz w:val="20"/>
              </w:rPr>
              <w:t>There were also those who had found it empowering:</w:t>
            </w:r>
          </w:p>
        </w:tc>
      </w:tr>
      <w:tr>
        <w:trPr>
          <w:trHeight w:val="883" w:hRule="atLeast"/>
        </w:trPr>
        <w:tc>
          <w:tcPr>
            <w:tcW w:w="9613" w:type="dxa"/>
            <w:gridSpan w:val="2"/>
          </w:tcPr>
          <w:p>
            <w:pPr>
              <w:pStyle w:val="TableParagraph"/>
              <w:spacing w:before="1"/>
              <w:rPr>
                <w:sz w:val="23"/>
              </w:rPr>
            </w:pPr>
          </w:p>
          <w:p>
            <w:pPr>
              <w:pStyle w:val="TableParagraph"/>
              <w:ind w:left="1055"/>
              <w:rPr>
                <w:sz w:val="20"/>
              </w:rPr>
            </w:pPr>
            <w:r>
              <w:rPr>
                <w:w w:val="115"/>
                <w:sz w:val="20"/>
              </w:rPr>
              <w:t>I think I can give it a go.</w:t>
            </w:r>
          </w:p>
        </w:tc>
      </w:tr>
      <w:tr>
        <w:trPr>
          <w:trHeight w:val="2696" w:hRule="atLeast"/>
        </w:trPr>
        <w:tc>
          <w:tcPr>
            <w:tcW w:w="350" w:type="dxa"/>
            <w:tcBorders>
              <w:right w:val="dotted" w:sz="8" w:space="0" w:color="868685"/>
            </w:tcBorders>
          </w:tcPr>
          <w:p>
            <w:pPr>
              <w:pStyle w:val="TableParagraph"/>
              <w:rPr>
                <w:rFonts w:ascii="Times New Roman"/>
                <w:sz w:val="20"/>
              </w:rPr>
            </w:pPr>
          </w:p>
        </w:tc>
        <w:tc>
          <w:tcPr>
            <w:tcW w:w="9263" w:type="dxa"/>
            <w:tcBorders>
              <w:left w:val="dotted" w:sz="8" w:space="0" w:color="868685"/>
            </w:tcBorders>
          </w:tcPr>
          <w:p>
            <w:pPr>
              <w:pStyle w:val="TableParagraph"/>
              <w:spacing w:before="2"/>
              <w:rPr>
                <w:sz w:val="21"/>
              </w:rPr>
            </w:pPr>
          </w:p>
          <w:p>
            <w:pPr>
              <w:pStyle w:val="TableParagraph"/>
              <w:numPr>
                <w:ilvl w:val="1"/>
                <w:numId w:val="55"/>
              </w:numPr>
              <w:tabs>
                <w:tab w:pos="961" w:val="left" w:leader="none"/>
                <w:tab w:pos="962" w:val="left" w:leader="none"/>
              </w:tabs>
              <w:spacing w:line="240" w:lineRule="auto" w:before="0" w:after="0"/>
              <w:ind w:left="961" w:right="0" w:hanging="721"/>
              <w:jc w:val="left"/>
              <w:rPr>
                <w:sz w:val="20"/>
              </w:rPr>
            </w:pPr>
            <w:r>
              <w:rPr>
                <w:w w:val="120"/>
                <w:sz w:val="20"/>
              </w:rPr>
              <w:t>Materials-related</w:t>
            </w:r>
            <w:r>
              <w:rPr>
                <w:spacing w:val="1"/>
                <w:w w:val="120"/>
                <w:sz w:val="20"/>
              </w:rPr>
              <w:t> </w:t>
            </w:r>
            <w:r>
              <w:rPr>
                <w:w w:val="120"/>
                <w:sz w:val="20"/>
              </w:rPr>
              <w:t>challenges</w:t>
            </w:r>
          </w:p>
          <w:p>
            <w:pPr>
              <w:pStyle w:val="TableParagraph"/>
              <w:spacing w:before="10"/>
              <w:rPr>
                <w:sz w:val="17"/>
              </w:rPr>
            </w:pPr>
          </w:p>
          <w:p>
            <w:pPr>
              <w:pStyle w:val="TableParagraph"/>
              <w:spacing w:line="211" w:lineRule="auto"/>
              <w:ind w:left="241" w:right="242"/>
              <w:rPr>
                <w:sz w:val="20"/>
              </w:rPr>
            </w:pPr>
            <w:r>
              <w:rPr>
                <w:w w:val="120"/>
                <w:sz w:val="20"/>
              </w:rPr>
              <w:t>The</w:t>
            </w:r>
            <w:r>
              <w:rPr>
                <w:spacing w:val="-18"/>
                <w:w w:val="120"/>
                <w:sz w:val="20"/>
              </w:rPr>
              <w:t> </w:t>
            </w:r>
            <w:r>
              <w:rPr>
                <w:rFonts w:ascii="Arial Rounded MT Bold"/>
                <w:sz w:val="21"/>
              </w:rPr>
              <w:t>Vision4</w:t>
            </w:r>
            <w:r>
              <w:rPr>
                <w:rFonts w:ascii="Bradley Hand ITC"/>
                <w:color w:val="C20D19"/>
                <w:sz w:val="28"/>
              </w:rPr>
              <w:t>Life</w:t>
            </w:r>
            <w:r>
              <w:rPr>
                <w:rFonts w:ascii="Bradley Hand ITC"/>
                <w:color w:val="C20D19"/>
                <w:spacing w:val="-39"/>
                <w:sz w:val="28"/>
              </w:rPr>
              <w:t> </w:t>
            </w:r>
            <w:r>
              <w:rPr>
                <w:w w:val="120"/>
                <w:sz w:val="20"/>
              </w:rPr>
              <w:t>materials</w:t>
            </w:r>
            <w:r>
              <w:rPr>
                <w:spacing w:val="-16"/>
                <w:w w:val="120"/>
                <w:sz w:val="20"/>
              </w:rPr>
              <w:t> </w:t>
            </w:r>
            <w:r>
              <w:rPr>
                <w:w w:val="120"/>
                <w:sz w:val="20"/>
              </w:rPr>
              <w:t>were</w:t>
            </w:r>
            <w:r>
              <w:rPr>
                <w:spacing w:val="-17"/>
                <w:w w:val="120"/>
                <w:sz w:val="20"/>
              </w:rPr>
              <w:t> </w:t>
            </w:r>
            <w:r>
              <w:rPr>
                <w:w w:val="120"/>
                <w:sz w:val="20"/>
              </w:rPr>
              <w:t>written</w:t>
            </w:r>
            <w:r>
              <w:rPr>
                <w:spacing w:val="-16"/>
                <w:w w:val="120"/>
                <w:sz w:val="20"/>
              </w:rPr>
              <w:t> </w:t>
            </w:r>
            <w:r>
              <w:rPr>
                <w:w w:val="120"/>
                <w:sz w:val="20"/>
              </w:rPr>
              <w:t>by</w:t>
            </w:r>
            <w:r>
              <w:rPr>
                <w:spacing w:val="-17"/>
                <w:w w:val="120"/>
                <w:sz w:val="20"/>
              </w:rPr>
              <w:t> </w:t>
            </w:r>
            <w:r>
              <w:rPr>
                <w:w w:val="120"/>
                <w:sz w:val="20"/>
              </w:rPr>
              <w:t>busy</w:t>
            </w:r>
            <w:r>
              <w:rPr>
                <w:spacing w:val="-16"/>
                <w:w w:val="120"/>
                <w:sz w:val="20"/>
              </w:rPr>
              <w:t> </w:t>
            </w:r>
            <w:r>
              <w:rPr>
                <w:w w:val="120"/>
                <w:sz w:val="20"/>
              </w:rPr>
              <w:t>volunteers</w:t>
            </w:r>
            <w:r>
              <w:rPr>
                <w:spacing w:val="-16"/>
                <w:w w:val="120"/>
                <w:sz w:val="20"/>
              </w:rPr>
              <w:t> </w:t>
            </w:r>
            <w:r>
              <w:rPr>
                <w:w w:val="120"/>
                <w:sz w:val="20"/>
              </w:rPr>
              <w:t>and</w:t>
            </w:r>
            <w:r>
              <w:rPr>
                <w:spacing w:val="-17"/>
                <w:w w:val="120"/>
                <w:sz w:val="20"/>
              </w:rPr>
              <w:t> </w:t>
            </w:r>
            <w:r>
              <w:rPr>
                <w:w w:val="120"/>
                <w:sz w:val="20"/>
              </w:rPr>
              <w:t>all</w:t>
            </w:r>
            <w:r>
              <w:rPr>
                <w:spacing w:val="-16"/>
                <w:w w:val="120"/>
                <w:sz w:val="20"/>
              </w:rPr>
              <w:t> </w:t>
            </w:r>
            <w:r>
              <w:rPr>
                <w:w w:val="120"/>
                <w:sz w:val="20"/>
              </w:rPr>
              <w:t>had</w:t>
            </w:r>
            <w:r>
              <w:rPr>
                <w:spacing w:val="-17"/>
                <w:w w:val="120"/>
                <w:sz w:val="20"/>
              </w:rPr>
              <w:t> </w:t>
            </w:r>
            <w:r>
              <w:rPr>
                <w:w w:val="120"/>
                <w:sz w:val="20"/>
              </w:rPr>
              <w:t>to</w:t>
            </w:r>
            <w:r>
              <w:rPr>
                <w:spacing w:val="-16"/>
                <w:w w:val="120"/>
                <w:sz w:val="20"/>
              </w:rPr>
              <w:t> </w:t>
            </w:r>
            <w:r>
              <w:rPr>
                <w:w w:val="120"/>
                <w:sz w:val="20"/>
              </w:rPr>
              <w:t>be</w:t>
            </w:r>
            <w:r>
              <w:rPr>
                <w:spacing w:val="-17"/>
                <w:w w:val="120"/>
                <w:sz w:val="20"/>
              </w:rPr>
              <w:t> </w:t>
            </w:r>
            <w:r>
              <w:rPr>
                <w:w w:val="120"/>
                <w:sz w:val="20"/>
              </w:rPr>
              <w:t>tested</w:t>
            </w:r>
            <w:r>
              <w:rPr>
                <w:spacing w:val="-16"/>
                <w:w w:val="120"/>
                <w:sz w:val="20"/>
              </w:rPr>
              <w:t> </w:t>
            </w:r>
            <w:r>
              <w:rPr>
                <w:w w:val="120"/>
                <w:sz w:val="20"/>
              </w:rPr>
              <w:t>in</w:t>
            </w:r>
            <w:r>
              <w:rPr>
                <w:spacing w:val="-17"/>
                <w:w w:val="120"/>
                <w:sz w:val="20"/>
              </w:rPr>
              <w:t> </w:t>
            </w:r>
            <w:r>
              <w:rPr>
                <w:w w:val="120"/>
                <w:sz w:val="20"/>
              </w:rPr>
              <w:t>local churches before they were posted on the website. Expectations were high and there was a constant demand for more materials. Some churches generated their own.</w:t>
            </w:r>
            <w:r>
              <w:rPr>
                <w:spacing w:val="28"/>
                <w:w w:val="120"/>
                <w:sz w:val="20"/>
              </w:rPr>
              <w:t> </w:t>
            </w:r>
            <w:r>
              <w:rPr>
                <w:w w:val="120"/>
                <w:sz w:val="20"/>
              </w:rPr>
              <w:t>Feedback</w:t>
            </w:r>
          </w:p>
          <w:p>
            <w:pPr>
              <w:pStyle w:val="TableParagraph"/>
              <w:spacing w:line="235" w:lineRule="auto" w:before="6"/>
              <w:ind w:left="241"/>
              <w:rPr>
                <w:sz w:val="20"/>
              </w:rPr>
            </w:pPr>
            <w:r>
              <w:rPr>
                <w:w w:val="120"/>
                <w:sz w:val="20"/>
              </w:rPr>
              <w:t>was predictably wide-ranging, given the diversity of our churches: what some churches wanted more of, others definitely didn’t – and vice versa!</w:t>
            </w:r>
          </w:p>
          <w:p>
            <w:pPr>
              <w:pStyle w:val="TableParagraph"/>
              <w:spacing w:before="5"/>
              <w:rPr>
                <w:sz w:val="19"/>
              </w:rPr>
            </w:pPr>
          </w:p>
          <w:p>
            <w:pPr>
              <w:pStyle w:val="TableParagraph"/>
              <w:numPr>
                <w:ilvl w:val="1"/>
                <w:numId w:val="55"/>
              </w:numPr>
              <w:tabs>
                <w:tab w:pos="961" w:val="left" w:leader="none"/>
                <w:tab w:pos="962" w:val="left" w:leader="none"/>
              </w:tabs>
              <w:spacing w:line="240" w:lineRule="auto" w:before="0" w:after="0"/>
              <w:ind w:left="961" w:right="0" w:hanging="721"/>
              <w:jc w:val="left"/>
              <w:rPr>
                <w:sz w:val="20"/>
              </w:rPr>
            </w:pPr>
            <w:r>
              <w:rPr>
                <w:w w:val="120"/>
                <w:sz w:val="20"/>
              </w:rPr>
              <w:t>Context-related</w:t>
            </w:r>
            <w:r>
              <w:rPr>
                <w:spacing w:val="2"/>
                <w:w w:val="120"/>
                <w:sz w:val="20"/>
              </w:rPr>
              <w:t> </w:t>
            </w:r>
            <w:r>
              <w:rPr>
                <w:w w:val="120"/>
                <w:sz w:val="20"/>
              </w:rPr>
              <w:t>challenges</w:t>
            </w:r>
          </w:p>
        </w:tc>
      </w:tr>
      <w:tr>
        <w:trPr>
          <w:trHeight w:val="2563" w:hRule="atLeast"/>
        </w:trPr>
        <w:tc>
          <w:tcPr>
            <w:tcW w:w="9613" w:type="dxa"/>
            <w:gridSpan w:val="2"/>
          </w:tcPr>
          <w:p>
            <w:pPr>
              <w:pStyle w:val="TableParagraph"/>
              <w:spacing w:line="235" w:lineRule="auto" w:before="205"/>
              <w:ind w:left="1054" w:right="394"/>
              <w:jc w:val="both"/>
              <w:rPr>
                <w:sz w:val="20"/>
              </w:rPr>
            </w:pPr>
            <w:r>
              <w:rPr>
                <w:spacing w:val="4"/>
                <w:w w:val="115"/>
                <w:sz w:val="20"/>
              </w:rPr>
              <w:t>How </w:t>
            </w:r>
            <w:r>
              <w:rPr>
                <w:w w:val="115"/>
                <w:sz w:val="20"/>
              </w:rPr>
              <w:t>to  </w:t>
            </w:r>
            <w:r>
              <w:rPr>
                <w:spacing w:val="5"/>
                <w:w w:val="115"/>
                <w:sz w:val="20"/>
              </w:rPr>
              <w:t>include </w:t>
            </w:r>
            <w:r>
              <w:rPr>
                <w:spacing w:val="4"/>
                <w:w w:val="115"/>
                <w:sz w:val="20"/>
              </w:rPr>
              <w:t>isolated </w:t>
            </w:r>
            <w:r>
              <w:rPr>
                <w:spacing w:val="2"/>
                <w:w w:val="115"/>
                <w:sz w:val="20"/>
              </w:rPr>
              <w:t>people?...  </w:t>
            </w:r>
            <w:r>
              <w:rPr>
                <w:spacing w:val="4"/>
                <w:w w:val="115"/>
                <w:sz w:val="20"/>
              </w:rPr>
              <w:t>How </w:t>
            </w:r>
            <w:r>
              <w:rPr>
                <w:spacing w:val="3"/>
                <w:w w:val="115"/>
                <w:sz w:val="20"/>
              </w:rPr>
              <w:t>do  </w:t>
            </w:r>
            <w:r>
              <w:rPr>
                <w:w w:val="115"/>
                <w:sz w:val="20"/>
              </w:rPr>
              <w:t>I  </w:t>
            </w:r>
            <w:r>
              <w:rPr>
                <w:spacing w:val="5"/>
                <w:w w:val="115"/>
                <w:sz w:val="20"/>
              </w:rPr>
              <w:t>work with </w:t>
            </w:r>
            <w:r>
              <w:rPr>
                <w:spacing w:val="4"/>
                <w:w w:val="115"/>
                <w:sz w:val="20"/>
              </w:rPr>
              <w:t>the </w:t>
            </w:r>
            <w:r>
              <w:rPr>
                <w:spacing w:val="5"/>
                <w:w w:val="115"/>
                <w:sz w:val="20"/>
              </w:rPr>
              <w:t>Bible </w:t>
            </w:r>
            <w:r>
              <w:rPr>
                <w:spacing w:val="2"/>
                <w:w w:val="115"/>
                <w:sz w:val="20"/>
              </w:rPr>
              <w:t>in  </w:t>
            </w:r>
            <w:r>
              <w:rPr>
                <w:spacing w:val="4"/>
                <w:w w:val="115"/>
                <w:sz w:val="20"/>
              </w:rPr>
              <w:t>church </w:t>
            </w:r>
            <w:r>
              <w:rPr>
                <w:spacing w:val="5"/>
                <w:w w:val="115"/>
                <w:sz w:val="20"/>
              </w:rPr>
              <w:t>with    </w:t>
            </w:r>
            <w:r>
              <w:rPr>
                <w:w w:val="115"/>
                <w:sz w:val="20"/>
              </w:rPr>
              <w:t>a </w:t>
            </w:r>
            <w:r>
              <w:rPr>
                <w:spacing w:val="6"/>
                <w:w w:val="115"/>
                <w:sz w:val="20"/>
              </w:rPr>
              <w:t>majority </w:t>
            </w:r>
            <w:r>
              <w:rPr>
                <w:spacing w:val="3"/>
                <w:w w:val="115"/>
                <w:sz w:val="20"/>
              </w:rPr>
              <w:t>of </w:t>
            </w:r>
            <w:r>
              <w:rPr>
                <w:spacing w:val="6"/>
                <w:w w:val="115"/>
                <w:sz w:val="20"/>
              </w:rPr>
              <w:t>‘trendy’ </w:t>
            </w:r>
            <w:r>
              <w:rPr>
                <w:spacing w:val="4"/>
                <w:w w:val="115"/>
                <w:sz w:val="20"/>
              </w:rPr>
              <w:t>young </w:t>
            </w:r>
            <w:r>
              <w:rPr>
                <w:spacing w:val="2"/>
                <w:w w:val="115"/>
                <w:sz w:val="20"/>
              </w:rPr>
              <w:t>adults?... </w:t>
            </w:r>
            <w:r>
              <w:rPr>
                <w:spacing w:val="4"/>
                <w:w w:val="115"/>
                <w:sz w:val="20"/>
              </w:rPr>
              <w:t>How </w:t>
            </w:r>
            <w:r>
              <w:rPr>
                <w:spacing w:val="3"/>
                <w:w w:val="115"/>
                <w:sz w:val="20"/>
              </w:rPr>
              <w:t>do </w:t>
            </w:r>
            <w:r>
              <w:rPr>
                <w:spacing w:val="2"/>
                <w:w w:val="115"/>
                <w:sz w:val="20"/>
              </w:rPr>
              <w:t>we  </w:t>
            </w:r>
            <w:r>
              <w:rPr>
                <w:spacing w:val="5"/>
                <w:w w:val="115"/>
                <w:sz w:val="20"/>
              </w:rPr>
              <w:t>find </w:t>
            </w:r>
            <w:r>
              <w:rPr>
                <w:spacing w:val="4"/>
                <w:w w:val="115"/>
                <w:sz w:val="20"/>
              </w:rPr>
              <w:t>out what </w:t>
            </w:r>
            <w:r>
              <w:rPr>
                <w:spacing w:val="6"/>
                <w:w w:val="115"/>
                <w:sz w:val="20"/>
              </w:rPr>
              <w:t>people outside</w:t>
            </w:r>
            <w:r>
              <w:rPr>
                <w:spacing w:val="64"/>
                <w:w w:val="115"/>
                <w:sz w:val="20"/>
              </w:rPr>
              <w:t> </w:t>
            </w:r>
            <w:r>
              <w:rPr>
                <w:spacing w:val="4"/>
                <w:w w:val="115"/>
                <w:sz w:val="20"/>
              </w:rPr>
              <w:t>the church</w:t>
            </w:r>
            <w:r>
              <w:rPr>
                <w:spacing w:val="31"/>
                <w:w w:val="115"/>
                <w:sz w:val="20"/>
              </w:rPr>
              <w:t> </w:t>
            </w:r>
            <w:r>
              <w:rPr>
                <w:spacing w:val="3"/>
                <w:w w:val="115"/>
                <w:sz w:val="20"/>
              </w:rPr>
              <w:t>want?</w:t>
            </w:r>
          </w:p>
          <w:p>
            <w:pPr>
              <w:pStyle w:val="TableParagraph"/>
              <w:spacing w:before="10"/>
              <w:rPr>
                <w:sz w:val="19"/>
              </w:rPr>
            </w:pPr>
          </w:p>
          <w:p>
            <w:pPr>
              <w:pStyle w:val="TableParagraph"/>
              <w:spacing w:line="235" w:lineRule="auto" w:before="1"/>
              <w:ind w:left="1054" w:right="275"/>
              <w:rPr>
                <w:sz w:val="20"/>
              </w:rPr>
            </w:pPr>
            <w:r>
              <w:rPr>
                <w:spacing w:val="3"/>
                <w:w w:val="115"/>
                <w:sz w:val="20"/>
              </w:rPr>
              <w:t>[My </w:t>
            </w:r>
            <w:r>
              <w:rPr>
                <w:spacing w:val="2"/>
                <w:w w:val="115"/>
                <w:sz w:val="20"/>
              </w:rPr>
              <w:t>church] </w:t>
            </w:r>
            <w:r>
              <w:rPr>
                <w:spacing w:val="6"/>
                <w:w w:val="115"/>
                <w:sz w:val="20"/>
              </w:rPr>
              <w:t>tried tasters </w:t>
            </w:r>
            <w:r>
              <w:rPr>
                <w:spacing w:val="5"/>
                <w:w w:val="115"/>
                <w:sz w:val="20"/>
              </w:rPr>
              <w:t>last </w:t>
            </w:r>
            <w:r>
              <w:rPr>
                <w:spacing w:val="4"/>
                <w:w w:val="115"/>
                <w:sz w:val="20"/>
              </w:rPr>
              <w:t>year </w:t>
            </w:r>
            <w:r>
              <w:rPr>
                <w:spacing w:val="3"/>
                <w:w w:val="115"/>
                <w:sz w:val="20"/>
              </w:rPr>
              <w:t>[2008] </w:t>
            </w:r>
            <w:r>
              <w:rPr>
                <w:spacing w:val="2"/>
                <w:w w:val="115"/>
                <w:sz w:val="20"/>
              </w:rPr>
              <w:t>in  </w:t>
            </w:r>
            <w:r>
              <w:rPr>
                <w:spacing w:val="4"/>
                <w:w w:val="115"/>
                <w:sz w:val="20"/>
              </w:rPr>
              <w:t>Sunday  </w:t>
            </w:r>
            <w:r>
              <w:rPr>
                <w:spacing w:val="5"/>
                <w:w w:val="115"/>
                <w:sz w:val="20"/>
              </w:rPr>
              <w:t>morning  </w:t>
            </w:r>
            <w:r>
              <w:rPr>
                <w:spacing w:val="6"/>
                <w:w w:val="115"/>
                <w:sz w:val="20"/>
              </w:rPr>
              <w:t>services  </w:t>
            </w:r>
            <w:r>
              <w:rPr>
                <w:spacing w:val="5"/>
                <w:w w:val="115"/>
                <w:sz w:val="20"/>
              </w:rPr>
              <w:t>then decided there should </w:t>
            </w:r>
            <w:r>
              <w:rPr>
                <w:spacing w:val="4"/>
                <w:w w:val="115"/>
                <w:sz w:val="20"/>
              </w:rPr>
              <w:t>not be </w:t>
            </w:r>
            <w:r>
              <w:rPr>
                <w:spacing w:val="5"/>
                <w:w w:val="115"/>
                <w:sz w:val="20"/>
              </w:rPr>
              <w:t>discussion </w:t>
            </w:r>
            <w:r>
              <w:rPr>
                <w:spacing w:val="2"/>
                <w:w w:val="115"/>
                <w:sz w:val="20"/>
              </w:rPr>
              <w:t>in </w:t>
            </w:r>
            <w:r>
              <w:rPr>
                <w:spacing w:val="4"/>
                <w:w w:val="115"/>
                <w:sz w:val="20"/>
              </w:rPr>
              <w:t>Sunday </w:t>
            </w:r>
            <w:r>
              <w:rPr>
                <w:spacing w:val="5"/>
                <w:w w:val="115"/>
                <w:sz w:val="20"/>
              </w:rPr>
              <w:t>worship </w:t>
            </w:r>
            <w:r>
              <w:rPr>
                <w:spacing w:val="4"/>
                <w:w w:val="115"/>
                <w:sz w:val="20"/>
              </w:rPr>
              <w:t>but wanted </w:t>
            </w:r>
            <w:r>
              <w:rPr>
                <w:w w:val="115"/>
                <w:sz w:val="20"/>
              </w:rPr>
              <w:t>to </w:t>
            </w:r>
            <w:r>
              <w:rPr>
                <w:spacing w:val="3"/>
                <w:w w:val="115"/>
                <w:sz w:val="20"/>
              </w:rPr>
              <w:t>have </w:t>
            </w:r>
            <w:r>
              <w:rPr>
                <w:spacing w:val="4"/>
                <w:w w:val="115"/>
                <w:sz w:val="20"/>
              </w:rPr>
              <w:t>groups </w:t>
            </w:r>
            <w:r>
              <w:rPr>
                <w:spacing w:val="2"/>
                <w:w w:val="115"/>
                <w:sz w:val="20"/>
              </w:rPr>
              <w:t>at </w:t>
            </w:r>
            <w:r>
              <w:rPr>
                <w:spacing w:val="5"/>
                <w:w w:val="115"/>
                <w:sz w:val="20"/>
              </w:rPr>
              <w:t>another </w:t>
            </w:r>
            <w:r>
              <w:rPr>
                <w:spacing w:val="4"/>
                <w:w w:val="115"/>
                <w:sz w:val="20"/>
              </w:rPr>
              <w:t>time. But </w:t>
            </w:r>
            <w:r>
              <w:rPr>
                <w:spacing w:val="5"/>
                <w:w w:val="115"/>
                <w:sz w:val="20"/>
              </w:rPr>
              <w:t>when </w:t>
            </w:r>
            <w:r>
              <w:rPr>
                <w:spacing w:val="4"/>
                <w:w w:val="115"/>
                <w:sz w:val="20"/>
              </w:rPr>
              <w:t>the groups were </w:t>
            </w:r>
            <w:r>
              <w:rPr>
                <w:spacing w:val="5"/>
                <w:w w:val="115"/>
                <w:sz w:val="20"/>
              </w:rPr>
              <w:t>held  attendance  </w:t>
            </w:r>
            <w:r>
              <w:rPr>
                <w:spacing w:val="4"/>
                <w:w w:val="115"/>
                <w:sz w:val="20"/>
              </w:rPr>
              <w:t>was  </w:t>
            </w:r>
            <w:r>
              <w:rPr>
                <w:spacing w:val="7"/>
                <w:w w:val="115"/>
                <w:sz w:val="20"/>
              </w:rPr>
              <w:t>very </w:t>
            </w:r>
            <w:r>
              <w:rPr>
                <w:spacing w:val="4"/>
                <w:w w:val="115"/>
                <w:sz w:val="20"/>
              </w:rPr>
              <w:t>small.</w:t>
            </w:r>
            <w:r>
              <w:rPr>
                <w:spacing w:val="30"/>
                <w:w w:val="115"/>
                <w:sz w:val="20"/>
              </w:rPr>
              <w:t> </w:t>
            </w:r>
            <w:r>
              <w:rPr>
                <w:spacing w:val="3"/>
                <w:w w:val="115"/>
                <w:sz w:val="20"/>
              </w:rPr>
              <w:t>I’ll</w:t>
            </w:r>
            <w:r>
              <w:rPr>
                <w:spacing w:val="30"/>
                <w:w w:val="115"/>
                <w:sz w:val="20"/>
              </w:rPr>
              <w:t> </w:t>
            </w:r>
            <w:r>
              <w:rPr>
                <w:spacing w:val="3"/>
                <w:w w:val="115"/>
                <w:sz w:val="20"/>
              </w:rPr>
              <w:t>have</w:t>
            </w:r>
            <w:r>
              <w:rPr>
                <w:spacing w:val="31"/>
                <w:w w:val="115"/>
                <w:sz w:val="20"/>
              </w:rPr>
              <w:t> </w:t>
            </w:r>
            <w:r>
              <w:rPr>
                <w:w w:val="115"/>
                <w:sz w:val="20"/>
              </w:rPr>
              <w:t>to</w:t>
            </w:r>
            <w:r>
              <w:rPr>
                <w:spacing w:val="30"/>
                <w:w w:val="115"/>
                <w:sz w:val="20"/>
              </w:rPr>
              <w:t> </w:t>
            </w:r>
            <w:r>
              <w:rPr>
                <w:spacing w:val="4"/>
                <w:w w:val="115"/>
                <w:sz w:val="20"/>
              </w:rPr>
              <w:t>think</w:t>
            </w:r>
            <w:r>
              <w:rPr>
                <w:spacing w:val="31"/>
                <w:w w:val="115"/>
                <w:sz w:val="20"/>
              </w:rPr>
              <w:t> </w:t>
            </w:r>
            <w:r>
              <w:rPr>
                <w:spacing w:val="3"/>
                <w:w w:val="115"/>
                <w:sz w:val="20"/>
              </w:rPr>
              <w:t>of</w:t>
            </w:r>
            <w:r>
              <w:rPr>
                <w:spacing w:val="30"/>
                <w:w w:val="115"/>
                <w:sz w:val="20"/>
              </w:rPr>
              <w:t> </w:t>
            </w:r>
            <w:r>
              <w:rPr>
                <w:spacing w:val="5"/>
                <w:w w:val="115"/>
                <w:sz w:val="20"/>
              </w:rPr>
              <w:t>other</w:t>
            </w:r>
            <w:r>
              <w:rPr>
                <w:spacing w:val="31"/>
                <w:w w:val="115"/>
                <w:sz w:val="20"/>
              </w:rPr>
              <w:t> </w:t>
            </w:r>
            <w:r>
              <w:rPr>
                <w:spacing w:val="6"/>
                <w:w w:val="115"/>
                <w:sz w:val="20"/>
              </w:rPr>
              <w:t>opportunities</w:t>
            </w:r>
            <w:r>
              <w:rPr>
                <w:spacing w:val="30"/>
                <w:w w:val="115"/>
                <w:sz w:val="20"/>
              </w:rPr>
              <w:t> </w:t>
            </w:r>
            <w:r>
              <w:rPr>
                <w:spacing w:val="5"/>
                <w:w w:val="115"/>
                <w:sz w:val="20"/>
              </w:rPr>
              <w:t>because</w:t>
            </w:r>
            <w:r>
              <w:rPr>
                <w:spacing w:val="31"/>
                <w:w w:val="115"/>
                <w:sz w:val="20"/>
              </w:rPr>
              <w:t> </w:t>
            </w:r>
            <w:r>
              <w:rPr>
                <w:spacing w:val="4"/>
                <w:w w:val="115"/>
                <w:sz w:val="20"/>
              </w:rPr>
              <w:t>the</w:t>
            </w:r>
            <w:r>
              <w:rPr>
                <w:spacing w:val="30"/>
                <w:w w:val="115"/>
                <w:sz w:val="20"/>
              </w:rPr>
              <w:t> </w:t>
            </w:r>
            <w:r>
              <w:rPr>
                <w:spacing w:val="5"/>
                <w:w w:val="115"/>
                <w:sz w:val="20"/>
              </w:rPr>
              <w:t>Bible</w:t>
            </w:r>
            <w:r>
              <w:rPr>
                <w:spacing w:val="31"/>
                <w:w w:val="115"/>
                <w:sz w:val="20"/>
              </w:rPr>
              <w:t> </w:t>
            </w:r>
            <w:r>
              <w:rPr>
                <w:w w:val="115"/>
                <w:sz w:val="20"/>
              </w:rPr>
              <w:t>is</w:t>
            </w:r>
            <w:r>
              <w:rPr>
                <w:spacing w:val="30"/>
                <w:w w:val="115"/>
                <w:sz w:val="20"/>
              </w:rPr>
              <w:t> </w:t>
            </w:r>
            <w:r>
              <w:rPr>
                <w:spacing w:val="6"/>
                <w:w w:val="115"/>
                <w:sz w:val="20"/>
              </w:rPr>
              <w:t>important</w:t>
            </w:r>
            <w:r>
              <w:rPr>
                <w:spacing w:val="31"/>
                <w:w w:val="115"/>
                <w:sz w:val="20"/>
              </w:rPr>
              <w:t> </w:t>
            </w:r>
            <w:r>
              <w:rPr>
                <w:spacing w:val="4"/>
                <w:w w:val="115"/>
                <w:sz w:val="20"/>
              </w:rPr>
              <w:t>and</w:t>
            </w:r>
          </w:p>
          <w:p>
            <w:pPr>
              <w:pStyle w:val="TableParagraph"/>
              <w:spacing w:line="301" w:lineRule="exact"/>
              <w:ind w:left="1054"/>
              <w:rPr>
                <w:sz w:val="20"/>
              </w:rPr>
            </w:pPr>
            <w:r>
              <w:rPr>
                <w:rFonts w:ascii="Arial Rounded MT Bold"/>
                <w:sz w:val="21"/>
              </w:rPr>
              <w:t>Vision4</w:t>
            </w:r>
            <w:r>
              <w:rPr>
                <w:rFonts w:ascii="Bradley Hand ITC"/>
                <w:color w:val="C20D19"/>
                <w:sz w:val="28"/>
              </w:rPr>
              <w:t>Life </w:t>
            </w:r>
            <w:r>
              <w:rPr>
                <w:w w:val="110"/>
                <w:sz w:val="20"/>
              </w:rPr>
              <w:t>material is worth it.</w:t>
            </w:r>
          </w:p>
        </w:tc>
      </w:tr>
      <w:tr>
        <w:trPr>
          <w:trHeight w:val="3059" w:hRule="atLeast"/>
        </w:trPr>
        <w:tc>
          <w:tcPr>
            <w:tcW w:w="350" w:type="dxa"/>
            <w:tcBorders>
              <w:right w:val="dotted" w:sz="8" w:space="0" w:color="868685"/>
            </w:tcBorders>
          </w:tcPr>
          <w:p>
            <w:pPr>
              <w:pStyle w:val="TableParagraph"/>
              <w:rPr>
                <w:rFonts w:ascii="Times New Roman"/>
                <w:sz w:val="20"/>
              </w:rPr>
            </w:pPr>
          </w:p>
        </w:tc>
        <w:tc>
          <w:tcPr>
            <w:tcW w:w="9263" w:type="dxa"/>
            <w:tcBorders>
              <w:left w:val="dotted" w:sz="8" w:space="0" w:color="868685"/>
            </w:tcBorders>
          </w:tcPr>
          <w:p>
            <w:pPr>
              <w:pStyle w:val="TableParagraph"/>
              <w:numPr>
                <w:ilvl w:val="0"/>
                <w:numId w:val="56"/>
              </w:numPr>
              <w:tabs>
                <w:tab w:pos="961" w:val="left" w:leader="none"/>
                <w:tab w:pos="962" w:val="left" w:leader="none"/>
              </w:tabs>
              <w:spacing w:line="240" w:lineRule="auto" w:before="300" w:after="0"/>
              <w:ind w:left="961" w:right="0" w:hanging="721"/>
              <w:jc w:val="left"/>
              <w:rPr>
                <w:rFonts w:ascii="Bradley Hand ITC"/>
                <w:sz w:val="36"/>
              </w:rPr>
            </w:pPr>
            <w:r>
              <w:rPr>
                <w:rFonts w:ascii="Stone Sans II ITC Std Bk"/>
                <w:b/>
                <w:color w:val="C20D19"/>
                <w:sz w:val="21"/>
              </w:rPr>
              <w:t>After</w:t>
            </w:r>
            <w:r>
              <w:rPr>
                <w:rFonts w:ascii="Stone Sans II ITC Std Bk"/>
                <w:b/>
                <w:color w:val="C20D19"/>
                <w:spacing w:val="3"/>
                <w:sz w:val="21"/>
              </w:rPr>
              <w:t> </w:t>
            </w:r>
            <w:r>
              <w:rPr>
                <w:rFonts w:ascii="Arial Rounded MT Bold"/>
                <w:sz w:val="29"/>
              </w:rPr>
              <w:t>Vision4</w:t>
            </w:r>
            <w:r>
              <w:rPr>
                <w:rFonts w:ascii="Bradley Hand ITC"/>
                <w:color w:val="C20D19"/>
                <w:sz w:val="36"/>
              </w:rPr>
              <w:t>Life</w:t>
            </w:r>
          </w:p>
          <w:p>
            <w:pPr>
              <w:pStyle w:val="TableParagraph"/>
              <w:numPr>
                <w:ilvl w:val="1"/>
                <w:numId w:val="56"/>
              </w:numPr>
              <w:tabs>
                <w:tab w:pos="921" w:val="left" w:leader="none"/>
                <w:tab w:pos="922" w:val="left" w:leader="none"/>
              </w:tabs>
              <w:spacing w:line="177" w:lineRule="auto" w:before="161" w:after="0"/>
              <w:ind w:left="241" w:right="268" w:firstLine="0"/>
              <w:jc w:val="left"/>
              <w:rPr>
                <w:sz w:val="20"/>
              </w:rPr>
            </w:pPr>
            <w:r>
              <w:rPr>
                <w:rFonts w:ascii="Arial Rounded MT Bold"/>
                <w:sz w:val="21"/>
              </w:rPr>
              <w:t>Vision4</w:t>
            </w:r>
            <w:r>
              <w:rPr>
                <w:rFonts w:ascii="Bradley Hand ITC"/>
                <w:color w:val="C20D19"/>
                <w:sz w:val="28"/>
              </w:rPr>
              <w:t>Life </w:t>
            </w:r>
            <w:r>
              <w:rPr>
                <w:w w:val="115"/>
                <w:sz w:val="20"/>
              </w:rPr>
              <w:t>was planned as a three year process. The steering group is currently discussing</w:t>
            </w:r>
            <w:r>
              <w:rPr>
                <w:spacing w:val="-5"/>
                <w:w w:val="115"/>
                <w:sz w:val="20"/>
              </w:rPr>
              <w:t> </w:t>
            </w:r>
            <w:r>
              <w:rPr>
                <w:w w:val="115"/>
                <w:sz w:val="20"/>
              </w:rPr>
              <w:t>what</w:t>
            </w:r>
            <w:r>
              <w:rPr>
                <w:spacing w:val="-4"/>
                <w:w w:val="115"/>
                <w:sz w:val="20"/>
              </w:rPr>
              <w:t> </w:t>
            </w:r>
            <w:r>
              <w:rPr>
                <w:w w:val="115"/>
                <w:sz w:val="20"/>
              </w:rPr>
              <w:t>will</w:t>
            </w:r>
            <w:r>
              <w:rPr>
                <w:spacing w:val="-5"/>
                <w:w w:val="115"/>
                <w:sz w:val="20"/>
              </w:rPr>
              <w:t> </w:t>
            </w:r>
            <w:r>
              <w:rPr>
                <w:w w:val="115"/>
                <w:sz w:val="20"/>
              </w:rPr>
              <w:t>happen</w:t>
            </w:r>
            <w:r>
              <w:rPr>
                <w:spacing w:val="-4"/>
                <w:w w:val="115"/>
                <w:sz w:val="20"/>
              </w:rPr>
              <w:t> </w:t>
            </w:r>
            <w:r>
              <w:rPr>
                <w:w w:val="115"/>
                <w:sz w:val="20"/>
              </w:rPr>
              <w:t>after</w:t>
            </w:r>
            <w:r>
              <w:rPr>
                <w:spacing w:val="-4"/>
                <w:w w:val="115"/>
                <w:sz w:val="20"/>
              </w:rPr>
              <w:t> </w:t>
            </w:r>
            <w:r>
              <w:rPr>
                <w:w w:val="115"/>
                <w:sz w:val="20"/>
              </w:rPr>
              <w:t>the</w:t>
            </w:r>
            <w:r>
              <w:rPr>
                <w:spacing w:val="-5"/>
                <w:w w:val="115"/>
                <w:sz w:val="20"/>
              </w:rPr>
              <w:t> </w:t>
            </w:r>
            <w:r>
              <w:rPr>
                <w:rFonts w:ascii="Arial Rounded MT Bold"/>
                <w:sz w:val="21"/>
              </w:rPr>
              <w:t>Vision4</w:t>
            </w:r>
            <w:r>
              <w:rPr>
                <w:rFonts w:ascii="Bradley Hand ITC"/>
                <w:color w:val="C20D19"/>
                <w:sz w:val="28"/>
              </w:rPr>
              <w:t>Life</w:t>
            </w:r>
            <w:r>
              <w:rPr>
                <w:rFonts w:ascii="Bradley Hand ITC"/>
                <w:color w:val="C20D19"/>
                <w:spacing w:val="-30"/>
                <w:sz w:val="28"/>
              </w:rPr>
              <w:t> </w:t>
            </w:r>
            <w:r>
              <w:rPr>
                <w:w w:val="115"/>
                <w:sz w:val="20"/>
              </w:rPr>
              <w:t>Evangelism</w:t>
            </w:r>
            <w:r>
              <w:rPr>
                <w:spacing w:val="-4"/>
                <w:w w:val="115"/>
                <w:sz w:val="20"/>
              </w:rPr>
              <w:t> </w:t>
            </w:r>
            <w:r>
              <w:rPr>
                <w:spacing w:val="-6"/>
                <w:w w:val="115"/>
                <w:sz w:val="20"/>
              </w:rPr>
              <w:t>Year.</w:t>
            </w:r>
            <w:r>
              <w:rPr>
                <w:spacing w:val="-5"/>
                <w:w w:val="115"/>
                <w:sz w:val="20"/>
              </w:rPr>
              <w:t> </w:t>
            </w:r>
            <w:r>
              <w:rPr>
                <w:w w:val="115"/>
                <w:sz w:val="20"/>
              </w:rPr>
              <w:t>The</w:t>
            </w:r>
            <w:r>
              <w:rPr>
                <w:spacing w:val="-4"/>
                <w:w w:val="115"/>
                <w:sz w:val="20"/>
              </w:rPr>
              <w:t> </w:t>
            </w:r>
            <w:r>
              <w:rPr>
                <w:i/>
                <w:w w:val="115"/>
                <w:sz w:val="20"/>
              </w:rPr>
              <w:t>Marketing</w:t>
            </w:r>
            <w:r>
              <w:rPr>
                <w:i/>
                <w:spacing w:val="-7"/>
                <w:w w:val="115"/>
                <w:sz w:val="20"/>
              </w:rPr>
              <w:t> </w:t>
            </w:r>
            <w:r>
              <w:rPr>
                <w:i/>
                <w:w w:val="115"/>
                <w:sz w:val="20"/>
              </w:rPr>
              <w:t>Campaign </w:t>
            </w:r>
            <w:r>
              <w:rPr>
                <w:w w:val="115"/>
                <w:sz w:val="20"/>
              </w:rPr>
              <w:t>will </w:t>
            </w:r>
            <w:r>
              <w:rPr>
                <w:spacing w:val="2"/>
                <w:w w:val="115"/>
                <w:sz w:val="20"/>
              </w:rPr>
              <w:t>start </w:t>
            </w:r>
            <w:r>
              <w:rPr>
                <w:w w:val="115"/>
                <w:sz w:val="20"/>
              </w:rPr>
              <w:t>in Spring </w:t>
            </w:r>
            <w:r>
              <w:rPr>
                <w:spacing w:val="-8"/>
                <w:w w:val="115"/>
                <w:sz w:val="20"/>
              </w:rPr>
              <w:t>2011 </w:t>
            </w:r>
            <w:r>
              <w:rPr>
                <w:w w:val="115"/>
                <w:sz w:val="20"/>
              </w:rPr>
              <w:t>and continue after the </w:t>
            </w:r>
            <w:r>
              <w:rPr>
                <w:rFonts w:ascii="Arial Rounded MT Bold"/>
                <w:sz w:val="21"/>
              </w:rPr>
              <w:t>Vision4</w:t>
            </w:r>
            <w:r>
              <w:rPr>
                <w:rFonts w:ascii="Bradley Hand ITC"/>
                <w:color w:val="C20D19"/>
                <w:sz w:val="28"/>
              </w:rPr>
              <w:t>Life </w:t>
            </w:r>
            <w:r>
              <w:rPr>
                <w:w w:val="115"/>
                <w:sz w:val="20"/>
              </w:rPr>
              <w:t>Evangelism </w:t>
            </w:r>
            <w:r>
              <w:rPr>
                <w:spacing w:val="-4"/>
                <w:w w:val="115"/>
                <w:sz w:val="20"/>
              </w:rPr>
              <w:t>Year </w:t>
            </w:r>
            <w:r>
              <w:rPr>
                <w:w w:val="115"/>
                <w:sz w:val="20"/>
              </w:rPr>
              <w:t>ends. But the group is also thinking about how to make resources like those prepared for </w:t>
            </w:r>
            <w:r>
              <w:rPr>
                <w:rFonts w:ascii="Arial Rounded MT Bold"/>
                <w:sz w:val="21"/>
              </w:rPr>
              <w:t>Vision4</w:t>
            </w:r>
            <w:r>
              <w:rPr>
                <w:rFonts w:ascii="Bradley Hand ITC"/>
                <w:color w:val="C20D19"/>
                <w:sz w:val="28"/>
              </w:rPr>
              <w:t>Life</w:t>
            </w:r>
            <w:r>
              <w:rPr>
                <w:rFonts w:ascii="Bradley Hand ITC"/>
                <w:sz w:val="28"/>
              </w:rPr>
              <w:t> </w:t>
            </w:r>
            <w:r>
              <w:rPr>
                <w:w w:val="115"/>
                <w:sz w:val="20"/>
              </w:rPr>
              <w:t>available </w:t>
            </w:r>
            <w:r>
              <w:rPr>
                <w:spacing w:val="-3"/>
                <w:w w:val="115"/>
                <w:sz w:val="20"/>
              </w:rPr>
              <w:t>to  churches  </w:t>
            </w:r>
            <w:r>
              <w:rPr>
                <w:w w:val="115"/>
                <w:sz w:val="20"/>
              </w:rPr>
              <w:t>after </w:t>
            </w:r>
            <w:r>
              <w:rPr>
                <w:spacing w:val="-8"/>
                <w:w w:val="115"/>
                <w:sz w:val="20"/>
              </w:rPr>
              <w:t>2012.  </w:t>
            </w:r>
            <w:r>
              <w:rPr>
                <w:w w:val="115"/>
                <w:sz w:val="20"/>
              </w:rPr>
              <w:t>This will also </w:t>
            </w:r>
            <w:r>
              <w:rPr>
                <w:spacing w:val="-3"/>
                <w:w w:val="115"/>
                <w:sz w:val="20"/>
              </w:rPr>
              <w:t>involve  </w:t>
            </w:r>
            <w:r>
              <w:rPr>
                <w:w w:val="115"/>
                <w:sz w:val="20"/>
              </w:rPr>
              <w:t>collecting further feedback and a more formal evaluation of what has been learnt from </w:t>
            </w:r>
            <w:r>
              <w:rPr>
                <w:rFonts w:ascii="Arial Rounded MT Bold"/>
                <w:sz w:val="21"/>
              </w:rPr>
              <w:t>Vision4</w:t>
            </w:r>
            <w:r>
              <w:rPr>
                <w:rFonts w:ascii="Bradley Hand ITC"/>
                <w:color w:val="C20D19"/>
                <w:sz w:val="28"/>
              </w:rPr>
              <w:t>Life </w:t>
            </w:r>
            <w:r>
              <w:rPr>
                <w:w w:val="115"/>
                <w:sz w:val="20"/>
              </w:rPr>
              <w:t>during the final year of the</w:t>
            </w:r>
            <w:r>
              <w:rPr>
                <w:spacing w:val="4"/>
                <w:w w:val="115"/>
                <w:sz w:val="20"/>
              </w:rPr>
              <w:t> </w:t>
            </w:r>
            <w:r>
              <w:rPr>
                <w:w w:val="115"/>
                <w:sz w:val="20"/>
              </w:rPr>
              <w:t>process.</w:t>
            </w:r>
          </w:p>
        </w:tc>
      </w:tr>
    </w:tbl>
    <w:p>
      <w:pPr>
        <w:rPr>
          <w:sz w:val="2"/>
          <w:szCs w:val="2"/>
        </w:rPr>
      </w:pPr>
      <w:r>
        <w:rPr/>
        <w:pict>
          <v:group style="position:absolute;margin-left:68.443001pt;margin-top:332.058014pt;width:480.7pt;height:44pt;mso-position-horizontal-relative:page;mso-position-vertical-relative:page;z-index:-267607040" coordorigin="1369,6641" coordsize="9614,880">
            <v:rect style="position:absolute;left:1368;top:6641;width:9614;height:864" filled="true" fillcolor="#f5e1d6" stroked="false">
              <v:fill type="solid"/>
            </v:rect>
            <v:shape style="position:absolute;left:1387;top:6645;width:861;height:876" type="#_x0000_t75" stroked="false">
              <v:imagedata r:id="rId114" o:title=""/>
            </v:shape>
            <w10:wrap type="none"/>
          </v:group>
        </w:pict>
      </w:r>
      <w:r>
        <w:rPr/>
        <w:pict>
          <v:group style="position:absolute;margin-left:71.473999pt;margin-top:511.06601pt;width:480.7pt;height:127.2pt;mso-position-horizontal-relative:page;mso-position-vertical-relative:page;z-index:-267606016" coordorigin="1429,10221" coordsize="9614,2544">
            <v:rect style="position:absolute;left:1429;top:10221;width:9614;height:2544" filled="true" fillcolor="#f5e1d6" stroked="false">
              <v:fill type="solid"/>
            </v:rect>
            <v:shape style="position:absolute;left:1444;top:10225;width:998;height:1015" type="#_x0000_t75" stroked="false">
              <v:imagedata r:id="rId135" o:title=""/>
            </v:shape>
            <v:shape style="position:absolute;left:2968;top:12323;width:367;height:286" type="#_x0000_t75" stroked="false">
              <v:imagedata r:id="rId136" o:title=""/>
            </v:shape>
            <w10:wrap type="none"/>
          </v:group>
        </w:pict>
      </w:r>
      <w:r>
        <w:rPr/>
        <w:pict>
          <v:group style="position:absolute;margin-left:68.672997pt;margin-top:252.757019pt;width:480.7pt;height:44pt;mso-position-horizontal-relative:page;mso-position-vertical-relative:page;z-index:-267604992" coordorigin="1373,5055" coordsize="9614,880">
            <v:rect style="position:absolute;left:1373;top:5055;width:9614;height:864" filled="true" fillcolor="#f5e1d6" stroked="false">
              <v:fill type="solid"/>
            </v:rect>
            <v:shape style="position:absolute;left:1392;top:5059;width:861;height:876" type="#_x0000_t75" stroked="false">
              <v:imagedata r:id="rId137" o:title=""/>
            </v:shape>
            <w10:wrap type="none"/>
          </v:group>
        </w:pict>
      </w:r>
      <w:r>
        <w:rPr/>
        <w:pict>
          <v:group style="position:absolute;margin-left:68.030998pt;margin-top:143.64801pt;width:480.7pt;height:44pt;mso-position-horizontal-relative:page;mso-position-vertical-relative:page;z-index:-267603968" coordorigin="1361,2873" coordsize="9614,880">
            <v:rect style="position:absolute;left:1360;top:2872;width:9614;height:864" filled="true" fillcolor="#f5e1d6" stroked="false">
              <v:fill type="solid"/>
            </v:rect>
            <v:shape style="position:absolute;left:1379;top:2877;width:861;height:876" type="#_x0000_t75" stroked="false">
              <v:imagedata r:id="rId138" o:title=""/>
            </v:shape>
            <w10:wrap type="none"/>
          </v:group>
        </w:pict>
      </w:r>
      <w:r>
        <w:rPr/>
        <w:pict>
          <v:rect style="position:absolute;margin-left:558.424988pt;margin-top:62.480015pt;width:22.677pt;height:22.677pt;mso-position-horizontal-relative:page;mso-position-vertical-relative:page;z-index:-267602944" filled="true" fillcolor="#ebc3ae" stroked="false">
            <v:fill opacity="32768f" type="solid"/>
            <w10:wrap type="none"/>
          </v:rect>
        </w:pict>
      </w:r>
      <w:r>
        <w:rPr/>
        <w:drawing>
          <wp:anchor distT="0" distB="0" distL="0" distR="0" allowOverlap="1" layoutInCell="1" locked="0" behindDoc="1" simplePos="0" relativeHeight="235714560">
            <wp:simplePos x="0" y="0"/>
            <wp:positionH relativeFrom="page">
              <wp:posOffset>1869220</wp:posOffset>
            </wp:positionH>
            <wp:positionV relativeFrom="page">
              <wp:posOffset>5234565</wp:posOffset>
            </wp:positionV>
            <wp:extent cx="232564" cy="180975"/>
            <wp:effectExtent l="0" t="0" r="0" b="0"/>
            <wp:wrapNone/>
            <wp:docPr id="83" name="image89.png"/>
            <wp:cNvGraphicFramePr>
              <a:graphicFrameLocks noChangeAspect="1"/>
            </wp:cNvGraphicFramePr>
            <a:graphic>
              <a:graphicData uri="http://schemas.openxmlformats.org/drawingml/2006/picture">
                <pic:pic>
                  <pic:nvPicPr>
                    <pic:cNvPr id="84" name="image89.png"/>
                    <pic:cNvPicPr/>
                  </pic:nvPicPr>
                  <pic:blipFill>
                    <a:blip r:embed="rId139"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715584">
            <wp:simplePos x="0" y="0"/>
            <wp:positionH relativeFrom="page">
              <wp:posOffset>2578059</wp:posOffset>
            </wp:positionH>
            <wp:positionV relativeFrom="page">
              <wp:posOffset>8333893</wp:posOffset>
            </wp:positionV>
            <wp:extent cx="300181" cy="233172"/>
            <wp:effectExtent l="0" t="0" r="0" b="0"/>
            <wp:wrapNone/>
            <wp:docPr id="85" name="image90.png"/>
            <wp:cNvGraphicFramePr>
              <a:graphicFrameLocks noChangeAspect="1"/>
            </wp:cNvGraphicFramePr>
            <a:graphic>
              <a:graphicData uri="http://schemas.openxmlformats.org/drawingml/2006/picture">
                <pic:pic>
                  <pic:nvPicPr>
                    <pic:cNvPr id="86" name="image90.png"/>
                    <pic:cNvPicPr/>
                  </pic:nvPicPr>
                  <pic:blipFill>
                    <a:blip r:embed="rId140" cstate="print"/>
                    <a:stretch>
                      <a:fillRect/>
                    </a:stretch>
                  </pic:blipFill>
                  <pic:spPr>
                    <a:xfrm>
                      <a:off x="0" y="0"/>
                      <a:ext cx="300181" cy="233172"/>
                    </a:xfrm>
                    <a:prstGeom prst="rect">
                      <a:avLst/>
                    </a:prstGeom>
                  </pic:spPr>
                </pic:pic>
              </a:graphicData>
            </a:graphic>
          </wp:anchor>
        </w:drawing>
      </w:r>
      <w:r>
        <w:rPr/>
        <w:drawing>
          <wp:anchor distT="0" distB="0" distL="0" distR="0" allowOverlap="1" layoutInCell="1" locked="0" behindDoc="1" simplePos="0" relativeHeight="235716608">
            <wp:simplePos x="0" y="0"/>
            <wp:positionH relativeFrom="page">
              <wp:posOffset>2028878</wp:posOffset>
            </wp:positionH>
            <wp:positionV relativeFrom="page">
              <wp:posOffset>8674165</wp:posOffset>
            </wp:positionV>
            <wp:extent cx="232564" cy="180975"/>
            <wp:effectExtent l="0" t="0" r="0" b="0"/>
            <wp:wrapNone/>
            <wp:docPr id="87" name="image91.png"/>
            <wp:cNvGraphicFramePr>
              <a:graphicFrameLocks noChangeAspect="1"/>
            </wp:cNvGraphicFramePr>
            <a:graphic>
              <a:graphicData uri="http://schemas.openxmlformats.org/drawingml/2006/picture">
                <pic:pic>
                  <pic:nvPicPr>
                    <pic:cNvPr id="88" name="image91.png"/>
                    <pic:cNvPicPr/>
                  </pic:nvPicPr>
                  <pic:blipFill>
                    <a:blip r:embed="rId141"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717632">
            <wp:simplePos x="0" y="0"/>
            <wp:positionH relativeFrom="page">
              <wp:posOffset>3961622</wp:posOffset>
            </wp:positionH>
            <wp:positionV relativeFrom="page">
              <wp:posOffset>8826565</wp:posOffset>
            </wp:positionV>
            <wp:extent cx="232563" cy="180975"/>
            <wp:effectExtent l="0" t="0" r="0" b="0"/>
            <wp:wrapNone/>
            <wp:docPr id="89" name="image92.png"/>
            <wp:cNvGraphicFramePr>
              <a:graphicFrameLocks noChangeAspect="1"/>
            </wp:cNvGraphicFramePr>
            <a:graphic>
              <a:graphicData uri="http://schemas.openxmlformats.org/drawingml/2006/picture">
                <pic:pic>
                  <pic:nvPicPr>
                    <pic:cNvPr id="90" name="image92.png"/>
                    <pic:cNvPicPr/>
                  </pic:nvPicPr>
                  <pic:blipFill>
                    <a:blip r:embed="rId142"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718656">
            <wp:simplePos x="0" y="0"/>
            <wp:positionH relativeFrom="page">
              <wp:posOffset>4542399</wp:posOffset>
            </wp:positionH>
            <wp:positionV relativeFrom="page">
              <wp:posOffset>8978965</wp:posOffset>
            </wp:positionV>
            <wp:extent cx="232563" cy="180975"/>
            <wp:effectExtent l="0" t="0" r="0" b="0"/>
            <wp:wrapNone/>
            <wp:docPr id="91" name="image93.png"/>
            <wp:cNvGraphicFramePr>
              <a:graphicFrameLocks noChangeAspect="1"/>
            </wp:cNvGraphicFramePr>
            <a:graphic>
              <a:graphicData uri="http://schemas.openxmlformats.org/drawingml/2006/picture">
                <pic:pic>
                  <pic:nvPicPr>
                    <pic:cNvPr id="92" name="image93.png"/>
                    <pic:cNvPicPr/>
                  </pic:nvPicPr>
                  <pic:blipFill>
                    <a:blip r:embed="rId143" cstate="print"/>
                    <a:stretch>
                      <a:fillRect/>
                    </a:stretch>
                  </pic:blipFill>
                  <pic:spPr>
                    <a:xfrm>
                      <a:off x="0" y="0"/>
                      <a:ext cx="232563" cy="180975"/>
                    </a:xfrm>
                    <a:prstGeom prst="rect">
                      <a:avLst/>
                    </a:prstGeom>
                  </pic:spPr>
                </pic:pic>
              </a:graphicData>
            </a:graphic>
          </wp:anchor>
        </w:drawing>
      </w:r>
      <w:r>
        <w:rPr/>
        <w:drawing>
          <wp:anchor distT="0" distB="0" distL="0" distR="0" allowOverlap="1" layoutInCell="1" locked="0" behindDoc="1" simplePos="0" relativeHeight="235719680">
            <wp:simplePos x="0" y="0"/>
            <wp:positionH relativeFrom="page">
              <wp:posOffset>6315604</wp:posOffset>
            </wp:positionH>
            <wp:positionV relativeFrom="page">
              <wp:posOffset>9131365</wp:posOffset>
            </wp:positionV>
            <wp:extent cx="232564" cy="180975"/>
            <wp:effectExtent l="0" t="0" r="0" b="0"/>
            <wp:wrapNone/>
            <wp:docPr id="93" name="image94.png"/>
            <wp:cNvGraphicFramePr>
              <a:graphicFrameLocks noChangeAspect="1"/>
            </wp:cNvGraphicFramePr>
            <a:graphic>
              <a:graphicData uri="http://schemas.openxmlformats.org/drawingml/2006/picture">
                <pic:pic>
                  <pic:nvPicPr>
                    <pic:cNvPr id="94" name="image94.png"/>
                    <pic:cNvPicPr/>
                  </pic:nvPicPr>
                  <pic:blipFill>
                    <a:blip r:embed="rId144" cstate="print"/>
                    <a:stretch>
                      <a:fillRect/>
                    </a:stretch>
                  </pic:blipFill>
                  <pic:spPr>
                    <a:xfrm>
                      <a:off x="0" y="0"/>
                      <a:ext cx="232564" cy="180975"/>
                    </a:xfrm>
                    <a:prstGeom prst="rect">
                      <a:avLst/>
                    </a:prstGeom>
                  </pic:spPr>
                </pic:pic>
              </a:graphicData>
            </a:graphic>
          </wp:anchor>
        </w:drawing>
      </w:r>
      <w:r>
        <w:rPr/>
        <w:drawing>
          <wp:anchor distT="0" distB="0" distL="0" distR="0" allowOverlap="1" layoutInCell="1" locked="0" behindDoc="1" simplePos="0" relativeHeight="235720704">
            <wp:simplePos x="0" y="0"/>
            <wp:positionH relativeFrom="page">
              <wp:posOffset>4912937</wp:posOffset>
            </wp:positionH>
            <wp:positionV relativeFrom="page">
              <wp:posOffset>9436165</wp:posOffset>
            </wp:positionV>
            <wp:extent cx="232564" cy="180975"/>
            <wp:effectExtent l="0" t="0" r="0" b="0"/>
            <wp:wrapNone/>
            <wp:docPr id="95" name="image95.png"/>
            <wp:cNvGraphicFramePr>
              <a:graphicFrameLocks noChangeAspect="1"/>
            </wp:cNvGraphicFramePr>
            <a:graphic>
              <a:graphicData uri="http://schemas.openxmlformats.org/drawingml/2006/picture">
                <pic:pic>
                  <pic:nvPicPr>
                    <pic:cNvPr id="96" name="image95.png"/>
                    <pic:cNvPicPr/>
                  </pic:nvPicPr>
                  <pic:blipFill>
                    <a:blip r:embed="rId145" cstate="print"/>
                    <a:stretch>
                      <a:fillRect/>
                    </a:stretch>
                  </pic:blipFill>
                  <pic:spPr>
                    <a:xfrm>
                      <a:off x="0" y="0"/>
                      <a:ext cx="232564" cy="180975"/>
                    </a:xfrm>
                    <a:prstGeom prst="rect">
                      <a:avLst/>
                    </a:prstGeom>
                  </pic:spPr>
                </pic:pic>
              </a:graphicData>
            </a:graphic>
          </wp:anchor>
        </w:drawing>
      </w:r>
    </w:p>
    <w:p>
      <w:pPr>
        <w:spacing w:after="0"/>
        <w:rPr>
          <w:sz w:val="2"/>
          <w:szCs w:val="2"/>
        </w:rPr>
        <w:sectPr>
          <w:headerReference w:type="default" r:id="rId132"/>
          <w:headerReference w:type="even" r:id="rId133"/>
          <w:footerReference w:type="default" r:id="rId134"/>
          <w:pgSz w:w="11910" w:h="16840"/>
          <w:pgMar w:header="0" w:footer="567" w:top="1420" w:bottom="760" w:left="0" w:right="0"/>
        </w:sectPr>
      </w:pPr>
    </w:p>
    <w:p>
      <w:pPr>
        <w:pStyle w:val="BodyText"/>
        <w:spacing w:before="7"/>
        <w:rPr>
          <w:sz w:val="11"/>
        </w:rPr>
      </w:pPr>
      <w:r>
        <w:rPr/>
        <w:pict>
          <v:group style="position:absolute;margin-left:0pt;margin-top:68.031113pt;width:595.3pt;height:773.9pt;mso-position-horizontal-relative:page;mso-position-vertical-relative:page;z-index:-267588608" coordorigin="0,1361" coordsize="11906,15478">
            <v:rect style="position:absolute;left:0;top:8027;width:11906;height:8811" filled="true" fillcolor="#ca4f1b" stroked="false">
              <v:fill type="solid"/>
            </v:rect>
            <v:shape style="position:absolute;left:850;top:13630;width:5416;height:2386" type="#_x0000_t75" stroked="false">
              <v:imagedata r:id="rId147" o:title=""/>
            </v:shape>
            <v:shape style="position:absolute;left:10392;top:6503;width:1513;height:1540" coordorigin="10393,6504" coordsize="1513,1540" path="m11906,6507l11904,6583,11898,6658,11889,6732,11877,6805,11861,6876,11842,6947,11819,7016,11794,7083,11765,7149,11734,7213,11699,7276,11662,7337,11623,7395,11580,7452,11535,7507,11488,7560,11438,7610,11386,7658,11332,7704,11276,7747,11217,7788,11157,7826,11095,7861,11031,7893,10966,7923,10899,7949,10830,7973,10761,7993,10689,8010,10617,8024,10543,8034,10469,8040,10393,8043,11906,8043,11906,6507xm11906,6504l11905,6504,11906,6506,11906,6504xe" filled="true" fillcolor="#ca4f1b" stroked="false">
              <v:path arrowok="t"/>
              <v:fill type="solid"/>
            </v:shape>
            <v:line style="position:absolute" from="889,1431" to="889,7538" stroked="true" strokeweight="1pt" strokecolor="#868685">
              <v:stroke dashstyle="dot"/>
            </v:line>
            <v:shape style="position:absolute;left:0;top:16837;width:2;height:6198" coordorigin="0,16838" coordsize="0,6198" path="m889,1371l889,1371m889,7568l889,7568e" filled="false" stroked="true" strokeweight="1pt" strokecolor="#868685">
              <v:path arrowok="t"/>
              <v:stroke dashstyle="solid"/>
            </v:shape>
            <w10:wrap type="none"/>
          </v:group>
        </w:pict>
      </w:r>
    </w:p>
    <w:p>
      <w:pPr>
        <w:pStyle w:val="BodyText"/>
        <w:tabs>
          <w:tab w:pos="935" w:val="left" w:leader="none"/>
        </w:tabs>
        <w:ind w:left="240"/>
      </w:pPr>
      <w:r>
        <w:rPr>
          <w:position w:val="19"/>
        </w:rPr>
        <w:pict>
          <v:group style="width:22.7pt;height:22.7pt;mso-position-horizontal-relative:char;mso-position-vertical-relative:line" coordorigin="0,0" coordsize="454,454">
            <v:rect style="position:absolute;left:0;top:0;width:454;height:454" filled="true" fillcolor="#c20d19" stroked="false">
              <v:fill type="solid"/>
            </v:rect>
          </v:group>
        </w:pict>
      </w:r>
      <w:r>
        <w:rPr>
          <w:position w:val="19"/>
        </w:rPr>
      </w:r>
      <w:r>
        <w:rPr>
          <w:position w:val="19"/>
        </w:rPr>
        <w:tab/>
      </w:r>
      <w:r>
        <w:rPr/>
        <w:drawing>
          <wp:inline distT="0" distB="0" distL="0" distR="0">
            <wp:extent cx="1149417" cy="420624"/>
            <wp:effectExtent l="0" t="0" r="0" b="0"/>
            <wp:docPr id="97" name="image66.jpeg"/>
            <wp:cNvGraphicFramePr>
              <a:graphicFrameLocks noChangeAspect="1"/>
            </wp:cNvGraphicFramePr>
            <a:graphic>
              <a:graphicData uri="http://schemas.openxmlformats.org/drawingml/2006/picture">
                <pic:pic>
                  <pic:nvPicPr>
                    <pic:cNvPr id="98" name="image66.jpeg"/>
                    <pic:cNvPicPr/>
                  </pic:nvPicPr>
                  <pic:blipFill>
                    <a:blip r:embed="rId109" cstate="print"/>
                    <a:stretch>
                      <a:fillRect/>
                    </a:stretch>
                  </pic:blipFill>
                  <pic:spPr>
                    <a:xfrm>
                      <a:off x="0" y="0"/>
                      <a:ext cx="1149417" cy="420624"/>
                    </a:xfrm>
                    <a:prstGeom prst="rect">
                      <a:avLst/>
                    </a:prstGeom>
                  </pic:spPr>
                </pic:pic>
              </a:graphicData>
            </a:graphic>
          </wp:inline>
        </w:drawing>
      </w:r>
      <w:r>
        <w:rPr/>
      </w:r>
    </w:p>
    <w:p>
      <w:pPr>
        <w:pStyle w:val="BodyText"/>
        <w:spacing w:before="4"/>
        <w:rPr>
          <w:sz w:val="9"/>
        </w:rPr>
      </w:pPr>
    </w:p>
    <w:p>
      <w:pPr>
        <w:pStyle w:val="ListParagraph"/>
        <w:numPr>
          <w:ilvl w:val="1"/>
          <w:numId w:val="57"/>
        </w:numPr>
        <w:tabs>
          <w:tab w:pos="1814" w:val="left" w:leader="none"/>
          <w:tab w:pos="1815" w:val="left" w:leader="none"/>
        </w:tabs>
        <w:spacing w:line="242" w:lineRule="exact" w:before="100" w:after="0"/>
        <w:ind w:left="1814" w:right="0" w:hanging="682"/>
        <w:jc w:val="left"/>
        <w:rPr>
          <w:sz w:val="20"/>
        </w:rPr>
      </w:pPr>
      <w:r>
        <w:rPr/>
        <w:pict>
          <v:rect style="position:absolute;margin-left:12.047pt;margin-top:-8.808205pt;width:22.677pt;height:22.677pt;mso-position-horizontal-relative:page;mso-position-vertical-relative:paragraph;z-index:251836416" filled="true" fillcolor="#c20d19" stroked="false">
            <v:fill opacity="32768f" type="solid"/>
            <w10:wrap type="none"/>
          </v:rect>
        </w:pict>
      </w:r>
      <w:r>
        <w:rPr>
          <w:w w:val="120"/>
          <w:sz w:val="20"/>
        </w:rPr>
        <w:t>Transformed: how and what</w:t>
      </w:r>
      <w:r>
        <w:rPr>
          <w:spacing w:val="7"/>
          <w:w w:val="120"/>
          <w:sz w:val="20"/>
        </w:rPr>
        <w:t> </w:t>
      </w:r>
      <w:r>
        <w:rPr>
          <w:spacing w:val="-4"/>
          <w:w w:val="120"/>
          <w:sz w:val="20"/>
        </w:rPr>
        <w:t>for?</w:t>
      </w:r>
    </w:p>
    <w:p>
      <w:pPr>
        <w:pStyle w:val="BodyText"/>
        <w:spacing w:line="235" w:lineRule="auto" w:before="2"/>
        <w:ind w:left="1133" w:right="2076"/>
      </w:pPr>
      <w:r>
        <w:rPr/>
        <w:drawing>
          <wp:anchor distT="0" distB="0" distL="0" distR="0" allowOverlap="1" layoutInCell="1" locked="0" behindDoc="1" simplePos="0" relativeHeight="235729920">
            <wp:simplePos x="0" y="0"/>
            <wp:positionH relativeFrom="page">
              <wp:posOffset>2428322</wp:posOffset>
            </wp:positionH>
            <wp:positionV relativeFrom="paragraph">
              <wp:posOffset>754461</wp:posOffset>
            </wp:positionV>
            <wp:extent cx="232857" cy="181203"/>
            <wp:effectExtent l="0" t="0" r="0" b="0"/>
            <wp:wrapNone/>
            <wp:docPr id="99" name="image97.png"/>
            <wp:cNvGraphicFramePr>
              <a:graphicFrameLocks noChangeAspect="1"/>
            </wp:cNvGraphicFramePr>
            <a:graphic>
              <a:graphicData uri="http://schemas.openxmlformats.org/drawingml/2006/picture">
                <pic:pic>
                  <pic:nvPicPr>
                    <pic:cNvPr id="100" name="image97.png"/>
                    <pic:cNvPicPr/>
                  </pic:nvPicPr>
                  <pic:blipFill>
                    <a:blip r:embed="rId148" cstate="print"/>
                    <a:stretch>
                      <a:fillRect/>
                    </a:stretch>
                  </pic:blipFill>
                  <pic:spPr>
                    <a:xfrm>
                      <a:off x="0" y="0"/>
                      <a:ext cx="232857" cy="181203"/>
                    </a:xfrm>
                    <a:prstGeom prst="rect">
                      <a:avLst/>
                    </a:prstGeom>
                  </pic:spPr>
                </pic:pic>
              </a:graphicData>
            </a:graphic>
          </wp:anchor>
        </w:drawing>
      </w:r>
      <w:r>
        <w:rPr>
          <w:spacing w:val="3"/>
          <w:w w:val="120"/>
        </w:rPr>
        <w:t>As </w:t>
      </w:r>
      <w:r>
        <w:rPr>
          <w:w w:val="120"/>
        </w:rPr>
        <w:t>we look ahead it is important we focus on how the process is transforming us and what </w:t>
      </w:r>
      <w:r>
        <w:rPr>
          <w:spacing w:val="-3"/>
          <w:w w:val="120"/>
        </w:rPr>
        <w:t>for. </w:t>
      </w:r>
      <w:r>
        <w:rPr>
          <w:w w:val="120"/>
        </w:rPr>
        <w:t>There are already some signs of transformation. More churches getting  involved in the process suggests more churches recognising the need for transformation. More materials and feedback being submitted are further evidence of something transformational happening: confidence growing and a greater sense of</w:t>
      </w:r>
      <w:r>
        <w:rPr>
          <w:spacing w:val="53"/>
          <w:w w:val="120"/>
        </w:rPr>
        <w:t> </w:t>
      </w:r>
      <w:r>
        <w:rPr>
          <w:w w:val="120"/>
        </w:rPr>
        <w:t>connection.</w:t>
      </w:r>
    </w:p>
    <w:p>
      <w:pPr>
        <w:pStyle w:val="BodyText"/>
        <w:spacing w:line="192" w:lineRule="auto"/>
        <w:ind w:left="1133" w:right="2305" w:hanging="1"/>
      </w:pPr>
      <w:r>
        <w:rPr>
          <w:w w:val="115"/>
        </w:rPr>
        <w:t>Please continue to let </w:t>
      </w:r>
      <w:r>
        <w:rPr>
          <w:rFonts w:ascii="Arial Rounded MT Bold"/>
          <w:sz w:val="21"/>
        </w:rPr>
        <w:t>Vision4</w:t>
      </w:r>
      <w:r>
        <w:rPr>
          <w:rFonts w:ascii="Bradley Hand ITC"/>
          <w:color w:val="C20D19"/>
          <w:sz w:val="28"/>
        </w:rPr>
        <w:t>Life </w:t>
      </w:r>
      <w:r>
        <w:rPr>
          <w:w w:val="115"/>
        </w:rPr>
        <w:t>know how you understand transformation and what is happening in response to the Bible, prayer and evangelism where you are.</w:t>
      </w:r>
    </w:p>
    <w:p>
      <w:pPr>
        <w:pStyle w:val="BodyText"/>
        <w:spacing w:before="10"/>
        <w:rPr>
          <w:sz w:val="35"/>
        </w:rPr>
      </w:pPr>
    </w:p>
    <w:p>
      <w:pPr>
        <w:pStyle w:val="BodyText"/>
        <w:ind w:left="1133"/>
      </w:pPr>
      <w:r>
        <w:rPr/>
        <w:drawing>
          <wp:anchor distT="0" distB="0" distL="0" distR="0" allowOverlap="1" layoutInCell="1" locked="0" behindDoc="1" simplePos="0" relativeHeight="235730944">
            <wp:simplePos x="0" y="0"/>
            <wp:positionH relativeFrom="page">
              <wp:posOffset>2087403</wp:posOffset>
            </wp:positionH>
            <wp:positionV relativeFrom="paragraph">
              <wp:posOffset>23706</wp:posOffset>
            </wp:positionV>
            <wp:extent cx="232858" cy="181203"/>
            <wp:effectExtent l="0" t="0" r="0" b="0"/>
            <wp:wrapNone/>
            <wp:docPr id="101" name="image98.png"/>
            <wp:cNvGraphicFramePr>
              <a:graphicFrameLocks noChangeAspect="1"/>
            </wp:cNvGraphicFramePr>
            <a:graphic>
              <a:graphicData uri="http://schemas.openxmlformats.org/drawingml/2006/picture">
                <pic:pic>
                  <pic:nvPicPr>
                    <pic:cNvPr id="102" name="image98.png"/>
                    <pic:cNvPicPr/>
                  </pic:nvPicPr>
                  <pic:blipFill>
                    <a:blip r:embed="rId149" cstate="print"/>
                    <a:stretch>
                      <a:fillRect/>
                    </a:stretch>
                  </pic:blipFill>
                  <pic:spPr>
                    <a:xfrm>
                      <a:off x="0" y="0"/>
                      <a:ext cx="232858" cy="181203"/>
                    </a:xfrm>
                    <a:prstGeom prst="rect">
                      <a:avLst/>
                    </a:prstGeom>
                  </pic:spPr>
                </pic:pic>
              </a:graphicData>
            </a:graphic>
          </wp:anchor>
        </w:drawing>
      </w:r>
      <w:r>
        <w:rPr>
          <w:w w:val="115"/>
        </w:rPr>
        <w:t>Janet Lees is the </w:t>
      </w:r>
      <w:r>
        <w:rPr>
          <w:rFonts w:ascii="Arial Rounded MT Bold"/>
          <w:sz w:val="21"/>
        </w:rPr>
        <w:t>Vision4</w:t>
      </w:r>
      <w:r>
        <w:rPr>
          <w:rFonts w:ascii="Bradley Hand ITC"/>
          <w:color w:val="C20D19"/>
          <w:sz w:val="28"/>
        </w:rPr>
        <w:t>Life </w:t>
      </w:r>
      <w:r>
        <w:rPr>
          <w:w w:val="115"/>
        </w:rPr>
        <w:t>Coordinator. Contact her on </w:t>
      </w:r>
      <w:hyperlink r:id="rId116">
        <w:r>
          <w:rPr>
            <w:w w:val="115"/>
          </w:rPr>
          <w:t>admin@Vision4Life.org.uk</w:t>
        </w:r>
      </w:hyperlink>
    </w:p>
    <w:p>
      <w:pPr>
        <w:pStyle w:val="BodyText"/>
      </w:pPr>
    </w:p>
    <w:p>
      <w:pPr>
        <w:pStyle w:val="BodyText"/>
      </w:pPr>
    </w:p>
    <w:p>
      <w:pPr>
        <w:pStyle w:val="BodyText"/>
      </w:pPr>
    </w:p>
    <w:p>
      <w:pPr>
        <w:pStyle w:val="BodyText"/>
        <w:spacing w:before="4"/>
        <w:rPr>
          <w:sz w:val="16"/>
        </w:rPr>
      </w:pPr>
      <w:r>
        <w:rPr/>
        <w:pict>
          <v:shape style="position:absolute;margin-left:56.692902pt;margin-top:18.26388pt;width:183.85pt;height:.1pt;mso-position-horizontal-relative:page;mso-position-vertical-relative:paragraph;z-index:-251486208;mso-wrap-distance-left:0;mso-wrap-distance-right:0" coordorigin="1134,365" coordsize="3677,0" path="m1134,365l4811,365e" filled="false" stroked="true" strokeweight=".5pt" strokecolor="#8ba8bd">
            <v:path arrowok="t"/>
            <v:stroke dashstyle="solid"/>
            <w10:wrap type="topAndBottom"/>
          </v:shape>
        </w:pict>
      </w:r>
      <w:r>
        <w:rPr/>
        <w:pict>
          <v:rect style="position:absolute;margin-left:250.865997pt;margin-top:11.942579pt;width:13.721pt;height:13.721pt;mso-position-horizontal-relative:page;mso-position-vertical-relative:paragraph;z-index:-251485184;mso-wrap-distance-left:0;mso-wrap-distance-right:0" filled="true" fillcolor="#8ba8bd" stroked="false">
            <v:fill type="solid"/>
            <w10:wrap type="topAndBottom"/>
          </v:rect>
        </w:pict>
      </w:r>
      <w:r>
        <w:rPr/>
        <w:pict>
          <v:rect style="position:absolute;margin-left:269.303009pt;margin-top:11.941579pt;width:13.721pt;height:13.721pt;mso-position-horizontal-relative:page;mso-position-vertical-relative:paragraph;z-index:-251484160;mso-wrap-distance-left:0;mso-wrap-distance-right:0" filled="true" fillcolor="#c2d2df" stroked="false">
            <v:fill type="solid"/>
            <w10:wrap type="topAndBottom"/>
          </v:rect>
        </w:pict>
      </w:r>
      <w:r>
        <w:rPr/>
        <w:pict>
          <v:rect style="position:absolute;margin-left:288.169006pt;margin-top:11.941579pt;width:13.721pt;height:13.721pt;mso-position-horizontal-relative:page;mso-position-vertical-relative:paragraph;z-index:-251483136;mso-wrap-distance-left:0;mso-wrap-distance-right:0" filled="true" fillcolor="#dae4ec" stroked="false">
            <v:fill opacity="32768f" type="solid"/>
            <w10:wrap type="topAndBottom"/>
          </v:rect>
        </w:pict>
      </w:r>
      <w:r>
        <w:rPr/>
        <w:pict>
          <v:shape style="position:absolute;margin-left:311.716003pt;margin-top:18.26388pt;width:184.35pt;height:.1pt;mso-position-horizontal-relative:page;mso-position-vertical-relative:paragraph;z-index:-251482112;mso-wrap-distance-left:0;mso-wrap-distance-right:0" coordorigin="6234,365" coordsize="3687,0" path="m6234,365l9921,365e" filled="false" stroked="true" strokeweight=".5pt" strokecolor="#8ba8bd">
            <v:path arrowok="t"/>
            <v:stroke dashstyle="solid"/>
            <w10:wrap type="topAndBottom"/>
          </v:shape>
        </w:pict>
      </w:r>
    </w:p>
    <w:p>
      <w:pPr>
        <w:spacing w:after="0"/>
        <w:rPr>
          <w:sz w:val="16"/>
        </w:rPr>
        <w:sectPr>
          <w:footerReference w:type="even" r:id="rId146"/>
          <w:pgSz w:w="11910" w:h="16840"/>
          <w:pgMar w:footer="0" w:header="0" w:top="440" w:bottom="280" w:left="0" w:right="0"/>
        </w:sectPr>
      </w:pPr>
    </w:p>
    <w:p>
      <w:pPr>
        <w:pStyle w:val="Heading2"/>
        <w:spacing w:line="213" w:lineRule="auto" w:before="132"/>
        <w:ind w:right="1997"/>
      </w:pPr>
      <w:r>
        <w:rPr/>
        <w:pict>
          <v:rect style="position:absolute;margin-left:0pt;margin-top:.000015pt;width:595.275pt;height:841.89pt;mso-position-horizontal-relative:page;mso-position-vertical-relative:page;z-index:-267584512" filled="true" fillcolor="#ca4f1b" stroked="false">
            <v:fill type="solid"/>
            <w10:wrap type="none"/>
          </v:rect>
        </w:pict>
      </w:r>
      <w:r>
        <w:rPr/>
        <w:pict>
          <v:group style="position:absolute;margin-left:75.826797pt;margin-top:.000015pt;width:519.4500pt;height:790.9pt;mso-position-horizontal-relative:page;mso-position-vertical-relative:page;z-index:-267583488"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ca4f1b" stroked="false">
              <v:path arrowok="t"/>
              <v:fill type="solid"/>
            </v:shape>
            <v:rect style="position:absolute;left:11168;top:625;width:454;height:454" filled="true" fillcolor="#e3ac83" stroked="false">
              <v:fill type="solid"/>
            </v:rect>
            <v:rect style="position:absolute;left:11168;top:1249;width:454;height:454" filled="true" fillcolor="#efceb4" stroked="false">
              <v:fill opacity="32768f" type="solid"/>
            </v:rect>
            <w10:wrap type="none"/>
          </v:group>
        </w:pict>
      </w:r>
      <w:r>
        <w:rPr/>
        <w:pict>
          <v:shape style="position:absolute;margin-left:512.587891pt;margin-top:-.236267pt;width:47.4pt;height:668.35pt;mso-position-horizontal-relative:page;mso-position-vertical-relative:paragraph;z-index:-26758246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9"/>
                      <w:w w:val="110"/>
                      <w:sz w:val="72"/>
                    </w:rPr>
                    <w:t>Marketing </w:t>
                  </w:r>
                  <w:r>
                    <w:rPr>
                      <w:rFonts w:ascii="Stone Sans II ITC Std X Bd"/>
                      <w:b/>
                      <w:spacing w:val="-6"/>
                      <w:w w:val="110"/>
                      <w:sz w:val="72"/>
                    </w:rPr>
                    <w:t>and </w:t>
                  </w:r>
                  <w:r>
                    <w:rPr>
                      <w:rFonts w:ascii="Stone Sans II ITC Std X Bd"/>
                      <w:b/>
                      <w:spacing w:val="-7"/>
                      <w:w w:val="110"/>
                      <w:sz w:val="72"/>
                    </w:rPr>
                    <w:t>identity</w:t>
                  </w:r>
                  <w:r>
                    <w:rPr>
                      <w:rFonts w:ascii="Stone Sans II ITC Std X Bd"/>
                      <w:b/>
                      <w:spacing w:val="153"/>
                      <w:w w:val="110"/>
                      <w:sz w:val="72"/>
                    </w:rPr>
                    <w:t> </w:t>
                  </w:r>
                  <w:r>
                    <w:rPr>
                      <w:rFonts w:ascii="Stone Sans II ITC Std X Bd"/>
                      <w:b/>
                      <w:spacing w:val="-9"/>
                      <w:w w:val="110"/>
                      <w:sz w:val="72"/>
                    </w:rPr>
                    <w:t>campaign</w:t>
                  </w:r>
                </w:p>
              </w:txbxContent>
            </v:textbox>
            <w10:wrap type="none"/>
          </v:shape>
        </w:pict>
      </w:r>
      <w:r>
        <w:rPr>
          <w:w w:val="110"/>
        </w:rPr>
        <w:t>A marketing and identity campaign for the</w:t>
      </w:r>
    </w:p>
    <w:p>
      <w:pPr>
        <w:spacing w:line="616" w:lineRule="exact" w:before="0"/>
        <w:ind w:left="1984" w:right="0" w:firstLine="0"/>
        <w:jc w:val="left"/>
        <w:rPr>
          <w:rFonts w:ascii="Stone Sans II ITC Std Bk"/>
          <w:b/>
          <w:sz w:val="50"/>
        </w:rPr>
      </w:pPr>
      <w:r>
        <w:rPr>
          <w:rFonts w:ascii="Stone Sans II ITC Std Bk"/>
          <w:b/>
          <w:w w:val="110"/>
          <w:sz w:val="50"/>
        </w:rPr>
        <w:t>United Reformed Church</w:t>
      </w:r>
    </w:p>
    <w:p>
      <w:pPr>
        <w:pStyle w:val="BodyText"/>
        <w:spacing w:before="9"/>
        <w:rPr>
          <w:rFonts w:ascii="Stone Sans II ITC Std Bk"/>
          <w:b/>
          <w:sz w:val="54"/>
        </w:rPr>
      </w:pPr>
    </w:p>
    <w:p>
      <w:pPr>
        <w:numPr>
          <w:ilvl w:val="2"/>
          <w:numId w:val="57"/>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Introduction</w:t>
      </w:r>
    </w:p>
    <w:p>
      <w:pPr>
        <w:pStyle w:val="ListParagraph"/>
        <w:numPr>
          <w:ilvl w:val="3"/>
          <w:numId w:val="57"/>
        </w:numPr>
        <w:tabs>
          <w:tab w:pos="2664" w:val="left" w:leader="none"/>
          <w:tab w:pos="2665" w:val="left" w:leader="none"/>
        </w:tabs>
        <w:spacing w:line="235" w:lineRule="auto" w:before="223" w:after="0"/>
        <w:ind w:left="1984" w:right="2155" w:firstLine="0"/>
        <w:jc w:val="left"/>
        <w:rPr>
          <w:sz w:val="20"/>
        </w:rPr>
      </w:pPr>
      <w:r>
        <w:rPr>
          <w:w w:val="120"/>
          <w:sz w:val="20"/>
        </w:rPr>
        <w:t>In 2007 General Assembly received the </w:t>
      </w:r>
      <w:r>
        <w:rPr>
          <w:spacing w:val="2"/>
          <w:w w:val="120"/>
          <w:sz w:val="20"/>
        </w:rPr>
        <w:t>report </w:t>
      </w:r>
      <w:r>
        <w:rPr>
          <w:w w:val="120"/>
          <w:sz w:val="20"/>
        </w:rPr>
        <w:t>of a Communications review which included the recommendation ‘to explore and  develop  new ways of promoting the United Reformed Church to the </w:t>
      </w:r>
      <w:r>
        <w:rPr>
          <w:spacing w:val="-3"/>
          <w:w w:val="120"/>
          <w:sz w:val="20"/>
        </w:rPr>
        <w:t>world’. </w:t>
      </w:r>
      <w:r>
        <w:rPr>
          <w:w w:val="120"/>
          <w:sz w:val="20"/>
        </w:rPr>
        <w:t>Plans are now well underway for an identity and marketing campaign. This campaign will place</w:t>
      </w:r>
      <w:r>
        <w:rPr>
          <w:spacing w:val="10"/>
          <w:w w:val="120"/>
          <w:sz w:val="20"/>
        </w:rPr>
        <w:t> </w:t>
      </w:r>
      <w:r>
        <w:rPr>
          <w:w w:val="120"/>
          <w:sz w:val="20"/>
        </w:rPr>
        <w:t>the</w:t>
      </w:r>
      <w:r>
        <w:rPr>
          <w:spacing w:val="11"/>
          <w:w w:val="120"/>
          <w:sz w:val="20"/>
        </w:rPr>
        <w:t> </w:t>
      </w:r>
      <w:r>
        <w:rPr>
          <w:w w:val="120"/>
          <w:sz w:val="20"/>
        </w:rPr>
        <w:t>good</w:t>
      </w:r>
      <w:r>
        <w:rPr>
          <w:spacing w:val="11"/>
          <w:w w:val="120"/>
          <w:sz w:val="20"/>
        </w:rPr>
        <w:t> </w:t>
      </w:r>
      <w:r>
        <w:rPr>
          <w:w w:val="120"/>
          <w:sz w:val="20"/>
        </w:rPr>
        <w:t>news</w:t>
      </w:r>
      <w:r>
        <w:rPr>
          <w:spacing w:val="11"/>
          <w:w w:val="120"/>
          <w:sz w:val="20"/>
        </w:rPr>
        <w:t> </w:t>
      </w:r>
      <w:r>
        <w:rPr>
          <w:w w:val="120"/>
          <w:sz w:val="20"/>
        </w:rPr>
        <w:t>of</w:t>
      </w:r>
      <w:r>
        <w:rPr>
          <w:spacing w:val="11"/>
          <w:w w:val="120"/>
          <w:sz w:val="20"/>
        </w:rPr>
        <w:t> </w:t>
      </w:r>
      <w:r>
        <w:rPr>
          <w:w w:val="120"/>
          <w:sz w:val="20"/>
        </w:rPr>
        <w:t>a</w:t>
      </w:r>
      <w:r>
        <w:rPr>
          <w:spacing w:val="11"/>
          <w:w w:val="120"/>
          <w:sz w:val="20"/>
        </w:rPr>
        <w:t> </w:t>
      </w:r>
      <w:r>
        <w:rPr>
          <w:w w:val="120"/>
          <w:sz w:val="20"/>
        </w:rPr>
        <w:t>living</w:t>
      </w:r>
      <w:r>
        <w:rPr>
          <w:spacing w:val="11"/>
          <w:w w:val="120"/>
          <w:sz w:val="20"/>
        </w:rPr>
        <w:t> </w:t>
      </w:r>
      <w:r>
        <w:rPr>
          <w:w w:val="120"/>
          <w:sz w:val="20"/>
        </w:rPr>
        <w:t>God</w:t>
      </w:r>
      <w:r>
        <w:rPr>
          <w:spacing w:val="11"/>
          <w:w w:val="120"/>
          <w:sz w:val="20"/>
        </w:rPr>
        <w:t> </w:t>
      </w:r>
      <w:r>
        <w:rPr>
          <w:w w:val="120"/>
          <w:sz w:val="20"/>
        </w:rPr>
        <w:t>into</w:t>
      </w:r>
      <w:r>
        <w:rPr>
          <w:spacing w:val="11"/>
          <w:w w:val="120"/>
          <w:sz w:val="20"/>
        </w:rPr>
        <w:t> </w:t>
      </w:r>
      <w:r>
        <w:rPr>
          <w:w w:val="120"/>
          <w:sz w:val="20"/>
        </w:rPr>
        <w:t>the</w:t>
      </w:r>
      <w:r>
        <w:rPr>
          <w:spacing w:val="11"/>
          <w:w w:val="120"/>
          <w:sz w:val="20"/>
        </w:rPr>
        <w:t> </w:t>
      </w:r>
      <w:r>
        <w:rPr>
          <w:w w:val="120"/>
          <w:sz w:val="20"/>
        </w:rPr>
        <w:t>public</w:t>
      </w:r>
      <w:r>
        <w:rPr>
          <w:spacing w:val="11"/>
          <w:w w:val="120"/>
          <w:sz w:val="20"/>
        </w:rPr>
        <w:t> </w:t>
      </w:r>
      <w:r>
        <w:rPr>
          <w:w w:val="120"/>
          <w:sz w:val="20"/>
        </w:rPr>
        <w:t>arena</w:t>
      </w:r>
      <w:r>
        <w:rPr>
          <w:spacing w:val="11"/>
          <w:w w:val="120"/>
          <w:sz w:val="20"/>
        </w:rPr>
        <w:t> </w:t>
      </w:r>
      <w:r>
        <w:rPr>
          <w:w w:val="120"/>
          <w:sz w:val="20"/>
        </w:rPr>
        <w:t>through</w:t>
      </w:r>
      <w:r>
        <w:rPr>
          <w:spacing w:val="11"/>
          <w:w w:val="120"/>
          <w:sz w:val="20"/>
        </w:rPr>
        <w:t> </w:t>
      </w:r>
      <w:r>
        <w:rPr>
          <w:w w:val="120"/>
          <w:sz w:val="20"/>
        </w:rPr>
        <w:t>appropriate</w:t>
      </w:r>
    </w:p>
    <w:p>
      <w:pPr>
        <w:pStyle w:val="BodyText"/>
        <w:spacing w:line="235" w:lineRule="auto" w:before="3"/>
        <w:ind w:left="1984" w:right="1997"/>
      </w:pPr>
      <w:r>
        <w:rPr>
          <w:w w:val="120"/>
        </w:rPr>
        <w:t>advertising and equipping local churches to participate in the ‘buzz’ this creates.  It is designed specifically to address the very secular, media-focused context of the United Kingdom. It will also serve to equip churches to invite, receive and nurture new members. Through identifying the United Reformed </w:t>
      </w:r>
      <w:r>
        <w:rPr>
          <w:spacing w:val="-3"/>
          <w:w w:val="120"/>
        </w:rPr>
        <w:t>Church’s </w:t>
      </w:r>
      <w:r>
        <w:rPr>
          <w:w w:val="120"/>
        </w:rPr>
        <w:t>‘DNA’ the campaign aims to generate enthusiasm amongst church members and give them the means of sharing that enthusiasm with others outside the Church. It  will be practical, offering tools and language for speaking about faith. It will be infectious, partly because it encourages local creativity, partly because of its lightness of touch, but mostly because the Christian gospel with its message of love and grace is itself infectious. It draws upon the dynamism of the Reformed tradition for its inspiration: ‘Do not cling to where Calvin and Luther have </w:t>
      </w:r>
      <w:r>
        <w:rPr>
          <w:spacing w:val="2"/>
          <w:w w:val="120"/>
        </w:rPr>
        <w:t>left</w:t>
      </w:r>
      <w:r>
        <w:rPr>
          <w:spacing w:val="5"/>
          <w:w w:val="120"/>
        </w:rPr>
        <w:t> </w:t>
      </w:r>
      <w:r>
        <w:rPr>
          <w:w w:val="120"/>
        </w:rPr>
        <w:t>us</w:t>
      </w:r>
    </w:p>
    <w:p>
      <w:pPr>
        <w:pStyle w:val="BodyText"/>
        <w:spacing w:line="235" w:lineRule="auto" w:before="8"/>
        <w:ind w:left="1984" w:right="1997"/>
      </w:pPr>
      <w:r>
        <w:rPr>
          <w:w w:val="120"/>
        </w:rPr>
        <w:t>– God has yet more light and truth to break forth from God’s holy Word’ (Pastor John Robinson 1620).</w:t>
      </w:r>
    </w:p>
    <w:p>
      <w:pPr>
        <w:pStyle w:val="BodyText"/>
        <w:spacing w:before="10"/>
        <w:rPr>
          <w:sz w:val="19"/>
        </w:rPr>
      </w:pPr>
    </w:p>
    <w:p>
      <w:pPr>
        <w:pStyle w:val="ListParagraph"/>
        <w:numPr>
          <w:ilvl w:val="3"/>
          <w:numId w:val="57"/>
        </w:numPr>
        <w:tabs>
          <w:tab w:pos="2664" w:val="left" w:leader="none"/>
          <w:tab w:pos="2665" w:val="left" w:leader="none"/>
        </w:tabs>
        <w:spacing w:line="235" w:lineRule="auto" w:before="0" w:after="0"/>
        <w:ind w:left="1984" w:right="1892" w:firstLine="0"/>
        <w:jc w:val="left"/>
        <w:rPr>
          <w:sz w:val="20"/>
        </w:rPr>
      </w:pPr>
      <w:r>
        <w:rPr>
          <w:w w:val="120"/>
          <w:sz w:val="20"/>
        </w:rPr>
        <w:t>The United Reformed Church excels in community outreach with no strings attached. We offer the love of Christ through ministry and service of many kinds. Some churches regularly welcome hundreds of people per week to their buildings for a wide range of community activities. But too often our faith is invisible. In some cases people </w:t>
      </w:r>
      <w:r>
        <w:rPr>
          <w:spacing w:val="-3"/>
          <w:w w:val="120"/>
          <w:sz w:val="20"/>
        </w:rPr>
        <w:t>don’t </w:t>
      </w:r>
      <w:r>
        <w:rPr>
          <w:w w:val="120"/>
          <w:sz w:val="20"/>
        </w:rPr>
        <w:t>even know they are coming into a church</w:t>
      </w:r>
      <w:r>
        <w:rPr>
          <w:spacing w:val="30"/>
          <w:w w:val="120"/>
          <w:sz w:val="20"/>
        </w:rPr>
        <w:t> </w:t>
      </w:r>
      <w:r>
        <w:rPr>
          <w:w w:val="120"/>
          <w:sz w:val="20"/>
        </w:rPr>
        <w:t>building.</w:t>
      </w:r>
    </w:p>
    <w:p>
      <w:pPr>
        <w:pStyle w:val="BodyText"/>
        <w:spacing w:line="235" w:lineRule="auto" w:before="3"/>
        <w:ind w:left="1984" w:right="2251"/>
      </w:pPr>
      <w:r>
        <w:rPr>
          <w:w w:val="120"/>
        </w:rPr>
        <w:t>They receive our service never knowing that we are Christians. The campaign is intended to bridge the gap between service and the sharing of faith. It is not the goal of the marketing campaign to judge, condemn, browbeat or lure</w:t>
      </w:r>
      <w:r>
        <w:rPr>
          <w:spacing w:val="34"/>
          <w:w w:val="120"/>
        </w:rPr>
        <w:t> </w:t>
      </w:r>
      <w:r>
        <w:rPr>
          <w:w w:val="120"/>
        </w:rPr>
        <w:t>any</w:t>
      </w:r>
    </w:p>
    <w:p>
      <w:pPr>
        <w:pStyle w:val="BodyText"/>
        <w:spacing w:line="235" w:lineRule="auto" w:before="3"/>
        <w:ind w:left="1984" w:right="1947"/>
      </w:pPr>
      <w:r>
        <w:rPr>
          <w:w w:val="120"/>
        </w:rPr>
        <w:t>disinterested non-churchgoer into our churches. The goal is simply to offer a non- intrusive and wide welcome to </w:t>
      </w:r>
      <w:r>
        <w:rPr>
          <w:spacing w:val="-3"/>
          <w:w w:val="120"/>
        </w:rPr>
        <w:t>all; </w:t>
      </w:r>
      <w:r>
        <w:rPr>
          <w:w w:val="120"/>
        </w:rPr>
        <w:t>to experience the United Reformed Church as a</w:t>
      </w:r>
      <w:r>
        <w:rPr>
          <w:spacing w:val="-3"/>
          <w:w w:val="120"/>
        </w:rPr>
        <w:t> </w:t>
      </w:r>
      <w:r>
        <w:rPr>
          <w:w w:val="120"/>
        </w:rPr>
        <w:t>place</w:t>
      </w:r>
      <w:r>
        <w:rPr>
          <w:spacing w:val="-3"/>
          <w:w w:val="120"/>
        </w:rPr>
        <w:t> </w:t>
      </w:r>
      <w:r>
        <w:rPr>
          <w:w w:val="120"/>
        </w:rPr>
        <w:t>that</w:t>
      </w:r>
      <w:r>
        <w:rPr>
          <w:spacing w:val="-3"/>
          <w:w w:val="120"/>
        </w:rPr>
        <w:t> </w:t>
      </w:r>
      <w:r>
        <w:rPr>
          <w:w w:val="120"/>
        </w:rPr>
        <w:t>feels</w:t>
      </w:r>
      <w:r>
        <w:rPr>
          <w:spacing w:val="-2"/>
          <w:w w:val="120"/>
        </w:rPr>
        <w:t> </w:t>
      </w:r>
      <w:r>
        <w:rPr>
          <w:w w:val="120"/>
        </w:rPr>
        <w:t>like</w:t>
      </w:r>
      <w:r>
        <w:rPr>
          <w:spacing w:val="-3"/>
          <w:w w:val="120"/>
        </w:rPr>
        <w:t> </w:t>
      </w:r>
      <w:r>
        <w:rPr>
          <w:w w:val="120"/>
        </w:rPr>
        <w:t>a</w:t>
      </w:r>
      <w:r>
        <w:rPr>
          <w:spacing w:val="-3"/>
          <w:w w:val="120"/>
        </w:rPr>
        <w:t> </w:t>
      </w:r>
      <w:r>
        <w:rPr>
          <w:w w:val="120"/>
        </w:rPr>
        <w:t>good</w:t>
      </w:r>
      <w:r>
        <w:rPr>
          <w:spacing w:val="-3"/>
          <w:w w:val="120"/>
        </w:rPr>
        <w:t> </w:t>
      </w:r>
      <w:r>
        <w:rPr>
          <w:w w:val="120"/>
        </w:rPr>
        <w:t>spiritual</w:t>
      </w:r>
      <w:r>
        <w:rPr>
          <w:spacing w:val="-2"/>
          <w:w w:val="120"/>
        </w:rPr>
        <w:t> </w:t>
      </w:r>
      <w:r>
        <w:rPr>
          <w:w w:val="120"/>
        </w:rPr>
        <w:t>home</w:t>
      </w:r>
      <w:r>
        <w:rPr>
          <w:spacing w:val="-3"/>
          <w:w w:val="120"/>
        </w:rPr>
        <w:t> </w:t>
      </w:r>
      <w:r>
        <w:rPr>
          <w:w w:val="120"/>
        </w:rPr>
        <w:t>for</w:t>
      </w:r>
      <w:r>
        <w:rPr>
          <w:spacing w:val="-3"/>
          <w:w w:val="120"/>
        </w:rPr>
        <w:t> </w:t>
      </w:r>
      <w:r>
        <w:rPr>
          <w:w w:val="120"/>
        </w:rPr>
        <w:t>them</w:t>
      </w:r>
      <w:r>
        <w:rPr>
          <w:spacing w:val="-2"/>
          <w:w w:val="120"/>
        </w:rPr>
        <w:t> </w:t>
      </w:r>
      <w:r>
        <w:rPr>
          <w:w w:val="120"/>
        </w:rPr>
        <w:t>and</w:t>
      </w:r>
      <w:r>
        <w:rPr>
          <w:spacing w:val="-3"/>
          <w:w w:val="120"/>
        </w:rPr>
        <w:t> </w:t>
      </w:r>
      <w:r>
        <w:rPr>
          <w:w w:val="120"/>
        </w:rPr>
        <w:t>those</w:t>
      </w:r>
      <w:r>
        <w:rPr>
          <w:spacing w:val="-3"/>
          <w:w w:val="120"/>
        </w:rPr>
        <w:t> </w:t>
      </w:r>
      <w:r>
        <w:rPr>
          <w:w w:val="120"/>
        </w:rPr>
        <w:t>they</w:t>
      </w:r>
      <w:r>
        <w:rPr>
          <w:spacing w:val="-3"/>
          <w:w w:val="120"/>
        </w:rPr>
        <w:t> love.</w:t>
      </w:r>
      <w:r>
        <w:rPr>
          <w:spacing w:val="-2"/>
          <w:w w:val="120"/>
        </w:rPr>
        <w:t> </w:t>
      </w:r>
      <w:r>
        <w:rPr>
          <w:w w:val="120"/>
        </w:rPr>
        <w:t>In</w:t>
      </w:r>
      <w:r>
        <w:rPr>
          <w:spacing w:val="-3"/>
          <w:w w:val="120"/>
        </w:rPr>
        <w:t> </w:t>
      </w:r>
      <w:r>
        <w:rPr>
          <w:w w:val="120"/>
        </w:rPr>
        <w:t>the</w:t>
      </w:r>
    </w:p>
    <w:p>
      <w:pPr>
        <w:pStyle w:val="BodyText"/>
        <w:spacing w:line="235" w:lineRule="auto" w:before="2"/>
        <w:ind w:left="1984" w:right="1901"/>
      </w:pPr>
      <w:r>
        <w:rPr>
          <w:w w:val="120"/>
        </w:rPr>
        <w:t>process, many long-term members will be transformed by engaging with the God who does still speak in our generation. </w:t>
      </w:r>
      <w:r>
        <w:rPr>
          <w:spacing w:val="-4"/>
          <w:w w:val="120"/>
        </w:rPr>
        <w:t>Together, </w:t>
      </w:r>
      <w:r>
        <w:rPr>
          <w:w w:val="120"/>
        </w:rPr>
        <w:t>old-timers and newcomers will be energised for the witness of the gospel in the world.</w:t>
      </w:r>
    </w:p>
    <w:p>
      <w:pPr>
        <w:pStyle w:val="BodyText"/>
        <w:spacing w:before="10"/>
        <w:rPr>
          <w:sz w:val="19"/>
        </w:rPr>
      </w:pPr>
    </w:p>
    <w:p>
      <w:pPr>
        <w:pStyle w:val="ListParagraph"/>
        <w:numPr>
          <w:ilvl w:val="3"/>
          <w:numId w:val="57"/>
        </w:numPr>
        <w:tabs>
          <w:tab w:pos="2664" w:val="left" w:leader="none"/>
          <w:tab w:pos="2665" w:val="left" w:leader="none"/>
        </w:tabs>
        <w:spacing w:line="235" w:lineRule="auto" w:before="0" w:after="0"/>
        <w:ind w:left="1984" w:right="1909" w:firstLine="0"/>
        <w:jc w:val="left"/>
        <w:rPr>
          <w:sz w:val="20"/>
        </w:rPr>
      </w:pPr>
      <w:r>
        <w:rPr>
          <w:w w:val="120"/>
          <w:sz w:val="20"/>
        </w:rPr>
        <w:t>The campaign also aims to renew the culture of the United Reformed Church itself. It moves faster than we are used to moving in our usual programmes, building momentum and energy, stretching people’s comfort  zones, and creating opportunities for small successes in quick succession. Rather than waiting until we are entirely </w:t>
      </w:r>
      <w:r>
        <w:rPr>
          <w:spacing w:val="-3"/>
          <w:w w:val="120"/>
          <w:sz w:val="20"/>
        </w:rPr>
        <w:t>‘ready’, </w:t>
      </w:r>
      <w:r>
        <w:rPr>
          <w:w w:val="120"/>
          <w:sz w:val="20"/>
        </w:rPr>
        <w:t>the campaign encourages us to get going. This means that not every venture will be successful, but each one teaches us something we didn’t know before. New ideas are welcome from all quarters. Churches across the multi-ethnic rainbow of the church can tailor engagement appropriate to their various cultures. The spirit of the campaign is risk-taking and playful, to teach people that evangelism is a joyful</w:t>
      </w:r>
      <w:r>
        <w:rPr>
          <w:spacing w:val="20"/>
          <w:w w:val="120"/>
          <w:sz w:val="20"/>
        </w:rPr>
        <w:t> </w:t>
      </w:r>
      <w:r>
        <w:rPr>
          <w:w w:val="120"/>
          <w:sz w:val="20"/>
        </w:rPr>
        <w:t>activity.</w:t>
      </w:r>
    </w:p>
    <w:p>
      <w:pPr>
        <w:pStyle w:val="BodyText"/>
      </w:pPr>
    </w:p>
    <w:p>
      <w:pPr>
        <w:pStyle w:val="BodyText"/>
      </w:pPr>
    </w:p>
    <w:p>
      <w:pPr>
        <w:pStyle w:val="BodyText"/>
      </w:pPr>
    </w:p>
    <w:p>
      <w:pPr>
        <w:pStyle w:val="BodyText"/>
        <w:spacing w:before="10"/>
        <w:rPr>
          <w:sz w:val="23"/>
        </w:rPr>
      </w:pPr>
    </w:p>
    <w:p>
      <w:pPr>
        <w:tabs>
          <w:tab w:pos="10791" w:val="left" w:leader="none"/>
        </w:tabs>
        <w:spacing w:before="97"/>
        <w:ind w:left="484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37</w:t>
      </w:r>
    </w:p>
    <w:p>
      <w:pPr>
        <w:spacing w:after="0"/>
        <w:jc w:val="left"/>
        <w:rPr>
          <w:rFonts w:ascii="Stone Sans II ITC Std X Bd" w:hAnsi="Stone Sans II ITC Std X Bd"/>
          <w:sz w:val="24"/>
        </w:rPr>
        <w:sectPr>
          <w:headerReference w:type="default" r:id="rId150"/>
          <w:headerReference w:type="even" r:id="rId151"/>
          <w:footerReference w:type="default" r:id="rId152"/>
          <w:pgSz w:w="11910" w:h="16840"/>
          <w:pgMar w:header="0" w:footer="0" w:top="1100" w:bottom="280" w:left="0" w:right="0"/>
        </w:sectPr>
      </w:pPr>
    </w:p>
    <w:p>
      <w:pPr>
        <w:pStyle w:val="BodyText"/>
        <w:rPr>
          <w:rFonts w:ascii="Stone Sans II ITC Std X Bd"/>
          <w:b/>
          <w:sz w:val="18"/>
        </w:rPr>
      </w:pPr>
    </w:p>
    <w:p>
      <w:pPr>
        <w:pStyle w:val="ListParagraph"/>
        <w:numPr>
          <w:ilvl w:val="3"/>
          <w:numId w:val="57"/>
        </w:numPr>
        <w:tabs>
          <w:tab w:pos="1814" w:val="left" w:leader="none"/>
          <w:tab w:pos="1815" w:val="left" w:leader="none"/>
        </w:tabs>
        <w:spacing w:line="235" w:lineRule="auto" w:before="104" w:after="0"/>
        <w:ind w:left="1133" w:right="2528" w:firstLine="0"/>
        <w:jc w:val="left"/>
        <w:rPr>
          <w:sz w:val="20"/>
        </w:rPr>
      </w:pPr>
      <w:r>
        <w:rPr/>
        <w:pict>
          <v:rect style="position:absolute;margin-left:12.047pt;margin-top:-3.672658pt;width:22.677pt;height:22.677pt;mso-position-horizontal-relative:page;mso-position-vertical-relative:paragraph;z-index:251842560" filled="true" fillcolor="#efceb4" stroked="false">
            <v:fill opacity="32768f" type="solid"/>
            <w10:wrap type="none"/>
          </v:rect>
        </w:pict>
      </w:r>
      <w:r>
        <w:rPr>
          <w:w w:val="120"/>
          <w:sz w:val="20"/>
        </w:rPr>
        <w:t>The campaign seeks to mobilise the energies of the denomination locally, regionally and nationally. It is a key vehicle for delivery of the URC mission priorities put forward in </w:t>
      </w:r>
      <w:r>
        <w:rPr>
          <w:i/>
          <w:w w:val="120"/>
          <w:sz w:val="20"/>
        </w:rPr>
        <w:t>vision2020 </w:t>
      </w:r>
      <w:r>
        <w:rPr>
          <w:w w:val="120"/>
          <w:sz w:val="20"/>
        </w:rPr>
        <w:t>– spirituality and prayer, identity, hospitality and diversity, evangelism and church</w:t>
      </w:r>
      <w:r>
        <w:rPr>
          <w:spacing w:val="7"/>
          <w:w w:val="120"/>
          <w:sz w:val="20"/>
        </w:rPr>
        <w:t> </w:t>
      </w:r>
      <w:r>
        <w:rPr>
          <w:w w:val="120"/>
          <w:sz w:val="20"/>
        </w:rPr>
        <w:t>growth.</w:t>
      </w:r>
    </w:p>
    <w:p>
      <w:pPr>
        <w:pStyle w:val="BodyText"/>
        <w:spacing w:before="9"/>
        <w:rPr>
          <w:sz w:val="17"/>
        </w:rPr>
      </w:pPr>
    </w:p>
    <w:p>
      <w:pPr>
        <w:numPr>
          <w:ilvl w:val="2"/>
          <w:numId w:val="57"/>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Background</w:t>
      </w:r>
    </w:p>
    <w:p>
      <w:pPr>
        <w:pStyle w:val="ListParagraph"/>
        <w:numPr>
          <w:ilvl w:val="3"/>
          <w:numId w:val="57"/>
        </w:numPr>
        <w:tabs>
          <w:tab w:pos="1814" w:val="left" w:leader="none"/>
          <w:tab w:pos="1815" w:val="left" w:leader="none"/>
        </w:tabs>
        <w:spacing w:line="235" w:lineRule="auto" w:before="222" w:after="0"/>
        <w:ind w:left="1133" w:right="2113" w:firstLine="0"/>
        <w:jc w:val="left"/>
        <w:rPr>
          <w:sz w:val="20"/>
        </w:rPr>
      </w:pPr>
      <w:r>
        <w:rPr>
          <w:w w:val="120"/>
          <w:sz w:val="20"/>
        </w:rPr>
        <w:t>The URC campaign derives from the experience of the </w:t>
      </w:r>
      <w:r>
        <w:rPr>
          <w:i/>
          <w:w w:val="120"/>
          <w:sz w:val="20"/>
        </w:rPr>
        <w:t>God is still speaking </w:t>
      </w:r>
      <w:r>
        <w:rPr>
          <w:w w:val="120"/>
          <w:sz w:val="20"/>
        </w:rPr>
        <w:t>campaign in the United Church of Christ USA. </w:t>
      </w:r>
      <w:r>
        <w:rPr>
          <w:spacing w:val="-4"/>
          <w:w w:val="120"/>
          <w:sz w:val="20"/>
        </w:rPr>
        <w:t>(see </w:t>
      </w:r>
      <w:hyperlink r:id="rId155">
        <w:r>
          <w:rPr>
            <w:w w:val="120"/>
            <w:sz w:val="20"/>
          </w:rPr>
          <w:t>www.ucc.org/god-is-still-speaking/</w:t>
        </w:r>
      </w:hyperlink>
      <w:r>
        <w:rPr>
          <w:w w:val="120"/>
          <w:sz w:val="20"/>
        </w:rPr>
        <w:t> about) in 2004. This visionary initiative caught the attention of the United Reformed Church in 2006 and serious consultation began about the possibility of a UK version.  Ron Buford, the creative mind behind the UCC/USA campaign, worked as a consultant  to the URC for two years 2008-10. Originally the proposal was to launch a UK version of the American campaign in partnership with the </w:t>
      </w:r>
      <w:r>
        <w:rPr>
          <w:spacing w:val="-2"/>
          <w:w w:val="120"/>
          <w:sz w:val="20"/>
        </w:rPr>
        <w:t>UCC </w:t>
      </w:r>
      <w:r>
        <w:rPr>
          <w:w w:val="120"/>
          <w:sz w:val="20"/>
        </w:rPr>
        <w:t>and approvals for this were given   in principle by the Mission Committee and Mission Council of the URC in Autumn 2008. This included authorisation to apply for funding from the Council for World Mission ‘Mission Support</w:t>
      </w:r>
      <w:r>
        <w:rPr>
          <w:spacing w:val="4"/>
          <w:w w:val="120"/>
          <w:sz w:val="20"/>
        </w:rPr>
        <w:t> </w:t>
      </w:r>
      <w:r>
        <w:rPr>
          <w:w w:val="120"/>
          <w:sz w:val="20"/>
        </w:rPr>
        <w:t>Programme’.</w:t>
      </w:r>
    </w:p>
    <w:p>
      <w:pPr>
        <w:pStyle w:val="BodyText"/>
        <w:spacing w:before="3"/>
      </w:pPr>
    </w:p>
    <w:p>
      <w:pPr>
        <w:pStyle w:val="ListParagraph"/>
        <w:numPr>
          <w:ilvl w:val="3"/>
          <w:numId w:val="57"/>
        </w:numPr>
        <w:tabs>
          <w:tab w:pos="1814" w:val="left" w:leader="none"/>
          <w:tab w:pos="1815" w:val="left" w:leader="none"/>
        </w:tabs>
        <w:spacing w:line="235" w:lineRule="auto" w:before="0" w:after="0"/>
        <w:ind w:left="1133" w:right="2024" w:firstLine="0"/>
        <w:jc w:val="left"/>
        <w:rPr>
          <w:sz w:val="20"/>
        </w:rPr>
      </w:pPr>
      <w:r>
        <w:rPr>
          <w:w w:val="120"/>
          <w:sz w:val="20"/>
        </w:rPr>
        <w:t>The United Reformed Church received a </w:t>
      </w:r>
      <w:r>
        <w:rPr>
          <w:spacing w:val="3"/>
          <w:w w:val="120"/>
          <w:sz w:val="20"/>
        </w:rPr>
        <w:t>CWM </w:t>
      </w:r>
      <w:r>
        <w:rPr>
          <w:w w:val="120"/>
          <w:sz w:val="20"/>
        </w:rPr>
        <w:t>grant of </w:t>
      </w:r>
      <w:r>
        <w:rPr>
          <w:spacing w:val="-4"/>
          <w:w w:val="120"/>
          <w:sz w:val="20"/>
        </w:rPr>
        <w:t>£315,000 </w:t>
      </w:r>
      <w:r>
        <w:rPr>
          <w:w w:val="120"/>
          <w:sz w:val="20"/>
        </w:rPr>
        <w:t>over a three-  year period </w:t>
      </w:r>
      <w:r>
        <w:rPr>
          <w:spacing w:val="-5"/>
          <w:w w:val="120"/>
          <w:sz w:val="20"/>
        </w:rPr>
        <w:t>(2009-12) </w:t>
      </w:r>
      <w:r>
        <w:rPr>
          <w:w w:val="120"/>
          <w:sz w:val="20"/>
        </w:rPr>
        <w:t>to support a URC identity and marketing initiative through its planning and preparation stages to its full launch and subsequent development. This has enabled the employment of a full-time Campaign Coordinator, Denese</w:t>
      </w:r>
      <w:r>
        <w:rPr>
          <w:spacing w:val="12"/>
          <w:w w:val="120"/>
          <w:sz w:val="20"/>
        </w:rPr>
        <w:t> </w:t>
      </w:r>
      <w:r>
        <w:rPr>
          <w:w w:val="120"/>
          <w:sz w:val="20"/>
        </w:rPr>
        <w:t>Chikwendu.</w:t>
      </w:r>
    </w:p>
    <w:p>
      <w:pPr>
        <w:pStyle w:val="BodyText"/>
        <w:spacing w:before="11"/>
        <w:rPr>
          <w:sz w:val="19"/>
        </w:rPr>
      </w:pPr>
    </w:p>
    <w:p>
      <w:pPr>
        <w:pStyle w:val="ListParagraph"/>
        <w:numPr>
          <w:ilvl w:val="3"/>
          <w:numId w:val="57"/>
        </w:numPr>
        <w:tabs>
          <w:tab w:pos="1814" w:val="left" w:leader="none"/>
          <w:tab w:pos="1815" w:val="left" w:leader="none"/>
        </w:tabs>
        <w:spacing w:line="235" w:lineRule="auto" w:before="0" w:after="0"/>
        <w:ind w:left="1133" w:right="2081" w:firstLine="0"/>
        <w:jc w:val="left"/>
        <w:rPr>
          <w:sz w:val="20"/>
        </w:rPr>
      </w:pPr>
      <w:r>
        <w:rPr>
          <w:w w:val="120"/>
          <w:sz w:val="20"/>
        </w:rPr>
        <w:t>A Steering Group under the chairmanship of the General Secretary and Lawrence Moore is responsible for the strategic development of the campaign. The Mission Committee and Communications and Editorial Committees are the key points of contact and regular </w:t>
      </w:r>
      <w:r>
        <w:rPr>
          <w:spacing w:val="2"/>
          <w:w w:val="120"/>
          <w:sz w:val="20"/>
        </w:rPr>
        <w:t>reports </w:t>
      </w:r>
      <w:r>
        <w:rPr>
          <w:w w:val="120"/>
          <w:sz w:val="20"/>
        </w:rPr>
        <w:t>are submitted to Mission</w:t>
      </w:r>
      <w:r>
        <w:rPr>
          <w:spacing w:val="13"/>
          <w:w w:val="120"/>
          <w:sz w:val="20"/>
        </w:rPr>
        <w:t> </w:t>
      </w:r>
      <w:r>
        <w:rPr>
          <w:w w:val="120"/>
          <w:sz w:val="20"/>
        </w:rPr>
        <w:t>Council.</w:t>
      </w:r>
    </w:p>
    <w:p>
      <w:pPr>
        <w:pStyle w:val="BodyText"/>
        <w:spacing w:before="11"/>
        <w:rPr>
          <w:sz w:val="19"/>
        </w:rPr>
      </w:pPr>
    </w:p>
    <w:p>
      <w:pPr>
        <w:pStyle w:val="ListParagraph"/>
        <w:numPr>
          <w:ilvl w:val="3"/>
          <w:numId w:val="57"/>
        </w:numPr>
        <w:tabs>
          <w:tab w:pos="1814" w:val="left" w:leader="none"/>
          <w:tab w:pos="1815" w:val="left" w:leader="none"/>
        </w:tabs>
        <w:spacing w:line="235" w:lineRule="auto" w:before="0" w:after="0"/>
        <w:ind w:left="1133" w:right="2049" w:firstLine="0"/>
        <w:jc w:val="left"/>
        <w:rPr>
          <w:sz w:val="20"/>
        </w:rPr>
      </w:pPr>
      <w:r>
        <w:rPr>
          <w:w w:val="120"/>
          <w:sz w:val="20"/>
        </w:rPr>
        <w:t>The </w:t>
      </w:r>
      <w:r>
        <w:rPr>
          <w:i/>
          <w:w w:val="120"/>
          <w:sz w:val="20"/>
        </w:rPr>
        <w:t>God is still speaking </w:t>
      </w:r>
      <w:r>
        <w:rPr>
          <w:w w:val="120"/>
          <w:sz w:val="20"/>
        </w:rPr>
        <w:t>partnership proposal was enthusiastically welcomed by the programme staff and officers of the UCC. However, when it came time to secure copyright permission and enter into a memorandum of understanding, the legal hurdles proved insurmountable. The URC steering group was not prepared to submit all of its work to </w:t>
      </w:r>
      <w:r>
        <w:rPr>
          <w:spacing w:val="-2"/>
          <w:w w:val="120"/>
          <w:sz w:val="20"/>
        </w:rPr>
        <w:t>UCC </w:t>
      </w:r>
      <w:r>
        <w:rPr>
          <w:w w:val="120"/>
          <w:sz w:val="20"/>
        </w:rPr>
        <w:t>scrutiny in a restrictive regime of approvals, not least because busy people in the </w:t>
      </w:r>
      <w:r>
        <w:rPr>
          <w:spacing w:val="-2"/>
          <w:w w:val="120"/>
          <w:sz w:val="20"/>
        </w:rPr>
        <w:t>UCC </w:t>
      </w:r>
      <w:r>
        <w:rPr>
          <w:w w:val="120"/>
          <w:sz w:val="20"/>
        </w:rPr>
        <w:t>office would not be able to deliver the turnaround times necessary for a dynamic campaign. In April </w:t>
      </w:r>
      <w:r>
        <w:rPr>
          <w:spacing w:val="-6"/>
          <w:w w:val="120"/>
          <w:sz w:val="20"/>
        </w:rPr>
        <w:t>2010 </w:t>
      </w:r>
      <w:r>
        <w:rPr>
          <w:w w:val="120"/>
          <w:sz w:val="20"/>
        </w:rPr>
        <w:t>the decision was taken that the URC would go it alone, drawing upon the inspiration of the American experience but seeking to create its own brand and</w:t>
      </w:r>
      <w:r>
        <w:rPr>
          <w:spacing w:val="4"/>
          <w:w w:val="120"/>
          <w:sz w:val="20"/>
        </w:rPr>
        <w:t> </w:t>
      </w:r>
      <w:r>
        <w:rPr>
          <w:w w:val="120"/>
          <w:sz w:val="20"/>
        </w:rPr>
        <w:t>content.</w:t>
      </w:r>
    </w:p>
    <w:p>
      <w:pPr>
        <w:pStyle w:val="BodyText"/>
        <w:spacing w:before="5"/>
        <w:rPr>
          <w:sz w:val="18"/>
        </w:rPr>
      </w:pPr>
    </w:p>
    <w:p>
      <w:pPr>
        <w:pStyle w:val="ListParagraph"/>
        <w:numPr>
          <w:ilvl w:val="3"/>
          <w:numId w:val="57"/>
        </w:numPr>
        <w:tabs>
          <w:tab w:pos="1814" w:val="left" w:leader="none"/>
          <w:tab w:pos="1815" w:val="left" w:leader="none"/>
        </w:tabs>
        <w:spacing w:line="211" w:lineRule="auto" w:before="0" w:after="0"/>
        <w:ind w:left="1133" w:right="2084" w:firstLine="0"/>
        <w:jc w:val="left"/>
        <w:rPr>
          <w:sz w:val="20"/>
        </w:rPr>
      </w:pPr>
      <w:r>
        <w:rPr/>
        <w:drawing>
          <wp:anchor distT="0" distB="0" distL="0" distR="0" allowOverlap="1" layoutInCell="1" locked="0" behindDoc="1" simplePos="0" relativeHeight="235736064">
            <wp:simplePos x="0" y="0"/>
            <wp:positionH relativeFrom="page">
              <wp:posOffset>5967705</wp:posOffset>
            </wp:positionH>
            <wp:positionV relativeFrom="paragraph">
              <wp:posOffset>5528</wp:posOffset>
            </wp:positionV>
            <wp:extent cx="232857" cy="181203"/>
            <wp:effectExtent l="0" t="0" r="0" b="0"/>
            <wp:wrapNone/>
            <wp:docPr id="103" name="image99.png"/>
            <wp:cNvGraphicFramePr>
              <a:graphicFrameLocks noChangeAspect="1"/>
            </wp:cNvGraphicFramePr>
            <a:graphic>
              <a:graphicData uri="http://schemas.openxmlformats.org/drawingml/2006/picture">
                <pic:pic>
                  <pic:nvPicPr>
                    <pic:cNvPr id="104" name="image99.png"/>
                    <pic:cNvPicPr/>
                  </pic:nvPicPr>
                  <pic:blipFill>
                    <a:blip r:embed="rId156" cstate="print"/>
                    <a:stretch>
                      <a:fillRect/>
                    </a:stretch>
                  </pic:blipFill>
                  <pic:spPr>
                    <a:xfrm>
                      <a:off x="0" y="0"/>
                      <a:ext cx="232857" cy="181203"/>
                    </a:xfrm>
                    <a:prstGeom prst="rect">
                      <a:avLst/>
                    </a:prstGeom>
                  </pic:spPr>
                </pic:pic>
              </a:graphicData>
            </a:graphic>
          </wp:anchor>
        </w:drawing>
      </w:r>
      <w:r>
        <w:rPr/>
        <w:drawing>
          <wp:anchor distT="0" distB="0" distL="0" distR="0" allowOverlap="1" layoutInCell="1" locked="0" behindDoc="1" simplePos="0" relativeHeight="235737088">
            <wp:simplePos x="0" y="0"/>
            <wp:positionH relativeFrom="page">
              <wp:posOffset>1299493</wp:posOffset>
            </wp:positionH>
            <wp:positionV relativeFrom="paragraph">
              <wp:posOffset>462728</wp:posOffset>
            </wp:positionV>
            <wp:extent cx="391902" cy="333603"/>
            <wp:effectExtent l="0" t="0" r="0" b="0"/>
            <wp:wrapNone/>
            <wp:docPr id="105" name="image100.png"/>
            <wp:cNvGraphicFramePr>
              <a:graphicFrameLocks noChangeAspect="1"/>
            </wp:cNvGraphicFramePr>
            <a:graphic>
              <a:graphicData uri="http://schemas.openxmlformats.org/drawingml/2006/picture">
                <pic:pic>
                  <pic:nvPicPr>
                    <pic:cNvPr id="106" name="image100.png"/>
                    <pic:cNvPicPr/>
                  </pic:nvPicPr>
                  <pic:blipFill>
                    <a:blip r:embed="rId157" cstate="print"/>
                    <a:stretch>
                      <a:fillRect/>
                    </a:stretch>
                  </pic:blipFill>
                  <pic:spPr>
                    <a:xfrm>
                      <a:off x="0" y="0"/>
                      <a:ext cx="391902" cy="333603"/>
                    </a:xfrm>
                    <a:prstGeom prst="rect">
                      <a:avLst/>
                    </a:prstGeom>
                  </pic:spPr>
                </pic:pic>
              </a:graphicData>
            </a:graphic>
          </wp:anchor>
        </w:drawing>
      </w:r>
      <w:r>
        <w:rPr>
          <w:w w:val="120"/>
          <w:sz w:val="20"/>
        </w:rPr>
        <w:t>Mission</w:t>
      </w:r>
      <w:r>
        <w:rPr>
          <w:spacing w:val="-21"/>
          <w:w w:val="120"/>
          <w:sz w:val="20"/>
        </w:rPr>
        <w:t> </w:t>
      </w:r>
      <w:r>
        <w:rPr>
          <w:w w:val="120"/>
          <w:sz w:val="20"/>
        </w:rPr>
        <w:t>Council</w:t>
      </w:r>
      <w:r>
        <w:rPr>
          <w:spacing w:val="-21"/>
          <w:w w:val="120"/>
          <w:sz w:val="20"/>
        </w:rPr>
        <w:t> </w:t>
      </w:r>
      <w:r>
        <w:rPr>
          <w:w w:val="120"/>
          <w:sz w:val="20"/>
        </w:rPr>
        <w:t>was</w:t>
      </w:r>
      <w:r>
        <w:rPr>
          <w:spacing w:val="-21"/>
          <w:w w:val="120"/>
          <w:sz w:val="20"/>
        </w:rPr>
        <w:t> </w:t>
      </w:r>
      <w:r>
        <w:rPr>
          <w:w w:val="120"/>
          <w:sz w:val="20"/>
        </w:rPr>
        <w:t>clear</w:t>
      </w:r>
      <w:r>
        <w:rPr>
          <w:spacing w:val="-21"/>
          <w:w w:val="120"/>
          <w:sz w:val="20"/>
        </w:rPr>
        <w:t> </w:t>
      </w:r>
      <w:r>
        <w:rPr>
          <w:w w:val="120"/>
          <w:sz w:val="20"/>
        </w:rPr>
        <w:t>that</w:t>
      </w:r>
      <w:r>
        <w:rPr>
          <w:spacing w:val="-21"/>
          <w:w w:val="120"/>
          <w:sz w:val="20"/>
        </w:rPr>
        <w:t> </w:t>
      </w:r>
      <w:r>
        <w:rPr>
          <w:w w:val="120"/>
          <w:sz w:val="20"/>
        </w:rPr>
        <w:t>the</w:t>
      </w:r>
      <w:r>
        <w:rPr>
          <w:spacing w:val="-21"/>
          <w:w w:val="120"/>
          <w:sz w:val="20"/>
        </w:rPr>
        <w:t> </w:t>
      </w:r>
      <w:r>
        <w:rPr>
          <w:w w:val="120"/>
          <w:sz w:val="20"/>
        </w:rPr>
        <w:t>campaign</w:t>
      </w:r>
      <w:r>
        <w:rPr>
          <w:spacing w:val="-21"/>
          <w:w w:val="120"/>
          <w:sz w:val="20"/>
        </w:rPr>
        <w:t> </w:t>
      </w:r>
      <w:r>
        <w:rPr>
          <w:w w:val="120"/>
          <w:sz w:val="20"/>
        </w:rPr>
        <w:t>should</w:t>
      </w:r>
      <w:r>
        <w:rPr>
          <w:spacing w:val="-21"/>
          <w:w w:val="120"/>
          <w:sz w:val="20"/>
        </w:rPr>
        <w:t> </w:t>
      </w:r>
      <w:r>
        <w:rPr>
          <w:w w:val="120"/>
          <w:sz w:val="20"/>
        </w:rPr>
        <w:t>be</w:t>
      </w:r>
      <w:r>
        <w:rPr>
          <w:spacing w:val="-21"/>
          <w:w w:val="120"/>
          <w:sz w:val="20"/>
        </w:rPr>
        <w:t> </w:t>
      </w:r>
      <w:r>
        <w:rPr>
          <w:w w:val="120"/>
          <w:sz w:val="20"/>
        </w:rPr>
        <w:t>integrated</w:t>
      </w:r>
      <w:r>
        <w:rPr>
          <w:spacing w:val="-21"/>
          <w:w w:val="120"/>
          <w:sz w:val="20"/>
        </w:rPr>
        <w:t> </w:t>
      </w:r>
      <w:r>
        <w:rPr>
          <w:w w:val="120"/>
          <w:sz w:val="20"/>
        </w:rPr>
        <w:t>with</w:t>
      </w:r>
      <w:r>
        <w:rPr>
          <w:spacing w:val="-20"/>
          <w:w w:val="120"/>
          <w:sz w:val="20"/>
        </w:rPr>
        <w:t> </w:t>
      </w:r>
      <w:r>
        <w:rPr>
          <w:rFonts w:ascii="Arial Rounded MT Bold"/>
          <w:sz w:val="21"/>
        </w:rPr>
        <w:t>Vision4</w:t>
      </w:r>
      <w:r>
        <w:rPr>
          <w:rFonts w:ascii="Bradley Hand ITC"/>
          <w:color w:val="C20D19"/>
          <w:sz w:val="28"/>
        </w:rPr>
        <w:t>Life</w:t>
      </w:r>
      <w:r>
        <w:rPr>
          <w:sz w:val="20"/>
        </w:rPr>
        <w:t>. </w:t>
      </w:r>
      <w:r>
        <w:rPr>
          <w:w w:val="120"/>
          <w:sz w:val="20"/>
        </w:rPr>
        <w:t>There is active collaboration between the two steering groups (including three   members who serve on </w:t>
      </w:r>
      <w:r>
        <w:rPr>
          <w:spacing w:val="-4"/>
          <w:w w:val="120"/>
          <w:sz w:val="20"/>
        </w:rPr>
        <w:t>both). </w:t>
      </w:r>
      <w:r>
        <w:rPr>
          <w:w w:val="120"/>
          <w:sz w:val="20"/>
        </w:rPr>
        <w:t>Advertising will begin in April </w:t>
      </w:r>
      <w:r>
        <w:rPr>
          <w:spacing w:val="-8"/>
          <w:w w:val="120"/>
          <w:sz w:val="20"/>
        </w:rPr>
        <w:t>2011 </w:t>
      </w:r>
      <w:r>
        <w:rPr>
          <w:w w:val="120"/>
          <w:sz w:val="20"/>
        </w:rPr>
        <w:t>as a major</w:t>
      </w:r>
      <w:r>
        <w:rPr>
          <w:spacing w:val="19"/>
          <w:w w:val="120"/>
          <w:sz w:val="20"/>
        </w:rPr>
        <w:t> </w:t>
      </w:r>
      <w:r>
        <w:rPr>
          <w:w w:val="120"/>
          <w:sz w:val="20"/>
        </w:rPr>
        <w:t>highlight</w:t>
      </w:r>
    </w:p>
    <w:p>
      <w:pPr>
        <w:pStyle w:val="BodyText"/>
        <w:spacing w:line="177" w:lineRule="auto" w:before="16"/>
        <w:ind w:left="1133" w:right="2076"/>
      </w:pPr>
      <w:r>
        <w:rPr>
          <w:w w:val="120"/>
        </w:rPr>
        <w:t>of</w:t>
      </w:r>
      <w:r>
        <w:rPr>
          <w:spacing w:val="-17"/>
          <w:w w:val="120"/>
        </w:rPr>
        <w:t> </w:t>
      </w:r>
      <w:r>
        <w:rPr>
          <w:w w:val="120"/>
        </w:rPr>
        <w:t>the</w:t>
      </w:r>
      <w:r>
        <w:rPr>
          <w:spacing w:val="-16"/>
          <w:w w:val="120"/>
        </w:rPr>
        <w:t> </w:t>
      </w:r>
      <w:r>
        <w:rPr>
          <w:rFonts w:ascii="Arial Rounded MT Bold" w:hAnsi="Arial Rounded MT Bold"/>
          <w:sz w:val="21"/>
        </w:rPr>
        <w:t>Vision4</w:t>
      </w:r>
      <w:r>
        <w:rPr>
          <w:rFonts w:ascii="Bradley Hand ITC" w:hAnsi="Bradley Hand ITC"/>
          <w:color w:val="C20D19"/>
          <w:sz w:val="28"/>
        </w:rPr>
        <w:t>Life</w:t>
      </w:r>
      <w:r>
        <w:rPr>
          <w:rFonts w:ascii="Bradley Hand ITC" w:hAnsi="Bradley Hand ITC"/>
          <w:color w:val="C20D19"/>
          <w:spacing w:val="-39"/>
          <w:sz w:val="28"/>
        </w:rPr>
        <w:t> </w:t>
      </w:r>
      <w:r>
        <w:rPr>
          <w:w w:val="120"/>
        </w:rPr>
        <w:t>evangelism</w:t>
      </w:r>
      <w:r>
        <w:rPr>
          <w:spacing w:val="-16"/>
          <w:w w:val="120"/>
        </w:rPr>
        <w:t> </w:t>
      </w:r>
      <w:r>
        <w:rPr>
          <w:spacing w:val="-4"/>
          <w:w w:val="120"/>
        </w:rPr>
        <w:t>year.</w:t>
      </w:r>
      <w:r>
        <w:rPr>
          <w:spacing w:val="-16"/>
          <w:w w:val="120"/>
        </w:rPr>
        <w:t> </w:t>
      </w:r>
      <w:r>
        <w:rPr>
          <w:w w:val="120"/>
        </w:rPr>
        <w:t>The</w:t>
      </w:r>
      <w:r>
        <w:rPr>
          <w:spacing w:val="-17"/>
          <w:w w:val="120"/>
        </w:rPr>
        <w:t> </w:t>
      </w:r>
      <w:r>
        <w:rPr>
          <w:w w:val="120"/>
        </w:rPr>
        <w:t>two</w:t>
      </w:r>
      <w:r>
        <w:rPr>
          <w:spacing w:val="-16"/>
          <w:w w:val="120"/>
        </w:rPr>
        <w:t> </w:t>
      </w:r>
      <w:r>
        <w:rPr>
          <w:w w:val="120"/>
        </w:rPr>
        <w:t>initiatives</w:t>
      </w:r>
      <w:r>
        <w:rPr>
          <w:spacing w:val="-16"/>
          <w:w w:val="120"/>
        </w:rPr>
        <w:t> </w:t>
      </w:r>
      <w:r>
        <w:rPr>
          <w:w w:val="120"/>
        </w:rPr>
        <w:t>are</w:t>
      </w:r>
      <w:r>
        <w:rPr>
          <w:spacing w:val="-16"/>
          <w:w w:val="120"/>
        </w:rPr>
        <w:t> </w:t>
      </w:r>
      <w:r>
        <w:rPr>
          <w:w w:val="120"/>
        </w:rPr>
        <w:t>richly</w:t>
      </w:r>
      <w:r>
        <w:rPr>
          <w:spacing w:val="-17"/>
          <w:w w:val="120"/>
        </w:rPr>
        <w:t> </w:t>
      </w:r>
      <w:r>
        <w:rPr>
          <w:w w:val="120"/>
        </w:rPr>
        <w:t>compatible,</w:t>
      </w:r>
      <w:r>
        <w:rPr>
          <w:spacing w:val="-16"/>
          <w:w w:val="120"/>
        </w:rPr>
        <w:t> </w:t>
      </w:r>
      <w:r>
        <w:rPr>
          <w:w w:val="120"/>
        </w:rPr>
        <w:t>combining the</w:t>
      </w:r>
      <w:r>
        <w:rPr>
          <w:spacing w:val="-24"/>
          <w:w w:val="120"/>
        </w:rPr>
        <w:t> </w:t>
      </w:r>
      <w:r>
        <w:rPr>
          <w:rFonts w:ascii="Arial Rounded MT Bold" w:hAnsi="Arial Rounded MT Bold"/>
          <w:sz w:val="21"/>
        </w:rPr>
        <w:t>Vision4</w:t>
      </w:r>
      <w:r>
        <w:rPr>
          <w:rFonts w:ascii="Bradley Hand ITC" w:hAnsi="Bradley Hand ITC"/>
          <w:color w:val="C20D19"/>
          <w:sz w:val="28"/>
        </w:rPr>
        <w:t>Life</w:t>
      </w:r>
      <w:r>
        <w:rPr>
          <w:rFonts w:ascii="Bradley Hand ITC" w:hAnsi="Bradley Hand ITC"/>
          <w:color w:val="C20D19"/>
          <w:spacing w:val="-44"/>
          <w:sz w:val="28"/>
        </w:rPr>
        <w:t> </w:t>
      </w:r>
      <w:r>
        <w:rPr>
          <w:w w:val="120"/>
        </w:rPr>
        <w:t>emphases</w:t>
      </w:r>
      <w:r>
        <w:rPr>
          <w:spacing w:val="-23"/>
          <w:w w:val="120"/>
        </w:rPr>
        <w:t> </w:t>
      </w:r>
      <w:r>
        <w:rPr>
          <w:w w:val="120"/>
        </w:rPr>
        <w:t>on</w:t>
      </w:r>
      <w:r>
        <w:rPr>
          <w:spacing w:val="-23"/>
          <w:w w:val="120"/>
        </w:rPr>
        <w:t> </w:t>
      </w:r>
      <w:r>
        <w:rPr>
          <w:w w:val="120"/>
        </w:rPr>
        <w:t>telling</w:t>
      </w:r>
      <w:r>
        <w:rPr>
          <w:spacing w:val="-24"/>
          <w:w w:val="120"/>
        </w:rPr>
        <w:t> </w:t>
      </w:r>
      <w:r>
        <w:rPr>
          <w:w w:val="120"/>
        </w:rPr>
        <w:t>the</w:t>
      </w:r>
      <w:r>
        <w:rPr>
          <w:spacing w:val="-23"/>
          <w:w w:val="120"/>
        </w:rPr>
        <w:t> </w:t>
      </w:r>
      <w:r>
        <w:rPr>
          <w:w w:val="120"/>
        </w:rPr>
        <w:t>Jesus</w:t>
      </w:r>
      <w:r>
        <w:rPr>
          <w:spacing w:val="-23"/>
          <w:w w:val="120"/>
        </w:rPr>
        <w:t> </w:t>
      </w:r>
      <w:r>
        <w:rPr>
          <w:spacing w:val="2"/>
          <w:w w:val="120"/>
        </w:rPr>
        <w:t>story</w:t>
      </w:r>
      <w:r>
        <w:rPr>
          <w:spacing w:val="-23"/>
          <w:w w:val="120"/>
        </w:rPr>
        <w:t> </w:t>
      </w:r>
      <w:r>
        <w:rPr>
          <w:w w:val="120"/>
        </w:rPr>
        <w:t>and</w:t>
      </w:r>
      <w:r>
        <w:rPr>
          <w:spacing w:val="-23"/>
          <w:w w:val="120"/>
        </w:rPr>
        <w:t> </w:t>
      </w:r>
      <w:r>
        <w:rPr>
          <w:w w:val="120"/>
        </w:rPr>
        <w:t>our</w:t>
      </w:r>
      <w:r>
        <w:rPr>
          <w:spacing w:val="-23"/>
          <w:w w:val="120"/>
        </w:rPr>
        <w:t> </w:t>
      </w:r>
      <w:r>
        <w:rPr>
          <w:w w:val="120"/>
        </w:rPr>
        <w:t>personal</w:t>
      </w:r>
      <w:r>
        <w:rPr>
          <w:spacing w:val="-23"/>
          <w:w w:val="120"/>
        </w:rPr>
        <w:t> </w:t>
      </w:r>
      <w:r>
        <w:rPr>
          <w:w w:val="120"/>
        </w:rPr>
        <w:t>faith</w:t>
      </w:r>
      <w:r>
        <w:rPr>
          <w:spacing w:val="-24"/>
          <w:w w:val="120"/>
        </w:rPr>
        <w:t> </w:t>
      </w:r>
      <w:r>
        <w:rPr>
          <w:w w:val="120"/>
        </w:rPr>
        <w:t>stories</w:t>
      </w:r>
      <w:r>
        <w:rPr>
          <w:spacing w:val="-23"/>
          <w:w w:val="120"/>
        </w:rPr>
        <w:t> </w:t>
      </w:r>
      <w:r>
        <w:rPr>
          <w:w w:val="120"/>
        </w:rPr>
        <w:t>with</w:t>
      </w:r>
      <w:r>
        <w:rPr>
          <w:spacing w:val="-23"/>
          <w:w w:val="120"/>
        </w:rPr>
        <w:t> </w:t>
      </w:r>
      <w:r>
        <w:rPr>
          <w:w w:val="120"/>
        </w:rPr>
        <w:t>the marketing campaign’s emphasis on telling the </w:t>
      </w:r>
      <w:r>
        <w:rPr>
          <w:spacing w:val="-3"/>
          <w:w w:val="120"/>
        </w:rPr>
        <w:t>Church’s</w:t>
      </w:r>
      <w:r>
        <w:rPr>
          <w:spacing w:val="21"/>
          <w:w w:val="120"/>
        </w:rPr>
        <w:t> </w:t>
      </w:r>
      <w:r>
        <w:rPr>
          <w:w w:val="120"/>
        </w:rPr>
        <w:t>story.</w:t>
      </w:r>
    </w:p>
    <w:p>
      <w:pPr>
        <w:pStyle w:val="BodyText"/>
        <w:spacing w:before="8"/>
      </w:pPr>
    </w:p>
    <w:p>
      <w:pPr>
        <w:pStyle w:val="ListParagraph"/>
        <w:numPr>
          <w:ilvl w:val="3"/>
          <w:numId w:val="57"/>
        </w:numPr>
        <w:tabs>
          <w:tab w:pos="1813" w:val="left" w:leader="none"/>
          <w:tab w:pos="1815" w:val="left" w:leader="none"/>
        </w:tabs>
        <w:spacing w:line="235" w:lineRule="auto" w:before="0" w:after="0"/>
        <w:ind w:left="1133" w:right="2116" w:firstLine="0"/>
        <w:jc w:val="left"/>
        <w:rPr>
          <w:sz w:val="20"/>
        </w:rPr>
      </w:pPr>
      <w:r>
        <w:rPr>
          <w:w w:val="120"/>
          <w:sz w:val="20"/>
        </w:rPr>
        <w:t>Collaboration</w:t>
      </w:r>
      <w:r>
        <w:rPr>
          <w:spacing w:val="-9"/>
          <w:w w:val="120"/>
          <w:sz w:val="20"/>
        </w:rPr>
        <w:t> </w:t>
      </w:r>
      <w:r>
        <w:rPr>
          <w:w w:val="120"/>
          <w:sz w:val="20"/>
        </w:rPr>
        <w:t>will</w:t>
      </w:r>
      <w:r>
        <w:rPr>
          <w:spacing w:val="-9"/>
          <w:w w:val="120"/>
          <w:sz w:val="20"/>
        </w:rPr>
        <w:t> </w:t>
      </w:r>
      <w:r>
        <w:rPr>
          <w:w w:val="120"/>
          <w:sz w:val="20"/>
        </w:rPr>
        <w:t>also</w:t>
      </w:r>
      <w:r>
        <w:rPr>
          <w:spacing w:val="-8"/>
          <w:w w:val="120"/>
          <w:sz w:val="20"/>
        </w:rPr>
        <w:t> </w:t>
      </w:r>
      <w:r>
        <w:rPr>
          <w:w w:val="120"/>
          <w:sz w:val="20"/>
        </w:rPr>
        <w:t>be</w:t>
      </w:r>
      <w:r>
        <w:rPr>
          <w:spacing w:val="-9"/>
          <w:w w:val="120"/>
          <w:sz w:val="20"/>
        </w:rPr>
        <w:t> </w:t>
      </w:r>
      <w:r>
        <w:rPr>
          <w:w w:val="120"/>
          <w:sz w:val="20"/>
        </w:rPr>
        <w:t>important</w:t>
      </w:r>
      <w:r>
        <w:rPr>
          <w:spacing w:val="-8"/>
          <w:w w:val="120"/>
          <w:sz w:val="20"/>
        </w:rPr>
        <w:t> </w:t>
      </w:r>
      <w:r>
        <w:rPr>
          <w:w w:val="120"/>
          <w:sz w:val="20"/>
        </w:rPr>
        <w:t>with</w:t>
      </w:r>
      <w:r>
        <w:rPr>
          <w:spacing w:val="-9"/>
          <w:w w:val="120"/>
          <w:sz w:val="20"/>
        </w:rPr>
        <w:t> </w:t>
      </w:r>
      <w:r>
        <w:rPr>
          <w:i/>
          <w:w w:val="120"/>
          <w:sz w:val="20"/>
        </w:rPr>
        <w:t>Fresh</w:t>
      </w:r>
      <w:r>
        <w:rPr>
          <w:i/>
          <w:spacing w:val="-11"/>
          <w:w w:val="120"/>
          <w:sz w:val="20"/>
        </w:rPr>
        <w:t> </w:t>
      </w:r>
      <w:r>
        <w:rPr>
          <w:i/>
          <w:w w:val="120"/>
          <w:sz w:val="20"/>
        </w:rPr>
        <w:t>Expressions</w:t>
      </w:r>
      <w:r>
        <w:rPr>
          <w:i/>
          <w:spacing w:val="-9"/>
          <w:w w:val="120"/>
          <w:sz w:val="20"/>
        </w:rPr>
        <w:t> </w:t>
      </w:r>
      <w:r>
        <w:rPr>
          <w:w w:val="120"/>
          <w:sz w:val="20"/>
        </w:rPr>
        <w:t>and</w:t>
      </w:r>
      <w:r>
        <w:rPr>
          <w:spacing w:val="-8"/>
          <w:w w:val="120"/>
          <w:sz w:val="20"/>
        </w:rPr>
        <w:t> </w:t>
      </w:r>
      <w:r>
        <w:rPr>
          <w:w w:val="120"/>
          <w:sz w:val="20"/>
        </w:rPr>
        <w:t>other</w:t>
      </w:r>
      <w:r>
        <w:rPr>
          <w:spacing w:val="-9"/>
          <w:w w:val="120"/>
          <w:sz w:val="20"/>
        </w:rPr>
        <w:t> </w:t>
      </w:r>
      <w:r>
        <w:rPr>
          <w:w w:val="120"/>
          <w:sz w:val="20"/>
        </w:rPr>
        <w:t>adventurous thinking about new forms of church life. The </w:t>
      </w:r>
      <w:r>
        <w:rPr>
          <w:i/>
          <w:w w:val="120"/>
          <w:sz w:val="20"/>
        </w:rPr>
        <w:t>Marketing Campaign </w:t>
      </w:r>
      <w:r>
        <w:rPr>
          <w:w w:val="120"/>
          <w:sz w:val="20"/>
        </w:rPr>
        <w:t>asserts that church is good and worship is good and that believers need one another if they are to grow in faith. However, we recognise that traditional forms of church will not meet this need for everyone and that church growth is not as simple as expecting new people to become like</w:t>
      </w:r>
      <w:r>
        <w:rPr>
          <w:spacing w:val="1"/>
          <w:w w:val="120"/>
          <w:sz w:val="20"/>
        </w:rPr>
        <w:t> </w:t>
      </w:r>
      <w:r>
        <w:rPr>
          <w:w w:val="120"/>
          <w:sz w:val="20"/>
        </w:rPr>
        <w:t>us.</w:t>
      </w:r>
    </w:p>
    <w:p>
      <w:pPr>
        <w:pStyle w:val="BodyText"/>
        <w:spacing w:before="2"/>
        <w:rPr>
          <w:sz w:val="18"/>
        </w:rPr>
      </w:pPr>
    </w:p>
    <w:p>
      <w:pPr>
        <w:pStyle w:val="ListParagraph"/>
        <w:numPr>
          <w:ilvl w:val="3"/>
          <w:numId w:val="57"/>
        </w:numPr>
        <w:tabs>
          <w:tab w:pos="1813" w:val="left" w:leader="none"/>
          <w:tab w:pos="1815" w:val="left" w:leader="none"/>
        </w:tabs>
        <w:spacing w:line="211" w:lineRule="auto" w:before="0" w:after="0"/>
        <w:ind w:left="1133" w:right="2198" w:hanging="1"/>
        <w:jc w:val="left"/>
        <w:rPr>
          <w:sz w:val="20"/>
        </w:rPr>
      </w:pPr>
      <w:r>
        <w:rPr/>
        <w:drawing>
          <wp:anchor distT="0" distB="0" distL="0" distR="0" allowOverlap="1" layoutInCell="1" locked="0" behindDoc="1" simplePos="0" relativeHeight="235738112">
            <wp:simplePos x="0" y="0"/>
            <wp:positionH relativeFrom="page">
              <wp:posOffset>1998290</wp:posOffset>
            </wp:positionH>
            <wp:positionV relativeFrom="paragraph">
              <wp:posOffset>5529</wp:posOffset>
            </wp:positionV>
            <wp:extent cx="232857" cy="181203"/>
            <wp:effectExtent l="0" t="0" r="0" b="0"/>
            <wp:wrapNone/>
            <wp:docPr id="107" name="image101.png"/>
            <wp:cNvGraphicFramePr>
              <a:graphicFrameLocks noChangeAspect="1"/>
            </wp:cNvGraphicFramePr>
            <a:graphic>
              <a:graphicData uri="http://schemas.openxmlformats.org/drawingml/2006/picture">
                <pic:pic>
                  <pic:nvPicPr>
                    <pic:cNvPr id="108" name="image101.png"/>
                    <pic:cNvPicPr/>
                  </pic:nvPicPr>
                  <pic:blipFill>
                    <a:blip r:embed="rId158" cstate="print"/>
                    <a:stretch>
                      <a:fillRect/>
                    </a:stretch>
                  </pic:blipFill>
                  <pic:spPr>
                    <a:xfrm>
                      <a:off x="0" y="0"/>
                      <a:ext cx="232857" cy="181203"/>
                    </a:xfrm>
                    <a:prstGeom prst="rect">
                      <a:avLst/>
                    </a:prstGeom>
                  </pic:spPr>
                </pic:pic>
              </a:graphicData>
            </a:graphic>
          </wp:anchor>
        </w:drawing>
      </w:r>
      <w:r>
        <w:rPr>
          <w:spacing w:val="4"/>
          <w:w w:val="120"/>
          <w:sz w:val="20"/>
        </w:rPr>
        <w:t>As </w:t>
      </w:r>
      <w:r>
        <w:rPr>
          <w:w w:val="120"/>
          <w:sz w:val="20"/>
        </w:rPr>
        <w:t>with </w:t>
      </w:r>
      <w:r>
        <w:rPr>
          <w:rFonts w:ascii="Arial Rounded MT Bold"/>
          <w:sz w:val="21"/>
        </w:rPr>
        <w:t>Vision4</w:t>
      </w:r>
      <w:r>
        <w:rPr>
          <w:rFonts w:ascii="Bradley Hand ITC"/>
          <w:color w:val="C20D19"/>
          <w:sz w:val="28"/>
        </w:rPr>
        <w:t>Life</w:t>
      </w:r>
      <w:r>
        <w:rPr>
          <w:sz w:val="20"/>
        </w:rPr>
        <w:t>, </w:t>
      </w:r>
      <w:r>
        <w:rPr>
          <w:w w:val="120"/>
          <w:sz w:val="20"/>
        </w:rPr>
        <w:t>churches will </w:t>
      </w:r>
      <w:r>
        <w:rPr>
          <w:spacing w:val="2"/>
          <w:w w:val="120"/>
          <w:sz w:val="20"/>
        </w:rPr>
        <w:t>participate </w:t>
      </w:r>
      <w:r>
        <w:rPr>
          <w:w w:val="120"/>
          <w:sz w:val="20"/>
        </w:rPr>
        <w:t>in the marketing campaign by opting in. Each will be </w:t>
      </w:r>
      <w:r>
        <w:rPr>
          <w:spacing w:val="2"/>
          <w:w w:val="120"/>
          <w:sz w:val="20"/>
        </w:rPr>
        <w:t>required </w:t>
      </w:r>
      <w:r>
        <w:rPr>
          <w:w w:val="120"/>
          <w:sz w:val="20"/>
        </w:rPr>
        <w:t>to have a </w:t>
      </w:r>
      <w:r>
        <w:rPr>
          <w:spacing w:val="2"/>
          <w:w w:val="120"/>
          <w:sz w:val="20"/>
        </w:rPr>
        <w:t>local </w:t>
      </w:r>
      <w:r>
        <w:rPr>
          <w:w w:val="120"/>
          <w:sz w:val="20"/>
        </w:rPr>
        <w:t>church website, with set-up assistance provided.</w:t>
      </w:r>
      <w:r>
        <w:rPr>
          <w:spacing w:val="11"/>
          <w:w w:val="120"/>
          <w:sz w:val="20"/>
        </w:rPr>
        <w:t> </w:t>
      </w:r>
      <w:r>
        <w:rPr>
          <w:w w:val="120"/>
          <w:sz w:val="20"/>
        </w:rPr>
        <w:t>Each</w:t>
      </w:r>
      <w:r>
        <w:rPr>
          <w:spacing w:val="11"/>
          <w:w w:val="120"/>
          <w:sz w:val="20"/>
        </w:rPr>
        <w:t> </w:t>
      </w:r>
      <w:r>
        <w:rPr>
          <w:w w:val="120"/>
          <w:sz w:val="20"/>
        </w:rPr>
        <w:t>will</w:t>
      </w:r>
      <w:r>
        <w:rPr>
          <w:spacing w:val="12"/>
          <w:w w:val="120"/>
          <w:sz w:val="20"/>
        </w:rPr>
        <w:t> </w:t>
      </w:r>
      <w:r>
        <w:rPr>
          <w:w w:val="120"/>
          <w:sz w:val="20"/>
        </w:rPr>
        <w:t>also</w:t>
      </w:r>
      <w:r>
        <w:rPr>
          <w:spacing w:val="11"/>
          <w:w w:val="120"/>
          <w:sz w:val="20"/>
        </w:rPr>
        <w:t> </w:t>
      </w:r>
      <w:r>
        <w:rPr>
          <w:spacing w:val="2"/>
          <w:w w:val="120"/>
          <w:sz w:val="20"/>
        </w:rPr>
        <w:t>need</w:t>
      </w:r>
      <w:r>
        <w:rPr>
          <w:spacing w:val="12"/>
          <w:w w:val="120"/>
          <w:sz w:val="20"/>
        </w:rPr>
        <w:t> </w:t>
      </w:r>
      <w:r>
        <w:rPr>
          <w:w w:val="120"/>
          <w:sz w:val="20"/>
        </w:rPr>
        <w:t>to</w:t>
      </w:r>
      <w:r>
        <w:rPr>
          <w:spacing w:val="11"/>
          <w:w w:val="120"/>
          <w:sz w:val="20"/>
        </w:rPr>
        <w:t> </w:t>
      </w:r>
      <w:r>
        <w:rPr>
          <w:spacing w:val="2"/>
          <w:w w:val="120"/>
          <w:sz w:val="20"/>
        </w:rPr>
        <w:t>demonstrate</w:t>
      </w:r>
      <w:r>
        <w:rPr>
          <w:spacing w:val="11"/>
          <w:w w:val="120"/>
          <w:sz w:val="20"/>
        </w:rPr>
        <w:t> </w:t>
      </w:r>
      <w:r>
        <w:rPr>
          <w:w w:val="120"/>
          <w:sz w:val="20"/>
        </w:rPr>
        <w:t>that</w:t>
      </w:r>
      <w:r>
        <w:rPr>
          <w:spacing w:val="12"/>
          <w:w w:val="120"/>
          <w:sz w:val="20"/>
        </w:rPr>
        <w:t> </w:t>
      </w:r>
      <w:r>
        <w:rPr>
          <w:spacing w:val="2"/>
          <w:w w:val="120"/>
          <w:sz w:val="20"/>
        </w:rPr>
        <w:t>training</w:t>
      </w:r>
      <w:r>
        <w:rPr>
          <w:spacing w:val="11"/>
          <w:w w:val="120"/>
          <w:sz w:val="20"/>
        </w:rPr>
        <w:t> </w:t>
      </w:r>
      <w:r>
        <w:rPr>
          <w:w w:val="120"/>
          <w:sz w:val="20"/>
        </w:rPr>
        <w:t>has</w:t>
      </w:r>
      <w:r>
        <w:rPr>
          <w:spacing w:val="12"/>
          <w:w w:val="120"/>
          <w:sz w:val="20"/>
        </w:rPr>
        <w:t> </w:t>
      </w:r>
      <w:r>
        <w:rPr>
          <w:w w:val="120"/>
          <w:sz w:val="20"/>
        </w:rPr>
        <w:t>taken</w:t>
      </w:r>
      <w:r>
        <w:rPr>
          <w:spacing w:val="11"/>
          <w:w w:val="120"/>
          <w:sz w:val="20"/>
        </w:rPr>
        <w:t> </w:t>
      </w:r>
      <w:r>
        <w:rPr>
          <w:w w:val="120"/>
          <w:sz w:val="20"/>
        </w:rPr>
        <w:t>place.</w:t>
      </w:r>
      <w:r>
        <w:rPr>
          <w:spacing w:val="11"/>
          <w:w w:val="120"/>
          <w:sz w:val="20"/>
        </w:rPr>
        <w:t> </w:t>
      </w:r>
      <w:r>
        <w:rPr>
          <w:spacing w:val="2"/>
          <w:w w:val="120"/>
          <w:sz w:val="20"/>
        </w:rPr>
        <w:t>While</w:t>
      </w:r>
      <w:r>
        <w:rPr>
          <w:spacing w:val="12"/>
          <w:w w:val="120"/>
          <w:sz w:val="20"/>
        </w:rPr>
        <w:t> </w:t>
      </w:r>
      <w:r>
        <w:rPr>
          <w:w w:val="120"/>
          <w:sz w:val="20"/>
        </w:rPr>
        <w:t>not</w:t>
      </w:r>
    </w:p>
    <w:p>
      <w:pPr>
        <w:pStyle w:val="BodyText"/>
        <w:spacing w:line="235" w:lineRule="auto" w:before="6"/>
        <w:ind w:left="1133" w:right="2244"/>
      </w:pPr>
      <w:r>
        <w:rPr>
          <w:spacing w:val="3"/>
          <w:w w:val="120"/>
        </w:rPr>
        <w:t>every </w:t>
      </w:r>
      <w:r>
        <w:rPr>
          <w:spacing w:val="2"/>
          <w:w w:val="120"/>
        </w:rPr>
        <w:t>congregation </w:t>
      </w:r>
      <w:r>
        <w:rPr>
          <w:w w:val="120"/>
        </w:rPr>
        <w:t>will live up to the promise of the </w:t>
      </w:r>
      <w:r>
        <w:rPr>
          <w:spacing w:val="2"/>
          <w:w w:val="120"/>
        </w:rPr>
        <w:t>advertising, </w:t>
      </w:r>
      <w:r>
        <w:rPr>
          <w:w w:val="120"/>
        </w:rPr>
        <w:t>it is </w:t>
      </w:r>
      <w:r>
        <w:rPr>
          <w:spacing w:val="3"/>
          <w:w w:val="120"/>
        </w:rPr>
        <w:t>important </w:t>
      </w:r>
      <w:r>
        <w:rPr>
          <w:w w:val="120"/>
        </w:rPr>
        <w:t>that   the </w:t>
      </w:r>
      <w:r>
        <w:rPr>
          <w:spacing w:val="2"/>
          <w:w w:val="120"/>
        </w:rPr>
        <w:t>aspiration </w:t>
      </w:r>
      <w:r>
        <w:rPr>
          <w:w w:val="120"/>
        </w:rPr>
        <w:t>is embraced. We do not have to be </w:t>
      </w:r>
      <w:r>
        <w:rPr>
          <w:spacing w:val="4"/>
          <w:w w:val="120"/>
        </w:rPr>
        <w:t>perfect </w:t>
      </w:r>
      <w:r>
        <w:rPr>
          <w:w w:val="120"/>
        </w:rPr>
        <w:t>for </w:t>
      </w:r>
      <w:r>
        <w:rPr>
          <w:spacing w:val="2"/>
          <w:w w:val="120"/>
        </w:rPr>
        <w:t>God </w:t>
      </w:r>
      <w:r>
        <w:rPr>
          <w:w w:val="120"/>
        </w:rPr>
        <w:t>to use us in touching the lives of </w:t>
      </w:r>
      <w:r>
        <w:rPr>
          <w:spacing w:val="2"/>
          <w:w w:val="120"/>
        </w:rPr>
        <w:t>others, </w:t>
      </w:r>
      <w:r>
        <w:rPr>
          <w:w w:val="120"/>
        </w:rPr>
        <w:t>but we do </w:t>
      </w:r>
      <w:r>
        <w:rPr>
          <w:spacing w:val="2"/>
          <w:w w:val="120"/>
        </w:rPr>
        <w:t>need </w:t>
      </w:r>
      <w:r>
        <w:rPr>
          <w:w w:val="120"/>
        </w:rPr>
        <w:t>to be ready to rise to the challenge of newcomers     in our</w:t>
      </w:r>
      <w:r>
        <w:rPr>
          <w:spacing w:val="12"/>
          <w:w w:val="120"/>
        </w:rPr>
        <w:t> </w:t>
      </w:r>
      <w:r>
        <w:rPr>
          <w:w w:val="120"/>
        </w:rPr>
        <w:t>midst.</w:t>
      </w:r>
    </w:p>
    <w:p>
      <w:pPr>
        <w:spacing w:after="0" w:line="235" w:lineRule="auto"/>
        <w:sectPr>
          <w:headerReference w:type="even" r:id="rId153"/>
          <w:footerReference w:type="even" r:id="rId154"/>
          <w:pgSz w:w="11910" w:h="16840"/>
          <w:pgMar w:header="0" w:footer="647" w:top="1060" w:bottom="840" w:left="0" w:right="0"/>
        </w:sectPr>
      </w:pPr>
    </w:p>
    <w:p>
      <w:pPr>
        <w:pStyle w:val="BodyText"/>
        <w:ind w:left="11168"/>
      </w:pPr>
      <w:r>
        <w:rPr/>
        <w:pict>
          <v:group style="width:22.7pt;height:23.55pt;mso-position-horizontal-relative:char;mso-position-vertical-relative:line" coordorigin="0,0" coordsize="454,471">
            <v:rect style="position:absolute;left:0;top:0;width:454;height:471" filled="true" fillcolor="#ca4f1b" stroked="false">
              <v:fill type="solid"/>
            </v:rect>
          </v:group>
        </w:pict>
      </w:r>
      <w:r>
        <w:rPr/>
      </w:r>
    </w:p>
    <w:p>
      <w:pPr>
        <w:spacing w:before="109"/>
        <w:ind w:left="6728" w:right="0" w:firstLine="0"/>
        <w:jc w:val="left"/>
        <w:rPr>
          <w:sz w:val="26"/>
        </w:rPr>
      </w:pPr>
      <w:r>
        <w:rPr/>
        <w:pict>
          <v:rect style="position:absolute;margin-left:558.424988pt;margin-top:5.153312pt;width:22.677pt;height:22.677pt;mso-position-horizontal-relative:page;mso-position-vertical-relative:paragraph;z-index:251847680" filled="true" fillcolor="#e3ac83" stroked="false">
            <v:fill type="solid"/>
            <w10:wrap type="none"/>
          </v:rect>
        </w:pict>
      </w:r>
      <w:r>
        <w:rPr>
          <w:color w:val="CA4F1B"/>
          <w:w w:val="115"/>
          <w:sz w:val="26"/>
        </w:rPr>
        <w:t>Marketing and indentity campaign</w:t>
      </w:r>
    </w:p>
    <w:p>
      <w:pPr>
        <w:pStyle w:val="BodyText"/>
        <w:spacing w:before="4"/>
        <w:rPr>
          <w:sz w:val="27"/>
        </w:rPr>
      </w:pPr>
    </w:p>
    <w:p>
      <w:pPr>
        <w:numPr>
          <w:ilvl w:val="2"/>
          <w:numId w:val="57"/>
        </w:numPr>
        <w:tabs>
          <w:tab w:pos="2704" w:val="left" w:leader="none"/>
          <w:tab w:pos="2705" w:val="left" w:leader="none"/>
        </w:tabs>
        <w:spacing w:before="101"/>
        <w:ind w:left="2704" w:right="0" w:hanging="721"/>
        <w:jc w:val="left"/>
        <w:rPr>
          <w:rFonts w:ascii="Stone Sans II ITC Std Bk"/>
          <w:b/>
          <w:sz w:val="21"/>
        </w:rPr>
      </w:pPr>
      <w:r>
        <w:rPr/>
        <w:pict>
          <v:rect style="position:absolute;margin-left:558.424988pt;margin-top:-1.670212pt;width:22.677pt;height:22.677pt;mso-position-horizontal-relative:page;mso-position-vertical-relative:paragraph;z-index:251848704" filled="true" fillcolor="#efceb4" stroked="false">
            <v:fill opacity="32768f" type="solid"/>
            <w10:wrap type="none"/>
          </v:rect>
        </w:pict>
      </w:r>
      <w:r>
        <w:rPr>
          <w:rFonts w:ascii="Stone Sans II ITC Std Bk"/>
          <w:b/>
          <w:w w:val="115"/>
          <w:sz w:val="21"/>
        </w:rPr>
        <w:t>Progress so</w:t>
      </w:r>
      <w:r>
        <w:rPr>
          <w:rFonts w:ascii="Stone Sans II ITC Std Bk"/>
          <w:b/>
          <w:spacing w:val="-3"/>
          <w:w w:val="115"/>
          <w:sz w:val="21"/>
        </w:rPr>
        <w:t> </w:t>
      </w:r>
      <w:r>
        <w:rPr>
          <w:rFonts w:ascii="Stone Sans II ITC Std Bk"/>
          <w:b/>
          <w:w w:val="115"/>
          <w:sz w:val="21"/>
        </w:rPr>
        <w:t>far</w:t>
      </w:r>
    </w:p>
    <w:p>
      <w:pPr>
        <w:pStyle w:val="BodyText"/>
        <w:spacing w:before="8"/>
        <w:rPr>
          <w:rFonts w:ascii="Stone Sans II ITC Std Bk"/>
          <w:b/>
          <w:sz w:val="17"/>
        </w:rPr>
      </w:pPr>
    </w:p>
    <w:p>
      <w:pPr>
        <w:pStyle w:val="ListParagraph"/>
        <w:numPr>
          <w:ilvl w:val="3"/>
          <w:numId w:val="57"/>
        </w:numPr>
        <w:tabs>
          <w:tab w:pos="2664" w:val="left" w:leader="none"/>
          <w:tab w:pos="2665" w:val="left" w:leader="none"/>
        </w:tabs>
        <w:spacing w:line="216" w:lineRule="auto" w:before="0" w:after="0"/>
        <w:ind w:left="1984" w:right="1575" w:firstLine="0"/>
        <w:jc w:val="left"/>
        <w:rPr>
          <w:sz w:val="20"/>
        </w:rPr>
      </w:pPr>
      <w:r>
        <w:rPr/>
        <w:drawing>
          <wp:anchor distT="0" distB="0" distL="0" distR="0" allowOverlap="1" layoutInCell="1" locked="0" behindDoc="1" simplePos="0" relativeHeight="235742208">
            <wp:simplePos x="0" y="0"/>
            <wp:positionH relativeFrom="page">
              <wp:posOffset>4626895</wp:posOffset>
            </wp:positionH>
            <wp:positionV relativeFrom="paragraph">
              <wp:posOffset>286302</wp:posOffset>
            </wp:positionV>
            <wp:extent cx="232857" cy="181203"/>
            <wp:effectExtent l="0" t="0" r="0" b="0"/>
            <wp:wrapNone/>
            <wp:docPr id="109" name="image102.png"/>
            <wp:cNvGraphicFramePr>
              <a:graphicFrameLocks noChangeAspect="1"/>
            </wp:cNvGraphicFramePr>
            <a:graphic>
              <a:graphicData uri="http://schemas.openxmlformats.org/drawingml/2006/picture">
                <pic:pic>
                  <pic:nvPicPr>
                    <pic:cNvPr id="110" name="image102.png"/>
                    <pic:cNvPicPr/>
                  </pic:nvPicPr>
                  <pic:blipFill>
                    <a:blip r:embed="rId161" cstate="print"/>
                    <a:stretch>
                      <a:fillRect/>
                    </a:stretch>
                  </pic:blipFill>
                  <pic:spPr>
                    <a:xfrm>
                      <a:off x="0" y="0"/>
                      <a:ext cx="232857" cy="181203"/>
                    </a:xfrm>
                    <a:prstGeom prst="rect">
                      <a:avLst/>
                    </a:prstGeom>
                  </pic:spPr>
                </pic:pic>
              </a:graphicData>
            </a:graphic>
          </wp:anchor>
        </w:drawing>
      </w:r>
      <w:r>
        <w:rPr>
          <w:w w:val="120"/>
          <w:sz w:val="20"/>
        </w:rPr>
        <w:t>Through 2008 and 2009 Ron Buford held a number of introductory sessions.   A dozen churches agreed to participate in ‘research and development’. Keen interest was</w:t>
      </w:r>
      <w:r>
        <w:rPr>
          <w:spacing w:val="-16"/>
          <w:w w:val="120"/>
          <w:sz w:val="20"/>
        </w:rPr>
        <w:t> </w:t>
      </w:r>
      <w:r>
        <w:rPr>
          <w:w w:val="120"/>
          <w:sz w:val="20"/>
        </w:rPr>
        <w:t>awakened</w:t>
      </w:r>
      <w:r>
        <w:rPr>
          <w:spacing w:val="-16"/>
          <w:w w:val="120"/>
          <w:sz w:val="20"/>
        </w:rPr>
        <w:t> </w:t>
      </w:r>
      <w:r>
        <w:rPr>
          <w:w w:val="120"/>
          <w:sz w:val="20"/>
        </w:rPr>
        <w:t>but,</w:t>
      </w:r>
      <w:r>
        <w:rPr>
          <w:spacing w:val="-16"/>
          <w:w w:val="120"/>
          <w:sz w:val="20"/>
        </w:rPr>
        <w:t> </w:t>
      </w:r>
      <w:r>
        <w:rPr>
          <w:w w:val="120"/>
          <w:sz w:val="20"/>
        </w:rPr>
        <w:t>in</w:t>
      </w:r>
      <w:r>
        <w:rPr>
          <w:spacing w:val="-16"/>
          <w:w w:val="120"/>
          <w:sz w:val="20"/>
        </w:rPr>
        <w:t> </w:t>
      </w:r>
      <w:r>
        <w:rPr>
          <w:w w:val="120"/>
          <w:sz w:val="20"/>
        </w:rPr>
        <w:t>order</w:t>
      </w:r>
      <w:r>
        <w:rPr>
          <w:spacing w:val="-16"/>
          <w:w w:val="120"/>
          <w:sz w:val="20"/>
        </w:rPr>
        <w:t> </w:t>
      </w:r>
      <w:r>
        <w:rPr>
          <w:w w:val="120"/>
          <w:sz w:val="20"/>
        </w:rPr>
        <w:t>not</w:t>
      </w:r>
      <w:r>
        <w:rPr>
          <w:spacing w:val="-16"/>
          <w:w w:val="120"/>
          <w:sz w:val="20"/>
        </w:rPr>
        <w:t> </w:t>
      </w:r>
      <w:r>
        <w:rPr>
          <w:w w:val="120"/>
          <w:sz w:val="20"/>
        </w:rPr>
        <w:t>to</w:t>
      </w:r>
      <w:r>
        <w:rPr>
          <w:spacing w:val="-16"/>
          <w:w w:val="120"/>
          <w:sz w:val="20"/>
        </w:rPr>
        <w:t> </w:t>
      </w:r>
      <w:r>
        <w:rPr>
          <w:w w:val="120"/>
          <w:sz w:val="20"/>
        </w:rPr>
        <w:t>distract</w:t>
      </w:r>
      <w:r>
        <w:rPr>
          <w:spacing w:val="-16"/>
          <w:w w:val="120"/>
          <w:sz w:val="20"/>
        </w:rPr>
        <w:t> </w:t>
      </w:r>
      <w:r>
        <w:rPr>
          <w:w w:val="120"/>
          <w:sz w:val="20"/>
        </w:rPr>
        <w:t>from</w:t>
      </w:r>
      <w:r>
        <w:rPr>
          <w:spacing w:val="-16"/>
          <w:w w:val="120"/>
          <w:sz w:val="20"/>
        </w:rPr>
        <w:t> </w:t>
      </w:r>
      <w:r>
        <w:rPr>
          <w:rFonts w:ascii="Arial Rounded MT Bold" w:hAnsi="Arial Rounded MT Bold"/>
          <w:sz w:val="21"/>
        </w:rPr>
        <w:t>Vision4</w:t>
      </w:r>
      <w:r>
        <w:rPr>
          <w:rFonts w:ascii="Bradley Hand ITC" w:hAnsi="Bradley Hand ITC"/>
          <w:color w:val="C20D19"/>
          <w:sz w:val="28"/>
        </w:rPr>
        <w:t>Life</w:t>
      </w:r>
      <w:r>
        <w:rPr>
          <w:sz w:val="20"/>
        </w:rPr>
        <w:t>,</w:t>
      </w:r>
      <w:r>
        <w:rPr>
          <w:spacing w:val="-6"/>
          <w:sz w:val="20"/>
        </w:rPr>
        <w:t> </w:t>
      </w:r>
      <w:r>
        <w:rPr>
          <w:w w:val="120"/>
          <w:sz w:val="20"/>
        </w:rPr>
        <w:t>plans</w:t>
      </w:r>
      <w:r>
        <w:rPr>
          <w:spacing w:val="-16"/>
          <w:w w:val="120"/>
          <w:sz w:val="20"/>
        </w:rPr>
        <w:t> </w:t>
      </w:r>
      <w:r>
        <w:rPr>
          <w:w w:val="120"/>
          <w:sz w:val="20"/>
        </w:rPr>
        <w:t>for</w:t>
      </w:r>
      <w:r>
        <w:rPr>
          <w:spacing w:val="-16"/>
          <w:w w:val="120"/>
          <w:sz w:val="20"/>
        </w:rPr>
        <w:t> </w:t>
      </w:r>
      <w:r>
        <w:rPr>
          <w:w w:val="120"/>
          <w:sz w:val="20"/>
        </w:rPr>
        <w:t>an</w:t>
      </w:r>
      <w:r>
        <w:rPr>
          <w:spacing w:val="-16"/>
          <w:w w:val="120"/>
          <w:sz w:val="20"/>
        </w:rPr>
        <w:t> </w:t>
      </w:r>
      <w:r>
        <w:rPr>
          <w:w w:val="120"/>
          <w:sz w:val="20"/>
        </w:rPr>
        <w:t>identity</w:t>
      </w:r>
      <w:r>
        <w:rPr>
          <w:spacing w:val="-16"/>
          <w:w w:val="120"/>
          <w:sz w:val="20"/>
        </w:rPr>
        <w:t> </w:t>
      </w:r>
      <w:r>
        <w:rPr>
          <w:w w:val="120"/>
          <w:sz w:val="20"/>
        </w:rPr>
        <w:t>and</w:t>
      </w:r>
    </w:p>
    <w:p>
      <w:pPr>
        <w:pStyle w:val="BodyText"/>
        <w:spacing w:line="191" w:lineRule="exact"/>
        <w:ind w:left="1984"/>
      </w:pPr>
      <w:r>
        <w:rPr>
          <w:w w:val="120"/>
        </w:rPr>
        <w:t>marketing campaign held below the radar.</w:t>
      </w:r>
    </w:p>
    <w:p>
      <w:pPr>
        <w:pStyle w:val="BodyText"/>
        <w:spacing w:before="7"/>
        <w:rPr>
          <w:sz w:val="19"/>
        </w:rPr>
      </w:pPr>
    </w:p>
    <w:p>
      <w:pPr>
        <w:pStyle w:val="ListParagraph"/>
        <w:numPr>
          <w:ilvl w:val="3"/>
          <w:numId w:val="57"/>
        </w:numPr>
        <w:tabs>
          <w:tab w:pos="2664" w:val="left" w:leader="none"/>
          <w:tab w:pos="2665" w:val="left" w:leader="none"/>
        </w:tabs>
        <w:spacing w:line="235" w:lineRule="auto" w:before="1" w:after="0"/>
        <w:ind w:left="1984" w:right="1365" w:firstLine="0"/>
        <w:jc w:val="left"/>
        <w:rPr>
          <w:sz w:val="20"/>
        </w:rPr>
      </w:pPr>
      <w:r>
        <w:rPr>
          <w:w w:val="120"/>
          <w:sz w:val="20"/>
        </w:rPr>
        <w:t>Interest has been particularly keen amongst the youth and children of the Church. In 2009 both FURY Assembly and What Do </w:t>
      </w:r>
      <w:r>
        <w:rPr>
          <w:spacing w:val="-4"/>
          <w:w w:val="120"/>
          <w:sz w:val="20"/>
        </w:rPr>
        <w:t>You </w:t>
      </w:r>
      <w:r>
        <w:rPr>
          <w:w w:val="120"/>
          <w:sz w:val="20"/>
        </w:rPr>
        <w:t>Think centred around the </w:t>
      </w:r>
      <w:r>
        <w:rPr>
          <w:i/>
          <w:w w:val="120"/>
          <w:sz w:val="20"/>
        </w:rPr>
        <w:t>God  </w:t>
      </w:r>
      <w:r>
        <w:rPr>
          <w:i/>
          <w:w w:val="120"/>
          <w:sz w:val="20"/>
        </w:rPr>
        <w:t>is</w:t>
      </w:r>
      <w:r>
        <w:rPr>
          <w:i/>
          <w:spacing w:val="-6"/>
          <w:w w:val="120"/>
          <w:sz w:val="20"/>
        </w:rPr>
        <w:t> </w:t>
      </w:r>
      <w:r>
        <w:rPr>
          <w:i/>
          <w:w w:val="120"/>
          <w:sz w:val="20"/>
        </w:rPr>
        <w:t>still</w:t>
      </w:r>
      <w:r>
        <w:rPr>
          <w:i/>
          <w:spacing w:val="-6"/>
          <w:w w:val="120"/>
          <w:sz w:val="20"/>
        </w:rPr>
        <w:t> </w:t>
      </w:r>
      <w:r>
        <w:rPr>
          <w:i/>
          <w:w w:val="120"/>
          <w:sz w:val="20"/>
        </w:rPr>
        <w:t>speaking</w:t>
      </w:r>
      <w:r>
        <w:rPr>
          <w:i/>
          <w:spacing w:val="-4"/>
          <w:w w:val="120"/>
          <w:sz w:val="20"/>
        </w:rPr>
        <w:t> </w:t>
      </w:r>
      <w:r>
        <w:rPr>
          <w:w w:val="120"/>
          <w:sz w:val="20"/>
        </w:rPr>
        <w:t>theme,</w:t>
      </w:r>
      <w:r>
        <w:rPr>
          <w:spacing w:val="-3"/>
          <w:w w:val="120"/>
          <w:sz w:val="20"/>
        </w:rPr>
        <w:t> </w:t>
      </w:r>
      <w:r>
        <w:rPr>
          <w:w w:val="120"/>
          <w:sz w:val="20"/>
        </w:rPr>
        <w:t>and</w:t>
      </w:r>
      <w:r>
        <w:rPr>
          <w:spacing w:val="-3"/>
          <w:w w:val="120"/>
          <w:sz w:val="20"/>
        </w:rPr>
        <w:t> </w:t>
      </w:r>
      <w:r>
        <w:rPr>
          <w:w w:val="120"/>
          <w:sz w:val="20"/>
        </w:rPr>
        <w:t>in</w:t>
      </w:r>
      <w:r>
        <w:rPr>
          <w:spacing w:val="-3"/>
          <w:w w:val="120"/>
          <w:sz w:val="20"/>
        </w:rPr>
        <w:t> </w:t>
      </w:r>
      <w:r>
        <w:rPr>
          <w:spacing w:val="-6"/>
          <w:w w:val="120"/>
          <w:sz w:val="20"/>
        </w:rPr>
        <w:t>2010</w:t>
      </w:r>
      <w:r>
        <w:rPr>
          <w:spacing w:val="-3"/>
          <w:w w:val="120"/>
          <w:sz w:val="20"/>
        </w:rPr>
        <w:t> </w:t>
      </w:r>
      <w:r>
        <w:rPr>
          <w:w w:val="120"/>
          <w:sz w:val="20"/>
        </w:rPr>
        <w:t>FURY</w:t>
      </w:r>
      <w:r>
        <w:rPr>
          <w:spacing w:val="-4"/>
          <w:w w:val="120"/>
          <w:sz w:val="20"/>
        </w:rPr>
        <w:t> </w:t>
      </w:r>
      <w:r>
        <w:rPr>
          <w:w w:val="120"/>
          <w:sz w:val="20"/>
        </w:rPr>
        <w:t>Assembly</w:t>
      </w:r>
      <w:r>
        <w:rPr>
          <w:spacing w:val="-3"/>
          <w:w w:val="120"/>
          <w:sz w:val="20"/>
        </w:rPr>
        <w:t> </w:t>
      </w:r>
      <w:r>
        <w:rPr>
          <w:w w:val="120"/>
          <w:sz w:val="20"/>
        </w:rPr>
        <w:t>passed</w:t>
      </w:r>
      <w:r>
        <w:rPr>
          <w:spacing w:val="-3"/>
          <w:w w:val="120"/>
          <w:sz w:val="20"/>
        </w:rPr>
        <w:t> </w:t>
      </w:r>
      <w:r>
        <w:rPr>
          <w:w w:val="120"/>
          <w:sz w:val="20"/>
        </w:rPr>
        <w:t>a</w:t>
      </w:r>
      <w:r>
        <w:rPr>
          <w:spacing w:val="-3"/>
          <w:w w:val="120"/>
          <w:sz w:val="20"/>
        </w:rPr>
        <w:t> </w:t>
      </w:r>
      <w:r>
        <w:rPr>
          <w:w w:val="120"/>
          <w:sz w:val="20"/>
        </w:rPr>
        <w:t>resolution</w:t>
      </w:r>
      <w:r>
        <w:rPr>
          <w:spacing w:val="-3"/>
          <w:w w:val="120"/>
          <w:sz w:val="20"/>
        </w:rPr>
        <w:t> </w:t>
      </w:r>
      <w:r>
        <w:rPr>
          <w:w w:val="120"/>
          <w:sz w:val="20"/>
        </w:rPr>
        <w:t>in</w:t>
      </w:r>
      <w:r>
        <w:rPr>
          <w:spacing w:val="-4"/>
          <w:w w:val="120"/>
          <w:sz w:val="20"/>
        </w:rPr>
        <w:t> </w:t>
      </w:r>
      <w:r>
        <w:rPr>
          <w:w w:val="120"/>
          <w:sz w:val="20"/>
        </w:rPr>
        <w:t>support</w:t>
      </w:r>
      <w:r>
        <w:rPr>
          <w:spacing w:val="-3"/>
          <w:w w:val="120"/>
          <w:sz w:val="20"/>
        </w:rPr>
        <w:t> </w:t>
      </w:r>
      <w:r>
        <w:rPr>
          <w:w w:val="120"/>
          <w:sz w:val="20"/>
        </w:rPr>
        <w:t>of</w:t>
      </w:r>
      <w:r>
        <w:rPr>
          <w:spacing w:val="-3"/>
          <w:w w:val="120"/>
          <w:sz w:val="20"/>
        </w:rPr>
        <w:t> </w:t>
      </w:r>
      <w:r>
        <w:rPr>
          <w:w w:val="120"/>
          <w:sz w:val="20"/>
        </w:rPr>
        <w:t>the campaign. Children’s Assembly 2009 also engaged with the theme and there has been active encouragement from the Pilots</w:t>
      </w:r>
      <w:r>
        <w:rPr>
          <w:spacing w:val="10"/>
          <w:w w:val="120"/>
          <w:sz w:val="20"/>
        </w:rPr>
        <w:t> </w:t>
      </w:r>
      <w:r>
        <w:rPr>
          <w:w w:val="120"/>
          <w:sz w:val="20"/>
        </w:rPr>
        <w:t>leadership.</w:t>
      </w:r>
    </w:p>
    <w:p>
      <w:pPr>
        <w:pStyle w:val="BodyText"/>
        <w:spacing w:before="11"/>
        <w:rPr>
          <w:sz w:val="19"/>
        </w:rPr>
      </w:pPr>
    </w:p>
    <w:p>
      <w:pPr>
        <w:pStyle w:val="ListParagraph"/>
        <w:numPr>
          <w:ilvl w:val="3"/>
          <w:numId w:val="57"/>
        </w:numPr>
        <w:tabs>
          <w:tab w:pos="2664" w:val="left" w:leader="none"/>
          <w:tab w:pos="2665" w:val="left" w:leader="none"/>
        </w:tabs>
        <w:spacing w:line="235" w:lineRule="auto" w:before="0" w:after="0"/>
        <w:ind w:left="1984" w:right="1869" w:firstLine="0"/>
        <w:jc w:val="left"/>
        <w:rPr>
          <w:sz w:val="20"/>
        </w:rPr>
      </w:pPr>
      <w:r>
        <w:rPr>
          <w:w w:val="120"/>
          <w:sz w:val="20"/>
        </w:rPr>
        <w:t>Active preparation for the URC campaign began with Denese Chikwendu’s appointment in January</w:t>
      </w:r>
      <w:r>
        <w:rPr>
          <w:spacing w:val="6"/>
          <w:w w:val="120"/>
          <w:sz w:val="20"/>
        </w:rPr>
        <w:t> </w:t>
      </w:r>
      <w:r>
        <w:rPr>
          <w:spacing w:val="-5"/>
          <w:w w:val="120"/>
          <w:sz w:val="20"/>
        </w:rPr>
        <w:t>2010.</w:t>
      </w:r>
    </w:p>
    <w:p>
      <w:pPr>
        <w:pStyle w:val="BodyText"/>
        <w:spacing w:before="10"/>
        <w:rPr>
          <w:sz w:val="19"/>
        </w:rPr>
      </w:pPr>
    </w:p>
    <w:p>
      <w:pPr>
        <w:pStyle w:val="ListParagraph"/>
        <w:numPr>
          <w:ilvl w:val="3"/>
          <w:numId w:val="57"/>
        </w:numPr>
        <w:tabs>
          <w:tab w:pos="2664" w:val="left" w:leader="none"/>
          <w:tab w:pos="2665" w:val="left" w:leader="none"/>
        </w:tabs>
        <w:spacing w:line="235" w:lineRule="auto" w:before="0" w:after="0"/>
        <w:ind w:left="1984" w:right="1141" w:firstLine="0"/>
        <w:jc w:val="left"/>
        <w:rPr>
          <w:sz w:val="20"/>
        </w:rPr>
      </w:pPr>
      <w:r>
        <w:rPr>
          <w:w w:val="120"/>
          <w:sz w:val="20"/>
        </w:rPr>
        <w:t>The first three months of the year were dedicated to URC identity. Various groups, including Mission Council, were asked to ‘tell us about a time when you felt most passionate or excited about something the URC has been or done or </w:t>
      </w:r>
      <w:r>
        <w:rPr>
          <w:spacing w:val="-4"/>
          <w:w w:val="120"/>
          <w:sz w:val="20"/>
        </w:rPr>
        <w:t>said’. </w:t>
      </w:r>
      <w:r>
        <w:rPr>
          <w:w w:val="120"/>
          <w:sz w:val="20"/>
        </w:rPr>
        <w:t>The responses fell under several key headings: welcome and inclusiveness, the thrill of our ecumenical achievements, excellence in children’s and youth work, contributions to</w:t>
      </w:r>
      <w:r>
        <w:rPr>
          <w:spacing w:val="35"/>
          <w:w w:val="120"/>
          <w:sz w:val="20"/>
        </w:rPr>
        <w:t> </w:t>
      </w:r>
      <w:r>
        <w:rPr>
          <w:w w:val="120"/>
          <w:sz w:val="20"/>
        </w:rPr>
        <w:t>community</w:t>
      </w:r>
    </w:p>
    <w:p>
      <w:pPr>
        <w:pStyle w:val="BodyText"/>
        <w:spacing w:line="235" w:lineRule="auto" w:before="3"/>
        <w:ind w:left="1984" w:right="1120"/>
      </w:pPr>
      <w:r>
        <w:rPr>
          <w:w w:val="120"/>
        </w:rPr>
        <w:t>life even by the smallest congregations, gender equality, creative worship, intellectual vigour and stands for social justice.</w:t>
      </w:r>
    </w:p>
    <w:p>
      <w:pPr>
        <w:pStyle w:val="BodyText"/>
        <w:spacing w:before="10"/>
        <w:rPr>
          <w:sz w:val="19"/>
        </w:rPr>
      </w:pPr>
    </w:p>
    <w:p>
      <w:pPr>
        <w:pStyle w:val="ListParagraph"/>
        <w:numPr>
          <w:ilvl w:val="3"/>
          <w:numId w:val="57"/>
        </w:numPr>
        <w:tabs>
          <w:tab w:pos="2665" w:val="left" w:leader="none"/>
        </w:tabs>
        <w:spacing w:line="235" w:lineRule="auto" w:before="0" w:after="0"/>
        <w:ind w:left="1984" w:right="1924" w:firstLine="0"/>
        <w:jc w:val="both"/>
        <w:rPr>
          <w:sz w:val="20"/>
        </w:rPr>
      </w:pPr>
      <w:r>
        <w:rPr>
          <w:w w:val="120"/>
          <w:sz w:val="20"/>
        </w:rPr>
        <w:t>The identity work culminated in a series of ‘webinars’, one on </w:t>
      </w:r>
      <w:r>
        <w:rPr>
          <w:spacing w:val="-5"/>
          <w:w w:val="120"/>
          <w:sz w:val="20"/>
        </w:rPr>
        <w:t>24 </w:t>
      </w:r>
      <w:r>
        <w:rPr>
          <w:w w:val="120"/>
          <w:sz w:val="20"/>
        </w:rPr>
        <w:t>March  for ecumenical partners and the others on </w:t>
      </w:r>
      <w:r>
        <w:rPr>
          <w:spacing w:val="-4"/>
          <w:w w:val="120"/>
          <w:sz w:val="20"/>
        </w:rPr>
        <w:t>27</w:t>
      </w:r>
      <w:r>
        <w:rPr>
          <w:spacing w:val="14"/>
          <w:w w:val="120"/>
          <w:sz w:val="20"/>
        </w:rPr>
        <w:t> </w:t>
      </w:r>
      <w:r>
        <w:rPr>
          <w:w w:val="120"/>
          <w:sz w:val="20"/>
        </w:rPr>
        <w:t>March. Altogether over 100 people</w:t>
      </w:r>
    </w:p>
    <w:p>
      <w:pPr>
        <w:pStyle w:val="BodyText"/>
        <w:spacing w:line="235" w:lineRule="auto" w:before="1"/>
        <w:ind w:left="1984" w:right="1169"/>
        <w:jc w:val="both"/>
      </w:pPr>
      <w:r>
        <w:rPr>
          <w:w w:val="120"/>
        </w:rPr>
        <w:t>participated from nearly all the synods and representing the breadth of theologies in the URC. Again, the themes of inclusive welcome, community partnerships and spiritual care came out strongly. For a fuller account of the results, please contact Denese.</w:t>
      </w:r>
    </w:p>
    <w:p>
      <w:pPr>
        <w:pStyle w:val="BodyText"/>
        <w:spacing w:before="10"/>
        <w:rPr>
          <w:sz w:val="19"/>
        </w:rPr>
      </w:pPr>
    </w:p>
    <w:p>
      <w:pPr>
        <w:pStyle w:val="ListParagraph"/>
        <w:numPr>
          <w:ilvl w:val="3"/>
          <w:numId w:val="57"/>
        </w:numPr>
        <w:tabs>
          <w:tab w:pos="2664" w:val="left" w:leader="none"/>
          <w:tab w:pos="2665" w:val="left" w:leader="none"/>
        </w:tabs>
        <w:spacing w:line="235" w:lineRule="auto" w:before="0" w:after="0"/>
        <w:ind w:left="1984" w:right="1587" w:firstLine="0"/>
        <w:jc w:val="left"/>
        <w:rPr>
          <w:sz w:val="20"/>
        </w:rPr>
      </w:pPr>
      <w:r>
        <w:rPr>
          <w:spacing w:val="2"/>
          <w:w w:val="120"/>
          <w:sz w:val="20"/>
        </w:rPr>
        <w:t>These </w:t>
      </w:r>
      <w:r>
        <w:rPr>
          <w:w w:val="120"/>
          <w:sz w:val="20"/>
        </w:rPr>
        <w:t>findings were distilled into a </w:t>
      </w:r>
      <w:r>
        <w:rPr>
          <w:spacing w:val="2"/>
          <w:w w:val="120"/>
          <w:sz w:val="20"/>
        </w:rPr>
        <w:t>brief </w:t>
      </w:r>
      <w:r>
        <w:rPr>
          <w:w w:val="120"/>
          <w:sz w:val="20"/>
        </w:rPr>
        <w:t>which went to </w:t>
      </w:r>
      <w:r>
        <w:rPr>
          <w:spacing w:val="2"/>
          <w:w w:val="120"/>
          <w:sz w:val="20"/>
        </w:rPr>
        <w:t>advertising agencies </w:t>
      </w:r>
      <w:r>
        <w:rPr>
          <w:w w:val="120"/>
          <w:sz w:val="20"/>
        </w:rPr>
        <w:t>in </w:t>
      </w:r>
      <w:r>
        <w:rPr>
          <w:spacing w:val="2"/>
          <w:w w:val="120"/>
          <w:sz w:val="20"/>
        </w:rPr>
        <w:t>April. </w:t>
      </w:r>
      <w:r>
        <w:rPr>
          <w:w w:val="120"/>
          <w:sz w:val="20"/>
        </w:rPr>
        <w:t>It is </w:t>
      </w:r>
      <w:r>
        <w:rPr>
          <w:spacing w:val="2"/>
          <w:w w:val="120"/>
          <w:sz w:val="20"/>
        </w:rPr>
        <w:t>hoped </w:t>
      </w:r>
      <w:r>
        <w:rPr>
          <w:w w:val="120"/>
          <w:sz w:val="20"/>
        </w:rPr>
        <w:t>that some </w:t>
      </w:r>
      <w:r>
        <w:rPr>
          <w:spacing w:val="2"/>
          <w:w w:val="120"/>
          <w:sz w:val="20"/>
        </w:rPr>
        <w:t>branding </w:t>
      </w:r>
      <w:r>
        <w:rPr>
          <w:w w:val="120"/>
          <w:sz w:val="20"/>
        </w:rPr>
        <w:t>materials will be ready in time for display     at</w:t>
      </w:r>
      <w:r>
        <w:rPr>
          <w:spacing w:val="6"/>
          <w:w w:val="120"/>
          <w:sz w:val="20"/>
        </w:rPr>
        <w:t> </w:t>
      </w:r>
      <w:r>
        <w:rPr>
          <w:w w:val="120"/>
          <w:sz w:val="20"/>
        </w:rPr>
        <w:t>Assembly.</w:t>
      </w:r>
    </w:p>
    <w:p>
      <w:pPr>
        <w:pStyle w:val="BodyText"/>
        <w:spacing w:before="6"/>
        <w:rPr>
          <w:sz w:val="22"/>
        </w:rPr>
      </w:pPr>
    </w:p>
    <w:p>
      <w:pPr>
        <w:pStyle w:val="ListParagraph"/>
        <w:numPr>
          <w:ilvl w:val="3"/>
          <w:numId w:val="57"/>
        </w:numPr>
        <w:tabs>
          <w:tab w:pos="2665" w:val="left" w:leader="none"/>
        </w:tabs>
        <w:spacing w:line="194" w:lineRule="auto" w:before="0" w:after="0"/>
        <w:ind w:left="1984" w:right="1472" w:firstLine="0"/>
        <w:jc w:val="both"/>
        <w:rPr>
          <w:sz w:val="20"/>
        </w:rPr>
      </w:pPr>
      <w:r>
        <w:rPr/>
        <w:drawing>
          <wp:anchor distT="0" distB="0" distL="0" distR="0" allowOverlap="1" layoutInCell="1" locked="0" behindDoc="1" simplePos="0" relativeHeight="235743232">
            <wp:simplePos x="0" y="0"/>
            <wp:positionH relativeFrom="page">
              <wp:posOffset>6391673</wp:posOffset>
            </wp:positionH>
            <wp:positionV relativeFrom="paragraph">
              <wp:posOffset>123476</wp:posOffset>
            </wp:positionV>
            <wp:extent cx="232858" cy="181203"/>
            <wp:effectExtent l="0" t="0" r="0" b="0"/>
            <wp:wrapNone/>
            <wp:docPr id="111" name="image103.png"/>
            <wp:cNvGraphicFramePr>
              <a:graphicFrameLocks noChangeAspect="1"/>
            </wp:cNvGraphicFramePr>
            <a:graphic>
              <a:graphicData uri="http://schemas.openxmlformats.org/drawingml/2006/picture">
                <pic:pic>
                  <pic:nvPicPr>
                    <pic:cNvPr id="112" name="image103.png"/>
                    <pic:cNvPicPr/>
                  </pic:nvPicPr>
                  <pic:blipFill>
                    <a:blip r:embed="rId162" cstate="print"/>
                    <a:stretch>
                      <a:fillRect/>
                    </a:stretch>
                  </pic:blipFill>
                  <pic:spPr>
                    <a:xfrm>
                      <a:off x="0" y="0"/>
                      <a:ext cx="232858" cy="181203"/>
                    </a:xfrm>
                    <a:prstGeom prst="rect">
                      <a:avLst/>
                    </a:prstGeom>
                  </pic:spPr>
                </pic:pic>
              </a:graphicData>
            </a:graphic>
          </wp:anchor>
        </w:drawing>
      </w:r>
      <w:r>
        <w:rPr>
          <w:w w:val="120"/>
          <w:sz w:val="20"/>
        </w:rPr>
        <w:t>The Education and Learning Committee has offered to help create the training materials</w:t>
      </w:r>
      <w:r>
        <w:rPr>
          <w:spacing w:val="-25"/>
          <w:w w:val="120"/>
          <w:sz w:val="20"/>
        </w:rPr>
        <w:t> </w:t>
      </w:r>
      <w:r>
        <w:rPr>
          <w:w w:val="120"/>
          <w:sz w:val="20"/>
        </w:rPr>
        <w:t>on</w:t>
      </w:r>
      <w:r>
        <w:rPr>
          <w:spacing w:val="-25"/>
          <w:w w:val="120"/>
          <w:sz w:val="20"/>
        </w:rPr>
        <w:t> </w:t>
      </w:r>
      <w:r>
        <w:rPr>
          <w:w w:val="120"/>
          <w:sz w:val="20"/>
        </w:rPr>
        <w:t>invitation</w:t>
      </w:r>
      <w:r>
        <w:rPr>
          <w:spacing w:val="-25"/>
          <w:w w:val="120"/>
          <w:sz w:val="20"/>
        </w:rPr>
        <w:t> </w:t>
      </w:r>
      <w:r>
        <w:rPr>
          <w:w w:val="120"/>
          <w:sz w:val="20"/>
        </w:rPr>
        <w:t>and</w:t>
      </w:r>
      <w:r>
        <w:rPr>
          <w:spacing w:val="-25"/>
          <w:w w:val="120"/>
          <w:sz w:val="20"/>
        </w:rPr>
        <w:t> </w:t>
      </w:r>
      <w:r>
        <w:rPr>
          <w:w w:val="120"/>
          <w:sz w:val="20"/>
        </w:rPr>
        <w:t>welcome</w:t>
      </w:r>
      <w:r>
        <w:rPr>
          <w:spacing w:val="-24"/>
          <w:w w:val="120"/>
          <w:sz w:val="20"/>
        </w:rPr>
        <w:t> </w:t>
      </w:r>
      <w:r>
        <w:rPr>
          <w:w w:val="120"/>
          <w:sz w:val="20"/>
        </w:rPr>
        <w:t>and</w:t>
      </w:r>
      <w:r>
        <w:rPr>
          <w:spacing w:val="-25"/>
          <w:w w:val="120"/>
          <w:sz w:val="20"/>
        </w:rPr>
        <w:t> </w:t>
      </w:r>
      <w:r>
        <w:rPr>
          <w:w w:val="120"/>
          <w:sz w:val="20"/>
        </w:rPr>
        <w:t>these</w:t>
      </w:r>
      <w:r>
        <w:rPr>
          <w:spacing w:val="-25"/>
          <w:w w:val="120"/>
          <w:sz w:val="20"/>
        </w:rPr>
        <w:t> </w:t>
      </w:r>
      <w:r>
        <w:rPr>
          <w:w w:val="120"/>
          <w:sz w:val="20"/>
        </w:rPr>
        <w:t>should</w:t>
      </w:r>
      <w:r>
        <w:rPr>
          <w:spacing w:val="-25"/>
          <w:w w:val="120"/>
          <w:sz w:val="20"/>
        </w:rPr>
        <w:t> </w:t>
      </w:r>
      <w:r>
        <w:rPr>
          <w:w w:val="120"/>
          <w:sz w:val="20"/>
        </w:rPr>
        <w:t>appear</w:t>
      </w:r>
      <w:r>
        <w:rPr>
          <w:spacing w:val="-24"/>
          <w:w w:val="120"/>
          <w:sz w:val="20"/>
        </w:rPr>
        <w:t> </w:t>
      </w:r>
      <w:r>
        <w:rPr>
          <w:w w:val="120"/>
          <w:sz w:val="20"/>
        </w:rPr>
        <w:t>soon</w:t>
      </w:r>
      <w:r>
        <w:rPr>
          <w:spacing w:val="-25"/>
          <w:w w:val="120"/>
          <w:sz w:val="20"/>
        </w:rPr>
        <w:t> </w:t>
      </w:r>
      <w:r>
        <w:rPr>
          <w:w w:val="120"/>
          <w:sz w:val="20"/>
        </w:rPr>
        <w:t>after</w:t>
      </w:r>
      <w:r>
        <w:rPr>
          <w:spacing w:val="-25"/>
          <w:w w:val="120"/>
          <w:sz w:val="20"/>
        </w:rPr>
        <w:t> </w:t>
      </w:r>
      <w:r>
        <w:rPr>
          <w:w w:val="120"/>
          <w:sz w:val="20"/>
        </w:rPr>
        <w:t>the</w:t>
      </w:r>
      <w:r>
        <w:rPr>
          <w:spacing w:val="-24"/>
          <w:w w:val="120"/>
          <w:sz w:val="20"/>
        </w:rPr>
        <w:t> </w:t>
      </w:r>
      <w:r>
        <w:rPr>
          <w:rFonts w:ascii="Arial Rounded MT Bold"/>
          <w:sz w:val="21"/>
        </w:rPr>
        <w:t>Vision4</w:t>
      </w:r>
      <w:r>
        <w:rPr>
          <w:rFonts w:ascii="Bradley Hand ITC"/>
          <w:color w:val="C20D19"/>
          <w:sz w:val="28"/>
        </w:rPr>
        <w:t>Life</w:t>
      </w:r>
      <w:r>
        <w:rPr>
          <w:rFonts w:ascii="Bradley Hand ITC"/>
          <w:sz w:val="28"/>
        </w:rPr>
        <w:t> </w:t>
      </w:r>
      <w:r>
        <w:rPr>
          <w:w w:val="120"/>
          <w:sz w:val="20"/>
        </w:rPr>
        <w:t>evangelism booklet for use by the churches during the evangelism</w:t>
      </w:r>
      <w:r>
        <w:rPr>
          <w:spacing w:val="34"/>
          <w:w w:val="120"/>
          <w:sz w:val="20"/>
        </w:rPr>
        <w:t> </w:t>
      </w:r>
      <w:r>
        <w:rPr>
          <w:spacing w:val="-4"/>
          <w:w w:val="120"/>
          <w:sz w:val="20"/>
        </w:rPr>
        <w:t>year.</w:t>
      </w:r>
    </w:p>
    <w:p>
      <w:pPr>
        <w:pStyle w:val="BodyText"/>
        <w:spacing w:before="6"/>
      </w:pPr>
    </w:p>
    <w:p>
      <w:pPr>
        <w:pStyle w:val="ListParagraph"/>
        <w:numPr>
          <w:ilvl w:val="3"/>
          <w:numId w:val="57"/>
        </w:numPr>
        <w:tabs>
          <w:tab w:pos="2664" w:val="left" w:leader="none"/>
          <w:tab w:pos="2665" w:val="left" w:leader="none"/>
        </w:tabs>
        <w:spacing w:line="235" w:lineRule="auto" w:before="0" w:after="0"/>
        <w:ind w:left="1984" w:right="1399" w:firstLine="0"/>
        <w:jc w:val="left"/>
        <w:rPr>
          <w:sz w:val="20"/>
        </w:rPr>
      </w:pPr>
      <w:r>
        <w:rPr>
          <w:w w:val="120"/>
          <w:sz w:val="20"/>
        </w:rPr>
        <w:t>Ron Buford filmed a series of conversations involving URC historians in England, Scotland and Wales. It is hoped that the nuggets of gold from these tapes can be extracted as the basis for identity materials highlighting key stories from the</w:t>
      </w:r>
      <w:r>
        <w:rPr>
          <w:spacing w:val="25"/>
          <w:w w:val="120"/>
          <w:sz w:val="20"/>
        </w:rPr>
        <w:t> </w:t>
      </w:r>
      <w:r>
        <w:rPr>
          <w:w w:val="120"/>
          <w:sz w:val="20"/>
        </w:rPr>
        <w:t>past.</w:t>
      </w:r>
    </w:p>
    <w:p>
      <w:pPr>
        <w:pStyle w:val="BodyText"/>
        <w:spacing w:before="8"/>
        <w:rPr>
          <w:sz w:val="17"/>
        </w:rPr>
      </w:pPr>
    </w:p>
    <w:p>
      <w:pPr>
        <w:numPr>
          <w:ilvl w:val="2"/>
          <w:numId w:val="57"/>
        </w:numPr>
        <w:tabs>
          <w:tab w:pos="2705" w:val="left" w:leader="none"/>
        </w:tabs>
        <w:spacing w:before="0"/>
        <w:ind w:left="2704" w:right="0" w:hanging="721"/>
        <w:jc w:val="both"/>
        <w:rPr>
          <w:rFonts w:ascii="Stone Sans II ITC Std Bk"/>
          <w:b/>
          <w:sz w:val="21"/>
        </w:rPr>
      </w:pPr>
      <w:r>
        <w:rPr>
          <w:rFonts w:ascii="Stone Sans II ITC Std Bk"/>
          <w:b/>
          <w:w w:val="115"/>
          <w:sz w:val="21"/>
        </w:rPr>
        <w:t>Strategic</w:t>
      </w:r>
      <w:r>
        <w:rPr>
          <w:rFonts w:ascii="Stone Sans II ITC Std Bk"/>
          <w:b/>
          <w:spacing w:val="-2"/>
          <w:w w:val="115"/>
          <w:sz w:val="21"/>
        </w:rPr>
        <w:t> </w:t>
      </w:r>
      <w:r>
        <w:rPr>
          <w:rFonts w:ascii="Stone Sans II ITC Std Bk"/>
          <w:b/>
          <w:w w:val="115"/>
          <w:sz w:val="21"/>
        </w:rPr>
        <w:t>objectives</w:t>
      </w:r>
    </w:p>
    <w:p>
      <w:pPr>
        <w:pStyle w:val="ListParagraph"/>
        <w:numPr>
          <w:ilvl w:val="3"/>
          <w:numId w:val="57"/>
        </w:numPr>
        <w:tabs>
          <w:tab w:pos="2664" w:val="left" w:leader="none"/>
          <w:tab w:pos="2665" w:val="left" w:leader="none"/>
        </w:tabs>
        <w:spacing w:line="235" w:lineRule="auto" w:before="223" w:after="0"/>
        <w:ind w:left="1984" w:right="1270" w:firstLine="0"/>
        <w:jc w:val="left"/>
        <w:rPr>
          <w:sz w:val="20"/>
        </w:rPr>
      </w:pPr>
      <w:r>
        <w:rPr>
          <w:spacing w:val="-7"/>
          <w:w w:val="120"/>
          <w:sz w:val="20"/>
        </w:rPr>
        <w:t>To </w:t>
      </w:r>
      <w:r>
        <w:rPr>
          <w:w w:val="120"/>
          <w:sz w:val="20"/>
        </w:rPr>
        <w:t>change the </w:t>
      </w:r>
      <w:r>
        <w:rPr>
          <w:spacing w:val="-3"/>
          <w:w w:val="120"/>
          <w:sz w:val="20"/>
        </w:rPr>
        <w:t>URC’s </w:t>
      </w:r>
      <w:r>
        <w:rPr>
          <w:w w:val="120"/>
          <w:sz w:val="20"/>
        </w:rPr>
        <w:t>membership decline into growth. Along with most Western European mainline churches, the URC has experienced a decline in membership of </w:t>
      </w:r>
      <w:r>
        <w:rPr>
          <w:spacing w:val="-3"/>
          <w:w w:val="120"/>
          <w:sz w:val="20"/>
        </w:rPr>
        <w:t>3% </w:t>
      </w:r>
      <w:r>
        <w:rPr>
          <w:w w:val="120"/>
          <w:sz w:val="20"/>
        </w:rPr>
        <w:t>per annum on average for the last generation. The first objective is simply to reverse  this</w:t>
      </w:r>
      <w:r>
        <w:rPr>
          <w:spacing w:val="1"/>
          <w:w w:val="120"/>
          <w:sz w:val="20"/>
        </w:rPr>
        <w:t> </w:t>
      </w:r>
      <w:r>
        <w:rPr>
          <w:w w:val="120"/>
          <w:sz w:val="20"/>
        </w:rPr>
        <w:t>trend.</w:t>
      </w:r>
    </w:p>
    <w:p>
      <w:pPr>
        <w:pStyle w:val="BodyText"/>
        <w:spacing w:before="11"/>
        <w:rPr>
          <w:sz w:val="19"/>
        </w:rPr>
      </w:pPr>
    </w:p>
    <w:p>
      <w:pPr>
        <w:pStyle w:val="ListParagraph"/>
        <w:numPr>
          <w:ilvl w:val="3"/>
          <w:numId w:val="57"/>
        </w:numPr>
        <w:tabs>
          <w:tab w:pos="2664" w:val="left" w:leader="none"/>
          <w:tab w:pos="2665" w:val="left" w:leader="none"/>
        </w:tabs>
        <w:spacing w:line="235" w:lineRule="auto" w:before="0" w:after="0"/>
        <w:ind w:left="1984" w:right="1452" w:firstLine="0"/>
        <w:jc w:val="left"/>
        <w:rPr>
          <w:sz w:val="20"/>
        </w:rPr>
      </w:pPr>
      <w:r>
        <w:rPr>
          <w:spacing w:val="-7"/>
          <w:w w:val="120"/>
          <w:sz w:val="20"/>
        </w:rPr>
        <w:t>To </w:t>
      </w:r>
      <w:r>
        <w:rPr>
          <w:w w:val="120"/>
          <w:sz w:val="20"/>
        </w:rPr>
        <w:t>build capacity in local church members to share their faith and invite friends and neighbours to church. This will be achieved</w:t>
      </w:r>
      <w:r>
        <w:rPr>
          <w:spacing w:val="25"/>
          <w:w w:val="120"/>
          <w:sz w:val="20"/>
        </w:rPr>
        <w:t> </w:t>
      </w:r>
      <w:r>
        <w:rPr>
          <w:w w:val="120"/>
          <w:sz w:val="20"/>
        </w:rPr>
        <w:t>by:</w:t>
      </w:r>
    </w:p>
    <w:p>
      <w:pPr>
        <w:pStyle w:val="BodyText"/>
        <w:spacing w:before="9"/>
        <w:rPr>
          <w:sz w:val="19"/>
        </w:rPr>
      </w:pPr>
    </w:p>
    <w:p>
      <w:pPr>
        <w:pStyle w:val="ListParagraph"/>
        <w:numPr>
          <w:ilvl w:val="0"/>
          <w:numId w:val="58"/>
        </w:numPr>
        <w:tabs>
          <w:tab w:pos="2664" w:val="left" w:leader="none"/>
          <w:tab w:pos="2665" w:val="left" w:leader="none"/>
        </w:tabs>
        <w:spacing w:line="235" w:lineRule="auto" w:before="0" w:after="0"/>
        <w:ind w:left="2664" w:right="1508" w:hanging="681"/>
        <w:jc w:val="left"/>
        <w:rPr>
          <w:sz w:val="20"/>
        </w:rPr>
      </w:pPr>
      <w:r>
        <w:rPr>
          <w:w w:val="120"/>
          <w:sz w:val="20"/>
        </w:rPr>
        <w:t>offering a new approach to evangelism which is targeted specifically at people who have not responded to traditional</w:t>
      </w:r>
      <w:r>
        <w:rPr>
          <w:spacing w:val="14"/>
          <w:w w:val="120"/>
          <w:sz w:val="20"/>
        </w:rPr>
        <w:t> </w:t>
      </w:r>
      <w:r>
        <w:rPr>
          <w:w w:val="120"/>
          <w:sz w:val="20"/>
        </w:rPr>
        <w:t>models;</w:t>
      </w:r>
    </w:p>
    <w:p>
      <w:pPr>
        <w:pStyle w:val="BodyText"/>
        <w:spacing w:before="10"/>
        <w:rPr>
          <w:sz w:val="19"/>
        </w:rPr>
      </w:pPr>
    </w:p>
    <w:p>
      <w:pPr>
        <w:pStyle w:val="ListParagraph"/>
        <w:numPr>
          <w:ilvl w:val="0"/>
          <w:numId w:val="58"/>
        </w:numPr>
        <w:tabs>
          <w:tab w:pos="2664" w:val="left" w:leader="none"/>
          <w:tab w:pos="2665" w:val="left" w:leader="none"/>
        </w:tabs>
        <w:spacing w:line="235" w:lineRule="auto" w:before="0" w:after="0"/>
        <w:ind w:left="2664" w:right="1208" w:hanging="681"/>
        <w:jc w:val="left"/>
        <w:rPr>
          <w:sz w:val="20"/>
        </w:rPr>
      </w:pPr>
      <w:r>
        <w:rPr>
          <w:w w:val="120"/>
          <w:sz w:val="20"/>
        </w:rPr>
        <w:t>strengthening denominational identity through celebrating the Reformed history of courageous</w:t>
      </w:r>
      <w:r>
        <w:rPr>
          <w:spacing w:val="4"/>
          <w:w w:val="120"/>
          <w:sz w:val="20"/>
        </w:rPr>
        <w:t> </w:t>
      </w:r>
      <w:r>
        <w:rPr>
          <w:w w:val="120"/>
          <w:sz w:val="20"/>
        </w:rPr>
        <w:t>discipleship;</w:t>
      </w:r>
    </w:p>
    <w:p>
      <w:pPr>
        <w:pStyle w:val="BodyText"/>
        <w:spacing w:before="5"/>
        <w:rPr>
          <w:sz w:val="19"/>
        </w:rPr>
      </w:pPr>
    </w:p>
    <w:p>
      <w:pPr>
        <w:pStyle w:val="ListParagraph"/>
        <w:numPr>
          <w:ilvl w:val="0"/>
          <w:numId w:val="58"/>
        </w:numPr>
        <w:tabs>
          <w:tab w:pos="2664" w:val="left" w:leader="none"/>
          <w:tab w:pos="2665" w:val="left" w:leader="none"/>
        </w:tabs>
        <w:spacing w:line="240" w:lineRule="auto" w:before="1" w:after="0"/>
        <w:ind w:left="2664" w:right="0" w:hanging="681"/>
        <w:jc w:val="both"/>
        <w:rPr>
          <w:sz w:val="20"/>
        </w:rPr>
      </w:pPr>
      <w:r>
        <w:rPr>
          <w:w w:val="120"/>
          <w:sz w:val="20"/>
        </w:rPr>
        <w:t>use of a training DVD that teaches faith-sharing and</w:t>
      </w:r>
      <w:r>
        <w:rPr>
          <w:spacing w:val="18"/>
          <w:w w:val="120"/>
          <w:sz w:val="20"/>
        </w:rPr>
        <w:t> </w:t>
      </w:r>
      <w:r>
        <w:rPr>
          <w:w w:val="120"/>
          <w:sz w:val="20"/>
        </w:rPr>
        <w:t>welcome;</w:t>
      </w:r>
    </w:p>
    <w:p>
      <w:pPr>
        <w:pStyle w:val="BodyText"/>
        <w:spacing w:before="2"/>
        <w:rPr>
          <w:sz w:val="26"/>
        </w:rPr>
      </w:pPr>
    </w:p>
    <w:p>
      <w:pPr>
        <w:tabs>
          <w:tab w:pos="10791" w:val="left" w:leader="none"/>
        </w:tabs>
        <w:spacing w:before="97"/>
        <w:ind w:left="4844"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10"/>
          <w:sz w:val="24"/>
        </w:rPr>
        <w:t>39</w:t>
      </w:r>
    </w:p>
    <w:p>
      <w:pPr>
        <w:spacing w:after="0"/>
        <w:jc w:val="left"/>
        <w:rPr>
          <w:rFonts w:ascii="Stone Sans II ITC Std X Bd" w:hAnsi="Stone Sans II ITC Std X Bd"/>
          <w:sz w:val="24"/>
        </w:rPr>
        <w:sectPr>
          <w:headerReference w:type="default" r:id="rId159"/>
          <w:footerReference w:type="default" r:id="rId160"/>
          <w:pgSz w:w="11910" w:h="16840"/>
          <w:pgMar w:header="0" w:footer="0" w:top="0" w:bottom="280" w:left="0" w:right="0"/>
        </w:sectPr>
      </w:pPr>
    </w:p>
    <w:p>
      <w:pPr>
        <w:pStyle w:val="BodyText"/>
        <w:rPr>
          <w:rFonts w:ascii="Stone Sans II ITC Std X Bd"/>
          <w:b/>
          <w:sz w:val="18"/>
        </w:rPr>
      </w:pPr>
      <w:r>
        <w:rPr/>
        <w:pict>
          <v:group style="position:absolute;margin-left:0pt;margin-top:455.702026pt;width:595.3pt;height:386.2pt;mso-position-horizontal-relative:page;mso-position-vertical-relative:page;z-index:251857920" coordorigin="0,9114" coordsize="11906,7724">
            <v:shape style="position:absolute;left:0;top:9114;width:11906;height:7724" coordorigin="0,9114" coordsize="11906,7724" path="m11906,9117l11904,9193,11898,9268,11889,9342,11877,9415,11861,9486,11842,9557,11819,9626,11794,9693,11765,9759,11734,9823,11699,9886,11662,9947,11623,10006,11580,10062,11535,10117,11488,10170,11438,10220,11386,10268,11332,10314,11276,10357,11217,10398,11157,10436,11095,10471,11031,10504,10966,10533,10899,10560,10830,10583,10761,10603,10689,10620,10617,10634,10575,10639,0,10639,0,16838,11906,16838,11906,10654,11906,10639,11906,9117m11906,9114l11905,9114,11906,9116,11906,9114e" filled="true" fillcolor="#8ba8bd" stroked="false">
              <v:path arrowok="t"/>
              <v:fill type="solid"/>
            </v:shape>
            <v:shape style="position:absolute;left:850;top:13630;width:5416;height:2386" type="#_x0000_t75" stroked="false">
              <v:imagedata r:id="rId147" o:title=""/>
            </v:shape>
            <w10:wrap type="none"/>
          </v:group>
        </w:pict>
      </w:r>
    </w:p>
    <w:p>
      <w:pPr>
        <w:pStyle w:val="ListParagraph"/>
        <w:numPr>
          <w:ilvl w:val="0"/>
          <w:numId w:val="58"/>
        </w:numPr>
        <w:tabs>
          <w:tab w:pos="1814" w:val="left" w:leader="none"/>
          <w:tab w:pos="1815" w:val="left" w:leader="none"/>
        </w:tabs>
        <w:spacing w:line="235" w:lineRule="auto" w:before="104" w:after="0"/>
        <w:ind w:left="1814" w:right="2282" w:hanging="681"/>
        <w:jc w:val="left"/>
        <w:rPr>
          <w:sz w:val="20"/>
        </w:rPr>
      </w:pPr>
      <w:r>
        <w:rPr/>
        <w:pict>
          <v:rect style="position:absolute;margin-left:12.047pt;margin-top:-3.672658pt;width:22.677pt;height:22.677pt;mso-position-horizontal-relative:page;mso-position-vertical-relative:paragraph;z-index:251856896" filled="true" fillcolor="#efceb4" stroked="false">
            <v:fill opacity="32768f" type="solid"/>
            <w10:wrap type="none"/>
          </v:rect>
        </w:pict>
      </w:r>
      <w:r>
        <w:rPr>
          <w:w w:val="120"/>
          <w:sz w:val="20"/>
        </w:rPr>
        <w:t>advertising the United Reformed Church regionally and (tri-)nationally through the media, thus arousing attention and curiosity into which local churches can speak and</w:t>
      </w:r>
      <w:r>
        <w:rPr>
          <w:spacing w:val="3"/>
          <w:w w:val="120"/>
          <w:sz w:val="20"/>
        </w:rPr>
        <w:t> </w:t>
      </w:r>
      <w:r>
        <w:rPr>
          <w:w w:val="120"/>
          <w:sz w:val="20"/>
        </w:rPr>
        <w:t>act;</w:t>
      </w:r>
    </w:p>
    <w:p>
      <w:pPr>
        <w:pStyle w:val="BodyText"/>
        <w:spacing w:before="10"/>
        <w:rPr>
          <w:sz w:val="19"/>
        </w:rPr>
      </w:pPr>
    </w:p>
    <w:p>
      <w:pPr>
        <w:pStyle w:val="ListParagraph"/>
        <w:numPr>
          <w:ilvl w:val="0"/>
          <w:numId w:val="58"/>
        </w:numPr>
        <w:tabs>
          <w:tab w:pos="1814" w:val="left" w:leader="none"/>
          <w:tab w:pos="1815" w:val="left" w:leader="none"/>
        </w:tabs>
        <w:spacing w:line="235" w:lineRule="auto" w:before="0" w:after="0"/>
        <w:ind w:left="1814" w:right="2550" w:hanging="681"/>
        <w:jc w:val="left"/>
        <w:rPr>
          <w:sz w:val="20"/>
        </w:rPr>
      </w:pPr>
      <w:r>
        <w:rPr>
          <w:w w:val="120"/>
          <w:sz w:val="20"/>
        </w:rPr>
        <w:t>encouraging local creativity in producing adverts, posters, welcome leaflets, worship materials,</w:t>
      </w:r>
      <w:r>
        <w:rPr>
          <w:spacing w:val="3"/>
          <w:w w:val="120"/>
          <w:sz w:val="20"/>
        </w:rPr>
        <w:t> </w:t>
      </w:r>
      <w:r>
        <w:rPr>
          <w:w w:val="120"/>
          <w:sz w:val="20"/>
        </w:rPr>
        <w:t>etc.</w:t>
      </w:r>
    </w:p>
    <w:p>
      <w:pPr>
        <w:pStyle w:val="BodyText"/>
        <w:spacing w:before="9"/>
        <w:rPr>
          <w:sz w:val="19"/>
        </w:rPr>
      </w:pPr>
    </w:p>
    <w:p>
      <w:pPr>
        <w:pStyle w:val="ListParagraph"/>
        <w:numPr>
          <w:ilvl w:val="3"/>
          <w:numId w:val="57"/>
        </w:numPr>
        <w:tabs>
          <w:tab w:pos="1814" w:val="left" w:leader="none"/>
          <w:tab w:pos="1815" w:val="left" w:leader="none"/>
        </w:tabs>
        <w:spacing w:line="235" w:lineRule="auto" w:before="1" w:after="0"/>
        <w:ind w:left="1133" w:right="2045" w:firstLine="0"/>
        <w:jc w:val="left"/>
        <w:rPr>
          <w:sz w:val="20"/>
        </w:rPr>
      </w:pPr>
      <w:r>
        <w:rPr>
          <w:spacing w:val="-7"/>
          <w:w w:val="120"/>
          <w:sz w:val="20"/>
        </w:rPr>
        <w:t>To </w:t>
      </w:r>
      <w:r>
        <w:rPr>
          <w:w w:val="120"/>
          <w:sz w:val="20"/>
        </w:rPr>
        <w:t>nurture new Christians into committed discipleship through encouraging local church use of existing courses such as Alpha, Emmaus and Living the</w:t>
      </w:r>
      <w:r>
        <w:rPr>
          <w:spacing w:val="45"/>
          <w:w w:val="120"/>
          <w:sz w:val="20"/>
        </w:rPr>
        <w:t> </w:t>
      </w:r>
      <w:r>
        <w:rPr>
          <w:w w:val="120"/>
          <w:sz w:val="20"/>
        </w:rPr>
        <w:t>Questions.</w:t>
      </w:r>
    </w:p>
    <w:p>
      <w:pPr>
        <w:pStyle w:val="BodyText"/>
        <w:spacing w:before="9"/>
        <w:rPr>
          <w:sz w:val="19"/>
        </w:rPr>
      </w:pPr>
    </w:p>
    <w:p>
      <w:pPr>
        <w:pStyle w:val="ListParagraph"/>
        <w:numPr>
          <w:ilvl w:val="3"/>
          <w:numId w:val="57"/>
        </w:numPr>
        <w:tabs>
          <w:tab w:pos="1814" w:val="left" w:leader="none"/>
          <w:tab w:pos="1815" w:val="left" w:leader="none"/>
        </w:tabs>
        <w:spacing w:line="235" w:lineRule="auto" w:before="0" w:after="0"/>
        <w:ind w:left="1133" w:right="2122" w:firstLine="0"/>
        <w:jc w:val="left"/>
        <w:rPr>
          <w:sz w:val="20"/>
        </w:rPr>
      </w:pPr>
      <w:r>
        <w:rPr>
          <w:spacing w:val="-7"/>
          <w:w w:val="120"/>
          <w:sz w:val="20"/>
        </w:rPr>
        <w:t>To </w:t>
      </w:r>
      <w:r>
        <w:rPr>
          <w:w w:val="120"/>
          <w:sz w:val="20"/>
        </w:rPr>
        <w:t>increase the ethnic and cultural diversity of the United Reformed </w:t>
      </w:r>
      <w:r>
        <w:rPr>
          <w:spacing w:val="-3"/>
          <w:w w:val="120"/>
          <w:sz w:val="20"/>
        </w:rPr>
        <w:t>Church’s </w:t>
      </w:r>
      <w:r>
        <w:rPr>
          <w:w w:val="120"/>
          <w:sz w:val="20"/>
        </w:rPr>
        <w:t>membership by making the all-inclusive welcome of Christ explicit with denominational branding.</w:t>
      </w:r>
    </w:p>
    <w:p>
      <w:pPr>
        <w:pStyle w:val="BodyText"/>
        <w:spacing w:before="10"/>
        <w:rPr>
          <w:sz w:val="19"/>
        </w:rPr>
      </w:pPr>
    </w:p>
    <w:p>
      <w:pPr>
        <w:pStyle w:val="ListParagraph"/>
        <w:numPr>
          <w:ilvl w:val="3"/>
          <w:numId w:val="57"/>
        </w:numPr>
        <w:tabs>
          <w:tab w:pos="1814" w:val="left" w:leader="none"/>
          <w:tab w:pos="1815" w:val="left" w:leader="none"/>
        </w:tabs>
        <w:spacing w:line="235" w:lineRule="auto" w:before="0" w:after="0"/>
        <w:ind w:left="1133" w:right="2287" w:firstLine="0"/>
        <w:jc w:val="left"/>
        <w:rPr>
          <w:sz w:val="20"/>
        </w:rPr>
      </w:pPr>
      <w:r>
        <w:rPr>
          <w:spacing w:val="-7"/>
          <w:w w:val="120"/>
          <w:sz w:val="20"/>
        </w:rPr>
        <w:t>To </w:t>
      </w:r>
      <w:r>
        <w:rPr>
          <w:w w:val="120"/>
          <w:sz w:val="20"/>
        </w:rPr>
        <w:t>strengthen the United Reformed Church contribution to ecumenical partnerships throughout the UK through deepened understanding of the strengths of the Reformed</w:t>
      </w:r>
      <w:r>
        <w:rPr>
          <w:spacing w:val="3"/>
          <w:w w:val="120"/>
          <w:sz w:val="20"/>
        </w:rPr>
        <w:t> </w:t>
      </w:r>
      <w:r>
        <w:rPr>
          <w:w w:val="120"/>
          <w:sz w:val="20"/>
        </w:rPr>
        <w:t>tradition.</w:t>
      </w:r>
    </w:p>
    <w:p>
      <w:pPr>
        <w:pStyle w:val="BodyText"/>
        <w:spacing w:before="10"/>
        <w:rPr>
          <w:sz w:val="19"/>
        </w:rPr>
      </w:pPr>
    </w:p>
    <w:p>
      <w:pPr>
        <w:pStyle w:val="ListParagraph"/>
        <w:numPr>
          <w:ilvl w:val="3"/>
          <w:numId w:val="57"/>
        </w:numPr>
        <w:tabs>
          <w:tab w:pos="1814" w:val="left" w:leader="none"/>
          <w:tab w:pos="1815" w:val="left" w:leader="none"/>
        </w:tabs>
        <w:spacing w:line="235" w:lineRule="auto" w:before="0" w:after="0"/>
        <w:ind w:left="1133" w:right="2085" w:firstLine="0"/>
        <w:jc w:val="left"/>
        <w:rPr>
          <w:sz w:val="20"/>
        </w:rPr>
      </w:pPr>
      <w:r>
        <w:rPr>
          <w:spacing w:val="-7"/>
          <w:w w:val="120"/>
          <w:sz w:val="20"/>
        </w:rPr>
        <w:t>To </w:t>
      </w:r>
      <w:r>
        <w:rPr>
          <w:w w:val="120"/>
          <w:sz w:val="20"/>
        </w:rPr>
        <w:t>share the experience of this new venture with international partners who have indicated that they will be watching with</w:t>
      </w:r>
      <w:r>
        <w:rPr>
          <w:spacing w:val="16"/>
          <w:w w:val="120"/>
          <w:sz w:val="20"/>
        </w:rPr>
        <w:t> </w:t>
      </w:r>
      <w:r>
        <w:rPr>
          <w:w w:val="120"/>
          <w:sz w:val="20"/>
        </w:rPr>
        <w:t>interest.</w:t>
      </w:r>
    </w:p>
    <w:p>
      <w:pPr>
        <w:pStyle w:val="BodyText"/>
      </w:pPr>
    </w:p>
    <w:p>
      <w:pPr>
        <w:pStyle w:val="BodyText"/>
      </w:pPr>
    </w:p>
    <w:p>
      <w:pPr>
        <w:pStyle w:val="BodyText"/>
      </w:pPr>
    </w:p>
    <w:p>
      <w:pPr>
        <w:pStyle w:val="BodyText"/>
      </w:pPr>
    </w:p>
    <w:p>
      <w:pPr>
        <w:pStyle w:val="BodyText"/>
        <w:spacing w:before="11"/>
      </w:pPr>
      <w:r>
        <w:rPr/>
        <w:pict>
          <v:shape style="position:absolute;margin-left:56.692902pt;margin-top:21.065411pt;width:183.85pt;height:.1pt;mso-position-horizontal-relative:page;mso-position-vertical-relative:paragraph;z-index:-251464704;mso-wrap-distance-left:0;mso-wrap-distance-right:0" coordorigin="1134,421" coordsize="3677,0" path="m1134,421l4811,421e" filled="false" stroked="true" strokeweight=".5pt" strokecolor="#8ba8bd">
            <v:path arrowok="t"/>
            <v:stroke dashstyle="solid"/>
            <w10:wrap type="topAndBottom"/>
          </v:shape>
        </w:pict>
      </w:r>
      <w:r>
        <w:rPr/>
        <w:pict>
          <v:rect style="position:absolute;margin-left:250.865997pt;margin-top:14.744117pt;width:13.721pt;height:13.721pt;mso-position-horizontal-relative:page;mso-position-vertical-relative:paragraph;z-index:-251463680;mso-wrap-distance-left:0;mso-wrap-distance-right:0" filled="true" fillcolor="#8ba8bd" stroked="false">
            <v:fill type="solid"/>
            <w10:wrap type="topAndBottom"/>
          </v:rect>
        </w:pict>
      </w:r>
      <w:r>
        <w:rPr/>
        <w:pict>
          <v:rect style="position:absolute;margin-left:269.303009pt;margin-top:14.744117pt;width:13.721pt;height:13.721pt;mso-position-horizontal-relative:page;mso-position-vertical-relative:paragraph;z-index:-251462656;mso-wrap-distance-left:0;mso-wrap-distance-right:0" filled="true" fillcolor="#c2d2df" stroked="false">
            <v:fill type="solid"/>
            <w10:wrap type="topAndBottom"/>
          </v:rect>
        </w:pict>
      </w:r>
      <w:r>
        <w:rPr/>
        <w:pict>
          <v:rect style="position:absolute;margin-left:288.169006pt;margin-top:14.744117pt;width:13.721pt;height:13.721pt;mso-position-horizontal-relative:page;mso-position-vertical-relative:paragraph;z-index:-251461632;mso-wrap-distance-left:0;mso-wrap-distance-right:0" filled="true" fillcolor="#dae4ec" stroked="false">
            <v:fill opacity="32768f" type="solid"/>
            <w10:wrap type="topAndBottom"/>
          </v:rect>
        </w:pict>
      </w:r>
      <w:r>
        <w:rPr/>
        <w:pict>
          <v:shape style="position:absolute;margin-left:311.716003pt;margin-top:21.065411pt;width:184.35pt;height:.1pt;mso-position-horizontal-relative:page;mso-position-vertical-relative:paragraph;z-index:-251460608;mso-wrap-distance-left:0;mso-wrap-distance-right:0" coordorigin="6234,421" coordsize="3687,0" path="m6234,421l9921,421e" filled="false" stroked="true" strokeweight=".5pt" strokecolor="#8ba8bd">
            <v:path arrowok="t"/>
            <v:stroke dashstyle="solid"/>
            <w10:wrap type="topAndBottom"/>
          </v:shape>
        </w:pict>
      </w:r>
    </w:p>
    <w:p>
      <w:pPr>
        <w:spacing w:after="0"/>
        <w:sectPr>
          <w:headerReference w:type="even" r:id="rId163"/>
          <w:footerReference w:type="even" r:id="rId164"/>
          <w:pgSz w:w="11910" w:h="16840"/>
          <w:pgMar w:header="0" w:footer="0" w:top="1060" w:bottom="0" w:left="0" w:right="0"/>
        </w:sectPr>
      </w:pPr>
    </w:p>
    <w:p>
      <w:pPr>
        <w:numPr>
          <w:ilvl w:val="4"/>
          <w:numId w:val="57"/>
        </w:numPr>
        <w:tabs>
          <w:tab w:pos="2704" w:val="left" w:leader="none"/>
          <w:tab w:pos="2705" w:val="left" w:leader="none"/>
        </w:tabs>
        <w:spacing w:before="86"/>
        <w:ind w:left="2704" w:right="0" w:hanging="721"/>
        <w:jc w:val="left"/>
        <w:rPr>
          <w:rFonts w:ascii="Stone Sans II ITC Std Bk"/>
          <w:b/>
          <w:sz w:val="21"/>
        </w:rPr>
      </w:pPr>
      <w:r>
        <w:rPr/>
        <w:pict>
          <v:rect style="position:absolute;margin-left:0pt;margin-top:.000015pt;width:595.275pt;height:841.89pt;mso-position-horizontal-relative:page;mso-position-vertical-relative:page;z-index:-267565056" filled="true" fillcolor="#8ba8bd" stroked="false">
            <v:fill type="solid"/>
            <w10:wrap type="none"/>
          </v:rect>
        </w:pict>
      </w:r>
      <w:r>
        <w:rPr/>
        <w:pict>
          <v:group style="position:absolute;margin-left:75.826797pt;margin-top:.000015pt;width:519.4500pt;height:790.9pt;mso-position-horizontal-relative:page;mso-position-vertical-relative:page;z-index:-267564032"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5185;top:8136;width:367;height:286" type="#_x0000_t75" stroked="false">
              <v:imagedata r:id="rId168" o:title=""/>
            </v:shape>
            <v:shape style="position:absolute;left:2514;top:12456;width:367;height:286" type="#_x0000_t75" stroked="false">
              <v:imagedata r:id="rId169" o:title=""/>
            </v:shape>
            <v:line style="position:absolute" from="1984,13902" to="3424,13902" stroked="true" strokeweight="1pt" strokecolor="#000000">
              <v:stroke dashstyle="solid"/>
            </v:line>
            <w10:wrap type="none"/>
          </v:group>
        </w:pict>
      </w:r>
      <w:r>
        <w:rPr/>
        <w:pict>
          <v:shape style="position:absolute;margin-left:512.587891pt;margin-top:1.777473pt;width:47.4pt;height:513.1pt;mso-position-horizontal-relative:page;mso-position-vertical-relative:paragraph;z-index:-267563008" type="#_x0000_t202" filled="false" stroked="false">
            <v:textbox inset="0,0,0,0" style="layout-flow:vertical">
              <w:txbxContent>
                <w:p>
                  <w:pPr>
                    <w:spacing w:line="937" w:lineRule="exact" w:before="10"/>
                    <w:ind w:left="20" w:right="0" w:firstLine="0"/>
                    <w:jc w:val="left"/>
                    <w:rPr>
                      <w:rFonts w:ascii="Stone Sans II ITC Std X Bd" w:hAnsi="Stone Sans II ITC Std X Bd"/>
                      <w:b/>
                      <w:sz w:val="72"/>
                    </w:rPr>
                  </w:pPr>
                  <w:r>
                    <w:rPr>
                      <w:rFonts w:ascii="Stone Sans II ITC Std X Bd" w:hAnsi="Stone Sans II ITC Std X Bd"/>
                      <w:b/>
                      <w:spacing w:val="-10"/>
                      <w:w w:val="110"/>
                      <w:sz w:val="72"/>
                    </w:rPr>
                    <w:t>Synod </w:t>
                  </w:r>
                  <w:r>
                    <w:rPr>
                      <w:rFonts w:ascii="Stone Sans II ITC Std X Bd" w:hAnsi="Stone Sans II ITC Std X Bd"/>
                      <w:b/>
                      <w:spacing w:val="-12"/>
                      <w:w w:val="110"/>
                      <w:sz w:val="72"/>
                    </w:rPr>
                    <w:t>Moderator’s</w:t>
                  </w:r>
                  <w:r>
                    <w:rPr>
                      <w:rFonts w:ascii="Stone Sans II ITC Std X Bd" w:hAnsi="Stone Sans II ITC Std X Bd"/>
                      <w:b/>
                      <w:spacing w:val="-84"/>
                      <w:w w:val="110"/>
                      <w:sz w:val="72"/>
                    </w:rPr>
                    <w:t> </w:t>
                  </w:r>
                  <w:r>
                    <w:rPr>
                      <w:rFonts w:ascii="Stone Sans II ITC Std X Bd" w:hAnsi="Stone Sans II ITC Std X Bd"/>
                      <w:b/>
                      <w:spacing w:val="-3"/>
                      <w:w w:val="110"/>
                      <w:sz w:val="72"/>
                    </w:rPr>
                    <w:t>report</w:t>
                  </w:r>
                </w:p>
              </w:txbxContent>
            </v:textbox>
            <w10:wrap type="none"/>
          </v:shape>
        </w:pict>
      </w:r>
      <w:r>
        <w:rPr>
          <w:rFonts w:ascii="Stone Sans II ITC Std Bk"/>
          <w:b/>
          <w:w w:val="115"/>
          <w:sz w:val="21"/>
        </w:rPr>
        <w:t>A time of</w:t>
      </w:r>
      <w:r>
        <w:rPr>
          <w:rFonts w:ascii="Stone Sans II ITC Std Bk"/>
          <w:b/>
          <w:spacing w:val="-5"/>
          <w:w w:val="115"/>
          <w:sz w:val="21"/>
        </w:rPr>
        <w:t> </w:t>
      </w:r>
      <w:r>
        <w:rPr>
          <w:rFonts w:ascii="Stone Sans II ITC Std Bk"/>
          <w:b/>
          <w:w w:val="115"/>
          <w:sz w:val="21"/>
        </w:rPr>
        <w:t>transition</w:t>
      </w:r>
    </w:p>
    <w:p>
      <w:pPr>
        <w:pStyle w:val="ListParagraph"/>
        <w:numPr>
          <w:ilvl w:val="5"/>
          <w:numId w:val="57"/>
        </w:numPr>
        <w:tabs>
          <w:tab w:pos="2664" w:val="left" w:leader="none"/>
          <w:tab w:pos="2665" w:val="left" w:leader="none"/>
        </w:tabs>
        <w:spacing w:line="240" w:lineRule="exact" w:before="217" w:after="0"/>
        <w:ind w:left="1984" w:right="1786" w:firstLine="0"/>
        <w:jc w:val="left"/>
        <w:rPr>
          <w:sz w:val="20"/>
        </w:rPr>
      </w:pPr>
      <w:r>
        <w:rPr>
          <w:w w:val="120"/>
          <w:sz w:val="20"/>
        </w:rPr>
        <w:t>British churches are in transition as we adjust to life and witness for the twenty-first century. But that is neither surprise nor novelty. Transition is </w:t>
      </w:r>
      <w:r>
        <w:rPr>
          <w:spacing w:val="2"/>
          <w:w w:val="120"/>
          <w:sz w:val="20"/>
        </w:rPr>
        <w:t>part </w:t>
      </w:r>
      <w:r>
        <w:rPr>
          <w:w w:val="120"/>
          <w:sz w:val="20"/>
        </w:rPr>
        <w:t>of the atmosphere of the Bible; God has rarely nurtured the status quo and those who walk with God have rarely been called to stand still. God’s wholehearted love in Christ is </w:t>
      </w:r>
      <w:r>
        <w:rPr>
          <w:spacing w:val="-4"/>
          <w:w w:val="120"/>
          <w:sz w:val="20"/>
        </w:rPr>
        <w:t>‘an </w:t>
      </w:r>
      <w:r>
        <w:rPr>
          <w:w w:val="120"/>
          <w:sz w:val="20"/>
        </w:rPr>
        <w:t>enduring </w:t>
      </w:r>
      <w:r>
        <w:rPr>
          <w:spacing w:val="-4"/>
          <w:w w:val="120"/>
          <w:sz w:val="20"/>
        </w:rPr>
        <w:t>melody’,</w:t>
      </w:r>
      <w:r>
        <w:rPr>
          <w:spacing w:val="-4"/>
          <w:w w:val="120"/>
          <w:position w:val="4"/>
          <w:sz w:val="20"/>
        </w:rPr>
        <w:t>1 </w:t>
      </w:r>
      <w:r>
        <w:rPr>
          <w:w w:val="120"/>
          <w:sz w:val="20"/>
        </w:rPr>
        <w:t>but the way we weave our counterpoint around it is constantly</w:t>
      </w:r>
      <w:r>
        <w:rPr>
          <w:spacing w:val="6"/>
          <w:w w:val="120"/>
          <w:sz w:val="20"/>
        </w:rPr>
        <w:t> </w:t>
      </w:r>
      <w:r>
        <w:rPr>
          <w:w w:val="120"/>
          <w:sz w:val="20"/>
        </w:rPr>
        <w:t>evolving.</w:t>
      </w:r>
    </w:p>
    <w:p>
      <w:pPr>
        <w:pStyle w:val="BodyText"/>
        <w:spacing w:before="8"/>
        <w:rPr>
          <w:sz w:val="19"/>
        </w:rPr>
      </w:pPr>
    </w:p>
    <w:p>
      <w:pPr>
        <w:pStyle w:val="ListParagraph"/>
        <w:numPr>
          <w:ilvl w:val="5"/>
          <w:numId w:val="57"/>
        </w:numPr>
        <w:tabs>
          <w:tab w:pos="2664" w:val="left" w:leader="none"/>
          <w:tab w:pos="2665" w:val="left" w:leader="none"/>
        </w:tabs>
        <w:spacing w:line="240" w:lineRule="exact" w:before="0" w:after="0"/>
        <w:ind w:left="1984" w:right="1788" w:firstLine="0"/>
        <w:jc w:val="left"/>
        <w:rPr>
          <w:sz w:val="20"/>
        </w:rPr>
      </w:pPr>
      <w:r>
        <w:rPr>
          <w:w w:val="120"/>
          <w:sz w:val="20"/>
        </w:rPr>
        <w:t>Transition is about movement: movement away from some things towards others, and that is true not least for the transitioning church set in a transitioning world – ‘changing world, changing </w:t>
      </w:r>
      <w:r>
        <w:rPr>
          <w:spacing w:val="-4"/>
          <w:w w:val="120"/>
          <w:sz w:val="20"/>
        </w:rPr>
        <w:t>church’, </w:t>
      </w:r>
      <w:r>
        <w:rPr>
          <w:w w:val="120"/>
          <w:sz w:val="20"/>
        </w:rPr>
        <w:t>as Michael Moynagh has </w:t>
      </w:r>
      <w:r>
        <w:rPr>
          <w:spacing w:val="-3"/>
          <w:w w:val="120"/>
          <w:sz w:val="20"/>
        </w:rPr>
        <w:t>it.</w:t>
      </w:r>
      <w:r>
        <w:rPr>
          <w:spacing w:val="-3"/>
          <w:w w:val="120"/>
          <w:position w:val="4"/>
          <w:sz w:val="20"/>
        </w:rPr>
        <w:t>2 </w:t>
      </w:r>
      <w:r>
        <w:rPr>
          <w:w w:val="120"/>
          <w:sz w:val="20"/>
        </w:rPr>
        <w:t>We are moving away from bearing Christian witness in a Christian country, towards giving an account of our Christ-centred hope in a different context, where theistic faiths are multiple and atheism is evangelical. We are moving away from </w:t>
      </w:r>
      <w:r>
        <w:rPr>
          <w:spacing w:val="-5"/>
          <w:w w:val="120"/>
          <w:sz w:val="20"/>
        </w:rPr>
        <w:t>post-1945 </w:t>
      </w:r>
      <w:r>
        <w:rPr>
          <w:w w:val="120"/>
          <w:sz w:val="20"/>
        </w:rPr>
        <w:t>concerns with Cold War and Welfare State, towards those of the post-millennium era, such as ecology and </w:t>
      </w:r>
      <w:r>
        <w:rPr>
          <w:spacing w:val="-3"/>
          <w:w w:val="120"/>
          <w:sz w:val="20"/>
        </w:rPr>
        <w:t>economy, </w:t>
      </w:r>
      <w:r>
        <w:rPr>
          <w:w w:val="120"/>
          <w:sz w:val="20"/>
        </w:rPr>
        <w:t>racial and gender justice, globalisation and a renewed</w:t>
      </w:r>
      <w:r>
        <w:rPr>
          <w:spacing w:val="6"/>
          <w:w w:val="120"/>
          <w:sz w:val="20"/>
        </w:rPr>
        <w:t> </w:t>
      </w:r>
      <w:r>
        <w:rPr>
          <w:w w:val="120"/>
          <w:sz w:val="20"/>
        </w:rPr>
        <w:t>longing</w:t>
      </w:r>
      <w:r>
        <w:rPr>
          <w:spacing w:val="6"/>
          <w:w w:val="120"/>
          <w:sz w:val="20"/>
        </w:rPr>
        <w:t> </w:t>
      </w:r>
      <w:r>
        <w:rPr>
          <w:w w:val="120"/>
          <w:sz w:val="20"/>
        </w:rPr>
        <w:t>for</w:t>
      </w:r>
      <w:r>
        <w:rPr>
          <w:spacing w:val="6"/>
          <w:w w:val="120"/>
          <w:sz w:val="20"/>
        </w:rPr>
        <w:t> </w:t>
      </w:r>
      <w:r>
        <w:rPr>
          <w:spacing w:val="-2"/>
          <w:w w:val="120"/>
          <w:sz w:val="20"/>
        </w:rPr>
        <w:t>‘peace</w:t>
      </w:r>
      <w:r>
        <w:rPr>
          <w:spacing w:val="6"/>
          <w:w w:val="120"/>
          <w:sz w:val="20"/>
        </w:rPr>
        <w:t> </w:t>
      </w:r>
      <w:r>
        <w:rPr>
          <w:w w:val="120"/>
          <w:sz w:val="20"/>
        </w:rPr>
        <w:t>in</w:t>
      </w:r>
      <w:r>
        <w:rPr>
          <w:spacing w:val="6"/>
          <w:w w:val="120"/>
          <w:sz w:val="20"/>
        </w:rPr>
        <w:t> </w:t>
      </w:r>
      <w:r>
        <w:rPr>
          <w:w w:val="120"/>
          <w:sz w:val="20"/>
        </w:rPr>
        <w:t>our</w:t>
      </w:r>
      <w:r>
        <w:rPr>
          <w:spacing w:val="6"/>
          <w:w w:val="120"/>
          <w:sz w:val="20"/>
        </w:rPr>
        <w:t> </w:t>
      </w:r>
      <w:r>
        <w:rPr>
          <w:spacing w:val="-4"/>
          <w:w w:val="120"/>
          <w:sz w:val="20"/>
        </w:rPr>
        <w:t>time’.</w:t>
      </w:r>
      <w:r>
        <w:rPr>
          <w:spacing w:val="7"/>
          <w:w w:val="120"/>
          <w:sz w:val="20"/>
        </w:rPr>
        <w:t> </w:t>
      </w:r>
      <w:r>
        <w:rPr>
          <w:w w:val="120"/>
          <w:sz w:val="20"/>
        </w:rPr>
        <w:t>We</w:t>
      </w:r>
      <w:r>
        <w:rPr>
          <w:spacing w:val="6"/>
          <w:w w:val="120"/>
          <w:sz w:val="20"/>
        </w:rPr>
        <w:t> </w:t>
      </w:r>
      <w:r>
        <w:rPr>
          <w:w w:val="120"/>
          <w:sz w:val="20"/>
        </w:rPr>
        <w:t>are</w:t>
      </w:r>
      <w:r>
        <w:rPr>
          <w:spacing w:val="6"/>
          <w:w w:val="120"/>
          <w:sz w:val="20"/>
        </w:rPr>
        <w:t> </w:t>
      </w:r>
      <w:r>
        <w:rPr>
          <w:w w:val="120"/>
          <w:sz w:val="20"/>
        </w:rPr>
        <w:t>moving</w:t>
      </w:r>
      <w:r>
        <w:rPr>
          <w:spacing w:val="6"/>
          <w:w w:val="120"/>
          <w:sz w:val="20"/>
        </w:rPr>
        <w:t> </w:t>
      </w:r>
      <w:r>
        <w:rPr>
          <w:w w:val="120"/>
          <w:sz w:val="20"/>
        </w:rPr>
        <w:t>away</w:t>
      </w:r>
      <w:r>
        <w:rPr>
          <w:spacing w:val="6"/>
          <w:w w:val="120"/>
          <w:sz w:val="20"/>
        </w:rPr>
        <w:t> </w:t>
      </w:r>
      <w:r>
        <w:rPr>
          <w:w w:val="120"/>
          <w:sz w:val="20"/>
        </w:rPr>
        <w:t>from</w:t>
      </w:r>
      <w:r>
        <w:rPr>
          <w:spacing w:val="6"/>
          <w:w w:val="120"/>
          <w:sz w:val="20"/>
        </w:rPr>
        <w:t> </w:t>
      </w:r>
      <w:r>
        <w:rPr>
          <w:w w:val="120"/>
          <w:sz w:val="20"/>
        </w:rPr>
        <w:t>being</w:t>
      </w:r>
      <w:r>
        <w:rPr>
          <w:spacing w:val="6"/>
          <w:w w:val="120"/>
          <w:sz w:val="20"/>
        </w:rPr>
        <w:t> </w:t>
      </w:r>
      <w:r>
        <w:rPr>
          <w:spacing w:val="2"/>
          <w:w w:val="120"/>
          <w:sz w:val="20"/>
        </w:rPr>
        <w:t>part</w:t>
      </w:r>
      <w:r>
        <w:rPr>
          <w:spacing w:val="7"/>
          <w:w w:val="120"/>
          <w:sz w:val="20"/>
        </w:rPr>
        <w:t> </w:t>
      </w:r>
      <w:r>
        <w:rPr>
          <w:w w:val="120"/>
          <w:sz w:val="20"/>
        </w:rPr>
        <w:t>of</w:t>
      </w:r>
    </w:p>
    <w:p>
      <w:pPr>
        <w:pStyle w:val="BodyText"/>
        <w:spacing w:line="235" w:lineRule="auto" w:before="6"/>
        <w:ind w:left="1984" w:right="2070"/>
        <w:jc w:val="both"/>
      </w:pPr>
      <w:r>
        <w:rPr>
          <w:w w:val="120"/>
        </w:rPr>
        <w:t>a confident institutional monolith towards being a vulnerable, multicultural, all- ages-embracing pilgrim people who are engaged with the world and pliable to the reign of God.</w:t>
      </w:r>
    </w:p>
    <w:p>
      <w:pPr>
        <w:numPr>
          <w:ilvl w:val="4"/>
          <w:numId w:val="57"/>
        </w:numPr>
        <w:tabs>
          <w:tab w:pos="2704" w:val="left" w:leader="none"/>
          <w:tab w:pos="2705" w:val="left" w:leader="none"/>
        </w:tabs>
        <w:spacing w:before="216"/>
        <w:ind w:left="2704" w:right="0" w:hanging="721"/>
        <w:jc w:val="left"/>
        <w:rPr>
          <w:rFonts w:ascii="Stone Sans II ITC Std Bk"/>
          <w:b/>
          <w:sz w:val="21"/>
        </w:rPr>
      </w:pPr>
      <w:r>
        <w:rPr>
          <w:rFonts w:ascii="Stone Sans II ITC Std Bk"/>
          <w:b/>
          <w:w w:val="115"/>
          <w:sz w:val="21"/>
        </w:rPr>
        <w:t>A good</w:t>
      </w:r>
      <w:r>
        <w:rPr>
          <w:rFonts w:ascii="Stone Sans II ITC Std Bk"/>
          <w:b/>
          <w:spacing w:val="-3"/>
          <w:w w:val="115"/>
          <w:sz w:val="21"/>
        </w:rPr>
        <w:t> </w:t>
      </w:r>
      <w:r>
        <w:rPr>
          <w:rFonts w:ascii="Stone Sans II ITC Std Bk"/>
          <w:b/>
          <w:w w:val="115"/>
          <w:sz w:val="21"/>
        </w:rPr>
        <w:t>time</w:t>
      </w:r>
    </w:p>
    <w:p>
      <w:pPr>
        <w:pStyle w:val="BodyText"/>
        <w:spacing w:line="240" w:lineRule="exact" w:before="217"/>
        <w:ind w:left="1984" w:right="1634"/>
        <w:rPr>
          <w:i/>
        </w:rPr>
      </w:pPr>
      <w:r>
        <w:rPr>
          <w:w w:val="120"/>
        </w:rPr>
        <w:t>At its best, a process of transition will be liberating. It can bind us together, galvanised by common purpose. We move from one thing to another in order to progress from that which, however fruitful it once was, has become less effective, towards a transformed tomorrow. It is what God offers us in the stirring promise: ‘See, I am making all things </w:t>
      </w:r>
      <w:r>
        <w:rPr>
          <w:spacing w:val="-5"/>
          <w:w w:val="120"/>
        </w:rPr>
        <w:t>new.’</w:t>
      </w:r>
      <w:r>
        <w:rPr>
          <w:spacing w:val="-5"/>
          <w:w w:val="120"/>
          <w:position w:val="4"/>
        </w:rPr>
        <w:t>3 </w:t>
      </w:r>
      <w:r>
        <w:rPr>
          <w:w w:val="120"/>
        </w:rPr>
        <w:t>That is the dream and purpose of </w:t>
      </w:r>
      <w:r>
        <w:rPr>
          <w:i/>
          <w:w w:val="120"/>
        </w:rPr>
        <w:t>Catch</w:t>
      </w:r>
      <w:r>
        <w:rPr>
          <w:i/>
          <w:spacing w:val="17"/>
          <w:w w:val="120"/>
        </w:rPr>
        <w:t> </w:t>
      </w:r>
      <w:r>
        <w:rPr>
          <w:i/>
          <w:w w:val="120"/>
        </w:rPr>
        <w:t>the</w:t>
      </w:r>
    </w:p>
    <w:p>
      <w:pPr>
        <w:spacing w:line="192" w:lineRule="auto" w:before="2"/>
        <w:ind w:left="1984" w:right="1997" w:firstLine="0"/>
        <w:jc w:val="left"/>
        <w:rPr>
          <w:sz w:val="20"/>
        </w:rPr>
      </w:pPr>
      <w:r>
        <w:rPr>
          <w:i/>
          <w:w w:val="115"/>
          <w:sz w:val="20"/>
        </w:rPr>
        <w:t>Vision of </w:t>
      </w:r>
      <w:r>
        <w:rPr>
          <w:i/>
          <w:spacing w:val="-3"/>
          <w:w w:val="115"/>
          <w:sz w:val="20"/>
        </w:rPr>
        <w:t>God’s </w:t>
      </w:r>
      <w:r>
        <w:rPr>
          <w:i/>
          <w:spacing w:val="-4"/>
          <w:w w:val="115"/>
          <w:sz w:val="20"/>
        </w:rPr>
        <w:t>Tomorrow</w:t>
      </w:r>
      <w:r>
        <w:rPr>
          <w:spacing w:val="-4"/>
          <w:w w:val="115"/>
          <w:sz w:val="20"/>
        </w:rPr>
        <w:t>, </w:t>
      </w:r>
      <w:r>
        <w:rPr>
          <w:w w:val="115"/>
          <w:sz w:val="20"/>
        </w:rPr>
        <w:t>of </w:t>
      </w:r>
      <w:r>
        <w:rPr>
          <w:rFonts w:ascii="Arial Rounded MT Bold" w:hAnsi="Arial Rounded MT Bold"/>
          <w:sz w:val="21"/>
        </w:rPr>
        <w:t>Vision4</w:t>
      </w:r>
      <w:r>
        <w:rPr>
          <w:rFonts w:ascii="Bradley Hand ITC" w:hAnsi="Bradley Hand ITC"/>
          <w:color w:val="C20D19"/>
          <w:sz w:val="28"/>
        </w:rPr>
        <w:t>Life </w:t>
      </w:r>
      <w:r>
        <w:rPr>
          <w:w w:val="115"/>
          <w:sz w:val="20"/>
        </w:rPr>
        <w:t>and of </w:t>
      </w:r>
      <w:r>
        <w:rPr>
          <w:i/>
          <w:w w:val="115"/>
          <w:sz w:val="20"/>
        </w:rPr>
        <w:t>vision2020 </w:t>
      </w:r>
      <w:r>
        <w:rPr>
          <w:w w:val="115"/>
          <w:sz w:val="20"/>
        </w:rPr>
        <w:t>– each an Assembly- encouraged</w:t>
      </w:r>
      <w:r>
        <w:rPr>
          <w:spacing w:val="27"/>
          <w:w w:val="115"/>
          <w:sz w:val="20"/>
        </w:rPr>
        <w:t> </w:t>
      </w:r>
      <w:r>
        <w:rPr>
          <w:w w:val="115"/>
          <w:sz w:val="20"/>
        </w:rPr>
        <w:t>instrument</w:t>
      </w:r>
      <w:r>
        <w:rPr>
          <w:spacing w:val="28"/>
          <w:w w:val="115"/>
          <w:sz w:val="20"/>
        </w:rPr>
        <w:t> </w:t>
      </w:r>
      <w:r>
        <w:rPr>
          <w:w w:val="115"/>
          <w:sz w:val="20"/>
        </w:rPr>
        <w:t>of</w:t>
      </w:r>
      <w:r>
        <w:rPr>
          <w:spacing w:val="28"/>
          <w:w w:val="115"/>
          <w:sz w:val="20"/>
        </w:rPr>
        <w:t> </w:t>
      </w:r>
      <w:r>
        <w:rPr>
          <w:w w:val="115"/>
          <w:sz w:val="20"/>
        </w:rPr>
        <w:t>transition</w:t>
      </w:r>
      <w:r>
        <w:rPr>
          <w:spacing w:val="27"/>
          <w:w w:val="115"/>
          <w:sz w:val="20"/>
        </w:rPr>
        <w:t> </w:t>
      </w:r>
      <w:r>
        <w:rPr>
          <w:w w:val="115"/>
          <w:sz w:val="20"/>
        </w:rPr>
        <w:t>in</w:t>
      </w:r>
      <w:r>
        <w:rPr>
          <w:spacing w:val="28"/>
          <w:w w:val="115"/>
          <w:sz w:val="20"/>
        </w:rPr>
        <w:t> </w:t>
      </w:r>
      <w:r>
        <w:rPr>
          <w:w w:val="115"/>
          <w:sz w:val="20"/>
        </w:rPr>
        <w:t>pursuit</w:t>
      </w:r>
      <w:r>
        <w:rPr>
          <w:spacing w:val="28"/>
          <w:w w:val="115"/>
          <w:sz w:val="20"/>
        </w:rPr>
        <w:t> </w:t>
      </w:r>
      <w:r>
        <w:rPr>
          <w:w w:val="115"/>
          <w:sz w:val="20"/>
        </w:rPr>
        <w:t>of</w:t>
      </w:r>
      <w:r>
        <w:rPr>
          <w:spacing w:val="27"/>
          <w:w w:val="115"/>
          <w:sz w:val="20"/>
        </w:rPr>
        <w:t> </w:t>
      </w:r>
      <w:r>
        <w:rPr>
          <w:w w:val="115"/>
          <w:sz w:val="20"/>
        </w:rPr>
        <w:t>transformation.</w:t>
      </w:r>
      <w:r>
        <w:rPr>
          <w:spacing w:val="28"/>
          <w:w w:val="115"/>
          <w:sz w:val="20"/>
        </w:rPr>
        <w:t> </w:t>
      </w:r>
      <w:r>
        <w:rPr>
          <w:w w:val="115"/>
          <w:sz w:val="20"/>
        </w:rPr>
        <w:t>It</w:t>
      </w:r>
      <w:r>
        <w:rPr>
          <w:spacing w:val="28"/>
          <w:w w:val="115"/>
          <w:sz w:val="20"/>
        </w:rPr>
        <w:t> </w:t>
      </w:r>
      <w:r>
        <w:rPr>
          <w:w w:val="115"/>
          <w:sz w:val="20"/>
        </w:rPr>
        <w:t>is</w:t>
      </w:r>
      <w:r>
        <w:rPr>
          <w:spacing w:val="28"/>
          <w:w w:val="115"/>
          <w:sz w:val="20"/>
        </w:rPr>
        <w:t> </w:t>
      </w:r>
      <w:r>
        <w:rPr>
          <w:w w:val="115"/>
          <w:sz w:val="20"/>
        </w:rPr>
        <w:t>also</w:t>
      </w:r>
      <w:r>
        <w:rPr>
          <w:spacing w:val="27"/>
          <w:w w:val="115"/>
          <w:sz w:val="20"/>
        </w:rPr>
        <w:t> </w:t>
      </w:r>
      <w:r>
        <w:rPr>
          <w:w w:val="115"/>
          <w:sz w:val="20"/>
        </w:rPr>
        <w:t>the</w:t>
      </w:r>
    </w:p>
    <w:p>
      <w:pPr>
        <w:pStyle w:val="BodyText"/>
        <w:spacing w:line="235" w:lineRule="auto" w:before="8"/>
        <w:ind w:left="1984" w:right="1901"/>
      </w:pPr>
      <w:r>
        <w:rPr>
          <w:w w:val="120"/>
        </w:rPr>
        <w:t>dream and purpose of every mission-driven initiative by countless local churches and by each of the synods. After all, being perpetually in transition is the essential sign that we are alive. To embrace it is to live; to resist it is to die.</w:t>
      </w:r>
    </w:p>
    <w:p>
      <w:pPr>
        <w:pStyle w:val="BodyText"/>
        <w:spacing w:before="9"/>
        <w:rPr>
          <w:sz w:val="17"/>
        </w:rPr>
      </w:pPr>
    </w:p>
    <w:p>
      <w:pPr>
        <w:numPr>
          <w:ilvl w:val="4"/>
          <w:numId w:val="57"/>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A difficult</w:t>
      </w:r>
      <w:r>
        <w:rPr>
          <w:rFonts w:ascii="Stone Sans II ITC Std Bk"/>
          <w:b/>
          <w:spacing w:val="-3"/>
          <w:w w:val="115"/>
          <w:sz w:val="21"/>
        </w:rPr>
        <w:t> </w:t>
      </w:r>
      <w:r>
        <w:rPr>
          <w:rFonts w:ascii="Stone Sans II ITC Std Bk"/>
          <w:b/>
          <w:w w:val="115"/>
          <w:sz w:val="21"/>
        </w:rPr>
        <w:t>time</w:t>
      </w:r>
    </w:p>
    <w:p>
      <w:pPr>
        <w:pStyle w:val="BodyText"/>
        <w:spacing w:line="240" w:lineRule="exact" w:before="217"/>
        <w:ind w:left="1984" w:right="1933"/>
      </w:pPr>
      <w:r>
        <w:rPr>
          <w:w w:val="120"/>
        </w:rPr>
        <w:t>Inevitably, though, when we are in transition the tectonic plates sometimes shift so radically that we are moved away from the familiar towards the strange. It can confuse, discourage and disillusion. For many of us it feels undesirable and the challenge too great, despite the worthiness of the goal and our intellectual assent to the idea that only death to the old enables rebirth. In addition, in seasons of change our relationships can suffer. All too easily </w:t>
      </w:r>
      <w:r>
        <w:rPr>
          <w:spacing w:val="-3"/>
          <w:w w:val="120"/>
        </w:rPr>
        <w:t>there’s </w:t>
      </w:r>
      <w:r>
        <w:rPr>
          <w:w w:val="120"/>
        </w:rPr>
        <w:t>an uncertainty, which, unchecked, breeds a culture of suspicion, characterised by some as even a crisis  of trust; this can lead to isolation and independency.</w:t>
      </w:r>
      <w:r>
        <w:rPr>
          <w:w w:val="120"/>
          <w:position w:val="4"/>
        </w:rPr>
        <w:t>4 </w:t>
      </w:r>
      <w:r>
        <w:rPr>
          <w:w w:val="120"/>
        </w:rPr>
        <w:t>That the journey may be demanding, painful and risky, </w:t>
      </w:r>
      <w:r>
        <w:rPr>
          <w:spacing w:val="-3"/>
          <w:w w:val="120"/>
        </w:rPr>
        <w:t>however, </w:t>
      </w:r>
      <w:r>
        <w:rPr>
          <w:w w:val="120"/>
        </w:rPr>
        <w:t>does not make it the wrong journey, provided it is Spirit-led, prayer-driven and mission-shaped, which is</w:t>
      </w:r>
      <w:r>
        <w:rPr>
          <w:spacing w:val="34"/>
          <w:w w:val="120"/>
        </w:rPr>
        <w:t> </w:t>
      </w:r>
      <w:r>
        <w:rPr>
          <w:w w:val="120"/>
        </w:rPr>
        <w:t>what</w:t>
      </w:r>
    </w:p>
    <w:p>
      <w:pPr>
        <w:pStyle w:val="BodyText"/>
        <w:spacing w:line="303" w:lineRule="exact"/>
        <w:ind w:left="1984"/>
      </w:pPr>
      <w:r>
        <w:rPr>
          <w:rFonts w:ascii="Arial Rounded MT Bold" w:hAnsi="Arial Rounded MT Bold"/>
          <w:sz w:val="21"/>
        </w:rPr>
        <w:t>Vision4</w:t>
      </w:r>
      <w:r>
        <w:rPr>
          <w:rFonts w:ascii="Bradley Hand ITC" w:hAnsi="Bradley Hand ITC"/>
          <w:color w:val="C20D19"/>
          <w:sz w:val="28"/>
        </w:rPr>
        <w:t>Life</w:t>
      </w:r>
      <w:r>
        <w:rPr>
          <w:i/>
        </w:rPr>
        <w:t>’</w:t>
      </w:r>
      <w:r>
        <w:rPr/>
        <w:t>s </w:t>
      </w:r>
      <w:r>
        <w:rPr>
          <w:w w:val="115"/>
        </w:rPr>
        <w:t>Bible, Prayer and Evangelism emphases offer us.</w:t>
      </w:r>
    </w:p>
    <w:p>
      <w:pPr>
        <w:pStyle w:val="BodyText"/>
      </w:pPr>
    </w:p>
    <w:p>
      <w:pPr>
        <w:pStyle w:val="BodyText"/>
      </w:pPr>
    </w:p>
    <w:p>
      <w:pPr>
        <w:pStyle w:val="BodyText"/>
      </w:pPr>
    </w:p>
    <w:p>
      <w:pPr>
        <w:pStyle w:val="BodyText"/>
        <w:spacing w:before="5"/>
        <w:rPr>
          <w:sz w:val="28"/>
        </w:rPr>
      </w:pPr>
    </w:p>
    <w:p>
      <w:pPr>
        <w:pStyle w:val="ListParagraph"/>
        <w:numPr>
          <w:ilvl w:val="0"/>
          <w:numId w:val="59"/>
        </w:numPr>
        <w:tabs>
          <w:tab w:pos="2437" w:val="left" w:leader="none"/>
          <w:tab w:pos="2438" w:val="left" w:leader="none"/>
        </w:tabs>
        <w:spacing w:line="240" w:lineRule="auto" w:before="102" w:after="0"/>
        <w:ind w:left="2437" w:right="0" w:hanging="454"/>
        <w:jc w:val="left"/>
        <w:rPr>
          <w:sz w:val="18"/>
        </w:rPr>
      </w:pPr>
      <w:r>
        <w:rPr>
          <w:w w:val="120"/>
          <w:sz w:val="18"/>
        </w:rPr>
        <w:t>Mayne, Michael </w:t>
      </w:r>
      <w:r>
        <w:rPr>
          <w:spacing w:val="2"/>
          <w:w w:val="120"/>
          <w:sz w:val="18"/>
        </w:rPr>
        <w:t>2006 </w:t>
      </w:r>
      <w:r>
        <w:rPr>
          <w:i/>
          <w:w w:val="120"/>
          <w:sz w:val="18"/>
        </w:rPr>
        <w:t>The Enduring Melody </w:t>
      </w:r>
      <w:r>
        <w:rPr>
          <w:w w:val="120"/>
          <w:sz w:val="18"/>
        </w:rPr>
        <w:t>London: Darton, Longman and</w:t>
      </w:r>
      <w:r>
        <w:rPr>
          <w:spacing w:val="2"/>
          <w:w w:val="120"/>
          <w:sz w:val="18"/>
        </w:rPr>
        <w:t> </w:t>
      </w:r>
      <w:r>
        <w:rPr>
          <w:spacing w:val="-3"/>
          <w:w w:val="120"/>
          <w:sz w:val="18"/>
        </w:rPr>
        <w:t>Todd.</w:t>
      </w:r>
    </w:p>
    <w:p>
      <w:pPr>
        <w:pStyle w:val="ListParagraph"/>
        <w:numPr>
          <w:ilvl w:val="0"/>
          <w:numId w:val="59"/>
        </w:numPr>
        <w:tabs>
          <w:tab w:pos="2437" w:val="left" w:leader="none"/>
          <w:tab w:pos="2438" w:val="left" w:leader="none"/>
        </w:tabs>
        <w:spacing w:line="240" w:lineRule="auto" w:before="1" w:after="0"/>
        <w:ind w:left="2437" w:right="1944" w:hanging="454"/>
        <w:jc w:val="left"/>
        <w:rPr>
          <w:sz w:val="18"/>
        </w:rPr>
      </w:pPr>
      <w:r>
        <w:rPr>
          <w:w w:val="115"/>
          <w:sz w:val="18"/>
        </w:rPr>
        <w:t>Moynagh, Michael 2001 </w:t>
      </w:r>
      <w:r>
        <w:rPr>
          <w:i/>
          <w:w w:val="115"/>
          <w:sz w:val="18"/>
        </w:rPr>
        <w:t>Changing World, Changing Church: new forms of church, out-of- </w:t>
      </w:r>
      <w:r>
        <w:rPr>
          <w:i/>
          <w:w w:val="115"/>
          <w:sz w:val="18"/>
        </w:rPr>
        <w:t>the-pew thinking, initiatives that work </w:t>
      </w:r>
      <w:r>
        <w:rPr>
          <w:w w:val="115"/>
          <w:sz w:val="18"/>
        </w:rPr>
        <w:t>London: Monarch</w:t>
      </w:r>
      <w:r>
        <w:rPr>
          <w:spacing w:val="8"/>
          <w:w w:val="115"/>
          <w:sz w:val="18"/>
        </w:rPr>
        <w:t> </w:t>
      </w:r>
      <w:r>
        <w:rPr>
          <w:spacing w:val="2"/>
          <w:w w:val="115"/>
          <w:sz w:val="18"/>
        </w:rPr>
        <w:t>Books.</w:t>
      </w:r>
    </w:p>
    <w:p>
      <w:pPr>
        <w:pStyle w:val="ListParagraph"/>
        <w:numPr>
          <w:ilvl w:val="0"/>
          <w:numId w:val="59"/>
        </w:numPr>
        <w:tabs>
          <w:tab w:pos="2437" w:val="left" w:leader="none"/>
          <w:tab w:pos="2438" w:val="left" w:leader="none"/>
        </w:tabs>
        <w:spacing w:line="240" w:lineRule="auto" w:before="0" w:after="0"/>
        <w:ind w:left="2437" w:right="0" w:hanging="454"/>
        <w:jc w:val="left"/>
        <w:rPr>
          <w:sz w:val="18"/>
        </w:rPr>
      </w:pPr>
      <w:r>
        <w:rPr>
          <w:w w:val="120"/>
          <w:sz w:val="18"/>
        </w:rPr>
        <w:t>Revelation</w:t>
      </w:r>
      <w:r>
        <w:rPr>
          <w:spacing w:val="1"/>
          <w:w w:val="120"/>
          <w:sz w:val="18"/>
        </w:rPr>
        <w:t> </w:t>
      </w:r>
      <w:r>
        <w:rPr>
          <w:spacing w:val="-5"/>
          <w:w w:val="120"/>
          <w:sz w:val="18"/>
        </w:rPr>
        <w:t>21:5.</w:t>
      </w:r>
    </w:p>
    <w:p>
      <w:pPr>
        <w:pStyle w:val="ListParagraph"/>
        <w:numPr>
          <w:ilvl w:val="0"/>
          <w:numId w:val="59"/>
        </w:numPr>
        <w:tabs>
          <w:tab w:pos="2437" w:val="left" w:leader="none"/>
          <w:tab w:pos="2438" w:val="left" w:leader="none"/>
        </w:tabs>
        <w:spacing w:line="240" w:lineRule="auto" w:before="0" w:after="0"/>
        <w:ind w:left="2437" w:right="2603" w:hanging="454"/>
        <w:jc w:val="left"/>
        <w:rPr>
          <w:sz w:val="18"/>
        </w:rPr>
      </w:pPr>
      <w:r>
        <w:rPr>
          <w:w w:val="115"/>
          <w:sz w:val="18"/>
        </w:rPr>
        <w:t>O’Neill, Onora 2002 </w:t>
      </w:r>
      <w:r>
        <w:rPr>
          <w:i/>
          <w:w w:val="115"/>
          <w:sz w:val="18"/>
        </w:rPr>
        <w:t>A Question of Trust: the BBC Reith Lectures 2002 </w:t>
      </w:r>
      <w:r>
        <w:rPr>
          <w:w w:val="115"/>
          <w:sz w:val="18"/>
        </w:rPr>
        <w:t>Cambridge: Cambridge University Press Chapter</w:t>
      </w:r>
      <w:r>
        <w:rPr>
          <w:spacing w:val="24"/>
          <w:w w:val="115"/>
          <w:sz w:val="18"/>
        </w:rPr>
        <w:t> </w:t>
      </w:r>
      <w:r>
        <w:rPr>
          <w:w w:val="115"/>
          <w:sz w:val="18"/>
        </w:rPr>
        <w:t>4.</w:t>
      </w:r>
    </w:p>
    <w:p>
      <w:pPr>
        <w:pStyle w:val="BodyText"/>
      </w:pPr>
    </w:p>
    <w:p>
      <w:pPr>
        <w:pStyle w:val="BodyText"/>
      </w:pPr>
    </w:p>
    <w:p>
      <w:pPr>
        <w:tabs>
          <w:tab w:pos="10791" w:val="left" w:leader="none"/>
        </w:tabs>
        <w:spacing w:before="230"/>
        <w:ind w:left="484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41</w:t>
      </w:r>
    </w:p>
    <w:p>
      <w:pPr>
        <w:spacing w:after="0"/>
        <w:jc w:val="left"/>
        <w:rPr>
          <w:rFonts w:ascii="Stone Sans II ITC Std X Bd" w:hAnsi="Stone Sans II ITC Std X Bd"/>
          <w:sz w:val="24"/>
        </w:rPr>
        <w:sectPr>
          <w:headerReference w:type="default" r:id="rId165"/>
          <w:headerReference w:type="even" r:id="rId166"/>
          <w:footerReference w:type="default" r:id="rId167"/>
          <w:pgSz w:w="11910" w:h="16840"/>
          <w:pgMar w:header="0" w:footer="0" w:top="1060" w:bottom="280" w:left="0" w:right="0"/>
        </w:sectPr>
      </w:pPr>
    </w:p>
    <w:p>
      <w:pPr>
        <w:numPr>
          <w:ilvl w:val="0"/>
          <w:numId w:val="60"/>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1863040" filled="true" fillcolor="#dae4ec" stroked="false">
            <v:fill opacity="32768f" type="solid"/>
            <w10:wrap type="none"/>
          </v:rect>
        </w:pict>
      </w:r>
      <w:r>
        <w:rPr>
          <w:rFonts w:ascii="Stone Sans II ITC Std Bk"/>
          <w:b/>
          <w:w w:val="115"/>
          <w:sz w:val="21"/>
        </w:rPr>
        <w:t>Together in</w:t>
      </w:r>
      <w:r>
        <w:rPr>
          <w:rFonts w:ascii="Stone Sans II ITC Std Bk"/>
          <w:b/>
          <w:spacing w:val="-4"/>
          <w:w w:val="115"/>
          <w:sz w:val="21"/>
        </w:rPr>
        <w:t> </w:t>
      </w:r>
      <w:r>
        <w:rPr>
          <w:rFonts w:ascii="Stone Sans II ITC Std Bk"/>
          <w:b/>
          <w:w w:val="115"/>
          <w:sz w:val="21"/>
        </w:rPr>
        <w:t>transition</w:t>
      </w:r>
    </w:p>
    <w:p>
      <w:pPr>
        <w:pStyle w:val="BodyText"/>
        <w:spacing w:before="6"/>
        <w:rPr>
          <w:rFonts w:ascii="Stone Sans II ITC Std Bk"/>
          <w:b/>
          <w:sz w:val="17"/>
        </w:rPr>
      </w:pPr>
    </w:p>
    <w:p>
      <w:pPr>
        <w:pStyle w:val="BodyText"/>
        <w:spacing w:line="218" w:lineRule="auto"/>
        <w:ind w:left="1133" w:right="1901"/>
      </w:pPr>
      <w:r>
        <w:rPr>
          <w:w w:val="120"/>
        </w:rPr>
        <w:t>Precisely because it is such a roller-coaster, transition requires careful handling. It always has; it always will. Often it feels like what Bill Bridges sums up as, ‘a nowhere between two somewheres’.</w:t>
      </w:r>
      <w:r>
        <w:rPr>
          <w:w w:val="120"/>
          <w:position w:val="4"/>
        </w:rPr>
        <w:t>5 </w:t>
      </w:r>
      <w:r>
        <w:rPr>
          <w:w w:val="120"/>
        </w:rPr>
        <w:t>In our engagement with people at the grass roots of our denomination,</w:t>
      </w:r>
    </w:p>
    <w:p>
      <w:pPr>
        <w:pStyle w:val="BodyText"/>
        <w:spacing w:line="235" w:lineRule="auto"/>
        <w:ind w:left="1133" w:right="2384"/>
      </w:pPr>
      <w:r>
        <w:rPr>
          <w:w w:val="120"/>
        </w:rPr>
        <w:t>as Synod Moderators we are as aware as we ever have been of the pastoral element of mission; that we are best enabled to be adventurous risk-takers for Christ when we are persuaded of one another’s support and solidarity. Locally that means members, elders,</w:t>
      </w:r>
      <w:r>
        <w:rPr>
          <w:spacing w:val="9"/>
          <w:w w:val="120"/>
        </w:rPr>
        <w:t> </w:t>
      </w:r>
      <w:r>
        <w:rPr>
          <w:w w:val="120"/>
        </w:rPr>
        <w:t>young</w:t>
      </w:r>
      <w:r>
        <w:rPr>
          <w:spacing w:val="9"/>
          <w:w w:val="120"/>
        </w:rPr>
        <w:t> </w:t>
      </w:r>
      <w:r>
        <w:rPr>
          <w:w w:val="120"/>
        </w:rPr>
        <w:t>people,</w:t>
      </w:r>
      <w:r>
        <w:rPr>
          <w:spacing w:val="10"/>
          <w:w w:val="120"/>
        </w:rPr>
        <w:t> </w:t>
      </w:r>
      <w:r>
        <w:rPr>
          <w:w w:val="120"/>
        </w:rPr>
        <w:t>local</w:t>
      </w:r>
      <w:r>
        <w:rPr>
          <w:spacing w:val="9"/>
          <w:w w:val="120"/>
        </w:rPr>
        <w:t> </w:t>
      </w:r>
      <w:r>
        <w:rPr>
          <w:w w:val="120"/>
        </w:rPr>
        <w:t>leaders</w:t>
      </w:r>
      <w:r>
        <w:rPr>
          <w:spacing w:val="9"/>
          <w:w w:val="120"/>
        </w:rPr>
        <w:t> </w:t>
      </w:r>
      <w:r>
        <w:rPr>
          <w:w w:val="120"/>
        </w:rPr>
        <w:t>and</w:t>
      </w:r>
      <w:r>
        <w:rPr>
          <w:spacing w:val="10"/>
          <w:w w:val="120"/>
        </w:rPr>
        <w:t> </w:t>
      </w:r>
      <w:r>
        <w:rPr>
          <w:w w:val="120"/>
        </w:rPr>
        <w:t>ministers</w:t>
      </w:r>
      <w:r>
        <w:rPr>
          <w:spacing w:val="9"/>
          <w:w w:val="120"/>
        </w:rPr>
        <w:t> </w:t>
      </w:r>
      <w:r>
        <w:rPr>
          <w:w w:val="120"/>
        </w:rPr>
        <w:t>being</w:t>
      </w:r>
      <w:r>
        <w:rPr>
          <w:spacing w:val="9"/>
          <w:w w:val="120"/>
        </w:rPr>
        <w:t> </w:t>
      </w:r>
      <w:r>
        <w:rPr>
          <w:w w:val="120"/>
        </w:rPr>
        <w:t>confident</w:t>
      </w:r>
      <w:r>
        <w:rPr>
          <w:spacing w:val="10"/>
          <w:w w:val="120"/>
        </w:rPr>
        <w:t> </w:t>
      </w:r>
      <w:r>
        <w:rPr>
          <w:w w:val="120"/>
        </w:rPr>
        <w:t>of</w:t>
      </w:r>
      <w:r>
        <w:rPr>
          <w:spacing w:val="9"/>
          <w:w w:val="120"/>
        </w:rPr>
        <w:t> </w:t>
      </w:r>
      <w:r>
        <w:rPr>
          <w:w w:val="120"/>
        </w:rPr>
        <w:t>mutual</w:t>
      </w:r>
      <w:r>
        <w:rPr>
          <w:spacing w:val="10"/>
          <w:w w:val="120"/>
        </w:rPr>
        <w:t> </w:t>
      </w:r>
      <w:r>
        <w:rPr>
          <w:w w:val="120"/>
        </w:rPr>
        <w:t>support</w:t>
      </w:r>
    </w:p>
    <w:p>
      <w:pPr>
        <w:pStyle w:val="BodyText"/>
        <w:spacing w:line="241" w:lineRule="exact"/>
        <w:ind w:left="1133"/>
      </w:pPr>
      <w:r>
        <w:rPr>
          <w:w w:val="120"/>
        </w:rPr>
        <w:t>and</w:t>
      </w:r>
      <w:r>
        <w:rPr>
          <w:spacing w:val="5"/>
          <w:w w:val="120"/>
        </w:rPr>
        <w:t> </w:t>
      </w:r>
      <w:r>
        <w:rPr>
          <w:w w:val="120"/>
        </w:rPr>
        <w:t>solidarity;</w:t>
      </w:r>
      <w:r>
        <w:rPr>
          <w:spacing w:val="6"/>
          <w:w w:val="120"/>
        </w:rPr>
        <w:t> </w:t>
      </w:r>
      <w:r>
        <w:rPr>
          <w:w w:val="120"/>
        </w:rPr>
        <w:t>more</w:t>
      </w:r>
      <w:r>
        <w:rPr>
          <w:spacing w:val="5"/>
          <w:w w:val="120"/>
        </w:rPr>
        <w:t> </w:t>
      </w:r>
      <w:r>
        <w:rPr>
          <w:w w:val="120"/>
        </w:rPr>
        <w:t>widely</w:t>
      </w:r>
      <w:r>
        <w:rPr>
          <w:spacing w:val="6"/>
          <w:w w:val="120"/>
        </w:rPr>
        <w:t> </w:t>
      </w:r>
      <w:r>
        <w:rPr>
          <w:w w:val="120"/>
        </w:rPr>
        <w:t>it</w:t>
      </w:r>
      <w:r>
        <w:rPr>
          <w:spacing w:val="5"/>
          <w:w w:val="120"/>
        </w:rPr>
        <w:t> </w:t>
      </w:r>
      <w:r>
        <w:rPr>
          <w:w w:val="120"/>
        </w:rPr>
        <w:t>means</w:t>
      </w:r>
      <w:r>
        <w:rPr>
          <w:spacing w:val="6"/>
          <w:w w:val="120"/>
        </w:rPr>
        <w:t> </w:t>
      </w:r>
      <w:r>
        <w:rPr>
          <w:w w:val="120"/>
        </w:rPr>
        <w:t>ministers</w:t>
      </w:r>
      <w:r>
        <w:rPr>
          <w:w w:val="120"/>
          <w:position w:val="4"/>
        </w:rPr>
        <w:t>6</w:t>
      </w:r>
      <w:r>
        <w:rPr>
          <w:w w:val="120"/>
        </w:rPr>
        <w:t>,</w:t>
      </w:r>
      <w:r>
        <w:rPr>
          <w:spacing w:val="5"/>
          <w:w w:val="120"/>
        </w:rPr>
        <w:t> </w:t>
      </w:r>
      <w:r>
        <w:rPr>
          <w:w w:val="120"/>
        </w:rPr>
        <w:t>local</w:t>
      </w:r>
      <w:r>
        <w:rPr>
          <w:spacing w:val="6"/>
          <w:w w:val="120"/>
        </w:rPr>
        <w:t> </w:t>
      </w:r>
      <w:r>
        <w:rPr>
          <w:w w:val="120"/>
        </w:rPr>
        <w:t>leaders</w:t>
      </w:r>
      <w:r>
        <w:rPr>
          <w:spacing w:val="5"/>
          <w:w w:val="120"/>
        </w:rPr>
        <w:t> </w:t>
      </w:r>
      <w:r>
        <w:rPr>
          <w:w w:val="120"/>
        </w:rPr>
        <w:t>and</w:t>
      </w:r>
      <w:r>
        <w:rPr>
          <w:spacing w:val="6"/>
          <w:w w:val="120"/>
        </w:rPr>
        <w:t> </w:t>
      </w:r>
      <w:r>
        <w:rPr>
          <w:w w:val="120"/>
        </w:rPr>
        <w:t>every</w:t>
      </w:r>
      <w:r>
        <w:rPr>
          <w:spacing w:val="6"/>
          <w:w w:val="120"/>
        </w:rPr>
        <w:t> </w:t>
      </w:r>
      <w:r>
        <w:rPr>
          <w:w w:val="120"/>
        </w:rPr>
        <w:t>age</w:t>
      </w:r>
      <w:r>
        <w:rPr>
          <w:spacing w:val="5"/>
          <w:w w:val="120"/>
        </w:rPr>
        <w:t> </w:t>
      </w:r>
      <w:r>
        <w:rPr>
          <w:w w:val="120"/>
        </w:rPr>
        <w:t>group</w:t>
      </w:r>
      <w:r>
        <w:rPr>
          <w:spacing w:val="6"/>
          <w:w w:val="120"/>
        </w:rPr>
        <w:t> </w:t>
      </w:r>
      <w:r>
        <w:rPr>
          <w:w w:val="120"/>
        </w:rPr>
        <w:t>in</w:t>
      </w:r>
    </w:p>
    <w:p>
      <w:pPr>
        <w:pStyle w:val="BodyText"/>
        <w:spacing w:line="235" w:lineRule="auto" w:before="2"/>
        <w:ind w:left="1133" w:right="2267"/>
      </w:pPr>
      <w:r>
        <w:rPr>
          <w:w w:val="120"/>
        </w:rPr>
        <w:t>congregations being confident of the support and solidarity of synod and assembly   staff and structures. </w:t>
      </w:r>
      <w:r>
        <w:rPr>
          <w:spacing w:val="-3"/>
          <w:w w:val="120"/>
        </w:rPr>
        <w:t>It’s </w:t>
      </w:r>
      <w:r>
        <w:rPr>
          <w:w w:val="120"/>
        </w:rPr>
        <w:t>about us reliably encouraging one another on The Way – being together in</w:t>
      </w:r>
      <w:r>
        <w:rPr>
          <w:spacing w:val="3"/>
          <w:w w:val="120"/>
        </w:rPr>
        <w:t> </w:t>
      </w:r>
      <w:r>
        <w:rPr>
          <w:w w:val="120"/>
        </w:rPr>
        <w:t>transition.</w:t>
      </w:r>
    </w:p>
    <w:p>
      <w:pPr>
        <w:pStyle w:val="BodyText"/>
        <w:spacing w:before="8"/>
        <w:rPr>
          <w:sz w:val="17"/>
        </w:rPr>
      </w:pPr>
    </w:p>
    <w:p>
      <w:pPr>
        <w:numPr>
          <w:ilvl w:val="0"/>
          <w:numId w:val="60"/>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Dependability</w:t>
      </w:r>
    </w:p>
    <w:p>
      <w:pPr>
        <w:pStyle w:val="ListParagraph"/>
        <w:numPr>
          <w:ilvl w:val="1"/>
          <w:numId w:val="60"/>
        </w:numPr>
        <w:tabs>
          <w:tab w:pos="1814" w:val="left" w:leader="none"/>
          <w:tab w:pos="1815" w:val="left" w:leader="none"/>
        </w:tabs>
        <w:spacing w:line="235" w:lineRule="auto" w:before="223" w:after="0"/>
        <w:ind w:left="1133" w:right="1954" w:firstLine="0"/>
        <w:jc w:val="left"/>
        <w:rPr>
          <w:sz w:val="20"/>
        </w:rPr>
      </w:pPr>
      <w:r>
        <w:rPr>
          <w:w w:val="120"/>
          <w:sz w:val="20"/>
        </w:rPr>
        <w:t>John Azumah, a Ghanaian Presbyterian speaking of the churches’ historical mission in Africa, characterises it as having several</w:t>
      </w:r>
      <w:r>
        <w:rPr>
          <w:spacing w:val="10"/>
          <w:w w:val="120"/>
          <w:sz w:val="20"/>
        </w:rPr>
        <w:t> </w:t>
      </w:r>
      <w:r>
        <w:rPr>
          <w:w w:val="120"/>
          <w:sz w:val="20"/>
        </w:rPr>
        <w:t>phases:</w:t>
      </w:r>
    </w:p>
    <w:p>
      <w:pPr>
        <w:pStyle w:val="ListParagraph"/>
        <w:numPr>
          <w:ilvl w:val="1"/>
          <w:numId w:val="17"/>
        </w:numPr>
        <w:tabs>
          <w:tab w:pos="1814" w:val="left" w:leader="none"/>
          <w:tab w:pos="1815" w:val="left" w:leader="none"/>
        </w:tabs>
        <w:spacing w:line="248" w:lineRule="exact" w:before="0" w:after="0"/>
        <w:ind w:left="1814" w:right="0" w:hanging="682"/>
        <w:jc w:val="left"/>
        <w:rPr>
          <w:sz w:val="20"/>
        </w:rPr>
      </w:pPr>
      <w:r>
        <w:rPr>
          <w:w w:val="115"/>
          <w:sz w:val="20"/>
        </w:rPr>
        <w:t>initially many foreign missionaries made indigenous people</w:t>
      </w:r>
      <w:r>
        <w:rPr>
          <w:spacing w:val="42"/>
          <w:w w:val="115"/>
          <w:sz w:val="20"/>
        </w:rPr>
        <w:t> </w:t>
      </w:r>
      <w:r>
        <w:rPr>
          <w:i/>
          <w:w w:val="115"/>
          <w:sz w:val="20"/>
        </w:rPr>
        <w:t>dependent</w:t>
      </w:r>
      <w:r>
        <w:rPr>
          <w:w w:val="115"/>
          <w:sz w:val="20"/>
        </w:rPr>
        <w:t>;</w:t>
      </w:r>
    </w:p>
    <w:p>
      <w:pPr>
        <w:pStyle w:val="ListParagraph"/>
        <w:numPr>
          <w:ilvl w:val="1"/>
          <w:numId w:val="17"/>
        </w:numPr>
        <w:tabs>
          <w:tab w:pos="1814" w:val="left" w:leader="none"/>
          <w:tab w:pos="1815" w:val="left" w:leader="none"/>
        </w:tabs>
        <w:spacing w:line="196" w:lineRule="auto" w:before="0" w:after="0"/>
        <w:ind w:left="1814" w:right="2497" w:hanging="681"/>
        <w:jc w:val="left"/>
        <w:rPr>
          <w:sz w:val="20"/>
        </w:rPr>
      </w:pPr>
      <w:r>
        <w:rPr>
          <w:w w:val="115"/>
          <w:sz w:val="20"/>
        </w:rPr>
        <w:t>then there was the era when both political and ecclesiastical </w:t>
      </w:r>
      <w:r>
        <w:rPr>
          <w:i/>
          <w:w w:val="115"/>
          <w:sz w:val="20"/>
        </w:rPr>
        <w:t>independence </w:t>
      </w:r>
      <w:r>
        <w:rPr>
          <w:w w:val="115"/>
          <w:sz w:val="20"/>
        </w:rPr>
        <w:t>was negotiated and</w:t>
      </w:r>
      <w:r>
        <w:rPr>
          <w:spacing w:val="11"/>
          <w:w w:val="115"/>
          <w:sz w:val="20"/>
        </w:rPr>
        <w:t> </w:t>
      </w:r>
      <w:r>
        <w:rPr>
          <w:w w:val="115"/>
          <w:sz w:val="20"/>
        </w:rPr>
        <w:t>achieved;</w:t>
      </w:r>
    </w:p>
    <w:p>
      <w:pPr>
        <w:pStyle w:val="ListParagraph"/>
        <w:numPr>
          <w:ilvl w:val="1"/>
          <w:numId w:val="17"/>
        </w:numPr>
        <w:tabs>
          <w:tab w:pos="1814" w:val="left" w:leader="none"/>
          <w:tab w:pos="1815" w:val="left" w:leader="none"/>
        </w:tabs>
        <w:spacing w:line="196" w:lineRule="auto" w:before="15" w:after="0"/>
        <w:ind w:left="1814" w:right="1964" w:hanging="681"/>
        <w:jc w:val="left"/>
        <w:rPr>
          <w:sz w:val="20"/>
        </w:rPr>
      </w:pPr>
      <w:r>
        <w:rPr>
          <w:w w:val="115"/>
          <w:sz w:val="20"/>
        </w:rPr>
        <w:t>later came the recognition that indigenous and incomer alike were incomplete apart and flourished best in a climate of</w:t>
      </w:r>
      <w:r>
        <w:rPr>
          <w:spacing w:val="28"/>
          <w:w w:val="115"/>
          <w:sz w:val="20"/>
        </w:rPr>
        <w:t> </w:t>
      </w:r>
      <w:r>
        <w:rPr>
          <w:i/>
          <w:w w:val="115"/>
          <w:sz w:val="20"/>
        </w:rPr>
        <w:t>interdependence</w:t>
      </w:r>
      <w:r>
        <w:rPr>
          <w:w w:val="115"/>
          <w:sz w:val="20"/>
        </w:rPr>
        <w:t>.</w:t>
      </w:r>
    </w:p>
    <w:p>
      <w:pPr>
        <w:pStyle w:val="BodyText"/>
        <w:spacing w:before="3"/>
        <w:rPr>
          <w:sz w:val="21"/>
        </w:rPr>
      </w:pPr>
    </w:p>
    <w:p>
      <w:pPr>
        <w:pStyle w:val="ListParagraph"/>
        <w:numPr>
          <w:ilvl w:val="1"/>
          <w:numId w:val="60"/>
        </w:numPr>
        <w:tabs>
          <w:tab w:pos="1814" w:val="left" w:leader="none"/>
          <w:tab w:pos="1815" w:val="left" w:leader="none"/>
        </w:tabs>
        <w:spacing w:line="223" w:lineRule="auto" w:before="0" w:after="0"/>
        <w:ind w:left="1133" w:right="1938" w:firstLine="0"/>
        <w:jc w:val="left"/>
        <w:rPr>
          <w:sz w:val="20"/>
        </w:rPr>
      </w:pPr>
      <w:r>
        <w:rPr>
          <w:w w:val="120"/>
          <w:sz w:val="20"/>
        </w:rPr>
        <w:t>Azumah suggests, </w:t>
      </w:r>
      <w:r>
        <w:rPr>
          <w:spacing w:val="-5"/>
          <w:w w:val="120"/>
          <w:sz w:val="20"/>
        </w:rPr>
        <w:t>however, </w:t>
      </w:r>
      <w:r>
        <w:rPr>
          <w:w w:val="120"/>
          <w:sz w:val="20"/>
        </w:rPr>
        <w:t>that all three are less adequate than a mutual </w:t>
      </w:r>
      <w:r>
        <w:rPr>
          <w:i/>
          <w:spacing w:val="-4"/>
          <w:w w:val="120"/>
          <w:sz w:val="20"/>
        </w:rPr>
        <w:t>dependability</w:t>
      </w:r>
      <w:r>
        <w:rPr>
          <w:spacing w:val="-4"/>
          <w:w w:val="120"/>
          <w:sz w:val="20"/>
        </w:rPr>
        <w:t>, </w:t>
      </w:r>
      <w:r>
        <w:rPr>
          <w:w w:val="120"/>
          <w:sz w:val="20"/>
        </w:rPr>
        <w:t>which enables the trust, </w:t>
      </w:r>
      <w:r>
        <w:rPr>
          <w:spacing w:val="-3"/>
          <w:w w:val="120"/>
          <w:sz w:val="20"/>
        </w:rPr>
        <w:t>confidence </w:t>
      </w:r>
      <w:r>
        <w:rPr>
          <w:w w:val="120"/>
          <w:sz w:val="20"/>
        </w:rPr>
        <w:t>and </w:t>
      </w:r>
      <w:r>
        <w:rPr>
          <w:spacing w:val="-3"/>
          <w:w w:val="120"/>
          <w:sz w:val="20"/>
        </w:rPr>
        <w:t>collaboration </w:t>
      </w:r>
      <w:r>
        <w:rPr>
          <w:w w:val="120"/>
          <w:sz w:val="20"/>
        </w:rPr>
        <w:t>that </w:t>
      </w:r>
      <w:r>
        <w:rPr>
          <w:spacing w:val="-3"/>
          <w:w w:val="120"/>
          <w:sz w:val="20"/>
        </w:rPr>
        <w:t>ultimately </w:t>
      </w:r>
      <w:r>
        <w:rPr>
          <w:w w:val="120"/>
          <w:sz w:val="20"/>
        </w:rPr>
        <w:t>are wholesome,</w:t>
      </w:r>
      <w:r>
        <w:rPr>
          <w:spacing w:val="-8"/>
          <w:w w:val="120"/>
          <w:sz w:val="20"/>
        </w:rPr>
        <w:t> </w:t>
      </w:r>
      <w:r>
        <w:rPr>
          <w:spacing w:val="-3"/>
          <w:w w:val="120"/>
          <w:sz w:val="20"/>
        </w:rPr>
        <w:t>resilient</w:t>
      </w:r>
      <w:r>
        <w:rPr>
          <w:spacing w:val="-8"/>
          <w:w w:val="120"/>
          <w:sz w:val="20"/>
        </w:rPr>
        <w:t> </w:t>
      </w:r>
      <w:r>
        <w:rPr>
          <w:w w:val="120"/>
          <w:sz w:val="20"/>
        </w:rPr>
        <w:t>and</w:t>
      </w:r>
      <w:r>
        <w:rPr>
          <w:spacing w:val="-8"/>
          <w:w w:val="120"/>
          <w:sz w:val="20"/>
        </w:rPr>
        <w:t> </w:t>
      </w:r>
      <w:r>
        <w:rPr>
          <w:w w:val="120"/>
          <w:sz w:val="20"/>
        </w:rPr>
        <w:t>fruitful.</w:t>
      </w:r>
      <w:r>
        <w:rPr>
          <w:w w:val="120"/>
          <w:position w:val="4"/>
          <w:sz w:val="20"/>
        </w:rPr>
        <w:t>7</w:t>
      </w:r>
      <w:r>
        <w:rPr>
          <w:spacing w:val="-8"/>
          <w:w w:val="120"/>
          <w:position w:val="4"/>
          <w:sz w:val="20"/>
        </w:rPr>
        <w:t> </w:t>
      </w:r>
      <w:r>
        <w:rPr>
          <w:w w:val="120"/>
          <w:sz w:val="20"/>
        </w:rPr>
        <w:t>It</w:t>
      </w:r>
      <w:r>
        <w:rPr>
          <w:spacing w:val="-8"/>
          <w:w w:val="120"/>
          <w:sz w:val="20"/>
        </w:rPr>
        <w:t> </w:t>
      </w:r>
      <w:r>
        <w:rPr>
          <w:w w:val="120"/>
          <w:sz w:val="20"/>
        </w:rPr>
        <w:t>echoes</w:t>
      </w:r>
      <w:r>
        <w:rPr>
          <w:spacing w:val="-8"/>
          <w:w w:val="120"/>
          <w:sz w:val="20"/>
        </w:rPr>
        <w:t> </w:t>
      </w:r>
      <w:r>
        <w:rPr>
          <w:w w:val="120"/>
          <w:sz w:val="20"/>
        </w:rPr>
        <w:t>the</w:t>
      </w:r>
      <w:r>
        <w:rPr>
          <w:spacing w:val="-8"/>
          <w:w w:val="120"/>
          <w:sz w:val="20"/>
        </w:rPr>
        <w:t> </w:t>
      </w:r>
      <w:r>
        <w:rPr>
          <w:spacing w:val="-5"/>
          <w:w w:val="120"/>
          <w:sz w:val="20"/>
        </w:rPr>
        <w:t>Trinity,</w:t>
      </w:r>
      <w:r>
        <w:rPr>
          <w:spacing w:val="-7"/>
          <w:w w:val="120"/>
          <w:sz w:val="20"/>
        </w:rPr>
        <w:t> </w:t>
      </w:r>
      <w:r>
        <w:rPr>
          <w:w w:val="120"/>
          <w:sz w:val="20"/>
        </w:rPr>
        <w:t>where</w:t>
      </w:r>
      <w:r>
        <w:rPr>
          <w:spacing w:val="-8"/>
          <w:w w:val="120"/>
          <w:sz w:val="20"/>
        </w:rPr>
        <w:t> </w:t>
      </w:r>
      <w:r>
        <w:rPr>
          <w:w w:val="120"/>
          <w:sz w:val="20"/>
        </w:rPr>
        <w:t>the</w:t>
      </w:r>
      <w:r>
        <w:rPr>
          <w:spacing w:val="-8"/>
          <w:w w:val="120"/>
          <w:sz w:val="20"/>
        </w:rPr>
        <w:t> </w:t>
      </w:r>
      <w:r>
        <w:rPr>
          <w:w w:val="120"/>
          <w:sz w:val="20"/>
        </w:rPr>
        <w:t>triune</w:t>
      </w:r>
      <w:r>
        <w:rPr>
          <w:spacing w:val="-8"/>
          <w:w w:val="120"/>
          <w:sz w:val="20"/>
        </w:rPr>
        <w:t> </w:t>
      </w:r>
      <w:r>
        <w:rPr>
          <w:w w:val="120"/>
          <w:sz w:val="20"/>
        </w:rPr>
        <w:t>God</w:t>
      </w:r>
      <w:r>
        <w:rPr>
          <w:spacing w:val="-8"/>
          <w:w w:val="120"/>
          <w:sz w:val="20"/>
        </w:rPr>
        <w:t> </w:t>
      </w:r>
      <w:r>
        <w:rPr>
          <w:w w:val="120"/>
          <w:sz w:val="20"/>
        </w:rPr>
        <w:t>is</w:t>
      </w:r>
      <w:r>
        <w:rPr>
          <w:spacing w:val="-8"/>
          <w:w w:val="120"/>
          <w:sz w:val="20"/>
        </w:rPr>
        <w:t> </w:t>
      </w:r>
      <w:r>
        <w:rPr>
          <w:w w:val="120"/>
          <w:sz w:val="20"/>
        </w:rPr>
        <w:t>understood as being a </w:t>
      </w:r>
      <w:r>
        <w:rPr>
          <w:spacing w:val="-3"/>
          <w:w w:val="120"/>
          <w:sz w:val="20"/>
        </w:rPr>
        <w:t>community </w:t>
      </w:r>
      <w:r>
        <w:rPr>
          <w:w w:val="120"/>
          <w:sz w:val="20"/>
        </w:rPr>
        <w:t>of which mutual dependability is a defining</w:t>
      </w:r>
      <w:r>
        <w:rPr>
          <w:spacing w:val="-23"/>
          <w:w w:val="120"/>
          <w:sz w:val="20"/>
        </w:rPr>
        <w:t> </w:t>
      </w:r>
      <w:r>
        <w:rPr>
          <w:w w:val="120"/>
          <w:sz w:val="20"/>
        </w:rPr>
        <w:t>characteristic.</w:t>
      </w:r>
    </w:p>
    <w:p>
      <w:pPr>
        <w:pStyle w:val="BodyText"/>
        <w:spacing w:before="10"/>
        <w:rPr>
          <w:sz w:val="19"/>
        </w:rPr>
      </w:pPr>
    </w:p>
    <w:p>
      <w:pPr>
        <w:pStyle w:val="ListParagraph"/>
        <w:numPr>
          <w:ilvl w:val="1"/>
          <w:numId w:val="60"/>
        </w:numPr>
        <w:tabs>
          <w:tab w:pos="1814" w:val="left" w:leader="none"/>
          <w:tab w:pos="1815" w:val="left" w:leader="none"/>
        </w:tabs>
        <w:spacing w:line="235" w:lineRule="auto" w:before="0" w:after="0"/>
        <w:ind w:left="1133" w:right="1878" w:firstLine="0"/>
        <w:jc w:val="left"/>
        <w:rPr>
          <w:sz w:val="20"/>
        </w:rPr>
      </w:pPr>
      <w:r>
        <w:rPr>
          <w:w w:val="120"/>
          <w:sz w:val="20"/>
        </w:rPr>
        <w:t>In the </w:t>
      </w:r>
      <w:r>
        <w:rPr>
          <w:spacing w:val="-3"/>
          <w:w w:val="120"/>
          <w:sz w:val="20"/>
        </w:rPr>
        <w:t>United </w:t>
      </w:r>
      <w:r>
        <w:rPr>
          <w:w w:val="120"/>
          <w:sz w:val="20"/>
        </w:rPr>
        <w:t>Reformed </w:t>
      </w:r>
      <w:r>
        <w:rPr>
          <w:spacing w:val="-5"/>
          <w:w w:val="120"/>
          <w:sz w:val="20"/>
        </w:rPr>
        <w:t>Church’s </w:t>
      </w:r>
      <w:r>
        <w:rPr>
          <w:w w:val="120"/>
          <w:sz w:val="20"/>
        </w:rPr>
        <w:t>time of </w:t>
      </w:r>
      <w:r>
        <w:rPr>
          <w:spacing w:val="-3"/>
          <w:w w:val="120"/>
          <w:sz w:val="20"/>
        </w:rPr>
        <w:t>transition, </w:t>
      </w:r>
      <w:r>
        <w:rPr>
          <w:w w:val="120"/>
          <w:sz w:val="20"/>
        </w:rPr>
        <w:t>mutual dependability is </w:t>
      </w:r>
      <w:r>
        <w:rPr>
          <w:spacing w:val="-3"/>
          <w:w w:val="120"/>
          <w:sz w:val="20"/>
        </w:rPr>
        <w:t>essential. </w:t>
      </w:r>
      <w:r>
        <w:rPr>
          <w:spacing w:val="-5"/>
          <w:w w:val="120"/>
          <w:sz w:val="20"/>
        </w:rPr>
        <w:t>Total </w:t>
      </w:r>
      <w:r>
        <w:rPr>
          <w:w w:val="120"/>
          <w:sz w:val="20"/>
        </w:rPr>
        <w:t>and permanent </w:t>
      </w:r>
      <w:r>
        <w:rPr>
          <w:i/>
          <w:spacing w:val="-4"/>
          <w:w w:val="120"/>
          <w:sz w:val="20"/>
        </w:rPr>
        <w:t>dependence </w:t>
      </w:r>
      <w:r>
        <w:rPr>
          <w:w w:val="120"/>
          <w:sz w:val="20"/>
        </w:rPr>
        <w:t>of some upon others is alien </w:t>
      </w:r>
      <w:r>
        <w:rPr>
          <w:spacing w:val="-3"/>
          <w:w w:val="120"/>
          <w:sz w:val="20"/>
        </w:rPr>
        <w:t>to </w:t>
      </w:r>
      <w:r>
        <w:rPr>
          <w:w w:val="120"/>
          <w:sz w:val="20"/>
        </w:rPr>
        <w:t>our </w:t>
      </w:r>
      <w:r>
        <w:rPr>
          <w:spacing w:val="-3"/>
          <w:w w:val="120"/>
          <w:sz w:val="20"/>
        </w:rPr>
        <w:t>ecclesiology: </w:t>
      </w:r>
      <w:r>
        <w:rPr>
          <w:w w:val="120"/>
          <w:sz w:val="20"/>
        </w:rPr>
        <w:t>all </w:t>
      </w:r>
      <w:r>
        <w:rPr>
          <w:spacing w:val="-3"/>
          <w:w w:val="120"/>
          <w:sz w:val="20"/>
        </w:rPr>
        <w:t>have </w:t>
      </w:r>
      <w:r>
        <w:rPr>
          <w:spacing w:val="-4"/>
          <w:w w:val="120"/>
          <w:sz w:val="20"/>
        </w:rPr>
        <w:t>access </w:t>
      </w:r>
      <w:r>
        <w:rPr>
          <w:spacing w:val="-3"/>
          <w:w w:val="120"/>
          <w:sz w:val="20"/>
        </w:rPr>
        <w:t>to </w:t>
      </w:r>
      <w:r>
        <w:rPr>
          <w:w w:val="120"/>
          <w:sz w:val="20"/>
        </w:rPr>
        <w:t>God and all participate in the ministry of God. </w:t>
      </w:r>
      <w:r>
        <w:rPr>
          <w:i/>
          <w:spacing w:val="-4"/>
          <w:w w:val="120"/>
          <w:sz w:val="20"/>
        </w:rPr>
        <w:t>Independence </w:t>
      </w:r>
      <w:r>
        <w:rPr>
          <w:w w:val="120"/>
          <w:sz w:val="20"/>
        </w:rPr>
        <w:t>too </w:t>
      </w:r>
      <w:r>
        <w:rPr>
          <w:spacing w:val="-3"/>
          <w:w w:val="120"/>
          <w:sz w:val="20"/>
        </w:rPr>
        <w:t>easily </w:t>
      </w:r>
      <w:r>
        <w:rPr>
          <w:w w:val="120"/>
          <w:sz w:val="20"/>
        </w:rPr>
        <w:t>robs us of that</w:t>
      </w:r>
      <w:r>
        <w:rPr>
          <w:spacing w:val="-6"/>
          <w:w w:val="120"/>
          <w:sz w:val="20"/>
        </w:rPr>
        <w:t> </w:t>
      </w:r>
      <w:r>
        <w:rPr>
          <w:w w:val="120"/>
          <w:sz w:val="20"/>
        </w:rPr>
        <w:t>partnership</w:t>
      </w:r>
      <w:r>
        <w:rPr>
          <w:spacing w:val="-6"/>
          <w:w w:val="120"/>
          <w:sz w:val="20"/>
        </w:rPr>
        <w:t> </w:t>
      </w:r>
      <w:r>
        <w:rPr>
          <w:w w:val="120"/>
          <w:sz w:val="20"/>
        </w:rPr>
        <w:t>which</w:t>
      </w:r>
      <w:r>
        <w:rPr>
          <w:spacing w:val="-6"/>
          <w:w w:val="120"/>
          <w:sz w:val="20"/>
        </w:rPr>
        <w:t> </w:t>
      </w:r>
      <w:r>
        <w:rPr>
          <w:w w:val="120"/>
          <w:sz w:val="20"/>
        </w:rPr>
        <w:t>is</w:t>
      </w:r>
      <w:r>
        <w:rPr>
          <w:spacing w:val="-6"/>
          <w:w w:val="120"/>
          <w:sz w:val="20"/>
        </w:rPr>
        <w:t> </w:t>
      </w:r>
      <w:r>
        <w:rPr>
          <w:w w:val="120"/>
          <w:sz w:val="20"/>
        </w:rPr>
        <w:t>the</w:t>
      </w:r>
      <w:r>
        <w:rPr>
          <w:spacing w:val="-6"/>
          <w:w w:val="120"/>
          <w:sz w:val="20"/>
        </w:rPr>
        <w:t> </w:t>
      </w:r>
      <w:r>
        <w:rPr>
          <w:w w:val="120"/>
          <w:sz w:val="20"/>
        </w:rPr>
        <w:t>hallmark</w:t>
      </w:r>
      <w:r>
        <w:rPr>
          <w:spacing w:val="-6"/>
          <w:w w:val="120"/>
          <w:sz w:val="20"/>
        </w:rPr>
        <w:t> </w:t>
      </w:r>
      <w:r>
        <w:rPr>
          <w:w w:val="120"/>
          <w:sz w:val="20"/>
        </w:rPr>
        <w:t>of</w:t>
      </w:r>
      <w:r>
        <w:rPr>
          <w:spacing w:val="-6"/>
          <w:w w:val="120"/>
          <w:sz w:val="20"/>
        </w:rPr>
        <w:t> </w:t>
      </w:r>
      <w:r>
        <w:rPr>
          <w:w w:val="120"/>
          <w:sz w:val="20"/>
        </w:rPr>
        <w:t>our</w:t>
      </w:r>
      <w:r>
        <w:rPr>
          <w:spacing w:val="-6"/>
          <w:w w:val="120"/>
          <w:sz w:val="20"/>
        </w:rPr>
        <w:t> </w:t>
      </w:r>
      <w:r>
        <w:rPr>
          <w:w w:val="120"/>
          <w:sz w:val="20"/>
        </w:rPr>
        <w:t>life</w:t>
      </w:r>
      <w:r>
        <w:rPr>
          <w:spacing w:val="-6"/>
          <w:w w:val="120"/>
          <w:sz w:val="20"/>
        </w:rPr>
        <w:t> </w:t>
      </w:r>
      <w:r>
        <w:rPr>
          <w:spacing w:val="-4"/>
          <w:w w:val="120"/>
          <w:sz w:val="20"/>
        </w:rPr>
        <w:t>covenanted</w:t>
      </w:r>
      <w:r>
        <w:rPr>
          <w:spacing w:val="-5"/>
          <w:w w:val="120"/>
          <w:sz w:val="20"/>
        </w:rPr>
        <w:t> </w:t>
      </w:r>
      <w:r>
        <w:rPr>
          <w:spacing w:val="-4"/>
          <w:w w:val="120"/>
          <w:sz w:val="20"/>
        </w:rPr>
        <w:t>together.</w:t>
      </w:r>
      <w:r>
        <w:rPr>
          <w:spacing w:val="-6"/>
          <w:w w:val="120"/>
          <w:sz w:val="20"/>
        </w:rPr>
        <w:t> </w:t>
      </w:r>
      <w:r>
        <w:rPr>
          <w:w w:val="120"/>
          <w:sz w:val="20"/>
        </w:rPr>
        <w:t>And</w:t>
      </w:r>
      <w:r>
        <w:rPr>
          <w:spacing w:val="-6"/>
          <w:w w:val="120"/>
          <w:sz w:val="20"/>
        </w:rPr>
        <w:t> </w:t>
      </w:r>
      <w:r>
        <w:rPr>
          <w:w w:val="120"/>
          <w:sz w:val="20"/>
        </w:rPr>
        <w:t>for</w:t>
      </w:r>
      <w:r>
        <w:rPr>
          <w:spacing w:val="-6"/>
          <w:w w:val="120"/>
          <w:sz w:val="20"/>
        </w:rPr>
        <w:t> </w:t>
      </w:r>
      <w:r>
        <w:rPr>
          <w:w w:val="120"/>
          <w:sz w:val="20"/>
        </w:rPr>
        <w:t>all</w:t>
      </w:r>
      <w:r>
        <w:rPr>
          <w:spacing w:val="-6"/>
          <w:w w:val="120"/>
          <w:sz w:val="20"/>
        </w:rPr>
        <w:t> </w:t>
      </w:r>
      <w:r>
        <w:rPr>
          <w:w w:val="120"/>
          <w:sz w:val="20"/>
        </w:rPr>
        <w:t>its</w:t>
      </w:r>
      <w:r>
        <w:rPr>
          <w:spacing w:val="-6"/>
          <w:w w:val="120"/>
          <w:sz w:val="20"/>
        </w:rPr>
        <w:t> </w:t>
      </w:r>
      <w:r>
        <w:rPr>
          <w:spacing w:val="-3"/>
          <w:w w:val="120"/>
          <w:sz w:val="20"/>
        </w:rPr>
        <w:t>obvious </w:t>
      </w:r>
      <w:r>
        <w:rPr>
          <w:w w:val="120"/>
          <w:sz w:val="20"/>
        </w:rPr>
        <w:t>benefits, </w:t>
      </w:r>
      <w:r>
        <w:rPr>
          <w:i/>
          <w:spacing w:val="-4"/>
          <w:w w:val="120"/>
          <w:sz w:val="20"/>
        </w:rPr>
        <w:t>interdependence </w:t>
      </w:r>
      <w:r>
        <w:rPr>
          <w:w w:val="120"/>
          <w:sz w:val="20"/>
        </w:rPr>
        <w:t>is more an aspiration than our </w:t>
      </w:r>
      <w:r>
        <w:rPr>
          <w:spacing w:val="-2"/>
          <w:w w:val="120"/>
          <w:sz w:val="20"/>
        </w:rPr>
        <w:t>way </w:t>
      </w:r>
      <w:r>
        <w:rPr>
          <w:w w:val="120"/>
          <w:sz w:val="20"/>
        </w:rPr>
        <w:t>of life. </w:t>
      </w:r>
      <w:r>
        <w:rPr>
          <w:i/>
          <w:w w:val="120"/>
          <w:sz w:val="20"/>
        </w:rPr>
        <w:t>Mutual </w:t>
      </w:r>
      <w:r>
        <w:rPr>
          <w:i/>
          <w:spacing w:val="-4"/>
          <w:w w:val="120"/>
          <w:sz w:val="20"/>
        </w:rPr>
        <w:t>dependability</w:t>
      </w:r>
      <w:r>
        <w:rPr>
          <w:spacing w:val="-4"/>
          <w:w w:val="120"/>
          <w:sz w:val="20"/>
        </w:rPr>
        <w:t>, </w:t>
      </w:r>
      <w:r>
        <w:rPr>
          <w:spacing w:val="-5"/>
          <w:w w:val="120"/>
          <w:sz w:val="20"/>
        </w:rPr>
        <w:t>however, </w:t>
      </w:r>
      <w:r>
        <w:rPr>
          <w:w w:val="120"/>
          <w:sz w:val="20"/>
        </w:rPr>
        <w:t>in which we will share both vulnerability and </w:t>
      </w:r>
      <w:r>
        <w:rPr>
          <w:spacing w:val="-4"/>
          <w:w w:val="120"/>
          <w:sz w:val="20"/>
        </w:rPr>
        <w:t>success, </w:t>
      </w:r>
      <w:r>
        <w:rPr>
          <w:w w:val="120"/>
          <w:sz w:val="20"/>
        </w:rPr>
        <w:t>is about a </w:t>
      </w:r>
      <w:r>
        <w:rPr>
          <w:spacing w:val="-3"/>
          <w:w w:val="120"/>
          <w:sz w:val="20"/>
        </w:rPr>
        <w:t>commitment </w:t>
      </w:r>
      <w:r>
        <w:rPr>
          <w:w w:val="120"/>
          <w:sz w:val="20"/>
        </w:rPr>
        <w:t>and </w:t>
      </w:r>
      <w:r>
        <w:rPr>
          <w:spacing w:val="-3"/>
          <w:w w:val="120"/>
          <w:sz w:val="20"/>
        </w:rPr>
        <w:t>accountability </w:t>
      </w:r>
      <w:r>
        <w:rPr>
          <w:w w:val="120"/>
          <w:sz w:val="20"/>
        </w:rPr>
        <w:t>that </w:t>
      </w:r>
      <w:r>
        <w:rPr>
          <w:spacing w:val="-3"/>
          <w:w w:val="120"/>
          <w:sz w:val="20"/>
        </w:rPr>
        <w:t>have </w:t>
      </w:r>
      <w:r>
        <w:rPr>
          <w:w w:val="120"/>
          <w:sz w:val="20"/>
        </w:rPr>
        <w:t>the </w:t>
      </w:r>
      <w:r>
        <w:rPr>
          <w:spacing w:val="-3"/>
          <w:w w:val="120"/>
          <w:sz w:val="20"/>
        </w:rPr>
        <w:t>potential to </w:t>
      </w:r>
      <w:r>
        <w:rPr>
          <w:w w:val="120"/>
          <w:sz w:val="20"/>
        </w:rPr>
        <w:t>be the hallmarks </w:t>
      </w:r>
      <w:r>
        <w:rPr>
          <w:spacing w:val="-2"/>
          <w:w w:val="120"/>
          <w:sz w:val="20"/>
        </w:rPr>
        <w:t>not </w:t>
      </w:r>
      <w:r>
        <w:rPr>
          <w:w w:val="120"/>
          <w:sz w:val="20"/>
        </w:rPr>
        <w:t>just of our survival but of our effective </w:t>
      </w:r>
      <w:r>
        <w:rPr>
          <w:spacing w:val="-3"/>
          <w:w w:val="120"/>
          <w:sz w:val="20"/>
        </w:rPr>
        <w:t>mission </w:t>
      </w:r>
      <w:r>
        <w:rPr>
          <w:w w:val="120"/>
          <w:sz w:val="20"/>
        </w:rPr>
        <w:t>for a new</w:t>
      </w:r>
      <w:r>
        <w:rPr>
          <w:spacing w:val="-10"/>
          <w:w w:val="120"/>
          <w:sz w:val="20"/>
        </w:rPr>
        <w:t> </w:t>
      </w:r>
      <w:r>
        <w:rPr>
          <w:w w:val="120"/>
          <w:sz w:val="20"/>
        </w:rPr>
        <w:t>world.</w:t>
      </w:r>
    </w:p>
    <w:p>
      <w:pPr>
        <w:pStyle w:val="BodyText"/>
        <w:rPr>
          <w:sz w:val="18"/>
        </w:rPr>
      </w:pPr>
    </w:p>
    <w:p>
      <w:pPr>
        <w:numPr>
          <w:ilvl w:val="0"/>
          <w:numId w:val="60"/>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Musical</w:t>
      </w:r>
      <w:r>
        <w:rPr>
          <w:rFonts w:ascii="Stone Sans II ITC Std Bk"/>
          <w:b/>
          <w:spacing w:val="-2"/>
          <w:w w:val="115"/>
          <w:sz w:val="21"/>
        </w:rPr>
        <w:t> </w:t>
      </w:r>
      <w:r>
        <w:rPr>
          <w:rFonts w:ascii="Stone Sans II ITC Std Bk"/>
          <w:b/>
          <w:w w:val="115"/>
          <w:sz w:val="21"/>
        </w:rPr>
        <w:t>accompaniment</w:t>
      </w:r>
    </w:p>
    <w:p>
      <w:pPr>
        <w:pStyle w:val="ListParagraph"/>
        <w:numPr>
          <w:ilvl w:val="1"/>
          <w:numId w:val="60"/>
        </w:numPr>
        <w:tabs>
          <w:tab w:pos="1814" w:val="left" w:leader="none"/>
          <w:tab w:pos="1815" w:val="left" w:leader="none"/>
        </w:tabs>
        <w:spacing w:line="235" w:lineRule="auto" w:before="223" w:after="0"/>
        <w:ind w:left="1133" w:right="2137" w:firstLine="0"/>
        <w:jc w:val="left"/>
        <w:rPr>
          <w:sz w:val="20"/>
        </w:rPr>
      </w:pPr>
      <w:r>
        <w:rPr>
          <w:w w:val="120"/>
          <w:sz w:val="20"/>
        </w:rPr>
        <w:t>Music is </w:t>
      </w:r>
      <w:r>
        <w:rPr>
          <w:spacing w:val="2"/>
          <w:w w:val="120"/>
          <w:sz w:val="20"/>
        </w:rPr>
        <w:t>part </w:t>
      </w:r>
      <w:r>
        <w:rPr>
          <w:w w:val="120"/>
          <w:sz w:val="20"/>
        </w:rPr>
        <w:t>of many people’s lives, and of many churches. Musicians need to  be mutually dependable as together they weave their counterpoint. In particular, none but solo </w:t>
      </w:r>
      <w:r>
        <w:rPr>
          <w:spacing w:val="2"/>
          <w:w w:val="120"/>
          <w:sz w:val="20"/>
        </w:rPr>
        <w:t>performers </w:t>
      </w:r>
      <w:r>
        <w:rPr>
          <w:w w:val="120"/>
          <w:sz w:val="20"/>
        </w:rPr>
        <w:t>are able to shine without dependable accompaniment. </w:t>
      </w:r>
      <w:r>
        <w:rPr>
          <w:spacing w:val="2"/>
          <w:w w:val="120"/>
          <w:sz w:val="20"/>
        </w:rPr>
        <w:t>Of </w:t>
      </w:r>
      <w:r>
        <w:rPr>
          <w:w w:val="120"/>
          <w:sz w:val="20"/>
        </w:rPr>
        <w:t>course, accompaniment might be either a one person function, such as a pianist, or a corporate role for a backing group or orchestra. Either </w:t>
      </w:r>
      <w:r>
        <w:rPr>
          <w:spacing w:val="-4"/>
          <w:w w:val="120"/>
          <w:sz w:val="20"/>
        </w:rPr>
        <w:t>way, </w:t>
      </w:r>
      <w:r>
        <w:rPr>
          <w:w w:val="120"/>
          <w:sz w:val="20"/>
        </w:rPr>
        <w:t>its role is varied, but always with the fundamental aim of dependably enabling others in what they</w:t>
      </w:r>
      <w:r>
        <w:rPr>
          <w:spacing w:val="18"/>
          <w:w w:val="120"/>
          <w:sz w:val="20"/>
        </w:rPr>
        <w:t> </w:t>
      </w:r>
      <w:r>
        <w:rPr>
          <w:w w:val="120"/>
          <w:sz w:val="20"/>
        </w:rPr>
        <w:t>offer.</w:t>
      </w:r>
    </w:p>
    <w:p>
      <w:pPr>
        <w:pStyle w:val="BodyText"/>
        <w:spacing w:before="8"/>
        <w:rPr>
          <w:sz w:val="19"/>
        </w:rPr>
      </w:pPr>
    </w:p>
    <w:p>
      <w:pPr>
        <w:pStyle w:val="BodyText"/>
        <w:spacing w:line="242" w:lineRule="exact"/>
        <w:ind w:left="1133"/>
      </w:pPr>
      <w:r>
        <w:rPr>
          <w:w w:val="125"/>
        </w:rPr>
        <w:t>So,</w:t>
      </w:r>
    </w:p>
    <w:p>
      <w:pPr>
        <w:pStyle w:val="ListParagraph"/>
        <w:numPr>
          <w:ilvl w:val="2"/>
          <w:numId w:val="60"/>
        </w:numPr>
        <w:tabs>
          <w:tab w:pos="1814" w:val="left" w:leader="none"/>
          <w:tab w:pos="1815" w:val="left" w:leader="none"/>
        </w:tabs>
        <w:spacing w:line="235" w:lineRule="auto" w:before="2" w:after="0"/>
        <w:ind w:left="1133" w:right="2365" w:firstLine="0"/>
        <w:jc w:val="left"/>
        <w:rPr>
          <w:sz w:val="20"/>
        </w:rPr>
      </w:pPr>
      <w:r>
        <w:rPr>
          <w:w w:val="120"/>
          <w:sz w:val="20"/>
        </w:rPr>
        <w:t>sometimes the accompanist introduces a theme for others later to adopt, echo and</w:t>
      </w:r>
      <w:r>
        <w:rPr>
          <w:spacing w:val="2"/>
          <w:w w:val="120"/>
          <w:sz w:val="20"/>
        </w:rPr>
        <w:t> </w:t>
      </w:r>
      <w:r>
        <w:rPr>
          <w:w w:val="120"/>
          <w:sz w:val="20"/>
        </w:rPr>
        <w:t>adapt;</w:t>
      </w:r>
    </w:p>
    <w:p>
      <w:pPr>
        <w:pStyle w:val="ListParagraph"/>
        <w:numPr>
          <w:ilvl w:val="2"/>
          <w:numId w:val="60"/>
        </w:numPr>
        <w:tabs>
          <w:tab w:pos="1814" w:val="left" w:leader="none"/>
          <w:tab w:pos="1815" w:val="left" w:leader="none"/>
        </w:tabs>
        <w:spacing w:line="235" w:lineRule="auto" w:before="1" w:after="0"/>
        <w:ind w:left="1133" w:right="2349" w:firstLine="0"/>
        <w:jc w:val="left"/>
        <w:rPr>
          <w:sz w:val="20"/>
        </w:rPr>
      </w:pPr>
      <w:r>
        <w:rPr>
          <w:w w:val="120"/>
          <w:sz w:val="20"/>
        </w:rPr>
        <w:t>sometimes the accompanist plays exactly the same motif as others, supporting and strengthening</w:t>
      </w:r>
      <w:r>
        <w:rPr>
          <w:spacing w:val="4"/>
          <w:w w:val="120"/>
          <w:sz w:val="20"/>
        </w:rPr>
        <w:t> </w:t>
      </w:r>
      <w:r>
        <w:rPr>
          <w:w w:val="120"/>
          <w:sz w:val="20"/>
        </w:rPr>
        <w:t>them;</w:t>
      </w:r>
    </w:p>
    <w:p>
      <w:pPr>
        <w:pStyle w:val="BodyText"/>
        <w:spacing w:line="235" w:lineRule="auto" w:before="2"/>
        <w:ind w:left="1133" w:right="2573"/>
      </w:pPr>
      <w:r>
        <w:rPr>
          <w:w w:val="120"/>
        </w:rPr>
        <w:t>6.2.3 sometimes the accompanist has a contrasting melody, which complements and completes what others offer;</w:t>
      </w:r>
    </w:p>
    <w:p>
      <w:pPr>
        <w:pStyle w:val="BodyText"/>
        <w:spacing w:before="2"/>
        <w:rPr>
          <w:sz w:val="15"/>
        </w:rPr>
      </w:pPr>
      <w:r>
        <w:rPr/>
        <w:pict>
          <v:shape style="position:absolute;margin-left:56.692795pt;margin-top:11.744011pt;width:72pt;height:.1pt;mso-position-horizontal-relative:page;mso-position-vertical-relative:paragraph;z-index:-251454464;mso-wrap-distance-left:0;mso-wrap-distance-right:0" coordorigin="1134,235" coordsize="1440,0" path="m1134,235l2574,235e" filled="false" stroked="true" strokeweight="1pt" strokecolor="#000000">
            <v:path arrowok="t"/>
            <v:stroke dashstyle="solid"/>
            <w10:wrap type="topAndBottom"/>
          </v:shape>
        </w:pict>
      </w:r>
    </w:p>
    <w:p>
      <w:pPr>
        <w:pStyle w:val="ListParagraph"/>
        <w:numPr>
          <w:ilvl w:val="0"/>
          <w:numId w:val="61"/>
        </w:numPr>
        <w:tabs>
          <w:tab w:pos="1587" w:val="left" w:leader="none"/>
          <w:tab w:pos="1588" w:val="left" w:leader="none"/>
        </w:tabs>
        <w:spacing w:line="240" w:lineRule="auto" w:before="9" w:after="0"/>
        <w:ind w:left="1587" w:right="2268" w:hanging="454"/>
        <w:jc w:val="left"/>
        <w:rPr>
          <w:sz w:val="18"/>
        </w:rPr>
      </w:pPr>
      <w:r>
        <w:rPr>
          <w:w w:val="120"/>
          <w:sz w:val="18"/>
        </w:rPr>
        <w:t>Bridges,</w:t>
      </w:r>
      <w:r>
        <w:rPr>
          <w:spacing w:val="-4"/>
          <w:w w:val="120"/>
          <w:sz w:val="18"/>
        </w:rPr>
        <w:t> </w:t>
      </w:r>
      <w:r>
        <w:rPr>
          <w:w w:val="120"/>
          <w:sz w:val="18"/>
        </w:rPr>
        <w:t>William</w:t>
      </w:r>
      <w:r>
        <w:rPr>
          <w:spacing w:val="-4"/>
          <w:w w:val="120"/>
          <w:sz w:val="18"/>
        </w:rPr>
        <w:t> </w:t>
      </w:r>
      <w:r>
        <w:rPr>
          <w:w w:val="120"/>
          <w:sz w:val="18"/>
        </w:rPr>
        <w:t>2003</w:t>
      </w:r>
      <w:r>
        <w:rPr>
          <w:spacing w:val="-4"/>
          <w:w w:val="120"/>
          <w:sz w:val="18"/>
        </w:rPr>
        <w:t> </w:t>
      </w:r>
      <w:r>
        <w:rPr>
          <w:i/>
          <w:w w:val="120"/>
          <w:sz w:val="18"/>
        </w:rPr>
        <w:t>Managing</w:t>
      </w:r>
      <w:r>
        <w:rPr>
          <w:i/>
          <w:spacing w:val="-6"/>
          <w:w w:val="120"/>
          <w:sz w:val="18"/>
        </w:rPr>
        <w:t> </w:t>
      </w:r>
      <w:r>
        <w:rPr>
          <w:i/>
          <w:w w:val="120"/>
          <w:sz w:val="18"/>
        </w:rPr>
        <w:t>Transitions:</w:t>
      </w:r>
      <w:r>
        <w:rPr>
          <w:i/>
          <w:spacing w:val="-7"/>
          <w:w w:val="120"/>
          <w:sz w:val="18"/>
        </w:rPr>
        <w:t> </w:t>
      </w:r>
      <w:r>
        <w:rPr>
          <w:i/>
          <w:w w:val="120"/>
          <w:sz w:val="18"/>
        </w:rPr>
        <w:t>making</w:t>
      </w:r>
      <w:r>
        <w:rPr>
          <w:i/>
          <w:spacing w:val="-6"/>
          <w:w w:val="120"/>
          <w:sz w:val="18"/>
        </w:rPr>
        <w:t> </w:t>
      </w:r>
      <w:r>
        <w:rPr>
          <w:i/>
          <w:w w:val="120"/>
          <w:sz w:val="18"/>
        </w:rPr>
        <w:t>the</w:t>
      </w:r>
      <w:r>
        <w:rPr>
          <w:i/>
          <w:spacing w:val="-7"/>
          <w:w w:val="120"/>
          <w:sz w:val="18"/>
        </w:rPr>
        <w:t> </w:t>
      </w:r>
      <w:r>
        <w:rPr>
          <w:i/>
          <w:w w:val="120"/>
          <w:sz w:val="18"/>
        </w:rPr>
        <w:t>most</w:t>
      </w:r>
      <w:r>
        <w:rPr>
          <w:i/>
          <w:spacing w:val="-6"/>
          <w:w w:val="120"/>
          <w:sz w:val="18"/>
        </w:rPr>
        <w:t> </w:t>
      </w:r>
      <w:r>
        <w:rPr>
          <w:i/>
          <w:w w:val="120"/>
          <w:sz w:val="18"/>
        </w:rPr>
        <w:t>of</w:t>
      </w:r>
      <w:r>
        <w:rPr>
          <w:i/>
          <w:spacing w:val="-7"/>
          <w:w w:val="120"/>
          <w:sz w:val="18"/>
        </w:rPr>
        <w:t> </w:t>
      </w:r>
      <w:r>
        <w:rPr>
          <w:i/>
          <w:w w:val="120"/>
          <w:sz w:val="18"/>
        </w:rPr>
        <w:t>change</w:t>
      </w:r>
      <w:r>
        <w:rPr>
          <w:i/>
          <w:spacing w:val="-4"/>
          <w:w w:val="120"/>
          <w:sz w:val="18"/>
        </w:rPr>
        <w:t> </w:t>
      </w:r>
      <w:r>
        <w:rPr>
          <w:w w:val="120"/>
          <w:sz w:val="18"/>
        </w:rPr>
        <w:t>2</w:t>
      </w:r>
      <w:r>
        <w:rPr>
          <w:w w:val="120"/>
          <w:position w:val="6"/>
          <w:sz w:val="10"/>
        </w:rPr>
        <w:t>nd</w:t>
      </w:r>
      <w:r>
        <w:rPr>
          <w:spacing w:val="19"/>
          <w:w w:val="120"/>
          <w:position w:val="6"/>
          <w:sz w:val="10"/>
        </w:rPr>
        <w:t> </w:t>
      </w:r>
      <w:r>
        <w:rPr>
          <w:w w:val="120"/>
          <w:sz w:val="18"/>
        </w:rPr>
        <w:t>edition</w:t>
      </w:r>
      <w:r>
        <w:rPr>
          <w:spacing w:val="-4"/>
          <w:w w:val="120"/>
          <w:sz w:val="18"/>
        </w:rPr>
        <w:t> </w:t>
      </w:r>
      <w:r>
        <w:rPr>
          <w:w w:val="120"/>
          <w:sz w:val="18"/>
        </w:rPr>
        <w:t>London: Nicholas Brealey page</w:t>
      </w:r>
      <w:r>
        <w:rPr>
          <w:spacing w:val="7"/>
          <w:w w:val="120"/>
          <w:sz w:val="18"/>
        </w:rPr>
        <w:t> </w:t>
      </w:r>
      <w:r>
        <w:rPr>
          <w:w w:val="120"/>
          <w:sz w:val="18"/>
        </w:rPr>
        <w:t>40.</w:t>
      </w:r>
    </w:p>
    <w:p>
      <w:pPr>
        <w:pStyle w:val="ListParagraph"/>
        <w:numPr>
          <w:ilvl w:val="0"/>
          <w:numId w:val="61"/>
        </w:numPr>
        <w:tabs>
          <w:tab w:pos="1587" w:val="left" w:leader="none"/>
          <w:tab w:pos="1588" w:val="left" w:leader="none"/>
        </w:tabs>
        <w:spacing w:line="240" w:lineRule="auto" w:before="1" w:after="0"/>
        <w:ind w:left="1587" w:right="1841" w:hanging="454"/>
        <w:jc w:val="left"/>
        <w:rPr>
          <w:sz w:val="18"/>
        </w:rPr>
      </w:pPr>
      <w:r>
        <w:rPr>
          <w:w w:val="115"/>
          <w:sz w:val="18"/>
        </w:rPr>
        <w:t>The use of the term ’ministers’ refers throughout this </w:t>
      </w:r>
      <w:r>
        <w:rPr>
          <w:spacing w:val="2"/>
          <w:w w:val="115"/>
          <w:sz w:val="18"/>
        </w:rPr>
        <w:t>report </w:t>
      </w:r>
      <w:r>
        <w:rPr>
          <w:w w:val="115"/>
          <w:sz w:val="18"/>
        </w:rPr>
        <w:t>to Ministers of Word and Sacrament and Church Related Community</w:t>
      </w:r>
      <w:r>
        <w:rPr>
          <w:spacing w:val="21"/>
          <w:w w:val="115"/>
          <w:sz w:val="18"/>
        </w:rPr>
        <w:t> </w:t>
      </w:r>
      <w:r>
        <w:rPr>
          <w:w w:val="115"/>
          <w:sz w:val="18"/>
        </w:rPr>
        <w:t>Workers.</w:t>
      </w:r>
    </w:p>
    <w:p>
      <w:pPr>
        <w:pStyle w:val="ListParagraph"/>
        <w:numPr>
          <w:ilvl w:val="0"/>
          <w:numId w:val="61"/>
        </w:numPr>
        <w:tabs>
          <w:tab w:pos="1587" w:val="left" w:leader="none"/>
          <w:tab w:pos="1588" w:val="left" w:leader="none"/>
        </w:tabs>
        <w:spacing w:line="240" w:lineRule="auto" w:before="0" w:after="0"/>
        <w:ind w:left="1587" w:right="2509" w:hanging="454"/>
        <w:jc w:val="left"/>
        <w:rPr>
          <w:sz w:val="18"/>
        </w:rPr>
      </w:pPr>
      <w:r>
        <w:rPr>
          <w:w w:val="115"/>
          <w:sz w:val="18"/>
        </w:rPr>
        <w:t>Partnership Meeting for Mission Partners of Presbyterian Church of Ghana, Louisville, </w:t>
      </w:r>
      <w:r>
        <w:rPr>
          <w:spacing w:val="-2"/>
          <w:w w:val="115"/>
          <w:sz w:val="18"/>
        </w:rPr>
        <w:t>KY, </w:t>
      </w:r>
      <w:r>
        <w:rPr>
          <w:w w:val="115"/>
          <w:sz w:val="18"/>
        </w:rPr>
        <w:t>October 2007 Address by Dr John</w:t>
      </w:r>
      <w:r>
        <w:rPr>
          <w:spacing w:val="37"/>
          <w:w w:val="115"/>
          <w:sz w:val="18"/>
        </w:rPr>
        <w:t> </w:t>
      </w:r>
      <w:r>
        <w:rPr>
          <w:w w:val="115"/>
          <w:sz w:val="18"/>
        </w:rPr>
        <w:t>Azumah.</w:t>
      </w:r>
    </w:p>
    <w:p>
      <w:pPr>
        <w:spacing w:after="0" w:line="240" w:lineRule="auto"/>
        <w:jc w:val="left"/>
        <w:rPr>
          <w:sz w:val="18"/>
        </w:rPr>
        <w:sectPr>
          <w:headerReference w:type="even" r:id="rId170"/>
          <w:headerReference w:type="default" r:id="rId171"/>
          <w:footerReference w:type="even" r:id="rId172"/>
          <w:footerReference w:type="default" r:id="rId173"/>
          <w:pgSz w:w="11910" w:h="16840"/>
          <w:pgMar w:header="0" w:footer="647" w:top="1060" w:bottom="840" w:left="0" w:right="0"/>
          <w:pgNumType w:start="42"/>
        </w:sectPr>
      </w:pPr>
    </w:p>
    <w:p>
      <w:pPr>
        <w:pStyle w:val="ListParagraph"/>
        <w:numPr>
          <w:ilvl w:val="2"/>
          <w:numId w:val="62"/>
        </w:numPr>
        <w:tabs>
          <w:tab w:pos="2664" w:val="left" w:leader="none"/>
          <w:tab w:pos="2665" w:val="left" w:leader="none"/>
        </w:tabs>
        <w:spacing w:line="235" w:lineRule="auto" w:before="91" w:after="0"/>
        <w:ind w:left="1984" w:right="1515" w:firstLine="0"/>
        <w:jc w:val="left"/>
        <w:rPr>
          <w:sz w:val="20"/>
        </w:rPr>
      </w:pPr>
      <w:r>
        <w:rPr/>
        <w:pict>
          <v:rect style="position:absolute;margin-left:558.424988pt;margin-top:8.503343pt;width:22.677pt;height:22.677pt;mso-position-horizontal-relative:page;mso-position-vertical-relative:paragraph;z-index:251865088" filled="true" fillcolor="#dae4ec" stroked="false">
            <v:fill opacity="32768f" type="solid"/>
            <w10:wrap type="none"/>
          </v:rect>
        </w:pict>
      </w:r>
      <w:r>
        <w:rPr>
          <w:w w:val="120"/>
          <w:sz w:val="20"/>
        </w:rPr>
        <w:t>sometimes the accompanist is in radical contrast to the accompanied, drawing out the best from others by the dialogue, even the dissonance, that s/he</w:t>
      </w:r>
      <w:r>
        <w:rPr>
          <w:spacing w:val="16"/>
          <w:w w:val="120"/>
          <w:sz w:val="20"/>
        </w:rPr>
        <w:t> </w:t>
      </w:r>
      <w:r>
        <w:rPr>
          <w:w w:val="120"/>
          <w:sz w:val="20"/>
        </w:rPr>
        <w:t>enables;</w:t>
      </w:r>
    </w:p>
    <w:p>
      <w:pPr>
        <w:pStyle w:val="ListParagraph"/>
        <w:numPr>
          <w:ilvl w:val="2"/>
          <w:numId w:val="62"/>
        </w:numPr>
        <w:tabs>
          <w:tab w:pos="2664" w:val="left" w:leader="none"/>
          <w:tab w:pos="2665" w:val="left" w:leader="none"/>
        </w:tabs>
        <w:spacing w:line="235" w:lineRule="auto" w:before="1" w:after="0"/>
        <w:ind w:left="1984" w:right="1316" w:firstLine="0"/>
        <w:jc w:val="left"/>
        <w:rPr>
          <w:sz w:val="20"/>
        </w:rPr>
      </w:pPr>
      <w:r>
        <w:rPr>
          <w:w w:val="120"/>
          <w:sz w:val="20"/>
        </w:rPr>
        <w:t>sometimes the accompanist is more in a jazz mode, idiosyncratically improvising in spontaneous and flexible response to</w:t>
      </w:r>
      <w:r>
        <w:rPr>
          <w:spacing w:val="11"/>
          <w:w w:val="120"/>
          <w:sz w:val="20"/>
        </w:rPr>
        <w:t> </w:t>
      </w:r>
      <w:r>
        <w:rPr>
          <w:w w:val="120"/>
          <w:sz w:val="20"/>
        </w:rPr>
        <w:t>others;</w:t>
      </w:r>
    </w:p>
    <w:p>
      <w:pPr>
        <w:pStyle w:val="ListParagraph"/>
        <w:numPr>
          <w:ilvl w:val="2"/>
          <w:numId w:val="62"/>
        </w:numPr>
        <w:tabs>
          <w:tab w:pos="2664" w:val="left" w:leader="none"/>
          <w:tab w:pos="2665" w:val="left" w:leader="none"/>
        </w:tabs>
        <w:spacing w:line="235" w:lineRule="auto" w:before="2" w:after="0"/>
        <w:ind w:left="1984" w:right="1712" w:firstLine="0"/>
        <w:jc w:val="left"/>
        <w:rPr>
          <w:sz w:val="20"/>
        </w:rPr>
      </w:pPr>
      <w:r>
        <w:rPr>
          <w:w w:val="120"/>
          <w:sz w:val="20"/>
        </w:rPr>
        <w:t>and </w:t>
      </w:r>
      <w:r>
        <w:rPr>
          <w:spacing w:val="2"/>
          <w:w w:val="120"/>
          <w:sz w:val="20"/>
        </w:rPr>
        <w:t>sometimes </w:t>
      </w:r>
      <w:r>
        <w:rPr>
          <w:w w:val="120"/>
          <w:sz w:val="20"/>
        </w:rPr>
        <w:t>the accompanist is silent, enabling </w:t>
      </w:r>
      <w:r>
        <w:rPr>
          <w:spacing w:val="2"/>
          <w:w w:val="120"/>
          <w:sz w:val="20"/>
        </w:rPr>
        <w:t>others </w:t>
      </w:r>
      <w:r>
        <w:rPr>
          <w:w w:val="120"/>
          <w:sz w:val="20"/>
        </w:rPr>
        <w:t>to excel in and of themselves.</w:t>
      </w:r>
    </w:p>
    <w:p>
      <w:pPr>
        <w:numPr>
          <w:ilvl w:val="1"/>
          <w:numId w:val="61"/>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Missiological</w:t>
      </w:r>
      <w:r>
        <w:rPr>
          <w:rFonts w:ascii="Stone Sans II ITC Std Bk"/>
          <w:b/>
          <w:spacing w:val="-2"/>
          <w:w w:val="115"/>
          <w:sz w:val="21"/>
        </w:rPr>
        <w:t> </w:t>
      </w:r>
      <w:r>
        <w:rPr>
          <w:rFonts w:ascii="Stone Sans II ITC Std Bk"/>
          <w:b/>
          <w:w w:val="115"/>
          <w:sz w:val="21"/>
        </w:rPr>
        <w:t>accompaniment</w:t>
      </w:r>
    </w:p>
    <w:p>
      <w:pPr>
        <w:pStyle w:val="ListParagraph"/>
        <w:numPr>
          <w:ilvl w:val="2"/>
          <w:numId w:val="61"/>
        </w:numPr>
        <w:tabs>
          <w:tab w:pos="2664" w:val="left" w:leader="none"/>
          <w:tab w:pos="2665" w:val="left" w:leader="none"/>
        </w:tabs>
        <w:spacing w:line="235" w:lineRule="auto" w:before="222" w:after="0"/>
        <w:ind w:left="1984" w:right="1226" w:firstLine="0"/>
        <w:jc w:val="left"/>
        <w:rPr>
          <w:sz w:val="20"/>
        </w:rPr>
      </w:pPr>
      <w:r>
        <w:rPr>
          <w:spacing w:val="2"/>
          <w:w w:val="120"/>
          <w:sz w:val="20"/>
        </w:rPr>
        <w:t>The </w:t>
      </w:r>
      <w:r>
        <w:rPr>
          <w:w w:val="120"/>
          <w:sz w:val="20"/>
        </w:rPr>
        <w:t>Synod </w:t>
      </w:r>
      <w:r>
        <w:rPr>
          <w:spacing w:val="2"/>
          <w:w w:val="120"/>
          <w:sz w:val="20"/>
        </w:rPr>
        <w:t>Moderators </w:t>
      </w:r>
      <w:r>
        <w:rPr>
          <w:w w:val="120"/>
          <w:sz w:val="20"/>
        </w:rPr>
        <w:t>have come to </w:t>
      </w:r>
      <w:r>
        <w:rPr>
          <w:spacing w:val="2"/>
          <w:w w:val="120"/>
          <w:sz w:val="20"/>
        </w:rPr>
        <w:t>see </w:t>
      </w:r>
      <w:r>
        <w:rPr>
          <w:w w:val="120"/>
          <w:sz w:val="20"/>
        </w:rPr>
        <w:t>that </w:t>
      </w:r>
      <w:r>
        <w:rPr>
          <w:spacing w:val="2"/>
          <w:w w:val="120"/>
          <w:sz w:val="20"/>
        </w:rPr>
        <w:t>amongst </w:t>
      </w:r>
      <w:r>
        <w:rPr>
          <w:w w:val="120"/>
          <w:sz w:val="20"/>
        </w:rPr>
        <w:t>other mission </w:t>
      </w:r>
      <w:r>
        <w:rPr>
          <w:spacing w:val="2"/>
          <w:w w:val="120"/>
          <w:sz w:val="20"/>
        </w:rPr>
        <w:t>strategies, </w:t>
      </w:r>
      <w:r>
        <w:rPr>
          <w:w w:val="120"/>
          <w:sz w:val="20"/>
        </w:rPr>
        <w:t>the idea of each of us in the </w:t>
      </w:r>
      <w:r>
        <w:rPr>
          <w:spacing w:val="2"/>
          <w:w w:val="120"/>
          <w:sz w:val="20"/>
        </w:rPr>
        <w:t>all-age, </w:t>
      </w:r>
      <w:r>
        <w:rPr>
          <w:w w:val="120"/>
          <w:sz w:val="20"/>
        </w:rPr>
        <w:t>culturally diverse United </w:t>
      </w:r>
      <w:r>
        <w:rPr>
          <w:spacing w:val="2"/>
          <w:w w:val="120"/>
          <w:sz w:val="20"/>
        </w:rPr>
        <w:t>Reformed </w:t>
      </w:r>
      <w:r>
        <w:rPr>
          <w:w w:val="120"/>
          <w:sz w:val="20"/>
        </w:rPr>
        <w:t>Church being   an</w:t>
      </w:r>
      <w:r>
        <w:rPr>
          <w:spacing w:val="9"/>
          <w:w w:val="120"/>
          <w:sz w:val="20"/>
        </w:rPr>
        <w:t> </w:t>
      </w:r>
      <w:r>
        <w:rPr>
          <w:w w:val="120"/>
          <w:sz w:val="20"/>
        </w:rPr>
        <w:t>accompanist,</w:t>
      </w:r>
      <w:r>
        <w:rPr>
          <w:spacing w:val="9"/>
          <w:w w:val="120"/>
          <w:sz w:val="20"/>
        </w:rPr>
        <w:t> </w:t>
      </w:r>
      <w:r>
        <w:rPr>
          <w:w w:val="120"/>
          <w:sz w:val="20"/>
        </w:rPr>
        <w:t>mutually</w:t>
      </w:r>
      <w:r>
        <w:rPr>
          <w:spacing w:val="9"/>
          <w:w w:val="120"/>
          <w:sz w:val="20"/>
        </w:rPr>
        <w:t> </w:t>
      </w:r>
      <w:r>
        <w:rPr>
          <w:spacing w:val="2"/>
          <w:w w:val="120"/>
          <w:sz w:val="20"/>
        </w:rPr>
        <w:t>dependable,</w:t>
      </w:r>
      <w:r>
        <w:rPr>
          <w:spacing w:val="9"/>
          <w:w w:val="120"/>
          <w:sz w:val="20"/>
        </w:rPr>
        <w:t> </w:t>
      </w:r>
      <w:r>
        <w:rPr>
          <w:spacing w:val="2"/>
          <w:w w:val="120"/>
          <w:sz w:val="20"/>
        </w:rPr>
        <w:t>offers</w:t>
      </w:r>
      <w:r>
        <w:rPr>
          <w:spacing w:val="9"/>
          <w:w w:val="120"/>
          <w:sz w:val="20"/>
        </w:rPr>
        <w:t> </w:t>
      </w:r>
      <w:r>
        <w:rPr>
          <w:w w:val="120"/>
          <w:sz w:val="20"/>
        </w:rPr>
        <w:t>a</w:t>
      </w:r>
      <w:r>
        <w:rPr>
          <w:spacing w:val="10"/>
          <w:w w:val="120"/>
          <w:sz w:val="20"/>
        </w:rPr>
        <w:t> </w:t>
      </w:r>
      <w:r>
        <w:rPr>
          <w:w w:val="120"/>
          <w:sz w:val="20"/>
        </w:rPr>
        <w:t>rich</w:t>
      </w:r>
      <w:r>
        <w:rPr>
          <w:spacing w:val="9"/>
          <w:w w:val="120"/>
          <w:sz w:val="20"/>
        </w:rPr>
        <w:t> </w:t>
      </w:r>
      <w:r>
        <w:rPr>
          <w:spacing w:val="2"/>
          <w:w w:val="120"/>
          <w:sz w:val="20"/>
        </w:rPr>
        <w:t>analogy</w:t>
      </w:r>
      <w:r>
        <w:rPr>
          <w:spacing w:val="9"/>
          <w:w w:val="120"/>
          <w:sz w:val="20"/>
        </w:rPr>
        <w:t> </w:t>
      </w:r>
      <w:r>
        <w:rPr>
          <w:w w:val="120"/>
          <w:sz w:val="20"/>
        </w:rPr>
        <w:t>for</w:t>
      </w:r>
      <w:r>
        <w:rPr>
          <w:spacing w:val="9"/>
          <w:w w:val="120"/>
          <w:sz w:val="20"/>
        </w:rPr>
        <w:t> </w:t>
      </w:r>
      <w:r>
        <w:rPr>
          <w:w w:val="120"/>
          <w:sz w:val="20"/>
        </w:rPr>
        <w:t>the</w:t>
      </w:r>
      <w:r>
        <w:rPr>
          <w:spacing w:val="9"/>
          <w:w w:val="120"/>
          <w:sz w:val="20"/>
        </w:rPr>
        <w:t> </w:t>
      </w:r>
      <w:r>
        <w:rPr>
          <w:w w:val="120"/>
          <w:sz w:val="20"/>
        </w:rPr>
        <w:t>way</w:t>
      </w:r>
      <w:r>
        <w:rPr>
          <w:spacing w:val="10"/>
          <w:w w:val="120"/>
          <w:sz w:val="20"/>
        </w:rPr>
        <w:t> </w:t>
      </w:r>
      <w:r>
        <w:rPr>
          <w:w w:val="120"/>
          <w:sz w:val="20"/>
        </w:rPr>
        <w:t>we</w:t>
      </w:r>
      <w:r>
        <w:rPr>
          <w:spacing w:val="9"/>
          <w:w w:val="120"/>
          <w:sz w:val="20"/>
        </w:rPr>
        <w:t> </w:t>
      </w:r>
      <w:r>
        <w:rPr>
          <w:w w:val="120"/>
          <w:sz w:val="20"/>
        </w:rPr>
        <w:t>weave</w:t>
      </w:r>
    </w:p>
    <w:p>
      <w:pPr>
        <w:pStyle w:val="BodyText"/>
        <w:spacing w:line="223" w:lineRule="auto" w:before="12"/>
        <w:ind w:left="1984" w:right="1357"/>
      </w:pPr>
      <w:r>
        <w:rPr>
          <w:w w:val="120"/>
        </w:rPr>
        <w:t>our counterpoint around God’s </w:t>
      </w:r>
      <w:r>
        <w:rPr>
          <w:spacing w:val="2"/>
          <w:w w:val="120"/>
        </w:rPr>
        <w:t>enduring melody </w:t>
      </w:r>
      <w:r>
        <w:rPr>
          <w:w w:val="120"/>
        </w:rPr>
        <w:t>and for how we are </w:t>
      </w:r>
      <w:r>
        <w:rPr>
          <w:spacing w:val="3"/>
          <w:w w:val="120"/>
        </w:rPr>
        <w:t>best </w:t>
      </w:r>
      <w:r>
        <w:rPr>
          <w:w w:val="120"/>
        </w:rPr>
        <w:t>the church   for one another and the world.</w:t>
      </w:r>
      <w:r>
        <w:rPr>
          <w:w w:val="120"/>
          <w:position w:val="4"/>
        </w:rPr>
        <w:t>8 </w:t>
      </w:r>
      <w:r>
        <w:rPr>
          <w:w w:val="120"/>
        </w:rPr>
        <w:t>Like the musical </w:t>
      </w:r>
      <w:r>
        <w:rPr>
          <w:spacing w:val="2"/>
          <w:w w:val="120"/>
        </w:rPr>
        <w:t>counterpart, </w:t>
      </w:r>
      <w:r>
        <w:rPr>
          <w:w w:val="120"/>
        </w:rPr>
        <w:t>it is a role that, </w:t>
      </w:r>
      <w:r>
        <w:rPr>
          <w:spacing w:val="2"/>
          <w:w w:val="120"/>
        </w:rPr>
        <w:t>though frequently fulfilled </w:t>
      </w:r>
      <w:r>
        <w:rPr>
          <w:w w:val="120"/>
        </w:rPr>
        <w:t>by individuals, is </w:t>
      </w:r>
      <w:r>
        <w:rPr>
          <w:spacing w:val="2"/>
          <w:w w:val="120"/>
        </w:rPr>
        <w:t>actually </w:t>
      </w:r>
      <w:r>
        <w:rPr>
          <w:w w:val="120"/>
        </w:rPr>
        <w:t>the </w:t>
      </w:r>
      <w:r>
        <w:rPr>
          <w:spacing w:val="3"/>
          <w:w w:val="120"/>
        </w:rPr>
        <w:t>function </w:t>
      </w:r>
      <w:r>
        <w:rPr>
          <w:w w:val="120"/>
        </w:rPr>
        <w:t>of all of us together, </w:t>
      </w:r>
      <w:r>
        <w:rPr>
          <w:spacing w:val="2"/>
          <w:w w:val="120"/>
        </w:rPr>
        <w:t>acting </w:t>
      </w:r>
      <w:r>
        <w:rPr>
          <w:w w:val="120"/>
        </w:rPr>
        <w:t>in harmonious</w:t>
      </w:r>
      <w:r>
        <w:rPr>
          <w:spacing w:val="6"/>
          <w:w w:val="120"/>
        </w:rPr>
        <w:t> </w:t>
      </w:r>
      <w:r>
        <w:rPr>
          <w:spacing w:val="2"/>
          <w:w w:val="120"/>
        </w:rPr>
        <w:t>concert.</w:t>
      </w:r>
    </w:p>
    <w:p>
      <w:pPr>
        <w:pStyle w:val="BodyText"/>
        <w:spacing w:before="6"/>
        <w:rPr>
          <w:sz w:val="19"/>
        </w:rPr>
      </w:pPr>
    </w:p>
    <w:p>
      <w:pPr>
        <w:pStyle w:val="BodyText"/>
        <w:spacing w:line="242" w:lineRule="exact"/>
        <w:ind w:left="1984"/>
      </w:pPr>
      <w:r>
        <w:rPr>
          <w:w w:val="125"/>
        </w:rPr>
        <w:t>So,</w:t>
      </w:r>
    </w:p>
    <w:p>
      <w:pPr>
        <w:pStyle w:val="ListParagraph"/>
        <w:numPr>
          <w:ilvl w:val="3"/>
          <w:numId w:val="61"/>
        </w:numPr>
        <w:tabs>
          <w:tab w:pos="2664" w:val="left" w:leader="none"/>
          <w:tab w:pos="2665" w:val="left" w:leader="none"/>
        </w:tabs>
        <w:spacing w:line="235" w:lineRule="auto" w:before="2" w:after="0"/>
        <w:ind w:left="1984" w:right="1609" w:firstLine="0"/>
        <w:jc w:val="left"/>
        <w:rPr>
          <w:sz w:val="20"/>
        </w:rPr>
      </w:pPr>
      <w:r>
        <w:rPr>
          <w:w w:val="120"/>
          <w:sz w:val="20"/>
        </w:rPr>
        <w:t>sometimes ecclesiastical accompanists single-handedly introduce an idea or a programme for others then to make their</w:t>
      </w:r>
      <w:r>
        <w:rPr>
          <w:spacing w:val="12"/>
          <w:w w:val="120"/>
          <w:sz w:val="20"/>
        </w:rPr>
        <w:t> </w:t>
      </w:r>
      <w:r>
        <w:rPr>
          <w:w w:val="120"/>
          <w:sz w:val="20"/>
        </w:rPr>
        <w:t>own;</w:t>
      </w:r>
    </w:p>
    <w:p>
      <w:pPr>
        <w:pStyle w:val="ListParagraph"/>
        <w:numPr>
          <w:ilvl w:val="3"/>
          <w:numId w:val="61"/>
        </w:numPr>
        <w:tabs>
          <w:tab w:pos="2664" w:val="left" w:leader="none"/>
          <w:tab w:pos="2665" w:val="left" w:leader="none"/>
        </w:tabs>
        <w:spacing w:line="235" w:lineRule="auto" w:before="2" w:after="0"/>
        <w:ind w:left="1984" w:right="1535" w:firstLine="0"/>
        <w:jc w:val="left"/>
        <w:rPr>
          <w:sz w:val="20"/>
        </w:rPr>
      </w:pPr>
      <w:r>
        <w:rPr>
          <w:w w:val="120"/>
          <w:sz w:val="20"/>
        </w:rPr>
        <w:t>sometimes we all work in unison, everyone together with our shoulders to the same wheel for maximum</w:t>
      </w:r>
      <w:r>
        <w:rPr>
          <w:spacing w:val="6"/>
          <w:w w:val="120"/>
          <w:sz w:val="20"/>
        </w:rPr>
        <w:t> </w:t>
      </w:r>
      <w:r>
        <w:rPr>
          <w:w w:val="120"/>
          <w:sz w:val="20"/>
        </w:rPr>
        <w:t>effect;</w:t>
      </w:r>
    </w:p>
    <w:p>
      <w:pPr>
        <w:pStyle w:val="ListParagraph"/>
        <w:numPr>
          <w:ilvl w:val="3"/>
          <w:numId w:val="61"/>
        </w:numPr>
        <w:tabs>
          <w:tab w:pos="2664" w:val="left" w:leader="none"/>
          <w:tab w:pos="2665" w:val="left" w:leader="none"/>
        </w:tabs>
        <w:spacing w:line="235" w:lineRule="auto" w:before="1" w:after="0"/>
        <w:ind w:left="1984" w:right="1426" w:firstLine="0"/>
        <w:jc w:val="left"/>
        <w:rPr>
          <w:sz w:val="20"/>
        </w:rPr>
      </w:pPr>
      <w:r>
        <w:rPr>
          <w:w w:val="120"/>
          <w:sz w:val="20"/>
        </w:rPr>
        <w:t>sometimes, like the accompanist doing something different from the soloist,  we are variously engaged in different strategies, which, when all are set alongside one another, make for a more comprehensive participation in the mission of</w:t>
      </w:r>
      <w:r>
        <w:rPr>
          <w:spacing w:val="17"/>
          <w:w w:val="120"/>
          <w:sz w:val="20"/>
        </w:rPr>
        <w:t> </w:t>
      </w:r>
      <w:r>
        <w:rPr>
          <w:w w:val="120"/>
          <w:sz w:val="20"/>
        </w:rPr>
        <w:t>God;</w:t>
      </w:r>
    </w:p>
    <w:p>
      <w:pPr>
        <w:pStyle w:val="ListParagraph"/>
        <w:numPr>
          <w:ilvl w:val="3"/>
          <w:numId w:val="61"/>
        </w:numPr>
        <w:tabs>
          <w:tab w:pos="2664" w:val="left" w:leader="none"/>
          <w:tab w:pos="2665" w:val="left" w:leader="none"/>
        </w:tabs>
        <w:spacing w:line="235" w:lineRule="auto" w:before="2" w:after="0"/>
        <w:ind w:left="1984" w:right="1333" w:firstLine="0"/>
        <w:jc w:val="left"/>
        <w:rPr>
          <w:sz w:val="20"/>
        </w:rPr>
      </w:pPr>
      <w:r>
        <w:rPr>
          <w:w w:val="120"/>
          <w:sz w:val="20"/>
        </w:rPr>
        <w:t>sometimes we accompany one another by engaging in seriously dissonant debate, though through listening carefully for God in each other’s words we eventually reach unity, even if </w:t>
      </w:r>
      <w:r>
        <w:rPr>
          <w:spacing w:val="-3"/>
          <w:w w:val="120"/>
          <w:sz w:val="20"/>
        </w:rPr>
        <w:t>it’s </w:t>
      </w:r>
      <w:r>
        <w:rPr>
          <w:w w:val="120"/>
          <w:sz w:val="20"/>
        </w:rPr>
        <w:t>a unity that retains an honest and robust diversity, for which richness we can be</w:t>
      </w:r>
      <w:r>
        <w:rPr>
          <w:spacing w:val="8"/>
          <w:w w:val="120"/>
          <w:sz w:val="20"/>
        </w:rPr>
        <w:t> </w:t>
      </w:r>
      <w:r>
        <w:rPr>
          <w:w w:val="120"/>
          <w:sz w:val="20"/>
        </w:rPr>
        <w:t>grateful;</w:t>
      </w:r>
    </w:p>
    <w:p>
      <w:pPr>
        <w:pStyle w:val="ListParagraph"/>
        <w:numPr>
          <w:ilvl w:val="3"/>
          <w:numId w:val="61"/>
        </w:numPr>
        <w:tabs>
          <w:tab w:pos="2664" w:val="left" w:leader="none"/>
          <w:tab w:pos="2665" w:val="left" w:leader="none"/>
        </w:tabs>
        <w:spacing w:line="235" w:lineRule="auto" w:before="3" w:after="0"/>
        <w:ind w:left="1984" w:right="1214" w:firstLine="0"/>
        <w:jc w:val="left"/>
        <w:rPr>
          <w:sz w:val="20"/>
        </w:rPr>
      </w:pPr>
      <w:r>
        <w:rPr>
          <w:w w:val="120"/>
          <w:sz w:val="20"/>
        </w:rPr>
        <w:t>sometimes we accompany each other in an ecclesiastical jam session, instinctively responsive to one another so that gradually we get there without previously knowing where ‘there’ might</w:t>
      </w:r>
      <w:r>
        <w:rPr>
          <w:spacing w:val="6"/>
          <w:w w:val="120"/>
          <w:sz w:val="20"/>
        </w:rPr>
        <w:t> </w:t>
      </w:r>
      <w:r>
        <w:rPr>
          <w:w w:val="120"/>
          <w:sz w:val="20"/>
        </w:rPr>
        <w:t>be;</w:t>
      </w:r>
    </w:p>
    <w:p>
      <w:pPr>
        <w:pStyle w:val="ListParagraph"/>
        <w:numPr>
          <w:ilvl w:val="3"/>
          <w:numId w:val="61"/>
        </w:numPr>
        <w:tabs>
          <w:tab w:pos="2664" w:val="left" w:leader="none"/>
          <w:tab w:pos="2665" w:val="left" w:leader="none"/>
        </w:tabs>
        <w:spacing w:line="235" w:lineRule="auto" w:before="2" w:after="0"/>
        <w:ind w:left="1984" w:right="1443" w:firstLine="0"/>
        <w:jc w:val="left"/>
        <w:rPr>
          <w:sz w:val="20"/>
        </w:rPr>
      </w:pPr>
      <w:r>
        <w:rPr>
          <w:w w:val="120"/>
          <w:sz w:val="20"/>
        </w:rPr>
        <w:t>and, of course, there are times when many of us are like the silent accompanist: we are the church passively – though probably better prayerfully – whilst others take the</w:t>
      </w:r>
      <w:r>
        <w:rPr>
          <w:spacing w:val="1"/>
          <w:w w:val="120"/>
          <w:sz w:val="20"/>
        </w:rPr>
        <w:t> </w:t>
      </w:r>
      <w:r>
        <w:rPr>
          <w:w w:val="120"/>
          <w:sz w:val="20"/>
        </w:rPr>
        <w:t>lead.</w:t>
      </w:r>
    </w:p>
    <w:p>
      <w:pPr>
        <w:pStyle w:val="BodyText"/>
        <w:spacing w:before="10"/>
        <w:rPr>
          <w:sz w:val="19"/>
        </w:rPr>
      </w:pPr>
    </w:p>
    <w:p>
      <w:pPr>
        <w:pStyle w:val="ListParagraph"/>
        <w:numPr>
          <w:ilvl w:val="2"/>
          <w:numId w:val="61"/>
        </w:numPr>
        <w:tabs>
          <w:tab w:pos="2664" w:val="left" w:leader="none"/>
          <w:tab w:pos="2665" w:val="left" w:leader="none"/>
        </w:tabs>
        <w:spacing w:line="235" w:lineRule="auto" w:before="0" w:after="0"/>
        <w:ind w:left="1984" w:right="1318" w:firstLine="0"/>
        <w:jc w:val="left"/>
        <w:rPr>
          <w:sz w:val="20"/>
        </w:rPr>
      </w:pPr>
      <w:r>
        <w:rPr>
          <w:w w:val="120"/>
          <w:sz w:val="20"/>
        </w:rPr>
        <w:t>In a season of transition each of these modes of accompaniment needs to be found in the church, whether it is the assembly, the synod, the mission partnership, the cluster, the local church, the ‘fresh expression’, the young people’s organisations, the care cell, the Bible Study Group or the </w:t>
      </w:r>
      <w:r>
        <w:rPr>
          <w:spacing w:val="2"/>
          <w:w w:val="120"/>
          <w:sz w:val="20"/>
        </w:rPr>
        <w:t>one-to-one </w:t>
      </w:r>
      <w:r>
        <w:rPr>
          <w:w w:val="120"/>
          <w:sz w:val="20"/>
        </w:rPr>
        <w:t>pastoral</w:t>
      </w:r>
      <w:r>
        <w:rPr>
          <w:spacing w:val="19"/>
          <w:w w:val="120"/>
          <w:sz w:val="20"/>
        </w:rPr>
        <w:t> </w:t>
      </w:r>
      <w:r>
        <w:rPr>
          <w:w w:val="120"/>
          <w:sz w:val="20"/>
        </w:rPr>
        <w:t>encounter.</w:t>
      </w:r>
    </w:p>
    <w:p>
      <w:pPr>
        <w:pStyle w:val="BodyText"/>
        <w:spacing w:before="10"/>
        <w:rPr>
          <w:sz w:val="17"/>
        </w:rPr>
      </w:pPr>
    </w:p>
    <w:p>
      <w:pPr>
        <w:numPr>
          <w:ilvl w:val="1"/>
          <w:numId w:val="61"/>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Evangelism through</w:t>
      </w:r>
      <w:r>
        <w:rPr>
          <w:rFonts w:ascii="Stone Sans II ITC Std Bk"/>
          <w:b/>
          <w:spacing w:val="-4"/>
          <w:w w:val="115"/>
          <w:sz w:val="21"/>
        </w:rPr>
        <w:t> </w:t>
      </w:r>
      <w:r>
        <w:rPr>
          <w:rFonts w:ascii="Stone Sans II ITC Std Bk"/>
          <w:b/>
          <w:w w:val="115"/>
          <w:sz w:val="21"/>
        </w:rPr>
        <w:t>accompaniment</w:t>
      </w:r>
    </w:p>
    <w:p>
      <w:pPr>
        <w:pStyle w:val="ListParagraph"/>
        <w:numPr>
          <w:ilvl w:val="2"/>
          <w:numId w:val="61"/>
        </w:numPr>
        <w:tabs>
          <w:tab w:pos="2664" w:val="left" w:leader="none"/>
          <w:tab w:pos="2665" w:val="left" w:leader="none"/>
        </w:tabs>
        <w:spacing w:line="235" w:lineRule="auto" w:before="222" w:after="0"/>
        <w:ind w:left="1984" w:right="1212" w:firstLine="0"/>
        <w:jc w:val="left"/>
        <w:rPr>
          <w:sz w:val="20"/>
        </w:rPr>
      </w:pPr>
      <w:r>
        <w:rPr/>
        <w:drawing>
          <wp:anchor distT="0" distB="0" distL="0" distR="0" allowOverlap="1" layoutInCell="1" locked="0" behindDoc="1" simplePos="0" relativeHeight="235758592">
            <wp:simplePos x="0" y="0"/>
            <wp:positionH relativeFrom="page">
              <wp:posOffset>3576780</wp:posOffset>
            </wp:positionH>
            <wp:positionV relativeFrom="paragraph">
              <wp:posOffset>1503746</wp:posOffset>
            </wp:positionV>
            <wp:extent cx="232857" cy="181203"/>
            <wp:effectExtent l="0" t="0" r="0" b="0"/>
            <wp:wrapNone/>
            <wp:docPr id="113" name="image106.png"/>
            <wp:cNvGraphicFramePr>
              <a:graphicFrameLocks noChangeAspect="1"/>
            </wp:cNvGraphicFramePr>
            <a:graphic>
              <a:graphicData uri="http://schemas.openxmlformats.org/drawingml/2006/picture">
                <pic:pic>
                  <pic:nvPicPr>
                    <pic:cNvPr id="114" name="image106.png"/>
                    <pic:cNvPicPr/>
                  </pic:nvPicPr>
                  <pic:blipFill>
                    <a:blip r:embed="rId174" cstate="print"/>
                    <a:stretch>
                      <a:fillRect/>
                    </a:stretch>
                  </pic:blipFill>
                  <pic:spPr>
                    <a:xfrm>
                      <a:off x="0" y="0"/>
                      <a:ext cx="232857" cy="181203"/>
                    </a:xfrm>
                    <a:prstGeom prst="rect">
                      <a:avLst/>
                    </a:prstGeom>
                  </pic:spPr>
                </pic:pic>
              </a:graphicData>
            </a:graphic>
          </wp:anchor>
        </w:drawing>
      </w:r>
      <w:r>
        <w:rPr>
          <w:spacing w:val="3"/>
          <w:w w:val="120"/>
          <w:sz w:val="20"/>
        </w:rPr>
        <w:t>As </w:t>
      </w:r>
      <w:r>
        <w:rPr>
          <w:w w:val="120"/>
          <w:sz w:val="20"/>
        </w:rPr>
        <w:t>the </w:t>
      </w:r>
      <w:r>
        <w:rPr>
          <w:spacing w:val="-4"/>
          <w:w w:val="120"/>
          <w:sz w:val="20"/>
        </w:rPr>
        <w:t>V4L Year </w:t>
      </w:r>
      <w:r>
        <w:rPr>
          <w:w w:val="120"/>
          <w:sz w:val="20"/>
        </w:rPr>
        <w:t>of Evangelism approaches in </w:t>
      </w:r>
      <w:r>
        <w:rPr>
          <w:spacing w:val="-8"/>
          <w:w w:val="120"/>
          <w:sz w:val="20"/>
        </w:rPr>
        <w:t>2010/11 </w:t>
      </w:r>
      <w:r>
        <w:rPr>
          <w:w w:val="120"/>
          <w:sz w:val="20"/>
        </w:rPr>
        <w:t>we are convinced that there is no accompanying more vital than offering people down-to-earth companionship as they seek to relate to Jesus Christ as disciples. We commend the prayer of St Richard of Chichester, but ‘seeing Jesus Christ more clearly, loving him more dearly and following him more nearly’ are not often at their best when undertaken alone. And less still for those to whom it is a new mind set or experience. Frequently we Christians meet people who are asking questions, both within and outwith the church; even when we have no answer, we can still accompany one another through the asking. And the confidence to do so emerges from carefully nurtured relationships that create easy conversation</w:t>
      </w:r>
      <w:r>
        <w:rPr>
          <w:spacing w:val="-3"/>
          <w:w w:val="120"/>
          <w:sz w:val="20"/>
        </w:rPr>
        <w:t> </w:t>
      </w:r>
      <w:r>
        <w:rPr>
          <w:w w:val="120"/>
          <w:sz w:val="20"/>
        </w:rPr>
        <w:t>and</w:t>
      </w:r>
    </w:p>
    <w:p>
      <w:pPr>
        <w:pStyle w:val="BodyText"/>
        <w:spacing w:line="168" w:lineRule="auto" w:before="27"/>
        <w:ind w:left="1984" w:right="1200"/>
      </w:pPr>
      <w:r>
        <w:rPr>
          <w:w w:val="115"/>
        </w:rPr>
        <w:t>trusting sharing. Whatever else </w:t>
      </w:r>
      <w:r>
        <w:rPr>
          <w:rFonts w:ascii="Arial Rounded MT Bold"/>
          <w:sz w:val="21"/>
        </w:rPr>
        <w:t>Vision4</w:t>
      </w:r>
      <w:r>
        <w:rPr>
          <w:rFonts w:ascii="Bradley Hand ITC"/>
          <w:color w:val="C20D19"/>
          <w:sz w:val="28"/>
        </w:rPr>
        <w:t>Life </w:t>
      </w:r>
      <w:r>
        <w:rPr>
          <w:w w:val="115"/>
        </w:rPr>
        <w:t>and the </w:t>
      </w:r>
      <w:r>
        <w:rPr>
          <w:i/>
          <w:w w:val="115"/>
        </w:rPr>
        <w:t>Marketing Campaign </w:t>
      </w:r>
      <w:r>
        <w:rPr>
          <w:w w:val="115"/>
        </w:rPr>
        <w:t>cultivate they will </w:t>
      </w:r>
      <w:r>
        <w:rPr>
          <w:w w:val="120"/>
        </w:rPr>
        <w:t>achieve most if they boost our confidence to give an account of the hope that is in us.</w:t>
      </w:r>
      <w:r>
        <w:rPr>
          <w:w w:val="120"/>
          <w:position w:val="4"/>
        </w:rPr>
        <w:t>9</w:t>
      </w:r>
    </w:p>
    <w:p>
      <w:pPr>
        <w:pStyle w:val="BodyText"/>
        <w:spacing w:before="1"/>
        <w:ind w:left="1984"/>
      </w:pPr>
      <w:r>
        <w:rPr>
          <w:w w:val="120"/>
        </w:rPr>
        <w:t>Then we will be able to accompany even as we are also accompanied.</w:t>
      </w:r>
    </w:p>
    <w:p>
      <w:pPr>
        <w:pStyle w:val="BodyText"/>
      </w:pPr>
    </w:p>
    <w:p>
      <w:pPr>
        <w:pStyle w:val="BodyText"/>
      </w:pPr>
    </w:p>
    <w:p>
      <w:pPr>
        <w:pStyle w:val="BodyText"/>
        <w:spacing w:before="2"/>
        <w:rPr>
          <w:sz w:val="29"/>
        </w:rPr>
      </w:pPr>
      <w:r>
        <w:rPr/>
        <w:pict>
          <v:shape style="position:absolute;margin-left:99.212601pt;margin-top:20.256159pt;width:72pt;height:.1pt;mso-position-horizontal-relative:page;mso-position-vertical-relative:paragraph;z-index:-251452416;mso-wrap-distance-left:0;mso-wrap-distance-right:0" coordorigin="1984,405" coordsize="1440,0" path="m1984,405l3424,405e" filled="false" stroked="true" strokeweight="1pt" strokecolor="#000000">
            <v:path arrowok="t"/>
            <v:stroke dashstyle="solid"/>
            <w10:wrap type="topAndBottom"/>
          </v:shape>
        </w:pict>
      </w:r>
    </w:p>
    <w:p>
      <w:pPr>
        <w:pStyle w:val="ListParagraph"/>
        <w:numPr>
          <w:ilvl w:val="0"/>
          <w:numId w:val="63"/>
        </w:numPr>
        <w:tabs>
          <w:tab w:pos="2437" w:val="left" w:leader="none"/>
          <w:tab w:pos="2438" w:val="left" w:leader="none"/>
        </w:tabs>
        <w:spacing w:line="232" w:lineRule="exact" w:before="0" w:after="0"/>
        <w:ind w:left="2437" w:right="0" w:hanging="454"/>
        <w:jc w:val="left"/>
        <w:rPr>
          <w:sz w:val="20"/>
        </w:rPr>
      </w:pPr>
      <w:r>
        <w:rPr>
          <w:spacing w:val="3"/>
          <w:w w:val="120"/>
          <w:sz w:val="20"/>
        </w:rPr>
        <w:t>As </w:t>
      </w:r>
      <w:r>
        <w:rPr>
          <w:w w:val="120"/>
          <w:sz w:val="20"/>
        </w:rPr>
        <w:t>with all analogies, this one ought not to be pushed too</w:t>
      </w:r>
      <w:r>
        <w:rPr>
          <w:spacing w:val="6"/>
          <w:w w:val="120"/>
          <w:sz w:val="20"/>
        </w:rPr>
        <w:t> </w:t>
      </w:r>
      <w:r>
        <w:rPr>
          <w:spacing w:val="-3"/>
          <w:w w:val="120"/>
          <w:sz w:val="20"/>
        </w:rPr>
        <w:t>far.</w:t>
      </w:r>
    </w:p>
    <w:p>
      <w:pPr>
        <w:pStyle w:val="ListParagraph"/>
        <w:numPr>
          <w:ilvl w:val="0"/>
          <w:numId w:val="63"/>
        </w:numPr>
        <w:tabs>
          <w:tab w:pos="2437" w:val="left" w:leader="none"/>
          <w:tab w:pos="2438" w:val="left" w:leader="none"/>
        </w:tabs>
        <w:spacing w:line="217" w:lineRule="exact" w:before="0" w:after="0"/>
        <w:ind w:left="2437" w:right="0" w:hanging="454"/>
        <w:jc w:val="left"/>
        <w:rPr>
          <w:sz w:val="18"/>
        </w:rPr>
      </w:pPr>
      <w:r>
        <w:rPr>
          <w:spacing w:val="3"/>
          <w:w w:val="115"/>
          <w:sz w:val="18"/>
        </w:rPr>
        <w:t>cf </w:t>
      </w:r>
      <w:r>
        <w:rPr>
          <w:w w:val="115"/>
          <w:sz w:val="18"/>
        </w:rPr>
        <w:t>I Peter</w:t>
      </w:r>
      <w:r>
        <w:rPr>
          <w:spacing w:val="9"/>
          <w:w w:val="115"/>
          <w:sz w:val="18"/>
        </w:rPr>
        <w:t> </w:t>
      </w:r>
      <w:r>
        <w:rPr>
          <w:spacing w:val="-8"/>
          <w:w w:val="115"/>
          <w:sz w:val="18"/>
        </w:rPr>
        <w:t>3.15.</w:t>
      </w:r>
    </w:p>
    <w:p>
      <w:pPr>
        <w:spacing w:after="0" w:line="217" w:lineRule="exact"/>
        <w:jc w:val="left"/>
        <w:rPr>
          <w:sz w:val="18"/>
        </w:rPr>
        <w:sectPr>
          <w:pgSz w:w="11910" w:h="16840"/>
          <w:pgMar w:header="0" w:footer="647" w:top="1060" w:bottom="840" w:left="0" w:right="0"/>
        </w:sectPr>
      </w:pPr>
    </w:p>
    <w:p>
      <w:pPr>
        <w:numPr>
          <w:ilvl w:val="0"/>
          <w:numId w:val="64"/>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1868160" filled="true" fillcolor="#dae4ec" stroked="false">
            <v:fill opacity="32768f" type="solid"/>
            <w10:wrap type="none"/>
          </v:rect>
        </w:pict>
      </w:r>
      <w:r>
        <w:rPr>
          <w:rFonts w:ascii="Stone Sans II ITC Std Bk"/>
          <w:b/>
          <w:w w:val="115"/>
          <w:sz w:val="21"/>
        </w:rPr>
        <w:t>Leadership as</w:t>
      </w:r>
      <w:r>
        <w:rPr>
          <w:rFonts w:ascii="Stone Sans II ITC Std Bk"/>
          <w:b/>
          <w:spacing w:val="-4"/>
          <w:w w:val="115"/>
          <w:sz w:val="21"/>
        </w:rPr>
        <w:t> </w:t>
      </w:r>
      <w:r>
        <w:rPr>
          <w:rFonts w:ascii="Stone Sans II ITC Std Bk"/>
          <w:b/>
          <w:w w:val="115"/>
          <w:sz w:val="21"/>
        </w:rPr>
        <w:t>accompaniment</w:t>
      </w:r>
    </w:p>
    <w:p>
      <w:pPr>
        <w:pStyle w:val="BodyText"/>
        <w:spacing w:before="6"/>
        <w:rPr>
          <w:rFonts w:ascii="Stone Sans II ITC Std Bk"/>
          <w:b/>
          <w:sz w:val="17"/>
        </w:rPr>
      </w:pPr>
    </w:p>
    <w:p>
      <w:pPr>
        <w:pStyle w:val="ListParagraph"/>
        <w:numPr>
          <w:ilvl w:val="1"/>
          <w:numId w:val="64"/>
        </w:numPr>
        <w:tabs>
          <w:tab w:pos="1814" w:val="left" w:leader="none"/>
          <w:tab w:pos="1815" w:val="left" w:leader="none"/>
        </w:tabs>
        <w:spacing w:line="218" w:lineRule="auto" w:before="0" w:after="0"/>
        <w:ind w:left="1133" w:right="2040" w:firstLine="0"/>
        <w:jc w:val="left"/>
        <w:rPr>
          <w:sz w:val="20"/>
        </w:rPr>
      </w:pPr>
      <w:r>
        <w:rPr>
          <w:w w:val="120"/>
          <w:sz w:val="20"/>
        </w:rPr>
        <w:t>Accompaniment is a style of leadership that fits well with conciliar governance. So often our leadership is collaborative, echoing the concept that ‘leaders are responsible for what happens – and followers are as </w:t>
      </w:r>
      <w:r>
        <w:rPr>
          <w:spacing w:val="-4"/>
          <w:w w:val="120"/>
          <w:sz w:val="20"/>
        </w:rPr>
        <w:t>well.’</w:t>
      </w:r>
      <w:r>
        <w:rPr>
          <w:spacing w:val="-4"/>
          <w:w w:val="120"/>
          <w:position w:val="4"/>
          <w:sz w:val="20"/>
        </w:rPr>
        <w:t>10 </w:t>
      </w:r>
      <w:r>
        <w:rPr>
          <w:w w:val="120"/>
          <w:sz w:val="20"/>
        </w:rPr>
        <w:t>We are in it together. That is not</w:t>
      </w:r>
      <w:r>
        <w:rPr>
          <w:spacing w:val="-2"/>
          <w:w w:val="120"/>
          <w:sz w:val="20"/>
        </w:rPr>
        <w:t> </w:t>
      </w:r>
      <w:r>
        <w:rPr>
          <w:w w:val="120"/>
          <w:sz w:val="20"/>
        </w:rPr>
        <w:t>to</w:t>
      </w:r>
    </w:p>
    <w:p>
      <w:pPr>
        <w:pStyle w:val="BodyText"/>
        <w:spacing w:line="235" w:lineRule="auto"/>
        <w:ind w:left="1133" w:right="1997"/>
      </w:pPr>
      <w:r>
        <w:rPr>
          <w:w w:val="120"/>
        </w:rPr>
        <w:t>say that there is no place for personal initiative, inspiration or activity; moreover, it is undeniable that, increasingly, leaders in the Church need to be adept managers, too. Those are all part of accompaniment, but they are not entire unto themselves.</w:t>
      </w:r>
    </w:p>
    <w:p>
      <w:pPr>
        <w:pStyle w:val="BodyText"/>
        <w:spacing w:before="10"/>
        <w:rPr>
          <w:sz w:val="19"/>
        </w:rPr>
      </w:pPr>
    </w:p>
    <w:p>
      <w:pPr>
        <w:pStyle w:val="ListParagraph"/>
        <w:numPr>
          <w:ilvl w:val="1"/>
          <w:numId w:val="64"/>
        </w:numPr>
        <w:tabs>
          <w:tab w:pos="1814" w:val="left" w:leader="none"/>
          <w:tab w:pos="1815" w:val="left" w:leader="none"/>
        </w:tabs>
        <w:spacing w:line="235" w:lineRule="auto" w:before="0" w:after="0"/>
        <w:ind w:left="1133" w:right="2242" w:firstLine="0"/>
        <w:jc w:val="left"/>
        <w:rPr>
          <w:sz w:val="20"/>
        </w:rPr>
      </w:pPr>
      <w:r>
        <w:rPr>
          <w:w w:val="120"/>
          <w:sz w:val="20"/>
        </w:rPr>
        <w:t>We synod moderators can apply this to our own role. Ideally, we accompany in every sense mentioned above, giving us in any week a wide range of profiles, from the up front to the out of the </w:t>
      </w:r>
      <w:r>
        <w:rPr>
          <w:spacing w:val="-4"/>
          <w:w w:val="120"/>
          <w:sz w:val="20"/>
        </w:rPr>
        <w:t>way. </w:t>
      </w:r>
      <w:r>
        <w:rPr>
          <w:w w:val="120"/>
          <w:sz w:val="20"/>
        </w:rPr>
        <w:t>Each is leadership, most of all as it demonstrates and enables following of Jesus</w:t>
      </w:r>
      <w:r>
        <w:rPr>
          <w:spacing w:val="8"/>
          <w:w w:val="120"/>
          <w:sz w:val="20"/>
        </w:rPr>
        <w:t> </w:t>
      </w:r>
      <w:r>
        <w:rPr>
          <w:w w:val="120"/>
          <w:sz w:val="20"/>
        </w:rPr>
        <w:t>Christ.</w:t>
      </w:r>
    </w:p>
    <w:p>
      <w:pPr>
        <w:pStyle w:val="BodyText"/>
        <w:spacing w:before="11"/>
        <w:rPr>
          <w:sz w:val="19"/>
        </w:rPr>
      </w:pPr>
    </w:p>
    <w:p>
      <w:pPr>
        <w:pStyle w:val="ListParagraph"/>
        <w:numPr>
          <w:ilvl w:val="1"/>
          <w:numId w:val="64"/>
        </w:numPr>
        <w:tabs>
          <w:tab w:pos="1814" w:val="left" w:leader="none"/>
          <w:tab w:pos="1815" w:val="left" w:leader="none"/>
        </w:tabs>
        <w:spacing w:line="235" w:lineRule="auto" w:before="0" w:after="0"/>
        <w:ind w:left="1133" w:right="2180" w:firstLine="0"/>
        <w:jc w:val="left"/>
        <w:rPr>
          <w:sz w:val="20"/>
        </w:rPr>
      </w:pPr>
      <w:r>
        <w:rPr>
          <w:w w:val="120"/>
          <w:sz w:val="20"/>
        </w:rPr>
        <w:t>Ministers and Church Related Community Workers in their daily work are accompanists rather than soloists or conductors, getting alongside folk as they journey, nurturing their faith and following, and being with them amidst </w:t>
      </w:r>
      <w:r>
        <w:rPr>
          <w:spacing w:val="-3"/>
          <w:w w:val="120"/>
          <w:sz w:val="20"/>
        </w:rPr>
        <w:t>life’s </w:t>
      </w:r>
      <w:r>
        <w:rPr>
          <w:w w:val="120"/>
          <w:sz w:val="20"/>
        </w:rPr>
        <w:t>changing scenes. Accompanying can be a concept key to understanding what both pulpit and pastoral/ community ministry are all about. It finds specific application as ministers and CRCWs encourage and enable the ministry of eldership, and other pivotal local church roles, such as those in young people’s work. These significant ministries are</w:t>
      </w:r>
      <w:r>
        <w:rPr>
          <w:spacing w:val="51"/>
          <w:w w:val="120"/>
          <w:sz w:val="20"/>
        </w:rPr>
        <w:t> </w:t>
      </w:r>
      <w:r>
        <w:rPr>
          <w:w w:val="120"/>
          <w:sz w:val="20"/>
        </w:rPr>
        <w:t>demanding,</w:t>
      </w:r>
    </w:p>
    <w:p>
      <w:pPr>
        <w:pStyle w:val="BodyText"/>
        <w:spacing w:line="235" w:lineRule="auto" w:before="5"/>
        <w:ind w:left="1133" w:right="1997"/>
      </w:pPr>
      <w:r>
        <w:rPr>
          <w:w w:val="120"/>
        </w:rPr>
        <w:t>and are often undertaken by people bearing many another responsibility. They need accompanying, most especially by ministers and CRCWs who are constantly encouraging and developing leadership teams.</w:t>
      </w:r>
    </w:p>
    <w:p>
      <w:pPr>
        <w:pStyle w:val="BodyText"/>
        <w:spacing w:before="10"/>
        <w:rPr>
          <w:sz w:val="19"/>
        </w:rPr>
      </w:pPr>
    </w:p>
    <w:p>
      <w:pPr>
        <w:pStyle w:val="ListParagraph"/>
        <w:numPr>
          <w:ilvl w:val="1"/>
          <w:numId w:val="64"/>
        </w:numPr>
        <w:tabs>
          <w:tab w:pos="1814" w:val="left" w:leader="none"/>
          <w:tab w:pos="1815" w:val="left" w:leader="none"/>
        </w:tabs>
        <w:spacing w:line="235" w:lineRule="auto" w:before="1" w:after="0"/>
        <w:ind w:left="1133" w:right="1996" w:firstLine="0"/>
        <w:jc w:val="left"/>
        <w:rPr>
          <w:sz w:val="20"/>
        </w:rPr>
      </w:pPr>
      <w:r>
        <w:rPr>
          <w:w w:val="120"/>
          <w:sz w:val="20"/>
        </w:rPr>
        <w:t>Throughout the denomination we work alongside women and men whose ministries of accompaniment are dedicated, inspirational, caring and sacrificial. By the same token, it cannot be over-stated that in our synod-wide work we frequently become aware of how important it is that CRCWs and ministers are accompanied themselves. That is especially so during these transitional days when consultation and change dominate the agenda and burden us all – and not least those we call to lead and guide  us. We are concerned as moderators about how many ministers and CRCWs are feeling stressed at the moment. It may be that they are best accompanied through local support groups; it may be through the work of Synod Elders, Moderators, Pastors or Pastoral Advisors; it may be through personally arranged spiritual direction. Or it may be through what was Ministerial Accompanied Self Appraisal, which is now becoming Local Mission and Ministry Review and is predicated upon encouraging the mutual dependability of both minister/CRCW and pastorate/post. Whatever the vehicle, just as we urge ministers and CRCWs faithfully to accompany the people they serve, so we want to stress how deeply valuable it is when churches find appropriate ways of accompanying their ministers. Ministers, after all, are like any other accompanist: although sometimes they need to be given the liberty to lead, there are other times when they need the space to be one alongside everyone else, or even to be silent </w:t>
      </w:r>
      <w:r>
        <w:rPr>
          <w:spacing w:val="-4"/>
          <w:w w:val="120"/>
          <w:sz w:val="20"/>
        </w:rPr>
        <w:t>... </w:t>
      </w:r>
      <w:r>
        <w:rPr>
          <w:w w:val="120"/>
          <w:sz w:val="20"/>
        </w:rPr>
        <w:t>if we</w:t>
      </w:r>
      <w:r>
        <w:rPr>
          <w:spacing w:val="37"/>
          <w:w w:val="120"/>
          <w:sz w:val="20"/>
        </w:rPr>
        <w:t> </w:t>
      </w:r>
      <w:r>
        <w:rPr>
          <w:w w:val="120"/>
          <w:sz w:val="20"/>
        </w:rPr>
        <w:t>will.</w:t>
      </w:r>
    </w:p>
    <w:p>
      <w:pPr>
        <w:pStyle w:val="BodyText"/>
        <w:spacing w:before="3"/>
      </w:pPr>
    </w:p>
    <w:p>
      <w:pPr>
        <w:pStyle w:val="ListParagraph"/>
        <w:numPr>
          <w:ilvl w:val="1"/>
          <w:numId w:val="64"/>
        </w:numPr>
        <w:tabs>
          <w:tab w:pos="1814" w:val="left" w:leader="none"/>
          <w:tab w:pos="1815" w:val="left" w:leader="none"/>
        </w:tabs>
        <w:spacing w:line="240" w:lineRule="exact" w:before="0" w:after="0"/>
        <w:ind w:left="1133" w:right="2086" w:firstLine="0"/>
        <w:jc w:val="left"/>
        <w:rPr>
          <w:sz w:val="20"/>
        </w:rPr>
      </w:pPr>
      <w:r>
        <w:rPr>
          <w:spacing w:val="2"/>
          <w:w w:val="120"/>
          <w:sz w:val="20"/>
        </w:rPr>
        <w:t>Of </w:t>
      </w:r>
      <w:r>
        <w:rPr>
          <w:w w:val="120"/>
          <w:sz w:val="20"/>
        </w:rPr>
        <w:t>course, being an accompanist is not the preserve of a privileged </w:t>
      </w:r>
      <w:r>
        <w:rPr>
          <w:spacing w:val="-3"/>
          <w:w w:val="120"/>
          <w:sz w:val="20"/>
        </w:rPr>
        <w:t>few. Yes, </w:t>
      </w:r>
      <w:r>
        <w:rPr>
          <w:w w:val="120"/>
          <w:sz w:val="20"/>
        </w:rPr>
        <w:t>ministers and CRCWs are, but so are local church Leaders, Elders and Secretaries as they take on so much responsibility. So are Lay Preachers, as they break open the Word for congregations Sunday by </w:t>
      </w:r>
      <w:r>
        <w:rPr>
          <w:spacing w:val="-3"/>
          <w:w w:val="120"/>
          <w:sz w:val="20"/>
        </w:rPr>
        <w:t>Sunday. </w:t>
      </w:r>
      <w:r>
        <w:rPr>
          <w:w w:val="120"/>
          <w:sz w:val="20"/>
        </w:rPr>
        <w:t>So are children’s and youth workers, as they travel with young people across the threshold into conscious Christian believing and living. So are</w:t>
      </w:r>
      <w:r>
        <w:rPr>
          <w:spacing w:val="5"/>
          <w:w w:val="120"/>
          <w:sz w:val="20"/>
        </w:rPr>
        <w:t> </w:t>
      </w:r>
      <w:r>
        <w:rPr>
          <w:w w:val="120"/>
          <w:sz w:val="20"/>
        </w:rPr>
        <w:t>children</w:t>
      </w:r>
      <w:r>
        <w:rPr>
          <w:spacing w:val="5"/>
          <w:w w:val="120"/>
          <w:sz w:val="20"/>
        </w:rPr>
        <w:t> </w:t>
      </w:r>
      <w:r>
        <w:rPr>
          <w:w w:val="120"/>
          <w:sz w:val="20"/>
        </w:rPr>
        <w:t>and</w:t>
      </w:r>
      <w:r>
        <w:rPr>
          <w:spacing w:val="5"/>
          <w:w w:val="120"/>
          <w:sz w:val="20"/>
        </w:rPr>
        <w:t> </w:t>
      </w:r>
      <w:r>
        <w:rPr>
          <w:w w:val="120"/>
          <w:sz w:val="20"/>
        </w:rPr>
        <w:t>young</w:t>
      </w:r>
      <w:r>
        <w:rPr>
          <w:spacing w:val="5"/>
          <w:w w:val="120"/>
          <w:sz w:val="20"/>
        </w:rPr>
        <w:t> </w:t>
      </w:r>
      <w:r>
        <w:rPr>
          <w:w w:val="120"/>
          <w:sz w:val="20"/>
        </w:rPr>
        <w:t>people,</w:t>
      </w:r>
      <w:r>
        <w:rPr>
          <w:spacing w:val="6"/>
          <w:w w:val="120"/>
          <w:sz w:val="20"/>
        </w:rPr>
        <w:t> </w:t>
      </w:r>
      <w:r>
        <w:rPr>
          <w:w w:val="120"/>
          <w:sz w:val="20"/>
        </w:rPr>
        <w:t>‘equal</w:t>
      </w:r>
      <w:r>
        <w:rPr>
          <w:spacing w:val="5"/>
          <w:w w:val="120"/>
          <w:sz w:val="20"/>
        </w:rPr>
        <w:t> </w:t>
      </w:r>
      <w:r>
        <w:rPr>
          <w:w w:val="120"/>
          <w:sz w:val="20"/>
        </w:rPr>
        <w:t>partners</w:t>
      </w:r>
      <w:r>
        <w:rPr>
          <w:spacing w:val="5"/>
          <w:w w:val="120"/>
          <w:sz w:val="20"/>
        </w:rPr>
        <w:t> </w:t>
      </w:r>
      <w:r>
        <w:rPr>
          <w:w w:val="120"/>
          <w:sz w:val="20"/>
        </w:rPr>
        <w:t>with</w:t>
      </w:r>
      <w:r>
        <w:rPr>
          <w:spacing w:val="5"/>
          <w:w w:val="120"/>
          <w:sz w:val="20"/>
        </w:rPr>
        <w:t> </w:t>
      </w:r>
      <w:r>
        <w:rPr>
          <w:w w:val="120"/>
          <w:sz w:val="20"/>
        </w:rPr>
        <w:t>adults</w:t>
      </w:r>
      <w:r>
        <w:rPr>
          <w:spacing w:val="6"/>
          <w:w w:val="120"/>
          <w:sz w:val="20"/>
        </w:rPr>
        <w:t> </w:t>
      </w:r>
      <w:r>
        <w:rPr>
          <w:w w:val="120"/>
          <w:sz w:val="20"/>
        </w:rPr>
        <w:t>in</w:t>
      </w:r>
      <w:r>
        <w:rPr>
          <w:spacing w:val="5"/>
          <w:w w:val="120"/>
          <w:sz w:val="20"/>
        </w:rPr>
        <w:t> </w:t>
      </w:r>
      <w:r>
        <w:rPr>
          <w:w w:val="120"/>
          <w:sz w:val="20"/>
        </w:rPr>
        <w:t>the</w:t>
      </w:r>
      <w:r>
        <w:rPr>
          <w:spacing w:val="5"/>
          <w:w w:val="120"/>
          <w:sz w:val="20"/>
        </w:rPr>
        <w:t> </w:t>
      </w:r>
      <w:r>
        <w:rPr>
          <w:w w:val="120"/>
          <w:sz w:val="20"/>
        </w:rPr>
        <w:t>life</w:t>
      </w:r>
      <w:r>
        <w:rPr>
          <w:spacing w:val="5"/>
          <w:w w:val="120"/>
          <w:sz w:val="20"/>
        </w:rPr>
        <w:t> </w:t>
      </w:r>
      <w:r>
        <w:rPr>
          <w:w w:val="120"/>
          <w:sz w:val="20"/>
        </w:rPr>
        <w:t>of</w:t>
      </w:r>
      <w:r>
        <w:rPr>
          <w:spacing w:val="6"/>
          <w:w w:val="120"/>
          <w:sz w:val="20"/>
        </w:rPr>
        <w:t> </w:t>
      </w:r>
      <w:r>
        <w:rPr>
          <w:w w:val="120"/>
          <w:sz w:val="20"/>
        </w:rPr>
        <w:t>the</w:t>
      </w:r>
      <w:r>
        <w:rPr>
          <w:spacing w:val="5"/>
          <w:w w:val="120"/>
          <w:sz w:val="20"/>
        </w:rPr>
        <w:t> </w:t>
      </w:r>
      <w:r>
        <w:rPr>
          <w:spacing w:val="-7"/>
          <w:w w:val="120"/>
          <w:sz w:val="20"/>
        </w:rPr>
        <w:t>church’.</w:t>
      </w:r>
      <w:r>
        <w:rPr>
          <w:spacing w:val="-7"/>
          <w:w w:val="120"/>
          <w:position w:val="4"/>
          <w:sz w:val="20"/>
        </w:rPr>
        <w:t>11</w:t>
      </w:r>
    </w:p>
    <w:p>
      <w:pPr>
        <w:pStyle w:val="BodyText"/>
        <w:spacing w:line="235" w:lineRule="auto" w:before="6"/>
        <w:ind w:left="1133" w:right="2053"/>
      </w:pPr>
      <w:r>
        <w:rPr>
          <w:w w:val="120"/>
        </w:rPr>
        <w:t>So are coffee makers as they enable the togetherness of hospitality. So are elders as they collaborate with ministers in leading, trusteeship and oversight. So are pastoral visitors. So are we all. All of us are accompanists and each needs to be accompanied.</w:t>
      </w:r>
    </w:p>
    <w:p>
      <w:pPr>
        <w:pStyle w:val="BodyText"/>
      </w:pPr>
    </w:p>
    <w:p>
      <w:pPr>
        <w:pStyle w:val="BodyText"/>
      </w:pPr>
    </w:p>
    <w:p>
      <w:pPr>
        <w:pStyle w:val="BodyText"/>
      </w:pPr>
    </w:p>
    <w:p>
      <w:pPr>
        <w:pStyle w:val="BodyText"/>
        <w:rPr>
          <w:sz w:val="29"/>
        </w:rPr>
      </w:pPr>
      <w:r>
        <w:rPr/>
        <w:pict>
          <v:shape style="position:absolute;margin-left:56.692902pt;margin-top:20.176392pt;width:72pt;height:.1pt;mso-position-horizontal-relative:page;mso-position-vertical-relative:paragraph;z-index:-251449344;mso-wrap-distance-left:0;mso-wrap-distance-right:0" coordorigin="1134,404" coordsize="1440,0" path="m1134,404l2574,404e" filled="false" stroked="true" strokeweight="1pt" strokecolor="#000000">
            <v:path arrowok="t"/>
            <v:stroke dashstyle="solid"/>
            <w10:wrap type="topAndBottom"/>
          </v:shape>
        </w:pict>
      </w:r>
    </w:p>
    <w:p>
      <w:pPr>
        <w:pStyle w:val="ListParagraph"/>
        <w:numPr>
          <w:ilvl w:val="0"/>
          <w:numId w:val="64"/>
        </w:numPr>
        <w:tabs>
          <w:tab w:pos="1587" w:val="left" w:leader="none"/>
          <w:tab w:pos="1588" w:val="left" w:leader="none"/>
        </w:tabs>
        <w:spacing w:line="240" w:lineRule="auto" w:before="9" w:after="0"/>
        <w:ind w:left="1587" w:right="0" w:hanging="455"/>
        <w:jc w:val="left"/>
        <w:rPr>
          <w:i/>
          <w:sz w:val="18"/>
        </w:rPr>
      </w:pPr>
      <w:r>
        <w:rPr>
          <w:w w:val="115"/>
          <w:sz w:val="18"/>
        </w:rPr>
        <w:t>Kellerman, Barbara </w:t>
      </w:r>
      <w:r>
        <w:rPr>
          <w:spacing w:val="2"/>
          <w:w w:val="115"/>
          <w:sz w:val="18"/>
        </w:rPr>
        <w:t>2008 </w:t>
      </w:r>
      <w:r>
        <w:rPr>
          <w:i/>
          <w:w w:val="115"/>
          <w:sz w:val="18"/>
        </w:rPr>
        <w:t>Followership: how followers are creating change and changing</w:t>
      </w:r>
      <w:r>
        <w:rPr>
          <w:i/>
          <w:spacing w:val="32"/>
          <w:w w:val="115"/>
          <w:sz w:val="18"/>
        </w:rPr>
        <w:t> </w:t>
      </w:r>
      <w:r>
        <w:rPr>
          <w:i/>
          <w:w w:val="115"/>
          <w:sz w:val="18"/>
        </w:rPr>
        <w:t>leaders</w:t>
      </w:r>
    </w:p>
    <w:p>
      <w:pPr>
        <w:spacing w:before="1"/>
        <w:ind w:left="1587" w:right="0" w:firstLine="0"/>
        <w:jc w:val="left"/>
        <w:rPr>
          <w:sz w:val="18"/>
        </w:rPr>
      </w:pPr>
      <w:r>
        <w:rPr>
          <w:w w:val="120"/>
          <w:sz w:val="18"/>
        </w:rPr>
        <w:t>Boston: Harvard Business Press page 73.</w:t>
      </w:r>
    </w:p>
    <w:p>
      <w:pPr>
        <w:pStyle w:val="ListParagraph"/>
        <w:numPr>
          <w:ilvl w:val="0"/>
          <w:numId w:val="64"/>
        </w:numPr>
        <w:tabs>
          <w:tab w:pos="1587" w:val="left" w:leader="none"/>
          <w:tab w:pos="1588" w:val="left" w:leader="none"/>
        </w:tabs>
        <w:spacing w:line="240" w:lineRule="auto" w:before="0" w:after="0"/>
        <w:ind w:left="1587" w:right="0" w:hanging="455"/>
        <w:jc w:val="left"/>
        <w:rPr>
          <w:i/>
          <w:sz w:val="18"/>
        </w:rPr>
      </w:pPr>
      <w:r>
        <w:rPr>
          <w:w w:val="115"/>
          <w:sz w:val="18"/>
        </w:rPr>
        <w:t>from </w:t>
      </w:r>
      <w:r>
        <w:rPr>
          <w:i/>
          <w:w w:val="115"/>
          <w:sz w:val="18"/>
        </w:rPr>
        <w:t>Charter for Children in the</w:t>
      </w:r>
      <w:r>
        <w:rPr>
          <w:i/>
          <w:spacing w:val="6"/>
          <w:w w:val="115"/>
          <w:sz w:val="18"/>
        </w:rPr>
        <w:t> </w:t>
      </w:r>
      <w:r>
        <w:rPr>
          <w:i/>
          <w:w w:val="115"/>
          <w:sz w:val="18"/>
        </w:rPr>
        <w:t>Church.</w:t>
      </w:r>
    </w:p>
    <w:p>
      <w:pPr>
        <w:spacing w:after="0" w:line="240" w:lineRule="auto"/>
        <w:jc w:val="left"/>
        <w:rPr>
          <w:sz w:val="18"/>
        </w:rPr>
        <w:sectPr>
          <w:pgSz w:w="11910" w:h="16840"/>
          <w:pgMar w:header="0" w:footer="647" w:top="1060" w:bottom="840" w:left="0" w:right="0"/>
        </w:sectPr>
      </w:pPr>
    </w:p>
    <w:p>
      <w:pPr>
        <w:numPr>
          <w:ilvl w:val="0"/>
          <w:numId w:val="65"/>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1870208" filled="true" fillcolor="#dae4ec" stroked="false">
            <v:fill opacity="32768f" type="solid"/>
            <w10:wrap type="none"/>
          </v:rect>
        </w:pict>
      </w:r>
      <w:r>
        <w:rPr>
          <w:rFonts w:ascii="Stone Sans II ITC Std Bk"/>
          <w:b/>
          <w:w w:val="115"/>
          <w:sz w:val="21"/>
        </w:rPr>
        <w:t>Synods as</w:t>
      </w:r>
      <w:r>
        <w:rPr>
          <w:rFonts w:ascii="Stone Sans II ITC Std Bk"/>
          <w:b/>
          <w:spacing w:val="-4"/>
          <w:w w:val="115"/>
          <w:sz w:val="21"/>
        </w:rPr>
        <w:t> </w:t>
      </w:r>
      <w:r>
        <w:rPr>
          <w:rFonts w:ascii="Stone Sans II ITC Std Bk"/>
          <w:b/>
          <w:w w:val="115"/>
          <w:sz w:val="21"/>
        </w:rPr>
        <w:t>accompanists</w:t>
      </w:r>
    </w:p>
    <w:p>
      <w:pPr>
        <w:pStyle w:val="BodyText"/>
        <w:spacing w:line="235" w:lineRule="auto" w:before="223"/>
        <w:ind w:left="1984" w:right="1120"/>
      </w:pPr>
      <w:r>
        <w:rPr>
          <w:w w:val="120"/>
        </w:rPr>
        <w:t>We are conscious that increasingly some are asking what Synods are for; others question their viability. It might be helpful to regard them as accompanists, too. Just as it is when local churches and their people support synods that these regional councils can be</w:t>
      </w:r>
    </w:p>
    <w:p>
      <w:pPr>
        <w:pStyle w:val="BodyText"/>
        <w:spacing w:line="235" w:lineRule="auto" w:before="2"/>
        <w:ind w:left="1984" w:right="1120"/>
      </w:pPr>
      <w:r>
        <w:rPr>
          <w:w w:val="120"/>
        </w:rPr>
        <w:t>at their best, so it is only as and when synods are meaningfully accompanying local churches in their mission and ministry that they are fulfilling their real purpose. Where that is happening, we celebrate it; where it is not, we commit ourselves to be part of ensuring it does, in ways that are feasible, sustainable and efficient.</w:t>
      </w:r>
    </w:p>
    <w:p>
      <w:pPr>
        <w:pStyle w:val="BodyText"/>
        <w:spacing w:before="9"/>
        <w:rPr>
          <w:sz w:val="17"/>
        </w:rPr>
      </w:pPr>
    </w:p>
    <w:p>
      <w:pPr>
        <w:numPr>
          <w:ilvl w:val="0"/>
          <w:numId w:val="65"/>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Ecumenism as</w:t>
      </w:r>
      <w:r>
        <w:rPr>
          <w:rFonts w:ascii="Stone Sans II ITC Std Bk"/>
          <w:b/>
          <w:spacing w:val="-4"/>
          <w:w w:val="115"/>
          <w:sz w:val="21"/>
        </w:rPr>
        <w:t> </w:t>
      </w:r>
      <w:r>
        <w:rPr>
          <w:rFonts w:ascii="Stone Sans II ITC Std Bk"/>
          <w:b/>
          <w:w w:val="115"/>
          <w:sz w:val="21"/>
        </w:rPr>
        <w:t>accompaniment</w:t>
      </w:r>
    </w:p>
    <w:p>
      <w:pPr>
        <w:pStyle w:val="ListParagraph"/>
        <w:numPr>
          <w:ilvl w:val="1"/>
          <w:numId w:val="65"/>
        </w:numPr>
        <w:tabs>
          <w:tab w:pos="2665" w:val="left" w:leader="none"/>
        </w:tabs>
        <w:spacing w:line="235" w:lineRule="auto" w:before="223" w:after="0"/>
        <w:ind w:left="1984" w:right="1539" w:firstLine="0"/>
        <w:jc w:val="both"/>
        <w:rPr>
          <w:sz w:val="20"/>
        </w:rPr>
      </w:pPr>
      <w:r>
        <w:rPr>
          <w:w w:val="120"/>
          <w:sz w:val="20"/>
        </w:rPr>
        <w:t>Many in local churches will have appreciated how the Emmaus Road </w:t>
      </w:r>
      <w:r>
        <w:rPr>
          <w:spacing w:val="2"/>
          <w:w w:val="120"/>
          <w:sz w:val="20"/>
        </w:rPr>
        <w:t>story </w:t>
      </w:r>
      <w:r>
        <w:rPr>
          <w:w w:val="120"/>
          <w:sz w:val="20"/>
        </w:rPr>
        <w:t>was at</w:t>
      </w:r>
      <w:r>
        <w:rPr>
          <w:spacing w:val="-5"/>
          <w:w w:val="120"/>
          <w:sz w:val="20"/>
        </w:rPr>
        <w:t> </w:t>
      </w:r>
      <w:r>
        <w:rPr>
          <w:w w:val="120"/>
          <w:sz w:val="20"/>
        </w:rPr>
        <w:t>the</w:t>
      </w:r>
      <w:r>
        <w:rPr>
          <w:spacing w:val="-5"/>
          <w:w w:val="120"/>
          <w:sz w:val="20"/>
        </w:rPr>
        <w:t> </w:t>
      </w:r>
      <w:r>
        <w:rPr>
          <w:w w:val="120"/>
          <w:sz w:val="20"/>
        </w:rPr>
        <w:t>heart</w:t>
      </w:r>
      <w:r>
        <w:rPr>
          <w:spacing w:val="-5"/>
          <w:w w:val="120"/>
          <w:sz w:val="20"/>
        </w:rPr>
        <w:t> </w:t>
      </w:r>
      <w:r>
        <w:rPr>
          <w:w w:val="120"/>
          <w:sz w:val="20"/>
        </w:rPr>
        <w:t>of</w:t>
      </w:r>
      <w:r>
        <w:rPr>
          <w:spacing w:val="-5"/>
          <w:w w:val="120"/>
          <w:sz w:val="20"/>
        </w:rPr>
        <w:t> </w:t>
      </w:r>
      <w:r>
        <w:rPr>
          <w:w w:val="120"/>
          <w:sz w:val="20"/>
        </w:rPr>
        <w:t>this</w:t>
      </w:r>
      <w:r>
        <w:rPr>
          <w:spacing w:val="-5"/>
          <w:w w:val="120"/>
          <w:sz w:val="20"/>
        </w:rPr>
        <w:t> </w:t>
      </w:r>
      <w:r>
        <w:rPr>
          <w:w w:val="120"/>
          <w:sz w:val="20"/>
        </w:rPr>
        <w:t>year’s</w:t>
      </w:r>
      <w:r>
        <w:rPr>
          <w:spacing w:val="-5"/>
          <w:w w:val="120"/>
          <w:sz w:val="20"/>
        </w:rPr>
        <w:t> </w:t>
      </w:r>
      <w:r>
        <w:rPr>
          <w:w w:val="120"/>
          <w:sz w:val="20"/>
        </w:rPr>
        <w:t>Week</w:t>
      </w:r>
      <w:r>
        <w:rPr>
          <w:spacing w:val="-5"/>
          <w:w w:val="120"/>
          <w:sz w:val="20"/>
        </w:rPr>
        <w:t> </w:t>
      </w:r>
      <w:r>
        <w:rPr>
          <w:w w:val="120"/>
          <w:sz w:val="20"/>
        </w:rPr>
        <w:t>of</w:t>
      </w:r>
      <w:r>
        <w:rPr>
          <w:spacing w:val="-5"/>
          <w:w w:val="120"/>
          <w:sz w:val="20"/>
        </w:rPr>
        <w:t> </w:t>
      </w:r>
      <w:r>
        <w:rPr>
          <w:w w:val="120"/>
          <w:sz w:val="20"/>
        </w:rPr>
        <w:t>Prayer</w:t>
      </w:r>
      <w:r>
        <w:rPr>
          <w:spacing w:val="-5"/>
          <w:w w:val="120"/>
          <w:sz w:val="20"/>
        </w:rPr>
        <w:t> </w:t>
      </w:r>
      <w:r>
        <w:rPr>
          <w:w w:val="120"/>
          <w:sz w:val="20"/>
        </w:rPr>
        <w:t>for</w:t>
      </w:r>
      <w:r>
        <w:rPr>
          <w:spacing w:val="-5"/>
          <w:w w:val="120"/>
          <w:sz w:val="20"/>
        </w:rPr>
        <w:t> </w:t>
      </w:r>
      <w:r>
        <w:rPr>
          <w:w w:val="120"/>
          <w:sz w:val="20"/>
        </w:rPr>
        <w:t>Christian</w:t>
      </w:r>
      <w:r>
        <w:rPr>
          <w:spacing w:val="-5"/>
          <w:w w:val="120"/>
          <w:sz w:val="20"/>
        </w:rPr>
        <w:t> </w:t>
      </w:r>
      <w:r>
        <w:rPr>
          <w:w w:val="120"/>
          <w:sz w:val="20"/>
        </w:rPr>
        <w:t>Unity</w:t>
      </w:r>
      <w:r>
        <w:rPr>
          <w:spacing w:val="-5"/>
          <w:w w:val="120"/>
          <w:sz w:val="20"/>
        </w:rPr>
        <w:t> </w:t>
      </w:r>
      <w:r>
        <w:rPr>
          <w:w w:val="120"/>
          <w:sz w:val="20"/>
        </w:rPr>
        <w:t>material</w:t>
      </w:r>
      <w:r>
        <w:rPr>
          <w:spacing w:val="-5"/>
          <w:w w:val="120"/>
          <w:sz w:val="20"/>
        </w:rPr>
        <w:t> </w:t>
      </w:r>
      <w:r>
        <w:rPr>
          <w:w w:val="120"/>
          <w:sz w:val="20"/>
        </w:rPr>
        <w:t>from</w:t>
      </w:r>
      <w:r>
        <w:rPr>
          <w:spacing w:val="-5"/>
          <w:w w:val="120"/>
          <w:sz w:val="20"/>
        </w:rPr>
        <w:t> </w:t>
      </w:r>
      <w:r>
        <w:rPr>
          <w:w w:val="120"/>
          <w:sz w:val="20"/>
        </w:rPr>
        <w:t>Scotland.</w:t>
      </w:r>
      <w:r>
        <w:rPr>
          <w:spacing w:val="-5"/>
          <w:w w:val="120"/>
          <w:sz w:val="20"/>
        </w:rPr>
        <w:t> </w:t>
      </w:r>
      <w:r>
        <w:rPr>
          <w:w w:val="120"/>
          <w:sz w:val="20"/>
        </w:rPr>
        <w:t>It is a narrative about how people accompanying one another on a journey found their experience and faith nourished and</w:t>
      </w:r>
      <w:r>
        <w:rPr>
          <w:spacing w:val="13"/>
          <w:w w:val="120"/>
          <w:sz w:val="20"/>
        </w:rPr>
        <w:t> </w:t>
      </w:r>
      <w:r>
        <w:rPr>
          <w:w w:val="120"/>
          <w:sz w:val="20"/>
        </w:rPr>
        <w:t>deepened.</w:t>
      </w:r>
    </w:p>
    <w:p>
      <w:pPr>
        <w:pStyle w:val="BodyText"/>
        <w:spacing w:before="11"/>
        <w:rPr>
          <w:sz w:val="19"/>
        </w:rPr>
      </w:pPr>
    </w:p>
    <w:p>
      <w:pPr>
        <w:pStyle w:val="ListParagraph"/>
        <w:numPr>
          <w:ilvl w:val="1"/>
          <w:numId w:val="65"/>
        </w:numPr>
        <w:tabs>
          <w:tab w:pos="2664" w:val="left" w:leader="none"/>
          <w:tab w:pos="2665" w:val="left" w:leader="none"/>
        </w:tabs>
        <w:spacing w:line="235" w:lineRule="auto" w:before="0" w:after="0"/>
        <w:ind w:left="1984" w:right="1132" w:firstLine="0"/>
        <w:jc w:val="left"/>
        <w:rPr>
          <w:sz w:val="20"/>
        </w:rPr>
      </w:pPr>
      <w:r>
        <w:rPr>
          <w:w w:val="120"/>
          <w:sz w:val="20"/>
        </w:rPr>
        <w:t>Synod Moderators have significant ecumenical opportunities to play their </w:t>
      </w:r>
      <w:r>
        <w:rPr>
          <w:spacing w:val="2"/>
          <w:w w:val="120"/>
          <w:sz w:val="20"/>
        </w:rPr>
        <w:t>part </w:t>
      </w:r>
      <w:r>
        <w:rPr>
          <w:w w:val="120"/>
          <w:sz w:val="20"/>
        </w:rPr>
        <w:t>in fostering the United Reformed </w:t>
      </w:r>
      <w:r>
        <w:rPr>
          <w:spacing w:val="-3"/>
          <w:w w:val="120"/>
          <w:sz w:val="20"/>
        </w:rPr>
        <w:t>Church’s </w:t>
      </w:r>
      <w:r>
        <w:rPr>
          <w:w w:val="120"/>
          <w:sz w:val="20"/>
        </w:rPr>
        <w:t>determined ecumenical focus. We are, therefore, as aware as many at the grass roots of how mixed today’s ecumenical experience is, between the three nations, and even within them. In places it is dynamic – an instrument of witness and mission more credible and effective than when we stand alone. Elsewhere it is tired or bored, treated as a distraction or irrelevance. And in some places it has completely withered on the vine, too often with considerable angst and</w:t>
      </w:r>
      <w:r>
        <w:rPr>
          <w:spacing w:val="43"/>
          <w:w w:val="120"/>
          <w:sz w:val="20"/>
        </w:rPr>
        <w:t> </w:t>
      </w:r>
      <w:r>
        <w:rPr>
          <w:w w:val="120"/>
          <w:sz w:val="20"/>
        </w:rPr>
        <w:t>pain.</w:t>
      </w:r>
    </w:p>
    <w:p>
      <w:pPr>
        <w:pStyle w:val="BodyText"/>
        <w:spacing w:before="7"/>
        <w:rPr>
          <w:sz w:val="19"/>
        </w:rPr>
      </w:pPr>
    </w:p>
    <w:p>
      <w:pPr>
        <w:pStyle w:val="ListParagraph"/>
        <w:numPr>
          <w:ilvl w:val="1"/>
          <w:numId w:val="65"/>
        </w:numPr>
        <w:tabs>
          <w:tab w:pos="2664" w:val="left" w:leader="none"/>
          <w:tab w:pos="2665" w:val="left" w:leader="none"/>
        </w:tabs>
        <w:spacing w:line="240" w:lineRule="exact" w:before="0" w:after="0"/>
        <w:ind w:left="1984" w:right="1138" w:firstLine="0"/>
        <w:jc w:val="left"/>
        <w:rPr>
          <w:sz w:val="20"/>
        </w:rPr>
      </w:pPr>
      <w:r>
        <w:rPr>
          <w:w w:val="120"/>
          <w:sz w:val="20"/>
        </w:rPr>
        <w:t>We recognise that accompanying is the essence of much local ecumenism. Regardless of the faltering progress we may be making toward organic unity,   commitedly walking together along the local pilgrim path, ideally in shared commitment to an outward-looking project, is what makes the real difference in people’s experience. Indeed, there is considerable anecdotal evidence that ecumenism which is about   working together in the community is often the essential precursor to sharing  agreements and constitutions. The vision, </w:t>
      </w:r>
      <w:r>
        <w:rPr>
          <w:spacing w:val="-3"/>
          <w:w w:val="120"/>
          <w:sz w:val="20"/>
        </w:rPr>
        <w:t>however, </w:t>
      </w:r>
      <w:r>
        <w:rPr>
          <w:w w:val="120"/>
          <w:sz w:val="20"/>
        </w:rPr>
        <w:t>remains unity. Willem Visser ‘t </w:t>
      </w:r>
      <w:r>
        <w:rPr>
          <w:spacing w:val="2"/>
          <w:w w:val="120"/>
          <w:sz w:val="20"/>
        </w:rPr>
        <w:t>Hooft, </w:t>
      </w:r>
      <w:r>
        <w:rPr>
          <w:w w:val="120"/>
          <w:sz w:val="20"/>
        </w:rPr>
        <w:t>first General Secretary of the World Council of Churches, sums it up: ‘It goes without saying that there must be social engagement. And of course there </w:t>
      </w:r>
      <w:r>
        <w:rPr>
          <w:spacing w:val="-4"/>
          <w:w w:val="120"/>
          <w:sz w:val="20"/>
        </w:rPr>
        <w:t>may, </w:t>
      </w:r>
      <w:r>
        <w:rPr>
          <w:w w:val="120"/>
          <w:sz w:val="20"/>
        </w:rPr>
        <w:t>nay there must, be co-operation between [people] of goodwill of every kind who come together on the basis of this concern for justice and peace. But that is not an alternative to the gathering of the scattered children of God. Social engagement is the necessary consequence of our becoming the</w:t>
      </w:r>
      <w:r>
        <w:rPr>
          <w:spacing w:val="5"/>
          <w:w w:val="120"/>
          <w:sz w:val="20"/>
        </w:rPr>
        <w:t> </w:t>
      </w:r>
      <w:r>
        <w:rPr>
          <w:spacing w:val="-3"/>
          <w:w w:val="120"/>
          <w:sz w:val="20"/>
        </w:rPr>
        <w:t>church-together.’</w:t>
      </w:r>
      <w:r>
        <w:rPr>
          <w:spacing w:val="-3"/>
          <w:w w:val="120"/>
          <w:position w:val="4"/>
          <w:sz w:val="20"/>
        </w:rPr>
        <w:t>12</w:t>
      </w:r>
    </w:p>
    <w:p>
      <w:pPr>
        <w:numPr>
          <w:ilvl w:val="0"/>
          <w:numId w:val="65"/>
        </w:numPr>
        <w:tabs>
          <w:tab w:pos="2704" w:val="left" w:leader="none"/>
          <w:tab w:pos="2705" w:val="left" w:leader="none"/>
        </w:tabs>
        <w:spacing w:before="220"/>
        <w:ind w:left="2704" w:right="0" w:hanging="721"/>
        <w:jc w:val="left"/>
        <w:rPr>
          <w:rFonts w:ascii="Stone Sans II ITC Std Bk"/>
          <w:b/>
          <w:sz w:val="21"/>
        </w:rPr>
      </w:pPr>
      <w:r>
        <w:rPr>
          <w:rFonts w:ascii="Stone Sans II ITC Std Bk"/>
          <w:b/>
          <w:w w:val="115"/>
          <w:sz w:val="21"/>
        </w:rPr>
        <w:t>Accompanying the</w:t>
      </w:r>
      <w:r>
        <w:rPr>
          <w:rFonts w:ascii="Stone Sans II ITC Std Bk"/>
          <w:b/>
          <w:spacing w:val="-4"/>
          <w:w w:val="115"/>
          <w:sz w:val="21"/>
        </w:rPr>
        <w:t> </w:t>
      </w:r>
      <w:r>
        <w:rPr>
          <w:rFonts w:ascii="Stone Sans II ITC Std Bk"/>
          <w:b/>
          <w:w w:val="115"/>
          <w:sz w:val="21"/>
        </w:rPr>
        <w:t>world</w:t>
      </w:r>
    </w:p>
    <w:p>
      <w:pPr>
        <w:pStyle w:val="ListParagraph"/>
        <w:numPr>
          <w:ilvl w:val="1"/>
          <w:numId w:val="65"/>
        </w:numPr>
        <w:tabs>
          <w:tab w:pos="2664" w:val="left" w:leader="none"/>
          <w:tab w:pos="2665" w:val="left" w:leader="none"/>
        </w:tabs>
        <w:spacing w:line="223" w:lineRule="auto" w:before="232" w:after="0"/>
        <w:ind w:left="1984" w:right="1535" w:firstLine="0"/>
        <w:jc w:val="left"/>
        <w:rPr>
          <w:sz w:val="20"/>
        </w:rPr>
      </w:pPr>
      <w:r>
        <w:rPr>
          <w:w w:val="120"/>
          <w:sz w:val="20"/>
        </w:rPr>
        <w:t>As Christians we are </w:t>
      </w:r>
      <w:r>
        <w:rPr>
          <w:spacing w:val="-2"/>
          <w:w w:val="120"/>
          <w:sz w:val="20"/>
        </w:rPr>
        <w:t>not </w:t>
      </w:r>
      <w:r>
        <w:rPr>
          <w:w w:val="120"/>
          <w:sz w:val="20"/>
        </w:rPr>
        <w:t>called simply </w:t>
      </w:r>
      <w:r>
        <w:rPr>
          <w:spacing w:val="-3"/>
          <w:w w:val="120"/>
          <w:sz w:val="20"/>
        </w:rPr>
        <w:t>to </w:t>
      </w:r>
      <w:r>
        <w:rPr>
          <w:spacing w:val="-4"/>
          <w:w w:val="120"/>
          <w:sz w:val="20"/>
        </w:rPr>
        <w:t>accompany </w:t>
      </w:r>
      <w:r>
        <w:rPr>
          <w:w w:val="120"/>
          <w:sz w:val="20"/>
        </w:rPr>
        <w:t>others in the </w:t>
      </w:r>
      <w:r>
        <w:rPr>
          <w:spacing w:val="-3"/>
          <w:w w:val="120"/>
          <w:sz w:val="20"/>
        </w:rPr>
        <w:t>church, </w:t>
      </w:r>
      <w:r>
        <w:rPr>
          <w:w w:val="120"/>
          <w:sz w:val="20"/>
        </w:rPr>
        <w:t>but also crucially </w:t>
      </w:r>
      <w:r>
        <w:rPr>
          <w:spacing w:val="-3"/>
          <w:w w:val="120"/>
          <w:sz w:val="20"/>
        </w:rPr>
        <w:t>to </w:t>
      </w:r>
      <w:r>
        <w:rPr>
          <w:spacing w:val="-4"/>
          <w:w w:val="120"/>
          <w:sz w:val="20"/>
        </w:rPr>
        <w:t>accompany </w:t>
      </w:r>
      <w:r>
        <w:rPr>
          <w:w w:val="120"/>
          <w:sz w:val="20"/>
        </w:rPr>
        <w:t>the world. The </w:t>
      </w:r>
      <w:r>
        <w:rPr>
          <w:spacing w:val="-3"/>
          <w:w w:val="120"/>
          <w:sz w:val="20"/>
        </w:rPr>
        <w:t>incarnate </w:t>
      </w:r>
      <w:r>
        <w:rPr>
          <w:w w:val="120"/>
          <w:sz w:val="20"/>
        </w:rPr>
        <w:t>Christ was </w:t>
      </w:r>
      <w:r>
        <w:rPr>
          <w:spacing w:val="-2"/>
          <w:w w:val="120"/>
          <w:sz w:val="20"/>
        </w:rPr>
        <w:t>not </w:t>
      </w:r>
      <w:r>
        <w:rPr>
          <w:w w:val="120"/>
          <w:sz w:val="20"/>
        </w:rPr>
        <w:t>about God </w:t>
      </w:r>
      <w:r>
        <w:rPr>
          <w:spacing w:val="-3"/>
          <w:w w:val="120"/>
          <w:sz w:val="20"/>
        </w:rPr>
        <w:t>coming to </w:t>
      </w:r>
      <w:r>
        <w:rPr>
          <w:w w:val="120"/>
          <w:sz w:val="20"/>
        </w:rPr>
        <w:t>a sacred elect, but </w:t>
      </w:r>
      <w:r>
        <w:rPr>
          <w:spacing w:val="-3"/>
          <w:w w:val="120"/>
          <w:sz w:val="20"/>
        </w:rPr>
        <w:t>to </w:t>
      </w:r>
      <w:r>
        <w:rPr>
          <w:w w:val="120"/>
          <w:sz w:val="20"/>
        </w:rPr>
        <w:t>the world. </w:t>
      </w:r>
      <w:r>
        <w:rPr>
          <w:spacing w:val="-3"/>
          <w:w w:val="120"/>
          <w:sz w:val="20"/>
        </w:rPr>
        <w:t>We </w:t>
      </w:r>
      <w:r>
        <w:rPr>
          <w:w w:val="120"/>
          <w:sz w:val="20"/>
        </w:rPr>
        <w:t>best </w:t>
      </w:r>
      <w:r>
        <w:rPr>
          <w:spacing w:val="-3"/>
          <w:w w:val="120"/>
          <w:sz w:val="20"/>
        </w:rPr>
        <w:t>follow </w:t>
      </w:r>
      <w:r>
        <w:rPr>
          <w:w w:val="120"/>
          <w:sz w:val="20"/>
        </w:rPr>
        <w:t>Christ, then, as we go out from the sanctuary </w:t>
      </w:r>
      <w:r>
        <w:rPr>
          <w:spacing w:val="-3"/>
          <w:w w:val="120"/>
          <w:sz w:val="20"/>
        </w:rPr>
        <w:t>onto </w:t>
      </w:r>
      <w:r>
        <w:rPr>
          <w:w w:val="120"/>
          <w:sz w:val="20"/>
        </w:rPr>
        <w:t>the </w:t>
      </w:r>
      <w:r>
        <w:rPr>
          <w:spacing w:val="-3"/>
          <w:w w:val="120"/>
          <w:sz w:val="20"/>
        </w:rPr>
        <w:t>pavement; </w:t>
      </w:r>
      <w:r>
        <w:rPr>
          <w:w w:val="120"/>
          <w:sz w:val="20"/>
        </w:rPr>
        <w:t>from the pulpit </w:t>
      </w:r>
      <w:r>
        <w:rPr>
          <w:spacing w:val="-3"/>
          <w:w w:val="120"/>
          <w:sz w:val="20"/>
        </w:rPr>
        <w:t>to </w:t>
      </w:r>
      <w:r>
        <w:rPr>
          <w:w w:val="120"/>
          <w:sz w:val="20"/>
        </w:rPr>
        <w:t>the </w:t>
      </w:r>
      <w:r>
        <w:rPr>
          <w:spacing w:val="-6"/>
          <w:w w:val="120"/>
          <w:sz w:val="20"/>
        </w:rPr>
        <w:t>agora</w:t>
      </w:r>
      <w:r>
        <w:rPr>
          <w:spacing w:val="-6"/>
          <w:w w:val="120"/>
          <w:position w:val="4"/>
          <w:sz w:val="20"/>
        </w:rPr>
        <w:t>13 </w:t>
      </w:r>
      <w:r>
        <w:rPr>
          <w:w w:val="120"/>
          <w:sz w:val="20"/>
        </w:rPr>
        <w:t>– that </w:t>
      </w:r>
      <w:r>
        <w:rPr>
          <w:spacing w:val="-3"/>
          <w:w w:val="120"/>
          <w:sz w:val="20"/>
        </w:rPr>
        <w:t>place </w:t>
      </w:r>
      <w:r>
        <w:rPr>
          <w:w w:val="120"/>
          <w:sz w:val="20"/>
        </w:rPr>
        <w:t>of</w:t>
      </w:r>
      <w:r>
        <w:rPr>
          <w:spacing w:val="-25"/>
          <w:w w:val="120"/>
          <w:sz w:val="20"/>
        </w:rPr>
        <w:t> </w:t>
      </w:r>
      <w:r>
        <w:rPr>
          <w:w w:val="120"/>
          <w:sz w:val="20"/>
        </w:rPr>
        <w:t>public</w:t>
      </w:r>
    </w:p>
    <w:p>
      <w:pPr>
        <w:pStyle w:val="BodyText"/>
        <w:spacing w:line="235" w:lineRule="auto" w:before="2"/>
        <w:ind w:left="1984" w:right="1120"/>
      </w:pPr>
      <w:r>
        <w:rPr>
          <w:w w:val="120"/>
        </w:rPr>
        <w:t>gathering, activity and discourse, where we can engage in an apologetic that persuasively sets the gospel alongside every other competing voice that seeks to shape life today.</w:t>
      </w:r>
    </w:p>
    <w:p>
      <w:pPr>
        <w:pStyle w:val="BodyText"/>
        <w:spacing w:before="9"/>
        <w:rPr>
          <w:sz w:val="19"/>
        </w:rPr>
      </w:pPr>
    </w:p>
    <w:p>
      <w:pPr>
        <w:pStyle w:val="ListParagraph"/>
        <w:numPr>
          <w:ilvl w:val="1"/>
          <w:numId w:val="65"/>
        </w:numPr>
        <w:tabs>
          <w:tab w:pos="2664" w:val="left" w:leader="none"/>
          <w:tab w:pos="2665" w:val="left" w:leader="none"/>
        </w:tabs>
        <w:spacing w:line="235" w:lineRule="auto" w:before="0" w:after="0"/>
        <w:ind w:left="1984" w:right="1569" w:firstLine="0"/>
        <w:jc w:val="left"/>
        <w:rPr>
          <w:sz w:val="20"/>
        </w:rPr>
      </w:pPr>
      <w:r>
        <w:rPr>
          <w:w w:val="120"/>
          <w:sz w:val="20"/>
        </w:rPr>
        <w:t>The church is most impressive to society when it emerges from its isolation and privilege and simply serves, through Sure Start Children’s Centre or Age    Concern Luncheon Club; through campaigning for climate change or trade justice; through availability. Whilst we may not believe it right to take to ourselves the </w:t>
      </w:r>
      <w:r>
        <w:rPr>
          <w:spacing w:val="-3"/>
          <w:w w:val="120"/>
          <w:sz w:val="20"/>
        </w:rPr>
        <w:t>state’s </w:t>
      </w:r>
      <w:r>
        <w:rPr>
          <w:w w:val="120"/>
          <w:sz w:val="20"/>
        </w:rPr>
        <w:t>responsibility for social services, we should not underestimate our potential, as seemingly powerless accompanists, to be Third Sector agents of stability, peace and hope in</w:t>
      </w:r>
      <w:r>
        <w:rPr>
          <w:spacing w:val="4"/>
          <w:w w:val="120"/>
          <w:sz w:val="20"/>
        </w:rPr>
        <w:t> </w:t>
      </w:r>
      <w:r>
        <w:rPr>
          <w:w w:val="120"/>
          <w:sz w:val="20"/>
        </w:rPr>
        <w:t>society.</w:t>
      </w:r>
    </w:p>
    <w:p>
      <w:pPr>
        <w:pStyle w:val="BodyText"/>
      </w:pPr>
    </w:p>
    <w:p>
      <w:pPr>
        <w:pStyle w:val="BodyText"/>
        <w:spacing w:before="12"/>
        <w:rPr>
          <w:sz w:val="29"/>
        </w:rPr>
      </w:pPr>
      <w:r>
        <w:rPr/>
        <w:pict>
          <v:shape style="position:absolute;margin-left:99.212601pt;margin-top:20.751451pt;width:72pt;height:.1pt;mso-position-horizontal-relative:page;mso-position-vertical-relative:paragraph;z-index:-251447296;mso-wrap-distance-left:0;mso-wrap-distance-right:0" coordorigin="1984,415" coordsize="1440,0" path="m1984,415l3424,415e" filled="false" stroked="true" strokeweight="1pt" strokecolor="#000000">
            <v:path arrowok="t"/>
            <v:stroke dashstyle="solid"/>
            <w10:wrap type="topAndBottom"/>
          </v:shape>
        </w:pict>
      </w:r>
    </w:p>
    <w:p>
      <w:pPr>
        <w:tabs>
          <w:tab w:pos="2437" w:val="left" w:leader="none"/>
        </w:tabs>
        <w:spacing w:before="9"/>
        <w:ind w:left="2437" w:right="1970" w:hanging="454"/>
        <w:jc w:val="left"/>
        <w:rPr>
          <w:sz w:val="18"/>
        </w:rPr>
      </w:pPr>
      <w:r>
        <w:rPr>
          <w:spacing w:val="-7"/>
          <w:w w:val="115"/>
          <w:sz w:val="18"/>
        </w:rPr>
        <w:t>12</w:t>
        <w:tab/>
      </w:r>
      <w:r>
        <w:rPr>
          <w:w w:val="115"/>
          <w:sz w:val="18"/>
        </w:rPr>
        <w:t>Visser ‘t </w:t>
      </w:r>
      <w:r>
        <w:rPr>
          <w:spacing w:val="2"/>
          <w:w w:val="115"/>
          <w:sz w:val="18"/>
        </w:rPr>
        <w:t>Hooft, </w:t>
      </w:r>
      <w:r>
        <w:rPr>
          <w:w w:val="115"/>
          <w:sz w:val="18"/>
        </w:rPr>
        <w:t>Willem A </w:t>
      </w:r>
      <w:r>
        <w:rPr>
          <w:spacing w:val="-9"/>
          <w:w w:val="115"/>
          <w:sz w:val="18"/>
        </w:rPr>
        <w:t>1974 </w:t>
      </w:r>
      <w:r>
        <w:rPr>
          <w:i/>
          <w:w w:val="115"/>
          <w:sz w:val="18"/>
        </w:rPr>
        <w:t>Has the Ecumenical Movement a Futur</w:t>
      </w:r>
      <w:r>
        <w:rPr>
          <w:w w:val="115"/>
          <w:sz w:val="18"/>
        </w:rPr>
        <w:t>e? Belfast: Christian Journals Limited page</w:t>
      </w:r>
      <w:r>
        <w:rPr>
          <w:spacing w:val="15"/>
          <w:w w:val="115"/>
          <w:sz w:val="18"/>
        </w:rPr>
        <w:t> </w:t>
      </w:r>
      <w:r>
        <w:rPr>
          <w:spacing w:val="-10"/>
          <w:w w:val="115"/>
          <w:sz w:val="18"/>
        </w:rPr>
        <w:t>97.</w:t>
      </w:r>
    </w:p>
    <w:p>
      <w:pPr>
        <w:tabs>
          <w:tab w:pos="2437" w:val="left" w:leader="none"/>
        </w:tabs>
        <w:spacing w:before="1"/>
        <w:ind w:left="1984" w:right="0" w:firstLine="0"/>
        <w:jc w:val="left"/>
        <w:rPr>
          <w:sz w:val="18"/>
        </w:rPr>
      </w:pPr>
      <w:r>
        <w:rPr>
          <w:spacing w:val="-9"/>
          <w:w w:val="120"/>
          <w:sz w:val="18"/>
        </w:rPr>
        <w:t>13</w:t>
        <w:tab/>
      </w:r>
      <w:r>
        <w:rPr>
          <w:spacing w:val="2"/>
          <w:w w:val="120"/>
          <w:sz w:val="18"/>
        </w:rPr>
        <w:t>Acts</w:t>
      </w:r>
      <w:r>
        <w:rPr>
          <w:spacing w:val="1"/>
          <w:w w:val="120"/>
          <w:sz w:val="18"/>
        </w:rPr>
        <w:t> </w:t>
      </w:r>
      <w:r>
        <w:rPr>
          <w:spacing w:val="-17"/>
          <w:w w:val="120"/>
          <w:sz w:val="18"/>
        </w:rPr>
        <w:t>17.17.</w:t>
      </w:r>
    </w:p>
    <w:p>
      <w:pPr>
        <w:spacing w:after="0"/>
        <w:jc w:val="left"/>
        <w:rPr>
          <w:sz w:val="18"/>
        </w:rPr>
        <w:sectPr>
          <w:pgSz w:w="11910" w:h="16840"/>
          <w:pgMar w:header="0" w:footer="647" w:top="1060" w:bottom="840" w:left="0" w:right="0"/>
        </w:sectPr>
      </w:pPr>
    </w:p>
    <w:p>
      <w:pPr>
        <w:pStyle w:val="ListParagraph"/>
        <w:numPr>
          <w:ilvl w:val="1"/>
          <w:numId w:val="65"/>
        </w:numPr>
        <w:tabs>
          <w:tab w:pos="1814" w:val="left" w:leader="none"/>
          <w:tab w:pos="1815" w:val="left" w:leader="none"/>
        </w:tabs>
        <w:spacing w:line="235" w:lineRule="auto" w:before="107" w:after="0"/>
        <w:ind w:left="1133" w:right="2051" w:firstLine="0"/>
        <w:jc w:val="left"/>
        <w:rPr>
          <w:sz w:val="20"/>
        </w:rPr>
      </w:pPr>
      <w:r>
        <w:rPr/>
        <w:pict>
          <v:rect style="position:absolute;margin-left:12.047pt;margin-top:8.477343pt;width:22.677pt;height:22.677pt;mso-position-horizontal-relative:page;mso-position-vertical-relative:paragraph;z-index:251872256" filled="true" fillcolor="#dae4ec" stroked="false">
            <v:fill opacity="32768f" type="solid"/>
            <w10:wrap type="none"/>
          </v:rect>
        </w:pict>
      </w:r>
      <w:r>
        <w:rPr>
          <w:w w:val="120"/>
          <w:sz w:val="20"/>
        </w:rPr>
        <w:t>This </w:t>
      </w:r>
      <w:r>
        <w:rPr>
          <w:spacing w:val="2"/>
          <w:w w:val="120"/>
          <w:sz w:val="20"/>
        </w:rPr>
        <w:t>report </w:t>
      </w:r>
      <w:r>
        <w:rPr>
          <w:w w:val="120"/>
          <w:sz w:val="20"/>
        </w:rPr>
        <w:t>is being written as Churches Together in Cumbria has played a significant role in the care of whole communities devastated by flooding; they have accompanied and that has made a difference. By the time Assembly meets, a General Election will have been held. </w:t>
      </w:r>
      <w:r>
        <w:rPr>
          <w:spacing w:val="3"/>
          <w:w w:val="120"/>
          <w:sz w:val="20"/>
        </w:rPr>
        <w:t>As </w:t>
      </w:r>
      <w:r>
        <w:rPr>
          <w:w w:val="120"/>
          <w:sz w:val="20"/>
        </w:rPr>
        <w:t>constituents pondered the options, churches and Churches Together groups through hustings and Question Time-like events, will have helped us tease out a theological perspective, an alternative </w:t>
      </w:r>
      <w:r>
        <w:rPr>
          <w:spacing w:val="-3"/>
          <w:w w:val="120"/>
          <w:sz w:val="20"/>
        </w:rPr>
        <w:t>view, </w:t>
      </w:r>
      <w:r>
        <w:rPr>
          <w:w w:val="120"/>
          <w:sz w:val="20"/>
        </w:rPr>
        <w:t>on some of the issues. Accompanying the world is not always about answers – it is also about living with, wrestling with the questions that must be asked if God’s reign is to be</w:t>
      </w:r>
      <w:r>
        <w:rPr>
          <w:spacing w:val="5"/>
          <w:w w:val="120"/>
          <w:sz w:val="20"/>
        </w:rPr>
        <w:t> </w:t>
      </w:r>
      <w:r>
        <w:rPr>
          <w:w w:val="120"/>
          <w:sz w:val="20"/>
        </w:rPr>
        <w:t>embodied.</w:t>
      </w:r>
    </w:p>
    <w:p>
      <w:pPr>
        <w:pStyle w:val="BodyText"/>
        <w:rPr>
          <w:sz w:val="18"/>
        </w:rPr>
      </w:pPr>
    </w:p>
    <w:p>
      <w:pPr>
        <w:numPr>
          <w:ilvl w:val="0"/>
          <w:numId w:val="65"/>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Christ the</w:t>
      </w:r>
      <w:r>
        <w:rPr>
          <w:rFonts w:ascii="Stone Sans II ITC Std Bk"/>
          <w:b/>
          <w:spacing w:val="-4"/>
          <w:w w:val="115"/>
          <w:sz w:val="21"/>
        </w:rPr>
        <w:t> </w:t>
      </w:r>
      <w:r>
        <w:rPr>
          <w:rFonts w:ascii="Stone Sans II ITC Std Bk"/>
          <w:b/>
          <w:w w:val="115"/>
          <w:sz w:val="21"/>
        </w:rPr>
        <w:t>accompanist</w:t>
      </w:r>
    </w:p>
    <w:p>
      <w:pPr>
        <w:pStyle w:val="BodyText"/>
        <w:spacing w:line="240" w:lineRule="exact" w:before="217"/>
        <w:ind w:left="1133" w:right="2014"/>
      </w:pPr>
      <w:r>
        <w:rPr>
          <w:w w:val="120"/>
        </w:rPr>
        <w:t>Wherever we accompany one another in this mutual dependability we are likely more authentically to be being the church of Jesus Christ. Indeed, we sense that so many of the difficulties and the disillusionments that can drag the church down could be ameliorated if we were more aware of the calling to accompany one another, faithful accompanying being</w:t>
      </w:r>
      <w:r>
        <w:rPr>
          <w:spacing w:val="8"/>
          <w:w w:val="120"/>
        </w:rPr>
        <w:t> </w:t>
      </w:r>
      <w:r>
        <w:rPr>
          <w:w w:val="120"/>
        </w:rPr>
        <w:t>all</w:t>
      </w:r>
      <w:r>
        <w:rPr>
          <w:spacing w:val="9"/>
          <w:w w:val="120"/>
        </w:rPr>
        <w:t> </w:t>
      </w:r>
      <w:r>
        <w:rPr>
          <w:w w:val="120"/>
        </w:rPr>
        <w:t>about</w:t>
      </w:r>
      <w:r>
        <w:rPr>
          <w:spacing w:val="8"/>
          <w:w w:val="120"/>
        </w:rPr>
        <w:t> </w:t>
      </w:r>
      <w:r>
        <w:rPr>
          <w:w w:val="120"/>
        </w:rPr>
        <w:t>encouraging</w:t>
      </w:r>
      <w:r>
        <w:rPr>
          <w:spacing w:val="9"/>
          <w:w w:val="120"/>
        </w:rPr>
        <w:t> </w:t>
      </w:r>
      <w:r>
        <w:rPr>
          <w:w w:val="120"/>
        </w:rPr>
        <w:t>or</w:t>
      </w:r>
      <w:r>
        <w:rPr>
          <w:spacing w:val="9"/>
          <w:w w:val="120"/>
        </w:rPr>
        <w:t> </w:t>
      </w:r>
      <w:r>
        <w:rPr>
          <w:w w:val="120"/>
        </w:rPr>
        <w:t>putting</w:t>
      </w:r>
      <w:r>
        <w:rPr>
          <w:spacing w:val="8"/>
          <w:w w:val="120"/>
        </w:rPr>
        <w:t> </w:t>
      </w:r>
      <w:r>
        <w:rPr>
          <w:w w:val="120"/>
        </w:rPr>
        <w:t>the</w:t>
      </w:r>
      <w:r>
        <w:rPr>
          <w:spacing w:val="9"/>
          <w:w w:val="120"/>
        </w:rPr>
        <w:t> </w:t>
      </w:r>
      <w:r>
        <w:rPr>
          <w:w w:val="120"/>
        </w:rPr>
        <w:t>heart</w:t>
      </w:r>
      <w:r>
        <w:rPr>
          <w:spacing w:val="8"/>
          <w:w w:val="120"/>
        </w:rPr>
        <w:t> </w:t>
      </w:r>
      <w:r>
        <w:rPr>
          <w:w w:val="120"/>
        </w:rPr>
        <w:t>into</w:t>
      </w:r>
      <w:r>
        <w:rPr>
          <w:spacing w:val="9"/>
          <w:w w:val="120"/>
        </w:rPr>
        <w:t> </w:t>
      </w:r>
      <w:r>
        <w:rPr>
          <w:w w:val="120"/>
        </w:rPr>
        <w:t>one</w:t>
      </w:r>
      <w:r>
        <w:rPr>
          <w:spacing w:val="9"/>
          <w:w w:val="120"/>
        </w:rPr>
        <w:t> </w:t>
      </w:r>
      <w:r>
        <w:rPr>
          <w:spacing w:val="-5"/>
          <w:w w:val="120"/>
        </w:rPr>
        <w:t>another.</w:t>
      </w:r>
      <w:r>
        <w:rPr>
          <w:spacing w:val="-5"/>
          <w:w w:val="120"/>
          <w:position w:val="4"/>
        </w:rPr>
        <w:t>14</w:t>
      </w:r>
      <w:r>
        <w:rPr>
          <w:spacing w:val="8"/>
          <w:w w:val="120"/>
          <w:position w:val="4"/>
        </w:rPr>
        <w:t> </w:t>
      </w:r>
      <w:r>
        <w:rPr>
          <w:w w:val="120"/>
        </w:rPr>
        <w:t>Accompanying</w:t>
      </w:r>
    </w:p>
    <w:p>
      <w:pPr>
        <w:pStyle w:val="BodyText"/>
        <w:spacing w:line="235" w:lineRule="auto" w:before="6"/>
        <w:ind w:left="1133" w:right="2251"/>
      </w:pPr>
      <w:r>
        <w:rPr>
          <w:w w:val="120"/>
        </w:rPr>
        <w:t>is, after all, one implication of the incarnation. God is in Christ accompanying creation. The with-us God is emphatically and eternally walking with us, not simply to comfort  us – though that is one effect – but also to transform our experience of life from the half-living of lovelessness to the abundant living of both knowing and showing the wholehearted love that is the very nature of the accompanying</w:t>
      </w:r>
      <w:r>
        <w:rPr>
          <w:spacing w:val="26"/>
          <w:w w:val="120"/>
        </w:rPr>
        <w:t> </w:t>
      </w:r>
      <w:r>
        <w:rPr>
          <w:w w:val="120"/>
        </w:rPr>
        <w:t>Christ.</w:t>
      </w:r>
    </w:p>
    <w:p>
      <w:pPr>
        <w:pStyle w:val="BodyText"/>
        <w:spacing w:before="9"/>
        <w:rPr>
          <w:sz w:val="17"/>
        </w:rPr>
      </w:pPr>
    </w:p>
    <w:p>
      <w:pPr>
        <w:numPr>
          <w:ilvl w:val="0"/>
          <w:numId w:val="65"/>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Accompaniment and</w:t>
      </w:r>
      <w:r>
        <w:rPr>
          <w:rFonts w:ascii="Stone Sans II ITC Std Bk"/>
          <w:b/>
          <w:spacing w:val="-4"/>
          <w:w w:val="115"/>
          <w:sz w:val="21"/>
        </w:rPr>
        <w:t> </w:t>
      </w:r>
      <w:r>
        <w:rPr>
          <w:rFonts w:ascii="Stone Sans II ITC Std Bk"/>
          <w:b/>
          <w:w w:val="115"/>
          <w:sz w:val="21"/>
        </w:rPr>
        <w:t>transformation</w:t>
      </w:r>
    </w:p>
    <w:p>
      <w:pPr>
        <w:pStyle w:val="ListParagraph"/>
        <w:numPr>
          <w:ilvl w:val="1"/>
          <w:numId w:val="65"/>
        </w:numPr>
        <w:tabs>
          <w:tab w:pos="1814" w:val="left" w:leader="none"/>
          <w:tab w:pos="1815" w:val="left" w:leader="none"/>
        </w:tabs>
        <w:spacing w:line="235" w:lineRule="auto" w:before="223" w:after="0"/>
        <w:ind w:left="1133" w:right="3401" w:firstLine="0"/>
        <w:jc w:val="left"/>
        <w:rPr>
          <w:sz w:val="20"/>
        </w:rPr>
      </w:pPr>
      <w:r>
        <w:rPr>
          <w:w w:val="120"/>
          <w:sz w:val="20"/>
        </w:rPr>
        <w:t>The resurrection narrative centred on the Emmaus Road is a </w:t>
      </w:r>
      <w:r>
        <w:rPr>
          <w:spacing w:val="2"/>
          <w:w w:val="120"/>
          <w:sz w:val="20"/>
        </w:rPr>
        <w:t>story </w:t>
      </w:r>
      <w:r>
        <w:rPr>
          <w:w w:val="120"/>
          <w:sz w:val="20"/>
        </w:rPr>
        <w:t>of accompaniment leading to</w:t>
      </w:r>
      <w:r>
        <w:rPr>
          <w:spacing w:val="6"/>
          <w:w w:val="120"/>
          <w:sz w:val="20"/>
        </w:rPr>
        <w:t> </w:t>
      </w:r>
      <w:r>
        <w:rPr>
          <w:w w:val="120"/>
          <w:sz w:val="20"/>
        </w:rPr>
        <w:t>transformation.</w:t>
      </w:r>
    </w:p>
    <w:p>
      <w:pPr>
        <w:pStyle w:val="ListParagraph"/>
        <w:numPr>
          <w:ilvl w:val="1"/>
          <w:numId w:val="17"/>
        </w:numPr>
        <w:tabs>
          <w:tab w:pos="1814" w:val="left" w:leader="none"/>
          <w:tab w:pos="1815" w:val="left" w:leader="none"/>
        </w:tabs>
        <w:spacing w:line="248" w:lineRule="exact" w:before="0" w:after="0"/>
        <w:ind w:left="1814" w:right="0" w:hanging="682"/>
        <w:jc w:val="left"/>
        <w:rPr>
          <w:sz w:val="20"/>
        </w:rPr>
      </w:pPr>
      <w:r>
        <w:rPr>
          <w:w w:val="120"/>
          <w:sz w:val="20"/>
        </w:rPr>
        <w:t>Cleopas and the companion first meet with a</w:t>
      </w:r>
      <w:r>
        <w:rPr>
          <w:spacing w:val="17"/>
          <w:w w:val="120"/>
          <w:sz w:val="20"/>
        </w:rPr>
        <w:t> </w:t>
      </w:r>
      <w:r>
        <w:rPr>
          <w:w w:val="120"/>
          <w:sz w:val="20"/>
        </w:rPr>
        <w:t>stranger.</w:t>
      </w:r>
    </w:p>
    <w:p>
      <w:pPr>
        <w:pStyle w:val="ListParagraph"/>
        <w:numPr>
          <w:ilvl w:val="1"/>
          <w:numId w:val="17"/>
        </w:numPr>
        <w:tabs>
          <w:tab w:pos="1814" w:val="left" w:leader="none"/>
          <w:tab w:pos="1815" w:val="left" w:leader="none"/>
        </w:tabs>
        <w:spacing w:line="196" w:lineRule="auto" w:before="0" w:after="0"/>
        <w:ind w:left="1814" w:right="2205" w:hanging="681"/>
        <w:jc w:val="left"/>
        <w:rPr>
          <w:sz w:val="20"/>
        </w:rPr>
      </w:pPr>
      <w:r>
        <w:rPr>
          <w:spacing w:val="3"/>
          <w:w w:val="120"/>
          <w:sz w:val="20"/>
        </w:rPr>
        <w:t>As </w:t>
      </w:r>
      <w:r>
        <w:rPr>
          <w:w w:val="120"/>
          <w:sz w:val="20"/>
        </w:rPr>
        <w:t>the three walk and talk, opening up ancient stories in new ways, the stranger becomes a</w:t>
      </w:r>
      <w:r>
        <w:rPr>
          <w:spacing w:val="3"/>
          <w:w w:val="120"/>
          <w:sz w:val="20"/>
        </w:rPr>
        <w:t> </w:t>
      </w:r>
      <w:r>
        <w:rPr>
          <w:w w:val="120"/>
          <w:sz w:val="20"/>
        </w:rPr>
        <w:t>teacher.</w:t>
      </w:r>
    </w:p>
    <w:p>
      <w:pPr>
        <w:pStyle w:val="ListParagraph"/>
        <w:numPr>
          <w:ilvl w:val="1"/>
          <w:numId w:val="17"/>
        </w:numPr>
        <w:tabs>
          <w:tab w:pos="1814" w:val="left" w:leader="none"/>
          <w:tab w:pos="1815" w:val="left" w:leader="none"/>
        </w:tabs>
        <w:spacing w:line="216" w:lineRule="auto" w:before="0" w:after="0"/>
        <w:ind w:left="1814" w:right="2124" w:hanging="681"/>
        <w:jc w:val="left"/>
        <w:rPr>
          <w:sz w:val="20"/>
        </w:rPr>
      </w:pPr>
      <w:r>
        <w:rPr>
          <w:spacing w:val="3"/>
          <w:w w:val="120"/>
          <w:sz w:val="20"/>
        </w:rPr>
        <w:t>As </w:t>
      </w:r>
      <w:r>
        <w:rPr>
          <w:w w:val="120"/>
          <w:sz w:val="20"/>
        </w:rPr>
        <w:t>the teacher offers one persuasive idea after another, the two weary travellers find that their companion is in </w:t>
      </w:r>
      <w:r>
        <w:rPr>
          <w:spacing w:val="2"/>
          <w:w w:val="120"/>
          <w:sz w:val="20"/>
        </w:rPr>
        <w:t>fact </w:t>
      </w:r>
      <w:r>
        <w:rPr>
          <w:w w:val="120"/>
          <w:sz w:val="20"/>
        </w:rPr>
        <w:t>a friend, so much that they invite him to share a</w:t>
      </w:r>
      <w:r>
        <w:rPr>
          <w:spacing w:val="1"/>
          <w:w w:val="120"/>
          <w:sz w:val="20"/>
        </w:rPr>
        <w:t> </w:t>
      </w:r>
      <w:r>
        <w:rPr>
          <w:w w:val="120"/>
          <w:sz w:val="20"/>
        </w:rPr>
        <w:t>meal.</w:t>
      </w:r>
    </w:p>
    <w:p>
      <w:pPr>
        <w:pStyle w:val="ListParagraph"/>
        <w:numPr>
          <w:ilvl w:val="1"/>
          <w:numId w:val="17"/>
        </w:numPr>
        <w:tabs>
          <w:tab w:pos="1814" w:val="left" w:leader="none"/>
          <w:tab w:pos="1815" w:val="left" w:leader="none"/>
        </w:tabs>
        <w:spacing w:line="216" w:lineRule="auto" w:before="0" w:after="0"/>
        <w:ind w:left="1814" w:right="2845" w:hanging="681"/>
        <w:jc w:val="left"/>
        <w:rPr>
          <w:sz w:val="20"/>
        </w:rPr>
      </w:pPr>
      <w:r>
        <w:rPr>
          <w:w w:val="120"/>
          <w:sz w:val="20"/>
        </w:rPr>
        <w:t>And in that most special act of accompanying – table fellowship – the transformation is made complete; the stranger, who transitioned through teacher and friend, is recognised as</w:t>
      </w:r>
      <w:r>
        <w:rPr>
          <w:spacing w:val="11"/>
          <w:w w:val="120"/>
          <w:sz w:val="20"/>
        </w:rPr>
        <w:t> </w:t>
      </w:r>
      <w:r>
        <w:rPr>
          <w:w w:val="120"/>
          <w:sz w:val="20"/>
        </w:rPr>
        <w:t>Saviour.</w:t>
      </w:r>
    </w:p>
    <w:p>
      <w:pPr>
        <w:pStyle w:val="BodyText"/>
        <w:spacing w:before="11"/>
        <w:rPr>
          <w:sz w:val="18"/>
        </w:rPr>
      </w:pPr>
    </w:p>
    <w:p>
      <w:pPr>
        <w:pStyle w:val="ListParagraph"/>
        <w:numPr>
          <w:ilvl w:val="1"/>
          <w:numId w:val="65"/>
        </w:numPr>
        <w:tabs>
          <w:tab w:pos="1814" w:val="left" w:leader="none"/>
          <w:tab w:pos="1815" w:val="left" w:leader="none"/>
        </w:tabs>
        <w:spacing w:line="235" w:lineRule="auto" w:before="0" w:after="0"/>
        <w:ind w:left="1133" w:right="2016" w:firstLine="0"/>
        <w:jc w:val="left"/>
        <w:rPr>
          <w:sz w:val="20"/>
        </w:rPr>
      </w:pPr>
      <w:r>
        <w:rPr>
          <w:w w:val="115"/>
          <w:sz w:val="20"/>
        </w:rPr>
        <w:t>What else is the ambition of transition, but that we are transformed and that we  have our trust in God transformed? Transformed from despairers into hopers, from those who</w:t>
      </w:r>
      <w:r>
        <w:rPr>
          <w:spacing w:val="16"/>
          <w:w w:val="115"/>
          <w:sz w:val="20"/>
        </w:rPr>
        <w:t> </w:t>
      </w:r>
      <w:r>
        <w:rPr>
          <w:w w:val="115"/>
          <w:sz w:val="20"/>
        </w:rPr>
        <w:t>live</w:t>
      </w:r>
      <w:r>
        <w:rPr>
          <w:spacing w:val="17"/>
          <w:w w:val="115"/>
          <w:sz w:val="20"/>
        </w:rPr>
        <w:t> </w:t>
      </w:r>
      <w:r>
        <w:rPr>
          <w:w w:val="115"/>
          <w:sz w:val="20"/>
        </w:rPr>
        <w:t>for</w:t>
      </w:r>
      <w:r>
        <w:rPr>
          <w:spacing w:val="17"/>
          <w:w w:val="115"/>
          <w:sz w:val="20"/>
        </w:rPr>
        <w:t> </w:t>
      </w:r>
      <w:r>
        <w:rPr>
          <w:w w:val="115"/>
          <w:sz w:val="20"/>
        </w:rPr>
        <w:t>themselves</w:t>
      </w:r>
      <w:r>
        <w:rPr>
          <w:spacing w:val="16"/>
          <w:w w:val="115"/>
          <w:sz w:val="20"/>
        </w:rPr>
        <w:t> </w:t>
      </w:r>
      <w:r>
        <w:rPr>
          <w:w w:val="115"/>
          <w:sz w:val="20"/>
        </w:rPr>
        <w:t>to</w:t>
      </w:r>
      <w:r>
        <w:rPr>
          <w:spacing w:val="17"/>
          <w:w w:val="115"/>
          <w:sz w:val="20"/>
        </w:rPr>
        <w:t> </w:t>
      </w:r>
      <w:r>
        <w:rPr>
          <w:w w:val="115"/>
          <w:sz w:val="20"/>
        </w:rPr>
        <w:t>those</w:t>
      </w:r>
      <w:r>
        <w:rPr>
          <w:spacing w:val="17"/>
          <w:w w:val="115"/>
          <w:sz w:val="20"/>
        </w:rPr>
        <w:t> </w:t>
      </w:r>
      <w:r>
        <w:rPr>
          <w:w w:val="115"/>
          <w:sz w:val="20"/>
        </w:rPr>
        <w:t>who</w:t>
      </w:r>
      <w:r>
        <w:rPr>
          <w:spacing w:val="17"/>
          <w:w w:val="115"/>
          <w:sz w:val="20"/>
        </w:rPr>
        <w:t> </w:t>
      </w:r>
      <w:r>
        <w:rPr>
          <w:w w:val="115"/>
          <w:sz w:val="20"/>
        </w:rPr>
        <w:t>live</w:t>
      </w:r>
      <w:r>
        <w:rPr>
          <w:spacing w:val="16"/>
          <w:w w:val="115"/>
          <w:sz w:val="20"/>
        </w:rPr>
        <w:t> </w:t>
      </w:r>
      <w:r>
        <w:rPr>
          <w:w w:val="115"/>
          <w:sz w:val="20"/>
        </w:rPr>
        <w:t>for</w:t>
      </w:r>
      <w:r>
        <w:rPr>
          <w:spacing w:val="17"/>
          <w:w w:val="115"/>
          <w:sz w:val="20"/>
        </w:rPr>
        <w:t> </w:t>
      </w:r>
      <w:r>
        <w:rPr>
          <w:w w:val="115"/>
          <w:sz w:val="20"/>
        </w:rPr>
        <w:t>Christ</w:t>
      </w:r>
      <w:r>
        <w:rPr>
          <w:spacing w:val="17"/>
          <w:w w:val="115"/>
          <w:sz w:val="20"/>
        </w:rPr>
        <w:t> </w:t>
      </w:r>
      <w:r>
        <w:rPr>
          <w:w w:val="115"/>
          <w:sz w:val="20"/>
        </w:rPr>
        <w:t>and</w:t>
      </w:r>
      <w:r>
        <w:rPr>
          <w:spacing w:val="17"/>
          <w:w w:val="115"/>
          <w:sz w:val="20"/>
        </w:rPr>
        <w:t> </w:t>
      </w:r>
      <w:r>
        <w:rPr>
          <w:w w:val="115"/>
          <w:sz w:val="20"/>
        </w:rPr>
        <w:t>for</w:t>
      </w:r>
      <w:r>
        <w:rPr>
          <w:spacing w:val="16"/>
          <w:w w:val="115"/>
          <w:sz w:val="20"/>
        </w:rPr>
        <w:t> </w:t>
      </w:r>
      <w:r>
        <w:rPr>
          <w:w w:val="115"/>
          <w:sz w:val="20"/>
        </w:rPr>
        <w:t>others,</w:t>
      </w:r>
      <w:r>
        <w:rPr>
          <w:spacing w:val="17"/>
          <w:w w:val="115"/>
          <w:sz w:val="20"/>
        </w:rPr>
        <w:t> </w:t>
      </w:r>
      <w:r>
        <w:rPr>
          <w:w w:val="115"/>
          <w:sz w:val="20"/>
        </w:rPr>
        <w:t>from</w:t>
      </w:r>
      <w:r>
        <w:rPr>
          <w:spacing w:val="17"/>
          <w:w w:val="115"/>
          <w:sz w:val="20"/>
        </w:rPr>
        <w:t> </w:t>
      </w:r>
      <w:r>
        <w:rPr>
          <w:w w:val="115"/>
          <w:sz w:val="20"/>
        </w:rPr>
        <w:t>antagonists</w:t>
      </w:r>
    </w:p>
    <w:p>
      <w:pPr>
        <w:pStyle w:val="BodyText"/>
        <w:spacing w:line="242" w:lineRule="exact"/>
        <w:ind w:left="1133"/>
      </w:pPr>
      <w:r>
        <w:rPr>
          <w:w w:val="120"/>
        </w:rPr>
        <w:t>into accompanists.</w:t>
      </w:r>
    </w:p>
    <w:p>
      <w:pPr>
        <w:numPr>
          <w:ilvl w:val="0"/>
          <w:numId w:val="65"/>
        </w:numPr>
        <w:tabs>
          <w:tab w:pos="1853" w:val="left" w:leader="none"/>
          <w:tab w:pos="1854" w:val="left" w:leader="none"/>
        </w:tabs>
        <w:spacing w:before="213"/>
        <w:ind w:left="1853" w:right="0" w:hanging="721"/>
        <w:jc w:val="left"/>
        <w:rPr>
          <w:rFonts w:ascii="Stone Sans II ITC Std Bk"/>
          <w:b/>
          <w:sz w:val="21"/>
        </w:rPr>
      </w:pPr>
      <w:r>
        <w:rPr>
          <w:rFonts w:ascii="Stone Sans II ITC Std Bk"/>
          <w:b/>
          <w:w w:val="115"/>
          <w:sz w:val="21"/>
        </w:rPr>
        <w:t>Conclusion</w:t>
      </w:r>
    </w:p>
    <w:p>
      <w:pPr>
        <w:pStyle w:val="BodyText"/>
        <w:spacing w:line="223" w:lineRule="auto" w:before="232"/>
        <w:ind w:left="1133" w:right="1997"/>
      </w:pPr>
      <w:r>
        <w:rPr>
          <w:w w:val="120"/>
        </w:rPr>
        <w:t>The condition and context of the United Reformed Church is a challenging opportunity. We believe we are called to accompany one another in the Way of the eternal one who accompanies us, still speaking that word of ultimate encouragement, ‘I am with you always, to the end the age.’</w:t>
      </w:r>
      <w:r>
        <w:rPr>
          <w:w w:val="120"/>
          <w:position w:val="4"/>
        </w:rPr>
        <w:t>15</w:t>
      </w:r>
    </w:p>
    <w:p>
      <w:pPr>
        <w:pStyle w:val="BodyText"/>
        <w:spacing w:before="239"/>
        <w:ind w:left="1133"/>
      </w:pPr>
      <w:r>
        <w:rPr>
          <w:w w:val="125"/>
        </w:rPr>
        <w:t>To God alone be the glory.</w:t>
      </w:r>
    </w:p>
    <w:p>
      <w:pPr>
        <w:numPr>
          <w:ilvl w:val="0"/>
          <w:numId w:val="65"/>
        </w:numPr>
        <w:tabs>
          <w:tab w:pos="1853" w:val="left" w:leader="none"/>
          <w:tab w:pos="1854" w:val="left" w:leader="none"/>
        </w:tabs>
        <w:spacing w:before="213"/>
        <w:ind w:left="1853" w:right="0" w:hanging="721"/>
        <w:jc w:val="left"/>
        <w:rPr>
          <w:rFonts w:ascii="Stone Sans II ITC Std Bk"/>
          <w:b/>
          <w:sz w:val="21"/>
        </w:rPr>
      </w:pPr>
      <w:r>
        <w:rPr>
          <w:rFonts w:ascii="Stone Sans II ITC Std Bk"/>
          <w:b/>
          <w:w w:val="115"/>
          <w:sz w:val="21"/>
        </w:rPr>
        <w:t>Study</w:t>
      </w:r>
      <w:r>
        <w:rPr>
          <w:rFonts w:ascii="Stone Sans II ITC Std Bk"/>
          <w:b/>
          <w:spacing w:val="-2"/>
          <w:w w:val="115"/>
          <w:sz w:val="21"/>
        </w:rPr>
        <w:t> </w:t>
      </w:r>
      <w:r>
        <w:rPr>
          <w:rFonts w:ascii="Stone Sans II ITC Std Bk"/>
          <w:b/>
          <w:w w:val="115"/>
          <w:sz w:val="21"/>
        </w:rPr>
        <w:t>Guide</w:t>
      </w:r>
    </w:p>
    <w:p>
      <w:pPr>
        <w:pStyle w:val="BodyText"/>
        <w:spacing w:line="235" w:lineRule="auto" w:before="222"/>
        <w:ind w:left="1133" w:right="2191"/>
      </w:pPr>
      <w:r>
        <w:rPr>
          <w:w w:val="120"/>
        </w:rPr>
        <w:t>We are aware that sometimes people wish to reflect upon reports to General Assembly in more local groups. To facilitate that, we offer some questions at pages 47-48, focussing upon each of the fourteen sections. These are an opportunity rather than</w:t>
      </w:r>
    </w:p>
    <w:p>
      <w:pPr>
        <w:pStyle w:val="BodyText"/>
        <w:spacing w:line="235" w:lineRule="auto" w:before="3"/>
        <w:ind w:left="1133" w:right="1997"/>
      </w:pPr>
      <w:r>
        <w:rPr>
          <w:w w:val="120"/>
        </w:rPr>
        <w:t>an expectation. If there is feedback to be made please submit it through the General Secretary: </w:t>
      </w:r>
      <w:hyperlink r:id="rId175">
        <w:r>
          <w:rPr>
            <w:w w:val="120"/>
          </w:rPr>
          <w:t>roberta.rominger@urc.org.uk</w:t>
        </w:r>
      </w:hyperlink>
    </w:p>
    <w:p>
      <w:pPr>
        <w:pStyle w:val="BodyText"/>
        <w:spacing w:before="11"/>
        <w:rPr>
          <w:sz w:val="29"/>
        </w:rPr>
      </w:pPr>
      <w:r>
        <w:rPr/>
        <w:pict>
          <v:shape style="position:absolute;margin-left:56.692902pt;margin-top:20.740927pt;width:72pt;height:.1pt;mso-position-horizontal-relative:page;mso-position-vertical-relative:paragraph;z-index:-251445248;mso-wrap-distance-left:0;mso-wrap-distance-right:0" coordorigin="1134,415" coordsize="1440,0" path="m1134,415l2574,415e" filled="false" stroked="true" strokeweight="1pt" strokecolor="#000000">
            <v:path arrowok="t"/>
            <v:stroke dashstyle="solid"/>
            <w10:wrap type="topAndBottom"/>
          </v:shape>
        </w:pict>
      </w:r>
    </w:p>
    <w:p>
      <w:pPr>
        <w:pStyle w:val="ListParagraph"/>
        <w:numPr>
          <w:ilvl w:val="0"/>
          <w:numId w:val="66"/>
        </w:numPr>
        <w:tabs>
          <w:tab w:pos="1587" w:val="left" w:leader="none"/>
          <w:tab w:pos="1588" w:val="left" w:leader="none"/>
        </w:tabs>
        <w:spacing w:line="240" w:lineRule="auto" w:before="9" w:after="0"/>
        <w:ind w:left="1587" w:right="0" w:hanging="455"/>
        <w:jc w:val="left"/>
        <w:rPr>
          <w:sz w:val="18"/>
        </w:rPr>
      </w:pPr>
      <w:r>
        <w:rPr>
          <w:w w:val="120"/>
          <w:sz w:val="18"/>
        </w:rPr>
        <w:t>Mayne page</w:t>
      </w:r>
      <w:r>
        <w:rPr>
          <w:spacing w:val="18"/>
          <w:w w:val="120"/>
          <w:sz w:val="18"/>
        </w:rPr>
        <w:t> </w:t>
      </w:r>
      <w:r>
        <w:rPr>
          <w:w w:val="120"/>
          <w:sz w:val="18"/>
        </w:rPr>
        <w:t>58.</w:t>
      </w:r>
    </w:p>
    <w:p>
      <w:pPr>
        <w:pStyle w:val="ListParagraph"/>
        <w:numPr>
          <w:ilvl w:val="0"/>
          <w:numId w:val="66"/>
        </w:numPr>
        <w:tabs>
          <w:tab w:pos="1587" w:val="left" w:leader="none"/>
          <w:tab w:pos="1588" w:val="left" w:leader="none"/>
        </w:tabs>
        <w:spacing w:line="240" w:lineRule="auto" w:before="1" w:after="0"/>
        <w:ind w:left="1587" w:right="0" w:hanging="455"/>
        <w:jc w:val="left"/>
        <w:rPr>
          <w:sz w:val="18"/>
        </w:rPr>
      </w:pPr>
      <w:r>
        <w:rPr>
          <w:w w:val="120"/>
          <w:sz w:val="18"/>
        </w:rPr>
        <w:t>Matthew</w:t>
      </w:r>
      <w:r>
        <w:rPr>
          <w:spacing w:val="2"/>
          <w:w w:val="120"/>
          <w:sz w:val="18"/>
        </w:rPr>
        <w:t> </w:t>
      </w:r>
      <w:r>
        <w:rPr>
          <w:w w:val="120"/>
          <w:sz w:val="18"/>
        </w:rPr>
        <w:t>28.20.</w:t>
      </w:r>
    </w:p>
    <w:p>
      <w:pPr>
        <w:spacing w:after="0" w:line="240" w:lineRule="auto"/>
        <w:jc w:val="left"/>
        <w:rPr>
          <w:sz w:val="18"/>
        </w:rPr>
        <w:sectPr>
          <w:pgSz w:w="11910" w:h="16840"/>
          <w:pgMar w:header="0" w:footer="647" w:top="1060" w:bottom="840" w:left="0" w:right="0"/>
        </w:sectPr>
      </w:pPr>
    </w:p>
    <w:p>
      <w:pPr>
        <w:tabs>
          <w:tab w:pos="2704" w:val="left" w:leader="none"/>
        </w:tabs>
        <w:spacing w:before="84"/>
        <w:ind w:left="1984" w:right="0" w:firstLine="0"/>
        <w:jc w:val="left"/>
        <w:rPr>
          <w:rFonts w:ascii="Stone Sans II ITC Std Bk"/>
          <w:b/>
          <w:sz w:val="21"/>
        </w:rPr>
      </w:pPr>
      <w:r>
        <w:rPr/>
        <w:pict>
          <v:rect style="position:absolute;margin-left:558.424988pt;margin-top:8.464773pt;width:22.677pt;height:22.677pt;mso-position-horizontal-relative:page;mso-position-vertical-relative:paragraph;z-index:251873280" filled="true" fillcolor="#dae4ec" stroked="false">
            <v:fill opacity="32768f" type="solid"/>
            <w10:wrap type="none"/>
          </v:rect>
        </w:pict>
      </w:r>
      <w:r>
        <w:rPr>
          <w:rFonts w:ascii="Stone Sans II ITC Std Bk"/>
          <w:b/>
          <w:spacing w:val="-12"/>
          <w:w w:val="115"/>
          <w:sz w:val="21"/>
        </w:rPr>
        <w:t>17</w:t>
        <w:tab/>
      </w:r>
      <w:r>
        <w:rPr>
          <w:rFonts w:ascii="Stone Sans II ITC Std Bk"/>
          <w:b/>
          <w:w w:val="115"/>
          <w:sz w:val="21"/>
        </w:rPr>
        <w:t>Personalia</w:t>
      </w:r>
    </w:p>
    <w:p>
      <w:pPr>
        <w:pStyle w:val="BodyText"/>
        <w:spacing w:line="235" w:lineRule="auto" w:before="223"/>
        <w:ind w:left="1984" w:right="1120"/>
      </w:pPr>
      <w:r>
        <w:rPr>
          <w:w w:val="120"/>
        </w:rPr>
        <w:t>Since the Synod Moderators last reported to General Assembly we have been pleased to welcome the companionship and global experience of Andrew Prasad as Moderator of Thames North Synod, following several years in local ministry with the Church of North India and in Southern Synod, and in strategic roles through Council for World Mission.</w:t>
      </w:r>
    </w:p>
    <w:p>
      <w:pPr>
        <w:pStyle w:val="BodyText"/>
        <w:spacing w:before="6"/>
        <w:rPr>
          <w:sz w:val="19"/>
        </w:rPr>
      </w:pPr>
    </w:p>
    <w:p>
      <w:pPr>
        <w:spacing w:before="0"/>
        <w:ind w:left="0" w:right="1132" w:firstLine="0"/>
        <w:jc w:val="right"/>
        <w:rPr>
          <w:sz w:val="18"/>
        </w:rPr>
      </w:pPr>
      <w:r>
        <w:rPr>
          <w:color w:val="8BA8BD"/>
          <w:w w:val="110"/>
          <w:sz w:val="18"/>
        </w:rPr>
        <w:t>N P Uden for the Moderators’</w:t>
      </w:r>
      <w:r>
        <w:rPr>
          <w:color w:val="8BA8BD"/>
          <w:spacing w:val="-3"/>
          <w:w w:val="110"/>
          <w:sz w:val="18"/>
        </w:rPr>
        <w:t> </w:t>
      </w:r>
      <w:r>
        <w:rPr>
          <w:color w:val="8BA8BD"/>
          <w:w w:val="110"/>
          <w:sz w:val="18"/>
        </w:rPr>
        <w:t>Meeting</w:t>
      </w:r>
    </w:p>
    <w:p>
      <w:pPr>
        <w:spacing w:before="1"/>
        <w:ind w:left="0" w:right="1131" w:firstLine="0"/>
        <w:jc w:val="right"/>
        <w:rPr>
          <w:sz w:val="18"/>
        </w:rPr>
      </w:pPr>
      <w:r>
        <w:rPr/>
        <w:pict>
          <v:group style="position:absolute;margin-left:97.794998pt;margin-top:37.583622pt;width:438.4pt;height:595.2pt;mso-position-horizontal-relative:page;mso-position-vertical-relative:paragraph;z-index:-267549696" coordorigin="1956,752" coordsize="8768,11904">
            <v:rect style="position:absolute;left:1955;top:751;width:8768;height:11904" filled="true" fillcolor="#fcf4e0" stroked="false">
              <v:fill type="solid"/>
            </v:rect>
            <v:shape style="position:absolute;left:7762;top:4647;width:367;height:286" type="#_x0000_t75" stroked="false">
              <v:imagedata r:id="rId176" o:title=""/>
            </v:shape>
            <w10:wrap type="none"/>
          </v:group>
        </w:pict>
      </w:r>
      <w:r>
        <w:rPr>
          <w:color w:val="8BA8BD"/>
          <w:w w:val="110"/>
          <w:sz w:val="18"/>
        </w:rPr>
        <w:t>March</w:t>
      </w:r>
      <w:r>
        <w:rPr>
          <w:color w:val="8BA8BD"/>
          <w:spacing w:val="4"/>
          <w:w w:val="110"/>
          <w:sz w:val="18"/>
        </w:rPr>
        <w:t> </w:t>
      </w:r>
      <w:r>
        <w:rPr>
          <w:color w:val="8BA8BD"/>
          <w:spacing w:val="-4"/>
          <w:w w:val="110"/>
          <w:sz w:val="18"/>
        </w:rPr>
        <w:t>2010</w:t>
      </w:r>
    </w:p>
    <w:p>
      <w:pPr>
        <w:pStyle w:val="BodyText"/>
      </w:pPr>
    </w:p>
    <w:p>
      <w:pPr>
        <w:pStyle w:val="BodyText"/>
        <w:spacing w:before="8"/>
        <w:rPr>
          <w:sz w:val="22"/>
        </w:rPr>
      </w:pPr>
    </w:p>
    <w:tbl>
      <w:tblPr>
        <w:tblW w:w="0" w:type="auto"/>
        <w:jc w:val="left"/>
        <w:tblInd w:w="1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94"/>
        <w:gridCol w:w="354"/>
        <w:gridCol w:w="218"/>
      </w:tblGrid>
      <w:tr>
        <w:trPr>
          <w:trHeight w:val="339" w:hRule="atLeast"/>
        </w:trPr>
        <w:tc>
          <w:tcPr>
            <w:tcW w:w="8194" w:type="dxa"/>
            <w:vMerge w:val="restart"/>
            <w:tcBorders>
              <w:top w:val="single" w:sz="8" w:space="0" w:color="CA4F1B"/>
            </w:tcBorders>
            <w:shd w:val="clear" w:color="auto" w:fill="FCF4E0"/>
          </w:tcPr>
          <w:p>
            <w:pPr>
              <w:pStyle w:val="TableParagraph"/>
              <w:spacing w:before="528"/>
              <w:ind w:left="491"/>
              <w:rPr>
                <w:rFonts w:ascii="Stone Sans II ITC Std Bk"/>
                <w:b/>
                <w:sz w:val="50"/>
              </w:rPr>
            </w:pPr>
            <w:r>
              <w:rPr>
                <w:rFonts w:ascii="Stone Sans II ITC Std Bk"/>
                <w:b/>
                <w:color w:val="CA4F1B"/>
                <w:w w:val="110"/>
                <w:sz w:val="50"/>
              </w:rPr>
              <w:t>A Study Guide</w:t>
            </w:r>
          </w:p>
        </w:tc>
        <w:tc>
          <w:tcPr>
            <w:tcW w:w="354" w:type="dxa"/>
            <w:tcBorders>
              <w:bottom w:val="single" w:sz="49" w:space="0" w:color="FFFFFF"/>
            </w:tcBorders>
            <w:shd w:val="clear" w:color="auto" w:fill="CA4F1B"/>
          </w:tcPr>
          <w:p>
            <w:pPr>
              <w:pStyle w:val="TableParagraph"/>
              <w:rPr>
                <w:rFonts w:ascii="Times New Roman"/>
                <w:sz w:val="22"/>
              </w:rPr>
            </w:pPr>
          </w:p>
        </w:tc>
        <w:tc>
          <w:tcPr>
            <w:tcW w:w="218" w:type="dxa"/>
            <w:vMerge w:val="restart"/>
            <w:tcBorders>
              <w:top w:val="single" w:sz="8" w:space="0" w:color="CA4F1B"/>
            </w:tcBorders>
            <w:shd w:val="clear" w:color="auto" w:fill="FCF4E0"/>
          </w:tcPr>
          <w:p>
            <w:pPr>
              <w:pStyle w:val="TableParagraph"/>
              <w:rPr>
                <w:rFonts w:ascii="Times New Roman"/>
                <w:sz w:val="22"/>
              </w:rPr>
            </w:pPr>
          </w:p>
        </w:tc>
      </w:tr>
      <w:tr>
        <w:trPr>
          <w:trHeight w:val="359" w:hRule="atLeast"/>
        </w:trPr>
        <w:tc>
          <w:tcPr>
            <w:tcW w:w="8194" w:type="dxa"/>
            <w:vMerge/>
            <w:tcBorders>
              <w:top w:val="nil"/>
            </w:tcBorders>
            <w:shd w:val="clear" w:color="auto" w:fill="FCF4E0"/>
          </w:tcPr>
          <w:p>
            <w:pPr>
              <w:rPr>
                <w:sz w:val="2"/>
                <w:szCs w:val="2"/>
              </w:rPr>
            </w:pPr>
          </w:p>
        </w:tc>
        <w:tc>
          <w:tcPr>
            <w:tcW w:w="354" w:type="dxa"/>
            <w:tcBorders>
              <w:top w:val="single" w:sz="49" w:space="0" w:color="FFFFFF"/>
              <w:bottom w:val="single" w:sz="54" w:space="0" w:color="FFFFFF"/>
            </w:tcBorders>
            <w:shd w:val="clear" w:color="auto" w:fill="E3AC83"/>
          </w:tcPr>
          <w:p>
            <w:pPr>
              <w:pStyle w:val="TableParagraph"/>
              <w:rPr>
                <w:rFonts w:ascii="Times New Roman"/>
                <w:sz w:val="22"/>
              </w:rPr>
            </w:pPr>
          </w:p>
        </w:tc>
        <w:tc>
          <w:tcPr>
            <w:tcW w:w="218" w:type="dxa"/>
            <w:vMerge/>
            <w:tcBorders>
              <w:top w:val="nil"/>
            </w:tcBorders>
            <w:shd w:val="clear" w:color="auto" w:fill="FCF4E0"/>
          </w:tcPr>
          <w:p>
            <w:pPr>
              <w:rPr>
                <w:sz w:val="2"/>
                <w:szCs w:val="2"/>
              </w:rPr>
            </w:pPr>
          </w:p>
        </w:tc>
      </w:tr>
      <w:tr>
        <w:trPr>
          <w:trHeight w:val="359" w:hRule="atLeast"/>
        </w:trPr>
        <w:tc>
          <w:tcPr>
            <w:tcW w:w="8194" w:type="dxa"/>
            <w:vMerge/>
            <w:tcBorders>
              <w:top w:val="nil"/>
            </w:tcBorders>
            <w:shd w:val="clear" w:color="auto" w:fill="FCF4E0"/>
          </w:tcPr>
          <w:p>
            <w:pPr>
              <w:rPr>
                <w:sz w:val="2"/>
                <w:szCs w:val="2"/>
              </w:rPr>
            </w:pPr>
          </w:p>
        </w:tc>
        <w:tc>
          <w:tcPr>
            <w:tcW w:w="354" w:type="dxa"/>
            <w:tcBorders>
              <w:top w:val="single" w:sz="54" w:space="0" w:color="FFFFFF"/>
            </w:tcBorders>
            <w:shd w:val="clear" w:color="auto" w:fill="EFCEB4"/>
          </w:tcPr>
          <w:p>
            <w:pPr>
              <w:pStyle w:val="TableParagraph"/>
              <w:rPr>
                <w:rFonts w:ascii="Times New Roman"/>
                <w:sz w:val="22"/>
              </w:rPr>
            </w:pPr>
          </w:p>
        </w:tc>
        <w:tc>
          <w:tcPr>
            <w:tcW w:w="218" w:type="dxa"/>
            <w:vMerge/>
            <w:tcBorders>
              <w:top w:val="nil"/>
            </w:tcBorders>
            <w:shd w:val="clear" w:color="auto" w:fill="FCF4E0"/>
          </w:tcPr>
          <w:p>
            <w:pPr>
              <w:rPr>
                <w:sz w:val="2"/>
                <w:szCs w:val="2"/>
              </w:rPr>
            </w:pPr>
          </w:p>
        </w:tc>
      </w:tr>
      <w:tr>
        <w:trPr>
          <w:trHeight w:val="10565" w:hRule="atLeast"/>
        </w:trPr>
        <w:tc>
          <w:tcPr>
            <w:tcW w:w="8766" w:type="dxa"/>
            <w:gridSpan w:val="3"/>
            <w:tcBorders>
              <w:bottom w:val="single" w:sz="8" w:space="0" w:color="CA4F1B"/>
            </w:tcBorders>
          </w:tcPr>
          <w:p>
            <w:pPr>
              <w:pStyle w:val="TableParagraph"/>
              <w:spacing w:before="2"/>
              <w:rPr>
                <w:sz w:val="33"/>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1</w:t>
              <w:tab/>
              <w:t>A time of transition</w:t>
            </w:r>
          </w:p>
          <w:p>
            <w:pPr>
              <w:pStyle w:val="TableParagraph"/>
              <w:spacing w:line="235" w:lineRule="auto"/>
              <w:ind w:left="1931" w:right="619"/>
              <w:rPr>
                <w:sz w:val="20"/>
              </w:rPr>
            </w:pPr>
            <w:r>
              <w:rPr>
                <w:w w:val="120"/>
                <w:sz w:val="20"/>
              </w:rPr>
              <w:t>Whilst recognising that God’s wholehearted love in  Christ  is </w:t>
            </w:r>
            <w:r>
              <w:rPr>
                <w:spacing w:val="-4"/>
                <w:w w:val="120"/>
                <w:sz w:val="20"/>
              </w:rPr>
              <w:t>‘an </w:t>
            </w:r>
            <w:r>
              <w:rPr>
                <w:w w:val="120"/>
                <w:sz w:val="20"/>
              </w:rPr>
              <w:t>enduring melody’, the </w:t>
            </w:r>
            <w:r>
              <w:rPr>
                <w:spacing w:val="2"/>
                <w:w w:val="120"/>
                <w:sz w:val="20"/>
              </w:rPr>
              <w:t>report </w:t>
            </w:r>
            <w:r>
              <w:rPr>
                <w:w w:val="120"/>
                <w:sz w:val="20"/>
              </w:rPr>
              <w:t>notes that we are in the midst of change. What do you sense in your own context has had to be </w:t>
            </w:r>
            <w:r>
              <w:rPr>
                <w:spacing w:val="2"/>
                <w:w w:val="120"/>
                <w:sz w:val="20"/>
              </w:rPr>
              <w:t>left </w:t>
            </w:r>
            <w:r>
              <w:rPr>
                <w:w w:val="120"/>
                <w:sz w:val="20"/>
              </w:rPr>
              <w:t>behind and what are you moving</w:t>
            </w:r>
            <w:r>
              <w:rPr>
                <w:spacing w:val="18"/>
                <w:w w:val="120"/>
                <w:sz w:val="20"/>
              </w:rPr>
              <w:t> </w:t>
            </w:r>
            <w:r>
              <w:rPr>
                <w:w w:val="120"/>
                <w:sz w:val="20"/>
              </w:rPr>
              <w:t>towards?</w:t>
            </w:r>
          </w:p>
          <w:p>
            <w:pPr>
              <w:pStyle w:val="TableParagraph"/>
              <w:spacing w:before="1"/>
              <w:rPr>
                <w:sz w:val="18"/>
              </w:rPr>
            </w:pPr>
          </w:p>
          <w:p>
            <w:pPr>
              <w:pStyle w:val="TableParagraph"/>
              <w:tabs>
                <w:tab w:pos="1931" w:val="left" w:leader="none"/>
              </w:tabs>
              <w:spacing w:line="261" w:lineRule="exact" w:before="1"/>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2</w:t>
              <w:tab/>
              <w:t>A good time</w:t>
            </w:r>
          </w:p>
          <w:p>
            <w:pPr>
              <w:pStyle w:val="TableParagraph"/>
              <w:spacing w:line="216" w:lineRule="auto" w:before="10"/>
              <w:ind w:left="1931" w:right="664"/>
              <w:rPr>
                <w:sz w:val="20"/>
              </w:rPr>
            </w:pPr>
            <w:r>
              <w:rPr>
                <w:w w:val="115"/>
                <w:sz w:val="20"/>
              </w:rPr>
              <w:t>Alongside initiatives in  synods  and  local  churches,  how  have the three General Assembly-inspired instruments of transition – </w:t>
            </w:r>
            <w:r>
              <w:rPr>
                <w:i/>
                <w:w w:val="115"/>
                <w:sz w:val="20"/>
              </w:rPr>
              <w:t>Catch</w:t>
            </w:r>
            <w:r>
              <w:rPr>
                <w:i/>
                <w:spacing w:val="-23"/>
                <w:w w:val="115"/>
                <w:sz w:val="20"/>
              </w:rPr>
              <w:t> </w:t>
            </w:r>
            <w:r>
              <w:rPr>
                <w:i/>
                <w:w w:val="115"/>
                <w:sz w:val="20"/>
              </w:rPr>
              <w:t>the</w:t>
            </w:r>
            <w:r>
              <w:rPr>
                <w:i/>
                <w:spacing w:val="-22"/>
                <w:w w:val="115"/>
                <w:sz w:val="20"/>
              </w:rPr>
              <w:t> </w:t>
            </w:r>
            <w:r>
              <w:rPr>
                <w:i/>
                <w:w w:val="115"/>
                <w:sz w:val="20"/>
              </w:rPr>
              <w:t>Vision</w:t>
            </w:r>
            <w:r>
              <w:rPr>
                <w:i/>
                <w:spacing w:val="-23"/>
                <w:w w:val="115"/>
                <w:sz w:val="20"/>
              </w:rPr>
              <w:t> </w:t>
            </w:r>
            <w:r>
              <w:rPr>
                <w:i/>
                <w:w w:val="115"/>
                <w:sz w:val="20"/>
              </w:rPr>
              <w:t>of</w:t>
            </w:r>
            <w:r>
              <w:rPr>
                <w:i/>
                <w:spacing w:val="-20"/>
                <w:w w:val="115"/>
                <w:sz w:val="20"/>
              </w:rPr>
              <w:t> </w:t>
            </w:r>
            <w:r>
              <w:rPr>
                <w:i/>
                <w:spacing w:val="-3"/>
                <w:w w:val="115"/>
                <w:sz w:val="20"/>
              </w:rPr>
              <w:t>God’s</w:t>
            </w:r>
            <w:r>
              <w:rPr>
                <w:i/>
                <w:spacing w:val="-23"/>
                <w:w w:val="115"/>
                <w:sz w:val="20"/>
              </w:rPr>
              <w:t> </w:t>
            </w:r>
            <w:r>
              <w:rPr>
                <w:i/>
                <w:spacing w:val="-4"/>
                <w:w w:val="115"/>
                <w:sz w:val="20"/>
              </w:rPr>
              <w:t>Tomorrow</w:t>
            </w:r>
            <w:r>
              <w:rPr>
                <w:spacing w:val="-4"/>
                <w:w w:val="115"/>
                <w:sz w:val="20"/>
              </w:rPr>
              <w:t>,</w:t>
            </w:r>
            <w:r>
              <w:rPr>
                <w:spacing w:val="-20"/>
                <w:w w:val="115"/>
                <w:sz w:val="20"/>
              </w:rPr>
              <w:t> </w:t>
            </w:r>
            <w:r>
              <w:rPr>
                <w:rFonts w:ascii="Arial Rounded MT Bold" w:hAnsi="Arial Rounded MT Bold"/>
                <w:sz w:val="21"/>
              </w:rPr>
              <w:t>Vision4</w:t>
            </w:r>
            <w:r>
              <w:rPr>
                <w:rFonts w:ascii="Bradley Hand ITC" w:hAnsi="Bradley Hand ITC"/>
                <w:color w:val="C20D19"/>
                <w:sz w:val="28"/>
              </w:rPr>
              <w:t>Life</w:t>
            </w:r>
            <w:r>
              <w:rPr>
                <w:rFonts w:ascii="Bradley Hand ITC" w:hAnsi="Bradley Hand ITC"/>
                <w:color w:val="C20D19"/>
                <w:spacing w:val="-45"/>
                <w:sz w:val="28"/>
              </w:rPr>
              <w:t> </w:t>
            </w:r>
            <w:r>
              <w:rPr>
                <w:w w:val="115"/>
                <w:sz w:val="20"/>
              </w:rPr>
              <w:t>and</w:t>
            </w:r>
            <w:r>
              <w:rPr>
                <w:spacing w:val="-20"/>
                <w:w w:val="115"/>
                <w:sz w:val="20"/>
              </w:rPr>
              <w:t> </w:t>
            </w:r>
            <w:r>
              <w:rPr>
                <w:i/>
                <w:w w:val="115"/>
                <w:sz w:val="20"/>
              </w:rPr>
              <w:t>vision2020</w:t>
            </w:r>
            <w:r>
              <w:rPr>
                <w:i/>
                <w:spacing w:val="-21"/>
                <w:w w:val="115"/>
                <w:sz w:val="20"/>
              </w:rPr>
              <w:t> </w:t>
            </w:r>
            <w:r>
              <w:rPr>
                <w:w w:val="115"/>
                <w:sz w:val="20"/>
              </w:rPr>
              <w:t>–</w:t>
            </w:r>
          </w:p>
          <w:p>
            <w:pPr>
              <w:pStyle w:val="TableParagraph"/>
              <w:spacing w:line="192" w:lineRule="exact"/>
              <w:ind w:left="1931"/>
              <w:rPr>
                <w:sz w:val="20"/>
              </w:rPr>
            </w:pPr>
            <w:r>
              <w:rPr>
                <w:w w:val="120"/>
                <w:sz w:val="20"/>
              </w:rPr>
              <w:t>led your church to embrace change?</w:t>
            </w:r>
          </w:p>
          <w:p>
            <w:pPr>
              <w:pStyle w:val="TableParagraph"/>
              <w:spacing w:before="3"/>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3</w:t>
              <w:tab/>
              <w:t>A difficult time</w:t>
            </w:r>
          </w:p>
          <w:p>
            <w:pPr>
              <w:pStyle w:val="TableParagraph"/>
              <w:spacing w:line="235" w:lineRule="auto"/>
              <w:ind w:left="1931" w:right="1138"/>
              <w:rPr>
                <w:sz w:val="20"/>
              </w:rPr>
            </w:pPr>
            <w:r>
              <w:rPr>
                <w:w w:val="120"/>
                <w:sz w:val="20"/>
              </w:rPr>
              <w:t>What do you/your congregation find difficult in this time of change?</w:t>
            </w:r>
          </w:p>
          <w:p>
            <w:pPr>
              <w:pStyle w:val="TableParagraph"/>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4</w:t>
              <w:tab/>
              <w:t>Together in transition</w:t>
            </w:r>
          </w:p>
          <w:p>
            <w:pPr>
              <w:pStyle w:val="TableParagraph"/>
              <w:spacing w:line="235" w:lineRule="auto"/>
              <w:ind w:left="1931" w:right="664"/>
              <w:rPr>
                <w:sz w:val="20"/>
              </w:rPr>
            </w:pPr>
            <w:r>
              <w:rPr>
                <w:w w:val="120"/>
                <w:sz w:val="20"/>
              </w:rPr>
              <w:t>‘Pastorally supported risk takers’: what steps can we take together to ensure that a) we know ourselves to be supported and b) are therefore prepared to embrace risk as we follow in Christ’s Way?</w:t>
            </w:r>
          </w:p>
          <w:p>
            <w:pPr>
              <w:pStyle w:val="TableParagraph"/>
              <w:spacing w:before="2"/>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5</w:t>
              <w:tab/>
              <w:t>Dependability</w:t>
            </w:r>
          </w:p>
          <w:p>
            <w:pPr>
              <w:pStyle w:val="TableParagraph"/>
              <w:spacing w:line="235" w:lineRule="auto"/>
              <w:ind w:left="1931" w:right="664"/>
              <w:rPr>
                <w:sz w:val="20"/>
              </w:rPr>
            </w:pPr>
            <w:r>
              <w:rPr>
                <w:w w:val="120"/>
                <w:sz w:val="20"/>
              </w:rPr>
              <w:t>What steps can we take as individuals and as churches towards a mutual dependability?</w:t>
            </w:r>
          </w:p>
          <w:p>
            <w:pPr>
              <w:pStyle w:val="TableParagraph"/>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6</w:t>
              <w:tab/>
              <w:t>Musical accompaniment</w:t>
            </w:r>
          </w:p>
          <w:p>
            <w:pPr>
              <w:pStyle w:val="TableParagraph"/>
              <w:spacing w:line="235" w:lineRule="auto"/>
              <w:ind w:left="1931" w:right="664"/>
              <w:rPr>
                <w:sz w:val="20"/>
              </w:rPr>
            </w:pPr>
            <w:r>
              <w:rPr>
                <w:w w:val="120"/>
                <w:sz w:val="20"/>
              </w:rPr>
              <w:t>The picture throughout the report is one of musical accompaniment; what pictures suggest themselves to you to describe the life of the church and its mutually dependable relationships?</w:t>
            </w:r>
          </w:p>
          <w:p>
            <w:pPr>
              <w:pStyle w:val="TableParagraph"/>
              <w:spacing w:before="2"/>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7</w:t>
              <w:tab/>
              <w:t>Missiological accompaniment</w:t>
            </w:r>
          </w:p>
          <w:p>
            <w:pPr>
              <w:pStyle w:val="TableParagraph"/>
              <w:spacing w:line="235" w:lineRule="auto"/>
              <w:ind w:left="1931" w:right="523"/>
              <w:rPr>
                <w:sz w:val="20"/>
              </w:rPr>
            </w:pPr>
            <w:r>
              <w:rPr>
                <w:w w:val="120"/>
                <w:sz w:val="20"/>
              </w:rPr>
              <w:t>Six modes of accompanying are suggested to describe the Church in mission to the world. Are there others you feel need emphasising, and some over-emphasised that need to diminish?</w:t>
            </w:r>
          </w:p>
          <w:p>
            <w:pPr>
              <w:pStyle w:val="TableParagraph"/>
              <w:spacing w:before="1"/>
              <w:rPr>
                <w:sz w:val="18"/>
              </w:rPr>
            </w:pPr>
          </w:p>
          <w:p>
            <w:pPr>
              <w:pStyle w:val="TableParagraph"/>
              <w:tabs>
                <w:tab w:pos="1931" w:val="left" w:leader="none"/>
              </w:tabs>
              <w:spacing w:line="261" w:lineRule="exact"/>
              <w:ind w:left="491"/>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8</w:t>
              <w:tab/>
              <w:t>Evangelism through accompaniment</w:t>
            </w:r>
          </w:p>
          <w:p>
            <w:pPr>
              <w:pStyle w:val="TableParagraph"/>
              <w:spacing w:line="235" w:lineRule="auto"/>
              <w:ind w:left="1931" w:right="1138"/>
              <w:rPr>
                <w:sz w:val="20"/>
              </w:rPr>
            </w:pPr>
            <w:r>
              <w:rPr>
                <w:w w:val="120"/>
                <w:sz w:val="20"/>
              </w:rPr>
              <w:t>How do you accompany others as they explore questions of faith and meaning?</w:t>
            </w:r>
          </w:p>
          <w:p>
            <w:pPr>
              <w:pStyle w:val="TableParagraph"/>
              <w:spacing w:before="172"/>
              <w:ind w:right="158"/>
              <w:jc w:val="right"/>
              <w:rPr>
                <w:sz w:val="18"/>
              </w:rPr>
            </w:pPr>
            <w:r>
              <w:rPr>
                <w:color w:val="CA4F1B"/>
                <w:w w:val="110"/>
                <w:sz w:val="18"/>
              </w:rPr>
              <w:t>continue overleaf...</w:t>
            </w:r>
          </w:p>
        </w:tc>
      </w:tr>
    </w:tbl>
    <w:p>
      <w:pPr>
        <w:spacing w:after="0"/>
        <w:jc w:val="right"/>
        <w:rPr>
          <w:sz w:val="18"/>
        </w:rPr>
        <w:sectPr>
          <w:pgSz w:w="11910" w:h="16840"/>
          <w:pgMar w:header="0" w:footer="647" w:top="1060" w:bottom="840" w:left="0" w:right="0"/>
        </w:sectPr>
      </w:pPr>
    </w:p>
    <w:p>
      <w:pPr>
        <w:pStyle w:val="Heading8"/>
        <w:spacing w:before="94"/>
        <w:ind w:left="935"/>
      </w:pPr>
      <w:r>
        <w:rPr/>
        <w:pict>
          <v:group style="position:absolute;margin-left:0pt;margin-top:.000015pt;width:595.3pt;height:841.9pt;mso-position-horizontal-relative:page;mso-position-vertical-relative:page;z-index:-267548672" coordorigin="0,0" coordsize="11906,16838">
            <v:line style="position:absolute" from="11906,0" to="11906,16838" stroked="true" strokeweight="0pt" strokecolor="#8ba8bd">
              <v:stroke dashstyle="solid"/>
            </v:line>
            <v:rect style="position:absolute;left:0;top:11305;width:11906;height:5533" filled="true" fillcolor="#eab817" stroked="false">
              <v:fill type="solid"/>
            </v:rect>
            <v:rect style="position:absolute;left:240;top:0;width:454;height:454" filled="true" fillcolor="#8ba8bd" stroked="false">
              <v:fill type="solid"/>
            </v:rect>
            <v:rect style="position:absolute;left:240;top:609;width:454;height:454" filled="true" fillcolor="#c2d2df" stroked="false">
              <v:fill type="solid"/>
            </v:rect>
            <v:rect style="position:absolute;left:240;top:1233;width:454;height:454" filled="true" fillcolor="#dae4ec" stroked="false">
              <v:fill opacity="32768f" type="solid"/>
            </v:rect>
            <v:shape style="position:absolute;left:9921;top:9364;width:1985;height:1950" coordorigin="9921,9365" coordsize="1985,1950" path="m9922,11314l9921,11314,9921,11314,9924,11314,9922,11314xm11906,9365l11903,9440,11898,9514,11889,9587,11879,9660,11865,9732,11850,9802,11831,9872,11810,9941,11787,10009,11762,10075,11734,10141,11704,10205,11671,10268,11637,10330,11600,10390,11562,10449,11521,10506,11479,10562,11434,10616,11388,10669,11340,10719,11290,10769,11238,10816,11185,10862,11130,10905,11074,10947,11016,10987,10957,11025,10896,11060,10834,11094,10770,11125,10706,11155,10640,11181,10573,11206,10504,11228,10435,11248,10365,11265,10294,11280,10222,11292,10149,11302,10075,11309,10000,11313,9925,11314,11906,11314,11906,9365xe" filled="true" fillcolor="#eab817" stroked="false">
              <v:path arrowok="t"/>
              <v:fill type="solid"/>
            </v:shape>
            <v:shape style="position:absolute;left:850;top:13630;width:5416;height:2386" type="#_x0000_t75" stroked="false">
              <v:imagedata r:id="rId147" o:title=""/>
            </v:shape>
            <w10:wrap type="none"/>
          </v:group>
        </w:pict>
      </w:r>
      <w:r>
        <w:rPr>
          <w:color w:val="8BA8BD"/>
          <w:w w:val="115"/>
        </w:rPr>
        <w:t>Synod Moderators’ Report</w:t>
      </w:r>
    </w:p>
    <w:p>
      <w:pPr>
        <w:pStyle w:val="BodyText"/>
      </w:pPr>
    </w:p>
    <w:p>
      <w:pPr>
        <w:pStyle w:val="BodyText"/>
        <w:spacing w:before="2"/>
        <w:rPr>
          <w:sz w:val="17"/>
        </w:rPr>
      </w:pPr>
    </w:p>
    <w:tbl>
      <w:tblPr>
        <w:tblW w:w="0" w:type="auto"/>
        <w:jc w:val="left"/>
        <w:tblInd w:w="1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35"/>
        <w:gridCol w:w="354"/>
        <w:gridCol w:w="277"/>
      </w:tblGrid>
      <w:tr>
        <w:trPr>
          <w:trHeight w:val="356" w:hRule="atLeast"/>
        </w:trPr>
        <w:tc>
          <w:tcPr>
            <w:tcW w:w="8135" w:type="dxa"/>
            <w:vMerge w:val="restart"/>
            <w:tcBorders>
              <w:top w:val="single" w:sz="8" w:space="0" w:color="CA4F1B"/>
            </w:tcBorders>
            <w:shd w:val="clear" w:color="auto" w:fill="FCF4E0"/>
          </w:tcPr>
          <w:p>
            <w:pPr>
              <w:pStyle w:val="TableParagraph"/>
              <w:spacing w:before="182"/>
              <w:ind w:left="154"/>
              <w:rPr>
                <w:sz w:val="18"/>
              </w:rPr>
            </w:pPr>
            <w:r>
              <w:rPr>
                <w:color w:val="CA4F1B"/>
                <w:w w:val="110"/>
                <w:sz w:val="18"/>
              </w:rPr>
              <w:t>...continued</w:t>
            </w:r>
          </w:p>
          <w:p>
            <w:pPr>
              <w:pStyle w:val="TableParagraph"/>
              <w:rPr>
                <w:sz w:val="22"/>
              </w:rPr>
            </w:pPr>
          </w:p>
          <w:p>
            <w:pPr>
              <w:pStyle w:val="TableParagraph"/>
              <w:rPr>
                <w:sz w:val="22"/>
              </w:rPr>
            </w:pPr>
          </w:p>
          <w:p>
            <w:pPr>
              <w:pStyle w:val="TableParagraph"/>
              <w:tabs>
                <w:tab w:pos="2007" w:val="left" w:leader="none"/>
              </w:tabs>
              <w:spacing w:line="180" w:lineRule="exact" w:before="195"/>
              <w:ind w:left="567"/>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w w:val="110"/>
                <w:sz w:val="20"/>
              </w:rPr>
              <w:t>9</w:t>
              <w:tab/>
              <w:t>Leadership as accompaniment</w:t>
            </w:r>
          </w:p>
        </w:tc>
        <w:tc>
          <w:tcPr>
            <w:tcW w:w="354" w:type="dxa"/>
            <w:tcBorders>
              <w:bottom w:val="single" w:sz="49" w:space="0" w:color="FFFFFF"/>
            </w:tcBorders>
            <w:shd w:val="clear" w:color="auto" w:fill="CA4F1B"/>
          </w:tcPr>
          <w:p>
            <w:pPr>
              <w:pStyle w:val="TableParagraph"/>
              <w:rPr>
                <w:rFonts w:ascii="Times New Roman"/>
                <w:sz w:val="22"/>
              </w:rPr>
            </w:pPr>
          </w:p>
        </w:tc>
        <w:tc>
          <w:tcPr>
            <w:tcW w:w="277" w:type="dxa"/>
            <w:vMerge w:val="restart"/>
            <w:tcBorders>
              <w:top w:val="single" w:sz="8" w:space="0" w:color="CA4F1B"/>
            </w:tcBorders>
            <w:shd w:val="clear" w:color="auto" w:fill="FCF4E0"/>
          </w:tcPr>
          <w:p>
            <w:pPr>
              <w:pStyle w:val="TableParagraph"/>
              <w:rPr>
                <w:rFonts w:ascii="Times New Roman"/>
                <w:sz w:val="22"/>
              </w:rPr>
            </w:pPr>
          </w:p>
        </w:tc>
      </w:tr>
      <w:tr>
        <w:trPr>
          <w:trHeight w:val="359" w:hRule="atLeast"/>
        </w:trPr>
        <w:tc>
          <w:tcPr>
            <w:tcW w:w="8135" w:type="dxa"/>
            <w:vMerge/>
            <w:tcBorders>
              <w:top w:val="nil"/>
            </w:tcBorders>
            <w:shd w:val="clear" w:color="auto" w:fill="FCF4E0"/>
          </w:tcPr>
          <w:p>
            <w:pPr>
              <w:rPr>
                <w:sz w:val="2"/>
                <w:szCs w:val="2"/>
              </w:rPr>
            </w:pPr>
          </w:p>
        </w:tc>
        <w:tc>
          <w:tcPr>
            <w:tcW w:w="354" w:type="dxa"/>
            <w:tcBorders>
              <w:top w:val="single" w:sz="49" w:space="0" w:color="FFFFFF"/>
              <w:bottom w:val="single" w:sz="54" w:space="0" w:color="FFFFFF"/>
            </w:tcBorders>
            <w:shd w:val="clear" w:color="auto" w:fill="E3AC83"/>
          </w:tcPr>
          <w:p>
            <w:pPr>
              <w:pStyle w:val="TableParagraph"/>
              <w:rPr>
                <w:rFonts w:ascii="Times New Roman"/>
                <w:sz w:val="22"/>
              </w:rPr>
            </w:pPr>
          </w:p>
        </w:tc>
        <w:tc>
          <w:tcPr>
            <w:tcW w:w="277" w:type="dxa"/>
            <w:vMerge/>
            <w:tcBorders>
              <w:top w:val="nil"/>
            </w:tcBorders>
            <w:shd w:val="clear" w:color="auto" w:fill="FCF4E0"/>
          </w:tcPr>
          <w:p>
            <w:pPr>
              <w:rPr>
                <w:sz w:val="2"/>
                <w:szCs w:val="2"/>
              </w:rPr>
            </w:pPr>
          </w:p>
        </w:tc>
      </w:tr>
      <w:tr>
        <w:trPr>
          <w:trHeight w:val="359" w:hRule="atLeast"/>
        </w:trPr>
        <w:tc>
          <w:tcPr>
            <w:tcW w:w="8135" w:type="dxa"/>
            <w:vMerge/>
            <w:tcBorders>
              <w:top w:val="nil"/>
            </w:tcBorders>
            <w:shd w:val="clear" w:color="auto" w:fill="FCF4E0"/>
          </w:tcPr>
          <w:p>
            <w:pPr>
              <w:rPr>
                <w:sz w:val="2"/>
                <w:szCs w:val="2"/>
              </w:rPr>
            </w:pPr>
          </w:p>
        </w:tc>
        <w:tc>
          <w:tcPr>
            <w:tcW w:w="354" w:type="dxa"/>
            <w:tcBorders>
              <w:top w:val="single" w:sz="54" w:space="0" w:color="FFFFFF"/>
            </w:tcBorders>
            <w:shd w:val="clear" w:color="auto" w:fill="EFCEB4"/>
          </w:tcPr>
          <w:p>
            <w:pPr>
              <w:pStyle w:val="TableParagraph"/>
              <w:rPr>
                <w:rFonts w:ascii="Times New Roman"/>
                <w:sz w:val="22"/>
              </w:rPr>
            </w:pPr>
          </w:p>
        </w:tc>
        <w:tc>
          <w:tcPr>
            <w:tcW w:w="277" w:type="dxa"/>
            <w:vMerge/>
            <w:tcBorders>
              <w:top w:val="nil"/>
            </w:tcBorders>
            <w:shd w:val="clear" w:color="auto" w:fill="FCF4E0"/>
          </w:tcPr>
          <w:p>
            <w:pPr>
              <w:rPr>
                <w:sz w:val="2"/>
                <w:szCs w:val="2"/>
              </w:rPr>
            </w:pPr>
          </w:p>
        </w:tc>
      </w:tr>
      <w:tr>
        <w:trPr>
          <w:trHeight w:val="6708" w:hRule="atLeast"/>
        </w:trPr>
        <w:tc>
          <w:tcPr>
            <w:tcW w:w="8766" w:type="dxa"/>
            <w:gridSpan w:val="3"/>
            <w:tcBorders>
              <w:bottom w:val="single" w:sz="8" w:space="0" w:color="CA4F1B"/>
            </w:tcBorders>
            <w:shd w:val="clear" w:color="auto" w:fill="FCF4E0"/>
          </w:tcPr>
          <w:p>
            <w:pPr>
              <w:pStyle w:val="TableParagraph"/>
              <w:spacing w:line="235" w:lineRule="auto" w:before="56"/>
              <w:ind w:left="2007" w:right="664"/>
              <w:rPr>
                <w:sz w:val="20"/>
              </w:rPr>
            </w:pPr>
            <w:r>
              <w:rPr>
                <w:w w:val="120"/>
                <w:sz w:val="20"/>
              </w:rPr>
              <w:t>What ways have you found for accompanying those in positions of leadership in your church?</w:t>
            </w:r>
          </w:p>
          <w:p>
            <w:pPr>
              <w:pStyle w:val="TableParagraph"/>
              <w:spacing w:before="5"/>
              <w:rPr>
                <w:sz w:val="18"/>
              </w:rPr>
            </w:pPr>
          </w:p>
          <w:p>
            <w:pPr>
              <w:pStyle w:val="TableParagraph"/>
              <w:tabs>
                <w:tab w:pos="2007" w:val="left" w:leader="none"/>
              </w:tabs>
              <w:spacing w:line="261" w:lineRule="exact"/>
              <w:ind w:left="567"/>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spacing w:val="-5"/>
                <w:w w:val="110"/>
                <w:sz w:val="20"/>
              </w:rPr>
              <w:t>10</w:t>
              <w:tab/>
            </w:r>
            <w:r>
              <w:rPr>
                <w:rFonts w:ascii="Stone Sans II ITC Std Bk"/>
                <w:b/>
                <w:w w:val="110"/>
                <w:sz w:val="20"/>
              </w:rPr>
              <w:t>Synods as accompanists</w:t>
            </w:r>
          </w:p>
          <w:p>
            <w:pPr>
              <w:pStyle w:val="TableParagraph"/>
              <w:spacing w:line="235" w:lineRule="auto"/>
              <w:ind w:left="2007" w:right="989"/>
              <w:rPr>
                <w:sz w:val="20"/>
              </w:rPr>
            </w:pPr>
            <w:r>
              <w:rPr>
                <w:w w:val="120"/>
                <w:sz w:val="20"/>
              </w:rPr>
              <w:t>How do you see your Synod accompanying local churches in their mission? How might they do it more effectively?</w:t>
            </w:r>
          </w:p>
          <w:p>
            <w:pPr>
              <w:pStyle w:val="TableParagraph"/>
              <w:rPr>
                <w:sz w:val="18"/>
              </w:rPr>
            </w:pPr>
          </w:p>
          <w:p>
            <w:pPr>
              <w:pStyle w:val="TableParagraph"/>
              <w:tabs>
                <w:tab w:pos="2007" w:val="left" w:leader="none"/>
              </w:tabs>
              <w:spacing w:line="261" w:lineRule="exact"/>
              <w:ind w:left="567"/>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spacing w:val="-11"/>
                <w:w w:val="110"/>
                <w:sz w:val="20"/>
              </w:rPr>
              <w:t>11</w:t>
              <w:tab/>
            </w:r>
            <w:r>
              <w:rPr>
                <w:rFonts w:ascii="Stone Sans II ITC Std Bk"/>
                <w:b/>
                <w:w w:val="110"/>
                <w:sz w:val="20"/>
              </w:rPr>
              <w:t>Ecumenism as accompaniment</w:t>
            </w:r>
          </w:p>
          <w:p>
            <w:pPr>
              <w:pStyle w:val="TableParagraph"/>
              <w:spacing w:line="235" w:lineRule="auto"/>
              <w:ind w:left="2007" w:right="1138"/>
              <w:rPr>
                <w:sz w:val="20"/>
              </w:rPr>
            </w:pPr>
            <w:r>
              <w:rPr>
                <w:w w:val="120"/>
                <w:sz w:val="20"/>
              </w:rPr>
              <w:t>Walking together with other Christian churches is a joy and a burden. What in your experience breathes life into the journey?</w:t>
            </w:r>
          </w:p>
          <w:p>
            <w:pPr>
              <w:pStyle w:val="TableParagraph"/>
              <w:spacing w:before="1"/>
              <w:rPr>
                <w:sz w:val="18"/>
              </w:rPr>
            </w:pPr>
          </w:p>
          <w:p>
            <w:pPr>
              <w:pStyle w:val="TableParagraph"/>
              <w:tabs>
                <w:tab w:pos="2007" w:val="left" w:leader="none"/>
              </w:tabs>
              <w:spacing w:line="261" w:lineRule="exact"/>
              <w:ind w:left="567"/>
              <w:rPr>
                <w:rFonts w:ascii="Stone Sans II ITC Std Bk"/>
                <w:b/>
                <w:sz w:val="20"/>
              </w:rPr>
            </w:pPr>
            <w:r>
              <w:rPr>
                <w:rFonts w:ascii="Stone Sans II ITC Std Bk"/>
                <w:b/>
                <w:w w:val="110"/>
                <w:sz w:val="20"/>
              </w:rPr>
              <w:t>Section</w:t>
            </w:r>
            <w:r>
              <w:rPr>
                <w:rFonts w:ascii="Stone Sans II ITC Std Bk"/>
                <w:b/>
                <w:spacing w:val="2"/>
                <w:w w:val="110"/>
                <w:sz w:val="20"/>
              </w:rPr>
              <w:t> </w:t>
            </w:r>
            <w:r>
              <w:rPr>
                <w:rFonts w:ascii="Stone Sans II ITC Std Bk"/>
                <w:b/>
                <w:spacing w:val="-9"/>
                <w:w w:val="110"/>
                <w:sz w:val="20"/>
              </w:rPr>
              <w:t>12</w:t>
              <w:tab/>
            </w:r>
            <w:r>
              <w:rPr>
                <w:rFonts w:ascii="Stone Sans II ITC Std Bk"/>
                <w:b/>
                <w:w w:val="110"/>
                <w:sz w:val="20"/>
              </w:rPr>
              <w:t>Accompanying the</w:t>
            </w:r>
            <w:r>
              <w:rPr>
                <w:rFonts w:ascii="Stone Sans II ITC Std Bk"/>
                <w:b/>
                <w:spacing w:val="-1"/>
                <w:w w:val="110"/>
                <w:sz w:val="20"/>
              </w:rPr>
              <w:t> </w:t>
            </w:r>
            <w:r>
              <w:rPr>
                <w:rFonts w:ascii="Stone Sans II ITC Std Bk"/>
                <w:b/>
                <w:w w:val="110"/>
                <w:sz w:val="20"/>
              </w:rPr>
              <w:t>world</w:t>
            </w:r>
          </w:p>
          <w:p>
            <w:pPr>
              <w:pStyle w:val="TableParagraph"/>
              <w:spacing w:line="235" w:lineRule="auto"/>
              <w:ind w:left="2007" w:right="1138"/>
              <w:rPr>
                <w:sz w:val="20"/>
              </w:rPr>
            </w:pPr>
            <w:r>
              <w:rPr>
                <w:w w:val="120"/>
                <w:sz w:val="20"/>
              </w:rPr>
              <w:t>‘Giving an account of the hope that is in us’ or service to society – which best describes your relationship with the public community?</w:t>
            </w:r>
          </w:p>
          <w:p>
            <w:pPr>
              <w:pStyle w:val="TableParagraph"/>
              <w:spacing w:before="1"/>
              <w:rPr>
                <w:sz w:val="18"/>
              </w:rPr>
            </w:pPr>
          </w:p>
          <w:p>
            <w:pPr>
              <w:pStyle w:val="TableParagraph"/>
              <w:tabs>
                <w:tab w:pos="2007" w:val="left" w:leader="none"/>
              </w:tabs>
              <w:spacing w:line="261" w:lineRule="exact"/>
              <w:ind w:left="567"/>
              <w:rPr>
                <w:rFonts w:ascii="Stone Sans II ITC Std Bk"/>
                <w:b/>
                <w:sz w:val="20"/>
              </w:rPr>
            </w:pPr>
            <w:r>
              <w:rPr>
                <w:rFonts w:ascii="Stone Sans II ITC Std Bk"/>
                <w:b/>
                <w:w w:val="110"/>
                <w:sz w:val="20"/>
              </w:rPr>
              <w:t>Section</w:t>
            </w:r>
            <w:r>
              <w:rPr>
                <w:rFonts w:ascii="Stone Sans II ITC Std Bk"/>
                <w:b/>
                <w:spacing w:val="1"/>
                <w:w w:val="110"/>
                <w:sz w:val="20"/>
              </w:rPr>
              <w:t> </w:t>
            </w:r>
            <w:r>
              <w:rPr>
                <w:rFonts w:ascii="Stone Sans II ITC Std Bk"/>
                <w:b/>
                <w:spacing w:val="-9"/>
                <w:w w:val="110"/>
                <w:sz w:val="20"/>
              </w:rPr>
              <w:t>13</w:t>
              <w:tab/>
            </w:r>
            <w:r>
              <w:rPr>
                <w:rFonts w:ascii="Stone Sans II ITC Std Bk"/>
                <w:b/>
                <w:w w:val="110"/>
                <w:sz w:val="20"/>
              </w:rPr>
              <w:t>Christ the accompanist</w:t>
            </w:r>
          </w:p>
          <w:p>
            <w:pPr>
              <w:pStyle w:val="TableParagraph"/>
              <w:spacing w:line="235" w:lineRule="auto"/>
              <w:ind w:left="2007"/>
              <w:rPr>
                <w:sz w:val="20"/>
              </w:rPr>
            </w:pPr>
            <w:r>
              <w:rPr>
                <w:w w:val="120"/>
                <w:sz w:val="20"/>
              </w:rPr>
              <w:t>How do you see God transforming us from the half living of lovelessness to the abundant living of whole hearted love?</w:t>
            </w:r>
          </w:p>
          <w:p>
            <w:pPr>
              <w:pStyle w:val="TableParagraph"/>
              <w:rPr>
                <w:sz w:val="18"/>
              </w:rPr>
            </w:pPr>
          </w:p>
          <w:p>
            <w:pPr>
              <w:pStyle w:val="TableParagraph"/>
              <w:tabs>
                <w:tab w:pos="2007" w:val="left" w:leader="none"/>
              </w:tabs>
              <w:spacing w:line="261" w:lineRule="exact"/>
              <w:ind w:left="567"/>
              <w:rPr>
                <w:rFonts w:ascii="Stone Sans II ITC Std Bk"/>
                <w:b/>
                <w:sz w:val="20"/>
              </w:rPr>
            </w:pPr>
            <w:r>
              <w:rPr>
                <w:rFonts w:ascii="Stone Sans II ITC Std Bk"/>
                <w:b/>
                <w:w w:val="110"/>
                <w:sz w:val="20"/>
              </w:rPr>
              <w:t>Section</w:t>
            </w:r>
            <w:r>
              <w:rPr>
                <w:rFonts w:ascii="Stone Sans II ITC Std Bk"/>
                <w:b/>
                <w:spacing w:val="2"/>
                <w:w w:val="110"/>
                <w:sz w:val="20"/>
              </w:rPr>
              <w:t> </w:t>
            </w:r>
            <w:r>
              <w:rPr>
                <w:rFonts w:ascii="Stone Sans II ITC Std Bk"/>
                <w:b/>
                <w:spacing w:val="-8"/>
                <w:w w:val="110"/>
                <w:sz w:val="20"/>
              </w:rPr>
              <w:t>14</w:t>
              <w:tab/>
            </w:r>
            <w:r>
              <w:rPr>
                <w:rFonts w:ascii="Stone Sans II ITC Std Bk"/>
                <w:b/>
                <w:w w:val="110"/>
                <w:sz w:val="20"/>
              </w:rPr>
              <w:t>Accompaniment and</w:t>
            </w:r>
            <w:r>
              <w:rPr>
                <w:rFonts w:ascii="Stone Sans II ITC Std Bk"/>
                <w:b/>
                <w:spacing w:val="-1"/>
                <w:w w:val="110"/>
                <w:sz w:val="20"/>
              </w:rPr>
              <w:t> </w:t>
            </w:r>
            <w:r>
              <w:rPr>
                <w:rFonts w:ascii="Stone Sans II ITC Std Bk"/>
                <w:b/>
                <w:w w:val="110"/>
                <w:sz w:val="20"/>
              </w:rPr>
              <w:t>transformation</w:t>
            </w:r>
          </w:p>
          <w:p>
            <w:pPr>
              <w:pStyle w:val="TableParagraph"/>
              <w:spacing w:line="235" w:lineRule="auto"/>
              <w:ind w:left="2007" w:right="523"/>
              <w:rPr>
                <w:sz w:val="20"/>
              </w:rPr>
            </w:pPr>
            <w:r>
              <w:rPr>
                <w:w w:val="120"/>
                <w:sz w:val="20"/>
              </w:rPr>
              <w:t>Emmaus – a journey of unfolding transformation. What transforming changes have you encountered on your journey?</w:t>
            </w:r>
          </w:p>
        </w:tc>
      </w:tr>
    </w:tbl>
    <w:p>
      <w:pPr>
        <w:spacing w:after="0" w:line="235" w:lineRule="auto"/>
        <w:rPr>
          <w:sz w:val="20"/>
        </w:rPr>
        <w:sectPr>
          <w:headerReference w:type="even" r:id="rId177"/>
          <w:footerReference w:type="even" r:id="rId178"/>
          <w:pgSz w:w="11910" w:h="16840"/>
          <w:pgMar w:header="0" w:footer="0" w:top="520" w:bottom="280" w:left="0" w:right="0"/>
        </w:sectPr>
      </w:pPr>
    </w:p>
    <w:p>
      <w:pPr>
        <w:spacing w:line="216" w:lineRule="auto" w:before="88"/>
        <w:ind w:left="2381" w:right="2224" w:firstLine="0"/>
        <w:jc w:val="left"/>
        <w:rPr>
          <w:rFonts w:ascii="Stone Sans II ITC Std Sm" w:hAnsi="Stone Sans II ITC Std Sm"/>
          <w:b/>
          <w:sz w:val="18"/>
        </w:rPr>
      </w:pPr>
      <w:r>
        <w:rPr/>
        <w:pict>
          <v:shape style="position:absolute;margin-left:242.216507pt;margin-top:56.692715pt;width:316.75pt;height:758pt;mso-position-horizontal-relative:page;mso-position-vertical-relative:page;z-index:-267547648" type="#_x0000_t202" filled="false" stroked="false">
            <v:textbox inset="0,0,0,0">
              <w:txbxContent>
                <w:p>
                  <w:pPr>
                    <w:spacing w:line="58" w:lineRule="exact" w:before="0"/>
                    <w:ind w:left="5427" w:right="0" w:firstLine="0"/>
                    <w:jc w:val="left"/>
                    <w:rPr>
                      <w:rFonts w:ascii="Stone Sans II ITC Std X Bd"/>
                      <w:b/>
                      <w:sz w:val="72"/>
                    </w:rPr>
                  </w:pPr>
                  <w:r>
                    <w:rPr>
                      <w:rFonts w:ascii="Stone Sans II ITC Std X Bd"/>
                      <w:b/>
                      <w:w w:val="111"/>
                      <w:sz w:val="72"/>
                    </w:rPr>
                    <w:t>N</w:t>
                  </w:r>
                </w:p>
                <w:p>
                  <w:pPr>
                    <w:spacing w:line="115" w:lineRule="auto" w:before="195"/>
                    <w:ind w:left="5427" w:right="0" w:firstLine="0"/>
                    <w:jc w:val="left"/>
                    <w:rPr>
                      <w:rFonts w:ascii="Stone Sans II ITC Std X Bd"/>
                      <w:b/>
                      <w:sz w:val="72"/>
                    </w:rPr>
                  </w:pPr>
                  <w:r>
                    <w:rPr>
                      <w:rFonts w:ascii="Stone Sans II ITC Std X Bd"/>
                      <w:b/>
                      <w:w w:val="110"/>
                      <w:sz w:val="72"/>
                    </w:rPr>
                    <w:t>a m</w:t>
                  </w:r>
                </w:p>
                <w:p>
                  <w:pPr>
                    <w:spacing w:line="905" w:lineRule="exact" w:before="0"/>
                    <w:ind w:left="5427" w:right="0" w:firstLine="0"/>
                    <w:jc w:val="left"/>
                    <w:rPr>
                      <w:rFonts w:ascii="Stone Sans II ITC Std X Bd"/>
                      <w:b/>
                      <w:sz w:val="72"/>
                    </w:rPr>
                  </w:pPr>
                  <w:r>
                    <w:rPr>
                      <w:rFonts w:ascii="Stone Sans II ITC Std X Bd"/>
                      <w:b/>
                      <w:w w:val="111"/>
                      <w:sz w:val="72"/>
                    </w:rPr>
                    <w:t>e</w:t>
                  </w: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pStyle w:val="BodyText"/>
                    <w:rPr>
                      <w:rFonts w:ascii="Stone Sans II ITC Std X Bd"/>
                      <w:b/>
                      <w:sz w:val="46"/>
                    </w:rPr>
                  </w:pPr>
                </w:p>
                <w:p>
                  <w:pPr>
                    <w:tabs>
                      <w:tab w:pos="5946" w:val="left" w:leader="none"/>
                    </w:tabs>
                    <w:spacing w:line="306" w:lineRule="exact" w:before="323"/>
                    <w:ind w:left="0"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9"/>
                      <w:w w:val="110"/>
                      <w:sz w:val="23"/>
                    </w:rPr>
                    <w:t> </w:t>
                  </w:r>
                  <w:r>
                    <w:rPr>
                      <w:color w:val="FFFFFF"/>
                      <w:w w:val="110"/>
                      <w:sz w:val="23"/>
                    </w:rPr>
                    <w:t>2010 </w:t>
                  </w:r>
                  <w:r>
                    <w:rPr>
                      <w:color w:val="FFFFFF"/>
                      <w:spacing w:val="30"/>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49</w:t>
                  </w:r>
                </w:p>
              </w:txbxContent>
            </v:textbox>
            <w10:wrap type="none"/>
          </v:shape>
        </w:pict>
      </w:r>
      <w:r>
        <w:rPr/>
        <w:pict>
          <v:rect style="position:absolute;margin-left:0pt;margin-top:.000015pt;width:595.275pt;height:841.89pt;mso-position-horizontal-relative:page;mso-position-vertical-relative:page;z-index:-267545600" filled="true" fillcolor="#eab817" stroked="false">
            <v:fill type="solid"/>
            <w10:wrap type="none"/>
          </v:rect>
        </w:pict>
      </w:r>
      <w:r>
        <w:rPr/>
        <w:pict>
          <v:group style="position:absolute;margin-left:75.826797pt;margin-top:.000015pt;width:519.4500pt;height:790.2pt;mso-position-horizontal-relative:page;mso-position-vertical-relative:page;z-index:-267544576" coordorigin="1517,0" coordsize="10389,15804">
            <v:rect style="position:absolute;left:1530;top:0;width:10375;height:15789" filled="true" fillcolor="#ffffff" stroked="false">
              <v:fill type="solid"/>
            </v:rect>
            <v:shape style="position:absolute;left:1516;top:14290;width:1540;height:1513" coordorigin="1517,14290" coordsize="1540,1513" path="m1517,14290l1517,15803,3053,15803,2977,15801,2902,15796,2828,15787,2755,15774,2684,15758,2613,15739,2544,15717,2477,15691,2411,15663,2347,15631,2284,15597,2223,15560,2164,15520,2108,15478,2053,15433,2000,15385,1950,15336,1902,15284,1856,15230,1813,15173,1772,15115,1734,15055,1699,14993,1667,14929,1637,14864,1611,14797,1587,14728,1567,14658,1550,14587,1536,14514,1526,14441,1520,14366,1517,14290xm3056,15803l3055,15803,3054,15803,3056,15803,3056,15803xe" filled="true" fillcolor="#eab817" stroked="false">
              <v:path arrowok="t"/>
              <v:fill type="solid"/>
            </v:shape>
            <v:shape style="position:absolute;left:2014;top:1017;width:8049;height:10576" coordorigin="2014,1018" coordsize="8049,10576" path="m2254,1018l2251,1156,2224,1228,2153,1254,2014,1258,2014,11353,2153,11357,2224,11383,2251,11454,2254,11593,9823,11593,9827,11454,9853,11383,9924,11357,10063,11353,10063,1258,9924,1254,9853,1228,9827,1156,9823,1018,2254,1018xe" filled="false" stroked="true" strokeweight="1pt" strokecolor="#eab817">
              <v:path arrowok="t"/>
              <v:stroke dashstyle="solid"/>
            </v:shape>
            <v:rect style="position:absolute;left:11168;top:0;width:454;height:471" filled="true" fillcolor="#eab817" stroked="false">
              <v:fill type="solid"/>
            </v:rect>
            <v:rect style="position:absolute;left:11168;top:625;width:454;height:454" filled="true" fillcolor="#f5db95" stroked="false">
              <v:fill type="solid"/>
            </v:rect>
            <v:rect style="position:absolute;left:11168;top:1249;width:454;height:454" filled="true" fillcolor="#f9e9c1" stroked="false">
              <v:fill opacity="32768f" type="solid"/>
            </v:rect>
            <w10:wrap type="none"/>
          </v:group>
        </w:pict>
      </w:r>
      <w:r>
        <w:rPr/>
        <w:pict>
          <v:shape style="position:absolute;margin-left:512.587891pt;margin-top:-4.197687pt;width:47.4pt;height:307.55pt;mso-position-horizontal-relative:page;mso-position-vertical-relative:paragraph;z-index:-26754355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7"/>
                      <w:w w:val="110"/>
                      <w:sz w:val="72"/>
                    </w:rPr>
                    <w:t>Mission</w:t>
                  </w:r>
                  <w:r>
                    <w:rPr>
                      <w:rFonts w:ascii="Stone Sans II ITC Std X Bd"/>
                      <w:b/>
                      <w:spacing w:val="61"/>
                      <w:w w:val="110"/>
                      <w:sz w:val="72"/>
                    </w:rPr>
                    <w:t> </w:t>
                  </w:r>
                  <w:r>
                    <w:rPr>
                      <w:rFonts w:ascii="Stone Sans II ITC Std X Bd"/>
                      <w:b/>
                      <w:spacing w:val="-10"/>
                      <w:w w:val="110"/>
                      <w:sz w:val="72"/>
                    </w:rPr>
                    <w:t>Council</w:t>
                  </w:r>
                </w:p>
              </w:txbxContent>
            </v:textbox>
            <w10:wrap type="none"/>
          </v:shape>
        </w:pict>
      </w:r>
      <w:r>
        <w:rPr>
          <w:rFonts w:ascii="Stone Sans II ITC Std Sm" w:hAnsi="Stone Sans II ITC Std Sm"/>
          <w:b/>
          <w:w w:val="110"/>
          <w:sz w:val="18"/>
        </w:rPr>
        <w:t>Mission Council’s task is to take a comprehensive view of the work of General Assembly; to decide on priorities; and to encourage the United Reformed Church at all levels in its engagement with the world. The scope of this engagement ranges from the local to the international arena, and includes relationships with ecumenical partners in the UK and overseas. While Mission Council services and maintains the work of General Assembly from one year to the next, it is principally concerned about the Church’s future direction and  the support of all its</w:t>
      </w:r>
      <w:r>
        <w:rPr>
          <w:rFonts w:ascii="Stone Sans II ITC Std Sm" w:hAnsi="Stone Sans II ITC Std Sm"/>
          <w:b/>
          <w:spacing w:val="4"/>
          <w:w w:val="110"/>
          <w:sz w:val="18"/>
        </w:rPr>
        <w:t> </w:t>
      </w:r>
      <w:r>
        <w:rPr>
          <w:rFonts w:ascii="Stone Sans II ITC Std Sm" w:hAnsi="Stone Sans II ITC Std Sm"/>
          <w:b/>
          <w:w w:val="110"/>
          <w:sz w:val="18"/>
        </w:rPr>
        <w:t>members.</w:t>
      </w:r>
    </w:p>
    <w:p>
      <w:pPr>
        <w:pStyle w:val="BodyText"/>
        <w:spacing w:before="6"/>
        <w:rPr>
          <w:rFonts w:ascii="Stone Sans II ITC Std Sm"/>
          <w:b/>
          <w:sz w:val="15"/>
        </w:rPr>
      </w:pPr>
    </w:p>
    <w:p>
      <w:pPr>
        <w:spacing w:line="237" w:lineRule="exact" w:before="0"/>
        <w:ind w:left="2381" w:right="0" w:firstLine="0"/>
        <w:jc w:val="left"/>
        <w:rPr>
          <w:rFonts w:ascii="Stone Sans II ITC Std Sm"/>
          <w:b/>
          <w:sz w:val="18"/>
        </w:rPr>
      </w:pPr>
      <w:r>
        <w:rPr>
          <w:rFonts w:ascii="Stone Sans II ITC Std Sm"/>
          <w:b/>
          <w:w w:val="110"/>
          <w:sz w:val="18"/>
        </w:rPr>
        <w:t>Committee members:</w:t>
      </w:r>
    </w:p>
    <w:p>
      <w:pPr>
        <w:spacing w:line="240" w:lineRule="auto" w:before="0"/>
        <w:ind w:left="2381" w:right="2394" w:firstLine="0"/>
        <w:jc w:val="left"/>
        <w:rPr>
          <w:sz w:val="18"/>
        </w:rPr>
      </w:pPr>
      <w:r>
        <w:rPr>
          <w:w w:val="120"/>
          <w:sz w:val="18"/>
        </w:rPr>
        <w:t>The officers of the General Assembly, the past Moderator, the Moderators-elect, the Legal Adviser, the conveners of the Assembly standing committees (except the Pastoral Reference and Welfare Committee), the synod moderators, two representatives from the FURY Advisory Board, and three representatives from each</w:t>
      </w:r>
      <w:r>
        <w:rPr>
          <w:spacing w:val="2"/>
          <w:w w:val="120"/>
          <w:sz w:val="18"/>
        </w:rPr>
        <w:t> </w:t>
      </w:r>
      <w:r>
        <w:rPr>
          <w:w w:val="120"/>
          <w:sz w:val="18"/>
        </w:rPr>
        <w:t>synod.</w:t>
      </w:r>
    </w:p>
    <w:p>
      <w:pPr>
        <w:pStyle w:val="BodyText"/>
        <w:spacing w:before="11"/>
      </w:pPr>
    </w:p>
    <w:p>
      <w:pPr>
        <w:spacing w:before="0"/>
        <w:ind w:left="2381" w:right="0" w:firstLine="0"/>
        <w:jc w:val="left"/>
        <w:rPr>
          <w:sz w:val="18"/>
        </w:rPr>
      </w:pPr>
      <w:r>
        <w:rPr>
          <w:w w:val="120"/>
          <w:sz w:val="18"/>
        </w:rPr>
        <w:t>Mission Council Representatives appointed by synods (in March 2010) were:</w:t>
      </w:r>
    </w:p>
    <w:p>
      <w:pPr>
        <w:spacing w:before="9"/>
        <w:ind w:left="2381" w:right="0" w:firstLine="0"/>
        <w:jc w:val="left"/>
        <w:rPr>
          <w:rFonts w:ascii="Stone Sans II ITC Std Sm"/>
          <w:b/>
          <w:sz w:val="18"/>
        </w:rPr>
      </w:pPr>
      <w:r>
        <w:rPr>
          <w:rFonts w:ascii="Stone Sans II ITC Std Sm"/>
          <w:b/>
          <w:w w:val="110"/>
          <w:sz w:val="18"/>
        </w:rPr>
        <w:t>Northern Synod</w:t>
      </w:r>
    </w:p>
    <w:p>
      <w:pPr>
        <w:spacing w:before="8"/>
        <w:ind w:left="2664" w:right="0" w:firstLine="0"/>
        <w:jc w:val="left"/>
        <w:rPr>
          <w:sz w:val="18"/>
        </w:rPr>
      </w:pPr>
      <w:r>
        <w:rPr>
          <w:w w:val="125"/>
          <w:sz w:val="18"/>
        </w:rPr>
        <w:t>Miss Elaine Colechin, Revd John Durell, Mr Justice Semuli</w:t>
      </w:r>
    </w:p>
    <w:p>
      <w:pPr>
        <w:spacing w:before="9"/>
        <w:ind w:left="2381" w:right="0" w:firstLine="0"/>
        <w:jc w:val="left"/>
        <w:rPr>
          <w:rFonts w:ascii="Stone Sans II ITC Std Sm"/>
          <w:b/>
          <w:sz w:val="18"/>
        </w:rPr>
      </w:pPr>
      <w:r>
        <w:rPr>
          <w:rFonts w:ascii="Stone Sans II ITC Std Sm"/>
          <w:b/>
          <w:w w:val="110"/>
          <w:sz w:val="18"/>
        </w:rPr>
        <w:t>North Western Synod</w:t>
      </w:r>
    </w:p>
    <w:p>
      <w:pPr>
        <w:spacing w:before="8"/>
        <w:ind w:left="2664" w:right="0" w:firstLine="0"/>
        <w:jc w:val="left"/>
        <w:rPr>
          <w:sz w:val="18"/>
        </w:rPr>
      </w:pPr>
      <w:r>
        <w:rPr>
          <w:w w:val="120"/>
          <w:sz w:val="18"/>
        </w:rPr>
        <w:t>Mr George Grime, Revd Rachel Poolman, Ms Marie Trubic</w:t>
      </w:r>
    </w:p>
    <w:p>
      <w:pPr>
        <w:spacing w:before="9"/>
        <w:ind w:left="2381" w:right="0" w:firstLine="0"/>
        <w:jc w:val="left"/>
        <w:rPr>
          <w:rFonts w:ascii="Stone Sans II ITC Std Sm"/>
          <w:b/>
          <w:sz w:val="18"/>
        </w:rPr>
      </w:pPr>
      <w:r>
        <w:rPr>
          <w:rFonts w:ascii="Stone Sans II ITC Std Sm"/>
          <w:b/>
          <w:w w:val="110"/>
          <w:sz w:val="18"/>
        </w:rPr>
        <w:t>Mersey Synod</w:t>
      </w:r>
    </w:p>
    <w:p>
      <w:pPr>
        <w:spacing w:before="8"/>
        <w:ind w:left="2664" w:right="0" w:firstLine="0"/>
        <w:jc w:val="left"/>
        <w:rPr>
          <w:sz w:val="18"/>
        </w:rPr>
      </w:pPr>
      <w:r>
        <w:rPr>
          <w:w w:val="120"/>
          <w:sz w:val="18"/>
        </w:rPr>
        <w:t>Miss Emma Pugh, Revd A Gordon Smith, Mr Arthur Swift</w:t>
      </w:r>
    </w:p>
    <w:p>
      <w:pPr>
        <w:spacing w:before="8"/>
        <w:ind w:left="2381" w:right="0" w:firstLine="0"/>
        <w:jc w:val="left"/>
        <w:rPr>
          <w:rFonts w:ascii="Stone Sans II ITC Std Sm"/>
          <w:b/>
          <w:sz w:val="18"/>
        </w:rPr>
      </w:pPr>
      <w:r>
        <w:rPr>
          <w:rFonts w:ascii="Stone Sans II ITC Std Sm"/>
          <w:b/>
          <w:w w:val="110"/>
          <w:sz w:val="18"/>
        </w:rPr>
        <w:t>Yorkshire Synod</w:t>
      </w:r>
    </w:p>
    <w:p>
      <w:pPr>
        <w:spacing w:before="8"/>
        <w:ind w:left="2664" w:right="0" w:firstLine="0"/>
        <w:jc w:val="left"/>
        <w:rPr>
          <w:sz w:val="18"/>
        </w:rPr>
      </w:pPr>
      <w:r>
        <w:rPr>
          <w:w w:val="120"/>
          <w:sz w:val="18"/>
        </w:rPr>
        <w:t>Revd Kay Alberg, Mr Roderick Garthwaite, Mr Chris Reed</w:t>
      </w:r>
    </w:p>
    <w:p>
      <w:pPr>
        <w:spacing w:before="9"/>
        <w:ind w:left="2381" w:right="0" w:firstLine="0"/>
        <w:jc w:val="left"/>
        <w:rPr>
          <w:rFonts w:ascii="Stone Sans II ITC Std Sm"/>
          <w:b/>
          <w:sz w:val="18"/>
        </w:rPr>
      </w:pPr>
      <w:r>
        <w:rPr>
          <w:rFonts w:ascii="Stone Sans II ITC Std Sm"/>
          <w:b/>
          <w:w w:val="110"/>
          <w:sz w:val="18"/>
        </w:rPr>
        <w:t>East Midlands Synod</w:t>
      </w:r>
    </w:p>
    <w:p>
      <w:pPr>
        <w:spacing w:before="8"/>
        <w:ind w:left="2664" w:right="0" w:firstLine="0"/>
        <w:jc w:val="left"/>
        <w:rPr>
          <w:sz w:val="18"/>
        </w:rPr>
      </w:pPr>
      <w:r>
        <w:rPr>
          <w:w w:val="125"/>
          <w:sz w:val="18"/>
        </w:rPr>
        <w:t>Revd Jane Campbell, Mr Duncan Smith, Mrs Jill Turner</w:t>
      </w:r>
    </w:p>
    <w:p>
      <w:pPr>
        <w:spacing w:before="9"/>
        <w:ind w:left="2381" w:right="0" w:firstLine="0"/>
        <w:jc w:val="left"/>
        <w:rPr>
          <w:rFonts w:ascii="Stone Sans II ITC Std Sm"/>
          <w:b/>
          <w:sz w:val="18"/>
        </w:rPr>
      </w:pPr>
      <w:r>
        <w:rPr>
          <w:rFonts w:ascii="Stone Sans II ITC Std Sm"/>
          <w:b/>
          <w:w w:val="110"/>
          <w:sz w:val="18"/>
        </w:rPr>
        <w:t>West Midlands Synod</w:t>
      </w:r>
    </w:p>
    <w:p>
      <w:pPr>
        <w:spacing w:before="8"/>
        <w:ind w:left="2664" w:right="0" w:firstLine="0"/>
        <w:jc w:val="left"/>
        <w:rPr>
          <w:sz w:val="18"/>
        </w:rPr>
      </w:pPr>
      <w:r>
        <w:rPr>
          <w:w w:val="120"/>
          <w:sz w:val="18"/>
        </w:rPr>
        <w:t>Mr Bill Robson, Mrs Val Phillips, Mrs Adella Pritchard</w:t>
      </w:r>
    </w:p>
    <w:p>
      <w:pPr>
        <w:spacing w:before="9"/>
        <w:ind w:left="2381" w:right="0" w:firstLine="0"/>
        <w:jc w:val="left"/>
        <w:rPr>
          <w:rFonts w:ascii="Stone Sans II ITC Std Sm"/>
          <w:b/>
          <w:sz w:val="18"/>
        </w:rPr>
      </w:pPr>
      <w:r>
        <w:rPr>
          <w:rFonts w:ascii="Stone Sans II ITC Std Sm"/>
          <w:b/>
          <w:w w:val="110"/>
          <w:sz w:val="18"/>
        </w:rPr>
        <w:t>Eastern Synod</w:t>
      </w:r>
    </w:p>
    <w:p>
      <w:pPr>
        <w:spacing w:before="8"/>
        <w:ind w:left="2664" w:right="0" w:firstLine="0"/>
        <w:jc w:val="left"/>
        <w:rPr>
          <w:sz w:val="18"/>
        </w:rPr>
      </w:pPr>
      <w:r>
        <w:rPr>
          <w:w w:val="120"/>
          <w:sz w:val="18"/>
        </w:rPr>
        <w:t>Revd Catherine Ball, Ms Linda Harrison, Mr Clifford Patten</w:t>
      </w:r>
    </w:p>
    <w:p>
      <w:pPr>
        <w:spacing w:before="9"/>
        <w:ind w:left="2381" w:right="0" w:firstLine="0"/>
        <w:jc w:val="left"/>
        <w:rPr>
          <w:rFonts w:ascii="Stone Sans II ITC Std Sm"/>
          <w:b/>
          <w:sz w:val="18"/>
        </w:rPr>
      </w:pPr>
      <w:r>
        <w:rPr>
          <w:rFonts w:ascii="Stone Sans II ITC Std Sm"/>
          <w:b/>
          <w:w w:val="110"/>
          <w:sz w:val="18"/>
        </w:rPr>
        <w:t>South Western Synod</w:t>
      </w:r>
    </w:p>
    <w:p>
      <w:pPr>
        <w:spacing w:before="8"/>
        <w:ind w:left="2664" w:right="0" w:firstLine="0"/>
        <w:jc w:val="left"/>
        <w:rPr>
          <w:sz w:val="18"/>
        </w:rPr>
      </w:pPr>
      <w:r>
        <w:rPr>
          <w:w w:val="120"/>
          <w:sz w:val="18"/>
        </w:rPr>
        <w:t>Revd Roz Harrison, Mrs Sarah Lane-Cawte, Revd Stephen Newell</w:t>
      </w:r>
    </w:p>
    <w:p>
      <w:pPr>
        <w:spacing w:before="8"/>
        <w:ind w:left="2381" w:right="0" w:firstLine="0"/>
        <w:jc w:val="left"/>
        <w:rPr>
          <w:rFonts w:ascii="Stone Sans II ITC Std Sm"/>
          <w:b/>
          <w:sz w:val="18"/>
        </w:rPr>
      </w:pPr>
      <w:r>
        <w:rPr>
          <w:rFonts w:ascii="Stone Sans II ITC Std Sm"/>
          <w:b/>
          <w:w w:val="110"/>
          <w:sz w:val="18"/>
        </w:rPr>
        <w:t>Wessex Synod</w:t>
      </w:r>
    </w:p>
    <w:p>
      <w:pPr>
        <w:spacing w:before="8"/>
        <w:ind w:left="2664" w:right="0" w:firstLine="0"/>
        <w:jc w:val="left"/>
        <w:rPr>
          <w:sz w:val="18"/>
        </w:rPr>
      </w:pPr>
      <w:r>
        <w:rPr>
          <w:w w:val="120"/>
          <w:sz w:val="18"/>
        </w:rPr>
        <w:t>Mr Peter Pay, Mrs Margaret Telfer, Revd Mary Thomas</w:t>
      </w:r>
    </w:p>
    <w:p>
      <w:pPr>
        <w:spacing w:before="9"/>
        <w:ind w:left="2381" w:right="0" w:firstLine="0"/>
        <w:jc w:val="left"/>
        <w:rPr>
          <w:rFonts w:ascii="Stone Sans II ITC Std Sm"/>
          <w:b/>
          <w:sz w:val="18"/>
        </w:rPr>
      </w:pPr>
      <w:r>
        <w:rPr>
          <w:rFonts w:ascii="Stone Sans II ITC Std Sm"/>
          <w:b/>
          <w:w w:val="110"/>
          <w:sz w:val="18"/>
        </w:rPr>
        <w:t>Thames North Synod</w:t>
      </w:r>
    </w:p>
    <w:p>
      <w:pPr>
        <w:spacing w:before="8"/>
        <w:ind w:left="2664" w:right="0" w:firstLine="0"/>
        <w:jc w:val="left"/>
        <w:rPr>
          <w:sz w:val="18"/>
        </w:rPr>
      </w:pPr>
      <w:r>
        <w:rPr>
          <w:w w:val="125"/>
          <w:sz w:val="18"/>
        </w:rPr>
        <w:t>Mr Simon Fairnington, Revd Maggie Hindley, Revd David Lawrence</w:t>
      </w:r>
    </w:p>
    <w:p>
      <w:pPr>
        <w:spacing w:before="9"/>
        <w:ind w:left="2381" w:right="0" w:firstLine="0"/>
        <w:jc w:val="left"/>
        <w:rPr>
          <w:rFonts w:ascii="Stone Sans II ITC Std Sm"/>
          <w:b/>
          <w:sz w:val="18"/>
        </w:rPr>
      </w:pPr>
      <w:r>
        <w:rPr>
          <w:rFonts w:ascii="Stone Sans II ITC Std Sm"/>
          <w:b/>
          <w:w w:val="110"/>
          <w:sz w:val="18"/>
        </w:rPr>
        <w:t>Southern Synod</w:t>
      </w:r>
    </w:p>
    <w:p>
      <w:pPr>
        <w:spacing w:before="8"/>
        <w:ind w:left="2664" w:right="0" w:firstLine="0"/>
        <w:jc w:val="left"/>
        <w:rPr>
          <w:sz w:val="18"/>
        </w:rPr>
      </w:pPr>
      <w:r>
        <w:rPr>
          <w:w w:val="120"/>
          <w:sz w:val="18"/>
        </w:rPr>
        <w:t>Revd Derrick Dzandu-Hedidor, Revd Chris Parker, Revd Zam Walker</w:t>
      </w:r>
    </w:p>
    <w:p>
      <w:pPr>
        <w:spacing w:before="9"/>
        <w:ind w:left="2381" w:right="0" w:firstLine="0"/>
        <w:jc w:val="left"/>
        <w:rPr>
          <w:rFonts w:ascii="Stone Sans II ITC Std Sm"/>
          <w:b/>
          <w:sz w:val="18"/>
        </w:rPr>
      </w:pPr>
      <w:r>
        <w:rPr>
          <w:rFonts w:ascii="Stone Sans II ITC Std Sm"/>
          <w:b/>
          <w:w w:val="110"/>
          <w:sz w:val="18"/>
        </w:rPr>
        <w:t>National Synod of Wales</w:t>
      </w:r>
    </w:p>
    <w:p>
      <w:pPr>
        <w:spacing w:before="8"/>
        <w:ind w:left="2664" w:right="0" w:firstLine="0"/>
        <w:jc w:val="left"/>
        <w:rPr>
          <w:sz w:val="18"/>
        </w:rPr>
      </w:pPr>
      <w:r>
        <w:rPr>
          <w:w w:val="120"/>
          <w:sz w:val="18"/>
        </w:rPr>
        <w:t>Revd Dr Peter Cruchley-Jones, Revd Shelagh Pollard, Mrs Iris Williams</w:t>
      </w:r>
    </w:p>
    <w:p>
      <w:pPr>
        <w:spacing w:before="9"/>
        <w:ind w:left="2381" w:right="0" w:firstLine="0"/>
        <w:jc w:val="left"/>
        <w:rPr>
          <w:rFonts w:ascii="Stone Sans II ITC Std Sm"/>
          <w:b/>
          <w:sz w:val="18"/>
        </w:rPr>
      </w:pPr>
      <w:r>
        <w:rPr>
          <w:rFonts w:ascii="Stone Sans II ITC Std Sm"/>
          <w:b/>
          <w:w w:val="110"/>
          <w:sz w:val="18"/>
        </w:rPr>
        <w:t>National Synod of Scotland</w:t>
      </w:r>
    </w:p>
    <w:p>
      <w:pPr>
        <w:spacing w:before="7"/>
        <w:ind w:left="2664" w:right="0" w:firstLine="0"/>
        <w:jc w:val="left"/>
        <w:rPr>
          <w:sz w:val="18"/>
        </w:rPr>
      </w:pPr>
      <w:r>
        <w:rPr>
          <w:w w:val="120"/>
          <w:sz w:val="18"/>
        </w:rPr>
        <w:t>Mrs Barbara Bruce, Miss Irene Hudson, Revd John Sanderson</w:t>
      </w:r>
    </w:p>
    <w:p>
      <w:pPr>
        <w:pStyle w:val="BodyText"/>
      </w:pPr>
    </w:p>
    <w:p>
      <w:pPr>
        <w:pStyle w:val="BodyText"/>
      </w:pPr>
    </w:p>
    <w:p>
      <w:pPr>
        <w:pStyle w:val="BodyText"/>
      </w:pPr>
    </w:p>
    <w:p>
      <w:pPr>
        <w:pStyle w:val="BodyText"/>
        <w:spacing w:before="5"/>
        <w:rPr>
          <w:sz w:val="18"/>
        </w:rPr>
      </w:pPr>
    </w:p>
    <w:p>
      <w:pPr>
        <w:numPr>
          <w:ilvl w:val="1"/>
          <w:numId w:val="66"/>
        </w:numPr>
        <w:tabs>
          <w:tab w:pos="3006" w:val="left" w:leader="none"/>
          <w:tab w:pos="3007" w:val="left" w:leader="none"/>
        </w:tabs>
        <w:spacing w:before="100"/>
        <w:ind w:left="3006" w:right="0" w:hanging="721"/>
        <w:jc w:val="left"/>
        <w:rPr>
          <w:rFonts w:ascii="Stone Sans II ITC Std Bk"/>
          <w:b/>
          <w:sz w:val="21"/>
        </w:rPr>
      </w:pPr>
      <w:r>
        <w:rPr>
          <w:rFonts w:ascii="Stone Sans II ITC Std Bk"/>
          <w:b/>
          <w:w w:val="115"/>
          <w:sz w:val="21"/>
        </w:rPr>
        <w:t>Mission Council: A new</w:t>
      </w:r>
      <w:r>
        <w:rPr>
          <w:rFonts w:ascii="Stone Sans II ITC Std Bk"/>
          <w:b/>
          <w:spacing w:val="-7"/>
          <w:w w:val="115"/>
          <w:sz w:val="21"/>
        </w:rPr>
        <w:t> </w:t>
      </w:r>
      <w:r>
        <w:rPr>
          <w:rFonts w:ascii="Stone Sans II ITC Std Bk"/>
          <w:b/>
          <w:w w:val="115"/>
          <w:sz w:val="21"/>
        </w:rPr>
        <w:t>Role</w:t>
      </w:r>
    </w:p>
    <w:p>
      <w:pPr>
        <w:pStyle w:val="ListParagraph"/>
        <w:numPr>
          <w:ilvl w:val="2"/>
          <w:numId w:val="66"/>
        </w:numPr>
        <w:tabs>
          <w:tab w:pos="2966" w:val="left" w:leader="none"/>
          <w:tab w:pos="2967" w:val="left" w:leader="none"/>
        </w:tabs>
        <w:spacing w:line="235" w:lineRule="auto" w:before="223" w:after="0"/>
        <w:ind w:left="2286" w:right="944" w:firstLine="0"/>
        <w:jc w:val="left"/>
        <w:rPr>
          <w:sz w:val="20"/>
        </w:rPr>
      </w:pPr>
      <w:r>
        <w:rPr/>
        <w:pict>
          <v:shape style="position:absolute;margin-left:75.826797pt;margin-top:83.375259pt;width:77pt;height:75.650pt;mso-position-horizontal-relative:page;mso-position-vertical-relative:paragraph;z-index:-267546624" coordorigin="1517,1668" coordsize="1540,1513" path="m1517,1668l1517,3180,3053,3180,2977,3178,2902,3173,2828,3164,2755,3151,2684,3135,2613,3116,2544,3094,2477,3068,2411,3040,2347,3008,2284,2974,2223,2937,2164,2897,2108,2855,2053,2810,2000,2763,1950,2713,1902,2661,1856,2607,1813,2550,1772,2492,1734,2432,1699,2370,1667,2306,1637,2241,1611,2174,1587,2105,1567,2035,1550,1964,1536,1892,1526,1818,1520,1743,1517,1668xm3056,3180l3055,3180,3054,3180,3056,3180,3056,3180xe" filled="true" fillcolor="#8ba8bd" stroked="false">
            <v:path arrowok="t"/>
            <v:fill type="solid"/>
            <w10:wrap type="none"/>
          </v:shape>
        </w:pict>
      </w:r>
      <w:r>
        <w:rPr>
          <w:w w:val="120"/>
          <w:sz w:val="20"/>
        </w:rPr>
        <w:t>Mission Council gave serious consideration to the changes arising from a biennial Assembly and particularly the impact a biennial Assembly would have on the role of Mission Council. Resolutions 25 and </w:t>
      </w:r>
      <w:r>
        <w:rPr>
          <w:spacing w:val="-3"/>
          <w:w w:val="120"/>
          <w:sz w:val="20"/>
        </w:rPr>
        <w:t>26 </w:t>
      </w:r>
      <w:r>
        <w:rPr>
          <w:w w:val="120"/>
          <w:sz w:val="20"/>
        </w:rPr>
        <w:t>detail proposed amendments to the structure of the United Reformed Church and the Rules of Procedure arising from these discussions. The logic of decisions already taken is that more responsibility for the running of the United Reformed Church will need to be delegated to Mission Council. The changes   seek to affirm the unique status and authority of General Assembly whilst</w:t>
      </w:r>
      <w:r>
        <w:rPr>
          <w:spacing w:val="18"/>
          <w:w w:val="120"/>
          <w:sz w:val="20"/>
        </w:rPr>
        <w:t> </w:t>
      </w:r>
      <w:r>
        <w:rPr>
          <w:w w:val="120"/>
          <w:sz w:val="20"/>
        </w:rPr>
        <w:t>accepting</w:t>
      </w:r>
    </w:p>
    <w:p>
      <w:pPr>
        <w:pStyle w:val="BodyText"/>
        <w:spacing w:line="235" w:lineRule="auto" w:before="5"/>
        <w:ind w:left="2286" w:right="1120"/>
      </w:pPr>
      <w:r>
        <w:rPr>
          <w:w w:val="120"/>
        </w:rPr>
        <w:t>that in the new circumstances it should devolve more of that authority than before to Mission Council.</w:t>
      </w:r>
    </w:p>
    <w:p>
      <w:pPr>
        <w:pStyle w:val="BodyText"/>
      </w:pPr>
    </w:p>
    <w:p>
      <w:pPr>
        <w:pStyle w:val="BodyText"/>
      </w:pPr>
    </w:p>
    <w:p>
      <w:pPr>
        <w:pStyle w:val="BodyText"/>
      </w:pPr>
    </w:p>
    <w:p>
      <w:pPr>
        <w:tabs>
          <w:tab w:pos="10791" w:val="left" w:leader="none"/>
        </w:tabs>
        <w:spacing w:before="237"/>
        <w:ind w:left="484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49</w:t>
      </w:r>
    </w:p>
    <w:p>
      <w:pPr>
        <w:spacing w:after="0"/>
        <w:jc w:val="left"/>
        <w:rPr>
          <w:rFonts w:ascii="Stone Sans II ITC Std X Bd" w:hAnsi="Stone Sans II ITC Std X Bd"/>
          <w:sz w:val="24"/>
        </w:rPr>
        <w:sectPr>
          <w:headerReference w:type="default" r:id="rId179"/>
          <w:headerReference w:type="even" r:id="rId180"/>
          <w:footerReference w:type="default" r:id="rId181"/>
          <w:pgSz w:w="11910" w:h="16840"/>
          <w:pgMar w:header="0" w:footer="0" w:top="1180" w:bottom="280" w:left="0" w:right="0"/>
        </w:sectPr>
      </w:pPr>
    </w:p>
    <w:p>
      <w:pPr>
        <w:pStyle w:val="ListParagraph"/>
        <w:numPr>
          <w:ilvl w:val="2"/>
          <w:numId w:val="66"/>
        </w:numPr>
        <w:tabs>
          <w:tab w:pos="1814" w:val="left" w:leader="none"/>
          <w:tab w:pos="1815" w:val="left" w:leader="none"/>
        </w:tabs>
        <w:spacing w:line="235" w:lineRule="auto" w:before="107" w:after="0"/>
        <w:ind w:left="1133" w:right="2167" w:firstLine="0"/>
        <w:jc w:val="left"/>
        <w:rPr>
          <w:sz w:val="20"/>
        </w:rPr>
      </w:pPr>
      <w:r>
        <w:rPr/>
        <w:pict>
          <v:rect style="position:absolute;margin-left:12.047pt;margin-top:8.477343pt;width:22.677pt;height:22.677pt;mso-position-horizontal-relative:page;mso-position-vertical-relative:paragraph;z-index:251881472" filled="true" fillcolor="#f9e9c1" stroked="false">
            <v:fill opacity="32768f" type="solid"/>
            <w10:wrap type="none"/>
          </v:rect>
        </w:pict>
      </w:r>
      <w:r>
        <w:rPr>
          <w:w w:val="120"/>
          <w:sz w:val="20"/>
        </w:rPr>
        <w:t>It was agreed that Mission Council will in future, on an agreed cycle, receive and decide upon </w:t>
      </w:r>
      <w:r>
        <w:rPr>
          <w:spacing w:val="2"/>
          <w:w w:val="120"/>
          <w:sz w:val="20"/>
        </w:rPr>
        <w:t>reports </w:t>
      </w:r>
      <w:r>
        <w:rPr>
          <w:w w:val="120"/>
          <w:sz w:val="20"/>
        </w:rPr>
        <w:t>and resolutions from all Assembly Standing Committees, synods, and (particularly in relation to legal and disciplinary matters) the Clerk. Mission Council will receive the complete list of nominations from Nominations Committee, but the election of Moderators of Assembly, Clerks of Assembly and Directors of the United Reformed Church Trust will remain with the General Assembly. Where proposals to change the Basis and Structure of the United Reformed Church or other constitutional changes currently require two votes in General Assembly, Mission Council will be able to act once on General Assembly’s behalf. Proposed changes will require a two thirds majority, whichever way round first and second votes are taken. Mission Council will share responsibility for hearing appeals with General</w:t>
      </w:r>
      <w:r>
        <w:rPr>
          <w:spacing w:val="14"/>
          <w:w w:val="120"/>
          <w:sz w:val="20"/>
        </w:rPr>
        <w:t> </w:t>
      </w:r>
      <w:r>
        <w:rPr>
          <w:w w:val="120"/>
          <w:sz w:val="20"/>
        </w:rPr>
        <w:t>Assembly.</w:t>
      </w:r>
    </w:p>
    <w:p>
      <w:pPr>
        <w:pStyle w:val="BodyText"/>
        <w:spacing w:before="4"/>
      </w:pPr>
    </w:p>
    <w:p>
      <w:pPr>
        <w:pStyle w:val="ListParagraph"/>
        <w:numPr>
          <w:ilvl w:val="2"/>
          <w:numId w:val="66"/>
        </w:numPr>
        <w:tabs>
          <w:tab w:pos="1814" w:val="left" w:leader="none"/>
          <w:tab w:pos="1815" w:val="left" w:leader="none"/>
        </w:tabs>
        <w:spacing w:line="235" w:lineRule="auto" w:before="0" w:after="0"/>
        <w:ind w:left="1133" w:right="2327" w:firstLine="0"/>
        <w:jc w:val="left"/>
        <w:rPr>
          <w:sz w:val="20"/>
        </w:rPr>
      </w:pPr>
      <w:r>
        <w:rPr>
          <w:w w:val="120"/>
          <w:sz w:val="20"/>
        </w:rPr>
        <w:t>Simply for purposes of cross-reference, General Assembly will remain the place where Moderators and Clerks of General Assembly and Directors of the URC</w:t>
      </w:r>
      <w:r>
        <w:rPr>
          <w:spacing w:val="43"/>
          <w:w w:val="120"/>
          <w:sz w:val="20"/>
        </w:rPr>
        <w:t> </w:t>
      </w:r>
      <w:r>
        <w:rPr>
          <w:w w:val="120"/>
          <w:sz w:val="20"/>
        </w:rPr>
        <w:t>Trust</w:t>
      </w:r>
    </w:p>
    <w:p>
      <w:pPr>
        <w:pStyle w:val="BodyText"/>
        <w:spacing w:line="235" w:lineRule="auto" w:before="1"/>
        <w:ind w:left="1133" w:right="2394"/>
      </w:pPr>
      <w:r>
        <w:rPr>
          <w:w w:val="120"/>
        </w:rPr>
        <w:t>are elected; closure of churches and admissions of new churches are marked, and representatives of new churches are received; ministerial jubilees are recognised and all ministers who have died since the previous General Assembly are remembered; newly ordained ministers and newly commissioned CRCWs are received; all Assembly Standing Committees report in writing; the General Secretary reports on the work of</w:t>
      </w:r>
    </w:p>
    <w:p>
      <w:pPr>
        <w:pStyle w:val="BodyText"/>
        <w:spacing w:line="235" w:lineRule="auto" w:before="4"/>
        <w:ind w:left="1133" w:right="1997"/>
      </w:pPr>
      <w:r>
        <w:rPr>
          <w:w w:val="120"/>
        </w:rPr>
        <w:t>the Disciplinary Process; and all appeals which have to be taken to General Assembly are heard or referred to a Commission.</w:t>
      </w:r>
    </w:p>
    <w:p>
      <w:pPr>
        <w:numPr>
          <w:ilvl w:val="1"/>
          <w:numId w:val="66"/>
        </w:numPr>
        <w:tabs>
          <w:tab w:pos="1853" w:val="left" w:leader="none"/>
          <w:tab w:pos="1854" w:val="left" w:leader="none"/>
        </w:tabs>
        <w:spacing w:before="215"/>
        <w:ind w:left="1853" w:right="0" w:hanging="721"/>
        <w:jc w:val="left"/>
        <w:rPr>
          <w:rFonts w:ascii="Stone Sans II ITC Std Bk"/>
          <w:b/>
          <w:sz w:val="21"/>
        </w:rPr>
      </w:pPr>
      <w:r>
        <w:rPr>
          <w:rFonts w:ascii="Stone Sans II ITC Std Bk"/>
          <w:b/>
          <w:w w:val="115"/>
          <w:sz w:val="21"/>
        </w:rPr>
        <w:t>Actions taken on behalf of General</w:t>
      </w:r>
      <w:r>
        <w:rPr>
          <w:rFonts w:ascii="Stone Sans II ITC Std Bk"/>
          <w:b/>
          <w:spacing w:val="-10"/>
          <w:w w:val="115"/>
          <w:sz w:val="21"/>
        </w:rPr>
        <w:t> </w:t>
      </w:r>
      <w:r>
        <w:rPr>
          <w:rFonts w:ascii="Stone Sans II ITC Std Bk"/>
          <w:b/>
          <w:w w:val="115"/>
          <w:sz w:val="21"/>
        </w:rPr>
        <w:t>Assembly</w:t>
      </w:r>
    </w:p>
    <w:p>
      <w:pPr>
        <w:pStyle w:val="ListParagraph"/>
        <w:numPr>
          <w:ilvl w:val="2"/>
          <w:numId w:val="66"/>
        </w:numPr>
        <w:tabs>
          <w:tab w:pos="1814" w:val="left" w:leader="none"/>
          <w:tab w:pos="1815" w:val="left" w:leader="none"/>
        </w:tabs>
        <w:spacing w:line="240" w:lineRule="auto" w:before="219" w:after="0"/>
        <w:ind w:left="1814" w:right="0" w:hanging="682"/>
        <w:jc w:val="left"/>
        <w:rPr>
          <w:sz w:val="20"/>
        </w:rPr>
      </w:pPr>
      <w:r>
        <w:rPr>
          <w:w w:val="125"/>
          <w:sz w:val="20"/>
        </w:rPr>
        <w:t>December</w:t>
      </w:r>
      <w:r>
        <w:rPr>
          <w:spacing w:val="-1"/>
          <w:w w:val="125"/>
          <w:sz w:val="20"/>
        </w:rPr>
        <w:t> </w:t>
      </w:r>
      <w:r>
        <w:rPr>
          <w:w w:val="125"/>
          <w:sz w:val="20"/>
        </w:rPr>
        <w:t>2008</w:t>
      </w:r>
    </w:p>
    <w:p>
      <w:pPr>
        <w:pStyle w:val="BodyText"/>
        <w:spacing w:before="8"/>
        <w:rPr>
          <w:sz w:val="19"/>
        </w:rPr>
      </w:pPr>
    </w:p>
    <w:p>
      <w:pPr>
        <w:pStyle w:val="ListParagraph"/>
        <w:numPr>
          <w:ilvl w:val="3"/>
          <w:numId w:val="66"/>
        </w:numPr>
        <w:tabs>
          <w:tab w:pos="1814" w:val="left" w:leader="none"/>
          <w:tab w:pos="1815" w:val="left" w:leader="none"/>
        </w:tabs>
        <w:spacing w:line="235" w:lineRule="auto" w:before="0" w:after="0"/>
        <w:ind w:left="1133" w:right="2012" w:firstLine="0"/>
        <w:jc w:val="left"/>
        <w:rPr>
          <w:sz w:val="20"/>
        </w:rPr>
      </w:pPr>
      <w:r>
        <w:rPr>
          <w:w w:val="120"/>
          <w:sz w:val="20"/>
        </w:rPr>
        <w:t>Mission Council appointed the Revd Richard Mortimer as Deputy General Secretary from </w:t>
      </w:r>
      <w:r>
        <w:rPr>
          <w:spacing w:val="-4"/>
          <w:w w:val="120"/>
          <w:sz w:val="20"/>
        </w:rPr>
        <w:t>1</w:t>
      </w:r>
      <w:r>
        <w:rPr>
          <w:spacing w:val="-4"/>
          <w:w w:val="120"/>
          <w:position w:val="7"/>
          <w:sz w:val="11"/>
        </w:rPr>
        <w:t>st </w:t>
      </w:r>
      <w:r>
        <w:rPr>
          <w:w w:val="120"/>
          <w:sz w:val="20"/>
        </w:rPr>
        <w:t>January 2009 until </w:t>
      </w:r>
      <w:r>
        <w:rPr>
          <w:spacing w:val="-6"/>
          <w:w w:val="120"/>
          <w:sz w:val="20"/>
        </w:rPr>
        <w:t>31</w:t>
      </w:r>
      <w:r>
        <w:rPr>
          <w:spacing w:val="-6"/>
          <w:w w:val="120"/>
          <w:position w:val="7"/>
          <w:sz w:val="11"/>
        </w:rPr>
        <w:t>st </w:t>
      </w:r>
      <w:r>
        <w:rPr>
          <w:w w:val="120"/>
          <w:sz w:val="20"/>
        </w:rPr>
        <w:t>December </w:t>
      </w:r>
      <w:r>
        <w:rPr>
          <w:spacing w:val="-7"/>
          <w:w w:val="120"/>
          <w:sz w:val="20"/>
        </w:rPr>
        <w:t>2015. </w:t>
      </w:r>
      <w:r>
        <w:rPr>
          <w:w w:val="120"/>
          <w:sz w:val="20"/>
        </w:rPr>
        <w:t>It also agreed to the continuation of the posts of </w:t>
      </w:r>
      <w:r>
        <w:rPr>
          <w:spacing w:val="-3"/>
          <w:w w:val="120"/>
          <w:sz w:val="20"/>
        </w:rPr>
        <w:t>Youth </w:t>
      </w:r>
      <w:r>
        <w:rPr>
          <w:w w:val="120"/>
          <w:sz w:val="20"/>
        </w:rPr>
        <w:t>Work Development Officer and Children’s Work Development Officer and confirmed Mr John Brown in the former post and Ms Jo Williams in the latter, both on open contracts. It further agreed that MCAG should appoint the Secretary for World Relations on the recommendation of the nominating group.</w:t>
      </w:r>
      <w:r>
        <w:rPr>
          <w:spacing w:val="6"/>
          <w:w w:val="120"/>
          <w:sz w:val="20"/>
        </w:rPr>
        <w:t> </w:t>
      </w:r>
      <w:r>
        <w:rPr>
          <w:w w:val="120"/>
          <w:sz w:val="20"/>
        </w:rPr>
        <w:t>The</w:t>
      </w:r>
      <w:r>
        <w:rPr>
          <w:spacing w:val="6"/>
          <w:w w:val="120"/>
          <w:sz w:val="20"/>
        </w:rPr>
        <w:t> </w:t>
      </w:r>
      <w:r>
        <w:rPr>
          <w:w w:val="120"/>
          <w:sz w:val="20"/>
        </w:rPr>
        <w:t>appointment</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Revd</w:t>
      </w:r>
      <w:r>
        <w:rPr>
          <w:spacing w:val="6"/>
          <w:w w:val="120"/>
          <w:sz w:val="20"/>
        </w:rPr>
        <w:t> </w:t>
      </w:r>
      <w:r>
        <w:rPr>
          <w:w w:val="120"/>
          <w:sz w:val="20"/>
        </w:rPr>
        <w:t>Jane</w:t>
      </w:r>
      <w:r>
        <w:rPr>
          <w:spacing w:val="6"/>
          <w:w w:val="120"/>
          <w:sz w:val="20"/>
        </w:rPr>
        <w:t> </w:t>
      </w:r>
      <w:r>
        <w:rPr>
          <w:w w:val="120"/>
          <w:sz w:val="20"/>
        </w:rPr>
        <w:t>Rowell</w:t>
      </w:r>
      <w:r>
        <w:rPr>
          <w:spacing w:val="6"/>
          <w:w w:val="120"/>
          <w:sz w:val="20"/>
        </w:rPr>
        <w:t> </w:t>
      </w:r>
      <w:r>
        <w:rPr>
          <w:w w:val="120"/>
          <w:sz w:val="20"/>
        </w:rPr>
        <w:t>was</w:t>
      </w:r>
      <w:r>
        <w:rPr>
          <w:spacing w:val="6"/>
          <w:w w:val="120"/>
          <w:sz w:val="20"/>
        </w:rPr>
        <w:t> </w:t>
      </w:r>
      <w:r>
        <w:rPr>
          <w:w w:val="120"/>
          <w:sz w:val="20"/>
        </w:rPr>
        <w:t>reported</w:t>
      </w:r>
      <w:r>
        <w:rPr>
          <w:spacing w:val="6"/>
          <w:w w:val="120"/>
          <w:sz w:val="20"/>
        </w:rPr>
        <w:t> </w:t>
      </w:r>
      <w:r>
        <w:rPr>
          <w:w w:val="120"/>
          <w:sz w:val="20"/>
        </w:rPr>
        <w:t>to</w:t>
      </w:r>
      <w:r>
        <w:rPr>
          <w:spacing w:val="6"/>
          <w:w w:val="120"/>
          <w:sz w:val="20"/>
        </w:rPr>
        <w:t> </w:t>
      </w:r>
      <w:r>
        <w:rPr>
          <w:w w:val="120"/>
          <w:sz w:val="20"/>
        </w:rPr>
        <w:t>the</w:t>
      </w:r>
      <w:r>
        <w:rPr>
          <w:spacing w:val="6"/>
          <w:w w:val="120"/>
          <w:sz w:val="20"/>
        </w:rPr>
        <w:t> </w:t>
      </w:r>
      <w:r>
        <w:rPr>
          <w:w w:val="120"/>
          <w:sz w:val="20"/>
        </w:rPr>
        <w:t>following</w:t>
      </w:r>
      <w:r>
        <w:rPr>
          <w:spacing w:val="6"/>
          <w:w w:val="120"/>
          <w:sz w:val="20"/>
        </w:rPr>
        <w:t> </w:t>
      </w:r>
      <w:r>
        <w:rPr>
          <w:w w:val="120"/>
          <w:sz w:val="20"/>
        </w:rPr>
        <w:t>Meeting.</w:t>
      </w:r>
    </w:p>
    <w:p>
      <w:pPr>
        <w:pStyle w:val="BodyText"/>
        <w:spacing w:before="1"/>
      </w:pPr>
    </w:p>
    <w:p>
      <w:pPr>
        <w:pStyle w:val="ListParagraph"/>
        <w:numPr>
          <w:ilvl w:val="3"/>
          <w:numId w:val="66"/>
        </w:numPr>
        <w:tabs>
          <w:tab w:pos="1814" w:val="left" w:leader="none"/>
          <w:tab w:pos="1815" w:val="left" w:leader="none"/>
        </w:tabs>
        <w:spacing w:line="235" w:lineRule="auto" w:before="0" w:after="0"/>
        <w:ind w:left="1133" w:right="1993" w:firstLine="0"/>
        <w:jc w:val="left"/>
        <w:rPr>
          <w:sz w:val="20"/>
        </w:rPr>
      </w:pPr>
      <w:r>
        <w:rPr>
          <w:w w:val="120"/>
          <w:sz w:val="20"/>
        </w:rPr>
        <w:t>Mission Council agreed that the level of the basic ministerial stipend should be set annually by agreement between the Finance Committee and the URC Trust and reported to Mission Council. In the event that the URC Trust was unable to endorse the Finance Committee’s recommendation, the decision would revert to Mission</w:t>
      </w:r>
      <w:r>
        <w:rPr>
          <w:spacing w:val="28"/>
          <w:w w:val="120"/>
          <w:sz w:val="20"/>
        </w:rPr>
        <w:t> </w:t>
      </w:r>
      <w:r>
        <w:rPr>
          <w:w w:val="120"/>
          <w:sz w:val="20"/>
        </w:rPr>
        <w:t>Council.</w:t>
      </w:r>
    </w:p>
    <w:p>
      <w:pPr>
        <w:pStyle w:val="BodyText"/>
        <w:spacing w:before="11"/>
        <w:rPr>
          <w:sz w:val="19"/>
        </w:rPr>
      </w:pPr>
    </w:p>
    <w:p>
      <w:pPr>
        <w:pStyle w:val="ListParagraph"/>
        <w:numPr>
          <w:ilvl w:val="3"/>
          <w:numId w:val="66"/>
        </w:numPr>
        <w:tabs>
          <w:tab w:pos="1814" w:val="left" w:leader="none"/>
          <w:tab w:pos="1815" w:val="left" w:leader="none"/>
        </w:tabs>
        <w:spacing w:line="235" w:lineRule="auto" w:before="0" w:after="0"/>
        <w:ind w:left="1133" w:right="2458" w:firstLine="0"/>
        <w:jc w:val="left"/>
        <w:rPr>
          <w:i/>
          <w:sz w:val="20"/>
        </w:rPr>
      </w:pPr>
      <w:r>
        <w:rPr>
          <w:w w:val="120"/>
          <w:sz w:val="20"/>
        </w:rPr>
        <w:t>Mission Council resolved that the following notice be included in the Scheme document of the Rules of the United Reformed Church Ministers’ Pension Fund.   </w:t>
      </w:r>
      <w:r>
        <w:rPr>
          <w:i/>
          <w:w w:val="115"/>
          <w:sz w:val="20"/>
        </w:rPr>
        <w:t>(The</w:t>
      </w:r>
      <w:r>
        <w:rPr>
          <w:i/>
          <w:spacing w:val="-16"/>
          <w:w w:val="115"/>
          <w:sz w:val="20"/>
        </w:rPr>
        <w:t> </w:t>
      </w:r>
      <w:r>
        <w:rPr>
          <w:i/>
          <w:w w:val="115"/>
          <w:sz w:val="20"/>
        </w:rPr>
        <w:t>Trustees</w:t>
      </w:r>
      <w:r>
        <w:rPr>
          <w:i/>
          <w:spacing w:val="-15"/>
          <w:w w:val="115"/>
          <w:sz w:val="20"/>
        </w:rPr>
        <w:t> </w:t>
      </w:r>
      <w:r>
        <w:rPr>
          <w:i/>
          <w:w w:val="115"/>
          <w:sz w:val="20"/>
        </w:rPr>
        <w:t>resolve,</w:t>
      </w:r>
      <w:r>
        <w:rPr>
          <w:i/>
          <w:spacing w:val="-15"/>
          <w:w w:val="115"/>
          <w:sz w:val="20"/>
        </w:rPr>
        <w:t> </w:t>
      </w:r>
      <w:r>
        <w:rPr>
          <w:i/>
          <w:w w:val="115"/>
          <w:sz w:val="20"/>
        </w:rPr>
        <w:t>and</w:t>
      </w:r>
      <w:r>
        <w:rPr>
          <w:i/>
          <w:spacing w:val="-15"/>
          <w:w w:val="115"/>
          <w:sz w:val="20"/>
        </w:rPr>
        <w:t> </w:t>
      </w:r>
      <w:r>
        <w:rPr>
          <w:i/>
          <w:w w:val="115"/>
          <w:sz w:val="20"/>
        </w:rPr>
        <w:t>the</w:t>
      </w:r>
      <w:r>
        <w:rPr>
          <w:i/>
          <w:spacing w:val="-15"/>
          <w:w w:val="115"/>
          <w:sz w:val="20"/>
        </w:rPr>
        <w:t> </w:t>
      </w:r>
      <w:r>
        <w:rPr>
          <w:i/>
          <w:w w:val="115"/>
          <w:sz w:val="20"/>
        </w:rPr>
        <w:t>United</w:t>
      </w:r>
      <w:r>
        <w:rPr>
          <w:i/>
          <w:spacing w:val="-16"/>
          <w:w w:val="115"/>
          <w:sz w:val="20"/>
        </w:rPr>
        <w:t> </w:t>
      </w:r>
      <w:r>
        <w:rPr>
          <w:i/>
          <w:w w:val="115"/>
          <w:sz w:val="20"/>
        </w:rPr>
        <w:t>Reformed</w:t>
      </w:r>
      <w:r>
        <w:rPr>
          <w:i/>
          <w:spacing w:val="-15"/>
          <w:w w:val="115"/>
          <w:sz w:val="20"/>
        </w:rPr>
        <w:t> </w:t>
      </w:r>
      <w:r>
        <w:rPr>
          <w:i/>
          <w:w w:val="115"/>
          <w:sz w:val="20"/>
        </w:rPr>
        <w:t>Church</w:t>
      </w:r>
      <w:r>
        <w:rPr>
          <w:i/>
          <w:spacing w:val="-15"/>
          <w:w w:val="115"/>
          <w:sz w:val="20"/>
        </w:rPr>
        <w:t> </w:t>
      </w:r>
      <w:r>
        <w:rPr>
          <w:i/>
          <w:w w:val="115"/>
          <w:sz w:val="20"/>
        </w:rPr>
        <w:t>acting</w:t>
      </w:r>
      <w:r>
        <w:rPr>
          <w:i/>
          <w:spacing w:val="-15"/>
          <w:w w:val="115"/>
          <w:sz w:val="20"/>
        </w:rPr>
        <w:t> </w:t>
      </w:r>
      <w:r>
        <w:rPr>
          <w:i/>
          <w:w w:val="115"/>
          <w:sz w:val="20"/>
        </w:rPr>
        <w:t>in</w:t>
      </w:r>
      <w:r>
        <w:rPr>
          <w:i/>
          <w:spacing w:val="-15"/>
          <w:w w:val="115"/>
          <w:sz w:val="20"/>
        </w:rPr>
        <w:t> </w:t>
      </w:r>
      <w:r>
        <w:rPr>
          <w:i/>
          <w:w w:val="115"/>
          <w:sz w:val="20"/>
        </w:rPr>
        <w:t>General</w:t>
      </w:r>
      <w:r>
        <w:rPr>
          <w:i/>
          <w:spacing w:val="-15"/>
          <w:w w:val="115"/>
          <w:sz w:val="20"/>
        </w:rPr>
        <w:t> </w:t>
      </w:r>
      <w:r>
        <w:rPr>
          <w:i/>
          <w:w w:val="115"/>
          <w:sz w:val="20"/>
        </w:rPr>
        <w:t>Assembly</w:t>
      </w:r>
      <w:r>
        <w:rPr>
          <w:i/>
          <w:spacing w:val="-16"/>
          <w:w w:val="115"/>
          <w:sz w:val="20"/>
        </w:rPr>
        <w:t> </w:t>
      </w:r>
      <w:r>
        <w:rPr>
          <w:i/>
          <w:w w:val="115"/>
          <w:sz w:val="20"/>
        </w:rPr>
        <w:t>agrees,</w:t>
      </w:r>
    </w:p>
    <w:p>
      <w:pPr>
        <w:spacing w:line="235" w:lineRule="auto" w:before="2"/>
        <w:ind w:left="1133" w:right="2263" w:firstLine="0"/>
        <w:jc w:val="left"/>
        <w:rPr>
          <w:i/>
          <w:sz w:val="20"/>
        </w:rPr>
      </w:pPr>
      <w:r>
        <w:rPr>
          <w:i/>
          <w:w w:val="110"/>
          <w:sz w:val="20"/>
        </w:rPr>
        <w:t>that the rules of the Fund shall be deemed to be, and they are </w:t>
      </w:r>
      <w:r>
        <w:rPr>
          <w:i/>
          <w:spacing w:val="-3"/>
          <w:w w:val="110"/>
          <w:sz w:val="20"/>
        </w:rPr>
        <w:t>hereby, </w:t>
      </w:r>
      <w:r>
        <w:rPr>
          <w:i/>
          <w:w w:val="110"/>
          <w:sz w:val="20"/>
        </w:rPr>
        <w:t>modified with effect from </w:t>
      </w:r>
      <w:r>
        <w:rPr>
          <w:i/>
          <w:w w:val="110"/>
          <w:sz w:val="20"/>
        </w:rPr>
        <w:t>6</w:t>
      </w:r>
      <w:r>
        <w:rPr>
          <w:i/>
          <w:w w:val="110"/>
          <w:position w:val="7"/>
          <w:sz w:val="11"/>
        </w:rPr>
        <w:t>th   </w:t>
      </w:r>
      <w:r>
        <w:rPr>
          <w:i/>
          <w:w w:val="110"/>
          <w:sz w:val="20"/>
        </w:rPr>
        <w:t>April 2006: in a manner which has the same effect as all of the modifications in regulations     3 to 8 of the HMRC Transitional Regulations but without limitation to the transitional period mentioned in those Regulations and subject to the ‘General Finance Act 2004 amendments’ already made to the fund with effect from 6</w:t>
      </w:r>
      <w:r>
        <w:rPr>
          <w:i/>
          <w:w w:val="110"/>
          <w:position w:val="7"/>
          <w:sz w:val="11"/>
        </w:rPr>
        <w:t>th </w:t>
      </w:r>
      <w:r>
        <w:rPr>
          <w:i/>
          <w:w w:val="110"/>
          <w:sz w:val="20"/>
        </w:rPr>
        <w:t>April 2006 by Resolution 3 passed at General Assembly at their meeting of </w:t>
      </w:r>
      <w:r>
        <w:rPr>
          <w:i/>
          <w:spacing w:val="-5"/>
          <w:w w:val="110"/>
          <w:sz w:val="20"/>
        </w:rPr>
        <w:t>1</w:t>
      </w:r>
      <w:r>
        <w:rPr>
          <w:i/>
          <w:spacing w:val="-5"/>
          <w:w w:val="110"/>
          <w:position w:val="7"/>
          <w:sz w:val="11"/>
        </w:rPr>
        <w:t>st </w:t>
      </w:r>
      <w:r>
        <w:rPr>
          <w:i/>
          <w:w w:val="110"/>
          <w:sz w:val="20"/>
        </w:rPr>
        <w:t>July 2006: and so that the HMRC Transitional Regulations no longer apply in relation to the Scheme with effect from 6</w:t>
      </w:r>
      <w:r>
        <w:rPr>
          <w:i/>
          <w:w w:val="110"/>
          <w:position w:val="7"/>
          <w:sz w:val="11"/>
        </w:rPr>
        <w:t>th  </w:t>
      </w:r>
      <w:r>
        <w:rPr>
          <w:i/>
          <w:w w:val="110"/>
          <w:sz w:val="20"/>
        </w:rPr>
        <w:t>April 2006 ‘Transitional period’ has   the meaning given to it in the HMRC Transitional</w:t>
      </w:r>
      <w:r>
        <w:rPr>
          <w:i/>
          <w:spacing w:val="42"/>
          <w:w w:val="110"/>
          <w:sz w:val="20"/>
        </w:rPr>
        <w:t> </w:t>
      </w:r>
      <w:r>
        <w:rPr>
          <w:i/>
          <w:w w:val="110"/>
          <w:sz w:val="20"/>
        </w:rPr>
        <w:t>Regulations.)</w:t>
      </w:r>
    </w:p>
    <w:p>
      <w:pPr>
        <w:pStyle w:val="BodyText"/>
        <w:spacing w:before="2"/>
        <w:rPr>
          <w:i/>
        </w:rPr>
      </w:pPr>
    </w:p>
    <w:p>
      <w:pPr>
        <w:pStyle w:val="ListParagraph"/>
        <w:numPr>
          <w:ilvl w:val="3"/>
          <w:numId w:val="66"/>
        </w:numPr>
        <w:tabs>
          <w:tab w:pos="1814" w:val="left" w:leader="none"/>
          <w:tab w:pos="1815" w:val="left" w:leader="none"/>
        </w:tabs>
        <w:spacing w:line="235" w:lineRule="auto" w:before="0" w:after="0"/>
        <w:ind w:left="1133" w:right="2413" w:firstLine="0"/>
        <w:jc w:val="left"/>
        <w:rPr>
          <w:sz w:val="20"/>
        </w:rPr>
      </w:pPr>
      <w:r>
        <w:rPr>
          <w:w w:val="120"/>
          <w:sz w:val="20"/>
        </w:rPr>
        <w:t>Mission Council amended the Rules of the United Reformed Church Ministers’ Pension Fund, with effect from 3</w:t>
      </w:r>
      <w:r>
        <w:rPr>
          <w:w w:val="120"/>
          <w:position w:val="7"/>
          <w:sz w:val="11"/>
        </w:rPr>
        <w:t>rd </w:t>
      </w:r>
      <w:r>
        <w:rPr>
          <w:w w:val="120"/>
          <w:sz w:val="20"/>
        </w:rPr>
        <w:t>December 2008. (Annexe</w:t>
      </w:r>
      <w:r>
        <w:rPr>
          <w:spacing w:val="27"/>
          <w:w w:val="120"/>
          <w:sz w:val="20"/>
        </w:rPr>
        <w:t> </w:t>
      </w:r>
      <w:r>
        <w:rPr>
          <w:spacing w:val="-10"/>
          <w:w w:val="120"/>
          <w:sz w:val="20"/>
        </w:rPr>
        <w:t>1)</w:t>
      </w:r>
    </w:p>
    <w:p>
      <w:pPr>
        <w:pStyle w:val="BodyText"/>
        <w:spacing w:before="9"/>
        <w:rPr>
          <w:sz w:val="19"/>
        </w:rPr>
      </w:pPr>
    </w:p>
    <w:p>
      <w:pPr>
        <w:pStyle w:val="ListParagraph"/>
        <w:numPr>
          <w:ilvl w:val="3"/>
          <w:numId w:val="66"/>
        </w:numPr>
        <w:tabs>
          <w:tab w:pos="1813" w:val="left" w:leader="none"/>
          <w:tab w:pos="1814" w:val="left" w:leader="none"/>
        </w:tabs>
        <w:spacing w:line="235" w:lineRule="auto" w:before="1" w:after="0"/>
        <w:ind w:left="1133" w:right="2169" w:firstLine="0"/>
        <w:jc w:val="left"/>
        <w:rPr>
          <w:sz w:val="20"/>
        </w:rPr>
      </w:pPr>
      <w:r>
        <w:rPr>
          <w:w w:val="120"/>
          <w:sz w:val="20"/>
        </w:rPr>
        <w:t>Mission Council agreed changes to Part II of Section O </w:t>
      </w:r>
      <w:r>
        <w:rPr>
          <w:spacing w:val="-3"/>
          <w:w w:val="120"/>
          <w:sz w:val="20"/>
        </w:rPr>
        <w:t>(the </w:t>
      </w:r>
      <w:r>
        <w:rPr>
          <w:w w:val="120"/>
          <w:sz w:val="20"/>
        </w:rPr>
        <w:t>process for dealing with cases of discipline involving ministers and church related community workers) and Part II of Section P (Incapacity Procedure) of the</w:t>
      </w:r>
      <w:r>
        <w:rPr>
          <w:spacing w:val="16"/>
          <w:w w:val="120"/>
          <w:sz w:val="20"/>
        </w:rPr>
        <w:t> </w:t>
      </w:r>
      <w:r>
        <w:rPr>
          <w:w w:val="120"/>
          <w:sz w:val="20"/>
        </w:rPr>
        <w:t>Manual.</w:t>
      </w:r>
    </w:p>
    <w:p>
      <w:pPr>
        <w:pStyle w:val="BodyText"/>
        <w:spacing w:line="242" w:lineRule="exact"/>
        <w:ind w:left="1133"/>
      </w:pPr>
      <w:r>
        <w:rPr>
          <w:w w:val="120"/>
        </w:rPr>
        <w:t>(Annexes 4a and 4b respectively)</w:t>
      </w:r>
    </w:p>
    <w:p>
      <w:pPr>
        <w:spacing w:after="0" w:line="242" w:lineRule="exact"/>
        <w:sectPr>
          <w:headerReference w:type="even" r:id="rId182"/>
          <w:headerReference w:type="default" r:id="rId183"/>
          <w:footerReference w:type="even" r:id="rId184"/>
          <w:footerReference w:type="default" r:id="rId185"/>
          <w:pgSz w:w="11910" w:h="16840"/>
          <w:pgMar w:header="0" w:footer="647" w:top="1060" w:bottom="840" w:left="0" w:right="0"/>
          <w:pgNumType w:start="50"/>
        </w:sectPr>
      </w:pPr>
    </w:p>
    <w:p>
      <w:pPr>
        <w:pStyle w:val="BodyText"/>
        <w:tabs>
          <w:tab w:pos="2513" w:val="left" w:leader="none"/>
        </w:tabs>
        <w:spacing w:before="90"/>
        <w:ind w:left="1833"/>
      </w:pPr>
      <w:r>
        <w:rPr/>
        <w:pict>
          <v:rect style="position:absolute;margin-left:558.424988pt;margin-top:8.643772pt;width:22.677pt;height:22.677pt;mso-position-horizontal-relative:page;mso-position-vertical-relative:paragraph;z-index:251882496" filled="true" fillcolor="#f9e9c1" stroked="false">
            <v:fill opacity="32768f" type="solid"/>
            <w10:wrap type="none"/>
          </v:rect>
        </w:pict>
      </w:r>
      <w:r>
        <w:rPr>
          <w:w w:val="125"/>
        </w:rPr>
        <w:t>2.2</w:t>
        <w:tab/>
        <w:t>May</w:t>
      </w:r>
      <w:r>
        <w:rPr>
          <w:spacing w:val="-1"/>
          <w:w w:val="125"/>
        </w:rPr>
        <w:t> </w:t>
      </w:r>
      <w:r>
        <w:rPr>
          <w:w w:val="125"/>
        </w:rPr>
        <w:t>2009</w:t>
      </w:r>
    </w:p>
    <w:p>
      <w:pPr>
        <w:pStyle w:val="BodyText"/>
        <w:spacing w:before="3"/>
        <w:rPr>
          <w:sz w:val="19"/>
        </w:rPr>
      </w:pPr>
    </w:p>
    <w:p>
      <w:pPr>
        <w:pStyle w:val="ListParagraph"/>
        <w:numPr>
          <w:ilvl w:val="2"/>
          <w:numId w:val="67"/>
        </w:numPr>
        <w:tabs>
          <w:tab w:pos="2514" w:val="left" w:leader="none"/>
        </w:tabs>
        <w:spacing w:line="240" w:lineRule="auto" w:before="1" w:after="0"/>
        <w:ind w:left="2513" w:right="0" w:hanging="681"/>
        <w:jc w:val="left"/>
        <w:rPr>
          <w:sz w:val="20"/>
        </w:rPr>
      </w:pPr>
      <w:r>
        <w:rPr>
          <w:w w:val="120"/>
          <w:sz w:val="20"/>
        </w:rPr>
        <w:t>Mission Council appointed committees and representatives of the</w:t>
      </w:r>
      <w:r>
        <w:rPr>
          <w:spacing w:val="21"/>
          <w:w w:val="120"/>
          <w:sz w:val="20"/>
        </w:rPr>
        <w:t> </w:t>
      </w:r>
      <w:r>
        <w:rPr>
          <w:w w:val="120"/>
          <w:sz w:val="20"/>
        </w:rPr>
        <w:t>Church.</w:t>
      </w:r>
    </w:p>
    <w:p>
      <w:pPr>
        <w:pStyle w:val="BodyText"/>
        <w:spacing w:before="7"/>
        <w:rPr>
          <w:sz w:val="19"/>
        </w:rPr>
      </w:pPr>
    </w:p>
    <w:p>
      <w:pPr>
        <w:pStyle w:val="ListParagraph"/>
        <w:numPr>
          <w:ilvl w:val="2"/>
          <w:numId w:val="67"/>
        </w:numPr>
        <w:tabs>
          <w:tab w:pos="2514" w:val="left" w:leader="none"/>
        </w:tabs>
        <w:spacing w:line="235" w:lineRule="auto" w:before="0" w:after="0"/>
        <w:ind w:left="1833" w:right="1359" w:firstLine="0"/>
        <w:jc w:val="left"/>
        <w:rPr>
          <w:sz w:val="20"/>
        </w:rPr>
      </w:pPr>
      <w:r>
        <w:rPr>
          <w:w w:val="120"/>
          <w:sz w:val="20"/>
        </w:rPr>
        <w:t>Mission Council appointed the Revd David </w:t>
      </w:r>
      <w:r>
        <w:rPr>
          <w:spacing w:val="-4"/>
          <w:w w:val="120"/>
          <w:sz w:val="20"/>
        </w:rPr>
        <w:t>Tatem </w:t>
      </w:r>
      <w:r>
        <w:rPr>
          <w:w w:val="120"/>
          <w:sz w:val="20"/>
        </w:rPr>
        <w:t>to the post of Secretary for Ecumenical Relations from </w:t>
      </w:r>
      <w:r>
        <w:rPr>
          <w:spacing w:val="-4"/>
          <w:w w:val="120"/>
          <w:sz w:val="20"/>
        </w:rPr>
        <w:t>1</w:t>
      </w:r>
      <w:r>
        <w:rPr>
          <w:spacing w:val="-4"/>
          <w:w w:val="120"/>
          <w:position w:val="7"/>
          <w:sz w:val="11"/>
        </w:rPr>
        <w:t>st </w:t>
      </w:r>
      <w:r>
        <w:rPr>
          <w:w w:val="120"/>
          <w:sz w:val="20"/>
        </w:rPr>
        <w:t>July 2009 until 30</w:t>
      </w:r>
      <w:r>
        <w:rPr>
          <w:w w:val="120"/>
          <w:position w:val="7"/>
          <w:sz w:val="11"/>
        </w:rPr>
        <w:t>th </w:t>
      </w:r>
      <w:r>
        <w:rPr>
          <w:w w:val="120"/>
          <w:sz w:val="20"/>
        </w:rPr>
        <w:t>June </w:t>
      </w:r>
      <w:r>
        <w:rPr>
          <w:spacing w:val="-7"/>
          <w:w w:val="120"/>
          <w:sz w:val="20"/>
        </w:rPr>
        <w:t>2014, </w:t>
      </w:r>
      <w:r>
        <w:rPr>
          <w:w w:val="120"/>
          <w:sz w:val="20"/>
        </w:rPr>
        <w:t>subject to review before the end of this</w:t>
      </w:r>
      <w:r>
        <w:rPr>
          <w:spacing w:val="6"/>
          <w:w w:val="120"/>
          <w:sz w:val="20"/>
        </w:rPr>
        <w:t> </w:t>
      </w:r>
      <w:r>
        <w:rPr>
          <w:w w:val="120"/>
          <w:sz w:val="20"/>
        </w:rPr>
        <w:t>period.</w:t>
      </w:r>
    </w:p>
    <w:p>
      <w:pPr>
        <w:pStyle w:val="BodyText"/>
        <w:spacing w:before="2"/>
      </w:pPr>
    </w:p>
    <w:p>
      <w:pPr>
        <w:pStyle w:val="ListParagraph"/>
        <w:numPr>
          <w:ilvl w:val="2"/>
          <w:numId w:val="67"/>
        </w:numPr>
        <w:tabs>
          <w:tab w:pos="2514" w:val="left" w:leader="none"/>
        </w:tabs>
        <w:spacing w:line="230" w:lineRule="auto" w:before="0" w:after="0"/>
        <w:ind w:left="1832" w:right="1137" w:firstLine="0"/>
        <w:jc w:val="left"/>
        <w:rPr>
          <w:i/>
          <w:sz w:val="20"/>
        </w:rPr>
      </w:pPr>
      <w:r>
        <w:rPr>
          <w:w w:val="120"/>
          <w:sz w:val="20"/>
        </w:rPr>
        <w:t>Mission Council agreed to the following change in the Plan for Partnership: Add the following words to </w:t>
      </w:r>
      <w:r>
        <w:rPr>
          <w:spacing w:val="-3"/>
          <w:w w:val="120"/>
          <w:sz w:val="20"/>
        </w:rPr>
        <w:t>6.3.4.2 </w:t>
      </w:r>
      <w:r>
        <w:rPr>
          <w:w w:val="120"/>
          <w:sz w:val="20"/>
        </w:rPr>
        <w:t>after </w:t>
      </w:r>
      <w:r>
        <w:rPr>
          <w:spacing w:val="-5"/>
          <w:w w:val="120"/>
          <w:sz w:val="20"/>
        </w:rPr>
        <w:t>‘a </w:t>
      </w:r>
      <w:r>
        <w:rPr>
          <w:w w:val="120"/>
          <w:sz w:val="20"/>
        </w:rPr>
        <w:t>fixed car allowance should be paid</w:t>
      </w:r>
      <w:r>
        <w:rPr>
          <w:rFonts w:ascii="Stone Sans II ITC Std Bk" w:hAnsi="Stone Sans II ITC Std Bk"/>
          <w:b/>
          <w:w w:val="120"/>
          <w:sz w:val="20"/>
        </w:rPr>
        <w:t>’: </w:t>
      </w:r>
      <w:r>
        <w:rPr>
          <w:w w:val="120"/>
          <w:sz w:val="20"/>
        </w:rPr>
        <w:t>A fixed allowance may be claimed for motor bicycles if this is the only mode of transport used by the   minister for church business. The amount paid shall be </w:t>
      </w:r>
      <w:r>
        <w:rPr>
          <w:spacing w:val="-3"/>
          <w:w w:val="120"/>
          <w:sz w:val="20"/>
        </w:rPr>
        <w:t>25% </w:t>
      </w:r>
      <w:r>
        <w:rPr>
          <w:w w:val="120"/>
          <w:sz w:val="20"/>
        </w:rPr>
        <w:t>of the fixed car allowance. </w:t>
      </w:r>
      <w:r>
        <w:rPr>
          <w:i/>
          <w:spacing w:val="-4"/>
          <w:w w:val="115"/>
          <w:sz w:val="20"/>
        </w:rPr>
        <w:t>[6.3.4.2</w:t>
      </w:r>
      <w:r>
        <w:rPr>
          <w:i/>
          <w:spacing w:val="-17"/>
          <w:w w:val="115"/>
          <w:sz w:val="20"/>
        </w:rPr>
        <w:t> </w:t>
      </w:r>
      <w:r>
        <w:rPr>
          <w:i/>
          <w:w w:val="115"/>
          <w:sz w:val="20"/>
        </w:rPr>
        <w:t>then</w:t>
      </w:r>
      <w:r>
        <w:rPr>
          <w:i/>
          <w:spacing w:val="-16"/>
          <w:w w:val="115"/>
          <w:sz w:val="20"/>
        </w:rPr>
        <w:t> </w:t>
      </w:r>
      <w:r>
        <w:rPr>
          <w:i/>
          <w:spacing w:val="-3"/>
          <w:w w:val="115"/>
          <w:sz w:val="20"/>
        </w:rPr>
        <w:t>continues:</w:t>
      </w:r>
      <w:r>
        <w:rPr>
          <w:i/>
          <w:spacing w:val="-16"/>
          <w:w w:val="115"/>
          <w:sz w:val="20"/>
        </w:rPr>
        <w:t> </w:t>
      </w:r>
      <w:r>
        <w:rPr>
          <w:i/>
          <w:w w:val="115"/>
          <w:sz w:val="20"/>
        </w:rPr>
        <w:t>‘The</w:t>
      </w:r>
      <w:r>
        <w:rPr>
          <w:i/>
          <w:spacing w:val="-16"/>
          <w:w w:val="115"/>
          <w:sz w:val="20"/>
        </w:rPr>
        <w:t> </w:t>
      </w:r>
      <w:r>
        <w:rPr>
          <w:i/>
          <w:w w:val="115"/>
          <w:sz w:val="20"/>
        </w:rPr>
        <w:t>rate</w:t>
      </w:r>
      <w:r>
        <w:rPr>
          <w:i/>
          <w:spacing w:val="-16"/>
          <w:w w:val="115"/>
          <w:sz w:val="20"/>
        </w:rPr>
        <w:t> </w:t>
      </w:r>
      <w:r>
        <w:rPr>
          <w:i/>
          <w:w w:val="115"/>
          <w:sz w:val="20"/>
        </w:rPr>
        <w:t>of</w:t>
      </w:r>
      <w:r>
        <w:rPr>
          <w:i/>
          <w:spacing w:val="-17"/>
          <w:w w:val="115"/>
          <w:sz w:val="20"/>
        </w:rPr>
        <w:t> </w:t>
      </w:r>
      <w:r>
        <w:rPr>
          <w:i/>
          <w:w w:val="115"/>
          <w:sz w:val="20"/>
        </w:rPr>
        <w:t>fixed</w:t>
      </w:r>
      <w:r>
        <w:rPr>
          <w:i/>
          <w:spacing w:val="-16"/>
          <w:w w:val="115"/>
          <w:sz w:val="20"/>
        </w:rPr>
        <w:t> </w:t>
      </w:r>
      <w:r>
        <w:rPr>
          <w:i/>
          <w:spacing w:val="-2"/>
          <w:w w:val="115"/>
          <w:sz w:val="20"/>
        </w:rPr>
        <w:t>car</w:t>
      </w:r>
      <w:r>
        <w:rPr>
          <w:i/>
          <w:spacing w:val="-16"/>
          <w:w w:val="115"/>
          <w:sz w:val="20"/>
        </w:rPr>
        <w:t> </w:t>
      </w:r>
      <w:r>
        <w:rPr>
          <w:i/>
          <w:spacing w:val="-3"/>
          <w:w w:val="115"/>
          <w:sz w:val="20"/>
        </w:rPr>
        <w:t>allowance</w:t>
      </w:r>
      <w:r>
        <w:rPr>
          <w:i/>
          <w:spacing w:val="-16"/>
          <w:w w:val="115"/>
          <w:sz w:val="20"/>
        </w:rPr>
        <w:t> </w:t>
      </w:r>
      <w:r>
        <w:rPr>
          <w:i/>
          <w:w w:val="115"/>
          <w:sz w:val="20"/>
        </w:rPr>
        <w:t>will</w:t>
      </w:r>
      <w:r>
        <w:rPr>
          <w:i/>
          <w:spacing w:val="-16"/>
          <w:w w:val="115"/>
          <w:sz w:val="20"/>
        </w:rPr>
        <w:t> </w:t>
      </w:r>
      <w:r>
        <w:rPr>
          <w:i/>
          <w:w w:val="115"/>
          <w:sz w:val="20"/>
        </w:rPr>
        <w:t>be</w:t>
      </w:r>
      <w:r>
        <w:rPr>
          <w:i/>
          <w:spacing w:val="-16"/>
          <w:w w:val="115"/>
          <w:sz w:val="20"/>
        </w:rPr>
        <w:t> </w:t>
      </w:r>
      <w:r>
        <w:rPr>
          <w:i/>
          <w:w w:val="115"/>
          <w:sz w:val="20"/>
        </w:rPr>
        <w:t>advised</w:t>
      </w:r>
      <w:r>
        <w:rPr>
          <w:i/>
          <w:spacing w:val="-17"/>
          <w:w w:val="115"/>
          <w:sz w:val="20"/>
        </w:rPr>
        <w:t> </w:t>
      </w:r>
      <w:r>
        <w:rPr>
          <w:i/>
          <w:w w:val="115"/>
          <w:sz w:val="20"/>
        </w:rPr>
        <w:t>by</w:t>
      </w:r>
      <w:r>
        <w:rPr>
          <w:i/>
          <w:spacing w:val="-16"/>
          <w:w w:val="115"/>
          <w:sz w:val="20"/>
        </w:rPr>
        <w:t> </w:t>
      </w:r>
      <w:r>
        <w:rPr>
          <w:i/>
          <w:w w:val="115"/>
          <w:sz w:val="20"/>
        </w:rPr>
        <w:t>the</w:t>
      </w:r>
      <w:r>
        <w:rPr>
          <w:i/>
          <w:spacing w:val="-16"/>
          <w:w w:val="115"/>
          <w:sz w:val="20"/>
        </w:rPr>
        <w:t> </w:t>
      </w:r>
      <w:r>
        <w:rPr>
          <w:i/>
          <w:w w:val="115"/>
          <w:sz w:val="20"/>
        </w:rPr>
        <w:t>MoM</w:t>
      </w:r>
      <w:r>
        <w:rPr>
          <w:i/>
          <w:spacing w:val="-16"/>
          <w:w w:val="115"/>
          <w:sz w:val="20"/>
        </w:rPr>
        <w:t> </w:t>
      </w:r>
      <w:r>
        <w:rPr>
          <w:i/>
          <w:w w:val="115"/>
          <w:sz w:val="20"/>
        </w:rPr>
        <w:t>Sub-committee </w:t>
      </w:r>
      <w:r>
        <w:rPr>
          <w:i/>
          <w:spacing w:val="-4"/>
          <w:w w:val="120"/>
          <w:sz w:val="20"/>
        </w:rPr>
        <w:t>(see</w:t>
      </w:r>
      <w:r>
        <w:rPr>
          <w:i/>
          <w:spacing w:val="-7"/>
          <w:w w:val="120"/>
          <w:sz w:val="20"/>
        </w:rPr>
        <w:t> </w:t>
      </w:r>
      <w:r>
        <w:rPr>
          <w:i/>
          <w:w w:val="120"/>
          <w:sz w:val="20"/>
        </w:rPr>
        <w:t>Appendix</w:t>
      </w:r>
      <w:r>
        <w:rPr>
          <w:i/>
          <w:spacing w:val="-6"/>
          <w:w w:val="120"/>
          <w:sz w:val="20"/>
        </w:rPr>
        <w:t> </w:t>
      </w:r>
      <w:r>
        <w:rPr>
          <w:i/>
          <w:spacing w:val="-9"/>
          <w:w w:val="120"/>
          <w:sz w:val="20"/>
        </w:rPr>
        <w:t>A).’</w:t>
      </w:r>
      <w:r>
        <w:rPr>
          <w:i/>
          <w:spacing w:val="-7"/>
          <w:w w:val="120"/>
          <w:sz w:val="20"/>
        </w:rPr>
        <w:t> </w:t>
      </w:r>
      <w:r>
        <w:rPr>
          <w:i/>
          <w:w w:val="120"/>
          <w:sz w:val="20"/>
        </w:rPr>
        <w:t>Currently</w:t>
      </w:r>
      <w:r>
        <w:rPr>
          <w:i/>
          <w:spacing w:val="-6"/>
          <w:w w:val="120"/>
          <w:sz w:val="20"/>
        </w:rPr>
        <w:t> </w:t>
      </w:r>
      <w:r>
        <w:rPr>
          <w:i/>
          <w:w w:val="120"/>
          <w:sz w:val="20"/>
        </w:rPr>
        <w:t>the</w:t>
      </w:r>
      <w:r>
        <w:rPr>
          <w:i/>
          <w:spacing w:val="-6"/>
          <w:w w:val="120"/>
          <w:sz w:val="20"/>
        </w:rPr>
        <w:t> </w:t>
      </w:r>
      <w:r>
        <w:rPr>
          <w:i/>
          <w:w w:val="120"/>
          <w:sz w:val="20"/>
        </w:rPr>
        <w:t>recommended</w:t>
      </w:r>
      <w:r>
        <w:rPr>
          <w:i/>
          <w:spacing w:val="-7"/>
          <w:w w:val="120"/>
          <w:sz w:val="20"/>
        </w:rPr>
        <w:t> </w:t>
      </w:r>
      <w:r>
        <w:rPr>
          <w:i/>
          <w:w w:val="120"/>
          <w:sz w:val="20"/>
        </w:rPr>
        <w:t>rate</w:t>
      </w:r>
      <w:r>
        <w:rPr>
          <w:i/>
          <w:spacing w:val="-6"/>
          <w:w w:val="120"/>
          <w:sz w:val="20"/>
        </w:rPr>
        <w:t> </w:t>
      </w:r>
      <w:r>
        <w:rPr>
          <w:i/>
          <w:w w:val="120"/>
          <w:sz w:val="20"/>
        </w:rPr>
        <w:t>is</w:t>
      </w:r>
      <w:r>
        <w:rPr>
          <w:i/>
          <w:spacing w:val="-6"/>
          <w:w w:val="120"/>
          <w:sz w:val="20"/>
        </w:rPr>
        <w:t> </w:t>
      </w:r>
      <w:r>
        <w:rPr>
          <w:i/>
          <w:w w:val="120"/>
          <w:sz w:val="20"/>
        </w:rPr>
        <w:t>£1,200</w:t>
      </w:r>
      <w:r>
        <w:rPr>
          <w:i/>
          <w:spacing w:val="-7"/>
          <w:w w:val="120"/>
          <w:sz w:val="20"/>
        </w:rPr>
        <w:t> </w:t>
      </w:r>
      <w:r>
        <w:rPr>
          <w:i/>
          <w:spacing w:val="-4"/>
          <w:w w:val="120"/>
          <w:sz w:val="20"/>
        </w:rPr>
        <w:t>pa.]</w:t>
      </w:r>
    </w:p>
    <w:p>
      <w:pPr>
        <w:pStyle w:val="BodyText"/>
        <w:rPr>
          <w:i/>
        </w:rPr>
      </w:pPr>
    </w:p>
    <w:p>
      <w:pPr>
        <w:pStyle w:val="ListParagraph"/>
        <w:numPr>
          <w:ilvl w:val="2"/>
          <w:numId w:val="67"/>
        </w:numPr>
        <w:tabs>
          <w:tab w:pos="2514" w:val="left" w:leader="none"/>
        </w:tabs>
        <w:spacing w:line="235" w:lineRule="auto" w:before="1" w:after="0"/>
        <w:ind w:left="1832" w:right="1330" w:firstLine="0"/>
        <w:jc w:val="left"/>
        <w:rPr>
          <w:sz w:val="20"/>
        </w:rPr>
      </w:pPr>
      <w:r>
        <w:rPr>
          <w:w w:val="120"/>
          <w:sz w:val="20"/>
        </w:rPr>
        <w:t>Mission Council, on a matter of immediate importance, reminded members of   the importance of voting in the European and County Council elections on 4</w:t>
      </w:r>
      <w:r>
        <w:rPr>
          <w:w w:val="120"/>
          <w:position w:val="7"/>
          <w:sz w:val="11"/>
        </w:rPr>
        <w:t>th </w:t>
      </w:r>
      <w:r>
        <w:rPr>
          <w:w w:val="120"/>
          <w:sz w:val="20"/>
        </w:rPr>
        <w:t>June 2009 despite</w:t>
      </w:r>
      <w:r>
        <w:rPr>
          <w:spacing w:val="6"/>
          <w:w w:val="120"/>
          <w:sz w:val="20"/>
        </w:rPr>
        <w:t> </w:t>
      </w:r>
      <w:r>
        <w:rPr>
          <w:w w:val="120"/>
          <w:sz w:val="20"/>
        </w:rPr>
        <w:t>the</w:t>
      </w:r>
      <w:r>
        <w:rPr>
          <w:spacing w:val="7"/>
          <w:w w:val="120"/>
          <w:sz w:val="20"/>
        </w:rPr>
        <w:t> </w:t>
      </w:r>
      <w:r>
        <w:rPr>
          <w:w w:val="120"/>
          <w:sz w:val="20"/>
        </w:rPr>
        <w:t>recent</w:t>
      </w:r>
      <w:r>
        <w:rPr>
          <w:spacing w:val="7"/>
          <w:w w:val="120"/>
          <w:sz w:val="20"/>
        </w:rPr>
        <w:t> </w:t>
      </w:r>
      <w:r>
        <w:rPr>
          <w:w w:val="120"/>
          <w:sz w:val="20"/>
        </w:rPr>
        <w:t>bad</w:t>
      </w:r>
      <w:r>
        <w:rPr>
          <w:spacing w:val="7"/>
          <w:w w:val="120"/>
          <w:sz w:val="20"/>
        </w:rPr>
        <w:t> </w:t>
      </w:r>
      <w:r>
        <w:rPr>
          <w:w w:val="120"/>
          <w:sz w:val="20"/>
        </w:rPr>
        <w:t>publicity</w:t>
      </w:r>
      <w:r>
        <w:rPr>
          <w:spacing w:val="6"/>
          <w:w w:val="120"/>
          <w:sz w:val="20"/>
        </w:rPr>
        <w:t> </w:t>
      </w:r>
      <w:r>
        <w:rPr>
          <w:w w:val="120"/>
          <w:sz w:val="20"/>
        </w:rPr>
        <w:t>about</w:t>
      </w:r>
      <w:r>
        <w:rPr>
          <w:spacing w:val="7"/>
          <w:w w:val="120"/>
          <w:sz w:val="20"/>
        </w:rPr>
        <w:t> </w:t>
      </w:r>
      <w:r>
        <w:rPr>
          <w:w w:val="120"/>
          <w:sz w:val="20"/>
        </w:rPr>
        <w:t>MPs’</w:t>
      </w:r>
      <w:r>
        <w:rPr>
          <w:spacing w:val="7"/>
          <w:w w:val="120"/>
          <w:sz w:val="20"/>
        </w:rPr>
        <w:t> </w:t>
      </w:r>
      <w:r>
        <w:rPr>
          <w:w w:val="120"/>
          <w:sz w:val="20"/>
        </w:rPr>
        <w:t>expenses</w:t>
      </w:r>
      <w:r>
        <w:rPr>
          <w:spacing w:val="7"/>
          <w:w w:val="120"/>
          <w:sz w:val="20"/>
        </w:rPr>
        <w:t> </w:t>
      </w:r>
      <w:r>
        <w:rPr>
          <w:w w:val="120"/>
          <w:sz w:val="20"/>
        </w:rPr>
        <w:t>and</w:t>
      </w:r>
      <w:r>
        <w:rPr>
          <w:spacing w:val="6"/>
          <w:w w:val="120"/>
          <w:sz w:val="20"/>
        </w:rPr>
        <w:t> </w:t>
      </w:r>
      <w:r>
        <w:rPr>
          <w:w w:val="120"/>
          <w:sz w:val="20"/>
        </w:rPr>
        <w:t>urged</w:t>
      </w:r>
      <w:r>
        <w:rPr>
          <w:spacing w:val="7"/>
          <w:w w:val="120"/>
          <w:sz w:val="20"/>
        </w:rPr>
        <w:t> </w:t>
      </w:r>
      <w:r>
        <w:rPr>
          <w:w w:val="120"/>
          <w:sz w:val="20"/>
        </w:rPr>
        <w:t>members</w:t>
      </w:r>
      <w:r>
        <w:rPr>
          <w:spacing w:val="7"/>
          <w:w w:val="120"/>
          <w:sz w:val="20"/>
        </w:rPr>
        <w:t> </w:t>
      </w:r>
      <w:r>
        <w:rPr>
          <w:w w:val="120"/>
          <w:sz w:val="20"/>
        </w:rPr>
        <w:t>of</w:t>
      </w:r>
      <w:r>
        <w:rPr>
          <w:spacing w:val="6"/>
          <w:w w:val="120"/>
          <w:sz w:val="20"/>
        </w:rPr>
        <w:t> </w:t>
      </w:r>
      <w:r>
        <w:rPr>
          <w:w w:val="120"/>
          <w:sz w:val="20"/>
        </w:rPr>
        <w:t>the</w:t>
      </w:r>
      <w:r>
        <w:rPr>
          <w:spacing w:val="7"/>
          <w:w w:val="120"/>
          <w:sz w:val="20"/>
        </w:rPr>
        <w:t> </w:t>
      </w:r>
      <w:r>
        <w:rPr>
          <w:spacing w:val="-3"/>
          <w:w w:val="120"/>
          <w:sz w:val="20"/>
        </w:rPr>
        <w:t>United</w:t>
      </w:r>
    </w:p>
    <w:p>
      <w:pPr>
        <w:spacing w:line="235" w:lineRule="auto" w:before="2"/>
        <w:ind w:left="1833" w:right="1344" w:firstLine="0"/>
        <w:jc w:val="left"/>
        <w:rPr>
          <w:sz w:val="20"/>
        </w:rPr>
      </w:pPr>
      <w:r>
        <w:rPr>
          <w:w w:val="110"/>
          <w:sz w:val="20"/>
        </w:rPr>
        <w:t>Reformed </w:t>
      </w:r>
      <w:r>
        <w:rPr>
          <w:spacing w:val="-3"/>
          <w:w w:val="110"/>
          <w:sz w:val="20"/>
        </w:rPr>
        <w:t>Church  to  </w:t>
      </w:r>
      <w:r>
        <w:rPr>
          <w:w w:val="110"/>
          <w:sz w:val="20"/>
        </w:rPr>
        <w:t>cast their </w:t>
      </w:r>
      <w:r>
        <w:rPr>
          <w:spacing w:val="-4"/>
          <w:w w:val="110"/>
          <w:sz w:val="20"/>
        </w:rPr>
        <w:t>vote  </w:t>
      </w:r>
      <w:r>
        <w:rPr>
          <w:w w:val="110"/>
          <w:sz w:val="20"/>
        </w:rPr>
        <w:t>in order </w:t>
      </w:r>
      <w:r>
        <w:rPr>
          <w:spacing w:val="-3"/>
          <w:w w:val="110"/>
          <w:sz w:val="20"/>
        </w:rPr>
        <w:t>to  </w:t>
      </w:r>
      <w:r>
        <w:rPr>
          <w:spacing w:val="-4"/>
          <w:w w:val="110"/>
          <w:sz w:val="20"/>
        </w:rPr>
        <w:t>counter  </w:t>
      </w:r>
      <w:r>
        <w:rPr>
          <w:w w:val="110"/>
          <w:sz w:val="20"/>
        </w:rPr>
        <w:t>the </w:t>
      </w:r>
      <w:r>
        <w:rPr>
          <w:spacing w:val="-2"/>
          <w:w w:val="110"/>
          <w:sz w:val="20"/>
        </w:rPr>
        <w:t>threat  </w:t>
      </w:r>
      <w:r>
        <w:rPr>
          <w:w w:val="110"/>
          <w:sz w:val="20"/>
        </w:rPr>
        <w:t>of the </w:t>
      </w:r>
      <w:r>
        <w:rPr>
          <w:spacing w:val="-7"/>
          <w:w w:val="110"/>
          <w:sz w:val="20"/>
        </w:rPr>
        <w:t>BNP.  </w:t>
      </w:r>
      <w:r>
        <w:rPr>
          <w:i/>
          <w:spacing w:val="-3"/>
          <w:w w:val="110"/>
          <w:sz w:val="20"/>
        </w:rPr>
        <w:t>(For information     </w:t>
      </w:r>
      <w:r>
        <w:rPr>
          <w:i/>
          <w:w w:val="110"/>
          <w:sz w:val="20"/>
        </w:rPr>
        <w:t>in 2004 the URC declared that support for organisations, such as the </w:t>
      </w:r>
      <w:r>
        <w:rPr>
          <w:i/>
          <w:spacing w:val="-3"/>
          <w:w w:val="110"/>
          <w:sz w:val="20"/>
        </w:rPr>
        <w:t>BNP, </w:t>
      </w:r>
      <w:r>
        <w:rPr>
          <w:i/>
          <w:w w:val="110"/>
          <w:sz w:val="20"/>
        </w:rPr>
        <w:t>to be incompatible with Christian discipleship. A ‘toolkit’ produced by the Baptist Union, the Methodist Church and the United</w:t>
      </w:r>
      <w:r>
        <w:rPr>
          <w:i/>
          <w:spacing w:val="13"/>
          <w:w w:val="110"/>
          <w:sz w:val="20"/>
        </w:rPr>
        <w:t> </w:t>
      </w:r>
      <w:r>
        <w:rPr>
          <w:i/>
          <w:w w:val="110"/>
          <w:sz w:val="20"/>
        </w:rPr>
        <w:t>Reformed</w:t>
      </w:r>
      <w:r>
        <w:rPr>
          <w:i/>
          <w:spacing w:val="14"/>
          <w:w w:val="110"/>
          <w:sz w:val="20"/>
        </w:rPr>
        <w:t> </w:t>
      </w:r>
      <w:r>
        <w:rPr>
          <w:i/>
          <w:w w:val="110"/>
          <w:sz w:val="20"/>
        </w:rPr>
        <w:t>Church</w:t>
      </w:r>
      <w:r>
        <w:rPr>
          <w:i/>
          <w:spacing w:val="14"/>
          <w:w w:val="110"/>
          <w:sz w:val="20"/>
        </w:rPr>
        <w:t> </w:t>
      </w:r>
      <w:r>
        <w:rPr>
          <w:i/>
          <w:w w:val="110"/>
          <w:sz w:val="20"/>
        </w:rPr>
        <w:t>is</w:t>
      </w:r>
      <w:r>
        <w:rPr>
          <w:i/>
          <w:spacing w:val="14"/>
          <w:w w:val="110"/>
          <w:sz w:val="20"/>
        </w:rPr>
        <w:t> </w:t>
      </w:r>
      <w:r>
        <w:rPr>
          <w:i/>
          <w:w w:val="110"/>
          <w:sz w:val="20"/>
        </w:rPr>
        <w:t>available</w:t>
      </w:r>
      <w:r>
        <w:rPr>
          <w:i/>
          <w:spacing w:val="13"/>
          <w:w w:val="110"/>
          <w:sz w:val="20"/>
        </w:rPr>
        <w:t> </w:t>
      </w:r>
      <w:r>
        <w:rPr>
          <w:i/>
          <w:w w:val="110"/>
          <w:sz w:val="20"/>
        </w:rPr>
        <w:t>for</w:t>
      </w:r>
      <w:r>
        <w:rPr>
          <w:i/>
          <w:spacing w:val="14"/>
          <w:w w:val="110"/>
          <w:sz w:val="20"/>
        </w:rPr>
        <w:t> </w:t>
      </w:r>
      <w:r>
        <w:rPr>
          <w:i/>
          <w:w w:val="110"/>
          <w:sz w:val="20"/>
        </w:rPr>
        <w:t>local</w:t>
      </w:r>
      <w:r>
        <w:rPr>
          <w:i/>
          <w:spacing w:val="14"/>
          <w:w w:val="110"/>
          <w:sz w:val="20"/>
        </w:rPr>
        <w:t> </w:t>
      </w:r>
      <w:r>
        <w:rPr>
          <w:i/>
          <w:w w:val="110"/>
          <w:sz w:val="20"/>
        </w:rPr>
        <w:t>churches.</w:t>
      </w:r>
      <w:r>
        <w:rPr>
          <w:i/>
          <w:spacing w:val="14"/>
          <w:w w:val="110"/>
          <w:sz w:val="20"/>
        </w:rPr>
        <w:t> </w:t>
      </w:r>
      <w:hyperlink r:id="rId186">
        <w:r>
          <w:rPr>
            <w:i/>
            <w:w w:val="110"/>
            <w:sz w:val="20"/>
          </w:rPr>
          <w:t>www.jointpublicissues.org.uk/jptpolitics</w:t>
        </w:r>
        <w:r>
          <w:rPr>
            <w:w w:val="110"/>
            <w:sz w:val="20"/>
          </w:rPr>
          <w:t>)</w:t>
        </w:r>
      </w:hyperlink>
    </w:p>
    <w:p>
      <w:pPr>
        <w:pStyle w:val="BodyText"/>
        <w:spacing w:before="11"/>
        <w:rPr>
          <w:sz w:val="19"/>
        </w:rPr>
      </w:pPr>
    </w:p>
    <w:p>
      <w:pPr>
        <w:pStyle w:val="ListParagraph"/>
        <w:numPr>
          <w:ilvl w:val="2"/>
          <w:numId w:val="67"/>
        </w:numPr>
        <w:tabs>
          <w:tab w:pos="2514" w:val="left" w:leader="none"/>
        </w:tabs>
        <w:spacing w:line="235" w:lineRule="auto" w:before="0" w:after="0"/>
        <w:ind w:left="1833" w:right="1457" w:firstLine="0"/>
        <w:jc w:val="left"/>
        <w:rPr>
          <w:sz w:val="20"/>
        </w:rPr>
      </w:pPr>
      <w:r>
        <w:rPr>
          <w:w w:val="120"/>
          <w:sz w:val="20"/>
        </w:rPr>
        <w:t>Mission Council agreed changes to Part II of the Disciplinary Process (Section </w:t>
      </w:r>
      <w:r>
        <w:rPr>
          <w:spacing w:val="-6"/>
          <w:w w:val="120"/>
          <w:sz w:val="20"/>
        </w:rPr>
        <w:t>O). </w:t>
      </w:r>
      <w:r>
        <w:rPr>
          <w:w w:val="120"/>
          <w:sz w:val="20"/>
        </w:rPr>
        <w:t>(Annexe</w:t>
      </w:r>
      <w:r>
        <w:rPr>
          <w:spacing w:val="2"/>
          <w:w w:val="120"/>
          <w:sz w:val="20"/>
        </w:rPr>
        <w:t> </w:t>
      </w:r>
      <w:r>
        <w:rPr>
          <w:spacing w:val="-5"/>
          <w:w w:val="120"/>
          <w:sz w:val="20"/>
        </w:rPr>
        <w:t>4a)</w:t>
      </w:r>
    </w:p>
    <w:p>
      <w:pPr>
        <w:pStyle w:val="BodyText"/>
        <w:spacing w:before="5"/>
        <w:rPr>
          <w:sz w:val="19"/>
        </w:rPr>
      </w:pPr>
    </w:p>
    <w:p>
      <w:pPr>
        <w:pStyle w:val="ListParagraph"/>
        <w:numPr>
          <w:ilvl w:val="1"/>
          <w:numId w:val="68"/>
        </w:numPr>
        <w:tabs>
          <w:tab w:pos="2513" w:val="left" w:leader="none"/>
          <w:tab w:pos="2514" w:val="left" w:leader="none"/>
        </w:tabs>
        <w:spacing w:line="240" w:lineRule="auto" w:before="1" w:after="0"/>
        <w:ind w:left="2513" w:right="0" w:hanging="681"/>
        <w:jc w:val="left"/>
        <w:rPr>
          <w:sz w:val="20"/>
        </w:rPr>
      </w:pPr>
      <w:r>
        <w:rPr>
          <w:w w:val="125"/>
          <w:sz w:val="20"/>
        </w:rPr>
        <w:t>November</w:t>
      </w:r>
      <w:r>
        <w:rPr>
          <w:spacing w:val="-1"/>
          <w:w w:val="125"/>
          <w:sz w:val="20"/>
        </w:rPr>
        <w:t> </w:t>
      </w:r>
      <w:r>
        <w:rPr>
          <w:w w:val="125"/>
          <w:sz w:val="20"/>
        </w:rPr>
        <w:t>2009</w:t>
      </w:r>
    </w:p>
    <w:p>
      <w:pPr>
        <w:pStyle w:val="BodyText"/>
        <w:spacing w:before="7"/>
        <w:rPr>
          <w:sz w:val="19"/>
        </w:rPr>
      </w:pPr>
    </w:p>
    <w:p>
      <w:pPr>
        <w:pStyle w:val="ListParagraph"/>
        <w:numPr>
          <w:ilvl w:val="2"/>
          <w:numId w:val="68"/>
        </w:numPr>
        <w:tabs>
          <w:tab w:pos="2514" w:val="left" w:leader="none"/>
        </w:tabs>
        <w:spacing w:line="235" w:lineRule="auto" w:before="0" w:after="0"/>
        <w:ind w:left="1833" w:right="1427" w:firstLine="0"/>
        <w:jc w:val="left"/>
        <w:rPr>
          <w:sz w:val="20"/>
        </w:rPr>
      </w:pPr>
      <w:r>
        <w:rPr>
          <w:w w:val="120"/>
          <w:sz w:val="20"/>
        </w:rPr>
        <w:t>Mission Council agreed to the transfer of Cobham United Reformed Church from the Wessex Synod to the Southern Synod on December </w:t>
      </w:r>
      <w:r>
        <w:rPr>
          <w:spacing w:val="-4"/>
          <w:w w:val="120"/>
          <w:sz w:val="20"/>
        </w:rPr>
        <w:t>1</w:t>
      </w:r>
      <w:r>
        <w:rPr>
          <w:spacing w:val="-4"/>
          <w:w w:val="120"/>
          <w:position w:val="7"/>
          <w:sz w:val="11"/>
        </w:rPr>
        <w:t>st</w:t>
      </w:r>
      <w:r>
        <w:rPr>
          <w:spacing w:val="2"/>
          <w:w w:val="120"/>
          <w:position w:val="7"/>
          <w:sz w:val="11"/>
        </w:rPr>
        <w:t> </w:t>
      </w:r>
      <w:r>
        <w:rPr>
          <w:w w:val="120"/>
          <w:sz w:val="20"/>
        </w:rPr>
        <w:t>2009.</w:t>
      </w:r>
    </w:p>
    <w:p>
      <w:pPr>
        <w:pStyle w:val="BodyText"/>
        <w:spacing w:before="10"/>
        <w:rPr>
          <w:sz w:val="19"/>
        </w:rPr>
      </w:pPr>
    </w:p>
    <w:p>
      <w:pPr>
        <w:pStyle w:val="ListParagraph"/>
        <w:numPr>
          <w:ilvl w:val="2"/>
          <w:numId w:val="68"/>
        </w:numPr>
        <w:tabs>
          <w:tab w:pos="2514" w:val="left" w:leader="none"/>
        </w:tabs>
        <w:spacing w:line="235" w:lineRule="auto" w:before="0" w:after="0"/>
        <w:ind w:left="1833" w:right="1301" w:firstLine="0"/>
        <w:jc w:val="left"/>
        <w:rPr>
          <w:sz w:val="20"/>
        </w:rPr>
      </w:pPr>
      <w:r>
        <w:rPr>
          <w:w w:val="120"/>
          <w:sz w:val="20"/>
        </w:rPr>
        <w:t>Mission Council adopted the new terms of reference of the Pastoral Reference and Welfare Committee. (Annexe</w:t>
      </w:r>
      <w:r>
        <w:rPr>
          <w:spacing w:val="6"/>
          <w:w w:val="120"/>
          <w:sz w:val="20"/>
        </w:rPr>
        <w:t> </w:t>
      </w:r>
      <w:r>
        <w:rPr>
          <w:spacing w:val="-6"/>
          <w:w w:val="120"/>
          <w:sz w:val="20"/>
        </w:rPr>
        <w:t>2)</w:t>
      </w:r>
    </w:p>
    <w:p>
      <w:pPr>
        <w:pStyle w:val="BodyText"/>
        <w:spacing w:before="9"/>
        <w:rPr>
          <w:sz w:val="19"/>
        </w:rPr>
      </w:pPr>
    </w:p>
    <w:p>
      <w:pPr>
        <w:pStyle w:val="ListParagraph"/>
        <w:numPr>
          <w:ilvl w:val="2"/>
          <w:numId w:val="68"/>
        </w:numPr>
        <w:tabs>
          <w:tab w:pos="2514" w:val="left" w:leader="none"/>
        </w:tabs>
        <w:spacing w:line="235" w:lineRule="auto" w:before="1" w:after="0"/>
        <w:ind w:left="1833" w:right="1549" w:firstLine="0"/>
        <w:jc w:val="left"/>
        <w:rPr>
          <w:sz w:val="20"/>
        </w:rPr>
      </w:pPr>
      <w:r>
        <w:rPr>
          <w:w w:val="120"/>
          <w:sz w:val="20"/>
        </w:rPr>
        <w:t>Mission Council appointed the Director of the Windermere Centre and the URC members of the teaching staff of </w:t>
      </w:r>
      <w:r>
        <w:rPr>
          <w:spacing w:val="2"/>
          <w:w w:val="120"/>
          <w:sz w:val="20"/>
        </w:rPr>
        <w:t>Northern </w:t>
      </w:r>
      <w:r>
        <w:rPr>
          <w:w w:val="120"/>
          <w:sz w:val="20"/>
        </w:rPr>
        <w:t>College Manchester to be members of the </w:t>
      </w:r>
      <w:r>
        <w:rPr>
          <w:spacing w:val="2"/>
          <w:w w:val="120"/>
          <w:sz w:val="20"/>
        </w:rPr>
        <w:t>North </w:t>
      </w:r>
      <w:r>
        <w:rPr>
          <w:w w:val="120"/>
          <w:sz w:val="20"/>
        </w:rPr>
        <w:t>Western</w:t>
      </w:r>
      <w:r>
        <w:rPr>
          <w:spacing w:val="1"/>
          <w:w w:val="120"/>
          <w:sz w:val="20"/>
        </w:rPr>
        <w:t> </w:t>
      </w:r>
      <w:r>
        <w:rPr>
          <w:w w:val="120"/>
          <w:sz w:val="20"/>
        </w:rPr>
        <w:t>Synod.</w:t>
      </w:r>
    </w:p>
    <w:p>
      <w:pPr>
        <w:pStyle w:val="BodyText"/>
        <w:spacing w:before="10"/>
        <w:rPr>
          <w:sz w:val="19"/>
        </w:rPr>
      </w:pPr>
    </w:p>
    <w:p>
      <w:pPr>
        <w:pStyle w:val="ListParagraph"/>
        <w:numPr>
          <w:ilvl w:val="2"/>
          <w:numId w:val="68"/>
        </w:numPr>
        <w:tabs>
          <w:tab w:pos="2514" w:val="left" w:leader="none"/>
        </w:tabs>
        <w:spacing w:line="235" w:lineRule="auto" w:before="0" w:after="0"/>
        <w:ind w:left="1833" w:right="1303" w:firstLine="0"/>
        <w:jc w:val="left"/>
        <w:rPr>
          <w:sz w:val="20"/>
        </w:rPr>
      </w:pPr>
      <w:r>
        <w:rPr>
          <w:w w:val="120"/>
          <w:sz w:val="20"/>
        </w:rPr>
        <w:t>Mission Council approved changes to wording in Part II of the Disciplinary Process and Incapacity Procedure. (Annexe 4a and 4b</w:t>
      </w:r>
      <w:r>
        <w:rPr>
          <w:spacing w:val="20"/>
          <w:w w:val="120"/>
          <w:sz w:val="20"/>
        </w:rPr>
        <w:t> </w:t>
      </w:r>
      <w:r>
        <w:rPr>
          <w:w w:val="120"/>
          <w:sz w:val="20"/>
        </w:rPr>
        <w:t>respectively)</w:t>
      </w:r>
    </w:p>
    <w:p>
      <w:pPr>
        <w:pStyle w:val="BodyText"/>
        <w:spacing w:before="9"/>
        <w:rPr>
          <w:sz w:val="19"/>
        </w:rPr>
      </w:pPr>
    </w:p>
    <w:p>
      <w:pPr>
        <w:pStyle w:val="ListParagraph"/>
        <w:numPr>
          <w:ilvl w:val="2"/>
          <w:numId w:val="68"/>
        </w:numPr>
        <w:tabs>
          <w:tab w:pos="2514" w:val="left" w:leader="none"/>
        </w:tabs>
        <w:spacing w:line="235" w:lineRule="auto" w:before="0" w:after="0"/>
        <w:ind w:left="1833" w:right="1525" w:firstLine="0"/>
        <w:jc w:val="left"/>
        <w:rPr>
          <w:sz w:val="20"/>
        </w:rPr>
      </w:pPr>
      <w:r>
        <w:rPr>
          <w:w w:val="120"/>
          <w:sz w:val="20"/>
        </w:rPr>
        <w:t>Mission Council received the </w:t>
      </w:r>
      <w:r>
        <w:rPr>
          <w:spacing w:val="-4"/>
          <w:w w:val="120"/>
          <w:sz w:val="20"/>
        </w:rPr>
        <w:t>Trustee’s </w:t>
      </w:r>
      <w:r>
        <w:rPr>
          <w:w w:val="120"/>
          <w:sz w:val="20"/>
        </w:rPr>
        <w:t>Report and adopted the Accounts for the year ended </w:t>
      </w:r>
      <w:r>
        <w:rPr>
          <w:spacing w:val="-7"/>
          <w:w w:val="120"/>
          <w:sz w:val="20"/>
        </w:rPr>
        <w:t>31 </w:t>
      </w:r>
      <w:r>
        <w:rPr>
          <w:w w:val="120"/>
          <w:sz w:val="20"/>
        </w:rPr>
        <w:t>December</w:t>
      </w:r>
      <w:r>
        <w:rPr>
          <w:spacing w:val="17"/>
          <w:w w:val="120"/>
          <w:sz w:val="20"/>
        </w:rPr>
        <w:t> </w:t>
      </w:r>
      <w:r>
        <w:rPr>
          <w:w w:val="120"/>
          <w:sz w:val="20"/>
        </w:rPr>
        <w:t>2008.</w:t>
      </w:r>
    </w:p>
    <w:p>
      <w:pPr>
        <w:pStyle w:val="BodyText"/>
        <w:spacing w:before="6"/>
        <w:rPr>
          <w:sz w:val="19"/>
        </w:rPr>
      </w:pPr>
    </w:p>
    <w:p>
      <w:pPr>
        <w:pStyle w:val="ListParagraph"/>
        <w:numPr>
          <w:ilvl w:val="2"/>
          <w:numId w:val="68"/>
        </w:numPr>
        <w:tabs>
          <w:tab w:pos="2514" w:val="left" w:leader="none"/>
        </w:tabs>
        <w:spacing w:line="242" w:lineRule="exact" w:before="0" w:after="0"/>
        <w:ind w:left="2513" w:right="0" w:hanging="681"/>
        <w:jc w:val="left"/>
        <w:rPr>
          <w:i/>
          <w:sz w:val="20"/>
        </w:rPr>
      </w:pPr>
      <w:r>
        <w:rPr>
          <w:w w:val="115"/>
          <w:sz w:val="20"/>
        </w:rPr>
        <w:t>Mission Council agreed to amend </w:t>
      </w:r>
      <w:r>
        <w:rPr>
          <w:i/>
          <w:w w:val="115"/>
          <w:sz w:val="20"/>
        </w:rPr>
        <w:t>The Plan for Partnership in Ministerial</w:t>
      </w:r>
      <w:r>
        <w:rPr>
          <w:i/>
          <w:spacing w:val="31"/>
          <w:w w:val="115"/>
          <w:sz w:val="20"/>
        </w:rPr>
        <w:t> </w:t>
      </w:r>
      <w:r>
        <w:rPr>
          <w:i/>
          <w:w w:val="115"/>
          <w:sz w:val="20"/>
        </w:rPr>
        <w:t>Remuneration</w:t>
      </w:r>
    </w:p>
    <w:p>
      <w:pPr>
        <w:pStyle w:val="BodyText"/>
        <w:spacing w:line="240" w:lineRule="exact"/>
        <w:ind w:left="1833"/>
      </w:pPr>
      <w:r>
        <w:rPr>
          <w:w w:val="125"/>
        </w:rPr>
        <w:t>by:</w:t>
      </w:r>
    </w:p>
    <w:p>
      <w:pPr>
        <w:pStyle w:val="ListParagraph"/>
        <w:numPr>
          <w:ilvl w:val="0"/>
          <w:numId w:val="69"/>
        </w:numPr>
        <w:tabs>
          <w:tab w:pos="2513" w:val="left" w:leader="none"/>
          <w:tab w:pos="2514" w:val="left" w:leader="none"/>
        </w:tabs>
        <w:spacing w:line="235" w:lineRule="auto" w:before="2" w:after="0"/>
        <w:ind w:left="2513" w:right="1286" w:hanging="681"/>
        <w:jc w:val="left"/>
        <w:rPr>
          <w:sz w:val="20"/>
        </w:rPr>
      </w:pPr>
      <w:r>
        <w:rPr>
          <w:w w:val="120"/>
          <w:sz w:val="20"/>
        </w:rPr>
        <w:t>amending paragraph </w:t>
      </w:r>
      <w:r>
        <w:rPr>
          <w:spacing w:val="-3"/>
          <w:w w:val="120"/>
          <w:sz w:val="20"/>
        </w:rPr>
        <w:t>6.3.4 </w:t>
      </w:r>
      <w:r>
        <w:rPr>
          <w:w w:val="120"/>
          <w:sz w:val="20"/>
        </w:rPr>
        <w:t>to read: </w:t>
      </w:r>
      <w:r>
        <w:rPr>
          <w:spacing w:val="-3"/>
          <w:w w:val="120"/>
          <w:sz w:val="20"/>
        </w:rPr>
        <w:t>Travel: </w:t>
      </w:r>
      <w:r>
        <w:rPr>
          <w:w w:val="120"/>
          <w:sz w:val="20"/>
        </w:rPr>
        <w:t>the costs of travel on church business shall be met as follows. Although these options are available, environmental issues should be taken into</w:t>
      </w:r>
      <w:r>
        <w:rPr>
          <w:spacing w:val="8"/>
          <w:w w:val="120"/>
          <w:sz w:val="20"/>
        </w:rPr>
        <w:t> </w:t>
      </w:r>
      <w:r>
        <w:rPr>
          <w:w w:val="120"/>
          <w:sz w:val="20"/>
        </w:rPr>
        <w:t>account.</w:t>
      </w:r>
    </w:p>
    <w:p>
      <w:pPr>
        <w:pStyle w:val="BodyText"/>
        <w:spacing w:before="10"/>
        <w:rPr>
          <w:sz w:val="19"/>
        </w:rPr>
      </w:pPr>
    </w:p>
    <w:p>
      <w:pPr>
        <w:pStyle w:val="ListParagraph"/>
        <w:numPr>
          <w:ilvl w:val="0"/>
          <w:numId w:val="69"/>
        </w:numPr>
        <w:tabs>
          <w:tab w:pos="2513" w:val="left" w:leader="none"/>
          <w:tab w:pos="2514" w:val="left" w:leader="none"/>
        </w:tabs>
        <w:spacing w:line="235" w:lineRule="auto" w:before="0" w:after="0"/>
        <w:ind w:left="2513" w:right="1802" w:hanging="681"/>
        <w:jc w:val="left"/>
        <w:rPr>
          <w:sz w:val="20"/>
        </w:rPr>
      </w:pPr>
      <w:r>
        <w:rPr>
          <w:w w:val="120"/>
          <w:sz w:val="20"/>
        </w:rPr>
        <w:t>Amending paragraph </w:t>
      </w:r>
      <w:r>
        <w:rPr>
          <w:spacing w:val="-6"/>
          <w:w w:val="120"/>
          <w:sz w:val="20"/>
        </w:rPr>
        <w:t>6.3.4.1 </w:t>
      </w:r>
      <w:r>
        <w:rPr>
          <w:w w:val="120"/>
          <w:sz w:val="20"/>
        </w:rPr>
        <w:t>by the underlined insertion: </w:t>
      </w:r>
      <w:r>
        <w:rPr>
          <w:spacing w:val="-4"/>
          <w:w w:val="120"/>
          <w:sz w:val="20"/>
        </w:rPr>
        <w:t>….The </w:t>
      </w:r>
      <w:r>
        <w:rPr>
          <w:w w:val="120"/>
          <w:sz w:val="20"/>
        </w:rPr>
        <w:t>MoM Sub- committee shall distribute annually the rates of reimbursement for mileage undertaken on church business, </w:t>
      </w:r>
      <w:r>
        <w:rPr>
          <w:w w:val="120"/>
          <w:sz w:val="20"/>
          <w:u w:val="single"/>
        </w:rPr>
        <w:t>including rates for motorcycles and bicycles,</w:t>
      </w:r>
      <w:r>
        <w:rPr>
          <w:w w:val="120"/>
          <w:sz w:val="20"/>
        </w:rPr>
        <w:t> which must not be</w:t>
      </w:r>
      <w:r>
        <w:rPr>
          <w:spacing w:val="10"/>
          <w:w w:val="120"/>
          <w:sz w:val="20"/>
        </w:rPr>
        <w:t> </w:t>
      </w:r>
      <w:r>
        <w:rPr>
          <w:w w:val="120"/>
          <w:sz w:val="20"/>
        </w:rPr>
        <w:t>exceeded…</w:t>
      </w:r>
    </w:p>
    <w:p>
      <w:pPr>
        <w:pStyle w:val="BodyText"/>
        <w:spacing w:before="7"/>
        <w:rPr>
          <w:sz w:val="19"/>
        </w:rPr>
      </w:pPr>
    </w:p>
    <w:p>
      <w:pPr>
        <w:pStyle w:val="ListParagraph"/>
        <w:numPr>
          <w:ilvl w:val="1"/>
          <w:numId w:val="68"/>
        </w:numPr>
        <w:tabs>
          <w:tab w:pos="2513" w:val="left" w:leader="none"/>
          <w:tab w:pos="2514" w:val="left" w:leader="none"/>
        </w:tabs>
        <w:spacing w:line="240" w:lineRule="auto" w:before="0" w:after="0"/>
        <w:ind w:left="2513" w:right="0" w:hanging="681"/>
        <w:jc w:val="left"/>
        <w:rPr>
          <w:sz w:val="20"/>
        </w:rPr>
      </w:pPr>
      <w:r>
        <w:rPr>
          <w:w w:val="120"/>
          <w:sz w:val="20"/>
        </w:rPr>
        <w:t>March</w:t>
      </w:r>
      <w:r>
        <w:rPr>
          <w:spacing w:val="2"/>
          <w:w w:val="120"/>
          <w:sz w:val="20"/>
        </w:rPr>
        <w:t> </w:t>
      </w:r>
      <w:r>
        <w:rPr>
          <w:spacing w:val="-6"/>
          <w:w w:val="120"/>
          <w:sz w:val="20"/>
        </w:rPr>
        <w:t>2010</w:t>
      </w:r>
    </w:p>
    <w:p>
      <w:pPr>
        <w:pStyle w:val="BodyText"/>
        <w:spacing w:before="7"/>
        <w:rPr>
          <w:sz w:val="19"/>
        </w:rPr>
      </w:pPr>
    </w:p>
    <w:p>
      <w:pPr>
        <w:pStyle w:val="ListParagraph"/>
        <w:numPr>
          <w:ilvl w:val="2"/>
          <w:numId w:val="68"/>
        </w:numPr>
        <w:tabs>
          <w:tab w:pos="2513" w:val="left" w:leader="none"/>
          <w:tab w:pos="2514" w:val="left" w:leader="none"/>
        </w:tabs>
        <w:spacing w:line="235" w:lineRule="auto" w:before="1" w:after="0"/>
        <w:ind w:left="1833" w:right="1364" w:firstLine="0"/>
        <w:jc w:val="left"/>
        <w:rPr>
          <w:sz w:val="20"/>
        </w:rPr>
      </w:pPr>
      <w:r>
        <w:rPr>
          <w:w w:val="120"/>
          <w:sz w:val="20"/>
        </w:rPr>
        <w:t>Mission Council appointed the Revd Roger Woodall to serve as a Director of the URC Ministers’ Pension Trust Ltd until </w:t>
      </w:r>
      <w:r>
        <w:rPr>
          <w:spacing w:val="-6"/>
          <w:w w:val="120"/>
          <w:sz w:val="20"/>
        </w:rPr>
        <w:t>2016. </w:t>
      </w:r>
      <w:r>
        <w:rPr>
          <w:w w:val="120"/>
          <w:sz w:val="20"/>
        </w:rPr>
        <w:t>It also reappointed the Revd John Proctor as Director of New Testament Studies at Westminster College, Cambridge, with effect from </w:t>
      </w:r>
      <w:r>
        <w:rPr>
          <w:spacing w:val="-4"/>
          <w:w w:val="120"/>
          <w:sz w:val="20"/>
        </w:rPr>
        <w:t>1</w:t>
      </w:r>
      <w:r>
        <w:rPr>
          <w:spacing w:val="-4"/>
          <w:w w:val="120"/>
          <w:position w:val="7"/>
          <w:sz w:val="11"/>
        </w:rPr>
        <w:t>st </w:t>
      </w:r>
      <w:r>
        <w:rPr>
          <w:w w:val="120"/>
          <w:sz w:val="20"/>
        </w:rPr>
        <w:t>September </w:t>
      </w:r>
      <w:r>
        <w:rPr>
          <w:spacing w:val="-6"/>
          <w:w w:val="120"/>
          <w:sz w:val="20"/>
        </w:rPr>
        <w:t>2010 </w:t>
      </w:r>
      <w:r>
        <w:rPr>
          <w:w w:val="120"/>
          <w:sz w:val="20"/>
        </w:rPr>
        <w:t>to </w:t>
      </w:r>
      <w:r>
        <w:rPr>
          <w:spacing w:val="-6"/>
          <w:w w:val="120"/>
          <w:sz w:val="20"/>
        </w:rPr>
        <w:t>31</w:t>
      </w:r>
      <w:r>
        <w:rPr>
          <w:spacing w:val="-6"/>
          <w:w w:val="120"/>
          <w:position w:val="7"/>
          <w:sz w:val="11"/>
        </w:rPr>
        <w:t>st </w:t>
      </w:r>
      <w:r>
        <w:rPr>
          <w:w w:val="120"/>
          <w:sz w:val="20"/>
        </w:rPr>
        <w:t>December </w:t>
      </w:r>
      <w:r>
        <w:rPr>
          <w:spacing w:val="-12"/>
          <w:w w:val="120"/>
          <w:sz w:val="20"/>
        </w:rPr>
        <w:t>2017, </w:t>
      </w:r>
      <w:r>
        <w:rPr>
          <w:w w:val="120"/>
          <w:sz w:val="20"/>
        </w:rPr>
        <w:t>subject to</w:t>
      </w:r>
      <w:r>
        <w:rPr>
          <w:spacing w:val="-9"/>
          <w:w w:val="120"/>
          <w:sz w:val="20"/>
        </w:rPr>
        <w:t> </w:t>
      </w:r>
      <w:r>
        <w:rPr>
          <w:w w:val="120"/>
          <w:sz w:val="20"/>
        </w:rPr>
        <w:t>review.</w:t>
      </w:r>
    </w:p>
    <w:p>
      <w:pPr>
        <w:spacing w:after="0" w:line="235" w:lineRule="auto"/>
        <w:jc w:val="left"/>
        <w:rPr>
          <w:sz w:val="20"/>
        </w:rPr>
        <w:sectPr>
          <w:pgSz w:w="11910" w:h="16840"/>
          <w:pgMar w:header="0" w:footer="647" w:top="1060" w:bottom="840" w:left="0" w:right="0"/>
        </w:sectPr>
      </w:pPr>
    </w:p>
    <w:p>
      <w:pPr>
        <w:pStyle w:val="ListParagraph"/>
        <w:numPr>
          <w:ilvl w:val="2"/>
          <w:numId w:val="68"/>
        </w:numPr>
        <w:tabs>
          <w:tab w:pos="1815" w:val="left" w:leader="none"/>
        </w:tabs>
        <w:spacing w:line="235" w:lineRule="auto" w:before="107" w:after="0"/>
        <w:ind w:left="1133" w:right="2548" w:firstLine="0"/>
        <w:jc w:val="left"/>
        <w:rPr>
          <w:sz w:val="20"/>
        </w:rPr>
      </w:pPr>
      <w:r>
        <w:rPr/>
        <w:pict>
          <v:rect style="position:absolute;margin-left:12.047pt;margin-top:8.477343pt;width:22.677pt;height:22.677pt;mso-position-horizontal-relative:page;mso-position-vertical-relative:paragraph;z-index:251883520" filled="true" fillcolor="#f9e9c1" stroked="false">
            <v:fill opacity="32768f" type="solid"/>
            <w10:wrap type="none"/>
          </v:rect>
        </w:pict>
      </w:r>
      <w:r>
        <w:rPr>
          <w:w w:val="120"/>
          <w:sz w:val="20"/>
        </w:rPr>
        <w:t>Local church Constitution. It was resolved to adopt the document, subject   to further legal advice for different jurisdictions. (Annexe </w:t>
      </w:r>
      <w:r>
        <w:rPr>
          <w:spacing w:val="-3"/>
          <w:w w:val="120"/>
          <w:sz w:val="20"/>
        </w:rPr>
        <w:t>5) </w:t>
      </w:r>
      <w:r>
        <w:rPr>
          <w:w w:val="120"/>
          <w:sz w:val="20"/>
        </w:rPr>
        <w:t>It applies to churches   in England and Wales and is for local churches to use or adapt as they wish.</w:t>
      </w:r>
      <w:r>
        <w:rPr>
          <w:spacing w:val="25"/>
          <w:w w:val="120"/>
          <w:sz w:val="20"/>
        </w:rPr>
        <w:t> </w:t>
      </w:r>
      <w:r>
        <w:rPr>
          <w:w w:val="120"/>
          <w:sz w:val="20"/>
        </w:rPr>
        <w:t>Scottish</w:t>
      </w:r>
    </w:p>
    <w:p>
      <w:pPr>
        <w:pStyle w:val="BodyText"/>
        <w:spacing w:line="235" w:lineRule="auto" w:before="2"/>
        <w:ind w:left="1133" w:right="1997"/>
      </w:pPr>
      <w:r>
        <w:rPr>
          <w:w w:val="120"/>
        </w:rPr>
        <w:t>churches do not require a constitution and further advice is required for churches in the Isle of Man and the Channel Islands. Churches wishing a copy of the document should contact the General Secretary.</w:t>
      </w:r>
    </w:p>
    <w:p>
      <w:pPr>
        <w:pStyle w:val="BodyText"/>
        <w:spacing w:before="8"/>
        <w:rPr>
          <w:sz w:val="17"/>
        </w:rPr>
      </w:pPr>
    </w:p>
    <w:p>
      <w:pPr>
        <w:numPr>
          <w:ilvl w:val="1"/>
          <w:numId w:val="66"/>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Other</w:t>
      </w:r>
      <w:r>
        <w:rPr>
          <w:rFonts w:ascii="Stone Sans II ITC Std Bk"/>
          <w:b/>
          <w:spacing w:val="-2"/>
          <w:w w:val="115"/>
          <w:sz w:val="21"/>
        </w:rPr>
        <w:t> </w:t>
      </w:r>
      <w:r>
        <w:rPr>
          <w:rFonts w:ascii="Stone Sans II ITC Std Bk"/>
          <w:b/>
          <w:w w:val="115"/>
          <w:sz w:val="21"/>
        </w:rPr>
        <w:t>Actions</w:t>
      </w:r>
    </w:p>
    <w:p>
      <w:pPr>
        <w:pStyle w:val="ListParagraph"/>
        <w:numPr>
          <w:ilvl w:val="2"/>
          <w:numId w:val="66"/>
        </w:numPr>
        <w:tabs>
          <w:tab w:pos="1814" w:val="left" w:leader="none"/>
          <w:tab w:pos="1815" w:val="left" w:leader="none"/>
        </w:tabs>
        <w:spacing w:line="240" w:lineRule="auto" w:before="218" w:after="0"/>
        <w:ind w:left="1814" w:right="0" w:hanging="682"/>
        <w:jc w:val="left"/>
        <w:rPr>
          <w:sz w:val="20"/>
        </w:rPr>
      </w:pPr>
      <w:r>
        <w:rPr>
          <w:w w:val="125"/>
          <w:sz w:val="20"/>
        </w:rPr>
        <w:t>December</w:t>
      </w:r>
      <w:r>
        <w:rPr>
          <w:spacing w:val="-1"/>
          <w:w w:val="125"/>
          <w:sz w:val="20"/>
        </w:rPr>
        <w:t> </w:t>
      </w:r>
      <w:r>
        <w:rPr>
          <w:w w:val="125"/>
          <w:sz w:val="20"/>
        </w:rPr>
        <w:t>2008</w:t>
      </w:r>
    </w:p>
    <w:p>
      <w:pPr>
        <w:pStyle w:val="BodyText"/>
        <w:spacing w:before="8"/>
        <w:rPr>
          <w:sz w:val="19"/>
        </w:rPr>
      </w:pPr>
    </w:p>
    <w:p>
      <w:pPr>
        <w:pStyle w:val="ListParagraph"/>
        <w:numPr>
          <w:ilvl w:val="3"/>
          <w:numId w:val="66"/>
        </w:numPr>
        <w:tabs>
          <w:tab w:pos="1814" w:val="left" w:leader="none"/>
          <w:tab w:pos="1815" w:val="left" w:leader="none"/>
        </w:tabs>
        <w:spacing w:line="235" w:lineRule="auto" w:before="0" w:after="0"/>
        <w:ind w:left="1133" w:right="2057" w:firstLine="0"/>
        <w:jc w:val="left"/>
        <w:rPr>
          <w:sz w:val="20"/>
        </w:rPr>
      </w:pPr>
      <w:r>
        <w:rPr>
          <w:w w:val="120"/>
          <w:sz w:val="20"/>
        </w:rPr>
        <w:t>The General Secretary reported on </w:t>
      </w:r>
      <w:r>
        <w:rPr>
          <w:spacing w:val="-3"/>
          <w:w w:val="120"/>
          <w:sz w:val="20"/>
        </w:rPr>
        <w:t>conversations </w:t>
      </w:r>
      <w:r>
        <w:rPr>
          <w:w w:val="120"/>
          <w:sz w:val="20"/>
        </w:rPr>
        <w:t>with her counterpart in the Methodist </w:t>
      </w:r>
      <w:r>
        <w:rPr>
          <w:spacing w:val="-3"/>
          <w:w w:val="120"/>
          <w:sz w:val="20"/>
        </w:rPr>
        <w:t>Church. </w:t>
      </w:r>
      <w:r>
        <w:rPr>
          <w:w w:val="120"/>
          <w:sz w:val="20"/>
        </w:rPr>
        <w:t>Assembly </w:t>
      </w:r>
      <w:r>
        <w:rPr>
          <w:spacing w:val="-2"/>
          <w:w w:val="120"/>
          <w:sz w:val="20"/>
        </w:rPr>
        <w:t>appointed </w:t>
      </w:r>
      <w:r>
        <w:rPr>
          <w:w w:val="120"/>
          <w:sz w:val="20"/>
        </w:rPr>
        <w:t>staff members from the URC were meeting with their counterparts in the Methodist </w:t>
      </w:r>
      <w:r>
        <w:rPr>
          <w:spacing w:val="-3"/>
          <w:w w:val="120"/>
          <w:sz w:val="20"/>
        </w:rPr>
        <w:t>Church to </w:t>
      </w:r>
      <w:r>
        <w:rPr>
          <w:w w:val="120"/>
          <w:sz w:val="20"/>
        </w:rPr>
        <w:t>explain their roles. Mission </w:t>
      </w:r>
      <w:r>
        <w:rPr>
          <w:spacing w:val="-3"/>
          <w:w w:val="120"/>
          <w:sz w:val="20"/>
        </w:rPr>
        <w:t>Council </w:t>
      </w:r>
      <w:r>
        <w:rPr>
          <w:w w:val="120"/>
          <w:sz w:val="20"/>
        </w:rPr>
        <w:t>agreed </w:t>
      </w:r>
      <w:r>
        <w:rPr>
          <w:spacing w:val="-3"/>
          <w:w w:val="120"/>
          <w:sz w:val="20"/>
        </w:rPr>
        <w:t>to welcome </w:t>
      </w:r>
      <w:r>
        <w:rPr>
          <w:w w:val="120"/>
          <w:sz w:val="20"/>
        </w:rPr>
        <w:t>a Methodist observer </w:t>
      </w:r>
      <w:r>
        <w:rPr>
          <w:spacing w:val="-3"/>
          <w:w w:val="120"/>
          <w:sz w:val="20"/>
        </w:rPr>
        <w:t>to </w:t>
      </w:r>
      <w:r>
        <w:rPr>
          <w:w w:val="120"/>
          <w:sz w:val="20"/>
        </w:rPr>
        <w:t>future meetings and </w:t>
      </w:r>
      <w:r>
        <w:rPr>
          <w:spacing w:val="-3"/>
          <w:w w:val="120"/>
          <w:sz w:val="20"/>
        </w:rPr>
        <w:t>to </w:t>
      </w:r>
      <w:r>
        <w:rPr>
          <w:w w:val="120"/>
          <w:sz w:val="20"/>
        </w:rPr>
        <w:t>appoint a URC observer </w:t>
      </w:r>
      <w:r>
        <w:rPr>
          <w:spacing w:val="-3"/>
          <w:w w:val="120"/>
          <w:sz w:val="20"/>
        </w:rPr>
        <w:t>to </w:t>
      </w:r>
      <w:r>
        <w:rPr>
          <w:w w:val="120"/>
          <w:sz w:val="20"/>
        </w:rPr>
        <w:t>attend the Methodist </w:t>
      </w:r>
      <w:r>
        <w:rPr>
          <w:spacing w:val="-3"/>
          <w:w w:val="120"/>
          <w:sz w:val="20"/>
        </w:rPr>
        <w:t>Church Council, </w:t>
      </w:r>
      <w:r>
        <w:rPr>
          <w:w w:val="120"/>
          <w:sz w:val="20"/>
        </w:rPr>
        <w:t>subject </w:t>
      </w:r>
      <w:r>
        <w:rPr>
          <w:spacing w:val="-3"/>
          <w:w w:val="120"/>
          <w:sz w:val="20"/>
        </w:rPr>
        <w:t>to </w:t>
      </w:r>
      <w:r>
        <w:rPr>
          <w:w w:val="120"/>
          <w:sz w:val="20"/>
        </w:rPr>
        <w:t>review in </w:t>
      </w:r>
      <w:r>
        <w:rPr>
          <w:spacing w:val="-7"/>
          <w:w w:val="120"/>
          <w:sz w:val="20"/>
        </w:rPr>
        <w:t>2010. </w:t>
      </w:r>
      <w:r>
        <w:rPr>
          <w:w w:val="120"/>
          <w:sz w:val="20"/>
        </w:rPr>
        <w:t>It also </w:t>
      </w:r>
      <w:r>
        <w:rPr>
          <w:spacing w:val="-3"/>
          <w:w w:val="120"/>
          <w:sz w:val="20"/>
        </w:rPr>
        <w:t>welcomed </w:t>
      </w:r>
      <w:r>
        <w:rPr>
          <w:w w:val="120"/>
          <w:sz w:val="20"/>
        </w:rPr>
        <w:t>the proposal of a joint meeting with the Methodist </w:t>
      </w:r>
      <w:r>
        <w:rPr>
          <w:spacing w:val="-3"/>
          <w:w w:val="120"/>
          <w:sz w:val="20"/>
        </w:rPr>
        <w:t>Church Council </w:t>
      </w:r>
      <w:r>
        <w:rPr>
          <w:w w:val="120"/>
          <w:sz w:val="20"/>
        </w:rPr>
        <w:t>in the </w:t>
      </w:r>
      <w:r>
        <w:rPr>
          <w:spacing w:val="-3"/>
          <w:w w:val="120"/>
          <w:sz w:val="20"/>
        </w:rPr>
        <w:t>Autumn </w:t>
      </w:r>
      <w:r>
        <w:rPr>
          <w:w w:val="120"/>
          <w:sz w:val="20"/>
        </w:rPr>
        <w:t>of </w:t>
      </w:r>
      <w:r>
        <w:rPr>
          <w:spacing w:val="-7"/>
          <w:w w:val="120"/>
          <w:sz w:val="20"/>
        </w:rPr>
        <w:t>2010 </w:t>
      </w:r>
      <w:r>
        <w:rPr>
          <w:w w:val="120"/>
          <w:sz w:val="20"/>
        </w:rPr>
        <w:t>and encouraged the General Secretary </w:t>
      </w:r>
      <w:r>
        <w:rPr>
          <w:spacing w:val="-3"/>
          <w:w w:val="120"/>
          <w:sz w:val="20"/>
        </w:rPr>
        <w:t>to make </w:t>
      </w:r>
      <w:r>
        <w:rPr>
          <w:w w:val="120"/>
          <w:sz w:val="20"/>
        </w:rPr>
        <w:t>preparations. Officers of both the Methodist and </w:t>
      </w:r>
      <w:r>
        <w:rPr>
          <w:spacing w:val="-3"/>
          <w:w w:val="120"/>
          <w:sz w:val="20"/>
        </w:rPr>
        <w:t>United </w:t>
      </w:r>
      <w:r>
        <w:rPr>
          <w:w w:val="120"/>
          <w:sz w:val="20"/>
        </w:rPr>
        <w:t>Reformed </w:t>
      </w:r>
      <w:r>
        <w:rPr>
          <w:spacing w:val="-3"/>
          <w:w w:val="120"/>
          <w:sz w:val="20"/>
        </w:rPr>
        <w:t>Churches </w:t>
      </w:r>
      <w:r>
        <w:rPr>
          <w:w w:val="120"/>
          <w:sz w:val="20"/>
        </w:rPr>
        <w:t>meet three times a </w:t>
      </w:r>
      <w:r>
        <w:rPr>
          <w:spacing w:val="-3"/>
          <w:w w:val="120"/>
          <w:sz w:val="20"/>
        </w:rPr>
        <w:t>year </w:t>
      </w:r>
      <w:r>
        <w:rPr>
          <w:w w:val="120"/>
          <w:sz w:val="20"/>
        </w:rPr>
        <w:t>as a </w:t>
      </w:r>
      <w:r>
        <w:rPr>
          <w:spacing w:val="-3"/>
          <w:w w:val="120"/>
          <w:sz w:val="20"/>
        </w:rPr>
        <w:t>Strategic </w:t>
      </w:r>
      <w:r>
        <w:rPr>
          <w:w w:val="120"/>
          <w:sz w:val="20"/>
        </w:rPr>
        <w:t>Oversight</w:t>
      </w:r>
      <w:r>
        <w:rPr>
          <w:spacing w:val="-11"/>
          <w:w w:val="120"/>
          <w:sz w:val="20"/>
        </w:rPr>
        <w:t> </w:t>
      </w:r>
      <w:r>
        <w:rPr>
          <w:spacing w:val="-3"/>
          <w:w w:val="120"/>
          <w:sz w:val="20"/>
        </w:rPr>
        <w:t>Group.</w:t>
      </w:r>
    </w:p>
    <w:p>
      <w:pPr>
        <w:pStyle w:val="BodyText"/>
        <w:spacing w:before="2"/>
      </w:pPr>
    </w:p>
    <w:p>
      <w:pPr>
        <w:pStyle w:val="ListParagraph"/>
        <w:numPr>
          <w:ilvl w:val="3"/>
          <w:numId w:val="66"/>
        </w:numPr>
        <w:tabs>
          <w:tab w:pos="1814" w:val="left" w:leader="none"/>
          <w:tab w:pos="1815" w:val="left" w:leader="none"/>
        </w:tabs>
        <w:spacing w:line="235" w:lineRule="auto" w:before="0" w:after="0"/>
        <w:ind w:left="1133" w:right="2517" w:firstLine="0"/>
        <w:jc w:val="left"/>
        <w:rPr>
          <w:sz w:val="20"/>
        </w:rPr>
      </w:pPr>
      <w:r>
        <w:rPr>
          <w:w w:val="120"/>
          <w:sz w:val="20"/>
        </w:rPr>
        <w:t>Mission Council welcomed the proposal of a </w:t>
      </w:r>
      <w:r>
        <w:rPr>
          <w:i/>
          <w:w w:val="120"/>
          <w:sz w:val="20"/>
        </w:rPr>
        <w:t>God is still speaking </w:t>
      </w:r>
      <w:r>
        <w:rPr>
          <w:w w:val="120"/>
          <w:sz w:val="20"/>
        </w:rPr>
        <w:t>initiative in the United Reformed Church as a vehicle for renewal and evangelism, approved the submission of a grant application to the </w:t>
      </w:r>
      <w:r>
        <w:rPr>
          <w:spacing w:val="3"/>
          <w:w w:val="120"/>
          <w:sz w:val="20"/>
        </w:rPr>
        <w:t>CWM </w:t>
      </w:r>
      <w:r>
        <w:rPr>
          <w:w w:val="120"/>
          <w:sz w:val="20"/>
        </w:rPr>
        <w:t>Mission Support Programme for</w:t>
      </w:r>
      <w:r>
        <w:rPr>
          <w:spacing w:val="34"/>
          <w:w w:val="120"/>
          <w:sz w:val="20"/>
        </w:rPr>
        <w:t> </w:t>
      </w:r>
      <w:r>
        <w:rPr>
          <w:w w:val="120"/>
          <w:sz w:val="20"/>
        </w:rPr>
        <w:t>a</w:t>
      </w:r>
    </w:p>
    <w:p>
      <w:pPr>
        <w:spacing w:line="235" w:lineRule="auto" w:before="2"/>
        <w:ind w:left="1133" w:right="1997" w:firstLine="0"/>
        <w:jc w:val="left"/>
        <w:rPr>
          <w:sz w:val="20"/>
        </w:rPr>
      </w:pPr>
      <w:r>
        <w:rPr>
          <w:i/>
          <w:w w:val="120"/>
          <w:sz w:val="20"/>
        </w:rPr>
        <w:t>Marketing Campaign </w:t>
      </w:r>
      <w:r>
        <w:rPr>
          <w:w w:val="120"/>
          <w:sz w:val="20"/>
        </w:rPr>
        <w:t>in the United Reformed Church, and asked the Mission Committee to proceed with preparations for the </w:t>
      </w:r>
      <w:r>
        <w:rPr>
          <w:i/>
          <w:w w:val="120"/>
          <w:sz w:val="20"/>
        </w:rPr>
        <w:t>Marketing Campaign</w:t>
      </w:r>
      <w:r>
        <w:rPr>
          <w:w w:val="120"/>
          <w:sz w:val="20"/>
        </w:rPr>
        <w:t>.</w:t>
      </w:r>
    </w:p>
    <w:p>
      <w:pPr>
        <w:pStyle w:val="BodyText"/>
        <w:spacing w:before="9"/>
        <w:rPr>
          <w:sz w:val="19"/>
        </w:rPr>
      </w:pPr>
    </w:p>
    <w:p>
      <w:pPr>
        <w:pStyle w:val="ListParagraph"/>
        <w:numPr>
          <w:ilvl w:val="3"/>
          <w:numId w:val="66"/>
        </w:numPr>
        <w:tabs>
          <w:tab w:pos="1814" w:val="left" w:leader="none"/>
          <w:tab w:pos="1815" w:val="left" w:leader="none"/>
        </w:tabs>
        <w:spacing w:line="235" w:lineRule="auto" w:before="0" w:after="0"/>
        <w:ind w:left="1133" w:right="2633" w:firstLine="0"/>
        <w:jc w:val="left"/>
        <w:rPr>
          <w:sz w:val="20"/>
        </w:rPr>
      </w:pPr>
      <w:r>
        <w:rPr>
          <w:w w:val="120"/>
          <w:sz w:val="20"/>
        </w:rPr>
        <w:t>Mission Council resolved that the Windermere Centre be recognised as a Resource Centre for Learning for the United Reformed Church, one of the coalition of</w:t>
      </w:r>
      <w:r>
        <w:rPr>
          <w:spacing w:val="6"/>
          <w:w w:val="120"/>
          <w:sz w:val="20"/>
        </w:rPr>
        <w:t> </w:t>
      </w:r>
      <w:r>
        <w:rPr>
          <w:w w:val="120"/>
          <w:sz w:val="20"/>
        </w:rPr>
        <w:t>learning</w:t>
      </w:r>
      <w:r>
        <w:rPr>
          <w:spacing w:val="7"/>
          <w:w w:val="120"/>
          <w:sz w:val="20"/>
        </w:rPr>
        <w:t> </w:t>
      </w:r>
      <w:r>
        <w:rPr>
          <w:w w:val="120"/>
          <w:sz w:val="20"/>
        </w:rPr>
        <w:t>providers</w:t>
      </w:r>
      <w:r>
        <w:rPr>
          <w:spacing w:val="7"/>
          <w:w w:val="120"/>
          <w:sz w:val="20"/>
        </w:rPr>
        <w:t> </w:t>
      </w:r>
      <w:r>
        <w:rPr>
          <w:w w:val="120"/>
          <w:sz w:val="20"/>
        </w:rPr>
        <w:t>seeking</w:t>
      </w:r>
      <w:r>
        <w:rPr>
          <w:spacing w:val="7"/>
          <w:w w:val="120"/>
          <w:sz w:val="20"/>
        </w:rPr>
        <w:t> </w:t>
      </w:r>
      <w:r>
        <w:rPr>
          <w:w w:val="120"/>
          <w:sz w:val="20"/>
        </w:rPr>
        <w:t>to</w:t>
      </w:r>
      <w:r>
        <w:rPr>
          <w:spacing w:val="7"/>
          <w:w w:val="120"/>
          <w:sz w:val="20"/>
        </w:rPr>
        <w:t> </w:t>
      </w:r>
      <w:r>
        <w:rPr>
          <w:w w:val="120"/>
          <w:sz w:val="20"/>
        </w:rPr>
        <w:t>equip</w:t>
      </w:r>
      <w:r>
        <w:rPr>
          <w:spacing w:val="7"/>
          <w:w w:val="120"/>
          <w:sz w:val="20"/>
        </w:rPr>
        <w:t> </w:t>
      </w:r>
      <w:r>
        <w:rPr>
          <w:w w:val="120"/>
          <w:sz w:val="20"/>
        </w:rPr>
        <w:t>the</w:t>
      </w:r>
      <w:r>
        <w:rPr>
          <w:spacing w:val="7"/>
          <w:w w:val="120"/>
          <w:sz w:val="20"/>
        </w:rPr>
        <w:t> </w:t>
      </w:r>
      <w:r>
        <w:rPr>
          <w:w w:val="120"/>
          <w:sz w:val="20"/>
        </w:rPr>
        <w:t>whole</w:t>
      </w:r>
      <w:r>
        <w:rPr>
          <w:spacing w:val="7"/>
          <w:w w:val="120"/>
          <w:sz w:val="20"/>
        </w:rPr>
        <w:t> </w:t>
      </w:r>
      <w:r>
        <w:rPr>
          <w:w w:val="120"/>
          <w:sz w:val="20"/>
        </w:rPr>
        <w:t>people</w:t>
      </w:r>
      <w:r>
        <w:rPr>
          <w:spacing w:val="7"/>
          <w:w w:val="120"/>
          <w:sz w:val="20"/>
        </w:rPr>
        <w:t> </w:t>
      </w:r>
      <w:r>
        <w:rPr>
          <w:w w:val="120"/>
          <w:sz w:val="20"/>
        </w:rPr>
        <w:t>of</w:t>
      </w:r>
      <w:r>
        <w:rPr>
          <w:spacing w:val="7"/>
          <w:w w:val="120"/>
          <w:sz w:val="20"/>
        </w:rPr>
        <w:t> </w:t>
      </w:r>
      <w:r>
        <w:rPr>
          <w:w w:val="120"/>
          <w:sz w:val="20"/>
        </w:rPr>
        <w:t>God,</w:t>
      </w:r>
      <w:r>
        <w:rPr>
          <w:spacing w:val="7"/>
          <w:w w:val="120"/>
          <w:sz w:val="20"/>
        </w:rPr>
        <w:t> </w:t>
      </w:r>
      <w:r>
        <w:rPr>
          <w:w w:val="120"/>
          <w:sz w:val="20"/>
        </w:rPr>
        <w:t>and</w:t>
      </w:r>
      <w:r>
        <w:rPr>
          <w:spacing w:val="7"/>
          <w:w w:val="120"/>
          <w:sz w:val="20"/>
        </w:rPr>
        <w:t> </w:t>
      </w:r>
      <w:r>
        <w:rPr>
          <w:w w:val="120"/>
          <w:sz w:val="20"/>
        </w:rPr>
        <w:t>that</w:t>
      </w:r>
      <w:r>
        <w:rPr>
          <w:spacing w:val="7"/>
          <w:w w:val="120"/>
          <w:sz w:val="20"/>
        </w:rPr>
        <w:t> </w:t>
      </w:r>
      <w:r>
        <w:rPr>
          <w:w w:val="120"/>
          <w:sz w:val="20"/>
        </w:rPr>
        <w:t>a</w:t>
      </w:r>
      <w:r>
        <w:rPr>
          <w:spacing w:val="7"/>
          <w:w w:val="120"/>
          <w:sz w:val="20"/>
        </w:rPr>
        <w:t> </w:t>
      </w:r>
      <w:r>
        <w:rPr>
          <w:w w:val="120"/>
          <w:sz w:val="20"/>
        </w:rPr>
        <w:t>new</w:t>
      </w:r>
    </w:p>
    <w:p>
      <w:pPr>
        <w:pStyle w:val="BodyText"/>
        <w:spacing w:line="235" w:lineRule="auto" w:before="3"/>
        <w:ind w:left="1133" w:right="2081"/>
        <w:jc w:val="both"/>
      </w:pPr>
      <w:r>
        <w:rPr>
          <w:w w:val="120"/>
        </w:rPr>
        <w:t>Windermere Management Committee should replace the present Windermere Advisory Group and the Windermere Local Management Committee. The new committee would be a sub-committee of Education and Learning.</w:t>
      </w:r>
    </w:p>
    <w:p>
      <w:pPr>
        <w:pStyle w:val="BodyText"/>
        <w:spacing w:before="10"/>
        <w:rPr>
          <w:sz w:val="19"/>
        </w:rPr>
      </w:pPr>
    </w:p>
    <w:p>
      <w:pPr>
        <w:pStyle w:val="ListParagraph"/>
        <w:numPr>
          <w:ilvl w:val="3"/>
          <w:numId w:val="66"/>
        </w:numPr>
        <w:tabs>
          <w:tab w:pos="1814" w:val="left" w:leader="none"/>
          <w:tab w:pos="1815" w:val="left" w:leader="none"/>
        </w:tabs>
        <w:spacing w:line="235" w:lineRule="auto" w:before="0" w:after="0"/>
        <w:ind w:left="1133" w:right="2121" w:firstLine="0"/>
        <w:jc w:val="left"/>
        <w:rPr>
          <w:sz w:val="20"/>
        </w:rPr>
      </w:pPr>
      <w:r>
        <w:rPr>
          <w:w w:val="120"/>
          <w:sz w:val="20"/>
        </w:rPr>
        <w:t>The </w:t>
      </w:r>
      <w:r>
        <w:rPr>
          <w:spacing w:val="-3"/>
          <w:w w:val="120"/>
          <w:sz w:val="20"/>
        </w:rPr>
        <w:t>URC’s </w:t>
      </w:r>
      <w:r>
        <w:rPr>
          <w:w w:val="120"/>
          <w:sz w:val="20"/>
        </w:rPr>
        <w:t>two investment committees, (serving the URC Trust and the Ministers’ Pension Trust respectively) were combined into one. A number of members were due  to retire shortly and so this seemed a sensible time to create a single group with</w:t>
      </w:r>
      <w:r>
        <w:rPr>
          <w:spacing w:val="22"/>
          <w:w w:val="120"/>
          <w:sz w:val="20"/>
        </w:rPr>
        <w:t> </w:t>
      </w:r>
      <w:r>
        <w:rPr>
          <w:w w:val="120"/>
          <w:sz w:val="20"/>
        </w:rPr>
        <w:t>those</w:t>
      </w:r>
    </w:p>
    <w:p>
      <w:pPr>
        <w:pStyle w:val="BodyText"/>
        <w:spacing w:line="235" w:lineRule="auto" w:before="2"/>
        <w:ind w:left="1133" w:right="1997"/>
      </w:pPr>
      <w:r>
        <w:rPr>
          <w:w w:val="120"/>
        </w:rPr>
        <w:t>who had continuity of knowledge forming the first committee members. Mission Council therefore thanked the serving members and resolved that from 1</w:t>
      </w:r>
      <w:r>
        <w:rPr>
          <w:w w:val="120"/>
          <w:position w:val="7"/>
          <w:sz w:val="11"/>
        </w:rPr>
        <w:t>st </w:t>
      </w:r>
      <w:r>
        <w:rPr>
          <w:w w:val="120"/>
        </w:rPr>
        <w:t>January 2009 a United Reformed Church Investment Committee should operate in accordance with the agreed terms of reference and composition.</w:t>
      </w:r>
    </w:p>
    <w:p>
      <w:pPr>
        <w:pStyle w:val="BodyText"/>
        <w:spacing w:before="11"/>
        <w:rPr>
          <w:sz w:val="19"/>
        </w:rPr>
      </w:pPr>
    </w:p>
    <w:p>
      <w:pPr>
        <w:pStyle w:val="ListParagraph"/>
        <w:numPr>
          <w:ilvl w:val="3"/>
          <w:numId w:val="66"/>
        </w:numPr>
        <w:tabs>
          <w:tab w:pos="1813" w:val="left" w:leader="none"/>
          <w:tab w:pos="1815" w:val="left" w:leader="none"/>
        </w:tabs>
        <w:spacing w:line="235" w:lineRule="auto" w:before="0" w:after="0"/>
        <w:ind w:left="1133" w:right="2107" w:firstLine="0"/>
        <w:jc w:val="left"/>
        <w:rPr>
          <w:sz w:val="20"/>
        </w:rPr>
      </w:pPr>
      <w:r>
        <w:rPr>
          <w:w w:val="120"/>
          <w:sz w:val="20"/>
        </w:rPr>
        <w:t>Mission Council agreed to reappoint the Revd David Grosch–Miller as Moderator of the South Western Synod from </w:t>
      </w:r>
      <w:r>
        <w:rPr>
          <w:spacing w:val="-4"/>
          <w:w w:val="120"/>
          <w:sz w:val="20"/>
        </w:rPr>
        <w:t>1</w:t>
      </w:r>
      <w:r>
        <w:rPr>
          <w:spacing w:val="-4"/>
          <w:w w:val="120"/>
          <w:position w:val="7"/>
          <w:sz w:val="11"/>
        </w:rPr>
        <w:t>st </w:t>
      </w:r>
      <w:r>
        <w:rPr>
          <w:w w:val="120"/>
          <w:sz w:val="20"/>
        </w:rPr>
        <w:t>September 2009 to </w:t>
      </w:r>
      <w:r>
        <w:rPr>
          <w:spacing w:val="-7"/>
          <w:w w:val="120"/>
          <w:sz w:val="20"/>
        </w:rPr>
        <w:t>31</w:t>
      </w:r>
      <w:r>
        <w:rPr>
          <w:spacing w:val="-7"/>
          <w:w w:val="120"/>
          <w:position w:val="7"/>
          <w:sz w:val="11"/>
        </w:rPr>
        <w:t>st </w:t>
      </w:r>
      <w:r>
        <w:rPr>
          <w:w w:val="120"/>
          <w:sz w:val="20"/>
        </w:rPr>
        <w:t>August</w:t>
      </w:r>
      <w:r>
        <w:rPr>
          <w:spacing w:val="34"/>
          <w:w w:val="120"/>
          <w:sz w:val="20"/>
        </w:rPr>
        <w:t> </w:t>
      </w:r>
      <w:r>
        <w:rPr>
          <w:spacing w:val="-7"/>
          <w:w w:val="120"/>
          <w:sz w:val="20"/>
        </w:rPr>
        <w:t>2013.</w:t>
      </w:r>
    </w:p>
    <w:p>
      <w:pPr>
        <w:pStyle w:val="BodyText"/>
        <w:spacing w:before="10"/>
        <w:rPr>
          <w:sz w:val="19"/>
        </w:rPr>
      </w:pPr>
    </w:p>
    <w:p>
      <w:pPr>
        <w:pStyle w:val="ListParagraph"/>
        <w:numPr>
          <w:ilvl w:val="3"/>
          <w:numId w:val="66"/>
        </w:numPr>
        <w:tabs>
          <w:tab w:pos="1813" w:val="left" w:leader="none"/>
          <w:tab w:pos="1815" w:val="left" w:leader="none"/>
        </w:tabs>
        <w:spacing w:line="235" w:lineRule="auto" w:before="0" w:after="0"/>
        <w:ind w:left="1133" w:right="2301" w:firstLine="0"/>
        <w:jc w:val="left"/>
        <w:rPr>
          <w:sz w:val="20"/>
        </w:rPr>
      </w:pPr>
      <w:r>
        <w:rPr>
          <w:w w:val="120"/>
          <w:sz w:val="20"/>
        </w:rPr>
        <w:t>Mission Council authorised the scheme of Local Ministry and Mission Review as proposed by the Ministries</w:t>
      </w:r>
      <w:r>
        <w:rPr>
          <w:spacing w:val="8"/>
          <w:w w:val="120"/>
          <w:sz w:val="20"/>
        </w:rPr>
        <w:t> </w:t>
      </w:r>
      <w:r>
        <w:rPr>
          <w:w w:val="120"/>
          <w:sz w:val="20"/>
        </w:rPr>
        <w:t>Committee.</w:t>
      </w:r>
    </w:p>
    <w:p>
      <w:pPr>
        <w:pStyle w:val="BodyText"/>
        <w:spacing w:before="9"/>
        <w:rPr>
          <w:sz w:val="19"/>
        </w:rPr>
      </w:pPr>
    </w:p>
    <w:p>
      <w:pPr>
        <w:pStyle w:val="ListParagraph"/>
        <w:numPr>
          <w:ilvl w:val="3"/>
          <w:numId w:val="66"/>
        </w:numPr>
        <w:tabs>
          <w:tab w:pos="1813" w:val="left" w:leader="none"/>
          <w:tab w:pos="1815" w:val="left" w:leader="none"/>
        </w:tabs>
        <w:spacing w:line="235" w:lineRule="auto" w:before="1" w:after="0"/>
        <w:ind w:left="1133" w:right="2114" w:firstLine="0"/>
        <w:jc w:val="left"/>
        <w:rPr>
          <w:sz w:val="20"/>
        </w:rPr>
      </w:pPr>
      <w:r>
        <w:rPr>
          <w:w w:val="120"/>
          <w:sz w:val="20"/>
        </w:rPr>
        <w:t>Mission Council resolved that henceforth the disciplinary process for Ministers and Church Related Community Workers should be known as ‘The Disciplinary </w:t>
      </w:r>
      <w:r>
        <w:rPr>
          <w:spacing w:val="-3"/>
          <w:w w:val="120"/>
          <w:sz w:val="20"/>
        </w:rPr>
        <w:t>Process’. </w:t>
      </w:r>
      <w:r>
        <w:rPr>
          <w:w w:val="120"/>
          <w:sz w:val="20"/>
        </w:rPr>
        <w:t>Where</w:t>
      </w:r>
      <w:r>
        <w:rPr>
          <w:spacing w:val="5"/>
          <w:w w:val="120"/>
          <w:sz w:val="20"/>
        </w:rPr>
        <w:t> </w:t>
      </w:r>
      <w:r>
        <w:rPr>
          <w:w w:val="120"/>
          <w:sz w:val="20"/>
        </w:rPr>
        <w:t>appropriate</w:t>
      </w:r>
      <w:r>
        <w:rPr>
          <w:spacing w:val="6"/>
          <w:w w:val="120"/>
          <w:sz w:val="20"/>
        </w:rPr>
        <w:t> </w:t>
      </w:r>
      <w:r>
        <w:rPr>
          <w:w w:val="120"/>
          <w:sz w:val="20"/>
        </w:rPr>
        <w:t>the</w:t>
      </w:r>
      <w:r>
        <w:rPr>
          <w:spacing w:val="6"/>
          <w:w w:val="120"/>
          <w:sz w:val="20"/>
        </w:rPr>
        <w:t> </w:t>
      </w:r>
      <w:r>
        <w:rPr>
          <w:w w:val="120"/>
          <w:sz w:val="20"/>
        </w:rPr>
        <w:t>words</w:t>
      </w:r>
      <w:r>
        <w:rPr>
          <w:spacing w:val="6"/>
          <w:w w:val="120"/>
          <w:sz w:val="20"/>
        </w:rPr>
        <w:t> </w:t>
      </w:r>
      <w:r>
        <w:rPr>
          <w:w w:val="120"/>
          <w:sz w:val="20"/>
        </w:rPr>
        <w:t>‘found</w:t>
      </w:r>
      <w:r>
        <w:rPr>
          <w:spacing w:val="6"/>
          <w:w w:val="120"/>
          <w:sz w:val="20"/>
        </w:rPr>
        <w:t> </w:t>
      </w:r>
      <w:r>
        <w:rPr>
          <w:w w:val="120"/>
          <w:sz w:val="20"/>
        </w:rPr>
        <w:t>in</w:t>
      </w:r>
      <w:r>
        <w:rPr>
          <w:spacing w:val="6"/>
          <w:w w:val="120"/>
          <w:sz w:val="20"/>
        </w:rPr>
        <w:t> </w:t>
      </w:r>
      <w:r>
        <w:rPr>
          <w:w w:val="120"/>
          <w:sz w:val="20"/>
        </w:rPr>
        <w:t>Section</w:t>
      </w:r>
      <w:r>
        <w:rPr>
          <w:spacing w:val="6"/>
          <w:w w:val="120"/>
          <w:sz w:val="20"/>
        </w:rPr>
        <w:t> </w:t>
      </w:r>
      <w:r>
        <w:rPr>
          <w:w w:val="120"/>
          <w:sz w:val="20"/>
        </w:rPr>
        <w:t>O</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Manual’</w:t>
      </w:r>
      <w:r>
        <w:rPr>
          <w:spacing w:val="6"/>
          <w:w w:val="120"/>
          <w:sz w:val="20"/>
        </w:rPr>
        <w:t> </w:t>
      </w:r>
      <w:r>
        <w:rPr>
          <w:w w:val="120"/>
          <w:sz w:val="20"/>
        </w:rPr>
        <w:t>might</w:t>
      </w:r>
      <w:r>
        <w:rPr>
          <w:spacing w:val="6"/>
          <w:w w:val="120"/>
          <w:sz w:val="20"/>
        </w:rPr>
        <w:t> </w:t>
      </w:r>
      <w:r>
        <w:rPr>
          <w:w w:val="120"/>
          <w:sz w:val="20"/>
        </w:rPr>
        <w:t>be</w:t>
      </w:r>
      <w:r>
        <w:rPr>
          <w:spacing w:val="5"/>
          <w:w w:val="120"/>
          <w:sz w:val="20"/>
        </w:rPr>
        <w:t> </w:t>
      </w:r>
      <w:r>
        <w:rPr>
          <w:w w:val="120"/>
          <w:sz w:val="20"/>
        </w:rPr>
        <w:t>added.</w:t>
      </w:r>
    </w:p>
    <w:p>
      <w:pPr>
        <w:pStyle w:val="BodyText"/>
        <w:spacing w:before="6"/>
        <w:rPr>
          <w:sz w:val="19"/>
        </w:rPr>
      </w:pPr>
    </w:p>
    <w:p>
      <w:pPr>
        <w:pStyle w:val="BodyText"/>
        <w:tabs>
          <w:tab w:pos="1813" w:val="left" w:leader="none"/>
        </w:tabs>
        <w:ind w:left="1133"/>
      </w:pPr>
      <w:r>
        <w:rPr>
          <w:w w:val="125"/>
        </w:rPr>
        <w:t>3.2</w:t>
        <w:tab/>
        <w:t>May</w:t>
      </w:r>
      <w:r>
        <w:rPr>
          <w:spacing w:val="-1"/>
          <w:w w:val="125"/>
        </w:rPr>
        <w:t> </w:t>
      </w:r>
      <w:r>
        <w:rPr>
          <w:w w:val="125"/>
        </w:rPr>
        <w:t>2009</w:t>
      </w:r>
    </w:p>
    <w:p>
      <w:pPr>
        <w:pStyle w:val="BodyText"/>
        <w:spacing w:before="7"/>
        <w:rPr>
          <w:sz w:val="19"/>
        </w:rPr>
      </w:pPr>
    </w:p>
    <w:p>
      <w:pPr>
        <w:pStyle w:val="ListParagraph"/>
        <w:numPr>
          <w:ilvl w:val="2"/>
          <w:numId w:val="70"/>
        </w:numPr>
        <w:tabs>
          <w:tab w:pos="1815" w:val="left" w:leader="none"/>
        </w:tabs>
        <w:spacing w:line="235" w:lineRule="auto" w:before="1" w:after="0"/>
        <w:ind w:left="1133" w:right="1995" w:firstLine="0"/>
        <w:jc w:val="left"/>
        <w:rPr>
          <w:sz w:val="20"/>
        </w:rPr>
      </w:pPr>
      <w:r>
        <w:rPr>
          <w:w w:val="120"/>
          <w:sz w:val="20"/>
        </w:rPr>
        <w:t>Mission Council adopted </w:t>
      </w:r>
      <w:r>
        <w:rPr>
          <w:i/>
          <w:w w:val="120"/>
          <w:sz w:val="20"/>
        </w:rPr>
        <w:t>Hope in </w:t>
      </w:r>
      <w:r>
        <w:rPr>
          <w:i/>
          <w:spacing w:val="-3"/>
          <w:w w:val="120"/>
          <w:sz w:val="20"/>
        </w:rPr>
        <w:t>God’s </w:t>
      </w:r>
      <w:r>
        <w:rPr>
          <w:i/>
          <w:w w:val="120"/>
          <w:sz w:val="20"/>
        </w:rPr>
        <w:t>Future</w:t>
      </w:r>
      <w:r>
        <w:rPr>
          <w:w w:val="120"/>
          <w:sz w:val="20"/>
        </w:rPr>
        <w:t>, the Joint Public Issues </w:t>
      </w:r>
      <w:r>
        <w:rPr>
          <w:spacing w:val="-4"/>
          <w:w w:val="120"/>
          <w:sz w:val="20"/>
        </w:rPr>
        <w:t>Team </w:t>
      </w:r>
      <w:r>
        <w:rPr>
          <w:spacing w:val="2"/>
          <w:w w:val="120"/>
          <w:sz w:val="20"/>
        </w:rPr>
        <w:t>report </w:t>
      </w:r>
      <w:r>
        <w:rPr>
          <w:w w:val="120"/>
          <w:sz w:val="20"/>
        </w:rPr>
        <w:t>on the theology of climate change. It asked the Mission Committee to create a more accessible version for synods and local churches, linked with practical suggestions for study and action, acknowledging the action already taken by many individuals across the churches with respect to their personal lifestyles. It affirmed congregations in seeking to reduce their carbon emissions. It noted the intention of Mission Committee to appoint a climate change consultant to help integrate the recommendations of the </w:t>
      </w:r>
      <w:r>
        <w:rPr>
          <w:spacing w:val="2"/>
          <w:w w:val="120"/>
          <w:sz w:val="20"/>
        </w:rPr>
        <w:t>report </w:t>
      </w:r>
      <w:r>
        <w:rPr>
          <w:w w:val="120"/>
          <w:sz w:val="20"/>
        </w:rPr>
        <w:t>into</w:t>
      </w:r>
      <w:r>
        <w:rPr>
          <w:spacing w:val="21"/>
          <w:w w:val="120"/>
          <w:sz w:val="20"/>
        </w:rPr>
        <w:t> </w:t>
      </w:r>
      <w:r>
        <w:rPr>
          <w:w w:val="120"/>
          <w:sz w:val="20"/>
        </w:rPr>
        <w:t>the</w:t>
      </w:r>
    </w:p>
    <w:p>
      <w:pPr>
        <w:spacing w:after="0" w:line="235" w:lineRule="auto"/>
        <w:jc w:val="left"/>
        <w:rPr>
          <w:sz w:val="20"/>
        </w:rPr>
        <w:sectPr>
          <w:pgSz w:w="11910" w:h="16840"/>
          <w:pgMar w:header="0" w:footer="647" w:top="1060" w:bottom="840" w:left="0" w:right="0"/>
        </w:sectPr>
      </w:pPr>
    </w:p>
    <w:p>
      <w:pPr>
        <w:pStyle w:val="BodyText"/>
        <w:spacing w:line="235" w:lineRule="auto" w:before="91"/>
        <w:ind w:left="1984" w:right="1120"/>
      </w:pPr>
      <w:r>
        <w:rPr/>
        <w:pict>
          <v:rect style="position:absolute;margin-left:558.424988pt;margin-top:8.503343pt;width:22.677pt;height:22.677pt;mso-position-horizontal-relative:page;mso-position-vertical-relative:paragraph;z-index:251884544" filled="true" fillcolor="#f9e9c1" stroked="false">
            <v:fill opacity="32768f" type="solid"/>
            <w10:wrap type="none"/>
          </v:rect>
        </w:pict>
      </w:r>
      <w:r>
        <w:rPr>
          <w:w w:val="120"/>
        </w:rPr>
        <w:t>mission focus and priorities of the URC and instructed them to agree the conditions and outcomes of the post.</w:t>
      </w:r>
    </w:p>
    <w:p>
      <w:pPr>
        <w:pStyle w:val="BodyText"/>
        <w:spacing w:before="9"/>
        <w:rPr>
          <w:sz w:val="19"/>
        </w:rPr>
      </w:pPr>
    </w:p>
    <w:p>
      <w:pPr>
        <w:pStyle w:val="ListParagraph"/>
        <w:numPr>
          <w:ilvl w:val="2"/>
          <w:numId w:val="70"/>
        </w:numPr>
        <w:tabs>
          <w:tab w:pos="2665" w:val="left" w:leader="none"/>
        </w:tabs>
        <w:spacing w:line="235" w:lineRule="auto" w:before="0" w:after="0"/>
        <w:ind w:left="1984" w:right="1889" w:firstLine="0"/>
        <w:jc w:val="left"/>
        <w:rPr>
          <w:sz w:val="20"/>
        </w:rPr>
      </w:pPr>
      <w:r>
        <w:rPr>
          <w:w w:val="120"/>
          <w:sz w:val="20"/>
        </w:rPr>
        <w:t>Mission Council agreed that the new title for the Ministerial Incapacity and Disciplinary</w:t>
      </w:r>
      <w:r>
        <w:rPr>
          <w:spacing w:val="10"/>
          <w:w w:val="120"/>
          <w:sz w:val="20"/>
        </w:rPr>
        <w:t> </w:t>
      </w:r>
      <w:r>
        <w:rPr>
          <w:w w:val="120"/>
          <w:sz w:val="20"/>
        </w:rPr>
        <w:t>Procedures</w:t>
      </w:r>
      <w:r>
        <w:rPr>
          <w:spacing w:val="10"/>
          <w:w w:val="120"/>
          <w:sz w:val="20"/>
        </w:rPr>
        <w:t> </w:t>
      </w:r>
      <w:r>
        <w:rPr>
          <w:w w:val="120"/>
          <w:sz w:val="20"/>
        </w:rPr>
        <w:t>Advisory</w:t>
      </w:r>
      <w:r>
        <w:rPr>
          <w:spacing w:val="10"/>
          <w:w w:val="120"/>
          <w:sz w:val="20"/>
        </w:rPr>
        <w:t> </w:t>
      </w:r>
      <w:r>
        <w:rPr>
          <w:w w:val="120"/>
          <w:sz w:val="20"/>
        </w:rPr>
        <w:t>Group</w:t>
      </w:r>
      <w:r>
        <w:rPr>
          <w:spacing w:val="10"/>
          <w:w w:val="120"/>
          <w:sz w:val="20"/>
        </w:rPr>
        <w:t> </w:t>
      </w:r>
      <w:r>
        <w:rPr>
          <w:w w:val="120"/>
          <w:sz w:val="20"/>
        </w:rPr>
        <w:t>should</w:t>
      </w:r>
      <w:r>
        <w:rPr>
          <w:spacing w:val="10"/>
          <w:w w:val="120"/>
          <w:sz w:val="20"/>
        </w:rPr>
        <w:t> </w:t>
      </w:r>
      <w:r>
        <w:rPr>
          <w:w w:val="120"/>
          <w:sz w:val="20"/>
        </w:rPr>
        <w:t>be</w:t>
      </w:r>
      <w:r>
        <w:rPr>
          <w:spacing w:val="10"/>
          <w:w w:val="120"/>
          <w:sz w:val="20"/>
        </w:rPr>
        <w:t> </w:t>
      </w:r>
      <w:r>
        <w:rPr>
          <w:w w:val="120"/>
          <w:sz w:val="20"/>
        </w:rPr>
        <w:t>the</w:t>
      </w:r>
      <w:r>
        <w:rPr>
          <w:spacing w:val="10"/>
          <w:w w:val="120"/>
          <w:sz w:val="20"/>
        </w:rPr>
        <w:t> </w:t>
      </w:r>
      <w:r>
        <w:rPr>
          <w:w w:val="120"/>
          <w:sz w:val="20"/>
        </w:rPr>
        <w:t>MIND</w:t>
      </w:r>
      <w:r>
        <w:rPr>
          <w:spacing w:val="10"/>
          <w:w w:val="120"/>
          <w:sz w:val="20"/>
        </w:rPr>
        <w:t> </w:t>
      </w:r>
      <w:r>
        <w:rPr>
          <w:w w:val="120"/>
          <w:sz w:val="20"/>
        </w:rPr>
        <w:t>Advisory</w:t>
      </w:r>
      <w:r>
        <w:rPr>
          <w:spacing w:val="10"/>
          <w:w w:val="120"/>
          <w:sz w:val="20"/>
        </w:rPr>
        <w:t> </w:t>
      </w:r>
      <w:r>
        <w:rPr>
          <w:w w:val="120"/>
          <w:sz w:val="20"/>
        </w:rPr>
        <w:t>Group.</w:t>
      </w:r>
    </w:p>
    <w:p>
      <w:pPr>
        <w:pStyle w:val="BodyText"/>
        <w:spacing w:before="6"/>
        <w:rPr>
          <w:sz w:val="19"/>
        </w:rPr>
      </w:pPr>
    </w:p>
    <w:p>
      <w:pPr>
        <w:pStyle w:val="ListParagraph"/>
        <w:numPr>
          <w:ilvl w:val="1"/>
          <w:numId w:val="71"/>
        </w:numPr>
        <w:tabs>
          <w:tab w:pos="2664" w:val="left" w:leader="none"/>
          <w:tab w:pos="2665" w:val="left" w:leader="none"/>
        </w:tabs>
        <w:spacing w:line="240" w:lineRule="auto" w:before="0" w:after="0"/>
        <w:ind w:left="2664" w:right="0" w:hanging="681"/>
        <w:jc w:val="left"/>
        <w:rPr>
          <w:sz w:val="20"/>
        </w:rPr>
      </w:pPr>
      <w:r>
        <w:rPr>
          <w:w w:val="125"/>
          <w:sz w:val="20"/>
        </w:rPr>
        <w:t>November</w:t>
      </w:r>
      <w:r>
        <w:rPr>
          <w:spacing w:val="-1"/>
          <w:w w:val="125"/>
          <w:sz w:val="20"/>
        </w:rPr>
        <w:t> </w:t>
      </w:r>
      <w:r>
        <w:rPr>
          <w:w w:val="125"/>
          <w:sz w:val="20"/>
        </w:rPr>
        <w:t>2009</w:t>
      </w:r>
    </w:p>
    <w:p>
      <w:pPr>
        <w:pStyle w:val="BodyText"/>
        <w:spacing w:before="7"/>
        <w:rPr>
          <w:sz w:val="19"/>
        </w:rPr>
      </w:pPr>
    </w:p>
    <w:p>
      <w:pPr>
        <w:pStyle w:val="ListParagraph"/>
        <w:numPr>
          <w:ilvl w:val="2"/>
          <w:numId w:val="71"/>
        </w:numPr>
        <w:tabs>
          <w:tab w:pos="2664" w:val="left" w:leader="none"/>
          <w:tab w:pos="2665" w:val="left" w:leader="none"/>
        </w:tabs>
        <w:spacing w:line="235" w:lineRule="auto" w:before="1" w:after="0"/>
        <w:ind w:left="1984" w:right="1517" w:firstLine="0"/>
        <w:jc w:val="left"/>
        <w:rPr>
          <w:sz w:val="20"/>
        </w:rPr>
      </w:pPr>
      <w:r>
        <w:rPr>
          <w:w w:val="120"/>
          <w:sz w:val="20"/>
        </w:rPr>
        <w:t>Mission Council agreed that the next Clerk to General Assembly be appointed for six years from Assembly </w:t>
      </w:r>
      <w:r>
        <w:rPr>
          <w:spacing w:val="-7"/>
          <w:w w:val="120"/>
          <w:sz w:val="20"/>
        </w:rPr>
        <w:t>2012 </w:t>
      </w:r>
      <w:r>
        <w:rPr>
          <w:spacing w:val="-6"/>
          <w:w w:val="120"/>
          <w:sz w:val="20"/>
        </w:rPr>
        <w:t>(to </w:t>
      </w:r>
      <w:r>
        <w:rPr>
          <w:w w:val="120"/>
          <w:sz w:val="20"/>
        </w:rPr>
        <w:t>serve the Assemblies of </w:t>
      </w:r>
      <w:r>
        <w:rPr>
          <w:spacing w:val="-7"/>
          <w:w w:val="120"/>
          <w:sz w:val="20"/>
        </w:rPr>
        <w:t>2014-18 </w:t>
      </w:r>
      <w:r>
        <w:rPr>
          <w:spacing w:val="-3"/>
          <w:w w:val="120"/>
          <w:sz w:val="20"/>
        </w:rPr>
        <w:t>inclusive) </w:t>
      </w:r>
      <w:r>
        <w:rPr>
          <w:w w:val="120"/>
          <w:sz w:val="20"/>
        </w:rPr>
        <w:t>with the possibility of re-appointment for a further four years, subject to review and to the revision of the relevant Rules of</w:t>
      </w:r>
      <w:r>
        <w:rPr>
          <w:spacing w:val="8"/>
          <w:w w:val="120"/>
          <w:sz w:val="20"/>
        </w:rPr>
        <w:t> </w:t>
      </w:r>
      <w:r>
        <w:rPr>
          <w:w w:val="120"/>
          <w:sz w:val="20"/>
        </w:rPr>
        <w:t>Procedure.</w:t>
      </w:r>
    </w:p>
    <w:p>
      <w:pPr>
        <w:pStyle w:val="BodyText"/>
        <w:spacing w:before="10"/>
        <w:rPr>
          <w:sz w:val="19"/>
        </w:rPr>
      </w:pPr>
    </w:p>
    <w:p>
      <w:pPr>
        <w:pStyle w:val="ListParagraph"/>
        <w:numPr>
          <w:ilvl w:val="2"/>
          <w:numId w:val="71"/>
        </w:numPr>
        <w:tabs>
          <w:tab w:pos="2665" w:val="left" w:leader="none"/>
        </w:tabs>
        <w:spacing w:line="235" w:lineRule="auto" w:before="0" w:after="0"/>
        <w:ind w:left="1984" w:right="1396" w:firstLine="0"/>
        <w:jc w:val="left"/>
        <w:rPr>
          <w:sz w:val="20"/>
        </w:rPr>
      </w:pPr>
      <w:r>
        <w:rPr>
          <w:w w:val="120"/>
          <w:sz w:val="20"/>
        </w:rPr>
        <w:t>Saluting the work of those who give themselves to God and the Church in service as ministers of Word and Sacrament and as church related community workers, Mission Council requested synods to meet the challenge of supplementary support    for the Ministers’ Pension Fund by committing to provide the sums indicated in the </w:t>
      </w:r>
      <w:r>
        <w:rPr>
          <w:spacing w:val="2"/>
          <w:w w:val="120"/>
          <w:sz w:val="20"/>
        </w:rPr>
        <w:t>report </w:t>
      </w:r>
      <w:r>
        <w:rPr>
          <w:w w:val="120"/>
          <w:sz w:val="20"/>
        </w:rPr>
        <w:t>for the period </w:t>
      </w:r>
      <w:r>
        <w:rPr>
          <w:spacing w:val="-6"/>
          <w:w w:val="120"/>
          <w:sz w:val="20"/>
        </w:rPr>
        <w:t>2010-12; </w:t>
      </w:r>
      <w:r>
        <w:rPr>
          <w:w w:val="120"/>
          <w:sz w:val="20"/>
        </w:rPr>
        <w:t>requested every synod to consider a commitment to give a percentage of the proceeds of </w:t>
      </w:r>
      <w:r>
        <w:rPr>
          <w:spacing w:val="2"/>
          <w:w w:val="120"/>
          <w:sz w:val="20"/>
        </w:rPr>
        <w:t>property </w:t>
      </w:r>
      <w:r>
        <w:rPr>
          <w:w w:val="120"/>
          <w:sz w:val="20"/>
        </w:rPr>
        <w:t>sales to the United Reformed Church</w:t>
      </w:r>
    </w:p>
    <w:p>
      <w:pPr>
        <w:pStyle w:val="BodyText"/>
        <w:spacing w:line="232" w:lineRule="auto" w:before="7"/>
        <w:ind w:left="1984" w:right="1287"/>
        <w:rPr>
          <w:rFonts w:ascii="Stone Sans II ITC Std Bk" w:hAnsi="Stone Sans II ITC Std Bk"/>
          <w:b/>
        </w:rPr>
      </w:pPr>
      <w:r>
        <w:rPr>
          <w:w w:val="120"/>
        </w:rPr>
        <w:t>Ministers’ Pension Fund; noting the suggestion of the Board of Directors of the URCMPF that honouring the ethical investment policy of the Church may have resulted in a reduction in the value of the Fund by £644,000 over the period </w:t>
      </w:r>
      <w:r>
        <w:rPr>
          <w:spacing w:val="3"/>
          <w:w w:val="120"/>
        </w:rPr>
        <w:t>2006-8, </w:t>
      </w:r>
      <w:r>
        <w:rPr>
          <w:w w:val="120"/>
        </w:rPr>
        <w:t>agreed that this sum should be transferred to the URCMPF as </w:t>
      </w:r>
      <w:r>
        <w:rPr>
          <w:spacing w:val="2"/>
          <w:w w:val="120"/>
        </w:rPr>
        <w:t>part </w:t>
      </w:r>
      <w:r>
        <w:rPr>
          <w:w w:val="120"/>
        </w:rPr>
        <w:t>of the additional funding under the Recovery Plan in </w:t>
      </w:r>
      <w:r>
        <w:rPr>
          <w:spacing w:val="-5"/>
          <w:w w:val="120"/>
        </w:rPr>
        <w:t>2010; </w:t>
      </w:r>
      <w:r>
        <w:rPr>
          <w:w w:val="120"/>
        </w:rPr>
        <w:t>supported an increase in member contributions to the URCMPF  to </w:t>
      </w:r>
      <w:r>
        <w:rPr>
          <w:spacing w:val="-8"/>
          <w:w w:val="120"/>
        </w:rPr>
        <w:t>7.5% </w:t>
      </w:r>
      <w:r>
        <w:rPr>
          <w:w w:val="120"/>
        </w:rPr>
        <w:t>of stipend with effect from 1 July </w:t>
      </w:r>
      <w:r>
        <w:rPr>
          <w:spacing w:val="-5"/>
          <w:w w:val="120"/>
        </w:rPr>
        <w:t>2010; </w:t>
      </w:r>
      <w:r>
        <w:rPr>
          <w:w w:val="120"/>
        </w:rPr>
        <w:t>approved the budget for </w:t>
      </w:r>
      <w:r>
        <w:rPr>
          <w:spacing w:val="-5"/>
          <w:w w:val="120"/>
        </w:rPr>
        <w:t>2010, </w:t>
      </w:r>
      <w:r>
        <w:rPr>
          <w:w w:val="120"/>
        </w:rPr>
        <w:t>noting  that it included income of £0.5m from synods for pensions</w:t>
      </w:r>
      <w:r>
        <w:rPr>
          <w:spacing w:val="28"/>
          <w:w w:val="120"/>
        </w:rPr>
        <w:t> </w:t>
      </w:r>
      <w:r>
        <w:rPr>
          <w:w w:val="120"/>
        </w:rPr>
        <w:t>support</w:t>
      </w:r>
      <w:r>
        <w:rPr>
          <w:rFonts w:ascii="Stone Sans II ITC Std Bk" w:hAnsi="Stone Sans II ITC Std Bk"/>
          <w:b/>
          <w:w w:val="120"/>
        </w:rPr>
        <w:t>.</w:t>
      </w:r>
    </w:p>
    <w:p>
      <w:pPr>
        <w:pStyle w:val="BodyText"/>
        <w:spacing w:before="4"/>
        <w:rPr>
          <w:rFonts w:ascii="Stone Sans II ITC Std Bk"/>
          <w:b/>
          <w:sz w:val="17"/>
        </w:rPr>
      </w:pPr>
    </w:p>
    <w:p>
      <w:pPr>
        <w:pStyle w:val="ListParagraph"/>
        <w:numPr>
          <w:ilvl w:val="2"/>
          <w:numId w:val="71"/>
        </w:numPr>
        <w:tabs>
          <w:tab w:pos="2665" w:val="left" w:leader="none"/>
        </w:tabs>
        <w:spacing w:line="235" w:lineRule="auto" w:before="1" w:after="0"/>
        <w:ind w:left="1984" w:right="1302" w:firstLine="0"/>
        <w:jc w:val="left"/>
        <w:rPr>
          <w:sz w:val="20"/>
        </w:rPr>
      </w:pPr>
      <w:r>
        <w:rPr>
          <w:spacing w:val="2"/>
          <w:w w:val="120"/>
          <w:sz w:val="20"/>
        </w:rPr>
        <w:t>Noting </w:t>
      </w:r>
      <w:r>
        <w:rPr>
          <w:w w:val="120"/>
          <w:sz w:val="20"/>
        </w:rPr>
        <w:t>the following concerns: </w:t>
      </w:r>
      <w:r>
        <w:rPr>
          <w:spacing w:val="2"/>
          <w:w w:val="120"/>
          <w:sz w:val="20"/>
        </w:rPr>
        <w:t>The impact </w:t>
      </w:r>
      <w:r>
        <w:rPr>
          <w:w w:val="120"/>
          <w:sz w:val="20"/>
        </w:rPr>
        <w:t>of the economic recession on those </w:t>
      </w:r>
      <w:r>
        <w:rPr>
          <w:spacing w:val="2"/>
          <w:w w:val="120"/>
          <w:sz w:val="20"/>
        </w:rPr>
        <w:t>least </w:t>
      </w:r>
      <w:r>
        <w:rPr>
          <w:w w:val="120"/>
          <w:sz w:val="20"/>
        </w:rPr>
        <w:t>responsible for the financial crisis – the </w:t>
      </w:r>
      <w:r>
        <w:rPr>
          <w:spacing w:val="2"/>
          <w:w w:val="120"/>
          <w:sz w:val="20"/>
        </w:rPr>
        <w:t>poor </w:t>
      </w:r>
      <w:r>
        <w:rPr>
          <w:w w:val="120"/>
          <w:sz w:val="20"/>
        </w:rPr>
        <w:t>and </w:t>
      </w:r>
      <w:r>
        <w:rPr>
          <w:spacing w:val="2"/>
          <w:w w:val="120"/>
          <w:sz w:val="20"/>
        </w:rPr>
        <w:t>vulnerable </w:t>
      </w:r>
      <w:r>
        <w:rPr>
          <w:w w:val="120"/>
          <w:sz w:val="20"/>
        </w:rPr>
        <w:t>– and the </w:t>
      </w:r>
      <w:r>
        <w:rPr>
          <w:spacing w:val="3"/>
          <w:w w:val="120"/>
          <w:sz w:val="20"/>
        </w:rPr>
        <w:t>shift </w:t>
      </w:r>
      <w:r>
        <w:rPr>
          <w:w w:val="120"/>
          <w:sz w:val="20"/>
        </w:rPr>
        <w:t>in public discourse of this crisis </w:t>
      </w:r>
      <w:r>
        <w:rPr>
          <w:spacing w:val="2"/>
          <w:w w:val="120"/>
          <w:sz w:val="20"/>
        </w:rPr>
        <w:t>from </w:t>
      </w:r>
      <w:r>
        <w:rPr>
          <w:w w:val="120"/>
          <w:sz w:val="20"/>
        </w:rPr>
        <w:t>private to public finances in the </w:t>
      </w:r>
      <w:r>
        <w:rPr>
          <w:spacing w:val="2"/>
          <w:w w:val="120"/>
          <w:sz w:val="20"/>
        </w:rPr>
        <w:t>UK </w:t>
      </w:r>
      <w:r>
        <w:rPr>
          <w:w w:val="120"/>
          <w:sz w:val="20"/>
        </w:rPr>
        <w:t>over the </w:t>
      </w:r>
      <w:r>
        <w:rPr>
          <w:spacing w:val="2"/>
          <w:w w:val="120"/>
          <w:sz w:val="20"/>
        </w:rPr>
        <w:t>past </w:t>
      </w:r>
      <w:r>
        <w:rPr>
          <w:w w:val="120"/>
          <w:sz w:val="20"/>
        </w:rPr>
        <w:t>year; potential </w:t>
      </w:r>
      <w:r>
        <w:rPr>
          <w:spacing w:val="2"/>
          <w:w w:val="120"/>
          <w:sz w:val="20"/>
        </w:rPr>
        <w:t>cuts </w:t>
      </w:r>
      <w:r>
        <w:rPr>
          <w:w w:val="120"/>
          <w:sz w:val="20"/>
        </w:rPr>
        <w:t>to social </w:t>
      </w:r>
      <w:r>
        <w:rPr>
          <w:spacing w:val="2"/>
          <w:w w:val="120"/>
          <w:sz w:val="20"/>
        </w:rPr>
        <w:t>benefits </w:t>
      </w:r>
      <w:r>
        <w:rPr>
          <w:w w:val="120"/>
          <w:sz w:val="20"/>
        </w:rPr>
        <w:t>and public </w:t>
      </w:r>
      <w:r>
        <w:rPr>
          <w:spacing w:val="2"/>
          <w:w w:val="120"/>
          <w:sz w:val="20"/>
        </w:rPr>
        <w:t>services </w:t>
      </w:r>
      <w:r>
        <w:rPr>
          <w:w w:val="120"/>
          <w:sz w:val="20"/>
        </w:rPr>
        <w:t>being advocated by </w:t>
      </w:r>
      <w:r>
        <w:rPr>
          <w:spacing w:val="2"/>
          <w:w w:val="120"/>
          <w:sz w:val="20"/>
        </w:rPr>
        <w:t>political </w:t>
      </w:r>
      <w:r>
        <w:rPr>
          <w:spacing w:val="3"/>
          <w:w w:val="120"/>
          <w:sz w:val="20"/>
        </w:rPr>
        <w:t>parties </w:t>
      </w:r>
      <w:r>
        <w:rPr>
          <w:w w:val="120"/>
          <w:sz w:val="20"/>
        </w:rPr>
        <w:t>in the lead up to the </w:t>
      </w:r>
      <w:r>
        <w:rPr>
          <w:spacing w:val="2"/>
          <w:w w:val="120"/>
          <w:sz w:val="20"/>
        </w:rPr>
        <w:t>General Election </w:t>
      </w:r>
      <w:r>
        <w:rPr>
          <w:w w:val="120"/>
          <w:sz w:val="20"/>
        </w:rPr>
        <w:t>and the </w:t>
      </w:r>
      <w:r>
        <w:rPr>
          <w:spacing w:val="2"/>
          <w:w w:val="120"/>
          <w:sz w:val="20"/>
        </w:rPr>
        <w:t>negative impact </w:t>
      </w:r>
      <w:r>
        <w:rPr>
          <w:w w:val="120"/>
          <w:sz w:val="20"/>
        </w:rPr>
        <w:t>this would    have</w:t>
      </w:r>
      <w:r>
        <w:rPr>
          <w:spacing w:val="12"/>
          <w:w w:val="120"/>
          <w:sz w:val="20"/>
        </w:rPr>
        <w:t> </w:t>
      </w:r>
      <w:r>
        <w:rPr>
          <w:w w:val="120"/>
          <w:sz w:val="20"/>
        </w:rPr>
        <w:t>on</w:t>
      </w:r>
      <w:r>
        <w:rPr>
          <w:spacing w:val="12"/>
          <w:w w:val="120"/>
          <w:sz w:val="20"/>
        </w:rPr>
        <w:t> </w:t>
      </w:r>
      <w:r>
        <w:rPr>
          <w:spacing w:val="2"/>
          <w:w w:val="120"/>
          <w:sz w:val="20"/>
        </w:rPr>
        <w:t>vulnerable</w:t>
      </w:r>
      <w:r>
        <w:rPr>
          <w:spacing w:val="12"/>
          <w:w w:val="120"/>
          <w:sz w:val="20"/>
        </w:rPr>
        <w:t> </w:t>
      </w:r>
      <w:r>
        <w:rPr>
          <w:w w:val="120"/>
          <w:sz w:val="20"/>
        </w:rPr>
        <w:t>households</w:t>
      </w:r>
      <w:r>
        <w:rPr>
          <w:spacing w:val="12"/>
          <w:w w:val="120"/>
          <w:sz w:val="20"/>
        </w:rPr>
        <w:t> </w:t>
      </w:r>
      <w:r>
        <w:rPr>
          <w:w w:val="120"/>
          <w:sz w:val="20"/>
        </w:rPr>
        <w:t>and</w:t>
      </w:r>
      <w:r>
        <w:rPr>
          <w:spacing w:val="12"/>
          <w:w w:val="120"/>
          <w:sz w:val="20"/>
        </w:rPr>
        <w:t> </w:t>
      </w:r>
      <w:r>
        <w:rPr>
          <w:w w:val="120"/>
          <w:sz w:val="20"/>
        </w:rPr>
        <w:t>individuals</w:t>
      </w:r>
      <w:r>
        <w:rPr>
          <w:spacing w:val="12"/>
          <w:w w:val="120"/>
          <w:sz w:val="20"/>
        </w:rPr>
        <w:t> </w:t>
      </w:r>
      <w:r>
        <w:rPr>
          <w:w w:val="120"/>
          <w:sz w:val="20"/>
        </w:rPr>
        <w:t>in</w:t>
      </w:r>
      <w:r>
        <w:rPr>
          <w:spacing w:val="13"/>
          <w:w w:val="120"/>
          <w:sz w:val="20"/>
        </w:rPr>
        <w:t> </w:t>
      </w:r>
      <w:r>
        <w:rPr>
          <w:w w:val="120"/>
          <w:sz w:val="20"/>
        </w:rPr>
        <w:t>the</w:t>
      </w:r>
      <w:r>
        <w:rPr>
          <w:spacing w:val="12"/>
          <w:w w:val="120"/>
          <w:sz w:val="20"/>
        </w:rPr>
        <w:t> </w:t>
      </w:r>
      <w:r>
        <w:rPr>
          <w:spacing w:val="3"/>
          <w:w w:val="120"/>
          <w:sz w:val="20"/>
        </w:rPr>
        <w:t>UK;</w:t>
      </w:r>
      <w:r>
        <w:rPr>
          <w:spacing w:val="12"/>
          <w:w w:val="120"/>
          <w:sz w:val="20"/>
        </w:rPr>
        <w:t> </w:t>
      </w:r>
      <w:r>
        <w:rPr>
          <w:w w:val="120"/>
          <w:sz w:val="20"/>
        </w:rPr>
        <w:t>and</w:t>
      </w:r>
      <w:r>
        <w:rPr>
          <w:spacing w:val="12"/>
          <w:w w:val="120"/>
          <w:sz w:val="20"/>
        </w:rPr>
        <w:t> </w:t>
      </w:r>
      <w:r>
        <w:rPr>
          <w:w w:val="120"/>
          <w:sz w:val="20"/>
        </w:rPr>
        <w:t>the</w:t>
      </w:r>
      <w:r>
        <w:rPr>
          <w:spacing w:val="12"/>
          <w:w w:val="120"/>
          <w:sz w:val="20"/>
        </w:rPr>
        <w:t> </w:t>
      </w:r>
      <w:r>
        <w:rPr>
          <w:w w:val="120"/>
          <w:sz w:val="20"/>
        </w:rPr>
        <w:t>likely</w:t>
      </w:r>
      <w:r>
        <w:rPr>
          <w:spacing w:val="12"/>
          <w:w w:val="120"/>
          <w:sz w:val="20"/>
        </w:rPr>
        <w:t> </w:t>
      </w:r>
      <w:r>
        <w:rPr>
          <w:spacing w:val="2"/>
          <w:w w:val="120"/>
          <w:sz w:val="20"/>
        </w:rPr>
        <w:t>impact</w:t>
      </w:r>
      <w:r>
        <w:rPr>
          <w:spacing w:val="12"/>
          <w:w w:val="120"/>
          <w:sz w:val="20"/>
        </w:rPr>
        <w:t> </w:t>
      </w:r>
      <w:r>
        <w:rPr>
          <w:w w:val="120"/>
          <w:sz w:val="20"/>
        </w:rPr>
        <w:t>of</w:t>
      </w:r>
    </w:p>
    <w:p>
      <w:pPr>
        <w:pStyle w:val="BodyText"/>
        <w:spacing w:line="235" w:lineRule="auto" w:before="4"/>
        <w:ind w:left="1984" w:right="1120"/>
      </w:pPr>
      <w:r>
        <w:rPr>
          <w:w w:val="120"/>
        </w:rPr>
        <w:t>the enormous deficit in public finances on the UK’s commitments to international development and climate change adaptation and mitigation; Mission Council warmly welcomed the Prime Minister’s proposal for a financial transaction levy of half a basis point (0.05%) to be imposed globally as an innovative means of raising finances</w:t>
      </w:r>
    </w:p>
    <w:p>
      <w:pPr>
        <w:pStyle w:val="BodyText"/>
        <w:spacing w:line="235" w:lineRule="auto" w:before="3"/>
        <w:ind w:left="1984" w:right="1634"/>
      </w:pPr>
      <w:r>
        <w:rPr>
          <w:w w:val="120"/>
        </w:rPr>
        <w:t>to offset this deficit and to create ‘a better economic and social contract between financial institutions and the public based on trust and a just distribution of risks and rewards’; called on other leaders of the G20 economies to grasp the opportunity to redress the inequity in the current financial system by supporting the proposal; and agreed to pursue with ecumenical partners appropriate ways of responding to the issues raised in this resolution to ensure that the voice of faith communities and the church was heard on this critical moral imperative.</w:t>
      </w:r>
    </w:p>
    <w:p>
      <w:pPr>
        <w:pStyle w:val="BodyText"/>
        <w:spacing w:before="9"/>
        <w:rPr>
          <w:sz w:val="19"/>
        </w:rPr>
      </w:pPr>
    </w:p>
    <w:p>
      <w:pPr>
        <w:pStyle w:val="ListParagraph"/>
        <w:numPr>
          <w:ilvl w:val="2"/>
          <w:numId w:val="71"/>
        </w:numPr>
        <w:tabs>
          <w:tab w:pos="2665" w:val="left" w:leader="none"/>
        </w:tabs>
        <w:spacing w:line="240" w:lineRule="auto" w:before="0" w:after="0"/>
        <w:ind w:left="2664" w:right="0" w:hanging="681"/>
        <w:jc w:val="left"/>
        <w:rPr>
          <w:sz w:val="20"/>
        </w:rPr>
      </w:pPr>
      <w:r>
        <w:rPr>
          <w:w w:val="120"/>
          <w:sz w:val="20"/>
        </w:rPr>
        <w:t>Mission </w:t>
      </w:r>
      <w:r>
        <w:rPr>
          <w:spacing w:val="-3"/>
          <w:w w:val="120"/>
          <w:sz w:val="20"/>
        </w:rPr>
        <w:t>Council </w:t>
      </w:r>
      <w:r>
        <w:rPr>
          <w:w w:val="120"/>
          <w:sz w:val="20"/>
        </w:rPr>
        <w:t>adopted the proposed </w:t>
      </w:r>
      <w:r>
        <w:rPr>
          <w:spacing w:val="-5"/>
          <w:w w:val="120"/>
          <w:sz w:val="20"/>
        </w:rPr>
        <w:t>Terms </w:t>
      </w:r>
      <w:r>
        <w:rPr>
          <w:w w:val="120"/>
          <w:sz w:val="20"/>
        </w:rPr>
        <w:t>of </w:t>
      </w:r>
      <w:r>
        <w:rPr>
          <w:spacing w:val="-3"/>
          <w:w w:val="120"/>
          <w:sz w:val="20"/>
        </w:rPr>
        <w:t>Reference </w:t>
      </w:r>
      <w:r>
        <w:rPr>
          <w:w w:val="120"/>
          <w:sz w:val="20"/>
        </w:rPr>
        <w:t>for MIND </w:t>
      </w:r>
      <w:r>
        <w:rPr>
          <w:spacing w:val="-3"/>
          <w:w w:val="120"/>
          <w:sz w:val="20"/>
        </w:rPr>
        <w:t>(Annexe</w:t>
      </w:r>
      <w:r>
        <w:rPr>
          <w:spacing w:val="-5"/>
          <w:w w:val="120"/>
          <w:sz w:val="20"/>
        </w:rPr>
        <w:t> </w:t>
      </w:r>
      <w:r>
        <w:rPr>
          <w:spacing w:val="-8"/>
          <w:w w:val="120"/>
          <w:sz w:val="20"/>
        </w:rPr>
        <w:t>3).</w:t>
      </w:r>
    </w:p>
    <w:p>
      <w:pPr>
        <w:pStyle w:val="BodyText"/>
        <w:spacing w:before="4"/>
        <w:rPr>
          <w:sz w:val="19"/>
        </w:rPr>
      </w:pPr>
    </w:p>
    <w:p>
      <w:pPr>
        <w:pStyle w:val="ListParagraph"/>
        <w:numPr>
          <w:ilvl w:val="1"/>
          <w:numId w:val="71"/>
        </w:numPr>
        <w:tabs>
          <w:tab w:pos="2664" w:val="left" w:leader="none"/>
          <w:tab w:pos="2665" w:val="left" w:leader="none"/>
        </w:tabs>
        <w:spacing w:line="240" w:lineRule="auto" w:before="0" w:after="0"/>
        <w:ind w:left="2664" w:right="0" w:hanging="681"/>
        <w:jc w:val="left"/>
        <w:rPr>
          <w:sz w:val="20"/>
        </w:rPr>
      </w:pPr>
      <w:r>
        <w:rPr>
          <w:w w:val="120"/>
          <w:sz w:val="20"/>
        </w:rPr>
        <w:t>March</w:t>
      </w:r>
      <w:r>
        <w:rPr>
          <w:spacing w:val="2"/>
          <w:w w:val="120"/>
          <w:sz w:val="20"/>
        </w:rPr>
        <w:t> </w:t>
      </w:r>
      <w:r>
        <w:rPr>
          <w:spacing w:val="-6"/>
          <w:w w:val="120"/>
          <w:sz w:val="20"/>
        </w:rPr>
        <w:t>2010</w:t>
      </w:r>
    </w:p>
    <w:p>
      <w:pPr>
        <w:pStyle w:val="BodyText"/>
        <w:spacing w:before="7"/>
        <w:rPr>
          <w:sz w:val="19"/>
        </w:rPr>
      </w:pPr>
    </w:p>
    <w:p>
      <w:pPr>
        <w:pStyle w:val="ListParagraph"/>
        <w:numPr>
          <w:ilvl w:val="2"/>
          <w:numId w:val="71"/>
        </w:numPr>
        <w:tabs>
          <w:tab w:pos="2664" w:val="left" w:leader="none"/>
          <w:tab w:pos="2665" w:val="left" w:leader="none"/>
        </w:tabs>
        <w:spacing w:line="235" w:lineRule="auto" w:before="1" w:after="0"/>
        <w:ind w:left="1984" w:right="1743" w:firstLine="0"/>
        <w:jc w:val="left"/>
        <w:rPr>
          <w:sz w:val="20"/>
        </w:rPr>
      </w:pPr>
      <w:r>
        <w:rPr>
          <w:w w:val="120"/>
          <w:sz w:val="20"/>
        </w:rPr>
        <w:t>Mission Council, noting with thanksgiving the </w:t>
      </w:r>
      <w:r>
        <w:rPr>
          <w:spacing w:val="-9"/>
          <w:w w:val="120"/>
          <w:sz w:val="20"/>
        </w:rPr>
        <w:t>135  </w:t>
      </w:r>
      <w:r>
        <w:rPr>
          <w:w w:val="120"/>
          <w:sz w:val="20"/>
        </w:rPr>
        <w:t>years of partnership in  the World Alliance of Reformed Churches and its predecessor bodies by the</w:t>
      </w:r>
      <w:r>
        <w:rPr>
          <w:spacing w:val="5"/>
          <w:w w:val="120"/>
          <w:sz w:val="20"/>
        </w:rPr>
        <w:t> </w:t>
      </w:r>
      <w:r>
        <w:rPr>
          <w:w w:val="120"/>
          <w:sz w:val="20"/>
        </w:rPr>
        <w:t>United</w:t>
      </w:r>
    </w:p>
    <w:p>
      <w:pPr>
        <w:pStyle w:val="BodyText"/>
        <w:spacing w:line="235" w:lineRule="auto" w:before="1"/>
        <w:ind w:left="1984" w:right="1200"/>
      </w:pPr>
      <w:r>
        <w:rPr>
          <w:w w:val="120"/>
        </w:rPr>
        <w:t>Reformed Church and its parent denominations, and looking forward to a continuing relationship with the newly formed ‘World Communion of Reformed Churches’, resolved that from June 18</w:t>
      </w:r>
      <w:r>
        <w:rPr>
          <w:w w:val="120"/>
          <w:position w:val="7"/>
          <w:sz w:val="11"/>
        </w:rPr>
        <w:t>th </w:t>
      </w:r>
      <w:r>
        <w:rPr>
          <w:w w:val="120"/>
        </w:rPr>
        <w:t>2010 all references to the World Alliance of Reformed Churches contained in any of its rules, regulations or guidelines should be understood to refer to the World Communion of Reformed Churches.</w:t>
      </w:r>
    </w:p>
    <w:p>
      <w:pPr>
        <w:pStyle w:val="BodyText"/>
        <w:spacing w:before="1"/>
      </w:pPr>
    </w:p>
    <w:p>
      <w:pPr>
        <w:pStyle w:val="ListParagraph"/>
        <w:numPr>
          <w:ilvl w:val="2"/>
          <w:numId w:val="71"/>
        </w:numPr>
        <w:tabs>
          <w:tab w:pos="2665" w:val="left" w:leader="none"/>
        </w:tabs>
        <w:spacing w:line="235" w:lineRule="auto" w:before="0" w:after="0"/>
        <w:ind w:left="1984" w:right="1226" w:firstLine="0"/>
        <w:jc w:val="left"/>
        <w:rPr>
          <w:sz w:val="20"/>
        </w:rPr>
      </w:pPr>
      <w:r>
        <w:rPr>
          <w:w w:val="120"/>
          <w:sz w:val="20"/>
        </w:rPr>
        <w:t>Mission Council agreed that the list of committee members and other appointments made through the Nominations Committee should be published annually in the same format. This format should include the URC website. The Communications team was asked to look for an appropriate way of publishing it in hard</w:t>
      </w:r>
      <w:r>
        <w:rPr>
          <w:spacing w:val="34"/>
          <w:w w:val="120"/>
          <w:sz w:val="20"/>
        </w:rPr>
        <w:t> </w:t>
      </w:r>
      <w:r>
        <w:rPr>
          <w:spacing w:val="-4"/>
          <w:w w:val="120"/>
          <w:sz w:val="20"/>
        </w:rPr>
        <w:t>copy.</w:t>
      </w:r>
    </w:p>
    <w:p>
      <w:pPr>
        <w:spacing w:after="0" w:line="235" w:lineRule="auto"/>
        <w:jc w:val="left"/>
        <w:rPr>
          <w:sz w:val="20"/>
        </w:rPr>
        <w:sectPr>
          <w:pgSz w:w="11910" w:h="16840"/>
          <w:pgMar w:header="0" w:footer="647" w:top="1060" w:bottom="840" w:left="0" w:right="0"/>
        </w:sectPr>
      </w:pPr>
    </w:p>
    <w:p>
      <w:pPr>
        <w:pStyle w:val="ListParagraph"/>
        <w:numPr>
          <w:ilvl w:val="2"/>
          <w:numId w:val="71"/>
        </w:numPr>
        <w:tabs>
          <w:tab w:pos="1815" w:val="left" w:leader="none"/>
        </w:tabs>
        <w:spacing w:line="235" w:lineRule="auto" w:before="107" w:after="0"/>
        <w:ind w:left="1133" w:right="2177" w:firstLine="0"/>
        <w:jc w:val="left"/>
        <w:rPr>
          <w:sz w:val="20"/>
        </w:rPr>
      </w:pPr>
      <w:r>
        <w:rPr/>
        <w:pict>
          <v:rect style="position:absolute;margin-left:12.047pt;margin-top:8.477343pt;width:22.677pt;height:22.677pt;mso-position-horizontal-relative:page;mso-position-vertical-relative:paragraph;z-index:251890688" filled="true" fillcolor="#f9e9c1" stroked="false">
            <v:fill opacity="32768f" type="solid"/>
            <w10:wrap type="none"/>
          </v:rect>
        </w:pict>
      </w:r>
      <w:r>
        <w:rPr>
          <w:w w:val="120"/>
          <w:sz w:val="20"/>
        </w:rPr>
        <w:t>On the advice of the Ethical Investment Advisory Group, Mission Council agreed to recommend to Assembly that Nestlé should no longer be treated on a different investment basis from all other companies. (Resolution</w:t>
      </w:r>
      <w:r>
        <w:rPr>
          <w:spacing w:val="14"/>
          <w:w w:val="120"/>
          <w:sz w:val="20"/>
        </w:rPr>
        <w:t> </w:t>
      </w:r>
      <w:r>
        <w:rPr>
          <w:spacing w:val="-8"/>
          <w:w w:val="120"/>
          <w:sz w:val="20"/>
        </w:rPr>
        <w:t>3)</w:t>
      </w:r>
    </w:p>
    <w:p>
      <w:pPr>
        <w:pStyle w:val="BodyText"/>
        <w:spacing w:before="10"/>
        <w:rPr>
          <w:sz w:val="19"/>
        </w:rPr>
      </w:pPr>
    </w:p>
    <w:p>
      <w:pPr>
        <w:pStyle w:val="ListParagraph"/>
        <w:numPr>
          <w:ilvl w:val="2"/>
          <w:numId w:val="71"/>
        </w:numPr>
        <w:tabs>
          <w:tab w:pos="1815" w:val="left" w:leader="none"/>
        </w:tabs>
        <w:spacing w:line="235" w:lineRule="auto" w:before="0" w:after="0"/>
        <w:ind w:left="1133" w:right="2185" w:firstLine="0"/>
        <w:jc w:val="left"/>
        <w:rPr>
          <w:sz w:val="20"/>
        </w:rPr>
      </w:pPr>
      <w:r>
        <w:rPr>
          <w:w w:val="120"/>
          <w:sz w:val="20"/>
        </w:rPr>
        <w:t>Mission Council also agreed that the statement ‘Ethical investment principles for the use of the United Reformed Church’ should be sent to Assembly for</w:t>
      </w:r>
      <w:r>
        <w:rPr>
          <w:spacing w:val="40"/>
          <w:w w:val="120"/>
          <w:sz w:val="20"/>
        </w:rPr>
        <w:t> </w:t>
      </w:r>
      <w:r>
        <w:rPr>
          <w:w w:val="120"/>
          <w:sz w:val="20"/>
        </w:rPr>
        <w:t>decision.</w:t>
      </w:r>
    </w:p>
    <w:p>
      <w:pPr>
        <w:pStyle w:val="BodyText"/>
        <w:spacing w:before="10"/>
        <w:rPr>
          <w:sz w:val="19"/>
        </w:rPr>
      </w:pPr>
    </w:p>
    <w:p>
      <w:pPr>
        <w:pStyle w:val="ListParagraph"/>
        <w:numPr>
          <w:ilvl w:val="2"/>
          <w:numId w:val="71"/>
        </w:numPr>
        <w:tabs>
          <w:tab w:pos="1688" w:val="left" w:leader="none"/>
        </w:tabs>
        <w:spacing w:line="235" w:lineRule="auto" w:before="0" w:after="0"/>
        <w:ind w:left="1133" w:right="2288" w:firstLine="0"/>
        <w:jc w:val="left"/>
        <w:rPr>
          <w:sz w:val="20"/>
        </w:rPr>
      </w:pPr>
      <w:r>
        <w:rPr>
          <w:w w:val="120"/>
          <w:sz w:val="20"/>
        </w:rPr>
        <w:t>Mission Council resolved to appoint the Revd David Skitt to serve as a consultant for ministers and CRCWs who were the subject of the Disciplinary Process and  resolved to add ‘the Convener of the Incapacity Procedure Review</w:t>
      </w:r>
      <w:r>
        <w:rPr>
          <w:spacing w:val="41"/>
          <w:w w:val="120"/>
          <w:sz w:val="20"/>
        </w:rPr>
        <w:t> </w:t>
      </w:r>
      <w:r>
        <w:rPr>
          <w:w w:val="120"/>
          <w:sz w:val="20"/>
        </w:rPr>
        <w:t>Commission’</w:t>
      </w:r>
    </w:p>
    <w:p>
      <w:pPr>
        <w:pStyle w:val="BodyText"/>
        <w:spacing w:line="242" w:lineRule="exact"/>
        <w:ind w:left="1133"/>
      </w:pPr>
      <w:r>
        <w:rPr>
          <w:w w:val="120"/>
        </w:rPr>
        <w:t>to the membership of the MIND Advisory Group.</w:t>
      </w:r>
    </w:p>
    <w:p>
      <w:pPr>
        <w:pStyle w:val="BodyText"/>
        <w:spacing w:before="7"/>
        <w:rPr>
          <w:sz w:val="19"/>
        </w:rPr>
      </w:pPr>
    </w:p>
    <w:p>
      <w:pPr>
        <w:pStyle w:val="ListParagraph"/>
        <w:numPr>
          <w:ilvl w:val="2"/>
          <w:numId w:val="71"/>
        </w:numPr>
        <w:tabs>
          <w:tab w:pos="1815" w:val="left" w:leader="none"/>
        </w:tabs>
        <w:spacing w:line="235" w:lineRule="auto" w:before="1" w:after="0"/>
        <w:ind w:left="1133" w:right="2005" w:firstLine="0"/>
        <w:jc w:val="left"/>
        <w:rPr>
          <w:sz w:val="20"/>
        </w:rPr>
      </w:pPr>
      <w:r>
        <w:rPr>
          <w:w w:val="120"/>
          <w:sz w:val="20"/>
        </w:rPr>
        <w:t>Mission Council commended to General Assembly that the Westminster College Development Plan be the subject of an Assembly Appeal to the whole United Reformed Church, and requested the Finance Committee to bring specific proposals to the General Assembly on funding options from central resources to contribute towards the costs of the development</w:t>
      </w:r>
      <w:r>
        <w:rPr>
          <w:spacing w:val="4"/>
          <w:w w:val="120"/>
          <w:sz w:val="20"/>
        </w:rPr>
        <w:t> </w:t>
      </w:r>
      <w:r>
        <w:rPr>
          <w:w w:val="120"/>
          <w:sz w:val="20"/>
        </w:rPr>
        <w:t>plan.</w:t>
      </w:r>
    </w:p>
    <w:p>
      <w:pPr>
        <w:pStyle w:val="BodyText"/>
        <w:spacing w:before="9"/>
        <w:rPr>
          <w:sz w:val="17"/>
        </w:rPr>
      </w:pPr>
    </w:p>
    <w:p>
      <w:pPr>
        <w:numPr>
          <w:ilvl w:val="1"/>
          <w:numId w:val="66"/>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Safeguarding (2008 Assembly</w:t>
      </w:r>
      <w:r>
        <w:rPr>
          <w:rFonts w:ascii="Stone Sans II ITC Std Bk"/>
          <w:b/>
          <w:spacing w:val="-6"/>
          <w:w w:val="115"/>
          <w:sz w:val="21"/>
        </w:rPr>
        <w:t> </w:t>
      </w:r>
      <w:r>
        <w:rPr>
          <w:rFonts w:ascii="Stone Sans II ITC Std Bk"/>
          <w:b/>
          <w:w w:val="115"/>
          <w:sz w:val="21"/>
        </w:rPr>
        <w:t>resolution)</w:t>
      </w:r>
    </w:p>
    <w:p>
      <w:pPr>
        <w:pStyle w:val="ListParagraph"/>
        <w:numPr>
          <w:ilvl w:val="2"/>
          <w:numId w:val="66"/>
        </w:numPr>
        <w:tabs>
          <w:tab w:pos="1814" w:val="left" w:leader="none"/>
          <w:tab w:pos="1815" w:val="left" w:leader="none"/>
        </w:tabs>
        <w:spacing w:line="235" w:lineRule="auto" w:before="222" w:after="0"/>
        <w:ind w:left="1133" w:right="1996" w:firstLine="0"/>
        <w:jc w:val="left"/>
        <w:rPr>
          <w:sz w:val="20"/>
        </w:rPr>
      </w:pPr>
      <w:r>
        <w:rPr>
          <w:w w:val="120"/>
          <w:sz w:val="20"/>
        </w:rPr>
        <w:t>Considerable work has been done by the Deputy General Secretary in tandem  with officers from the </w:t>
      </w:r>
      <w:r>
        <w:rPr>
          <w:spacing w:val="-3"/>
          <w:w w:val="120"/>
          <w:sz w:val="20"/>
        </w:rPr>
        <w:t>Youth </w:t>
      </w:r>
      <w:r>
        <w:rPr>
          <w:w w:val="120"/>
          <w:sz w:val="20"/>
        </w:rPr>
        <w:t>and Children’s Work Department and the Ministries Department. They are working towards a portfolio of documents on Safe Recruiting, Safeguarding of Children and Safeguarding of Vulnerable Adults. The Safe Recruiting guidelines await final definitive guidance from the Government to faith groups on   barring and vetting. The existing policy on the safeguarding  of  children  is  being updated. </w:t>
      </w:r>
      <w:r>
        <w:rPr>
          <w:spacing w:val="3"/>
          <w:w w:val="120"/>
          <w:sz w:val="20"/>
        </w:rPr>
        <w:t>As </w:t>
      </w:r>
      <w:r>
        <w:rPr>
          <w:w w:val="120"/>
          <w:sz w:val="20"/>
        </w:rPr>
        <w:t>regards vulnerable adults they intend to draw upon ecumenical work by our Anglican and Methodist partners. The Church House Management Group has also given careful thought to the continuing need for Criminal Records Bureau</w:t>
      </w:r>
      <w:r>
        <w:rPr>
          <w:spacing w:val="36"/>
          <w:w w:val="120"/>
          <w:sz w:val="20"/>
        </w:rPr>
        <w:t> </w:t>
      </w:r>
      <w:r>
        <w:rPr>
          <w:w w:val="120"/>
          <w:sz w:val="20"/>
        </w:rPr>
        <w:t>Disclosures.</w:t>
      </w:r>
    </w:p>
    <w:p>
      <w:pPr>
        <w:pStyle w:val="BodyText"/>
      </w:pPr>
    </w:p>
    <w:p>
      <w:pPr>
        <w:pStyle w:val="BodyText"/>
      </w:pPr>
    </w:p>
    <w:p>
      <w:pPr>
        <w:pStyle w:val="BodyText"/>
      </w:pPr>
    </w:p>
    <w:p>
      <w:pPr>
        <w:pStyle w:val="BodyText"/>
        <w:spacing w:before="8"/>
        <w:rPr>
          <w:sz w:val="21"/>
        </w:rPr>
      </w:pPr>
      <w:r>
        <w:rPr/>
        <w:pict>
          <v:shape style="position:absolute;margin-left:56.692902pt;margin-top:21.497261pt;width:183.85pt;height:.1pt;mso-position-horizontal-relative:page;mso-position-vertical-relative:paragraph;z-index:-251430912;mso-wrap-distance-left:0;mso-wrap-distance-right:0" coordorigin="1134,430" coordsize="3677,0" path="m1134,430l4811,430e" filled="false" stroked="true" strokeweight=".5pt" strokecolor="#8ba8bd">
            <v:path arrowok="t"/>
            <v:stroke dashstyle="solid"/>
            <w10:wrap type="topAndBottom"/>
          </v:shape>
        </w:pict>
      </w:r>
      <w:r>
        <w:rPr/>
        <w:pict>
          <v:rect style="position:absolute;margin-left:250.865997pt;margin-top:15.175968pt;width:13.721pt;height:13.721pt;mso-position-horizontal-relative:page;mso-position-vertical-relative:paragraph;z-index:-251429888;mso-wrap-distance-left:0;mso-wrap-distance-right:0" filled="true" fillcolor="#8ba8bd" stroked="false">
            <v:fill type="solid"/>
            <w10:wrap type="topAndBottom"/>
          </v:rect>
        </w:pict>
      </w:r>
      <w:r>
        <w:rPr/>
        <w:pict>
          <v:rect style="position:absolute;margin-left:269.303009pt;margin-top:15.175968pt;width:13.721pt;height:13.721pt;mso-position-horizontal-relative:page;mso-position-vertical-relative:paragraph;z-index:-251428864;mso-wrap-distance-left:0;mso-wrap-distance-right:0" filled="true" fillcolor="#c2d2df" stroked="false">
            <v:fill type="solid"/>
            <w10:wrap type="topAndBottom"/>
          </v:rect>
        </w:pict>
      </w:r>
      <w:r>
        <w:rPr/>
        <w:pict>
          <v:rect style="position:absolute;margin-left:288.169006pt;margin-top:15.175968pt;width:13.721pt;height:13.721pt;mso-position-horizontal-relative:page;mso-position-vertical-relative:paragraph;z-index:-251427840;mso-wrap-distance-left:0;mso-wrap-distance-right:0" filled="true" fillcolor="#dae4ec" stroked="false">
            <v:fill opacity="32768f" type="solid"/>
            <w10:wrap type="topAndBottom"/>
          </v:rect>
        </w:pict>
      </w:r>
      <w:r>
        <w:rPr/>
        <w:pict>
          <v:shape style="position:absolute;margin-left:311.716003pt;margin-top:21.497261pt;width:184.35pt;height:.1pt;mso-position-horizontal-relative:page;mso-position-vertical-relative:paragraph;z-index:-251426816;mso-wrap-distance-left:0;mso-wrap-distance-right:0" coordorigin="6234,430" coordsize="3687,0" path="m6234,430l9921,430e" filled="false" stroked="true" strokeweight=".5pt" strokecolor="#8ba8bd">
            <v:path arrowok="t"/>
            <v:stroke dashstyle="solid"/>
            <w10:wrap type="topAndBottom"/>
          </v:shape>
        </w:pict>
      </w:r>
    </w:p>
    <w:p>
      <w:pPr>
        <w:spacing w:after="0"/>
        <w:rPr>
          <w:sz w:val="21"/>
        </w:rPr>
        <w:sectPr>
          <w:pgSz w:w="11910" w:h="16840"/>
          <w:pgMar w:header="0" w:footer="647" w:top="1060" w:bottom="840" w:left="0" w:right="0"/>
        </w:sectPr>
      </w:pPr>
    </w:p>
    <w:p>
      <w:pPr>
        <w:pStyle w:val="Heading2"/>
        <w:spacing w:line="666" w:lineRule="exact"/>
      </w:pPr>
      <w:r>
        <w:rPr/>
        <w:pict>
          <v:rect style="position:absolute;margin-left:558.424988pt;margin-top:8.6428pt;width:22.677pt;height:22.677pt;mso-position-horizontal-relative:page;mso-position-vertical-relative:paragraph;z-index:251892736" filled="true" fillcolor="#f9e9c1" stroked="false">
            <v:fill opacity="32768f" type="solid"/>
            <w10:wrap type="none"/>
          </v:rect>
        </w:pict>
      </w:r>
      <w:r>
        <w:rPr>
          <w:color w:val="CA4F1B"/>
          <w:w w:val="110"/>
        </w:rPr>
        <w:t>Annexe 1</w:t>
      </w:r>
    </w:p>
    <w:p>
      <w:pPr>
        <w:pStyle w:val="Heading6"/>
        <w:spacing w:line="196" w:lineRule="auto" w:before="150"/>
        <w:ind w:left="1984" w:right="1997"/>
      </w:pPr>
      <w:r>
        <w:rPr>
          <w:w w:val="110"/>
        </w:rPr>
        <w:t>Amendments to the Rules of the United Reformed Church Ministers’ Pension Fund</w:t>
      </w:r>
    </w:p>
    <w:p>
      <w:pPr>
        <w:pStyle w:val="BodyText"/>
        <w:spacing w:line="210" w:lineRule="exact"/>
        <w:ind w:left="1984"/>
      </w:pPr>
      <w:r>
        <w:rPr>
          <w:w w:val="120"/>
        </w:rPr>
        <w:t>agreed by Mission Council on behalf of General Assembly with effect from</w:t>
      </w:r>
    </w:p>
    <w:p>
      <w:pPr>
        <w:pStyle w:val="BodyText"/>
        <w:spacing w:line="242" w:lineRule="exact"/>
        <w:ind w:left="1984"/>
      </w:pPr>
      <w:r>
        <w:rPr>
          <w:w w:val="125"/>
        </w:rPr>
        <w:t>3</w:t>
      </w:r>
      <w:r>
        <w:rPr>
          <w:w w:val="125"/>
          <w:position w:val="7"/>
          <w:sz w:val="11"/>
        </w:rPr>
        <w:t>rd </w:t>
      </w:r>
      <w:r>
        <w:rPr>
          <w:w w:val="125"/>
        </w:rPr>
        <w:t>December 2008</w:t>
      </w:r>
    </w:p>
    <w:p>
      <w:pPr>
        <w:pStyle w:val="BodyText"/>
        <w:spacing w:before="3"/>
        <w:rPr>
          <w:sz w:val="18"/>
        </w:rPr>
      </w:pPr>
    </w:p>
    <w:p>
      <w:pPr>
        <w:spacing w:line="261" w:lineRule="exact" w:before="0"/>
        <w:ind w:left="1984" w:right="0" w:firstLine="0"/>
        <w:jc w:val="left"/>
        <w:rPr>
          <w:i/>
          <w:sz w:val="20"/>
        </w:rPr>
      </w:pPr>
      <w:r>
        <w:rPr>
          <w:w w:val="120"/>
          <w:sz w:val="20"/>
        </w:rPr>
        <w:t>Deletions shown in bold </w:t>
      </w:r>
      <w:r>
        <w:rPr>
          <w:rFonts w:ascii="Stone Sans II ITC Std Bk"/>
          <w:b/>
          <w:w w:val="120"/>
          <w:sz w:val="20"/>
        </w:rPr>
        <w:t>(brackets</w:t>
      </w:r>
      <w:r>
        <w:rPr>
          <w:w w:val="120"/>
          <w:sz w:val="20"/>
        </w:rPr>
        <w:t>) additions/amendments shown in italic </w:t>
      </w:r>
      <w:r>
        <w:rPr>
          <w:i/>
          <w:w w:val="120"/>
          <w:sz w:val="20"/>
        </w:rPr>
        <w:t>[brackets]</w:t>
      </w:r>
    </w:p>
    <w:p>
      <w:pPr>
        <w:pStyle w:val="BodyText"/>
        <w:spacing w:line="233" w:lineRule="exact"/>
        <w:ind w:left="1984"/>
      </w:pPr>
      <w:r>
        <w:rPr>
          <w:w w:val="120"/>
        </w:rPr>
        <w:t>Amend Rule 17 as follows:</w:t>
      </w:r>
    </w:p>
    <w:p>
      <w:pPr>
        <w:pStyle w:val="BodyText"/>
        <w:spacing w:line="230" w:lineRule="auto" w:before="6"/>
        <w:ind w:left="2704" w:right="1357"/>
      </w:pPr>
      <w:r>
        <w:rPr>
          <w:spacing w:val="-16"/>
          <w:w w:val="120"/>
        </w:rPr>
        <w:t>[17.1.1 </w:t>
      </w:r>
      <w:r>
        <w:rPr>
          <w:w w:val="120"/>
        </w:rPr>
        <w:t>the voluntary contributions shall be limited to a sum which, when added to all other contributions in respect of his/her membership of the Fund</w:t>
      </w:r>
      <w:r>
        <w:rPr>
          <w:rFonts w:ascii="Stone Sans II ITC Std Bk" w:hAnsi="Stone Sans II ITC Std Bk"/>
          <w:b/>
          <w:w w:val="120"/>
        </w:rPr>
        <w:t>, </w:t>
      </w:r>
      <w:r>
        <w:rPr>
          <w:w w:val="120"/>
        </w:rPr>
        <w:t>would provide benefits not exceeding Inland Revenue limits and when added to the contributions (if </w:t>
      </w:r>
      <w:r>
        <w:rPr>
          <w:spacing w:val="-4"/>
          <w:w w:val="120"/>
        </w:rPr>
        <w:t>any) </w:t>
      </w:r>
      <w:r>
        <w:rPr>
          <w:w w:val="120"/>
        </w:rPr>
        <w:t>of the member to this and all other retirement benefits schemes that have received or are capable of receiving approval under the </w:t>
      </w:r>
      <w:r>
        <w:rPr>
          <w:spacing w:val="-4"/>
          <w:w w:val="120"/>
        </w:rPr>
        <w:t>1988 </w:t>
      </w:r>
      <w:r>
        <w:rPr>
          <w:w w:val="120"/>
        </w:rPr>
        <w:t>Act does not exceed </w:t>
      </w:r>
      <w:r>
        <w:rPr>
          <w:spacing w:val="-9"/>
          <w:w w:val="120"/>
        </w:rPr>
        <w:t>15% </w:t>
      </w:r>
      <w:r>
        <w:rPr>
          <w:w w:val="120"/>
        </w:rPr>
        <w:t>of the member’s total remuneration for that</w:t>
      </w:r>
      <w:r>
        <w:rPr>
          <w:spacing w:val="44"/>
          <w:w w:val="120"/>
        </w:rPr>
        <w:t> </w:t>
      </w:r>
      <w:r>
        <w:rPr>
          <w:spacing w:val="-6"/>
          <w:w w:val="120"/>
        </w:rPr>
        <w:t>year.]</w:t>
      </w:r>
    </w:p>
    <w:p>
      <w:pPr>
        <w:spacing w:line="460" w:lineRule="atLeast" w:before="38"/>
        <w:ind w:left="1984" w:right="2705" w:firstLine="0"/>
        <w:jc w:val="left"/>
        <w:rPr>
          <w:sz w:val="20"/>
        </w:rPr>
      </w:pPr>
      <w:r>
        <w:rPr>
          <w:w w:val="120"/>
          <w:sz w:val="20"/>
        </w:rPr>
        <w:t>Re-number paragraphs </w:t>
      </w:r>
      <w:r>
        <w:rPr>
          <w:spacing w:val="-13"/>
          <w:w w:val="120"/>
          <w:sz w:val="20"/>
        </w:rPr>
        <w:t>[17.1.2 </w:t>
      </w:r>
      <w:r>
        <w:rPr>
          <w:w w:val="120"/>
          <w:sz w:val="20"/>
        </w:rPr>
        <w:t>&amp; </w:t>
      </w:r>
      <w:r>
        <w:rPr>
          <w:spacing w:val="-14"/>
          <w:w w:val="120"/>
          <w:sz w:val="20"/>
        </w:rPr>
        <w:t>17.1.3] </w:t>
      </w:r>
      <w:r>
        <w:rPr>
          <w:rFonts w:ascii="Stone Sans II ITC Std Bk"/>
          <w:b/>
          <w:spacing w:val="-16"/>
          <w:w w:val="120"/>
          <w:sz w:val="20"/>
        </w:rPr>
        <w:t>(17.1.1 </w:t>
      </w:r>
      <w:r>
        <w:rPr>
          <w:rFonts w:ascii="Stone Sans II ITC Std Bk"/>
          <w:b/>
          <w:w w:val="120"/>
          <w:sz w:val="20"/>
        </w:rPr>
        <w:t>&amp; </w:t>
      </w:r>
      <w:r>
        <w:rPr>
          <w:rFonts w:ascii="Stone Sans II ITC Std Bk"/>
          <w:b/>
          <w:spacing w:val="-11"/>
          <w:w w:val="120"/>
          <w:sz w:val="20"/>
        </w:rPr>
        <w:t>17.1.2.) </w:t>
      </w:r>
      <w:r>
        <w:rPr>
          <w:rFonts w:ascii="Stone Sans II ITC Std Bk"/>
          <w:b/>
          <w:w w:val="120"/>
          <w:sz w:val="20"/>
        </w:rPr>
        <w:t>respectively</w:t>
      </w:r>
      <w:r>
        <w:rPr>
          <w:w w:val="120"/>
          <w:sz w:val="20"/>
        </w:rPr>
        <w:t>. Amend Rule </w:t>
      </w:r>
      <w:r>
        <w:rPr>
          <w:spacing w:val="-7"/>
          <w:w w:val="120"/>
          <w:sz w:val="20"/>
        </w:rPr>
        <w:t>43 </w:t>
      </w:r>
      <w:r>
        <w:rPr>
          <w:w w:val="120"/>
          <w:sz w:val="20"/>
        </w:rPr>
        <w:t>and </w:t>
      </w:r>
      <w:r>
        <w:rPr>
          <w:spacing w:val="-9"/>
          <w:w w:val="120"/>
          <w:sz w:val="20"/>
        </w:rPr>
        <w:t>43.1 </w:t>
      </w:r>
      <w:r>
        <w:rPr>
          <w:w w:val="120"/>
          <w:sz w:val="20"/>
        </w:rPr>
        <w:t>as follows:</w:t>
      </w:r>
    </w:p>
    <w:p>
      <w:pPr>
        <w:spacing w:line="260" w:lineRule="exact" w:before="0"/>
        <w:ind w:left="2704" w:right="0" w:firstLine="0"/>
        <w:jc w:val="left"/>
        <w:rPr>
          <w:sz w:val="20"/>
        </w:rPr>
      </w:pPr>
      <w:r>
        <w:rPr>
          <w:w w:val="115"/>
          <w:sz w:val="20"/>
        </w:rPr>
        <w:t>(</w:t>
      </w:r>
      <w:r>
        <w:rPr>
          <w:rFonts w:ascii="Stone Sans II ITC Std Bk"/>
          <w:b/>
          <w:i/>
          <w:w w:val="115"/>
          <w:sz w:val="20"/>
        </w:rPr>
        <w:t>Overriding Tax Rules and</w:t>
      </w:r>
      <w:r>
        <w:rPr>
          <w:w w:val="115"/>
          <w:sz w:val="20"/>
        </w:rPr>
        <w:t>) Maximum Benefits</w:t>
      </w:r>
    </w:p>
    <w:p>
      <w:pPr>
        <w:pStyle w:val="BodyText"/>
        <w:spacing w:before="8"/>
        <w:rPr>
          <w:sz w:val="19"/>
        </w:rPr>
      </w:pPr>
    </w:p>
    <w:p>
      <w:pPr>
        <w:spacing w:line="218" w:lineRule="auto" w:before="0"/>
        <w:ind w:left="2704" w:right="1120" w:firstLine="0"/>
        <w:jc w:val="left"/>
        <w:rPr>
          <w:rFonts w:ascii="Stone Sans II ITC Std Bk"/>
          <w:b/>
          <w:i/>
          <w:sz w:val="20"/>
        </w:rPr>
      </w:pPr>
      <w:r>
        <w:rPr>
          <w:w w:val="115"/>
          <w:sz w:val="20"/>
        </w:rPr>
        <w:t>[The Inland Revenue limits on benefits apply to the Fund and are set out in the Schedule hereto] </w:t>
      </w:r>
      <w:r>
        <w:rPr>
          <w:rFonts w:ascii="Stone Sans II ITC Std Bk"/>
          <w:b/>
          <w:i/>
          <w:w w:val="115"/>
          <w:sz w:val="20"/>
        </w:rPr>
        <w:t>(The Schedule hereto sets out the Tax Rules and the Inland </w:t>
      </w:r>
      <w:r>
        <w:rPr>
          <w:rFonts w:ascii="Stone Sans II ITC Std Bk"/>
          <w:b/>
          <w:i/>
          <w:w w:val="115"/>
          <w:sz w:val="20"/>
        </w:rPr>
        <w:t>Revenue Limits on benefits that apply to the Fund)</w:t>
      </w:r>
    </w:p>
    <w:p>
      <w:pPr>
        <w:pStyle w:val="BodyText"/>
        <w:spacing w:before="4"/>
        <w:rPr>
          <w:rFonts w:ascii="Stone Sans II ITC Std Bk"/>
          <w:b/>
          <w:i/>
          <w:sz w:val="18"/>
        </w:rPr>
      </w:pPr>
    </w:p>
    <w:p>
      <w:pPr>
        <w:spacing w:line="216" w:lineRule="auto" w:before="0"/>
        <w:ind w:left="2704" w:right="1273" w:hanging="721"/>
        <w:jc w:val="left"/>
        <w:rPr>
          <w:sz w:val="20"/>
        </w:rPr>
      </w:pPr>
      <w:r>
        <w:rPr>
          <w:w w:val="110"/>
          <w:sz w:val="20"/>
        </w:rPr>
        <w:t>Add the following at the end of the Schedule: ‘Inland Revenue Limits: Part 1-Tax Rules’ </w:t>
      </w:r>
      <w:r>
        <w:rPr>
          <w:rFonts w:ascii="Stone Sans II ITC Std Bk" w:hAnsi="Stone Sans II ITC Std Bk"/>
          <w:b/>
          <w:i/>
          <w:w w:val="110"/>
          <w:sz w:val="20"/>
        </w:rPr>
        <w:t>Members’ contributions: The annual rate of Members’ contributions may, with </w:t>
      </w:r>
      <w:r>
        <w:rPr>
          <w:rFonts w:ascii="Stone Sans II ITC Std Bk" w:hAnsi="Stone Sans II ITC Std Bk"/>
          <w:b/>
          <w:i/>
          <w:w w:val="110"/>
          <w:sz w:val="20"/>
        </w:rPr>
        <w:t>the consent of the Pension Trustees, exceed 15% of remuneration or any other limit imposed by the provisions of Part 11 of the schedule</w:t>
      </w:r>
      <w:r>
        <w:rPr>
          <w:w w:val="110"/>
          <w:sz w:val="20"/>
        </w:rPr>
        <w:t>.</w:t>
      </w:r>
    </w:p>
    <w:p>
      <w:pPr>
        <w:pStyle w:val="BodyText"/>
        <w:spacing w:before="3"/>
        <w:rPr>
          <w:sz w:val="19"/>
        </w:rPr>
      </w:pPr>
    </w:p>
    <w:p>
      <w:pPr>
        <w:pStyle w:val="ListParagraph"/>
        <w:numPr>
          <w:ilvl w:val="0"/>
          <w:numId w:val="72"/>
        </w:numPr>
        <w:tabs>
          <w:tab w:pos="3459" w:val="left" w:leader="none"/>
        </w:tabs>
        <w:spacing w:line="235" w:lineRule="auto" w:before="0" w:after="0"/>
        <w:ind w:left="3458" w:right="1330" w:hanging="340"/>
        <w:jc w:val="left"/>
        <w:rPr>
          <w:sz w:val="20"/>
        </w:rPr>
      </w:pPr>
      <w:r>
        <w:rPr>
          <w:w w:val="120"/>
          <w:sz w:val="20"/>
        </w:rPr>
        <w:t>These amendments to the Pension Fund Rules allow members to pay Additional Voluntary Contributions </w:t>
      </w:r>
      <w:r>
        <w:rPr>
          <w:spacing w:val="-6"/>
          <w:w w:val="120"/>
          <w:sz w:val="20"/>
        </w:rPr>
        <w:t>(AVCs) </w:t>
      </w:r>
      <w:r>
        <w:rPr>
          <w:w w:val="120"/>
          <w:sz w:val="20"/>
        </w:rPr>
        <w:t>to the </w:t>
      </w:r>
      <w:r>
        <w:rPr>
          <w:spacing w:val="-3"/>
          <w:w w:val="120"/>
          <w:sz w:val="20"/>
        </w:rPr>
        <w:t>AVC </w:t>
      </w:r>
      <w:r>
        <w:rPr>
          <w:w w:val="120"/>
          <w:sz w:val="20"/>
        </w:rPr>
        <w:t>Scheme attaching to the Fund without the current contribution restriction (maximum contribution </w:t>
      </w:r>
      <w:r>
        <w:rPr>
          <w:spacing w:val="-9"/>
          <w:w w:val="120"/>
          <w:sz w:val="20"/>
        </w:rPr>
        <w:t>15% </w:t>
      </w:r>
      <w:r>
        <w:rPr>
          <w:w w:val="120"/>
          <w:sz w:val="20"/>
        </w:rPr>
        <w:t>of</w:t>
      </w:r>
      <w:r>
        <w:rPr>
          <w:spacing w:val="17"/>
          <w:w w:val="120"/>
          <w:sz w:val="20"/>
        </w:rPr>
        <w:t> </w:t>
      </w:r>
      <w:r>
        <w:rPr>
          <w:w w:val="120"/>
          <w:sz w:val="20"/>
        </w:rPr>
        <w:t>stipend.)</w:t>
      </w:r>
    </w:p>
    <w:p>
      <w:pPr>
        <w:pStyle w:val="BodyText"/>
        <w:spacing w:before="6"/>
        <w:rPr>
          <w:sz w:val="18"/>
        </w:rPr>
      </w:pPr>
    </w:p>
    <w:p>
      <w:pPr>
        <w:spacing w:line="261" w:lineRule="exact" w:before="1"/>
        <w:ind w:left="1984" w:right="0" w:firstLine="0"/>
        <w:jc w:val="left"/>
        <w:rPr>
          <w:sz w:val="20"/>
        </w:rPr>
      </w:pPr>
      <w:r>
        <w:rPr>
          <w:w w:val="120"/>
          <w:sz w:val="20"/>
        </w:rPr>
        <w:t>Deletions shown in bold </w:t>
      </w:r>
      <w:r>
        <w:rPr>
          <w:rFonts w:ascii="Stone Sans II ITC Std Bk"/>
          <w:b/>
          <w:w w:val="120"/>
          <w:sz w:val="20"/>
        </w:rPr>
        <w:t>[brackets] </w:t>
      </w:r>
      <w:r>
        <w:rPr>
          <w:w w:val="120"/>
          <w:sz w:val="20"/>
        </w:rPr>
        <w:t>Additions/amendments shown in italic (</w:t>
      </w:r>
      <w:r>
        <w:rPr>
          <w:i/>
          <w:w w:val="120"/>
          <w:sz w:val="20"/>
        </w:rPr>
        <w:t>brackets</w:t>
      </w:r>
      <w:r>
        <w:rPr>
          <w:w w:val="120"/>
          <w:sz w:val="20"/>
        </w:rPr>
        <w:t>)</w:t>
      </w:r>
    </w:p>
    <w:p>
      <w:pPr>
        <w:pStyle w:val="BodyText"/>
        <w:spacing w:line="233" w:lineRule="exact"/>
        <w:ind w:left="1984"/>
      </w:pPr>
      <w:r>
        <w:rPr>
          <w:w w:val="120"/>
        </w:rPr>
        <w:t>22.2 as follows:</w:t>
      </w:r>
    </w:p>
    <w:p>
      <w:pPr>
        <w:tabs>
          <w:tab w:pos="3458" w:val="left" w:leader="none"/>
        </w:tabs>
        <w:spacing w:line="235" w:lineRule="auto" w:before="1"/>
        <w:ind w:left="3458" w:right="1200" w:hanging="794"/>
        <w:jc w:val="left"/>
        <w:rPr>
          <w:sz w:val="20"/>
        </w:rPr>
      </w:pPr>
      <w:r>
        <w:rPr>
          <w:w w:val="115"/>
          <w:sz w:val="20"/>
        </w:rPr>
        <w:t>22.2</w:t>
        <w:tab/>
      </w:r>
      <w:r>
        <w:rPr>
          <w:spacing w:val="-4"/>
          <w:w w:val="115"/>
          <w:sz w:val="20"/>
        </w:rPr>
        <w:t>‘To  </w:t>
      </w:r>
      <w:r>
        <w:rPr>
          <w:w w:val="115"/>
          <w:sz w:val="20"/>
        </w:rPr>
        <w:t>the surviving spouse a pension for life of an annual amount equal to     one half of the pension to which the member would have been entitled to      if the member had attained normal pension age </w:t>
      </w:r>
      <w:r>
        <w:rPr>
          <w:spacing w:val="-8"/>
          <w:w w:val="115"/>
          <w:sz w:val="20"/>
        </w:rPr>
        <w:t>(</w:t>
      </w:r>
      <w:r>
        <w:rPr>
          <w:i/>
          <w:spacing w:val="-8"/>
          <w:w w:val="115"/>
          <w:sz w:val="20"/>
        </w:rPr>
        <w:t>or, </w:t>
      </w:r>
      <w:r>
        <w:rPr>
          <w:i/>
          <w:w w:val="115"/>
          <w:sz w:val="20"/>
        </w:rPr>
        <w:t>in the case of the death  </w:t>
      </w:r>
      <w:r>
        <w:rPr>
          <w:i/>
          <w:w w:val="115"/>
          <w:sz w:val="20"/>
        </w:rPr>
        <w:t>of a contributing member in service after normal pension age, one half of the pension to which the member would have been entitled had he or she retired the day before his/her </w:t>
      </w:r>
      <w:r>
        <w:rPr>
          <w:i/>
          <w:spacing w:val="-3"/>
          <w:w w:val="115"/>
          <w:sz w:val="20"/>
        </w:rPr>
        <w:t>death</w:t>
      </w:r>
      <w:r>
        <w:rPr>
          <w:spacing w:val="-3"/>
          <w:w w:val="115"/>
          <w:sz w:val="20"/>
        </w:rPr>
        <w:t>) </w:t>
      </w:r>
      <w:r>
        <w:rPr>
          <w:w w:val="115"/>
          <w:sz w:val="20"/>
        </w:rPr>
        <w:t>plus in the case of the spouse of a member of the Congregational</w:t>
      </w:r>
      <w:r>
        <w:rPr>
          <w:spacing w:val="13"/>
          <w:w w:val="115"/>
          <w:sz w:val="20"/>
        </w:rPr>
        <w:t> </w:t>
      </w:r>
      <w:r>
        <w:rPr>
          <w:spacing w:val="-3"/>
          <w:w w:val="115"/>
          <w:sz w:val="20"/>
        </w:rPr>
        <w:t>Fund……’</w:t>
      </w:r>
    </w:p>
    <w:p>
      <w:pPr>
        <w:pStyle w:val="BodyText"/>
        <w:spacing w:before="9"/>
        <w:rPr>
          <w:sz w:val="19"/>
        </w:rPr>
      </w:pPr>
    </w:p>
    <w:p>
      <w:pPr>
        <w:pStyle w:val="BodyText"/>
        <w:spacing w:line="242" w:lineRule="exact" w:before="1"/>
        <w:ind w:left="1984"/>
      </w:pPr>
      <w:r>
        <w:rPr>
          <w:w w:val="120"/>
        </w:rPr>
        <w:t>Amend Rule 23.1 as follows</w:t>
      </w:r>
    </w:p>
    <w:p>
      <w:pPr>
        <w:pStyle w:val="BodyText"/>
        <w:tabs>
          <w:tab w:pos="3458" w:val="left" w:leader="none"/>
        </w:tabs>
        <w:spacing w:line="223" w:lineRule="auto" w:before="11"/>
        <w:ind w:left="3458" w:right="1456" w:hanging="794"/>
      </w:pPr>
      <w:r>
        <w:rPr>
          <w:spacing w:val="-5"/>
          <w:w w:val="120"/>
        </w:rPr>
        <w:t>22.1</w:t>
        <w:tab/>
      </w:r>
      <w:r>
        <w:rPr>
          <w:w w:val="120"/>
        </w:rPr>
        <w:t>‘In the event of the death of a member who has retired on pension  and</w:t>
      </w:r>
      <w:r>
        <w:rPr>
          <w:spacing w:val="-14"/>
          <w:w w:val="120"/>
        </w:rPr>
        <w:t> </w:t>
      </w:r>
      <w:r>
        <w:rPr>
          <w:w w:val="120"/>
        </w:rPr>
        <w:t>who</w:t>
      </w:r>
      <w:r>
        <w:rPr>
          <w:spacing w:val="-13"/>
          <w:w w:val="120"/>
        </w:rPr>
        <w:t> </w:t>
      </w:r>
      <w:r>
        <w:rPr>
          <w:w w:val="120"/>
        </w:rPr>
        <w:t>leaves</w:t>
      </w:r>
      <w:r>
        <w:rPr>
          <w:spacing w:val="-14"/>
          <w:w w:val="120"/>
        </w:rPr>
        <w:t> </w:t>
      </w:r>
      <w:r>
        <w:rPr>
          <w:w w:val="120"/>
        </w:rPr>
        <w:t>a</w:t>
      </w:r>
      <w:r>
        <w:rPr>
          <w:spacing w:val="-13"/>
          <w:w w:val="120"/>
        </w:rPr>
        <w:t> </w:t>
      </w:r>
      <w:r>
        <w:rPr>
          <w:w w:val="120"/>
        </w:rPr>
        <w:t>spouse</w:t>
      </w:r>
      <w:r>
        <w:rPr>
          <w:spacing w:val="-13"/>
          <w:w w:val="120"/>
        </w:rPr>
        <w:t> </w:t>
      </w:r>
      <w:r>
        <w:rPr>
          <w:w w:val="120"/>
        </w:rPr>
        <w:t>whom</w:t>
      </w:r>
      <w:r>
        <w:rPr>
          <w:spacing w:val="-14"/>
          <w:w w:val="120"/>
        </w:rPr>
        <w:t> </w:t>
      </w:r>
      <w:r>
        <w:rPr>
          <w:w w:val="120"/>
        </w:rPr>
        <w:t>he/she</w:t>
      </w:r>
      <w:r>
        <w:rPr>
          <w:spacing w:val="-13"/>
          <w:w w:val="120"/>
        </w:rPr>
        <w:t> </w:t>
      </w:r>
      <w:r>
        <w:rPr>
          <w:w w:val="120"/>
        </w:rPr>
        <w:t>married</w:t>
      </w:r>
      <w:r>
        <w:rPr>
          <w:spacing w:val="-13"/>
          <w:w w:val="120"/>
        </w:rPr>
        <w:t> </w:t>
      </w:r>
      <w:r>
        <w:rPr>
          <w:w w:val="120"/>
        </w:rPr>
        <w:t>before</w:t>
      </w:r>
      <w:r>
        <w:rPr>
          <w:spacing w:val="-14"/>
          <w:w w:val="120"/>
        </w:rPr>
        <w:t> </w:t>
      </w:r>
      <w:r>
        <w:rPr>
          <w:rFonts w:ascii="Stone Sans II ITC Std Bk" w:hAnsi="Stone Sans II ITC Std Bk"/>
          <w:b/>
          <w:w w:val="120"/>
        </w:rPr>
        <w:t>[attainment</w:t>
      </w:r>
      <w:r>
        <w:rPr>
          <w:rFonts w:ascii="Stone Sans II ITC Std Bk" w:hAnsi="Stone Sans II ITC Std Bk"/>
          <w:b/>
          <w:spacing w:val="-21"/>
          <w:w w:val="120"/>
        </w:rPr>
        <w:t> </w:t>
      </w:r>
      <w:r>
        <w:rPr>
          <w:rFonts w:ascii="Stone Sans II ITC Std Bk" w:hAnsi="Stone Sans II ITC Std Bk"/>
          <w:b/>
          <w:w w:val="120"/>
        </w:rPr>
        <w:t>of normal pension </w:t>
      </w:r>
      <w:r>
        <w:rPr>
          <w:rFonts w:ascii="Stone Sans II ITC Std Bk" w:hAnsi="Stone Sans II ITC Std Bk"/>
          <w:b/>
          <w:spacing w:val="-3"/>
          <w:w w:val="120"/>
        </w:rPr>
        <w:t>age] </w:t>
      </w:r>
      <w:r>
        <w:rPr>
          <w:spacing w:val="-3"/>
          <w:w w:val="120"/>
        </w:rPr>
        <w:t>(the </w:t>
      </w:r>
      <w:r>
        <w:rPr>
          <w:w w:val="120"/>
        </w:rPr>
        <w:t>later of the date on which his/her service of a contributing member of the fund ceases and the date of his/her retirement), a pension will be payable for life to the</w:t>
      </w:r>
      <w:r>
        <w:rPr>
          <w:spacing w:val="14"/>
          <w:w w:val="120"/>
        </w:rPr>
        <w:t> </w:t>
      </w:r>
      <w:r>
        <w:rPr>
          <w:w w:val="120"/>
        </w:rPr>
        <w:t>spouse’</w:t>
      </w:r>
    </w:p>
    <w:p>
      <w:pPr>
        <w:pStyle w:val="BodyText"/>
        <w:spacing w:before="3"/>
      </w:pPr>
    </w:p>
    <w:p>
      <w:pPr>
        <w:pStyle w:val="ListParagraph"/>
        <w:numPr>
          <w:ilvl w:val="0"/>
          <w:numId w:val="72"/>
        </w:numPr>
        <w:tabs>
          <w:tab w:pos="3459" w:val="left" w:leader="none"/>
        </w:tabs>
        <w:spacing w:line="235" w:lineRule="auto" w:before="0" w:after="0"/>
        <w:ind w:left="3458" w:right="1145" w:hanging="358"/>
        <w:jc w:val="left"/>
        <w:rPr>
          <w:sz w:val="20"/>
        </w:rPr>
      </w:pPr>
      <w:r>
        <w:rPr>
          <w:w w:val="120"/>
          <w:sz w:val="20"/>
        </w:rPr>
        <w:t>On </w:t>
      </w:r>
      <w:r>
        <w:rPr>
          <w:spacing w:val="-5"/>
          <w:w w:val="120"/>
          <w:sz w:val="20"/>
        </w:rPr>
        <w:t>1</w:t>
      </w:r>
      <w:r>
        <w:rPr>
          <w:spacing w:val="-5"/>
          <w:w w:val="120"/>
          <w:position w:val="7"/>
          <w:sz w:val="11"/>
        </w:rPr>
        <w:t>st </w:t>
      </w:r>
      <w:r>
        <w:rPr>
          <w:w w:val="120"/>
          <w:sz w:val="20"/>
        </w:rPr>
        <w:t>December 2006 when the </w:t>
      </w:r>
      <w:r>
        <w:rPr>
          <w:spacing w:val="-3"/>
          <w:w w:val="120"/>
          <w:sz w:val="20"/>
        </w:rPr>
        <w:t>Pension </w:t>
      </w:r>
      <w:r>
        <w:rPr>
          <w:w w:val="120"/>
          <w:sz w:val="20"/>
        </w:rPr>
        <w:t>Fund Rules were brought </w:t>
      </w:r>
      <w:r>
        <w:rPr>
          <w:spacing w:val="-3"/>
          <w:w w:val="120"/>
          <w:sz w:val="20"/>
        </w:rPr>
        <w:t>into </w:t>
      </w:r>
      <w:r>
        <w:rPr>
          <w:w w:val="120"/>
          <w:sz w:val="20"/>
        </w:rPr>
        <w:t>line with the requirements of the </w:t>
      </w:r>
      <w:r>
        <w:rPr>
          <w:spacing w:val="-3"/>
          <w:w w:val="120"/>
          <w:sz w:val="20"/>
        </w:rPr>
        <w:t>Employment </w:t>
      </w:r>
      <w:r>
        <w:rPr>
          <w:w w:val="120"/>
          <w:sz w:val="20"/>
        </w:rPr>
        <w:t>Equality </w:t>
      </w:r>
      <w:r>
        <w:rPr>
          <w:spacing w:val="-7"/>
          <w:w w:val="120"/>
          <w:sz w:val="20"/>
        </w:rPr>
        <w:t>(Age) </w:t>
      </w:r>
      <w:r>
        <w:rPr>
          <w:spacing w:val="-3"/>
          <w:w w:val="120"/>
          <w:sz w:val="20"/>
        </w:rPr>
        <w:t>Discrimination Regulations </w:t>
      </w:r>
      <w:r>
        <w:rPr>
          <w:w w:val="120"/>
          <w:sz w:val="20"/>
        </w:rPr>
        <w:t>2006, these required amendments were </w:t>
      </w:r>
      <w:r>
        <w:rPr>
          <w:spacing w:val="-3"/>
          <w:w w:val="120"/>
          <w:sz w:val="20"/>
        </w:rPr>
        <w:t>overlooked. </w:t>
      </w:r>
      <w:r>
        <w:rPr>
          <w:w w:val="120"/>
          <w:sz w:val="20"/>
        </w:rPr>
        <w:t>The amendment </w:t>
      </w:r>
      <w:r>
        <w:rPr>
          <w:spacing w:val="-3"/>
          <w:w w:val="120"/>
          <w:sz w:val="20"/>
        </w:rPr>
        <w:t>would ensure </w:t>
      </w:r>
      <w:r>
        <w:rPr>
          <w:w w:val="120"/>
          <w:sz w:val="20"/>
        </w:rPr>
        <w:t>that benefits are provided from the Fund where a member has </w:t>
      </w:r>
      <w:r>
        <w:rPr>
          <w:spacing w:val="-3"/>
          <w:w w:val="120"/>
          <w:sz w:val="20"/>
        </w:rPr>
        <w:t>continued </w:t>
      </w:r>
      <w:r>
        <w:rPr>
          <w:w w:val="120"/>
          <w:sz w:val="20"/>
        </w:rPr>
        <w:t>in contributory service after normal pension age </w:t>
      </w:r>
      <w:r>
        <w:rPr>
          <w:spacing w:val="-5"/>
          <w:w w:val="120"/>
          <w:sz w:val="20"/>
        </w:rPr>
        <w:t>65); </w:t>
      </w:r>
      <w:r>
        <w:rPr>
          <w:w w:val="120"/>
          <w:sz w:val="20"/>
        </w:rPr>
        <w:t>and that spouse benefits are </w:t>
      </w:r>
      <w:r>
        <w:rPr>
          <w:spacing w:val="-3"/>
          <w:w w:val="120"/>
          <w:sz w:val="20"/>
        </w:rPr>
        <w:t>available </w:t>
      </w:r>
      <w:r>
        <w:rPr>
          <w:w w:val="120"/>
          <w:sz w:val="20"/>
        </w:rPr>
        <w:t>in all cases where the marriage took </w:t>
      </w:r>
      <w:r>
        <w:rPr>
          <w:spacing w:val="-3"/>
          <w:w w:val="120"/>
          <w:sz w:val="20"/>
        </w:rPr>
        <w:t>place </w:t>
      </w:r>
      <w:r>
        <w:rPr>
          <w:w w:val="120"/>
          <w:sz w:val="20"/>
        </w:rPr>
        <w:t>before the </w:t>
      </w:r>
      <w:r>
        <w:rPr>
          <w:spacing w:val="-3"/>
          <w:w w:val="120"/>
          <w:sz w:val="20"/>
        </w:rPr>
        <w:t>member’s </w:t>
      </w:r>
      <w:r>
        <w:rPr>
          <w:w w:val="120"/>
          <w:sz w:val="20"/>
        </w:rPr>
        <w:t>retirement</w:t>
      </w:r>
      <w:r>
        <w:rPr>
          <w:spacing w:val="-11"/>
          <w:w w:val="120"/>
          <w:sz w:val="20"/>
        </w:rPr>
        <w:t> </w:t>
      </w:r>
      <w:r>
        <w:rPr>
          <w:spacing w:val="-3"/>
          <w:w w:val="120"/>
          <w:sz w:val="20"/>
        </w:rPr>
        <w:t>date.</w:t>
      </w:r>
    </w:p>
    <w:p>
      <w:pPr>
        <w:pStyle w:val="BodyText"/>
        <w:spacing w:before="7"/>
        <w:rPr>
          <w:sz w:val="11"/>
        </w:rPr>
      </w:pPr>
      <w:r>
        <w:rPr/>
        <w:pict>
          <v:shape style="position:absolute;margin-left:68.031494pt;margin-top:9.423268pt;width:470.6pt;height:.1pt;mso-position-horizontal-relative:page;mso-position-vertical-relative:paragraph;z-index:-251424768;mso-wrap-distance-left:0;mso-wrap-distance-right:0" coordorigin="1361,188" coordsize="9412,0" path="m1361,188l10772,188e" filled="false" stroked="true" strokeweight=".75pt" strokecolor="#ca4f1b">
            <v:path arrowok="t"/>
            <v:stroke dashstyle="solid"/>
            <w10:wrap type="topAndBottom"/>
          </v:shape>
        </w:pict>
      </w:r>
    </w:p>
    <w:p>
      <w:pPr>
        <w:spacing w:after="0"/>
        <w:rPr>
          <w:sz w:val="11"/>
        </w:rPr>
        <w:sectPr>
          <w:pgSz w:w="11910" w:h="16840"/>
          <w:pgMar w:header="0" w:footer="647" w:top="1060" w:bottom="840" w:left="0" w:right="0"/>
        </w:sectPr>
      </w:pPr>
    </w:p>
    <w:p>
      <w:pPr>
        <w:pStyle w:val="Heading6"/>
        <w:spacing w:line="196" w:lineRule="auto" w:before="192"/>
        <w:ind w:right="1997"/>
      </w:pPr>
      <w:r>
        <w:rPr>
          <w:w w:val="110"/>
        </w:rPr>
        <w:t>Terms of reference for the Pastoral Reference and Welfare Committee</w:t>
      </w:r>
    </w:p>
    <w:p>
      <w:pPr>
        <w:numPr>
          <w:ilvl w:val="0"/>
          <w:numId w:val="73"/>
        </w:numPr>
        <w:tabs>
          <w:tab w:pos="1853" w:val="left" w:leader="none"/>
          <w:tab w:pos="1854" w:val="left" w:leader="none"/>
        </w:tabs>
        <w:spacing w:before="186"/>
        <w:ind w:left="1853" w:right="0" w:hanging="721"/>
        <w:jc w:val="left"/>
        <w:rPr>
          <w:rFonts w:ascii="Stone Sans II ITC Std Bk"/>
          <w:b/>
          <w:sz w:val="21"/>
        </w:rPr>
      </w:pPr>
      <w:r>
        <w:rPr>
          <w:rFonts w:ascii="Stone Sans II ITC Std Bk"/>
          <w:b/>
          <w:w w:val="115"/>
          <w:sz w:val="21"/>
        </w:rPr>
        <w:t>Functions</w:t>
      </w:r>
    </w:p>
    <w:p>
      <w:pPr>
        <w:pStyle w:val="BodyText"/>
        <w:tabs>
          <w:tab w:pos="1814" w:val="left" w:leader="none"/>
        </w:tabs>
        <w:spacing w:line="235" w:lineRule="auto" w:before="222"/>
        <w:ind w:left="1133" w:right="2684"/>
      </w:pPr>
      <w:r>
        <w:rPr>
          <w:spacing w:val="-7"/>
          <w:w w:val="120"/>
        </w:rPr>
        <w:t>1a</w:t>
        <w:tab/>
      </w:r>
      <w:r>
        <w:rPr>
          <w:w w:val="120"/>
        </w:rPr>
        <w:t>The Pastoral Reference and Welfare Committee (PRWC) considers the cases of</w:t>
      </w:r>
      <w:r>
        <w:rPr>
          <w:spacing w:val="6"/>
          <w:w w:val="120"/>
        </w:rPr>
        <w:t> </w:t>
      </w:r>
      <w:r>
        <w:rPr>
          <w:w w:val="120"/>
        </w:rPr>
        <w:t>United</w:t>
      </w:r>
      <w:r>
        <w:rPr>
          <w:spacing w:val="6"/>
          <w:w w:val="120"/>
        </w:rPr>
        <w:t> </w:t>
      </w:r>
      <w:r>
        <w:rPr>
          <w:w w:val="120"/>
        </w:rPr>
        <w:t>Reformed</w:t>
      </w:r>
      <w:r>
        <w:rPr>
          <w:spacing w:val="6"/>
          <w:w w:val="120"/>
        </w:rPr>
        <w:t> </w:t>
      </w:r>
      <w:r>
        <w:rPr>
          <w:w w:val="120"/>
        </w:rPr>
        <w:t>Church</w:t>
      </w:r>
      <w:r>
        <w:rPr>
          <w:spacing w:val="6"/>
          <w:w w:val="120"/>
        </w:rPr>
        <w:t> </w:t>
      </w:r>
      <w:r>
        <w:rPr>
          <w:w w:val="120"/>
        </w:rPr>
        <w:t>(URC)</w:t>
      </w:r>
      <w:r>
        <w:rPr>
          <w:spacing w:val="6"/>
          <w:w w:val="120"/>
        </w:rPr>
        <w:t> </w:t>
      </w:r>
      <w:r>
        <w:rPr>
          <w:w w:val="120"/>
        </w:rPr>
        <w:t>Ministers</w:t>
      </w:r>
      <w:r>
        <w:rPr>
          <w:spacing w:val="6"/>
          <w:w w:val="120"/>
        </w:rPr>
        <w:t> </w:t>
      </w:r>
      <w:r>
        <w:rPr>
          <w:w w:val="120"/>
        </w:rPr>
        <w:t>of</w:t>
      </w:r>
      <w:r>
        <w:rPr>
          <w:spacing w:val="6"/>
          <w:w w:val="120"/>
        </w:rPr>
        <w:t> </w:t>
      </w:r>
      <w:r>
        <w:rPr>
          <w:w w:val="120"/>
        </w:rPr>
        <w:t>Word</w:t>
      </w:r>
      <w:r>
        <w:rPr>
          <w:spacing w:val="7"/>
          <w:w w:val="120"/>
        </w:rPr>
        <w:t> </w:t>
      </w:r>
      <w:r>
        <w:rPr>
          <w:w w:val="120"/>
        </w:rPr>
        <w:t>and</w:t>
      </w:r>
      <w:r>
        <w:rPr>
          <w:spacing w:val="6"/>
          <w:w w:val="120"/>
        </w:rPr>
        <w:t> </w:t>
      </w:r>
      <w:r>
        <w:rPr>
          <w:w w:val="120"/>
        </w:rPr>
        <w:t>Sacrament</w:t>
      </w:r>
      <w:r>
        <w:rPr>
          <w:spacing w:val="6"/>
          <w:w w:val="120"/>
        </w:rPr>
        <w:t> </w:t>
      </w:r>
      <w:r>
        <w:rPr>
          <w:w w:val="120"/>
        </w:rPr>
        <w:t>and</w:t>
      </w:r>
      <w:r>
        <w:rPr>
          <w:spacing w:val="6"/>
          <w:w w:val="120"/>
        </w:rPr>
        <w:t> </w:t>
      </w:r>
      <w:r>
        <w:rPr>
          <w:w w:val="120"/>
        </w:rPr>
        <w:t>Church</w:t>
      </w:r>
    </w:p>
    <w:p>
      <w:pPr>
        <w:spacing w:line="235" w:lineRule="auto" w:before="2"/>
        <w:ind w:left="1133" w:right="1997" w:firstLine="0"/>
        <w:jc w:val="left"/>
        <w:rPr>
          <w:sz w:val="20"/>
        </w:rPr>
      </w:pPr>
      <w:r>
        <w:rPr>
          <w:w w:val="120"/>
          <w:sz w:val="20"/>
        </w:rPr>
        <w:t>Related</w:t>
      </w:r>
      <w:r>
        <w:rPr>
          <w:spacing w:val="-26"/>
          <w:w w:val="120"/>
          <w:sz w:val="20"/>
        </w:rPr>
        <w:t> </w:t>
      </w:r>
      <w:r>
        <w:rPr>
          <w:w w:val="120"/>
          <w:sz w:val="20"/>
        </w:rPr>
        <w:t>Community</w:t>
      </w:r>
      <w:r>
        <w:rPr>
          <w:spacing w:val="-25"/>
          <w:w w:val="120"/>
          <w:sz w:val="20"/>
        </w:rPr>
        <w:t> </w:t>
      </w:r>
      <w:r>
        <w:rPr>
          <w:w w:val="120"/>
          <w:sz w:val="20"/>
        </w:rPr>
        <w:t>Workers</w:t>
      </w:r>
      <w:r>
        <w:rPr>
          <w:spacing w:val="-25"/>
          <w:w w:val="120"/>
          <w:sz w:val="20"/>
        </w:rPr>
        <w:t> </w:t>
      </w:r>
      <w:r>
        <w:rPr>
          <w:i/>
          <w:w w:val="120"/>
          <w:sz w:val="20"/>
        </w:rPr>
        <w:t>(hereafter,</w:t>
      </w:r>
      <w:r>
        <w:rPr>
          <w:i/>
          <w:spacing w:val="-26"/>
          <w:w w:val="120"/>
          <w:sz w:val="20"/>
        </w:rPr>
        <w:t> </w:t>
      </w:r>
      <w:r>
        <w:rPr>
          <w:i/>
          <w:w w:val="120"/>
          <w:sz w:val="20"/>
        </w:rPr>
        <w:t>those</w:t>
      </w:r>
      <w:r>
        <w:rPr>
          <w:i/>
          <w:spacing w:val="-27"/>
          <w:w w:val="120"/>
          <w:sz w:val="20"/>
        </w:rPr>
        <w:t> </w:t>
      </w:r>
      <w:r>
        <w:rPr>
          <w:i/>
          <w:w w:val="120"/>
          <w:sz w:val="20"/>
        </w:rPr>
        <w:t>exercising</w:t>
      </w:r>
      <w:r>
        <w:rPr>
          <w:i/>
          <w:spacing w:val="-27"/>
          <w:w w:val="120"/>
          <w:sz w:val="20"/>
        </w:rPr>
        <w:t> </w:t>
      </w:r>
      <w:r>
        <w:rPr>
          <w:i/>
          <w:w w:val="120"/>
          <w:sz w:val="20"/>
        </w:rPr>
        <w:t>either</w:t>
      </w:r>
      <w:r>
        <w:rPr>
          <w:i/>
          <w:spacing w:val="-26"/>
          <w:w w:val="120"/>
          <w:sz w:val="20"/>
        </w:rPr>
        <w:t> </w:t>
      </w:r>
      <w:r>
        <w:rPr>
          <w:i/>
          <w:w w:val="120"/>
          <w:sz w:val="20"/>
        </w:rPr>
        <w:t>ministry</w:t>
      </w:r>
      <w:r>
        <w:rPr>
          <w:i/>
          <w:spacing w:val="-27"/>
          <w:w w:val="120"/>
          <w:sz w:val="20"/>
        </w:rPr>
        <w:t> </w:t>
      </w:r>
      <w:r>
        <w:rPr>
          <w:i/>
          <w:w w:val="120"/>
          <w:sz w:val="20"/>
        </w:rPr>
        <w:t>are</w:t>
      </w:r>
      <w:r>
        <w:rPr>
          <w:i/>
          <w:spacing w:val="-26"/>
          <w:w w:val="120"/>
          <w:sz w:val="20"/>
        </w:rPr>
        <w:t> </w:t>
      </w:r>
      <w:r>
        <w:rPr>
          <w:i/>
          <w:w w:val="120"/>
          <w:sz w:val="20"/>
        </w:rPr>
        <w:t>included</w:t>
      </w:r>
      <w:r>
        <w:rPr>
          <w:i/>
          <w:spacing w:val="-27"/>
          <w:w w:val="120"/>
          <w:sz w:val="20"/>
        </w:rPr>
        <w:t> </w:t>
      </w:r>
      <w:r>
        <w:rPr>
          <w:i/>
          <w:w w:val="120"/>
          <w:sz w:val="20"/>
        </w:rPr>
        <w:t>in</w:t>
      </w:r>
      <w:r>
        <w:rPr>
          <w:i/>
          <w:spacing w:val="-27"/>
          <w:w w:val="120"/>
          <w:sz w:val="20"/>
        </w:rPr>
        <w:t> </w:t>
      </w:r>
      <w:r>
        <w:rPr>
          <w:i/>
          <w:w w:val="120"/>
          <w:sz w:val="20"/>
        </w:rPr>
        <w:t>the </w:t>
      </w:r>
      <w:r>
        <w:rPr>
          <w:i/>
          <w:w w:val="120"/>
          <w:sz w:val="20"/>
        </w:rPr>
        <w:t>term ‘ministers’) </w:t>
      </w:r>
      <w:r>
        <w:rPr>
          <w:w w:val="120"/>
          <w:sz w:val="20"/>
        </w:rPr>
        <w:t>which are referred to it by the General Secretary, the Deputy General Secretary, synod moderators, synod pastoral committees or Mission Council, on account of perceived pastoral need. Such response maybe</w:t>
      </w:r>
      <w:r>
        <w:rPr>
          <w:spacing w:val="18"/>
          <w:w w:val="120"/>
          <w:sz w:val="20"/>
        </w:rPr>
        <w:t> </w:t>
      </w:r>
      <w:r>
        <w:rPr>
          <w:w w:val="120"/>
          <w:sz w:val="20"/>
        </w:rPr>
        <w:t>needed:</w:t>
      </w:r>
    </w:p>
    <w:p>
      <w:pPr>
        <w:pStyle w:val="ListParagraph"/>
        <w:numPr>
          <w:ilvl w:val="0"/>
          <w:numId w:val="74"/>
        </w:numPr>
        <w:tabs>
          <w:tab w:pos="1814" w:val="left" w:leader="none"/>
          <w:tab w:pos="1815" w:val="left" w:leader="none"/>
        </w:tabs>
        <w:spacing w:line="235" w:lineRule="auto" w:before="2" w:after="0"/>
        <w:ind w:left="1814" w:right="2321" w:hanging="681"/>
        <w:jc w:val="left"/>
        <w:rPr>
          <w:sz w:val="20"/>
        </w:rPr>
      </w:pPr>
      <w:r>
        <w:rPr>
          <w:w w:val="120"/>
          <w:sz w:val="20"/>
        </w:rPr>
        <w:t>when there is a perceived breakdown in relationship between the minister and the wider United Reformed</w:t>
      </w:r>
      <w:r>
        <w:rPr>
          <w:spacing w:val="9"/>
          <w:w w:val="120"/>
          <w:sz w:val="20"/>
        </w:rPr>
        <w:t> </w:t>
      </w:r>
      <w:r>
        <w:rPr>
          <w:w w:val="120"/>
          <w:sz w:val="20"/>
        </w:rPr>
        <w:t>Church;</w:t>
      </w:r>
    </w:p>
    <w:p>
      <w:pPr>
        <w:pStyle w:val="ListParagraph"/>
        <w:numPr>
          <w:ilvl w:val="0"/>
          <w:numId w:val="74"/>
        </w:numPr>
        <w:tabs>
          <w:tab w:pos="1814" w:val="left" w:leader="none"/>
          <w:tab w:pos="1815" w:val="left" w:leader="none"/>
        </w:tabs>
        <w:spacing w:line="240" w:lineRule="exact" w:before="0" w:after="0"/>
        <w:ind w:left="1814" w:right="0" w:hanging="682"/>
        <w:jc w:val="left"/>
        <w:rPr>
          <w:sz w:val="20"/>
        </w:rPr>
      </w:pPr>
      <w:r>
        <w:rPr>
          <w:w w:val="120"/>
          <w:sz w:val="20"/>
        </w:rPr>
        <w:t>when synod officers feel the need for wider</w:t>
      </w:r>
      <w:r>
        <w:rPr>
          <w:spacing w:val="16"/>
          <w:w w:val="120"/>
          <w:sz w:val="20"/>
        </w:rPr>
        <w:t> </w:t>
      </w:r>
      <w:r>
        <w:rPr>
          <w:w w:val="120"/>
          <w:sz w:val="20"/>
        </w:rPr>
        <w:t>help:</w:t>
      </w:r>
    </w:p>
    <w:p>
      <w:pPr>
        <w:pStyle w:val="ListParagraph"/>
        <w:numPr>
          <w:ilvl w:val="0"/>
          <w:numId w:val="74"/>
        </w:numPr>
        <w:tabs>
          <w:tab w:pos="1814" w:val="left" w:leader="none"/>
          <w:tab w:pos="1815" w:val="left" w:leader="none"/>
        </w:tabs>
        <w:spacing w:line="235" w:lineRule="auto" w:before="2" w:after="0"/>
        <w:ind w:left="1814" w:right="2155" w:hanging="681"/>
        <w:jc w:val="left"/>
        <w:rPr>
          <w:sz w:val="20"/>
        </w:rPr>
      </w:pPr>
      <w:r>
        <w:rPr>
          <w:w w:val="120"/>
          <w:sz w:val="20"/>
        </w:rPr>
        <w:t>when the continuation of a minister’s service within the existing pastoral charge, or the URC itself, is in</w:t>
      </w:r>
      <w:r>
        <w:rPr>
          <w:spacing w:val="11"/>
          <w:w w:val="120"/>
          <w:sz w:val="20"/>
        </w:rPr>
        <w:t> </w:t>
      </w:r>
      <w:r>
        <w:rPr>
          <w:w w:val="120"/>
          <w:sz w:val="20"/>
        </w:rPr>
        <w:t>question:</w:t>
      </w:r>
    </w:p>
    <w:p>
      <w:pPr>
        <w:pStyle w:val="ListParagraph"/>
        <w:numPr>
          <w:ilvl w:val="0"/>
          <w:numId w:val="74"/>
        </w:numPr>
        <w:tabs>
          <w:tab w:pos="1814" w:val="left" w:leader="none"/>
          <w:tab w:pos="1815" w:val="left" w:leader="none"/>
        </w:tabs>
        <w:spacing w:line="242" w:lineRule="exact" w:before="0" w:after="0"/>
        <w:ind w:left="1814" w:right="0" w:hanging="682"/>
        <w:jc w:val="left"/>
        <w:rPr>
          <w:sz w:val="20"/>
        </w:rPr>
      </w:pPr>
      <w:r>
        <w:rPr>
          <w:w w:val="120"/>
          <w:sz w:val="20"/>
        </w:rPr>
        <w:t>when financial assistance is sought from welfare</w:t>
      </w:r>
      <w:r>
        <w:rPr>
          <w:spacing w:val="11"/>
          <w:w w:val="120"/>
          <w:sz w:val="20"/>
        </w:rPr>
        <w:t> </w:t>
      </w:r>
      <w:r>
        <w:rPr>
          <w:w w:val="120"/>
          <w:sz w:val="20"/>
        </w:rPr>
        <w:t>funds.</w:t>
      </w:r>
    </w:p>
    <w:p>
      <w:pPr>
        <w:pStyle w:val="BodyText"/>
        <w:spacing w:before="8"/>
        <w:rPr>
          <w:sz w:val="19"/>
        </w:rPr>
      </w:pPr>
    </w:p>
    <w:p>
      <w:pPr>
        <w:pStyle w:val="BodyText"/>
        <w:tabs>
          <w:tab w:pos="1814" w:val="left" w:leader="none"/>
        </w:tabs>
        <w:spacing w:line="235" w:lineRule="auto"/>
        <w:ind w:left="1133" w:right="2224"/>
      </w:pPr>
      <w:r>
        <w:rPr>
          <w:spacing w:val="-7"/>
          <w:w w:val="120"/>
        </w:rPr>
        <w:t>1b</w:t>
        <w:tab/>
      </w:r>
      <w:r>
        <w:rPr>
          <w:w w:val="120"/>
        </w:rPr>
        <w:t>The committee will seek to resolve problems both by consideration of the issues and by consultation with the parties involved, where appropriate. It will further seek   to enable the person’s service within the URC to be continued if that is seen to be appropriate. </w:t>
      </w:r>
      <w:r>
        <w:rPr>
          <w:spacing w:val="-7"/>
          <w:w w:val="120"/>
        </w:rPr>
        <w:t>To </w:t>
      </w:r>
      <w:r>
        <w:rPr>
          <w:w w:val="120"/>
        </w:rPr>
        <w:t>this end it may consider financial support for courses of re-training, therapy or</w:t>
      </w:r>
      <w:r>
        <w:rPr>
          <w:spacing w:val="4"/>
          <w:w w:val="120"/>
        </w:rPr>
        <w:t> </w:t>
      </w:r>
      <w:r>
        <w:rPr>
          <w:w w:val="120"/>
        </w:rPr>
        <w:t>counselling.</w:t>
      </w:r>
    </w:p>
    <w:p>
      <w:pPr>
        <w:pStyle w:val="BodyText"/>
        <w:spacing w:before="11"/>
        <w:rPr>
          <w:sz w:val="19"/>
        </w:rPr>
      </w:pPr>
    </w:p>
    <w:p>
      <w:pPr>
        <w:pStyle w:val="BodyText"/>
        <w:tabs>
          <w:tab w:pos="1814" w:val="left" w:leader="none"/>
        </w:tabs>
        <w:spacing w:line="235" w:lineRule="auto" w:before="1"/>
        <w:ind w:left="1133" w:right="2053"/>
      </w:pPr>
      <w:r>
        <w:rPr>
          <w:spacing w:val="-7"/>
          <w:w w:val="120"/>
        </w:rPr>
        <w:t>1c</w:t>
        <w:tab/>
      </w:r>
      <w:r>
        <w:rPr>
          <w:w w:val="120"/>
        </w:rPr>
        <w:t>The committee may initiate discussion about alternative forms of service for a minister, within or outside the URC, and may seek help (practical, financial,</w:t>
      </w:r>
      <w:r>
        <w:rPr>
          <w:spacing w:val="49"/>
          <w:w w:val="120"/>
        </w:rPr>
        <w:t> </w:t>
      </w:r>
      <w:r>
        <w:rPr>
          <w:w w:val="120"/>
        </w:rPr>
        <w:t>professional)</w:t>
      </w:r>
    </w:p>
    <w:p>
      <w:pPr>
        <w:pStyle w:val="ListParagraph"/>
        <w:numPr>
          <w:ilvl w:val="0"/>
          <w:numId w:val="75"/>
        </w:numPr>
        <w:tabs>
          <w:tab w:pos="1318" w:val="left" w:leader="none"/>
        </w:tabs>
        <w:spacing w:line="242" w:lineRule="exact" w:before="0" w:after="0"/>
        <w:ind w:left="1318" w:right="0" w:hanging="185"/>
        <w:jc w:val="left"/>
        <w:rPr>
          <w:sz w:val="20"/>
        </w:rPr>
      </w:pPr>
      <w:r>
        <w:rPr>
          <w:w w:val="120"/>
          <w:sz w:val="20"/>
        </w:rPr>
        <w:t>in consultation with the person involved – to make this</w:t>
      </w:r>
      <w:r>
        <w:rPr>
          <w:spacing w:val="21"/>
          <w:w w:val="120"/>
          <w:sz w:val="20"/>
        </w:rPr>
        <w:t> </w:t>
      </w:r>
      <w:r>
        <w:rPr>
          <w:w w:val="120"/>
          <w:sz w:val="20"/>
        </w:rPr>
        <w:t>possible.</w:t>
      </w:r>
    </w:p>
    <w:p>
      <w:pPr>
        <w:pStyle w:val="BodyText"/>
        <w:spacing w:before="7"/>
        <w:rPr>
          <w:sz w:val="19"/>
        </w:rPr>
      </w:pPr>
    </w:p>
    <w:p>
      <w:pPr>
        <w:pStyle w:val="BodyText"/>
        <w:tabs>
          <w:tab w:pos="1814" w:val="left" w:leader="none"/>
        </w:tabs>
        <w:spacing w:line="235" w:lineRule="auto"/>
        <w:ind w:left="1133" w:right="2076"/>
      </w:pPr>
      <w:r>
        <w:rPr>
          <w:spacing w:val="-7"/>
          <w:w w:val="120"/>
        </w:rPr>
        <w:t>1d</w:t>
        <w:tab/>
      </w:r>
      <w:r>
        <w:rPr>
          <w:w w:val="120"/>
        </w:rPr>
        <w:t>The committee has overall responsibility for the administration of Welfare funds. </w:t>
      </w:r>
      <w:r>
        <w:rPr>
          <w:spacing w:val="-7"/>
          <w:w w:val="120"/>
        </w:rPr>
        <w:t>To </w:t>
      </w:r>
      <w:r>
        <w:rPr>
          <w:w w:val="120"/>
        </w:rPr>
        <w:t>this end, the Senior Finance Officer will attend meetings to advise on applications and to implement administration of agreed</w:t>
      </w:r>
      <w:r>
        <w:rPr>
          <w:spacing w:val="11"/>
          <w:w w:val="120"/>
        </w:rPr>
        <w:t> </w:t>
      </w:r>
      <w:r>
        <w:rPr>
          <w:w w:val="120"/>
        </w:rPr>
        <w:t>policy.</w:t>
      </w:r>
    </w:p>
    <w:p>
      <w:pPr>
        <w:pStyle w:val="BodyText"/>
        <w:spacing w:before="10"/>
        <w:rPr>
          <w:sz w:val="19"/>
        </w:rPr>
      </w:pPr>
    </w:p>
    <w:p>
      <w:pPr>
        <w:pStyle w:val="BodyText"/>
        <w:tabs>
          <w:tab w:pos="1814" w:val="left" w:leader="none"/>
        </w:tabs>
        <w:spacing w:line="235" w:lineRule="auto"/>
        <w:ind w:left="1133" w:right="2010"/>
      </w:pPr>
      <w:r>
        <w:rPr>
          <w:spacing w:val="-7"/>
          <w:w w:val="120"/>
        </w:rPr>
        <w:t>1e</w:t>
        <w:tab/>
      </w:r>
      <w:r>
        <w:rPr>
          <w:w w:val="120"/>
        </w:rPr>
        <w:t>The committee may authorise the Maintenance of Ministry (MoM) sub-committee to provide stipend or part-stipend, and may authorise the Chief Finance Officer to</w:t>
      </w:r>
      <w:r>
        <w:rPr>
          <w:spacing w:val="45"/>
          <w:w w:val="120"/>
        </w:rPr>
        <w:t> </w:t>
      </w:r>
      <w:r>
        <w:rPr>
          <w:w w:val="120"/>
        </w:rPr>
        <w:t>pay</w:t>
      </w:r>
    </w:p>
    <w:p>
      <w:pPr>
        <w:pStyle w:val="ListParagraph"/>
        <w:numPr>
          <w:ilvl w:val="0"/>
          <w:numId w:val="75"/>
        </w:numPr>
        <w:tabs>
          <w:tab w:pos="1318" w:val="left" w:leader="none"/>
        </w:tabs>
        <w:spacing w:line="235" w:lineRule="auto" w:before="2" w:after="0"/>
        <w:ind w:left="1133" w:right="2266" w:firstLine="0"/>
        <w:jc w:val="left"/>
        <w:rPr>
          <w:sz w:val="20"/>
        </w:rPr>
      </w:pPr>
      <w:r>
        <w:rPr>
          <w:w w:val="120"/>
          <w:sz w:val="20"/>
        </w:rPr>
        <w:t>for a specific period – other necessary expenses (including accommodation </w:t>
      </w:r>
      <w:r>
        <w:rPr>
          <w:spacing w:val="-3"/>
          <w:w w:val="120"/>
          <w:sz w:val="20"/>
        </w:rPr>
        <w:t>costs) </w:t>
      </w:r>
      <w:r>
        <w:rPr>
          <w:w w:val="120"/>
          <w:sz w:val="20"/>
        </w:rPr>
        <w:t>to a minister not in pastoral charge. Such period will not exceed six months, in the first instance, but may be renewed by the PRWC. The MoM sub-committee </w:t>
      </w:r>
      <w:r>
        <w:rPr>
          <w:spacing w:val="-6"/>
          <w:w w:val="120"/>
          <w:sz w:val="20"/>
        </w:rPr>
        <w:t>(or </w:t>
      </w:r>
      <w:r>
        <w:rPr>
          <w:w w:val="120"/>
          <w:sz w:val="20"/>
        </w:rPr>
        <w:t>such other body as shall in future </w:t>
      </w:r>
      <w:r>
        <w:rPr>
          <w:spacing w:val="2"/>
          <w:w w:val="120"/>
          <w:sz w:val="20"/>
        </w:rPr>
        <w:t>carry </w:t>
      </w:r>
      <w:r>
        <w:rPr>
          <w:w w:val="120"/>
          <w:sz w:val="20"/>
        </w:rPr>
        <w:t>its functions) or the Chief Finance Officer will accept this authority for</w:t>
      </w:r>
      <w:r>
        <w:rPr>
          <w:spacing w:val="3"/>
          <w:w w:val="120"/>
          <w:sz w:val="20"/>
        </w:rPr>
        <w:t> </w:t>
      </w:r>
      <w:r>
        <w:rPr>
          <w:w w:val="120"/>
          <w:sz w:val="20"/>
        </w:rPr>
        <w:t>payment.</w:t>
      </w:r>
    </w:p>
    <w:p>
      <w:pPr>
        <w:pStyle w:val="BodyText"/>
        <w:spacing w:before="11"/>
        <w:rPr>
          <w:sz w:val="19"/>
        </w:rPr>
      </w:pPr>
    </w:p>
    <w:p>
      <w:pPr>
        <w:pStyle w:val="BodyText"/>
        <w:tabs>
          <w:tab w:pos="1814" w:val="left" w:leader="none"/>
        </w:tabs>
        <w:spacing w:line="235" w:lineRule="auto"/>
        <w:ind w:left="1133" w:right="2191"/>
      </w:pPr>
      <w:r>
        <w:rPr>
          <w:spacing w:val="-6"/>
          <w:w w:val="120"/>
        </w:rPr>
        <w:t>1f</w:t>
        <w:tab/>
      </w:r>
      <w:r>
        <w:rPr>
          <w:w w:val="120"/>
        </w:rPr>
        <w:t>In each case the committee will make clear to the minister concerned the period for which payments will be made and whether or not it may be</w:t>
      </w:r>
      <w:r>
        <w:rPr>
          <w:spacing w:val="44"/>
          <w:w w:val="120"/>
        </w:rPr>
        <w:t> </w:t>
      </w:r>
      <w:r>
        <w:rPr>
          <w:w w:val="120"/>
        </w:rPr>
        <w:t>extended.</w:t>
      </w:r>
    </w:p>
    <w:p>
      <w:pPr>
        <w:pStyle w:val="BodyText"/>
        <w:spacing w:before="9"/>
        <w:rPr>
          <w:sz w:val="17"/>
        </w:rPr>
      </w:pPr>
    </w:p>
    <w:p>
      <w:pPr>
        <w:numPr>
          <w:ilvl w:val="0"/>
          <w:numId w:val="73"/>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Limitations</w:t>
      </w:r>
    </w:p>
    <w:p>
      <w:pPr>
        <w:pStyle w:val="BodyText"/>
        <w:tabs>
          <w:tab w:pos="1814" w:val="left" w:leader="none"/>
        </w:tabs>
        <w:spacing w:line="235" w:lineRule="auto" w:before="222"/>
        <w:ind w:left="1133" w:right="2084"/>
      </w:pPr>
      <w:r>
        <w:rPr>
          <w:w w:val="120"/>
        </w:rPr>
        <w:t>2a</w:t>
        <w:tab/>
        <w:t>The committee does not have authority to delete the name of a minister from the Roll of Ministers, nor to take any other disciplinary steps against</w:t>
      </w:r>
      <w:r>
        <w:rPr>
          <w:spacing w:val="10"/>
          <w:w w:val="120"/>
        </w:rPr>
        <w:t> </w:t>
      </w:r>
      <w:r>
        <w:rPr>
          <w:spacing w:val="-3"/>
          <w:w w:val="120"/>
        </w:rPr>
        <w:t>him/her.</w:t>
      </w:r>
    </w:p>
    <w:p>
      <w:pPr>
        <w:pStyle w:val="BodyText"/>
        <w:spacing w:line="235" w:lineRule="auto" w:before="2"/>
        <w:ind w:left="1133" w:right="2110"/>
      </w:pPr>
      <w:r>
        <w:rPr>
          <w:w w:val="120"/>
        </w:rPr>
        <w:t>The committee does not have to be consulted about and does not have authority over the process of ending the appointment of a minister in pastoral charge, which process is a matter for minister, Church Meeting and Synod.</w:t>
      </w:r>
    </w:p>
    <w:p>
      <w:pPr>
        <w:pStyle w:val="BodyText"/>
        <w:spacing w:before="10"/>
        <w:rPr>
          <w:sz w:val="19"/>
        </w:rPr>
      </w:pPr>
    </w:p>
    <w:p>
      <w:pPr>
        <w:pStyle w:val="BodyText"/>
        <w:tabs>
          <w:tab w:pos="1814" w:val="left" w:leader="none"/>
        </w:tabs>
        <w:spacing w:line="235" w:lineRule="auto"/>
        <w:ind w:left="1133" w:right="2191"/>
      </w:pPr>
      <w:r>
        <w:rPr>
          <w:w w:val="120"/>
        </w:rPr>
        <w:t>2b</w:t>
        <w:tab/>
        <w:t>The committee may not be involved with, and must withdraw from, any ongoing discussions, counselling or any other direct pastoral involvement with any case</w:t>
      </w:r>
      <w:r>
        <w:rPr>
          <w:spacing w:val="27"/>
          <w:w w:val="120"/>
        </w:rPr>
        <w:t> </w:t>
      </w:r>
      <w:r>
        <w:rPr>
          <w:w w:val="120"/>
        </w:rPr>
        <w:t>in</w:t>
      </w:r>
    </w:p>
    <w:p>
      <w:pPr>
        <w:pStyle w:val="BodyText"/>
        <w:spacing w:line="235" w:lineRule="auto" w:before="1"/>
        <w:ind w:left="1133" w:right="2247"/>
      </w:pPr>
      <w:r>
        <w:rPr>
          <w:w w:val="120"/>
        </w:rPr>
        <w:t>which the disciplinary procedures of the Church are being applied against a minister. The committee may, however, authorise financial payments allowed under its Terms of Reference (see 1e).</w:t>
      </w:r>
    </w:p>
    <w:p>
      <w:pPr>
        <w:spacing w:after="0" w:line="235" w:lineRule="auto"/>
        <w:sectPr>
          <w:headerReference w:type="even" r:id="rId187"/>
          <w:headerReference w:type="default" r:id="rId188"/>
          <w:footerReference w:type="even" r:id="rId189"/>
          <w:footerReference w:type="default" r:id="rId190"/>
          <w:pgSz w:w="11910" w:h="16840"/>
          <w:pgMar w:header="0" w:footer="647" w:top="1820" w:bottom="840" w:left="0" w:right="0"/>
          <w:pgNumType w:start="56"/>
        </w:sectPr>
      </w:pPr>
    </w:p>
    <w:p>
      <w:pPr>
        <w:numPr>
          <w:ilvl w:val="0"/>
          <w:numId w:val="73"/>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1895808" filled="true" fillcolor="#f9e9c1" stroked="false">
            <v:fill opacity="32768f" type="solid"/>
            <w10:wrap type="none"/>
          </v:rect>
        </w:pict>
      </w:r>
      <w:r>
        <w:rPr>
          <w:rFonts w:ascii="Stone Sans II ITC Std Bk"/>
          <w:b/>
          <w:w w:val="115"/>
          <w:sz w:val="21"/>
        </w:rPr>
        <w:t>Confidentiality</w:t>
      </w:r>
    </w:p>
    <w:p>
      <w:pPr>
        <w:pStyle w:val="BodyText"/>
        <w:spacing w:line="235" w:lineRule="auto" w:before="223"/>
        <w:ind w:left="1984" w:right="1357"/>
      </w:pPr>
      <w:r>
        <w:rPr>
          <w:w w:val="120"/>
        </w:rPr>
        <w:t>The work of the Pastoral Reference and Welfare Committee will be both confidential and pastoral. It will, though, need to keep a record of its meetings. The committee’s conclusions should be recorded, given to the person concerned and shared with others directly involved who need to know the outcome. It will be inappropriate for the committee as a </w:t>
      </w:r>
      <w:r>
        <w:rPr>
          <w:spacing w:val="-3"/>
          <w:w w:val="120"/>
        </w:rPr>
        <w:t>body, </w:t>
      </w:r>
      <w:r>
        <w:rPr>
          <w:w w:val="120"/>
        </w:rPr>
        <w:t>or individual members of it, to divulge any additional information about ministers or churches</w:t>
      </w:r>
      <w:r>
        <w:rPr>
          <w:spacing w:val="8"/>
          <w:w w:val="120"/>
        </w:rPr>
        <w:t> </w:t>
      </w:r>
      <w:r>
        <w:rPr>
          <w:w w:val="120"/>
        </w:rPr>
        <w:t>concerned.</w:t>
      </w:r>
    </w:p>
    <w:p>
      <w:pPr>
        <w:pStyle w:val="BodyText"/>
        <w:spacing w:before="10"/>
        <w:rPr>
          <w:sz w:val="17"/>
        </w:rPr>
      </w:pPr>
    </w:p>
    <w:p>
      <w:pPr>
        <w:numPr>
          <w:ilvl w:val="0"/>
          <w:numId w:val="73"/>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Attendance</w:t>
      </w:r>
    </w:p>
    <w:p>
      <w:pPr>
        <w:pStyle w:val="BodyText"/>
        <w:tabs>
          <w:tab w:pos="2664" w:val="left" w:leader="none"/>
        </w:tabs>
        <w:spacing w:line="235" w:lineRule="auto" w:before="223"/>
        <w:ind w:left="1984" w:right="1573"/>
      </w:pPr>
      <w:r>
        <w:rPr>
          <w:w w:val="120"/>
        </w:rPr>
        <w:t>4a</w:t>
        <w:tab/>
        <w:t>If circumstances require, the committee may invite a minister whose case is being considered to meet some or all of its members. In that case the person may be accompanied by a friend if he or she so</w:t>
      </w:r>
      <w:r>
        <w:rPr>
          <w:spacing w:val="18"/>
          <w:w w:val="120"/>
        </w:rPr>
        <w:t> </w:t>
      </w:r>
      <w:r>
        <w:rPr>
          <w:w w:val="120"/>
        </w:rPr>
        <w:t>wishes.</w:t>
      </w:r>
    </w:p>
    <w:p>
      <w:pPr>
        <w:pStyle w:val="BodyText"/>
        <w:spacing w:before="10"/>
        <w:rPr>
          <w:sz w:val="19"/>
        </w:rPr>
      </w:pPr>
    </w:p>
    <w:p>
      <w:pPr>
        <w:pStyle w:val="BodyText"/>
        <w:tabs>
          <w:tab w:pos="2664" w:val="left" w:leader="none"/>
        </w:tabs>
        <w:spacing w:line="235" w:lineRule="auto"/>
        <w:ind w:left="1984" w:right="1466"/>
      </w:pPr>
      <w:r>
        <w:rPr>
          <w:w w:val="120"/>
        </w:rPr>
        <w:t>4b</w:t>
        <w:tab/>
        <w:t>The committee shall have discretion to invite other parties involved in a case to meet</w:t>
      </w:r>
      <w:r>
        <w:rPr>
          <w:spacing w:val="1"/>
          <w:w w:val="120"/>
        </w:rPr>
        <w:t> </w:t>
      </w:r>
      <w:r>
        <w:rPr>
          <w:w w:val="120"/>
        </w:rPr>
        <w:t>it.</w:t>
      </w:r>
    </w:p>
    <w:p>
      <w:pPr>
        <w:numPr>
          <w:ilvl w:val="0"/>
          <w:numId w:val="73"/>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Composition</w:t>
      </w:r>
    </w:p>
    <w:p>
      <w:pPr>
        <w:pStyle w:val="BodyText"/>
        <w:spacing w:line="235" w:lineRule="auto" w:before="223"/>
        <w:ind w:left="1984" w:right="1375"/>
      </w:pPr>
      <w:r>
        <w:rPr>
          <w:w w:val="120"/>
        </w:rPr>
        <w:t>A former Moderator of General Assembly shall be Convener; the General Secretary;  two lay people; one minister with experience of pastoral charge; one synod moderator; the </w:t>
      </w:r>
      <w:r>
        <w:rPr>
          <w:spacing w:val="2"/>
          <w:w w:val="120"/>
        </w:rPr>
        <w:t>Honorary </w:t>
      </w:r>
      <w:r>
        <w:rPr>
          <w:w w:val="120"/>
        </w:rPr>
        <w:t>Treasurer; the Deputy General Secretary who will act as</w:t>
      </w:r>
      <w:r>
        <w:rPr>
          <w:spacing w:val="21"/>
          <w:w w:val="120"/>
        </w:rPr>
        <w:t> </w:t>
      </w:r>
      <w:r>
        <w:rPr>
          <w:w w:val="120"/>
        </w:rPr>
        <w:t>Secretary.</w:t>
      </w:r>
    </w:p>
    <w:p>
      <w:pPr>
        <w:numPr>
          <w:ilvl w:val="0"/>
          <w:numId w:val="73"/>
        </w:numPr>
        <w:tabs>
          <w:tab w:pos="2704" w:val="left" w:leader="none"/>
          <w:tab w:pos="2705" w:val="left" w:leader="none"/>
        </w:tabs>
        <w:spacing w:before="216"/>
        <w:ind w:left="2704" w:right="0" w:hanging="721"/>
        <w:jc w:val="left"/>
        <w:rPr>
          <w:rFonts w:ascii="Stone Sans II ITC Std Bk"/>
          <w:b/>
          <w:sz w:val="21"/>
        </w:rPr>
      </w:pPr>
      <w:r>
        <w:rPr>
          <w:rFonts w:ascii="Stone Sans II ITC Std Bk"/>
          <w:b/>
          <w:w w:val="115"/>
          <w:sz w:val="21"/>
        </w:rPr>
        <w:t>Relationship to General</w:t>
      </w:r>
      <w:r>
        <w:rPr>
          <w:rFonts w:ascii="Stone Sans II ITC Std Bk"/>
          <w:b/>
          <w:spacing w:val="-6"/>
          <w:w w:val="115"/>
          <w:sz w:val="21"/>
        </w:rPr>
        <w:t> </w:t>
      </w:r>
      <w:r>
        <w:rPr>
          <w:rFonts w:ascii="Stone Sans II ITC Std Bk"/>
          <w:b/>
          <w:w w:val="115"/>
          <w:sz w:val="21"/>
        </w:rPr>
        <w:t>Assembly</w:t>
      </w:r>
    </w:p>
    <w:p>
      <w:pPr>
        <w:spacing w:line="213" w:lineRule="auto" w:before="222"/>
        <w:ind w:left="1984" w:right="1573" w:firstLine="0"/>
        <w:jc w:val="left"/>
        <w:rPr>
          <w:sz w:val="22"/>
        </w:rPr>
      </w:pPr>
      <w:r>
        <w:rPr>
          <w:w w:val="110"/>
          <w:sz w:val="20"/>
        </w:rPr>
        <w:t>The committee will </w:t>
      </w:r>
      <w:r>
        <w:rPr>
          <w:spacing w:val="2"/>
          <w:w w:val="110"/>
          <w:sz w:val="20"/>
        </w:rPr>
        <w:t>report </w:t>
      </w:r>
      <w:r>
        <w:rPr>
          <w:w w:val="110"/>
          <w:sz w:val="20"/>
        </w:rPr>
        <w:t>to each meeting of  General  Assembly.  </w:t>
      </w:r>
      <w:r>
        <w:rPr>
          <w:spacing w:val="-3"/>
          <w:w w:val="110"/>
          <w:sz w:val="22"/>
        </w:rPr>
        <w:t>However,  </w:t>
      </w:r>
      <w:r>
        <w:rPr>
          <w:w w:val="110"/>
          <w:sz w:val="22"/>
        </w:rPr>
        <w:t>the  report will deal only with general matters or changes in procedure and will not refer </w:t>
      </w:r>
      <w:r>
        <w:rPr>
          <w:spacing w:val="-3"/>
          <w:w w:val="110"/>
          <w:sz w:val="22"/>
        </w:rPr>
        <w:t>to, </w:t>
      </w:r>
      <w:r>
        <w:rPr>
          <w:w w:val="110"/>
          <w:sz w:val="22"/>
        </w:rPr>
        <w:t>nor may the committee be questioned on, individual</w:t>
      </w:r>
      <w:r>
        <w:rPr>
          <w:spacing w:val="9"/>
          <w:w w:val="110"/>
          <w:sz w:val="22"/>
        </w:rPr>
        <w:t> </w:t>
      </w:r>
      <w:r>
        <w:rPr>
          <w:w w:val="110"/>
          <w:sz w:val="22"/>
        </w:rPr>
        <w:t>cases.</w:t>
      </w:r>
    </w:p>
    <w:p>
      <w:pPr>
        <w:pStyle w:val="BodyText"/>
        <w:spacing w:before="1"/>
        <w:rPr>
          <w:sz w:val="22"/>
        </w:rPr>
      </w:pPr>
      <w:r>
        <w:rPr/>
        <w:pict>
          <v:shape style="position:absolute;margin-left:100.629898pt;margin-top:15.843229pt;width:449.3pt;height:.1pt;mso-position-horizontal-relative:page;mso-position-vertical-relative:paragraph;z-index:-251422720;mso-wrap-distance-left:0;mso-wrap-distance-right:0" coordorigin="2013,317" coordsize="8986,0" path="m2013,317l10998,317e" filled="false" stroked="true" strokeweight=".75pt" strokecolor="#ca4f1b">
            <v:path arrowok="t"/>
            <v:stroke dashstyle="solid"/>
            <w10:wrap type="topAndBottom"/>
          </v:shape>
        </w:pict>
      </w:r>
    </w:p>
    <w:p>
      <w:pPr>
        <w:pStyle w:val="BodyText"/>
        <w:rPr>
          <w:sz w:val="26"/>
        </w:rPr>
      </w:pPr>
    </w:p>
    <w:p>
      <w:pPr>
        <w:pStyle w:val="BodyText"/>
        <w:spacing w:before="5"/>
        <w:rPr>
          <w:sz w:val="30"/>
        </w:rPr>
      </w:pPr>
    </w:p>
    <w:p>
      <w:pPr>
        <w:pStyle w:val="Heading2"/>
      </w:pPr>
      <w:r>
        <w:rPr>
          <w:color w:val="CA4F1B"/>
          <w:w w:val="110"/>
        </w:rPr>
        <w:t>Annexe 3</w:t>
      </w:r>
    </w:p>
    <w:p>
      <w:pPr>
        <w:pStyle w:val="Heading6"/>
        <w:spacing w:line="196" w:lineRule="auto" w:before="150"/>
        <w:ind w:left="1984" w:right="1120"/>
      </w:pPr>
      <w:r>
        <w:rPr>
          <w:w w:val="110"/>
        </w:rPr>
        <w:t>Terms of Reference for the Ministerial Incapacity and Discipline Advisory Group (MIND)</w:t>
      </w:r>
    </w:p>
    <w:p>
      <w:pPr>
        <w:pStyle w:val="BodyText"/>
        <w:spacing w:line="235" w:lineRule="auto" w:before="212"/>
        <w:ind w:left="1984" w:right="1120"/>
      </w:pPr>
      <w:r>
        <w:rPr>
          <w:w w:val="120"/>
        </w:rPr>
        <w:t>To oversee the Ministerial Disciplinary Process (Section O) and the Ministerial Incapacity Procedure (Section P);</w:t>
      </w:r>
    </w:p>
    <w:p>
      <w:pPr>
        <w:pStyle w:val="BodyText"/>
        <w:spacing w:before="9"/>
        <w:rPr>
          <w:sz w:val="19"/>
        </w:rPr>
      </w:pPr>
    </w:p>
    <w:p>
      <w:pPr>
        <w:pStyle w:val="BodyText"/>
        <w:spacing w:line="235" w:lineRule="auto"/>
        <w:ind w:left="1984" w:right="1273"/>
      </w:pPr>
      <w:r>
        <w:rPr>
          <w:w w:val="120"/>
        </w:rPr>
        <w:t>To receive reports (from which all details which might serve to identify the minister or CRCW involved have been removed) following each case in order that any lessons may be learnt;</w:t>
      </w:r>
    </w:p>
    <w:p>
      <w:pPr>
        <w:pStyle w:val="BodyText"/>
        <w:spacing w:before="6"/>
        <w:rPr>
          <w:sz w:val="19"/>
        </w:rPr>
      </w:pPr>
    </w:p>
    <w:p>
      <w:pPr>
        <w:pStyle w:val="BodyText"/>
        <w:spacing w:before="1"/>
        <w:ind w:left="1984"/>
      </w:pPr>
      <w:r>
        <w:rPr>
          <w:w w:val="120"/>
        </w:rPr>
        <w:t>To propose any changes to Mission Council.</w:t>
      </w:r>
    </w:p>
    <w:p>
      <w:pPr>
        <w:pStyle w:val="BodyText"/>
        <w:spacing w:before="7"/>
        <w:rPr>
          <w:sz w:val="19"/>
        </w:rPr>
      </w:pPr>
    </w:p>
    <w:p>
      <w:pPr>
        <w:pStyle w:val="BodyText"/>
        <w:spacing w:line="235" w:lineRule="auto"/>
        <w:ind w:left="1984" w:right="1120"/>
      </w:pPr>
      <w:r>
        <w:rPr>
          <w:w w:val="120"/>
        </w:rPr>
        <w:t>Membership: Convener, Secretary, the General Secretary, the Clerk, the Secretary for Ministries, the Convener and Secretary to the Assembly Commission, the Convener and Secretary of the Review Commission of the Incapacity Procedure, the Legal Adviser, the Procedures Consultant(s), the Training Coordinator.</w:t>
      </w:r>
    </w:p>
    <w:p>
      <w:pPr>
        <w:pStyle w:val="BodyText"/>
        <w:spacing w:before="7"/>
        <w:rPr>
          <w:sz w:val="19"/>
        </w:rPr>
      </w:pPr>
    </w:p>
    <w:p>
      <w:pPr>
        <w:pStyle w:val="BodyText"/>
        <w:tabs>
          <w:tab w:pos="2664" w:val="left" w:leader="none"/>
        </w:tabs>
        <w:ind w:left="1984"/>
      </w:pPr>
      <w:r>
        <w:rPr>
          <w:w w:val="120"/>
        </w:rPr>
        <w:t>N.B.</w:t>
        <w:tab/>
        <w:t>The group is an Advisory Group to Mission</w:t>
      </w:r>
      <w:r>
        <w:rPr>
          <w:spacing w:val="23"/>
          <w:w w:val="120"/>
        </w:rPr>
        <w:t> </w:t>
      </w:r>
      <w:r>
        <w:rPr>
          <w:w w:val="120"/>
        </w:rPr>
        <w:t>Council.</w:t>
      </w:r>
    </w:p>
    <w:p>
      <w:pPr>
        <w:pStyle w:val="BodyText"/>
        <w:spacing w:before="8"/>
        <w:rPr>
          <w:sz w:val="19"/>
        </w:rPr>
      </w:pPr>
    </w:p>
    <w:p>
      <w:pPr>
        <w:pStyle w:val="BodyText"/>
        <w:spacing w:line="235" w:lineRule="auto"/>
        <w:ind w:left="1984" w:right="1273"/>
      </w:pPr>
      <w:r>
        <w:rPr>
          <w:w w:val="120"/>
        </w:rPr>
        <w:t>Apart from scrutiny of anonymised reports, the Group does not consider any specific cases in the Disciplinary Process or Incapacity Procedure.</w:t>
      </w:r>
    </w:p>
    <w:p>
      <w:pPr>
        <w:pStyle w:val="BodyText"/>
      </w:pPr>
    </w:p>
    <w:p>
      <w:pPr>
        <w:pStyle w:val="BodyText"/>
        <w:rPr>
          <w:sz w:val="26"/>
        </w:rPr>
      </w:pPr>
      <w:r>
        <w:rPr/>
        <w:pict>
          <v:shape style="position:absolute;margin-left:99.212601pt;margin-top:18.251152pt;width:450.75pt;height:.1pt;mso-position-horizontal-relative:page;mso-position-vertical-relative:paragraph;z-index:-251421696;mso-wrap-distance-left:0;mso-wrap-distance-right:0" coordorigin="1984,365" coordsize="9015,0" path="m1984,365l10998,365e" filled="false" stroked="true" strokeweight=".75pt" strokecolor="#ca4f1b">
            <v:path arrowok="t"/>
            <v:stroke dashstyle="solid"/>
            <w10:wrap type="topAndBottom"/>
          </v:shape>
        </w:pict>
      </w:r>
    </w:p>
    <w:p>
      <w:pPr>
        <w:spacing w:after="0"/>
        <w:rPr>
          <w:sz w:val="26"/>
        </w:rPr>
        <w:sectPr>
          <w:pgSz w:w="11910" w:h="16840"/>
          <w:pgMar w:header="0" w:footer="647" w:top="1060" w:bottom="840" w:left="0" w:right="0"/>
        </w:sectPr>
      </w:pPr>
    </w:p>
    <w:p>
      <w:pPr>
        <w:pStyle w:val="Heading2"/>
        <w:spacing w:before="131"/>
        <w:ind w:left="1133"/>
      </w:pPr>
      <w:r>
        <w:rPr/>
        <w:pict>
          <v:rect style="position:absolute;margin-left:12.047pt;margin-top:8.466283pt;width:22.677pt;height:22.677pt;mso-position-horizontal-relative:page;mso-position-vertical-relative:paragraph;z-index:251896832" filled="true" fillcolor="#f9e9c1" stroked="false">
            <v:fill opacity="32768f" type="solid"/>
            <w10:wrap type="none"/>
          </v:rect>
        </w:pict>
      </w:r>
      <w:r>
        <w:rPr>
          <w:color w:val="CA4F1B"/>
          <w:w w:val="110"/>
        </w:rPr>
        <w:t>Annexe 4</w:t>
      </w:r>
    </w:p>
    <w:p>
      <w:pPr>
        <w:pStyle w:val="Heading6"/>
        <w:spacing w:line="196" w:lineRule="auto" w:before="151"/>
        <w:ind w:right="1997"/>
      </w:pPr>
      <w:r>
        <w:rPr>
          <w:w w:val="110"/>
        </w:rPr>
        <w:t>Ministerial Incapacity and Discipline Advisory Group (MIND)</w:t>
      </w:r>
    </w:p>
    <w:p>
      <w:pPr>
        <w:pStyle w:val="BodyText"/>
        <w:spacing w:line="235" w:lineRule="auto" w:before="211"/>
        <w:ind w:left="1133" w:right="2238"/>
        <w:rPr>
          <w:i/>
        </w:rPr>
      </w:pPr>
      <w:r>
        <w:rPr>
          <w:w w:val="120"/>
        </w:rPr>
        <w:t>The MIND (Ministerial Incapacity and Discipline) Advisory Group was so renamed by Mission Council to take account of the </w:t>
      </w:r>
      <w:r>
        <w:rPr>
          <w:spacing w:val="2"/>
          <w:w w:val="120"/>
        </w:rPr>
        <w:t>fact </w:t>
      </w:r>
      <w:r>
        <w:rPr>
          <w:w w:val="120"/>
        </w:rPr>
        <w:t>that we have been asked to give oversight to</w:t>
      </w:r>
      <w:r>
        <w:rPr>
          <w:spacing w:val="-5"/>
          <w:w w:val="120"/>
        </w:rPr>
        <w:t> </w:t>
      </w:r>
      <w:r>
        <w:rPr>
          <w:w w:val="120"/>
        </w:rPr>
        <w:t>the</w:t>
      </w:r>
      <w:r>
        <w:rPr>
          <w:spacing w:val="-4"/>
          <w:w w:val="120"/>
        </w:rPr>
        <w:t> </w:t>
      </w:r>
      <w:r>
        <w:rPr>
          <w:w w:val="120"/>
        </w:rPr>
        <w:t>operation</w:t>
      </w:r>
      <w:r>
        <w:rPr>
          <w:spacing w:val="-5"/>
          <w:w w:val="120"/>
        </w:rPr>
        <w:t> </w:t>
      </w:r>
      <w:r>
        <w:rPr>
          <w:w w:val="120"/>
        </w:rPr>
        <w:t>of</w:t>
      </w:r>
      <w:r>
        <w:rPr>
          <w:spacing w:val="-4"/>
          <w:w w:val="120"/>
        </w:rPr>
        <w:t> </w:t>
      </w:r>
      <w:r>
        <w:rPr>
          <w:w w:val="120"/>
        </w:rPr>
        <w:t>the</w:t>
      </w:r>
      <w:r>
        <w:rPr>
          <w:spacing w:val="-5"/>
          <w:w w:val="120"/>
        </w:rPr>
        <w:t> </w:t>
      </w:r>
      <w:r>
        <w:rPr>
          <w:w w:val="120"/>
        </w:rPr>
        <w:t>Incapacity</w:t>
      </w:r>
      <w:r>
        <w:rPr>
          <w:spacing w:val="-4"/>
          <w:w w:val="120"/>
        </w:rPr>
        <w:t> </w:t>
      </w:r>
      <w:r>
        <w:rPr>
          <w:w w:val="120"/>
        </w:rPr>
        <w:t>Procedure</w:t>
      </w:r>
      <w:r>
        <w:rPr>
          <w:spacing w:val="-5"/>
          <w:w w:val="120"/>
        </w:rPr>
        <w:t> </w:t>
      </w:r>
      <w:r>
        <w:rPr>
          <w:i/>
          <w:w w:val="120"/>
        </w:rPr>
        <w:t>(Section</w:t>
      </w:r>
      <w:r>
        <w:rPr>
          <w:i/>
          <w:spacing w:val="-7"/>
          <w:w w:val="120"/>
        </w:rPr>
        <w:t> </w:t>
      </w:r>
      <w:r>
        <w:rPr>
          <w:i/>
          <w:w w:val="120"/>
        </w:rPr>
        <w:t>P</w:t>
      </w:r>
      <w:r>
        <w:rPr>
          <w:i/>
          <w:spacing w:val="-7"/>
          <w:w w:val="120"/>
        </w:rPr>
        <w:t> </w:t>
      </w:r>
      <w:r>
        <w:rPr>
          <w:i/>
          <w:w w:val="120"/>
        </w:rPr>
        <w:t>in</w:t>
      </w:r>
      <w:r>
        <w:rPr>
          <w:i/>
          <w:spacing w:val="-7"/>
          <w:w w:val="120"/>
        </w:rPr>
        <w:t> </w:t>
      </w:r>
      <w:r>
        <w:rPr>
          <w:i/>
          <w:w w:val="120"/>
        </w:rPr>
        <w:t>the</w:t>
      </w:r>
      <w:r>
        <w:rPr>
          <w:i/>
          <w:spacing w:val="-7"/>
          <w:w w:val="120"/>
        </w:rPr>
        <w:t> </w:t>
      </w:r>
      <w:r>
        <w:rPr>
          <w:i/>
          <w:w w:val="120"/>
        </w:rPr>
        <w:t>Manual)</w:t>
      </w:r>
      <w:r>
        <w:rPr>
          <w:i/>
          <w:spacing w:val="-5"/>
          <w:w w:val="120"/>
        </w:rPr>
        <w:t> </w:t>
      </w:r>
      <w:r>
        <w:rPr>
          <w:w w:val="120"/>
        </w:rPr>
        <w:t>in</w:t>
      </w:r>
      <w:r>
        <w:rPr>
          <w:spacing w:val="-4"/>
          <w:w w:val="120"/>
        </w:rPr>
        <w:t> </w:t>
      </w:r>
      <w:r>
        <w:rPr>
          <w:w w:val="120"/>
        </w:rPr>
        <w:t>addition</w:t>
      </w:r>
      <w:r>
        <w:rPr>
          <w:spacing w:val="-4"/>
          <w:w w:val="120"/>
        </w:rPr>
        <w:t> </w:t>
      </w:r>
      <w:r>
        <w:rPr>
          <w:w w:val="120"/>
        </w:rPr>
        <w:t>to</w:t>
      </w:r>
      <w:r>
        <w:rPr>
          <w:spacing w:val="-5"/>
          <w:w w:val="120"/>
        </w:rPr>
        <w:t> </w:t>
      </w:r>
      <w:r>
        <w:rPr>
          <w:w w:val="120"/>
        </w:rPr>
        <w:t>the Disciplinary Process </w:t>
      </w:r>
      <w:r>
        <w:rPr>
          <w:i/>
          <w:w w:val="120"/>
        </w:rPr>
        <w:t>(Section</w:t>
      </w:r>
      <w:r>
        <w:rPr>
          <w:i/>
          <w:spacing w:val="2"/>
          <w:w w:val="120"/>
        </w:rPr>
        <w:t> </w:t>
      </w:r>
      <w:r>
        <w:rPr>
          <w:i/>
          <w:spacing w:val="-8"/>
          <w:w w:val="120"/>
        </w:rPr>
        <w:t>O).</w:t>
      </w:r>
    </w:p>
    <w:p>
      <w:pPr>
        <w:pStyle w:val="BodyText"/>
        <w:spacing w:before="11"/>
        <w:rPr>
          <w:i/>
          <w:sz w:val="19"/>
        </w:rPr>
      </w:pPr>
    </w:p>
    <w:p>
      <w:pPr>
        <w:pStyle w:val="BodyText"/>
        <w:spacing w:line="235" w:lineRule="auto"/>
        <w:ind w:left="1133" w:right="2053"/>
      </w:pPr>
      <w:r>
        <w:rPr>
          <w:w w:val="120"/>
        </w:rPr>
        <w:t>The documents relating to these need constant revision to take account of both experience in their use and changes to legislation and employment practice. It is, therefore, vital that any who need to use Sections O or P ensure that they have the most up-to-date version of all documents available on the </w:t>
      </w:r>
      <w:r>
        <w:rPr>
          <w:spacing w:val="-3"/>
          <w:w w:val="120"/>
        </w:rPr>
        <w:t>Church’s </w:t>
      </w:r>
      <w:r>
        <w:rPr>
          <w:w w:val="120"/>
        </w:rPr>
        <w:t>website. Since the last Assembly we have produced a comprehensive set of Guidelines. We have also produced a simpler general introduction to the Disciplinary Process which will, we trust, help people get a basic understanding of the Process before they address the more technical, but essential, documents. Consultations are being held about the relationship between the Disciplinary Process and the Incapacity Procedure for which guidelines and formal documents are also</w:t>
      </w:r>
      <w:r>
        <w:rPr>
          <w:spacing w:val="6"/>
          <w:w w:val="120"/>
        </w:rPr>
        <w:t> </w:t>
      </w:r>
      <w:r>
        <w:rPr>
          <w:w w:val="120"/>
        </w:rPr>
        <w:t>needed.</w:t>
      </w:r>
    </w:p>
    <w:p>
      <w:pPr>
        <w:pStyle w:val="BodyText"/>
        <w:spacing w:before="3"/>
      </w:pPr>
    </w:p>
    <w:p>
      <w:pPr>
        <w:pStyle w:val="BodyText"/>
        <w:spacing w:line="235" w:lineRule="auto"/>
        <w:ind w:left="1133" w:right="2076"/>
      </w:pPr>
      <w:r>
        <w:rPr>
          <w:w w:val="120"/>
        </w:rPr>
        <w:t>We liaise with Synod Moderators about their experiences in the operation of the Disciplinary process, in particular addressing problems that have arisen from the making of Recommendations by Assembly Commissions as there is no formal way of ensuring that such Recommendations are followed. Resolutions are being presented which will resolve this issue.</w:t>
      </w:r>
    </w:p>
    <w:p>
      <w:pPr>
        <w:pStyle w:val="BodyText"/>
      </w:pPr>
    </w:p>
    <w:p>
      <w:pPr>
        <w:pStyle w:val="BodyText"/>
        <w:spacing w:line="235" w:lineRule="auto"/>
        <w:ind w:left="1133" w:right="2081"/>
      </w:pPr>
      <w:r>
        <w:rPr>
          <w:w w:val="120"/>
        </w:rPr>
        <w:t>We have also been working on proposals to establish a formal Graduated Entry into disciplinary action to address issues significant in themselves but not necessarily sufficiently serious to merit being brought into the current Disciplinary Process. This requires detailed work which will not be complete in time for the meeting of the Assembly. However, because we are advised of the need to align our Disciplinary Process more closely with the secular employment law it will not be possible to delay this action until the meeting of General Assembly in </w:t>
      </w:r>
      <w:r>
        <w:rPr>
          <w:spacing w:val="-6"/>
          <w:w w:val="120"/>
        </w:rPr>
        <w:t>2012. </w:t>
      </w:r>
      <w:r>
        <w:rPr>
          <w:w w:val="120"/>
        </w:rPr>
        <w:t>It will therefore be necessary for the changes to the Disciplinary Process to be approved by the Mission Council, probably   later in</w:t>
      </w:r>
      <w:r>
        <w:rPr>
          <w:spacing w:val="4"/>
          <w:w w:val="120"/>
        </w:rPr>
        <w:t> </w:t>
      </w:r>
      <w:r>
        <w:rPr>
          <w:spacing w:val="-5"/>
          <w:w w:val="120"/>
        </w:rPr>
        <w:t>2010.</w:t>
      </w:r>
    </w:p>
    <w:p>
      <w:pPr>
        <w:pStyle w:val="BodyText"/>
        <w:spacing w:before="2"/>
      </w:pPr>
    </w:p>
    <w:p>
      <w:pPr>
        <w:pStyle w:val="BodyText"/>
        <w:spacing w:line="235" w:lineRule="auto"/>
        <w:ind w:left="1133" w:right="1997"/>
      </w:pPr>
      <w:r>
        <w:rPr>
          <w:w w:val="120"/>
        </w:rPr>
        <w:t>We have held a number of well-attended Training Days for those nominated by Synods to serve on Assembly Commissions and to be members of the Joint Panel to lead Mandated Groups. Each Synod has now been asked to appoint two Joint Panel members and early indications are that the revised way of working, in that the Joint Panel members train those who will form a Mandated Group with them, are proving helpful. We already</w:t>
      </w:r>
      <w:r>
        <w:rPr>
          <w:spacing w:val="51"/>
          <w:w w:val="120"/>
        </w:rPr>
        <w:t> </w:t>
      </w:r>
      <w:r>
        <w:rPr>
          <w:w w:val="120"/>
        </w:rPr>
        <w:t>had</w:t>
      </w:r>
    </w:p>
    <w:p>
      <w:pPr>
        <w:pStyle w:val="BodyText"/>
        <w:spacing w:line="235" w:lineRule="auto" w:before="4"/>
        <w:ind w:left="1133" w:right="2363"/>
        <w:jc w:val="both"/>
      </w:pPr>
      <w:r>
        <w:rPr>
          <w:w w:val="120"/>
        </w:rPr>
        <w:t>a consultant who can help Mandated Groups with the legal aspects of their work and are happy to have been able to appoint another consultant who can give comparable support to Ministers/CRCWs.</w:t>
      </w:r>
    </w:p>
    <w:p>
      <w:pPr>
        <w:pStyle w:val="BodyText"/>
        <w:spacing w:before="10"/>
        <w:rPr>
          <w:sz w:val="19"/>
        </w:rPr>
      </w:pPr>
    </w:p>
    <w:p>
      <w:pPr>
        <w:pStyle w:val="BodyText"/>
        <w:spacing w:line="235" w:lineRule="auto"/>
        <w:ind w:left="1133" w:right="1997"/>
      </w:pPr>
      <w:r>
        <w:rPr>
          <w:w w:val="120"/>
        </w:rPr>
        <w:t>On behalf of Assembly, Mission Council has made changes to Part II of both the Disciplinary Process and the Incapacity Procedure. Mission Council has also approved a number of changes to Part I of the Disciplinary Process and Incapacity Procedure. These are now presented to the Assembly at Resolutions 5 and 6.</w:t>
      </w:r>
    </w:p>
    <w:p>
      <w:pPr>
        <w:pStyle w:val="BodyText"/>
        <w:spacing w:before="11"/>
        <w:rPr>
          <w:sz w:val="19"/>
        </w:rPr>
      </w:pPr>
    </w:p>
    <w:p>
      <w:pPr>
        <w:pStyle w:val="BodyText"/>
        <w:spacing w:line="235" w:lineRule="auto"/>
        <w:ind w:left="1133" w:right="2440"/>
      </w:pPr>
      <w:r>
        <w:rPr>
          <w:w w:val="120"/>
        </w:rPr>
        <w:t>It is of concern to the Advisory Group that, although these changes are important and some were identified as being necessary early in 2009, because changes to Part   I are ‘Constitution Changes’ and so require presentation at two Assemblies as well as consultation with Synods they cannot now be implemented before July </w:t>
      </w:r>
      <w:r>
        <w:rPr>
          <w:spacing w:val="-7"/>
          <w:w w:val="120"/>
        </w:rPr>
        <w:t>2012 </w:t>
      </w:r>
      <w:r>
        <w:rPr>
          <w:w w:val="120"/>
        </w:rPr>
        <w:t>at</w:t>
      </w:r>
      <w:r>
        <w:rPr>
          <w:spacing w:val="7"/>
          <w:w w:val="120"/>
        </w:rPr>
        <w:t> </w:t>
      </w:r>
      <w:r>
        <w:rPr>
          <w:w w:val="120"/>
        </w:rPr>
        <w:t>the</w:t>
      </w:r>
    </w:p>
    <w:p>
      <w:pPr>
        <w:pStyle w:val="BodyText"/>
        <w:spacing w:line="243" w:lineRule="exact"/>
        <w:ind w:left="1133"/>
      </w:pPr>
      <w:r>
        <w:rPr>
          <w:w w:val="120"/>
        </w:rPr>
        <w:t>earliest. The decision to hold biennial assemblies has thus created a well-nigh impossible</w:t>
      </w:r>
    </w:p>
    <w:p>
      <w:pPr>
        <w:spacing w:after="0" w:line="243" w:lineRule="exact"/>
        <w:sectPr>
          <w:headerReference w:type="even" r:id="rId191"/>
          <w:headerReference w:type="default" r:id="rId192"/>
          <w:footerReference w:type="even" r:id="rId193"/>
          <w:footerReference w:type="default" r:id="rId194"/>
          <w:pgSz w:w="11910" w:h="16840"/>
          <w:pgMar w:header="0" w:footer="647" w:top="1060" w:bottom="840" w:left="0" w:right="0"/>
          <w:pgNumType w:start="58"/>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1898880" filled="true" fillcolor="#f9e9c1" stroked="false">
            <v:fill opacity="32768f" type="solid"/>
            <w10:wrap type="none"/>
          </v:rect>
        </w:pict>
      </w:r>
      <w:r>
        <w:rPr>
          <w:w w:val="120"/>
        </w:rPr>
        <w:t>situation. In the interests of justice and for the avoidance of inconsistencies between Parts I and II, it is essential that in future Part I changes can be made promptly, and this simply cannot be achieved under the new arrangements. The Disciplinary Process has now been up and running for 15 years or so and, whilst we are continually having to revise the Rules of Procedure, the general principles set out in Part I are well settled.</w:t>
      </w:r>
    </w:p>
    <w:p>
      <w:pPr>
        <w:pStyle w:val="BodyText"/>
        <w:spacing w:line="235" w:lineRule="auto" w:before="3"/>
        <w:ind w:left="1984" w:right="1273"/>
      </w:pPr>
      <w:r>
        <w:rPr>
          <w:w w:val="120"/>
        </w:rPr>
        <w:t>Consequently, it is felt that Mission Council, with the guidance of the MIND Advisory Group, can properly have authority over these just as it does over Part II. It is of course always acting with delegated authority from General Assembly. Although the Incapacity Procedure is of more recent origin, the same concerns over the inability promptly to make necessary changes apply, and so it is proposed that Part I of this Procedure be similarly treated, noting that all changes will be under the jurisdiction of Mission Council which will be guided by the Advisory Group, as with the Disciplinary Process. </w:t>
      </w:r>
      <w:r>
        <w:rPr>
          <w:spacing w:val="-7"/>
          <w:w w:val="120"/>
        </w:rPr>
        <w:t>To  </w:t>
      </w:r>
      <w:r>
        <w:rPr>
          <w:w w:val="120"/>
        </w:rPr>
        <w:t>that  end, we propose Resolutions </w:t>
      </w:r>
      <w:r>
        <w:rPr>
          <w:spacing w:val="-13"/>
          <w:w w:val="120"/>
        </w:rPr>
        <w:t>7, </w:t>
      </w:r>
      <w:r>
        <w:rPr>
          <w:w w:val="120"/>
        </w:rPr>
        <w:t>8 and </w:t>
      </w:r>
      <w:r>
        <w:rPr>
          <w:spacing w:val="-7"/>
          <w:w w:val="120"/>
        </w:rPr>
        <w:t>9. </w:t>
      </w:r>
      <w:r>
        <w:rPr>
          <w:w w:val="120"/>
        </w:rPr>
        <w:t>If the Assembly passes these resolutions the Advisory</w:t>
      </w:r>
      <w:r>
        <w:rPr>
          <w:spacing w:val="7"/>
          <w:w w:val="120"/>
        </w:rPr>
        <w:t> </w:t>
      </w:r>
      <w:r>
        <w:rPr>
          <w:w w:val="120"/>
        </w:rPr>
        <w:t>Group</w:t>
      </w:r>
      <w:r>
        <w:rPr>
          <w:spacing w:val="7"/>
          <w:w w:val="120"/>
        </w:rPr>
        <w:t> </w:t>
      </w:r>
      <w:r>
        <w:rPr>
          <w:w w:val="120"/>
        </w:rPr>
        <w:t>will</w:t>
      </w:r>
      <w:r>
        <w:rPr>
          <w:spacing w:val="7"/>
          <w:w w:val="120"/>
        </w:rPr>
        <w:t> </w:t>
      </w:r>
      <w:r>
        <w:rPr>
          <w:spacing w:val="2"/>
          <w:w w:val="120"/>
        </w:rPr>
        <w:t>carry</w:t>
      </w:r>
      <w:r>
        <w:rPr>
          <w:spacing w:val="7"/>
          <w:w w:val="120"/>
        </w:rPr>
        <w:t> </w:t>
      </w:r>
      <w:r>
        <w:rPr>
          <w:w w:val="120"/>
        </w:rPr>
        <w:t>out</w:t>
      </w:r>
      <w:r>
        <w:rPr>
          <w:spacing w:val="7"/>
          <w:w w:val="120"/>
        </w:rPr>
        <w:t> </w:t>
      </w:r>
      <w:r>
        <w:rPr>
          <w:w w:val="120"/>
        </w:rPr>
        <w:t>the</w:t>
      </w:r>
      <w:r>
        <w:rPr>
          <w:spacing w:val="7"/>
          <w:w w:val="120"/>
        </w:rPr>
        <w:t> </w:t>
      </w:r>
      <w:r>
        <w:rPr>
          <w:w w:val="120"/>
        </w:rPr>
        <w:t>necessary</w:t>
      </w:r>
      <w:r>
        <w:rPr>
          <w:spacing w:val="7"/>
          <w:w w:val="120"/>
        </w:rPr>
        <w:t> </w:t>
      </w:r>
      <w:r>
        <w:rPr>
          <w:w w:val="120"/>
        </w:rPr>
        <w:t>drafting</w:t>
      </w:r>
      <w:r>
        <w:rPr>
          <w:spacing w:val="7"/>
          <w:w w:val="120"/>
        </w:rPr>
        <w:t> </w:t>
      </w:r>
      <w:r>
        <w:rPr>
          <w:w w:val="120"/>
        </w:rPr>
        <w:t>work</w:t>
      </w:r>
      <w:r>
        <w:rPr>
          <w:spacing w:val="7"/>
          <w:w w:val="120"/>
        </w:rPr>
        <w:t> </w:t>
      </w:r>
      <w:r>
        <w:rPr>
          <w:w w:val="120"/>
        </w:rPr>
        <w:t>to</w:t>
      </w:r>
      <w:r>
        <w:rPr>
          <w:spacing w:val="7"/>
          <w:w w:val="120"/>
        </w:rPr>
        <w:t> </w:t>
      </w:r>
      <w:r>
        <w:rPr>
          <w:w w:val="120"/>
        </w:rPr>
        <w:t>enable</w:t>
      </w:r>
      <w:r>
        <w:rPr>
          <w:spacing w:val="8"/>
          <w:w w:val="120"/>
        </w:rPr>
        <w:t> </w:t>
      </w:r>
      <w:r>
        <w:rPr>
          <w:w w:val="120"/>
        </w:rPr>
        <w:t>the</w:t>
      </w:r>
      <w:r>
        <w:rPr>
          <w:spacing w:val="7"/>
          <w:w w:val="120"/>
        </w:rPr>
        <w:t> </w:t>
      </w:r>
      <w:r>
        <w:rPr>
          <w:w w:val="120"/>
        </w:rPr>
        <w:t>new</w:t>
      </w:r>
      <w:r>
        <w:rPr>
          <w:spacing w:val="7"/>
          <w:w w:val="120"/>
        </w:rPr>
        <w:t> </w:t>
      </w:r>
      <w:r>
        <w:rPr>
          <w:w w:val="120"/>
        </w:rPr>
        <w:t>wording</w:t>
      </w:r>
    </w:p>
    <w:p>
      <w:pPr>
        <w:pStyle w:val="BodyText"/>
        <w:spacing w:line="235" w:lineRule="auto" w:before="7"/>
        <w:ind w:left="1984" w:right="1120"/>
      </w:pPr>
      <w:r>
        <w:rPr>
          <w:w w:val="120"/>
        </w:rPr>
        <w:t>of both the Disciplinary Process and the Incapacity Procedure to be placed before the Assembly when it ratifies the original resolutions. This new wording would, in each case, integrate the current Parts I and II into a single entity.</w:t>
      </w:r>
    </w:p>
    <w:p>
      <w:pPr>
        <w:pStyle w:val="BodyText"/>
        <w:spacing w:before="10"/>
        <w:rPr>
          <w:sz w:val="19"/>
        </w:rPr>
      </w:pPr>
    </w:p>
    <w:p>
      <w:pPr>
        <w:pStyle w:val="BodyText"/>
        <w:spacing w:line="235" w:lineRule="auto"/>
        <w:ind w:left="1984" w:right="1247"/>
      </w:pPr>
      <w:r>
        <w:rPr>
          <w:w w:val="120"/>
        </w:rPr>
        <w:t>Christine Craven and Helen Brown have retired from their positions as Secretary for Ministries and Convener of the Assembly Commission Panel respectively. Both gave so very much to this unglamorous side of our </w:t>
      </w:r>
      <w:r>
        <w:rPr>
          <w:spacing w:val="-3"/>
          <w:w w:val="120"/>
        </w:rPr>
        <w:t>Church’s </w:t>
      </w:r>
      <w:r>
        <w:rPr>
          <w:w w:val="120"/>
        </w:rPr>
        <w:t>life for which all should be grateful.  In their place we have welcomed Craig Bowman and Kath Cross; we have also welcomed Heather Kent and Donald Swift to the Group as the Secretary and the Convener of the Incapacity Procedure Review Commission</w:t>
      </w:r>
      <w:r>
        <w:rPr>
          <w:spacing w:val="9"/>
          <w:w w:val="120"/>
        </w:rPr>
        <w:t> </w:t>
      </w:r>
      <w:r>
        <w:rPr>
          <w:w w:val="120"/>
        </w:rPr>
        <w:t>respectively.</w:t>
      </w:r>
    </w:p>
    <w:p>
      <w:pPr>
        <w:pStyle w:val="BodyText"/>
        <w:spacing w:before="8"/>
        <w:rPr>
          <w:sz w:val="18"/>
        </w:rPr>
      </w:pPr>
    </w:p>
    <w:p>
      <w:pPr>
        <w:spacing w:before="0"/>
        <w:ind w:left="1984" w:right="0" w:firstLine="0"/>
        <w:jc w:val="left"/>
        <w:rPr>
          <w:rFonts w:ascii="Stone Sans II ITC Std Bk"/>
          <w:b/>
          <w:sz w:val="20"/>
        </w:rPr>
      </w:pPr>
      <w:r>
        <w:rPr>
          <w:rFonts w:ascii="Stone Sans II ITC Std Bk"/>
          <w:b/>
          <w:w w:val="110"/>
          <w:sz w:val="20"/>
        </w:rPr>
        <w:t>(Resolutions 5-10 on pages 245-257)</w:t>
      </w:r>
    </w:p>
    <w:p>
      <w:pPr>
        <w:pStyle w:val="BodyText"/>
        <w:rPr>
          <w:rFonts w:ascii="Stone Sans II ITC Std Bk"/>
          <w:b/>
        </w:rPr>
      </w:pPr>
    </w:p>
    <w:p>
      <w:pPr>
        <w:pStyle w:val="BodyText"/>
        <w:spacing w:before="7"/>
        <w:rPr>
          <w:rFonts w:ascii="Stone Sans II ITC Std Bk"/>
          <w:b/>
          <w:sz w:val="18"/>
        </w:rPr>
      </w:pPr>
      <w:r>
        <w:rPr/>
        <w:pict>
          <v:shape style="position:absolute;margin-left:99.212601pt;margin-top:14.891804pt;width:449.3pt;height:.1pt;mso-position-horizontal-relative:page;mso-position-vertical-relative:paragraph;z-index:-251418624;mso-wrap-distance-left:0;mso-wrap-distance-right:0" coordorigin="1984,298" coordsize="8986,0" path="m1984,298l10970,298e" filled="false" stroked="true" strokeweight=".75pt" strokecolor="#ca4f1b">
            <v:path arrowok="t"/>
            <v:stroke dashstyle="solid"/>
            <w10:wrap type="topAndBottom"/>
          </v:shape>
        </w:pict>
      </w:r>
    </w:p>
    <w:p>
      <w:pPr>
        <w:spacing w:after="0"/>
        <w:rPr>
          <w:rFonts w:ascii="Stone Sans II ITC Std Bk"/>
          <w:sz w:val="18"/>
        </w:rPr>
        <w:sectPr>
          <w:pgSz w:w="11910" w:h="16840"/>
          <w:pgMar w:header="0" w:footer="647" w:top="1060" w:bottom="840" w:left="0" w:right="0"/>
        </w:sectPr>
      </w:pPr>
    </w:p>
    <w:p>
      <w:pPr>
        <w:spacing w:before="131"/>
        <w:ind w:left="1133" w:right="0" w:firstLine="0"/>
        <w:jc w:val="left"/>
        <w:rPr>
          <w:rFonts w:ascii="Stone Sans II ITC Std Bk"/>
          <w:b/>
          <w:sz w:val="50"/>
        </w:rPr>
      </w:pPr>
      <w:r>
        <w:rPr/>
        <w:pict>
          <v:rect style="position:absolute;margin-left:12.047pt;margin-top:8.466283pt;width:22.677pt;height:22.677pt;mso-position-horizontal-relative:page;mso-position-vertical-relative:paragraph;z-index:251899904" filled="true" fillcolor="#f9e9c1" stroked="false">
            <v:fill opacity="32768f" type="solid"/>
            <w10:wrap type="none"/>
          </v:rect>
        </w:pict>
      </w:r>
      <w:r>
        <w:rPr>
          <w:rFonts w:ascii="Stone Sans II ITC Std Bk"/>
          <w:b/>
          <w:color w:val="CA4F1B"/>
          <w:w w:val="110"/>
          <w:sz w:val="50"/>
        </w:rPr>
        <w:t>Annexe 4a</w:t>
      </w:r>
    </w:p>
    <w:p>
      <w:pPr>
        <w:spacing w:line="356" w:lineRule="exact" w:before="98"/>
        <w:ind w:left="1133" w:right="0" w:firstLine="0"/>
        <w:jc w:val="left"/>
        <w:rPr>
          <w:rFonts w:ascii="Stone Sans II ITC Std Bk"/>
          <w:b/>
          <w:sz w:val="29"/>
        </w:rPr>
      </w:pPr>
      <w:r>
        <w:rPr>
          <w:rFonts w:ascii="Stone Sans II ITC Std Bk"/>
          <w:b/>
          <w:w w:val="110"/>
          <w:sz w:val="29"/>
        </w:rPr>
        <w:t>Changes to the Ministerial Disciplinary Process </w:t>
      </w:r>
      <w:r>
        <w:rPr>
          <w:rFonts w:ascii="Stone Sans II ITC Std Bk"/>
          <w:b/>
          <w:spacing w:val="9"/>
          <w:w w:val="110"/>
          <w:sz w:val="29"/>
        </w:rPr>
        <w:t> </w:t>
      </w:r>
      <w:r>
        <w:rPr>
          <w:rFonts w:ascii="Stone Sans II ITC Std Bk"/>
          <w:b/>
          <w:w w:val="110"/>
          <w:sz w:val="29"/>
        </w:rPr>
        <w:t>(Section</w:t>
      </w:r>
    </w:p>
    <w:p>
      <w:pPr>
        <w:spacing w:line="356" w:lineRule="exact" w:before="0"/>
        <w:ind w:left="1133" w:right="0" w:firstLine="0"/>
        <w:jc w:val="left"/>
        <w:rPr>
          <w:rFonts w:ascii="Stone Sans II ITC Std Bk"/>
          <w:b/>
          <w:sz w:val="29"/>
        </w:rPr>
      </w:pPr>
      <w:r>
        <w:rPr>
          <w:rFonts w:ascii="Stone Sans II ITC Std Bk"/>
          <w:b/>
          <w:spacing w:val="-8"/>
          <w:w w:val="110"/>
          <w:sz w:val="29"/>
        </w:rPr>
        <w:t>0) </w:t>
      </w:r>
      <w:r>
        <w:rPr>
          <w:rFonts w:ascii="Stone Sans II ITC Std Bk"/>
          <w:b/>
          <w:spacing w:val="30"/>
          <w:w w:val="110"/>
          <w:sz w:val="29"/>
        </w:rPr>
        <w:t> </w:t>
      </w:r>
      <w:r>
        <w:rPr>
          <w:rFonts w:ascii="Stone Sans II ITC Std Bk"/>
          <w:b/>
          <w:spacing w:val="2"/>
          <w:w w:val="110"/>
          <w:sz w:val="29"/>
        </w:rPr>
        <w:t>Part </w:t>
      </w:r>
      <w:r>
        <w:rPr>
          <w:rFonts w:ascii="Stone Sans II ITC Std Bk"/>
          <w:b/>
          <w:w w:val="110"/>
          <w:sz w:val="29"/>
        </w:rPr>
        <w:t>II made by Mission Council since Assembly </w:t>
      </w:r>
      <w:r>
        <w:rPr>
          <w:rFonts w:ascii="Stone Sans II ITC Std Bk"/>
          <w:b/>
          <w:spacing w:val="3"/>
          <w:w w:val="110"/>
          <w:sz w:val="29"/>
        </w:rPr>
        <w:t>2008</w:t>
      </w:r>
    </w:p>
    <w:p>
      <w:pPr>
        <w:pStyle w:val="BodyText"/>
        <w:spacing w:before="3"/>
        <w:rPr>
          <w:rFonts w:ascii="Stone Sans II ITC Std Bk"/>
          <w:b/>
          <w:sz w:val="30"/>
        </w:rPr>
      </w:pPr>
    </w:p>
    <w:p>
      <w:pPr>
        <w:spacing w:before="0"/>
        <w:ind w:left="1133" w:right="0" w:firstLine="0"/>
        <w:jc w:val="left"/>
        <w:rPr>
          <w:rFonts w:ascii="Stone Sans II ITC Std Bk"/>
          <w:b/>
          <w:sz w:val="21"/>
        </w:rPr>
      </w:pPr>
      <w:r>
        <w:rPr>
          <w:rFonts w:ascii="Stone Sans II ITC Std Bk"/>
          <w:b/>
          <w:w w:val="115"/>
          <w:sz w:val="21"/>
        </w:rPr>
        <w:t>MISSION COUNCIL December 2008</w:t>
      </w:r>
    </w:p>
    <w:p>
      <w:pPr>
        <w:tabs>
          <w:tab w:pos="2154" w:val="left" w:leader="none"/>
        </w:tabs>
        <w:spacing w:before="206"/>
        <w:ind w:left="1133" w:right="0" w:firstLine="0"/>
        <w:jc w:val="left"/>
        <w:rPr>
          <w:sz w:val="20"/>
        </w:rPr>
      </w:pPr>
      <w:r>
        <w:rPr>
          <w:rFonts w:ascii="Stone Sans II ITC Std Bk" w:hAnsi="Stone Sans II ITC Std Bk"/>
          <w:b/>
          <w:spacing w:val="2"/>
          <w:w w:val="115"/>
          <w:sz w:val="20"/>
        </w:rPr>
        <w:t>B.2.2</w:t>
        <w:tab/>
      </w:r>
      <w:r>
        <w:rPr>
          <w:w w:val="115"/>
          <w:sz w:val="20"/>
        </w:rPr>
        <w:t>Replace ‘</w:t>
      </w:r>
      <w:r>
        <w:rPr>
          <w:rFonts w:ascii="Stone Sans II ITC Std Bk" w:hAnsi="Stone Sans II ITC Std Bk"/>
          <w:b/>
          <w:w w:val="115"/>
          <w:sz w:val="20"/>
        </w:rPr>
        <w:t>thirteen</w:t>
      </w:r>
      <w:r>
        <w:rPr>
          <w:w w:val="115"/>
          <w:sz w:val="20"/>
        </w:rPr>
        <w:t>’ with ‘</w:t>
      </w:r>
      <w:r>
        <w:rPr>
          <w:rFonts w:ascii="Stone Sans II ITC Std Bk" w:hAnsi="Stone Sans II ITC Std Bk"/>
          <w:b/>
          <w:w w:val="115"/>
          <w:sz w:val="20"/>
        </w:rPr>
        <w:t>twenty six</w:t>
      </w:r>
      <w:r>
        <w:rPr>
          <w:w w:val="115"/>
          <w:sz w:val="20"/>
        </w:rPr>
        <w:t>’ and add </w:t>
      </w:r>
      <w:r>
        <w:rPr>
          <w:spacing w:val="-3"/>
          <w:w w:val="115"/>
          <w:sz w:val="20"/>
        </w:rPr>
        <w:t>‘</w:t>
      </w:r>
      <w:r>
        <w:rPr>
          <w:rFonts w:ascii="Stone Sans II ITC Std Bk" w:hAnsi="Stone Sans II ITC Std Bk"/>
          <w:b/>
          <w:spacing w:val="-3"/>
          <w:w w:val="115"/>
          <w:sz w:val="20"/>
        </w:rPr>
        <w:t>or </w:t>
      </w:r>
      <w:r>
        <w:rPr>
          <w:rFonts w:ascii="Stone Sans II ITC Std Bk" w:hAnsi="Stone Sans II ITC Std Bk"/>
          <w:b/>
          <w:w w:val="115"/>
          <w:sz w:val="20"/>
        </w:rPr>
        <w:t>two</w:t>
      </w:r>
      <w:r>
        <w:rPr>
          <w:w w:val="115"/>
          <w:sz w:val="20"/>
        </w:rPr>
        <w:t>’ after </w:t>
      </w:r>
      <w:r>
        <w:rPr>
          <w:spacing w:val="-4"/>
          <w:w w:val="115"/>
          <w:sz w:val="20"/>
        </w:rPr>
        <w:t>‘</w:t>
      </w:r>
      <w:r>
        <w:rPr>
          <w:rFonts w:ascii="Stone Sans II ITC Std Bk" w:hAnsi="Stone Sans II ITC Std Bk"/>
          <w:b/>
          <w:spacing w:val="-4"/>
          <w:w w:val="115"/>
          <w:sz w:val="20"/>
        </w:rPr>
        <w:t>of </w:t>
      </w:r>
      <w:r>
        <w:rPr>
          <w:rFonts w:ascii="Stone Sans II ITC Std Bk" w:hAnsi="Stone Sans II ITC Std Bk"/>
          <w:b/>
          <w:w w:val="115"/>
          <w:sz w:val="20"/>
        </w:rPr>
        <w:t>whom</w:t>
      </w:r>
      <w:r>
        <w:rPr>
          <w:rFonts w:ascii="Stone Sans II ITC Std Bk" w:hAnsi="Stone Sans II ITC Std Bk"/>
          <w:b/>
          <w:spacing w:val="33"/>
          <w:w w:val="115"/>
          <w:sz w:val="20"/>
        </w:rPr>
        <w:t> </w:t>
      </w:r>
      <w:r>
        <w:rPr>
          <w:rFonts w:ascii="Stone Sans II ITC Std Bk" w:hAnsi="Stone Sans II ITC Std Bk"/>
          <w:b/>
          <w:spacing w:val="-5"/>
          <w:w w:val="115"/>
          <w:sz w:val="20"/>
        </w:rPr>
        <w:t>one</w:t>
      </w:r>
      <w:r>
        <w:rPr>
          <w:spacing w:val="-5"/>
          <w:w w:val="115"/>
          <w:sz w:val="20"/>
        </w:rPr>
        <w:t>’.</w:t>
      </w:r>
    </w:p>
    <w:p>
      <w:pPr>
        <w:pStyle w:val="BodyText"/>
        <w:spacing w:before="69"/>
        <w:ind w:left="1134"/>
      </w:pPr>
      <w:r>
        <w:rPr>
          <w:rFonts w:ascii="Stone Sans II ITC Std Bk"/>
          <w:b/>
          <w:w w:val="120"/>
        </w:rPr>
        <w:t>E.5.3.15 </w:t>
      </w:r>
      <w:r>
        <w:rPr>
          <w:w w:val="120"/>
        </w:rPr>
        <w:t>Replace the existing wording with the following:</w:t>
      </w:r>
    </w:p>
    <w:p>
      <w:pPr>
        <w:spacing w:line="213" w:lineRule="auto" w:before="91"/>
        <w:ind w:left="2154" w:right="2110" w:firstLine="0"/>
        <w:jc w:val="left"/>
        <w:rPr>
          <w:sz w:val="20"/>
        </w:rPr>
      </w:pPr>
      <w:r>
        <w:rPr>
          <w:w w:val="110"/>
          <w:sz w:val="20"/>
        </w:rPr>
        <w:t>‘</w:t>
      </w:r>
      <w:r>
        <w:rPr>
          <w:rFonts w:ascii="Stone Sans II ITC Std Bk" w:hAnsi="Stone Sans II ITC Std Bk"/>
          <w:b/>
          <w:w w:val="110"/>
          <w:sz w:val="20"/>
        </w:rPr>
        <w:t>That Notice shall state that the proceedings under the Section O Process shall stand adjourned to await written notification from the recipient as to whether the recommendation contained in the Notice has been accepted or rejected. The Notice to the recipient shall include a request for him/her to respond with all due expedition, consistent with the consultation process laid down by the Incapacity Procedure.</w:t>
      </w:r>
      <w:r>
        <w:rPr>
          <w:w w:val="110"/>
          <w:sz w:val="20"/>
        </w:rPr>
        <w:t>’</w:t>
      </w:r>
    </w:p>
    <w:p>
      <w:pPr>
        <w:pStyle w:val="BodyText"/>
        <w:tabs>
          <w:tab w:pos="2154" w:val="left" w:leader="none"/>
        </w:tabs>
        <w:spacing w:before="73"/>
        <w:ind w:left="1134"/>
      </w:pPr>
      <w:r>
        <w:rPr>
          <w:rFonts w:ascii="Stone Sans II ITC Std Bk"/>
          <w:b/>
          <w:spacing w:val="-6"/>
          <w:w w:val="120"/>
        </w:rPr>
        <w:t>E.7.4</w:t>
        <w:tab/>
      </w:r>
      <w:r>
        <w:rPr>
          <w:w w:val="120"/>
        </w:rPr>
        <w:t>Delete the bracketed words at the</w:t>
      </w:r>
      <w:r>
        <w:rPr>
          <w:spacing w:val="12"/>
          <w:w w:val="120"/>
        </w:rPr>
        <w:t> </w:t>
      </w:r>
      <w:r>
        <w:rPr>
          <w:w w:val="120"/>
        </w:rPr>
        <w:t>end.</w:t>
      </w:r>
    </w:p>
    <w:p>
      <w:pPr>
        <w:tabs>
          <w:tab w:pos="2154" w:val="left" w:leader="none"/>
        </w:tabs>
        <w:spacing w:before="69"/>
        <w:ind w:left="1134" w:right="0" w:firstLine="0"/>
        <w:jc w:val="left"/>
        <w:rPr>
          <w:sz w:val="20"/>
        </w:rPr>
      </w:pPr>
      <w:r>
        <w:rPr>
          <w:rFonts w:ascii="Stone Sans II ITC Std Bk"/>
          <w:b/>
          <w:spacing w:val="-6"/>
          <w:w w:val="120"/>
          <w:sz w:val="20"/>
        </w:rPr>
        <w:t>E.7.7</w:t>
        <w:tab/>
      </w:r>
      <w:r>
        <w:rPr>
          <w:w w:val="120"/>
          <w:sz w:val="20"/>
        </w:rPr>
        <w:t>Delete this</w:t>
      </w:r>
      <w:r>
        <w:rPr>
          <w:spacing w:val="4"/>
          <w:w w:val="120"/>
          <w:sz w:val="20"/>
        </w:rPr>
        <w:t> </w:t>
      </w:r>
      <w:r>
        <w:rPr>
          <w:w w:val="120"/>
          <w:sz w:val="20"/>
        </w:rPr>
        <w:t>paragraph.</w:t>
      </w:r>
    </w:p>
    <w:p>
      <w:pPr>
        <w:numPr>
          <w:ilvl w:val="1"/>
          <w:numId w:val="76"/>
        </w:numPr>
        <w:tabs>
          <w:tab w:pos="2154" w:val="left" w:leader="none"/>
          <w:tab w:pos="2155" w:val="left" w:leader="none"/>
        </w:tabs>
        <w:spacing w:line="213" w:lineRule="auto" w:before="91"/>
        <w:ind w:left="2154" w:right="2296" w:hanging="1021"/>
        <w:jc w:val="left"/>
        <w:rPr>
          <w:sz w:val="20"/>
        </w:rPr>
      </w:pPr>
      <w:r>
        <w:rPr>
          <w:w w:val="110"/>
          <w:sz w:val="20"/>
        </w:rPr>
        <w:t>Replace the words: </w:t>
      </w:r>
      <w:r>
        <w:rPr>
          <w:spacing w:val="-3"/>
          <w:w w:val="110"/>
          <w:sz w:val="20"/>
        </w:rPr>
        <w:t>‘</w:t>
      </w:r>
      <w:r>
        <w:rPr>
          <w:rFonts w:ascii="Stone Sans II ITC Std Bk" w:hAnsi="Stone Sans II ITC Std Bk"/>
          <w:b/>
          <w:spacing w:val="-3"/>
          <w:w w:val="110"/>
          <w:sz w:val="20"/>
        </w:rPr>
        <w:t>(but </w:t>
      </w:r>
      <w:r>
        <w:rPr>
          <w:rFonts w:ascii="Stone Sans II ITC Std Bk" w:hAnsi="Stone Sans II ITC Std Bk"/>
          <w:b/>
          <w:w w:val="110"/>
          <w:sz w:val="20"/>
        </w:rPr>
        <w:t>excluding any  costs  of  representation)</w:t>
      </w:r>
      <w:r>
        <w:rPr>
          <w:w w:val="110"/>
          <w:sz w:val="20"/>
        </w:rPr>
        <w:t>’  with the words: </w:t>
      </w:r>
      <w:r>
        <w:rPr>
          <w:spacing w:val="-3"/>
          <w:w w:val="110"/>
          <w:sz w:val="20"/>
        </w:rPr>
        <w:t>‘</w:t>
      </w:r>
      <w:r>
        <w:rPr>
          <w:rFonts w:ascii="Stone Sans II ITC Std Bk" w:hAnsi="Stone Sans II ITC Std Bk"/>
          <w:b/>
          <w:spacing w:val="-3"/>
          <w:w w:val="110"/>
          <w:sz w:val="20"/>
        </w:rPr>
        <w:t>(but </w:t>
      </w:r>
      <w:r>
        <w:rPr>
          <w:rFonts w:ascii="Stone Sans II ITC Std Bk" w:hAnsi="Stone Sans II ITC Std Bk"/>
          <w:b/>
          <w:w w:val="110"/>
          <w:sz w:val="20"/>
        </w:rPr>
        <w:t>excluding any costs and expenses incurred by the parties in the preparation of their respective cases and the cost of any representation at the </w:t>
      </w:r>
      <w:r>
        <w:rPr>
          <w:rFonts w:ascii="Stone Sans II ITC Std Bk" w:hAnsi="Stone Sans II ITC Std Bk"/>
          <w:b/>
          <w:spacing w:val="-4"/>
          <w:w w:val="110"/>
          <w:sz w:val="20"/>
        </w:rPr>
        <w:t>Hearing)</w:t>
      </w:r>
      <w:r>
        <w:rPr>
          <w:spacing w:val="-4"/>
          <w:w w:val="110"/>
          <w:sz w:val="20"/>
        </w:rPr>
        <w:t>’.</w:t>
      </w:r>
    </w:p>
    <w:p>
      <w:pPr>
        <w:pStyle w:val="ListParagraph"/>
        <w:numPr>
          <w:ilvl w:val="1"/>
          <w:numId w:val="76"/>
        </w:numPr>
        <w:tabs>
          <w:tab w:pos="2154" w:val="left" w:leader="none"/>
          <w:tab w:pos="2155" w:val="left" w:leader="none"/>
        </w:tabs>
        <w:spacing w:line="255" w:lineRule="exact" w:before="74" w:after="0"/>
        <w:ind w:left="2154" w:right="0" w:hanging="1021"/>
        <w:jc w:val="left"/>
        <w:rPr>
          <w:sz w:val="20"/>
        </w:rPr>
      </w:pPr>
      <w:r>
        <w:rPr>
          <w:w w:val="115"/>
          <w:sz w:val="20"/>
        </w:rPr>
        <w:t>Replace the words: </w:t>
      </w:r>
      <w:r>
        <w:rPr>
          <w:spacing w:val="-3"/>
          <w:w w:val="115"/>
          <w:sz w:val="20"/>
        </w:rPr>
        <w:t>‘</w:t>
      </w:r>
      <w:r>
        <w:rPr>
          <w:rFonts w:ascii="Stone Sans II ITC Std Bk" w:hAnsi="Stone Sans II ITC Std Bk"/>
          <w:b/>
          <w:spacing w:val="-3"/>
          <w:w w:val="115"/>
          <w:sz w:val="20"/>
        </w:rPr>
        <w:t>all </w:t>
      </w:r>
      <w:r>
        <w:rPr>
          <w:rFonts w:ascii="Stone Sans II ITC Std Bk" w:hAnsi="Stone Sans II ITC Std Bk"/>
          <w:b/>
          <w:w w:val="115"/>
          <w:sz w:val="20"/>
        </w:rPr>
        <w:t>papers…[to end of </w:t>
      </w:r>
      <w:r>
        <w:rPr>
          <w:rFonts w:ascii="Stone Sans II ITC Std Bk" w:hAnsi="Stone Sans II ITC Std Bk"/>
          <w:b/>
          <w:spacing w:val="-3"/>
          <w:w w:val="115"/>
          <w:sz w:val="20"/>
        </w:rPr>
        <w:t>sentence]</w:t>
      </w:r>
      <w:r>
        <w:rPr>
          <w:spacing w:val="-3"/>
          <w:w w:val="115"/>
          <w:sz w:val="20"/>
        </w:rPr>
        <w:t>’ </w:t>
      </w:r>
      <w:r>
        <w:rPr>
          <w:w w:val="115"/>
          <w:sz w:val="20"/>
        </w:rPr>
        <w:t>with the</w:t>
      </w:r>
      <w:r>
        <w:rPr>
          <w:spacing w:val="18"/>
          <w:w w:val="115"/>
          <w:sz w:val="20"/>
        </w:rPr>
        <w:t> </w:t>
      </w:r>
      <w:r>
        <w:rPr>
          <w:w w:val="115"/>
          <w:sz w:val="20"/>
        </w:rPr>
        <w:t>words:</w:t>
      </w:r>
    </w:p>
    <w:p>
      <w:pPr>
        <w:spacing w:line="213" w:lineRule="auto" w:before="7"/>
        <w:ind w:left="2154" w:right="1997" w:firstLine="0"/>
        <w:jc w:val="left"/>
        <w:rPr>
          <w:sz w:val="20"/>
        </w:rPr>
      </w:pPr>
      <w:r>
        <w:rPr>
          <w:w w:val="110"/>
          <w:sz w:val="20"/>
        </w:rPr>
        <w:t>‘</w:t>
      </w:r>
      <w:r>
        <w:rPr>
          <w:rFonts w:ascii="Stone Sans II ITC Std Bk" w:hAnsi="Stone Sans II ITC Std Bk"/>
          <w:b/>
          <w:w w:val="110"/>
          <w:sz w:val="20"/>
        </w:rPr>
        <w:t>all papers relating to concluded cases, which shall include the papers which the Mandated Group and the Minister have lodged with the Secretary of the Assembly Commission and, in the event of an appeal, with the General Secretary during the course of the proceedings. The complete bundle of all these papers shall be kept in a locked cabinet at Church House.</w:t>
      </w:r>
      <w:r>
        <w:rPr>
          <w:w w:val="110"/>
          <w:sz w:val="20"/>
        </w:rPr>
        <w:t>’</w:t>
      </w:r>
    </w:p>
    <w:p>
      <w:pPr>
        <w:spacing w:before="204"/>
        <w:ind w:left="1133" w:right="0" w:firstLine="0"/>
        <w:jc w:val="left"/>
        <w:rPr>
          <w:rFonts w:ascii="Stone Sans II ITC Std Bk"/>
          <w:b/>
          <w:sz w:val="21"/>
        </w:rPr>
      </w:pPr>
      <w:r>
        <w:rPr>
          <w:rFonts w:ascii="Stone Sans II ITC Std Bk"/>
          <w:b/>
          <w:w w:val="115"/>
          <w:sz w:val="21"/>
        </w:rPr>
        <w:t>MISSION COUNCIL May 2009</w:t>
      </w:r>
    </w:p>
    <w:p>
      <w:pPr>
        <w:tabs>
          <w:tab w:pos="2154" w:val="left" w:leader="none"/>
        </w:tabs>
        <w:spacing w:line="213" w:lineRule="auto" w:before="229"/>
        <w:ind w:left="2154" w:right="2191" w:hanging="1021"/>
        <w:jc w:val="left"/>
        <w:rPr>
          <w:sz w:val="20"/>
        </w:rPr>
      </w:pPr>
      <w:r>
        <w:rPr>
          <w:rFonts w:ascii="Stone Sans II ITC Std Bk" w:hAnsi="Stone Sans II ITC Std Bk"/>
          <w:b/>
          <w:w w:val="110"/>
          <w:sz w:val="20"/>
        </w:rPr>
        <w:t>A.3</w:t>
        <w:tab/>
      </w:r>
      <w:r>
        <w:rPr>
          <w:w w:val="110"/>
          <w:sz w:val="20"/>
        </w:rPr>
        <w:t>Replace the words ‘</w:t>
      </w:r>
      <w:r>
        <w:rPr>
          <w:rFonts w:ascii="Stone Sans II ITC Std Bk" w:hAnsi="Stone Sans II ITC Std Bk"/>
          <w:b/>
          <w:w w:val="110"/>
          <w:sz w:val="20"/>
        </w:rPr>
        <w:t>the right of appeal (Paragraph </w:t>
      </w:r>
      <w:r>
        <w:rPr>
          <w:rFonts w:ascii="Stone Sans II ITC Std Bk" w:hAnsi="Stone Sans II ITC Std Bk"/>
          <w:b/>
          <w:spacing w:val="-8"/>
          <w:w w:val="110"/>
          <w:sz w:val="20"/>
        </w:rPr>
        <w:t>G.1)</w:t>
      </w:r>
      <w:r>
        <w:rPr>
          <w:spacing w:val="-8"/>
          <w:w w:val="110"/>
          <w:sz w:val="20"/>
        </w:rPr>
        <w:t>’ </w:t>
      </w:r>
      <w:r>
        <w:rPr>
          <w:w w:val="110"/>
          <w:sz w:val="20"/>
        </w:rPr>
        <w:t>with ‘</w:t>
      </w:r>
      <w:r>
        <w:rPr>
          <w:rFonts w:ascii="Stone Sans II ITC Std Bk" w:hAnsi="Stone Sans II ITC Std Bk"/>
          <w:b/>
          <w:w w:val="110"/>
          <w:sz w:val="20"/>
        </w:rPr>
        <w:t>the rights of appeal under Paragraphs E.5.3 and</w:t>
      </w:r>
      <w:r>
        <w:rPr>
          <w:rFonts w:ascii="Stone Sans II ITC Std Bk" w:hAnsi="Stone Sans II ITC Std Bk"/>
          <w:b/>
          <w:spacing w:val="1"/>
          <w:w w:val="110"/>
          <w:sz w:val="20"/>
        </w:rPr>
        <w:t> </w:t>
      </w:r>
      <w:r>
        <w:rPr>
          <w:rFonts w:ascii="Stone Sans II ITC Std Bk" w:hAnsi="Stone Sans II ITC Std Bk"/>
          <w:b/>
          <w:spacing w:val="-10"/>
          <w:w w:val="110"/>
          <w:sz w:val="20"/>
        </w:rPr>
        <w:t>G.1</w:t>
      </w:r>
      <w:r>
        <w:rPr>
          <w:spacing w:val="-10"/>
          <w:w w:val="110"/>
          <w:sz w:val="20"/>
        </w:rPr>
        <w:t>’.</w:t>
      </w:r>
    </w:p>
    <w:p>
      <w:pPr>
        <w:tabs>
          <w:tab w:pos="2154" w:val="left" w:leader="none"/>
        </w:tabs>
        <w:spacing w:line="213" w:lineRule="auto" w:before="98"/>
        <w:ind w:left="2155" w:right="2667" w:hanging="1021"/>
        <w:jc w:val="left"/>
        <w:rPr>
          <w:sz w:val="20"/>
        </w:rPr>
      </w:pPr>
      <w:r>
        <w:rPr>
          <w:rFonts w:ascii="Stone Sans II ITC Std Bk" w:hAnsi="Stone Sans II ITC Std Bk"/>
          <w:b/>
          <w:w w:val="115"/>
          <w:sz w:val="20"/>
        </w:rPr>
        <w:t>A.6.4</w:t>
        <w:tab/>
      </w:r>
      <w:r>
        <w:rPr>
          <w:w w:val="115"/>
          <w:sz w:val="20"/>
        </w:rPr>
        <w:t>After the words ‘</w:t>
      </w:r>
      <w:r>
        <w:rPr>
          <w:rFonts w:ascii="Stone Sans II ITC Std Bk" w:hAnsi="Stone Sans II ITC Std Bk"/>
          <w:b/>
          <w:w w:val="115"/>
          <w:sz w:val="20"/>
        </w:rPr>
        <w:t>Assembly Commission</w:t>
      </w:r>
      <w:r>
        <w:rPr>
          <w:w w:val="115"/>
          <w:sz w:val="20"/>
        </w:rPr>
        <w:t>’ (both </w:t>
      </w:r>
      <w:r>
        <w:rPr>
          <w:spacing w:val="-3"/>
          <w:w w:val="115"/>
          <w:sz w:val="20"/>
        </w:rPr>
        <w:t>times) </w:t>
      </w:r>
      <w:r>
        <w:rPr>
          <w:w w:val="115"/>
          <w:sz w:val="20"/>
        </w:rPr>
        <w:t>insert </w:t>
      </w:r>
      <w:r>
        <w:rPr>
          <w:spacing w:val="-3"/>
          <w:w w:val="115"/>
          <w:sz w:val="20"/>
        </w:rPr>
        <w:t>‘</w:t>
      </w:r>
      <w:r>
        <w:rPr>
          <w:rFonts w:ascii="Stone Sans II ITC Std Bk" w:hAnsi="Stone Sans II ITC Std Bk"/>
          <w:b/>
          <w:spacing w:val="-3"/>
          <w:w w:val="115"/>
          <w:sz w:val="20"/>
        </w:rPr>
        <w:t>or </w:t>
      </w:r>
      <w:r>
        <w:rPr>
          <w:rFonts w:ascii="Stone Sans II ITC Std Bk" w:hAnsi="Stone Sans II ITC Std Bk"/>
          <w:b/>
          <w:w w:val="115"/>
          <w:sz w:val="20"/>
        </w:rPr>
        <w:t>Special Appeals</w:t>
      </w:r>
      <w:r>
        <w:rPr>
          <w:rFonts w:ascii="Stone Sans II ITC Std Bk" w:hAnsi="Stone Sans II ITC Std Bk"/>
          <w:b/>
          <w:spacing w:val="-4"/>
          <w:w w:val="115"/>
          <w:sz w:val="20"/>
        </w:rPr>
        <w:t> </w:t>
      </w:r>
      <w:r>
        <w:rPr>
          <w:rFonts w:ascii="Stone Sans II ITC Std Bk" w:hAnsi="Stone Sans II ITC Std Bk"/>
          <w:b/>
          <w:w w:val="115"/>
          <w:sz w:val="20"/>
        </w:rPr>
        <w:t>Body</w:t>
      </w:r>
      <w:r>
        <w:rPr>
          <w:w w:val="115"/>
          <w:sz w:val="20"/>
        </w:rPr>
        <w:t>’.</w:t>
      </w:r>
    </w:p>
    <w:p>
      <w:pPr>
        <w:tabs>
          <w:tab w:pos="2155" w:val="left" w:leader="none"/>
        </w:tabs>
        <w:spacing w:before="75"/>
        <w:ind w:left="1134" w:right="0" w:firstLine="0"/>
        <w:jc w:val="left"/>
        <w:rPr>
          <w:sz w:val="20"/>
        </w:rPr>
      </w:pPr>
      <w:r>
        <w:rPr>
          <w:rFonts w:ascii="Stone Sans II ITC Std Bk" w:hAnsi="Stone Sans II ITC Std Bk"/>
          <w:b/>
          <w:spacing w:val="2"/>
          <w:w w:val="115"/>
          <w:sz w:val="20"/>
        </w:rPr>
        <w:t>A.8</w:t>
        <w:tab/>
      </w:r>
      <w:r>
        <w:rPr>
          <w:w w:val="115"/>
          <w:sz w:val="20"/>
        </w:rPr>
        <w:t>After</w:t>
      </w:r>
      <w:r>
        <w:rPr>
          <w:spacing w:val="-15"/>
          <w:w w:val="115"/>
          <w:sz w:val="20"/>
        </w:rPr>
        <w:t> </w:t>
      </w:r>
      <w:r>
        <w:rPr>
          <w:w w:val="115"/>
          <w:sz w:val="20"/>
        </w:rPr>
        <w:t>the</w:t>
      </w:r>
      <w:r>
        <w:rPr>
          <w:spacing w:val="-15"/>
          <w:w w:val="115"/>
          <w:sz w:val="20"/>
        </w:rPr>
        <w:t> </w:t>
      </w:r>
      <w:r>
        <w:rPr>
          <w:spacing w:val="-3"/>
          <w:w w:val="115"/>
          <w:sz w:val="20"/>
        </w:rPr>
        <w:t>words</w:t>
      </w:r>
      <w:r>
        <w:rPr>
          <w:spacing w:val="-15"/>
          <w:w w:val="115"/>
          <w:sz w:val="20"/>
        </w:rPr>
        <w:t> </w:t>
      </w:r>
      <w:r>
        <w:rPr>
          <w:spacing w:val="-3"/>
          <w:w w:val="115"/>
          <w:sz w:val="20"/>
        </w:rPr>
        <w:t>‘</w:t>
      </w:r>
      <w:r>
        <w:rPr>
          <w:rFonts w:ascii="Stone Sans II ITC Std Bk" w:hAnsi="Stone Sans II ITC Std Bk"/>
          <w:b/>
          <w:spacing w:val="-3"/>
          <w:w w:val="115"/>
          <w:sz w:val="20"/>
        </w:rPr>
        <w:t>Assembly</w:t>
      </w:r>
      <w:r>
        <w:rPr>
          <w:rFonts w:ascii="Stone Sans II ITC Std Bk" w:hAnsi="Stone Sans II ITC Std Bk"/>
          <w:b/>
          <w:spacing w:val="-23"/>
          <w:w w:val="115"/>
          <w:sz w:val="20"/>
        </w:rPr>
        <w:t> </w:t>
      </w:r>
      <w:r>
        <w:rPr>
          <w:rFonts w:ascii="Stone Sans II ITC Std Bk" w:hAnsi="Stone Sans II ITC Std Bk"/>
          <w:b/>
          <w:spacing w:val="-3"/>
          <w:w w:val="115"/>
          <w:sz w:val="20"/>
        </w:rPr>
        <w:t>Commission</w:t>
      </w:r>
      <w:r>
        <w:rPr>
          <w:spacing w:val="-3"/>
          <w:w w:val="115"/>
          <w:sz w:val="20"/>
        </w:rPr>
        <w:t>’</w:t>
      </w:r>
      <w:r>
        <w:rPr>
          <w:spacing w:val="-15"/>
          <w:w w:val="115"/>
          <w:sz w:val="20"/>
        </w:rPr>
        <w:t> </w:t>
      </w:r>
      <w:r>
        <w:rPr>
          <w:w w:val="115"/>
          <w:sz w:val="20"/>
        </w:rPr>
        <w:t>insert</w:t>
      </w:r>
      <w:r>
        <w:rPr>
          <w:spacing w:val="-15"/>
          <w:w w:val="115"/>
          <w:sz w:val="20"/>
        </w:rPr>
        <w:t> </w:t>
      </w:r>
      <w:r>
        <w:rPr>
          <w:spacing w:val="-5"/>
          <w:w w:val="115"/>
          <w:sz w:val="20"/>
        </w:rPr>
        <w:t>‘</w:t>
      </w:r>
      <w:r>
        <w:rPr>
          <w:rFonts w:ascii="Stone Sans II ITC Std Bk" w:hAnsi="Stone Sans II ITC Std Bk"/>
          <w:b/>
          <w:spacing w:val="-5"/>
          <w:w w:val="115"/>
          <w:sz w:val="20"/>
        </w:rPr>
        <w:t>or</w:t>
      </w:r>
      <w:r>
        <w:rPr>
          <w:rFonts w:ascii="Stone Sans II ITC Std Bk" w:hAnsi="Stone Sans II ITC Std Bk"/>
          <w:b/>
          <w:spacing w:val="-23"/>
          <w:w w:val="115"/>
          <w:sz w:val="20"/>
        </w:rPr>
        <w:t> </w:t>
      </w:r>
      <w:r>
        <w:rPr>
          <w:rFonts w:ascii="Stone Sans II ITC Std Bk" w:hAnsi="Stone Sans II ITC Std Bk"/>
          <w:b/>
          <w:w w:val="115"/>
          <w:sz w:val="20"/>
        </w:rPr>
        <w:t>the</w:t>
      </w:r>
      <w:r>
        <w:rPr>
          <w:rFonts w:ascii="Stone Sans II ITC Std Bk" w:hAnsi="Stone Sans II ITC Std Bk"/>
          <w:b/>
          <w:spacing w:val="-23"/>
          <w:w w:val="115"/>
          <w:sz w:val="20"/>
        </w:rPr>
        <w:t> </w:t>
      </w:r>
      <w:r>
        <w:rPr>
          <w:rFonts w:ascii="Stone Sans II ITC Std Bk" w:hAnsi="Stone Sans II ITC Std Bk"/>
          <w:b/>
          <w:w w:val="115"/>
          <w:sz w:val="20"/>
        </w:rPr>
        <w:t>Special</w:t>
      </w:r>
      <w:r>
        <w:rPr>
          <w:rFonts w:ascii="Stone Sans II ITC Std Bk" w:hAnsi="Stone Sans II ITC Std Bk"/>
          <w:b/>
          <w:spacing w:val="-23"/>
          <w:w w:val="115"/>
          <w:sz w:val="20"/>
        </w:rPr>
        <w:t> </w:t>
      </w:r>
      <w:r>
        <w:rPr>
          <w:rFonts w:ascii="Stone Sans II ITC Std Bk" w:hAnsi="Stone Sans II ITC Std Bk"/>
          <w:b/>
          <w:w w:val="115"/>
          <w:sz w:val="20"/>
        </w:rPr>
        <w:t>Appeals</w:t>
      </w:r>
      <w:r>
        <w:rPr>
          <w:rFonts w:ascii="Stone Sans II ITC Std Bk" w:hAnsi="Stone Sans II ITC Std Bk"/>
          <w:b/>
          <w:spacing w:val="-23"/>
          <w:w w:val="115"/>
          <w:sz w:val="20"/>
        </w:rPr>
        <w:t> </w:t>
      </w:r>
      <w:r>
        <w:rPr>
          <w:rFonts w:ascii="Stone Sans II ITC Std Bk" w:hAnsi="Stone Sans II ITC Std Bk"/>
          <w:b/>
          <w:spacing w:val="-4"/>
          <w:w w:val="115"/>
          <w:sz w:val="20"/>
        </w:rPr>
        <w:t>Body</w:t>
      </w:r>
      <w:r>
        <w:rPr>
          <w:spacing w:val="-4"/>
          <w:w w:val="115"/>
          <w:sz w:val="20"/>
        </w:rPr>
        <w:t>’.</w:t>
      </w:r>
    </w:p>
    <w:p>
      <w:pPr>
        <w:tabs>
          <w:tab w:pos="2155" w:val="left" w:leader="none"/>
        </w:tabs>
        <w:spacing w:before="69"/>
        <w:ind w:left="1134" w:right="0" w:firstLine="0"/>
        <w:jc w:val="left"/>
        <w:rPr>
          <w:sz w:val="20"/>
        </w:rPr>
      </w:pPr>
      <w:r>
        <w:rPr>
          <w:rFonts w:ascii="Stone Sans II ITC Std Bk" w:hAnsi="Stone Sans II ITC Std Bk"/>
          <w:b/>
          <w:w w:val="110"/>
          <w:sz w:val="20"/>
        </w:rPr>
        <w:t>B.6.3</w:t>
        <w:tab/>
      </w:r>
      <w:r>
        <w:rPr>
          <w:w w:val="110"/>
          <w:sz w:val="20"/>
        </w:rPr>
        <w:t>After  the  words  ‘</w:t>
      </w:r>
      <w:r>
        <w:rPr>
          <w:rFonts w:ascii="Stone Sans II ITC Std Bk" w:hAnsi="Stone Sans II ITC Std Bk"/>
          <w:b/>
          <w:w w:val="110"/>
          <w:sz w:val="20"/>
        </w:rPr>
        <w:t>Paragraph B.3, B.4 and B.5</w:t>
      </w:r>
      <w:r>
        <w:rPr>
          <w:w w:val="110"/>
          <w:sz w:val="20"/>
        </w:rPr>
        <w:t>’ add </w:t>
      </w:r>
      <w:r>
        <w:rPr>
          <w:spacing w:val="-3"/>
          <w:w w:val="110"/>
          <w:sz w:val="20"/>
        </w:rPr>
        <w:t>‘</w:t>
      </w:r>
      <w:r>
        <w:rPr>
          <w:rFonts w:ascii="Stone Sans II ITC Std Bk" w:hAnsi="Stone Sans II ITC Std Bk"/>
          <w:b/>
          <w:spacing w:val="-3"/>
          <w:w w:val="110"/>
          <w:sz w:val="20"/>
        </w:rPr>
        <w:t>and </w:t>
      </w:r>
      <w:r>
        <w:rPr>
          <w:rFonts w:ascii="Stone Sans II ITC Std Bk" w:hAnsi="Stone Sans II ITC Std Bk"/>
          <w:b/>
          <w:w w:val="110"/>
          <w:sz w:val="20"/>
        </w:rPr>
        <w:t>this Paragraph </w:t>
      </w:r>
      <w:r>
        <w:rPr>
          <w:rFonts w:ascii="Stone Sans II ITC Std Bk" w:hAnsi="Stone Sans II ITC Std Bk"/>
          <w:b/>
          <w:spacing w:val="8"/>
          <w:w w:val="110"/>
          <w:sz w:val="20"/>
        </w:rPr>
        <w:t> </w:t>
      </w:r>
      <w:r>
        <w:rPr>
          <w:rFonts w:ascii="Stone Sans II ITC Std Bk" w:hAnsi="Stone Sans II ITC Std Bk"/>
          <w:b/>
          <w:spacing w:val="-7"/>
          <w:w w:val="110"/>
          <w:sz w:val="20"/>
        </w:rPr>
        <w:t>B.6</w:t>
      </w:r>
      <w:r>
        <w:rPr>
          <w:spacing w:val="-7"/>
          <w:w w:val="110"/>
          <w:sz w:val="20"/>
        </w:rPr>
        <w:t>’.</w:t>
      </w:r>
    </w:p>
    <w:p>
      <w:pPr>
        <w:tabs>
          <w:tab w:pos="2155" w:val="left" w:leader="none"/>
        </w:tabs>
        <w:spacing w:before="69"/>
        <w:ind w:left="1134" w:right="0" w:firstLine="0"/>
        <w:jc w:val="left"/>
        <w:rPr>
          <w:sz w:val="20"/>
        </w:rPr>
      </w:pPr>
      <w:r>
        <w:rPr>
          <w:rFonts w:ascii="Stone Sans II ITC Std Bk" w:hAnsi="Stone Sans II ITC Std Bk"/>
          <w:b/>
          <w:spacing w:val="-5"/>
          <w:w w:val="115"/>
          <w:sz w:val="20"/>
        </w:rPr>
        <w:t>C.1.5</w:t>
        <w:tab/>
      </w:r>
      <w:r>
        <w:rPr>
          <w:w w:val="115"/>
          <w:sz w:val="20"/>
        </w:rPr>
        <w:t>Delete</w:t>
      </w:r>
      <w:r>
        <w:rPr>
          <w:spacing w:val="-13"/>
          <w:w w:val="115"/>
          <w:sz w:val="20"/>
        </w:rPr>
        <w:t> </w:t>
      </w:r>
      <w:r>
        <w:rPr>
          <w:w w:val="115"/>
          <w:sz w:val="20"/>
        </w:rPr>
        <w:t>the</w:t>
      </w:r>
      <w:r>
        <w:rPr>
          <w:spacing w:val="-13"/>
          <w:w w:val="115"/>
          <w:sz w:val="20"/>
        </w:rPr>
        <w:t> </w:t>
      </w:r>
      <w:r>
        <w:rPr>
          <w:w w:val="115"/>
          <w:sz w:val="20"/>
        </w:rPr>
        <w:t>words</w:t>
      </w:r>
      <w:r>
        <w:rPr>
          <w:spacing w:val="-15"/>
          <w:w w:val="115"/>
          <w:sz w:val="20"/>
        </w:rPr>
        <w:t> </w:t>
      </w:r>
      <w:r>
        <w:rPr>
          <w:spacing w:val="-4"/>
          <w:w w:val="115"/>
          <w:sz w:val="20"/>
        </w:rPr>
        <w:t>‘</w:t>
      </w:r>
      <w:r>
        <w:rPr>
          <w:rFonts w:ascii="Stone Sans II ITC Std Bk" w:hAnsi="Stone Sans II ITC Std Bk"/>
          <w:b/>
          <w:spacing w:val="-4"/>
          <w:w w:val="115"/>
          <w:sz w:val="20"/>
        </w:rPr>
        <w:t>or</w:t>
      </w:r>
      <w:r>
        <w:rPr>
          <w:rFonts w:ascii="Stone Sans II ITC Std Bk" w:hAnsi="Stone Sans II ITC Std Bk"/>
          <w:b/>
          <w:spacing w:val="-20"/>
          <w:w w:val="115"/>
          <w:sz w:val="20"/>
        </w:rPr>
        <w:t> </w:t>
      </w:r>
      <w:r>
        <w:rPr>
          <w:rFonts w:ascii="Stone Sans II ITC Std Bk" w:hAnsi="Stone Sans II ITC Std Bk"/>
          <w:b/>
          <w:w w:val="115"/>
          <w:sz w:val="20"/>
        </w:rPr>
        <w:t>the</w:t>
      </w:r>
      <w:r>
        <w:rPr>
          <w:rFonts w:ascii="Stone Sans II ITC Std Bk" w:hAnsi="Stone Sans II ITC Std Bk"/>
          <w:b/>
          <w:spacing w:val="-21"/>
          <w:w w:val="115"/>
          <w:sz w:val="20"/>
        </w:rPr>
        <w:t> </w:t>
      </w:r>
      <w:r>
        <w:rPr>
          <w:rFonts w:ascii="Stone Sans II ITC Std Bk" w:hAnsi="Stone Sans II ITC Std Bk"/>
          <w:b/>
          <w:w w:val="115"/>
          <w:sz w:val="20"/>
        </w:rPr>
        <w:t>responsible</w:t>
      </w:r>
      <w:r>
        <w:rPr>
          <w:rFonts w:ascii="Stone Sans II ITC Std Bk" w:hAnsi="Stone Sans II ITC Std Bk"/>
          <w:b/>
          <w:spacing w:val="-20"/>
          <w:w w:val="115"/>
          <w:sz w:val="20"/>
        </w:rPr>
        <w:t> </w:t>
      </w:r>
      <w:r>
        <w:rPr>
          <w:rFonts w:ascii="Stone Sans II ITC Std Bk" w:hAnsi="Stone Sans II ITC Std Bk"/>
          <w:b/>
          <w:w w:val="115"/>
          <w:sz w:val="20"/>
        </w:rPr>
        <w:t>officer</w:t>
      </w:r>
      <w:r>
        <w:rPr>
          <w:rFonts w:ascii="Stone Sans II ITC Std Bk" w:hAnsi="Stone Sans II ITC Std Bk"/>
          <w:b/>
          <w:spacing w:val="-20"/>
          <w:w w:val="115"/>
          <w:sz w:val="20"/>
        </w:rPr>
        <w:t> </w:t>
      </w:r>
      <w:r>
        <w:rPr>
          <w:rFonts w:ascii="Stone Sans II ITC Std Bk" w:hAnsi="Stone Sans II ITC Std Bk"/>
          <w:b/>
          <w:w w:val="115"/>
          <w:sz w:val="20"/>
        </w:rPr>
        <w:t>of</w:t>
      </w:r>
      <w:r>
        <w:rPr>
          <w:rFonts w:ascii="Stone Sans II ITC Std Bk" w:hAnsi="Stone Sans II ITC Std Bk"/>
          <w:b/>
          <w:spacing w:val="-21"/>
          <w:w w:val="115"/>
          <w:sz w:val="20"/>
        </w:rPr>
        <w:t> </w:t>
      </w:r>
      <w:r>
        <w:rPr>
          <w:rFonts w:ascii="Stone Sans II ITC Std Bk" w:hAnsi="Stone Sans II ITC Std Bk"/>
          <w:b/>
          <w:w w:val="115"/>
          <w:sz w:val="20"/>
        </w:rPr>
        <w:t>any</w:t>
      </w:r>
      <w:r>
        <w:rPr>
          <w:rFonts w:ascii="Stone Sans II ITC Std Bk" w:hAnsi="Stone Sans II ITC Std Bk"/>
          <w:b/>
          <w:spacing w:val="-20"/>
          <w:w w:val="115"/>
          <w:sz w:val="20"/>
        </w:rPr>
        <w:t> </w:t>
      </w:r>
      <w:r>
        <w:rPr>
          <w:rFonts w:ascii="Stone Sans II ITC Std Bk" w:hAnsi="Stone Sans II ITC Std Bk"/>
          <w:b/>
          <w:w w:val="115"/>
          <w:sz w:val="20"/>
        </w:rPr>
        <w:t>relevant</w:t>
      </w:r>
      <w:r>
        <w:rPr>
          <w:rFonts w:ascii="Stone Sans II ITC Std Bk" w:hAnsi="Stone Sans II ITC Std Bk"/>
          <w:b/>
          <w:spacing w:val="-20"/>
          <w:w w:val="115"/>
          <w:sz w:val="20"/>
        </w:rPr>
        <w:t> </w:t>
      </w:r>
      <w:r>
        <w:rPr>
          <w:rFonts w:ascii="Stone Sans II ITC Std Bk" w:hAnsi="Stone Sans II ITC Std Bk"/>
          <w:b/>
          <w:w w:val="115"/>
          <w:sz w:val="20"/>
        </w:rPr>
        <w:t>Organisation</w:t>
      </w:r>
      <w:r>
        <w:rPr>
          <w:w w:val="115"/>
          <w:sz w:val="20"/>
        </w:rPr>
        <w:t>’.</w:t>
      </w:r>
    </w:p>
    <w:p>
      <w:pPr>
        <w:tabs>
          <w:tab w:pos="2155" w:val="left" w:leader="none"/>
        </w:tabs>
        <w:spacing w:line="213" w:lineRule="auto" w:before="91"/>
        <w:ind w:left="2155" w:right="2084" w:hanging="1021"/>
        <w:jc w:val="left"/>
        <w:rPr>
          <w:sz w:val="20"/>
        </w:rPr>
      </w:pPr>
      <w:r>
        <w:rPr>
          <w:rFonts w:ascii="Stone Sans II ITC Std Bk" w:hAnsi="Stone Sans II ITC Std Bk"/>
          <w:b/>
          <w:spacing w:val="-4"/>
          <w:w w:val="115"/>
          <w:sz w:val="20"/>
        </w:rPr>
        <w:t>C.3.1</w:t>
        <w:tab/>
      </w:r>
      <w:r>
        <w:rPr>
          <w:w w:val="115"/>
          <w:sz w:val="20"/>
        </w:rPr>
        <w:t>After the words ‘</w:t>
      </w:r>
      <w:r>
        <w:rPr>
          <w:rFonts w:ascii="Stone Sans II ITC Std Bk" w:hAnsi="Stone Sans II ITC Std Bk"/>
          <w:b/>
          <w:w w:val="115"/>
          <w:sz w:val="20"/>
        </w:rPr>
        <w:t>Appeals Commission</w:t>
      </w:r>
      <w:r>
        <w:rPr>
          <w:w w:val="115"/>
          <w:sz w:val="20"/>
        </w:rPr>
        <w:t>’ </w:t>
      </w:r>
      <w:r>
        <w:rPr>
          <w:spacing w:val="-6"/>
          <w:w w:val="115"/>
          <w:sz w:val="20"/>
        </w:rPr>
        <w:t>(all </w:t>
      </w:r>
      <w:r>
        <w:rPr>
          <w:w w:val="115"/>
          <w:sz w:val="20"/>
        </w:rPr>
        <w:t>three </w:t>
      </w:r>
      <w:r>
        <w:rPr>
          <w:spacing w:val="-3"/>
          <w:w w:val="115"/>
          <w:sz w:val="20"/>
        </w:rPr>
        <w:t>times) </w:t>
      </w:r>
      <w:r>
        <w:rPr>
          <w:w w:val="115"/>
          <w:sz w:val="20"/>
        </w:rPr>
        <w:t>insert </w:t>
      </w:r>
      <w:r>
        <w:rPr>
          <w:spacing w:val="-4"/>
          <w:w w:val="115"/>
          <w:sz w:val="20"/>
        </w:rPr>
        <w:t>‘</w:t>
      </w:r>
      <w:r>
        <w:rPr>
          <w:rFonts w:ascii="Stone Sans II ITC Std Bk" w:hAnsi="Stone Sans II ITC Std Bk"/>
          <w:b/>
          <w:spacing w:val="-4"/>
          <w:w w:val="115"/>
          <w:sz w:val="20"/>
        </w:rPr>
        <w:t>or </w:t>
      </w:r>
      <w:r>
        <w:rPr>
          <w:rFonts w:ascii="Stone Sans II ITC Std Bk" w:hAnsi="Stone Sans II ITC Std Bk"/>
          <w:b/>
          <w:w w:val="115"/>
          <w:sz w:val="20"/>
        </w:rPr>
        <w:t>the Special Appeals</w:t>
      </w:r>
      <w:r>
        <w:rPr>
          <w:rFonts w:ascii="Stone Sans II ITC Std Bk" w:hAnsi="Stone Sans II ITC Std Bk"/>
          <w:b/>
          <w:spacing w:val="-4"/>
          <w:w w:val="115"/>
          <w:sz w:val="20"/>
        </w:rPr>
        <w:t> </w:t>
      </w:r>
      <w:r>
        <w:rPr>
          <w:rFonts w:ascii="Stone Sans II ITC Std Bk" w:hAnsi="Stone Sans II ITC Std Bk"/>
          <w:b/>
          <w:spacing w:val="-3"/>
          <w:w w:val="115"/>
          <w:sz w:val="20"/>
        </w:rPr>
        <w:t>Body</w:t>
      </w:r>
      <w:r>
        <w:rPr>
          <w:spacing w:val="-3"/>
          <w:w w:val="115"/>
          <w:sz w:val="20"/>
        </w:rPr>
        <w:t>’.</w:t>
      </w:r>
    </w:p>
    <w:p>
      <w:pPr>
        <w:pStyle w:val="ListParagraph"/>
        <w:numPr>
          <w:ilvl w:val="2"/>
          <w:numId w:val="77"/>
        </w:numPr>
        <w:tabs>
          <w:tab w:pos="2155" w:val="left" w:leader="none"/>
          <w:tab w:pos="2156" w:val="left" w:leader="none"/>
        </w:tabs>
        <w:spacing w:line="213" w:lineRule="auto" w:before="98" w:after="0"/>
        <w:ind w:left="2155" w:right="2633" w:hanging="1021"/>
        <w:jc w:val="left"/>
        <w:rPr>
          <w:sz w:val="20"/>
        </w:rPr>
      </w:pPr>
      <w:r>
        <w:rPr>
          <w:w w:val="110"/>
          <w:sz w:val="20"/>
        </w:rPr>
        <w:t>After the words ‘</w:t>
      </w:r>
      <w:r>
        <w:rPr>
          <w:rFonts w:ascii="Stone Sans II ITC Std Bk" w:hAnsi="Stone Sans II ITC Std Bk"/>
          <w:b/>
          <w:w w:val="110"/>
          <w:sz w:val="20"/>
        </w:rPr>
        <w:t>the Section O Process</w:t>
      </w:r>
      <w:r>
        <w:rPr>
          <w:w w:val="110"/>
          <w:sz w:val="20"/>
        </w:rPr>
        <w:t>’ insert ‘</w:t>
      </w:r>
      <w:r>
        <w:rPr>
          <w:rFonts w:ascii="Stone Sans II ITC Std Bk" w:hAnsi="Stone Sans II ITC Std Bk"/>
          <w:b/>
          <w:w w:val="110"/>
          <w:sz w:val="20"/>
        </w:rPr>
        <w:t>which has reached the Commission</w:t>
      </w:r>
      <w:r>
        <w:rPr>
          <w:rFonts w:ascii="Stone Sans II ITC Std Bk" w:hAnsi="Stone Sans II ITC Std Bk"/>
          <w:b/>
          <w:spacing w:val="-1"/>
          <w:w w:val="110"/>
          <w:sz w:val="20"/>
        </w:rPr>
        <w:t> </w:t>
      </w:r>
      <w:r>
        <w:rPr>
          <w:rFonts w:ascii="Stone Sans II ITC Std Bk" w:hAnsi="Stone Sans II ITC Std Bk"/>
          <w:b/>
          <w:spacing w:val="-4"/>
          <w:w w:val="110"/>
          <w:sz w:val="20"/>
        </w:rPr>
        <w:t>Stage</w:t>
      </w:r>
      <w:r>
        <w:rPr>
          <w:spacing w:val="-4"/>
          <w:w w:val="110"/>
          <w:sz w:val="20"/>
        </w:rPr>
        <w:t>’.</w:t>
      </w:r>
    </w:p>
    <w:p>
      <w:pPr>
        <w:spacing w:before="75"/>
        <w:ind w:left="2155" w:right="0" w:firstLine="0"/>
        <w:jc w:val="left"/>
        <w:rPr>
          <w:sz w:val="20"/>
        </w:rPr>
      </w:pPr>
      <w:r>
        <w:rPr>
          <w:w w:val="115"/>
          <w:sz w:val="20"/>
        </w:rPr>
        <w:t>Remove the words ‘</w:t>
      </w:r>
      <w:r>
        <w:rPr>
          <w:rFonts w:ascii="Stone Sans II ITC Std Bk" w:hAnsi="Stone Sans II ITC Std Bk"/>
          <w:b/>
          <w:w w:val="115"/>
          <w:sz w:val="20"/>
        </w:rPr>
        <w:t>or the Appeals Commission</w:t>
      </w:r>
      <w:r>
        <w:rPr>
          <w:w w:val="115"/>
          <w:sz w:val="20"/>
        </w:rPr>
        <w:t>’.</w:t>
      </w:r>
    </w:p>
    <w:p>
      <w:pPr>
        <w:spacing w:line="213" w:lineRule="auto" w:before="91"/>
        <w:ind w:left="2155" w:right="2095" w:firstLine="0"/>
        <w:jc w:val="left"/>
        <w:rPr>
          <w:sz w:val="20"/>
        </w:rPr>
      </w:pPr>
      <w:r>
        <w:rPr>
          <w:w w:val="110"/>
          <w:sz w:val="20"/>
        </w:rPr>
        <w:t>After the words ‘</w:t>
      </w:r>
      <w:r>
        <w:rPr>
          <w:rFonts w:ascii="Stone Sans II ITC Std Bk" w:hAnsi="Stone Sans II ITC Std Bk"/>
          <w:b/>
          <w:w w:val="110"/>
          <w:sz w:val="20"/>
        </w:rPr>
        <w:t>the Assembly Commission </w:t>
      </w:r>
      <w:r>
        <w:rPr>
          <w:rFonts w:ascii="Stone Sans II ITC Std Bk" w:hAnsi="Stone Sans II ITC Std Bk"/>
          <w:b/>
          <w:spacing w:val="-5"/>
          <w:w w:val="110"/>
          <w:sz w:val="20"/>
        </w:rPr>
        <w:t>may</w:t>
      </w:r>
      <w:r>
        <w:rPr>
          <w:spacing w:val="-5"/>
          <w:w w:val="110"/>
          <w:sz w:val="20"/>
        </w:rPr>
        <w:t>’,  </w:t>
      </w:r>
      <w:r>
        <w:rPr>
          <w:spacing w:val="-3"/>
          <w:w w:val="110"/>
          <w:sz w:val="20"/>
        </w:rPr>
        <w:t>remove  ‘</w:t>
      </w:r>
      <w:r>
        <w:rPr>
          <w:rFonts w:ascii="Stone Sans II ITC Std Bk" w:hAnsi="Stone Sans II ITC Std Bk"/>
          <w:b/>
          <w:spacing w:val="-3"/>
          <w:w w:val="110"/>
          <w:sz w:val="20"/>
        </w:rPr>
        <w:t>,either  </w:t>
      </w:r>
      <w:r>
        <w:rPr>
          <w:rFonts w:ascii="Stone Sans II ITC Std Bk" w:hAnsi="Stone Sans II ITC Std Bk"/>
          <w:b/>
          <w:w w:val="110"/>
          <w:sz w:val="20"/>
        </w:rPr>
        <w:t>on its own account or on a written request from the Mandated Group, stating the reasons for making the </w:t>
      </w:r>
      <w:r>
        <w:rPr>
          <w:rFonts w:ascii="Stone Sans II ITC Std Bk" w:hAnsi="Stone Sans II ITC Std Bk"/>
          <w:b/>
          <w:spacing w:val="-4"/>
          <w:w w:val="110"/>
          <w:sz w:val="20"/>
        </w:rPr>
        <w:t>request,</w:t>
      </w:r>
      <w:r>
        <w:rPr>
          <w:spacing w:val="-4"/>
          <w:w w:val="110"/>
          <w:sz w:val="20"/>
        </w:rPr>
        <w:t>’.</w:t>
      </w:r>
    </w:p>
    <w:p>
      <w:pPr>
        <w:pStyle w:val="ListParagraph"/>
        <w:numPr>
          <w:ilvl w:val="3"/>
          <w:numId w:val="77"/>
        </w:numPr>
        <w:tabs>
          <w:tab w:pos="2155" w:val="left" w:leader="none"/>
          <w:tab w:pos="2156" w:val="left" w:leader="none"/>
        </w:tabs>
        <w:spacing w:line="300" w:lineRule="auto" w:before="75" w:after="0"/>
        <w:ind w:left="2155" w:right="3047" w:hanging="1021"/>
        <w:jc w:val="left"/>
        <w:rPr>
          <w:sz w:val="20"/>
        </w:rPr>
      </w:pPr>
      <w:r>
        <w:rPr>
          <w:w w:val="115"/>
          <w:sz w:val="20"/>
        </w:rPr>
        <w:t>Remove</w:t>
      </w:r>
      <w:r>
        <w:rPr>
          <w:spacing w:val="-4"/>
          <w:w w:val="115"/>
          <w:sz w:val="20"/>
        </w:rPr>
        <w:t> </w:t>
      </w:r>
      <w:r>
        <w:rPr>
          <w:w w:val="115"/>
          <w:sz w:val="20"/>
        </w:rPr>
        <w:t>the</w:t>
      </w:r>
      <w:r>
        <w:rPr>
          <w:spacing w:val="-3"/>
          <w:w w:val="115"/>
          <w:sz w:val="20"/>
        </w:rPr>
        <w:t> </w:t>
      </w:r>
      <w:r>
        <w:rPr>
          <w:w w:val="115"/>
          <w:sz w:val="20"/>
        </w:rPr>
        <w:t>words</w:t>
      </w:r>
      <w:r>
        <w:rPr>
          <w:spacing w:val="-6"/>
          <w:w w:val="115"/>
          <w:sz w:val="20"/>
        </w:rPr>
        <w:t> </w:t>
      </w:r>
      <w:r>
        <w:rPr>
          <w:spacing w:val="-4"/>
          <w:w w:val="115"/>
          <w:sz w:val="20"/>
        </w:rPr>
        <w:t>‘</w:t>
      </w:r>
      <w:r>
        <w:rPr>
          <w:rFonts w:ascii="Stone Sans II ITC Std Bk" w:hAnsi="Stone Sans II ITC Std Bk"/>
          <w:b/>
          <w:spacing w:val="-4"/>
          <w:w w:val="115"/>
          <w:sz w:val="20"/>
        </w:rPr>
        <w:t>or</w:t>
      </w:r>
      <w:r>
        <w:rPr>
          <w:rFonts w:ascii="Stone Sans II ITC Std Bk" w:hAnsi="Stone Sans II ITC Std Bk"/>
          <w:b/>
          <w:spacing w:val="-11"/>
          <w:w w:val="115"/>
          <w:sz w:val="20"/>
        </w:rPr>
        <w:t> </w:t>
      </w:r>
      <w:r>
        <w:rPr>
          <w:rFonts w:ascii="Stone Sans II ITC Std Bk" w:hAnsi="Stone Sans II ITC Std Bk"/>
          <w:b/>
          <w:w w:val="115"/>
          <w:sz w:val="20"/>
        </w:rPr>
        <w:t>the</w:t>
      </w:r>
      <w:r>
        <w:rPr>
          <w:rFonts w:ascii="Stone Sans II ITC Std Bk" w:hAnsi="Stone Sans II ITC Std Bk"/>
          <w:b/>
          <w:spacing w:val="-10"/>
          <w:w w:val="115"/>
          <w:sz w:val="20"/>
        </w:rPr>
        <w:t> </w:t>
      </w:r>
      <w:r>
        <w:rPr>
          <w:rFonts w:ascii="Stone Sans II ITC Std Bk" w:hAnsi="Stone Sans II ITC Std Bk"/>
          <w:b/>
          <w:w w:val="115"/>
          <w:sz w:val="20"/>
        </w:rPr>
        <w:t>General</w:t>
      </w:r>
      <w:r>
        <w:rPr>
          <w:rFonts w:ascii="Stone Sans II ITC Std Bk" w:hAnsi="Stone Sans II ITC Std Bk"/>
          <w:b/>
          <w:spacing w:val="-10"/>
          <w:w w:val="115"/>
          <w:sz w:val="20"/>
        </w:rPr>
        <w:t> </w:t>
      </w:r>
      <w:r>
        <w:rPr>
          <w:rFonts w:ascii="Stone Sans II ITC Std Bk" w:hAnsi="Stone Sans II ITC Std Bk"/>
          <w:b/>
          <w:w w:val="115"/>
          <w:sz w:val="20"/>
        </w:rPr>
        <w:t>Secretary</w:t>
      </w:r>
      <w:r>
        <w:rPr>
          <w:rFonts w:ascii="Stone Sans II ITC Std Bk" w:hAnsi="Stone Sans II ITC Std Bk"/>
          <w:b/>
          <w:spacing w:val="-11"/>
          <w:w w:val="115"/>
          <w:sz w:val="20"/>
        </w:rPr>
        <w:t> </w:t>
      </w:r>
      <w:r>
        <w:rPr>
          <w:rFonts w:ascii="Stone Sans II ITC Std Bk" w:hAnsi="Stone Sans II ITC Std Bk"/>
          <w:b/>
          <w:w w:val="115"/>
          <w:sz w:val="20"/>
        </w:rPr>
        <w:t>as</w:t>
      </w:r>
      <w:r>
        <w:rPr>
          <w:rFonts w:ascii="Stone Sans II ITC Std Bk" w:hAnsi="Stone Sans II ITC Std Bk"/>
          <w:b/>
          <w:spacing w:val="-10"/>
          <w:w w:val="115"/>
          <w:sz w:val="20"/>
        </w:rPr>
        <w:t> </w:t>
      </w:r>
      <w:r>
        <w:rPr>
          <w:rFonts w:ascii="Stone Sans II ITC Std Bk" w:hAnsi="Stone Sans II ITC Std Bk"/>
          <w:b/>
          <w:w w:val="115"/>
          <w:sz w:val="20"/>
        </w:rPr>
        <w:t>the</w:t>
      </w:r>
      <w:r>
        <w:rPr>
          <w:rFonts w:ascii="Stone Sans II ITC Std Bk" w:hAnsi="Stone Sans II ITC Std Bk"/>
          <w:b/>
          <w:spacing w:val="-10"/>
          <w:w w:val="115"/>
          <w:sz w:val="20"/>
        </w:rPr>
        <w:t> </w:t>
      </w:r>
      <w:r>
        <w:rPr>
          <w:rFonts w:ascii="Stone Sans II ITC Std Bk" w:hAnsi="Stone Sans II ITC Std Bk"/>
          <w:b/>
          <w:w w:val="115"/>
          <w:sz w:val="20"/>
        </w:rPr>
        <w:t>case</w:t>
      </w:r>
      <w:r>
        <w:rPr>
          <w:rFonts w:ascii="Stone Sans II ITC Std Bk" w:hAnsi="Stone Sans II ITC Std Bk"/>
          <w:b/>
          <w:spacing w:val="-11"/>
          <w:w w:val="115"/>
          <w:sz w:val="20"/>
        </w:rPr>
        <w:t> </w:t>
      </w:r>
      <w:r>
        <w:rPr>
          <w:rFonts w:ascii="Stone Sans II ITC Std Bk" w:hAnsi="Stone Sans II ITC Std Bk"/>
          <w:b/>
          <w:w w:val="115"/>
          <w:sz w:val="20"/>
        </w:rPr>
        <w:t>may</w:t>
      </w:r>
      <w:r>
        <w:rPr>
          <w:rFonts w:ascii="Stone Sans II ITC Std Bk" w:hAnsi="Stone Sans II ITC Std Bk"/>
          <w:b/>
          <w:spacing w:val="-10"/>
          <w:w w:val="115"/>
          <w:sz w:val="20"/>
        </w:rPr>
        <w:t> </w:t>
      </w:r>
      <w:r>
        <w:rPr>
          <w:rFonts w:ascii="Stone Sans II ITC Std Bk" w:hAnsi="Stone Sans II ITC Std Bk"/>
          <w:b/>
          <w:spacing w:val="-6"/>
          <w:w w:val="115"/>
          <w:sz w:val="20"/>
        </w:rPr>
        <w:t>be</w:t>
      </w:r>
      <w:r>
        <w:rPr>
          <w:spacing w:val="-6"/>
          <w:w w:val="115"/>
          <w:sz w:val="20"/>
        </w:rPr>
        <w:t>’. </w:t>
      </w:r>
      <w:r>
        <w:rPr>
          <w:w w:val="115"/>
          <w:sz w:val="20"/>
        </w:rPr>
        <w:t>Replace the word ‘</w:t>
      </w:r>
      <w:r>
        <w:rPr>
          <w:rFonts w:ascii="Stone Sans II ITC Std Bk" w:hAnsi="Stone Sans II ITC Std Bk"/>
          <w:b/>
          <w:w w:val="115"/>
          <w:sz w:val="20"/>
        </w:rPr>
        <w:t>intention</w:t>
      </w:r>
      <w:r>
        <w:rPr>
          <w:w w:val="115"/>
          <w:sz w:val="20"/>
        </w:rPr>
        <w:t>’ with</w:t>
      </w:r>
      <w:r>
        <w:rPr>
          <w:spacing w:val="12"/>
          <w:w w:val="115"/>
          <w:sz w:val="20"/>
        </w:rPr>
        <w:t> </w:t>
      </w:r>
      <w:r>
        <w:rPr>
          <w:spacing w:val="-4"/>
          <w:w w:val="115"/>
          <w:sz w:val="20"/>
        </w:rPr>
        <w:t>‘</w:t>
      </w:r>
      <w:r>
        <w:rPr>
          <w:rFonts w:ascii="Stone Sans II ITC Std Bk" w:hAnsi="Stone Sans II ITC Std Bk"/>
          <w:b/>
          <w:spacing w:val="-4"/>
          <w:w w:val="115"/>
          <w:sz w:val="20"/>
        </w:rPr>
        <w:t>decision</w:t>
      </w:r>
      <w:r>
        <w:rPr>
          <w:spacing w:val="-4"/>
          <w:w w:val="115"/>
          <w:sz w:val="20"/>
        </w:rPr>
        <w:t>’.</w:t>
      </w:r>
    </w:p>
    <w:p>
      <w:pPr>
        <w:pStyle w:val="BodyText"/>
        <w:spacing w:line="223" w:lineRule="auto" w:before="17"/>
        <w:ind w:left="2156" w:right="2191" w:hanging="1"/>
      </w:pPr>
      <w:r>
        <w:rPr>
          <w:w w:val="115"/>
        </w:rPr>
        <w:t>After the sentence ending with the words ‘</w:t>
      </w:r>
      <w:r>
        <w:rPr>
          <w:rFonts w:ascii="Stone Sans II ITC Std Bk" w:hAnsi="Stone Sans II ITC Std Bk"/>
          <w:b/>
          <w:w w:val="115"/>
        </w:rPr>
        <w:t>such recommendation</w:t>
      </w:r>
      <w:r>
        <w:rPr>
          <w:w w:val="115"/>
        </w:rPr>
        <w:t>’ insert a new sentence as follows:</w:t>
      </w:r>
    </w:p>
    <w:p>
      <w:pPr>
        <w:spacing w:after="0" w:line="223" w:lineRule="auto"/>
        <w:sectPr>
          <w:pgSz w:w="11910" w:h="16840"/>
          <w:pgMar w:header="0" w:footer="647" w:top="1060" w:bottom="840" w:left="0" w:right="0"/>
        </w:sectPr>
      </w:pPr>
    </w:p>
    <w:p>
      <w:pPr>
        <w:spacing w:line="213" w:lineRule="auto" w:before="97"/>
        <w:ind w:left="3004" w:right="1120" w:firstLine="0"/>
        <w:jc w:val="left"/>
        <w:rPr>
          <w:sz w:val="20"/>
        </w:rPr>
      </w:pPr>
      <w:r>
        <w:rPr/>
        <w:pict>
          <v:rect style="position:absolute;margin-left:558.424988pt;margin-top:8.505788pt;width:22.677pt;height:22.677pt;mso-position-horizontal-relative:page;mso-position-vertical-relative:paragraph;z-index:251900928" filled="true" fillcolor="#f9e9c1" stroked="false">
            <v:fill opacity="32768f" type="solid"/>
            <w10:wrap type="none"/>
          </v:rect>
        </w:pict>
      </w:r>
      <w:r>
        <w:rPr>
          <w:w w:val="110"/>
          <w:sz w:val="20"/>
        </w:rPr>
        <w:t>‘</w:t>
      </w:r>
      <w:r>
        <w:rPr>
          <w:rFonts w:ascii="Stone Sans II ITC Std Bk" w:hAnsi="Stone Sans II ITC Std Bk"/>
          <w:b/>
          <w:w w:val="110"/>
          <w:sz w:val="20"/>
        </w:rPr>
        <w:t>This Notice shall contain a statement of its reasons for reaching its decision to refer back and it may indicate what papers, if any, should be passed to the recipient of the Notice</w:t>
      </w:r>
      <w:r>
        <w:rPr>
          <w:w w:val="110"/>
          <w:sz w:val="20"/>
        </w:rPr>
        <w:t>.’</w:t>
      </w:r>
    </w:p>
    <w:p>
      <w:pPr>
        <w:spacing w:line="213" w:lineRule="auto" w:before="97"/>
        <w:ind w:left="3005" w:right="1120" w:firstLine="0"/>
        <w:jc w:val="left"/>
        <w:rPr>
          <w:sz w:val="20"/>
        </w:rPr>
      </w:pPr>
      <w:r>
        <w:rPr>
          <w:w w:val="115"/>
          <w:sz w:val="20"/>
        </w:rPr>
        <w:t>Remove the bracketed words ‘</w:t>
      </w:r>
      <w:r>
        <w:rPr>
          <w:rFonts w:ascii="Stone Sans II ITC Std Bk" w:hAnsi="Stone Sans II ITC Std Bk"/>
          <w:b/>
          <w:w w:val="115"/>
          <w:sz w:val="20"/>
        </w:rPr>
        <w:t>(or the General Secretary if the reference back is proposed by the Appeals Commission)</w:t>
      </w:r>
      <w:r>
        <w:rPr>
          <w:w w:val="115"/>
          <w:sz w:val="20"/>
        </w:rPr>
        <w:t>’.</w:t>
      </w:r>
    </w:p>
    <w:p>
      <w:pPr>
        <w:spacing w:before="75"/>
        <w:ind w:left="3005" w:right="0" w:hanging="1"/>
        <w:jc w:val="left"/>
        <w:rPr>
          <w:sz w:val="20"/>
        </w:rPr>
      </w:pPr>
      <w:r>
        <w:rPr>
          <w:w w:val="115"/>
          <w:sz w:val="20"/>
        </w:rPr>
        <w:t>After the word ‘</w:t>
      </w:r>
      <w:r>
        <w:rPr>
          <w:rFonts w:ascii="Stone Sans II ITC Std Bk" w:hAnsi="Stone Sans II ITC Std Bk"/>
          <w:b/>
          <w:w w:val="115"/>
          <w:sz w:val="20"/>
        </w:rPr>
        <w:t>received</w:t>
      </w:r>
      <w:r>
        <w:rPr>
          <w:w w:val="115"/>
          <w:sz w:val="20"/>
        </w:rPr>
        <w:t>’ add ‘</w:t>
      </w:r>
      <w:r>
        <w:rPr>
          <w:rFonts w:ascii="Stone Sans II ITC Std Bk" w:hAnsi="Stone Sans II ITC Std Bk"/>
          <w:b/>
          <w:w w:val="115"/>
          <w:sz w:val="20"/>
        </w:rPr>
        <w:t>(time being of the essence for this purpose)</w:t>
      </w:r>
      <w:r>
        <w:rPr>
          <w:w w:val="115"/>
          <w:sz w:val="20"/>
        </w:rPr>
        <w:t>’.</w:t>
      </w:r>
    </w:p>
    <w:p>
      <w:pPr>
        <w:spacing w:line="213" w:lineRule="auto" w:before="91"/>
        <w:ind w:left="3005" w:right="1120" w:firstLine="0"/>
        <w:jc w:val="left"/>
        <w:rPr>
          <w:sz w:val="20"/>
        </w:rPr>
      </w:pPr>
      <w:r>
        <w:rPr>
          <w:w w:val="110"/>
          <w:sz w:val="20"/>
        </w:rPr>
        <w:t>At the end of E.5.3.1 add the following sentence: ‘</w:t>
      </w:r>
      <w:r>
        <w:rPr>
          <w:rFonts w:ascii="Stone Sans II ITC Std Bk" w:hAnsi="Stone Sans II ITC Std Bk"/>
          <w:b/>
          <w:w w:val="110"/>
          <w:sz w:val="20"/>
        </w:rPr>
        <w:t>The Notice shall draw the attention of the recipient to the strict time limit for serving a Notice of Appeal in response to a Notice served under this Paragraph.</w:t>
      </w:r>
      <w:r>
        <w:rPr>
          <w:w w:val="110"/>
          <w:sz w:val="20"/>
        </w:rPr>
        <w:t>’</w:t>
      </w:r>
    </w:p>
    <w:p>
      <w:pPr>
        <w:pStyle w:val="ListParagraph"/>
        <w:numPr>
          <w:ilvl w:val="3"/>
          <w:numId w:val="77"/>
        </w:numPr>
        <w:tabs>
          <w:tab w:pos="3005" w:val="left" w:leader="none"/>
          <w:tab w:pos="3006" w:val="left" w:leader="none"/>
        </w:tabs>
        <w:spacing w:line="213" w:lineRule="auto" w:before="98" w:after="0"/>
        <w:ind w:left="3005" w:right="1708" w:hanging="1021"/>
        <w:jc w:val="left"/>
        <w:rPr>
          <w:sz w:val="20"/>
        </w:rPr>
      </w:pPr>
      <w:r>
        <w:rPr>
          <w:w w:val="110"/>
          <w:sz w:val="20"/>
        </w:rPr>
        <w:t>After the opening words ‘</w:t>
      </w:r>
      <w:r>
        <w:rPr>
          <w:rFonts w:ascii="Stone Sans II ITC Std Bk" w:hAnsi="Stone Sans II ITC Std Bk"/>
          <w:b/>
          <w:w w:val="110"/>
          <w:sz w:val="20"/>
        </w:rPr>
        <w:t>In the event of such appeal</w:t>
      </w:r>
      <w:r>
        <w:rPr>
          <w:w w:val="110"/>
          <w:sz w:val="20"/>
        </w:rPr>
        <w:t>,’ insert the words ‘</w:t>
      </w:r>
      <w:r>
        <w:rPr>
          <w:rFonts w:ascii="Stone Sans II ITC Std Bk" w:hAnsi="Stone Sans II ITC Std Bk"/>
          <w:b/>
          <w:w w:val="110"/>
          <w:sz w:val="20"/>
        </w:rPr>
        <w:t>the Section O case shall stand adjourned during the course of the appeal </w:t>
      </w:r>
      <w:r>
        <w:rPr>
          <w:rFonts w:ascii="Stone Sans II ITC Std Bk" w:hAnsi="Stone Sans II ITC Std Bk"/>
          <w:b/>
          <w:spacing w:val="-3"/>
          <w:w w:val="110"/>
          <w:sz w:val="20"/>
        </w:rPr>
        <w:t>and...</w:t>
      </w:r>
      <w:r>
        <w:rPr>
          <w:spacing w:val="-3"/>
          <w:w w:val="110"/>
          <w:sz w:val="20"/>
        </w:rPr>
        <w:t>’</w:t>
      </w:r>
      <w:r>
        <w:rPr>
          <w:spacing w:val="6"/>
          <w:w w:val="110"/>
          <w:sz w:val="20"/>
        </w:rPr>
        <w:t> </w:t>
      </w:r>
      <w:r>
        <w:rPr>
          <w:w w:val="110"/>
          <w:sz w:val="20"/>
        </w:rPr>
        <w:t>.</w:t>
      </w:r>
    </w:p>
    <w:p>
      <w:pPr>
        <w:spacing w:before="74"/>
        <w:ind w:left="3005" w:right="0" w:firstLine="0"/>
        <w:jc w:val="left"/>
        <w:rPr>
          <w:sz w:val="20"/>
        </w:rPr>
      </w:pPr>
      <w:r>
        <w:rPr>
          <w:w w:val="110"/>
          <w:sz w:val="20"/>
        </w:rPr>
        <w:t>Remove the words ‘</w:t>
      </w:r>
      <w:r>
        <w:rPr>
          <w:rFonts w:ascii="Stone Sans II ITC Std Bk" w:hAnsi="Stone Sans II ITC Std Bk"/>
          <w:b/>
          <w:w w:val="110"/>
          <w:sz w:val="20"/>
        </w:rPr>
        <w:t>or the General Secretary as the case may be</w:t>
      </w:r>
      <w:r>
        <w:rPr>
          <w:w w:val="110"/>
          <w:sz w:val="20"/>
        </w:rPr>
        <w:t>’.</w:t>
      </w:r>
    </w:p>
    <w:p>
      <w:pPr>
        <w:pStyle w:val="ListParagraph"/>
        <w:numPr>
          <w:ilvl w:val="3"/>
          <w:numId w:val="78"/>
        </w:numPr>
        <w:tabs>
          <w:tab w:pos="3006" w:val="left" w:leader="none"/>
          <w:tab w:pos="3007" w:val="left" w:leader="none"/>
          <w:tab w:pos="5584" w:val="left" w:leader="dot"/>
        </w:tabs>
        <w:spacing w:line="213" w:lineRule="auto" w:before="92" w:after="0"/>
        <w:ind w:left="3006" w:right="1471" w:hanging="1021"/>
        <w:jc w:val="left"/>
        <w:rPr>
          <w:sz w:val="20"/>
        </w:rPr>
      </w:pPr>
      <w:r>
        <w:rPr>
          <w:w w:val="115"/>
          <w:sz w:val="20"/>
        </w:rPr>
        <w:t>Replace the opening wording up to the words ‘</w:t>
      </w:r>
      <w:r>
        <w:rPr>
          <w:rFonts w:ascii="Stone Sans II ITC Std Bk" w:hAnsi="Stone Sans II ITC Std Bk"/>
          <w:b/>
          <w:w w:val="115"/>
          <w:sz w:val="20"/>
        </w:rPr>
        <w:t>in response thereto</w:t>
      </w:r>
      <w:r>
        <w:rPr>
          <w:w w:val="115"/>
          <w:sz w:val="20"/>
        </w:rPr>
        <w:t>’ with ‘</w:t>
      </w:r>
      <w:r>
        <w:rPr>
          <w:rFonts w:ascii="Stone Sans II ITC Std Bk" w:hAnsi="Stone Sans II ITC Std Bk"/>
          <w:b/>
          <w:w w:val="115"/>
          <w:sz w:val="20"/>
        </w:rPr>
        <w:t>The</w:t>
      </w:r>
      <w:r>
        <w:rPr>
          <w:rFonts w:ascii="Stone Sans II ITC Std Bk" w:hAnsi="Stone Sans II ITC Std Bk"/>
          <w:b/>
          <w:spacing w:val="-28"/>
          <w:w w:val="115"/>
          <w:sz w:val="20"/>
        </w:rPr>
        <w:t> </w:t>
      </w:r>
      <w:r>
        <w:rPr>
          <w:rFonts w:ascii="Stone Sans II ITC Std Bk" w:hAnsi="Stone Sans II ITC Std Bk"/>
          <w:b/>
          <w:w w:val="115"/>
          <w:sz w:val="20"/>
        </w:rPr>
        <w:t>Special</w:t>
      </w:r>
      <w:r>
        <w:rPr>
          <w:rFonts w:ascii="Stone Sans II ITC Std Bk" w:hAnsi="Stone Sans II ITC Std Bk"/>
          <w:b/>
          <w:spacing w:val="-28"/>
          <w:w w:val="115"/>
          <w:sz w:val="20"/>
        </w:rPr>
        <w:t> </w:t>
      </w:r>
      <w:r>
        <w:rPr>
          <w:rFonts w:ascii="Stone Sans II ITC Std Bk" w:hAnsi="Stone Sans II ITC Std Bk"/>
          <w:b/>
          <w:w w:val="115"/>
          <w:sz w:val="20"/>
        </w:rPr>
        <w:t>Appeals</w:t>
      </w:r>
      <w:r>
        <w:rPr>
          <w:rFonts w:ascii="Stone Sans II ITC Std Bk" w:hAnsi="Stone Sans II ITC Std Bk"/>
          <w:b/>
          <w:spacing w:val="-28"/>
          <w:w w:val="115"/>
          <w:sz w:val="20"/>
        </w:rPr>
        <w:t> </w:t>
      </w:r>
      <w:r>
        <w:rPr>
          <w:rFonts w:ascii="Stone Sans II ITC Std Bk" w:hAnsi="Stone Sans II ITC Std Bk"/>
          <w:b/>
          <w:w w:val="115"/>
          <w:sz w:val="20"/>
        </w:rPr>
        <w:t>Body</w:t>
      </w:r>
      <w:r>
        <w:rPr>
          <w:rFonts w:ascii="Stone Sans II ITC Std Bk" w:hAnsi="Stone Sans II ITC Std Bk"/>
          <w:b/>
          <w:spacing w:val="-28"/>
          <w:w w:val="115"/>
          <w:sz w:val="20"/>
        </w:rPr>
        <w:t> </w:t>
      </w:r>
      <w:r>
        <w:rPr>
          <w:rFonts w:ascii="Stone Sans II ITC Std Bk" w:hAnsi="Stone Sans II ITC Std Bk"/>
          <w:b/>
          <w:w w:val="115"/>
          <w:sz w:val="20"/>
        </w:rPr>
        <w:t>shall</w:t>
      </w:r>
      <w:r>
        <w:rPr>
          <w:rFonts w:ascii="Stone Sans II ITC Std Bk" w:hAnsi="Stone Sans II ITC Std Bk"/>
          <w:b/>
          <w:spacing w:val="-28"/>
          <w:w w:val="115"/>
          <w:sz w:val="20"/>
        </w:rPr>
        <w:t> </w:t>
      </w:r>
      <w:r>
        <w:rPr>
          <w:rFonts w:ascii="Stone Sans II ITC Std Bk" w:hAnsi="Stone Sans II ITC Std Bk"/>
          <w:b/>
          <w:w w:val="115"/>
          <w:sz w:val="20"/>
        </w:rPr>
        <w:t>consider</w:t>
      </w:r>
      <w:r>
        <w:rPr>
          <w:rFonts w:ascii="Stone Sans II ITC Std Bk" w:hAnsi="Stone Sans II ITC Std Bk"/>
          <w:b/>
          <w:spacing w:val="-28"/>
          <w:w w:val="115"/>
          <w:sz w:val="20"/>
        </w:rPr>
        <w:t> </w:t>
      </w:r>
      <w:r>
        <w:rPr>
          <w:rFonts w:ascii="Stone Sans II ITC Std Bk" w:hAnsi="Stone Sans II ITC Std Bk"/>
          <w:b/>
          <w:w w:val="115"/>
          <w:sz w:val="20"/>
        </w:rPr>
        <w:t>the</w:t>
      </w:r>
      <w:r>
        <w:rPr>
          <w:rFonts w:ascii="Stone Sans II ITC Std Bk" w:hAnsi="Stone Sans II ITC Std Bk"/>
          <w:b/>
          <w:spacing w:val="-28"/>
          <w:w w:val="115"/>
          <w:sz w:val="20"/>
        </w:rPr>
        <w:t> </w:t>
      </w:r>
      <w:r>
        <w:rPr>
          <w:rFonts w:ascii="Stone Sans II ITC Std Bk" w:hAnsi="Stone Sans II ITC Std Bk"/>
          <w:b/>
          <w:w w:val="115"/>
          <w:sz w:val="20"/>
        </w:rPr>
        <w:t>decision</w:t>
      </w:r>
      <w:r>
        <w:rPr>
          <w:rFonts w:ascii="Stone Sans II ITC Std Bk" w:hAnsi="Stone Sans II ITC Std Bk"/>
          <w:b/>
          <w:spacing w:val="-28"/>
          <w:w w:val="115"/>
          <w:sz w:val="20"/>
        </w:rPr>
        <w:t> </w:t>
      </w:r>
      <w:r>
        <w:rPr>
          <w:rFonts w:ascii="Stone Sans II ITC Std Bk" w:hAnsi="Stone Sans II ITC Std Bk"/>
          <w:b/>
          <w:w w:val="115"/>
          <w:sz w:val="20"/>
        </w:rPr>
        <w:t>of</w:t>
      </w:r>
      <w:r>
        <w:rPr>
          <w:rFonts w:ascii="Stone Sans II ITC Std Bk" w:hAnsi="Stone Sans II ITC Std Bk"/>
          <w:b/>
          <w:spacing w:val="-28"/>
          <w:w w:val="115"/>
          <w:sz w:val="20"/>
        </w:rPr>
        <w:t> </w:t>
      </w:r>
      <w:r>
        <w:rPr>
          <w:rFonts w:ascii="Stone Sans II ITC Std Bk" w:hAnsi="Stone Sans II ITC Std Bk"/>
          <w:b/>
          <w:w w:val="115"/>
          <w:sz w:val="20"/>
        </w:rPr>
        <w:t>the</w:t>
      </w:r>
      <w:r>
        <w:rPr>
          <w:rFonts w:ascii="Stone Sans II ITC Std Bk" w:hAnsi="Stone Sans II ITC Std Bk"/>
          <w:b/>
          <w:spacing w:val="-28"/>
          <w:w w:val="115"/>
          <w:sz w:val="20"/>
        </w:rPr>
        <w:t> </w:t>
      </w:r>
      <w:r>
        <w:rPr>
          <w:rFonts w:ascii="Stone Sans II ITC Std Bk" w:hAnsi="Stone Sans II ITC Std Bk"/>
          <w:b/>
          <w:w w:val="115"/>
          <w:sz w:val="20"/>
        </w:rPr>
        <w:t>Assembly Commission</w:t>
      </w:r>
      <w:r>
        <w:rPr>
          <w:rFonts w:ascii="Stone Sans II ITC Std Bk" w:hAnsi="Stone Sans II ITC Std Bk"/>
          <w:b/>
          <w:spacing w:val="-25"/>
          <w:w w:val="115"/>
          <w:sz w:val="20"/>
        </w:rPr>
        <w:t> </w:t>
      </w:r>
      <w:r>
        <w:rPr>
          <w:rFonts w:ascii="Stone Sans II ITC Std Bk" w:hAnsi="Stone Sans II ITC Std Bk"/>
          <w:b/>
          <w:w w:val="115"/>
          <w:sz w:val="20"/>
        </w:rPr>
        <w:t>to</w:t>
      </w:r>
      <w:r>
        <w:rPr>
          <w:rFonts w:ascii="Stone Sans II ITC Std Bk" w:hAnsi="Stone Sans II ITC Std Bk"/>
          <w:b/>
          <w:spacing w:val="-24"/>
          <w:w w:val="115"/>
          <w:sz w:val="20"/>
        </w:rPr>
        <w:t> </w:t>
      </w:r>
      <w:r>
        <w:rPr>
          <w:rFonts w:ascii="Stone Sans II ITC Std Bk" w:hAnsi="Stone Sans II ITC Std Bk"/>
          <w:b/>
          <w:w w:val="115"/>
          <w:sz w:val="20"/>
        </w:rPr>
        <w:t>refer</w:t>
      </w:r>
      <w:r>
        <w:rPr>
          <w:rFonts w:ascii="Stone Sans II ITC Std Bk" w:hAnsi="Stone Sans II ITC Std Bk"/>
          <w:b/>
          <w:spacing w:val="-24"/>
          <w:w w:val="115"/>
          <w:sz w:val="20"/>
        </w:rPr>
        <w:t> </w:t>
      </w:r>
      <w:r>
        <w:rPr>
          <w:rFonts w:ascii="Stone Sans II ITC Std Bk" w:hAnsi="Stone Sans II ITC Std Bk"/>
          <w:b/>
          <w:w w:val="115"/>
          <w:sz w:val="20"/>
        </w:rPr>
        <w:t>the</w:t>
      </w:r>
      <w:r>
        <w:rPr>
          <w:rFonts w:ascii="Stone Sans II ITC Std Bk" w:hAnsi="Stone Sans II ITC Std Bk"/>
          <w:b/>
          <w:spacing w:val="-24"/>
          <w:w w:val="115"/>
          <w:sz w:val="20"/>
        </w:rPr>
        <w:t> </w:t>
      </w:r>
      <w:r>
        <w:rPr>
          <w:rFonts w:ascii="Stone Sans II ITC Std Bk" w:hAnsi="Stone Sans II ITC Std Bk"/>
          <w:b/>
          <w:w w:val="115"/>
          <w:sz w:val="20"/>
        </w:rPr>
        <w:t>case</w:t>
      </w:r>
      <w:r>
        <w:rPr>
          <w:rFonts w:ascii="Stone Sans II ITC Std Bk" w:hAnsi="Stone Sans II ITC Std Bk"/>
          <w:b/>
          <w:spacing w:val="-25"/>
          <w:w w:val="115"/>
          <w:sz w:val="20"/>
        </w:rPr>
        <w:t> </w:t>
      </w:r>
      <w:r>
        <w:rPr>
          <w:rFonts w:ascii="Stone Sans II ITC Std Bk" w:hAnsi="Stone Sans II ITC Std Bk"/>
          <w:b/>
          <w:w w:val="115"/>
          <w:sz w:val="20"/>
        </w:rPr>
        <w:t>back</w:t>
      </w:r>
      <w:r>
        <w:rPr>
          <w:rFonts w:ascii="Stone Sans II ITC Std Bk" w:hAnsi="Stone Sans II ITC Std Bk"/>
          <w:b/>
          <w:spacing w:val="-24"/>
          <w:w w:val="115"/>
          <w:sz w:val="20"/>
        </w:rPr>
        <w:t> </w:t>
      </w:r>
      <w:r>
        <w:rPr>
          <w:rFonts w:ascii="Stone Sans II ITC Std Bk" w:hAnsi="Stone Sans II ITC Std Bk"/>
          <w:b/>
          <w:w w:val="115"/>
          <w:sz w:val="20"/>
        </w:rPr>
        <w:t>and</w:t>
      </w:r>
      <w:r>
        <w:rPr>
          <w:rFonts w:ascii="Stone Sans II ITC Std Bk" w:hAnsi="Stone Sans II ITC Std Bk"/>
          <w:b/>
          <w:spacing w:val="-24"/>
          <w:w w:val="115"/>
          <w:sz w:val="20"/>
        </w:rPr>
        <w:t> </w:t>
      </w:r>
      <w:r>
        <w:rPr>
          <w:rFonts w:ascii="Stone Sans II ITC Std Bk" w:hAnsi="Stone Sans II ITC Std Bk"/>
          <w:b/>
          <w:w w:val="115"/>
          <w:sz w:val="20"/>
        </w:rPr>
        <w:t>any</w:t>
      </w:r>
      <w:r>
        <w:rPr>
          <w:rFonts w:ascii="Stone Sans II ITC Std Bk" w:hAnsi="Stone Sans II ITC Std Bk"/>
          <w:b/>
          <w:spacing w:val="-24"/>
          <w:w w:val="115"/>
          <w:sz w:val="20"/>
        </w:rPr>
        <w:t> </w:t>
      </w:r>
      <w:r>
        <w:rPr>
          <w:rFonts w:ascii="Stone Sans II ITC Std Bk" w:hAnsi="Stone Sans II ITC Std Bk"/>
          <w:b/>
          <w:w w:val="115"/>
          <w:sz w:val="20"/>
        </w:rPr>
        <w:t>representations</w:t>
      </w:r>
      <w:r>
        <w:rPr>
          <w:rFonts w:ascii="Stone Sans II ITC Std Bk" w:hAnsi="Stone Sans II ITC Std Bk"/>
          <w:b/>
          <w:spacing w:val="-25"/>
          <w:w w:val="115"/>
          <w:sz w:val="20"/>
        </w:rPr>
        <w:t> </w:t>
      </w:r>
      <w:r>
        <w:rPr>
          <w:rFonts w:ascii="Stone Sans II ITC Std Bk" w:hAnsi="Stone Sans II ITC Std Bk"/>
          <w:b/>
          <w:w w:val="115"/>
          <w:sz w:val="20"/>
        </w:rPr>
        <w:t>made</w:t>
      </w:r>
      <w:r>
        <w:rPr>
          <w:rFonts w:ascii="Stone Sans II ITC Std Bk" w:hAnsi="Stone Sans II ITC Std Bk"/>
          <w:b/>
          <w:spacing w:val="-24"/>
          <w:w w:val="115"/>
          <w:sz w:val="20"/>
        </w:rPr>
        <w:t> </w:t>
      </w:r>
      <w:r>
        <w:rPr>
          <w:rFonts w:ascii="Stone Sans II ITC Std Bk" w:hAnsi="Stone Sans II ITC Std Bk"/>
          <w:b/>
          <w:w w:val="115"/>
          <w:sz w:val="20"/>
        </w:rPr>
        <w:t>in connection</w:t>
      </w:r>
      <w:r>
        <w:rPr>
          <w:rFonts w:ascii="Stone Sans II ITC Std Bk" w:hAnsi="Stone Sans II ITC Std Bk"/>
          <w:b/>
          <w:spacing w:val="-31"/>
          <w:w w:val="115"/>
          <w:sz w:val="20"/>
        </w:rPr>
        <w:t> </w:t>
      </w:r>
      <w:r>
        <w:rPr>
          <w:rFonts w:ascii="Stone Sans II ITC Std Bk" w:hAnsi="Stone Sans II ITC Std Bk"/>
          <w:b/>
          <w:w w:val="115"/>
          <w:sz w:val="20"/>
        </w:rPr>
        <w:t>therewith</w:t>
        <w:tab/>
      </w:r>
      <w:r>
        <w:rPr>
          <w:spacing w:val="-10"/>
          <w:w w:val="115"/>
          <w:sz w:val="20"/>
        </w:rPr>
        <w:t>’.</w:t>
      </w:r>
    </w:p>
    <w:p>
      <w:pPr>
        <w:pStyle w:val="ListParagraph"/>
        <w:numPr>
          <w:ilvl w:val="3"/>
          <w:numId w:val="78"/>
        </w:numPr>
        <w:tabs>
          <w:tab w:pos="3006" w:val="left" w:leader="none"/>
          <w:tab w:pos="3007" w:val="left" w:leader="none"/>
        </w:tabs>
        <w:spacing w:line="213" w:lineRule="auto" w:before="96" w:after="0"/>
        <w:ind w:left="3006" w:right="1545" w:hanging="1021"/>
        <w:jc w:val="left"/>
        <w:rPr>
          <w:sz w:val="20"/>
        </w:rPr>
      </w:pPr>
      <w:r>
        <w:rPr>
          <w:w w:val="110"/>
          <w:sz w:val="20"/>
        </w:rPr>
        <w:t>After the words ‘</w:t>
      </w:r>
      <w:r>
        <w:rPr>
          <w:rFonts w:ascii="Stone Sans II ITC Std Bk" w:hAnsi="Stone Sans II ITC Std Bk"/>
          <w:b/>
          <w:w w:val="110"/>
          <w:sz w:val="20"/>
        </w:rPr>
        <w:t>request for a Hearing</w:t>
      </w:r>
      <w:r>
        <w:rPr>
          <w:w w:val="110"/>
          <w:sz w:val="20"/>
        </w:rPr>
        <w:t>’ insert ‘</w:t>
      </w:r>
      <w:r>
        <w:rPr>
          <w:rFonts w:ascii="Stone Sans II ITC Std Bk" w:hAnsi="Stone Sans II ITC Std Bk"/>
          <w:b/>
          <w:w w:val="110"/>
          <w:sz w:val="20"/>
        </w:rPr>
        <w:t>which is accepted by the Special Appeals</w:t>
      </w:r>
      <w:r>
        <w:rPr>
          <w:rFonts w:ascii="Stone Sans II ITC Std Bk" w:hAnsi="Stone Sans II ITC Std Bk"/>
          <w:b/>
          <w:spacing w:val="-1"/>
          <w:w w:val="110"/>
          <w:sz w:val="20"/>
        </w:rPr>
        <w:t> </w:t>
      </w:r>
      <w:r>
        <w:rPr>
          <w:rFonts w:ascii="Stone Sans II ITC Std Bk" w:hAnsi="Stone Sans II ITC Std Bk"/>
          <w:b/>
          <w:w w:val="110"/>
          <w:sz w:val="20"/>
        </w:rPr>
        <w:t>Body</w:t>
      </w:r>
      <w:r>
        <w:rPr>
          <w:w w:val="110"/>
          <w:sz w:val="20"/>
        </w:rPr>
        <w:t>’.</w:t>
      </w:r>
    </w:p>
    <w:p>
      <w:pPr>
        <w:pStyle w:val="ListParagraph"/>
        <w:numPr>
          <w:ilvl w:val="3"/>
          <w:numId w:val="78"/>
        </w:numPr>
        <w:tabs>
          <w:tab w:pos="3006" w:val="left" w:leader="none"/>
          <w:tab w:pos="3007" w:val="left" w:leader="none"/>
        </w:tabs>
        <w:spacing w:line="213" w:lineRule="auto" w:before="98" w:after="0"/>
        <w:ind w:left="3006" w:right="2540" w:hanging="1021"/>
        <w:jc w:val="left"/>
        <w:rPr>
          <w:sz w:val="20"/>
        </w:rPr>
      </w:pPr>
      <w:r>
        <w:rPr>
          <w:w w:val="110"/>
          <w:sz w:val="20"/>
        </w:rPr>
        <w:t>After the words ‘</w:t>
      </w:r>
      <w:r>
        <w:rPr>
          <w:rFonts w:ascii="Stone Sans II ITC Std Bk" w:hAnsi="Stone Sans II ITC Std Bk"/>
          <w:b/>
          <w:w w:val="110"/>
          <w:sz w:val="20"/>
        </w:rPr>
        <w:t>Rules set out in</w:t>
      </w:r>
      <w:r>
        <w:rPr>
          <w:w w:val="110"/>
          <w:sz w:val="20"/>
        </w:rPr>
        <w:t>’ insert ‘</w:t>
      </w:r>
      <w:r>
        <w:rPr>
          <w:rFonts w:ascii="Stone Sans II ITC Std Bk" w:hAnsi="Stone Sans II ITC Std Bk"/>
          <w:b/>
          <w:w w:val="110"/>
          <w:sz w:val="20"/>
        </w:rPr>
        <w:t>Paragraph </w:t>
      </w:r>
      <w:r>
        <w:rPr>
          <w:rFonts w:ascii="Stone Sans II ITC Std Bk" w:hAnsi="Stone Sans II ITC Std Bk"/>
          <w:b/>
          <w:spacing w:val="-6"/>
          <w:w w:val="110"/>
          <w:sz w:val="20"/>
        </w:rPr>
        <w:t>E.10 (as </w:t>
      </w:r>
      <w:r>
        <w:rPr>
          <w:rFonts w:ascii="Stone Sans II ITC Std Bk" w:hAnsi="Stone Sans II ITC Std Bk"/>
          <w:b/>
          <w:w w:val="110"/>
          <w:sz w:val="20"/>
        </w:rPr>
        <w:t>to representation)</w:t>
      </w:r>
      <w:r>
        <w:rPr>
          <w:rFonts w:ascii="Stone Sans II ITC Std Bk" w:hAnsi="Stone Sans II ITC Std Bk"/>
          <w:b/>
          <w:spacing w:val="-1"/>
          <w:w w:val="110"/>
          <w:sz w:val="20"/>
        </w:rPr>
        <w:t> </w:t>
      </w:r>
      <w:r>
        <w:rPr>
          <w:rFonts w:ascii="Stone Sans II ITC Std Bk" w:hAnsi="Stone Sans II ITC Std Bk"/>
          <w:b/>
          <w:spacing w:val="-4"/>
          <w:w w:val="110"/>
          <w:sz w:val="20"/>
        </w:rPr>
        <w:t>and</w:t>
      </w:r>
      <w:r>
        <w:rPr>
          <w:spacing w:val="-4"/>
          <w:w w:val="110"/>
          <w:sz w:val="20"/>
        </w:rPr>
        <w:t>’.</w:t>
      </w:r>
    </w:p>
    <w:p>
      <w:pPr>
        <w:pStyle w:val="ListParagraph"/>
        <w:numPr>
          <w:ilvl w:val="3"/>
          <w:numId w:val="79"/>
        </w:numPr>
        <w:tabs>
          <w:tab w:pos="3006" w:val="left" w:leader="none"/>
          <w:tab w:pos="3007" w:val="left" w:leader="none"/>
        </w:tabs>
        <w:spacing w:line="300" w:lineRule="auto" w:before="75" w:after="0"/>
        <w:ind w:left="3006" w:right="2188" w:hanging="1021"/>
        <w:jc w:val="left"/>
        <w:rPr>
          <w:sz w:val="20"/>
        </w:rPr>
      </w:pPr>
      <w:r>
        <w:rPr>
          <w:w w:val="115"/>
          <w:sz w:val="20"/>
        </w:rPr>
        <w:t>Remove</w:t>
      </w:r>
      <w:r>
        <w:rPr>
          <w:spacing w:val="-3"/>
          <w:w w:val="115"/>
          <w:sz w:val="20"/>
        </w:rPr>
        <w:t> </w:t>
      </w:r>
      <w:r>
        <w:rPr>
          <w:w w:val="115"/>
          <w:sz w:val="20"/>
        </w:rPr>
        <w:t>the</w:t>
      </w:r>
      <w:r>
        <w:rPr>
          <w:spacing w:val="-3"/>
          <w:w w:val="115"/>
          <w:sz w:val="20"/>
        </w:rPr>
        <w:t> </w:t>
      </w:r>
      <w:r>
        <w:rPr>
          <w:w w:val="115"/>
          <w:sz w:val="20"/>
        </w:rPr>
        <w:t>words</w:t>
      </w:r>
      <w:r>
        <w:rPr>
          <w:spacing w:val="-3"/>
          <w:w w:val="115"/>
          <w:sz w:val="20"/>
        </w:rPr>
        <w:t> ‘</w:t>
      </w:r>
      <w:r>
        <w:rPr>
          <w:rFonts w:ascii="Stone Sans II ITC Std Bk" w:hAnsi="Stone Sans II ITC Std Bk"/>
          <w:b/>
          <w:spacing w:val="-3"/>
          <w:w w:val="115"/>
          <w:sz w:val="20"/>
        </w:rPr>
        <w:t>or</w:t>
      </w:r>
      <w:r>
        <w:rPr>
          <w:rFonts w:ascii="Stone Sans II ITC Std Bk" w:hAnsi="Stone Sans II ITC Std Bk"/>
          <w:b/>
          <w:spacing w:val="-10"/>
          <w:w w:val="115"/>
          <w:sz w:val="20"/>
        </w:rPr>
        <w:t> </w:t>
      </w:r>
      <w:r>
        <w:rPr>
          <w:rFonts w:ascii="Stone Sans II ITC Std Bk" w:hAnsi="Stone Sans II ITC Std Bk"/>
          <w:b/>
          <w:w w:val="115"/>
          <w:sz w:val="20"/>
        </w:rPr>
        <w:t>the</w:t>
      </w:r>
      <w:r>
        <w:rPr>
          <w:rFonts w:ascii="Stone Sans II ITC Std Bk" w:hAnsi="Stone Sans II ITC Std Bk"/>
          <w:b/>
          <w:spacing w:val="-11"/>
          <w:w w:val="115"/>
          <w:sz w:val="20"/>
        </w:rPr>
        <w:t> </w:t>
      </w:r>
      <w:r>
        <w:rPr>
          <w:rFonts w:ascii="Stone Sans II ITC Std Bk" w:hAnsi="Stone Sans II ITC Std Bk"/>
          <w:b/>
          <w:w w:val="115"/>
          <w:sz w:val="20"/>
        </w:rPr>
        <w:t>General</w:t>
      </w:r>
      <w:r>
        <w:rPr>
          <w:rFonts w:ascii="Stone Sans II ITC Std Bk" w:hAnsi="Stone Sans II ITC Std Bk"/>
          <w:b/>
          <w:spacing w:val="-10"/>
          <w:w w:val="115"/>
          <w:sz w:val="20"/>
        </w:rPr>
        <w:t> </w:t>
      </w:r>
      <w:r>
        <w:rPr>
          <w:rFonts w:ascii="Stone Sans II ITC Std Bk" w:hAnsi="Stone Sans II ITC Std Bk"/>
          <w:b/>
          <w:w w:val="115"/>
          <w:sz w:val="20"/>
        </w:rPr>
        <w:t>Secretary</w:t>
      </w:r>
      <w:r>
        <w:rPr>
          <w:rFonts w:ascii="Stone Sans II ITC Std Bk" w:hAnsi="Stone Sans II ITC Std Bk"/>
          <w:b/>
          <w:spacing w:val="-10"/>
          <w:w w:val="115"/>
          <w:sz w:val="20"/>
        </w:rPr>
        <w:t> </w:t>
      </w:r>
      <w:r>
        <w:rPr>
          <w:rFonts w:ascii="Stone Sans II ITC Std Bk" w:hAnsi="Stone Sans II ITC Std Bk"/>
          <w:b/>
          <w:w w:val="115"/>
          <w:sz w:val="20"/>
        </w:rPr>
        <w:t>as</w:t>
      </w:r>
      <w:r>
        <w:rPr>
          <w:rFonts w:ascii="Stone Sans II ITC Std Bk" w:hAnsi="Stone Sans II ITC Std Bk"/>
          <w:b/>
          <w:spacing w:val="-11"/>
          <w:w w:val="115"/>
          <w:sz w:val="20"/>
        </w:rPr>
        <w:t> </w:t>
      </w:r>
      <w:r>
        <w:rPr>
          <w:rFonts w:ascii="Stone Sans II ITC Std Bk" w:hAnsi="Stone Sans II ITC Std Bk"/>
          <w:b/>
          <w:w w:val="115"/>
          <w:sz w:val="20"/>
        </w:rPr>
        <w:t>the</w:t>
      </w:r>
      <w:r>
        <w:rPr>
          <w:rFonts w:ascii="Stone Sans II ITC Std Bk" w:hAnsi="Stone Sans II ITC Std Bk"/>
          <w:b/>
          <w:spacing w:val="-10"/>
          <w:w w:val="115"/>
          <w:sz w:val="20"/>
        </w:rPr>
        <w:t> </w:t>
      </w:r>
      <w:r>
        <w:rPr>
          <w:rFonts w:ascii="Stone Sans II ITC Std Bk" w:hAnsi="Stone Sans II ITC Std Bk"/>
          <w:b/>
          <w:w w:val="115"/>
          <w:sz w:val="20"/>
        </w:rPr>
        <w:t>case</w:t>
      </w:r>
      <w:r>
        <w:rPr>
          <w:rFonts w:ascii="Stone Sans II ITC Std Bk" w:hAnsi="Stone Sans II ITC Std Bk"/>
          <w:b/>
          <w:spacing w:val="-10"/>
          <w:w w:val="115"/>
          <w:sz w:val="20"/>
        </w:rPr>
        <w:t> </w:t>
      </w:r>
      <w:r>
        <w:rPr>
          <w:rFonts w:ascii="Stone Sans II ITC Std Bk" w:hAnsi="Stone Sans II ITC Std Bk"/>
          <w:b/>
          <w:w w:val="115"/>
          <w:sz w:val="20"/>
        </w:rPr>
        <w:t>may</w:t>
      </w:r>
      <w:r>
        <w:rPr>
          <w:rFonts w:ascii="Stone Sans II ITC Std Bk" w:hAnsi="Stone Sans II ITC Std Bk"/>
          <w:b/>
          <w:spacing w:val="-10"/>
          <w:w w:val="115"/>
          <w:sz w:val="20"/>
        </w:rPr>
        <w:t> </w:t>
      </w:r>
      <w:r>
        <w:rPr>
          <w:rFonts w:ascii="Stone Sans II ITC Std Bk" w:hAnsi="Stone Sans II ITC Std Bk"/>
          <w:b/>
          <w:spacing w:val="-6"/>
          <w:w w:val="115"/>
          <w:sz w:val="20"/>
        </w:rPr>
        <w:t>be</w:t>
      </w:r>
      <w:r>
        <w:rPr>
          <w:spacing w:val="-6"/>
          <w:w w:val="115"/>
          <w:sz w:val="20"/>
        </w:rPr>
        <w:t>’. </w:t>
      </w:r>
      <w:r>
        <w:rPr>
          <w:w w:val="115"/>
          <w:sz w:val="20"/>
        </w:rPr>
        <w:t>Remove the words </w:t>
      </w:r>
      <w:r>
        <w:rPr>
          <w:spacing w:val="-5"/>
          <w:w w:val="115"/>
          <w:sz w:val="20"/>
        </w:rPr>
        <w:t>‘</w:t>
      </w:r>
      <w:r>
        <w:rPr>
          <w:rFonts w:ascii="Stone Sans II ITC Std Bk" w:hAnsi="Stone Sans II ITC Std Bk"/>
          <w:b/>
          <w:spacing w:val="-5"/>
          <w:w w:val="115"/>
          <w:sz w:val="20"/>
        </w:rPr>
        <w:t>/Appeals</w:t>
      </w:r>
      <w:r>
        <w:rPr>
          <w:rFonts w:ascii="Stone Sans II ITC Std Bk" w:hAnsi="Stone Sans II ITC Std Bk"/>
          <w:b/>
          <w:spacing w:val="9"/>
          <w:w w:val="115"/>
          <w:sz w:val="20"/>
        </w:rPr>
        <w:t> </w:t>
      </w:r>
      <w:r>
        <w:rPr>
          <w:rFonts w:ascii="Stone Sans II ITC Std Bk" w:hAnsi="Stone Sans II ITC Std Bk"/>
          <w:b/>
          <w:spacing w:val="-3"/>
          <w:w w:val="115"/>
          <w:sz w:val="20"/>
        </w:rPr>
        <w:t>Commission</w:t>
      </w:r>
      <w:r>
        <w:rPr>
          <w:spacing w:val="-3"/>
          <w:w w:val="115"/>
          <w:sz w:val="20"/>
        </w:rPr>
        <w:t>’.</w:t>
      </w:r>
    </w:p>
    <w:p>
      <w:pPr>
        <w:pStyle w:val="ListParagraph"/>
        <w:numPr>
          <w:ilvl w:val="3"/>
          <w:numId w:val="79"/>
        </w:numPr>
        <w:tabs>
          <w:tab w:pos="3007" w:val="left" w:leader="none"/>
        </w:tabs>
        <w:spacing w:line="240" w:lineRule="auto" w:before="3" w:after="0"/>
        <w:ind w:left="3006" w:right="0" w:hanging="1021"/>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9"/>
          <w:w w:val="115"/>
          <w:sz w:val="20"/>
        </w:rPr>
        <w:t> </w:t>
      </w:r>
      <w:r>
        <w:rPr>
          <w:rFonts w:ascii="Stone Sans II ITC Std Bk" w:hAnsi="Stone Sans II ITC Std Bk"/>
          <w:b/>
          <w:w w:val="115"/>
          <w:sz w:val="20"/>
        </w:rPr>
        <w:t>Secretary</w:t>
      </w:r>
      <w:r>
        <w:rPr>
          <w:w w:val="115"/>
          <w:sz w:val="20"/>
        </w:rPr>
        <w:t>’.</w:t>
      </w:r>
    </w:p>
    <w:p>
      <w:pPr>
        <w:pStyle w:val="ListParagraph"/>
        <w:numPr>
          <w:ilvl w:val="3"/>
          <w:numId w:val="79"/>
        </w:numPr>
        <w:tabs>
          <w:tab w:pos="3007" w:val="left" w:leader="none"/>
        </w:tabs>
        <w:spacing w:line="240" w:lineRule="auto" w:before="68" w:after="0"/>
        <w:ind w:left="3006" w:right="0" w:hanging="1021"/>
        <w:jc w:val="left"/>
        <w:rPr>
          <w:sz w:val="20"/>
        </w:rPr>
      </w:pPr>
      <w:r>
        <w:rPr>
          <w:w w:val="115"/>
          <w:sz w:val="20"/>
        </w:rPr>
        <w:t>After the words ‘</w:t>
      </w:r>
      <w:r>
        <w:rPr>
          <w:rFonts w:ascii="Stone Sans II ITC Std Bk" w:hAnsi="Stone Sans II ITC Std Bk"/>
          <w:b/>
          <w:w w:val="115"/>
          <w:sz w:val="20"/>
        </w:rPr>
        <w:t>the Secretary</w:t>
      </w:r>
      <w:r>
        <w:rPr>
          <w:w w:val="115"/>
          <w:sz w:val="20"/>
        </w:rPr>
        <w:t>’ insert </w:t>
      </w:r>
      <w:r>
        <w:rPr>
          <w:spacing w:val="-4"/>
          <w:w w:val="115"/>
          <w:sz w:val="20"/>
        </w:rPr>
        <w:t>‘</w:t>
      </w:r>
      <w:r>
        <w:rPr>
          <w:rFonts w:ascii="Stone Sans II ITC Std Bk" w:hAnsi="Stone Sans II ITC Std Bk"/>
          <w:b/>
          <w:spacing w:val="-4"/>
          <w:w w:val="115"/>
          <w:sz w:val="20"/>
        </w:rPr>
        <w:t>of </w:t>
      </w:r>
      <w:r>
        <w:rPr>
          <w:rFonts w:ascii="Stone Sans II ITC Std Bk" w:hAnsi="Stone Sans II ITC Std Bk"/>
          <w:b/>
          <w:w w:val="115"/>
          <w:sz w:val="20"/>
        </w:rPr>
        <w:t>the Assembly</w:t>
      </w:r>
      <w:r>
        <w:rPr>
          <w:rFonts w:ascii="Stone Sans II ITC Std Bk" w:hAnsi="Stone Sans II ITC Std Bk"/>
          <w:b/>
          <w:spacing w:val="1"/>
          <w:w w:val="115"/>
          <w:sz w:val="20"/>
        </w:rPr>
        <w:t> </w:t>
      </w:r>
      <w:r>
        <w:rPr>
          <w:rFonts w:ascii="Stone Sans II ITC Std Bk" w:hAnsi="Stone Sans II ITC Std Bk"/>
          <w:b/>
          <w:spacing w:val="-3"/>
          <w:w w:val="115"/>
          <w:sz w:val="20"/>
        </w:rPr>
        <w:t>Commission</w:t>
      </w:r>
      <w:r>
        <w:rPr>
          <w:spacing w:val="-3"/>
          <w:w w:val="115"/>
          <w:sz w:val="20"/>
        </w:rPr>
        <w:t>’.</w:t>
      </w:r>
    </w:p>
    <w:p>
      <w:pPr>
        <w:spacing w:line="213" w:lineRule="auto" w:before="92"/>
        <w:ind w:left="3007" w:right="1120" w:firstLine="0"/>
        <w:jc w:val="left"/>
        <w:rPr>
          <w:sz w:val="20"/>
        </w:rPr>
      </w:pPr>
      <w:r>
        <w:rPr>
          <w:w w:val="110"/>
          <w:sz w:val="20"/>
        </w:rPr>
        <w:t>Replace the expression ‘</w:t>
      </w:r>
      <w:r>
        <w:rPr>
          <w:rFonts w:ascii="Stone Sans II ITC Std Bk" w:hAnsi="Stone Sans II ITC Std Bk"/>
          <w:b/>
          <w:w w:val="110"/>
          <w:sz w:val="20"/>
        </w:rPr>
        <w:t>Paragraph E.5.3.8</w:t>
      </w:r>
      <w:r>
        <w:rPr>
          <w:w w:val="110"/>
          <w:sz w:val="20"/>
        </w:rPr>
        <w:t>’ with ‘</w:t>
      </w:r>
      <w:r>
        <w:rPr>
          <w:rFonts w:ascii="Stone Sans II ITC Std Bk" w:hAnsi="Stone Sans II ITC Std Bk"/>
          <w:b/>
          <w:w w:val="110"/>
          <w:sz w:val="20"/>
        </w:rPr>
        <w:t>Paragraph </w:t>
      </w:r>
      <w:r>
        <w:rPr>
          <w:rFonts w:ascii="Stone Sans II ITC Std Bk" w:hAnsi="Stone Sans II ITC Std Bk"/>
          <w:b/>
          <w:spacing w:val="-3"/>
          <w:w w:val="110"/>
          <w:sz w:val="20"/>
        </w:rPr>
        <w:t>E.5.3.1 </w:t>
      </w:r>
      <w:r>
        <w:rPr>
          <w:rFonts w:ascii="Stone Sans II ITC Std Bk" w:hAnsi="Stone Sans II ITC Std Bk"/>
          <w:b/>
          <w:w w:val="110"/>
          <w:sz w:val="20"/>
        </w:rPr>
        <w:t>or Paragraph E.5.3.8 as the case may </w:t>
      </w:r>
      <w:r>
        <w:rPr>
          <w:rFonts w:ascii="Stone Sans II ITC Std Bk" w:hAnsi="Stone Sans II ITC Std Bk"/>
          <w:b/>
          <w:spacing w:val="-6"/>
          <w:w w:val="110"/>
          <w:sz w:val="20"/>
        </w:rPr>
        <w:t>be</w:t>
      </w:r>
      <w:r>
        <w:rPr>
          <w:spacing w:val="-6"/>
          <w:w w:val="110"/>
          <w:sz w:val="20"/>
        </w:rPr>
        <w:t>’.</w:t>
      </w:r>
    </w:p>
    <w:p>
      <w:pPr>
        <w:spacing w:before="75"/>
        <w:ind w:left="1986" w:right="0" w:firstLine="0"/>
        <w:jc w:val="left"/>
        <w:rPr>
          <w:sz w:val="20"/>
        </w:rPr>
      </w:pPr>
      <w:r>
        <w:rPr>
          <w:rFonts w:ascii="Stone Sans II ITC Std Bk" w:hAnsi="Stone Sans II ITC Std Bk"/>
          <w:b/>
          <w:spacing w:val="-5"/>
          <w:w w:val="115"/>
          <w:sz w:val="20"/>
        </w:rPr>
        <w:t>E.5.3.14 </w:t>
      </w:r>
      <w:r>
        <w:rPr>
          <w:rFonts w:ascii="Stone Sans II ITC Std Bk" w:hAnsi="Stone Sans II ITC Std Bk"/>
          <w:b/>
          <w:spacing w:val="50"/>
          <w:w w:val="115"/>
          <w:sz w:val="20"/>
        </w:rPr>
        <w:t> </w:t>
      </w: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35"/>
          <w:w w:val="115"/>
          <w:sz w:val="20"/>
        </w:rPr>
        <w:t> </w:t>
      </w:r>
      <w:r>
        <w:rPr>
          <w:rFonts w:ascii="Stone Sans II ITC Std Bk" w:hAnsi="Stone Sans II ITC Std Bk"/>
          <w:b/>
          <w:w w:val="115"/>
          <w:sz w:val="20"/>
        </w:rPr>
        <w:t>Secretary</w:t>
      </w:r>
      <w:r>
        <w:rPr>
          <w:w w:val="115"/>
          <w:sz w:val="20"/>
        </w:rPr>
        <w:t>’.</w:t>
      </w:r>
    </w:p>
    <w:p>
      <w:pPr>
        <w:spacing w:line="213" w:lineRule="auto" w:before="91"/>
        <w:ind w:left="3007" w:right="1273" w:firstLine="0"/>
        <w:jc w:val="left"/>
        <w:rPr>
          <w:sz w:val="20"/>
        </w:rPr>
      </w:pPr>
      <w:r>
        <w:rPr>
          <w:w w:val="110"/>
          <w:sz w:val="20"/>
        </w:rPr>
        <w:t>Replace the words  ‘</w:t>
      </w:r>
      <w:r>
        <w:rPr>
          <w:rFonts w:ascii="Stone Sans II ITC Std Bk" w:hAnsi="Stone Sans II ITC Std Bk"/>
          <w:b/>
          <w:w w:val="110"/>
          <w:sz w:val="20"/>
        </w:rPr>
        <w:t>decision of the Special Appeals Body on the appeal</w:t>
      </w:r>
      <w:r>
        <w:rPr>
          <w:w w:val="110"/>
          <w:sz w:val="20"/>
        </w:rPr>
        <w:t>’ with ‘</w:t>
      </w:r>
      <w:r>
        <w:rPr>
          <w:rFonts w:ascii="Stone Sans II ITC Std Bk" w:hAnsi="Stone Sans II ITC Std Bk"/>
          <w:b/>
          <w:w w:val="110"/>
          <w:sz w:val="20"/>
        </w:rPr>
        <w:t>decision of the Assembly Commission </w:t>
      </w:r>
      <w:r>
        <w:rPr>
          <w:rFonts w:ascii="Stone Sans II ITC Std Bk" w:hAnsi="Stone Sans II ITC Std Bk"/>
          <w:b/>
          <w:spacing w:val="-5"/>
          <w:w w:val="110"/>
          <w:sz w:val="20"/>
        </w:rPr>
        <w:t>or, </w:t>
      </w:r>
      <w:r>
        <w:rPr>
          <w:rFonts w:ascii="Stone Sans II ITC Std Bk" w:hAnsi="Stone Sans II ITC Std Bk"/>
          <w:b/>
          <w:w w:val="110"/>
          <w:sz w:val="20"/>
        </w:rPr>
        <w:t>in the event of an appeal, the Special Appeals</w:t>
      </w:r>
      <w:r>
        <w:rPr>
          <w:rFonts w:ascii="Stone Sans II ITC Std Bk" w:hAnsi="Stone Sans II ITC Std Bk"/>
          <w:b/>
          <w:spacing w:val="-1"/>
          <w:w w:val="110"/>
          <w:sz w:val="20"/>
        </w:rPr>
        <w:t> </w:t>
      </w:r>
      <w:r>
        <w:rPr>
          <w:rFonts w:ascii="Stone Sans II ITC Std Bk" w:hAnsi="Stone Sans II ITC Std Bk"/>
          <w:b/>
          <w:w w:val="110"/>
          <w:sz w:val="20"/>
        </w:rPr>
        <w:t>Body</w:t>
      </w:r>
      <w:r>
        <w:rPr>
          <w:w w:val="110"/>
          <w:sz w:val="20"/>
        </w:rPr>
        <w:t>’.</w:t>
      </w:r>
    </w:p>
    <w:p>
      <w:pPr>
        <w:spacing w:before="75"/>
        <w:ind w:left="3007" w:right="0" w:firstLine="0"/>
        <w:jc w:val="left"/>
        <w:rPr>
          <w:sz w:val="20"/>
        </w:rPr>
      </w:pPr>
      <w:r>
        <w:rPr>
          <w:w w:val="115"/>
          <w:sz w:val="20"/>
        </w:rPr>
        <w:t>Remove the words ‘</w:t>
      </w:r>
      <w:r>
        <w:rPr>
          <w:rFonts w:ascii="Stone Sans II ITC Std Bk" w:hAnsi="Stone Sans II ITC Std Bk"/>
          <w:b/>
          <w:w w:val="115"/>
          <w:sz w:val="20"/>
        </w:rPr>
        <w:t>signed by the Convener</w:t>
      </w:r>
      <w:r>
        <w:rPr>
          <w:w w:val="115"/>
          <w:sz w:val="20"/>
        </w:rPr>
        <w:t>’.</w:t>
      </w:r>
    </w:p>
    <w:p>
      <w:pPr>
        <w:spacing w:line="213" w:lineRule="auto" w:before="91"/>
        <w:ind w:left="3007" w:right="1120" w:firstLine="0"/>
        <w:jc w:val="left"/>
        <w:rPr>
          <w:sz w:val="20"/>
        </w:rPr>
      </w:pPr>
      <w:r>
        <w:rPr>
          <w:w w:val="110"/>
          <w:sz w:val="20"/>
        </w:rPr>
        <w:t>Replace the expression ‘</w:t>
      </w:r>
      <w:r>
        <w:rPr>
          <w:rFonts w:ascii="Stone Sans II ITC Std Bk" w:hAnsi="Stone Sans II ITC Std Bk"/>
          <w:b/>
          <w:w w:val="110"/>
          <w:sz w:val="20"/>
        </w:rPr>
        <w:t>Paragraph E.5.3.8</w:t>
      </w:r>
      <w:r>
        <w:rPr>
          <w:w w:val="110"/>
          <w:sz w:val="20"/>
        </w:rPr>
        <w:t>’ with ‘</w:t>
      </w:r>
      <w:r>
        <w:rPr>
          <w:rFonts w:ascii="Stone Sans II ITC Std Bk" w:hAnsi="Stone Sans II ITC Std Bk"/>
          <w:b/>
          <w:w w:val="110"/>
          <w:sz w:val="20"/>
        </w:rPr>
        <w:t>Paragraph E.5.3.1 or Paragraph E.5.3.8 as the case may be</w:t>
      </w:r>
      <w:r>
        <w:rPr>
          <w:w w:val="110"/>
          <w:sz w:val="20"/>
        </w:rPr>
        <w:t>’.</w:t>
      </w:r>
    </w:p>
    <w:p>
      <w:pPr>
        <w:pStyle w:val="ListParagraph"/>
        <w:numPr>
          <w:ilvl w:val="3"/>
          <w:numId w:val="80"/>
        </w:numPr>
        <w:tabs>
          <w:tab w:pos="3008" w:val="left" w:leader="none"/>
        </w:tabs>
        <w:spacing w:line="240" w:lineRule="auto" w:before="76" w:after="0"/>
        <w:ind w:left="3007" w:right="0" w:hanging="1021"/>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9"/>
          <w:w w:val="115"/>
          <w:sz w:val="20"/>
        </w:rPr>
        <w:t> </w:t>
      </w:r>
      <w:r>
        <w:rPr>
          <w:rFonts w:ascii="Stone Sans II ITC Std Bk" w:hAnsi="Stone Sans II ITC Std Bk"/>
          <w:b/>
          <w:w w:val="115"/>
          <w:sz w:val="20"/>
        </w:rPr>
        <w:t>Secretary</w:t>
      </w:r>
      <w:r>
        <w:rPr>
          <w:w w:val="115"/>
          <w:sz w:val="20"/>
        </w:rPr>
        <w:t>’.</w:t>
      </w:r>
    </w:p>
    <w:p>
      <w:pPr>
        <w:pStyle w:val="ListParagraph"/>
        <w:numPr>
          <w:ilvl w:val="3"/>
          <w:numId w:val="80"/>
        </w:numPr>
        <w:tabs>
          <w:tab w:pos="3008" w:val="left" w:leader="none"/>
        </w:tabs>
        <w:spacing w:line="320" w:lineRule="atLeast" w:before="19" w:after="0"/>
        <w:ind w:left="3008" w:right="1892" w:hanging="1021"/>
        <w:jc w:val="left"/>
        <w:rPr>
          <w:sz w:val="20"/>
        </w:rPr>
      </w:pPr>
      <w:r>
        <w:rPr>
          <w:w w:val="115"/>
          <w:sz w:val="20"/>
        </w:rPr>
        <w:t>Remove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spacing w:val="-3"/>
          <w:w w:val="115"/>
          <w:sz w:val="20"/>
        </w:rPr>
        <w:t>‘</w:t>
      </w:r>
      <w:r>
        <w:rPr>
          <w:rFonts w:ascii="Stone Sans II ITC Std Bk" w:hAnsi="Stone Sans II ITC Std Bk"/>
          <w:b/>
          <w:spacing w:val="-3"/>
          <w:w w:val="115"/>
          <w:sz w:val="20"/>
        </w:rPr>
        <w:t>or</w:t>
      </w:r>
      <w:r>
        <w:rPr>
          <w:rFonts w:ascii="Stone Sans II ITC Std Bk" w:hAnsi="Stone Sans II ITC Std Bk"/>
          <w:b/>
          <w:spacing w:val="-12"/>
          <w:w w:val="115"/>
          <w:sz w:val="20"/>
        </w:rPr>
        <w:t> </w:t>
      </w:r>
      <w:r>
        <w:rPr>
          <w:rFonts w:ascii="Stone Sans II ITC Std Bk" w:hAnsi="Stone Sans II ITC Std Bk"/>
          <w:b/>
          <w:w w:val="115"/>
          <w:sz w:val="20"/>
        </w:rPr>
        <w:t>the</w:t>
      </w:r>
      <w:r>
        <w:rPr>
          <w:rFonts w:ascii="Stone Sans II ITC Std Bk" w:hAnsi="Stone Sans II ITC Std Bk"/>
          <w:b/>
          <w:spacing w:val="-13"/>
          <w:w w:val="115"/>
          <w:sz w:val="20"/>
        </w:rPr>
        <w:t> </w:t>
      </w:r>
      <w:r>
        <w:rPr>
          <w:rFonts w:ascii="Stone Sans II ITC Std Bk" w:hAnsi="Stone Sans II ITC Std Bk"/>
          <w:b/>
          <w:w w:val="115"/>
          <w:sz w:val="20"/>
        </w:rPr>
        <w:t>Appeals</w:t>
      </w:r>
      <w:r>
        <w:rPr>
          <w:rFonts w:ascii="Stone Sans II ITC Std Bk" w:hAnsi="Stone Sans II ITC Std Bk"/>
          <w:b/>
          <w:spacing w:val="-13"/>
          <w:w w:val="115"/>
          <w:sz w:val="20"/>
        </w:rPr>
        <w:t> </w:t>
      </w:r>
      <w:r>
        <w:rPr>
          <w:rFonts w:ascii="Stone Sans II ITC Std Bk" w:hAnsi="Stone Sans II ITC Std Bk"/>
          <w:b/>
          <w:w w:val="115"/>
          <w:sz w:val="20"/>
        </w:rPr>
        <w:t>Commission</w:t>
      </w:r>
      <w:r>
        <w:rPr>
          <w:rFonts w:ascii="Stone Sans II ITC Std Bk" w:hAnsi="Stone Sans II ITC Std Bk"/>
          <w:b/>
          <w:spacing w:val="-13"/>
          <w:w w:val="115"/>
          <w:sz w:val="20"/>
        </w:rPr>
        <w:t> </w:t>
      </w:r>
      <w:r>
        <w:rPr>
          <w:rFonts w:ascii="Stone Sans II ITC Std Bk" w:hAnsi="Stone Sans II ITC Std Bk"/>
          <w:b/>
          <w:w w:val="115"/>
          <w:sz w:val="20"/>
        </w:rPr>
        <w:t>as</w:t>
      </w:r>
      <w:r>
        <w:rPr>
          <w:rFonts w:ascii="Stone Sans II ITC Std Bk" w:hAnsi="Stone Sans II ITC Std Bk"/>
          <w:b/>
          <w:spacing w:val="-12"/>
          <w:w w:val="115"/>
          <w:sz w:val="20"/>
        </w:rPr>
        <w:t> </w:t>
      </w:r>
      <w:r>
        <w:rPr>
          <w:rFonts w:ascii="Stone Sans II ITC Std Bk" w:hAnsi="Stone Sans II ITC Std Bk"/>
          <w:b/>
          <w:w w:val="115"/>
          <w:sz w:val="20"/>
        </w:rPr>
        <w:t>the</w:t>
      </w:r>
      <w:r>
        <w:rPr>
          <w:rFonts w:ascii="Stone Sans II ITC Std Bk" w:hAnsi="Stone Sans II ITC Std Bk"/>
          <w:b/>
          <w:spacing w:val="-13"/>
          <w:w w:val="115"/>
          <w:sz w:val="20"/>
        </w:rPr>
        <w:t> </w:t>
      </w:r>
      <w:r>
        <w:rPr>
          <w:rFonts w:ascii="Stone Sans II ITC Std Bk" w:hAnsi="Stone Sans II ITC Std Bk"/>
          <w:b/>
          <w:w w:val="115"/>
          <w:sz w:val="20"/>
        </w:rPr>
        <w:t>case</w:t>
      </w:r>
      <w:r>
        <w:rPr>
          <w:rFonts w:ascii="Stone Sans II ITC Std Bk" w:hAnsi="Stone Sans II ITC Std Bk"/>
          <w:b/>
          <w:spacing w:val="-13"/>
          <w:w w:val="115"/>
          <w:sz w:val="20"/>
        </w:rPr>
        <w:t> </w:t>
      </w:r>
      <w:r>
        <w:rPr>
          <w:rFonts w:ascii="Stone Sans II ITC Std Bk" w:hAnsi="Stone Sans II ITC Std Bk"/>
          <w:b/>
          <w:w w:val="115"/>
          <w:sz w:val="20"/>
        </w:rPr>
        <w:t>may</w:t>
      </w:r>
      <w:r>
        <w:rPr>
          <w:rFonts w:ascii="Stone Sans II ITC Std Bk" w:hAnsi="Stone Sans II ITC Std Bk"/>
          <w:b/>
          <w:spacing w:val="-13"/>
          <w:w w:val="115"/>
          <w:sz w:val="20"/>
        </w:rPr>
        <w:t> </w:t>
      </w:r>
      <w:r>
        <w:rPr>
          <w:rFonts w:ascii="Stone Sans II ITC Std Bk" w:hAnsi="Stone Sans II ITC Std Bk"/>
          <w:b/>
          <w:spacing w:val="-6"/>
          <w:w w:val="115"/>
          <w:sz w:val="20"/>
        </w:rPr>
        <w:t>be</w:t>
      </w:r>
      <w:r>
        <w:rPr>
          <w:spacing w:val="-6"/>
          <w:w w:val="115"/>
          <w:sz w:val="20"/>
        </w:rPr>
        <w:t>’. </w:t>
      </w:r>
      <w:r>
        <w:rPr>
          <w:w w:val="115"/>
          <w:sz w:val="20"/>
        </w:rPr>
        <w:t>Add the following at the end of the</w:t>
      </w:r>
      <w:r>
        <w:rPr>
          <w:spacing w:val="16"/>
          <w:w w:val="115"/>
          <w:sz w:val="20"/>
        </w:rPr>
        <w:t> </w:t>
      </w:r>
      <w:r>
        <w:rPr>
          <w:w w:val="115"/>
          <w:sz w:val="20"/>
        </w:rPr>
        <w:t>paragraph:</w:t>
      </w:r>
    </w:p>
    <w:p>
      <w:pPr>
        <w:spacing w:line="213" w:lineRule="auto" w:before="11"/>
        <w:ind w:left="3008" w:right="1154" w:firstLine="0"/>
        <w:jc w:val="left"/>
        <w:rPr>
          <w:sz w:val="20"/>
        </w:rPr>
      </w:pPr>
      <w:r>
        <w:rPr>
          <w:w w:val="110"/>
          <w:sz w:val="20"/>
        </w:rPr>
        <w:t>‘</w:t>
      </w:r>
      <w:r>
        <w:rPr>
          <w:rFonts w:ascii="Stone Sans II ITC Std Bk" w:hAnsi="Stone Sans II ITC Std Bk"/>
          <w:b/>
          <w:w w:val="110"/>
          <w:sz w:val="20"/>
        </w:rPr>
        <w:t>This declaration shall conclude the disciplinary case against the Minister. The suspension of the Minister will, </w:t>
      </w:r>
      <w:r>
        <w:rPr>
          <w:rFonts w:ascii="Stone Sans II ITC Std Bk" w:hAnsi="Stone Sans II ITC Std Bk"/>
          <w:b/>
          <w:spacing w:val="-3"/>
          <w:w w:val="110"/>
          <w:sz w:val="20"/>
        </w:rPr>
        <w:t>however, </w:t>
      </w:r>
      <w:r>
        <w:rPr>
          <w:rFonts w:ascii="Stone Sans II ITC Std Bk" w:hAnsi="Stone Sans II ITC Std Bk"/>
          <w:b/>
          <w:w w:val="110"/>
          <w:sz w:val="20"/>
        </w:rPr>
        <w:t>remain in place and will thereafter be subject to the provisions regarding suspension in the Incapacity Procedure </w:t>
      </w:r>
      <w:r>
        <w:rPr>
          <w:rFonts w:ascii="Stone Sans II ITC Std Bk" w:hAnsi="Stone Sans II ITC Std Bk"/>
          <w:b/>
          <w:spacing w:val="-5"/>
          <w:w w:val="110"/>
          <w:sz w:val="20"/>
        </w:rPr>
        <w:t>[as </w:t>
      </w:r>
      <w:r>
        <w:rPr>
          <w:rFonts w:ascii="Stone Sans II ITC Std Bk" w:hAnsi="Stone Sans II ITC Std Bk"/>
          <w:b/>
          <w:w w:val="110"/>
          <w:sz w:val="20"/>
        </w:rPr>
        <w:t>to these, see the Incapacity Procedure, Part II, Paragraph </w:t>
      </w:r>
      <w:r>
        <w:rPr>
          <w:rFonts w:ascii="Stone Sans II ITC Std Bk" w:hAnsi="Stone Sans II ITC Std Bk"/>
          <w:b/>
          <w:spacing w:val="-8"/>
          <w:w w:val="110"/>
          <w:sz w:val="20"/>
        </w:rPr>
        <w:t>E.1]. </w:t>
      </w:r>
      <w:r>
        <w:rPr>
          <w:rFonts w:ascii="Stone Sans II ITC Std Bk" w:hAnsi="Stone Sans II ITC Std Bk"/>
          <w:b/>
          <w:w w:val="110"/>
          <w:sz w:val="20"/>
        </w:rPr>
        <w:t>The attention of the Mandated Group is particularly drawn to Paragraph</w:t>
      </w:r>
      <w:r>
        <w:rPr>
          <w:rFonts w:ascii="Stone Sans II ITC Std Bk" w:hAnsi="Stone Sans II ITC Std Bk"/>
          <w:b/>
          <w:spacing w:val="-1"/>
          <w:w w:val="110"/>
          <w:sz w:val="20"/>
        </w:rPr>
        <w:t> </w:t>
      </w:r>
      <w:r>
        <w:rPr>
          <w:rFonts w:ascii="Stone Sans II ITC Std Bk" w:hAnsi="Stone Sans II ITC Std Bk"/>
          <w:b/>
          <w:spacing w:val="-4"/>
          <w:w w:val="110"/>
          <w:sz w:val="20"/>
        </w:rPr>
        <w:t>H.4.</w:t>
      </w:r>
      <w:r>
        <w:rPr>
          <w:spacing w:val="-4"/>
          <w:w w:val="110"/>
          <w:sz w:val="20"/>
        </w:rPr>
        <w:t>’</w:t>
      </w:r>
    </w:p>
    <w:p>
      <w:pPr>
        <w:pStyle w:val="ListParagraph"/>
        <w:numPr>
          <w:ilvl w:val="3"/>
          <w:numId w:val="80"/>
        </w:numPr>
        <w:tabs>
          <w:tab w:pos="3009" w:val="left" w:leader="none"/>
        </w:tabs>
        <w:spacing w:line="240" w:lineRule="auto" w:before="73" w:after="0"/>
        <w:ind w:left="3008" w:right="0" w:hanging="1022"/>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9"/>
          <w:w w:val="115"/>
          <w:sz w:val="20"/>
        </w:rPr>
        <w:t> </w:t>
      </w:r>
      <w:r>
        <w:rPr>
          <w:rFonts w:ascii="Stone Sans II ITC Std Bk" w:hAnsi="Stone Sans II ITC Std Bk"/>
          <w:b/>
          <w:w w:val="115"/>
          <w:sz w:val="20"/>
        </w:rPr>
        <w:t>Secretary</w:t>
      </w:r>
      <w:r>
        <w:rPr>
          <w:w w:val="115"/>
          <w:sz w:val="20"/>
        </w:rPr>
        <w:t>’.</w:t>
      </w:r>
    </w:p>
    <w:p>
      <w:pPr>
        <w:pStyle w:val="ListParagraph"/>
        <w:numPr>
          <w:ilvl w:val="3"/>
          <w:numId w:val="80"/>
        </w:numPr>
        <w:tabs>
          <w:tab w:pos="3009" w:val="left" w:leader="none"/>
        </w:tabs>
        <w:spacing w:line="240" w:lineRule="auto" w:before="68" w:after="0"/>
        <w:ind w:left="3008" w:right="0" w:hanging="1022"/>
        <w:jc w:val="left"/>
        <w:rPr>
          <w:sz w:val="20"/>
        </w:rPr>
      </w:pPr>
      <w:r>
        <w:rPr>
          <w:w w:val="115"/>
          <w:sz w:val="20"/>
        </w:rPr>
        <w:t>After the word ‘</w:t>
      </w:r>
      <w:r>
        <w:rPr>
          <w:rFonts w:ascii="Stone Sans II ITC Std Bk" w:hAnsi="Stone Sans II ITC Std Bk"/>
          <w:b/>
          <w:w w:val="115"/>
          <w:sz w:val="20"/>
        </w:rPr>
        <w:t>Secretary</w:t>
      </w:r>
      <w:r>
        <w:rPr>
          <w:w w:val="115"/>
          <w:sz w:val="20"/>
        </w:rPr>
        <w:t>’ insert </w:t>
      </w:r>
      <w:r>
        <w:rPr>
          <w:spacing w:val="-4"/>
          <w:w w:val="115"/>
          <w:sz w:val="20"/>
        </w:rPr>
        <w:t>‘</w:t>
      </w:r>
      <w:r>
        <w:rPr>
          <w:rFonts w:ascii="Stone Sans II ITC Std Bk" w:hAnsi="Stone Sans II ITC Std Bk"/>
          <w:b/>
          <w:spacing w:val="-4"/>
          <w:w w:val="115"/>
          <w:sz w:val="20"/>
        </w:rPr>
        <w:t>of </w:t>
      </w:r>
      <w:r>
        <w:rPr>
          <w:rFonts w:ascii="Stone Sans II ITC Std Bk" w:hAnsi="Stone Sans II ITC Std Bk"/>
          <w:b/>
          <w:w w:val="115"/>
          <w:sz w:val="20"/>
        </w:rPr>
        <w:t>the Assembly</w:t>
      </w:r>
      <w:r>
        <w:rPr>
          <w:rFonts w:ascii="Stone Sans II ITC Std Bk" w:hAnsi="Stone Sans II ITC Std Bk"/>
          <w:b/>
          <w:spacing w:val="9"/>
          <w:w w:val="115"/>
          <w:sz w:val="20"/>
        </w:rPr>
        <w:t> </w:t>
      </w:r>
      <w:r>
        <w:rPr>
          <w:rFonts w:ascii="Stone Sans II ITC Std Bk" w:hAnsi="Stone Sans II ITC Std Bk"/>
          <w:b/>
          <w:spacing w:val="-3"/>
          <w:w w:val="115"/>
          <w:sz w:val="20"/>
        </w:rPr>
        <w:t>Commission</w:t>
      </w:r>
      <w:r>
        <w:rPr>
          <w:spacing w:val="-3"/>
          <w:w w:val="115"/>
          <w:sz w:val="20"/>
        </w:rPr>
        <w:t>’.</w:t>
      </w:r>
    </w:p>
    <w:p>
      <w:pPr>
        <w:tabs>
          <w:tab w:pos="3008" w:val="left" w:leader="none"/>
        </w:tabs>
        <w:spacing w:line="213" w:lineRule="auto" w:before="92"/>
        <w:ind w:left="3008" w:right="1151" w:hanging="1021"/>
        <w:jc w:val="left"/>
        <w:rPr>
          <w:sz w:val="20"/>
        </w:rPr>
      </w:pPr>
      <w:r>
        <w:rPr>
          <w:rFonts w:ascii="Stone Sans II ITC Std Bk" w:hAnsi="Stone Sans II ITC Std Bk"/>
          <w:b/>
          <w:spacing w:val="-3"/>
          <w:w w:val="110"/>
          <w:sz w:val="20"/>
        </w:rPr>
        <w:t>E.9.3</w:t>
        <w:tab/>
      </w:r>
      <w:r>
        <w:rPr>
          <w:w w:val="110"/>
          <w:sz w:val="20"/>
        </w:rPr>
        <w:t>At the end of the first sentence, continue as follows: </w:t>
      </w:r>
      <w:r>
        <w:rPr>
          <w:spacing w:val="-4"/>
          <w:w w:val="110"/>
          <w:sz w:val="20"/>
        </w:rPr>
        <w:t>‘</w:t>
      </w:r>
      <w:r>
        <w:rPr>
          <w:rFonts w:ascii="Stone Sans II ITC Std Bk" w:hAnsi="Stone Sans II ITC Std Bk"/>
          <w:b/>
          <w:spacing w:val="-4"/>
          <w:w w:val="110"/>
          <w:sz w:val="20"/>
        </w:rPr>
        <w:t>and/or </w:t>
      </w:r>
      <w:r>
        <w:rPr>
          <w:rFonts w:ascii="Stone Sans II ITC Std Bk" w:hAnsi="Stone Sans II ITC Std Bk"/>
          <w:b/>
          <w:w w:val="110"/>
          <w:sz w:val="20"/>
        </w:rPr>
        <w:t>to incorporate recommendations into its decision under Paragraph F.2.3 or where, of its own accord, it might have it in contemplation to adopt either or both of those</w:t>
      </w:r>
      <w:r>
        <w:rPr>
          <w:rFonts w:ascii="Stone Sans II ITC Std Bk" w:hAnsi="Stone Sans II ITC Std Bk"/>
          <w:b/>
          <w:spacing w:val="-1"/>
          <w:w w:val="110"/>
          <w:sz w:val="20"/>
        </w:rPr>
        <w:t> </w:t>
      </w:r>
      <w:r>
        <w:rPr>
          <w:rFonts w:ascii="Stone Sans II ITC Std Bk" w:hAnsi="Stone Sans II ITC Std Bk"/>
          <w:b/>
          <w:spacing w:val="-3"/>
          <w:w w:val="110"/>
          <w:sz w:val="20"/>
        </w:rPr>
        <w:t>courses</w:t>
      </w:r>
      <w:r>
        <w:rPr>
          <w:spacing w:val="-3"/>
          <w:w w:val="110"/>
          <w:sz w:val="20"/>
        </w:rPr>
        <w:t>’.</w:t>
      </w:r>
    </w:p>
    <w:p>
      <w:pPr>
        <w:pStyle w:val="BodyText"/>
        <w:spacing w:before="86"/>
        <w:ind w:left="3008"/>
      </w:pPr>
      <w:r>
        <w:rPr>
          <w:w w:val="120"/>
        </w:rPr>
        <w:t>The second sentence remains unchanged.</w:t>
      </w:r>
    </w:p>
    <w:p>
      <w:pPr>
        <w:spacing w:after="0"/>
        <w:sectPr>
          <w:headerReference w:type="default" r:id="rId195"/>
          <w:headerReference w:type="even" r:id="rId196"/>
          <w:footerReference w:type="default" r:id="rId197"/>
          <w:footerReference w:type="even" r:id="rId198"/>
          <w:pgSz w:w="11910" w:h="16840"/>
          <w:pgMar w:header="0" w:footer="647" w:top="1060" w:bottom="840" w:left="0" w:right="0"/>
          <w:pgNumType w:start="61"/>
        </w:sectPr>
      </w:pPr>
    </w:p>
    <w:p>
      <w:pPr>
        <w:pStyle w:val="ListParagraph"/>
        <w:numPr>
          <w:ilvl w:val="2"/>
          <w:numId w:val="81"/>
        </w:numPr>
        <w:tabs>
          <w:tab w:pos="2154" w:val="left" w:leader="none"/>
          <w:tab w:pos="2155" w:val="left" w:leader="none"/>
        </w:tabs>
        <w:spacing w:line="213" w:lineRule="auto" w:before="113" w:after="0"/>
        <w:ind w:left="2154" w:right="2081" w:hanging="963"/>
        <w:jc w:val="left"/>
        <w:rPr>
          <w:sz w:val="20"/>
        </w:rPr>
      </w:pPr>
      <w:r>
        <w:rPr/>
        <w:pict>
          <v:rect style="position:absolute;margin-left:12.047pt;margin-top:8.479788pt;width:22.677pt;height:22.677pt;mso-position-horizontal-relative:page;mso-position-vertical-relative:paragraph;z-index:251901952" filled="true" fillcolor="#f9e9c1" stroked="false">
            <v:fill opacity="32768f" type="solid"/>
            <w10:wrap type="none"/>
          </v:rect>
        </w:pict>
      </w:r>
      <w:r>
        <w:rPr>
          <w:w w:val="110"/>
          <w:sz w:val="20"/>
        </w:rPr>
        <w:t>Replace the words ‘</w:t>
      </w:r>
      <w:r>
        <w:rPr>
          <w:rFonts w:ascii="Stone Sans II ITC Std Bk" w:hAnsi="Stone Sans II ITC Std Bk"/>
          <w:b/>
          <w:w w:val="110"/>
          <w:sz w:val="20"/>
        </w:rPr>
        <w:t>in its written statement </w:t>
      </w:r>
      <w:r>
        <w:rPr>
          <w:rFonts w:ascii="Stone Sans II ITC Std Bk" w:hAnsi="Stone Sans II ITC Std Bk"/>
          <w:b/>
          <w:spacing w:val="-4"/>
          <w:w w:val="110"/>
          <w:sz w:val="20"/>
        </w:rPr>
        <w:t>(see </w:t>
      </w:r>
      <w:r>
        <w:rPr>
          <w:rFonts w:ascii="Stone Sans II ITC Std Bk" w:hAnsi="Stone Sans II ITC Std Bk"/>
          <w:b/>
          <w:w w:val="110"/>
          <w:sz w:val="20"/>
        </w:rPr>
        <w:t>Paragraph </w:t>
      </w:r>
      <w:r>
        <w:rPr>
          <w:rFonts w:ascii="Stone Sans II ITC Std Bk" w:hAnsi="Stone Sans II ITC Std Bk"/>
          <w:b/>
          <w:spacing w:val="-6"/>
          <w:w w:val="110"/>
          <w:sz w:val="20"/>
        </w:rPr>
        <w:t>F.3.3) </w:t>
      </w:r>
      <w:r>
        <w:rPr>
          <w:rFonts w:ascii="Stone Sans II ITC Std Bk" w:hAnsi="Stone Sans II ITC Std Bk"/>
          <w:b/>
          <w:w w:val="110"/>
          <w:sz w:val="20"/>
        </w:rPr>
        <w:t>append such recommendations </w:t>
      </w:r>
      <w:r>
        <w:rPr>
          <w:rFonts w:ascii="Stone Sans II ITC Std Bk" w:hAnsi="Stone Sans II ITC Std Bk"/>
          <w:b/>
          <w:spacing w:val="-3"/>
          <w:w w:val="110"/>
          <w:sz w:val="20"/>
        </w:rPr>
        <w:t>to</w:t>
      </w:r>
      <w:r>
        <w:rPr>
          <w:spacing w:val="-3"/>
          <w:w w:val="110"/>
          <w:sz w:val="20"/>
        </w:rPr>
        <w:t>’ </w:t>
      </w:r>
      <w:r>
        <w:rPr>
          <w:w w:val="110"/>
          <w:sz w:val="20"/>
        </w:rPr>
        <w:t>with ‘</w:t>
      </w:r>
      <w:r>
        <w:rPr>
          <w:rFonts w:ascii="Stone Sans II ITC Std Bk" w:hAnsi="Stone Sans II ITC Std Bk"/>
          <w:b/>
          <w:w w:val="110"/>
          <w:sz w:val="20"/>
        </w:rPr>
        <w:t>incorporate within and as part</w:t>
      </w:r>
      <w:r>
        <w:rPr>
          <w:rFonts w:ascii="Stone Sans II ITC Std Bk" w:hAnsi="Stone Sans II ITC Std Bk"/>
          <w:b/>
          <w:spacing w:val="10"/>
          <w:w w:val="110"/>
          <w:sz w:val="20"/>
        </w:rPr>
        <w:t> </w:t>
      </w:r>
      <w:r>
        <w:rPr>
          <w:rFonts w:ascii="Stone Sans II ITC Std Bk" w:hAnsi="Stone Sans II ITC Std Bk"/>
          <w:b/>
          <w:spacing w:val="-3"/>
          <w:w w:val="110"/>
          <w:sz w:val="20"/>
        </w:rPr>
        <w:t>of</w:t>
      </w:r>
      <w:r>
        <w:rPr>
          <w:spacing w:val="-3"/>
          <w:w w:val="110"/>
          <w:sz w:val="20"/>
        </w:rPr>
        <w:t>’.</w:t>
      </w:r>
    </w:p>
    <w:p>
      <w:pPr>
        <w:spacing w:line="213" w:lineRule="auto" w:before="98"/>
        <w:ind w:left="2154" w:right="2251" w:firstLine="0"/>
        <w:jc w:val="left"/>
        <w:rPr>
          <w:sz w:val="20"/>
        </w:rPr>
      </w:pPr>
      <w:r>
        <w:rPr>
          <w:w w:val="115"/>
          <w:sz w:val="20"/>
        </w:rPr>
        <w:t>End the final sentence with the words ‘</w:t>
      </w:r>
      <w:r>
        <w:rPr>
          <w:rFonts w:ascii="Stone Sans II ITC Std Bk" w:hAnsi="Stone Sans II ITC Std Bk"/>
          <w:b/>
          <w:w w:val="115"/>
          <w:sz w:val="20"/>
        </w:rPr>
        <w:t>the Minister only</w:t>
      </w:r>
      <w:r>
        <w:rPr>
          <w:w w:val="115"/>
          <w:sz w:val="20"/>
        </w:rPr>
        <w:t>’ and delete the words</w:t>
      </w:r>
      <w:r>
        <w:rPr>
          <w:spacing w:val="-11"/>
          <w:w w:val="115"/>
          <w:sz w:val="20"/>
        </w:rPr>
        <w:t> </w:t>
      </w:r>
      <w:r>
        <w:rPr>
          <w:spacing w:val="-3"/>
          <w:w w:val="115"/>
          <w:sz w:val="20"/>
        </w:rPr>
        <w:t>‘</w:t>
      </w:r>
      <w:r>
        <w:rPr>
          <w:rFonts w:ascii="Stone Sans II ITC Std Bk" w:hAnsi="Stone Sans II ITC Std Bk"/>
          <w:b/>
          <w:spacing w:val="-3"/>
          <w:w w:val="115"/>
          <w:sz w:val="20"/>
        </w:rPr>
        <w:t>and</w:t>
      </w:r>
      <w:r>
        <w:rPr>
          <w:rFonts w:ascii="Stone Sans II ITC Std Bk" w:hAnsi="Stone Sans II ITC Std Bk"/>
          <w:b/>
          <w:spacing w:val="-17"/>
          <w:w w:val="115"/>
          <w:sz w:val="20"/>
        </w:rPr>
        <w:t> </w:t>
      </w:r>
      <w:r>
        <w:rPr>
          <w:rFonts w:ascii="Stone Sans II ITC Std Bk" w:hAnsi="Stone Sans II ITC Std Bk"/>
          <w:b/>
          <w:w w:val="115"/>
          <w:sz w:val="20"/>
        </w:rPr>
        <w:t>that</w:t>
      </w:r>
      <w:r>
        <w:rPr>
          <w:rFonts w:ascii="Stone Sans II ITC Std Bk" w:hAnsi="Stone Sans II ITC Std Bk"/>
          <w:b/>
          <w:spacing w:val="-18"/>
          <w:w w:val="115"/>
          <w:sz w:val="20"/>
        </w:rPr>
        <w:t> </w:t>
      </w:r>
      <w:r>
        <w:rPr>
          <w:rFonts w:ascii="Stone Sans II ITC Std Bk" w:hAnsi="Stone Sans II ITC Std Bk"/>
          <w:b/>
          <w:w w:val="115"/>
          <w:sz w:val="20"/>
        </w:rPr>
        <w:t>they</w:t>
      </w:r>
      <w:r>
        <w:rPr>
          <w:rFonts w:ascii="Stone Sans II ITC Std Bk" w:hAnsi="Stone Sans II ITC Std Bk"/>
          <w:b/>
          <w:spacing w:val="-18"/>
          <w:w w:val="115"/>
          <w:sz w:val="20"/>
        </w:rPr>
        <w:t> </w:t>
      </w:r>
      <w:r>
        <w:rPr>
          <w:rFonts w:ascii="Stone Sans II ITC Std Bk" w:hAnsi="Stone Sans II ITC Std Bk"/>
          <w:b/>
          <w:w w:val="115"/>
          <w:sz w:val="20"/>
        </w:rPr>
        <w:t>are</w:t>
      </w:r>
      <w:r>
        <w:rPr>
          <w:rFonts w:ascii="Stone Sans II ITC Std Bk" w:hAnsi="Stone Sans II ITC Std Bk"/>
          <w:b/>
          <w:spacing w:val="-18"/>
          <w:w w:val="115"/>
          <w:sz w:val="20"/>
        </w:rPr>
        <w:t> </w:t>
      </w:r>
      <w:r>
        <w:rPr>
          <w:rFonts w:ascii="Stone Sans II ITC Std Bk" w:hAnsi="Stone Sans II ITC Std Bk"/>
          <w:b/>
          <w:w w:val="115"/>
          <w:sz w:val="20"/>
        </w:rPr>
        <w:t>of</w:t>
      </w:r>
      <w:r>
        <w:rPr>
          <w:rFonts w:ascii="Stone Sans II ITC Std Bk" w:hAnsi="Stone Sans II ITC Std Bk"/>
          <w:b/>
          <w:spacing w:val="-18"/>
          <w:w w:val="115"/>
          <w:sz w:val="20"/>
        </w:rPr>
        <w:t> </w:t>
      </w:r>
      <w:r>
        <w:rPr>
          <w:rFonts w:ascii="Stone Sans II ITC Std Bk" w:hAnsi="Stone Sans II ITC Std Bk"/>
          <w:b/>
          <w:w w:val="115"/>
          <w:sz w:val="20"/>
        </w:rPr>
        <w:t>an</w:t>
      </w:r>
      <w:r>
        <w:rPr>
          <w:rFonts w:ascii="Stone Sans II ITC Std Bk" w:hAnsi="Stone Sans II ITC Std Bk"/>
          <w:b/>
          <w:spacing w:val="-17"/>
          <w:w w:val="115"/>
          <w:sz w:val="20"/>
        </w:rPr>
        <w:t> </w:t>
      </w:r>
      <w:r>
        <w:rPr>
          <w:rFonts w:ascii="Stone Sans II ITC Std Bk" w:hAnsi="Stone Sans II ITC Std Bk"/>
          <w:b/>
          <w:w w:val="115"/>
          <w:sz w:val="20"/>
        </w:rPr>
        <w:t>advisory</w:t>
      </w:r>
      <w:r>
        <w:rPr>
          <w:rFonts w:ascii="Stone Sans II ITC Std Bk" w:hAnsi="Stone Sans II ITC Std Bk"/>
          <w:b/>
          <w:spacing w:val="-18"/>
          <w:w w:val="115"/>
          <w:sz w:val="20"/>
        </w:rPr>
        <w:t> </w:t>
      </w:r>
      <w:r>
        <w:rPr>
          <w:rFonts w:ascii="Stone Sans II ITC Std Bk" w:hAnsi="Stone Sans II ITC Std Bk"/>
          <w:b/>
          <w:w w:val="115"/>
          <w:sz w:val="20"/>
        </w:rPr>
        <w:t>nature</w:t>
      </w:r>
      <w:r>
        <w:rPr>
          <w:rFonts w:ascii="Stone Sans II ITC Std Bk" w:hAnsi="Stone Sans II ITC Std Bk"/>
          <w:b/>
          <w:spacing w:val="-18"/>
          <w:w w:val="115"/>
          <w:sz w:val="20"/>
        </w:rPr>
        <w:t> </w:t>
      </w:r>
      <w:r>
        <w:rPr>
          <w:rFonts w:ascii="Stone Sans II ITC Std Bk" w:hAnsi="Stone Sans II ITC Std Bk"/>
          <w:b/>
          <w:w w:val="115"/>
          <w:sz w:val="20"/>
        </w:rPr>
        <w:t>and</w:t>
      </w:r>
      <w:r>
        <w:rPr>
          <w:rFonts w:ascii="Stone Sans II ITC Std Bk" w:hAnsi="Stone Sans II ITC Std Bk"/>
          <w:b/>
          <w:spacing w:val="-18"/>
          <w:w w:val="115"/>
          <w:sz w:val="20"/>
        </w:rPr>
        <w:t> </w:t>
      </w:r>
      <w:r>
        <w:rPr>
          <w:rFonts w:ascii="Stone Sans II ITC Std Bk" w:hAnsi="Stone Sans II ITC Std Bk"/>
          <w:b/>
          <w:w w:val="115"/>
          <w:sz w:val="20"/>
        </w:rPr>
        <w:t>do</w:t>
      </w:r>
      <w:r>
        <w:rPr>
          <w:rFonts w:ascii="Stone Sans II ITC Std Bk" w:hAnsi="Stone Sans II ITC Std Bk"/>
          <w:b/>
          <w:spacing w:val="-17"/>
          <w:w w:val="115"/>
          <w:sz w:val="20"/>
        </w:rPr>
        <w:t> </w:t>
      </w:r>
      <w:r>
        <w:rPr>
          <w:rFonts w:ascii="Stone Sans II ITC Std Bk" w:hAnsi="Stone Sans II ITC Std Bk"/>
          <w:b/>
          <w:w w:val="115"/>
          <w:sz w:val="20"/>
        </w:rPr>
        <w:t>not</w:t>
      </w:r>
      <w:r>
        <w:rPr>
          <w:rFonts w:ascii="Stone Sans II ITC Std Bk" w:hAnsi="Stone Sans II ITC Std Bk"/>
          <w:b/>
          <w:spacing w:val="-18"/>
          <w:w w:val="115"/>
          <w:sz w:val="20"/>
        </w:rPr>
        <w:t> </w:t>
      </w:r>
      <w:r>
        <w:rPr>
          <w:rFonts w:ascii="Stone Sans II ITC Std Bk" w:hAnsi="Stone Sans II ITC Std Bk"/>
          <w:b/>
          <w:w w:val="115"/>
          <w:sz w:val="20"/>
        </w:rPr>
        <w:t>form</w:t>
      </w:r>
      <w:r>
        <w:rPr>
          <w:rFonts w:ascii="Stone Sans II ITC Std Bk" w:hAnsi="Stone Sans II ITC Std Bk"/>
          <w:b/>
          <w:spacing w:val="-18"/>
          <w:w w:val="115"/>
          <w:sz w:val="20"/>
        </w:rPr>
        <w:t> </w:t>
      </w:r>
      <w:r>
        <w:rPr>
          <w:rFonts w:ascii="Stone Sans II ITC Std Bk" w:hAnsi="Stone Sans II ITC Std Bk"/>
          <w:b/>
          <w:w w:val="115"/>
          <w:sz w:val="20"/>
        </w:rPr>
        <w:t>part</w:t>
      </w:r>
      <w:r>
        <w:rPr>
          <w:rFonts w:ascii="Stone Sans II ITC Std Bk" w:hAnsi="Stone Sans II ITC Std Bk"/>
          <w:b/>
          <w:spacing w:val="-18"/>
          <w:w w:val="115"/>
          <w:sz w:val="20"/>
        </w:rPr>
        <w:t> </w:t>
      </w:r>
      <w:r>
        <w:rPr>
          <w:rFonts w:ascii="Stone Sans II ITC Std Bk" w:hAnsi="Stone Sans II ITC Std Bk"/>
          <w:b/>
          <w:w w:val="115"/>
          <w:sz w:val="20"/>
        </w:rPr>
        <w:t>of the</w:t>
      </w:r>
      <w:r>
        <w:rPr>
          <w:rFonts w:ascii="Stone Sans II ITC Std Bk" w:hAnsi="Stone Sans II ITC Std Bk"/>
          <w:b/>
          <w:spacing w:val="-4"/>
          <w:w w:val="115"/>
          <w:sz w:val="20"/>
        </w:rPr>
        <w:t> </w:t>
      </w:r>
      <w:r>
        <w:rPr>
          <w:rFonts w:ascii="Stone Sans II ITC Std Bk" w:hAnsi="Stone Sans II ITC Std Bk"/>
          <w:b/>
          <w:w w:val="115"/>
          <w:sz w:val="20"/>
        </w:rPr>
        <w:t>decision.</w:t>
      </w:r>
      <w:r>
        <w:rPr>
          <w:w w:val="115"/>
          <w:sz w:val="20"/>
        </w:rPr>
        <w:t>’</w:t>
      </w:r>
    </w:p>
    <w:p>
      <w:pPr>
        <w:pStyle w:val="ListParagraph"/>
        <w:numPr>
          <w:ilvl w:val="2"/>
          <w:numId w:val="81"/>
        </w:numPr>
        <w:tabs>
          <w:tab w:pos="2154" w:val="left" w:leader="none"/>
          <w:tab w:pos="2155" w:val="left" w:leader="none"/>
        </w:tabs>
        <w:spacing w:line="312" w:lineRule="auto" w:before="75" w:after="0"/>
        <w:ind w:left="2154" w:right="2770" w:hanging="1021"/>
        <w:jc w:val="left"/>
        <w:rPr>
          <w:sz w:val="20"/>
        </w:rPr>
      </w:pPr>
      <w:r>
        <w:rPr>
          <w:w w:val="115"/>
          <w:sz w:val="20"/>
        </w:rPr>
        <w:t>Replace the word ‘</w:t>
      </w:r>
      <w:r>
        <w:rPr>
          <w:rFonts w:ascii="Stone Sans II ITC Std Bk" w:hAnsi="Stone Sans II ITC Std Bk"/>
          <w:b/>
          <w:w w:val="115"/>
          <w:sz w:val="20"/>
        </w:rPr>
        <w:t>include</w:t>
      </w:r>
      <w:r>
        <w:rPr>
          <w:w w:val="115"/>
          <w:sz w:val="20"/>
        </w:rPr>
        <w:t>’ with ‘</w:t>
      </w:r>
      <w:r>
        <w:rPr>
          <w:rFonts w:ascii="Stone Sans II ITC Std Bk" w:hAnsi="Stone Sans II ITC Std Bk"/>
          <w:b/>
          <w:w w:val="115"/>
          <w:sz w:val="20"/>
        </w:rPr>
        <w:t>incorporate within and as part</w:t>
      </w:r>
      <w:r>
        <w:rPr>
          <w:rFonts w:ascii="Stone Sans II ITC Std Bk" w:hAnsi="Stone Sans II ITC Std Bk"/>
          <w:b/>
          <w:spacing w:val="-39"/>
          <w:w w:val="115"/>
          <w:sz w:val="20"/>
        </w:rPr>
        <w:t> </w:t>
      </w:r>
      <w:r>
        <w:rPr>
          <w:rFonts w:ascii="Stone Sans II ITC Std Bk" w:hAnsi="Stone Sans II ITC Std Bk"/>
          <w:b/>
          <w:spacing w:val="-3"/>
          <w:w w:val="115"/>
          <w:sz w:val="20"/>
        </w:rPr>
        <w:t>of</w:t>
      </w:r>
      <w:r>
        <w:rPr>
          <w:spacing w:val="-3"/>
          <w:w w:val="115"/>
          <w:sz w:val="20"/>
        </w:rPr>
        <w:t>’. </w:t>
      </w:r>
      <w:r>
        <w:rPr>
          <w:w w:val="115"/>
          <w:sz w:val="20"/>
        </w:rPr>
        <w:t>Delete the whole of the final</w:t>
      </w:r>
      <w:r>
        <w:rPr>
          <w:spacing w:val="37"/>
          <w:w w:val="115"/>
          <w:sz w:val="20"/>
        </w:rPr>
        <w:t> </w:t>
      </w:r>
      <w:r>
        <w:rPr>
          <w:w w:val="115"/>
          <w:sz w:val="20"/>
        </w:rPr>
        <w:t>sentence.</w:t>
      </w:r>
    </w:p>
    <w:p>
      <w:pPr>
        <w:pStyle w:val="BodyText"/>
        <w:tabs>
          <w:tab w:pos="2154" w:val="left" w:leader="none"/>
        </w:tabs>
        <w:spacing w:before="9"/>
        <w:ind w:left="1134"/>
        <w:rPr>
          <w:rFonts w:ascii="Stone Sans II ITC Std Bk"/>
          <w:b/>
        </w:rPr>
      </w:pPr>
      <w:r>
        <w:rPr>
          <w:rFonts w:ascii="Stone Sans II ITC Std Bk"/>
          <w:b/>
          <w:spacing w:val="-5"/>
          <w:w w:val="115"/>
        </w:rPr>
        <w:t>F.4</w:t>
        <w:tab/>
      </w:r>
      <w:r>
        <w:rPr>
          <w:w w:val="115"/>
        </w:rPr>
        <w:t>Change the paragraph reference in the text from </w:t>
      </w:r>
      <w:r>
        <w:rPr>
          <w:rFonts w:ascii="Stone Sans II ITC Std Bk"/>
          <w:b/>
          <w:spacing w:val="2"/>
          <w:w w:val="115"/>
        </w:rPr>
        <w:t>J.2 </w:t>
      </w:r>
      <w:r>
        <w:rPr>
          <w:w w:val="115"/>
        </w:rPr>
        <w:t>to</w:t>
      </w:r>
      <w:r>
        <w:rPr>
          <w:spacing w:val="2"/>
          <w:w w:val="115"/>
        </w:rPr>
        <w:t> </w:t>
      </w:r>
      <w:r>
        <w:rPr>
          <w:rFonts w:ascii="Stone Sans II ITC Std Bk"/>
          <w:b/>
          <w:w w:val="115"/>
        </w:rPr>
        <w:t>J.3</w:t>
      </w:r>
    </w:p>
    <w:p>
      <w:pPr>
        <w:tabs>
          <w:tab w:pos="2154" w:val="left" w:leader="none"/>
        </w:tabs>
        <w:spacing w:line="213" w:lineRule="auto" w:before="91"/>
        <w:ind w:left="2154" w:right="2225" w:hanging="1021"/>
        <w:jc w:val="left"/>
        <w:rPr>
          <w:sz w:val="20"/>
        </w:rPr>
      </w:pPr>
      <w:r>
        <w:rPr>
          <w:rFonts w:ascii="Stone Sans II ITC Std Bk" w:hAnsi="Stone Sans II ITC Std Bk"/>
          <w:b/>
          <w:spacing w:val="-3"/>
          <w:w w:val="115"/>
          <w:sz w:val="20"/>
        </w:rPr>
        <w:t>F.5.2</w:t>
        <w:tab/>
      </w:r>
      <w:r>
        <w:rPr>
          <w:w w:val="115"/>
          <w:sz w:val="20"/>
        </w:rPr>
        <w:t>Replace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w w:val="115"/>
          <w:sz w:val="20"/>
        </w:rPr>
        <w:t>‘</w:t>
      </w:r>
      <w:r>
        <w:rPr>
          <w:rFonts w:ascii="Stone Sans II ITC Std Bk" w:hAnsi="Stone Sans II ITC Std Bk"/>
          <w:b/>
          <w:w w:val="115"/>
          <w:sz w:val="20"/>
        </w:rPr>
        <w:t>appended</w:t>
      </w:r>
      <w:r>
        <w:rPr>
          <w:rFonts w:ascii="Stone Sans II ITC Std Bk" w:hAnsi="Stone Sans II ITC Std Bk"/>
          <w:b/>
          <w:spacing w:val="-13"/>
          <w:w w:val="115"/>
          <w:sz w:val="20"/>
        </w:rPr>
        <w:t> </w:t>
      </w:r>
      <w:r>
        <w:rPr>
          <w:rFonts w:ascii="Stone Sans II ITC Std Bk" w:hAnsi="Stone Sans II ITC Std Bk"/>
          <w:b/>
          <w:spacing w:val="-3"/>
          <w:w w:val="115"/>
          <w:sz w:val="20"/>
        </w:rPr>
        <w:t>to</w:t>
      </w:r>
      <w:r>
        <w:rPr>
          <w:spacing w:val="-3"/>
          <w:w w:val="115"/>
          <w:sz w:val="20"/>
        </w:rPr>
        <w:t>’</w:t>
      </w:r>
      <w:r>
        <w:rPr>
          <w:spacing w:val="-5"/>
          <w:w w:val="115"/>
          <w:sz w:val="20"/>
        </w:rPr>
        <w:t> </w:t>
      </w:r>
      <w:r>
        <w:rPr>
          <w:w w:val="115"/>
          <w:sz w:val="20"/>
        </w:rPr>
        <w:t>with</w:t>
      </w:r>
      <w:r>
        <w:rPr>
          <w:spacing w:val="-6"/>
          <w:w w:val="115"/>
          <w:sz w:val="20"/>
        </w:rPr>
        <w:t> </w:t>
      </w:r>
      <w:r>
        <w:rPr>
          <w:w w:val="115"/>
          <w:sz w:val="20"/>
        </w:rPr>
        <w:t>‘</w:t>
      </w:r>
      <w:r>
        <w:rPr>
          <w:rFonts w:ascii="Stone Sans II ITC Std Bk" w:hAnsi="Stone Sans II ITC Std Bk"/>
          <w:b/>
          <w:w w:val="115"/>
          <w:sz w:val="20"/>
        </w:rPr>
        <w:t>incorporated</w:t>
      </w:r>
      <w:r>
        <w:rPr>
          <w:rFonts w:ascii="Stone Sans II ITC Std Bk" w:hAnsi="Stone Sans II ITC Std Bk"/>
          <w:b/>
          <w:spacing w:val="-13"/>
          <w:w w:val="115"/>
          <w:sz w:val="20"/>
        </w:rPr>
        <w:t> </w:t>
      </w:r>
      <w:r>
        <w:rPr>
          <w:rFonts w:ascii="Stone Sans II ITC Std Bk" w:hAnsi="Stone Sans II ITC Std Bk"/>
          <w:b/>
          <w:w w:val="115"/>
          <w:sz w:val="20"/>
        </w:rPr>
        <w:t>within</w:t>
      </w:r>
      <w:r>
        <w:rPr>
          <w:rFonts w:ascii="Stone Sans II ITC Std Bk" w:hAnsi="Stone Sans II ITC Std Bk"/>
          <w:b/>
          <w:spacing w:val="-12"/>
          <w:w w:val="115"/>
          <w:sz w:val="20"/>
        </w:rPr>
        <w:t> </w:t>
      </w:r>
      <w:r>
        <w:rPr>
          <w:rFonts w:ascii="Stone Sans II ITC Std Bk" w:hAnsi="Stone Sans II ITC Std Bk"/>
          <w:b/>
          <w:w w:val="115"/>
          <w:sz w:val="20"/>
        </w:rPr>
        <w:t>and</w:t>
      </w:r>
      <w:r>
        <w:rPr>
          <w:rFonts w:ascii="Stone Sans II ITC Std Bk" w:hAnsi="Stone Sans II ITC Std Bk"/>
          <w:b/>
          <w:spacing w:val="-13"/>
          <w:w w:val="115"/>
          <w:sz w:val="20"/>
        </w:rPr>
        <w:t> </w:t>
      </w:r>
      <w:r>
        <w:rPr>
          <w:rFonts w:ascii="Stone Sans II ITC Std Bk" w:hAnsi="Stone Sans II ITC Std Bk"/>
          <w:b/>
          <w:w w:val="115"/>
          <w:sz w:val="20"/>
        </w:rPr>
        <w:t>forming part</w:t>
      </w:r>
      <w:r>
        <w:rPr>
          <w:rFonts w:ascii="Stone Sans II ITC Std Bk" w:hAnsi="Stone Sans II ITC Std Bk"/>
          <w:b/>
          <w:spacing w:val="-3"/>
          <w:w w:val="115"/>
          <w:sz w:val="20"/>
        </w:rPr>
        <w:t> of</w:t>
      </w:r>
      <w:r>
        <w:rPr>
          <w:spacing w:val="-3"/>
          <w:w w:val="115"/>
          <w:sz w:val="20"/>
        </w:rPr>
        <w:t>’.</w:t>
      </w:r>
    </w:p>
    <w:p>
      <w:pPr>
        <w:tabs>
          <w:tab w:pos="2154" w:val="left" w:leader="none"/>
        </w:tabs>
        <w:spacing w:line="213" w:lineRule="auto" w:before="98"/>
        <w:ind w:left="2154" w:right="2225" w:hanging="1021"/>
        <w:jc w:val="left"/>
        <w:rPr>
          <w:sz w:val="20"/>
        </w:rPr>
      </w:pPr>
      <w:r>
        <w:rPr>
          <w:rFonts w:ascii="Stone Sans II ITC Std Bk" w:hAnsi="Stone Sans II ITC Std Bk"/>
          <w:b/>
          <w:spacing w:val="-3"/>
          <w:w w:val="115"/>
          <w:sz w:val="20"/>
        </w:rPr>
        <w:t>F.6.4</w:t>
        <w:tab/>
      </w:r>
      <w:r>
        <w:rPr>
          <w:w w:val="115"/>
          <w:sz w:val="20"/>
        </w:rPr>
        <w:t>Replace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w w:val="115"/>
          <w:sz w:val="20"/>
        </w:rPr>
        <w:t>‘</w:t>
      </w:r>
      <w:r>
        <w:rPr>
          <w:rFonts w:ascii="Stone Sans II ITC Std Bk" w:hAnsi="Stone Sans II ITC Std Bk"/>
          <w:b/>
          <w:w w:val="115"/>
          <w:sz w:val="20"/>
        </w:rPr>
        <w:t>appended</w:t>
      </w:r>
      <w:r>
        <w:rPr>
          <w:rFonts w:ascii="Stone Sans II ITC Std Bk" w:hAnsi="Stone Sans II ITC Std Bk"/>
          <w:b/>
          <w:spacing w:val="-13"/>
          <w:w w:val="115"/>
          <w:sz w:val="20"/>
        </w:rPr>
        <w:t> </w:t>
      </w:r>
      <w:r>
        <w:rPr>
          <w:rFonts w:ascii="Stone Sans II ITC Std Bk" w:hAnsi="Stone Sans II ITC Std Bk"/>
          <w:b/>
          <w:spacing w:val="-3"/>
          <w:w w:val="115"/>
          <w:sz w:val="20"/>
        </w:rPr>
        <w:t>to</w:t>
      </w:r>
      <w:r>
        <w:rPr>
          <w:spacing w:val="-3"/>
          <w:w w:val="115"/>
          <w:sz w:val="20"/>
        </w:rPr>
        <w:t>’</w:t>
      </w:r>
      <w:r>
        <w:rPr>
          <w:spacing w:val="-5"/>
          <w:w w:val="115"/>
          <w:sz w:val="20"/>
        </w:rPr>
        <w:t> </w:t>
      </w:r>
      <w:r>
        <w:rPr>
          <w:w w:val="115"/>
          <w:sz w:val="20"/>
        </w:rPr>
        <w:t>with</w:t>
      </w:r>
      <w:r>
        <w:rPr>
          <w:spacing w:val="-6"/>
          <w:w w:val="115"/>
          <w:sz w:val="20"/>
        </w:rPr>
        <w:t> </w:t>
      </w:r>
      <w:r>
        <w:rPr>
          <w:w w:val="115"/>
          <w:sz w:val="20"/>
        </w:rPr>
        <w:t>‘</w:t>
      </w:r>
      <w:r>
        <w:rPr>
          <w:rFonts w:ascii="Stone Sans II ITC Std Bk" w:hAnsi="Stone Sans II ITC Std Bk"/>
          <w:b/>
          <w:w w:val="115"/>
          <w:sz w:val="20"/>
        </w:rPr>
        <w:t>incorporated</w:t>
      </w:r>
      <w:r>
        <w:rPr>
          <w:rFonts w:ascii="Stone Sans II ITC Std Bk" w:hAnsi="Stone Sans II ITC Std Bk"/>
          <w:b/>
          <w:spacing w:val="-13"/>
          <w:w w:val="115"/>
          <w:sz w:val="20"/>
        </w:rPr>
        <w:t> </w:t>
      </w:r>
      <w:r>
        <w:rPr>
          <w:rFonts w:ascii="Stone Sans II ITC Std Bk" w:hAnsi="Stone Sans II ITC Std Bk"/>
          <w:b/>
          <w:w w:val="115"/>
          <w:sz w:val="20"/>
        </w:rPr>
        <w:t>within</w:t>
      </w:r>
      <w:r>
        <w:rPr>
          <w:rFonts w:ascii="Stone Sans II ITC Std Bk" w:hAnsi="Stone Sans II ITC Std Bk"/>
          <w:b/>
          <w:spacing w:val="-12"/>
          <w:w w:val="115"/>
          <w:sz w:val="20"/>
        </w:rPr>
        <w:t> </w:t>
      </w:r>
      <w:r>
        <w:rPr>
          <w:rFonts w:ascii="Stone Sans II ITC Std Bk" w:hAnsi="Stone Sans II ITC Std Bk"/>
          <w:b/>
          <w:w w:val="115"/>
          <w:sz w:val="20"/>
        </w:rPr>
        <w:t>and</w:t>
      </w:r>
      <w:r>
        <w:rPr>
          <w:rFonts w:ascii="Stone Sans II ITC Std Bk" w:hAnsi="Stone Sans II ITC Std Bk"/>
          <w:b/>
          <w:spacing w:val="-13"/>
          <w:w w:val="115"/>
          <w:sz w:val="20"/>
        </w:rPr>
        <w:t> </w:t>
      </w:r>
      <w:r>
        <w:rPr>
          <w:rFonts w:ascii="Stone Sans II ITC Std Bk" w:hAnsi="Stone Sans II ITC Std Bk"/>
          <w:b/>
          <w:w w:val="115"/>
          <w:sz w:val="20"/>
        </w:rPr>
        <w:t>forming part</w:t>
      </w:r>
      <w:r>
        <w:rPr>
          <w:rFonts w:ascii="Stone Sans II ITC Std Bk" w:hAnsi="Stone Sans II ITC Std Bk"/>
          <w:b/>
          <w:spacing w:val="-3"/>
          <w:w w:val="115"/>
          <w:sz w:val="20"/>
        </w:rPr>
        <w:t> of</w:t>
      </w:r>
      <w:r>
        <w:rPr>
          <w:spacing w:val="-3"/>
          <w:w w:val="115"/>
          <w:sz w:val="20"/>
        </w:rPr>
        <w:t>’.</w:t>
      </w:r>
    </w:p>
    <w:p>
      <w:pPr>
        <w:tabs>
          <w:tab w:pos="2155" w:val="left" w:leader="none"/>
        </w:tabs>
        <w:spacing w:before="76"/>
        <w:ind w:left="1134" w:right="0" w:firstLine="0"/>
        <w:jc w:val="left"/>
        <w:rPr>
          <w:sz w:val="20"/>
        </w:rPr>
      </w:pPr>
      <w:r>
        <w:rPr>
          <w:rFonts w:ascii="Stone Sans II ITC Std Bk" w:hAnsi="Stone Sans II ITC Std Bk"/>
          <w:b/>
          <w:spacing w:val="-6"/>
          <w:w w:val="115"/>
          <w:sz w:val="20"/>
        </w:rPr>
        <w:t>G.1.3</w:t>
        <w:tab/>
      </w:r>
      <w:r>
        <w:rPr>
          <w:w w:val="115"/>
          <w:sz w:val="20"/>
        </w:rPr>
        <w:t>Replace the words ‘</w:t>
      </w:r>
      <w:r>
        <w:rPr>
          <w:rFonts w:ascii="Stone Sans II ITC Std Bk" w:hAnsi="Stone Sans II ITC Std Bk"/>
          <w:b/>
          <w:w w:val="115"/>
          <w:sz w:val="20"/>
        </w:rPr>
        <w:t>Section E</w:t>
      </w:r>
      <w:r>
        <w:rPr>
          <w:w w:val="115"/>
          <w:sz w:val="20"/>
        </w:rPr>
        <w:t>’ with ‘</w:t>
      </w:r>
      <w:r>
        <w:rPr>
          <w:rFonts w:ascii="Stone Sans II ITC Std Bk" w:hAnsi="Stone Sans II ITC Std Bk"/>
          <w:b/>
          <w:w w:val="115"/>
          <w:sz w:val="20"/>
        </w:rPr>
        <w:t>Sections E and</w:t>
      </w:r>
      <w:r>
        <w:rPr>
          <w:rFonts w:ascii="Stone Sans II ITC Std Bk" w:hAnsi="Stone Sans II ITC Std Bk"/>
          <w:b/>
          <w:spacing w:val="12"/>
          <w:w w:val="115"/>
          <w:sz w:val="20"/>
        </w:rPr>
        <w:t> </w:t>
      </w:r>
      <w:r>
        <w:rPr>
          <w:rFonts w:ascii="Stone Sans II ITC Std Bk" w:hAnsi="Stone Sans II ITC Std Bk"/>
          <w:b/>
          <w:spacing w:val="-6"/>
          <w:w w:val="115"/>
          <w:sz w:val="20"/>
        </w:rPr>
        <w:t>F</w:t>
      </w:r>
      <w:r>
        <w:rPr>
          <w:spacing w:val="-6"/>
          <w:w w:val="115"/>
          <w:sz w:val="20"/>
        </w:rPr>
        <w:t>’.</w:t>
      </w:r>
    </w:p>
    <w:p>
      <w:pPr>
        <w:tabs>
          <w:tab w:pos="2155" w:val="left" w:leader="none"/>
        </w:tabs>
        <w:spacing w:line="213" w:lineRule="auto" w:before="91"/>
        <w:ind w:left="2155" w:right="2224" w:hanging="1021"/>
        <w:jc w:val="left"/>
        <w:rPr>
          <w:sz w:val="20"/>
        </w:rPr>
      </w:pPr>
      <w:r>
        <w:rPr>
          <w:rFonts w:ascii="Stone Sans II ITC Std Bk" w:hAnsi="Stone Sans II ITC Std Bk"/>
          <w:b/>
          <w:w w:val="115"/>
          <w:sz w:val="20"/>
        </w:rPr>
        <w:t>G.8.4</w:t>
        <w:tab/>
      </w:r>
      <w:r>
        <w:rPr>
          <w:w w:val="115"/>
          <w:sz w:val="20"/>
        </w:rPr>
        <w:t>Replace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w w:val="115"/>
          <w:sz w:val="20"/>
        </w:rPr>
        <w:t>‘</w:t>
      </w:r>
      <w:r>
        <w:rPr>
          <w:rFonts w:ascii="Stone Sans II ITC Std Bk" w:hAnsi="Stone Sans II ITC Std Bk"/>
          <w:b/>
          <w:w w:val="115"/>
          <w:sz w:val="20"/>
        </w:rPr>
        <w:t>appended</w:t>
      </w:r>
      <w:r>
        <w:rPr>
          <w:rFonts w:ascii="Stone Sans II ITC Std Bk" w:hAnsi="Stone Sans II ITC Std Bk"/>
          <w:b/>
          <w:spacing w:val="-13"/>
          <w:w w:val="115"/>
          <w:sz w:val="20"/>
        </w:rPr>
        <w:t> </w:t>
      </w:r>
      <w:r>
        <w:rPr>
          <w:rFonts w:ascii="Stone Sans II ITC Std Bk" w:hAnsi="Stone Sans II ITC Std Bk"/>
          <w:b/>
          <w:spacing w:val="-3"/>
          <w:w w:val="115"/>
          <w:sz w:val="20"/>
        </w:rPr>
        <w:t>to</w:t>
      </w:r>
      <w:r>
        <w:rPr>
          <w:spacing w:val="-3"/>
          <w:w w:val="115"/>
          <w:sz w:val="20"/>
        </w:rPr>
        <w:t>’</w:t>
      </w:r>
      <w:r>
        <w:rPr>
          <w:spacing w:val="-5"/>
          <w:w w:val="115"/>
          <w:sz w:val="20"/>
        </w:rPr>
        <w:t> </w:t>
      </w:r>
      <w:r>
        <w:rPr>
          <w:w w:val="115"/>
          <w:sz w:val="20"/>
        </w:rPr>
        <w:t>with</w:t>
      </w:r>
      <w:r>
        <w:rPr>
          <w:spacing w:val="-6"/>
          <w:w w:val="115"/>
          <w:sz w:val="20"/>
        </w:rPr>
        <w:t> </w:t>
      </w:r>
      <w:r>
        <w:rPr>
          <w:w w:val="115"/>
          <w:sz w:val="20"/>
        </w:rPr>
        <w:t>‘</w:t>
      </w:r>
      <w:r>
        <w:rPr>
          <w:rFonts w:ascii="Stone Sans II ITC Std Bk" w:hAnsi="Stone Sans II ITC Std Bk"/>
          <w:b/>
          <w:w w:val="115"/>
          <w:sz w:val="20"/>
        </w:rPr>
        <w:t>incorporated</w:t>
      </w:r>
      <w:r>
        <w:rPr>
          <w:rFonts w:ascii="Stone Sans II ITC Std Bk" w:hAnsi="Stone Sans II ITC Std Bk"/>
          <w:b/>
          <w:spacing w:val="-13"/>
          <w:w w:val="115"/>
          <w:sz w:val="20"/>
        </w:rPr>
        <w:t> </w:t>
      </w:r>
      <w:r>
        <w:rPr>
          <w:rFonts w:ascii="Stone Sans II ITC Std Bk" w:hAnsi="Stone Sans II ITC Std Bk"/>
          <w:b/>
          <w:w w:val="115"/>
          <w:sz w:val="20"/>
        </w:rPr>
        <w:t>within</w:t>
      </w:r>
      <w:r>
        <w:rPr>
          <w:rFonts w:ascii="Stone Sans II ITC Std Bk" w:hAnsi="Stone Sans II ITC Std Bk"/>
          <w:b/>
          <w:spacing w:val="-12"/>
          <w:w w:val="115"/>
          <w:sz w:val="20"/>
        </w:rPr>
        <w:t> </w:t>
      </w:r>
      <w:r>
        <w:rPr>
          <w:rFonts w:ascii="Stone Sans II ITC Std Bk" w:hAnsi="Stone Sans II ITC Std Bk"/>
          <w:b/>
          <w:w w:val="115"/>
          <w:sz w:val="20"/>
        </w:rPr>
        <w:t>and</w:t>
      </w:r>
      <w:r>
        <w:rPr>
          <w:rFonts w:ascii="Stone Sans II ITC Std Bk" w:hAnsi="Stone Sans II ITC Std Bk"/>
          <w:b/>
          <w:spacing w:val="-13"/>
          <w:w w:val="115"/>
          <w:sz w:val="20"/>
        </w:rPr>
        <w:t> </w:t>
      </w:r>
      <w:r>
        <w:rPr>
          <w:rFonts w:ascii="Stone Sans II ITC Std Bk" w:hAnsi="Stone Sans II ITC Std Bk"/>
          <w:b/>
          <w:w w:val="115"/>
          <w:sz w:val="20"/>
        </w:rPr>
        <w:t>forming part</w:t>
      </w:r>
      <w:r>
        <w:rPr>
          <w:rFonts w:ascii="Stone Sans II ITC Std Bk" w:hAnsi="Stone Sans II ITC Std Bk"/>
          <w:b/>
          <w:spacing w:val="-3"/>
          <w:w w:val="115"/>
          <w:sz w:val="20"/>
        </w:rPr>
        <w:t> of</w:t>
      </w:r>
      <w:r>
        <w:rPr>
          <w:spacing w:val="-3"/>
          <w:w w:val="115"/>
          <w:sz w:val="20"/>
        </w:rPr>
        <w:t>’.</w:t>
      </w:r>
    </w:p>
    <w:p>
      <w:pPr>
        <w:numPr>
          <w:ilvl w:val="2"/>
          <w:numId w:val="82"/>
        </w:numPr>
        <w:tabs>
          <w:tab w:pos="2155" w:val="left" w:leader="none"/>
          <w:tab w:pos="2156" w:val="left" w:leader="none"/>
        </w:tabs>
        <w:spacing w:line="213" w:lineRule="auto" w:before="98"/>
        <w:ind w:left="2155" w:right="2059" w:hanging="1021"/>
        <w:jc w:val="left"/>
        <w:rPr>
          <w:sz w:val="20"/>
        </w:rPr>
      </w:pPr>
      <w:r>
        <w:rPr>
          <w:spacing w:val="-3"/>
          <w:w w:val="110"/>
          <w:sz w:val="20"/>
        </w:rPr>
        <w:t>Replace </w:t>
      </w:r>
      <w:r>
        <w:rPr>
          <w:w w:val="110"/>
          <w:sz w:val="20"/>
        </w:rPr>
        <w:t>the </w:t>
      </w:r>
      <w:r>
        <w:rPr>
          <w:spacing w:val="-3"/>
          <w:w w:val="110"/>
          <w:sz w:val="20"/>
        </w:rPr>
        <w:t>words </w:t>
      </w:r>
      <w:r>
        <w:rPr>
          <w:w w:val="110"/>
          <w:sz w:val="20"/>
        </w:rPr>
        <w:t>‘</w:t>
      </w:r>
      <w:r>
        <w:rPr>
          <w:rFonts w:ascii="Stone Sans II ITC Std Bk" w:hAnsi="Stone Sans II ITC Std Bk"/>
          <w:b/>
          <w:w w:val="110"/>
          <w:sz w:val="20"/>
        </w:rPr>
        <w:t>in its written statement </w:t>
      </w:r>
      <w:r>
        <w:rPr>
          <w:rFonts w:ascii="Stone Sans II ITC Std Bk" w:hAnsi="Stone Sans II ITC Std Bk"/>
          <w:b/>
          <w:spacing w:val="-5"/>
          <w:w w:val="110"/>
          <w:sz w:val="20"/>
        </w:rPr>
        <w:t>(see </w:t>
      </w:r>
      <w:r>
        <w:rPr>
          <w:rFonts w:ascii="Stone Sans II ITC Std Bk" w:hAnsi="Stone Sans II ITC Std Bk"/>
          <w:b/>
          <w:w w:val="110"/>
          <w:sz w:val="20"/>
        </w:rPr>
        <w:t>Paragraph </w:t>
      </w:r>
      <w:r>
        <w:rPr>
          <w:rFonts w:ascii="Stone Sans II ITC Std Bk" w:hAnsi="Stone Sans II ITC Std Bk"/>
          <w:b/>
          <w:spacing w:val="-10"/>
          <w:w w:val="110"/>
          <w:sz w:val="20"/>
        </w:rPr>
        <w:t>G.13.3) </w:t>
      </w:r>
      <w:r>
        <w:rPr>
          <w:rFonts w:ascii="Stone Sans II ITC Std Bk" w:hAnsi="Stone Sans II ITC Std Bk"/>
          <w:b/>
          <w:w w:val="110"/>
          <w:sz w:val="20"/>
        </w:rPr>
        <w:t>append such recommendations </w:t>
      </w:r>
      <w:r>
        <w:rPr>
          <w:rFonts w:ascii="Stone Sans II ITC Std Bk" w:hAnsi="Stone Sans II ITC Std Bk"/>
          <w:b/>
          <w:spacing w:val="-4"/>
          <w:w w:val="110"/>
          <w:sz w:val="20"/>
        </w:rPr>
        <w:t>to’ </w:t>
      </w:r>
      <w:r>
        <w:rPr>
          <w:w w:val="110"/>
          <w:sz w:val="20"/>
        </w:rPr>
        <w:t>with </w:t>
      </w:r>
      <w:r>
        <w:rPr>
          <w:rFonts w:ascii="Stone Sans II ITC Std Bk" w:hAnsi="Stone Sans II ITC Std Bk"/>
          <w:b/>
          <w:spacing w:val="-3"/>
          <w:w w:val="110"/>
          <w:sz w:val="20"/>
        </w:rPr>
        <w:t>‘incorporate </w:t>
      </w:r>
      <w:r>
        <w:rPr>
          <w:rFonts w:ascii="Stone Sans II ITC Std Bk" w:hAnsi="Stone Sans II ITC Std Bk"/>
          <w:b/>
          <w:w w:val="110"/>
          <w:sz w:val="20"/>
        </w:rPr>
        <w:t>within and as part</w:t>
      </w:r>
      <w:r>
        <w:rPr>
          <w:rFonts w:ascii="Stone Sans II ITC Std Bk" w:hAnsi="Stone Sans II ITC Std Bk"/>
          <w:b/>
          <w:spacing w:val="-25"/>
          <w:w w:val="110"/>
          <w:sz w:val="20"/>
        </w:rPr>
        <w:t> </w:t>
      </w:r>
      <w:r>
        <w:rPr>
          <w:rFonts w:ascii="Stone Sans II ITC Std Bk" w:hAnsi="Stone Sans II ITC Std Bk"/>
          <w:b/>
          <w:spacing w:val="-4"/>
          <w:w w:val="110"/>
          <w:sz w:val="20"/>
        </w:rPr>
        <w:t>of</w:t>
      </w:r>
      <w:r>
        <w:rPr>
          <w:spacing w:val="-4"/>
          <w:w w:val="110"/>
          <w:sz w:val="20"/>
        </w:rPr>
        <w:t>’.</w:t>
      </w:r>
    </w:p>
    <w:p>
      <w:pPr>
        <w:spacing w:line="213" w:lineRule="auto" w:before="98"/>
        <w:ind w:left="2155" w:right="2251" w:firstLine="0"/>
        <w:jc w:val="left"/>
        <w:rPr>
          <w:sz w:val="20"/>
        </w:rPr>
      </w:pPr>
      <w:r>
        <w:rPr>
          <w:w w:val="115"/>
          <w:sz w:val="20"/>
        </w:rPr>
        <w:t>End the final sentence with the words ‘</w:t>
      </w:r>
      <w:r>
        <w:rPr>
          <w:rFonts w:ascii="Stone Sans II ITC Std Bk" w:hAnsi="Stone Sans II ITC Std Bk"/>
          <w:b/>
          <w:w w:val="115"/>
          <w:sz w:val="20"/>
        </w:rPr>
        <w:t>the Minister only</w:t>
      </w:r>
      <w:r>
        <w:rPr>
          <w:w w:val="115"/>
          <w:sz w:val="20"/>
        </w:rPr>
        <w:t>’ and delete the words</w:t>
      </w:r>
      <w:r>
        <w:rPr>
          <w:spacing w:val="-11"/>
          <w:w w:val="115"/>
          <w:sz w:val="20"/>
        </w:rPr>
        <w:t> </w:t>
      </w:r>
      <w:r>
        <w:rPr>
          <w:spacing w:val="-3"/>
          <w:w w:val="115"/>
          <w:sz w:val="20"/>
        </w:rPr>
        <w:t>‘</w:t>
      </w:r>
      <w:r>
        <w:rPr>
          <w:rFonts w:ascii="Stone Sans II ITC Std Bk" w:hAnsi="Stone Sans II ITC Std Bk"/>
          <w:b/>
          <w:spacing w:val="-3"/>
          <w:w w:val="115"/>
          <w:sz w:val="20"/>
        </w:rPr>
        <w:t>and</w:t>
      </w:r>
      <w:r>
        <w:rPr>
          <w:rFonts w:ascii="Stone Sans II ITC Std Bk" w:hAnsi="Stone Sans II ITC Std Bk"/>
          <w:b/>
          <w:spacing w:val="-17"/>
          <w:w w:val="115"/>
          <w:sz w:val="20"/>
        </w:rPr>
        <w:t> </w:t>
      </w:r>
      <w:r>
        <w:rPr>
          <w:rFonts w:ascii="Stone Sans II ITC Std Bk" w:hAnsi="Stone Sans II ITC Std Bk"/>
          <w:b/>
          <w:w w:val="115"/>
          <w:sz w:val="20"/>
        </w:rPr>
        <w:t>that</w:t>
      </w:r>
      <w:r>
        <w:rPr>
          <w:rFonts w:ascii="Stone Sans II ITC Std Bk" w:hAnsi="Stone Sans II ITC Std Bk"/>
          <w:b/>
          <w:spacing w:val="-18"/>
          <w:w w:val="115"/>
          <w:sz w:val="20"/>
        </w:rPr>
        <w:t> </w:t>
      </w:r>
      <w:r>
        <w:rPr>
          <w:rFonts w:ascii="Stone Sans II ITC Std Bk" w:hAnsi="Stone Sans II ITC Std Bk"/>
          <w:b/>
          <w:w w:val="115"/>
          <w:sz w:val="20"/>
        </w:rPr>
        <w:t>they</w:t>
      </w:r>
      <w:r>
        <w:rPr>
          <w:rFonts w:ascii="Stone Sans II ITC Std Bk" w:hAnsi="Stone Sans II ITC Std Bk"/>
          <w:b/>
          <w:spacing w:val="-18"/>
          <w:w w:val="115"/>
          <w:sz w:val="20"/>
        </w:rPr>
        <w:t> </w:t>
      </w:r>
      <w:r>
        <w:rPr>
          <w:rFonts w:ascii="Stone Sans II ITC Std Bk" w:hAnsi="Stone Sans II ITC Std Bk"/>
          <w:b/>
          <w:w w:val="115"/>
          <w:sz w:val="20"/>
        </w:rPr>
        <w:t>are</w:t>
      </w:r>
      <w:r>
        <w:rPr>
          <w:rFonts w:ascii="Stone Sans II ITC Std Bk" w:hAnsi="Stone Sans II ITC Std Bk"/>
          <w:b/>
          <w:spacing w:val="-18"/>
          <w:w w:val="115"/>
          <w:sz w:val="20"/>
        </w:rPr>
        <w:t> </w:t>
      </w:r>
      <w:r>
        <w:rPr>
          <w:rFonts w:ascii="Stone Sans II ITC Std Bk" w:hAnsi="Stone Sans II ITC Std Bk"/>
          <w:b/>
          <w:w w:val="115"/>
          <w:sz w:val="20"/>
        </w:rPr>
        <w:t>of</w:t>
      </w:r>
      <w:r>
        <w:rPr>
          <w:rFonts w:ascii="Stone Sans II ITC Std Bk" w:hAnsi="Stone Sans II ITC Std Bk"/>
          <w:b/>
          <w:spacing w:val="-18"/>
          <w:w w:val="115"/>
          <w:sz w:val="20"/>
        </w:rPr>
        <w:t> </w:t>
      </w:r>
      <w:r>
        <w:rPr>
          <w:rFonts w:ascii="Stone Sans II ITC Std Bk" w:hAnsi="Stone Sans II ITC Std Bk"/>
          <w:b/>
          <w:w w:val="115"/>
          <w:sz w:val="20"/>
        </w:rPr>
        <w:t>an</w:t>
      </w:r>
      <w:r>
        <w:rPr>
          <w:rFonts w:ascii="Stone Sans II ITC Std Bk" w:hAnsi="Stone Sans II ITC Std Bk"/>
          <w:b/>
          <w:spacing w:val="-17"/>
          <w:w w:val="115"/>
          <w:sz w:val="20"/>
        </w:rPr>
        <w:t> </w:t>
      </w:r>
      <w:r>
        <w:rPr>
          <w:rFonts w:ascii="Stone Sans II ITC Std Bk" w:hAnsi="Stone Sans II ITC Std Bk"/>
          <w:b/>
          <w:w w:val="115"/>
          <w:sz w:val="20"/>
        </w:rPr>
        <w:t>advisory</w:t>
      </w:r>
      <w:r>
        <w:rPr>
          <w:rFonts w:ascii="Stone Sans II ITC Std Bk" w:hAnsi="Stone Sans II ITC Std Bk"/>
          <w:b/>
          <w:spacing w:val="-18"/>
          <w:w w:val="115"/>
          <w:sz w:val="20"/>
        </w:rPr>
        <w:t> </w:t>
      </w:r>
      <w:r>
        <w:rPr>
          <w:rFonts w:ascii="Stone Sans II ITC Std Bk" w:hAnsi="Stone Sans II ITC Std Bk"/>
          <w:b/>
          <w:w w:val="115"/>
          <w:sz w:val="20"/>
        </w:rPr>
        <w:t>nature</w:t>
      </w:r>
      <w:r>
        <w:rPr>
          <w:rFonts w:ascii="Stone Sans II ITC Std Bk" w:hAnsi="Stone Sans II ITC Std Bk"/>
          <w:b/>
          <w:spacing w:val="-18"/>
          <w:w w:val="115"/>
          <w:sz w:val="20"/>
        </w:rPr>
        <w:t> </w:t>
      </w:r>
      <w:r>
        <w:rPr>
          <w:rFonts w:ascii="Stone Sans II ITC Std Bk" w:hAnsi="Stone Sans II ITC Std Bk"/>
          <w:b/>
          <w:w w:val="115"/>
          <w:sz w:val="20"/>
        </w:rPr>
        <w:t>and</w:t>
      </w:r>
      <w:r>
        <w:rPr>
          <w:rFonts w:ascii="Stone Sans II ITC Std Bk" w:hAnsi="Stone Sans II ITC Std Bk"/>
          <w:b/>
          <w:spacing w:val="-18"/>
          <w:w w:val="115"/>
          <w:sz w:val="20"/>
        </w:rPr>
        <w:t> </w:t>
      </w:r>
      <w:r>
        <w:rPr>
          <w:rFonts w:ascii="Stone Sans II ITC Std Bk" w:hAnsi="Stone Sans II ITC Std Bk"/>
          <w:b/>
          <w:w w:val="115"/>
          <w:sz w:val="20"/>
        </w:rPr>
        <w:t>do</w:t>
      </w:r>
      <w:r>
        <w:rPr>
          <w:rFonts w:ascii="Stone Sans II ITC Std Bk" w:hAnsi="Stone Sans II ITC Std Bk"/>
          <w:b/>
          <w:spacing w:val="-17"/>
          <w:w w:val="115"/>
          <w:sz w:val="20"/>
        </w:rPr>
        <w:t> </w:t>
      </w:r>
      <w:r>
        <w:rPr>
          <w:rFonts w:ascii="Stone Sans II ITC Std Bk" w:hAnsi="Stone Sans II ITC Std Bk"/>
          <w:b/>
          <w:w w:val="115"/>
          <w:sz w:val="20"/>
        </w:rPr>
        <w:t>not</w:t>
      </w:r>
      <w:r>
        <w:rPr>
          <w:rFonts w:ascii="Stone Sans II ITC Std Bk" w:hAnsi="Stone Sans II ITC Std Bk"/>
          <w:b/>
          <w:spacing w:val="-18"/>
          <w:w w:val="115"/>
          <w:sz w:val="20"/>
        </w:rPr>
        <w:t> </w:t>
      </w:r>
      <w:r>
        <w:rPr>
          <w:rFonts w:ascii="Stone Sans II ITC Std Bk" w:hAnsi="Stone Sans II ITC Std Bk"/>
          <w:b/>
          <w:w w:val="115"/>
          <w:sz w:val="20"/>
        </w:rPr>
        <w:t>form</w:t>
      </w:r>
      <w:r>
        <w:rPr>
          <w:rFonts w:ascii="Stone Sans II ITC Std Bk" w:hAnsi="Stone Sans II ITC Std Bk"/>
          <w:b/>
          <w:spacing w:val="-18"/>
          <w:w w:val="115"/>
          <w:sz w:val="20"/>
        </w:rPr>
        <w:t> </w:t>
      </w:r>
      <w:r>
        <w:rPr>
          <w:rFonts w:ascii="Stone Sans II ITC Std Bk" w:hAnsi="Stone Sans II ITC Std Bk"/>
          <w:b/>
          <w:w w:val="115"/>
          <w:sz w:val="20"/>
        </w:rPr>
        <w:t>part</w:t>
      </w:r>
      <w:r>
        <w:rPr>
          <w:rFonts w:ascii="Stone Sans II ITC Std Bk" w:hAnsi="Stone Sans II ITC Std Bk"/>
          <w:b/>
          <w:spacing w:val="-18"/>
          <w:w w:val="115"/>
          <w:sz w:val="20"/>
        </w:rPr>
        <w:t> </w:t>
      </w:r>
      <w:r>
        <w:rPr>
          <w:rFonts w:ascii="Stone Sans II ITC Std Bk" w:hAnsi="Stone Sans II ITC Std Bk"/>
          <w:b/>
          <w:w w:val="115"/>
          <w:sz w:val="20"/>
        </w:rPr>
        <w:t>of the</w:t>
      </w:r>
      <w:r>
        <w:rPr>
          <w:rFonts w:ascii="Stone Sans II ITC Std Bk" w:hAnsi="Stone Sans II ITC Std Bk"/>
          <w:b/>
          <w:spacing w:val="-4"/>
          <w:w w:val="115"/>
          <w:sz w:val="20"/>
        </w:rPr>
        <w:t> </w:t>
      </w:r>
      <w:r>
        <w:rPr>
          <w:rFonts w:ascii="Stone Sans II ITC Std Bk" w:hAnsi="Stone Sans II ITC Std Bk"/>
          <w:b/>
          <w:w w:val="115"/>
          <w:sz w:val="20"/>
        </w:rPr>
        <w:t>decision.</w:t>
      </w:r>
      <w:r>
        <w:rPr>
          <w:w w:val="115"/>
          <w:sz w:val="20"/>
        </w:rPr>
        <w:t>’</w:t>
      </w:r>
    </w:p>
    <w:p>
      <w:pPr>
        <w:pStyle w:val="ListParagraph"/>
        <w:numPr>
          <w:ilvl w:val="2"/>
          <w:numId w:val="82"/>
        </w:numPr>
        <w:tabs>
          <w:tab w:pos="2155" w:val="left" w:leader="none"/>
          <w:tab w:pos="2156" w:val="left" w:leader="none"/>
        </w:tabs>
        <w:spacing w:line="312" w:lineRule="auto" w:before="74" w:after="0"/>
        <w:ind w:left="2155" w:right="2769" w:hanging="1021"/>
        <w:jc w:val="left"/>
        <w:rPr>
          <w:sz w:val="20"/>
        </w:rPr>
      </w:pPr>
      <w:r>
        <w:rPr>
          <w:w w:val="115"/>
          <w:sz w:val="20"/>
        </w:rPr>
        <w:t>Replace the word ‘</w:t>
      </w:r>
      <w:r>
        <w:rPr>
          <w:rFonts w:ascii="Stone Sans II ITC Std Bk" w:hAnsi="Stone Sans II ITC Std Bk"/>
          <w:b/>
          <w:w w:val="115"/>
          <w:sz w:val="20"/>
        </w:rPr>
        <w:t>include</w:t>
      </w:r>
      <w:r>
        <w:rPr>
          <w:w w:val="115"/>
          <w:sz w:val="20"/>
        </w:rPr>
        <w:t>’ with ‘</w:t>
      </w:r>
      <w:r>
        <w:rPr>
          <w:rFonts w:ascii="Stone Sans II ITC Std Bk" w:hAnsi="Stone Sans II ITC Std Bk"/>
          <w:b/>
          <w:w w:val="115"/>
          <w:sz w:val="20"/>
        </w:rPr>
        <w:t>incorporate within and as part</w:t>
      </w:r>
      <w:r>
        <w:rPr>
          <w:rFonts w:ascii="Stone Sans II ITC Std Bk" w:hAnsi="Stone Sans II ITC Std Bk"/>
          <w:b/>
          <w:spacing w:val="-39"/>
          <w:w w:val="115"/>
          <w:sz w:val="20"/>
        </w:rPr>
        <w:t> </w:t>
      </w:r>
      <w:r>
        <w:rPr>
          <w:rFonts w:ascii="Stone Sans II ITC Std Bk" w:hAnsi="Stone Sans II ITC Std Bk"/>
          <w:b/>
          <w:spacing w:val="-3"/>
          <w:w w:val="115"/>
          <w:sz w:val="20"/>
        </w:rPr>
        <w:t>of</w:t>
      </w:r>
      <w:r>
        <w:rPr>
          <w:spacing w:val="-3"/>
          <w:w w:val="115"/>
          <w:sz w:val="20"/>
        </w:rPr>
        <w:t>’. </w:t>
      </w:r>
      <w:r>
        <w:rPr>
          <w:w w:val="115"/>
          <w:sz w:val="20"/>
        </w:rPr>
        <w:t>Delete the whole of the final</w:t>
      </w:r>
      <w:r>
        <w:rPr>
          <w:spacing w:val="37"/>
          <w:w w:val="115"/>
          <w:sz w:val="20"/>
        </w:rPr>
        <w:t> </w:t>
      </w:r>
      <w:r>
        <w:rPr>
          <w:w w:val="115"/>
          <w:sz w:val="20"/>
        </w:rPr>
        <w:t>sentence.</w:t>
      </w:r>
    </w:p>
    <w:p>
      <w:pPr>
        <w:tabs>
          <w:tab w:pos="2155" w:val="left" w:leader="none"/>
        </w:tabs>
        <w:spacing w:line="213" w:lineRule="auto" w:before="32"/>
        <w:ind w:left="2155" w:right="2224" w:hanging="1021"/>
        <w:jc w:val="left"/>
        <w:rPr>
          <w:sz w:val="20"/>
        </w:rPr>
      </w:pPr>
      <w:r>
        <w:rPr>
          <w:rFonts w:ascii="Stone Sans II ITC Std Bk" w:hAnsi="Stone Sans II ITC Std Bk"/>
          <w:b/>
          <w:spacing w:val="-6"/>
          <w:w w:val="115"/>
          <w:sz w:val="20"/>
        </w:rPr>
        <w:t>G.14.4</w:t>
        <w:tab/>
      </w:r>
      <w:r>
        <w:rPr>
          <w:w w:val="115"/>
          <w:sz w:val="20"/>
        </w:rPr>
        <w:t>Replace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w w:val="115"/>
          <w:sz w:val="20"/>
        </w:rPr>
        <w:t>‘</w:t>
      </w:r>
      <w:r>
        <w:rPr>
          <w:rFonts w:ascii="Stone Sans II ITC Std Bk" w:hAnsi="Stone Sans II ITC Std Bk"/>
          <w:b/>
          <w:w w:val="115"/>
          <w:sz w:val="20"/>
        </w:rPr>
        <w:t>appended</w:t>
      </w:r>
      <w:r>
        <w:rPr>
          <w:rFonts w:ascii="Stone Sans II ITC Std Bk" w:hAnsi="Stone Sans II ITC Std Bk"/>
          <w:b/>
          <w:spacing w:val="-13"/>
          <w:w w:val="115"/>
          <w:sz w:val="20"/>
        </w:rPr>
        <w:t> </w:t>
      </w:r>
      <w:r>
        <w:rPr>
          <w:rFonts w:ascii="Stone Sans II ITC Std Bk" w:hAnsi="Stone Sans II ITC Std Bk"/>
          <w:b/>
          <w:spacing w:val="-3"/>
          <w:w w:val="115"/>
          <w:sz w:val="20"/>
        </w:rPr>
        <w:t>to</w:t>
      </w:r>
      <w:r>
        <w:rPr>
          <w:spacing w:val="-3"/>
          <w:w w:val="115"/>
          <w:sz w:val="20"/>
        </w:rPr>
        <w:t>’</w:t>
      </w:r>
      <w:r>
        <w:rPr>
          <w:spacing w:val="-5"/>
          <w:w w:val="115"/>
          <w:sz w:val="20"/>
        </w:rPr>
        <w:t> </w:t>
      </w:r>
      <w:r>
        <w:rPr>
          <w:w w:val="115"/>
          <w:sz w:val="20"/>
        </w:rPr>
        <w:t>with</w:t>
      </w:r>
      <w:r>
        <w:rPr>
          <w:spacing w:val="-6"/>
          <w:w w:val="115"/>
          <w:sz w:val="20"/>
        </w:rPr>
        <w:t> </w:t>
      </w:r>
      <w:r>
        <w:rPr>
          <w:w w:val="115"/>
          <w:sz w:val="20"/>
        </w:rPr>
        <w:t>‘</w:t>
      </w:r>
      <w:r>
        <w:rPr>
          <w:rFonts w:ascii="Stone Sans II ITC Std Bk" w:hAnsi="Stone Sans II ITC Std Bk"/>
          <w:b/>
          <w:w w:val="115"/>
          <w:sz w:val="20"/>
        </w:rPr>
        <w:t>incorporated</w:t>
      </w:r>
      <w:r>
        <w:rPr>
          <w:rFonts w:ascii="Stone Sans II ITC Std Bk" w:hAnsi="Stone Sans II ITC Std Bk"/>
          <w:b/>
          <w:spacing w:val="-13"/>
          <w:w w:val="115"/>
          <w:sz w:val="20"/>
        </w:rPr>
        <w:t> </w:t>
      </w:r>
      <w:r>
        <w:rPr>
          <w:rFonts w:ascii="Stone Sans II ITC Std Bk" w:hAnsi="Stone Sans II ITC Std Bk"/>
          <w:b/>
          <w:w w:val="115"/>
          <w:sz w:val="20"/>
        </w:rPr>
        <w:t>within</w:t>
      </w:r>
      <w:r>
        <w:rPr>
          <w:rFonts w:ascii="Stone Sans II ITC Std Bk" w:hAnsi="Stone Sans II ITC Std Bk"/>
          <w:b/>
          <w:spacing w:val="-12"/>
          <w:w w:val="115"/>
          <w:sz w:val="20"/>
        </w:rPr>
        <w:t> </w:t>
      </w:r>
      <w:r>
        <w:rPr>
          <w:rFonts w:ascii="Stone Sans II ITC Std Bk" w:hAnsi="Stone Sans II ITC Std Bk"/>
          <w:b/>
          <w:w w:val="115"/>
          <w:sz w:val="20"/>
        </w:rPr>
        <w:t>and</w:t>
      </w:r>
      <w:r>
        <w:rPr>
          <w:rFonts w:ascii="Stone Sans II ITC Std Bk" w:hAnsi="Stone Sans II ITC Std Bk"/>
          <w:b/>
          <w:spacing w:val="-13"/>
          <w:w w:val="115"/>
          <w:sz w:val="20"/>
        </w:rPr>
        <w:t> </w:t>
      </w:r>
      <w:r>
        <w:rPr>
          <w:rFonts w:ascii="Stone Sans II ITC Std Bk" w:hAnsi="Stone Sans II ITC Std Bk"/>
          <w:b/>
          <w:w w:val="115"/>
          <w:sz w:val="20"/>
        </w:rPr>
        <w:t>forming part</w:t>
      </w:r>
      <w:r>
        <w:rPr>
          <w:rFonts w:ascii="Stone Sans II ITC Std Bk" w:hAnsi="Stone Sans II ITC Std Bk"/>
          <w:b/>
          <w:spacing w:val="-3"/>
          <w:w w:val="115"/>
          <w:sz w:val="20"/>
        </w:rPr>
        <w:t> of</w:t>
      </w:r>
      <w:r>
        <w:rPr>
          <w:spacing w:val="-3"/>
          <w:w w:val="115"/>
          <w:sz w:val="20"/>
        </w:rPr>
        <w:t>’.</w:t>
      </w:r>
    </w:p>
    <w:p>
      <w:pPr>
        <w:tabs>
          <w:tab w:pos="2155" w:val="left" w:leader="none"/>
        </w:tabs>
        <w:spacing w:line="213" w:lineRule="auto" w:before="98"/>
        <w:ind w:left="2155" w:right="2224" w:hanging="1021"/>
        <w:jc w:val="left"/>
        <w:rPr>
          <w:sz w:val="20"/>
        </w:rPr>
      </w:pPr>
      <w:r>
        <w:rPr>
          <w:rFonts w:ascii="Stone Sans II ITC Std Bk" w:hAnsi="Stone Sans II ITC Std Bk"/>
          <w:b/>
          <w:spacing w:val="-6"/>
          <w:w w:val="115"/>
          <w:sz w:val="20"/>
        </w:rPr>
        <w:t>G.14.6</w:t>
        <w:tab/>
      </w:r>
      <w:r>
        <w:rPr>
          <w:w w:val="115"/>
          <w:sz w:val="20"/>
        </w:rPr>
        <w:t>Replace</w:t>
      </w:r>
      <w:r>
        <w:rPr>
          <w:spacing w:val="-6"/>
          <w:w w:val="115"/>
          <w:sz w:val="20"/>
        </w:rPr>
        <w:t> </w:t>
      </w:r>
      <w:r>
        <w:rPr>
          <w:w w:val="115"/>
          <w:sz w:val="20"/>
        </w:rPr>
        <w:t>the</w:t>
      </w:r>
      <w:r>
        <w:rPr>
          <w:spacing w:val="-5"/>
          <w:w w:val="115"/>
          <w:sz w:val="20"/>
        </w:rPr>
        <w:t> </w:t>
      </w:r>
      <w:r>
        <w:rPr>
          <w:w w:val="115"/>
          <w:sz w:val="20"/>
        </w:rPr>
        <w:t>words</w:t>
      </w:r>
      <w:r>
        <w:rPr>
          <w:spacing w:val="-6"/>
          <w:w w:val="115"/>
          <w:sz w:val="20"/>
        </w:rPr>
        <w:t> </w:t>
      </w:r>
      <w:r>
        <w:rPr>
          <w:w w:val="115"/>
          <w:sz w:val="20"/>
        </w:rPr>
        <w:t>‘</w:t>
      </w:r>
      <w:r>
        <w:rPr>
          <w:rFonts w:ascii="Stone Sans II ITC Std Bk" w:hAnsi="Stone Sans II ITC Std Bk"/>
          <w:b/>
          <w:w w:val="115"/>
          <w:sz w:val="20"/>
        </w:rPr>
        <w:t>appended</w:t>
      </w:r>
      <w:r>
        <w:rPr>
          <w:rFonts w:ascii="Stone Sans II ITC Std Bk" w:hAnsi="Stone Sans II ITC Std Bk"/>
          <w:b/>
          <w:spacing w:val="-13"/>
          <w:w w:val="115"/>
          <w:sz w:val="20"/>
        </w:rPr>
        <w:t> </w:t>
      </w:r>
      <w:r>
        <w:rPr>
          <w:rFonts w:ascii="Stone Sans II ITC Std Bk" w:hAnsi="Stone Sans II ITC Std Bk"/>
          <w:b/>
          <w:spacing w:val="-3"/>
          <w:w w:val="115"/>
          <w:sz w:val="20"/>
        </w:rPr>
        <w:t>to</w:t>
      </w:r>
      <w:r>
        <w:rPr>
          <w:spacing w:val="-3"/>
          <w:w w:val="115"/>
          <w:sz w:val="20"/>
        </w:rPr>
        <w:t>’</w:t>
      </w:r>
      <w:r>
        <w:rPr>
          <w:spacing w:val="-5"/>
          <w:w w:val="115"/>
          <w:sz w:val="20"/>
        </w:rPr>
        <w:t> </w:t>
      </w:r>
      <w:r>
        <w:rPr>
          <w:w w:val="115"/>
          <w:sz w:val="20"/>
        </w:rPr>
        <w:t>with</w:t>
      </w:r>
      <w:r>
        <w:rPr>
          <w:spacing w:val="-6"/>
          <w:w w:val="115"/>
          <w:sz w:val="20"/>
        </w:rPr>
        <w:t> </w:t>
      </w:r>
      <w:r>
        <w:rPr>
          <w:w w:val="115"/>
          <w:sz w:val="20"/>
        </w:rPr>
        <w:t>‘</w:t>
      </w:r>
      <w:r>
        <w:rPr>
          <w:rFonts w:ascii="Stone Sans II ITC Std Bk" w:hAnsi="Stone Sans II ITC Std Bk"/>
          <w:b/>
          <w:w w:val="115"/>
          <w:sz w:val="20"/>
        </w:rPr>
        <w:t>incorporated</w:t>
      </w:r>
      <w:r>
        <w:rPr>
          <w:rFonts w:ascii="Stone Sans II ITC Std Bk" w:hAnsi="Stone Sans II ITC Std Bk"/>
          <w:b/>
          <w:spacing w:val="-13"/>
          <w:w w:val="115"/>
          <w:sz w:val="20"/>
        </w:rPr>
        <w:t> </w:t>
      </w:r>
      <w:r>
        <w:rPr>
          <w:rFonts w:ascii="Stone Sans II ITC Std Bk" w:hAnsi="Stone Sans II ITC Std Bk"/>
          <w:b/>
          <w:w w:val="115"/>
          <w:sz w:val="20"/>
        </w:rPr>
        <w:t>within</w:t>
      </w:r>
      <w:r>
        <w:rPr>
          <w:rFonts w:ascii="Stone Sans II ITC Std Bk" w:hAnsi="Stone Sans II ITC Std Bk"/>
          <w:b/>
          <w:spacing w:val="-12"/>
          <w:w w:val="115"/>
          <w:sz w:val="20"/>
        </w:rPr>
        <w:t> </w:t>
      </w:r>
      <w:r>
        <w:rPr>
          <w:rFonts w:ascii="Stone Sans II ITC Std Bk" w:hAnsi="Stone Sans II ITC Std Bk"/>
          <w:b/>
          <w:w w:val="115"/>
          <w:sz w:val="20"/>
        </w:rPr>
        <w:t>and</w:t>
      </w:r>
      <w:r>
        <w:rPr>
          <w:rFonts w:ascii="Stone Sans II ITC Std Bk" w:hAnsi="Stone Sans II ITC Std Bk"/>
          <w:b/>
          <w:spacing w:val="-13"/>
          <w:w w:val="115"/>
          <w:sz w:val="20"/>
        </w:rPr>
        <w:t> </w:t>
      </w:r>
      <w:r>
        <w:rPr>
          <w:rFonts w:ascii="Stone Sans II ITC Std Bk" w:hAnsi="Stone Sans II ITC Std Bk"/>
          <w:b/>
          <w:w w:val="115"/>
          <w:sz w:val="20"/>
        </w:rPr>
        <w:t>forming part</w:t>
      </w:r>
      <w:r>
        <w:rPr>
          <w:rFonts w:ascii="Stone Sans II ITC Std Bk" w:hAnsi="Stone Sans II ITC Std Bk"/>
          <w:b/>
          <w:spacing w:val="-3"/>
          <w:w w:val="115"/>
          <w:sz w:val="20"/>
        </w:rPr>
        <w:t> of</w:t>
      </w:r>
      <w:r>
        <w:rPr>
          <w:spacing w:val="-3"/>
          <w:w w:val="115"/>
          <w:sz w:val="20"/>
        </w:rPr>
        <w:t>’.</w:t>
      </w:r>
    </w:p>
    <w:p>
      <w:pPr>
        <w:pStyle w:val="BodyText"/>
        <w:tabs>
          <w:tab w:pos="2155" w:val="left" w:leader="none"/>
        </w:tabs>
        <w:spacing w:before="75"/>
        <w:ind w:left="1135"/>
      </w:pPr>
      <w:r>
        <w:rPr>
          <w:rFonts w:ascii="Stone Sans II ITC Std Bk"/>
          <w:b/>
          <w:spacing w:val="-7"/>
          <w:w w:val="120"/>
        </w:rPr>
        <w:t>G.16</w:t>
        <w:tab/>
      </w:r>
      <w:r>
        <w:rPr>
          <w:w w:val="120"/>
        </w:rPr>
        <w:t>Replace the existing Paragraph </w:t>
      </w:r>
      <w:r>
        <w:rPr>
          <w:spacing w:val="-8"/>
          <w:w w:val="120"/>
        </w:rPr>
        <w:t>G.16 </w:t>
      </w:r>
      <w:r>
        <w:rPr>
          <w:w w:val="120"/>
        </w:rPr>
        <w:t>with the</w:t>
      </w:r>
      <w:r>
        <w:rPr>
          <w:spacing w:val="27"/>
          <w:w w:val="120"/>
        </w:rPr>
        <w:t> </w:t>
      </w:r>
      <w:r>
        <w:rPr>
          <w:w w:val="120"/>
        </w:rPr>
        <w:t>following:</w:t>
      </w:r>
    </w:p>
    <w:p>
      <w:pPr>
        <w:tabs>
          <w:tab w:pos="4015" w:val="left" w:leader="none"/>
        </w:tabs>
        <w:spacing w:line="213" w:lineRule="auto" w:before="92"/>
        <w:ind w:left="2155" w:right="2012" w:firstLine="0"/>
        <w:jc w:val="left"/>
        <w:rPr>
          <w:rFonts w:ascii="Stone Sans II ITC Std Bk"/>
          <w:b/>
          <w:sz w:val="20"/>
        </w:rPr>
      </w:pPr>
      <w:r>
        <w:rPr>
          <w:rFonts w:ascii="Stone Sans II ITC Std Bk"/>
          <w:b/>
          <w:spacing w:val="-7"/>
          <w:w w:val="110"/>
          <w:sz w:val="20"/>
        </w:rPr>
        <w:t>G.16 </w:t>
      </w:r>
      <w:r>
        <w:rPr>
          <w:rFonts w:ascii="Stone Sans II ITC Std Bk"/>
          <w:b/>
          <w:spacing w:val="7"/>
          <w:w w:val="110"/>
          <w:sz w:val="20"/>
        </w:rPr>
        <w:t> </w:t>
      </w:r>
      <w:r>
        <w:rPr>
          <w:rFonts w:ascii="Stone Sans II ITC Std Bk"/>
          <w:b/>
          <w:spacing w:val="-8"/>
          <w:w w:val="110"/>
          <w:sz w:val="20"/>
        </w:rPr>
        <w:t>G.16.1</w:t>
        <w:tab/>
      </w:r>
      <w:r>
        <w:rPr>
          <w:rFonts w:ascii="Stone Sans II ITC Std Bk"/>
          <w:b/>
          <w:w w:val="110"/>
          <w:sz w:val="20"/>
        </w:rPr>
        <w:t>The decision of the Appeals Commission shall conclude its involvement in the Section O Process, except as to the discharge of  its responsibilities under Paragraph J.3. Unless the decision falls within Paragraph </w:t>
      </w:r>
      <w:r>
        <w:rPr>
          <w:rFonts w:ascii="Stone Sans II ITC Std Bk"/>
          <w:b/>
          <w:spacing w:val="-8"/>
          <w:w w:val="110"/>
          <w:sz w:val="20"/>
        </w:rPr>
        <w:t>G.15 </w:t>
      </w:r>
      <w:r>
        <w:rPr>
          <w:rFonts w:ascii="Stone Sans II ITC Std Bk"/>
          <w:b/>
          <w:w w:val="110"/>
          <w:sz w:val="20"/>
        </w:rPr>
        <w:t>(reference back to another duly constituted</w:t>
      </w:r>
      <w:r>
        <w:rPr>
          <w:rFonts w:ascii="Stone Sans II ITC Std Bk"/>
          <w:b/>
          <w:spacing w:val="5"/>
          <w:w w:val="110"/>
          <w:sz w:val="20"/>
        </w:rPr>
        <w:t> </w:t>
      </w:r>
      <w:r>
        <w:rPr>
          <w:rFonts w:ascii="Stone Sans II ITC Std Bk"/>
          <w:b/>
          <w:w w:val="110"/>
          <w:sz w:val="20"/>
        </w:rPr>
        <w:t>Assembly</w:t>
      </w:r>
    </w:p>
    <w:p>
      <w:pPr>
        <w:spacing w:line="213" w:lineRule="auto" w:before="0"/>
        <w:ind w:left="2155" w:right="1120" w:firstLine="0"/>
        <w:jc w:val="left"/>
        <w:rPr>
          <w:rFonts w:ascii="Stone Sans II ITC Std Bk"/>
          <w:b/>
          <w:sz w:val="20"/>
        </w:rPr>
      </w:pPr>
      <w:r>
        <w:rPr>
          <w:rFonts w:ascii="Stone Sans II ITC Std Bk"/>
          <w:b/>
          <w:w w:val="110"/>
          <w:sz w:val="20"/>
        </w:rPr>
        <w:t>Commission), it shall have the effect provided for in Paragraph G.16.2 or Paragraph G.16.3, whichever is applicable.</w:t>
      </w:r>
    </w:p>
    <w:p>
      <w:pPr>
        <w:pStyle w:val="ListParagraph"/>
        <w:numPr>
          <w:ilvl w:val="2"/>
          <w:numId w:val="83"/>
        </w:numPr>
        <w:tabs>
          <w:tab w:pos="2155" w:val="left" w:leader="none"/>
          <w:tab w:pos="2156" w:val="left" w:leader="none"/>
        </w:tabs>
        <w:spacing w:line="213" w:lineRule="auto" w:before="95" w:after="0"/>
        <w:ind w:left="2155" w:right="2304" w:hanging="1021"/>
        <w:jc w:val="left"/>
        <w:rPr>
          <w:rFonts w:ascii="Stone Sans II ITC Std Bk" w:hAnsi="Stone Sans II ITC Std Bk"/>
          <w:b/>
          <w:sz w:val="20"/>
        </w:rPr>
      </w:pPr>
      <w:r>
        <w:rPr>
          <w:rFonts w:ascii="Stone Sans II ITC Std Bk" w:hAnsi="Stone Sans II ITC Std Bk"/>
          <w:b/>
          <w:w w:val="110"/>
          <w:sz w:val="20"/>
        </w:rPr>
        <w:t>In the event of the Appeals Commission deciding to delete, the minister’s suspension shall continue up to the date of the decision, on which date the deletion shall automatically take effect. The Section O case shall be regarded as concluded on such </w:t>
      </w:r>
      <w:r>
        <w:rPr>
          <w:rFonts w:ascii="Stone Sans II ITC Std Bk" w:hAnsi="Stone Sans II ITC Std Bk"/>
          <w:b/>
          <w:spacing w:val="-4"/>
          <w:w w:val="110"/>
          <w:sz w:val="20"/>
        </w:rPr>
        <w:t>day.</w:t>
      </w:r>
    </w:p>
    <w:p>
      <w:pPr>
        <w:pStyle w:val="ListParagraph"/>
        <w:numPr>
          <w:ilvl w:val="2"/>
          <w:numId w:val="83"/>
        </w:numPr>
        <w:tabs>
          <w:tab w:pos="2155" w:val="left" w:leader="none"/>
          <w:tab w:pos="2156" w:val="left" w:leader="none"/>
        </w:tabs>
        <w:spacing w:line="213" w:lineRule="auto" w:before="96" w:after="0"/>
        <w:ind w:left="2155" w:right="2484" w:hanging="1021"/>
        <w:jc w:val="left"/>
        <w:rPr>
          <w:rFonts w:ascii="Stone Sans II ITC Std Bk" w:hAnsi="Stone Sans II ITC Std Bk"/>
          <w:b/>
          <w:sz w:val="20"/>
        </w:rPr>
      </w:pPr>
      <w:r>
        <w:rPr>
          <w:rFonts w:ascii="Stone Sans II ITC Std Bk" w:hAnsi="Stone Sans II ITC Std Bk"/>
          <w:b/>
          <w:w w:val="110"/>
          <w:sz w:val="20"/>
        </w:rPr>
        <w:t>In the event of the Appeals Commission deciding not to delete, the minister’s suspension shall cease on the date of the decision and the Section O case shall be regarded as concluded on such</w:t>
      </w:r>
      <w:r>
        <w:rPr>
          <w:rFonts w:ascii="Stone Sans II ITC Std Bk" w:hAnsi="Stone Sans II ITC Std Bk"/>
          <w:b/>
          <w:spacing w:val="5"/>
          <w:w w:val="110"/>
          <w:sz w:val="20"/>
        </w:rPr>
        <w:t> </w:t>
      </w:r>
      <w:r>
        <w:rPr>
          <w:rFonts w:ascii="Stone Sans II ITC Std Bk" w:hAnsi="Stone Sans II ITC Std Bk"/>
          <w:b/>
          <w:spacing w:val="-4"/>
          <w:w w:val="110"/>
          <w:sz w:val="20"/>
        </w:rPr>
        <w:t>day.</w:t>
      </w:r>
    </w:p>
    <w:p>
      <w:pPr>
        <w:pStyle w:val="BodyText"/>
        <w:tabs>
          <w:tab w:pos="2155" w:val="left" w:leader="none"/>
        </w:tabs>
        <w:spacing w:before="75"/>
        <w:ind w:left="1135"/>
      </w:pPr>
      <w:r>
        <w:rPr>
          <w:rFonts w:ascii="Stone Sans II ITC Std Bk"/>
          <w:b/>
          <w:spacing w:val="-6"/>
          <w:w w:val="120"/>
        </w:rPr>
        <w:t>J.1.5</w:t>
        <w:tab/>
      </w:r>
      <w:r>
        <w:rPr>
          <w:w w:val="120"/>
        </w:rPr>
        <w:t>Add a new paragraph as</w:t>
      </w:r>
      <w:r>
        <w:rPr>
          <w:spacing w:val="10"/>
          <w:w w:val="120"/>
        </w:rPr>
        <w:t> </w:t>
      </w:r>
      <w:r>
        <w:rPr>
          <w:w w:val="120"/>
        </w:rPr>
        <w:t>follows:</w:t>
      </w:r>
    </w:p>
    <w:p>
      <w:pPr>
        <w:spacing w:line="255" w:lineRule="exact" w:before="69"/>
        <w:ind w:left="2155" w:right="0" w:firstLine="0"/>
        <w:jc w:val="left"/>
        <w:rPr>
          <w:rFonts w:ascii="Stone Sans II ITC Std Bk" w:hAnsi="Stone Sans II ITC Std Bk"/>
          <w:b/>
          <w:sz w:val="20"/>
        </w:rPr>
      </w:pPr>
      <w:r>
        <w:rPr>
          <w:w w:val="110"/>
          <w:sz w:val="20"/>
        </w:rPr>
        <w:t>‘</w:t>
      </w:r>
      <w:r>
        <w:rPr>
          <w:rFonts w:ascii="Stone Sans II ITC Std Bk" w:hAnsi="Stone Sans II ITC Std Bk"/>
          <w:b/>
          <w:w w:val="110"/>
          <w:sz w:val="20"/>
        </w:rPr>
        <w:t>It shall not be necessary to include in any report to General</w:t>
      </w:r>
    </w:p>
    <w:p>
      <w:pPr>
        <w:spacing w:line="213" w:lineRule="auto" w:before="7"/>
        <w:ind w:left="2155" w:right="1997" w:firstLine="0"/>
        <w:jc w:val="left"/>
        <w:rPr>
          <w:sz w:val="20"/>
        </w:rPr>
      </w:pPr>
      <w:r>
        <w:rPr>
          <w:rFonts w:ascii="Stone Sans II ITC Std Bk" w:hAnsi="Stone Sans II ITC Std Bk"/>
          <w:b/>
          <w:w w:val="110"/>
          <w:sz w:val="20"/>
        </w:rPr>
        <w:t>Assembly under this Paragraph J.1 any recommendations or guidance incorporated into any decision of the Assembly Commission or the Appeals Commission.</w:t>
      </w:r>
      <w:r>
        <w:rPr>
          <w:w w:val="110"/>
          <w:sz w:val="20"/>
        </w:rPr>
        <w:t>’</w:t>
      </w:r>
    </w:p>
    <w:p>
      <w:pPr>
        <w:pStyle w:val="BodyText"/>
        <w:tabs>
          <w:tab w:pos="2156" w:val="left" w:leader="none"/>
        </w:tabs>
        <w:spacing w:before="75"/>
        <w:ind w:left="1135"/>
      </w:pPr>
      <w:r>
        <w:rPr>
          <w:rFonts w:ascii="Stone Sans II ITC Std Bk"/>
          <w:b/>
          <w:spacing w:val="2"/>
          <w:w w:val="120"/>
        </w:rPr>
        <w:t>J.2</w:t>
        <w:tab/>
      </w:r>
      <w:r>
        <w:rPr>
          <w:w w:val="120"/>
        </w:rPr>
        <w:t>Add a new paragraph as</w:t>
      </w:r>
      <w:r>
        <w:rPr>
          <w:spacing w:val="10"/>
          <w:w w:val="120"/>
        </w:rPr>
        <w:t> </w:t>
      </w:r>
      <w:r>
        <w:rPr>
          <w:w w:val="120"/>
        </w:rPr>
        <w:t>follows:</w:t>
      </w:r>
    </w:p>
    <w:p>
      <w:pPr>
        <w:spacing w:line="213" w:lineRule="auto" w:before="91"/>
        <w:ind w:left="2156" w:right="2573" w:firstLine="0"/>
        <w:jc w:val="left"/>
        <w:rPr>
          <w:sz w:val="20"/>
        </w:rPr>
      </w:pPr>
      <w:r>
        <w:rPr>
          <w:w w:val="110"/>
          <w:sz w:val="20"/>
        </w:rPr>
        <w:t>‘</w:t>
      </w:r>
      <w:r>
        <w:rPr>
          <w:rFonts w:ascii="Stone Sans II ITC Std Bk" w:hAnsi="Stone Sans II ITC Std Bk"/>
          <w:b/>
          <w:w w:val="110"/>
          <w:sz w:val="20"/>
        </w:rPr>
        <w:t>If a case is concluded under the provisions of Paragraph E.5.3.17 the Report shall simply state that a case has been referred into the Incapacity Procedure and shall not name the Minister.</w:t>
      </w:r>
      <w:r>
        <w:rPr>
          <w:w w:val="110"/>
          <w:sz w:val="20"/>
        </w:rPr>
        <w:t>’</w:t>
      </w:r>
    </w:p>
    <w:p>
      <w:pPr>
        <w:spacing w:before="75"/>
        <w:ind w:left="2156" w:right="0" w:firstLine="0"/>
        <w:jc w:val="left"/>
        <w:rPr>
          <w:rFonts w:ascii="Stone Sans II ITC Std Bk"/>
          <w:b/>
          <w:sz w:val="20"/>
        </w:rPr>
      </w:pPr>
      <w:r>
        <w:rPr>
          <w:w w:val="115"/>
          <w:sz w:val="20"/>
        </w:rPr>
        <w:t>Renumber Paragraphs </w:t>
      </w:r>
      <w:r>
        <w:rPr>
          <w:rFonts w:ascii="Stone Sans II ITC Std Bk"/>
          <w:b/>
          <w:w w:val="115"/>
          <w:sz w:val="20"/>
        </w:rPr>
        <w:t>J.2 </w:t>
      </w:r>
      <w:r>
        <w:rPr>
          <w:w w:val="115"/>
          <w:sz w:val="20"/>
        </w:rPr>
        <w:t>and </w:t>
      </w:r>
      <w:r>
        <w:rPr>
          <w:rFonts w:ascii="Stone Sans II ITC Std Bk"/>
          <w:b/>
          <w:w w:val="115"/>
          <w:sz w:val="20"/>
        </w:rPr>
        <w:t>J.3 </w:t>
      </w:r>
      <w:r>
        <w:rPr>
          <w:w w:val="115"/>
          <w:sz w:val="20"/>
        </w:rPr>
        <w:t>as </w:t>
      </w:r>
      <w:r>
        <w:rPr>
          <w:rFonts w:ascii="Stone Sans II ITC Std Bk"/>
          <w:b/>
          <w:w w:val="115"/>
          <w:sz w:val="20"/>
        </w:rPr>
        <w:t>J.3 </w:t>
      </w:r>
      <w:r>
        <w:rPr>
          <w:w w:val="115"/>
          <w:sz w:val="20"/>
        </w:rPr>
        <w:t>and </w:t>
      </w:r>
      <w:r>
        <w:rPr>
          <w:rFonts w:ascii="Stone Sans II ITC Std Bk"/>
          <w:b/>
          <w:w w:val="115"/>
          <w:sz w:val="20"/>
        </w:rPr>
        <w:t>J.4</w:t>
      </w:r>
    </w:p>
    <w:p>
      <w:pPr>
        <w:spacing w:after="0"/>
        <w:jc w:val="left"/>
        <w:rPr>
          <w:rFonts w:ascii="Stone Sans II ITC Std Bk"/>
          <w:sz w:val="20"/>
        </w:rPr>
        <w:sectPr>
          <w:pgSz w:w="11910" w:h="16840"/>
          <w:pgMar w:header="0" w:footer="647" w:top="1060" w:bottom="840" w:left="0" w:right="0"/>
        </w:sectPr>
      </w:pPr>
    </w:p>
    <w:p>
      <w:pPr>
        <w:spacing w:before="84"/>
        <w:ind w:left="1984" w:right="0" w:firstLine="0"/>
        <w:jc w:val="left"/>
        <w:rPr>
          <w:rFonts w:ascii="Stone Sans II ITC Std Bk"/>
          <w:b/>
          <w:sz w:val="21"/>
        </w:rPr>
      </w:pPr>
      <w:r>
        <w:rPr/>
        <w:pict>
          <v:rect style="position:absolute;margin-left:558.424988pt;margin-top:8.464773pt;width:22.677pt;height:22.677pt;mso-position-horizontal-relative:page;mso-position-vertical-relative:paragraph;z-index:251902976" filled="true" fillcolor="#f9e9c1" stroked="false">
            <v:fill opacity="32768f" type="solid"/>
            <w10:wrap type="none"/>
          </v:rect>
        </w:pict>
      </w:r>
      <w:r>
        <w:rPr>
          <w:rFonts w:ascii="Stone Sans II ITC Std Bk"/>
          <w:b/>
          <w:w w:val="115"/>
          <w:sz w:val="21"/>
        </w:rPr>
        <w:t>Notes on the changes made in May 2009</w:t>
      </w:r>
    </w:p>
    <w:p>
      <w:pPr>
        <w:pStyle w:val="BodyText"/>
        <w:spacing w:before="219"/>
        <w:ind w:left="1984"/>
      </w:pPr>
      <w:r>
        <w:rPr>
          <w:w w:val="120"/>
        </w:rPr>
        <w:t>Most of the changes relate to the provisions for reference into the Incapacity Procedure.</w:t>
      </w:r>
    </w:p>
    <w:p>
      <w:pPr>
        <w:pStyle w:val="BodyText"/>
        <w:spacing w:before="8"/>
        <w:rPr>
          <w:sz w:val="19"/>
        </w:rPr>
      </w:pPr>
    </w:p>
    <w:p>
      <w:pPr>
        <w:pStyle w:val="BodyText"/>
        <w:spacing w:line="235" w:lineRule="auto"/>
        <w:ind w:left="1984" w:right="1425"/>
      </w:pPr>
      <w:r>
        <w:rPr>
          <w:w w:val="120"/>
        </w:rPr>
        <w:t>As first drafted, it was possible for the Mandated Group to request the Assembly Commission to refer a case back to the person who called in the Mandated Group with a recommendation to instigate a case within the Incapacity Procedure. On reflection</w:t>
      </w:r>
    </w:p>
    <w:p>
      <w:pPr>
        <w:pStyle w:val="BodyText"/>
        <w:spacing w:line="235" w:lineRule="auto" w:before="2"/>
        <w:ind w:left="1984" w:right="1357"/>
      </w:pPr>
      <w:r>
        <w:rPr>
          <w:w w:val="120"/>
        </w:rPr>
        <w:t>it was concluded that it was sensible to withdraw that right (after all, the Minister/ Church Related Community Worker was not given the equivalent right) and leave the matter entirely to the discretion of the Assembly Commission. There would, of course, be nothing to prevent either party making an informal approach to the Secretary of the Assembly Commission to consider making such a referral back.</w:t>
      </w:r>
    </w:p>
    <w:p>
      <w:pPr>
        <w:pStyle w:val="BodyText"/>
        <w:spacing w:before="12"/>
        <w:rPr>
          <w:sz w:val="19"/>
        </w:rPr>
      </w:pPr>
    </w:p>
    <w:p>
      <w:pPr>
        <w:pStyle w:val="BodyText"/>
        <w:spacing w:line="235" w:lineRule="auto"/>
        <w:ind w:left="1984" w:right="1183"/>
      </w:pPr>
      <w:r>
        <w:rPr>
          <w:spacing w:val="-2"/>
          <w:w w:val="120"/>
        </w:rPr>
        <w:t>Again, </w:t>
      </w:r>
      <w:r>
        <w:rPr>
          <w:w w:val="120"/>
        </w:rPr>
        <w:t>as originally drafted, the </w:t>
      </w:r>
      <w:r>
        <w:rPr>
          <w:spacing w:val="-3"/>
          <w:w w:val="120"/>
        </w:rPr>
        <w:t>decision to </w:t>
      </w:r>
      <w:r>
        <w:rPr>
          <w:w w:val="120"/>
        </w:rPr>
        <w:t>refer back </w:t>
      </w:r>
      <w:r>
        <w:rPr>
          <w:spacing w:val="-3"/>
          <w:w w:val="120"/>
        </w:rPr>
        <w:t>to </w:t>
      </w:r>
      <w:r>
        <w:rPr>
          <w:w w:val="120"/>
        </w:rPr>
        <w:t>the person calling in the Mandated Group with the </w:t>
      </w:r>
      <w:r>
        <w:rPr>
          <w:spacing w:val="-3"/>
          <w:w w:val="120"/>
        </w:rPr>
        <w:t>recommendation </w:t>
      </w:r>
      <w:r>
        <w:rPr>
          <w:w w:val="120"/>
        </w:rPr>
        <w:t>as </w:t>
      </w:r>
      <w:r>
        <w:rPr>
          <w:spacing w:val="-3"/>
          <w:w w:val="120"/>
        </w:rPr>
        <w:t>to </w:t>
      </w:r>
      <w:r>
        <w:rPr>
          <w:w w:val="120"/>
        </w:rPr>
        <w:t>the </w:t>
      </w:r>
      <w:r>
        <w:rPr>
          <w:spacing w:val="-3"/>
          <w:w w:val="120"/>
        </w:rPr>
        <w:t>commencement </w:t>
      </w:r>
      <w:r>
        <w:rPr>
          <w:w w:val="120"/>
        </w:rPr>
        <w:t>of the Incapacity </w:t>
      </w:r>
      <w:r>
        <w:rPr>
          <w:spacing w:val="-3"/>
          <w:w w:val="120"/>
        </w:rPr>
        <w:t>Procedure could </w:t>
      </w:r>
      <w:r>
        <w:rPr>
          <w:w w:val="120"/>
        </w:rPr>
        <w:t>be </w:t>
      </w:r>
      <w:r>
        <w:rPr>
          <w:spacing w:val="-3"/>
          <w:w w:val="120"/>
        </w:rPr>
        <w:t>invoked </w:t>
      </w:r>
      <w:r>
        <w:rPr>
          <w:w w:val="120"/>
        </w:rPr>
        <w:t>either by the Assembly </w:t>
      </w:r>
      <w:r>
        <w:rPr>
          <w:spacing w:val="-3"/>
          <w:w w:val="120"/>
        </w:rPr>
        <w:t>Commission </w:t>
      </w:r>
      <w:r>
        <w:rPr>
          <w:spacing w:val="-6"/>
          <w:w w:val="120"/>
        </w:rPr>
        <w:t>or, </w:t>
      </w:r>
      <w:r>
        <w:rPr>
          <w:w w:val="120"/>
        </w:rPr>
        <w:t>in the </w:t>
      </w:r>
      <w:r>
        <w:rPr>
          <w:spacing w:val="-3"/>
          <w:w w:val="120"/>
        </w:rPr>
        <w:t>event </w:t>
      </w:r>
      <w:r>
        <w:rPr>
          <w:w w:val="120"/>
        </w:rPr>
        <w:t>of an appeal, by the Appeals </w:t>
      </w:r>
      <w:r>
        <w:rPr>
          <w:spacing w:val="-3"/>
          <w:w w:val="120"/>
        </w:rPr>
        <w:t>Commission, </w:t>
      </w:r>
      <w:r>
        <w:rPr>
          <w:spacing w:val="-4"/>
          <w:w w:val="120"/>
        </w:rPr>
        <w:t>i.e. </w:t>
      </w:r>
      <w:r>
        <w:rPr>
          <w:w w:val="120"/>
        </w:rPr>
        <w:t>either during the </w:t>
      </w:r>
      <w:r>
        <w:rPr>
          <w:spacing w:val="-3"/>
          <w:w w:val="120"/>
        </w:rPr>
        <w:t>Commission </w:t>
      </w:r>
      <w:r>
        <w:rPr>
          <w:w w:val="120"/>
        </w:rPr>
        <w:t>Stage whilst still under</w:t>
      </w:r>
      <w:r>
        <w:rPr>
          <w:spacing w:val="-4"/>
          <w:w w:val="120"/>
        </w:rPr>
        <w:t> </w:t>
      </w:r>
      <w:r>
        <w:rPr>
          <w:w w:val="120"/>
        </w:rPr>
        <w:t>the</w:t>
      </w:r>
      <w:r>
        <w:rPr>
          <w:spacing w:val="-4"/>
          <w:w w:val="120"/>
        </w:rPr>
        <w:t> </w:t>
      </w:r>
      <w:r>
        <w:rPr>
          <w:w w:val="120"/>
        </w:rPr>
        <w:t>jurisdiction</w:t>
      </w:r>
      <w:r>
        <w:rPr>
          <w:spacing w:val="-4"/>
          <w:w w:val="120"/>
        </w:rPr>
        <w:t> </w:t>
      </w:r>
      <w:r>
        <w:rPr>
          <w:w w:val="120"/>
        </w:rPr>
        <w:t>of</w:t>
      </w:r>
      <w:r>
        <w:rPr>
          <w:spacing w:val="-4"/>
          <w:w w:val="120"/>
        </w:rPr>
        <w:t> </w:t>
      </w:r>
      <w:r>
        <w:rPr>
          <w:w w:val="120"/>
        </w:rPr>
        <w:t>the</w:t>
      </w:r>
      <w:r>
        <w:rPr>
          <w:spacing w:val="-4"/>
          <w:w w:val="120"/>
        </w:rPr>
        <w:t> </w:t>
      </w:r>
      <w:r>
        <w:rPr>
          <w:w w:val="120"/>
        </w:rPr>
        <w:t>Assembly</w:t>
      </w:r>
      <w:r>
        <w:rPr>
          <w:spacing w:val="-4"/>
          <w:w w:val="120"/>
        </w:rPr>
        <w:t> </w:t>
      </w:r>
      <w:r>
        <w:rPr>
          <w:spacing w:val="-3"/>
          <w:w w:val="120"/>
        </w:rPr>
        <w:t>Commission</w:t>
      </w:r>
      <w:r>
        <w:rPr>
          <w:spacing w:val="-4"/>
          <w:w w:val="120"/>
        </w:rPr>
        <w:t> </w:t>
      </w:r>
      <w:r>
        <w:rPr>
          <w:w w:val="120"/>
        </w:rPr>
        <w:t>or</w:t>
      </w:r>
      <w:r>
        <w:rPr>
          <w:spacing w:val="-4"/>
          <w:w w:val="120"/>
        </w:rPr>
        <w:t> </w:t>
      </w:r>
      <w:r>
        <w:rPr>
          <w:spacing w:val="-3"/>
          <w:w w:val="120"/>
        </w:rPr>
        <w:t>later</w:t>
      </w:r>
      <w:r>
        <w:rPr>
          <w:spacing w:val="-4"/>
          <w:w w:val="120"/>
        </w:rPr>
        <w:t> </w:t>
      </w:r>
      <w:r>
        <w:rPr>
          <w:w w:val="120"/>
        </w:rPr>
        <w:t>during</w:t>
      </w:r>
      <w:r>
        <w:rPr>
          <w:spacing w:val="-3"/>
          <w:w w:val="120"/>
        </w:rPr>
        <w:t> </w:t>
      </w:r>
      <w:r>
        <w:rPr>
          <w:w w:val="120"/>
        </w:rPr>
        <w:t>the</w:t>
      </w:r>
      <w:r>
        <w:rPr>
          <w:spacing w:val="-4"/>
          <w:w w:val="120"/>
        </w:rPr>
        <w:t> </w:t>
      </w:r>
      <w:r>
        <w:rPr>
          <w:spacing w:val="-3"/>
          <w:w w:val="120"/>
        </w:rPr>
        <w:t>course</w:t>
      </w:r>
      <w:r>
        <w:rPr>
          <w:spacing w:val="-4"/>
          <w:w w:val="120"/>
        </w:rPr>
        <w:t> </w:t>
      </w:r>
      <w:r>
        <w:rPr>
          <w:w w:val="120"/>
        </w:rPr>
        <w:t>of</w:t>
      </w:r>
      <w:r>
        <w:rPr>
          <w:spacing w:val="-4"/>
          <w:w w:val="120"/>
        </w:rPr>
        <w:t> </w:t>
      </w:r>
      <w:r>
        <w:rPr>
          <w:w w:val="120"/>
        </w:rPr>
        <w:t>an</w:t>
      </w:r>
      <w:r>
        <w:rPr>
          <w:spacing w:val="-4"/>
          <w:w w:val="120"/>
        </w:rPr>
        <w:t> </w:t>
      </w:r>
      <w:r>
        <w:rPr>
          <w:w w:val="120"/>
        </w:rPr>
        <w:t>appeal. </w:t>
      </w:r>
      <w:r>
        <w:rPr>
          <w:spacing w:val="-5"/>
          <w:w w:val="120"/>
        </w:rPr>
        <w:t>Now, </w:t>
      </w:r>
      <w:r>
        <w:rPr>
          <w:w w:val="120"/>
        </w:rPr>
        <w:t>after </w:t>
      </w:r>
      <w:r>
        <w:rPr>
          <w:spacing w:val="-3"/>
          <w:w w:val="120"/>
        </w:rPr>
        <w:t>considerable </w:t>
      </w:r>
      <w:r>
        <w:rPr>
          <w:w w:val="120"/>
        </w:rPr>
        <w:t>further thought, and for a number of </w:t>
      </w:r>
      <w:r>
        <w:rPr>
          <w:spacing w:val="-3"/>
          <w:w w:val="120"/>
        </w:rPr>
        <w:t>reasons, </w:t>
      </w:r>
      <w:r>
        <w:rPr>
          <w:w w:val="120"/>
        </w:rPr>
        <w:t>the legal advisor has strongly advised and it has been agreed that the Paragraph </w:t>
      </w:r>
      <w:r>
        <w:rPr>
          <w:spacing w:val="-3"/>
          <w:w w:val="120"/>
        </w:rPr>
        <w:t>E.5.3 </w:t>
      </w:r>
      <w:r>
        <w:rPr>
          <w:w w:val="120"/>
        </w:rPr>
        <w:t>procedure should only be </w:t>
      </w:r>
      <w:r>
        <w:rPr>
          <w:spacing w:val="-3"/>
          <w:w w:val="120"/>
        </w:rPr>
        <w:t>available </w:t>
      </w:r>
      <w:r>
        <w:rPr>
          <w:w w:val="120"/>
        </w:rPr>
        <w:t>up </w:t>
      </w:r>
      <w:r>
        <w:rPr>
          <w:spacing w:val="-3"/>
          <w:w w:val="120"/>
        </w:rPr>
        <w:t>to </w:t>
      </w:r>
      <w:r>
        <w:rPr>
          <w:w w:val="120"/>
        </w:rPr>
        <w:t>the point when the Assembly </w:t>
      </w:r>
      <w:r>
        <w:rPr>
          <w:spacing w:val="-3"/>
          <w:w w:val="120"/>
        </w:rPr>
        <w:t>Commission </w:t>
      </w:r>
      <w:r>
        <w:rPr>
          <w:w w:val="120"/>
        </w:rPr>
        <w:t>reaches its </w:t>
      </w:r>
      <w:r>
        <w:rPr>
          <w:spacing w:val="-3"/>
          <w:w w:val="120"/>
        </w:rPr>
        <w:t>substantive decision. </w:t>
      </w:r>
      <w:r>
        <w:rPr>
          <w:w w:val="120"/>
        </w:rPr>
        <w:t>If that </w:t>
      </w:r>
      <w:r>
        <w:rPr>
          <w:spacing w:val="-3"/>
          <w:w w:val="120"/>
        </w:rPr>
        <w:t>Commission </w:t>
      </w:r>
      <w:r>
        <w:rPr>
          <w:w w:val="120"/>
        </w:rPr>
        <w:t>has been satisfied that it was handling a disciplinary case right up </w:t>
      </w:r>
      <w:r>
        <w:rPr>
          <w:spacing w:val="-3"/>
          <w:w w:val="120"/>
        </w:rPr>
        <w:t>to </w:t>
      </w:r>
      <w:r>
        <w:rPr>
          <w:w w:val="120"/>
        </w:rPr>
        <w:t>that point, it is believed that it should be outside the </w:t>
      </w:r>
      <w:r>
        <w:rPr>
          <w:spacing w:val="-3"/>
          <w:w w:val="120"/>
        </w:rPr>
        <w:t>scope </w:t>
      </w:r>
      <w:r>
        <w:rPr>
          <w:w w:val="120"/>
        </w:rPr>
        <w:t>of the Appeals </w:t>
      </w:r>
      <w:r>
        <w:rPr>
          <w:spacing w:val="-5"/>
          <w:w w:val="120"/>
        </w:rPr>
        <w:t>Commission’s </w:t>
      </w:r>
      <w:r>
        <w:rPr>
          <w:w w:val="120"/>
        </w:rPr>
        <w:t>remit </w:t>
      </w:r>
      <w:r>
        <w:rPr>
          <w:spacing w:val="-3"/>
          <w:w w:val="120"/>
        </w:rPr>
        <w:t>to </w:t>
      </w:r>
      <w:r>
        <w:rPr>
          <w:spacing w:val="-4"/>
          <w:w w:val="120"/>
        </w:rPr>
        <w:t>invoke </w:t>
      </w:r>
      <w:r>
        <w:rPr>
          <w:w w:val="120"/>
        </w:rPr>
        <w:t>the Paragraph </w:t>
      </w:r>
      <w:r>
        <w:rPr>
          <w:spacing w:val="-3"/>
          <w:w w:val="120"/>
        </w:rPr>
        <w:t>E.5.3 </w:t>
      </w:r>
      <w:r>
        <w:rPr>
          <w:w w:val="120"/>
        </w:rPr>
        <w:t>procedure at the </w:t>
      </w:r>
      <w:r>
        <w:rPr>
          <w:spacing w:val="-3"/>
          <w:w w:val="120"/>
        </w:rPr>
        <w:t>later</w:t>
      </w:r>
      <w:r>
        <w:rPr>
          <w:spacing w:val="-10"/>
          <w:w w:val="120"/>
        </w:rPr>
        <w:t> </w:t>
      </w:r>
      <w:r>
        <w:rPr>
          <w:w w:val="120"/>
        </w:rPr>
        <w:t>stage.</w:t>
      </w:r>
    </w:p>
    <w:p>
      <w:pPr>
        <w:pStyle w:val="BodyText"/>
        <w:spacing w:before="3"/>
      </w:pPr>
    </w:p>
    <w:p>
      <w:pPr>
        <w:pStyle w:val="BodyText"/>
        <w:spacing w:line="235" w:lineRule="auto"/>
        <w:ind w:left="1984" w:right="1273"/>
      </w:pPr>
      <w:r>
        <w:rPr>
          <w:w w:val="120"/>
        </w:rPr>
        <w:t>In addition to the amendments relating to these two changes, other corrections needed to be made, most of which should be self-explanatory.</w:t>
      </w:r>
    </w:p>
    <w:p>
      <w:pPr>
        <w:pStyle w:val="BodyText"/>
        <w:spacing w:before="8"/>
        <w:rPr>
          <w:sz w:val="17"/>
        </w:rPr>
      </w:pPr>
    </w:p>
    <w:p>
      <w:pPr>
        <w:spacing w:before="0"/>
        <w:ind w:left="1984" w:right="0" w:firstLine="0"/>
        <w:jc w:val="left"/>
        <w:rPr>
          <w:rFonts w:ascii="Stone Sans II ITC Std Bk"/>
          <w:b/>
          <w:sz w:val="21"/>
        </w:rPr>
      </w:pPr>
      <w:r>
        <w:rPr>
          <w:rFonts w:ascii="Stone Sans II ITC Std Bk"/>
          <w:b/>
          <w:w w:val="115"/>
          <w:sz w:val="21"/>
        </w:rPr>
        <w:t>MISSION COUNCIL November 2009</w:t>
      </w:r>
    </w:p>
    <w:p>
      <w:pPr>
        <w:pStyle w:val="BodyText"/>
        <w:tabs>
          <w:tab w:pos="3004" w:val="left" w:leader="none"/>
        </w:tabs>
        <w:spacing w:line="223" w:lineRule="auto" w:before="221"/>
        <w:ind w:left="3004" w:right="1218" w:hanging="1021"/>
      </w:pPr>
      <w:r>
        <w:rPr>
          <w:rFonts w:ascii="Stone Sans II ITC Std Bk"/>
          <w:b/>
          <w:w w:val="120"/>
        </w:rPr>
        <w:t>A.4</w:t>
        <w:tab/>
      </w:r>
      <w:r>
        <w:rPr>
          <w:w w:val="120"/>
        </w:rPr>
        <w:t>The existing </w:t>
      </w:r>
      <w:r>
        <w:rPr>
          <w:rFonts w:ascii="Stone Sans II ITC Std Bk"/>
          <w:b/>
          <w:w w:val="120"/>
        </w:rPr>
        <w:t>A.4 </w:t>
      </w:r>
      <w:r>
        <w:rPr>
          <w:w w:val="120"/>
        </w:rPr>
        <w:t>to become </w:t>
      </w:r>
      <w:r>
        <w:rPr>
          <w:rFonts w:ascii="Stone Sans II ITC Std Bk"/>
          <w:b/>
          <w:spacing w:val="-5"/>
          <w:w w:val="120"/>
        </w:rPr>
        <w:t>A.4.1</w:t>
      </w:r>
      <w:r>
        <w:rPr>
          <w:spacing w:val="-5"/>
          <w:w w:val="120"/>
        </w:rPr>
        <w:t>. </w:t>
      </w:r>
      <w:r>
        <w:rPr>
          <w:w w:val="120"/>
        </w:rPr>
        <w:t>Also add the following sentence at the end of the</w:t>
      </w:r>
      <w:r>
        <w:rPr>
          <w:spacing w:val="4"/>
          <w:w w:val="120"/>
        </w:rPr>
        <w:t> </w:t>
      </w:r>
      <w:r>
        <w:rPr>
          <w:w w:val="120"/>
        </w:rPr>
        <w:t>paragraph:</w:t>
      </w:r>
    </w:p>
    <w:p>
      <w:pPr>
        <w:spacing w:line="213" w:lineRule="auto" w:before="109"/>
        <w:ind w:left="3004" w:right="1823" w:firstLine="0"/>
        <w:jc w:val="left"/>
        <w:rPr>
          <w:rFonts w:ascii="Stone Sans II ITC Std Bk" w:hAnsi="Stone Sans II ITC Std Bk"/>
          <w:b/>
          <w:sz w:val="20"/>
        </w:rPr>
      </w:pPr>
      <w:r>
        <w:rPr>
          <w:w w:val="110"/>
          <w:sz w:val="20"/>
        </w:rPr>
        <w:t>‘</w:t>
      </w:r>
      <w:r>
        <w:rPr>
          <w:rFonts w:ascii="Stone Sans II ITC Std Bk" w:hAnsi="Stone Sans II ITC Std Bk"/>
          <w:b/>
          <w:w w:val="110"/>
          <w:sz w:val="20"/>
        </w:rPr>
        <w:t>In this connection, the expression ‘the framework of the Section O Process’ shall be regarded as covering not only the immediate confidentiality forum existing within the Section O Process</w:t>
      </w:r>
      <w:r>
        <w:rPr>
          <w:rFonts w:ascii="Stone Sans II ITC Std Bk" w:hAnsi="Stone Sans II ITC Std Bk"/>
          <w:b/>
          <w:spacing w:val="22"/>
          <w:w w:val="110"/>
          <w:sz w:val="20"/>
        </w:rPr>
        <w:t> </w:t>
      </w:r>
      <w:r>
        <w:rPr>
          <w:rFonts w:ascii="Stone Sans II ITC Std Bk" w:hAnsi="Stone Sans II ITC Std Bk"/>
          <w:b/>
          <w:w w:val="110"/>
          <w:sz w:val="20"/>
        </w:rPr>
        <w:t>during</w:t>
      </w:r>
    </w:p>
    <w:p>
      <w:pPr>
        <w:spacing w:line="213" w:lineRule="auto" w:before="0"/>
        <w:ind w:left="3004" w:right="1336" w:firstLine="0"/>
        <w:jc w:val="left"/>
        <w:rPr>
          <w:rFonts w:ascii="Stone Sans II ITC Std Bk"/>
          <w:b/>
          <w:sz w:val="20"/>
        </w:rPr>
      </w:pPr>
      <w:r>
        <w:rPr>
          <w:rFonts w:ascii="Stone Sans II ITC Std Bk"/>
          <w:b/>
          <w:w w:val="110"/>
          <w:sz w:val="20"/>
        </w:rPr>
        <w:t>and beyond the continuance of the case, but shall extend to include any statements and information passed on to any person or body not directly involved in the case in the course of the implementation of any part of the decision of the Assembly Commission or the Appeals Commission or any recommendations or guidance appended thereto, on the basis that the recipient thereof is made fully aware that</w:t>
      </w:r>
      <w:r>
        <w:rPr>
          <w:rFonts w:ascii="Stone Sans II ITC Std Bk"/>
          <w:b/>
          <w:spacing w:val="5"/>
          <w:w w:val="110"/>
          <w:sz w:val="20"/>
        </w:rPr>
        <w:t> </w:t>
      </w:r>
      <w:r>
        <w:rPr>
          <w:rFonts w:ascii="Stone Sans II ITC Std Bk"/>
          <w:b/>
          <w:spacing w:val="-3"/>
          <w:w w:val="110"/>
          <w:sz w:val="20"/>
        </w:rPr>
        <w:t>he/she/</w:t>
      </w:r>
    </w:p>
    <w:p>
      <w:pPr>
        <w:spacing w:line="213" w:lineRule="auto" w:before="0"/>
        <w:ind w:left="3004" w:right="1120" w:firstLine="0"/>
        <w:jc w:val="left"/>
        <w:rPr>
          <w:sz w:val="20"/>
        </w:rPr>
      </w:pPr>
      <w:r>
        <w:rPr>
          <w:rFonts w:ascii="Stone Sans II ITC Std Bk" w:hAnsi="Stone Sans II ITC Std Bk"/>
          <w:b/>
          <w:w w:val="110"/>
          <w:sz w:val="20"/>
        </w:rPr>
        <w:t>it is bound by the confidentiality existing within the Section O Process in respect of such statements/information</w:t>
      </w:r>
      <w:r>
        <w:rPr>
          <w:w w:val="110"/>
          <w:sz w:val="20"/>
        </w:rPr>
        <w:t>’.</w:t>
      </w:r>
    </w:p>
    <w:p>
      <w:pPr>
        <w:tabs>
          <w:tab w:pos="3004" w:val="left" w:leader="none"/>
        </w:tabs>
        <w:spacing w:before="69"/>
        <w:ind w:left="1984" w:right="0" w:firstLine="0"/>
        <w:jc w:val="left"/>
        <w:rPr>
          <w:sz w:val="20"/>
        </w:rPr>
      </w:pPr>
      <w:r>
        <w:rPr>
          <w:rFonts w:ascii="Stone Sans II ITC Std Bk"/>
          <w:b/>
          <w:w w:val="120"/>
          <w:sz w:val="20"/>
        </w:rPr>
        <w:t>A.4.2</w:t>
        <w:tab/>
      </w:r>
      <w:r>
        <w:rPr>
          <w:w w:val="120"/>
          <w:sz w:val="20"/>
        </w:rPr>
        <w:t>Add a new </w:t>
      </w:r>
      <w:r>
        <w:rPr>
          <w:rFonts w:ascii="Stone Sans II ITC Std Bk"/>
          <w:b/>
          <w:w w:val="120"/>
          <w:sz w:val="20"/>
        </w:rPr>
        <w:t>A.4.2 </w:t>
      </w:r>
      <w:r>
        <w:rPr>
          <w:w w:val="120"/>
          <w:sz w:val="20"/>
        </w:rPr>
        <w:t>as</w:t>
      </w:r>
      <w:r>
        <w:rPr>
          <w:spacing w:val="-2"/>
          <w:w w:val="120"/>
          <w:sz w:val="20"/>
        </w:rPr>
        <w:t> </w:t>
      </w:r>
      <w:r>
        <w:rPr>
          <w:w w:val="120"/>
          <w:sz w:val="20"/>
        </w:rPr>
        <w:t>follows:</w:t>
      </w:r>
    </w:p>
    <w:p>
      <w:pPr>
        <w:spacing w:line="213" w:lineRule="auto" w:before="91"/>
        <w:ind w:left="3005" w:right="1466" w:firstLine="0"/>
        <w:jc w:val="left"/>
        <w:rPr>
          <w:rFonts w:ascii="Stone Sans II ITC Std Bk" w:hAnsi="Stone Sans II ITC Std Bk"/>
          <w:b/>
          <w:sz w:val="20"/>
        </w:rPr>
      </w:pPr>
      <w:r>
        <w:rPr>
          <w:w w:val="110"/>
          <w:sz w:val="20"/>
        </w:rPr>
        <w:t>‘</w:t>
      </w:r>
      <w:r>
        <w:rPr>
          <w:rFonts w:ascii="Stone Sans II ITC Std Bk" w:hAnsi="Stone Sans II ITC Std Bk"/>
          <w:b/>
          <w:w w:val="110"/>
          <w:sz w:val="20"/>
        </w:rPr>
        <w:t>Should either (i) a formal request for information concerning any case dealt with under the Section O Process be received from the Independent Safeguarding Authority or any other public body with the requisite statutory authority to insist upon production thereof or</w:t>
      </w:r>
    </w:p>
    <w:p>
      <w:pPr>
        <w:spacing w:line="213" w:lineRule="auto" w:before="0"/>
        <w:ind w:left="3005" w:right="1120" w:firstLine="0"/>
        <w:jc w:val="left"/>
        <w:rPr>
          <w:sz w:val="20"/>
        </w:rPr>
      </w:pPr>
      <w:r>
        <w:rPr>
          <w:rFonts w:ascii="Stone Sans II ITC Std Bk" w:hAnsi="Stone Sans II ITC Std Bk"/>
          <w:b/>
          <w:w w:val="110"/>
          <w:sz w:val="20"/>
        </w:rPr>
        <w:t>(ii) circumstances arise which create a statutory requirement to supply such information, then in either case the supply to that body of such information shall not be deemed to be a breach of confidentiality under the Section O Process</w:t>
      </w:r>
      <w:r>
        <w:rPr>
          <w:w w:val="110"/>
          <w:sz w:val="20"/>
        </w:rPr>
        <w:t>’.</w:t>
      </w:r>
    </w:p>
    <w:p>
      <w:pPr>
        <w:pStyle w:val="BodyText"/>
        <w:tabs>
          <w:tab w:pos="3004" w:val="left" w:leader="none"/>
        </w:tabs>
        <w:spacing w:before="72"/>
        <w:ind w:left="1984"/>
      </w:pPr>
      <w:r>
        <w:rPr>
          <w:rFonts w:ascii="Stone Sans II ITC Std Bk"/>
          <w:b/>
          <w:w w:val="120"/>
        </w:rPr>
        <w:t>E.4.2</w:t>
        <w:tab/>
      </w:r>
      <w:r>
        <w:rPr>
          <w:w w:val="120"/>
        </w:rPr>
        <w:t>At the end insert the</w:t>
      </w:r>
      <w:r>
        <w:rPr>
          <w:spacing w:val="10"/>
          <w:w w:val="120"/>
        </w:rPr>
        <w:t> </w:t>
      </w:r>
      <w:r>
        <w:rPr>
          <w:w w:val="120"/>
        </w:rPr>
        <w:t>following:</w:t>
      </w:r>
    </w:p>
    <w:p>
      <w:pPr>
        <w:spacing w:line="213" w:lineRule="auto" w:before="91"/>
        <w:ind w:left="3005" w:right="1120" w:firstLine="0"/>
        <w:jc w:val="left"/>
        <w:rPr>
          <w:sz w:val="20"/>
        </w:rPr>
      </w:pPr>
      <w:r>
        <w:rPr>
          <w:w w:val="110"/>
          <w:sz w:val="20"/>
        </w:rPr>
        <w:t>‘</w:t>
      </w:r>
      <w:r>
        <w:rPr>
          <w:rFonts w:ascii="Stone Sans II ITC Std Bk" w:hAnsi="Stone Sans II ITC Std Bk"/>
          <w:b/>
          <w:w w:val="110"/>
          <w:sz w:val="20"/>
        </w:rPr>
        <w:t>and at the same time supply this information to the Synod Moderator and, if the case arises under Paragraph B.3.2, the Deputy General Secretary</w:t>
      </w:r>
      <w:r>
        <w:rPr>
          <w:w w:val="110"/>
          <w:sz w:val="20"/>
        </w:rPr>
        <w:t>’.</w:t>
      </w:r>
    </w:p>
    <w:p>
      <w:pPr>
        <w:pStyle w:val="ListParagraph"/>
        <w:numPr>
          <w:ilvl w:val="3"/>
          <w:numId w:val="84"/>
        </w:numPr>
        <w:tabs>
          <w:tab w:pos="3004" w:val="left" w:leader="none"/>
          <w:tab w:pos="3006" w:val="left" w:leader="none"/>
        </w:tabs>
        <w:spacing w:line="240" w:lineRule="auto" w:before="75" w:after="0"/>
        <w:ind w:left="3005" w:right="0" w:hanging="1022"/>
        <w:jc w:val="left"/>
        <w:rPr>
          <w:sz w:val="20"/>
        </w:rPr>
      </w:pPr>
      <w:r>
        <w:rPr>
          <w:w w:val="120"/>
          <w:sz w:val="20"/>
        </w:rPr>
        <w:t>At the end remove the fullstop and insert the word</w:t>
      </w:r>
      <w:r>
        <w:rPr>
          <w:spacing w:val="17"/>
          <w:w w:val="120"/>
          <w:sz w:val="20"/>
        </w:rPr>
        <w:t> </w:t>
      </w:r>
      <w:r>
        <w:rPr>
          <w:spacing w:val="-5"/>
          <w:w w:val="120"/>
          <w:sz w:val="20"/>
        </w:rPr>
        <w:t>‘</w:t>
      </w:r>
      <w:r>
        <w:rPr>
          <w:rFonts w:ascii="Stone Sans II ITC Std Bk" w:hAnsi="Stone Sans II ITC Std Bk"/>
          <w:b/>
          <w:spacing w:val="-5"/>
          <w:w w:val="120"/>
          <w:sz w:val="20"/>
        </w:rPr>
        <w:t>and</w:t>
      </w:r>
      <w:r>
        <w:rPr>
          <w:spacing w:val="-5"/>
          <w:w w:val="120"/>
          <w:sz w:val="20"/>
        </w:rPr>
        <w:t>’.</w:t>
      </w:r>
    </w:p>
    <w:p>
      <w:pPr>
        <w:spacing w:after="0" w:line="240" w:lineRule="auto"/>
        <w:jc w:val="left"/>
        <w:rPr>
          <w:sz w:val="20"/>
        </w:rPr>
        <w:sectPr>
          <w:pgSz w:w="11910" w:h="16840"/>
          <w:pgMar w:header="0" w:footer="647" w:top="1060" w:bottom="840" w:left="0" w:right="0"/>
        </w:sectPr>
      </w:pPr>
    </w:p>
    <w:p>
      <w:pPr>
        <w:pStyle w:val="ListParagraph"/>
        <w:numPr>
          <w:ilvl w:val="3"/>
          <w:numId w:val="84"/>
        </w:numPr>
        <w:tabs>
          <w:tab w:pos="2154" w:val="left" w:leader="none"/>
          <w:tab w:pos="2155" w:val="left" w:leader="none"/>
        </w:tabs>
        <w:spacing w:line="240" w:lineRule="auto" w:before="91" w:after="0"/>
        <w:ind w:left="2154" w:right="0" w:hanging="1022"/>
        <w:jc w:val="left"/>
        <w:rPr>
          <w:sz w:val="20"/>
        </w:rPr>
      </w:pPr>
      <w:r>
        <w:rPr/>
        <w:pict>
          <v:rect style="position:absolute;margin-left:12.047pt;margin-top:8.496287pt;width:22.677pt;height:22.677pt;mso-position-horizontal-relative:page;mso-position-vertical-relative:paragraph;z-index:251905024" filled="true" fillcolor="#f9e9c1" stroked="false">
            <v:fill opacity="32768f" type="solid"/>
            <w10:wrap type="none"/>
          </v:rect>
        </w:pict>
      </w:r>
      <w:r>
        <w:rPr>
          <w:w w:val="120"/>
          <w:sz w:val="20"/>
        </w:rPr>
        <w:t>Add a new </w:t>
      </w:r>
      <w:r>
        <w:rPr>
          <w:rFonts w:ascii="Stone Sans II ITC Std Bk"/>
          <w:b/>
          <w:spacing w:val="-5"/>
          <w:w w:val="120"/>
          <w:sz w:val="20"/>
        </w:rPr>
        <w:t>E.5.1.3 </w:t>
      </w:r>
      <w:r>
        <w:rPr>
          <w:w w:val="120"/>
          <w:sz w:val="20"/>
        </w:rPr>
        <w:t>as</w:t>
      </w:r>
      <w:r>
        <w:rPr>
          <w:spacing w:val="2"/>
          <w:w w:val="120"/>
          <w:sz w:val="20"/>
        </w:rPr>
        <w:t> </w:t>
      </w:r>
      <w:r>
        <w:rPr>
          <w:w w:val="120"/>
          <w:sz w:val="20"/>
        </w:rPr>
        <w:t>follows:</w:t>
      </w:r>
    </w:p>
    <w:p>
      <w:pPr>
        <w:spacing w:line="213" w:lineRule="auto" w:before="91"/>
        <w:ind w:left="2154" w:right="2191" w:firstLine="0"/>
        <w:jc w:val="left"/>
        <w:rPr>
          <w:sz w:val="20"/>
        </w:rPr>
      </w:pPr>
      <w:r>
        <w:rPr>
          <w:w w:val="110"/>
          <w:sz w:val="20"/>
        </w:rPr>
        <w:t>‘</w:t>
      </w:r>
      <w:r>
        <w:rPr>
          <w:rFonts w:ascii="Stone Sans II ITC Std Bk" w:hAnsi="Stone Sans II ITC Std Bk"/>
          <w:b/>
          <w:w w:val="110"/>
          <w:sz w:val="20"/>
        </w:rPr>
        <w:t>A discretion to allow the parties to lodge an agreed written statement(s) as to those facts which are not in dispute, on the basis that such facts shall be taken as proved without the need for personal verification by witness testimony at the Hearing.</w:t>
      </w:r>
      <w:r>
        <w:rPr>
          <w:w w:val="110"/>
          <w:sz w:val="20"/>
        </w:rPr>
        <w:t>’</w:t>
      </w:r>
    </w:p>
    <w:p>
      <w:pPr>
        <w:tabs>
          <w:tab w:pos="2154" w:val="left" w:leader="none"/>
          <w:tab w:pos="7242" w:val="left" w:leader="dot"/>
        </w:tabs>
        <w:spacing w:line="255" w:lineRule="exact" w:before="74"/>
        <w:ind w:left="1133" w:right="0" w:firstLine="0"/>
        <w:jc w:val="left"/>
        <w:rPr>
          <w:rFonts w:ascii="Stone Sans II ITC Std Bk" w:hAnsi="Stone Sans II ITC Std Bk"/>
          <w:b/>
          <w:sz w:val="20"/>
        </w:rPr>
      </w:pPr>
      <w:r>
        <w:rPr>
          <w:rFonts w:ascii="Stone Sans II ITC Std Bk" w:hAnsi="Stone Sans II ITC Std Bk"/>
          <w:b/>
          <w:w w:val="115"/>
          <w:sz w:val="20"/>
        </w:rPr>
        <w:t>F.2.4</w:t>
        <w:tab/>
      </w:r>
      <w:r>
        <w:rPr>
          <w:w w:val="115"/>
          <w:sz w:val="20"/>
        </w:rPr>
        <w:t>After the words ‘</w:t>
      </w:r>
      <w:r>
        <w:rPr>
          <w:rFonts w:ascii="Stone Sans II ITC Std Bk" w:hAnsi="Stone Sans II ITC Std Bk"/>
          <w:b/>
          <w:w w:val="115"/>
          <w:sz w:val="20"/>
        </w:rPr>
        <w:t>appropriate guidance</w:t>
      </w:r>
      <w:r>
        <w:rPr>
          <w:w w:val="115"/>
          <w:sz w:val="20"/>
        </w:rPr>
        <w:t>’</w:t>
      </w:r>
      <w:r>
        <w:rPr>
          <w:spacing w:val="-3"/>
          <w:w w:val="115"/>
          <w:sz w:val="20"/>
        </w:rPr>
        <w:t> </w:t>
      </w:r>
      <w:r>
        <w:rPr>
          <w:w w:val="115"/>
          <w:sz w:val="20"/>
        </w:rPr>
        <w:t>insert</w:t>
      </w:r>
      <w:r>
        <w:rPr>
          <w:spacing w:val="1"/>
          <w:w w:val="115"/>
          <w:sz w:val="20"/>
        </w:rPr>
        <w:t> </w:t>
      </w:r>
      <w:r>
        <w:rPr>
          <w:w w:val="115"/>
          <w:sz w:val="20"/>
        </w:rPr>
        <w:t>‘</w:t>
        <w:tab/>
      </w:r>
      <w:r>
        <w:rPr>
          <w:rFonts w:ascii="Stone Sans II ITC Std Bk" w:hAnsi="Stone Sans II ITC Std Bk"/>
          <w:b/>
          <w:w w:val="115"/>
          <w:sz w:val="20"/>
        </w:rPr>
        <w:t>in its</w:t>
      </w:r>
      <w:r>
        <w:rPr>
          <w:rFonts w:ascii="Stone Sans II ITC Std Bk" w:hAnsi="Stone Sans II ITC Std Bk"/>
          <w:b/>
          <w:spacing w:val="-8"/>
          <w:w w:val="115"/>
          <w:sz w:val="20"/>
        </w:rPr>
        <w:t> </w:t>
      </w:r>
      <w:r>
        <w:rPr>
          <w:rFonts w:ascii="Stone Sans II ITC Std Bk" w:hAnsi="Stone Sans II ITC Std Bk"/>
          <w:b/>
          <w:w w:val="115"/>
          <w:sz w:val="20"/>
        </w:rPr>
        <w:t>written</w:t>
      </w:r>
    </w:p>
    <w:p>
      <w:pPr>
        <w:spacing w:line="255" w:lineRule="exact" w:before="0"/>
        <w:ind w:left="2154" w:right="0" w:firstLine="0"/>
        <w:jc w:val="left"/>
        <w:rPr>
          <w:sz w:val="20"/>
        </w:rPr>
      </w:pPr>
      <w:r>
        <w:rPr>
          <w:rFonts w:ascii="Stone Sans II ITC Std Bk" w:hAnsi="Stone Sans II ITC Std Bk"/>
          <w:b/>
          <w:w w:val="110"/>
          <w:sz w:val="20"/>
        </w:rPr>
        <w:t>statement (see Paragraph F.3.3)</w:t>
      </w:r>
      <w:r>
        <w:rPr>
          <w:w w:val="110"/>
          <w:sz w:val="20"/>
        </w:rPr>
        <w:t>’.</w:t>
      </w:r>
    </w:p>
    <w:p>
      <w:pPr>
        <w:tabs>
          <w:tab w:pos="2154" w:val="left" w:leader="none"/>
        </w:tabs>
        <w:spacing w:before="69"/>
        <w:ind w:left="1134" w:right="0" w:firstLine="0"/>
        <w:jc w:val="left"/>
        <w:rPr>
          <w:sz w:val="20"/>
        </w:rPr>
      </w:pPr>
      <w:r>
        <w:rPr>
          <w:rFonts w:ascii="Stone Sans II ITC Std Bk"/>
          <w:b/>
          <w:spacing w:val="-6"/>
          <w:w w:val="120"/>
          <w:sz w:val="20"/>
        </w:rPr>
        <w:t>G.7.4</w:t>
        <w:tab/>
      </w:r>
      <w:r>
        <w:rPr>
          <w:w w:val="120"/>
          <w:sz w:val="20"/>
        </w:rPr>
        <w:t>Delete and renumber the previous </w:t>
      </w:r>
      <w:r>
        <w:rPr>
          <w:rFonts w:ascii="Stone Sans II ITC Std Bk"/>
          <w:b/>
          <w:spacing w:val="-5"/>
          <w:w w:val="120"/>
          <w:sz w:val="20"/>
        </w:rPr>
        <w:t>G.7.5 </w:t>
      </w:r>
      <w:r>
        <w:rPr>
          <w:w w:val="120"/>
          <w:sz w:val="20"/>
        </w:rPr>
        <w:t>as</w:t>
      </w:r>
      <w:r>
        <w:rPr>
          <w:spacing w:val="2"/>
          <w:w w:val="120"/>
          <w:sz w:val="20"/>
        </w:rPr>
        <w:t> </w:t>
      </w:r>
      <w:r>
        <w:rPr>
          <w:rFonts w:ascii="Stone Sans II ITC Std Bk"/>
          <w:b/>
          <w:spacing w:val="-6"/>
          <w:w w:val="120"/>
          <w:sz w:val="20"/>
        </w:rPr>
        <w:t>G.7.4</w:t>
      </w:r>
      <w:r>
        <w:rPr>
          <w:spacing w:val="-6"/>
          <w:w w:val="120"/>
          <w:sz w:val="20"/>
        </w:rPr>
        <w:t>.</w:t>
      </w:r>
    </w:p>
    <w:p>
      <w:pPr>
        <w:pStyle w:val="BodyText"/>
        <w:tabs>
          <w:tab w:pos="2155" w:val="left" w:leader="none"/>
        </w:tabs>
        <w:spacing w:before="69"/>
        <w:ind w:left="1134"/>
      </w:pPr>
      <w:r>
        <w:rPr>
          <w:rFonts w:ascii="Stone Sans II ITC Std Bk"/>
          <w:b/>
          <w:spacing w:val="-4"/>
          <w:w w:val="120"/>
        </w:rPr>
        <w:t>G.10.2</w:t>
        <w:tab/>
      </w:r>
      <w:r>
        <w:rPr>
          <w:w w:val="120"/>
        </w:rPr>
        <w:t>At the end insert the</w:t>
      </w:r>
      <w:r>
        <w:rPr>
          <w:spacing w:val="10"/>
          <w:w w:val="120"/>
        </w:rPr>
        <w:t> </w:t>
      </w:r>
      <w:r>
        <w:rPr>
          <w:w w:val="120"/>
        </w:rPr>
        <w:t>following:</w:t>
      </w:r>
    </w:p>
    <w:p>
      <w:pPr>
        <w:spacing w:line="213" w:lineRule="auto" w:before="91"/>
        <w:ind w:left="2155" w:right="1997" w:firstLine="0"/>
        <w:jc w:val="left"/>
        <w:rPr>
          <w:sz w:val="20"/>
        </w:rPr>
      </w:pPr>
      <w:r>
        <w:rPr>
          <w:w w:val="110"/>
          <w:sz w:val="20"/>
        </w:rPr>
        <w:t>‘</w:t>
      </w:r>
      <w:r>
        <w:rPr>
          <w:rFonts w:ascii="Stone Sans II ITC Std Bk" w:hAnsi="Stone Sans II ITC Std Bk"/>
          <w:b/>
          <w:w w:val="110"/>
          <w:sz w:val="20"/>
        </w:rPr>
        <w:t>and at the same time supply this information to the Synod Moderator and, if the case arises under Paragraph B.3.2, the Deputy General Secretary</w:t>
      </w:r>
      <w:r>
        <w:rPr>
          <w:w w:val="110"/>
          <w:sz w:val="20"/>
        </w:rPr>
        <w:t>’.</w:t>
      </w:r>
    </w:p>
    <w:p>
      <w:pPr>
        <w:tabs>
          <w:tab w:pos="2155" w:val="left" w:leader="none"/>
        </w:tabs>
        <w:spacing w:before="75"/>
        <w:ind w:left="1134" w:right="0" w:firstLine="0"/>
        <w:jc w:val="left"/>
        <w:rPr>
          <w:sz w:val="20"/>
        </w:rPr>
      </w:pPr>
      <w:r>
        <w:rPr>
          <w:rFonts w:ascii="Stone Sans II ITC Std Bk" w:hAnsi="Stone Sans II ITC Std Bk"/>
          <w:b/>
          <w:spacing w:val="-6"/>
          <w:w w:val="115"/>
          <w:sz w:val="20"/>
        </w:rPr>
        <w:t>G.13.5</w:t>
        <w:tab/>
      </w:r>
      <w:r>
        <w:rPr>
          <w:w w:val="115"/>
          <w:sz w:val="20"/>
        </w:rPr>
        <w:t>Change</w:t>
      </w:r>
      <w:r>
        <w:rPr>
          <w:spacing w:val="7"/>
          <w:w w:val="115"/>
          <w:sz w:val="20"/>
        </w:rPr>
        <w:t> </w:t>
      </w:r>
      <w:r>
        <w:rPr>
          <w:w w:val="115"/>
          <w:sz w:val="20"/>
        </w:rPr>
        <w:t>the</w:t>
      </w:r>
      <w:r>
        <w:rPr>
          <w:spacing w:val="7"/>
          <w:w w:val="115"/>
          <w:sz w:val="20"/>
        </w:rPr>
        <w:t> </w:t>
      </w:r>
      <w:r>
        <w:rPr>
          <w:w w:val="115"/>
          <w:sz w:val="20"/>
        </w:rPr>
        <w:t>paragraph</w:t>
      </w:r>
      <w:r>
        <w:rPr>
          <w:spacing w:val="8"/>
          <w:w w:val="115"/>
          <w:sz w:val="20"/>
        </w:rPr>
        <w:t> </w:t>
      </w:r>
      <w:r>
        <w:rPr>
          <w:w w:val="115"/>
          <w:sz w:val="20"/>
        </w:rPr>
        <w:t>reference</w:t>
      </w:r>
      <w:r>
        <w:rPr>
          <w:spacing w:val="7"/>
          <w:w w:val="115"/>
          <w:sz w:val="20"/>
        </w:rPr>
        <w:t> </w:t>
      </w:r>
      <w:r>
        <w:rPr>
          <w:w w:val="115"/>
          <w:sz w:val="20"/>
        </w:rPr>
        <w:t>in</w:t>
      </w:r>
      <w:r>
        <w:rPr>
          <w:spacing w:val="7"/>
          <w:w w:val="115"/>
          <w:sz w:val="20"/>
        </w:rPr>
        <w:t> </w:t>
      </w:r>
      <w:r>
        <w:rPr>
          <w:w w:val="115"/>
          <w:sz w:val="20"/>
        </w:rPr>
        <w:t>the</w:t>
      </w:r>
      <w:r>
        <w:rPr>
          <w:spacing w:val="8"/>
          <w:w w:val="115"/>
          <w:sz w:val="20"/>
        </w:rPr>
        <w:t> </w:t>
      </w:r>
      <w:r>
        <w:rPr>
          <w:w w:val="115"/>
          <w:sz w:val="20"/>
        </w:rPr>
        <w:t>text</w:t>
      </w:r>
      <w:r>
        <w:rPr>
          <w:spacing w:val="7"/>
          <w:w w:val="115"/>
          <w:sz w:val="20"/>
        </w:rPr>
        <w:t> </w:t>
      </w:r>
      <w:r>
        <w:rPr>
          <w:w w:val="115"/>
          <w:sz w:val="20"/>
        </w:rPr>
        <w:t>from</w:t>
      </w:r>
      <w:r>
        <w:rPr>
          <w:spacing w:val="7"/>
          <w:w w:val="115"/>
          <w:sz w:val="20"/>
        </w:rPr>
        <w:t> </w:t>
      </w:r>
      <w:r>
        <w:rPr>
          <w:spacing w:val="-4"/>
          <w:w w:val="115"/>
          <w:sz w:val="20"/>
        </w:rPr>
        <w:t>‘</w:t>
      </w:r>
      <w:r>
        <w:rPr>
          <w:rFonts w:ascii="Stone Sans II ITC Std Bk" w:hAnsi="Stone Sans II ITC Std Bk"/>
          <w:b/>
          <w:spacing w:val="-4"/>
          <w:w w:val="115"/>
          <w:sz w:val="20"/>
        </w:rPr>
        <w:t>F.3.3</w:t>
      </w:r>
      <w:r>
        <w:rPr>
          <w:spacing w:val="-4"/>
          <w:w w:val="115"/>
          <w:sz w:val="20"/>
        </w:rPr>
        <w:t>’</w:t>
      </w:r>
      <w:r>
        <w:rPr>
          <w:spacing w:val="8"/>
          <w:w w:val="115"/>
          <w:sz w:val="20"/>
        </w:rPr>
        <w:t> </w:t>
      </w:r>
      <w:r>
        <w:rPr>
          <w:w w:val="115"/>
          <w:sz w:val="20"/>
        </w:rPr>
        <w:t>to</w:t>
      </w:r>
      <w:r>
        <w:rPr>
          <w:spacing w:val="7"/>
          <w:w w:val="115"/>
          <w:sz w:val="20"/>
        </w:rPr>
        <w:t> </w:t>
      </w:r>
      <w:r>
        <w:rPr>
          <w:spacing w:val="-8"/>
          <w:w w:val="115"/>
          <w:sz w:val="20"/>
        </w:rPr>
        <w:t>‘</w:t>
      </w:r>
      <w:r>
        <w:rPr>
          <w:rFonts w:ascii="Stone Sans II ITC Std Bk" w:hAnsi="Stone Sans II ITC Std Bk"/>
          <w:b/>
          <w:spacing w:val="-8"/>
          <w:w w:val="115"/>
          <w:sz w:val="20"/>
        </w:rPr>
        <w:t>G.13.3</w:t>
      </w:r>
      <w:r>
        <w:rPr>
          <w:spacing w:val="-8"/>
          <w:w w:val="115"/>
          <w:sz w:val="20"/>
        </w:rPr>
        <w:t>’.</w:t>
      </w:r>
    </w:p>
    <w:p>
      <w:pPr>
        <w:pStyle w:val="BodyText"/>
      </w:pPr>
    </w:p>
    <w:p>
      <w:pPr>
        <w:pStyle w:val="BodyText"/>
        <w:spacing w:before="7"/>
        <w:rPr>
          <w:sz w:val="28"/>
        </w:rPr>
      </w:pPr>
      <w:r>
        <w:rPr/>
        <w:pict>
          <v:shape style="position:absolute;margin-left:56.692902pt;margin-top:19.80323pt;width:449.3pt;height:.1pt;mso-position-horizontal-relative:page;mso-position-vertical-relative:paragraph;z-index:-251412480;mso-wrap-distance-left:0;mso-wrap-distance-right:0" coordorigin="1134,396" coordsize="8986,0" path="m1134,396l10120,396e" filled="false" stroked="true" strokeweight=".75pt" strokecolor="#ca4f1b">
            <v:path arrowok="t"/>
            <v:stroke dashstyle="solid"/>
            <w10:wrap type="topAndBottom"/>
          </v:shape>
        </w:pict>
      </w:r>
    </w:p>
    <w:p>
      <w:pPr>
        <w:spacing w:after="0"/>
        <w:rPr>
          <w:sz w:val="28"/>
        </w:rPr>
        <w:sectPr>
          <w:pgSz w:w="11910" w:h="16840"/>
          <w:pgMar w:header="0" w:footer="647" w:top="1060" w:bottom="840" w:left="0" w:right="0"/>
        </w:sectPr>
      </w:pPr>
    </w:p>
    <w:p>
      <w:pPr>
        <w:pStyle w:val="Heading2"/>
        <w:spacing w:before="115"/>
      </w:pPr>
      <w:r>
        <w:rPr/>
        <w:pict>
          <v:rect style="position:absolute;margin-left:558.424988pt;margin-top:8.492283pt;width:22.677pt;height:22.677pt;mso-position-horizontal-relative:page;mso-position-vertical-relative:paragraph;z-index:251906048" filled="true" fillcolor="#f9e9c1" stroked="false">
            <v:fill opacity="32768f" type="solid"/>
            <w10:wrap type="none"/>
          </v:rect>
        </w:pict>
      </w:r>
      <w:r>
        <w:rPr>
          <w:color w:val="CA4F1B"/>
          <w:w w:val="110"/>
        </w:rPr>
        <w:t>Annexe 4b</w:t>
      </w:r>
    </w:p>
    <w:p>
      <w:pPr>
        <w:pStyle w:val="Heading6"/>
        <w:spacing w:line="220" w:lineRule="auto" w:before="121"/>
        <w:ind w:left="1984" w:right="1296"/>
      </w:pPr>
      <w:r>
        <w:rPr>
          <w:spacing w:val="3"/>
          <w:w w:val="110"/>
        </w:rPr>
        <w:t>Ministerial </w:t>
      </w:r>
      <w:r>
        <w:rPr>
          <w:spacing w:val="4"/>
          <w:w w:val="110"/>
        </w:rPr>
        <w:t>Incapacity </w:t>
      </w:r>
      <w:r>
        <w:rPr>
          <w:spacing w:val="3"/>
          <w:w w:val="110"/>
        </w:rPr>
        <w:t>Procedure </w:t>
      </w:r>
      <w:r>
        <w:rPr>
          <w:spacing w:val="2"/>
          <w:w w:val="110"/>
        </w:rPr>
        <w:t>(Section </w:t>
      </w:r>
      <w:r>
        <w:rPr>
          <w:spacing w:val="-4"/>
          <w:w w:val="110"/>
        </w:rPr>
        <w:t>P) </w:t>
      </w:r>
      <w:r>
        <w:rPr>
          <w:spacing w:val="4"/>
          <w:w w:val="110"/>
        </w:rPr>
        <w:t>changes </w:t>
      </w:r>
      <w:r>
        <w:rPr>
          <w:w w:val="110"/>
        </w:rPr>
        <w:t>to</w:t>
      </w:r>
      <w:r>
        <w:rPr>
          <w:spacing w:val="26"/>
          <w:w w:val="110"/>
        </w:rPr>
        <w:t> </w:t>
      </w:r>
      <w:r>
        <w:rPr>
          <w:spacing w:val="2"/>
          <w:w w:val="110"/>
        </w:rPr>
        <w:t>Part </w:t>
      </w:r>
      <w:r>
        <w:rPr>
          <w:w w:val="110"/>
        </w:rPr>
        <w:t>II made by Mission Council since Assembly </w:t>
      </w:r>
      <w:r>
        <w:rPr>
          <w:spacing w:val="3"/>
          <w:w w:val="110"/>
        </w:rPr>
        <w:t>2008</w:t>
      </w:r>
    </w:p>
    <w:p>
      <w:pPr>
        <w:pStyle w:val="BodyText"/>
        <w:spacing w:before="10"/>
        <w:rPr>
          <w:rFonts w:ascii="Stone Sans II ITC Std Bk"/>
          <w:b/>
          <w:sz w:val="30"/>
        </w:rPr>
      </w:pPr>
    </w:p>
    <w:p>
      <w:pPr>
        <w:spacing w:before="0"/>
        <w:ind w:left="1984" w:right="0" w:firstLine="0"/>
        <w:jc w:val="left"/>
        <w:rPr>
          <w:rFonts w:ascii="Stone Sans II ITC Std Bk"/>
          <w:b/>
          <w:sz w:val="21"/>
        </w:rPr>
      </w:pPr>
      <w:r>
        <w:rPr>
          <w:rFonts w:ascii="Stone Sans II ITC Std Bk"/>
          <w:b/>
          <w:w w:val="115"/>
          <w:sz w:val="21"/>
        </w:rPr>
        <w:t>MISSION COUNCIL December 2008</w:t>
      </w:r>
    </w:p>
    <w:p>
      <w:pPr>
        <w:tabs>
          <w:tab w:pos="3004" w:val="left" w:leader="none"/>
        </w:tabs>
        <w:spacing w:line="213" w:lineRule="auto" w:before="229"/>
        <w:ind w:left="3004" w:right="1823" w:hanging="1021"/>
        <w:jc w:val="left"/>
        <w:rPr>
          <w:sz w:val="20"/>
        </w:rPr>
      </w:pPr>
      <w:r>
        <w:rPr>
          <w:rFonts w:ascii="Stone Sans II ITC Std Bk" w:hAnsi="Stone Sans II ITC Std Bk"/>
          <w:b/>
          <w:spacing w:val="-5"/>
          <w:w w:val="110"/>
          <w:sz w:val="20"/>
        </w:rPr>
        <w:t>N.1.2</w:t>
        <w:tab/>
      </w:r>
      <w:r>
        <w:rPr>
          <w:w w:val="110"/>
          <w:sz w:val="20"/>
        </w:rPr>
        <w:t>Add the following words at the end of the paragraph: </w:t>
      </w:r>
      <w:r>
        <w:rPr>
          <w:spacing w:val="2"/>
          <w:w w:val="110"/>
          <w:sz w:val="20"/>
        </w:rPr>
        <w:t>‘</w:t>
      </w:r>
      <w:r>
        <w:rPr>
          <w:rFonts w:ascii="Stone Sans II ITC Std Bk" w:hAnsi="Stone Sans II ITC Std Bk"/>
          <w:b/>
          <w:spacing w:val="2"/>
          <w:w w:val="110"/>
          <w:sz w:val="20"/>
        </w:rPr>
        <w:t>The </w:t>
      </w:r>
      <w:r>
        <w:rPr>
          <w:rFonts w:ascii="Stone Sans II ITC Std Bk" w:hAnsi="Stone Sans II ITC Std Bk"/>
          <w:b/>
          <w:w w:val="110"/>
          <w:sz w:val="20"/>
        </w:rPr>
        <w:t>name of the Minister shall not be read out at General Assembly, but shall be recorded in the list of all those no longer on the Roll of</w:t>
      </w:r>
      <w:r>
        <w:rPr>
          <w:rFonts w:ascii="Stone Sans II ITC Std Bk" w:hAnsi="Stone Sans II ITC Std Bk"/>
          <w:b/>
          <w:spacing w:val="5"/>
          <w:w w:val="110"/>
          <w:sz w:val="20"/>
        </w:rPr>
        <w:t> </w:t>
      </w:r>
      <w:r>
        <w:rPr>
          <w:rFonts w:ascii="Stone Sans II ITC Std Bk" w:hAnsi="Stone Sans II ITC Std Bk"/>
          <w:b/>
          <w:w w:val="110"/>
          <w:sz w:val="20"/>
        </w:rPr>
        <w:t>Ministers.</w:t>
      </w:r>
      <w:r>
        <w:rPr>
          <w:w w:val="110"/>
          <w:sz w:val="20"/>
        </w:rPr>
        <w:t>’</w:t>
      </w:r>
    </w:p>
    <w:p>
      <w:pPr>
        <w:pStyle w:val="BodyText"/>
        <w:spacing w:before="87"/>
        <w:ind w:left="3004"/>
      </w:pPr>
      <w:r>
        <w:rPr>
          <w:w w:val="120"/>
        </w:rPr>
        <w:t>Add a new Paragraph N.1.4 as follows:</w:t>
      </w:r>
    </w:p>
    <w:p>
      <w:pPr>
        <w:tabs>
          <w:tab w:pos="3004" w:val="left" w:leader="none"/>
        </w:tabs>
        <w:spacing w:line="213" w:lineRule="auto" w:before="105"/>
        <w:ind w:left="3004" w:right="1621" w:hanging="1021"/>
        <w:jc w:val="left"/>
        <w:rPr>
          <w:rFonts w:ascii="Stone Sans II ITC Std Bk" w:hAnsi="Stone Sans II ITC Std Bk"/>
          <w:b/>
          <w:sz w:val="20"/>
        </w:rPr>
      </w:pPr>
      <w:r>
        <w:rPr>
          <w:spacing w:val="-6"/>
          <w:w w:val="110"/>
          <w:sz w:val="20"/>
        </w:rPr>
        <w:t>‘</w:t>
      </w:r>
      <w:r>
        <w:rPr>
          <w:rFonts w:ascii="Stone Sans II ITC Std Bk" w:hAnsi="Stone Sans II ITC Std Bk"/>
          <w:b/>
          <w:spacing w:val="-6"/>
          <w:w w:val="110"/>
          <w:sz w:val="20"/>
        </w:rPr>
        <w:t>N.1.4</w:t>
        <w:tab/>
      </w:r>
      <w:r>
        <w:rPr>
          <w:rFonts w:ascii="Stone Sans II ITC Std Bk" w:hAnsi="Stone Sans II ITC Std Bk"/>
          <w:b/>
          <w:w w:val="110"/>
          <w:sz w:val="20"/>
        </w:rPr>
        <w:t>If the Review Commission decides to retain the name of the Minister on the Roll, the report to General Assembly shall simply state that</w:t>
      </w:r>
      <w:r>
        <w:rPr>
          <w:rFonts w:ascii="Stone Sans II ITC Std Bk" w:hAnsi="Stone Sans II ITC Std Bk"/>
          <w:b/>
          <w:spacing w:val="14"/>
          <w:w w:val="110"/>
          <w:sz w:val="20"/>
        </w:rPr>
        <w:t> </w:t>
      </w:r>
      <w:r>
        <w:rPr>
          <w:rFonts w:ascii="Stone Sans II ITC Std Bk" w:hAnsi="Stone Sans II ITC Std Bk"/>
          <w:b/>
          <w:w w:val="110"/>
          <w:sz w:val="20"/>
        </w:rPr>
        <w:t>a</w:t>
      </w:r>
    </w:p>
    <w:p>
      <w:pPr>
        <w:spacing w:line="213" w:lineRule="auto" w:before="0"/>
        <w:ind w:left="3004" w:right="1273" w:firstLine="0"/>
        <w:jc w:val="left"/>
        <w:rPr>
          <w:sz w:val="20"/>
        </w:rPr>
      </w:pPr>
      <w:r>
        <w:rPr>
          <w:rFonts w:ascii="Stone Sans II ITC Std Bk" w:hAnsi="Stone Sans II ITC Std Bk"/>
          <w:b/>
          <w:w w:val="110"/>
          <w:sz w:val="20"/>
        </w:rPr>
        <w:t>case under the Incapacity Procedure has been concluded and the name of the Minister has been retained on the Roll, but shall not supply the Minister’s name or any further information.</w:t>
      </w:r>
      <w:r>
        <w:rPr>
          <w:w w:val="110"/>
          <w:sz w:val="20"/>
        </w:rPr>
        <w:t>’</w:t>
      </w:r>
    </w:p>
    <w:p>
      <w:pPr>
        <w:tabs>
          <w:tab w:pos="3004" w:val="left" w:leader="none"/>
        </w:tabs>
        <w:spacing w:line="213" w:lineRule="auto" w:before="96"/>
        <w:ind w:left="3005" w:right="1325" w:hanging="1021"/>
        <w:jc w:val="both"/>
        <w:rPr>
          <w:sz w:val="20"/>
        </w:rPr>
      </w:pPr>
      <w:r>
        <w:rPr>
          <w:rFonts w:ascii="Stone Sans II ITC Std Bk" w:hAnsi="Stone Sans II ITC Std Bk"/>
          <w:b/>
          <w:spacing w:val="2"/>
          <w:w w:val="110"/>
          <w:sz w:val="20"/>
        </w:rPr>
        <w:t>N.2</w:t>
        <w:tab/>
      </w:r>
      <w:r>
        <w:rPr>
          <w:w w:val="110"/>
          <w:sz w:val="20"/>
        </w:rPr>
        <w:t>Replace the words: </w:t>
      </w:r>
      <w:r>
        <w:rPr>
          <w:spacing w:val="-3"/>
          <w:w w:val="110"/>
          <w:sz w:val="20"/>
        </w:rPr>
        <w:t>‘</w:t>
      </w:r>
      <w:r>
        <w:rPr>
          <w:rFonts w:ascii="Stone Sans II ITC Std Bk" w:hAnsi="Stone Sans II ITC Std Bk"/>
          <w:b/>
          <w:spacing w:val="-3"/>
          <w:w w:val="110"/>
          <w:sz w:val="20"/>
        </w:rPr>
        <w:t>(but </w:t>
      </w:r>
      <w:r>
        <w:rPr>
          <w:rFonts w:ascii="Stone Sans II ITC Std Bk" w:hAnsi="Stone Sans II ITC Std Bk"/>
          <w:b/>
          <w:w w:val="110"/>
          <w:sz w:val="20"/>
        </w:rPr>
        <w:t>excluding any costs of representation)’ </w:t>
      </w:r>
      <w:r>
        <w:rPr>
          <w:w w:val="110"/>
          <w:sz w:val="20"/>
        </w:rPr>
        <w:t>with the words: </w:t>
      </w:r>
      <w:r>
        <w:rPr>
          <w:rFonts w:ascii="Stone Sans II ITC Std Bk" w:hAnsi="Stone Sans II ITC Std Bk"/>
          <w:b/>
          <w:spacing w:val="-3"/>
          <w:w w:val="110"/>
          <w:sz w:val="20"/>
        </w:rPr>
        <w:t>‘(but </w:t>
      </w:r>
      <w:r>
        <w:rPr>
          <w:rFonts w:ascii="Stone Sans II ITC Std Bk" w:hAnsi="Stone Sans II ITC Std Bk"/>
          <w:b/>
          <w:w w:val="110"/>
          <w:sz w:val="20"/>
        </w:rPr>
        <w:t>excluding any costs and expenses incurred by the Minister in the preparation of his/her case and the cost of any representation at the</w:t>
      </w:r>
      <w:r>
        <w:rPr>
          <w:rFonts w:ascii="Stone Sans II ITC Std Bk" w:hAnsi="Stone Sans II ITC Std Bk"/>
          <w:b/>
          <w:spacing w:val="-1"/>
          <w:w w:val="110"/>
          <w:sz w:val="20"/>
        </w:rPr>
        <w:t> </w:t>
      </w:r>
      <w:r>
        <w:rPr>
          <w:rFonts w:ascii="Stone Sans II ITC Std Bk" w:hAnsi="Stone Sans II ITC Std Bk"/>
          <w:b/>
          <w:spacing w:val="-4"/>
          <w:w w:val="110"/>
          <w:sz w:val="20"/>
        </w:rPr>
        <w:t>Hearing)</w:t>
      </w:r>
      <w:r>
        <w:rPr>
          <w:spacing w:val="-4"/>
          <w:w w:val="110"/>
          <w:sz w:val="20"/>
        </w:rPr>
        <w:t>’.</w:t>
      </w:r>
    </w:p>
    <w:p>
      <w:pPr>
        <w:pStyle w:val="BodyText"/>
        <w:spacing w:before="11"/>
        <w:rPr>
          <w:sz w:val="24"/>
        </w:rPr>
      </w:pPr>
    </w:p>
    <w:p>
      <w:pPr>
        <w:spacing w:before="0"/>
        <w:ind w:left="1984" w:right="0" w:firstLine="0"/>
        <w:jc w:val="left"/>
        <w:rPr>
          <w:rFonts w:ascii="Stone Sans II ITC Std Bk"/>
          <w:b/>
          <w:sz w:val="21"/>
        </w:rPr>
      </w:pPr>
      <w:r>
        <w:rPr>
          <w:rFonts w:ascii="Stone Sans II ITC Std Bk"/>
          <w:b/>
          <w:w w:val="115"/>
          <w:sz w:val="21"/>
        </w:rPr>
        <w:t>MISSION COUNCIL November 2009</w:t>
      </w:r>
    </w:p>
    <w:p>
      <w:pPr>
        <w:spacing w:line="213" w:lineRule="auto" w:before="229"/>
        <w:ind w:left="3004" w:right="1228" w:hanging="1021"/>
        <w:jc w:val="both"/>
        <w:rPr>
          <w:sz w:val="20"/>
        </w:rPr>
      </w:pPr>
      <w:r>
        <w:rPr>
          <w:rFonts w:ascii="Stone Sans II ITC Std Bk" w:hAnsi="Stone Sans II ITC Std Bk"/>
          <w:b/>
          <w:w w:val="115"/>
          <w:sz w:val="20"/>
        </w:rPr>
        <w:t>A.1.1 </w:t>
      </w:r>
      <w:r>
        <w:rPr>
          <w:w w:val="115"/>
          <w:sz w:val="20"/>
        </w:rPr>
        <w:t>Widen the current definition of the </w:t>
      </w:r>
      <w:r>
        <w:rPr>
          <w:rFonts w:ascii="Stone Sans II ITC Std Bk" w:hAnsi="Stone Sans II ITC Std Bk"/>
          <w:b/>
          <w:w w:val="115"/>
          <w:sz w:val="20"/>
        </w:rPr>
        <w:t>Secretary of the Review Commission </w:t>
      </w:r>
      <w:r>
        <w:rPr>
          <w:w w:val="115"/>
          <w:sz w:val="20"/>
        </w:rPr>
        <w:t>as follows: between the words ‘</w:t>
      </w:r>
      <w:r>
        <w:rPr>
          <w:rFonts w:ascii="Stone Sans II ITC Std Bk" w:hAnsi="Stone Sans II ITC Std Bk"/>
          <w:b/>
          <w:w w:val="115"/>
          <w:sz w:val="20"/>
        </w:rPr>
        <w:t>Review Commission</w:t>
      </w:r>
      <w:r>
        <w:rPr>
          <w:w w:val="115"/>
          <w:sz w:val="20"/>
        </w:rPr>
        <w:t>’ and ‘</w:t>
      </w:r>
      <w:r>
        <w:rPr>
          <w:rFonts w:ascii="Stone Sans II ITC Std Bk" w:hAnsi="Stone Sans II ITC Std Bk"/>
          <w:b/>
          <w:w w:val="115"/>
          <w:sz w:val="20"/>
        </w:rPr>
        <w:t>in accordance with</w:t>
      </w:r>
      <w:r>
        <w:rPr>
          <w:w w:val="115"/>
          <w:sz w:val="20"/>
        </w:rPr>
        <w:t>’ insert ‘</w:t>
      </w:r>
      <w:r>
        <w:rPr>
          <w:rFonts w:ascii="Stone Sans II ITC Std Bk" w:hAnsi="Stone Sans II ITC Std Bk"/>
          <w:b/>
          <w:w w:val="115"/>
          <w:sz w:val="20"/>
        </w:rPr>
        <w:t>and the Standing Panel</w:t>
      </w:r>
      <w:r>
        <w:rPr>
          <w:w w:val="115"/>
          <w:sz w:val="20"/>
        </w:rPr>
        <w:t>’</w:t>
      </w:r>
    </w:p>
    <w:p>
      <w:pPr>
        <w:pStyle w:val="BodyText"/>
        <w:tabs>
          <w:tab w:pos="3004" w:val="left" w:leader="none"/>
        </w:tabs>
        <w:spacing w:before="75"/>
        <w:ind w:left="1984"/>
      </w:pPr>
      <w:r>
        <w:rPr>
          <w:rFonts w:ascii="Stone Sans II ITC Std Bk"/>
          <w:b/>
          <w:w w:val="120"/>
        </w:rPr>
        <w:t>A.3</w:t>
        <w:tab/>
      </w:r>
      <w:r>
        <w:rPr>
          <w:w w:val="120"/>
        </w:rPr>
        <w:t>Add the following sentence at the end of the</w:t>
      </w:r>
      <w:r>
        <w:rPr>
          <w:spacing w:val="23"/>
          <w:w w:val="120"/>
        </w:rPr>
        <w:t> </w:t>
      </w:r>
      <w:r>
        <w:rPr>
          <w:w w:val="120"/>
        </w:rPr>
        <w:t>paragraph:</w:t>
      </w:r>
    </w:p>
    <w:p>
      <w:pPr>
        <w:spacing w:line="213" w:lineRule="auto" w:before="91"/>
        <w:ind w:left="3004" w:right="1303" w:firstLine="0"/>
        <w:jc w:val="left"/>
        <w:rPr>
          <w:rFonts w:ascii="Stone Sans II ITC Std Bk" w:hAnsi="Stone Sans II ITC Std Bk"/>
          <w:b/>
          <w:sz w:val="20"/>
        </w:rPr>
      </w:pPr>
      <w:r>
        <w:rPr>
          <w:w w:val="110"/>
          <w:sz w:val="20"/>
        </w:rPr>
        <w:t>‘</w:t>
      </w:r>
      <w:r>
        <w:rPr>
          <w:rFonts w:ascii="Stone Sans II ITC Std Bk" w:hAnsi="Stone Sans II ITC Std Bk"/>
          <w:b/>
          <w:w w:val="110"/>
          <w:sz w:val="20"/>
        </w:rPr>
        <w:t>In this connection, the expression ‘the framework of the Incapacity Procedure’ shall be regarded as covering not only the immediate confidentiality forum existing within the Incapacity Procedure during and beyond the continuance of the case, but shall extend to include any statements and information passed on to any person or body not directly involved in the case in the course of the implementation of any part of the decision of the Review Commission or the Appeals Review Commission or any recommendations or guidance appended thereto,</w:t>
      </w:r>
    </w:p>
    <w:p>
      <w:pPr>
        <w:spacing w:line="213" w:lineRule="auto" w:before="0"/>
        <w:ind w:left="3004" w:right="1183" w:firstLine="0"/>
        <w:jc w:val="both"/>
        <w:rPr>
          <w:sz w:val="20"/>
        </w:rPr>
      </w:pPr>
      <w:r>
        <w:rPr>
          <w:rFonts w:ascii="Stone Sans II ITC Std Bk" w:hAnsi="Stone Sans II ITC Std Bk"/>
          <w:b/>
          <w:w w:val="110"/>
          <w:sz w:val="20"/>
        </w:rPr>
        <w:t>on the basis that the recipient thereof is made fully aware that he/she/it is bound by the confidentiality existing within the Incapacity Procedure in respect of such statements/information</w:t>
      </w:r>
      <w:r>
        <w:rPr>
          <w:w w:val="110"/>
          <w:sz w:val="20"/>
        </w:rPr>
        <w:t>’.</w:t>
      </w:r>
    </w:p>
    <w:p>
      <w:pPr>
        <w:pStyle w:val="ListParagraph"/>
        <w:numPr>
          <w:ilvl w:val="2"/>
          <w:numId w:val="85"/>
        </w:numPr>
        <w:tabs>
          <w:tab w:pos="3004" w:val="left" w:leader="none"/>
          <w:tab w:pos="3005" w:val="left" w:leader="none"/>
        </w:tabs>
        <w:spacing w:line="240" w:lineRule="auto" w:before="70" w:after="0"/>
        <w:ind w:left="3004" w:right="0" w:hanging="1021"/>
        <w:jc w:val="left"/>
        <w:rPr>
          <w:sz w:val="20"/>
        </w:rPr>
      </w:pPr>
      <w:r>
        <w:rPr>
          <w:w w:val="120"/>
          <w:sz w:val="20"/>
        </w:rPr>
        <w:t>The existing Paragraph A.4 to become</w:t>
      </w:r>
      <w:r>
        <w:rPr>
          <w:spacing w:val="16"/>
          <w:w w:val="120"/>
          <w:sz w:val="20"/>
        </w:rPr>
        <w:t> </w:t>
      </w:r>
      <w:r>
        <w:rPr>
          <w:spacing w:val="-6"/>
          <w:w w:val="120"/>
          <w:sz w:val="20"/>
        </w:rPr>
        <w:t>A.4.1.</w:t>
      </w:r>
    </w:p>
    <w:p>
      <w:pPr>
        <w:pStyle w:val="ListParagraph"/>
        <w:numPr>
          <w:ilvl w:val="2"/>
          <w:numId w:val="85"/>
        </w:numPr>
        <w:tabs>
          <w:tab w:pos="3004" w:val="left" w:leader="none"/>
          <w:tab w:pos="3005" w:val="left" w:leader="none"/>
        </w:tabs>
        <w:spacing w:line="240" w:lineRule="auto" w:before="69" w:after="0"/>
        <w:ind w:left="3004" w:right="0" w:hanging="1021"/>
        <w:jc w:val="left"/>
        <w:rPr>
          <w:sz w:val="20"/>
        </w:rPr>
      </w:pPr>
      <w:r>
        <w:rPr>
          <w:w w:val="120"/>
          <w:sz w:val="20"/>
        </w:rPr>
        <w:t>Add a new paragraph as</w:t>
      </w:r>
      <w:r>
        <w:rPr>
          <w:spacing w:val="10"/>
          <w:w w:val="120"/>
          <w:sz w:val="20"/>
        </w:rPr>
        <w:t> </w:t>
      </w:r>
      <w:r>
        <w:rPr>
          <w:w w:val="120"/>
          <w:sz w:val="20"/>
        </w:rPr>
        <w:t>follows:</w:t>
      </w:r>
    </w:p>
    <w:p>
      <w:pPr>
        <w:spacing w:line="213" w:lineRule="auto" w:before="92"/>
        <w:ind w:left="3004" w:right="1466" w:firstLine="0"/>
        <w:jc w:val="left"/>
        <w:rPr>
          <w:rFonts w:ascii="Stone Sans II ITC Std Bk" w:hAnsi="Stone Sans II ITC Std Bk"/>
          <w:b/>
          <w:sz w:val="20"/>
        </w:rPr>
      </w:pPr>
      <w:r>
        <w:rPr>
          <w:w w:val="110"/>
          <w:sz w:val="20"/>
        </w:rPr>
        <w:t>‘</w:t>
      </w:r>
      <w:r>
        <w:rPr>
          <w:rFonts w:ascii="Stone Sans II ITC Std Bk" w:hAnsi="Stone Sans II ITC Std Bk"/>
          <w:b/>
          <w:w w:val="110"/>
          <w:sz w:val="20"/>
        </w:rPr>
        <w:t>Should either (i) a formal request for information concerning any case dealt with under the Incapacity Procedure be received from the Independent Safeguarding Authority or any other public body with the requisite statutory authority to insist upon production thereof or</w:t>
      </w:r>
    </w:p>
    <w:p>
      <w:pPr>
        <w:spacing w:line="213" w:lineRule="auto" w:before="0"/>
        <w:ind w:left="3004" w:right="1120" w:firstLine="0"/>
        <w:jc w:val="left"/>
        <w:rPr>
          <w:sz w:val="20"/>
        </w:rPr>
      </w:pPr>
      <w:r>
        <w:rPr>
          <w:rFonts w:ascii="Stone Sans II ITC Std Bk" w:hAnsi="Stone Sans II ITC Std Bk"/>
          <w:b/>
          <w:w w:val="110"/>
          <w:sz w:val="20"/>
        </w:rPr>
        <w:t>(ii) circumstances arise which create a statutory requirement to supply such information, then in either case the supply to that body of such information shall not be deemed to be a breach of confidentiality under the Incapacity Procedure</w:t>
      </w:r>
      <w:r>
        <w:rPr>
          <w:w w:val="110"/>
          <w:sz w:val="20"/>
        </w:rPr>
        <w:t>’.</w:t>
      </w:r>
    </w:p>
    <w:p>
      <w:pPr>
        <w:tabs>
          <w:tab w:pos="3004" w:val="left" w:leader="none"/>
        </w:tabs>
        <w:spacing w:line="213" w:lineRule="auto" w:before="94"/>
        <w:ind w:left="3005" w:right="1273" w:hanging="1021"/>
        <w:jc w:val="left"/>
        <w:rPr>
          <w:sz w:val="20"/>
        </w:rPr>
      </w:pPr>
      <w:r>
        <w:rPr>
          <w:rFonts w:ascii="Stone Sans II ITC Std Bk" w:hAnsi="Stone Sans II ITC Std Bk"/>
          <w:b/>
          <w:spacing w:val="3"/>
          <w:w w:val="110"/>
          <w:sz w:val="20"/>
        </w:rPr>
        <w:t>A.5</w:t>
        <w:tab/>
      </w:r>
      <w:r>
        <w:rPr>
          <w:w w:val="110"/>
          <w:sz w:val="20"/>
        </w:rPr>
        <w:t>After the words ‘</w:t>
      </w:r>
      <w:r>
        <w:rPr>
          <w:rFonts w:ascii="Stone Sans II ITC Std Bk" w:hAnsi="Stone Sans II ITC Std Bk"/>
          <w:b/>
          <w:w w:val="110"/>
          <w:sz w:val="20"/>
        </w:rPr>
        <w:t>Review Commission</w:t>
      </w:r>
      <w:r>
        <w:rPr>
          <w:w w:val="110"/>
          <w:sz w:val="20"/>
        </w:rPr>
        <w:t>’ insert </w:t>
      </w:r>
      <w:r>
        <w:rPr>
          <w:spacing w:val="-10"/>
          <w:w w:val="110"/>
          <w:sz w:val="20"/>
        </w:rPr>
        <w:t>‘</w:t>
      </w:r>
      <w:r>
        <w:rPr>
          <w:rFonts w:ascii="Stone Sans II ITC Std Bk" w:hAnsi="Stone Sans II ITC Std Bk"/>
          <w:b/>
          <w:spacing w:val="-10"/>
          <w:w w:val="110"/>
          <w:sz w:val="20"/>
        </w:rPr>
        <w:t>, </w:t>
      </w:r>
      <w:r>
        <w:rPr>
          <w:rFonts w:ascii="Stone Sans II ITC Std Bk" w:hAnsi="Stone Sans II ITC Std Bk"/>
          <w:b/>
          <w:w w:val="110"/>
          <w:sz w:val="20"/>
        </w:rPr>
        <w:t>Appeals Review Commission or Special Appeals</w:t>
      </w:r>
      <w:r>
        <w:rPr>
          <w:rFonts w:ascii="Stone Sans II ITC Std Bk" w:hAnsi="Stone Sans II ITC Std Bk"/>
          <w:b/>
          <w:spacing w:val="-1"/>
          <w:w w:val="110"/>
          <w:sz w:val="20"/>
        </w:rPr>
        <w:t> </w:t>
      </w:r>
      <w:r>
        <w:rPr>
          <w:rFonts w:ascii="Stone Sans II ITC Std Bk" w:hAnsi="Stone Sans II ITC Std Bk"/>
          <w:b/>
          <w:w w:val="110"/>
          <w:sz w:val="20"/>
        </w:rPr>
        <w:t>Body</w:t>
      </w:r>
      <w:r>
        <w:rPr>
          <w:w w:val="110"/>
          <w:sz w:val="20"/>
        </w:rPr>
        <w:t>’.</w:t>
      </w:r>
    </w:p>
    <w:p>
      <w:pPr>
        <w:spacing w:line="213" w:lineRule="auto" w:before="98"/>
        <w:ind w:left="3005" w:right="1120" w:firstLine="0"/>
        <w:jc w:val="left"/>
        <w:rPr>
          <w:sz w:val="20"/>
        </w:rPr>
      </w:pPr>
      <w:r>
        <w:rPr>
          <w:w w:val="115"/>
          <w:sz w:val="20"/>
        </w:rPr>
        <w:t>After</w:t>
      </w:r>
      <w:r>
        <w:rPr>
          <w:spacing w:val="-10"/>
          <w:w w:val="115"/>
          <w:sz w:val="20"/>
        </w:rPr>
        <w:t> </w:t>
      </w:r>
      <w:r>
        <w:rPr>
          <w:w w:val="115"/>
          <w:sz w:val="20"/>
        </w:rPr>
        <w:t>the</w:t>
      </w:r>
      <w:r>
        <w:rPr>
          <w:spacing w:val="-9"/>
          <w:w w:val="115"/>
          <w:sz w:val="20"/>
        </w:rPr>
        <w:t> </w:t>
      </w:r>
      <w:r>
        <w:rPr>
          <w:w w:val="115"/>
          <w:sz w:val="20"/>
        </w:rPr>
        <w:t>words</w:t>
      </w:r>
      <w:r>
        <w:rPr>
          <w:spacing w:val="-9"/>
          <w:w w:val="115"/>
          <w:sz w:val="20"/>
        </w:rPr>
        <w:t> </w:t>
      </w:r>
      <w:r>
        <w:rPr>
          <w:w w:val="115"/>
          <w:sz w:val="20"/>
        </w:rPr>
        <w:t>‘</w:t>
      </w:r>
      <w:r>
        <w:rPr>
          <w:rFonts w:ascii="Stone Sans II ITC Std Bk" w:hAnsi="Stone Sans II ITC Std Bk"/>
          <w:b/>
          <w:w w:val="115"/>
          <w:sz w:val="20"/>
        </w:rPr>
        <w:t>Appeals</w:t>
      </w:r>
      <w:r>
        <w:rPr>
          <w:rFonts w:ascii="Stone Sans II ITC Std Bk" w:hAnsi="Stone Sans II ITC Std Bk"/>
          <w:b/>
          <w:spacing w:val="-17"/>
          <w:w w:val="115"/>
          <w:sz w:val="20"/>
        </w:rPr>
        <w:t> </w:t>
      </w:r>
      <w:r>
        <w:rPr>
          <w:rFonts w:ascii="Stone Sans II ITC Std Bk" w:hAnsi="Stone Sans II ITC Std Bk"/>
          <w:b/>
          <w:w w:val="115"/>
          <w:sz w:val="20"/>
        </w:rPr>
        <w:t>Review</w:t>
      </w:r>
      <w:r>
        <w:rPr>
          <w:rFonts w:ascii="Stone Sans II ITC Std Bk" w:hAnsi="Stone Sans II ITC Std Bk"/>
          <w:b/>
          <w:spacing w:val="-16"/>
          <w:w w:val="115"/>
          <w:sz w:val="20"/>
        </w:rPr>
        <w:t> </w:t>
      </w:r>
      <w:r>
        <w:rPr>
          <w:rFonts w:ascii="Stone Sans II ITC Std Bk" w:hAnsi="Stone Sans II ITC Std Bk"/>
          <w:b/>
          <w:w w:val="115"/>
          <w:sz w:val="20"/>
        </w:rPr>
        <w:t>Commission</w:t>
      </w:r>
      <w:r>
        <w:rPr>
          <w:w w:val="115"/>
          <w:sz w:val="20"/>
        </w:rPr>
        <w:t>’</w:t>
      </w:r>
      <w:r>
        <w:rPr>
          <w:spacing w:val="-9"/>
          <w:w w:val="115"/>
          <w:sz w:val="20"/>
        </w:rPr>
        <w:t> </w:t>
      </w:r>
      <w:r>
        <w:rPr>
          <w:w w:val="115"/>
          <w:sz w:val="20"/>
        </w:rPr>
        <w:t>insert</w:t>
      </w:r>
      <w:r>
        <w:rPr>
          <w:spacing w:val="-9"/>
          <w:w w:val="115"/>
          <w:sz w:val="20"/>
        </w:rPr>
        <w:t> </w:t>
      </w:r>
      <w:r>
        <w:rPr>
          <w:spacing w:val="-3"/>
          <w:w w:val="115"/>
          <w:sz w:val="20"/>
        </w:rPr>
        <w:t>‘</w:t>
      </w:r>
      <w:r>
        <w:rPr>
          <w:rFonts w:ascii="Stone Sans II ITC Std Bk" w:hAnsi="Stone Sans II ITC Std Bk"/>
          <w:b/>
          <w:spacing w:val="-3"/>
          <w:w w:val="115"/>
          <w:sz w:val="20"/>
        </w:rPr>
        <w:t>or</w:t>
      </w:r>
      <w:r>
        <w:rPr>
          <w:rFonts w:ascii="Stone Sans II ITC Std Bk" w:hAnsi="Stone Sans II ITC Std Bk"/>
          <w:b/>
          <w:spacing w:val="-17"/>
          <w:w w:val="115"/>
          <w:sz w:val="20"/>
        </w:rPr>
        <w:t> </w:t>
      </w:r>
      <w:r>
        <w:rPr>
          <w:rFonts w:ascii="Stone Sans II ITC Std Bk" w:hAnsi="Stone Sans II ITC Std Bk"/>
          <w:b/>
          <w:w w:val="115"/>
          <w:sz w:val="20"/>
        </w:rPr>
        <w:t>a</w:t>
      </w:r>
      <w:r>
        <w:rPr>
          <w:rFonts w:ascii="Stone Sans II ITC Std Bk" w:hAnsi="Stone Sans II ITC Std Bk"/>
          <w:b/>
          <w:spacing w:val="-17"/>
          <w:w w:val="115"/>
          <w:sz w:val="20"/>
        </w:rPr>
        <w:t> </w:t>
      </w:r>
      <w:r>
        <w:rPr>
          <w:rFonts w:ascii="Stone Sans II ITC Std Bk" w:hAnsi="Stone Sans II ITC Std Bk"/>
          <w:b/>
          <w:w w:val="115"/>
          <w:sz w:val="20"/>
        </w:rPr>
        <w:t>Special</w:t>
      </w:r>
      <w:r>
        <w:rPr>
          <w:rFonts w:ascii="Stone Sans II ITC Std Bk" w:hAnsi="Stone Sans II ITC Std Bk"/>
          <w:b/>
          <w:spacing w:val="-16"/>
          <w:w w:val="115"/>
          <w:sz w:val="20"/>
        </w:rPr>
        <w:t> </w:t>
      </w:r>
      <w:r>
        <w:rPr>
          <w:rFonts w:ascii="Stone Sans II ITC Std Bk" w:hAnsi="Stone Sans II ITC Std Bk"/>
          <w:b/>
          <w:w w:val="115"/>
          <w:sz w:val="20"/>
        </w:rPr>
        <w:t>Appeals Body</w:t>
      </w:r>
      <w:r>
        <w:rPr>
          <w:w w:val="115"/>
          <w:sz w:val="20"/>
        </w:rPr>
        <w:t>’.</w:t>
      </w:r>
    </w:p>
    <w:p>
      <w:pPr>
        <w:spacing w:after="0" w:line="213" w:lineRule="auto"/>
        <w:jc w:val="left"/>
        <w:rPr>
          <w:sz w:val="20"/>
        </w:rPr>
        <w:sectPr>
          <w:pgSz w:w="11910" w:h="16840"/>
          <w:pgMar w:header="0" w:footer="647" w:top="1060" w:bottom="840" w:left="0" w:right="0"/>
        </w:sectPr>
      </w:pPr>
    </w:p>
    <w:p>
      <w:pPr>
        <w:tabs>
          <w:tab w:pos="2154" w:val="left" w:leader="none"/>
        </w:tabs>
        <w:spacing w:line="213" w:lineRule="auto" w:before="101"/>
        <w:ind w:left="2154" w:right="2394" w:hanging="1021"/>
        <w:jc w:val="left"/>
        <w:rPr>
          <w:sz w:val="20"/>
        </w:rPr>
      </w:pPr>
      <w:r>
        <w:rPr/>
        <w:pict>
          <v:rect style="position:absolute;margin-left:12.047pt;margin-top:8.470425pt;width:22.677pt;height:22.677pt;mso-position-horizontal-relative:page;mso-position-vertical-relative:paragraph;z-index:251907072" filled="true" fillcolor="#f9e9c1" stroked="false">
            <v:fill opacity="32768f" type="solid"/>
            <w10:wrap type="none"/>
          </v:rect>
        </w:pict>
      </w:r>
      <w:r>
        <w:rPr>
          <w:rFonts w:ascii="Stone Sans II ITC Std Bk" w:hAnsi="Stone Sans II ITC Std Bk"/>
          <w:b/>
          <w:w w:val="115"/>
          <w:sz w:val="20"/>
        </w:rPr>
        <w:t>B.3</w:t>
        <w:tab/>
      </w:r>
      <w:r>
        <w:rPr>
          <w:w w:val="115"/>
          <w:sz w:val="20"/>
        </w:rPr>
        <w:t>The existing B.3 to become B.3 </w:t>
      </w:r>
      <w:r>
        <w:rPr>
          <w:spacing w:val="-7"/>
          <w:w w:val="115"/>
          <w:sz w:val="20"/>
        </w:rPr>
        <w:t>1. </w:t>
      </w:r>
      <w:r>
        <w:rPr>
          <w:w w:val="115"/>
          <w:sz w:val="20"/>
        </w:rPr>
        <w:t>Also, after the words ‘</w:t>
      </w:r>
      <w:r>
        <w:rPr>
          <w:rFonts w:ascii="Stone Sans II ITC Std Bk" w:hAnsi="Stone Sans II ITC Std Bk"/>
          <w:b/>
          <w:w w:val="115"/>
          <w:sz w:val="20"/>
        </w:rPr>
        <w:t>the Minister</w:t>
      </w:r>
      <w:r>
        <w:rPr>
          <w:w w:val="115"/>
          <w:sz w:val="20"/>
        </w:rPr>
        <w:t>’ insert ‘</w:t>
      </w:r>
      <w:r>
        <w:rPr>
          <w:rFonts w:ascii="Stone Sans II ITC Std Bk" w:hAnsi="Stone Sans II ITC Std Bk"/>
          <w:b/>
          <w:w w:val="115"/>
          <w:sz w:val="20"/>
        </w:rPr>
        <w:t>in</w:t>
      </w:r>
      <w:r>
        <w:rPr>
          <w:rFonts w:ascii="Stone Sans II ITC Std Bk" w:hAnsi="Stone Sans II ITC Std Bk"/>
          <w:b/>
          <w:spacing w:val="-4"/>
          <w:w w:val="115"/>
          <w:sz w:val="20"/>
        </w:rPr>
        <w:t> </w:t>
      </w:r>
      <w:r>
        <w:rPr>
          <w:rFonts w:ascii="Stone Sans II ITC Std Bk" w:hAnsi="Stone Sans II ITC Std Bk"/>
          <w:b/>
          <w:w w:val="115"/>
          <w:sz w:val="20"/>
        </w:rPr>
        <w:t>writing</w:t>
      </w:r>
      <w:r>
        <w:rPr>
          <w:w w:val="115"/>
          <w:sz w:val="20"/>
        </w:rPr>
        <w:t>’.</w:t>
      </w:r>
    </w:p>
    <w:p>
      <w:pPr>
        <w:tabs>
          <w:tab w:pos="2154" w:val="left" w:leader="none"/>
        </w:tabs>
        <w:spacing w:before="76"/>
        <w:ind w:left="1134" w:right="0" w:firstLine="0"/>
        <w:jc w:val="left"/>
        <w:rPr>
          <w:sz w:val="20"/>
        </w:rPr>
      </w:pPr>
      <w:r>
        <w:rPr>
          <w:rFonts w:ascii="Stone Sans II ITC Std Bk"/>
          <w:b/>
          <w:w w:val="120"/>
          <w:sz w:val="20"/>
        </w:rPr>
        <w:t>B.3.2</w:t>
        <w:tab/>
      </w:r>
      <w:r>
        <w:rPr>
          <w:w w:val="120"/>
          <w:sz w:val="20"/>
        </w:rPr>
        <w:t>Add a new </w:t>
      </w:r>
      <w:r>
        <w:rPr>
          <w:rFonts w:ascii="Stone Sans II ITC Std Bk"/>
          <w:b/>
          <w:w w:val="120"/>
          <w:sz w:val="20"/>
        </w:rPr>
        <w:t>B.3.2 </w:t>
      </w:r>
      <w:r>
        <w:rPr>
          <w:w w:val="120"/>
          <w:sz w:val="20"/>
        </w:rPr>
        <w:t>as</w:t>
      </w:r>
      <w:r>
        <w:rPr>
          <w:spacing w:val="1"/>
          <w:w w:val="120"/>
          <w:sz w:val="20"/>
        </w:rPr>
        <w:t> </w:t>
      </w:r>
      <w:r>
        <w:rPr>
          <w:w w:val="120"/>
          <w:sz w:val="20"/>
        </w:rPr>
        <w:t>follows:</w:t>
      </w:r>
    </w:p>
    <w:p>
      <w:pPr>
        <w:spacing w:line="213" w:lineRule="auto" w:before="91"/>
        <w:ind w:left="2154" w:right="1988" w:firstLine="0"/>
        <w:jc w:val="left"/>
        <w:rPr>
          <w:sz w:val="20"/>
        </w:rPr>
      </w:pPr>
      <w:r>
        <w:rPr>
          <w:w w:val="110"/>
          <w:sz w:val="20"/>
        </w:rPr>
        <w:t>‘</w:t>
      </w:r>
      <w:r>
        <w:rPr>
          <w:rFonts w:ascii="Stone Sans II ITC Std Bk" w:hAnsi="Stone Sans II ITC Std Bk"/>
          <w:b/>
          <w:w w:val="110"/>
          <w:sz w:val="20"/>
        </w:rPr>
        <w:t>The Secretary of the Review Commission shall thereupon notify the following persons in writing of the issue of the Commencement Notice, namely the General Secretary, the Synod Moderator (if s/he did not issue the Commencement </w:t>
      </w:r>
      <w:r>
        <w:rPr>
          <w:rFonts w:ascii="Stone Sans II ITC Std Bk" w:hAnsi="Stone Sans II ITC Std Bk"/>
          <w:b/>
          <w:spacing w:val="-3"/>
          <w:w w:val="110"/>
          <w:sz w:val="20"/>
        </w:rPr>
        <w:t>Notice), </w:t>
      </w:r>
      <w:r>
        <w:rPr>
          <w:rFonts w:ascii="Stone Sans II ITC Std Bk" w:hAnsi="Stone Sans II ITC Std Bk"/>
          <w:b/>
          <w:w w:val="110"/>
          <w:sz w:val="20"/>
        </w:rPr>
        <w:t>the Synod Clerk, the Press Officer, the Secretary for Ministries, the Convener of the PRWC and the responsible officer of any relevant Outside Organisation. The Notice shall stress to all the recipients the sensitive nature of the information imparted and the need to exercise care and discretion as to how it is used. If appropriate, the Notice may be combined with a Notice given under Paragraph E.4 regarding</w:t>
      </w:r>
      <w:r>
        <w:rPr>
          <w:rFonts w:ascii="Stone Sans II ITC Std Bk" w:hAnsi="Stone Sans II ITC Std Bk"/>
          <w:b/>
          <w:spacing w:val="-1"/>
          <w:w w:val="110"/>
          <w:sz w:val="20"/>
        </w:rPr>
        <w:t> </w:t>
      </w:r>
      <w:r>
        <w:rPr>
          <w:rFonts w:ascii="Stone Sans II ITC Std Bk" w:hAnsi="Stone Sans II ITC Std Bk"/>
          <w:b/>
          <w:w w:val="110"/>
          <w:sz w:val="20"/>
        </w:rPr>
        <w:t>suspension</w:t>
      </w:r>
      <w:r>
        <w:rPr>
          <w:w w:val="110"/>
          <w:sz w:val="20"/>
        </w:rPr>
        <w:t>’.</w:t>
      </w:r>
    </w:p>
    <w:p>
      <w:pPr>
        <w:pStyle w:val="BodyText"/>
        <w:tabs>
          <w:tab w:pos="2154" w:val="left" w:leader="none"/>
        </w:tabs>
        <w:spacing w:before="70"/>
        <w:ind w:left="1134"/>
      </w:pPr>
      <w:r>
        <w:rPr>
          <w:rFonts w:ascii="Stone Sans II ITC Std Bk"/>
          <w:b/>
          <w:w w:val="120"/>
        </w:rPr>
        <w:t>B.6</w:t>
        <w:tab/>
      </w:r>
      <w:r>
        <w:rPr>
          <w:w w:val="120"/>
        </w:rPr>
        <w:t>Replace the last sentence with the</w:t>
      </w:r>
      <w:r>
        <w:rPr>
          <w:spacing w:val="11"/>
          <w:w w:val="120"/>
        </w:rPr>
        <w:t> </w:t>
      </w:r>
      <w:r>
        <w:rPr>
          <w:w w:val="120"/>
        </w:rPr>
        <w:t>following:</w:t>
      </w:r>
    </w:p>
    <w:p>
      <w:pPr>
        <w:spacing w:line="213" w:lineRule="auto" w:before="91"/>
        <w:ind w:left="2154" w:right="1997" w:firstLine="0"/>
        <w:jc w:val="left"/>
        <w:rPr>
          <w:sz w:val="20"/>
        </w:rPr>
      </w:pPr>
      <w:r>
        <w:rPr>
          <w:w w:val="110"/>
          <w:sz w:val="20"/>
        </w:rPr>
        <w:t>‘</w:t>
      </w:r>
      <w:r>
        <w:rPr>
          <w:rFonts w:ascii="Stone Sans II ITC Std Bk" w:hAnsi="Stone Sans II ITC Std Bk"/>
          <w:b/>
          <w:w w:val="110"/>
          <w:sz w:val="20"/>
        </w:rPr>
        <w:t>S/he shall also send a written Notice countersigned by the Secretary of the Review Commission to the Secretary of the Assembly Commission informing him/her of the initiation of the Incapacity Procedure so that a declaration can be issued as provided under the Disciplinary Process to the effect that that Process is thereby concluded.</w:t>
      </w:r>
      <w:r>
        <w:rPr>
          <w:w w:val="110"/>
          <w:sz w:val="20"/>
        </w:rPr>
        <w:t>’</w:t>
      </w:r>
    </w:p>
    <w:p>
      <w:pPr>
        <w:pStyle w:val="BodyText"/>
        <w:spacing w:before="86"/>
        <w:ind w:left="2154"/>
      </w:pPr>
      <w:r>
        <w:rPr>
          <w:w w:val="120"/>
        </w:rPr>
        <w:t>Then add a new final sentence as follows:</w:t>
      </w:r>
    </w:p>
    <w:p>
      <w:pPr>
        <w:spacing w:line="213" w:lineRule="auto" w:before="105"/>
        <w:ind w:left="2154" w:right="1997" w:firstLine="0"/>
        <w:jc w:val="left"/>
        <w:rPr>
          <w:sz w:val="20"/>
        </w:rPr>
      </w:pPr>
      <w:r>
        <w:rPr>
          <w:w w:val="110"/>
          <w:sz w:val="20"/>
        </w:rPr>
        <w:t>‘</w:t>
      </w:r>
      <w:r>
        <w:rPr>
          <w:rFonts w:ascii="Stone Sans II ITC Std Bk" w:hAnsi="Stone Sans II ITC Std Bk"/>
          <w:b/>
          <w:w w:val="110"/>
          <w:sz w:val="20"/>
        </w:rPr>
        <w:t>In the event that the Consultation Group decides that the Incapacity Procedure should not be initiated, the Synod Moderator or the Deputy General Secretary as the case may be shall give written Notice of that decision to the Secretary of the Assembly Commission to enable the Disciplinary case to be resumed</w:t>
      </w:r>
      <w:r>
        <w:rPr>
          <w:w w:val="110"/>
          <w:sz w:val="20"/>
        </w:rPr>
        <w:t>’.</w:t>
      </w:r>
    </w:p>
    <w:p>
      <w:pPr>
        <w:pStyle w:val="ListParagraph"/>
        <w:numPr>
          <w:ilvl w:val="1"/>
          <w:numId w:val="86"/>
        </w:numPr>
        <w:tabs>
          <w:tab w:pos="2154" w:val="left" w:leader="none"/>
          <w:tab w:pos="2155" w:val="left" w:leader="none"/>
        </w:tabs>
        <w:spacing w:line="213" w:lineRule="auto" w:before="96" w:after="0"/>
        <w:ind w:left="2154" w:right="2838" w:hanging="1021"/>
        <w:jc w:val="left"/>
        <w:rPr>
          <w:sz w:val="20"/>
        </w:rPr>
      </w:pPr>
      <w:r>
        <w:rPr>
          <w:w w:val="115"/>
          <w:sz w:val="20"/>
        </w:rPr>
        <w:t>After</w:t>
      </w:r>
      <w:r>
        <w:rPr>
          <w:spacing w:val="-9"/>
          <w:w w:val="115"/>
          <w:sz w:val="20"/>
        </w:rPr>
        <w:t> </w:t>
      </w:r>
      <w:r>
        <w:rPr>
          <w:w w:val="115"/>
          <w:sz w:val="20"/>
        </w:rPr>
        <w:t>the</w:t>
      </w:r>
      <w:r>
        <w:rPr>
          <w:spacing w:val="-8"/>
          <w:w w:val="115"/>
          <w:sz w:val="20"/>
        </w:rPr>
        <w:t> </w:t>
      </w:r>
      <w:r>
        <w:rPr>
          <w:w w:val="115"/>
          <w:sz w:val="20"/>
        </w:rPr>
        <w:t>words</w:t>
      </w:r>
      <w:r>
        <w:rPr>
          <w:spacing w:val="-8"/>
          <w:w w:val="115"/>
          <w:sz w:val="20"/>
        </w:rPr>
        <w:t> </w:t>
      </w:r>
      <w:r>
        <w:rPr>
          <w:w w:val="115"/>
          <w:sz w:val="20"/>
        </w:rPr>
        <w:t>‘</w:t>
      </w:r>
      <w:r>
        <w:rPr>
          <w:rFonts w:ascii="Stone Sans II ITC Std Bk" w:hAnsi="Stone Sans II ITC Std Bk"/>
          <w:b/>
          <w:w w:val="115"/>
          <w:sz w:val="20"/>
        </w:rPr>
        <w:t>Appeals</w:t>
      </w:r>
      <w:r>
        <w:rPr>
          <w:rFonts w:ascii="Stone Sans II ITC Std Bk" w:hAnsi="Stone Sans II ITC Std Bk"/>
          <w:b/>
          <w:spacing w:val="-16"/>
          <w:w w:val="115"/>
          <w:sz w:val="20"/>
        </w:rPr>
        <w:t> </w:t>
      </w:r>
      <w:r>
        <w:rPr>
          <w:rFonts w:ascii="Stone Sans II ITC Std Bk" w:hAnsi="Stone Sans II ITC Std Bk"/>
          <w:b/>
          <w:w w:val="115"/>
          <w:sz w:val="20"/>
        </w:rPr>
        <w:t>Review</w:t>
      </w:r>
      <w:r>
        <w:rPr>
          <w:rFonts w:ascii="Stone Sans II ITC Std Bk" w:hAnsi="Stone Sans II ITC Std Bk"/>
          <w:b/>
          <w:spacing w:val="-15"/>
          <w:w w:val="115"/>
          <w:sz w:val="20"/>
        </w:rPr>
        <w:t> </w:t>
      </w:r>
      <w:r>
        <w:rPr>
          <w:rFonts w:ascii="Stone Sans II ITC Std Bk" w:hAnsi="Stone Sans II ITC Std Bk"/>
          <w:b/>
          <w:w w:val="115"/>
          <w:sz w:val="20"/>
        </w:rPr>
        <w:t>Commission</w:t>
      </w:r>
      <w:r>
        <w:rPr>
          <w:w w:val="115"/>
          <w:sz w:val="20"/>
        </w:rPr>
        <w:t>’</w:t>
      </w:r>
      <w:r>
        <w:rPr>
          <w:spacing w:val="-8"/>
          <w:w w:val="115"/>
          <w:sz w:val="20"/>
        </w:rPr>
        <w:t> </w:t>
      </w:r>
      <w:r>
        <w:rPr>
          <w:w w:val="115"/>
          <w:sz w:val="20"/>
        </w:rPr>
        <w:t>insert</w:t>
      </w:r>
      <w:r>
        <w:rPr>
          <w:spacing w:val="-8"/>
          <w:w w:val="115"/>
          <w:sz w:val="20"/>
        </w:rPr>
        <w:t> </w:t>
      </w:r>
      <w:r>
        <w:rPr>
          <w:spacing w:val="-3"/>
          <w:w w:val="115"/>
          <w:sz w:val="20"/>
        </w:rPr>
        <w:t>‘</w:t>
      </w:r>
      <w:r>
        <w:rPr>
          <w:rFonts w:ascii="Stone Sans II ITC Std Bk" w:hAnsi="Stone Sans II ITC Std Bk"/>
          <w:b/>
          <w:spacing w:val="-3"/>
          <w:w w:val="115"/>
          <w:sz w:val="20"/>
        </w:rPr>
        <w:t>or</w:t>
      </w:r>
      <w:r>
        <w:rPr>
          <w:rFonts w:ascii="Stone Sans II ITC Std Bk" w:hAnsi="Stone Sans II ITC Std Bk"/>
          <w:b/>
          <w:spacing w:val="-16"/>
          <w:w w:val="115"/>
          <w:sz w:val="20"/>
        </w:rPr>
        <w:t> </w:t>
      </w:r>
      <w:r>
        <w:rPr>
          <w:rFonts w:ascii="Stone Sans II ITC Std Bk" w:hAnsi="Stone Sans II ITC Std Bk"/>
          <w:b/>
          <w:w w:val="115"/>
          <w:sz w:val="20"/>
        </w:rPr>
        <w:t>the</w:t>
      </w:r>
      <w:r>
        <w:rPr>
          <w:rFonts w:ascii="Stone Sans II ITC Std Bk" w:hAnsi="Stone Sans II ITC Std Bk"/>
          <w:b/>
          <w:spacing w:val="-16"/>
          <w:w w:val="115"/>
          <w:sz w:val="20"/>
        </w:rPr>
        <w:t> </w:t>
      </w:r>
      <w:r>
        <w:rPr>
          <w:rFonts w:ascii="Stone Sans II ITC Std Bk" w:hAnsi="Stone Sans II ITC Std Bk"/>
          <w:b/>
          <w:w w:val="115"/>
          <w:sz w:val="20"/>
        </w:rPr>
        <w:t>Special Appeals</w:t>
      </w:r>
      <w:r>
        <w:rPr>
          <w:rFonts w:ascii="Stone Sans II ITC Std Bk" w:hAnsi="Stone Sans II ITC Std Bk"/>
          <w:b/>
          <w:spacing w:val="-4"/>
          <w:w w:val="115"/>
          <w:sz w:val="20"/>
        </w:rPr>
        <w:t> </w:t>
      </w:r>
      <w:r>
        <w:rPr>
          <w:rFonts w:ascii="Stone Sans II ITC Std Bk" w:hAnsi="Stone Sans II ITC Std Bk"/>
          <w:b/>
          <w:w w:val="115"/>
          <w:sz w:val="20"/>
        </w:rPr>
        <w:t>Body</w:t>
      </w:r>
      <w:r>
        <w:rPr>
          <w:w w:val="115"/>
          <w:sz w:val="20"/>
        </w:rPr>
        <w:t>’</w:t>
      </w:r>
    </w:p>
    <w:p>
      <w:pPr>
        <w:pStyle w:val="ListParagraph"/>
        <w:numPr>
          <w:ilvl w:val="1"/>
          <w:numId w:val="86"/>
        </w:numPr>
        <w:tabs>
          <w:tab w:pos="2154" w:val="left" w:leader="none"/>
          <w:tab w:pos="2155" w:val="left" w:leader="none"/>
        </w:tabs>
        <w:spacing w:line="240" w:lineRule="auto" w:before="75" w:after="0"/>
        <w:ind w:left="2154" w:right="0" w:hanging="1021"/>
        <w:jc w:val="left"/>
        <w:rPr>
          <w:sz w:val="20"/>
        </w:rPr>
      </w:pPr>
      <w:r>
        <w:rPr>
          <w:w w:val="115"/>
          <w:sz w:val="20"/>
        </w:rPr>
        <w:t>After the words ‘</w:t>
      </w:r>
      <w:r>
        <w:rPr>
          <w:rFonts w:ascii="Stone Sans II ITC Std Bk" w:hAnsi="Stone Sans II ITC Std Bk"/>
          <w:b/>
          <w:w w:val="115"/>
          <w:sz w:val="20"/>
        </w:rPr>
        <w:t>servicing </w:t>
      </w:r>
      <w:r>
        <w:rPr>
          <w:rFonts w:ascii="Stone Sans II ITC Std Bk" w:hAnsi="Stone Sans II ITC Std Bk"/>
          <w:b/>
          <w:spacing w:val="3"/>
          <w:w w:val="115"/>
          <w:sz w:val="20"/>
        </w:rPr>
        <w:t>of</w:t>
      </w:r>
      <w:r>
        <w:rPr>
          <w:spacing w:val="3"/>
          <w:w w:val="115"/>
          <w:sz w:val="20"/>
        </w:rPr>
        <w:t>’ </w:t>
      </w:r>
      <w:r>
        <w:rPr>
          <w:w w:val="115"/>
          <w:sz w:val="20"/>
        </w:rPr>
        <w:t>insert ‘</w:t>
      </w:r>
      <w:r>
        <w:rPr>
          <w:rFonts w:ascii="Stone Sans II ITC Std Bk" w:hAnsi="Stone Sans II ITC Std Bk"/>
          <w:b/>
          <w:w w:val="115"/>
          <w:sz w:val="20"/>
        </w:rPr>
        <w:t>the Standing Panel</w:t>
      </w:r>
      <w:r>
        <w:rPr>
          <w:rFonts w:ascii="Stone Sans II ITC Std Bk" w:hAnsi="Stone Sans II ITC Std Bk"/>
          <w:b/>
          <w:spacing w:val="-1"/>
          <w:w w:val="115"/>
          <w:sz w:val="20"/>
        </w:rPr>
        <w:t> </w:t>
      </w:r>
      <w:r>
        <w:rPr>
          <w:rFonts w:ascii="Stone Sans II ITC Std Bk" w:hAnsi="Stone Sans II ITC Std Bk"/>
          <w:b/>
          <w:w w:val="115"/>
          <w:sz w:val="20"/>
        </w:rPr>
        <w:t>and</w:t>
      </w:r>
      <w:r>
        <w:rPr>
          <w:w w:val="115"/>
          <w:sz w:val="20"/>
        </w:rPr>
        <w:t>’</w:t>
      </w:r>
    </w:p>
    <w:p>
      <w:pPr>
        <w:pStyle w:val="ListParagraph"/>
        <w:numPr>
          <w:ilvl w:val="2"/>
          <w:numId w:val="87"/>
        </w:numPr>
        <w:tabs>
          <w:tab w:pos="2154" w:val="left" w:leader="none"/>
          <w:tab w:pos="2155" w:val="left" w:leader="none"/>
        </w:tabs>
        <w:spacing w:line="240" w:lineRule="auto" w:before="69" w:after="0"/>
        <w:ind w:left="2154" w:right="0" w:hanging="1021"/>
        <w:jc w:val="left"/>
        <w:rPr>
          <w:sz w:val="20"/>
        </w:rPr>
      </w:pPr>
      <w:r>
        <w:rPr>
          <w:w w:val="120"/>
          <w:sz w:val="20"/>
        </w:rPr>
        <w:t>At the end of this paragraph remove the full stop and add the word</w:t>
      </w:r>
      <w:r>
        <w:rPr>
          <w:spacing w:val="31"/>
          <w:w w:val="120"/>
          <w:sz w:val="20"/>
        </w:rPr>
        <w:t> </w:t>
      </w:r>
      <w:r>
        <w:rPr>
          <w:spacing w:val="-5"/>
          <w:w w:val="120"/>
          <w:sz w:val="20"/>
        </w:rPr>
        <w:t>‘</w:t>
      </w:r>
      <w:r>
        <w:rPr>
          <w:rFonts w:ascii="Stone Sans II ITC Std Bk" w:hAnsi="Stone Sans II ITC Std Bk"/>
          <w:b/>
          <w:spacing w:val="-5"/>
          <w:w w:val="120"/>
          <w:sz w:val="20"/>
        </w:rPr>
        <w:t>and</w:t>
      </w:r>
      <w:r>
        <w:rPr>
          <w:spacing w:val="-5"/>
          <w:w w:val="120"/>
          <w:sz w:val="20"/>
        </w:rPr>
        <w:t>’.</w:t>
      </w:r>
    </w:p>
    <w:p>
      <w:pPr>
        <w:pStyle w:val="ListParagraph"/>
        <w:numPr>
          <w:ilvl w:val="2"/>
          <w:numId w:val="87"/>
        </w:numPr>
        <w:tabs>
          <w:tab w:pos="2154" w:val="left" w:leader="none"/>
          <w:tab w:pos="2155" w:val="left" w:leader="none"/>
        </w:tabs>
        <w:spacing w:line="240" w:lineRule="auto" w:before="69" w:after="0"/>
        <w:ind w:left="2154" w:right="0" w:hanging="1021"/>
        <w:jc w:val="left"/>
        <w:rPr>
          <w:sz w:val="20"/>
        </w:rPr>
      </w:pPr>
      <w:r>
        <w:rPr>
          <w:w w:val="120"/>
          <w:sz w:val="20"/>
        </w:rPr>
        <w:t>Add a new paragraph </w:t>
      </w:r>
      <w:r>
        <w:rPr>
          <w:rFonts w:ascii="Stone Sans II ITC Std Bk"/>
          <w:b/>
          <w:w w:val="120"/>
          <w:sz w:val="20"/>
        </w:rPr>
        <w:t>G.4.3 </w:t>
      </w:r>
      <w:r>
        <w:rPr>
          <w:w w:val="120"/>
          <w:sz w:val="20"/>
        </w:rPr>
        <w:t>as</w:t>
      </w:r>
      <w:r>
        <w:rPr>
          <w:spacing w:val="3"/>
          <w:w w:val="120"/>
          <w:sz w:val="20"/>
        </w:rPr>
        <w:t> </w:t>
      </w:r>
      <w:r>
        <w:rPr>
          <w:w w:val="120"/>
          <w:sz w:val="20"/>
        </w:rPr>
        <w:t>follows:</w:t>
      </w:r>
    </w:p>
    <w:p>
      <w:pPr>
        <w:spacing w:line="213" w:lineRule="auto" w:before="91"/>
        <w:ind w:left="2154" w:right="1997" w:firstLine="0"/>
        <w:jc w:val="left"/>
        <w:rPr>
          <w:sz w:val="20"/>
        </w:rPr>
      </w:pPr>
      <w:r>
        <w:rPr>
          <w:w w:val="110"/>
          <w:sz w:val="20"/>
        </w:rPr>
        <w:t>‘</w:t>
      </w:r>
      <w:r>
        <w:rPr>
          <w:rFonts w:ascii="Stone Sans II ITC Std Bk" w:hAnsi="Stone Sans II ITC Std Bk"/>
          <w:b/>
          <w:w w:val="110"/>
          <w:sz w:val="20"/>
        </w:rPr>
        <w:t>take all such actions, including the commissioning of specialist advice and guidance, as seem to it desirable and appropriate in the proper conduct of its enquiry</w:t>
      </w:r>
      <w:r>
        <w:rPr>
          <w:w w:val="110"/>
          <w:sz w:val="20"/>
        </w:rPr>
        <w:t>’.</w:t>
      </w:r>
    </w:p>
    <w:p>
      <w:pPr>
        <w:pStyle w:val="ListParagraph"/>
        <w:numPr>
          <w:ilvl w:val="1"/>
          <w:numId w:val="88"/>
        </w:numPr>
        <w:tabs>
          <w:tab w:pos="2155" w:val="left" w:leader="none"/>
          <w:tab w:pos="2156" w:val="left" w:leader="none"/>
        </w:tabs>
        <w:spacing w:line="240" w:lineRule="auto" w:before="75" w:after="0"/>
        <w:ind w:left="2155" w:right="0" w:hanging="1022"/>
        <w:jc w:val="left"/>
        <w:rPr>
          <w:sz w:val="20"/>
        </w:rPr>
      </w:pPr>
      <w:r>
        <w:rPr>
          <w:w w:val="115"/>
          <w:sz w:val="20"/>
        </w:rPr>
        <w:t>Remove the words </w:t>
      </w:r>
      <w:r>
        <w:rPr>
          <w:spacing w:val="-3"/>
          <w:w w:val="115"/>
          <w:sz w:val="20"/>
        </w:rPr>
        <w:t>‘</w:t>
      </w:r>
      <w:r>
        <w:rPr>
          <w:rFonts w:ascii="Stone Sans II ITC Std Bk" w:hAnsi="Stone Sans II ITC Std Bk"/>
          <w:b/>
          <w:spacing w:val="-3"/>
          <w:w w:val="115"/>
          <w:sz w:val="20"/>
        </w:rPr>
        <w:t>or </w:t>
      </w:r>
      <w:r>
        <w:rPr>
          <w:rFonts w:ascii="Stone Sans II ITC Std Bk" w:hAnsi="Stone Sans II ITC Std Bk"/>
          <w:b/>
          <w:w w:val="115"/>
          <w:sz w:val="20"/>
        </w:rPr>
        <w:t>the Appeals Review</w:t>
      </w:r>
      <w:r>
        <w:rPr>
          <w:rFonts w:ascii="Stone Sans II ITC Std Bk" w:hAnsi="Stone Sans II ITC Std Bk"/>
          <w:b/>
          <w:spacing w:val="-2"/>
          <w:w w:val="115"/>
          <w:sz w:val="20"/>
        </w:rPr>
        <w:t> </w:t>
      </w:r>
      <w:r>
        <w:rPr>
          <w:rFonts w:ascii="Stone Sans II ITC Std Bk" w:hAnsi="Stone Sans II ITC Std Bk"/>
          <w:b/>
          <w:spacing w:val="-3"/>
          <w:w w:val="115"/>
          <w:sz w:val="20"/>
        </w:rPr>
        <w:t>Commission</w:t>
      </w:r>
      <w:r>
        <w:rPr>
          <w:spacing w:val="-3"/>
          <w:w w:val="115"/>
          <w:sz w:val="20"/>
        </w:rPr>
        <w:t>’.</w:t>
      </w:r>
    </w:p>
    <w:p>
      <w:pPr>
        <w:pStyle w:val="ListParagraph"/>
        <w:numPr>
          <w:ilvl w:val="1"/>
          <w:numId w:val="88"/>
        </w:numPr>
        <w:tabs>
          <w:tab w:pos="2155" w:val="left" w:leader="none"/>
          <w:tab w:pos="2156" w:val="left" w:leader="none"/>
        </w:tabs>
        <w:spacing w:line="300" w:lineRule="auto" w:before="69" w:after="0"/>
        <w:ind w:left="2155" w:right="3084" w:hanging="1021"/>
        <w:jc w:val="left"/>
        <w:rPr>
          <w:sz w:val="20"/>
        </w:rPr>
      </w:pPr>
      <w:r>
        <w:rPr>
          <w:w w:val="115"/>
          <w:sz w:val="20"/>
        </w:rPr>
        <w:t>Remove</w:t>
      </w:r>
      <w:r>
        <w:rPr>
          <w:spacing w:val="-4"/>
          <w:w w:val="115"/>
          <w:sz w:val="20"/>
        </w:rPr>
        <w:t> </w:t>
      </w:r>
      <w:r>
        <w:rPr>
          <w:w w:val="115"/>
          <w:sz w:val="20"/>
        </w:rPr>
        <w:t>the</w:t>
      </w:r>
      <w:r>
        <w:rPr>
          <w:spacing w:val="-4"/>
          <w:w w:val="115"/>
          <w:sz w:val="20"/>
        </w:rPr>
        <w:t> </w:t>
      </w:r>
      <w:r>
        <w:rPr>
          <w:w w:val="115"/>
          <w:sz w:val="20"/>
        </w:rPr>
        <w:t>words</w:t>
      </w:r>
      <w:r>
        <w:rPr>
          <w:spacing w:val="-4"/>
          <w:w w:val="115"/>
          <w:sz w:val="20"/>
        </w:rPr>
        <w:t> </w:t>
      </w:r>
      <w:r>
        <w:rPr>
          <w:spacing w:val="-3"/>
          <w:w w:val="115"/>
          <w:sz w:val="20"/>
        </w:rPr>
        <w:t>‘</w:t>
      </w:r>
      <w:r>
        <w:rPr>
          <w:rFonts w:ascii="Stone Sans II ITC Std Bk" w:hAnsi="Stone Sans II ITC Std Bk"/>
          <w:b/>
          <w:spacing w:val="-3"/>
          <w:w w:val="115"/>
          <w:sz w:val="20"/>
        </w:rPr>
        <w:t>or</w:t>
      </w:r>
      <w:r>
        <w:rPr>
          <w:rFonts w:ascii="Stone Sans II ITC Std Bk" w:hAnsi="Stone Sans II ITC Std Bk"/>
          <w:b/>
          <w:spacing w:val="-11"/>
          <w:w w:val="115"/>
          <w:sz w:val="20"/>
        </w:rPr>
        <w:t> </w:t>
      </w:r>
      <w:r>
        <w:rPr>
          <w:rFonts w:ascii="Stone Sans II ITC Std Bk" w:hAnsi="Stone Sans II ITC Std Bk"/>
          <w:b/>
          <w:w w:val="115"/>
          <w:sz w:val="20"/>
        </w:rPr>
        <w:t>the</w:t>
      </w:r>
      <w:r>
        <w:rPr>
          <w:rFonts w:ascii="Stone Sans II ITC Std Bk" w:hAnsi="Stone Sans II ITC Std Bk"/>
          <w:b/>
          <w:spacing w:val="-11"/>
          <w:w w:val="115"/>
          <w:sz w:val="20"/>
        </w:rPr>
        <w:t> </w:t>
      </w:r>
      <w:r>
        <w:rPr>
          <w:rFonts w:ascii="Stone Sans II ITC Std Bk" w:hAnsi="Stone Sans II ITC Std Bk"/>
          <w:b/>
          <w:w w:val="115"/>
          <w:sz w:val="20"/>
        </w:rPr>
        <w:t>General</w:t>
      </w:r>
      <w:r>
        <w:rPr>
          <w:rFonts w:ascii="Stone Sans II ITC Std Bk" w:hAnsi="Stone Sans II ITC Std Bk"/>
          <w:b/>
          <w:spacing w:val="-11"/>
          <w:w w:val="115"/>
          <w:sz w:val="20"/>
        </w:rPr>
        <w:t> </w:t>
      </w:r>
      <w:r>
        <w:rPr>
          <w:rFonts w:ascii="Stone Sans II ITC Std Bk" w:hAnsi="Stone Sans II ITC Std Bk"/>
          <w:b/>
          <w:w w:val="115"/>
          <w:sz w:val="20"/>
        </w:rPr>
        <w:t>Secretary</w:t>
      </w:r>
      <w:r>
        <w:rPr>
          <w:rFonts w:ascii="Stone Sans II ITC Std Bk" w:hAnsi="Stone Sans II ITC Std Bk"/>
          <w:b/>
          <w:spacing w:val="-11"/>
          <w:w w:val="115"/>
          <w:sz w:val="20"/>
        </w:rPr>
        <w:t> </w:t>
      </w:r>
      <w:r>
        <w:rPr>
          <w:rFonts w:ascii="Stone Sans II ITC Std Bk" w:hAnsi="Stone Sans II ITC Std Bk"/>
          <w:b/>
          <w:w w:val="115"/>
          <w:sz w:val="20"/>
        </w:rPr>
        <w:t>as</w:t>
      </w:r>
      <w:r>
        <w:rPr>
          <w:rFonts w:ascii="Stone Sans II ITC Std Bk" w:hAnsi="Stone Sans II ITC Std Bk"/>
          <w:b/>
          <w:spacing w:val="-12"/>
          <w:w w:val="115"/>
          <w:sz w:val="20"/>
        </w:rPr>
        <w:t> </w:t>
      </w:r>
      <w:r>
        <w:rPr>
          <w:rFonts w:ascii="Stone Sans II ITC Std Bk" w:hAnsi="Stone Sans II ITC Std Bk"/>
          <w:b/>
          <w:w w:val="115"/>
          <w:sz w:val="20"/>
        </w:rPr>
        <w:t>the</w:t>
      </w:r>
      <w:r>
        <w:rPr>
          <w:rFonts w:ascii="Stone Sans II ITC Std Bk" w:hAnsi="Stone Sans II ITC Std Bk"/>
          <w:b/>
          <w:spacing w:val="-11"/>
          <w:w w:val="115"/>
          <w:sz w:val="20"/>
        </w:rPr>
        <w:t> </w:t>
      </w:r>
      <w:r>
        <w:rPr>
          <w:rFonts w:ascii="Stone Sans II ITC Std Bk" w:hAnsi="Stone Sans II ITC Std Bk"/>
          <w:b/>
          <w:w w:val="115"/>
          <w:sz w:val="20"/>
        </w:rPr>
        <w:t>case</w:t>
      </w:r>
      <w:r>
        <w:rPr>
          <w:rFonts w:ascii="Stone Sans II ITC Std Bk" w:hAnsi="Stone Sans II ITC Std Bk"/>
          <w:b/>
          <w:spacing w:val="-11"/>
          <w:w w:val="115"/>
          <w:sz w:val="20"/>
        </w:rPr>
        <w:t> </w:t>
      </w:r>
      <w:r>
        <w:rPr>
          <w:rFonts w:ascii="Stone Sans II ITC Std Bk" w:hAnsi="Stone Sans II ITC Std Bk"/>
          <w:b/>
          <w:w w:val="115"/>
          <w:sz w:val="20"/>
        </w:rPr>
        <w:t>may</w:t>
      </w:r>
      <w:r>
        <w:rPr>
          <w:rFonts w:ascii="Stone Sans II ITC Std Bk" w:hAnsi="Stone Sans II ITC Std Bk"/>
          <w:b/>
          <w:spacing w:val="-11"/>
          <w:w w:val="115"/>
          <w:sz w:val="20"/>
        </w:rPr>
        <w:t> </w:t>
      </w:r>
      <w:r>
        <w:rPr>
          <w:rFonts w:ascii="Stone Sans II ITC Std Bk" w:hAnsi="Stone Sans II ITC Std Bk"/>
          <w:b/>
          <w:w w:val="115"/>
          <w:sz w:val="20"/>
        </w:rPr>
        <w:t>be</w:t>
      </w:r>
      <w:r>
        <w:rPr>
          <w:w w:val="115"/>
          <w:sz w:val="20"/>
        </w:rPr>
        <w:t>’ Replace the word ‘</w:t>
      </w:r>
      <w:r>
        <w:rPr>
          <w:rFonts w:ascii="Stone Sans II ITC Std Bk" w:hAnsi="Stone Sans II ITC Std Bk"/>
          <w:b/>
          <w:w w:val="115"/>
          <w:sz w:val="20"/>
        </w:rPr>
        <w:t>intention</w:t>
      </w:r>
      <w:r>
        <w:rPr>
          <w:w w:val="115"/>
          <w:sz w:val="20"/>
        </w:rPr>
        <w:t>’ with</w:t>
      </w:r>
      <w:r>
        <w:rPr>
          <w:spacing w:val="23"/>
          <w:w w:val="115"/>
          <w:sz w:val="20"/>
        </w:rPr>
        <w:t> </w:t>
      </w:r>
      <w:r>
        <w:rPr>
          <w:w w:val="115"/>
          <w:sz w:val="20"/>
        </w:rPr>
        <w:t>‘</w:t>
      </w:r>
      <w:r>
        <w:rPr>
          <w:rFonts w:ascii="Stone Sans II ITC Std Bk" w:hAnsi="Stone Sans II ITC Std Bk"/>
          <w:b/>
          <w:w w:val="115"/>
          <w:sz w:val="20"/>
        </w:rPr>
        <w:t>decision</w:t>
      </w:r>
      <w:r>
        <w:rPr>
          <w:w w:val="115"/>
          <w:sz w:val="20"/>
        </w:rPr>
        <w:t>’</w:t>
      </w:r>
    </w:p>
    <w:p>
      <w:pPr>
        <w:pStyle w:val="BodyText"/>
        <w:spacing w:line="223" w:lineRule="auto" w:before="16"/>
        <w:ind w:left="2155" w:right="2191" w:hanging="1"/>
      </w:pPr>
      <w:r>
        <w:rPr>
          <w:w w:val="115"/>
        </w:rPr>
        <w:t>After the sentence ending with the words ‘</w:t>
      </w:r>
      <w:r>
        <w:rPr>
          <w:rFonts w:ascii="Stone Sans II ITC Std Bk" w:hAnsi="Stone Sans II ITC Std Bk"/>
          <w:b/>
          <w:w w:val="115"/>
        </w:rPr>
        <w:t>such recommendation</w:t>
      </w:r>
      <w:r>
        <w:rPr>
          <w:w w:val="115"/>
        </w:rPr>
        <w:t>’ insert a new sentence as follows:</w:t>
      </w:r>
    </w:p>
    <w:p>
      <w:pPr>
        <w:spacing w:line="213" w:lineRule="auto" w:before="109"/>
        <w:ind w:left="2155" w:right="2076" w:firstLine="0"/>
        <w:jc w:val="left"/>
        <w:rPr>
          <w:sz w:val="20"/>
        </w:rPr>
      </w:pPr>
      <w:r>
        <w:rPr>
          <w:w w:val="110"/>
          <w:sz w:val="20"/>
        </w:rPr>
        <w:t>‘</w:t>
      </w:r>
      <w:r>
        <w:rPr>
          <w:rFonts w:ascii="Stone Sans II ITC Std Bk" w:hAnsi="Stone Sans II ITC Std Bk"/>
          <w:b/>
          <w:w w:val="110"/>
          <w:sz w:val="20"/>
        </w:rPr>
        <w:t>This notice shall contain a statement of its reasons for reaching its decision to refer back and it may indicate what papers, if any, should be passed to the recipient of the notice</w:t>
      </w:r>
      <w:r>
        <w:rPr>
          <w:w w:val="110"/>
          <w:sz w:val="20"/>
        </w:rPr>
        <w:t>’</w:t>
      </w:r>
    </w:p>
    <w:p>
      <w:pPr>
        <w:spacing w:line="213" w:lineRule="auto" w:before="97"/>
        <w:ind w:left="2155" w:right="1997" w:firstLine="0"/>
        <w:jc w:val="left"/>
        <w:rPr>
          <w:sz w:val="20"/>
        </w:rPr>
      </w:pPr>
      <w:r>
        <w:rPr>
          <w:w w:val="110"/>
          <w:sz w:val="20"/>
        </w:rPr>
        <w:t>Remove the words ‘</w:t>
      </w:r>
      <w:r>
        <w:rPr>
          <w:rFonts w:ascii="Stone Sans II ITC Std Bk" w:hAnsi="Stone Sans II ITC Std Bk"/>
          <w:b/>
          <w:w w:val="110"/>
          <w:sz w:val="20"/>
        </w:rPr>
        <w:t>(or the General Secretary if the reference back is proposed by the Appeals Review Commission)</w:t>
      </w:r>
      <w:r>
        <w:rPr>
          <w:w w:val="110"/>
          <w:sz w:val="20"/>
        </w:rPr>
        <w:t>’</w:t>
      </w:r>
    </w:p>
    <w:p>
      <w:pPr>
        <w:spacing w:line="312" w:lineRule="auto" w:before="76"/>
        <w:ind w:left="2155" w:right="1997" w:hanging="1"/>
        <w:jc w:val="left"/>
        <w:rPr>
          <w:sz w:val="20"/>
        </w:rPr>
      </w:pPr>
      <w:r>
        <w:rPr>
          <w:w w:val="115"/>
          <w:sz w:val="20"/>
        </w:rPr>
        <w:t>After</w:t>
      </w:r>
      <w:r>
        <w:rPr>
          <w:spacing w:val="-11"/>
          <w:w w:val="115"/>
          <w:sz w:val="20"/>
        </w:rPr>
        <w:t> </w:t>
      </w:r>
      <w:r>
        <w:rPr>
          <w:w w:val="115"/>
          <w:sz w:val="20"/>
        </w:rPr>
        <w:t>the</w:t>
      </w:r>
      <w:r>
        <w:rPr>
          <w:spacing w:val="-11"/>
          <w:w w:val="115"/>
          <w:sz w:val="20"/>
        </w:rPr>
        <w:t> </w:t>
      </w:r>
      <w:r>
        <w:rPr>
          <w:spacing w:val="-3"/>
          <w:w w:val="115"/>
          <w:sz w:val="20"/>
        </w:rPr>
        <w:t>words</w:t>
      </w:r>
      <w:r>
        <w:rPr>
          <w:spacing w:val="-7"/>
          <w:w w:val="115"/>
          <w:sz w:val="20"/>
        </w:rPr>
        <w:t> </w:t>
      </w:r>
      <w:r>
        <w:rPr>
          <w:spacing w:val="-3"/>
          <w:w w:val="115"/>
          <w:sz w:val="20"/>
        </w:rPr>
        <w:t>‘</w:t>
      </w:r>
      <w:r>
        <w:rPr>
          <w:rFonts w:ascii="Stone Sans II ITC Std Bk" w:hAnsi="Stone Sans II ITC Std Bk"/>
          <w:b/>
          <w:spacing w:val="-3"/>
          <w:w w:val="115"/>
          <w:sz w:val="20"/>
        </w:rPr>
        <w:t>received</w:t>
      </w:r>
      <w:r>
        <w:rPr>
          <w:spacing w:val="-3"/>
          <w:w w:val="115"/>
          <w:sz w:val="20"/>
        </w:rPr>
        <w:t>’</w:t>
      </w:r>
      <w:r>
        <w:rPr>
          <w:spacing w:val="-7"/>
          <w:w w:val="115"/>
          <w:sz w:val="20"/>
        </w:rPr>
        <w:t> </w:t>
      </w:r>
      <w:r>
        <w:rPr>
          <w:w w:val="115"/>
          <w:sz w:val="20"/>
        </w:rPr>
        <w:t>add</w:t>
      </w:r>
      <w:r>
        <w:rPr>
          <w:spacing w:val="-8"/>
          <w:w w:val="115"/>
          <w:sz w:val="20"/>
        </w:rPr>
        <w:t> </w:t>
      </w:r>
      <w:r>
        <w:rPr>
          <w:spacing w:val="-5"/>
          <w:w w:val="115"/>
          <w:sz w:val="20"/>
        </w:rPr>
        <w:t>‘</w:t>
      </w:r>
      <w:r>
        <w:rPr>
          <w:rFonts w:ascii="Stone Sans II ITC Std Bk" w:hAnsi="Stone Sans II ITC Std Bk"/>
          <w:b/>
          <w:spacing w:val="-5"/>
          <w:w w:val="115"/>
          <w:sz w:val="20"/>
        </w:rPr>
        <w:t>(time</w:t>
      </w:r>
      <w:r>
        <w:rPr>
          <w:rFonts w:ascii="Stone Sans II ITC Std Bk" w:hAnsi="Stone Sans II ITC Std Bk"/>
          <w:b/>
          <w:spacing w:val="-18"/>
          <w:w w:val="115"/>
          <w:sz w:val="20"/>
        </w:rPr>
        <w:t> </w:t>
      </w:r>
      <w:r>
        <w:rPr>
          <w:rFonts w:ascii="Stone Sans II ITC Std Bk" w:hAnsi="Stone Sans II ITC Std Bk"/>
          <w:b/>
          <w:w w:val="115"/>
          <w:sz w:val="20"/>
        </w:rPr>
        <w:t>being</w:t>
      </w:r>
      <w:r>
        <w:rPr>
          <w:rFonts w:ascii="Stone Sans II ITC Std Bk" w:hAnsi="Stone Sans II ITC Std Bk"/>
          <w:b/>
          <w:spacing w:val="-19"/>
          <w:w w:val="115"/>
          <w:sz w:val="20"/>
        </w:rPr>
        <w:t> </w:t>
      </w:r>
      <w:r>
        <w:rPr>
          <w:rFonts w:ascii="Stone Sans II ITC Std Bk" w:hAnsi="Stone Sans II ITC Std Bk"/>
          <w:b/>
          <w:w w:val="115"/>
          <w:sz w:val="20"/>
        </w:rPr>
        <w:t>of</w:t>
      </w:r>
      <w:r>
        <w:rPr>
          <w:rFonts w:ascii="Stone Sans II ITC Std Bk" w:hAnsi="Stone Sans II ITC Std Bk"/>
          <w:b/>
          <w:spacing w:val="-19"/>
          <w:w w:val="115"/>
          <w:sz w:val="20"/>
        </w:rPr>
        <w:t> </w:t>
      </w:r>
      <w:r>
        <w:rPr>
          <w:rFonts w:ascii="Stone Sans II ITC Std Bk" w:hAnsi="Stone Sans II ITC Std Bk"/>
          <w:b/>
          <w:w w:val="115"/>
          <w:sz w:val="20"/>
        </w:rPr>
        <w:t>the</w:t>
      </w:r>
      <w:r>
        <w:rPr>
          <w:rFonts w:ascii="Stone Sans II ITC Std Bk" w:hAnsi="Stone Sans II ITC Std Bk"/>
          <w:b/>
          <w:spacing w:val="-19"/>
          <w:w w:val="115"/>
          <w:sz w:val="20"/>
        </w:rPr>
        <w:t> </w:t>
      </w:r>
      <w:r>
        <w:rPr>
          <w:rFonts w:ascii="Stone Sans II ITC Std Bk" w:hAnsi="Stone Sans II ITC Std Bk"/>
          <w:b/>
          <w:spacing w:val="-3"/>
          <w:w w:val="115"/>
          <w:sz w:val="20"/>
        </w:rPr>
        <w:t>essence</w:t>
      </w:r>
      <w:r>
        <w:rPr>
          <w:rFonts w:ascii="Stone Sans II ITC Std Bk" w:hAnsi="Stone Sans II ITC Std Bk"/>
          <w:b/>
          <w:spacing w:val="-19"/>
          <w:w w:val="115"/>
          <w:sz w:val="20"/>
        </w:rPr>
        <w:t> </w:t>
      </w:r>
      <w:r>
        <w:rPr>
          <w:rFonts w:ascii="Stone Sans II ITC Std Bk" w:hAnsi="Stone Sans II ITC Std Bk"/>
          <w:b/>
          <w:w w:val="115"/>
          <w:sz w:val="20"/>
        </w:rPr>
        <w:t>for</w:t>
      </w:r>
      <w:r>
        <w:rPr>
          <w:rFonts w:ascii="Stone Sans II ITC Std Bk" w:hAnsi="Stone Sans II ITC Std Bk"/>
          <w:b/>
          <w:spacing w:val="-18"/>
          <w:w w:val="115"/>
          <w:sz w:val="20"/>
        </w:rPr>
        <w:t> </w:t>
      </w:r>
      <w:r>
        <w:rPr>
          <w:rFonts w:ascii="Stone Sans II ITC Std Bk" w:hAnsi="Stone Sans II ITC Std Bk"/>
          <w:b/>
          <w:w w:val="115"/>
          <w:sz w:val="20"/>
        </w:rPr>
        <w:t>this</w:t>
      </w:r>
      <w:r>
        <w:rPr>
          <w:rFonts w:ascii="Stone Sans II ITC Std Bk" w:hAnsi="Stone Sans II ITC Std Bk"/>
          <w:b/>
          <w:spacing w:val="-19"/>
          <w:w w:val="115"/>
          <w:sz w:val="20"/>
        </w:rPr>
        <w:t> </w:t>
      </w:r>
      <w:r>
        <w:rPr>
          <w:rFonts w:ascii="Stone Sans II ITC Std Bk" w:hAnsi="Stone Sans II ITC Std Bk"/>
          <w:b/>
          <w:spacing w:val="-4"/>
          <w:w w:val="115"/>
          <w:sz w:val="20"/>
        </w:rPr>
        <w:t>purpose)</w:t>
      </w:r>
      <w:r>
        <w:rPr>
          <w:spacing w:val="-4"/>
          <w:w w:val="115"/>
          <w:sz w:val="20"/>
        </w:rPr>
        <w:t>’ </w:t>
      </w:r>
      <w:r>
        <w:rPr>
          <w:w w:val="115"/>
          <w:sz w:val="20"/>
        </w:rPr>
        <w:t>At the end of H.2 add the following</w:t>
      </w:r>
      <w:r>
        <w:rPr>
          <w:spacing w:val="6"/>
          <w:w w:val="115"/>
          <w:sz w:val="20"/>
        </w:rPr>
        <w:t> </w:t>
      </w:r>
      <w:r>
        <w:rPr>
          <w:w w:val="115"/>
          <w:sz w:val="20"/>
        </w:rPr>
        <w:t>sentence:</w:t>
      </w:r>
    </w:p>
    <w:p>
      <w:pPr>
        <w:spacing w:line="213" w:lineRule="auto" w:before="31"/>
        <w:ind w:left="2155" w:right="1997" w:firstLine="0"/>
        <w:jc w:val="left"/>
        <w:rPr>
          <w:sz w:val="20"/>
        </w:rPr>
      </w:pPr>
      <w:r>
        <w:rPr>
          <w:w w:val="110"/>
          <w:sz w:val="20"/>
        </w:rPr>
        <w:t>‘</w:t>
      </w:r>
      <w:r>
        <w:rPr>
          <w:rFonts w:ascii="Stone Sans II ITC Std Bk" w:hAnsi="Stone Sans II ITC Std Bk"/>
          <w:b/>
          <w:w w:val="110"/>
          <w:sz w:val="20"/>
        </w:rPr>
        <w:t>The Notice shall draw the attention of the recipient to the strict time limit for serving a Notice of Appeal in response to a notice served under this Paragraph.</w:t>
      </w:r>
      <w:r>
        <w:rPr>
          <w:w w:val="110"/>
          <w:sz w:val="20"/>
        </w:rPr>
        <w:t>’</w:t>
      </w:r>
    </w:p>
    <w:p>
      <w:pPr>
        <w:pStyle w:val="ListParagraph"/>
        <w:numPr>
          <w:ilvl w:val="1"/>
          <w:numId w:val="88"/>
        </w:numPr>
        <w:tabs>
          <w:tab w:pos="2155" w:val="left" w:leader="none"/>
          <w:tab w:pos="2156" w:val="left" w:leader="none"/>
          <w:tab w:pos="4546" w:val="left" w:leader="dot"/>
        </w:tabs>
        <w:spacing w:line="255" w:lineRule="exact" w:before="75" w:after="0"/>
        <w:ind w:left="2155" w:right="0" w:hanging="1021"/>
        <w:jc w:val="left"/>
        <w:rPr>
          <w:rFonts w:ascii="Stone Sans II ITC Std Bk" w:hAnsi="Stone Sans II ITC Std Bk"/>
          <w:b/>
          <w:sz w:val="20"/>
        </w:rPr>
      </w:pPr>
      <w:r>
        <w:rPr>
          <w:w w:val="115"/>
          <w:sz w:val="20"/>
        </w:rPr>
        <w:t>Replace  the</w:t>
      </w:r>
      <w:r>
        <w:rPr>
          <w:spacing w:val="4"/>
          <w:w w:val="115"/>
          <w:sz w:val="20"/>
        </w:rPr>
        <w:t> </w:t>
      </w:r>
      <w:r>
        <w:rPr>
          <w:w w:val="115"/>
          <w:sz w:val="20"/>
        </w:rPr>
        <w:t>words</w:t>
      </w:r>
      <w:r>
        <w:rPr>
          <w:spacing w:val="28"/>
          <w:w w:val="115"/>
          <w:sz w:val="20"/>
        </w:rPr>
        <w:t> </w:t>
      </w:r>
      <w:r>
        <w:rPr>
          <w:w w:val="115"/>
          <w:sz w:val="20"/>
        </w:rPr>
        <w:t>‘</w:t>
        <w:tab/>
      </w:r>
      <w:r>
        <w:rPr>
          <w:rFonts w:ascii="Stone Sans II ITC Std Bk" w:hAnsi="Stone Sans II ITC Std Bk"/>
          <w:b/>
          <w:w w:val="115"/>
          <w:sz w:val="20"/>
        </w:rPr>
        <w:t>the Secretary of the Review Commission</w:t>
      </w:r>
      <w:r>
        <w:rPr>
          <w:rFonts w:ascii="Stone Sans II ITC Std Bk" w:hAnsi="Stone Sans II ITC Std Bk"/>
          <w:b/>
          <w:spacing w:val="-38"/>
          <w:w w:val="115"/>
          <w:sz w:val="20"/>
        </w:rPr>
        <w:t> </w:t>
      </w:r>
      <w:r>
        <w:rPr>
          <w:rFonts w:ascii="Stone Sans II ITC Std Bk" w:hAnsi="Stone Sans II ITC Std Bk"/>
          <w:b/>
          <w:w w:val="115"/>
          <w:sz w:val="20"/>
        </w:rPr>
        <w:t>or</w:t>
      </w:r>
    </w:p>
    <w:p>
      <w:pPr>
        <w:tabs>
          <w:tab w:pos="8085" w:val="left" w:leader="dot"/>
        </w:tabs>
        <w:spacing w:line="213" w:lineRule="auto" w:before="7"/>
        <w:ind w:left="2155" w:right="2447" w:firstLine="0"/>
        <w:jc w:val="left"/>
        <w:rPr>
          <w:sz w:val="20"/>
        </w:rPr>
      </w:pPr>
      <w:r>
        <w:rPr>
          <w:rFonts w:ascii="Stone Sans II ITC Std Bk" w:hAnsi="Stone Sans II ITC Std Bk"/>
          <w:b/>
          <w:w w:val="110"/>
          <w:sz w:val="20"/>
        </w:rPr>
        <w:t>the General Secretary as the case may be</w:t>
      </w:r>
      <w:r>
        <w:rPr>
          <w:w w:val="110"/>
          <w:sz w:val="20"/>
        </w:rPr>
        <w:t>’ with ‘</w:t>
      </w:r>
      <w:r>
        <w:rPr>
          <w:rFonts w:ascii="Stone Sans II ITC Std Bk" w:hAnsi="Stone Sans II ITC Std Bk"/>
          <w:b/>
          <w:w w:val="110"/>
          <w:sz w:val="20"/>
        </w:rPr>
        <w:t>the case within the Incapacity Procedure shall stand adjourned during the course of the appeal and the Secretary of the</w:t>
      </w:r>
      <w:r>
        <w:rPr>
          <w:rFonts w:ascii="Stone Sans II ITC Std Bk" w:hAnsi="Stone Sans II ITC Std Bk"/>
          <w:b/>
          <w:spacing w:val="4"/>
          <w:w w:val="110"/>
          <w:sz w:val="20"/>
        </w:rPr>
        <w:t> </w:t>
      </w:r>
      <w:r>
        <w:rPr>
          <w:rFonts w:ascii="Stone Sans II ITC Std Bk" w:hAnsi="Stone Sans II ITC Std Bk"/>
          <w:b/>
          <w:w w:val="110"/>
          <w:sz w:val="20"/>
        </w:rPr>
        <w:t>Review</w:t>
      </w:r>
      <w:r>
        <w:rPr>
          <w:rFonts w:ascii="Stone Sans II ITC Std Bk" w:hAnsi="Stone Sans II ITC Std Bk"/>
          <w:b/>
          <w:spacing w:val="1"/>
          <w:w w:val="110"/>
          <w:sz w:val="20"/>
        </w:rPr>
        <w:t> </w:t>
      </w:r>
      <w:r>
        <w:rPr>
          <w:rFonts w:ascii="Stone Sans II ITC Std Bk" w:hAnsi="Stone Sans II ITC Std Bk"/>
          <w:b/>
          <w:w w:val="110"/>
          <w:sz w:val="20"/>
        </w:rPr>
        <w:t>Commission</w:t>
        <w:tab/>
      </w:r>
      <w:r>
        <w:rPr>
          <w:w w:val="110"/>
          <w:sz w:val="20"/>
        </w:rPr>
        <w:t>’</w:t>
      </w:r>
    </w:p>
    <w:p>
      <w:pPr>
        <w:spacing w:after="0" w:line="213" w:lineRule="auto"/>
        <w:jc w:val="left"/>
        <w:rPr>
          <w:sz w:val="20"/>
        </w:rPr>
        <w:sectPr>
          <w:pgSz w:w="11910" w:h="16840"/>
          <w:pgMar w:header="0" w:footer="647" w:top="1060" w:bottom="840" w:left="0" w:right="0"/>
        </w:sectPr>
      </w:pPr>
    </w:p>
    <w:p>
      <w:pPr>
        <w:tabs>
          <w:tab w:pos="3004" w:val="left" w:leader="none"/>
          <w:tab w:pos="4293" w:val="left" w:leader="dot"/>
        </w:tabs>
        <w:spacing w:line="213" w:lineRule="auto" w:before="97"/>
        <w:ind w:left="3004" w:right="1686" w:hanging="1021"/>
        <w:jc w:val="left"/>
        <w:rPr>
          <w:sz w:val="20"/>
        </w:rPr>
      </w:pPr>
      <w:r>
        <w:rPr/>
        <w:pict>
          <v:rect style="position:absolute;margin-left:558.424988pt;margin-top:8.505788pt;width:22.677pt;height:22.677pt;mso-position-horizontal-relative:page;mso-position-vertical-relative:paragraph;z-index:251909120" filled="true" fillcolor="#f9e9c1" stroked="false">
            <v:fill opacity="32768f" type="solid"/>
            <w10:wrap type="none"/>
          </v:rect>
        </w:pict>
      </w:r>
      <w:r>
        <w:rPr>
          <w:rFonts w:ascii="Stone Sans II ITC Std Bk" w:hAnsi="Stone Sans II ITC Std Bk"/>
          <w:b/>
          <w:w w:val="115"/>
          <w:sz w:val="20"/>
        </w:rPr>
        <w:t>H.6</w:t>
        <w:tab/>
      </w:r>
      <w:r>
        <w:rPr>
          <w:spacing w:val="-3"/>
          <w:w w:val="115"/>
          <w:sz w:val="20"/>
        </w:rPr>
        <w:t>Replace </w:t>
      </w:r>
      <w:r>
        <w:rPr>
          <w:w w:val="115"/>
          <w:sz w:val="20"/>
        </w:rPr>
        <w:t>the opening </w:t>
      </w:r>
      <w:r>
        <w:rPr>
          <w:spacing w:val="-3"/>
          <w:w w:val="115"/>
          <w:sz w:val="20"/>
        </w:rPr>
        <w:t>words </w:t>
      </w:r>
      <w:r>
        <w:rPr>
          <w:w w:val="115"/>
          <w:sz w:val="20"/>
        </w:rPr>
        <w:t>up </w:t>
      </w:r>
      <w:r>
        <w:rPr>
          <w:spacing w:val="-3"/>
          <w:w w:val="115"/>
          <w:sz w:val="20"/>
        </w:rPr>
        <w:t>to </w:t>
      </w:r>
      <w:r>
        <w:rPr>
          <w:w w:val="115"/>
          <w:sz w:val="20"/>
        </w:rPr>
        <w:t>‘</w:t>
      </w:r>
      <w:r>
        <w:rPr>
          <w:rFonts w:ascii="Stone Sans II ITC Std Bk" w:hAnsi="Stone Sans II ITC Std Bk"/>
          <w:b/>
          <w:w w:val="115"/>
          <w:sz w:val="20"/>
        </w:rPr>
        <w:t>in response </w:t>
      </w:r>
      <w:r>
        <w:rPr>
          <w:rFonts w:ascii="Stone Sans II ITC Std Bk" w:hAnsi="Stone Sans II ITC Std Bk"/>
          <w:b/>
          <w:spacing w:val="-3"/>
          <w:w w:val="115"/>
          <w:sz w:val="20"/>
        </w:rPr>
        <w:t>thereto</w:t>
      </w:r>
      <w:r>
        <w:rPr>
          <w:spacing w:val="-3"/>
          <w:w w:val="115"/>
          <w:sz w:val="20"/>
        </w:rPr>
        <w:t>’ </w:t>
      </w:r>
      <w:r>
        <w:rPr>
          <w:w w:val="115"/>
          <w:sz w:val="20"/>
        </w:rPr>
        <w:t>with ‘</w:t>
      </w:r>
      <w:r>
        <w:rPr>
          <w:rFonts w:ascii="Stone Sans II ITC Std Bk" w:hAnsi="Stone Sans II ITC Std Bk"/>
          <w:b/>
          <w:w w:val="115"/>
          <w:sz w:val="20"/>
        </w:rPr>
        <w:t>The Special Appeals</w:t>
      </w:r>
      <w:r>
        <w:rPr>
          <w:rFonts w:ascii="Stone Sans II ITC Std Bk" w:hAnsi="Stone Sans II ITC Std Bk"/>
          <w:b/>
          <w:spacing w:val="-34"/>
          <w:w w:val="115"/>
          <w:sz w:val="20"/>
        </w:rPr>
        <w:t> </w:t>
      </w:r>
      <w:r>
        <w:rPr>
          <w:rFonts w:ascii="Stone Sans II ITC Std Bk" w:hAnsi="Stone Sans II ITC Std Bk"/>
          <w:b/>
          <w:w w:val="115"/>
          <w:sz w:val="20"/>
        </w:rPr>
        <w:t>Body</w:t>
      </w:r>
      <w:r>
        <w:rPr>
          <w:rFonts w:ascii="Stone Sans II ITC Std Bk" w:hAnsi="Stone Sans II ITC Std Bk"/>
          <w:b/>
          <w:spacing w:val="-33"/>
          <w:w w:val="115"/>
          <w:sz w:val="20"/>
        </w:rPr>
        <w:t> </w:t>
      </w:r>
      <w:r>
        <w:rPr>
          <w:rFonts w:ascii="Stone Sans II ITC Std Bk" w:hAnsi="Stone Sans II ITC Std Bk"/>
          <w:b/>
          <w:w w:val="115"/>
          <w:sz w:val="20"/>
        </w:rPr>
        <w:t>shall</w:t>
      </w:r>
      <w:r>
        <w:rPr>
          <w:rFonts w:ascii="Stone Sans II ITC Std Bk" w:hAnsi="Stone Sans II ITC Std Bk"/>
          <w:b/>
          <w:spacing w:val="-34"/>
          <w:w w:val="115"/>
          <w:sz w:val="20"/>
        </w:rPr>
        <w:t> </w:t>
      </w:r>
      <w:r>
        <w:rPr>
          <w:rFonts w:ascii="Stone Sans II ITC Std Bk" w:hAnsi="Stone Sans II ITC Std Bk"/>
          <w:b/>
          <w:w w:val="115"/>
          <w:sz w:val="20"/>
        </w:rPr>
        <w:t>consider</w:t>
      </w:r>
      <w:r>
        <w:rPr>
          <w:rFonts w:ascii="Stone Sans II ITC Std Bk" w:hAnsi="Stone Sans II ITC Std Bk"/>
          <w:b/>
          <w:spacing w:val="-33"/>
          <w:w w:val="115"/>
          <w:sz w:val="20"/>
        </w:rPr>
        <w:t> </w:t>
      </w:r>
      <w:r>
        <w:rPr>
          <w:rFonts w:ascii="Stone Sans II ITC Std Bk" w:hAnsi="Stone Sans II ITC Std Bk"/>
          <w:b/>
          <w:w w:val="115"/>
          <w:sz w:val="20"/>
        </w:rPr>
        <w:t>the</w:t>
      </w:r>
      <w:r>
        <w:rPr>
          <w:rFonts w:ascii="Stone Sans II ITC Std Bk" w:hAnsi="Stone Sans II ITC Std Bk"/>
          <w:b/>
          <w:spacing w:val="-33"/>
          <w:w w:val="115"/>
          <w:sz w:val="20"/>
        </w:rPr>
        <w:t> </w:t>
      </w:r>
      <w:r>
        <w:rPr>
          <w:rFonts w:ascii="Stone Sans II ITC Std Bk" w:hAnsi="Stone Sans II ITC Std Bk"/>
          <w:b/>
          <w:w w:val="115"/>
          <w:sz w:val="20"/>
        </w:rPr>
        <w:t>decision</w:t>
      </w:r>
      <w:r>
        <w:rPr>
          <w:rFonts w:ascii="Stone Sans II ITC Std Bk" w:hAnsi="Stone Sans II ITC Std Bk"/>
          <w:b/>
          <w:spacing w:val="-34"/>
          <w:w w:val="115"/>
          <w:sz w:val="20"/>
        </w:rPr>
        <w:t> </w:t>
      </w:r>
      <w:r>
        <w:rPr>
          <w:rFonts w:ascii="Stone Sans II ITC Std Bk" w:hAnsi="Stone Sans II ITC Std Bk"/>
          <w:b/>
          <w:w w:val="115"/>
          <w:sz w:val="20"/>
        </w:rPr>
        <w:t>of</w:t>
      </w:r>
      <w:r>
        <w:rPr>
          <w:rFonts w:ascii="Stone Sans II ITC Std Bk" w:hAnsi="Stone Sans II ITC Std Bk"/>
          <w:b/>
          <w:spacing w:val="-33"/>
          <w:w w:val="115"/>
          <w:sz w:val="20"/>
        </w:rPr>
        <w:t> </w:t>
      </w:r>
      <w:r>
        <w:rPr>
          <w:rFonts w:ascii="Stone Sans II ITC Std Bk" w:hAnsi="Stone Sans II ITC Std Bk"/>
          <w:b/>
          <w:w w:val="115"/>
          <w:sz w:val="20"/>
        </w:rPr>
        <w:t>the</w:t>
      </w:r>
      <w:r>
        <w:rPr>
          <w:rFonts w:ascii="Stone Sans II ITC Std Bk" w:hAnsi="Stone Sans II ITC Std Bk"/>
          <w:b/>
          <w:spacing w:val="-33"/>
          <w:w w:val="115"/>
          <w:sz w:val="20"/>
        </w:rPr>
        <w:t> </w:t>
      </w:r>
      <w:r>
        <w:rPr>
          <w:rFonts w:ascii="Stone Sans II ITC Std Bk" w:hAnsi="Stone Sans II ITC Std Bk"/>
          <w:b/>
          <w:spacing w:val="-3"/>
          <w:w w:val="115"/>
          <w:sz w:val="20"/>
        </w:rPr>
        <w:t>Review</w:t>
      </w:r>
      <w:r>
        <w:rPr>
          <w:rFonts w:ascii="Stone Sans II ITC Std Bk" w:hAnsi="Stone Sans II ITC Std Bk"/>
          <w:b/>
          <w:spacing w:val="-34"/>
          <w:w w:val="115"/>
          <w:sz w:val="20"/>
        </w:rPr>
        <w:t> </w:t>
      </w:r>
      <w:r>
        <w:rPr>
          <w:rFonts w:ascii="Stone Sans II ITC Std Bk" w:hAnsi="Stone Sans II ITC Std Bk"/>
          <w:b/>
          <w:spacing w:val="-3"/>
          <w:w w:val="115"/>
          <w:sz w:val="20"/>
        </w:rPr>
        <w:t>Commission to</w:t>
      </w:r>
      <w:r>
        <w:rPr>
          <w:rFonts w:ascii="Stone Sans II ITC Std Bk" w:hAnsi="Stone Sans II ITC Std Bk"/>
          <w:b/>
          <w:spacing w:val="-32"/>
          <w:w w:val="115"/>
          <w:sz w:val="20"/>
        </w:rPr>
        <w:t> </w:t>
      </w:r>
      <w:r>
        <w:rPr>
          <w:rFonts w:ascii="Stone Sans II ITC Std Bk" w:hAnsi="Stone Sans II ITC Std Bk"/>
          <w:b/>
          <w:w w:val="115"/>
          <w:sz w:val="20"/>
        </w:rPr>
        <w:t>refer</w:t>
      </w:r>
      <w:r>
        <w:rPr>
          <w:rFonts w:ascii="Stone Sans II ITC Std Bk" w:hAnsi="Stone Sans II ITC Std Bk"/>
          <w:b/>
          <w:spacing w:val="-31"/>
          <w:w w:val="115"/>
          <w:sz w:val="20"/>
        </w:rPr>
        <w:t> </w:t>
      </w:r>
      <w:r>
        <w:rPr>
          <w:rFonts w:ascii="Stone Sans II ITC Std Bk" w:hAnsi="Stone Sans II ITC Std Bk"/>
          <w:b/>
          <w:w w:val="115"/>
          <w:sz w:val="20"/>
        </w:rPr>
        <w:t>the</w:t>
      </w:r>
      <w:r>
        <w:rPr>
          <w:rFonts w:ascii="Stone Sans II ITC Std Bk" w:hAnsi="Stone Sans II ITC Std Bk"/>
          <w:b/>
          <w:spacing w:val="-31"/>
          <w:w w:val="115"/>
          <w:sz w:val="20"/>
        </w:rPr>
        <w:t> </w:t>
      </w:r>
      <w:r>
        <w:rPr>
          <w:rFonts w:ascii="Stone Sans II ITC Std Bk" w:hAnsi="Stone Sans II ITC Std Bk"/>
          <w:b/>
          <w:w w:val="115"/>
          <w:sz w:val="20"/>
        </w:rPr>
        <w:t>case</w:t>
      </w:r>
      <w:r>
        <w:rPr>
          <w:rFonts w:ascii="Stone Sans II ITC Std Bk" w:hAnsi="Stone Sans II ITC Std Bk"/>
          <w:b/>
          <w:spacing w:val="-32"/>
          <w:w w:val="115"/>
          <w:sz w:val="20"/>
        </w:rPr>
        <w:t> </w:t>
      </w:r>
      <w:r>
        <w:rPr>
          <w:rFonts w:ascii="Stone Sans II ITC Std Bk" w:hAnsi="Stone Sans II ITC Std Bk"/>
          <w:b/>
          <w:w w:val="115"/>
          <w:sz w:val="20"/>
        </w:rPr>
        <w:t>back</w:t>
      </w:r>
      <w:r>
        <w:rPr>
          <w:rFonts w:ascii="Stone Sans II ITC Std Bk" w:hAnsi="Stone Sans II ITC Std Bk"/>
          <w:b/>
          <w:spacing w:val="-31"/>
          <w:w w:val="115"/>
          <w:sz w:val="20"/>
        </w:rPr>
        <w:t> </w:t>
      </w:r>
      <w:r>
        <w:rPr>
          <w:rFonts w:ascii="Stone Sans II ITC Std Bk" w:hAnsi="Stone Sans II ITC Std Bk"/>
          <w:b/>
          <w:w w:val="115"/>
          <w:sz w:val="20"/>
        </w:rPr>
        <w:t>and</w:t>
      </w:r>
      <w:r>
        <w:rPr>
          <w:rFonts w:ascii="Stone Sans II ITC Std Bk" w:hAnsi="Stone Sans II ITC Std Bk"/>
          <w:b/>
          <w:spacing w:val="-31"/>
          <w:w w:val="115"/>
          <w:sz w:val="20"/>
        </w:rPr>
        <w:t> </w:t>
      </w:r>
      <w:r>
        <w:rPr>
          <w:rFonts w:ascii="Stone Sans II ITC Std Bk" w:hAnsi="Stone Sans II ITC Std Bk"/>
          <w:b/>
          <w:spacing w:val="-3"/>
          <w:w w:val="115"/>
          <w:sz w:val="20"/>
        </w:rPr>
        <w:t>any</w:t>
      </w:r>
      <w:r>
        <w:rPr>
          <w:rFonts w:ascii="Stone Sans II ITC Std Bk" w:hAnsi="Stone Sans II ITC Std Bk"/>
          <w:b/>
          <w:spacing w:val="-31"/>
          <w:w w:val="115"/>
          <w:sz w:val="20"/>
        </w:rPr>
        <w:t> </w:t>
      </w:r>
      <w:r>
        <w:rPr>
          <w:rFonts w:ascii="Stone Sans II ITC Std Bk" w:hAnsi="Stone Sans II ITC Std Bk"/>
          <w:b/>
          <w:w w:val="115"/>
          <w:sz w:val="20"/>
        </w:rPr>
        <w:t>representations</w:t>
      </w:r>
      <w:r>
        <w:rPr>
          <w:rFonts w:ascii="Stone Sans II ITC Std Bk" w:hAnsi="Stone Sans II ITC Std Bk"/>
          <w:b/>
          <w:spacing w:val="-32"/>
          <w:w w:val="115"/>
          <w:sz w:val="20"/>
        </w:rPr>
        <w:t> </w:t>
      </w:r>
      <w:r>
        <w:rPr>
          <w:rFonts w:ascii="Stone Sans II ITC Std Bk" w:hAnsi="Stone Sans II ITC Std Bk"/>
          <w:b/>
          <w:w w:val="115"/>
          <w:sz w:val="20"/>
        </w:rPr>
        <w:t>made</w:t>
      </w:r>
      <w:r>
        <w:rPr>
          <w:rFonts w:ascii="Stone Sans II ITC Std Bk" w:hAnsi="Stone Sans II ITC Std Bk"/>
          <w:b/>
          <w:spacing w:val="-31"/>
          <w:w w:val="115"/>
          <w:sz w:val="20"/>
        </w:rPr>
        <w:t> </w:t>
      </w:r>
      <w:r>
        <w:rPr>
          <w:rFonts w:ascii="Stone Sans II ITC Std Bk" w:hAnsi="Stone Sans II ITC Std Bk"/>
          <w:b/>
          <w:w w:val="115"/>
          <w:sz w:val="20"/>
        </w:rPr>
        <w:t>in</w:t>
      </w:r>
      <w:r>
        <w:rPr>
          <w:rFonts w:ascii="Stone Sans II ITC Std Bk" w:hAnsi="Stone Sans II ITC Std Bk"/>
          <w:b/>
          <w:spacing w:val="-31"/>
          <w:w w:val="115"/>
          <w:sz w:val="20"/>
        </w:rPr>
        <w:t> </w:t>
      </w:r>
      <w:r>
        <w:rPr>
          <w:rFonts w:ascii="Stone Sans II ITC Std Bk" w:hAnsi="Stone Sans II ITC Std Bk"/>
          <w:b/>
          <w:w w:val="115"/>
          <w:sz w:val="20"/>
        </w:rPr>
        <w:t>connection therewith</w:t>
        <w:tab/>
      </w:r>
      <w:r>
        <w:rPr>
          <w:w w:val="115"/>
          <w:sz w:val="20"/>
        </w:rPr>
        <w:t>’</w:t>
      </w:r>
    </w:p>
    <w:p>
      <w:pPr>
        <w:tabs>
          <w:tab w:pos="3004" w:val="left" w:leader="none"/>
        </w:tabs>
        <w:spacing w:line="213" w:lineRule="auto" w:before="96"/>
        <w:ind w:left="3005" w:right="1273" w:hanging="1021"/>
        <w:jc w:val="left"/>
        <w:rPr>
          <w:sz w:val="20"/>
        </w:rPr>
      </w:pPr>
      <w:r>
        <w:rPr>
          <w:rFonts w:ascii="Stone Sans II ITC Std Bk" w:hAnsi="Stone Sans II ITC Std Bk"/>
          <w:b/>
          <w:w w:val="110"/>
          <w:sz w:val="20"/>
        </w:rPr>
        <w:t>H.9</w:t>
        <w:tab/>
      </w:r>
      <w:r>
        <w:rPr>
          <w:w w:val="110"/>
          <w:sz w:val="20"/>
        </w:rPr>
        <w:t>After the words ‘</w:t>
      </w:r>
      <w:r>
        <w:rPr>
          <w:rFonts w:ascii="Stone Sans II ITC Std Bk" w:hAnsi="Stone Sans II ITC Std Bk"/>
          <w:b/>
          <w:w w:val="110"/>
          <w:sz w:val="20"/>
        </w:rPr>
        <w:t>request for a formal hearing</w:t>
      </w:r>
      <w:r>
        <w:rPr>
          <w:w w:val="110"/>
          <w:sz w:val="20"/>
        </w:rPr>
        <w:t>’ insert ‘</w:t>
      </w:r>
      <w:r>
        <w:rPr>
          <w:rFonts w:ascii="Stone Sans II ITC Std Bk" w:hAnsi="Stone Sans II ITC Std Bk"/>
          <w:b/>
          <w:w w:val="110"/>
          <w:sz w:val="20"/>
        </w:rPr>
        <w:t>which is accepted by the Special Appeals Body</w:t>
      </w:r>
      <w:r>
        <w:rPr>
          <w:w w:val="110"/>
          <w:sz w:val="20"/>
        </w:rPr>
        <w:t>’</w:t>
      </w:r>
    </w:p>
    <w:p>
      <w:pPr>
        <w:pStyle w:val="ListParagraph"/>
        <w:numPr>
          <w:ilvl w:val="1"/>
          <w:numId w:val="89"/>
        </w:numPr>
        <w:tabs>
          <w:tab w:pos="3005" w:val="left" w:leader="none"/>
          <w:tab w:pos="3006" w:val="left" w:leader="none"/>
        </w:tabs>
        <w:spacing w:line="213" w:lineRule="auto" w:before="98" w:after="0"/>
        <w:ind w:left="3005" w:right="1421" w:hanging="1021"/>
        <w:jc w:val="left"/>
        <w:rPr>
          <w:sz w:val="20"/>
        </w:rPr>
      </w:pPr>
      <w:r>
        <w:rPr>
          <w:w w:val="115"/>
          <w:sz w:val="20"/>
        </w:rPr>
        <w:t>Remove</w:t>
      </w:r>
      <w:r>
        <w:rPr>
          <w:spacing w:val="-1"/>
          <w:w w:val="115"/>
          <w:sz w:val="20"/>
        </w:rPr>
        <w:t> </w:t>
      </w:r>
      <w:r>
        <w:rPr>
          <w:w w:val="115"/>
          <w:sz w:val="20"/>
        </w:rPr>
        <w:t>the words </w:t>
      </w:r>
      <w:r>
        <w:rPr>
          <w:spacing w:val="-3"/>
          <w:w w:val="115"/>
          <w:sz w:val="20"/>
        </w:rPr>
        <w:t>‘</w:t>
      </w:r>
      <w:r>
        <w:rPr>
          <w:rFonts w:ascii="Stone Sans II ITC Std Bk" w:hAnsi="Stone Sans II ITC Std Bk"/>
          <w:b/>
          <w:spacing w:val="-3"/>
          <w:w w:val="115"/>
          <w:sz w:val="20"/>
        </w:rPr>
        <w:t>or</w:t>
      </w:r>
      <w:r>
        <w:rPr>
          <w:rFonts w:ascii="Stone Sans II ITC Std Bk" w:hAnsi="Stone Sans II ITC Std Bk"/>
          <w:b/>
          <w:spacing w:val="-7"/>
          <w:w w:val="115"/>
          <w:sz w:val="20"/>
        </w:rPr>
        <w:t> </w:t>
      </w:r>
      <w:r>
        <w:rPr>
          <w:rFonts w:ascii="Stone Sans II ITC Std Bk" w:hAnsi="Stone Sans II ITC Std Bk"/>
          <w:b/>
          <w:w w:val="115"/>
          <w:sz w:val="20"/>
        </w:rPr>
        <w:t>the</w:t>
      </w:r>
      <w:r>
        <w:rPr>
          <w:rFonts w:ascii="Stone Sans II ITC Std Bk" w:hAnsi="Stone Sans II ITC Std Bk"/>
          <w:b/>
          <w:spacing w:val="-8"/>
          <w:w w:val="115"/>
          <w:sz w:val="20"/>
        </w:rPr>
        <w:t> </w:t>
      </w:r>
      <w:r>
        <w:rPr>
          <w:rFonts w:ascii="Stone Sans II ITC Std Bk" w:hAnsi="Stone Sans II ITC Std Bk"/>
          <w:b/>
          <w:w w:val="115"/>
          <w:sz w:val="20"/>
        </w:rPr>
        <w:t>General</w:t>
      </w:r>
      <w:r>
        <w:rPr>
          <w:rFonts w:ascii="Stone Sans II ITC Std Bk" w:hAnsi="Stone Sans II ITC Std Bk"/>
          <w:b/>
          <w:spacing w:val="-7"/>
          <w:w w:val="115"/>
          <w:sz w:val="20"/>
        </w:rPr>
        <w:t> </w:t>
      </w:r>
      <w:r>
        <w:rPr>
          <w:rFonts w:ascii="Stone Sans II ITC Std Bk" w:hAnsi="Stone Sans II ITC Std Bk"/>
          <w:b/>
          <w:w w:val="115"/>
          <w:sz w:val="20"/>
        </w:rPr>
        <w:t>Secretary</w:t>
      </w:r>
      <w:r>
        <w:rPr>
          <w:rFonts w:ascii="Stone Sans II ITC Std Bk" w:hAnsi="Stone Sans II ITC Std Bk"/>
          <w:b/>
          <w:spacing w:val="-8"/>
          <w:w w:val="115"/>
          <w:sz w:val="20"/>
        </w:rPr>
        <w:t> </w:t>
      </w:r>
      <w:r>
        <w:rPr>
          <w:rFonts w:ascii="Stone Sans II ITC Std Bk" w:hAnsi="Stone Sans II ITC Std Bk"/>
          <w:b/>
          <w:w w:val="115"/>
          <w:sz w:val="20"/>
        </w:rPr>
        <w:t>as</w:t>
      </w:r>
      <w:r>
        <w:rPr>
          <w:rFonts w:ascii="Stone Sans II ITC Std Bk" w:hAnsi="Stone Sans II ITC Std Bk"/>
          <w:b/>
          <w:spacing w:val="-7"/>
          <w:w w:val="115"/>
          <w:sz w:val="20"/>
        </w:rPr>
        <w:t> </w:t>
      </w:r>
      <w:r>
        <w:rPr>
          <w:rFonts w:ascii="Stone Sans II ITC Std Bk" w:hAnsi="Stone Sans II ITC Std Bk"/>
          <w:b/>
          <w:w w:val="115"/>
          <w:sz w:val="20"/>
        </w:rPr>
        <w:t>the</w:t>
      </w:r>
      <w:r>
        <w:rPr>
          <w:rFonts w:ascii="Stone Sans II ITC Std Bk" w:hAnsi="Stone Sans II ITC Std Bk"/>
          <w:b/>
          <w:spacing w:val="-8"/>
          <w:w w:val="115"/>
          <w:sz w:val="20"/>
        </w:rPr>
        <w:t> </w:t>
      </w:r>
      <w:r>
        <w:rPr>
          <w:rFonts w:ascii="Stone Sans II ITC Std Bk" w:hAnsi="Stone Sans II ITC Std Bk"/>
          <w:b/>
          <w:w w:val="115"/>
          <w:sz w:val="20"/>
        </w:rPr>
        <w:t>case</w:t>
      </w:r>
      <w:r>
        <w:rPr>
          <w:rFonts w:ascii="Stone Sans II ITC Std Bk" w:hAnsi="Stone Sans II ITC Std Bk"/>
          <w:b/>
          <w:spacing w:val="-7"/>
          <w:w w:val="115"/>
          <w:sz w:val="20"/>
        </w:rPr>
        <w:t> </w:t>
      </w:r>
      <w:r>
        <w:rPr>
          <w:rFonts w:ascii="Stone Sans II ITC Std Bk" w:hAnsi="Stone Sans II ITC Std Bk"/>
          <w:b/>
          <w:w w:val="115"/>
          <w:sz w:val="20"/>
        </w:rPr>
        <w:t>may</w:t>
      </w:r>
      <w:r>
        <w:rPr>
          <w:rFonts w:ascii="Stone Sans II ITC Std Bk" w:hAnsi="Stone Sans II ITC Std Bk"/>
          <w:b/>
          <w:spacing w:val="-7"/>
          <w:w w:val="115"/>
          <w:sz w:val="20"/>
        </w:rPr>
        <w:t> </w:t>
      </w:r>
      <w:r>
        <w:rPr>
          <w:rFonts w:ascii="Stone Sans II ITC Std Bk" w:hAnsi="Stone Sans II ITC Std Bk"/>
          <w:b/>
          <w:w w:val="115"/>
          <w:sz w:val="20"/>
        </w:rPr>
        <w:t>be</w:t>
      </w:r>
      <w:r>
        <w:rPr>
          <w:w w:val="115"/>
          <w:sz w:val="20"/>
        </w:rPr>
        <w:t>’</w:t>
      </w:r>
      <w:r>
        <w:rPr>
          <w:spacing w:val="-1"/>
          <w:w w:val="115"/>
          <w:sz w:val="20"/>
        </w:rPr>
        <w:t> </w:t>
      </w:r>
      <w:r>
        <w:rPr>
          <w:w w:val="115"/>
          <w:sz w:val="20"/>
        </w:rPr>
        <w:t>and the words </w:t>
      </w:r>
      <w:r>
        <w:rPr>
          <w:spacing w:val="-5"/>
          <w:w w:val="115"/>
          <w:sz w:val="20"/>
        </w:rPr>
        <w:t>‘</w:t>
      </w:r>
      <w:r>
        <w:rPr>
          <w:rFonts w:ascii="Stone Sans II ITC Std Bk" w:hAnsi="Stone Sans II ITC Std Bk"/>
          <w:b/>
          <w:spacing w:val="-5"/>
          <w:w w:val="115"/>
          <w:sz w:val="20"/>
        </w:rPr>
        <w:t>/Appeals </w:t>
      </w:r>
      <w:r>
        <w:rPr>
          <w:rFonts w:ascii="Stone Sans II ITC Std Bk" w:hAnsi="Stone Sans II ITC Std Bk"/>
          <w:b/>
          <w:w w:val="115"/>
          <w:sz w:val="20"/>
        </w:rPr>
        <w:t>Review</w:t>
      </w:r>
      <w:r>
        <w:rPr>
          <w:rFonts w:ascii="Stone Sans II ITC Std Bk" w:hAnsi="Stone Sans II ITC Std Bk"/>
          <w:b/>
          <w:spacing w:val="-2"/>
          <w:w w:val="115"/>
          <w:sz w:val="20"/>
        </w:rPr>
        <w:t> </w:t>
      </w:r>
      <w:r>
        <w:rPr>
          <w:rFonts w:ascii="Stone Sans II ITC Std Bk" w:hAnsi="Stone Sans II ITC Std Bk"/>
          <w:b/>
          <w:w w:val="115"/>
          <w:sz w:val="20"/>
        </w:rPr>
        <w:t>Commission</w:t>
      </w:r>
      <w:r>
        <w:rPr>
          <w:w w:val="115"/>
          <w:sz w:val="20"/>
        </w:rPr>
        <w:t>’</w:t>
      </w:r>
    </w:p>
    <w:p>
      <w:pPr>
        <w:pStyle w:val="ListParagraph"/>
        <w:numPr>
          <w:ilvl w:val="1"/>
          <w:numId w:val="89"/>
        </w:numPr>
        <w:tabs>
          <w:tab w:pos="3005" w:val="left" w:leader="none"/>
          <w:tab w:pos="3006" w:val="left" w:leader="none"/>
        </w:tabs>
        <w:spacing w:line="240" w:lineRule="auto" w:before="75" w:after="0"/>
        <w:ind w:left="3005" w:right="0" w:hanging="1022"/>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20"/>
          <w:w w:val="115"/>
          <w:sz w:val="20"/>
        </w:rPr>
        <w:t> </w:t>
      </w:r>
      <w:r>
        <w:rPr>
          <w:rFonts w:ascii="Stone Sans II ITC Std Bk" w:hAnsi="Stone Sans II ITC Std Bk"/>
          <w:b/>
          <w:w w:val="115"/>
          <w:sz w:val="20"/>
        </w:rPr>
        <w:t>Secretary</w:t>
      </w:r>
      <w:r>
        <w:rPr>
          <w:w w:val="115"/>
          <w:sz w:val="20"/>
        </w:rPr>
        <w:t>’</w:t>
      </w:r>
    </w:p>
    <w:p>
      <w:pPr>
        <w:pStyle w:val="ListParagraph"/>
        <w:numPr>
          <w:ilvl w:val="1"/>
          <w:numId w:val="89"/>
        </w:numPr>
        <w:tabs>
          <w:tab w:pos="3005" w:val="left" w:leader="none"/>
          <w:tab w:pos="3006" w:val="left" w:leader="none"/>
        </w:tabs>
        <w:spacing w:line="240" w:lineRule="auto" w:before="69" w:after="0"/>
        <w:ind w:left="3005" w:right="0" w:hanging="1022"/>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20"/>
          <w:w w:val="115"/>
          <w:sz w:val="20"/>
        </w:rPr>
        <w:t> </w:t>
      </w:r>
      <w:r>
        <w:rPr>
          <w:rFonts w:ascii="Stone Sans II ITC Std Bk" w:hAnsi="Stone Sans II ITC Std Bk"/>
          <w:b/>
          <w:w w:val="115"/>
          <w:sz w:val="20"/>
        </w:rPr>
        <w:t>Secretary</w:t>
      </w:r>
      <w:r>
        <w:rPr>
          <w:w w:val="115"/>
          <w:sz w:val="20"/>
        </w:rPr>
        <w:t>’</w:t>
      </w:r>
    </w:p>
    <w:p>
      <w:pPr>
        <w:spacing w:line="255" w:lineRule="exact" w:before="69"/>
        <w:ind w:left="3005" w:right="0" w:firstLine="0"/>
        <w:jc w:val="left"/>
        <w:rPr>
          <w:rFonts w:ascii="Stone Sans II ITC Std Bk" w:hAnsi="Stone Sans II ITC Std Bk"/>
          <w:b/>
          <w:sz w:val="20"/>
        </w:rPr>
      </w:pPr>
      <w:r>
        <w:rPr>
          <w:w w:val="115"/>
          <w:sz w:val="20"/>
        </w:rPr>
        <w:t>Replace the expression ‘</w:t>
      </w:r>
      <w:r>
        <w:rPr>
          <w:rFonts w:ascii="Stone Sans II ITC Std Bk" w:hAnsi="Stone Sans II ITC Std Bk"/>
          <w:b/>
          <w:w w:val="115"/>
          <w:sz w:val="20"/>
        </w:rPr>
        <w:t>Paragraph H.11</w:t>
      </w:r>
      <w:r>
        <w:rPr>
          <w:w w:val="115"/>
          <w:sz w:val="20"/>
        </w:rPr>
        <w:t>’ with ‘</w:t>
      </w:r>
      <w:r>
        <w:rPr>
          <w:rFonts w:ascii="Stone Sans II ITC Std Bk" w:hAnsi="Stone Sans II ITC Std Bk"/>
          <w:b/>
          <w:w w:val="115"/>
          <w:sz w:val="20"/>
        </w:rPr>
        <w:t>Paragraph H.2 or Paragraph</w:t>
      </w:r>
    </w:p>
    <w:p>
      <w:pPr>
        <w:spacing w:line="255" w:lineRule="exact" w:before="0"/>
        <w:ind w:left="3005" w:right="0" w:firstLine="0"/>
        <w:jc w:val="left"/>
        <w:rPr>
          <w:sz w:val="20"/>
        </w:rPr>
      </w:pPr>
      <w:r>
        <w:rPr>
          <w:rFonts w:ascii="Stone Sans II ITC Std Bk" w:hAnsi="Stone Sans II ITC Std Bk"/>
          <w:b/>
          <w:w w:val="110"/>
          <w:sz w:val="20"/>
        </w:rPr>
        <w:t>H.11 as the case may be</w:t>
      </w:r>
      <w:r>
        <w:rPr>
          <w:w w:val="110"/>
          <w:sz w:val="20"/>
        </w:rPr>
        <w:t>’</w:t>
      </w:r>
    </w:p>
    <w:p>
      <w:pPr>
        <w:pStyle w:val="ListParagraph"/>
        <w:numPr>
          <w:ilvl w:val="1"/>
          <w:numId w:val="90"/>
        </w:numPr>
        <w:tabs>
          <w:tab w:pos="3004" w:val="left" w:leader="none"/>
          <w:tab w:pos="3006" w:val="left" w:leader="none"/>
        </w:tabs>
        <w:spacing w:line="240" w:lineRule="auto" w:before="69" w:after="0"/>
        <w:ind w:left="3005" w:right="0" w:hanging="1022"/>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10"/>
          <w:w w:val="115"/>
          <w:sz w:val="20"/>
        </w:rPr>
        <w:t> </w:t>
      </w:r>
      <w:r>
        <w:rPr>
          <w:rFonts w:ascii="Stone Sans II ITC Std Bk" w:hAnsi="Stone Sans II ITC Std Bk"/>
          <w:b/>
          <w:w w:val="115"/>
          <w:sz w:val="20"/>
        </w:rPr>
        <w:t>Secretary</w:t>
      </w:r>
      <w:r>
        <w:rPr>
          <w:w w:val="115"/>
          <w:sz w:val="20"/>
        </w:rPr>
        <w:t>’</w:t>
      </w:r>
    </w:p>
    <w:p>
      <w:pPr>
        <w:spacing w:line="213" w:lineRule="auto" w:before="91"/>
        <w:ind w:left="3005" w:right="1476" w:firstLine="0"/>
        <w:jc w:val="both"/>
        <w:rPr>
          <w:sz w:val="20"/>
        </w:rPr>
      </w:pPr>
      <w:r>
        <w:rPr>
          <w:w w:val="110"/>
          <w:sz w:val="20"/>
        </w:rPr>
        <w:t>Replace the words ‘</w:t>
      </w:r>
      <w:r>
        <w:rPr>
          <w:rFonts w:ascii="Stone Sans II ITC Std Bk" w:hAnsi="Stone Sans II ITC Std Bk"/>
          <w:b/>
          <w:w w:val="110"/>
          <w:sz w:val="20"/>
        </w:rPr>
        <w:t>decision of the Special Appeals Body on the appeal</w:t>
      </w:r>
      <w:r>
        <w:rPr>
          <w:w w:val="110"/>
          <w:sz w:val="20"/>
        </w:rPr>
        <w:t>’ with ‘</w:t>
      </w:r>
      <w:r>
        <w:rPr>
          <w:rFonts w:ascii="Stone Sans II ITC Std Bk" w:hAnsi="Stone Sans II ITC Std Bk"/>
          <w:b/>
          <w:w w:val="110"/>
          <w:sz w:val="20"/>
        </w:rPr>
        <w:t>decision of the Review Commission or, in the event of an appeal, the Special Appeals Body</w:t>
      </w:r>
      <w:r>
        <w:rPr>
          <w:w w:val="110"/>
          <w:sz w:val="20"/>
        </w:rPr>
        <w:t>’</w:t>
      </w:r>
    </w:p>
    <w:p>
      <w:pPr>
        <w:spacing w:before="75"/>
        <w:ind w:left="3005" w:right="0" w:firstLine="0"/>
        <w:jc w:val="both"/>
        <w:rPr>
          <w:sz w:val="20"/>
        </w:rPr>
      </w:pPr>
      <w:r>
        <w:rPr>
          <w:w w:val="115"/>
          <w:sz w:val="20"/>
        </w:rPr>
        <w:t>Remove the words ‘</w:t>
      </w:r>
      <w:r>
        <w:rPr>
          <w:rFonts w:ascii="Stone Sans II ITC Std Bk" w:hAnsi="Stone Sans II ITC Std Bk"/>
          <w:b/>
          <w:w w:val="115"/>
          <w:sz w:val="20"/>
        </w:rPr>
        <w:t>signed by the Convener</w:t>
      </w:r>
      <w:r>
        <w:rPr>
          <w:w w:val="115"/>
          <w:sz w:val="20"/>
        </w:rPr>
        <w:t>’</w:t>
      </w:r>
    </w:p>
    <w:p>
      <w:pPr>
        <w:spacing w:line="255" w:lineRule="exact" w:before="69"/>
        <w:ind w:left="3005" w:right="0" w:firstLine="0"/>
        <w:jc w:val="both"/>
        <w:rPr>
          <w:rFonts w:ascii="Stone Sans II ITC Std Bk" w:hAnsi="Stone Sans II ITC Std Bk"/>
          <w:b/>
          <w:sz w:val="20"/>
        </w:rPr>
      </w:pPr>
      <w:r>
        <w:rPr>
          <w:w w:val="115"/>
          <w:sz w:val="20"/>
        </w:rPr>
        <w:t>Replace the expression ‘</w:t>
      </w:r>
      <w:r>
        <w:rPr>
          <w:rFonts w:ascii="Stone Sans II ITC Std Bk" w:hAnsi="Stone Sans II ITC Std Bk"/>
          <w:b/>
          <w:w w:val="115"/>
          <w:sz w:val="20"/>
        </w:rPr>
        <w:t>Paragraph H.11</w:t>
      </w:r>
      <w:r>
        <w:rPr>
          <w:w w:val="115"/>
          <w:sz w:val="20"/>
        </w:rPr>
        <w:t>’ with ‘</w:t>
      </w:r>
      <w:r>
        <w:rPr>
          <w:rFonts w:ascii="Stone Sans II ITC Std Bk" w:hAnsi="Stone Sans II ITC Std Bk"/>
          <w:b/>
          <w:w w:val="115"/>
          <w:sz w:val="20"/>
        </w:rPr>
        <w:t>Paragraph H.2 or Paragraph</w:t>
      </w:r>
    </w:p>
    <w:p>
      <w:pPr>
        <w:spacing w:line="255" w:lineRule="exact" w:before="0"/>
        <w:ind w:left="3005" w:right="0" w:firstLine="0"/>
        <w:jc w:val="both"/>
        <w:rPr>
          <w:sz w:val="20"/>
        </w:rPr>
      </w:pPr>
      <w:r>
        <w:rPr>
          <w:rFonts w:ascii="Stone Sans II ITC Std Bk" w:hAnsi="Stone Sans II ITC Std Bk"/>
          <w:b/>
          <w:w w:val="110"/>
          <w:sz w:val="20"/>
        </w:rPr>
        <w:t>H.11 as the case may be</w:t>
      </w:r>
      <w:r>
        <w:rPr>
          <w:w w:val="110"/>
          <w:sz w:val="20"/>
        </w:rPr>
        <w:t>’</w:t>
      </w:r>
    </w:p>
    <w:p>
      <w:pPr>
        <w:pStyle w:val="ListParagraph"/>
        <w:numPr>
          <w:ilvl w:val="1"/>
          <w:numId w:val="90"/>
        </w:numPr>
        <w:tabs>
          <w:tab w:pos="3006" w:val="left" w:leader="none"/>
        </w:tabs>
        <w:spacing w:line="240" w:lineRule="auto" w:before="68" w:after="0"/>
        <w:ind w:left="3005" w:right="0" w:hanging="1022"/>
        <w:jc w:val="both"/>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10"/>
          <w:w w:val="115"/>
          <w:sz w:val="20"/>
        </w:rPr>
        <w:t> </w:t>
      </w:r>
      <w:r>
        <w:rPr>
          <w:rFonts w:ascii="Stone Sans II ITC Std Bk" w:hAnsi="Stone Sans II ITC Std Bk"/>
          <w:b/>
          <w:w w:val="115"/>
          <w:sz w:val="20"/>
        </w:rPr>
        <w:t>Secretary</w:t>
      </w:r>
      <w:r>
        <w:rPr>
          <w:w w:val="115"/>
          <w:sz w:val="20"/>
        </w:rPr>
        <w:t>’</w:t>
      </w:r>
    </w:p>
    <w:p>
      <w:pPr>
        <w:spacing w:line="213" w:lineRule="auto" w:before="91"/>
        <w:ind w:left="3005" w:right="1120" w:firstLine="0"/>
        <w:jc w:val="left"/>
        <w:rPr>
          <w:sz w:val="20"/>
        </w:rPr>
      </w:pPr>
      <w:r>
        <w:rPr>
          <w:w w:val="115"/>
          <w:sz w:val="20"/>
        </w:rPr>
        <w:t>Add the following sentence at the end of the paragraph: ‘</w:t>
      </w:r>
      <w:r>
        <w:rPr>
          <w:rFonts w:ascii="Stone Sans II ITC Std Bk" w:hAnsi="Stone Sans II ITC Std Bk"/>
          <w:b/>
          <w:w w:val="115"/>
          <w:sz w:val="20"/>
        </w:rPr>
        <w:t>The Secretary and Convener</w:t>
      </w:r>
      <w:r>
        <w:rPr>
          <w:rFonts w:ascii="Stone Sans II ITC Std Bk" w:hAnsi="Stone Sans II ITC Std Bk"/>
          <w:b/>
          <w:spacing w:val="-36"/>
          <w:w w:val="115"/>
          <w:sz w:val="20"/>
        </w:rPr>
        <w:t> </w:t>
      </w:r>
      <w:r>
        <w:rPr>
          <w:rFonts w:ascii="Stone Sans II ITC Std Bk" w:hAnsi="Stone Sans II ITC Std Bk"/>
          <w:b/>
          <w:w w:val="115"/>
          <w:sz w:val="20"/>
        </w:rPr>
        <w:t>of</w:t>
      </w:r>
      <w:r>
        <w:rPr>
          <w:rFonts w:ascii="Stone Sans II ITC Std Bk" w:hAnsi="Stone Sans II ITC Std Bk"/>
          <w:b/>
          <w:spacing w:val="-35"/>
          <w:w w:val="115"/>
          <w:sz w:val="20"/>
        </w:rPr>
        <w:t> </w:t>
      </w:r>
      <w:r>
        <w:rPr>
          <w:rFonts w:ascii="Stone Sans II ITC Std Bk" w:hAnsi="Stone Sans II ITC Std Bk"/>
          <w:b/>
          <w:w w:val="115"/>
          <w:sz w:val="20"/>
        </w:rPr>
        <w:t>the</w:t>
      </w:r>
      <w:r>
        <w:rPr>
          <w:rFonts w:ascii="Stone Sans II ITC Std Bk" w:hAnsi="Stone Sans II ITC Std Bk"/>
          <w:b/>
          <w:spacing w:val="-35"/>
          <w:w w:val="115"/>
          <w:sz w:val="20"/>
        </w:rPr>
        <w:t> </w:t>
      </w:r>
      <w:r>
        <w:rPr>
          <w:rFonts w:ascii="Stone Sans II ITC Std Bk" w:hAnsi="Stone Sans II ITC Std Bk"/>
          <w:b/>
          <w:w w:val="115"/>
          <w:sz w:val="20"/>
        </w:rPr>
        <w:t>Review</w:t>
      </w:r>
      <w:r>
        <w:rPr>
          <w:rFonts w:ascii="Stone Sans II ITC Std Bk" w:hAnsi="Stone Sans II ITC Std Bk"/>
          <w:b/>
          <w:spacing w:val="-35"/>
          <w:w w:val="115"/>
          <w:sz w:val="20"/>
        </w:rPr>
        <w:t> </w:t>
      </w:r>
      <w:r>
        <w:rPr>
          <w:rFonts w:ascii="Stone Sans II ITC Std Bk" w:hAnsi="Stone Sans II ITC Std Bk"/>
          <w:b/>
          <w:w w:val="115"/>
          <w:sz w:val="20"/>
        </w:rPr>
        <w:t>Commission</w:t>
      </w:r>
      <w:r>
        <w:rPr>
          <w:rFonts w:ascii="Stone Sans II ITC Std Bk" w:hAnsi="Stone Sans II ITC Std Bk"/>
          <w:b/>
          <w:spacing w:val="-35"/>
          <w:w w:val="115"/>
          <w:sz w:val="20"/>
        </w:rPr>
        <w:t> </w:t>
      </w:r>
      <w:r>
        <w:rPr>
          <w:rFonts w:ascii="Stone Sans II ITC Std Bk" w:hAnsi="Stone Sans II ITC Std Bk"/>
          <w:b/>
          <w:w w:val="115"/>
          <w:sz w:val="20"/>
        </w:rPr>
        <w:t>may</w:t>
      </w:r>
      <w:r>
        <w:rPr>
          <w:rFonts w:ascii="Stone Sans II ITC Std Bk" w:hAnsi="Stone Sans II ITC Std Bk"/>
          <w:b/>
          <w:spacing w:val="-35"/>
          <w:w w:val="115"/>
          <w:sz w:val="20"/>
        </w:rPr>
        <w:t> </w:t>
      </w:r>
      <w:r>
        <w:rPr>
          <w:rFonts w:ascii="Stone Sans II ITC Std Bk" w:hAnsi="Stone Sans II ITC Std Bk"/>
          <w:b/>
          <w:w w:val="115"/>
          <w:sz w:val="20"/>
        </w:rPr>
        <w:t>in</w:t>
      </w:r>
      <w:r>
        <w:rPr>
          <w:rFonts w:ascii="Stone Sans II ITC Std Bk" w:hAnsi="Stone Sans II ITC Std Bk"/>
          <w:b/>
          <w:spacing w:val="-35"/>
          <w:w w:val="115"/>
          <w:sz w:val="20"/>
        </w:rPr>
        <w:t> </w:t>
      </w:r>
      <w:r>
        <w:rPr>
          <w:rFonts w:ascii="Stone Sans II ITC Std Bk" w:hAnsi="Stone Sans II ITC Std Bk"/>
          <w:b/>
          <w:w w:val="115"/>
          <w:sz w:val="20"/>
        </w:rPr>
        <w:t>exceptional</w:t>
      </w:r>
      <w:r>
        <w:rPr>
          <w:rFonts w:ascii="Stone Sans II ITC Std Bk" w:hAnsi="Stone Sans II ITC Std Bk"/>
          <w:b/>
          <w:spacing w:val="-35"/>
          <w:w w:val="115"/>
          <w:sz w:val="20"/>
        </w:rPr>
        <w:t> </w:t>
      </w:r>
      <w:r>
        <w:rPr>
          <w:rFonts w:ascii="Stone Sans II ITC Std Bk" w:hAnsi="Stone Sans II ITC Std Bk"/>
          <w:b/>
          <w:w w:val="115"/>
          <w:sz w:val="20"/>
        </w:rPr>
        <w:t>circumstances allow a short extension of this</w:t>
      </w:r>
      <w:r>
        <w:rPr>
          <w:rFonts w:ascii="Stone Sans II ITC Std Bk" w:hAnsi="Stone Sans II ITC Std Bk"/>
          <w:b/>
          <w:spacing w:val="-30"/>
          <w:w w:val="115"/>
          <w:sz w:val="20"/>
        </w:rPr>
        <w:t> </w:t>
      </w:r>
      <w:r>
        <w:rPr>
          <w:rFonts w:ascii="Stone Sans II ITC Std Bk" w:hAnsi="Stone Sans II ITC Std Bk"/>
          <w:b/>
          <w:w w:val="115"/>
          <w:sz w:val="20"/>
        </w:rPr>
        <w:t>period</w:t>
      </w:r>
      <w:r>
        <w:rPr>
          <w:w w:val="115"/>
          <w:sz w:val="20"/>
        </w:rPr>
        <w:t>’</w:t>
      </w:r>
    </w:p>
    <w:p>
      <w:pPr>
        <w:pStyle w:val="ListParagraph"/>
        <w:numPr>
          <w:ilvl w:val="1"/>
          <w:numId w:val="90"/>
        </w:numPr>
        <w:tabs>
          <w:tab w:pos="3005" w:val="left" w:leader="none"/>
          <w:tab w:pos="3006" w:val="left" w:leader="none"/>
        </w:tabs>
        <w:spacing w:line="240" w:lineRule="auto" w:before="75" w:after="0"/>
        <w:ind w:left="3005" w:right="0" w:hanging="1022"/>
        <w:jc w:val="left"/>
        <w:rPr>
          <w:sz w:val="20"/>
        </w:rPr>
      </w:pPr>
      <w:r>
        <w:rPr>
          <w:w w:val="115"/>
          <w:sz w:val="20"/>
        </w:rPr>
        <w:t>Remove the words </w:t>
      </w:r>
      <w:r>
        <w:rPr>
          <w:spacing w:val="-4"/>
          <w:w w:val="115"/>
          <w:sz w:val="20"/>
        </w:rPr>
        <w:t>‘</w:t>
      </w:r>
      <w:r>
        <w:rPr>
          <w:rFonts w:ascii="Stone Sans II ITC Std Bk" w:hAnsi="Stone Sans II ITC Std Bk"/>
          <w:b/>
          <w:spacing w:val="-4"/>
          <w:w w:val="115"/>
          <w:sz w:val="20"/>
        </w:rPr>
        <w:t>/General </w:t>
      </w:r>
      <w:r>
        <w:rPr>
          <w:rFonts w:ascii="Stone Sans II ITC Std Bk" w:hAnsi="Stone Sans II ITC Std Bk"/>
          <w:b/>
          <w:w w:val="115"/>
          <w:sz w:val="20"/>
        </w:rPr>
        <w:t>Secretary</w:t>
      </w:r>
      <w:r>
        <w:rPr>
          <w:w w:val="115"/>
          <w:sz w:val="20"/>
        </w:rPr>
        <w:t>’ from the first</w:t>
      </w:r>
      <w:r>
        <w:rPr>
          <w:spacing w:val="37"/>
          <w:w w:val="115"/>
          <w:sz w:val="20"/>
        </w:rPr>
        <w:t> </w:t>
      </w:r>
      <w:r>
        <w:rPr>
          <w:w w:val="115"/>
          <w:sz w:val="20"/>
        </w:rPr>
        <w:t>line.</w:t>
      </w:r>
    </w:p>
    <w:p>
      <w:pPr>
        <w:pStyle w:val="ListParagraph"/>
        <w:numPr>
          <w:ilvl w:val="1"/>
          <w:numId w:val="90"/>
        </w:numPr>
        <w:tabs>
          <w:tab w:pos="3006" w:val="left" w:leader="none"/>
        </w:tabs>
        <w:spacing w:line="240" w:lineRule="auto" w:before="69" w:after="0"/>
        <w:ind w:left="3005" w:right="0" w:hanging="1022"/>
        <w:jc w:val="both"/>
        <w:rPr>
          <w:sz w:val="20"/>
        </w:rPr>
      </w:pPr>
      <w:r>
        <w:rPr>
          <w:spacing w:val="-3"/>
          <w:w w:val="110"/>
          <w:sz w:val="20"/>
        </w:rPr>
        <w:t>Remove </w:t>
      </w:r>
      <w:r>
        <w:rPr>
          <w:w w:val="110"/>
          <w:sz w:val="20"/>
        </w:rPr>
        <w:t>the </w:t>
      </w:r>
      <w:r>
        <w:rPr>
          <w:spacing w:val="-3"/>
          <w:w w:val="110"/>
          <w:sz w:val="20"/>
        </w:rPr>
        <w:t>words </w:t>
      </w:r>
      <w:r>
        <w:rPr>
          <w:spacing w:val="-4"/>
          <w:w w:val="110"/>
          <w:sz w:val="20"/>
        </w:rPr>
        <w:t>‘</w:t>
      </w:r>
      <w:r>
        <w:rPr>
          <w:rFonts w:ascii="Stone Sans II ITC Std Bk" w:hAnsi="Stone Sans II ITC Std Bk"/>
          <w:b/>
          <w:spacing w:val="-4"/>
          <w:w w:val="110"/>
          <w:sz w:val="20"/>
        </w:rPr>
        <w:t>or </w:t>
      </w:r>
      <w:r>
        <w:rPr>
          <w:rFonts w:ascii="Stone Sans II ITC Std Bk" w:hAnsi="Stone Sans II ITC Std Bk"/>
          <w:b/>
          <w:w w:val="110"/>
          <w:sz w:val="20"/>
        </w:rPr>
        <w:t>the Appeals </w:t>
      </w:r>
      <w:r>
        <w:rPr>
          <w:rFonts w:ascii="Stone Sans II ITC Std Bk" w:hAnsi="Stone Sans II ITC Std Bk"/>
          <w:b/>
          <w:spacing w:val="-3"/>
          <w:w w:val="110"/>
          <w:sz w:val="20"/>
        </w:rPr>
        <w:t>Review Commission </w:t>
      </w:r>
      <w:r>
        <w:rPr>
          <w:rFonts w:ascii="Stone Sans II ITC Std Bk" w:hAnsi="Stone Sans II ITC Std Bk"/>
          <w:b/>
          <w:w w:val="110"/>
          <w:sz w:val="20"/>
        </w:rPr>
        <w:t>as the case </w:t>
      </w:r>
      <w:r>
        <w:rPr>
          <w:rFonts w:ascii="Stone Sans II ITC Std Bk" w:hAnsi="Stone Sans II ITC Std Bk"/>
          <w:b/>
          <w:spacing w:val="-3"/>
          <w:w w:val="110"/>
          <w:sz w:val="20"/>
        </w:rPr>
        <w:t>may</w:t>
      </w:r>
      <w:r>
        <w:rPr>
          <w:rFonts w:ascii="Stone Sans II ITC Std Bk" w:hAnsi="Stone Sans II ITC Std Bk"/>
          <w:b/>
          <w:spacing w:val="-10"/>
          <w:w w:val="110"/>
          <w:sz w:val="20"/>
        </w:rPr>
        <w:t> </w:t>
      </w:r>
      <w:r>
        <w:rPr>
          <w:rFonts w:ascii="Stone Sans II ITC Std Bk" w:hAnsi="Stone Sans II ITC Std Bk"/>
          <w:b/>
          <w:spacing w:val="-7"/>
          <w:w w:val="110"/>
          <w:sz w:val="20"/>
        </w:rPr>
        <w:t>be</w:t>
      </w:r>
      <w:r>
        <w:rPr>
          <w:spacing w:val="-7"/>
          <w:w w:val="110"/>
          <w:sz w:val="20"/>
        </w:rPr>
        <w:t>’.</w:t>
      </w:r>
    </w:p>
    <w:p>
      <w:pPr>
        <w:pStyle w:val="ListParagraph"/>
        <w:numPr>
          <w:ilvl w:val="1"/>
          <w:numId w:val="90"/>
        </w:numPr>
        <w:tabs>
          <w:tab w:pos="3006" w:val="left" w:leader="none"/>
        </w:tabs>
        <w:spacing w:line="240" w:lineRule="auto" w:before="69" w:after="0"/>
        <w:ind w:left="3005" w:right="0" w:hanging="1022"/>
        <w:jc w:val="both"/>
        <w:rPr>
          <w:sz w:val="20"/>
        </w:rPr>
      </w:pPr>
      <w:r>
        <w:rPr>
          <w:w w:val="115"/>
          <w:sz w:val="20"/>
        </w:rPr>
        <w:t>Remove the words </w:t>
      </w:r>
      <w:r>
        <w:rPr>
          <w:spacing w:val="-4"/>
          <w:w w:val="115"/>
          <w:sz w:val="20"/>
        </w:rPr>
        <w:t>‘</w:t>
      </w:r>
      <w:r>
        <w:rPr>
          <w:rFonts w:ascii="Stone Sans II ITC Std Bk" w:hAnsi="Stone Sans II ITC Std Bk"/>
          <w:b/>
          <w:spacing w:val="-4"/>
          <w:w w:val="115"/>
          <w:sz w:val="20"/>
        </w:rPr>
        <w:t>/General</w:t>
      </w:r>
      <w:r>
        <w:rPr>
          <w:rFonts w:ascii="Stone Sans II ITC Std Bk" w:hAnsi="Stone Sans II ITC Std Bk"/>
          <w:b/>
          <w:spacing w:val="9"/>
          <w:w w:val="115"/>
          <w:sz w:val="20"/>
        </w:rPr>
        <w:t> </w:t>
      </w:r>
      <w:r>
        <w:rPr>
          <w:rFonts w:ascii="Stone Sans II ITC Std Bk" w:hAnsi="Stone Sans II ITC Std Bk"/>
          <w:b/>
          <w:w w:val="115"/>
          <w:sz w:val="20"/>
        </w:rPr>
        <w:t>Secretary</w:t>
      </w:r>
      <w:r>
        <w:rPr>
          <w:w w:val="115"/>
          <w:sz w:val="20"/>
        </w:rPr>
        <w:t>’.</w:t>
      </w:r>
    </w:p>
    <w:p>
      <w:pPr>
        <w:tabs>
          <w:tab w:pos="3005" w:val="left" w:leader="none"/>
        </w:tabs>
        <w:spacing w:before="69"/>
        <w:ind w:left="1984" w:right="0" w:firstLine="0"/>
        <w:jc w:val="left"/>
        <w:rPr>
          <w:sz w:val="20"/>
        </w:rPr>
      </w:pPr>
      <w:r>
        <w:rPr>
          <w:rFonts w:ascii="Stone Sans II ITC Std Bk" w:hAnsi="Stone Sans II ITC Std Bk"/>
          <w:b/>
          <w:w w:val="115"/>
          <w:sz w:val="20"/>
        </w:rPr>
        <w:t>K.8.3</w:t>
        <w:tab/>
      </w:r>
      <w:r>
        <w:rPr>
          <w:w w:val="115"/>
          <w:sz w:val="20"/>
        </w:rPr>
        <w:t>After the opening words ‘</w:t>
      </w:r>
      <w:r>
        <w:rPr>
          <w:rFonts w:ascii="Stone Sans II ITC Std Bk" w:hAnsi="Stone Sans II ITC Std Bk"/>
          <w:b/>
          <w:w w:val="115"/>
          <w:sz w:val="20"/>
        </w:rPr>
        <w:t>If by the</w:t>
      </w:r>
      <w:r>
        <w:rPr>
          <w:w w:val="115"/>
          <w:sz w:val="20"/>
        </w:rPr>
        <w:t>’ insert ‘</w:t>
      </w:r>
      <w:r>
        <w:rPr>
          <w:rFonts w:ascii="Stone Sans II ITC Std Bk" w:hAnsi="Stone Sans II ITC Std Bk"/>
          <w:b/>
          <w:w w:val="115"/>
          <w:sz w:val="20"/>
        </w:rPr>
        <w:t>28</w:t>
      </w:r>
      <w:r>
        <w:rPr>
          <w:rFonts w:ascii="Stone Sans II ITC Std Bk" w:hAnsi="Stone Sans II ITC Std Bk"/>
          <w:b/>
          <w:w w:val="115"/>
          <w:position w:val="7"/>
          <w:sz w:val="11"/>
        </w:rPr>
        <w:t>th </w:t>
      </w:r>
      <w:r>
        <w:rPr>
          <w:rFonts w:ascii="Stone Sans II ITC Std Bk" w:hAnsi="Stone Sans II ITC Std Bk"/>
          <w:b/>
          <w:w w:val="115"/>
          <w:sz w:val="20"/>
        </w:rPr>
        <w:t>day after</w:t>
      </w:r>
      <w:r>
        <w:rPr>
          <w:rFonts w:ascii="Stone Sans II ITC Std Bk" w:hAnsi="Stone Sans II ITC Std Bk"/>
          <w:b/>
          <w:spacing w:val="17"/>
          <w:w w:val="115"/>
          <w:sz w:val="20"/>
        </w:rPr>
        <w:t> </w:t>
      </w:r>
      <w:r>
        <w:rPr>
          <w:rFonts w:ascii="Stone Sans II ITC Std Bk" w:hAnsi="Stone Sans II ITC Std Bk"/>
          <w:b/>
          <w:spacing w:val="-5"/>
          <w:w w:val="115"/>
          <w:sz w:val="20"/>
        </w:rPr>
        <w:t>the</w:t>
      </w:r>
      <w:r>
        <w:rPr>
          <w:spacing w:val="-5"/>
          <w:w w:val="115"/>
          <w:sz w:val="20"/>
        </w:rPr>
        <w:t>’.</w:t>
      </w:r>
    </w:p>
    <w:p>
      <w:pPr>
        <w:pStyle w:val="ListParagraph"/>
        <w:numPr>
          <w:ilvl w:val="2"/>
          <w:numId w:val="91"/>
        </w:numPr>
        <w:tabs>
          <w:tab w:pos="3004" w:val="left" w:leader="none"/>
          <w:tab w:pos="3005" w:val="left" w:leader="none"/>
        </w:tabs>
        <w:spacing w:line="240" w:lineRule="auto" w:before="69" w:after="0"/>
        <w:ind w:left="3004" w:right="0" w:hanging="1021"/>
        <w:jc w:val="left"/>
        <w:rPr>
          <w:sz w:val="20"/>
        </w:rPr>
      </w:pPr>
      <w:r>
        <w:rPr>
          <w:w w:val="120"/>
          <w:sz w:val="20"/>
        </w:rPr>
        <w:t>Add a new paragraph </w:t>
      </w:r>
      <w:r>
        <w:rPr>
          <w:spacing w:val="-8"/>
          <w:w w:val="120"/>
          <w:sz w:val="20"/>
        </w:rPr>
        <w:t>L.11.2 </w:t>
      </w:r>
      <w:r>
        <w:rPr>
          <w:w w:val="120"/>
          <w:sz w:val="20"/>
        </w:rPr>
        <w:t>as</w:t>
      </w:r>
      <w:r>
        <w:rPr>
          <w:spacing w:val="22"/>
          <w:w w:val="120"/>
          <w:sz w:val="20"/>
        </w:rPr>
        <w:t> </w:t>
      </w:r>
      <w:r>
        <w:rPr>
          <w:w w:val="120"/>
          <w:sz w:val="20"/>
        </w:rPr>
        <w:t>follows:</w:t>
      </w:r>
    </w:p>
    <w:p>
      <w:pPr>
        <w:spacing w:line="213" w:lineRule="auto" w:before="91"/>
        <w:ind w:left="3004" w:right="1466" w:firstLine="0"/>
        <w:jc w:val="left"/>
        <w:rPr>
          <w:rFonts w:ascii="Stone Sans II ITC Std Bk" w:hAnsi="Stone Sans II ITC Std Bk"/>
          <w:b/>
          <w:sz w:val="20"/>
        </w:rPr>
      </w:pPr>
      <w:r>
        <w:rPr>
          <w:w w:val="110"/>
          <w:sz w:val="20"/>
        </w:rPr>
        <w:t>‘</w:t>
      </w:r>
      <w:r>
        <w:rPr>
          <w:rFonts w:ascii="Stone Sans II ITC Std Bk" w:hAnsi="Stone Sans II ITC Std Bk"/>
          <w:b/>
          <w:w w:val="110"/>
          <w:sz w:val="20"/>
        </w:rPr>
        <w:t>If the decision is that the name of the Minister shall remain on the Roll of Ministers, the Appeals Review Commission may in its decision record append such recommendations to its decision as it considers will be helpful to Moderators of Synods, Local Churches, the General</w:t>
      </w:r>
    </w:p>
    <w:p>
      <w:pPr>
        <w:spacing w:line="213" w:lineRule="auto" w:before="0"/>
        <w:ind w:left="3004" w:right="1120" w:firstLine="0"/>
        <w:jc w:val="left"/>
        <w:rPr>
          <w:rFonts w:ascii="Stone Sans II ITC Std Bk"/>
          <w:b/>
          <w:sz w:val="20"/>
        </w:rPr>
      </w:pPr>
      <w:r>
        <w:rPr>
          <w:rFonts w:ascii="Stone Sans II ITC Std Bk"/>
          <w:b/>
          <w:w w:val="110"/>
          <w:sz w:val="20"/>
        </w:rPr>
        <w:t>Secretary, the Deputy General Secretary, the Press Officer, the Secretary for Ministries, the PRWC and others within the Church and also to</w:t>
      </w:r>
    </w:p>
    <w:p>
      <w:pPr>
        <w:spacing w:line="213" w:lineRule="auto" w:before="0"/>
        <w:ind w:left="3004" w:right="1206" w:firstLine="0"/>
        <w:jc w:val="left"/>
        <w:rPr>
          <w:sz w:val="20"/>
        </w:rPr>
      </w:pPr>
      <w:r>
        <w:rPr>
          <w:rFonts w:ascii="Stone Sans II ITC Std Bk" w:hAnsi="Stone Sans II ITC Std Bk"/>
          <w:b/>
          <w:w w:val="110"/>
          <w:sz w:val="20"/>
        </w:rPr>
        <w:t>any relevant outside organisation. It is emphasised that any such recommendations must relate to the future ministry of the Minister  only and that they are of an advisory nature and do not form part of the decision</w:t>
      </w:r>
      <w:r>
        <w:rPr>
          <w:w w:val="110"/>
          <w:sz w:val="20"/>
        </w:rPr>
        <w:t>’</w:t>
      </w:r>
    </w:p>
    <w:p>
      <w:pPr>
        <w:pStyle w:val="ListParagraph"/>
        <w:numPr>
          <w:ilvl w:val="2"/>
          <w:numId w:val="91"/>
        </w:numPr>
        <w:tabs>
          <w:tab w:pos="3004" w:val="left" w:leader="none"/>
          <w:tab w:pos="3005" w:val="left" w:leader="none"/>
        </w:tabs>
        <w:spacing w:line="240" w:lineRule="auto" w:before="70" w:after="0"/>
        <w:ind w:left="3004" w:right="0" w:hanging="1021"/>
        <w:jc w:val="left"/>
        <w:rPr>
          <w:sz w:val="20"/>
        </w:rPr>
      </w:pPr>
      <w:r>
        <w:rPr>
          <w:w w:val="120"/>
          <w:sz w:val="20"/>
        </w:rPr>
        <w:t>Add a new paragraph </w:t>
      </w:r>
      <w:r>
        <w:rPr>
          <w:spacing w:val="-9"/>
          <w:w w:val="120"/>
          <w:sz w:val="20"/>
        </w:rPr>
        <w:t>L.11.3 </w:t>
      </w:r>
      <w:r>
        <w:rPr>
          <w:w w:val="120"/>
          <w:sz w:val="20"/>
        </w:rPr>
        <w:t>as</w:t>
      </w:r>
      <w:r>
        <w:rPr>
          <w:spacing w:val="23"/>
          <w:w w:val="120"/>
          <w:sz w:val="20"/>
        </w:rPr>
        <w:t> </w:t>
      </w:r>
      <w:r>
        <w:rPr>
          <w:w w:val="120"/>
          <w:sz w:val="20"/>
        </w:rPr>
        <w:t>follows:</w:t>
      </w:r>
    </w:p>
    <w:p>
      <w:pPr>
        <w:spacing w:line="213" w:lineRule="auto" w:before="91"/>
        <w:ind w:left="3004" w:right="1634" w:firstLine="0"/>
        <w:jc w:val="left"/>
        <w:rPr>
          <w:rFonts w:ascii="Stone Sans II ITC Std Bk" w:hAnsi="Stone Sans II ITC Std Bk"/>
          <w:b/>
          <w:sz w:val="20"/>
        </w:rPr>
      </w:pPr>
      <w:r>
        <w:rPr>
          <w:w w:val="110"/>
          <w:sz w:val="20"/>
        </w:rPr>
        <w:t>‘</w:t>
      </w:r>
      <w:r>
        <w:rPr>
          <w:rFonts w:ascii="Stone Sans II ITC Std Bk" w:hAnsi="Stone Sans II ITC Std Bk"/>
          <w:b/>
          <w:w w:val="110"/>
          <w:sz w:val="20"/>
        </w:rPr>
        <w:t>If the decision is </w:t>
      </w:r>
      <w:r>
        <w:rPr>
          <w:rFonts w:ascii="Stone Sans II ITC Std Bk" w:hAnsi="Stone Sans II ITC Std Bk"/>
          <w:b/>
          <w:spacing w:val="-3"/>
          <w:w w:val="110"/>
          <w:sz w:val="20"/>
        </w:rPr>
        <w:t>to </w:t>
      </w:r>
      <w:r>
        <w:rPr>
          <w:rFonts w:ascii="Stone Sans II ITC Std Bk" w:hAnsi="Stone Sans II ITC Std Bk"/>
          <w:b/>
          <w:w w:val="110"/>
          <w:sz w:val="20"/>
        </w:rPr>
        <w:t>delete the name of the Minister from the Roll of Ministers, the Appeals </w:t>
      </w:r>
      <w:r>
        <w:rPr>
          <w:rFonts w:ascii="Stone Sans II ITC Std Bk" w:hAnsi="Stone Sans II ITC Std Bk"/>
          <w:b/>
          <w:spacing w:val="-3"/>
          <w:w w:val="110"/>
          <w:sz w:val="20"/>
        </w:rPr>
        <w:t>Review Commission </w:t>
      </w:r>
      <w:r>
        <w:rPr>
          <w:rFonts w:ascii="Stone Sans II ITC Std Bk" w:hAnsi="Stone Sans II ITC Std Bk"/>
          <w:b/>
          <w:w w:val="110"/>
          <w:sz w:val="20"/>
        </w:rPr>
        <w:t>is particularly requested </w:t>
      </w:r>
      <w:r>
        <w:rPr>
          <w:rFonts w:ascii="Stone Sans II ITC Std Bk" w:hAnsi="Stone Sans II ITC Std Bk"/>
          <w:b/>
          <w:spacing w:val="-3"/>
          <w:w w:val="110"/>
          <w:sz w:val="20"/>
        </w:rPr>
        <w:t>to</w:t>
      </w:r>
      <w:r>
        <w:rPr>
          <w:rFonts w:ascii="Stone Sans II ITC Std Bk" w:hAnsi="Stone Sans II ITC Std Bk"/>
          <w:b/>
          <w:spacing w:val="-15"/>
          <w:w w:val="110"/>
          <w:sz w:val="20"/>
        </w:rPr>
        <w:t> </w:t>
      </w:r>
      <w:r>
        <w:rPr>
          <w:rFonts w:ascii="Stone Sans II ITC Std Bk" w:hAnsi="Stone Sans II ITC Std Bk"/>
          <w:b/>
          <w:w w:val="110"/>
          <w:sz w:val="20"/>
        </w:rPr>
        <w:t>include</w:t>
      </w:r>
      <w:r>
        <w:rPr>
          <w:rFonts w:ascii="Stone Sans II ITC Std Bk" w:hAnsi="Stone Sans II ITC Std Bk"/>
          <w:b/>
          <w:spacing w:val="-15"/>
          <w:w w:val="110"/>
          <w:sz w:val="20"/>
        </w:rPr>
        <w:t> </w:t>
      </w:r>
      <w:r>
        <w:rPr>
          <w:rFonts w:ascii="Stone Sans II ITC Std Bk" w:hAnsi="Stone Sans II ITC Std Bk"/>
          <w:b/>
          <w:w w:val="110"/>
          <w:sz w:val="20"/>
        </w:rPr>
        <w:t>appropriate</w:t>
      </w:r>
      <w:r>
        <w:rPr>
          <w:rFonts w:ascii="Stone Sans II ITC Std Bk" w:hAnsi="Stone Sans II ITC Std Bk"/>
          <w:b/>
          <w:spacing w:val="-15"/>
          <w:w w:val="110"/>
          <w:sz w:val="20"/>
        </w:rPr>
        <w:t> </w:t>
      </w:r>
      <w:r>
        <w:rPr>
          <w:rFonts w:ascii="Stone Sans II ITC Std Bk" w:hAnsi="Stone Sans II ITC Std Bk"/>
          <w:b/>
          <w:w w:val="110"/>
          <w:sz w:val="20"/>
        </w:rPr>
        <w:t>guidance</w:t>
      </w:r>
      <w:r>
        <w:rPr>
          <w:rFonts w:ascii="Stone Sans II ITC Std Bk" w:hAnsi="Stone Sans II ITC Std Bk"/>
          <w:b/>
          <w:spacing w:val="-15"/>
          <w:w w:val="110"/>
          <w:sz w:val="20"/>
        </w:rPr>
        <w:t> </w:t>
      </w:r>
      <w:r>
        <w:rPr>
          <w:rFonts w:ascii="Stone Sans II ITC Std Bk" w:hAnsi="Stone Sans II ITC Std Bk"/>
          <w:b/>
          <w:w w:val="110"/>
          <w:sz w:val="20"/>
        </w:rPr>
        <w:t>concerning</w:t>
      </w:r>
      <w:r>
        <w:rPr>
          <w:rFonts w:ascii="Stone Sans II ITC Std Bk" w:hAnsi="Stone Sans II ITC Std Bk"/>
          <w:b/>
          <w:spacing w:val="-15"/>
          <w:w w:val="110"/>
          <w:sz w:val="20"/>
        </w:rPr>
        <w:t> </w:t>
      </w:r>
      <w:r>
        <w:rPr>
          <w:rFonts w:ascii="Stone Sans II ITC Std Bk" w:hAnsi="Stone Sans II ITC Std Bk"/>
          <w:b/>
          <w:spacing w:val="-3"/>
          <w:w w:val="110"/>
          <w:sz w:val="20"/>
        </w:rPr>
        <w:t>any</w:t>
      </w:r>
      <w:r>
        <w:rPr>
          <w:rFonts w:ascii="Stone Sans II ITC Std Bk" w:hAnsi="Stone Sans II ITC Std Bk"/>
          <w:b/>
          <w:spacing w:val="-15"/>
          <w:w w:val="110"/>
          <w:sz w:val="20"/>
        </w:rPr>
        <w:t> </w:t>
      </w:r>
      <w:r>
        <w:rPr>
          <w:rFonts w:ascii="Stone Sans II ITC Std Bk" w:hAnsi="Stone Sans II ITC Std Bk"/>
          <w:b/>
          <w:w w:val="110"/>
          <w:sz w:val="20"/>
        </w:rPr>
        <w:t>restrictions</w:t>
      </w:r>
      <w:r>
        <w:rPr>
          <w:rFonts w:ascii="Stone Sans II ITC Std Bk" w:hAnsi="Stone Sans II ITC Std Bk"/>
          <w:b/>
          <w:spacing w:val="-15"/>
          <w:w w:val="110"/>
          <w:sz w:val="20"/>
        </w:rPr>
        <w:t> </w:t>
      </w:r>
      <w:r>
        <w:rPr>
          <w:rFonts w:ascii="Stone Sans II ITC Std Bk" w:hAnsi="Stone Sans II ITC Std Bk"/>
          <w:b/>
          <w:w w:val="110"/>
          <w:sz w:val="20"/>
        </w:rPr>
        <w:t>which</w:t>
      </w:r>
      <w:r>
        <w:rPr>
          <w:rFonts w:ascii="Stone Sans II ITC Std Bk" w:hAnsi="Stone Sans II ITC Std Bk"/>
          <w:b/>
          <w:spacing w:val="-15"/>
          <w:w w:val="110"/>
          <w:sz w:val="20"/>
        </w:rPr>
        <w:t> </w:t>
      </w:r>
      <w:r>
        <w:rPr>
          <w:rFonts w:ascii="Stone Sans II ITC Std Bk" w:hAnsi="Stone Sans II ITC Std Bk"/>
          <w:b/>
          <w:w w:val="110"/>
          <w:sz w:val="20"/>
        </w:rPr>
        <w:t>it</w:t>
      </w:r>
    </w:p>
    <w:p>
      <w:pPr>
        <w:spacing w:line="213" w:lineRule="auto" w:before="0"/>
        <w:ind w:left="3004" w:right="1120" w:firstLine="0"/>
        <w:jc w:val="left"/>
        <w:rPr>
          <w:sz w:val="20"/>
        </w:rPr>
      </w:pPr>
      <w:r>
        <w:rPr>
          <w:rFonts w:ascii="Stone Sans II ITC Std Bk" w:hAnsi="Stone Sans II ITC Std Bk"/>
          <w:b/>
          <w:w w:val="110"/>
          <w:sz w:val="20"/>
        </w:rPr>
        <w:t>considers ought </w:t>
      </w:r>
      <w:r>
        <w:rPr>
          <w:rFonts w:ascii="Stone Sans II ITC Std Bk" w:hAnsi="Stone Sans II ITC Std Bk"/>
          <w:b/>
          <w:spacing w:val="-3"/>
          <w:w w:val="110"/>
          <w:sz w:val="20"/>
        </w:rPr>
        <w:t>to </w:t>
      </w:r>
      <w:r>
        <w:rPr>
          <w:rFonts w:ascii="Stone Sans II ITC Std Bk" w:hAnsi="Stone Sans II ITC Std Bk"/>
          <w:b/>
          <w:w w:val="110"/>
          <w:sz w:val="20"/>
        </w:rPr>
        <w:t>be placed on </w:t>
      </w:r>
      <w:r>
        <w:rPr>
          <w:rFonts w:ascii="Stone Sans II ITC Std Bk" w:hAnsi="Stone Sans II ITC Std Bk"/>
          <w:b/>
          <w:spacing w:val="-3"/>
          <w:w w:val="110"/>
          <w:sz w:val="20"/>
        </w:rPr>
        <w:t>any </w:t>
      </w:r>
      <w:r>
        <w:rPr>
          <w:rFonts w:ascii="Stone Sans II ITC Std Bk" w:hAnsi="Stone Sans II ITC Std Bk"/>
          <w:b/>
          <w:w w:val="110"/>
          <w:sz w:val="20"/>
        </w:rPr>
        <w:t>activities </w:t>
      </w:r>
      <w:r>
        <w:rPr>
          <w:rFonts w:ascii="Stone Sans II ITC Std Bk" w:hAnsi="Stone Sans II ITC Std Bk"/>
          <w:b/>
          <w:spacing w:val="-3"/>
          <w:w w:val="110"/>
          <w:sz w:val="20"/>
        </w:rPr>
        <w:t>involving </w:t>
      </w:r>
      <w:r>
        <w:rPr>
          <w:rFonts w:ascii="Stone Sans II ITC Std Bk" w:hAnsi="Stone Sans II ITC Std Bk"/>
          <w:b/>
          <w:w w:val="110"/>
          <w:sz w:val="20"/>
        </w:rPr>
        <w:t>the Minister after </w:t>
      </w:r>
      <w:r>
        <w:rPr>
          <w:rFonts w:ascii="Stone Sans II ITC Std Bk" w:hAnsi="Stone Sans II ITC Std Bk"/>
          <w:b/>
          <w:spacing w:val="-3"/>
          <w:w w:val="110"/>
          <w:sz w:val="20"/>
        </w:rPr>
        <w:t>his/her </w:t>
      </w:r>
      <w:r>
        <w:rPr>
          <w:rFonts w:ascii="Stone Sans II ITC Std Bk" w:hAnsi="Stone Sans II ITC Std Bk"/>
          <w:b/>
          <w:w w:val="110"/>
          <w:sz w:val="20"/>
        </w:rPr>
        <w:t>deletion with the object of assisting Moderators of Synods, Local Churches, the General </w:t>
      </w:r>
      <w:r>
        <w:rPr>
          <w:rFonts w:ascii="Stone Sans II ITC Std Bk" w:hAnsi="Stone Sans II ITC Std Bk"/>
          <w:b/>
          <w:spacing w:val="-3"/>
          <w:w w:val="110"/>
          <w:sz w:val="20"/>
        </w:rPr>
        <w:t>Secretary, </w:t>
      </w:r>
      <w:r>
        <w:rPr>
          <w:rFonts w:ascii="Stone Sans II ITC Std Bk" w:hAnsi="Stone Sans II ITC Std Bk"/>
          <w:b/>
          <w:w w:val="110"/>
          <w:sz w:val="20"/>
        </w:rPr>
        <w:t>the Deputy General </w:t>
      </w:r>
      <w:r>
        <w:rPr>
          <w:rFonts w:ascii="Stone Sans II ITC Std Bk" w:hAnsi="Stone Sans II ITC Std Bk"/>
          <w:b/>
          <w:spacing w:val="-3"/>
          <w:w w:val="110"/>
          <w:sz w:val="20"/>
        </w:rPr>
        <w:t>Secretary, </w:t>
      </w:r>
      <w:r>
        <w:rPr>
          <w:rFonts w:ascii="Stone Sans II ITC Std Bk" w:hAnsi="Stone Sans II ITC Std Bk"/>
          <w:b/>
          <w:w w:val="110"/>
          <w:sz w:val="20"/>
        </w:rPr>
        <w:t>the </w:t>
      </w:r>
      <w:r>
        <w:rPr>
          <w:rFonts w:ascii="Stone Sans II ITC Std Bk" w:hAnsi="Stone Sans II ITC Std Bk"/>
          <w:b/>
          <w:spacing w:val="-3"/>
          <w:w w:val="110"/>
          <w:sz w:val="20"/>
        </w:rPr>
        <w:t>Press Officer, </w:t>
      </w:r>
      <w:r>
        <w:rPr>
          <w:rFonts w:ascii="Stone Sans II ITC Std Bk" w:hAnsi="Stone Sans II ITC Std Bk"/>
          <w:b/>
          <w:w w:val="110"/>
          <w:sz w:val="20"/>
        </w:rPr>
        <w:t>the Secretary for Ministries, the PRWC and others within the Church and also </w:t>
      </w:r>
      <w:r>
        <w:rPr>
          <w:rFonts w:ascii="Stone Sans II ITC Std Bk" w:hAnsi="Stone Sans II ITC Std Bk"/>
          <w:b/>
          <w:spacing w:val="-3"/>
          <w:w w:val="110"/>
          <w:sz w:val="20"/>
        </w:rPr>
        <w:t>to any relevant </w:t>
      </w:r>
      <w:r>
        <w:rPr>
          <w:rFonts w:ascii="Stone Sans II ITC Std Bk" w:hAnsi="Stone Sans II ITC Std Bk"/>
          <w:b/>
          <w:w w:val="110"/>
          <w:sz w:val="20"/>
        </w:rPr>
        <w:t>outside organisation. It is emphasised that </w:t>
      </w:r>
      <w:r>
        <w:rPr>
          <w:rFonts w:ascii="Stone Sans II ITC Std Bk" w:hAnsi="Stone Sans II ITC Std Bk"/>
          <w:b/>
          <w:spacing w:val="-3"/>
          <w:w w:val="110"/>
          <w:sz w:val="20"/>
        </w:rPr>
        <w:t>any </w:t>
      </w:r>
      <w:r>
        <w:rPr>
          <w:rFonts w:ascii="Stone Sans II ITC Std Bk" w:hAnsi="Stone Sans II ITC Std Bk"/>
          <w:b/>
          <w:w w:val="110"/>
          <w:sz w:val="20"/>
        </w:rPr>
        <w:t>such guidance is of an advisory </w:t>
      </w:r>
      <w:r>
        <w:rPr>
          <w:rFonts w:ascii="Stone Sans II ITC Std Bk" w:hAnsi="Stone Sans II ITC Std Bk"/>
          <w:b/>
          <w:spacing w:val="-3"/>
          <w:w w:val="110"/>
          <w:sz w:val="20"/>
        </w:rPr>
        <w:t>nature </w:t>
      </w:r>
      <w:r>
        <w:rPr>
          <w:rFonts w:ascii="Stone Sans II ITC Std Bk" w:hAnsi="Stone Sans II ITC Std Bk"/>
          <w:b/>
          <w:w w:val="110"/>
          <w:sz w:val="20"/>
        </w:rPr>
        <w:t>and does not form part of the </w:t>
      </w:r>
      <w:r>
        <w:rPr>
          <w:rFonts w:ascii="Stone Sans II ITC Std Bk" w:hAnsi="Stone Sans II ITC Std Bk"/>
          <w:b/>
          <w:spacing w:val="-4"/>
          <w:w w:val="110"/>
          <w:sz w:val="20"/>
        </w:rPr>
        <w:t>decision.</w:t>
      </w:r>
      <w:r>
        <w:rPr>
          <w:spacing w:val="-4"/>
          <w:w w:val="110"/>
          <w:sz w:val="20"/>
        </w:rPr>
        <w:t>’</w:t>
      </w:r>
    </w:p>
    <w:p>
      <w:pPr>
        <w:pStyle w:val="ListParagraph"/>
        <w:numPr>
          <w:ilvl w:val="2"/>
          <w:numId w:val="91"/>
        </w:numPr>
        <w:tabs>
          <w:tab w:pos="3004" w:val="left" w:leader="none"/>
          <w:tab w:pos="3005" w:val="left" w:leader="none"/>
        </w:tabs>
        <w:spacing w:line="240" w:lineRule="auto" w:before="71" w:after="0"/>
        <w:ind w:left="3004" w:right="0" w:hanging="1021"/>
        <w:jc w:val="left"/>
        <w:rPr>
          <w:sz w:val="20"/>
        </w:rPr>
      </w:pPr>
      <w:r>
        <w:rPr>
          <w:w w:val="125"/>
          <w:sz w:val="20"/>
        </w:rPr>
        <w:t>The existing </w:t>
      </w:r>
      <w:r>
        <w:rPr>
          <w:spacing w:val="-8"/>
          <w:w w:val="125"/>
          <w:sz w:val="20"/>
        </w:rPr>
        <w:t>L.11.2 </w:t>
      </w:r>
      <w:r>
        <w:rPr>
          <w:w w:val="125"/>
          <w:sz w:val="20"/>
        </w:rPr>
        <w:t>to become</w:t>
      </w:r>
      <w:r>
        <w:rPr>
          <w:spacing w:val="-33"/>
          <w:w w:val="125"/>
          <w:sz w:val="20"/>
        </w:rPr>
        <w:t> </w:t>
      </w:r>
      <w:r>
        <w:rPr>
          <w:spacing w:val="-10"/>
          <w:w w:val="125"/>
          <w:sz w:val="20"/>
        </w:rPr>
        <w:t>L.11.4</w:t>
      </w:r>
    </w:p>
    <w:p>
      <w:pPr>
        <w:pStyle w:val="ListParagraph"/>
        <w:numPr>
          <w:ilvl w:val="2"/>
          <w:numId w:val="91"/>
        </w:numPr>
        <w:tabs>
          <w:tab w:pos="3004" w:val="left" w:leader="none"/>
          <w:tab w:pos="3005" w:val="left" w:leader="none"/>
        </w:tabs>
        <w:spacing w:line="240" w:lineRule="auto" w:before="62" w:after="0"/>
        <w:ind w:left="3004" w:right="0" w:hanging="1021"/>
        <w:jc w:val="left"/>
        <w:rPr>
          <w:sz w:val="22"/>
        </w:rPr>
      </w:pPr>
      <w:r>
        <w:rPr>
          <w:w w:val="110"/>
          <w:sz w:val="22"/>
        </w:rPr>
        <w:t>The existing </w:t>
      </w:r>
      <w:r>
        <w:rPr>
          <w:spacing w:val="-10"/>
          <w:w w:val="110"/>
          <w:sz w:val="22"/>
        </w:rPr>
        <w:t>L.11.3  </w:t>
      </w:r>
      <w:r>
        <w:rPr>
          <w:w w:val="110"/>
          <w:sz w:val="22"/>
        </w:rPr>
        <w:t>to become</w:t>
      </w:r>
      <w:r>
        <w:rPr>
          <w:spacing w:val="24"/>
          <w:w w:val="110"/>
          <w:sz w:val="22"/>
        </w:rPr>
        <w:t> </w:t>
      </w:r>
      <w:r>
        <w:rPr>
          <w:spacing w:val="-9"/>
          <w:w w:val="110"/>
          <w:sz w:val="22"/>
        </w:rPr>
        <w:t>L.11.5</w:t>
      </w:r>
    </w:p>
    <w:p>
      <w:pPr>
        <w:pStyle w:val="BodyText"/>
        <w:spacing w:before="10"/>
        <w:rPr>
          <w:sz w:val="23"/>
        </w:rPr>
      </w:pPr>
      <w:r>
        <w:rPr/>
        <w:pict>
          <v:shape style="position:absolute;margin-left:97.795197pt;margin-top:16.920141pt;width:449.3pt;height:.1pt;mso-position-horizontal-relative:page;mso-position-vertical-relative:paragraph;z-index:-251408384;mso-wrap-distance-left:0;mso-wrap-distance-right:0" coordorigin="1956,338" coordsize="8986,0" path="m1956,338l10942,338e" filled="false" stroked="true" strokeweight=".75pt" strokecolor="#ca4f1b">
            <v:path arrowok="t"/>
            <v:stroke dashstyle="solid"/>
            <w10:wrap type="topAndBottom"/>
          </v:shape>
        </w:pict>
      </w:r>
    </w:p>
    <w:p>
      <w:pPr>
        <w:spacing w:after="0"/>
        <w:rPr>
          <w:sz w:val="23"/>
        </w:rPr>
        <w:sectPr>
          <w:pgSz w:w="11910" w:h="16840"/>
          <w:pgMar w:header="0" w:footer="647" w:top="1060" w:bottom="840" w:left="0" w:right="0"/>
        </w:sectPr>
      </w:pPr>
    </w:p>
    <w:p>
      <w:pPr>
        <w:spacing w:before="134"/>
        <w:ind w:left="1133" w:right="0" w:firstLine="0"/>
        <w:jc w:val="left"/>
        <w:rPr>
          <w:rFonts w:ascii="Stone Sans II ITC Std Bk"/>
          <w:b/>
          <w:sz w:val="50"/>
        </w:rPr>
      </w:pPr>
      <w:r>
        <w:rPr/>
        <w:pict>
          <v:rect style="position:absolute;margin-left:12.047pt;margin-top:8.498179pt;width:22.677pt;height:22.677pt;mso-position-horizontal-relative:page;mso-position-vertical-relative:paragraph;z-index:251910144" filled="true" fillcolor="#f9e9c1" stroked="false">
            <v:fill opacity="32768f" type="solid"/>
            <w10:wrap type="none"/>
          </v:rect>
        </w:pict>
      </w:r>
      <w:r>
        <w:rPr>
          <w:rFonts w:ascii="Stone Sans II ITC Std Bk"/>
          <w:b/>
          <w:color w:val="CA4F1B"/>
          <w:w w:val="110"/>
          <w:sz w:val="50"/>
        </w:rPr>
        <w:t>Annexe 5</w:t>
      </w:r>
    </w:p>
    <w:p>
      <w:pPr>
        <w:spacing w:before="97"/>
        <w:ind w:left="1133" w:right="0" w:firstLine="0"/>
        <w:jc w:val="left"/>
        <w:rPr>
          <w:rFonts w:ascii="Stone Sans II ITC Std Bk"/>
          <w:b/>
          <w:sz w:val="29"/>
        </w:rPr>
      </w:pPr>
      <w:r>
        <w:rPr>
          <w:rFonts w:ascii="Stone Sans II ITC Std Bk"/>
          <w:b/>
          <w:w w:val="110"/>
          <w:sz w:val="29"/>
        </w:rPr>
        <w:t>Model constitution for local churches</w:t>
      </w:r>
    </w:p>
    <w:p>
      <w:pPr>
        <w:spacing w:before="169"/>
        <w:ind w:left="1133" w:right="0" w:firstLine="0"/>
        <w:jc w:val="left"/>
        <w:rPr>
          <w:rFonts w:ascii="Stone Sans II ITC Std Bk"/>
          <w:b/>
          <w:sz w:val="21"/>
        </w:rPr>
      </w:pPr>
      <w:r>
        <w:rPr>
          <w:rFonts w:ascii="Stone Sans II ITC Std Bk"/>
          <w:b/>
          <w:w w:val="115"/>
          <w:sz w:val="21"/>
        </w:rPr>
        <w:t>Introduction</w:t>
      </w:r>
    </w:p>
    <w:p>
      <w:pPr>
        <w:pStyle w:val="BodyText"/>
        <w:spacing w:line="235" w:lineRule="auto" w:before="223"/>
        <w:ind w:left="1133" w:right="2287"/>
        <w:jc w:val="both"/>
      </w:pPr>
      <w:r>
        <w:rPr>
          <w:w w:val="120"/>
        </w:rPr>
        <w:t>The United Reformed Church was formed in 1972 by the union of the Congregational Church in England and Wales and the Presbyterian Church of England. Since then the United Reformed Church has continued to express its deep commitment to the visible unity of the whole Church. In 1981 it entered into union with the Re-formed Churches of Christ and in the year 2000 with the Congregational Union of Scotland. The United</w:t>
      </w:r>
    </w:p>
    <w:p>
      <w:pPr>
        <w:pStyle w:val="BodyText"/>
        <w:spacing w:line="235" w:lineRule="auto" w:before="3"/>
        <w:ind w:left="1133" w:right="1892"/>
        <w:jc w:val="both"/>
      </w:pPr>
      <w:r>
        <w:rPr>
          <w:w w:val="120"/>
        </w:rPr>
        <w:t>Reformed Church is in frequent dialogue on unity with other traditions and has more than 400 local churches united with other denominations.</w:t>
      </w:r>
    </w:p>
    <w:p>
      <w:pPr>
        <w:pStyle w:val="BodyText"/>
        <w:spacing w:before="10"/>
        <w:rPr>
          <w:sz w:val="19"/>
        </w:rPr>
      </w:pPr>
    </w:p>
    <w:p>
      <w:pPr>
        <w:pStyle w:val="BodyText"/>
        <w:spacing w:line="235" w:lineRule="auto"/>
        <w:ind w:left="1133" w:right="1997"/>
      </w:pPr>
      <w:r>
        <w:rPr>
          <w:w w:val="120"/>
        </w:rPr>
        <w:t>Though one of the </w:t>
      </w:r>
      <w:r>
        <w:rPr>
          <w:spacing w:val="-3"/>
          <w:w w:val="120"/>
        </w:rPr>
        <w:t>smaller </w:t>
      </w:r>
      <w:r>
        <w:rPr>
          <w:w w:val="120"/>
        </w:rPr>
        <w:t>of </w:t>
      </w:r>
      <w:r>
        <w:rPr>
          <w:spacing w:val="-4"/>
          <w:w w:val="120"/>
        </w:rPr>
        <w:t>Britain’s ‘mainstream’ </w:t>
      </w:r>
      <w:r>
        <w:rPr>
          <w:spacing w:val="-3"/>
          <w:w w:val="120"/>
        </w:rPr>
        <w:t>denominations, </w:t>
      </w:r>
      <w:r>
        <w:rPr>
          <w:w w:val="120"/>
        </w:rPr>
        <w:t>the </w:t>
      </w:r>
      <w:r>
        <w:rPr>
          <w:spacing w:val="-3"/>
          <w:w w:val="120"/>
        </w:rPr>
        <w:t>United </w:t>
      </w:r>
      <w:r>
        <w:rPr>
          <w:w w:val="120"/>
        </w:rPr>
        <w:t>Reformed </w:t>
      </w:r>
      <w:r>
        <w:rPr>
          <w:spacing w:val="-3"/>
          <w:w w:val="120"/>
        </w:rPr>
        <w:t>Church </w:t>
      </w:r>
      <w:r>
        <w:rPr>
          <w:w w:val="120"/>
        </w:rPr>
        <w:t>stands in the historic Reformed tradition, whose member </w:t>
      </w:r>
      <w:r>
        <w:rPr>
          <w:spacing w:val="-3"/>
          <w:w w:val="120"/>
        </w:rPr>
        <w:t>denominations make </w:t>
      </w:r>
      <w:r>
        <w:rPr>
          <w:w w:val="120"/>
        </w:rPr>
        <w:t>up the largest single strand of </w:t>
      </w:r>
      <w:r>
        <w:rPr>
          <w:spacing w:val="-3"/>
          <w:w w:val="120"/>
        </w:rPr>
        <w:t>Protestantism </w:t>
      </w:r>
      <w:r>
        <w:rPr>
          <w:w w:val="120"/>
        </w:rPr>
        <w:t>with more than </w:t>
      </w:r>
      <w:r>
        <w:rPr>
          <w:spacing w:val="-4"/>
          <w:w w:val="120"/>
        </w:rPr>
        <w:t>70 </w:t>
      </w:r>
      <w:r>
        <w:rPr>
          <w:spacing w:val="-3"/>
          <w:w w:val="120"/>
        </w:rPr>
        <w:t>million </w:t>
      </w:r>
      <w:r>
        <w:rPr>
          <w:w w:val="120"/>
        </w:rPr>
        <w:t>members world-wide.</w:t>
      </w:r>
    </w:p>
    <w:p>
      <w:pPr>
        <w:pStyle w:val="BodyText"/>
        <w:spacing w:before="10"/>
        <w:rPr>
          <w:sz w:val="19"/>
        </w:rPr>
      </w:pPr>
    </w:p>
    <w:p>
      <w:pPr>
        <w:pStyle w:val="BodyText"/>
        <w:spacing w:line="235" w:lineRule="auto"/>
        <w:ind w:left="1133" w:right="1735"/>
      </w:pPr>
      <w:r>
        <w:rPr>
          <w:w w:val="120"/>
        </w:rPr>
        <w:t>Along with other Reformed </w:t>
      </w:r>
      <w:r>
        <w:rPr>
          <w:spacing w:val="-3"/>
          <w:w w:val="120"/>
        </w:rPr>
        <w:t>churches </w:t>
      </w:r>
      <w:r>
        <w:rPr>
          <w:w w:val="120"/>
        </w:rPr>
        <w:t>the </w:t>
      </w:r>
      <w:r>
        <w:rPr>
          <w:spacing w:val="-3"/>
          <w:w w:val="120"/>
        </w:rPr>
        <w:t>United </w:t>
      </w:r>
      <w:r>
        <w:rPr>
          <w:w w:val="120"/>
        </w:rPr>
        <w:t>Reformed </w:t>
      </w:r>
      <w:r>
        <w:rPr>
          <w:spacing w:val="-3"/>
          <w:w w:val="120"/>
        </w:rPr>
        <w:t>Church </w:t>
      </w:r>
      <w:r>
        <w:rPr>
          <w:w w:val="120"/>
        </w:rPr>
        <w:t>holds </w:t>
      </w:r>
      <w:r>
        <w:rPr>
          <w:spacing w:val="-3"/>
          <w:w w:val="120"/>
        </w:rPr>
        <w:t>to </w:t>
      </w:r>
      <w:r>
        <w:rPr>
          <w:w w:val="120"/>
        </w:rPr>
        <w:t>the </w:t>
      </w:r>
      <w:r>
        <w:rPr>
          <w:spacing w:val="-3"/>
          <w:w w:val="120"/>
        </w:rPr>
        <w:t>Trinitarian </w:t>
      </w:r>
      <w:r>
        <w:rPr>
          <w:w w:val="120"/>
        </w:rPr>
        <w:t>faith expressed in the historic Christian creeds and finds its supreme authority for faith and conduct in the </w:t>
      </w:r>
      <w:r>
        <w:rPr>
          <w:spacing w:val="-3"/>
          <w:w w:val="120"/>
        </w:rPr>
        <w:t>Word </w:t>
      </w:r>
      <w:r>
        <w:rPr>
          <w:w w:val="120"/>
        </w:rPr>
        <w:t>of God in the </w:t>
      </w:r>
      <w:r>
        <w:rPr>
          <w:spacing w:val="-3"/>
          <w:w w:val="120"/>
        </w:rPr>
        <w:t>Bible, </w:t>
      </w:r>
      <w:r>
        <w:rPr>
          <w:w w:val="120"/>
        </w:rPr>
        <w:t>discerned under </w:t>
      </w:r>
      <w:r>
        <w:rPr>
          <w:spacing w:val="-3"/>
          <w:w w:val="120"/>
        </w:rPr>
        <w:t>guidance </w:t>
      </w:r>
      <w:r>
        <w:rPr>
          <w:w w:val="120"/>
        </w:rPr>
        <w:t>of the Holy Spirit. The </w:t>
      </w:r>
      <w:r>
        <w:rPr>
          <w:spacing w:val="-3"/>
          <w:w w:val="120"/>
        </w:rPr>
        <w:t>United </w:t>
      </w:r>
      <w:r>
        <w:rPr>
          <w:w w:val="120"/>
        </w:rPr>
        <w:t>Reformed </w:t>
      </w:r>
      <w:r>
        <w:rPr>
          <w:spacing w:val="-5"/>
          <w:w w:val="120"/>
        </w:rPr>
        <w:t>Church’s </w:t>
      </w:r>
      <w:r>
        <w:rPr>
          <w:w w:val="120"/>
        </w:rPr>
        <w:t>structure also expresses its faith in the ministry of all </w:t>
      </w:r>
      <w:r>
        <w:rPr>
          <w:spacing w:val="-4"/>
          <w:w w:val="120"/>
        </w:rPr>
        <w:t>God’s </w:t>
      </w:r>
      <w:r>
        <w:rPr>
          <w:w w:val="120"/>
        </w:rPr>
        <w:t>people through the structure of </w:t>
      </w:r>
      <w:r>
        <w:rPr>
          <w:spacing w:val="-3"/>
          <w:w w:val="120"/>
        </w:rPr>
        <w:t>Councils </w:t>
      </w:r>
      <w:r>
        <w:rPr>
          <w:w w:val="120"/>
        </w:rPr>
        <w:t>by which the </w:t>
      </w:r>
      <w:r>
        <w:rPr>
          <w:spacing w:val="-3"/>
          <w:w w:val="120"/>
        </w:rPr>
        <w:t>Church </w:t>
      </w:r>
      <w:r>
        <w:rPr>
          <w:w w:val="120"/>
        </w:rPr>
        <w:t>is governed.</w:t>
      </w:r>
    </w:p>
    <w:p>
      <w:pPr>
        <w:pStyle w:val="BodyText"/>
        <w:spacing w:before="8"/>
        <w:rPr>
          <w:sz w:val="19"/>
        </w:rPr>
      </w:pPr>
    </w:p>
    <w:p>
      <w:pPr>
        <w:pStyle w:val="BodyText"/>
        <w:ind w:left="1133"/>
      </w:pPr>
      <w:r>
        <w:rPr>
          <w:w w:val="120"/>
        </w:rPr>
        <w:t>Notes about this Model Constitution Document:</w:t>
      </w:r>
    </w:p>
    <w:p>
      <w:pPr>
        <w:pStyle w:val="BodyText"/>
        <w:spacing w:before="7"/>
        <w:rPr>
          <w:sz w:val="19"/>
        </w:rPr>
      </w:pPr>
    </w:p>
    <w:p>
      <w:pPr>
        <w:pStyle w:val="BodyText"/>
        <w:spacing w:line="235" w:lineRule="auto"/>
        <w:ind w:left="1133" w:right="2020"/>
      </w:pPr>
      <w:r>
        <w:rPr>
          <w:w w:val="120"/>
        </w:rPr>
        <w:t>There is an increasing expectation that local churches will have a written Constitution. The Charity Commission does not wish to see it as </w:t>
      </w:r>
      <w:r>
        <w:rPr>
          <w:spacing w:val="2"/>
          <w:w w:val="120"/>
        </w:rPr>
        <w:t>part </w:t>
      </w:r>
      <w:r>
        <w:rPr>
          <w:w w:val="120"/>
        </w:rPr>
        <w:t>of the registration process but  has indicated it would expect to have sight of one if problems arise in the future. Also, grant funders and even banks are asking for details of how local churches are constituted to verify their collective identity and that of their signatories and better understand</w:t>
      </w:r>
      <w:r>
        <w:rPr>
          <w:spacing w:val="33"/>
          <w:w w:val="120"/>
        </w:rPr>
        <w:t> </w:t>
      </w:r>
      <w:r>
        <w:rPr>
          <w:w w:val="120"/>
        </w:rPr>
        <w:t>their</w:t>
      </w:r>
    </w:p>
    <w:p>
      <w:pPr>
        <w:pStyle w:val="BodyText"/>
        <w:spacing w:line="235" w:lineRule="auto" w:before="4"/>
        <w:ind w:left="1133" w:right="1997"/>
      </w:pPr>
      <w:r>
        <w:rPr>
          <w:w w:val="120"/>
        </w:rPr>
        <w:t>governance. Not only to satisfy the outside world, but also to make the church’s workings transparent to new members and to obviate later disagreement within the fellowship,</w:t>
      </w:r>
    </w:p>
    <w:p>
      <w:pPr>
        <w:pStyle w:val="BodyText"/>
        <w:spacing w:line="235" w:lineRule="auto" w:before="2"/>
        <w:ind w:left="1133" w:right="1997"/>
      </w:pPr>
      <w:r>
        <w:rPr>
          <w:w w:val="120"/>
        </w:rPr>
        <w:t>it is helpful to have a clear stated understanding of how local decisions are taken and appointments made.</w:t>
      </w:r>
    </w:p>
    <w:p>
      <w:pPr>
        <w:pStyle w:val="BodyText"/>
        <w:spacing w:before="9"/>
        <w:rPr>
          <w:sz w:val="19"/>
        </w:rPr>
      </w:pPr>
    </w:p>
    <w:p>
      <w:pPr>
        <w:pStyle w:val="BodyText"/>
        <w:spacing w:line="235" w:lineRule="auto"/>
        <w:ind w:left="1133" w:right="1997"/>
      </w:pPr>
      <w:r>
        <w:rPr>
          <w:w w:val="120"/>
        </w:rPr>
        <w:t>This document has been prepared with the benefit of legal advice and it is therefore commended to local churches. However, it has been drafted according to the law of England and Wales and churches in Scotland, Jersey, Guernsey and the Isle of Man will need to take further legal advice on its adoption in those jurisdictions.</w:t>
      </w:r>
    </w:p>
    <w:p>
      <w:pPr>
        <w:pStyle w:val="BodyText"/>
        <w:spacing w:before="11"/>
        <w:rPr>
          <w:sz w:val="19"/>
        </w:rPr>
      </w:pPr>
    </w:p>
    <w:p>
      <w:pPr>
        <w:pStyle w:val="BodyText"/>
        <w:spacing w:line="235" w:lineRule="auto"/>
        <w:ind w:left="1133" w:right="1829"/>
      </w:pPr>
      <w:r>
        <w:rPr>
          <w:w w:val="120"/>
        </w:rPr>
        <w:t>Local churches may already have their own written rules of operation, or established but unwritten ‘custom and practice’, on some or all of the matters covered in this model. Those whose rules are written are encouraged to compare them with this model; some Churches may wish to incorporate useful material from the model into their own rules, others to adopt a version of the model in place of their old rules. Those whose rules are unwritten  are</w:t>
      </w:r>
      <w:r>
        <w:rPr>
          <w:spacing w:val="6"/>
          <w:w w:val="120"/>
        </w:rPr>
        <w:t> </w:t>
      </w:r>
      <w:r>
        <w:rPr>
          <w:w w:val="120"/>
        </w:rPr>
        <w:t>urged</w:t>
      </w:r>
      <w:r>
        <w:rPr>
          <w:spacing w:val="6"/>
          <w:w w:val="120"/>
        </w:rPr>
        <w:t> </w:t>
      </w:r>
      <w:r>
        <w:rPr>
          <w:w w:val="120"/>
        </w:rPr>
        <w:t>to</w:t>
      </w:r>
      <w:r>
        <w:rPr>
          <w:spacing w:val="7"/>
          <w:w w:val="120"/>
        </w:rPr>
        <w:t> </w:t>
      </w:r>
      <w:r>
        <w:rPr>
          <w:w w:val="120"/>
        </w:rPr>
        <w:t>consider</w:t>
      </w:r>
      <w:r>
        <w:rPr>
          <w:spacing w:val="6"/>
          <w:w w:val="120"/>
        </w:rPr>
        <w:t> </w:t>
      </w:r>
      <w:r>
        <w:rPr>
          <w:w w:val="120"/>
        </w:rPr>
        <w:t>adopting</w:t>
      </w:r>
      <w:r>
        <w:rPr>
          <w:spacing w:val="7"/>
          <w:w w:val="120"/>
        </w:rPr>
        <w:t> </w:t>
      </w:r>
      <w:r>
        <w:rPr>
          <w:w w:val="120"/>
        </w:rPr>
        <w:t>a</w:t>
      </w:r>
      <w:r>
        <w:rPr>
          <w:spacing w:val="6"/>
          <w:w w:val="120"/>
        </w:rPr>
        <w:t> </w:t>
      </w:r>
      <w:r>
        <w:rPr>
          <w:w w:val="120"/>
        </w:rPr>
        <w:t>version</w:t>
      </w:r>
      <w:r>
        <w:rPr>
          <w:spacing w:val="6"/>
          <w:w w:val="120"/>
        </w:rPr>
        <w:t> </w:t>
      </w:r>
      <w:r>
        <w:rPr>
          <w:w w:val="120"/>
        </w:rPr>
        <w:t>of</w:t>
      </w:r>
      <w:r>
        <w:rPr>
          <w:spacing w:val="7"/>
          <w:w w:val="120"/>
        </w:rPr>
        <w:t> </w:t>
      </w:r>
      <w:r>
        <w:rPr>
          <w:w w:val="120"/>
        </w:rPr>
        <w:t>this</w:t>
      </w:r>
      <w:r>
        <w:rPr>
          <w:spacing w:val="6"/>
          <w:w w:val="120"/>
        </w:rPr>
        <w:t> </w:t>
      </w:r>
      <w:r>
        <w:rPr>
          <w:w w:val="120"/>
        </w:rPr>
        <w:t>model</w:t>
      </w:r>
      <w:r>
        <w:rPr>
          <w:spacing w:val="6"/>
          <w:w w:val="120"/>
        </w:rPr>
        <w:t> </w:t>
      </w:r>
      <w:r>
        <w:rPr>
          <w:w w:val="120"/>
        </w:rPr>
        <w:t>(incorporating</w:t>
      </w:r>
      <w:r>
        <w:rPr>
          <w:spacing w:val="7"/>
          <w:w w:val="120"/>
        </w:rPr>
        <w:t> </w:t>
      </w:r>
      <w:r>
        <w:rPr>
          <w:w w:val="120"/>
        </w:rPr>
        <w:t>local</w:t>
      </w:r>
      <w:r>
        <w:rPr>
          <w:spacing w:val="6"/>
          <w:w w:val="120"/>
        </w:rPr>
        <w:t> </w:t>
      </w:r>
      <w:r>
        <w:rPr>
          <w:w w:val="120"/>
        </w:rPr>
        <w:t>practices</w:t>
      </w:r>
    </w:p>
    <w:p>
      <w:pPr>
        <w:pStyle w:val="BodyText"/>
        <w:spacing w:line="235" w:lineRule="auto" w:before="4"/>
        <w:ind w:left="1133" w:right="1937"/>
      </w:pPr>
      <w:r>
        <w:rPr>
          <w:w w:val="120"/>
        </w:rPr>
        <w:t>when appropriate). If a written constitution exists it is important that people should be able to rely on it; so once adopted it will prevail over any inconsistent unwritten custom. Subject to the Scheme of Union, which prevails over local practice whether written or  not, local churches decide for themselves how they will operate and are free to adopt this model as it stands or with variations; however there are reasons for everything contained in the model and churches are urged not to amend it without careful consideration and competent</w:t>
      </w:r>
      <w:r>
        <w:rPr>
          <w:spacing w:val="2"/>
          <w:w w:val="120"/>
        </w:rPr>
        <w:t> </w:t>
      </w:r>
      <w:r>
        <w:rPr>
          <w:w w:val="120"/>
        </w:rPr>
        <w:t>advice.</w:t>
      </w:r>
    </w:p>
    <w:p>
      <w:pPr>
        <w:pStyle w:val="BodyText"/>
        <w:spacing w:before="1"/>
      </w:pPr>
    </w:p>
    <w:p>
      <w:pPr>
        <w:pStyle w:val="BodyText"/>
        <w:spacing w:line="235" w:lineRule="auto"/>
        <w:ind w:left="1133" w:right="1634"/>
      </w:pPr>
      <w:r>
        <w:rPr>
          <w:w w:val="120"/>
        </w:rPr>
        <w:t>In a few cases a local church may have appointed persons other than the members of the Elders’ Meeting to serve as charity trustees of the church’s general funds. The Church does not now recommend this practice and would encourage those congregations which have a designated group of Trustees to adopt the pattern of governance agreed with the Charity</w:t>
      </w:r>
    </w:p>
    <w:p>
      <w:pPr>
        <w:spacing w:after="0" w:line="235" w:lineRule="auto"/>
        <w:sectPr>
          <w:pgSz w:w="11910" w:h="16840"/>
          <w:pgMar w:header="0" w:footer="647" w:top="1060" w:bottom="840" w:left="0" w:right="0"/>
        </w:sectPr>
      </w:pPr>
    </w:p>
    <w:p>
      <w:pPr>
        <w:pStyle w:val="BodyText"/>
        <w:spacing w:line="235" w:lineRule="auto" w:before="8"/>
        <w:ind w:left="1984" w:right="1273"/>
      </w:pPr>
      <w:r>
        <w:rPr/>
        <w:pict>
          <v:rect style="position:absolute;margin-left:558.424988pt;margin-top:8.487253pt;width:22.677pt;height:22.677pt;mso-position-horizontal-relative:page;mso-position-vertical-relative:paragraph;z-index:251911168" filled="true" fillcolor="#f9e9c1" stroked="false">
            <v:fill opacity="32768f" type="solid"/>
            <w10:wrap type="none"/>
          </v:rect>
        </w:pict>
      </w:r>
      <w:r>
        <w:rPr>
          <w:w w:val="120"/>
        </w:rPr>
        <w:t>Commissioners and approved by the General Assembly. Nevertheless, where separate groups of trustees exist references to trustees contained in this document should be taken to refer to those bodies.</w:t>
      </w:r>
    </w:p>
    <w:p>
      <w:pPr>
        <w:pStyle w:val="BodyText"/>
        <w:spacing w:before="4"/>
      </w:pPr>
    </w:p>
    <w:p>
      <w:pPr>
        <w:pStyle w:val="BodyText"/>
        <w:spacing w:line="228" w:lineRule="auto"/>
        <w:ind w:left="1984" w:right="1823"/>
      </w:pPr>
      <w:r>
        <w:rPr>
          <w:w w:val="120"/>
        </w:rPr>
        <w:t>The Manual of the United Reformed Church which contains full details of the Basis of Union; the Structure of the Church; Rules of Procedure; Baptism; Ministries; the Disciplinary Procedure for ministers and Church Related Community Workers and other aspects of the Church’s work can be accessed on the Church’s website at </w:t>
      </w:r>
      <w:hyperlink r:id="rId199">
        <w:r>
          <w:rPr>
            <w:rFonts w:ascii="Stone Sans II ITC Std X Bd" w:hAnsi="Stone Sans II ITC Std X Bd"/>
            <w:b/>
            <w:w w:val="120"/>
            <w:sz w:val="22"/>
          </w:rPr>
          <w:t>www.urc.org.uk </w:t>
        </w:r>
      </w:hyperlink>
      <w:r>
        <w:rPr>
          <w:w w:val="120"/>
        </w:rPr>
        <w:t>under the heading ‘Our work’.</w:t>
      </w:r>
    </w:p>
    <w:p>
      <w:pPr>
        <w:spacing w:before="197"/>
        <w:ind w:left="1984" w:right="0" w:firstLine="0"/>
        <w:jc w:val="left"/>
        <w:rPr>
          <w:rFonts w:ascii="Stone Sans II ITC Std Bk"/>
          <w:b/>
          <w:sz w:val="21"/>
        </w:rPr>
      </w:pPr>
      <w:r>
        <w:rPr>
          <w:rFonts w:ascii="Stone Sans II ITC Std Bk"/>
          <w:b/>
          <w:w w:val="115"/>
          <w:sz w:val="21"/>
        </w:rPr>
        <w:t>Index of clauses</w:t>
      </w:r>
    </w:p>
    <w:p>
      <w:pPr>
        <w:pStyle w:val="ListParagraph"/>
        <w:numPr>
          <w:ilvl w:val="0"/>
          <w:numId w:val="92"/>
        </w:numPr>
        <w:tabs>
          <w:tab w:pos="2664" w:val="left" w:leader="none"/>
          <w:tab w:pos="2665" w:val="left" w:leader="none"/>
        </w:tabs>
        <w:spacing w:line="240" w:lineRule="auto" w:before="218" w:after="0"/>
        <w:ind w:left="2664" w:right="0" w:hanging="681"/>
        <w:jc w:val="left"/>
        <w:rPr>
          <w:sz w:val="20"/>
        </w:rPr>
      </w:pPr>
      <w:r>
        <w:rPr>
          <w:w w:val="120"/>
          <w:sz w:val="20"/>
        </w:rPr>
        <w:t>The local and the wider</w:t>
      </w:r>
      <w:r>
        <w:rPr>
          <w:spacing w:val="51"/>
          <w:w w:val="120"/>
          <w:sz w:val="20"/>
        </w:rPr>
        <w:t> </w:t>
      </w:r>
      <w:r>
        <w:rPr>
          <w:w w:val="120"/>
          <w:sz w:val="20"/>
        </w:rPr>
        <w:t>church</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Basic constitutional</w:t>
      </w:r>
      <w:r>
        <w:rPr>
          <w:spacing w:val="8"/>
          <w:w w:val="120"/>
          <w:sz w:val="20"/>
        </w:rPr>
        <w:t> </w:t>
      </w:r>
      <w:r>
        <w:rPr>
          <w:w w:val="120"/>
          <w:sz w:val="20"/>
        </w:rPr>
        <w:t>documents</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Property trusts and</w:t>
      </w:r>
      <w:r>
        <w:rPr>
          <w:spacing w:val="5"/>
          <w:w w:val="120"/>
          <w:sz w:val="20"/>
        </w:rPr>
        <w:t> </w:t>
      </w:r>
      <w:r>
        <w:rPr>
          <w:w w:val="120"/>
          <w:sz w:val="20"/>
        </w:rPr>
        <w:t>administration</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Membership</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Leadership</w:t>
      </w:r>
    </w:p>
    <w:p>
      <w:pPr>
        <w:pStyle w:val="ListParagraph"/>
        <w:numPr>
          <w:ilvl w:val="1"/>
          <w:numId w:val="92"/>
        </w:numPr>
        <w:tabs>
          <w:tab w:pos="2664" w:val="left" w:leader="none"/>
          <w:tab w:pos="2665" w:val="left" w:leader="none"/>
        </w:tabs>
        <w:spacing w:line="240" w:lineRule="auto" w:before="95" w:after="0"/>
        <w:ind w:left="2664" w:right="0" w:hanging="681"/>
        <w:jc w:val="left"/>
        <w:rPr>
          <w:sz w:val="20"/>
        </w:rPr>
      </w:pPr>
      <w:r>
        <w:rPr>
          <w:w w:val="115"/>
          <w:sz w:val="20"/>
        </w:rPr>
        <w:t>Ministers</w:t>
      </w:r>
    </w:p>
    <w:p>
      <w:pPr>
        <w:pStyle w:val="ListParagraph"/>
        <w:numPr>
          <w:ilvl w:val="1"/>
          <w:numId w:val="92"/>
        </w:numPr>
        <w:tabs>
          <w:tab w:pos="2664" w:val="left" w:leader="none"/>
          <w:tab w:pos="2665" w:val="left" w:leader="none"/>
        </w:tabs>
        <w:spacing w:line="240" w:lineRule="auto" w:before="96" w:after="0"/>
        <w:ind w:left="2664" w:right="0" w:hanging="681"/>
        <w:jc w:val="left"/>
        <w:rPr>
          <w:sz w:val="20"/>
        </w:rPr>
      </w:pPr>
      <w:r>
        <w:rPr>
          <w:w w:val="120"/>
          <w:sz w:val="20"/>
        </w:rPr>
        <w:t>Church Related Community</w:t>
      </w:r>
      <w:r>
        <w:rPr>
          <w:spacing w:val="6"/>
          <w:w w:val="120"/>
          <w:sz w:val="20"/>
        </w:rPr>
        <w:t> </w:t>
      </w:r>
      <w:r>
        <w:rPr>
          <w:w w:val="120"/>
          <w:sz w:val="20"/>
        </w:rPr>
        <w:t>Workers</w:t>
      </w:r>
    </w:p>
    <w:p>
      <w:pPr>
        <w:pStyle w:val="ListParagraph"/>
        <w:numPr>
          <w:ilvl w:val="1"/>
          <w:numId w:val="92"/>
        </w:numPr>
        <w:tabs>
          <w:tab w:pos="2664" w:val="left" w:leader="none"/>
          <w:tab w:pos="2665" w:val="left" w:leader="none"/>
        </w:tabs>
        <w:spacing w:line="240" w:lineRule="auto" w:before="95" w:after="0"/>
        <w:ind w:left="2664" w:right="0" w:hanging="681"/>
        <w:jc w:val="left"/>
        <w:rPr>
          <w:sz w:val="20"/>
        </w:rPr>
      </w:pPr>
      <w:r>
        <w:rPr>
          <w:w w:val="120"/>
          <w:sz w:val="20"/>
        </w:rPr>
        <w:t>Elders</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spacing w:val="2"/>
          <w:w w:val="120"/>
          <w:sz w:val="20"/>
        </w:rPr>
        <w:t>Honorary </w:t>
      </w:r>
      <w:r>
        <w:rPr>
          <w:w w:val="120"/>
          <w:sz w:val="20"/>
        </w:rPr>
        <w:t>officers, representatives and</w:t>
      </w:r>
      <w:r>
        <w:rPr>
          <w:spacing w:val="3"/>
          <w:w w:val="120"/>
          <w:sz w:val="20"/>
        </w:rPr>
        <w:t> </w:t>
      </w:r>
      <w:r>
        <w:rPr>
          <w:w w:val="120"/>
          <w:sz w:val="20"/>
        </w:rPr>
        <w:t>committees</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Employees and paid</w:t>
      </w:r>
      <w:r>
        <w:rPr>
          <w:spacing w:val="6"/>
          <w:w w:val="120"/>
          <w:sz w:val="20"/>
        </w:rPr>
        <w:t> </w:t>
      </w:r>
      <w:r>
        <w:rPr>
          <w:w w:val="120"/>
          <w:sz w:val="20"/>
        </w:rPr>
        <w:t>contractors</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Amendment</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Closure and</w:t>
      </w:r>
      <w:r>
        <w:rPr>
          <w:spacing w:val="4"/>
          <w:w w:val="120"/>
          <w:sz w:val="20"/>
        </w:rPr>
        <w:t> </w:t>
      </w:r>
      <w:r>
        <w:rPr>
          <w:w w:val="120"/>
          <w:sz w:val="20"/>
        </w:rPr>
        <w:t>dissolution</w:t>
      </w:r>
    </w:p>
    <w:p>
      <w:pPr>
        <w:pStyle w:val="ListParagraph"/>
        <w:numPr>
          <w:ilvl w:val="0"/>
          <w:numId w:val="92"/>
        </w:numPr>
        <w:tabs>
          <w:tab w:pos="2664" w:val="left" w:leader="none"/>
          <w:tab w:pos="2665" w:val="left" w:leader="none"/>
        </w:tabs>
        <w:spacing w:line="240" w:lineRule="auto" w:before="95" w:after="0"/>
        <w:ind w:left="2664" w:right="0" w:hanging="681"/>
        <w:jc w:val="left"/>
        <w:rPr>
          <w:sz w:val="20"/>
        </w:rPr>
      </w:pPr>
      <w:r>
        <w:rPr>
          <w:w w:val="120"/>
          <w:sz w:val="20"/>
        </w:rPr>
        <w:t>Interpretation and</w:t>
      </w:r>
      <w:r>
        <w:rPr>
          <w:spacing w:val="3"/>
          <w:w w:val="120"/>
          <w:sz w:val="20"/>
        </w:rPr>
        <w:t> </w:t>
      </w:r>
      <w:r>
        <w:rPr>
          <w:w w:val="120"/>
          <w:sz w:val="20"/>
        </w:rPr>
        <w:t>miscellaneous</w:t>
      </w:r>
    </w:p>
    <w:p>
      <w:pPr>
        <w:pStyle w:val="BodyText"/>
        <w:spacing w:before="1"/>
      </w:pPr>
    </w:p>
    <w:p>
      <w:pPr>
        <w:spacing w:line="213" w:lineRule="auto" w:before="0"/>
        <w:ind w:left="1984" w:right="1120" w:firstLine="0"/>
        <w:jc w:val="left"/>
        <w:rPr>
          <w:rFonts w:ascii="Stone Sans II ITC Std Bk"/>
          <w:b/>
          <w:sz w:val="20"/>
        </w:rPr>
      </w:pPr>
      <w:r>
        <w:rPr>
          <w:rFonts w:ascii="Stone Sans II ITC Std Bk"/>
          <w:b/>
          <w:w w:val="110"/>
          <w:sz w:val="20"/>
        </w:rPr>
        <w:t>The members of Anytown United Reformed Church assembled in Church Meeting on </w:t>
      </w:r>
      <w:r>
        <w:rPr>
          <w:i/>
          <w:w w:val="110"/>
          <w:sz w:val="20"/>
        </w:rPr>
        <w:t>(date) </w:t>
      </w:r>
      <w:r>
        <w:rPr>
          <w:rFonts w:ascii="Stone Sans II ITC Std Bk"/>
          <w:b/>
          <w:w w:val="110"/>
          <w:sz w:val="20"/>
        </w:rPr>
        <w:t>have adopted the following Constitution:</w:t>
      </w:r>
    </w:p>
    <w:p>
      <w:pPr>
        <w:pStyle w:val="ListParagraph"/>
        <w:numPr>
          <w:ilvl w:val="0"/>
          <w:numId w:val="93"/>
        </w:numPr>
        <w:tabs>
          <w:tab w:pos="2704" w:val="left" w:leader="none"/>
          <w:tab w:pos="2705" w:val="left" w:leader="none"/>
        </w:tabs>
        <w:spacing w:line="240" w:lineRule="auto" w:before="207" w:after="0"/>
        <w:ind w:left="2704" w:right="0" w:hanging="721"/>
        <w:jc w:val="left"/>
        <w:rPr>
          <w:rFonts w:ascii="Stone Sans II ITC Std Bk"/>
          <w:b/>
          <w:sz w:val="21"/>
        </w:rPr>
      </w:pPr>
      <w:r>
        <w:rPr>
          <w:rFonts w:ascii="Stone Sans II ITC Std Bk"/>
          <w:b/>
          <w:w w:val="115"/>
          <w:sz w:val="21"/>
        </w:rPr>
        <w:t>The local and the wider</w:t>
      </w:r>
      <w:r>
        <w:rPr>
          <w:rFonts w:ascii="Stone Sans II ITC Std Bk"/>
          <w:b/>
          <w:spacing w:val="-8"/>
          <w:w w:val="115"/>
          <w:sz w:val="21"/>
        </w:rPr>
        <w:t> </w:t>
      </w:r>
      <w:r>
        <w:rPr>
          <w:rFonts w:ascii="Stone Sans II ITC Std Bk"/>
          <w:b/>
          <w:w w:val="115"/>
          <w:sz w:val="21"/>
        </w:rPr>
        <w:t>church</w:t>
      </w:r>
    </w:p>
    <w:p>
      <w:pPr>
        <w:pStyle w:val="BodyText"/>
        <w:spacing w:line="235" w:lineRule="auto" w:before="222"/>
        <w:ind w:left="1984" w:right="1756"/>
      </w:pPr>
      <w:r>
        <w:rPr>
          <w:i/>
          <w:spacing w:val="2"/>
          <w:w w:val="120"/>
        </w:rPr>
        <w:t>Anytown </w:t>
      </w:r>
      <w:r>
        <w:rPr>
          <w:w w:val="120"/>
        </w:rPr>
        <w:t>United </w:t>
      </w:r>
      <w:r>
        <w:rPr>
          <w:spacing w:val="2"/>
          <w:w w:val="120"/>
        </w:rPr>
        <w:t>Reformed </w:t>
      </w:r>
      <w:r>
        <w:rPr>
          <w:w w:val="120"/>
        </w:rPr>
        <w:t>Church (‘the church’) is a </w:t>
      </w:r>
      <w:r>
        <w:rPr>
          <w:spacing w:val="2"/>
          <w:w w:val="120"/>
        </w:rPr>
        <w:t>local </w:t>
      </w:r>
      <w:r>
        <w:rPr>
          <w:w w:val="120"/>
        </w:rPr>
        <w:t>association for the public worship of </w:t>
      </w:r>
      <w:r>
        <w:rPr>
          <w:spacing w:val="2"/>
          <w:w w:val="120"/>
        </w:rPr>
        <w:t>God, Christian witness </w:t>
      </w:r>
      <w:r>
        <w:rPr>
          <w:w w:val="120"/>
        </w:rPr>
        <w:t>and </w:t>
      </w:r>
      <w:r>
        <w:rPr>
          <w:spacing w:val="2"/>
          <w:w w:val="120"/>
        </w:rPr>
        <w:t>service </w:t>
      </w:r>
      <w:r>
        <w:rPr>
          <w:w w:val="120"/>
        </w:rPr>
        <w:t>in accordance with the </w:t>
      </w:r>
      <w:r>
        <w:rPr>
          <w:spacing w:val="2"/>
          <w:w w:val="120"/>
        </w:rPr>
        <w:t>principles    </w:t>
      </w:r>
      <w:r>
        <w:rPr>
          <w:w w:val="120"/>
        </w:rPr>
        <w:t>and</w:t>
      </w:r>
      <w:r>
        <w:rPr>
          <w:spacing w:val="11"/>
          <w:w w:val="120"/>
        </w:rPr>
        <w:t> </w:t>
      </w:r>
      <w:r>
        <w:rPr>
          <w:spacing w:val="2"/>
          <w:w w:val="120"/>
        </w:rPr>
        <w:t>usages</w:t>
      </w:r>
      <w:r>
        <w:rPr>
          <w:spacing w:val="12"/>
          <w:w w:val="120"/>
        </w:rPr>
        <w:t> </w:t>
      </w:r>
      <w:r>
        <w:rPr>
          <w:w w:val="120"/>
        </w:rPr>
        <w:t>of</w:t>
      </w:r>
      <w:r>
        <w:rPr>
          <w:spacing w:val="12"/>
          <w:w w:val="120"/>
        </w:rPr>
        <w:t> </w:t>
      </w:r>
      <w:r>
        <w:rPr>
          <w:w w:val="120"/>
        </w:rPr>
        <w:t>the</w:t>
      </w:r>
      <w:r>
        <w:rPr>
          <w:spacing w:val="12"/>
          <w:w w:val="120"/>
        </w:rPr>
        <w:t> </w:t>
      </w:r>
      <w:r>
        <w:rPr>
          <w:w w:val="120"/>
        </w:rPr>
        <w:t>United</w:t>
      </w:r>
      <w:r>
        <w:rPr>
          <w:spacing w:val="12"/>
          <w:w w:val="120"/>
        </w:rPr>
        <w:t> </w:t>
      </w:r>
      <w:r>
        <w:rPr>
          <w:spacing w:val="2"/>
          <w:w w:val="120"/>
        </w:rPr>
        <w:t>Reformed</w:t>
      </w:r>
      <w:r>
        <w:rPr>
          <w:spacing w:val="12"/>
          <w:w w:val="120"/>
        </w:rPr>
        <w:t> </w:t>
      </w:r>
      <w:r>
        <w:rPr>
          <w:w w:val="120"/>
        </w:rPr>
        <w:t>Church</w:t>
      </w:r>
      <w:r>
        <w:rPr>
          <w:spacing w:val="12"/>
          <w:w w:val="120"/>
        </w:rPr>
        <w:t> </w:t>
      </w:r>
      <w:r>
        <w:rPr>
          <w:w w:val="120"/>
        </w:rPr>
        <w:t>(‘the</w:t>
      </w:r>
      <w:r>
        <w:rPr>
          <w:spacing w:val="12"/>
          <w:w w:val="120"/>
        </w:rPr>
        <w:t> </w:t>
      </w:r>
      <w:r>
        <w:rPr>
          <w:w w:val="120"/>
        </w:rPr>
        <w:t>URC’).</w:t>
      </w:r>
      <w:r>
        <w:rPr>
          <w:spacing w:val="12"/>
          <w:w w:val="120"/>
        </w:rPr>
        <w:t> </w:t>
      </w:r>
      <w:r>
        <w:rPr>
          <w:w w:val="120"/>
        </w:rPr>
        <w:t>Admission</w:t>
      </w:r>
      <w:r>
        <w:rPr>
          <w:spacing w:val="12"/>
          <w:w w:val="120"/>
        </w:rPr>
        <w:t> </w:t>
      </w:r>
      <w:r>
        <w:rPr>
          <w:w w:val="120"/>
        </w:rPr>
        <w:t>to</w:t>
      </w:r>
      <w:r>
        <w:rPr>
          <w:spacing w:val="12"/>
          <w:w w:val="120"/>
        </w:rPr>
        <w:t> </w:t>
      </w:r>
      <w:r>
        <w:rPr>
          <w:w w:val="120"/>
        </w:rPr>
        <w:t>the</w:t>
      </w:r>
      <w:r>
        <w:rPr>
          <w:spacing w:val="12"/>
          <w:w w:val="120"/>
        </w:rPr>
        <w:t> </w:t>
      </w:r>
      <w:r>
        <w:rPr>
          <w:w w:val="120"/>
        </w:rPr>
        <w:t>full</w:t>
      </w:r>
    </w:p>
    <w:p>
      <w:pPr>
        <w:pStyle w:val="BodyText"/>
        <w:spacing w:line="235" w:lineRule="auto" w:before="3"/>
        <w:ind w:left="1984" w:right="1123"/>
      </w:pPr>
      <w:r>
        <w:rPr>
          <w:w w:val="120"/>
        </w:rPr>
        <w:t>responsibilities and privileges of membership confers  membership  simultaneously  in the church and in the URC. The church supports the wider councils of the URC through giving and participation, and may share in activity with other faith communities on an ecumenical basis.</w:t>
      </w:r>
    </w:p>
    <w:p>
      <w:pPr>
        <w:pStyle w:val="BodyText"/>
        <w:spacing w:before="8"/>
        <w:rPr>
          <w:sz w:val="17"/>
        </w:rPr>
      </w:pPr>
    </w:p>
    <w:p>
      <w:pPr>
        <w:numPr>
          <w:ilvl w:val="0"/>
          <w:numId w:val="93"/>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Basic constitutional</w:t>
      </w:r>
      <w:r>
        <w:rPr>
          <w:rFonts w:ascii="Stone Sans II ITC Std Bk"/>
          <w:b/>
          <w:spacing w:val="-4"/>
          <w:w w:val="115"/>
          <w:sz w:val="21"/>
        </w:rPr>
        <w:t> </w:t>
      </w:r>
      <w:r>
        <w:rPr>
          <w:rFonts w:ascii="Stone Sans II ITC Std Bk"/>
          <w:b/>
          <w:w w:val="115"/>
          <w:sz w:val="21"/>
        </w:rPr>
        <w:t>documents</w:t>
      </w:r>
    </w:p>
    <w:p>
      <w:pPr>
        <w:pStyle w:val="ListParagraph"/>
        <w:numPr>
          <w:ilvl w:val="1"/>
          <w:numId w:val="93"/>
        </w:numPr>
        <w:tabs>
          <w:tab w:pos="2664" w:val="left" w:leader="none"/>
          <w:tab w:pos="2665" w:val="left" w:leader="none"/>
        </w:tabs>
        <w:spacing w:line="235" w:lineRule="auto" w:before="222" w:after="0"/>
        <w:ind w:left="1984" w:right="1212" w:firstLine="0"/>
        <w:jc w:val="left"/>
        <w:rPr>
          <w:sz w:val="20"/>
        </w:rPr>
      </w:pPr>
      <w:r>
        <w:rPr>
          <w:spacing w:val="3"/>
          <w:w w:val="120"/>
          <w:sz w:val="20"/>
        </w:rPr>
        <w:t>As </w:t>
      </w:r>
      <w:r>
        <w:rPr>
          <w:w w:val="120"/>
          <w:sz w:val="20"/>
        </w:rPr>
        <w:t>a local church of the URC, the church is governed by the Scheme of Union of the URC (‘the Scheme of Union’) and those constitutional decisions of General Assembly binding on local churches. This constitution supplements the provisions of these</w:t>
      </w:r>
      <w:r>
        <w:rPr>
          <w:spacing w:val="50"/>
          <w:w w:val="120"/>
          <w:sz w:val="20"/>
        </w:rPr>
        <w:t> </w:t>
      </w:r>
      <w:r>
        <w:rPr>
          <w:w w:val="120"/>
          <w:sz w:val="20"/>
        </w:rPr>
        <w:t>as</w:t>
      </w:r>
    </w:p>
    <w:p>
      <w:pPr>
        <w:pStyle w:val="BodyText"/>
        <w:spacing w:line="235" w:lineRule="auto" w:before="2"/>
        <w:ind w:left="1984" w:right="1120"/>
      </w:pPr>
      <w:r>
        <w:rPr>
          <w:w w:val="120"/>
        </w:rPr>
        <w:t>they affect the church. In the event of any conflict between those provisions and this constitution, those provisions prevail.</w:t>
      </w:r>
    </w:p>
    <w:p>
      <w:pPr>
        <w:pStyle w:val="BodyText"/>
        <w:spacing w:before="6"/>
        <w:rPr>
          <w:sz w:val="19"/>
        </w:rPr>
      </w:pPr>
    </w:p>
    <w:p>
      <w:pPr>
        <w:pStyle w:val="ListParagraph"/>
        <w:numPr>
          <w:ilvl w:val="1"/>
          <w:numId w:val="93"/>
        </w:numPr>
        <w:tabs>
          <w:tab w:pos="2664" w:val="left" w:leader="none"/>
          <w:tab w:pos="2665" w:val="left" w:leader="none"/>
        </w:tabs>
        <w:spacing w:line="240" w:lineRule="auto" w:before="0" w:after="27"/>
        <w:ind w:left="2664" w:right="0" w:hanging="681"/>
        <w:jc w:val="left"/>
        <w:rPr>
          <w:sz w:val="20"/>
        </w:rPr>
      </w:pPr>
      <w:r>
        <w:rPr>
          <w:w w:val="120"/>
          <w:sz w:val="20"/>
        </w:rPr>
        <w:t>The Scheme of</w:t>
      </w:r>
      <w:r>
        <w:rPr>
          <w:spacing w:val="6"/>
          <w:w w:val="120"/>
          <w:sz w:val="20"/>
        </w:rPr>
        <w:t> </w:t>
      </w:r>
      <w:r>
        <w:rPr>
          <w:w w:val="120"/>
          <w:sz w:val="20"/>
        </w:rPr>
        <w:t>Union:</w:t>
      </w:r>
    </w:p>
    <w:tbl>
      <w:tblPr>
        <w:tblW w:w="0" w:type="auto"/>
        <w:jc w:val="left"/>
        <w:tblInd w:w="198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4809"/>
        <w:gridCol w:w="2495"/>
        <w:gridCol w:w="1527"/>
      </w:tblGrid>
      <w:tr>
        <w:trPr>
          <w:trHeight w:val="858" w:hRule="atLeast"/>
        </w:trPr>
        <w:tc>
          <w:tcPr>
            <w:tcW w:w="4809" w:type="dxa"/>
            <w:shd w:val="clear" w:color="auto" w:fill="F5E1D6"/>
          </w:tcPr>
          <w:p>
            <w:pPr>
              <w:pStyle w:val="TableParagraph"/>
              <w:rPr>
                <w:rFonts w:ascii="Times New Roman"/>
                <w:sz w:val="22"/>
              </w:rPr>
            </w:pPr>
          </w:p>
        </w:tc>
        <w:tc>
          <w:tcPr>
            <w:tcW w:w="2495" w:type="dxa"/>
            <w:shd w:val="clear" w:color="auto" w:fill="F5E1D6"/>
          </w:tcPr>
          <w:p>
            <w:pPr>
              <w:pStyle w:val="TableParagraph"/>
              <w:spacing w:line="235" w:lineRule="auto" w:before="114"/>
              <w:ind w:left="79" w:right="249"/>
              <w:jc w:val="both"/>
              <w:rPr>
                <w:sz w:val="20"/>
              </w:rPr>
            </w:pPr>
            <w:r>
              <w:rPr>
                <w:w w:val="120"/>
                <w:sz w:val="20"/>
              </w:rPr>
              <w:t>Principal provisions of the Basis of Union (B) or Structure (S)</w:t>
            </w:r>
          </w:p>
        </w:tc>
        <w:tc>
          <w:tcPr>
            <w:tcW w:w="1527" w:type="dxa"/>
            <w:shd w:val="clear" w:color="auto" w:fill="F5E1D6"/>
          </w:tcPr>
          <w:p>
            <w:pPr>
              <w:pStyle w:val="TableParagraph"/>
              <w:spacing w:line="235" w:lineRule="auto" w:before="114"/>
              <w:ind w:left="79" w:right="12"/>
              <w:rPr>
                <w:sz w:val="20"/>
              </w:rPr>
            </w:pPr>
            <w:r>
              <w:rPr>
                <w:w w:val="120"/>
                <w:sz w:val="20"/>
              </w:rPr>
              <w:t>Related clauses of this constitution</w:t>
            </w:r>
          </w:p>
        </w:tc>
      </w:tr>
      <w:tr>
        <w:trPr>
          <w:trHeight w:val="868" w:hRule="atLeast"/>
        </w:trPr>
        <w:tc>
          <w:tcPr>
            <w:tcW w:w="4809" w:type="dxa"/>
            <w:shd w:val="clear" w:color="auto" w:fill="FFFBDC"/>
          </w:tcPr>
          <w:p>
            <w:pPr>
              <w:pStyle w:val="TableParagraph"/>
              <w:tabs>
                <w:tab w:pos="736" w:val="left" w:leader="none"/>
              </w:tabs>
              <w:spacing w:line="235" w:lineRule="auto" w:before="90"/>
              <w:ind w:left="737" w:right="265" w:hanging="681"/>
              <w:jc w:val="both"/>
              <w:rPr>
                <w:sz w:val="20"/>
              </w:rPr>
            </w:pPr>
            <w:r>
              <w:rPr>
                <w:spacing w:val="-7"/>
                <w:w w:val="120"/>
                <w:sz w:val="20"/>
              </w:rPr>
              <w:t>a)</w:t>
              <w:tab/>
            </w:r>
            <w:r>
              <w:rPr>
                <w:w w:val="120"/>
                <w:sz w:val="20"/>
              </w:rPr>
              <w:t>assigns the immediate oversight of the church to the Church Meeting and the Elders’</w:t>
            </w:r>
            <w:r>
              <w:rPr>
                <w:spacing w:val="2"/>
                <w:w w:val="120"/>
                <w:sz w:val="20"/>
              </w:rPr>
              <w:t> </w:t>
            </w:r>
            <w:r>
              <w:rPr>
                <w:w w:val="120"/>
                <w:sz w:val="20"/>
              </w:rPr>
              <w:t>Meeting</w:t>
            </w:r>
          </w:p>
        </w:tc>
        <w:tc>
          <w:tcPr>
            <w:tcW w:w="2495" w:type="dxa"/>
          </w:tcPr>
          <w:p>
            <w:pPr>
              <w:pStyle w:val="TableParagraph"/>
              <w:spacing w:before="110"/>
              <w:ind w:left="79"/>
              <w:rPr>
                <w:sz w:val="20"/>
              </w:rPr>
            </w:pPr>
            <w:r>
              <w:rPr>
                <w:w w:val="135"/>
                <w:sz w:val="20"/>
              </w:rPr>
              <w:t>S1(3), 2(1), 2(2)</w:t>
            </w:r>
          </w:p>
        </w:tc>
        <w:tc>
          <w:tcPr>
            <w:tcW w:w="1527" w:type="dxa"/>
          </w:tcPr>
          <w:p>
            <w:pPr>
              <w:pStyle w:val="TableParagraph"/>
              <w:spacing w:before="110"/>
              <w:ind w:left="79"/>
              <w:rPr>
                <w:sz w:val="20"/>
              </w:rPr>
            </w:pPr>
            <w:r>
              <w:rPr>
                <w:w w:val="125"/>
                <w:sz w:val="20"/>
              </w:rPr>
              <w:t>6</w:t>
            </w:r>
          </w:p>
        </w:tc>
      </w:tr>
    </w:tbl>
    <w:p>
      <w:pPr>
        <w:spacing w:after="0"/>
        <w:rPr>
          <w:sz w:val="20"/>
        </w:rPr>
        <w:sectPr>
          <w:pgSz w:w="11910" w:h="16840"/>
          <w:pgMar w:header="0" w:footer="647" w:top="1060" w:bottom="840" w:left="0" w:right="0"/>
        </w:sectPr>
      </w:pPr>
    </w:p>
    <w:p>
      <w:pPr>
        <w:pStyle w:val="BodyText"/>
        <w:tabs>
          <w:tab w:pos="1133" w:val="left" w:leader="none"/>
        </w:tabs>
        <w:ind w:left="240"/>
      </w:pPr>
      <w:r>
        <w:rPr>
          <w:position w:val="756"/>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position w:val="756"/>
        </w:rPr>
      </w:r>
      <w:r>
        <w:rPr>
          <w:position w:val="756"/>
        </w:rPr>
        <w:tab/>
      </w:r>
      <w:r>
        <w:rPr/>
        <w:pict>
          <v:shape style="width:441.9pt;height:405.3pt;mso-position-horizontal-relative:char;mso-position-vertical-relative:line" type="#_x0000_t202" filled="false" stroked="false">
            <w10:anchorlock/>
            <v:textbox inset="0,0,0,0">
              <w:txbxContent>
                <w:tbl>
                  <w:tblPr>
                    <w:tblW w:w="0" w:type="auto"/>
                    <w:jc w:val="left"/>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4809"/>
                    <w:gridCol w:w="2495"/>
                    <w:gridCol w:w="1527"/>
                  </w:tblGrid>
                  <w:tr>
                    <w:trPr>
                      <w:trHeight w:val="1108" w:hRule="atLeast"/>
                    </w:trPr>
                    <w:tc>
                      <w:tcPr>
                        <w:tcW w:w="4809" w:type="dxa"/>
                        <w:shd w:val="clear" w:color="auto" w:fill="FFFBDC"/>
                      </w:tcPr>
                      <w:p>
                        <w:pPr>
                          <w:pStyle w:val="TableParagraph"/>
                          <w:tabs>
                            <w:tab w:pos="736" w:val="left" w:leader="none"/>
                          </w:tabs>
                          <w:spacing w:line="235" w:lineRule="auto" w:before="88"/>
                          <w:ind w:left="736" w:right="756" w:hanging="681"/>
                          <w:rPr>
                            <w:sz w:val="20"/>
                          </w:rPr>
                        </w:pPr>
                        <w:r>
                          <w:rPr>
                            <w:spacing w:val="-8"/>
                            <w:w w:val="120"/>
                            <w:sz w:val="20"/>
                          </w:rPr>
                          <w:t>b)</w:t>
                          <w:tab/>
                        </w:r>
                        <w:r>
                          <w:rPr>
                            <w:w w:val="120"/>
                            <w:sz w:val="20"/>
                          </w:rPr>
                          <w:t>provides for the membership and functions of the Church</w:t>
                        </w:r>
                        <w:r>
                          <w:rPr>
                            <w:spacing w:val="30"/>
                            <w:w w:val="120"/>
                            <w:sz w:val="20"/>
                          </w:rPr>
                          <w:t> </w:t>
                        </w:r>
                        <w:r>
                          <w:rPr>
                            <w:w w:val="120"/>
                            <w:sz w:val="20"/>
                          </w:rPr>
                          <w:t>Meeting</w:t>
                        </w:r>
                      </w:p>
                      <w:p>
                        <w:pPr>
                          <w:pStyle w:val="TableParagraph"/>
                          <w:spacing w:line="235" w:lineRule="auto" w:before="2"/>
                          <w:ind w:left="736" w:right="205"/>
                          <w:rPr>
                            <w:sz w:val="20"/>
                          </w:rPr>
                        </w:pPr>
                        <w:r>
                          <w:rPr>
                            <w:w w:val="120"/>
                            <w:sz w:val="20"/>
                          </w:rPr>
                          <w:t>(in particular, in the Call of a Minister) and for non-voting attendance</w:t>
                        </w:r>
                      </w:p>
                    </w:tc>
                    <w:tc>
                      <w:tcPr>
                        <w:tcW w:w="2495" w:type="dxa"/>
                      </w:tcPr>
                      <w:p>
                        <w:pPr>
                          <w:pStyle w:val="TableParagraph"/>
                          <w:spacing w:before="107"/>
                          <w:ind w:left="79"/>
                          <w:rPr>
                            <w:sz w:val="20"/>
                          </w:rPr>
                        </w:pPr>
                        <w:r>
                          <w:rPr>
                            <w:w w:val="135"/>
                            <w:sz w:val="20"/>
                          </w:rPr>
                          <w:t>S2(1)</w:t>
                        </w:r>
                      </w:p>
                    </w:tc>
                    <w:tc>
                      <w:tcPr>
                        <w:tcW w:w="1527" w:type="dxa"/>
                      </w:tcPr>
                      <w:p>
                        <w:pPr>
                          <w:pStyle w:val="TableParagraph"/>
                          <w:spacing w:before="107"/>
                          <w:ind w:left="79"/>
                          <w:rPr>
                            <w:sz w:val="20"/>
                          </w:rPr>
                        </w:pPr>
                        <w:r>
                          <w:rPr>
                            <w:w w:val="125"/>
                            <w:sz w:val="20"/>
                          </w:rPr>
                          <w:t>5</w:t>
                        </w:r>
                      </w:p>
                    </w:tc>
                  </w:tr>
                  <w:tr>
                    <w:trPr>
                      <w:trHeight w:val="628" w:hRule="atLeast"/>
                    </w:trPr>
                    <w:tc>
                      <w:tcPr>
                        <w:tcW w:w="4809" w:type="dxa"/>
                        <w:shd w:val="clear" w:color="auto" w:fill="FFFBDC"/>
                      </w:tcPr>
                      <w:p>
                        <w:pPr>
                          <w:pStyle w:val="TableParagraph"/>
                          <w:tabs>
                            <w:tab w:pos="736" w:val="left" w:leader="none"/>
                          </w:tabs>
                          <w:spacing w:line="235" w:lineRule="auto" w:before="88"/>
                          <w:ind w:left="736" w:right="756" w:hanging="681"/>
                          <w:rPr>
                            <w:sz w:val="20"/>
                          </w:rPr>
                        </w:pPr>
                        <w:r>
                          <w:rPr>
                            <w:spacing w:val="-7"/>
                            <w:w w:val="120"/>
                            <w:sz w:val="20"/>
                          </w:rPr>
                          <w:t>c)</w:t>
                          <w:tab/>
                        </w:r>
                        <w:r>
                          <w:rPr>
                            <w:w w:val="120"/>
                            <w:sz w:val="20"/>
                          </w:rPr>
                          <w:t>provides for the membership and functions of the Elders’</w:t>
                        </w:r>
                        <w:r>
                          <w:rPr>
                            <w:spacing w:val="12"/>
                            <w:w w:val="120"/>
                            <w:sz w:val="20"/>
                          </w:rPr>
                          <w:t> </w:t>
                        </w:r>
                        <w:r>
                          <w:rPr>
                            <w:w w:val="120"/>
                            <w:sz w:val="20"/>
                          </w:rPr>
                          <w:t>Meeting</w:t>
                        </w:r>
                      </w:p>
                    </w:tc>
                    <w:tc>
                      <w:tcPr>
                        <w:tcW w:w="2495" w:type="dxa"/>
                      </w:tcPr>
                      <w:p>
                        <w:pPr>
                          <w:pStyle w:val="TableParagraph"/>
                          <w:spacing w:before="107"/>
                          <w:ind w:left="79"/>
                          <w:rPr>
                            <w:sz w:val="20"/>
                          </w:rPr>
                        </w:pPr>
                        <w:r>
                          <w:rPr>
                            <w:w w:val="135"/>
                            <w:sz w:val="20"/>
                          </w:rPr>
                          <w:t>S2(1)(viii), 2(2)</w:t>
                        </w:r>
                      </w:p>
                    </w:tc>
                    <w:tc>
                      <w:tcPr>
                        <w:tcW w:w="1527" w:type="dxa"/>
                      </w:tcPr>
                      <w:p>
                        <w:pPr>
                          <w:pStyle w:val="TableParagraph"/>
                          <w:spacing w:before="107"/>
                          <w:ind w:left="79"/>
                          <w:rPr>
                            <w:sz w:val="20"/>
                          </w:rPr>
                        </w:pPr>
                        <w:r>
                          <w:rPr>
                            <w:w w:val="125"/>
                            <w:sz w:val="20"/>
                          </w:rPr>
                          <w:t>5 and 6</w:t>
                        </w:r>
                      </w:p>
                    </w:tc>
                  </w:tr>
                  <w:tr>
                    <w:trPr>
                      <w:trHeight w:val="1348" w:hRule="atLeast"/>
                    </w:trPr>
                    <w:tc>
                      <w:tcPr>
                        <w:tcW w:w="4809" w:type="dxa"/>
                        <w:shd w:val="clear" w:color="auto" w:fill="FFFBDC"/>
                      </w:tcPr>
                      <w:p>
                        <w:pPr>
                          <w:pStyle w:val="TableParagraph"/>
                          <w:tabs>
                            <w:tab w:pos="736" w:val="left" w:leader="none"/>
                          </w:tabs>
                          <w:spacing w:line="235" w:lineRule="auto" w:before="88"/>
                          <w:ind w:left="736" w:right="205" w:hanging="681"/>
                          <w:rPr>
                            <w:sz w:val="20"/>
                          </w:rPr>
                        </w:pPr>
                        <w:r>
                          <w:rPr>
                            <w:w w:val="120"/>
                            <w:sz w:val="20"/>
                          </w:rPr>
                          <w:t>d)</w:t>
                          <w:tab/>
                          <w:t>provides for councils of the wider church, for the </w:t>
                        </w:r>
                        <w:r>
                          <w:rPr>
                            <w:spacing w:val="-3"/>
                            <w:w w:val="120"/>
                            <w:sz w:val="20"/>
                          </w:rPr>
                          <w:t>church’s </w:t>
                        </w:r>
                        <w:r>
                          <w:rPr>
                            <w:w w:val="120"/>
                            <w:sz w:val="20"/>
                          </w:rPr>
                          <w:t>direct or indirect representation upon them and for appeals from more local councils to a council having wider</w:t>
                        </w:r>
                        <w:r>
                          <w:rPr>
                            <w:spacing w:val="29"/>
                            <w:w w:val="120"/>
                            <w:sz w:val="20"/>
                          </w:rPr>
                          <w:t> </w:t>
                        </w:r>
                        <w:r>
                          <w:rPr>
                            <w:w w:val="120"/>
                            <w:sz w:val="20"/>
                          </w:rPr>
                          <w:t>responsibility</w:t>
                        </w:r>
                      </w:p>
                    </w:tc>
                    <w:tc>
                      <w:tcPr>
                        <w:tcW w:w="2495" w:type="dxa"/>
                      </w:tcPr>
                      <w:p>
                        <w:pPr>
                          <w:pStyle w:val="TableParagraph"/>
                          <w:spacing w:line="242" w:lineRule="exact" w:before="107"/>
                          <w:ind w:left="79"/>
                          <w:rPr>
                            <w:sz w:val="20"/>
                          </w:rPr>
                        </w:pPr>
                        <w:r>
                          <w:rPr>
                            <w:w w:val="135"/>
                            <w:sz w:val="20"/>
                          </w:rPr>
                          <w:t>S1(2)(a), 1(3), 2(1)(vi),</w:t>
                        </w:r>
                      </w:p>
                      <w:p>
                        <w:pPr>
                          <w:pStyle w:val="TableParagraph"/>
                          <w:spacing w:line="240" w:lineRule="exact"/>
                          <w:ind w:left="79"/>
                          <w:rPr>
                            <w:sz w:val="20"/>
                          </w:rPr>
                        </w:pPr>
                        <w:r>
                          <w:rPr>
                            <w:w w:val="135"/>
                            <w:sz w:val="20"/>
                          </w:rPr>
                          <w:t>2(3), 2(4), 2(6)</w:t>
                        </w:r>
                      </w:p>
                      <w:p>
                        <w:pPr>
                          <w:pStyle w:val="TableParagraph"/>
                          <w:spacing w:line="242" w:lineRule="exact"/>
                          <w:ind w:left="79"/>
                          <w:rPr>
                            <w:sz w:val="20"/>
                          </w:rPr>
                        </w:pPr>
                        <w:r>
                          <w:rPr>
                            <w:w w:val="125"/>
                            <w:sz w:val="20"/>
                          </w:rPr>
                          <w:t>and 5</w:t>
                        </w:r>
                      </w:p>
                    </w:tc>
                    <w:tc>
                      <w:tcPr>
                        <w:tcW w:w="1527" w:type="dxa"/>
                      </w:tcPr>
                      <w:p>
                        <w:pPr>
                          <w:pStyle w:val="TableParagraph"/>
                          <w:rPr>
                            <w:rFonts w:ascii="Times New Roman"/>
                            <w:sz w:val="20"/>
                          </w:rPr>
                        </w:pPr>
                      </w:p>
                    </w:tc>
                  </w:tr>
                  <w:tr>
                    <w:trPr>
                      <w:trHeight w:val="628" w:hRule="atLeast"/>
                    </w:trPr>
                    <w:tc>
                      <w:tcPr>
                        <w:tcW w:w="4809" w:type="dxa"/>
                        <w:shd w:val="clear" w:color="auto" w:fill="FFFBDC"/>
                      </w:tcPr>
                      <w:p>
                        <w:pPr>
                          <w:pStyle w:val="TableParagraph"/>
                          <w:tabs>
                            <w:tab w:pos="736" w:val="left" w:leader="none"/>
                          </w:tabs>
                          <w:spacing w:line="235" w:lineRule="auto" w:before="88"/>
                          <w:ind w:left="736" w:right="417" w:hanging="681"/>
                          <w:rPr>
                            <w:sz w:val="20"/>
                          </w:rPr>
                        </w:pPr>
                        <w:r>
                          <w:rPr>
                            <w:spacing w:val="-9"/>
                            <w:w w:val="120"/>
                            <w:sz w:val="20"/>
                          </w:rPr>
                          <w:t>e)</w:t>
                          <w:tab/>
                        </w:r>
                        <w:r>
                          <w:rPr>
                            <w:w w:val="120"/>
                            <w:sz w:val="20"/>
                          </w:rPr>
                          <w:t>provides for consultation in decision- making</w:t>
                        </w:r>
                      </w:p>
                    </w:tc>
                    <w:tc>
                      <w:tcPr>
                        <w:tcW w:w="2495" w:type="dxa"/>
                      </w:tcPr>
                      <w:p>
                        <w:pPr>
                          <w:pStyle w:val="TableParagraph"/>
                          <w:spacing w:before="107"/>
                          <w:ind w:left="79"/>
                          <w:rPr>
                            <w:sz w:val="20"/>
                          </w:rPr>
                        </w:pPr>
                        <w:r>
                          <w:rPr>
                            <w:w w:val="125"/>
                            <w:sz w:val="20"/>
                          </w:rPr>
                          <w:t>S4</w:t>
                        </w:r>
                      </w:p>
                    </w:tc>
                    <w:tc>
                      <w:tcPr>
                        <w:tcW w:w="1527" w:type="dxa"/>
                      </w:tcPr>
                      <w:p>
                        <w:pPr>
                          <w:pStyle w:val="TableParagraph"/>
                          <w:spacing w:before="107"/>
                          <w:ind w:left="79"/>
                          <w:rPr>
                            <w:sz w:val="20"/>
                          </w:rPr>
                        </w:pPr>
                        <w:r>
                          <w:rPr>
                            <w:w w:val="115"/>
                            <w:sz w:val="20"/>
                          </w:rPr>
                          <w:t>--</w:t>
                        </w:r>
                      </w:p>
                    </w:tc>
                  </w:tr>
                  <w:tr>
                    <w:trPr>
                      <w:trHeight w:val="868" w:hRule="atLeast"/>
                    </w:trPr>
                    <w:tc>
                      <w:tcPr>
                        <w:tcW w:w="4809" w:type="dxa"/>
                        <w:shd w:val="clear" w:color="auto" w:fill="FFFBDC"/>
                      </w:tcPr>
                      <w:p>
                        <w:pPr>
                          <w:pStyle w:val="TableParagraph"/>
                          <w:tabs>
                            <w:tab w:pos="736" w:val="left" w:leader="none"/>
                          </w:tabs>
                          <w:spacing w:line="235" w:lineRule="auto" w:before="88"/>
                          <w:ind w:left="736" w:right="742" w:hanging="681"/>
                          <w:rPr>
                            <w:sz w:val="20"/>
                          </w:rPr>
                        </w:pPr>
                        <w:r>
                          <w:rPr>
                            <w:spacing w:val="3"/>
                            <w:w w:val="125"/>
                            <w:sz w:val="20"/>
                          </w:rPr>
                          <w:t>f)</w:t>
                          <w:tab/>
                        </w:r>
                        <w:r>
                          <w:rPr>
                            <w:w w:val="125"/>
                            <w:sz w:val="20"/>
                          </w:rPr>
                          <w:t>contains (in the Basis of </w:t>
                        </w:r>
                        <w:r>
                          <w:rPr>
                            <w:spacing w:val="-3"/>
                            <w:w w:val="125"/>
                            <w:sz w:val="20"/>
                          </w:rPr>
                          <w:t>Union) </w:t>
                        </w:r>
                        <w:r>
                          <w:rPr>
                            <w:w w:val="125"/>
                            <w:sz w:val="20"/>
                          </w:rPr>
                          <w:t>a statement</w:t>
                        </w:r>
                        <w:r>
                          <w:rPr>
                            <w:spacing w:val="-34"/>
                            <w:w w:val="125"/>
                            <w:sz w:val="20"/>
                          </w:rPr>
                          <w:t> </w:t>
                        </w:r>
                        <w:r>
                          <w:rPr>
                            <w:w w:val="125"/>
                            <w:sz w:val="20"/>
                          </w:rPr>
                          <w:t>concerning</w:t>
                        </w:r>
                        <w:r>
                          <w:rPr>
                            <w:spacing w:val="-34"/>
                            <w:w w:val="125"/>
                            <w:sz w:val="20"/>
                          </w:rPr>
                          <w:t> </w:t>
                        </w:r>
                        <w:r>
                          <w:rPr>
                            <w:w w:val="125"/>
                            <w:sz w:val="20"/>
                          </w:rPr>
                          <w:t>the</w:t>
                        </w:r>
                        <w:r>
                          <w:rPr>
                            <w:spacing w:val="-33"/>
                            <w:w w:val="125"/>
                            <w:sz w:val="20"/>
                          </w:rPr>
                          <w:t> </w:t>
                        </w:r>
                        <w:r>
                          <w:rPr>
                            <w:w w:val="125"/>
                            <w:sz w:val="20"/>
                          </w:rPr>
                          <w:t>Faith</w:t>
                        </w:r>
                        <w:r>
                          <w:rPr>
                            <w:spacing w:val="-34"/>
                            <w:w w:val="125"/>
                            <w:sz w:val="20"/>
                          </w:rPr>
                          <w:t> </w:t>
                        </w:r>
                        <w:r>
                          <w:rPr>
                            <w:w w:val="125"/>
                            <w:sz w:val="20"/>
                          </w:rPr>
                          <w:t>of the United Reformed</w:t>
                        </w:r>
                        <w:r>
                          <w:rPr>
                            <w:spacing w:val="-24"/>
                            <w:w w:val="125"/>
                            <w:sz w:val="20"/>
                          </w:rPr>
                          <w:t> </w:t>
                        </w:r>
                        <w:r>
                          <w:rPr>
                            <w:w w:val="125"/>
                            <w:sz w:val="20"/>
                          </w:rPr>
                          <w:t>Church</w:t>
                        </w:r>
                      </w:p>
                    </w:tc>
                    <w:tc>
                      <w:tcPr>
                        <w:tcW w:w="2495" w:type="dxa"/>
                      </w:tcPr>
                      <w:p>
                        <w:pPr>
                          <w:pStyle w:val="TableParagraph"/>
                          <w:spacing w:before="107"/>
                          <w:ind w:left="79"/>
                          <w:rPr>
                            <w:sz w:val="20"/>
                          </w:rPr>
                        </w:pPr>
                        <w:r>
                          <w:rPr>
                            <w:w w:val="125"/>
                            <w:sz w:val="20"/>
                          </w:rPr>
                          <w:t>B10, 12-18</w:t>
                        </w:r>
                      </w:p>
                    </w:tc>
                    <w:tc>
                      <w:tcPr>
                        <w:tcW w:w="1527" w:type="dxa"/>
                      </w:tcPr>
                      <w:p>
                        <w:pPr>
                          <w:pStyle w:val="TableParagraph"/>
                          <w:spacing w:before="107"/>
                          <w:ind w:left="79"/>
                          <w:rPr>
                            <w:sz w:val="20"/>
                          </w:rPr>
                        </w:pPr>
                        <w:r>
                          <w:rPr>
                            <w:w w:val="115"/>
                            <w:sz w:val="20"/>
                          </w:rPr>
                          <w:t>--</w:t>
                        </w:r>
                      </w:p>
                    </w:tc>
                  </w:tr>
                  <w:tr>
                    <w:trPr>
                      <w:trHeight w:val="628" w:hRule="atLeast"/>
                    </w:trPr>
                    <w:tc>
                      <w:tcPr>
                        <w:tcW w:w="4809" w:type="dxa"/>
                        <w:shd w:val="clear" w:color="auto" w:fill="FFFBDC"/>
                      </w:tcPr>
                      <w:p>
                        <w:pPr>
                          <w:pStyle w:val="TableParagraph"/>
                          <w:tabs>
                            <w:tab w:pos="736" w:val="left" w:leader="none"/>
                          </w:tabs>
                          <w:spacing w:line="235" w:lineRule="auto" w:before="87"/>
                          <w:ind w:left="736" w:right="688" w:hanging="681"/>
                          <w:rPr>
                            <w:sz w:val="20"/>
                          </w:rPr>
                        </w:pPr>
                        <w:r>
                          <w:rPr>
                            <w:spacing w:val="-4"/>
                            <w:w w:val="120"/>
                            <w:sz w:val="20"/>
                          </w:rPr>
                          <w:t>g)</w:t>
                          <w:tab/>
                        </w:r>
                        <w:r>
                          <w:rPr>
                            <w:w w:val="120"/>
                            <w:sz w:val="20"/>
                          </w:rPr>
                          <w:t>provides for the celebration of the Gospel</w:t>
                        </w:r>
                        <w:r>
                          <w:rPr>
                            <w:spacing w:val="2"/>
                            <w:w w:val="120"/>
                            <w:sz w:val="20"/>
                          </w:rPr>
                          <w:t> </w:t>
                        </w:r>
                        <w:r>
                          <w:rPr>
                            <w:w w:val="120"/>
                            <w:sz w:val="20"/>
                          </w:rPr>
                          <w:t>sacraments</w:t>
                        </w:r>
                      </w:p>
                    </w:tc>
                    <w:tc>
                      <w:tcPr>
                        <w:tcW w:w="2495" w:type="dxa"/>
                      </w:tcPr>
                      <w:p>
                        <w:pPr>
                          <w:pStyle w:val="TableParagraph"/>
                          <w:spacing w:line="235" w:lineRule="auto" w:before="111"/>
                          <w:ind w:left="79" w:right="274"/>
                          <w:rPr>
                            <w:sz w:val="20"/>
                          </w:rPr>
                        </w:pPr>
                        <w:r>
                          <w:rPr>
                            <w:spacing w:val="-8"/>
                            <w:w w:val="130"/>
                            <w:sz w:val="20"/>
                          </w:rPr>
                          <w:t>B14, </w:t>
                        </w:r>
                        <w:r>
                          <w:rPr>
                            <w:spacing w:val="-9"/>
                            <w:w w:val="130"/>
                            <w:sz w:val="20"/>
                          </w:rPr>
                          <w:t>15; </w:t>
                        </w:r>
                        <w:r>
                          <w:rPr>
                            <w:spacing w:val="-5"/>
                            <w:w w:val="130"/>
                            <w:sz w:val="20"/>
                          </w:rPr>
                          <w:t>S2(2)(ii), </w:t>
                        </w:r>
                        <w:r>
                          <w:rPr>
                            <w:spacing w:val="-9"/>
                            <w:w w:val="130"/>
                            <w:sz w:val="20"/>
                          </w:rPr>
                          <w:t>2(4) </w:t>
                        </w:r>
                        <w:r>
                          <w:rPr>
                            <w:spacing w:val="-5"/>
                            <w:w w:val="130"/>
                            <w:sz w:val="20"/>
                          </w:rPr>
                          <w:t>(A)(xx)</w:t>
                        </w:r>
                      </w:p>
                    </w:tc>
                    <w:tc>
                      <w:tcPr>
                        <w:tcW w:w="1527" w:type="dxa"/>
                      </w:tcPr>
                      <w:p>
                        <w:pPr>
                          <w:pStyle w:val="TableParagraph"/>
                          <w:spacing w:before="107"/>
                          <w:ind w:left="79"/>
                          <w:rPr>
                            <w:sz w:val="20"/>
                          </w:rPr>
                        </w:pPr>
                        <w:r>
                          <w:rPr>
                            <w:w w:val="115"/>
                            <w:sz w:val="20"/>
                          </w:rPr>
                          <w:t>--</w:t>
                        </w:r>
                      </w:p>
                    </w:tc>
                  </w:tr>
                  <w:tr>
                    <w:trPr>
                      <w:trHeight w:val="1108" w:hRule="atLeast"/>
                    </w:trPr>
                    <w:tc>
                      <w:tcPr>
                        <w:tcW w:w="4809" w:type="dxa"/>
                        <w:shd w:val="clear" w:color="auto" w:fill="FFFBDC"/>
                      </w:tcPr>
                      <w:p>
                        <w:pPr>
                          <w:pStyle w:val="TableParagraph"/>
                          <w:tabs>
                            <w:tab w:pos="736" w:val="left" w:leader="none"/>
                          </w:tabs>
                          <w:spacing w:line="235" w:lineRule="auto" w:before="87"/>
                          <w:ind w:left="736" w:right="354" w:hanging="681"/>
                          <w:rPr>
                            <w:sz w:val="20"/>
                          </w:rPr>
                        </w:pPr>
                        <w:r>
                          <w:rPr>
                            <w:spacing w:val="-9"/>
                            <w:w w:val="120"/>
                            <w:sz w:val="20"/>
                          </w:rPr>
                          <w:t>h)</w:t>
                          <w:tab/>
                        </w:r>
                        <w:r>
                          <w:rPr>
                            <w:w w:val="120"/>
                            <w:sz w:val="20"/>
                          </w:rPr>
                          <w:t>provides for the ministry of Word and Sacrament, for the ministry of other Elders, and for Ministers’ and Elders’ ordination and</w:t>
                        </w:r>
                        <w:r>
                          <w:rPr>
                            <w:spacing w:val="7"/>
                            <w:w w:val="120"/>
                            <w:sz w:val="20"/>
                          </w:rPr>
                          <w:t> </w:t>
                        </w:r>
                        <w:r>
                          <w:rPr>
                            <w:w w:val="120"/>
                            <w:sz w:val="20"/>
                          </w:rPr>
                          <w:t>induction</w:t>
                        </w:r>
                      </w:p>
                    </w:tc>
                    <w:tc>
                      <w:tcPr>
                        <w:tcW w:w="2495" w:type="dxa"/>
                      </w:tcPr>
                      <w:p>
                        <w:pPr>
                          <w:pStyle w:val="TableParagraph"/>
                          <w:spacing w:line="242" w:lineRule="exact" w:before="107"/>
                          <w:ind w:left="79"/>
                          <w:rPr>
                            <w:sz w:val="20"/>
                          </w:rPr>
                        </w:pPr>
                        <w:r>
                          <w:rPr>
                            <w:w w:val="125"/>
                            <w:sz w:val="20"/>
                          </w:rPr>
                          <w:t>B19, 20, 21, 23, 25;</w:t>
                        </w:r>
                      </w:p>
                      <w:p>
                        <w:pPr>
                          <w:pStyle w:val="TableParagraph"/>
                          <w:spacing w:line="240" w:lineRule="exact"/>
                          <w:ind w:left="79"/>
                          <w:rPr>
                            <w:sz w:val="20"/>
                          </w:rPr>
                        </w:pPr>
                        <w:r>
                          <w:rPr>
                            <w:spacing w:val="-6"/>
                            <w:w w:val="135"/>
                            <w:sz w:val="20"/>
                          </w:rPr>
                          <w:t>S2(1)(vii), </w:t>
                        </w:r>
                        <w:r>
                          <w:rPr>
                            <w:spacing w:val="-7"/>
                            <w:w w:val="135"/>
                            <w:sz w:val="20"/>
                          </w:rPr>
                          <w:t>2(2), </w:t>
                        </w:r>
                        <w:r>
                          <w:rPr>
                            <w:spacing w:val="-8"/>
                            <w:w w:val="135"/>
                            <w:sz w:val="20"/>
                          </w:rPr>
                          <w:t>2(4)(A)</w:t>
                        </w:r>
                      </w:p>
                      <w:p>
                        <w:pPr>
                          <w:pStyle w:val="TableParagraph"/>
                          <w:spacing w:line="242" w:lineRule="exact"/>
                          <w:ind w:left="79"/>
                          <w:rPr>
                            <w:sz w:val="20"/>
                          </w:rPr>
                        </w:pPr>
                        <w:r>
                          <w:rPr>
                            <w:w w:val="130"/>
                            <w:sz w:val="20"/>
                          </w:rPr>
                          <w:t>(vii)</w:t>
                        </w:r>
                      </w:p>
                    </w:tc>
                    <w:tc>
                      <w:tcPr>
                        <w:tcW w:w="1527" w:type="dxa"/>
                      </w:tcPr>
                      <w:p>
                        <w:pPr>
                          <w:pStyle w:val="TableParagraph"/>
                          <w:spacing w:before="5"/>
                          <w:rPr>
                            <w:sz w:val="28"/>
                          </w:rPr>
                        </w:pPr>
                      </w:p>
                      <w:p>
                        <w:pPr>
                          <w:pStyle w:val="TableParagraph"/>
                          <w:ind w:left="79"/>
                          <w:rPr>
                            <w:sz w:val="20"/>
                          </w:rPr>
                        </w:pPr>
                        <w:r>
                          <w:rPr>
                            <w:w w:val="125"/>
                            <w:sz w:val="20"/>
                          </w:rPr>
                          <w:t>5</w:t>
                        </w:r>
                      </w:p>
                    </w:tc>
                  </w:tr>
                  <w:tr>
                    <w:trPr>
                      <w:trHeight w:val="868" w:hRule="atLeast"/>
                    </w:trPr>
                    <w:tc>
                      <w:tcPr>
                        <w:tcW w:w="4809" w:type="dxa"/>
                        <w:shd w:val="clear" w:color="auto" w:fill="FFFBDC"/>
                      </w:tcPr>
                      <w:p>
                        <w:pPr>
                          <w:pStyle w:val="TableParagraph"/>
                          <w:tabs>
                            <w:tab w:pos="736" w:val="left" w:leader="none"/>
                          </w:tabs>
                          <w:spacing w:line="235" w:lineRule="auto" w:before="87"/>
                          <w:ind w:left="736" w:right="479" w:hanging="681"/>
                          <w:jc w:val="both"/>
                          <w:rPr>
                            <w:sz w:val="20"/>
                          </w:rPr>
                        </w:pPr>
                        <w:r>
                          <w:rPr>
                            <w:w w:val="120"/>
                            <w:sz w:val="20"/>
                          </w:rPr>
                          <w:t>i)</w:t>
                          <w:tab/>
                          <w:t>provides for the ministry of Church- Related Community Workers and for their commissioning and</w:t>
                        </w:r>
                        <w:r>
                          <w:rPr>
                            <w:spacing w:val="33"/>
                            <w:w w:val="120"/>
                            <w:sz w:val="20"/>
                          </w:rPr>
                          <w:t> </w:t>
                        </w:r>
                        <w:r>
                          <w:rPr>
                            <w:w w:val="120"/>
                            <w:sz w:val="20"/>
                          </w:rPr>
                          <w:t>induction</w:t>
                        </w:r>
                      </w:p>
                    </w:tc>
                    <w:tc>
                      <w:tcPr>
                        <w:tcW w:w="2495" w:type="dxa"/>
                      </w:tcPr>
                      <w:p>
                        <w:pPr>
                          <w:pStyle w:val="TableParagraph"/>
                          <w:spacing w:line="235" w:lineRule="auto" w:before="110"/>
                          <w:ind w:left="79"/>
                          <w:rPr>
                            <w:sz w:val="20"/>
                          </w:rPr>
                        </w:pPr>
                        <w:r>
                          <w:rPr>
                            <w:spacing w:val="-10"/>
                            <w:w w:val="130"/>
                            <w:sz w:val="20"/>
                          </w:rPr>
                          <w:t>B19, </w:t>
                        </w:r>
                        <w:r>
                          <w:rPr>
                            <w:w w:val="130"/>
                            <w:sz w:val="20"/>
                          </w:rPr>
                          <w:t>22; </w:t>
                        </w:r>
                        <w:r>
                          <w:rPr>
                            <w:spacing w:val="-6"/>
                            <w:w w:val="130"/>
                            <w:sz w:val="20"/>
                          </w:rPr>
                          <w:t>S2(1)(vii), </w:t>
                        </w:r>
                        <w:r>
                          <w:rPr>
                            <w:spacing w:val="-7"/>
                            <w:w w:val="130"/>
                            <w:sz w:val="20"/>
                          </w:rPr>
                          <w:t>2(2), </w:t>
                        </w:r>
                        <w:r>
                          <w:rPr>
                            <w:spacing w:val="-6"/>
                            <w:w w:val="130"/>
                            <w:sz w:val="20"/>
                          </w:rPr>
                          <w:t>2(4)(A)(vii)</w:t>
                        </w:r>
                      </w:p>
                    </w:tc>
                    <w:tc>
                      <w:tcPr>
                        <w:tcW w:w="1527" w:type="dxa"/>
                      </w:tcPr>
                      <w:p>
                        <w:pPr>
                          <w:pStyle w:val="TableParagraph"/>
                          <w:spacing w:before="107"/>
                          <w:ind w:left="79"/>
                          <w:rPr>
                            <w:sz w:val="20"/>
                          </w:rPr>
                        </w:pPr>
                        <w:r>
                          <w:rPr>
                            <w:w w:val="115"/>
                            <w:sz w:val="20"/>
                          </w:rPr>
                          <w:t>--</w:t>
                        </w:r>
                      </w:p>
                    </w:tc>
                  </w:tr>
                  <w:tr>
                    <w:trPr>
                      <w:trHeight w:val="868" w:hRule="atLeast"/>
                    </w:trPr>
                    <w:tc>
                      <w:tcPr>
                        <w:tcW w:w="4809" w:type="dxa"/>
                        <w:shd w:val="clear" w:color="auto" w:fill="FFFBDC"/>
                      </w:tcPr>
                      <w:p>
                        <w:pPr>
                          <w:pStyle w:val="TableParagraph"/>
                          <w:tabs>
                            <w:tab w:pos="736" w:val="left" w:leader="none"/>
                          </w:tabs>
                          <w:spacing w:line="235" w:lineRule="auto" w:before="87"/>
                          <w:ind w:left="736" w:right="291" w:hanging="681"/>
                          <w:rPr>
                            <w:sz w:val="20"/>
                          </w:rPr>
                        </w:pPr>
                        <w:r>
                          <w:rPr>
                            <w:w w:val="120"/>
                            <w:sz w:val="20"/>
                          </w:rPr>
                          <w:t>j)</w:t>
                          <w:tab/>
                          <w:t>provides for the admission of baptised persons to the full privileges and responsibilities of church</w:t>
                        </w:r>
                        <w:r>
                          <w:rPr>
                            <w:spacing w:val="19"/>
                            <w:w w:val="120"/>
                            <w:sz w:val="20"/>
                          </w:rPr>
                          <w:t> </w:t>
                        </w:r>
                        <w:r>
                          <w:rPr>
                            <w:w w:val="120"/>
                            <w:sz w:val="20"/>
                          </w:rPr>
                          <w:t>membership</w:t>
                        </w:r>
                      </w:p>
                    </w:tc>
                    <w:tc>
                      <w:tcPr>
                        <w:tcW w:w="2495" w:type="dxa"/>
                      </w:tcPr>
                      <w:p>
                        <w:pPr>
                          <w:pStyle w:val="TableParagraph"/>
                          <w:spacing w:before="106"/>
                          <w:ind w:left="79"/>
                          <w:rPr>
                            <w:sz w:val="20"/>
                          </w:rPr>
                        </w:pPr>
                        <w:r>
                          <w:rPr>
                            <w:w w:val="130"/>
                            <w:sz w:val="20"/>
                          </w:rPr>
                          <w:t>B14; S2(1)(ix), 2(2)(vi)</w:t>
                        </w:r>
                      </w:p>
                    </w:tc>
                    <w:tc>
                      <w:tcPr>
                        <w:tcW w:w="1527" w:type="dxa"/>
                      </w:tcPr>
                      <w:p>
                        <w:pPr>
                          <w:pStyle w:val="TableParagraph"/>
                          <w:spacing w:before="106"/>
                          <w:ind w:left="79"/>
                          <w:rPr>
                            <w:sz w:val="20"/>
                          </w:rPr>
                        </w:pPr>
                        <w:r>
                          <w:rPr>
                            <w:w w:val="125"/>
                            <w:sz w:val="20"/>
                          </w:rPr>
                          <w:t>4</w:t>
                        </w:r>
                      </w:p>
                    </w:tc>
                  </w:tr>
                </w:tbl>
                <w:p>
                  <w:pPr>
                    <w:pStyle w:val="BodyText"/>
                  </w:pPr>
                </w:p>
              </w:txbxContent>
            </v:textbox>
          </v:shape>
        </w:pict>
      </w:r>
      <w:r>
        <w:rPr/>
      </w:r>
    </w:p>
    <w:p>
      <w:pPr>
        <w:pStyle w:val="BodyText"/>
        <w:spacing w:before="10"/>
        <w:rPr>
          <w:sz w:val="5"/>
        </w:rPr>
      </w:pPr>
    </w:p>
    <w:p>
      <w:pPr>
        <w:pStyle w:val="BodyText"/>
        <w:spacing w:before="100"/>
        <w:ind w:left="1133"/>
      </w:pPr>
      <w:r>
        <w:rPr>
          <w:w w:val="120"/>
        </w:rPr>
        <w:t>This constitution makes further provision for these matters in the clauses indicated.</w:t>
      </w:r>
    </w:p>
    <w:p>
      <w:pPr>
        <w:numPr>
          <w:ilvl w:val="0"/>
          <w:numId w:val="93"/>
        </w:numPr>
        <w:tabs>
          <w:tab w:pos="1853" w:val="left" w:leader="none"/>
          <w:tab w:pos="1854" w:val="left" w:leader="none"/>
        </w:tabs>
        <w:spacing w:before="214"/>
        <w:ind w:left="1853" w:right="0" w:hanging="721"/>
        <w:jc w:val="left"/>
        <w:rPr>
          <w:rFonts w:ascii="Stone Sans II ITC Std Bk"/>
          <w:b/>
          <w:sz w:val="21"/>
        </w:rPr>
      </w:pPr>
      <w:r>
        <w:rPr>
          <w:rFonts w:ascii="Stone Sans II ITC Std Bk"/>
          <w:b/>
          <w:w w:val="115"/>
          <w:sz w:val="21"/>
        </w:rPr>
        <w:t>Property trusts and</w:t>
      </w:r>
      <w:r>
        <w:rPr>
          <w:rFonts w:ascii="Stone Sans II ITC Std Bk"/>
          <w:b/>
          <w:spacing w:val="-5"/>
          <w:w w:val="115"/>
          <w:sz w:val="21"/>
        </w:rPr>
        <w:t> </w:t>
      </w:r>
      <w:r>
        <w:rPr>
          <w:rFonts w:ascii="Stone Sans II ITC Std Bk"/>
          <w:b/>
          <w:w w:val="115"/>
          <w:sz w:val="21"/>
        </w:rPr>
        <w:t>administration</w:t>
      </w:r>
    </w:p>
    <w:p>
      <w:pPr>
        <w:pStyle w:val="ListParagraph"/>
        <w:numPr>
          <w:ilvl w:val="1"/>
          <w:numId w:val="93"/>
        </w:numPr>
        <w:tabs>
          <w:tab w:pos="1814" w:val="left" w:leader="none"/>
          <w:tab w:pos="1815" w:val="left" w:leader="none"/>
        </w:tabs>
        <w:spacing w:line="235" w:lineRule="auto" w:before="223" w:after="0"/>
        <w:ind w:left="1133" w:right="2307" w:firstLine="0"/>
        <w:jc w:val="left"/>
        <w:rPr>
          <w:sz w:val="20"/>
        </w:rPr>
      </w:pPr>
      <w:r>
        <w:rPr>
          <w:w w:val="120"/>
          <w:sz w:val="20"/>
        </w:rPr>
        <w:t>Property is held upon trust for purposes which include the charitable purposes of the church. This</w:t>
      </w:r>
      <w:r>
        <w:rPr>
          <w:spacing w:val="8"/>
          <w:w w:val="120"/>
          <w:sz w:val="20"/>
        </w:rPr>
        <w:t> </w:t>
      </w:r>
      <w:r>
        <w:rPr>
          <w:w w:val="120"/>
          <w:sz w:val="20"/>
        </w:rPr>
        <w:t>includes:</w:t>
      </w:r>
    </w:p>
    <w:p>
      <w:pPr>
        <w:pStyle w:val="BodyText"/>
        <w:tabs>
          <w:tab w:pos="1814" w:val="left" w:leader="none"/>
        </w:tabs>
        <w:spacing w:line="223" w:lineRule="auto" w:before="11"/>
        <w:ind w:left="1814" w:right="2305" w:hanging="681"/>
      </w:pPr>
      <w:r>
        <w:rPr>
          <w:spacing w:val="-7"/>
          <w:w w:val="120"/>
        </w:rPr>
        <w:t>a)</w:t>
        <w:tab/>
      </w:r>
      <w:r>
        <w:rPr>
          <w:w w:val="120"/>
        </w:rPr>
        <w:t>land and buildings governed by trusts set out in Schedule 2 to the United Reformed Church </w:t>
      </w:r>
      <w:r>
        <w:rPr>
          <w:spacing w:val="2"/>
          <w:w w:val="120"/>
        </w:rPr>
        <w:t>Acts </w:t>
      </w:r>
      <w:r>
        <w:rPr>
          <w:spacing w:val="-7"/>
          <w:w w:val="120"/>
        </w:rPr>
        <w:t>1972 </w:t>
      </w:r>
      <w:r>
        <w:rPr>
          <w:w w:val="120"/>
        </w:rPr>
        <w:t>and </w:t>
      </w:r>
      <w:r>
        <w:rPr>
          <w:spacing w:val="-7"/>
          <w:w w:val="120"/>
        </w:rPr>
        <w:t>1981 </w:t>
      </w:r>
      <w:r>
        <w:rPr>
          <w:w w:val="120"/>
        </w:rPr>
        <w:t>(‘the URC Acts’), which provide that the statutory power of appointing new trustees and certain powers of direction are vested in the Church</w:t>
      </w:r>
      <w:r>
        <w:rPr>
          <w:spacing w:val="9"/>
          <w:w w:val="120"/>
        </w:rPr>
        <w:t> </w:t>
      </w:r>
      <w:r>
        <w:rPr>
          <w:spacing w:val="-3"/>
          <w:w w:val="120"/>
        </w:rPr>
        <w:t>Meeting</w:t>
      </w:r>
      <w:r>
        <w:rPr>
          <w:spacing w:val="-3"/>
          <w:w w:val="120"/>
          <w:position w:val="4"/>
        </w:rPr>
        <w:t>1</w:t>
      </w:r>
      <w:r>
        <w:rPr>
          <w:spacing w:val="-3"/>
          <w:w w:val="120"/>
        </w:rPr>
        <w:t>.</w:t>
      </w:r>
    </w:p>
    <w:p>
      <w:pPr>
        <w:pStyle w:val="BodyText"/>
        <w:spacing w:line="241" w:lineRule="exact"/>
        <w:ind w:left="1133"/>
      </w:pPr>
      <w:r>
        <w:rPr>
          <w:w w:val="135"/>
        </w:rPr>
        <w:t>b)</w:t>
      </w:r>
    </w:p>
    <w:p>
      <w:pPr>
        <w:spacing w:line="235" w:lineRule="auto" w:before="1"/>
        <w:ind w:left="1133" w:right="1997" w:firstLine="0"/>
        <w:jc w:val="left"/>
        <w:rPr>
          <w:sz w:val="20"/>
        </w:rPr>
      </w:pPr>
      <w:r>
        <w:rPr>
          <w:w w:val="110"/>
          <w:sz w:val="20"/>
        </w:rPr>
        <w:t>[</w:t>
      </w:r>
      <w:r>
        <w:rPr>
          <w:i/>
          <w:w w:val="110"/>
          <w:sz w:val="20"/>
        </w:rPr>
        <w:t>Use this wording if your general funds are registered as a charity and the Church Meeting has </w:t>
      </w:r>
      <w:r>
        <w:rPr>
          <w:i/>
          <w:w w:val="110"/>
          <w:sz w:val="20"/>
        </w:rPr>
        <w:t>passed the declaratory resolution agreed with the Charity Commission for that purpose</w:t>
      </w:r>
      <w:r>
        <w:rPr>
          <w:w w:val="110"/>
          <w:sz w:val="20"/>
        </w:rPr>
        <w:t>]</w:t>
      </w:r>
    </w:p>
    <w:p>
      <w:pPr>
        <w:pStyle w:val="BodyText"/>
        <w:spacing w:before="7"/>
      </w:pPr>
    </w:p>
    <w:p>
      <w:pPr>
        <w:pStyle w:val="BodyText"/>
        <w:spacing w:line="223" w:lineRule="auto"/>
        <w:ind w:left="1814" w:right="2191"/>
        <w:rPr>
          <w:sz w:val="16"/>
        </w:rPr>
      </w:pPr>
      <w:r>
        <w:rPr>
          <w:w w:val="120"/>
        </w:rPr>
        <w:t>The general funds of the church, governed by trusts declared in a resolution of the Church Meeting on </w:t>
      </w:r>
      <w:r>
        <w:rPr>
          <w:i/>
          <w:w w:val="120"/>
        </w:rPr>
        <w:t>(date)</w:t>
      </w:r>
      <w:r>
        <w:rPr>
          <w:w w:val="120"/>
        </w:rPr>
        <w:t>, which provides that the qualified members of the Elders’ Meeting are charity trustees</w:t>
      </w:r>
      <w:r>
        <w:rPr>
          <w:w w:val="120"/>
          <w:position w:val="4"/>
        </w:rPr>
        <w:t>2 </w:t>
      </w:r>
      <w:r>
        <w:rPr>
          <w:w w:val="120"/>
        </w:rPr>
        <w:t>and that trustees are to act in accordance with procedures laid down by the Church Meeting</w:t>
      </w:r>
      <w:r>
        <w:rPr>
          <w:w w:val="120"/>
          <w:sz w:val="16"/>
        </w:rPr>
        <w:t>.</w:t>
      </w:r>
    </w:p>
    <w:p>
      <w:pPr>
        <w:pStyle w:val="BodyText"/>
        <w:spacing w:before="10"/>
        <w:rPr>
          <w:sz w:val="22"/>
        </w:rPr>
      </w:pPr>
    </w:p>
    <w:p>
      <w:pPr>
        <w:spacing w:before="0"/>
        <w:ind w:left="1133" w:right="0" w:firstLine="0"/>
        <w:jc w:val="left"/>
        <w:rPr>
          <w:sz w:val="20"/>
        </w:rPr>
      </w:pPr>
      <w:r>
        <w:rPr>
          <w:w w:val="110"/>
          <w:sz w:val="20"/>
        </w:rPr>
        <w:t>[</w:t>
      </w:r>
      <w:r>
        <w:rPr>
          <w:i/>
          <w:w w:val="110"/>
          <w:sz w:val="20"/>
        </w:rPr>
        <w:t>Use this wording otherwise</w:t>
      </w:r>
      <w:r>
        <w:rPr>
          <w:w w:val="110"/>
          <w:sz w:val="20"/>
        </w:rPr>
        <w:t>]</w:t>
      </w:r>
    </w:p>
    <w:p>
      <w:pPr>
        <w:pStyle w:val="BodyText"/>
        <w:spacing w:line="235" w:lineRule="auto" w:before="120"/>
        <w:ind w:left="1842" w:right="2545" w:hanging="81"/>
      </w:pPr>
      <w:r>
        <w:rPr>
          <w:w w:val="120"/>
        </w:rPr>
        <w:t>The general funds of the church, comprising all assets and funds held by and on</w:t>
      </w:r>
      <w:r>
        <w:rPr>
          <w:spacing w:val="7"/>
          <w:w w:val="120"/>
        </w:rPr>
        <w:t> </w:t>
      </w:r>
      <w:r>
        <w:rPr>
          <w:w w:val="120"/>
        </w:rPr>
        <w:t>behalf</w:t>
      </w:r>
      <w:r>
        <w:rPr>
          <w:spacing w:val="8"/>
          <w:w w:val="120"/>
        </w:rPr>
        <w:t> </w:t>
      </w:r>
      <w:r>
        <w:rPr>
          <w:w w:val="120"/>
        </w:rPr>
        <w:t>of</w:t>
      </w:r>
      <w:r>
        <w:rPr>
          <w:spacing w:val="8"/>
          <w:w w:val="120"/>
        </w:rPr>
        <w:t> </w:t>
      </w:r>
      <w:r>
        <w:rPr>
          <w:w w:val="120"/>
        </w:rPr>
        <w:t>the</w:t>
      </w:r>
      <w:r>
        <w:rPr>
          <w:spacing w:val="8"/>
          <w:w w:val="120"/>
        </w:rPr>
        <w:t> </w:t>
      </w:r>
      <w:r>
        <w:rPr>
          <w:w w:val="120"/>
        </w:rPr>
        <w:t>church</w:t>
      </w:r>
      <w:r>
        <w:rPr>
          <w:spacing w:val="8"/>
          <w:w w:val="120"/>
        </w:rPr>
        <w:t> </w:t>
      </w:r>
      <w:r>
        <w:rPr>
          <w:spacing w:val="-3"/>
          <w:w w:val="120"/>
        </w:rPr>
        <w:t>(other</w:t>
      </w:r>
      <w:r>
        <w:rPr>
          <w:spacing w:val="7"/>
          <w:w w:val="120"/>
        </w:rPr>
        <w:t> </w:t>
      </w:r>
      <w:r>
        <w:rPr>
          <w:w w:val="120"/>
        </w:rPr>
        <w:t>than</w:t>
      </w:r>
      <w:r>
        <w:rPr>
          <w:spacing w:val="8"/>
          <w:w w:val="120"/>
        </w:rPr>
        <w:t> </w:t>
      </w:r>
      <w:r>
        <w:rPr>
          <w:w w:val="120"/>
        </w:rPr>
        <w:t>land</w:t>
      </w:r>
      <w:r>
        <w:rPr>
          <w:spacing w:val="8"/>
          <w:w w:val="120"/>
        </w:rPr>
        <w:t> </w:t>
      </w:r>
      <w:r>
        <w:rPr>
          <w:w w:val="120"/>
        </w:rPr>
        <w:t>and</w:t>
      </w:r>
      <w:r>
        <w:rPr>
          <w:spacing w:val="8"/>
          <w:w w:val="120"/>
        </w:rPr>
        <w:t> </w:t>
      </w:r>
      <w:r>
        <w:rPr>
          <w:w w:val="120"/>
        </w:rPr>
        <w:t>buildings</w:t>
      </w:r>
      <w:r>
        <w:rPr>
          <w:spacing w:val="8"/>
          <w:w w:val="120"/>
        </w:rPr>
        <w:t> </w:t>
      </w:r>
      <w:r>
        <w:rPr>
          <w:w w:val="120"/>
        </w:rPr>
        <w:t>held</w:t>
      </w:r>
      <w:r>
        <w:rPr>
          <w:spacing w:val="8"/>
          <w:w w:val="120"/>
        </w:rPr>
        <w:t> </w:t>
      </w:r>
      <w:r>
        <w:rPr>
          <w:w w:val="120"/>
        </w:rPr>
        <w:t>under</w:t>
      </w:r>
      <w:r>
        <w:rPr>
          <w:spacing w:val="7"/>
          <w:w w:val="120"/>
        </w:rPr>
        <w:t> </w:t>
      </w:r>
      <w:r>
        <w:rPr>
          <w:w w:val="120"/>
        </w:rPr>
        <w:t>the</w:t>
      </w:r>
      <w:r>
        <w:rPr>
          <w:spacing w:val="8"/>
          <w:w w:val="120"/>
        </w:rPr>
        <w:t> </w:t>
      </w:r>
      <w:r>
        <w:rPr>
          <w:w w:val="120"/>
        </w:rPr>
        <w:t>trusts</w:t>
      </w:r>
    </w:p>
    <w:p>
      <w:pPr>
        <w:pStyle w:val="BodyText"/>
        <w:spacing w:before="5"/>
        <w:rPr>
          <w:sz w:val="13"/>
        </w:rPr>
      </w:pPr>
      <w:r>
        <w:rPr/>
        <w:pict>
          <v:shape style="position:absolute;margin-left:39.684998pt;margin-top:10.429064pt;width:82.25pt;height:.1pt;mso-position-horizontal-relative:page;mso-position-vertical-relative:paragraph;z-index:-251403264;mso-wrap-distance-left:0;mso-wrap-distance-right:0" coordorigin="794,209" coordsize="1645,0" path="m794,209l2438,209e" filled="false" stroked="true" strokeweight=".5pt" strokecolor="#000000">
            <v:path arrowok="t"/>
            <v:stroke dashstyle="solid"/>
            <w10:wrap type="topAndBottom"/>
          </v:shape>
        </w:pict>
      </w:r>
    </w:p>
    <w:p>
      <w:pPr>
        <w:pStyle w:val="ListParagraph"/>
        <w:numPr>
          <w:ilvl w:val="0"/>
          <w:numId w:val="94"/>
        </w:numPr>
        <w:tabs>
          <w:tab w:pos="1247" w:val="left" w:leader="none"/>
          <w:tab w:pos="1248" w:val="left" w:leader="none"/>
        </w:tabs>
        <w:spacing w:line="240" w:lineRule="auto" w:before="46" w:after="0"/>
        <w:ind w:left="1247" w:right="2304" w:hanging="454"/>
        <w:jc w:val="left"/>
        <w:rPr>
          <w:sz w:val="18"/>
        </w:rPr>
      </w:pPr>
      <w:r>
        <w:rPr>
          <w:w w:val="120"/>
          <w:sz w:val="18"/>
        </w:rPr>
        <w:t>A small number of properties are held by local churches on special trusts which fall outside the URC </w:t>
      </w:r>
      <w:r>
        <w:rPr>
          <w:spacing w:val="2"/>
          <w:w w:val="120"/>
          <w:sz w:val="18"/>
        </w:rPr>
        <w:t>Acts. </w:t>
      </w:r>
      <w:r>
        <w:rPr>
          <w:w w:val="120"/>
          <w:sz w:val="18"/>
        </w:rPr>
        <w:t>If in doubt, Churches should contact their Synod Office for</w:t>
      </w:r>
      <w:r>
        <w:rPr>
          <w:spacing w:val="31"/>
          <w:w w:val="120"/>
          <w:sz w:val="18"/>
        </w:rPr>
        <w:t> </w:t>
      </w:r>
      <w:r>
        <w:rPr>
          <w:w w:val="120"/>
          <w:sz w:val="18"/>
        </w:rPr>
        <w:t>advice.</w:t>
      </w:r>
    </w:p>
    <w:p>
      <w:pPr>
        <w:pStyle w:val="ListParagraph"/>
        <w:numPr>
          <w:ilvl w:val="0"/>
          <w:numId w:val="94"/>
        </w:numPr>
        <w:tabs>
          <w:tab w:pos="1247" w:val="left" w:leader="none"/>
          <w:tab w:pos="1248" w:val="left" w:leader="none"/>
        </w:tabs>
        <w:spacing w:line="240" w:lineRule="auto" w:before="0" w:after="0"/>
        <w:ind w:left="1247" w:right="0" w:hanging="455"/>
        <w:jc w:val="left"/>
        <w:rPr>
          <w:sz w:val="18"/>
        </w:rPr>
      </w:pPr>
      <w:r>
        <w:rPr>
          <w:w w:val="120"/>
          <w:sz w:val="18"/>
        </w:rPr>
        <w:t>Consult your Synod Trust office for advice if this is not the</w:t>
      </w:r>
      <w:r>
        <w:rPr>
          <w:spacing w:val="15"/>
          <w:w w:val="120"/>
          <w:sz w:val="18"/>
        </w:rPr>
        <w:t> </w:t>
      </w:r>
      <w:r>
        <w:rPr>
          <w:w w:val="120"/>
          <w:sz w:val="18"/>
        </w:rPr>
        <w:t>case</w:t>
      </w:r>
    </w:p>
    <w:p>
      <w:pPr>
        <w:spacing w:after="0" w:line="240" w:lineRule="auto"/>
        <w:jc w:val="left"/>
        <w:rPr>
          <w:sz w:val="18"/>
        </w:rPr>
        <w:sectPr>
          <w:headerReference w:type="even" r:id="rId200"/>
          <w:headerReference w:type="default" r:id="rId201"/>
          <w:footerReference w:type="even" r:id="rId202"/>
          <w:footerReference w:type="default" r:id="rId203"/>
          <w:pgSz w:w="11910" w:h="16840"/>
          <w:pgMar w:header="0" w:footer="647" w:top="1120" w:bottom="840" w:left="0" w:right="0"/>
          <w:pgNumType w:start="70"/>
        </w:sectPr>
      </w:pPr>
    </w:p>
    <w:p>
      <w:pPr>
        <w:pStyle w:val="BodyText"/>
        <w:spacing w:line="235" w:lineRule="auto" w:before="91"/>
        <w:ind w:left="2693" w:right="1120"/>
      </w:pPr>
      <w:r>
        <w:rPr/>
        <w:pict>
          <v:rect style="position:absolute;margin-left:558.424988pt;margin-top:8.503343pt;width:22.677pt;height:22.677pt;mso-position-horizontal-relative:page;mso-position-vertical-relative:paragraph;z-index:251914240" filled="true" fillcolor="#f9e9c1" stroked="false">
            <v:fill opacity="32768f" type="solid"/>
            <w10:wrap type="none"/>
          </v:rect>
        </w:pict>
      </w:r>
      <w:r>
        <w:rPr>
          <w:w w:val="120"/>
        </w:rPr>
        <w:t>declared in Schedule 2 of the URC Acts and those held on other specifically declared trusts), which are held upon trust for the advancement of the Christian faith for the benefit of the public in accordance with the Scheme of Union and whose charity trustees are the members of the Elders’ Meeting qualified to serve as such, acting in accordance with procedures laid down by the Church Meeting.</w:t>
      </w:r>
    </w:p>
    <w:p>
      <w:pPr>
        <w:pStyle w:val="BodyText"/>
        <w:spacing w:before="11"/>
        <w:rPr>
          <w:sz w:val="19"/>
        </w:rPr>
      </w:pPr>
    </w:p>
    <w:p>
      <w:pPr>
        <w:pStyle w:val="ListParagraph"/>
        <w:numPr>
          <w:ilvl w:val="1"/>
          <w:numId w:val="93"/>
        </w:numPr>
        <w:tabs>
          <w:tab w:pos="2664" w:val="left" w:leader="none"/>
          <w:tab w:pos="2665" w:val="left" w:leader="none"/>
        </w:tabs>
        <w:spacing w:line="235" w:lineRule="auto" w:before="0" w:after="0"/>
        <w:ind w:left="1984" w:right="1705" w:firstLine="0"/>
        <w:jc w:val="left"/>
        <w:rPr>
          <w:sz w:val="20"/>
        </w:rPr>
      </w:pPr>
      <w:r>
        <w:rPr>
          <w:w w:val="120"/>
          <w:sz w:val="20"/>
        </w:rPr>
        <w:t>The Church Meeting, after considering the recommendations of the Elders’ Meeting and any guidance issued under the authority of councils of the wider URC, will</w:t>
      </w:r>
      <w:r>
        <w:rPr>
          <w:spacing w:val="2"/>
          <w:w w:val="120"/>
          <w:sz w:val="20"/>
        </w:rPr>
        <w:t> </w:t>
      </w:r>
      <w:r>
        <w:rPr>
          <w:w w:val="120"/>
          <w:sz w:val="20"/>
        </w:rPr>
        <w:t>review</w:t>
      </w:r>
    </w:p>
    <w:p>
      <w:pPr>
        <w:pStyle w:val="ListParagraph"/>
        <w:numPr>
          <w:ilvl w:val="0"/>
          <w:numId w:val="95"/>
        </w:numPr>
        <w:tabs>
          <w:tab w:pos="2664" w:val="left" w:leader="none"/>
          <w:tab w:pos="2665" w:val="left" w:leader="none"/>
        </w:tabs>
        <w:spacing w:line="240" w:lineRule="exact" w:before="0" w:after="0"/>
        <w:ind w:left="2664" w:right="0" w:hanging="681"/>
        <w:jc w:val="left"/>
        <w:rPr>
          <w:sz w:val="20"/>
        </w:rPr>
      </w:pPr>
      <w:r>
        <w:rPr>
          <w:w w:val="120"/>
          <w:sz w:val="20"/>
        </w:rPr>
        <w:t>the uses to be made of the </w:t>
      </w:r>
      <w:r>
        <w:rPr>
          <w:spacing w:val="2"/>
          <w:w w:val="120"/>
          <w:sz w:val="20"/>
        </w:rPr>
        <w:t>property </w:t>
      </w:r>
      <w:r>
        <w:rPr>
          <w:w w:val="120"/>
          <w:sz w:val="20"/>
        </w:rPr>
        <w:t>in </w:t>
      </w:r>
      <w:r>
        <w:rPr>
          <w:spacing w:val="-6"/>
          <w:w w:val="120"/>
          <w:sz w:val="20"/>
        </w:rPr>
        <w:t>3.1.a,</w:t>
      </w:r>
      <w:r>
        <w:rPr>
          <w:spacing w:val="19"/>
          <w:w w:val="120"/>
          <w:sz w:val="20"/>
        </w:rPr>
        <w:t> </w:t>
      </w:r>
      <w:r>
        <w:rPr>
          <w:w w:val="120"/>
          <w:sz w:val="20"/>
        </w:rPr>
        <w:t>and</w:t>
      </w:r>
    </w:p>
    <w:p>
      <w:pPr>
        <w:pStyle w:val="ListParagraph"/>
        <w:numPr>
          <w:ilvl w:val="0"/>
          <w:numId w:val="95"/>
        </w:numPr>
        <w:tabs>
          <w:tab w:pos="2664" w:val="left" w:leader="none"/>
          <w:tab w:pos="2665" w:val="left" w:leader="none"/>
        </w:tabs>
        <w:spacing w:line="242" w:lineRule="exact" w:before="0" w:after="0"/>
        <w:ind w:left="2664" w:right="0" w:hanging="681"/>
        <w:jc w:val="left"/>
        <w:rPr>
          <w:sz w:val="20"/>
        </w:rPr>
      </w:pPr>
      <w:r>
        <w:rPr>
          <w:w w:val="120"/>
          <w:sz w:val="20"/>
        </w:rPr>
        <w:t>procedures for proper administration of the general funds of the</w:t>
      </w:r>
      <w:r>
        <w:rPr>
          <w:spacing w:val="26"/>
          <w:w w:val="120"/>
          <w:sz w:val="20"/>
        </w:rPr>
        <w:t> </w:t>
      </w:r>
      <w:r>
        <w:rPr>
          <w:w w:val="120"/>
          <w:sz w:val="20"/>
        </w:rPr>
        <w:t>Church</w:t>
      </w:r>
    </w:p>
    <w:p>
      <w:pPr>
        <w:pStyle w:val="BodyText"/>
        <w:spacing w:before="8"/>
        <w:rPr>
          <w:sz w:val="19"/>
        </w:rPr>
      </w:pPr>
    </w:p>
    <w:p>
      <w:pPr>
        <w:pStyle w:val="ListParagraph"/>
        <w:numPr>
          <w:ilvl w:val="1"/>
          <w:numId w:val="93"/>
        </w:numPr>
        <w:tabs>
          <w:tab w:pos="2664" w:val="left" w:leader="none"/>
          <w:tab w:pos="2665" w:val="left" w:leader="none"/>
        </w:tabs>
        <w:spacing w:line="235" w:lineRule="auto" w:before="0" w:after="0"/>
        <w:ind w:left="1984" w:right="1493" w:firstLine="0"/>
        <w:jc w:val="left"/>
        <w:rPr>
          <w:sz w:val="20"/>
        </w:rPr>
      </w:pPr>
      <w:r>
        <w:rPr>
          <w:spacing w:val="2"/>
          <w:w w:val="120"/>
          <w:sz w:val="20"/>
        </w:rPr>
        <w:t>The charity trustees </w:t>
      </w:r>
      <w:r>
        <w:rPr>
          <w:w w:val="120"/>
          <w:sz w:val="20"/>
        </w:rPr>
        <w:t>of the </w:t>
      </w:r>
      <w:r>
        <w:rPr>
          <w:spacing w:val="2"/>
          <w:w w:val="120"/>
          <w:sz w:val="20"/>
        </w:rPr>
        <w:t>general </w:t>
      </w:r>
      <w:r>
        <w:rPr>
          <w:w w:val="120"/>
          <w:sz w:val="20"/>
        </w:rPr>
        <w:t>funds of the church are responsible for </w:t>
      </w:r>
      <w:r>
        <w:rPr>
          <w:spacing w:val="2"/>
          <w:w w:val="120"/>
          <w:sz w:val="20"/>
        </w:rPr>
        <w:t>presentation </w:t>
      </w:r>
      <w:r>
        <w:rPr>
          <w:w w:val="120"/>
          <w:sz w:val="20"/>
        </w:rPr>
        <w:t>of an annual set of accounts to the Church </w:t>
      </w:r>
      <w:r>
        <w:rPr>
          <w:spacing w:val="2"/>
          <w:w w:val="120"/>
          <w:sz w:val="20"/>
        </w:rPr>
        <w:t>Meeting </w:t>
      </w:r>
      <w:r>
        <w:rPr>
          <w:w w:val="120"/>
          <w:sz w:val="20"/>
        </w:rPr>
        <w:t>and, </w:t>
      </w:r>
      <w:r>
        <w:rPr>
          <w:spacing w:val="2"/>
          <w:w w:val="120"/>
          <w:sz w:val="20"/>
        </w:rPr>
        <w:t>where charity registration </w:t>
      </w:r>
      <w:r>
        <w:rPr>
          <w:w w:val="120"/>
          <w:sz w:val="20"/>
        </w:rPr>
        <w:t>has </w:t>
      </w:r>
      <w:r>
        <w:rPr>
          <w:spacing w:val="2"/>
          <w:w w:val="120"/>
          <w:sz w:val="20"/>
        </w:rPr>
        <w:t>been </w:t>
      </w:r>
      <w:r>
        <w:rPr>
          <w:w w:val="120"/>
          <w:sz w:val="20"/>
        </w:rPr>
        <w:t>completed, for </w:t>
      </w:r>
      <w:r>
        <w:rPr>
          <w:spacing w:val="2"/>
          <w:w w:val="120"/>
          <w:sz w:val="20"/>
        </w:rPr>
        <w:t>preparation </w:t>
      </w:r>
      <w:r>
        <w:rPr>
          <w:w w:val="120"/>
          <w:sz w:val="20"/>
        </w:rPr>
        <w:t>and submission of the annual Trustees</w:t>
      </w:r>
      <w:r>
        <w:rPr>
          <w:spacing w:val="5"/>
          <w:w w:val="120"/>
          <w:sz w:val="20"/>
        </w:rPr>
        <w:t> </w:t>
      </w:r>
      <w:r>
        <w:rPr>
          <w:spacing w:val="3"/>
          <w:w w:val="120"/>
          <w:sz w:val="20"/>
        </w:rPr>
        <w:t>report.</w:t>
      </w:r>
    </w:p>
    <w:p>
      <w:pPr>
        <w:pStyle w:val="BodyText"/>
        <w:spacing w:before="9"/>
        <w:rPr>
          <w:sz w:val="17"/>
        </w:rPr>
      </w:pPr>
    </w:p>
    <w:p>
      <w:pPr>
        <w:numPr>
          <w:ilvl w:val="1"/>
          <w:numId w:val="9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Membership</w:t>
      </w:r>
    </w:p>
    <w:p>
      <w:pPr>
        <w:pStyle w:val="ListParagraph"/>
        <w:numPr>
          <w:ilvl w:val="2"/>
          <w:numId w:val="94"/>
        </w:numPr>
        <w:tabs>
          <w:tab w:pos="2664" w:val="left" w:leader="none"/>
          <w:tab w:pos="2665" w:val="left" w:leader="none"/>
        </w:tabs>
        <w:spacing w:line="235" w:lineRule="auto" w:before="223" w:after="0"/>
        <w:ind w:left="1984" w:right="1291" w:firstLine="0"/>
        <w:jc w:val="left"/>
        <w:rPr>
          <w:sz w:val="20"/>
        </w:rPr>
      </w:pPr>
      <w:r>
        <w:rPr>
          <w:w w:val="120"/>
          <w:sz w:val="20"/>
        </w:rPr>
        <w:t>There shall be a roll of members on which persons admitted to the full privileges and responsibilities of membership in the church, whether on profession of faith or by transfer, are to be entered. Names are to be removed from this</w:t>
      </w:r>
      <w:r>
        <w:rPr>
          <w:spacing w:val="8"/>
          <w:w w:val="120"/>
          <w:sz w:val="20"/>
        </w:rPr>
        <w:t> </w:t>
      </w:r>
      <w:r>
        <w:rPr>
          <w:w w:val="120"/>
          <w:sz w:val="20"/>
        </w:rPr>
        <w:t>roll</w:t>
      </w:r>
    </w:p>
    <w:p>
      <w:pPr>
        <w:pStyle w:val="ListParagraph"/>
        <w:numPr>
          <w:ilvl w:val="0"/>
          <w:numId w:val="96"/>
        </w:numPr>
        <w:tabs>
          <w:tab w:pos="2664" w:val="left" w:leader="none"/>
          <w:tab w:pos="2665" w:val="left" w:leader="none"/>
        </w:tabs>
        <w:spacing w:line="240" w:lineRule="exact" w:before="0" w:after="0"/>
        <w:ind w:left="2664" w:right="0" w:hanging="681"/>
        <w:jc w:val="left"/>
        <w:rPr>
          <w:sz w:val="20"/>
        </w:rPr>
      </w:pPr>
      <w:r>
        <w:rPr>
          <w:w w:val="120"/>
          <w:sz w:val="20"/>
        </w:rPr>
        <w:t>on transfer to another church of the</w:t>
      </w:r>
      <w:r>
        <w:rPr>
          <w:spacing w:val="12"/>
          <w:w w:val="120"/>
          <w:sz w:val="20"/>
        </w:rPr>
        <w:t> </w:t>
      </w:r>
      <w:r>
        <w:rPr>
          <w:w w:val="120"/>
          <w:sz w:val="20"/>
        </w:rPr>
        <w:t>URC;</w:t>
      </w:r>
    </w:p>
    <w:p>
      <w:pPr>
        <w:pStyle w:val="ListParagraph"/>
        <w:numPr>
          <w:ilvl w:val="0"/>
          <w:numId w:val="96"/>
        </w:numPr>
        <w:tabs>
          <w:tab w:pos="2664" w:val="left" w:leader="none"/>
          <w:tab w:pos="2665" w:val="left" w:leader="none"/>
        </w:tabs>
        <w:spacing w:line="240" w:lineRule="exact" w:before="0" w:after="0"/>
        <w:ind w:left="2664" w:right="0" w:hanging="681"/>
        <w:jc w:val="left"/>
        <w:rPr>
          <w:sz w:val="20"/>
        </w:rPr>
      </w:pPr>
      <w:r>
        <w:rPr>
          <w:w w:val="120"/>
          <w:sz w:val="20"/>
        </w:rPr>
        <w:t>at the written request of a member wishing to relinquish</w:t>
      </w:r>
      <w:r>
        <w:rPr>
          <w:spacing w:val="21"/>
          <w:w w:val="120"/>
          <w:sz w:val="20"/>
        </w:rPr>
        <w:t> </w:t>
      </w:r>
      <w:r>
        <w:rPr>
          <w:w w:val="120"/>
          <w:sz w:val="20"/>
        </w:rPr>
        <w:t>membership;</w:t>
      </w:r>
    </w:p>
    <w:p>
      <w:pPr>
        <w:pStyle w:val="ListParagraph"/>
        <w:numPr>
          <w:ilvl w:val="0"/>
          <w:numId w:val="96"/>
        </w:numPr>
        <w:tabs>
          <w:tab w:pos="2664" w:val="left" w:leader="none"/>
          <w:tab w:pos="2665" w:val="left" w:leader="none"/>
        </w:tabs>
        <w:spacing w:line="240" w:lineRule="exact" w:before="0" w:after="0"/>
        <w:ind w:left="2664" w:right="0" w:hanging="681"/>
        <w:jc w:val="left"/>
        <w:rPr>
          <w:sz w:val="20"/>
        </w:rPr>
      </w:pPr>
      <w:r>
        <w:rPr>
          <w:w w:val="120"/>
          <w:sz w:val="20"/>
        </w:rPr>
        <w:t>by resolution of the Church Meeting on advice from the Elders’</w:t>
      </w:r>
      <w:r>
        <w:rPr>
          <w:spacing w:val="33"/>
          <w:w w:val="120"/>
          <w:sz w:val="20"/>
        </w:rPr>
        <w:t> </w:t>
      </w:r>
      <w:r>
        <w:rPr>
          <w:w w:val="120"/>
          <w:sz w:val="20"/>
        </w:rPr>
        <w:t>Meeting</w:t>
      </w:r>
    </w:p>
    <w:p>
      <w:pPr>
        <w:pStyle w:val="ListParagraph"/>
        <w:numPr>
          <w:ilvl w:val="0"/>
          <w:numId w:val="96"/>
        </w:numPr>
        <w:tabs>
          <w:tab w:pos="2664" w:val="left" w:leader="none"/>
          <w:tab w:pos="2665" w:val="left" w:leader="none"/>
        </w:tabs>
        <w:spacing w:line="242" w:lineRule="exact" w:before="0" w:after="0"/>
        <w:ind w:left="2664" w:right="0" w:hanging="681"/>
        <w:jc w:val="left"/>
        <w:rPr>
          <w:sz w:val="20"/>
        </w:rPr>
      </w:pPr>
      <w:r>
        <w:rPr>
          <w:w w:val="120"/>
          <w:sz w:val="20"/>
        </w:rPr>
        <w:t>on</w:t>
      </w:r>
      <w:r>
        <w:rPr>
          <w:spacing w:val="2"/>
          <w:w w:val="120"/>
          <w:sz w:val="20"/>
        </w:rPr>
        <w:t> </w:t>
      </w:r>
      <w:r>
        <w:rPr>
          <w:w w:val="120"/>
          <w:sz w:val="20"/>
        </w:rPr>
        <w:t>death.</w:t>
      </w:r>
    </w:p>
    <w:p>
      <w:pPr>
        <w:pStyle w:val="BodyText"/>
        <w:spacing w:before="4"/>
        <w:rPr>
          <w:sz w:val="19"/>
        </w:rPr>
      </w:pPr>
    </w:p>
    <w:p>
      <w:pPr>
        <w:pStyle w:val="ListParagraph"/>
        <w:numPr>
          <w:ilvl w:val="2"/>
          <w:numId w:val="94"/>
        </w:numPr>
        <w:tabs>
          <w:tab w:pos="2664" w:val="left" w:leader="none"/>
          <w:tab w:pos="2665" w:val="left" w:leader="none"/>
        </w:tabs>
        <w:spacing w:line="242" w:lineRule="exact" w:before="0" w:after="0"/>
        <w:ind w:left="2664" w:right="0" w:hanging="681"/>
        <w:jc w:val="left"/>
        <w:rPr>
          <w:sz w:val="20"/>
        </w:rPr>
      </w:pPr>
      <w:r>
        <w:rPr>
          <w:w w:val="120"/>
          <w:sz w:val="20"/>
        </w:rPr>
        <w:t>Admission to membership of the Church by transfer takes place when a</w:t>
      </w:r>
      <w:r>
        <w:rPr>
          <w:spacing w:val="27"/>
          <w:w w:val="120"/>
          <w:sz w:val="20"/>
        </w:rPr>
        <w:t> </w:t>
      </w:r>
      <w:r>
        <w:rPr>
          <w:w w:val="120"/>
          <w:sz w:val="20"/>
        </w:rPr>
        <w:t>person</w:t>
      </w:r>
    </w:p>
    <w:p>
      <w:pPr>
        <w:pStyle w:val="ListParagraph"/>
        <w:numPr>
          <w:ilvl w:val="0"/>
          <w:numId w:val="97"/>
        </w:numPr>
        <w:tabs>
          <w:tab w:pos="2664" w:val="left" w:leader="none"/>
          <w:tab w:pos="2665" w:val="left" w:leader="none"/>
        </w:tabs>
        <w:spacing w:line="235" w:lineRule="auto" w:before="1" w:after="0"/>
        <w:ind w:left="2664" w:right="1524" w:hanging="681"/>
        <w:jc w:val="left"/>
        <w:rPr>
          <w:sz w:val="20"/>
        </w:rPr>
      </w:pPr>
      <w:r>
        <w:rPr>
          <w:w w:val="120"/>
          <w:sz w:val="20"/>
        </w:rPr>
        <w:t>is a member of another local church of the URC, or of a Church with which the URC General Assembly has declared pulpit and table fellowship</w:t>
      </w:r>
      <w:r>
        <w:rPr>
          <w:spacing w:val="38"/>
          <w:w w:val="120"/>
          <w:sz w:val="20"/>
        </w:rPr>
        <w:t> </w:t>
      </w:r>
      <w:r>
        <w:rPr>
          <w:w w:val="120"/>
          <w:sz w:val="20"/>
        </w:rPr>
        <w:t>and</w:t>
      </w:r>
    </w:p>
    <w:p>
      <w:pPr>
        <w:pStyle w:val="ListParagraph"/>
        <w:numPr>
          <w:ilvl w:val="0"/>
          <w:numId w:val="97"/>
        </w:numPr>
        <w:tabs>
          <w:tab w:pos="2664" w:val="left" w:leader="none"/>
          <w:tab w:pos="2665" w:val="left" w:leader="none"/>
        </w:tabs>
        <w:spacing w:line="240" w:lineRule="exact" w:before="0" w:after="0"/>
        <w:ind w:left="2664" w:right="0" w:hanging="681"/>
        <w:jc w:val="left"/>
        <w:rPr>
          <w:sz w:val="20"/>
        </w:rPr>
      </w:pPr>
      <w:r>
        <w:rPr>
          <w:w w:val="125"/>
          <w:sz w:val="20"/>
        </w:rPr>
        <w:t>is</w:t>
      </w:r>
      <w:r>
        <w:rPr>
          <w:spacing w:val="-5"/>
          <w:w w:val="125"/>
          <w:sz w:val="20"/>
        </w:rPr>
        <w:t> </w:t>
      </w:r>
      <w:r>
        <w:rPr>
          <w:w w:val="125"/>
          <w:sz w:val="20"/>
        </w:rPr>
        <w:t>accepted</w:t>
      </w:r>
      <w:r>
        <w:rPr>
          <w:spacing w:val="-4"/>
          <w:w w:val="125"/>
          <w:sz w:val="20"/>
        </w:rPr>
        <w:t> </w:t>
      </w:r>
      <w:r>
        <w:rPr>
          <w:w w:val="125"/>
          <w:sz w:val="20"/>
        </w:rPr>
        <w:t>by</w:t>
      </w:r>
      <w:r>
        <w:rPr>
          <w:spacing w:val="-5"/>
          <w:w w:val="125"/>
          <w:sz w:val="20"/>
        </w:rPr>
        <w:t> </w:t>
      </w:r>
      <w:r>
        <w:rPr>
          <w:w w:val="125"/>
          <w:sz w:val="20"/>
        </w:rPr>
        <w:t>the</w:t>
      </w:r>
      <w:r>
        <w:rPr>
          <w:spacing w:val="-4"/>
          <w:w w:val="125"/>
          <w:sz w:val="20"/>
        </w:rPr>
        <w:t> </w:t>
      </w:r>
      <w:r>
        <w:rPr>
          <w:w w:val="125"/>
          <w:sz w:val="20"/>
        </w:rPr>
        <w:t>Church</w:t>
      </w:r>
      <w:r>
        <w:rPr>
          <w:spacing w:val="-5"/>
          <w:w w:val="125"/>
          <w:sz w:val="20"/>
        </w:rPr>
        <w:t> </w:t>
      </w:r>
      <w:r>
        <w:rPr>
          <w:w w:val="125"/>
          <w:sz w:val="20"/>
        </w:rPr>
        <w:t>Meeting</w:t>
      </w:r>
      <w:r>
        <w:rPr>
          <w:spacing w:val="-4"/>
          <w:w w:val="125"/>
          <w:sz w:val="20"/>
        </w:rPr>
        <w:t> </w:t>
      </w:r>
      <w:r>
        <w:rPr>
          <w:w w:val="125"/>
          <w:sz w:val="20"/>
        </w:rPr>
        <w:t>or</w:t>
      </w:r>
      <w:r>
        <w:rPr>
          <w:spacing w:val="-5"/>
          <w:w w:val="125"/>
          <w:sz w:val="20"/>
        </w:rPr>
        <w:t> </w:t>
      </w:r>
      <w:r>
        <w:rPr>
          <w:spacing w:val="-2"/>
          <w:w w:val="125"/>
          <w:sz w:val="20"/>
        </w:rPr>
        <w:t>(by</w:t>
      </w:r>
      <w:r>
        <w:rPr>
          <w:spacing w:val="-4"/>
          <w:w w:val="125"/>
          <w:sz w:val="20"/>
        </w:rPr>
        <w:t> </w:t>
      </w:r>
      <w:r>
        <w:rPr>
          <w:w w:val="125"/>
          <w:sz w:val="20"/>
        </w:rPr>
        <w:t>delegation)</w:t>
      </w:r>
      <w:r>
        <w:rPr>
          <w:spacing w:val="-4"/>
          <w:w w:val="125"/>
          <w:sz w:val="20"/>
        </w:rPr>
        <w:t> </w:t>
      </w:r>
      <w:r>
        <w:rPr>
          <w:w w:val="125"/>
          <w:sz w:val="20"/>
        </w:rPr>
        <w:t>by</w:t>
      </w:r>
      <w:r>
        <w:rPr>
          <w:spacing w:val="-5"/>
          <w:w w:val="125"/>
          <w:sz w:val="20"/>
        </w:rPr>
        <w:t> </w:t>
      </w:r>
      <w:r>
        <w:rPr>
          <w:w w:val="125"/>
          <w:sz w:val="20"/>
        </w:rPr>
        <w:t>the</w:t>
      </w:r>
      <w:r>
        <w:rPr>
          <w:spacing w:val="-4"/>
          <w:w w:val="125"/>
          <w:sz w:val="20"/>
        </w:rPr>
        <w:t> </w:t>
      </w:r>
      <w:r>
        <w:rPr>
          <w:w w:val="125"/>
          <w:sz w:val="20"/>
        </w:rPr>
        <w:t>Elders’</w:t>
      </w:r>
      <w:r>
        <w:rPr>
          <w:spacing w:val="-5"/>
          <w:w w:val="125"/>
          <w:sz w:val="20"/>
        </w:rPr>
        <w:t> </w:t>
      </w:r>
      <w:r>
        <w:rPr>
          <w:w w:val="125"/>
          <w:sz w:val="20"/>
        </w:rPr>
        <w:t>Meeting.</w:t>
      </w:r>
    </w:p>
    <w:p>
      <w:pPr>
        <w:pStyle w:val="BodyText"/>
        <w:spacing w:line="235" w:lineRule="auto" w:before="2"/>
        <w:ind w:left="1984" w:right="1120"/>
      </w:pPr>
      <w:r>
        <w:rPr>
          <w:w w:val="120"/>
        </w:rPr>
        <w:t>A member by transfer shall be welcomed in public worship at an early opportunity but enjoys the full privileges and responsibilities of membership from the passing of the accepting resolution.</w:t>
      </w:r>
    </w:p>
    <w:p>
      <w:pPr>
        <w:pStyle w:val="BodyText"/>
        <w:spacing w:before="10"/>
        <w:rPr>
          <w:sz w:val="19"/>
        </w:rPr>
      </w:pPr>
    </w:p>
    <w:p>
      <w:pPr>
        <w:pStyle w:val="ListParagraph"/>
        <w:numPr>
          <w:ilvl w:val="2"/>
          <w:numId w:val="94"/>
        </w:numPr>
        <w:tabs>
          <w:tab w:pos="2664" w:val="left" w:leader="none"/>
          <w:tab w:pos="2665" w:val="left" w:leader="none"/>
        </w:tabs>
        <w:spacing w:line="235" w:lineRule="auto" w:before="0" w:after="0"/>
        <w:ind w:left="1984" w:right="1359" w:firstLine="0"/>
        <w:jc w:val="left"/>
        <w:rPr>
          <w:sz w:val="20"/>
        </w:rPr>
      </w:pPr>
      <w:r>
        <w:rPr>
          <w:w w:val="120"/>
          <w:sz w:val="20"/>
        </w:rPr>
        <w:t>Admission to membership of the Church on profession of faith takes place when a</w:t>
      </w:r>
      <w:r>
        <w:rPr>
          <w:spacing w:val="1"/>
          <w:w w:val="120"/>
          <w:sz w:val="20"/>
        </w:rPr>
        <w:t> </w:t>
      </w:r>
      <w:r>
        <w:rPr>
          <w:w w:val="120"/>
          <w:sz w:val="20"/>
        </w:rPr>
        <w:t>person</w:t>
      </w:r>
    </w:p>
    <w:p>
      <w:pPr>
        <w:pStyle w:val="ListParagraph"/>
        <w:numPr>
          <w:ilvl w:val="0"/>
          <w:numId w:val="98"/>
        </w:numPr>
        <w:tabs>
          <w:tab w:pos="2664" w:val="left" w:leader="none"/>
          <w:tab w:pos="2665" w:val="left" w:leader="none"/>
        </w:tabs>
        <w:spacing w:line="240" w:lineRule="exact" w:before="0" w:after="0"/>
        <w:ind w:left="2664" w:right="0" w:hanging="681"/>
        <w:jc w:val="left"/>
        <w:rPr>
          <w:sz w:val="20"/>
        </w:rPr>
      </w:pPr>
      <w:r>
        <w:rPr>
          <w:w w:val="120"/>
          <w:sz w:val="20"/>
        </w:rPr>
        <w:t>is not eligible for admission by</w:t>
      </w:r>
      <w:r>
        <w:rPr>
          <w:spacing w:val="11"/>
          <w:w w:val="120"/>
          <w:sz w:val="20"/>
        </w:rPr>
        <w:t> </w:t>
      </w:r>
      <w:r>
        <w:rPr>
          <w:w w:val="120"/>
          <w:sz w:val="20"/>
        </w:rPr>
        <w:t>transfer;</w:t>
      </w:r>
    </w:p>
    <w:p>
      <w:pPr>
        <w:pStyle w:val="ListParagraph"/>
        <w:numPr>
          <w:ilvl w:val="0"/>
          <w:numId w:val="98"/>
        </w:numPr>
        <w:tabs>
          <w:tab w:pos="2664" w:val="left" w:leader="none"/>
          <w:tab w:pos="2665" w:val="left" w:leader="none"/>
        </w:tabs>
        <w:spacing w:line="235" w:lineRule="auto" w:before="2" w:after="0"/>
        <w:ind w:left="2664" w:right="1178" w:hanging="681"/>
        <w:jc w:val="left"/>
        <w:rPr>
          <w:sz w:val="20"/>
        </w:rPr>
      </w:pPr>
      <w:r>
        <w:rPr>
          <w:w w:val="120"/>
          <w:sz w:val="20"/>
        </w:rPr>
        <w:t>is considered by the Elders’ Meeting of an age to make a meaningful profession of faith;</w:t>
      </w:r>
    </w:p>
    <w:p>
      <w:pPr>
        <w:pStyle w:val="ListParagraph"/>
        <w:numPr>
          <w:ilvl w:val="0"/>
          <w:numId w:val="98"/>
        </w:numPr>
        <w:tabs>
          <w:tab w:pos="2664" w:val="left" w:leader="none"/>
          <w:tab w:pos="2665" w:val="left" w:leader="none"/>
        </w:tabs>
        <w:spacing w:line="240" w:lineRule="exact" w:before="0" w:after="0"/>
        <w:ind w:left="2664" w:right="0" w:hanging="681"/>
        <w:jc w:val="left"/>
        <w:rPr>
          <w:sz w:val="20"/>
        </w:rPr>
      </w:pPr>
      <w:r>
        <w:rPr>
          <w:w w:val="120"/>
          <w:sz w:val="20"/>
        </w:rPr>
        <w:t>has received preparation that the Elders’ Meeting considers</w:t>
      </w:r>
      <w:r>
        <w:rPr>
          <w:spacing w:val="14"/>
          <w:w w:val="120"/>
          <w:sz w:val="20"/>
        </w:rPr>
        <w:t> </w:t>
      </w:r>
      <w:r>
        <w:rPr>
          <w:w w:val="120"/>
          <w:sz w:val="20"/>
        </w:rPr>
        <w:t>adequate;</w:t>
      </w:r>
    </w:p>
    <w:p>
      <w:pPr>
        <w:pStyle w:val="ListParagraph"/>
        <w:numPr>
          <w:ilvl w:val="0"/>
          <w:numId w:val="98"/>
        </w:numPr>
        <w:tabs>
          <w:tab w:pos="2664" w:val="left" w:leader="none"/>
          <w:tab w:pos="2665" w:val="left" w:leader="none"/>
        </w:tabs>
        <w:spacing w:line="240" w:lineRule="exact" w:before="0" w:after="0"/>
        <w:ind w:left="2664" w:right="0" w:hanging="681"/>
        <w:jc w:val="left"/>
        <w:rPr>
          <w:sz w:val="20"/>
        </w:rPr>
      </w:pPr>
      <w:r>
        <w:rPr>
          <w:w w:val="120"/>
          <w:sz w:val="20"/>
        </w:rPr>
        <w:t>is accepted by the Church Meeting on the advice of the Elders’</w:t>
      </w:r>
      <w:r>
        <w:rPr>
          <w:spacing w:val="37"/>
          <w:w w:val="120"/>
          <w:sz w:val="20"/>
        </w:rPr>
        <w:t> </w:t>
      </w:r>
      <w:r>
        <w:rPr>
          <w:w w:val="120"/>
          <w:sz w:val="20"/>
        </w:rPr>
        <w:t>Meeting;</w:t>
      </w:r>
    </w:p>
    <w:p>
      <w:pPr>
        <w:pStyle w:val="ListParagraph"/>
        <w:numPr>
          <w:ilvl w:val="0"/>
          <w:numId w:val="98"/>
        </w:numPr>
        <w:tabs>
          <w:tab w:pos="2664" w:val="left" w:leader="none"/>
          <w:tab w:pos="2665" w:val="left" w:leader="none"/>
        </w:tabs>
        <w:spacing w:line="235" w:lineRule="auto" w:before="2" w:after="0"/>
        <w:ind w:left="2664" w:right="1649" w:hanging="681"/>
        <w:jc w:val="left"/>
        <w:rPr>
          <w:sz w:val="20"/>
        </w:rPr>
      </w:pPr>
      <w:r>
        <w:rPr>
          <w:w w:val="120"/>
          <w:sz w:val="20"/>
        </w:rPr>
        <w:t>makes during public worship the profession of faith prescribed in the Basis of Union;</w:t>
      </w:r>
      <w:r>
        <w:rPr>
          <w:spacing w:val="2"/>
          <w:w w:val="120"/>
          <w:sz w:val="20"/>
        </w:rPr>
        <w:t> </w:t>
      </w:r>
      <w:r>
        <w:rPr>
          <w:w w:val="120"/>
          <w:sz w:val="20"/>
        </w:rPr>
        <w:t>and</w:t>
      </w:r>
    </w:p>
    <w:p>
      <w:pPr>
        <w:pStyle w:val="ListParagraph"/>
        <w:numPr>
          <w:ilvl w:val="0"/>
          <w:numId w:val="98"/>
        </w:numPr>
        <w:tabs>
          <w:tab w:pos="2664" w:val="left" w:leader="none"/>
          <w:tab w:pos="2665" w:val="left" w:leader="none"/>
        </w:tabs>
        <w:spacing w:line="242" w:lineRule="exact" w:before="0" w:after="0"/>
        <w:ind w:left="2664" w:right="0" w:hanging="681"/>
        <w:jc w:val="left"/>
        <w:rPr>
          <w:sz w:val="20"/>
        </w:rPr>
      </w:pPr>
      <w:r>
        <w:rPr>
          <w:w w:val="120"/>
          <w:sz w:val="20"/>
        </w:rPr>
        <w:t>if not previously baptised, is</w:t>
      </w:r>
      <w:r>
        <w:rPr>
          <w:spacing w:val="10"/>
          <w:w w:val="120"/>
          <w:sz w:val="20"/>
        </w:rPr>
        <w:t> </w:t>
      </w:r>
      <w:r>
        <w:rPr>
          <w:w w:val="120"/>
          <w:sz w:val="20"/>
        </w:rPr>
        <w:t>baptised.</w:t>
      </w:r>
    </w:p>
    <w:p>
      <w:pPr>
        <w:numPr>
          <w:ilvl w:val="1"/>
          <w:numId w:val="94"/>
        </w:numPr>
        <w:tabs>
          <w:tab w:pos="2704" w:val="left" w:leader="none"/>
          <w:tab w:pos="2705" w:val="left" w:leader="none"/>
        </w:tabs>
        <w:spacing w:before="214"/>
        <w:ind w:left="2704" w:right="0" w:hanging="721"/>
        <w:jc w:val="left"/>
        <w:rPr>
          <w:rFonts w:ascii="Stone Sans II ITC Std Bk"/>
          <w:b/>
          <w:sz w:val="21"/>
        </w:rPr>
      </w:pPr>
      <w:r>
        <w:rPr>
          <w:rFonts w:ascii="Stone Sans II ITC Std Bk"/>
          <w:b/>
          <w:w w:val="115"/>
          <w:sz w:val="21"/>
        </w:rPr>
        <w:t>Leadership</w:t>
      </w:r>
    </w:p>
    <w:p>
      <w:pPr>
        <w:pStyle w:val="BodyText"/>
        <w:spacing w:line="235" w:lineRule="auto" w:before="222"/>
        <w:ind w:left="1984" w:right="1463"/>
      </w:pPr>
      <w:r>
        <w:rPr>
          <w:w w:val="120"/>
        </w:rPr>
        <w:t>The exercise of the total caring oversight by which Christ’s people grow in faith and love is the special concern of elders and ministers, which may be complemented by  the work of a Church Related Community Worker [‘CRCW’]. Before a call can be issued by a Church Meeting to a Minister of Word and Sacrament or a CRCW the procedures to be followed shall have been agreed by the Church Meeting after considering the recommendations of the Elders’ Meeting and any guidance issued under the authority of councils of the wider United Reformed</w:t>
      </w:r>
      <w:r>
        <w:rPr>
          <w:spacing w:val="16"/>
          <w:w w:val="120"/>
        </w:rPr>
        <w:t> </w:t>
      </w:r>
      <w:r>
        <w:rPr>
          <w:w w:val="120"/>
        </w:rPr>
        <w:t>Church.</w:t>
      </w:r>
    </w:p>
    <w:p>
      <w:pPr>
        <w:pStyle w:val="BodyText"/>
        <w:spacing w:before="11"/>
        <w:rPr>
          <w:sz w:val="17"/>
        </w:rPr>
      </w:pPr>
    </w:p>
    <w:p>
      <w:pPr>
        <w:numPr>
          <w:ilvl w:val="2"/>
          <w:numId w:val="9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Ministers</w:t>
      </w:r>
    </w:p>
    <w:p>
      <w:pPr>
        <w:pStyle w:val="BodyText"/>
        <w:spacing w:line="235" w:lineRule="auto" w:before="223"/>
        <w:ind w:left="1984" w:right="1120"/>
      </w:pPr>
      <w:r>
        <w:rPr>
          <w:w w:val="120"/>
        </w:rPr>
        <w:t>A local church may, at any one time, have one or more ministers in pastoral charge; these are called to the Ministry of Word and Sacrament.</w:t>
      </w:r>
    </w:p>
    <w:p>
      <w:pPr>
        <w:spacing w:after="0" w:line="235" w:lineRule="auto"/>
        <w:sectPr>
          <w:pgSz w:w="11910" w:h="16840"/>
          <w:pgMar w:header="0" w:footer="647" w:top="1060" w:bottom="840" w:left="0" w:right="0"/>
        </w:sectPr>
      </w:pPr>
    </w:p>
    <w:p>
      <w:pPr>
        <w:numPr>
          <w:ilvl w:val="2"/>
          <w:numId w:val="94"/>
        </w:numPr>
        <w:tabs>
          <w:tab w:pos="1853" w:val="left" w:leader="none"/>
          <w:tab w:pos="1854" w:val="left" w:leader="none"/>
        </w:tabs>
        <w:spacing w:before="116"/>
        <w:ind w:left="1853" w:right="0" w:hanging="721"/>
        <w:jc w:val="left"/>
        <w:rPr>
          <w:rFonts w:ascii="Stone Sans II ITC Std Bk"/>
          <w:b/>
          <w:sz w:val="21"/>
        </w:rPr>
      </w:pPr>
      <w:r>
        <w:rPr/>
        <w:pict>
          <v:rect style="position:absolute;margin-left:12.047pt;margin-top:9.238773pt;width:22.677pt;height:22.677pt;mso-position-horizontal-relative:page;mso-position-vertical-relative:paragraph;z-index:251915264" filled="true" fillcolor="#f9e9c1" stroked="false">
            <v:fill opacity="32768f" type="solid"/>
            <w10:wrap type="none"/>
          </v:rect>
        </w:pict>
      </w:r>
      <w:r>
        <w:rPr>
          <w:rFonts w:ascii="Stone Sans II ITC Std Bk"/>
          <w:b/>
          <w:w w:val="115"/>
          <w:sz w:val="21"/>
        </w:rPr>
        <w:t>Church Related Community</w:t>
      </w:r>
      <w:r>
        <w:rPr>
          <w:rFonts w:ascii="Stone Sans II ITC Std Bk"/>
          <w:b/>
          <w:spacing w:val="-6"/>
          <w:w w:val="115"/>
          <w:sz w:val="21"/>
        </w:rPr>
        <w:t> </w:t>
      </w:r>
      <w:r>
        <w:rPr>
          <w:rFonts w:ascii="Stone Sans II ITC Std Bk"/>
          <w:b/>
          <w:w w:val="115"/>
          <w:sz w:val="21"/>
        </w:rPr>
        <w:t>Workers</w:t>
      </w:r>
    </w:p>
    <w:p>
      <w:pPr>
        <w:pStyle w:val="BodyText"/>
        <w:spacing w:line="235" w:lineRule="auto" w:before="222"/>
        <w:ind w:left="1133" w:right="1997"/>
      </w:pPr>
      <w:r>
        <w:rPr>
          <w:w w:val="120"/>
        </w:rPr>
        <w:t>A</w:t>
      </w:r>
      <w:r>
        <w:rPr>
          <w:spacing w:val="-10"/>
          <w:w w:val="120"/>
        </w:rPr>
        <w:t> </w:t>
      </w:r>
      <w:r>
        <w:rPr>
          <w:w w:val="120"/>
        </w:rPr>
        <w:t>local</w:t>
      </w:r>
      <w:r>
        <w:rPr>
          <w:spacing w:val="-9"/>
          <w:w w:val="120"/>
        </w:rPr>
        <w:t> </w:t>
      </w:r>
      <w:r>
        <w:rPr>
          <w:spacing w:val="-3"/>
          <w:w w:val="120"/>
        </w:rPr>
        <w:t>church</w:t>
      </w:r>
      <w:r>
        <w:rPr>
          <w:spacing w:val="-10"/>
          <w:w w:val="120"/>
        </w:rPr>
        <w:t> </w:t>
      </w:r>
      <w:r>
        <w:rPr>
          <w:spacing w:val="-3"/>
          <w:w w:val="120"/>
        </w:rPr>
        <w:t>may</w:t>
      </w:r>
      <w:r>
        <w:rPr>
          <w:spacing w:val="-9"/>
          <w:w w:val="120"/>
        </w:rPr>
        <w:t> </w:t>
      </w:r>
      <w:r>
        <w:rPr>
          <w:w w:val="120"/>
        </w:rPr>
        <w:t>at</w:t>
      </w:r>
      <w:r>
        <w:rPr>
          <w:spacing w:val="-10"/>
          <w:w w:val="120"/>
        </w:rPr>
        <w:t> </w:t>
      </w:r>
      <w:r>
        <w:rPr>
          <w:spacing w:val="-3"/>
          <w:w w:val="120"/>
        </w:rPr>
        <w:t>any</w:t>
      </w:r>
      <w:r>
        <w:rPr>
          <w:spacing w:val="-9"/>
          <w:w w:val="120"/>
        </w:rPr>
        <w:t> </w:t>
      </w:r>
      <w:r>
        <w:rPr>
          <w:w w:val="120"/>
        </w:rPr>
        <w:t>one</w:t>
      </w:r>
      <w:r>
        <w:rPr>
          <w:spacing w:val="-9"/>
          <w:w w:val="120"/>
        </w:rPr>
        <w:t> </w:t>
      </w:r>
      <w:r>
        <w:rPr>
          <w:w w:val="120"/>
        </w:rPr>
        <w:t>time</w:t>
      </w:r>
      <w:r>
        <w:rPr>
          <w:spacing w:val="-10"/>
          <w:w w:val="120"/>
        </w:rPr>
        <w:t> </w:t>
      </w:r>
      <w:r>
        <w:rPr>
          <w:spacing w:val="-3"/>
          <w:w w:val="120"/>
        </w:rPr>
        <w:t>have</w:t>
      </w:r>
      <w:r>
        <w:rPr>
          <w:spacing w:val="-9"/>
          <w:w w:val="120"/>
        </w:rPr>
        <w:t> </w:t>
      </w:r>
      <w:r>
        <w:rPr>
          <w:w w:val="120"/>
        </w:rPr>
        <w:t>one</w:t>
      </w:r>
      <w:r>
        <w:rPr>
          <w:spacing w:val="-10"/>
          <w:w w:val="120"/>
        </w:rPr>
        <w:t> </w:t>
      </w:r>
      <w:r>
        <w:rPr>
          <w:w w:val="120"/>
        </w:rPr>
        <w:t>or</w:t>
      </w:r>
      <w:r>
        <w:rPr>
          <w:spacing w:val="-9"/>
          <w:w w:val="120"/>
        </w:rPr>
        <w:t> </w:t>
      </w:r>
      <w:r>
        <w:rPr>
          <w:w w:val="120"/>
        </w:rPr>
        <w:t>more</w:t>
      </w:r>
      <w:r>
        <w:rPr>
          <w:spacing w:val="-10"/>
          <w:w w:val="120"/>
        </w:rPr>
        <w:t> </w:t>
      </w:r>
      <w:r>
        <w:rPr>
          <w:spacing w:val="-3"/>
          <w:w w:val="120"/>
        </w:rPr>
        <w:t>Church</w:t>
      </w:r>
      <w:r>
        <w:rPr>
          <w:spacing w:val="-9"/>
          <w:w w:val="120"/>
        </w:rPr>
        <w:t> </w:t>
      </w:r>
      <w:r>
        <w:rPr>
          <w:spacing w:val="-3"/>
          <w:w w:val="120"/>
        </w:rPr>
        <w:t>Related</w:t>
      </w:r>
      <w:r>
        <w:rPr>
          <w:spacing w:val="-9"/>
          <w:w w:val="120"/>
        </w:rPr>
        <w:t> </w:t>
      </w:r>
      <w:r>
        <w:rPr>
          <w:w w:val="120"/>
        </w:rPr>
        <w:t>Community</w:t>
      </w:r>
      <w:r>
        <w:rPr>
          <w:spacing w:val="-10"/>
          <w:w w:val="120"/>
        </w:rPr>
        <w:t> </w:t>
      </w:r>
      <w:r>
        <w:rPr>
          <w:w w:val="120"/>
        </w:rPr>
        <w:t>Workers. They</w:t>
      </w:r>
      <w:r>
        <w:rPr>
          <w:spacing w:val="-5"/>
          <w:w w:val="120"/>
        </w:rPr>
        <w:t> </w:t>
      </w:r>
      <w:r>
        <w:rPr>
          <w:w w:val="120"/>
        </w:rPr>
        <w:t>are</w:t>
      </w:r>
      <w:r>
        <w:rPr>
          <w:spacing w:val="-5"/>
          <w:w w:val="120"/>
        </w:rPr>
        <w:t> </w:t>
      </w:r>
      <w:r>
        <w:rPr>
          <w:w w:val="120"/>
        </w:rPr>
        <w:t>called</w:t>
      </w:r>
      <w:r>
        <w:rPr>
          <w:spacing w:val="-5"/>
          <w:w w:val="120"/>
        </w:rPr>
        <w:t> </w:t>
      </w:r>
      <w:r>
        <w:rPr>
          <w:spacing w:val="-3"/>
          <w:w w:val="120"/>
        </w:rPr>
        <w:t>to</w:t>
      </w:r>
      <w:r>
        <w:rPr>
          <w:spacing w:val="-5"/>
          <w:w w:val="120"/>
        </w:rPr>
        <w:t> </w:t>
      </w:r>
      <w:r>
        <w:rPr>
          <w:w w:val="120"/>
        </w:rPr>
        <w:t>a</w:t>
      </w:r>
      <w:r>
        <w:rPr>
          <w:spacing w:val="-5"/>
          <w:w w:val="120"/>
        </w:rPr>
        <w:t> </w:t>
      </w:r>
      <w:r>
        <w:rPr>
          <w:w w:val="120"/>
        </w:rPr>
        <w:t>ministry</w:t>
      </w:r>
      <w:r>
        <w:rPr>
          <w:spacing w:val="-5"/>
          <w:w w:val="120"/>
        </w:rPr>
        <w:t> </w:t>
      </w:r>
      <w:r>
        <w:rPr>
          <w:w w:val="120"/>
        </w:rPr>
        <w:t>of</w:t>
      </w:r>
      <w:r>
        <w:rPr>
          <w:spacing w:val="-5"/>
          <w:w w:val="120"/>
        </w:rPr>
        <w:t> </w:t>
      </w:r>
      <w:r>
        <w:rPr>
          <w:w w:val="120"/>
        </w:rPr>
        <w:t>caring,</w:t>
      </w:r>
      <w:r>
        <w:rPr>
          <w:spacing w:val="-5"/>
          <w:w w:val="120"/>
        </w:rPr>
        <w:t> </w:t>
      </w:r>
      <w:r>
        <w:rPr>
          <w:w w:val="120"/>
        </w:rPr>
        <w:t>challenging</w:t>
      </w:r>
      <w:r>
        <w:rPr>
          <w:spacing w:val="-5"/>
          <w:w w:val="120"/>
        </w:rPr>
        <w:t> </w:t>
      </w:r>
      <w:r>
        <w:rPr>
          <w:w w:val="120"/>
        </w:rPr>
        <w:t>and</w:t>
      </w:r>
      <w:r>
        <w:rPr>
          <w:spacing w:val="-5"/>
          <w:w w:val="120"/>
        </w:rPr>
        <w:t> </w:t>
      </w:r>
      <w:r>
        <w:rPr>
          <w:w w:val="120"/>
        </w:rPr>
        <w:t>praying</w:t>
      </w:r>
      <w:r>
        <w:rPr>
          <w:spacing w:val="-5"/>
          <w:w w:val="120"/>
        </w:rPr>
        <w:t> </w:t>
      </w:r>
      <w:r>
        <w:rPr>
          <w:w w:val="120"/>
        </w:rPr>
        <w:t>for</w:t>
      </w:r>
      <w:r>
        <w:rPr>
          <w:spacing w:val="-5"/>
          <w:w w:val="120"/>
        </w:rPr>
        <w:t> </w:t>
      </w:r>
      <w:r>
        <w:rPr>
          <w:w w:val="120"/>
        </w:rPr>
        <w:t>the</w:t>
      </w:r>
      <w:r>
        <w:rPr>
          <w:spacing w:val="-5"/>
          <w:w w:val="120"/>
        </w:rPr>
        <w:t> </w:t>
      </w:r>
      <w:r>
        <w:rPr>
          <w:spacing w:val="-4"/>
          <w:w w:val="120"/>
        </w:rPr>
        <w:t>community.</w:t>
      </w:r>
    </w:p>
    <w:p>
      <w:pPr>
        <w:pStyle w:val="ListParagraph"/>
        <w:numPr>
          <w:ilvl w:val="2"/>
          <w:numId w:val="94"/>
        </w:numPr>
        <w:tabs>
          <w:tab w:pos="1853" w:val="left" w:leader="none"/>
          <w:tab w:pos="1854" w:val="left" w:leader="none"/>
        </w:tabs>
        <w:spacing w:line="309" w:lineRule="exact" w:before="185" w:after="0"/>
        <w:ind w:left="1853" w:right="0" w:hanging="721"/>
        <w:jc w:val="left"/>
        <w:rPr>
          <w:rFonts w:ascii="Stone Sans II ITC Std Bk"/>
          <w:b/>
          <w:sz w:val="21"/>
        </w:rPr>
      </w:pPr>
      <w:r>
        <w:rPr>
          <w:rFonts w:ascii="Stone Sans II ITC Std Bk"/>
          <w:b/>
          <w:sz w:val="24"/>
        </w:rPr>
        <w:t>Elders</w:t>
      </w:r>
    </w:p>
    <w:p>
      <w:pPr>
        <w:pStyle w:val="ListParagraph"/>
        <w:numPr>
          <w:ilvl w:val="3"/>
          <w:numId w:val="94"/>
        </w:numPr>
        <w:tabs>
          <w:tab w:pos="1853" w:val="left" w:leader="none"/>
          <w:tab w:pos="1854" w:val="left" w:leader="none"/>
          <w:tab w:pos="2573" w:val="left" w:leader="none"/>
        </w:tabs>
        <w:spacing w:line="235" w:lineRule="auto" w:before="0" w:after="0"/>
        <w:ind w:left="1853" w:right="2055" w:hanging="721"/>
        <w:jc w:val="left"/>
        <w:rPr>
          <w:sz w:val="20"/>
        </w:rPr>
      </w:pPr>
      <w:r>
        <w:rPr>
          <w:i/>
          <w:w w:val="120"/>
          <w:sz w:val="20"/>
        </w:rPr>
        <w:t>Alt</w:t>
      </w:r>
      <w:r>
        <w:rPr>
          <w:i/>
          <w:spacing w:val="-14"/>
          <w:w w:val="120"/>
          <w:sz w:val="20"/>
        </w:rPr>
        <w:t> </w:t>
      </w:r>
      <w:r>
        <w:rPr>
          <w:i/>
          <w:w w:val="120"/>
          <w:sz w:val="20"/>
        </w:rPr>
        <w:t>1</w:t>
        <w:tab/>
      </w:r>
      <w:r>
        <w:rPr>
          <w:w w:val="120"/>
          <w:sz w:val="20"/>
        </w:rPr>
        <w:t>The church meeting shall adopt such methods of electing Elders as it shall from time to time see fit and determine how long elected Elders shall serve and whether or not there must be an interval between the completion of a period of service and election for a subsequent</w:t>
      </w:r>
      <w:r>
        <w:rPr>
          <w:spacing w:val="14"/>
          <w:w w:val="120"/>
          <w:sz w:val="20"/>
        </w:rPr>
        <w:t> </w:t>
      </w:r>
      <w:r>
        <w:rPr>
          <w:w w:val="120"/>
          <w:sz w:val="20"/>
        </w:rPr>
        <w:t>period.</w:t>
      </w:r>
    </w:p>
    <w:p>
      <w:pPr>
        <w:tabs>
          <w:tab w:pos="2573" w:val="left" w:leader="none"/>
        </w:tabs>
        <w:spacing w:line="235" w:lineRule="auto" w:before="0"/>
        <w:ind w:left="1853" w:right="2191" w:firstLine="0"/>
        <w:jc w:val="left"/>
        <w:rPr>
          <w:i/>
          <w:sz w:val="20"/>
        </w:rPr>
      </w:pPr>
      <w:r>
        <w:rPr>
          <w:i/>
          <w:w w:val="110"/>
          <w:sz w:val="20"/>
        </w:rPr>
        <w:t>Alt</w:t>
      </w:r>
      <w:r>
        <w:rPr>
          <w:i/>
          <w:spacing w:val="1"/>
          <w:w w:val="110"/>
          <w:sz w:val="20"/>
        </w:rPr>
        <w:t> </w:t>
      </w:r>
      <w:r>
        <w:rPr>
          <w:i/>
          <w:w w:val="110"/>
          <w:sz w:val="20"/>
        </w:rPr>
        <w:t>2</w:t>
        <w:tab/>
        <w:t>churches </w:t>
      </w:r>
      <w:r>
        <w:rPr>
          <w:i/>
          <w:spacing w:val="-4"/>
          <w:w w:val="110"/>
          <w:sz w:val="20"/>
        </w:rPr>
        <w:t>may, </w:t>
      </w:r>
      <w:r>
        <w:rPr>
          <w:i/>
          <w:w w:val="110"/>
          <w:sz w:val="20"/>
        </w:rPr>
        <w:t>if they wish, as an alternative to the above set out here the detail </w:t>
      </w:r>
      <w:r>
        <w:rPr>
          <w:i/>
          <w:w w:val="110"/>
          <w:sz w:val="20"/>
        </w:rPr>
        <w:t>of their procedure for electing elders, length of service</w:t>
      </w:r>
      <w:r>
        <w:rPr>
          <w:i/>
          <w:spacing w:val="31"/>
          <w:w w:val="110"/>
          <w:sz w:val="20"/>
        </w:rPr>
        <w:t> </w:t>
      </w:r>
      <w:r>
        <w:rPr>
          <w:i/>
          <w:w w:val="110"/>
          <w:sz w:val="20"/>
        </w:rPr>
        <w:t>etc.</w:t>
      </w:r>
    </w:p>
    <w:p>
      <w:pPr>
        <w:pStyle w:val="BodyText"/>
        <w:rPr>
          <w:i/>
          <w:sz w:val="19"/>
        </w:rPr>
      </w:pPr>
    </w:p>
    <w:p>
      <w:pPr>
        <w:pStyle w:val="BodyText"/>
        <w:tabs>
          <w:tab w:pos="2573" w:val="left" w:leader="none"/>
        </w:tabs>
        <w:spacing w:line="235" w:lineRule="auto"/>
        <w:ind w:left="1853" w:right="2251" w:hanging="720"/>
      </w:pPr>
      <w:r>
        <w:rPr>
          <w:spacing w:val="-3"/>
          <w:w w:val="120"/>
        </w:rPr>
        <w:t>5.3.2. </w:t>
      </w:r>
      <w:r>
        <w:rPr>
          <w:spacing w:val="48"/>
          <w:w w:val="120"/>
        </w:rPr>
        <w:t> </w:t>
      </w:r>
      <w:r>
        <w:rPr>
          <w:i/>
          <w:w w:val="120"/>
        </w:rPr>
        <w:t>Alt</w:t>
      </w:r>
      <w:r>
        <w:rPr>
          <w:i/>
          <w:spacing w:val="-3"/>
          <w:w w:val="120"/>
        </w:rPr>
        <w:t> </w:t>
      </w:r>
      <w:r>
        <w:rPr>
          <w:i/>
          <w:w w:val="120"/>
        </w:rPr>
        <w:t>1</w:t>
        <w:tab/>
      </w:r>
      <w:r>
        <w:rPr>
          <w:w w:val="120"/>
        </w:rPr>
        <w:t>[The Church Meeting/the Elders] shall make such rules and regulations relating to the calling and conduct of Elders Meetings as they shall from time to time think</w:t>
      </w:r>
      <w:r>
        <w:rPr>
          <w:spacing w:val="3"/>
          <w:w w:val="120"/>
        </w:rPr>
        <w:t> </w:t>
      </w:r>
      <w:r>
        <w:rPr>
          <w:w w:val="120"/>
        </w:rPr>
        <w:t>fit.</w:t>
      </w:r>
    </w:p>
    <w:p>
      <w:pPr>
        <w:tabs>
          <w:tab w:pos="2573" w:val="left" w:leader="none"/>
        </w:tabs>
        <w:spacing w:line="235" w:lineRule="auto" w:before="2"/>
        <w:ind w:left="1853" w:right="2251" w:firstLine="0"/>
        <w:jc w:val="left"/>
        <w:rPr>
          <w:i/>
          <w:sz w:val="20"/>
        </w:rPr>
      </w:pPr>
      <w:r>
        <w:rPr>
          <w:i/>
          <w:w w:val="110"/>
          <w:sz w:val="20"/>
        </w:rPr>
        <w:t>Alt</w:t>
      </w:r>
      <w:r>
        <w:rPr>
          <w:i/>
          <w:spacing w:val="1"/>
          <w:w w:val="110"/>
          <w:sz w:val="20"/>
        </w:rPr>
        <w:t> </w:t>
      </w:r>
      <w:r>
        <w:rPr>
          <w:i/>
          <w:w w:val="110"/>
          <w:sz w:val="20"/>
        </w:rPr>
        <w:t>2</w:t>
        <w:tab/>
        <w:t>Churches </w:t>
      </w:r>
      <w:r>
        <w:rPr>
          <w:i/>
          <w:spacing w:val="-4"/>
          <w:w w:val="110"/>
          <w:sz w:val="20"/>
        </w:rPr>
        <w:t>may, </w:t>
      </w:r>
      <w:r>
        <w:rPr>
          <w:i/>
          <w:w w:val="110"/>
          <w:sz w:val="20"/>
        </w:rPr>
        <w:t>if they wish, as an alternative to the above set out here in detail </w:t>
      </w:r>
      <w:r>
        <w:rPr>
          <w:i/>
          <w:w w:val="110"/>
          <w:sz w:val="20"/>
        </w:rPr>
        <w:t>how Elders Meetings are to be called and</w:t>
      </w:r>
      <w:r>
        <w:rPr>
          <w:i/>
          <w:spacing w:val="34"/>
          <w:w w:val="110"/>
          <w:sz w:val="20"/>
        </w:rPr>
        <w:t> </w:t>
      </w:r>
      <w:r>
        <w:rPr>
          <w:i/>
          <w:w w:val="110"/>
          <w:sz w:val="20"/>
        </w:rPr>
        <w:t>conducted.</w:t>
      </w:r>
    </w:p>
    <w:p>
      <w:pPr>
        <w:numPr>
          <w:ilvl w:val="1"/>
          <w:numId w:val="94"/>
        </w:numPr>
        <w:tabs>
          <w:tab w:pos="1853" w:val="left" w:leader="none"/>
          <w:tab w:pos="1854" w:val="left" w:leader="none"/>
        </w:tabs>
        <w:spacing w:before="216"/>
        <w:ind w:left="1853" w:right="0" w:hanging="721"/>
        <w:jc w:val="left"/>
        <w:rPr>
          <w:rFonts w:ascii="Stone Sans II ITC Std Bk"/>
          <w:b/>
          <w:sz w:val="21"/>
        </w:rPr>
      </w:pPr>
      <w:r>
        <w:rPr>
          <w:rFonts w:ascii="Stone Sans II ITC Std Bk"/>
          <w:b/>
          <w:w w:val="115"/>
          <w:sz w:val="21"/>
        </w:rPr>
        <w:t>Honorary officers, representatives and</w:t>
      </w:r>
      <w:r>
        <w:rPr>
          <w:rFonts w:ascii="Stone Sans II ITC Std Bk"/>
          <w:b/>
          <w:spacing w:val="-8"/>
          <w:w w:val="115"/>
          <w:sz w:val="21"/>
        </w:rPr>
        <w:t> </w:t>
      </w:r>
      <w:r>
        <w:rPr>
          <w:rFonts w:ascii="Stone Sans II ITC Std Bk"/>
          <w:b/>
          <w:w w:val="115"/>
          <w:sz w:val="21"/>
        </w:rPr>
        <w:t>committees</w:t>
      </w:r>
    </w:p>
    <w:p>
      <w:pPr>
        <w:pStyle w:val="ListParagraph"/>
        <w:numPr>
          <w:ilvl w:val="2"/>
          <w:numId w:val="94"/>
        </w:numPr>
        <w:tabs>
          <w:tab w:pos="1814" w:val="left" w:leader="none"/>
          <w:tab w:pos="1815" w:val="left" w:leader="none"/>
        </w:tabs>
        <w:spacing w:line="242" w:lineRule="exact" w:before="218" w:after="0"/>
        <w:ind w:left="1814" w:right="0" w:hanging="682"/>
        <w:jc w:val="left"/>
        <w:rPr>
          <w:sz w:val="20"/>
        </w:rPr>
      </w:pPr>
      <w:r>
        <w:rPr>
          <w:w w:val="120"/>
          <w:sz w:val="20"/>
        </w:rPr>
        <w:t>The Church Meeting</w:t>
      </w:r>
      <w:r>
        <w:rPr>
          <w:spacing w:val="6"/>
          <w:w w:val="120"/>
          <w:sz w:val="20"/>
        </w:rPr>
        <w:t> </w:t>
      </w:r>
      <w:r>
        <w:rPr>
          <w:w w:val="120"/>
          <w:sz w:val="20"/>
        </w:rPr>
        <w:t>shall:</w:t>
      </w:r>
    </w:p>
    <w:p>
      <w:pPr>
        <w:pStyle w:val="ListParagraph"/>
        <w:numPr>
          <w:ilvl w:val="0"/>
          <w:numId w:val="99"/>
        </w:numPr>
        <w:tabs>
          <w:tab w:pos="1814" w:val="left" w:leader="none"/>
          <w:tab w:pos="1815" w:val="left" w:leader="none"/>
        </w:tabs>
        <w:spacing w:line="235" w:lineRule="auto" w:before="2" w:after="0"/>
        <w:ind w:left="1814" w:right="1999" w:hanging="681"/>
        <w:jc w:val="left"/>
        <w:rPr>
          <w:sz w:val="20"/>
        </w:rPr>
      </w:pPr>
      <w:r>
        <w:rPr>
          <w:w w:val="120"/>
          <w:sz w:val="20"/>
        </w:rPr>
        <w:t>consider the candidates nominated by the Elders’ Meeting for the office of Church Secretary, and by the charity trustees of the </w:t>
      </w:r>
      <w:r>
        <w:rPr>
          <w:spacing w:val="-3"/>
          <w:w w:val="120"/>
          <w:sz w:val="20"/>
        </w:rPr>
        <w:t>Church’s </w:t>
      </w:r>
      <w:r>
        <w:rPr>
          <w:w w:val="120"/>
          <w:sz w:val="20"/>
        </w:rPr>
        <w:t>general funds for the office of </w:t>
      </w:r>
      <w:r>
        <w:rPr>
          <w:spacing w:val="-3"/>
          <w:w w:val="120"/>
          <w:sz w:val="20"/>
        </w:rPr>
        <w:t>Treasurer. </w:t>
      </w:r>
      <w:r>
        <w:rPr>
          <w:w w:val="120"/>
          <w:sz w:val="20"/>
        </w:rPr>
        <w:t>If the candidate for Church Secretary is not acceptable to the Church Meeting then a fresh nomination is to be sought from the Elders’</w:t>
      </w:r>
      <w:r>
        <w:rPr>
          <w:spacing w:val="30"/>
          <w:w w:val="120"/>
          <w:sz w:val="20"/>
        </w:rPr>
        <w:t> </w:t>
      </w:r>
      <w:r>
        <w:rPr>
          <w:w w:val="120"/>
          <w:sz w:val="20"/>
        </w:rPr>
        <w:t>Meeting.</w:t>
      </w:r>
    </w:p>
    <w:p>
      <w:pPr>
        <w:pStyle w:val="ListParagraph"/>
        <w:numPr>
          <w:ilvl w:val="0"/>
          <w:numId w:val="99"/>
        </w:numPr>
        <w:tabs>
          <w:tab w:pos="1814" w:val="left" w:leader="none"/>
          <w:tab w:pos="1815" w:val="left" w:leader="none"/>
        </w:tabs>
        <w:spacing w:line="241" w:lineRule="exact" w:before="0" w:after="0"/>
        <w:ind w:left="1814" w:right="0" w:hanging="682"/>
        <w:jc w:val="left"/>
        <w:rPr>
          <w:sz w:val="20"/>
        </w:rPr>
      </w:pPr>
      <w:r>
        <w:rPr>
          <w:w w:val="120"/>
          <w:sz w:val="20"/>
        </w:rPr>
        <w:t>elect a Church</w:t>
      </w:r>
      <w:r>
        <w:rPr>
          <w:spacing w:val="5"/>
          <w:w w:val="120"/>
          <w:sz w:val="20"/>
        </w:rPr>
        <w:t> </w:t>
      </w:r>
      <w:r>
        <w:rPr>
          <w:w w:val="120"/>
          <w:sz w:val="20"/>
        </w:rPr>
        <w:t>Treasurer</w:t>
      </w:r>
    </w:p>
    <w:p>
      <w:pPr>
        <w:pStyle w:val="ListParagraph"/>
        <w:numPr>
          <w:ilvl w:val="0"/>
          <w:numId w:val="99"/>
        </w:numPr>
        <w:tabs>
          <w:tab w:pos="1814" w:val="left" w:leader="none"/>
          <w:tab w:pos="1815" w:val="left" w:leader="none"/>
        </w:tabs>
        <w:spacing w:line="235" w:lineRule="auto" w:before="2" w:after="0"/>
        <w:ind w:left="1814" w:right="2617" w:hanging="681"/>
        <w:jc w:val="left"/>
        <w:rPr>
          <w:sz w:val="20"/>
        </w:rPr>
      </w:pPr>
      <w:r>
        <w:rPr>
          <w:w w:val="120"/>
          <w:sz w:val="20"/>
        </w:rPr>
        <w:t>elect a person or persons to represent the Church on the Synod. These shall normally be members of the Elders’</w:t>
      </w:r>
      <w:r>
        <w:rPr>
          <w:spacing w:val="13"/>
          <w:w w:val="120"/>
          <w:sz w:val="20"/>
        </w:rPr>
        <w:t> </w:t>
      </w:r>
      <w:r>
        <w:rPr>
          <w:w w:val="120"/>
          <w:sz w:val="20"/>
        </w:rPr>
        <w:t>Meeting</w:t>
      </w:r>
    </w:p>
    <w:p>
      <w:pPr>
        <w:pStyle w:val="ListParagraph"/>
        <w:numPr>
          <w:ilvl w:val="0"/>
          <w:numId w:val="99"/>
        </w:numPr>
        <w:tabs>
          <w:tab w:pos="1814" w:val="left" w:leader="none"/>
          <w:tab w:pos="1815" w:val="left" w:leader="none"/>
        </w:tabs>
        <w:spacing w:line="235" w:lineRule="auto" w:before="1" w:after="0"/>
        <w:ind w:left="1814" w:right="2325" w:hanging="681"/>
        <w:jc w:val="left"/>
        <w:rPr>
          <w:sz w:val="20"/>
        </w:rPr>
      </w:pPr>
      <w:r>
        <w:rPr>
          <w:spacing w:val="3"/>
          <w:w w:val="120"/>
          <w:sz w:val="20"/>
        </w:rPr>
        <w:t>elect </w:t>
      </w:r>
      <w:r>
        <w:rPr>
          <w:w w:val="120"/>
          <w:sz w:val="20"/>
        </w:rPr>
        <w:t>such other </w:t>
      </w:r>
      <w:r>
        <w:rPr>
          <w:spacing w:val="4"/>
          <w:w w:val="120"/>
          <w:sz w:val="20"/>
        </w:rPr>
        <w:t>honorary </w:t>
      </w:r>
      <w:r>
        <w:rPr>
          <w:w w:val="120"/>
          <w:sz w:val="20"/>
        </w:rPr>
        <w:t>officers and </w:t>
      </w:r>
      <w:r>
        <w:rPr>
          <w:spacing w:val="2"/>
          <w:w w:val="120"/>
          <w:sz w:val="20"/>
        </w:rPr>
        <w:t>representatives </w:t>
      </w:r>
      <w:r>
        <w:rPr>
          <w:w w:val="120"/>
          <w:sz w:val="20"/>
        </w:rPr>
        <w:t>to </w:t>
      </w:r>
      <w:r>
        <w:rPr>
          <w:spacing w:val="2"/>
          <w:w w:val="120"/>
          <w:sz w:val="20"/>
        </w:rPr>
        <w:t>external bodies </w:t>
      </w:r>
      <w:r>
        <w:rPr>
          <w:w w:val="120"/>
          <w:sz w:val="20"/>
        </w:rPr>
        <w:t>as it </w:t>
      </w:r>
      <w:r>
        <w:rPr>
          <w:spacing w:val="2"/>
          <w:w w:val="120"/>
          <w:sz w:val="20"/>
        </w:rPr>
        <w:t>sees</w:t>
      </w:r>
      <w:r>
        <w:rPr>
          <w:spacing w:val="5"/>
          <w:w w:val="120"/>
          <w:sz w:val="20"/>
        </w:rPr>
        <w:t> </w:t>
      </w:r>
      <w:r>
        <w:rPr>
          <w:w w:val="120"/>
          <w:sz w:val="20"/>
        </w:rPr>
        <w:t>fit;</w:t>
      </w:r>
    </w:p>
    <w:p>
      <w:pPr>
        <w:pStyle w:val="BodyText"/>
        <w:spacing w:before="10"/>
        <w:rPr>
          <w:sz w:val="19"/>
        </w:rPr>
      </w:pPr>
    </w:p>
    <w:p>
      <w:pPr>
        <w:pStyle w:val="ListParagraph"/>
        <w:numPr>
          <w:ilvl w:val="2"/>
          <w:numId w:val="94"/>
        </w:numPr>
        <w:tabs>
          <w:tab w:pos="1814" w:val="left" w:leader="none"/>
          <w:tab w:pos="1815" w:val="left" w:leader="none"/>
        </w:tabs>
        <w:spacing w:line="235" w:lineRule="auto" w:before="0" w:after="0"/>
        <w:ind w:left="1134" w:right="2228" w:firstLine="0"/>
        <w:jc w:val="left"/>
        <w:rPr>
          <w:sz w:val="20"/>
        </w:rPr>
      </w:pPr>
      <w:r>
        <w:rPr>
          <w:w w:val="120"/>
          <w:sz w:val="20"/>
        </w:rPr>
        <w:t>The Church Meeting and Elders’ Meeting may each establish such committees  or ministry groups as they see fit, prescribing their method of appointment, terms of reference and frequency of reporting to the parent body. The Church Meeting may determine to which council of the church (itself or the Elders’ Meeting) any committee or group established by it is to</w:t>
      </w:r>
      <w:r>
        <w:rPr>
          <w:spacing w:val="16"/>
          <w:w w:val="120"/>
          <w:sz w:val="20"/>
        </w:rPr>
        <w:t> </w:t>
      </w:r>
      <w:r>
        <w:rPr>
          <w:w w:val="120"/>
          <w:sz w:val="20"/>
        </w:rPr>
        <w:t>report.</w:t>
      </w:r>
    </w:p>
    <w:p>
      <w:pPr>
        <w:pStyle w:val="BodyText"/>
        <w:spacing w:before="11"/>
        <w:rPr>
          <w:sz w:val="19"/>
        </w:rPr>
      </w:pPr>
    </w:p>
    <w:p>
      <w:pPr>
        <w:pStyle w:val="ListParagraph"/>
        <w:numPr>
          <w:ilvl w:val="2"/>
          <w:numId w:val="94"/>
        </w:numPr>
        <w:tabs>
          <w:tab w:pos="1814" w:val="left" w:leader="none"/>
          <w:tab w:pos="1815" w:val="left" w:leader="none"/>
        </w:tabs>
        <w:spacing w:line="235" w:lineRule="auto" w:before="0" w:after="0"/>
        <w:ind w:left="1134" w:right="1984" w:firstLine="0"/>
        <w:jc w:val="left"/>
        <w:rPr>
          <w:sz w:val="20"/>
        </w:rPr>
      </w:pPr>
      <w:r>
        <w:rPr>
          <w:w w:val="120"/>
          <w:sz w:val="20"/>
        </w:rPr>
        <w:t>Control of a delegated budget, with or without the competence to sign cheques drawn on church funds, may be delegated by the charity trustees of the funds concerned to committees, ministry groups or individual</w:t>
      </w:r>
      <w:r>
        <w:rPr>
          <w:spacing w:val="13"/>
          <w:w w:val="120"/>
          <w:sz w:val="20"/>
        </w:rPr>
        <w:t> </w:t>
      </w:r>
      <w:r>
        <w:rPr>
          <w:w w:val="120"/>
          <w:sz w:val="20"/>
        </w:rPr>
        <w:t>officers.</w:t>
      </w:r>
    </w:p>
    <w:p>
      <w:pPr>
        <w:pStyle w:val="BodyText"/>
        <w:spacing w:before="9"/>
        <w:rPr>
          <w:sz w:val="17"/>
        </w:rPr>
      </w:pPr>
    </w:p>
    <w:p>
      <w:pPr>
        <w:numPr>
          <w:ilvl w:val="1"/>
          <w:numId w:val="94"/>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Employees and paid</w:t>
      </w:r>
      <w:r>
        <w:rPr>
          <w:rFonts w:ascii="Stone Sans II ITC Std Bk"/>
          <w:b/>
          <w:spacing w:val="-5"/>
          <w:w w:val="115"/>
          <w:sz w:val="21"/>
        </w:rPr>
        <w:t> </w:t>
      </w:r>
      <w:r>
        <w:rPr>
          <w:rFonts w:ascii="Stone Sans II ITC Std Bk"/>
          <w:b/>
          <w:w w:val="115"/>
          <w:sz w:val="21"/>
        </w:rPr>
        <w:t>contractors</w:t>
      </w:r>
    </w:p>
    <w:p>
      <w:pPr>
        <w:pStyle w:val="ListParagraph"/>
        <w:numPr>
          <w:ilvl w:val="2"/>
          <w:numId w:val="94"/>
        </w:numPr>
        <w:tabs>
          <w:tab w:pos="1853" w:val="left" w:leader="none"/>
          <w:tab w:pos="1854" w:val="left" w:leader="none"/>
        </w:tabs>
        <w:spacing w:line="235" w:lineRule="auto" w:before="223" w:after="0"/>
        <w:ind w:left="1133" w:right="2482" w:firstLine="0"/>
        <w:jc w:val="left"/>
        <w:rPr>
          <w:sz w:val="20"/>
        </w:rPr>
      </w:pPr>
      <w:r>
        <w:rPr>
          <w:spacing w:val="-7"/>
          <w:w w:val="120"/>
          <w:sz w:val="20"/>
        </w:rPr>
        <w:t>To </w:t>
      </w:r>
      <w:r>
        <w:rPr>
          <w:w w:val="120"/>
          <w:sz w:val="20"/>
        </w:rPr>
        <w:t>avoid doubt, this clause does not apply to the appointment of stipendiary ministers or church-related community</w:t>
      </w:r>
      <w:r>
        <w:rPr>
          <w:spacing w:val="7"/>
          <w:w w:val="120"/>
          <w:sz w:val="20"/>
        </w:rPr>
        <w:t> </w:t>
      </w:r>
      <w:r>
        <w:rPr>
          <w:w w:val="120"/>
          <w:sz w:val="20"/>
        </w:rPr>
        <w:t>workers.</w:t>
      </w:r>
    </w:p>
    <w:p>
      <w:pPr>
        <w:pStyle w:val="BodyText"/>
        <w:spacing w:before="9"/>
        <w:rPr>
          <w:sz w:val="19"/>
        </w:rPr>
      </w:pPr>
    </w:p>
    <w:p>
      <w:pPr>
        <w:pStyle w:val="ListParagraph"/>
        <w:numPr>
          <w:ilvl w:val="2"/>
          <w:numId w:val="94"/>
        </w:numPr>
        <w:tabs>
          <w:tab w:pos="1814" w:val="left" w:leader="none"/>
          <w:tab w:pos="1815" w:val="left" w:leader="none"/>
        </w:tabs>
        <w:spacing w:line="235" w:lineRule="auto" w:before="0" w:after="0"/>
        <w:ind w:left="1134" w:right="2305" w:hanging="1"/>
        <w:jc w:val="left"/>
        <w:rPr>
          <w:sz w:val="20"/>
        </w:rPr>
      </w:pPr>
      <w:r>
        <w:rPr>
          <w:w w:val="120"/>
          <w:sz w:val="20"/>
        </w:rPr>
        <w:t>Appointment </w:t>
      </w:r>
      <w:r>
        <w:rPr>
          <w:spacing w:val="-3"/>
          <w:w w:val="120"/>
          <w:sz w:val="20"/>
        </w:rPr>
        <w:t>to any employed position </w:t>
      </w:r>
      <w:r>
        <w:rPr>
          <w:w w:val="120"/>
          <w:sz w:val="20"/>
        </w:rPr>
        <w:t>in the service of the </w:t>
      </w:r>
      <w:r>
        <w:rPr>
          <w:spacing w:val="-3"/>
          <w:w w:val="120"/>
          <w:sz w:val="20"/>
        </w:rPr>
        <w:t>Church </w:t>
      </w:r>
      <w:r>
        <w:rPr>
          <w:w w:val="120"/>
          <w:sz w:val="20"/>
        </w:rPr>
        <w:t>will be  made by the charity trustees of the </w:t>
      </w:r>
      <w:r>
        <w:rPr>
          <w:spacing w:val="-3"/>
          <w:w w:val="120"/>
          <w:sz w:val="20"/>
        </w:rPr>
        <w:t>church </w:t>
      </w:r>
      <w:r>
        <w:rPr>
          <w:w w:val="120"/>
          <w:sz w:val="20"/>
        </w:rPr>
        <w:t>funds from which the </w:t>
      </w:r>
      <w:r>
        <w:rPr>
          <w:spacing w:val="-3"/>
          <w:w w:val="120"/>
          <w:sz w:val="20"/>
        </w:rPr>
        <w:t>employee </w:t>
      </w:r>
      <w:r>
        <w:rPr>
          <w:w w:val="120"/>
          <w:sz w:val="20"/>
        </w:rPr>
        <w:t>is </w:t>
      </w:r>
      <w:r>
        <w:rPr>
          <w:spacing w:val="-3"/>
          <w:w w:val="120"/>
          <w:sz w:val="20"/>
        </w:rPr>
        <w:t>to </w:t>
      </w:r>
      <w:r>
        <w:rPr>
          <w:w w:val="120"/>
          <w:sz w:val="20"/>
        </w:rPr>
        <w:t>be paid.</w:t>
      </w:r>
      <w:r>
        <w:rPr>
          <w:spacing w:val="-9"/>
          <w:w w:val="120"/>
          <w:sz w:val="20"/>
        </w:rPr>
        <w:t> </w:t>
      </w:r>
      <w:r>
        <w:rPr>
          <w:w w:val="120"/>
          <w:sz w:val="20"/>
        </w:rPr>
        <w:t>The</w:t>
      </w:r>
      <w:r>
        <w:rPr>
          <w:spacing w:val="-9"/>
          <w:w w:val="120"/>
          <w:sz w:val="20"/>
        </w:rPr>
        <w:t> </w:t>
      </w:r>
      <w:r>
        <w:rPr>
          <w:w w:val="120"/>
          <w:sz w:val="20"/>
        </w:rPr>
        <w:t>charity</w:t>
      </w:r>
      <w:r>
        <w:rPr>
          <w:spacing w:val="-9"/>
          <w:w w:val="120"/>
          <w:sz w:val="20"/>
        </w:rPr>
        <w:t> </w:t>
      </w:r>
      <w:r>
        <w:rPr>
          <w:w w:val="120"/>
          <w:sz w:val="20"/>
        </w:rPr>
        <w:t>trustees</w:t>
      </w:r>
      <w:r>
        <w:rPr>
          <w:spacing w:val="-8"/>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relevant</w:t>
      </w:r>
      <w:r>
        <w:rPr>
          <w:spacing w:val="-8"/>
          <w:w w:val="120"/>
          <w:sz w:val="20"/>
        </w:rPr>
        <w:t> </w:t>
      </w:r>
      <w:r>
        <w:rPr>
          <w:w w:val="120"/>
          <w:sz w:val="20"/>
        </w:rPr>
        <w:t>funds</w:t>
      </w:r>
      <w:r>
        <w:rPr>
          <w:spacing w:val="-9"/>
          <w:w w:val="120"/>
          <w:sz w:val="20"/>
        </w:rPr>
        <w:t> </w:t>
      </w:r>
      <w:r>
        <w:rPr>
          <w:w w:val="120"/>
          <w:sz w:val="20"/>
        </w:rPr>
        <w:t>will</w:t>
      </w:r>
      <w:r>
        <w:rPr>
          <w:spacing w:val="-9"/>
          <w:w w:val="120"/>
          <w:sz w:val="20"/>
        </w:rPr>
        <w:t> </w:t>
      </w:r>
      <w:r>
        <w:rPr>
          <w:w w:val="120"/>
          <w:sz w:val="20"/>
        </w:rPr>
        <w:t>also</w:t>
      </w:r>
      <w:r>
        <w:rPr>
          <w:spacing w:val="-8"/>
          <w:w w:val="120"/>
          <w:sz w:val="20"/>
        </w:rPr>
        <w:t> </w:t>
      </w:r>
      <w:r>
        <w:rPr>
          <w:w w:val="120"/>
          <w:sz w:val="20"/>
        </w:rPr>
        <w:t>be</w:t>
      </w:r>
      <w:r>
        <w:rPr>
          <w:spacing w:val="-9"/>
          <w:w w:val="120"/>
          <w:sz w:val="20"/>
        </w:rPr>
        <w:t> </w:t>
      </w:r>
      <w:r>
        <w:rPr>
          <w:w w:val="120"/>
          <w:sz w:val="20"/>
        </w:rPr>
        <w:t>party</w:t>
      </w:r>
      <w:r>
        <w:rPr>
          <w:spacing w:val="-9"/>
          <w:w w:val="120"/>
          <w:sz w:val="20"/>
        </w:rPr>
        <w:t> </w:t>
      </w:r>
      <w:r>
        <w:rPr>
          <w:spacing w:val="-3"/>
          <w:w w:val="120"/>
          <w:sz w:val="20"/>
        </w:rPr>
        <w:t>to</w:t>
      </w:r>
      <w:r>
        <w:rPr>
          <w:spacing w:val="-8"/>
          <w:w w:val="120"/>
          <w:sz w:val="20"/>
        </w:rPr>
        <w:t> </w:t>
      </w:r>
      <w:r>
        <w:rPr>
          <w:spacing w:val="-3"/>
          <w:w w:val="120"/>
          <w:sz w:val="20"/>
        </w:rPr>
        <w:t>any</w:t>
      </w:r>
      <w:r>
        <w:rPr>
          <w:spacing w:val="-9"/>
          <w:w w:val="120"/>
          <w:sz w:val="20"/>
        </w:rPr>
        <w:t> </w:t>
      </w:r>
      <w:r>
        <w:rPr>
          <w:w w:val="120"/>
          <w:sz w:val="20"/>
        </w:rPr>
        <w:t>contract</w:t>
      </w:r>
      <w:r>
        <w:rPr>
          <w:spacing w:val="-9"/>
          <w:w w:val="120"/>
          <w:sz w:val="20"/>
        </w:rPr>
        <w:t> </w:t>
      </w:r>
      <w:r>
        <w:rPr>
          <w:w w:val="120"/>
          <w:sz w:val="20"/>
        </w:rPr>
        <w:t>with</w:t>
      </w:r>
      <w:r>
        <w:rPr>
          <w:spacing w:val="-8"/>
          <w:w w:val="120"/>
          <w:sz w:val="20"/>
        </w:rPr>
        <w:t> </w:t>
      </w:r>
      <w:r>
        <w:rPr>
          <w:w w:val="120"/>
          <w:sz w:val="20"/>
        </w:rPr>
        <w:t>an</w:t>
      </w:r>
    </w:p>
    <w:p>
      <w:pPr>
        <w:pStyle w:val="BodyText"/>
        <w:spacing w:line="235" w:lineRule="auto" w:before="2"/>
        <w:ind w:left="1134" w:right="2055"/>
      </w:pPr>
      <w:r>
        <w:rPr>
          <w:w w:val="120"/>
        </w:rPr>
        <w:t>independent contractor for services </w:t>
      </w:r>
      <w:r>
        <w:rPr>
          <w:spacing w:val="-3"/>
          <w:w w:val="120"/>
        </w:rPr>
        <w:t>to </w:t>
      </w:r>
      <w:r>
        <w:rPr>
          <w:w w:val="120"/>
        </w:rPr>
        <w:t>the </w:t>
      </w:r>
      <w:r>
        <w:rPr>
          <w:spacing w:val="-3"/>
          <w:w w:val="120"/>
        </w:rPr>
        <w:t>Church. </w:t>
      </w:r>
      <w:r>
        <w:rPr>
          <w:w w:val="120"/>
        </w:rPr>
        <w:t>Unless the services </w:t>
      </w:r>
      <w:r>
        <w:rPr>
          <w:spacing w:val="-3"/>
          <w:w w:val="120"/>
        </w:rPr>
        <w:t>to </w:t>
      </w:r>
      <w:r>
        <w:rPr>
          <w:w w:val="120"/>
        </w:rPr>
        <w:t>be rendered are solely </w:t>
      </w:r>
      <w:r>
        <w:rPr>
          <w:spacing w:val="-3"/>
          <w:w w:val="120"/>
        </w:rPr>
        <w:t>to </w:t>
      </w:r>
      <w:r>
        <w:rPr>
          <w:w w:val="120"/>
        </w:rPr>
        <w:t>assist the trustees in their function as </w:t>
      </w:r>
      <w:r>
        <w:rPr>
          <w:spacing w:val="-3"/>
          <w:w w:val="120"/>
        </w:rPr>
        <w:t>such, </w:t>
      </w:r>
      <w:r>
        <w:rPr>
          <w:w w:val="120"/>
        </w:rPr>
        <w:t>the </w:t>
      </w:r>
      <w:r>
        <w:rPr>
          <w:spacing w:val="-3"/>
          <w:w w:val="120"/>
        </w:rPr>
        <w:t>following </w:t>
      </w:r>
      <w:r>
        <w:rPr>
          <w:w w:val="120"/>
        </w:rPr>
        <w:t>rules will apply:</w:t>
      </w:r>
    </w:p>
    <w:p>
      <w:pPr>
        <w:pStyle w:val="ListParagraph"/>
        <w:numPr>
          <w:ilvl w:val="0"/>
          <w:numId w:val="100"/>
        </w:numPr>
        <w:tabs>
          <w:tab w:pos="1814" w:val="left" w:leader="none"/>
          <w:tab w:pos="1815" w:val="left" w:leader="none"/>
        </w:tabs>
        <w:spacing w:line="235" w:lineRule="auto" w:before="2" w:after="0"/>
        <w:ind w:left="1814" w:right="2096" w:hanging="681"/>
        <w:jc w:val="left"/>
        <w:rPr>
          <w:sz w:val="20"/>
        </w:rPr>
      </w:pPr>
      <w:r>
        <w:rPr>
          <w:spacing w:val="2"/>
          <w:w w:val="120"/>
          <w:sz w:val="20"/>
        </w:rPr>
        <w:t>The </w:t>
      </w:r>
      <w:r>
        <w:rPr>
          <w:w w:val="120"/>
          <w:sz w:val="20"/>
        </w:rPr>
        <w:t>creation of a new </w:t>
      </w:r>
      <w:r>
        <w:rPr>
          <w:spacing w:val="2"/>
          <w:w w:val="120"/>
          <w:sz w:val="20"/>
        </w:rPr>
        <w:t>permanent </w:t>
      </w:r>
      <w:r>
        <w:rPr>
          <w:w w:val="120"/>
          <w:sz w:val="20"/>
        </w:rPr>
        <w:t>employed position or </w:t>
      </w:r>
      <w:r>
        <w:rPr>
          <w:spacing w:val="2"/>
          <w:w w:val="120"/>
          <w:sz w:val="20"/>
        </w:rPr>
        <w:t>its permanent abolition requires </w:t>
      </w:r>
      <w:r>
        <w:rPr>
          <w:w w:val="120"/>
          <w:sz w:val="20"/>
        </w:rPr>
        <w:t>a </w:t>
      </w:r>
      <w:r>
        <w:rPr>
          <w:spacing w:val="2"/>
          <w:w w:val="120"/>
          <w:sz w:val="20"/>
        </w:rPr>
        <w:t>resolution </w:t>
      </w:r>
      <w:r>
        <w:rPr>
          <w:w w:val="120"/>
          <w:sz w:val="20"/>
        </w:rPr>
        <w:t>of the Church </w:t>
      </w:r>
      <w:r>
        <w:rPr>
          <w:spacing w:val="2"/>
          <w:w w:val="120"/>
          <w:sz w:val="20"/>
        </w:rPr>
        <w:t>Meeting acting </w:t>
      </w:r>
      <w:r>
        <w:rPr>
          <w:w w:val="120"/>
          <w:sz w:val="20"/>
        </w:rPr>
        <w:t>on advice </w:t>
      </w:r>
      <w:r>
        <w:rPr>
          <w:spacing w:val="2"/>
          <w:w w:val="120"/>
          <w:sz w:val="20"/>
        </w:rPr>
        <w:t>from </w:t>
      </w:r>
      <w:r>
        <w:rPr>
          <w:w w:val="120"/>
          <w:sz w:val="20"/>
        </w:rPr>
        <w:t>the Elders’ </w:t>
      </w:r>
      <w:r>
        <w:rPr>
          <w:spacing w:val="2"/>
          <w:w w:val="120"/>
          <w:sz w:val="20"/>
        </w:rPr>
        <w:t>Meeting.</w:t>
      </w:r>
    </w:p>
    <w:p>
      <w:pPr>
        <w:pStyle w:val="ListParagraph"/>
        <w:numPr>
          <w:ilvl w:val="0"/>
          <w:numId w:val="100"/>
        </w:numPr>
        <w:tabs>
          <w:tab w:pos="1814" w:val="left" w:leader="none"/>
          <w:tab w:pos="1815" w:val="left" w:leader="none"/>
        </w:tabs>
        <w:spacing w:line="235" w:lineRule="auto" w:before="2" w:after="0"/>
        <w:ind w:left="1814" w:right="2072" w:hanging="681"/>
        <w:jc w:val="left"/>
        <w:rPr>
          <w:sz w:val="20"/>
        </w:rPr>
      </w:pPr>
      <w:r>
        <w:rPr>
          <w:w w:val="120"/>
          <w:sz w:val="20"/>
        </w:rPr>
        <w:t>The selection of an employee, the decision to </w:t>
      </w:r>
      <w:r>
        <w:rPr>
          <w:spacing w:val="2"/>
          <w:w w:val="120"/>
          <w:sz w:val="20"/>
        </w:rPr>
        <w:t>vary </w:t>
      </w:r>
      <w:r>
        <w:rPr>
          <w:w w:val="120"/>
          <w:sz w:val="20"/>
        </w:rPr>
        <w:t>contractual terms or terminate an employment </w:t>
      </w:r>
      <w:r>
        <w:rPr>
          <w:spacing w:val="-3"/>
          <w:w w:val="120"/>
          <w:sz w:val="20"/>
        </w:rPr>
        <w:t>(except </w:t>
      </w:r>
      <w:r>
        <w:rPr>
          <w:w w:val="120"/>
          <w:sz w:val="20"/>
        </w:rPr>
        <w:t>for disciplinary </w:t>
      </w:r>
      <w:r>
        <w:rPr>
          <w:spacing w:val="-3"/>
          <w:w w:val="120"/>
          <w:sz w:val="20"/>
        </w:rPr>
        <w:t>reasons) </w:t>
      </w:r>
      <w:r>
        <w:rPr>
          <w:w w:val="120"/>
          <w:sz w:val="20"/>
        </w:rPr>
        <w:t>or the decision to contract or terminate a contract with an independent contractor are matters for the Elders’ Meeting, on whose directions the charity trustees are to</w:t>
      </w:r>
      <w:r>
        <w:rPr>
          <w:spacing w:val="18"/>
          <w:w w:val="120"/>
          <w:sz w:val="20"/>
        </w:rPr>
        <w:t> </w:t>
      </w:r>
      <w:r>
        <w:rPr>
          <w:w w:val="120"/>
          <w:sz w:val="20"/>
        </w:rPr>
        <w:t>act.</w:t>
      </w:r>
    </w:p>
    <w:p>
      <w:pPr>
        <w:pStyle w:val="ListParagraph"/>
        <w:numPr>
          <w:ilvl w:val="0"/>
          <w:numId w:val="100"/>
        </w:numPr>
        <w:tabs>
          <w:tab w:pos="1814" w:val="left" w:leader="none"/>
          <w:tab w:pos="1815" w:val="left" w:leader="none"/>
        </w:tabs>
        <w:spacing w:line="235" w:lineRule="auto" w:before="3" w:after="0"/>
        <w:ind w:left="1814" w:right="2346" w:hanging="681"/>
        <w:jc w:val="left"/>
        <w:rPr>
          <w:sz w:val="20"/>
        </w:rPr>
      </w:pPr>
      <w:r>
        <w:rPr>
          <w:w w:val="120"/>
          <w:sz w:val="20"/>
        </w:rPr>
        <w:t>Another church committee may act in lieu of the Elders’ Meeting under the foregoing</w:t>
      </w:r>
      <w:r>
        <w:rPr>
          <w:spacing w:val="12"/>
          <w:w w:val="120"/>
          <w:sz w:val="20"/>
        </w:rPr>
        <w:t> </w:t>
      </w:r>
      <w:r>
        <w:rPr>
          <w:w w:val="120"/>
          <w:sz w:val="20"/>
        </w:rPr>
        <w:t>paragraph</w:t>
      </w:r>
      <w:r>
        <w:rPr>
          <w:spacing w:val="13"/>
          <w:w w:val="120"/>
          <w:sz w:val="20"/>
        </w:rPr>
        <w:t> </w:t>
      </w:r>
      <w:r>
        <w:rPr>
          <w:w w:val="120"/>
          <w:sz w:val="20"/>
        </w:rPr>
        <w:t>but</w:t>
      </w:r>
      <w:r>
        <w:rPr>
          <w:spacing w:val="12"/>
          <w:w w:val="120"/>
          <w:sz w:val="20"/>
        </w:rPr>
        <w:t> </w:t>
      </w:r>
      <w:r>
        <w:rPr>
          <w:w w:val="120"/>
          <w:sz w:val="20"/>
        </w:rPr>
        <w:t>only</w:t>
      </w:r>
      <w:r>
        <w:rPr>
          <w:spacing w:val="13"/>
          <w:w w:val="120"/>
          <w:sz w:val="20"/>
        </w:rPr>
        <w:t> </w:t>
      </w:r>
      <w:r>
        <w:rPr>
          <w:w w:val="120"/>
          <w:sz w:val="20"/>
        </w:rPr>
        <w:t>by</w:t>
      </w:r>
      <w:r>
        <w:rPr>
          <w:spacing w:val="13"/>
          <w:w w:val="120"/>
          <w:sz w:val="20"/>
        </w:rPr>
        <w:t> </w:t>
      </w:r>
      <w:r>
        <w:rPr>
          <w:w w:val="120"/>
          <w:sz w:val="20"/>
        </w:rPr>
        <w:t>express</w:t>
      </w:r>
      <w:r>
        <w:rPr>
          <w:spacing w:val="12"/>
          <w:w w:val="120"/>
          <w:sz w:val="20"/>
        </w:rPr>
        <w:t> </w:t>
      </w:r>
      <w:r>
        <w:rPr>
          <w:w w:val="120"/>
          <w:sz w:val="20"/>
        </w:rPr>
        <w:t>delegation</w:t>
      </w:r>
      <w:r>
        <w:rPr>
          <w:spacing w:val="13"/>
          <w:w w:val="120"/>
          <w:sz w:val="20"/>
        </w:rPr>
        <w:t> </w:t>
      </w:r>
      <w:r>
        <w:rPr>
          <w:w w:val="120"/>
          <w:sz w:val="20"/>
        </w:rPr>
        <w:t>from</w:t>
      </w:r>
      <w:r>
        <w:rPr>
          <w:spacing w:val="13"/>
          <w:w w:val="120"/>
          <w:sz w:val="20"/>
        </w:rPr>
        <w:t> </w:t>
      </w:r>
      <w:r>
        <w:rPr>
          <w:w w:val="120"/>
          <w:sz w:val="20"/>
        </w:rPr>
        <w:t>the</w:t>
      </w:r>
      <w:r>
        <w:rPr>
          <w:spacing w:val="12"/>
          <w:w w:val="120"/>
          <w:sz w:val="20"/>
        </w:rPr>
        <w:t> </w:t>
      </w:r>
      <w:r>
        <w:rPr>
          <w:w w:val="120"/>
          <w:sz w:val="20"/>
        </w:rPr>
        <w:t>Elders’</w:t>
      </w:r>
      <w:r>
        <w:rPr>
          <w:spacing w:val="13"/>
          <w:w w:val="120"/>
          <w:sz w:val="20"/>
        </w:rPr>
        <w:t> </w:t>
      </w:r>
      <w:r>
        <w:rPr>
          <w:w w:val="120"/>
          <w:sz w:val="20"/>
        </w:rPr>
        <w:t>Meeting.</w:t>
      </w:r>
    </w:p>
    <w:p>
      <w:pPr>
        <w:spacing w:after="0" w:line="235" w:lineRule="auto"/>
        <w:jc w:val="left"/>
        <w:rPr>
          <w:sz w:val="20"/>
        </w:rPr>
        <w:sectPr>
          <w:headerReference w:type="even" r:id="rId204"/>
          <w:headerReference w:type="default" r:id="rId205"/>
          <w:footerReference w:type="even" r:id="rId206"/>
          <w:footerReference w:type="default" r:id="rId207"/>
          <w:pgSz w:w="11910" w:h="16840"/>
          <w:pgMar w:header="0" w:footer="647" w:top="1040" w:bottom="840" w:left="0" w:right="0"/>
          <w:pgNumType w:start="72"/>
        </w:sectPr>
      </w:pPr>
    </w:p>
    <w:p>
      <w:pPr>
        <w:pStyle w:val="ListParagraph"/>
        <w:numPr>
          <w:ilvl w:val="0"/>
          <w:numId w:val="100"/>
        </w:numPr>
        <w:tabs>
          <w:tab w:pos="2664" w:val="left" w:leader="none"/>
          <w:tab w:pos="2665" w:val="left" w:leader="none"/>
        </w:tabs>
        <w:spacing w:line="235" w:lineRule="auto" w:before="91" w:after="0"/>
        <w:ind w:left="2664" w:right="1320" w:hanging="681"/>
        <w:jc w:val="left"/>
        <w:rPr>
          <w:sz w:val="20"/>
        </w:rPr>
      </w:pPr>
      <w:r>
        <w:rPr/>
        <w:pict>
          <v:rect style="position:absolute;margin-left:558.424988pt;margin-top:8.503343pt;width:22.677pt;height:22.677pt;mso-position-horizontal-relative:page;mso-position-vertical-relative:paragraph;z-index:251917312" filled="true" fillcolor="#f9e9c1" stroked="false">
            <v:fill opacity="32768f" type="solid"/>
            <w10:wrap type="none"/>
          </v:rect>
        </w:pict>
      </w:r>
      <w:r>
        <w:rPr>
          <w:w w:val="120"/>
          <w:sz w:val="20"/>
        </w:rPr>
        <w:t>The charity trustees are to scrutinise the terms of any contract of employment or for services before it is concluded, and may defer acting on a direction in order to allow the relevant Meeting or committee time to consider any concerns the charity trustees</w:t>
      </w:r>
      <w:r>
        <w:rPr>
          <w:spacing w:val="3"/>
          <w:w w:val="120"/>
          <w:sz w:val="20"/>
        </w:rPr>
        <w:t> </w:t>
      </w:r>
      <w:r>
        <w:rPr>
          <w:w w:val="120"/>
          <w:sz w:val="20"/>
        </w:rPr>
        <w:t>have.</w:t>
      </w:r>
    </w:p>
    <w:p>
      <w:pPr>
        <w:pStyle w:val="ListParagraph"/>
        <w:numPr>
          <w:ilvl w:val="0"/>
          <w:numId w:val="100"/>
        </w:numPr>
        <w:tabs>
          <w:tab w:pos="2664" w:val="left" w:leader="none"/>
          <w:tab w:pos="2665" w:val="left" w:leader="none"/>
        </w:tabs>
        <w:spacing w:line="235" w:lineRule="auto" w:before="3" w:after="0"/>
        <w:ind w:left="2664" w:right="1341" w:hanging="681"/>
        <w:jc w:val="left"/>
        <w:rPr>
          <w:sz w:val="20"/>
        </w:rPr>
      </w:pPr>
      <w:r>
        <w:rPr>
          <w:spacing w:val="2"/>
          <w:w w:val="120"/>
          <w:sz w:val="20"/>
        </w:rPr>
        <w:t>The charity trustees </w:t>
      </w:r>
      <w:r>
        <w:rPr>
          <w:w w:val="120"/>
          <w:sz w:val="20"/>
        </w:rPr>
        <w:t>are at </w:t>
      </w:r>
      <w:r>
        <w:rPr>
          <w:spacing w:val="3"/>
          <w:w w:val="120"/>
          <w:sz w:val="20"/>
        </w:rPr>
        <w:t>liberty </w:t>
      </w:r>
      <w:r>
        <w:rPr>
          <w:w w:val="120"/>
          <w:sz w:val="20"/>
        </w:rPr>
        <w:t>to take, </w:t>
      </w:r>
      <w:r>
        <w:rPr>
          <w:spacing w:val="2"/>
          <w:w w:val="120"/>
          <w:sz w:val="20"/>
        </w:rPr>
        <w:t>without </w:t>
      </w:r>
      <w:r>
        <w:rPr>
          <w:w w:val="120"/>
          <w:sz w:val="20"/>
        </w:rPr>
        <w:t>receiving </w:t>
      </w:r>
      <w:r>
        <w:rPr>
          <w:spacing w:val="2"/>
          <w:w w:val="120"/>
          <w:sz w:val="20"/>
        </w:rPr>
        <w:t>explicit directions, </w:t>
      </w:r>
      <w:r>
        <w:rPr>
          <w:w w:val="120"/>
          <w:sz w:val="20"/>
        </w:rPr>
        <w:t>such other measures in </w:t>
      </w:r>
      <w:r>
        <w:rPr>
          <w:spacing w:val="2"/>
          <w:w w:val="120"/>
          <w:sz w:val="20"/>
        </w:rPr>
        <w:t>relation </w:t>
      </w:r>
      <w:r>
        <w:rPr>
          <w:w w:val="120"/>
          <w:sz w:val="20"/>
        </w:rPr>
        <w:t>to employees as </w:t>
      </w:r>
      <w:r>
        <w:rPr>
          <w:spacing w:val="3"/>
          <w:w w:val="120"/>
          <w:sz w:val="20"/>
        </w:rPr>
        <w:t>good </w:t>
      </w:r>
      <w:r>
        <w:rPr>
          <w:w w:val="120"/>
          <w:sz w:val="20"/>
        </w:rPr>
        <w:t>employment </w:t>
      </w:r>
      <w:r>
        <w:rPr>
          <w:spacing w:val="2"/>
          <w:w w:val="120"/>
          <w:sz w:val="20"/>
        </w:rPr>
        <w:t>practice </w:t>
      </w:r>
      <w:r>
        <w:rPr>
          <w:w w:val="120"/>
          <w:sz w:val="20"/>
        </w:rPr>
        <w:t>may</w:t>
      </w:r>
      <w:r>
        <w:rPr>
          <w:spacing w:val="6"/>
          <w:w w:val="120"/>
          <w:sz w:val="20"/>
        </w:rPr>
        <w:t> </w:t>
      </w:r>
      <w:r>
        <w:rPr>
          <w:w w:val="120"/>
          <w:sz w:val="20"/>
        </w:rPr>
        <w:t>indicate.</w:t>
      </w:r>
    </w:p>
    <w:p>
      <w:pPr>
        <w:pStyle w:val="BodyText"/>
        <w:spacing w:before="10"/>
        <w:rPr>
          <w:sz w:val="19"/>
        </w:rPr>
      </w:pPr>
    </w:p>
    <w:p>
      <w:pPr>
        <w:pStyle w:val="ListParagraph"/>
        <w:numPr>
          <w:ilvl w:val="2"/>
          <w:numId w:val="94"/>
        </w:numPr>
        <w:tabs>
          <w:tab w:pos="2664" w:val="left" w:leader="none"/>
          <w:tab w:pos="2665" w:val="left" w:leader="none"/>
        </w:tabs>
        <w:spacing w:line="235" w:lineRule="auto" w:before="0" w:after="0"/>
        <w:ind w:left="1984" w:right="1889" w:firstLine="0"/>
        <w:jc w:val="left"/>
        <w:rPr>
          <w:sz w:val="20"/>
        </w:rPr>
      </w:pPr>
      <w:r>
        <w:rPr>
          <w:spacing w:val="2"/>
          <w:w w:val="120"/>
          <w:sz w:val="20"/>
        </w:rPr>
        <w:t>Charity trustees </w:t>
      </w:r>
      <w:r>
        <w:rPr>
          <w:w w:val="120"/>
          <w:sz w:val="20"/>
        </w:rPr>
        <w:t>who employ or may employ </w:t>
      </w:r>
      <w:r>
        <w:rPr>
          <w:spacing w:val="2"/>
          <w:w w:val="120"/>
          <w:sz w:val="20"/>
        </w:rPr>
        <w:t>staff </w:t>
      </w:r>
      <w:r>
        <w:rPr>
          <w:w w:val="120"/>
          <w:sz w:val="20"/>
        </w:rPr>
        <w:t>on </w:t>
      </w:r>
      <w:r>
        <w:rPr>
          <w:spacing w:val="2"/>
          <w:w w:val="120"/>
          <w:sz w:val="20"/>
        </w:rPr>
        <w:t>behalf </w:t>
      </w:r>
      <w:r>
        <w:rPr>
          <w:w w:val="120"/>
          <w:sz w:val="20"/>
        </w:rPr>
        <w:t>of the church will</w:t>
      </w:r>
      <w:r>
        <w:rPr>
          <w:spacing w:val="12"/>
          <w:w w:val="120"/>
          <w:sz w:val="20"/>
        </w:rPr>
        <w:t> </w:t>
      </w:r>
      <w:r>
        <w:rPr>
          <w:spacing w:val="2"/>
          <w:w w:val="120"/>
          <w:sz w:val="20"/>
        </w:rPr>
        <w:t>adopt</w:t>
      </w:r>
      <w:r>
        <w:rPr>
          <w:spacing w:val="12"/>
          <w:w w:val="120"/>
          <w:sz w:val="20"/>
        </w:rPr>
        <w:t> </w:t>
      </w:r>
      <w:r>
        <w:rPr>
          <w:w w:val="120"/>
          <w:sz w:val="20"/>
        </w:rPr>
        <w:t>and</w:t>
      </w:r>
      <w:r>
        <w:rPr>
          <w:spacing w:val="12"/>
          <w:w w:val="120"/>
          <w:sz w:val="20"/>
        </w:rPr>
        <w:t> </w:t>
      </w:r>
      <w:r>
        <w:rPr>
          <w:spacing w:val="2"/>
          <w:w w:val="120"/>
          <w:sz w:val="20"/>
        </w:rPr>
        <w:t>from</w:t>
      </w:r>
      <w:r>
        <w:rPr>
          <w:spacing w:val="12"/>
          <w:w w:val="120"/>
          <w:sz w:val="20"/>
        </w:rPr>
        <w:t> </w:t>
      </w:r>
      <w:r>
        <w:rPr>
          <w:w w:val="120"/>
          <w:sz w:val="20"/>
        </w:rPr>
        <w:t>time</w:t>
      </w:r>
      <w:r>
        <w:rPr>
          <w:spacing w:val="12"/>
          <w:w w:val="120"/>
          <w:sz w:val="20"/>
        </w:rPr>
        <w:t> </w:t>
      </w:r>
      <w:r>
        <w:rPr>
          <w:w w:val="120"/>
          <w:sz w:val="20"/>
        </w:rPr>
        <w:t>to</w:t>
      </w:r>
      <w:r>
        <w:rPr>
          <w:spacing w:val="13"/>
          <w:w w:val="120"/>
          <w:sz w:val="20"/>
        </w:rPr>
        <w:t> </w:t>
      </w:r>
      <w:r>
        <w:rPr>
          <w:w w:val="120"/>
          <w:sz w:val="20"/>
        </w:rPr>
        <w:t>time</w:t>
      </w:r>
      <w:r>
        <w:rPr>
          <w:spacing w:val="12"/>
          <w:w w:val="120"/>
          <w:sz w:val="20"/>
        </w:rPr>
        <w:t> </w:t>
      </w:r>
      <w:r>
        <w:rPr>
          <w:w w:val="120"/>
          <w:sz w:val="20"/>
        </w:rPr>
        <w:t>review,</w:t>
      </w:r>
      <w:r>
        <w:rPr>
          <w:spacing w:val="12"/>
          <w:w w:val="120"/>
          <w:sz w:val="20"/>
        </w:rPr>
        <w:t> </w:t>
      </w:r>
      <w:r>
        <w:rPr>
          <w:spacing w:val="2"/>
          <w:w w:val="120"/>
          <w:sz w:val="20"/>
        </w:rPr>
        <w:t>subject</w:t>
      </w:r>
      <w:r>
        <w:rPr>
          <w:spacing w:val="12"/>
          <w:w w:val="120"/>
          <w:sz w:val="20"/>
        </w:rPr>
        <w:t> </w:t>
      </w:r>
      <w:r>
        <w:rPr>
          <w:w w:val="120"/>
          <w:sz w:val="20"/>
        </w:rPr>
        <w:t>to</w:t>
      </w:r>
      <w:r>
        <w:rPr>
          <w:spacing w:val="12"/>
          <w:w w:val="120"/>
          <w:sz w:val="20"/>
        </w:rPr>
        <w:t> </w:t>
      </w:r>
      <w:r>
        <w:rPr>
          <w:w w:val="120"/>
          <w:sz w:val="20"/>
        </w:rPr>
        <w:t>the</w:t>
      </w:r>
      <w:r>
        <w:rPr>
          <w:spacing w:val="12"/>
          <w:w w:val="120"/>
          <w:sz w:val="20"/>
        </w:rPr>
        <w:t> </w:t>
      </w:r>
      <w:r>
        <w:rPr>
          <w:w w:val="120"/>
          <w:sz w:val="20"/>
        </w:rPr>
        <w:t>approval</w:t>
      </w:r>
      <w:r>
        <w:rPr>
          <w:spacing w:val="13"/>
          <w:w w:val="120"/>
          <w:sz w:val="20"/>
        </w:rPr>
        <w:t> </w:t>
      </w:r>
      <w:r>
        <w:rPr>
          <w:w w:val="120"/>
          <w:sz w:val="20"/>
        </w:rPr>
        <w:t>of</w:t>
      </w:r>
      <w:r>
        <w:rPr>
          <w:spacing w:val="12"/>
          <w:w w:val="120"/>
          <w:sz w:val="20"/>
        </w:rPr>
        <w:t> </w:t>
      </w:r>
      <w:r>
        <w:rPr>
          <w:w w:val="120"/>
          <w:sz w:val="20"/>
        </w:rPr>
        <w:t>the</w:t>
      </w:r>
      <w:r>
        <w:rPr>
          <w:spacing w:val="12"/>
          <w:w w:val="120"/>
          <w:sz w:val="20"/>
        </w:rPr>
        <w:t> </w:t>
      </w:r>
      <w:r>
        <w:rPr>
          <w:w w:val="120"/>
          <w:sz w:val="20"/>
        </w:rPr>
        <w:t>Church</w:t>
      </w:r>
    </w:p>
    <w:p>
      <w:pPr>
        <w:pStyle w:val="BodyText"/>
        <w:spacing w:line="235" w:lineRule="auto" w:before="1"/>
        <w:ind w:left="1984" w:right="1273"/>
      </w:pPr>
      <w:r>
        <w:rPr>
          <w:spacing w:val="2"/>
          <w:w w:val="120"/>
        </w:rPr>
        <w:t>Meeting, written </w:t>
      </w:r>
      <w:r>
        <w:rPr>
          <w:w w:val="120"/>
        </w:rPr>
        <w:t>procedures for </w:t>
      </w:r>
      <w:r>
        <w:rPr>
          <w:spacing w:val="2"/>
          <w:w w:val="120"/>
        </w:rPr>
        <w:t>disciplinary </w:t>
      </w:r>
      <w:r>
        <w:rPr>
          <w:w w:val="120"/>
        </w:rPr>
        <w:t>cases and for the </w:t>
      </w:r>
      <w:r>
        <w:rPr>
          <w:spacing w:val="2"/>
          <w:w w:val="120"/>
        </w:rPr>
        <w:t>settlement </w:t>
      </w:r>
      <w:r>
        <w:rPr>
          <w:w w:val="120"/>
        </w:rPr>
        <w:t>of employee </w:t>
      </w:r>
      <w:r>
        <w:rPr>
          <w:spacing w:val="2"/>
          <w:w w:val="120"/>
        </w:rPr>
        <w:t>grievances. Disciplinary </w:t>
      </w:r>
      <w:r>
        <w:rPr>
          <w:w w:val="120"/>
        </w:rPr>
        <w:t>procedures are to provide for </w:t>
      </w:r>
      <w:r>
        <w:rPr>
          <w:spacing w:val="2"/>
          <w:w w:val="120"/>
        </w:rPr>
        <w:t>warnings </w:t>
      </w:r>
      <w:r>
        <w:rPr>
          <w:w w:val="120"/>
        </w:rPr>
        <w:t>when appropriate, </w:t>
      </w:r>
      <w:r>
        <w:rPr>
          <w:spacing w:val="2"/>
          <w:w w:val="120"/>
        </w:rPr>
        <w:t>emergency </w:t>
      </w:r>
      <w:r>
        <w:rPr>
          <w:w w:val="120"/>
        </w:rPr>
        <w:t>suspension when appropriate, a </w:t>
      </w:r>
      <w:r>
        <w:rPr>
          <w:spacing w:val="2"/>
          <w:w w:val="120"/>
        </w:rPr>
        <w:t>hearing </w:t>
      </w:r>
      <w:r>
        <w:rPr>
          <w:w w:val="120"/>
        </w:rPr>
        <w:t>if an  employee  so  </w:t>
      </w:r>
      <w:r>
        <w:rPr>
          <w:spacing w:val="3"/>
          <w:w w:val="120"/>
        </w:rPr>
        <w:t>requests </w:t>
      </w:r>
      <w:r>
        <w:rPr>
          <w:w w:val="120"/>
        </w:rPr>
        <w:t>and for an appeal</w:t>
      </w:r>
      <w:r>
        <w:rPr>
          <w:spacing w:val="19"/>
          <w:w w:val="120"/>
        </w:rPr>
        <w:t> </w:t>
      </w:r>
      <w:r>
        <w:rPr>
          <w:w w:val="120"/>
        </w:rPr>
        <w:t>procedure.</w:t>
      </w:r>
    </w:p>
    <w:p>
      <w:pPr>
        <w:pStyle w:val="BodyText"/>
        <w:spacing w:before="11"/>
        <w:rPr>
          <w:sz w:val="19"/>
        </w:rPr>
      </w:pPr>
    </w:p>
    <w:p>
      <w:pPr>
        <w:pStyle w:val="ListParagraph"/>
        <w:numPr>
          <w:ilvl w:val="2"/>
          <w:numId w:val="94"/>
        </w:numPr>
        <w:tabs>
          <w:tab w:pos="2664" w:val="left" w:leader="none"/>
          <w:tab w:pos="2665" w:val="left" w:leader="none"/>
        </w:tabs>
        <w:spacing w:line="235" w:lineRule="auto" w:before="0" w:after="0"/>
        <w:ind w:left="1984" w:right="1372" w:firstLine="0"/>
        <w:jc w:val="left"/>
        <w:rPr>
          <w:sz w:val="20"/>
        </w:rPr>
      </w:pPr>
      <w:r>
        <w:rPr>
          <w:w w:val="120"/>
          <w:sz w:val="20"/>
        </w:rPr>
        <w:t>Charity trustees may decline to act upon a direction to employ one of their own number or to contract with a charity trustee for the supply of goods or services, They may only act upon such a direction if all requirements of charity law in relation to the remuneration of trustees are</w:t>
      </w:r>
      <w:r>
        <w:rPr>
          <w:spacing w:val="5"/>
          <w:w w:val="120"/>
          <w:sz w:val="20"/>
        </w:rPr>
        <w:t> </w:t>
      </w:r>
      <w:r>
        <w:rPr>
          <w:w w:val="120"/>
          <w:sz w:val="20"/>
        </w:rPr>
        <w:t>satisfied.</w:t>
      </w:r>
    </w:p>
    <w:p>
      <w:pPr>
        <w:pStyle w:val="BodyText"/>
        <w:spacing w:before="11"/>
        <w:rPr>
          <w:sz w:val="19"/>
        </w:rPr>
      </w:pPr>
    </w:p>
    <w:p>
      <w:pPr>
        <w:pStyle w:val="ListParagraph"/>
        <w:numPr>
          <w:ilvl w:val="2"/>
          <w:numId w:val="94"/>
        </w:numPr>
        <w:tabs>
          <w:tab w:pos="2664" w:val="left" w:leader="none"/>
          <w:tab w:pos="2665" w:val="left" w:leader="none"/>
        </w:tabs>
        <w:spacing w:line="235" w:lineRule="auto" w:before="0" w:after="0"/>
        <w:ind w:left="1984" w:right="1261" w:firstLine="0"/>
        <w:jc w:val="left"/>
        <w:rPr>
          <w:sz w:val="20"/>
        </w:rPr>
      </w:pPr>
      <w:r>
        <w:rPr>
          <w:w w:val="120"/>
          <w:sz w:val="20"/>
        </w:rPr>
        <w:t>A charity trustee must be absent from the </w:t>
      </w:r>
      <w:r>
        <w:rPr>
          <w:spacing w:val="2"/>
          <w:w w:val="120"/>
          <w:sz w:val="20"/>
        </w:rPr>
        <w:t>part </w:t>
      </w:r>
      <w:r>
        <w:rPr>
          <w:w w:val="120"/>
          <w:sz w:val="20"/>
        </w:rPr>
        <w:t>of any meeting at which his or her employment or remuneration, or any matter concerning a contract to which he or she   is </w:t>
      </w:r>
      <w:r>
        <w:rPr>
          <w:spacing w:val="2"/>
          <w:w w:val="120"/>
          <w:sz w:val="20"/>
        </w:rPr>
        <w:t>party </w:t>
      </w:r>
      <w:r>
        <w:rPr>
          <w:w w:val="120"/>
          <w:sz w:val="20"/>
        </w:rPr>
        <w:t>other than as a trustee (including his or her performance in that</w:t>
      </w:r>
      <w:r>
        <w:rPr>
          <w:spacing w:val="32"/>
          <w:w w:val="120"/>
          <w:sz w:val="20"/>
        </w:rPr>
        <w:t> </w:t>
      </w:r>
      <w:r>
        <w:rPr>
          <w:w w:val="120"/>
          <w:sz w:val="20"/>
        </w:rPr>
        <w:t>employment</w:t>
      </w:r>
    </w:p>
    <w:p>
      <w:pPr>
        <w:pStyle w:val="BodyText"/>
        <w:spacing w:line="235" w:lineRule="auto" w:before="2"/>
        <w:ind w:left="1984" w:right="1247"/>
      </w:pPr>
      <w:r>
        <w:rPr>
          <w:w w:val="120"/>
        </w:rPr>
        <w:t>or the performance of the contract) are discussed. He or she must not vote on any matter relating to his or her employment or the contract and must not be counted when calculating whether a quorum of charity trustees is present for that item of</w:t>
      </w:r>
      <w:r>
        <w:rPr>
          <w:spacing w:val="1"/>
          <w:w w:val="120"/>
        </w:rPr>
        <w:t> </w:t>
      </w:r>
      <w:r>
        <w:rPr>
          <w:w w:val="120"/>
        </w:rPr>
        <w:t>business.</w:t>
      </w:r>
    </w:p>
    <w:p>
      <w:pPr>
        <w:pStyle w:val="BodyText"/>
        <w:spacing w:before="9"/>
        <w:rPr>
          <w:sz w:val="17"/>
        </w:rPr>
      </w:pPr>
    </w:p>
    <w:p>
      <w:pPr>
        <w:numPr>
          <w:ilvl w:val="1"/>
          <w:numId w:val="9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Amendment</w:t>
      </w:r>
    </w:p>
    <w:p>
      <w:pPr>
        <w:pStyle w:val="BodyText"/>
        <w:spacing w:line="235" w:lineRule="auto" w:before="223"/>
        <w:ind w:left="1984" w:right="1120"/>
      </w:pPr>
      <w:r>
        <w:rPr>
          <w:w w:val="120"/>
        </w:rPr>
        <w:t>Alterations of, or additions to, this constitution may be made by the Church Meeting, normally on the recommendation of the Elders’ Meeting. They must be consistent with charity law and relevant trust instruments where applicable and with the provisions mentioned in clause 2.1 that affect the Church, and must receive the support of at least 75% of the members present and voting at the session of the Church Meeting.</w:t>
      </w:r>
    </w:p>
    <w:p>
      <w:pPr>
        <w:pStyle w:val="BodyText"/>
        <w:spacing w:before="9"/>
        <w:rPr>
          <w:sz w:val="17"/>
        </w:rPr>
      </w:pPr>
    </w:p>
    <w:p>
      <w:pPr>
        <w:numPr>
          <w:ilvl w:val="1"/>
          <w:numId w:val="9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Closure and</w:t>
      </w:r>
      <w:r>
        <w:rPr>
          <w:rFonts w:ascii="Stone Sans II ITC Std Bk"/>
          <w:b/>
          <w:spacing w:val="-4"/>
          <w:w w:val="115"/>
          <w:sz w:val="21"/>
        </w:rPr>
        <w:t> </w:t>
      </w:r>
      <w:r>
        <w:rPr>
          <w:rFonts w:ascii="Stone Sans II ITC Std Bk"/>
          <w:b/>
          <w:w w:val="115"/>
          <w:sz w:val="21"/>
        </w:rPr>
        <w:t>dissolution</w:t>
      </w:r>
    </w:p>
    <w:p>
      <w:pPr>
        <w:pStyle w:val="ListParagraph"/>
        <w:numPr>
          <w:ilvl w:val="2"/>
          <w:numId w:val="94"/>
        </w:numPr>
        <w:tabs>
          <w:tab w:pos="2664" w:val="left" w:leader="none"/>
          <w:tab w:pos="2665" w:val="left" w:leader="none"/>
        </w:tabs>
        <w:spacing w:line="235" w:lineRule="auto" w:before="223" w:after="0"/>
        <w:ind w:left="1984" w:right="1398" w:firstLine="0"/>
        <w:jc w:val="left"/>
        <w:rPr>
          <w:sz w:val="20"/>
        </w:rPr>
      </w:pPr>
      <w:r>
        <w:rPr>
          <w:w w:val="120"/>
          <w:sz w:val="20"/>
        </w:rPr>
        <w:t>Any resolution to close the Church must be passed by the Church Meeting and approved by the appropriate wider council of the URC. When approved the resolution will have the effect of dissolving the Church as an association, at the date agreed between the local church and the</w:t>
      </w:r>
      <w:r>
        <w:rPr>
          <w:spacing w:val="15"/>
          <w:w w:val="120"/>
          <w:sz w:val="20"/>
        </w:rPr>
        <w:t> </w:t>
      </w:r>
      <w:r>
        <w:rPr>
          <w:w w:val="120"/>
          <w:sz w:val="20"/>
        </w:rPr>
        <w:t>Synod.</w:t>
      </w:r>
    </w:p>
    <w:p>
      <w:pPr>
        <w:pStyle w:val="BodyText"/>
        <w:spacing w:before="11"/>
        <w:rPr>
          <w:sz w:val="19"/>
        </w:rPr>
      </w:pPr>
    </w:p>
    <w:p>
      <w:pPr>
        <w:pStyle w:val="ListParagraph"/>
        <w:numPr>
          <w:ilvl w:val="2"/>
          <w:numId w:val="94"/>
        </w:numPr>
        <w:tabs>
          <w:tab w:pos="2664" w:val="left" w:leader="none"/>
          <w:tab w:pos="2665" w:val="left" w:leader="none"/>
        </w:tabs>
        <w:spacing w:line="235" w:lineRule="auto" w:before="0" w:after="0"/>
        <w:ind w:left="1984" w:right="1229" w:firstLine="0"/>
        <w:jc w:val="left"/>
        <w:rPr>
          <w:sz w:val="20"/>
        </w:rPr>
      </w:pPr>
      <w:r>
        <w:rPr>
          <w:w w:val="120"/>
          <w:sz w:val="20"/>
        </w:rPr>
        <w:t>A direction may be given by the Church Meeting for unrestricted monies held as </w:t>
      </w:r>
      <w:r>
        <w:rPr>
          <w:spacing w:val="2"/>
          <w:w w:val="120"/>
          <w:sz w:val="20"/>
        </w:rPr>
        <w:t>part </w:t>
      </w:r>
      <w:r>
        <w:rPr>
          <w:w w:val="120"/>
          <w:sz w:val="20"/>
        </w:rPr>
        <w:t>of the general funds of the Church to be applied after the satisfaction of debts and liabilities, in a specific manner determined by the Church Meeting </w:t>
      </w:r>
      <w:r>
        <w:rPr>
          <w:spacing w:val="-3"/>
          <w:w w:val="120"/>
          <w:sz w:val="20"/>
        </w:rPr>
        <w:t>(within </w:t>
      </w:r>
      <w:r>
        <w:rPr>
          <w:w w:val="120"/>
          <w:sz w:val="20"/>
        </w:rPr>
        <w:t>the charitable objects set out in the relevant trust</w:t>
      </w:r>
      <w:r>
        <w:rPr>
          <w:spacing w:val="12"/>
          <w:w w:val="120"/>
          <w:sz w:val="20"/>
        </w:rPr>
        <w:t> </w:t>
      </w:r>
      <w:r>
        <w:rPr>
          <w:w w:val="120"/>
          <w:sz w:val="20"/>
        </w:rPr>
        <w:t>instrument).</w:t>
      </w:r>
    </w:p>
    <w:p>
      <w:pPr>
        <w:pStyle w:val="BodyText"/>
        <w:spacing w:before="10"/>
        <w:rPr>
          <w:sz w:val="19"/>
        </w:rPr>
      </w:pPr>
    </w:p>
    <w:p>
      <w:pPr>
        <w:pStyle w:val="ListParagraph"/>
        <w:numPr>
          <w:ilvl w:val="2"/>
          <w:numId w:val="94"/>
        </w:numPr>
        <w:tabs>
          <w:tab w:pos="2664" w:val="left" w:leader="none"/>
          <w:tab w:pos="2665" w:val="left" w:leader="none"/>
        </w:tabs>
        <w:spacing w:line="235" w:lineRule="auto" w:before="1" w:after="0"/>
        <w:ind w:left="1984" w:right="1133" w:firstLine="0"/>
        <w:jc w:val="left"/>
        <w:rPr>
          <w:sz w:val="20"/>
        </w:rPr>
      </w:pPr>
      <w:r>
        <w:rPr>
          <w:w w:val="120"/>
          <w:sz w:val="20"/>
        </w:rPr>
        <w:t>If no such direction is given the Church Meeting shall be deemed to have directed the trustees to apply the unrestricted monies held as </w:t>
      </w:r>
      <w:r>
        <w:rPr>
          <w:spacing w:val="2"/>
          <w:w w:val="120"/>
          <w:sz w:val="20"/>
        </w:rPr>
        <w:t>part </w:t>
      </w:r>
      <w:r>
        <w:rPr>
          <w:w w:val="120"/>
          <w:sz w:val="20"/>
        </w:rPr>
        <w:t>of the general funds of the Church, after the satisfaction of debts and liabilities, as determined </w:t>
      </w:r>
      <w:r>
        <w:rPr>
          <w:spacing w:val="-3"/>
          <w:w w:val="120"/>
          <w:sz w:val="20"/>
        </w:rPr>
        <w:t>(within </w:t>
      </w:r>
      <w:r>
        <w:rPr>
          <w:w w:val="120"/>
          <w:sz w:val="20"/>
        </w:rPr>
        <w:t>the charitable objects set out in the relevant trust instrument) by the</w:t>
      </w:r>
      <w:r>
        <w:rPr>
          <w:spacing w:val="21"/>
          <w:w w:val="120"/>
          <w:sz w:val="20"/>
        </w:rPr>
        <w:t> </w:t>
      </w:r>
      <w:r>
        <w:rPr>
          <w:w w:val="120"/>
          <w:sz w:val="20"/>
        </w:rPr>
        <w:t>Synod.</w:t>
      </w:r>
    </w:p>
    <w:p>
      <w:pPr>
        <w:pStyle w:val="BodyText"/>
        <w:spacing w:before="9"/>
        <w:rPr>
          <w:sz w:val="17"/>
        </w:rPr>
      </w:pPr>
    </w:p>
    <w:p>
      <w:pPr>
        <w:numPr>
          <w:ilvl w:val="1"/>
          <w:numId w:val="9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Interpretation and</w:t>
      </w:r>
      <w:r>
        <w:rPr>
          <w:rFonts w:ascii="Stone Sans II ITC Std Bk"/>
          <w:b/>
          <w:spacing w:val="-4"/>
          <w:w w:val="115"/>
          <w:sz w:val="21"/>
        </w:rPr>
        <w:t> </w:t>
      </w:r>
      <w:r>
        <w:rPr>
          <w:rFonts w:ascii="Stone Sans II ITC Std Bk"/>
          <w:b/>
          <w:w w:val="115"/>
          <w:sz w:val="21"/>
        </w:rPr>
        <w:t>miscellaneous</w:t>
      </w:r>
    </w:p>
    <w:p>
      <w:pPr>
        <w:pStyle w:val="BodyText"/>
        <w:spacing w:line="242" w:lineRule="exact" w:before="219"/>
        <w:ind w:left="1984"/>
      </w:pPr>
      <w:r>
        <w:rPr>
          <w:w w:val="120"/>
        </w:rPr>
        <w:t>In this constitution:</w:t>
      </w:r>
    </w:p>
    <w:p>
      <w:pPr>
        <w:pStyle w:val="BodyText"/>
        <w:spacing w:line="235" w:lineRule="auto" w:before="1"/>
        <w:ind w:left="1984" w:right="1120"/>
      </w:pPr>
      <w:r>
        <w:rPr>
          <w:w w:val="120"/>
        </w:rPr>
        <w:t>‘Elder’ refers to a serving Elder but ‘ordained Elder’ refers to any person ordained to the Eldership and includes ministers of Word and Sacrament who are on the Roll of Members but currently hold no active office in the URC. ‘Minister’ refers also, where the context allows, to the Interim Moderator during any vacancy. ‘Synod’ refers to the Synod of the URC on which the Church is, or was last, represented.</w:t>
      </w:r>
    </w:p>
    <w:p>
      <w:pPr>
        <w:pStyle w:val="BodyText"/>
        <w:spacing w:before="12"/>
        <w:rPr>
          <w:sz w:val="21"/>
        </w:rPr>
      </w:pPr>
      <w:r>
        <w:rPr/>
        <w:pict>
          <v:shape style="position:absolute;margin-left:99.212601pt;margin-top:15.767179pt;width:439.4pt;height:.1pt;mso-position-horizontal-relative:page;mso-position-vertical-relative:paragraph;z-index:-251400192;mso-wrap-distance-left:0;mso-wrap-distance-right:0" coordorigin="1984,315" coordsize="8788,0" path="m1984,315l10772,315e" filled="false" stroked="true" strokeweight=".75pt" strokecolor="#ca4f1b">
            <v:path arrowok="t"/>
            <v:stroke dashstyle="solid"/>
            <w10:wrap type="topAndBottom"/>
          </v:shape>
        </w:pict>
      </w:r>
    </w:p>
    <w:p>
      <w:pPr>
        <w:spacing w:after="0"/>
        <w:rPr>
          <w:sz w:val="21"/>
        </w:rPr>
        <w:sectPr>
          <w:pgSz w:w="11910" w:h="16840"/>
          <w:pgMar w:header="0" w:footer="647" w:top="1060" w:bottom="840" w:left="0" w:right="0"/>
        </w:sectPr>
      </w:pPr>
    </w:p>
    <w:p>
      <w:pPr>
        <w:pStyle w:val="Heading2"/>
        <w:spacing w:line="666" w:lineRule="exact"/>
        <w:ind w:left="1133"/>
      </w:pPr>
      <w:r>
        <w:rPr/>
        <w:pict>
          <v:rect style="position:absolute;margin-left:12.047pt;margin-top:9.2342pt;width:22.677pt;height:22.677pt;mso-position-horizontal-relative:page;mso-position-vertical-relative:paragraph;z-index:251918336" filled="true" fillcolor="#f9e9c1" stroked="false">
            <v:fill opacity="32768f" type="solid"/>
            <w10:wrap type="none"/>
          </v:rect>
        </w:pict>
      </w:r>
      <w:r>
        <w:rPr>
          <w:color w:val="CA4F1B"/>
          <w:w w:val="110"/>
        </w:rPr>
        <w:t>Annexe 6</w:t>
      </w:r>
    </w:p>
    <w:p>
      <w:pPr>
        <w:pStyle w:val="Heading6"/>
        <w:spacing w:before="27"/>
      </w:pPr>
      <w:r>
        <w:rPr>
          <w:w w:val="110"/>
        </w:rPr>
        <w:t>Human Sexuality Task Group (2008)</w:t>
      </w:r>
    </w:p>
    <w:p>
      <w:pPr>
        <w:numPr>
          <w:ilvl w:val="0"/>
          <w:numId w:val="101"/>
        </w:numPr>
        <w:tabs>
          <w:tab w:pos="1853" w:val="left" w:leader="none"/>
          <w:tab w:pos="1854" w:val="left" w:leader="none"/>
        </w:tabs>
        <w:spacing w:before="169"/>
        <w:ind w:left="1853" w:right="0" w:hanging="721"/>
        <w:jc w:val="left"/>
        <w:rPr>
          <w:rFonts w:ascii="Stone Sans II ITC Std Bk"/>
          <w:b/>
          <w:sz w:val="21"/>
        </w:rPr>
      </w:pPr>
      <w:r>
        <w:rPr>
          <w:rFonts w:ascii="Stone Sans II ITC Std Bk"/>
          <w:b/>
          <w:w w:val="115"/>
          <w:sz w:val="21"/>
        </w:rPr>
        <w:t>Introduction</w:t>
      </w:r>
    </w:p>
    <w:p>
      <w:pPr>
        <w:pStyle w:val="ListParagraph"/>
        <w:numPr>
          <w:ilvl w:val="1"/>
          <w:numId w:val="101"/>
        </w:numPr>
        <w:tabs>
          <w:tab w:pos="1814" w:val="left" w:leader="none"/>
          <w:tab w:pos="1815" w:val="left" w:leader="none"/>
        </w:tabs>
        <w:spacing w:line="235" w:lineRule="auto" w:before="223" w:after="0"/>
        <w:ind w:left="1134" w:right="2094" w:hanging="1"/>
        <w:jc w:val="left"/>
        <w:rPr>
          <w:sz w:val="20"/>
        </w:rPr>
      </w:pPr>
      <w:r>
        <w:rPr>
          <w:w w:val="120"/>
          <w:sz w:val="20"/>
        </w:rPr>
        <w:t>The Assembly </w:t>
      </w:r>
      <w:r>
        <w:rPr>
          <w:spacing w:val="-3"/>
          <w:w w:val="120"/>
          <w:sz w:val="20"/>
        </w:rPr>
        <w:t>returns to </w:t>
      </w:r>
      <w:r>
        <w:rPr>
          <w:w w:val="120"/>
          <w:sz w:val="20"/>
        </w:rPr>
        <w:t>the subject of </w:t>
      </w:r>
      <w:r>
        <w:rPr>
          <w:spacing w:val="-3"/>
          <w:w w:val="120"/>
          <w:sz w:val="20"/>
        </w:rPr>
        <w:t>human </w:t>
      </w:r>
      <w:r>
        <w:rPr>
          <w:w w:val="120"/>
          <w:sz w:val="20"/>
        </w:rPr>
        <w:t>sexuality from the base point of the </w:t>
      </w:r>
      <w:r>
        <w:rPr>
          <w:spacing w:val="-3"/>
          <w:w w:val="120"/>
          <w:sz w:val="20"/>
        </w:rPr>
        <w:t>Commitment </w:t>
      </w:r>
      <w:r>
        <w:rPr>
          <w:w w:val="120"/>
          <w:sz w:val="20"/>
        </w:rPr>
        <w:t>it adopted and commended </w:t>
      </w:r>
      <w:r>
        <w:rPr>
          <w:spacing w:val="-3"/>
          <w:w w:val="120"/>
          <w:sz w:val="20"/>
        </w:rPr>
        <w:t>to </w:t>
      </w:r>
      <w:r>
        <w:rPr>
          <w:w w:val="120"/>
          <w:sz w:val="20"/>
        </w:rPr>
        <w:t>synods and </w:t>
      </w:r>
      <w:r>
        <w:rPr>
          <w:spacing w:val="-3"/>
          <w:w w:val="120"/>
          <w:sz w:val="20"/>
        </w:rPr>
        <w:t>churches </w:t>
      </w:r>
      <w:r>
        <w:rPr>
          <w:w w:val="120"/>
          <w:sz w:val="20"/>
        </w:rPr>
        <w:t>in </w:t>
      </w:r>
      <w:r>
        <w:rPr>
          <w:spacing w:val="-8"/>
          <w:w w:val="120"/>
          <w:sz w:val="20"/>
        </w:rPr>
        <w:t>2007. </w:t>
      </w:r>
      <w:r>
        <w:rPr>
          <w:w w:val="120"/>
          <w:sz w:val="20"/>
        </w:rPr>
        <w:t>For </w:t>
      </w:r>
      <w:r>
        <w:rPr>
          <w:spacing w:val="-3"/>
          <w:w w:val="120"/>
          <w:sz w:val="20"/>
        </w:rPr>
        <w:t>any </w:t>
      </w:r>
      <w:r>
        <w:rPr>
          <w:w w:val="120"/>
          <w:sz w:val="20"/>
        </w:rPr>
        <w:t>who </w:t>
      </w:r>
      <w:r>
        <w:rPr>
          <w:spacing w:val="-3"/>
          <w:w w:val="120"/>
          <w:sz w:val="20"/>
        </w:rPr>
        <w:t>may have </w:t>
      </w:r>
      <w:r>
        <w:rPr>
          <w:w w:val="120"/>
          <w:sz w:val="20"/>
        </w:rPr>
        <w:t>forgotten that </w:t>
      </w:r>
      <w:r>
        <w:rPr>
          <w:spacing w:val="-3"/>
          <w:w w:val="120"/>
          <w:sz w:val="20"/>
        </w:rPr>
        <w:t>Commitment, </w:t>
      </w:r>
      <w:r>
        <w:rPr>
          <w:w w:val="120"/>
          <w:sz w:val="20"/>
        </w:rPr>
        <w:t>it is printed as Annexe 6a </w:t>
      </w:r>
      <w:r>
        <w:rPr>
          <w:spacing w:val="-3"/>
          <w:w w:val="120"/>
          <w:sz w:val="20"/>
        </w:rPr>
        <w:t>following this </w:t>
      </w:r>
      <w:r>
        <w:rPr>
          <w:w w:val="120"/>
          <w:sz w:val="20"/>
        </w:rPr>
        <w:t>report. It  is also worth recalling the </w:t>
      </w:r>
      <w:r>
        <w:rPr>
          <w:spacing w:val="-3"/>
          <w:w w:val="120"/>
          <w:sz w:val="20"/>
        </w:rPr>
        <w:t>advice </w:t>
      </w:r>
      <w:r>
        <w:rPr>
          <w:w w:val="120"/>
          <w:sz w:val="20"/>
        </w:rPr>
        <w:t>given </w:t>
      </w:r>
      <w:r>
        <w:rPr>
          <w:spacing w:val="-3"/>
          <w:w w:val="120"/>
          <w:sz w:val="20"/>
        </w:rPr>
        <w:t>to </w:t>
      </w:r>
      <w:r>
        <w:rPr>
          <w:w w:val="120"/>
          <w:sz w:val="20"/>
        </w:rPr>
        <w:t>that Assembly </w:t>
      </w:r>
      <w:r>
        <w:rPr>
          <w:spacing w:val="-3"/>
          <w:w w:val="120"/>
          <w:sz w:val="20"/>
        </w:rPr>
        <w:t>to </w:t>
      </w:r>
      <w:r>
        <w:rPr>
          <w:w w:val="120"/>
          <w:sz w:val="20"/>
        </w:rPr>
        <w:t>the effect that the process of further</w:t>
      </w:r>
      <w:r>
        <w:rPr>
          <w:spacing w:val="-10"/>
          <w:w w:val="120"/>
          <w:sz w:val="20"/>
        </w:rPr>
        <w:t> </w:t>
      </w:r>
      <w:r>
        <w:rPr>
          <w:spacing w:val="-3"/>
          <w:w w:val="120"/>
          <w:sz w:val="20"/>
        </w:rPr>
        <w:t>discussion</w:t>
      </w:r>
      <w:r>
        <w:rPr>
          <w:spacing w:val="-9"/>
          <w:w w:val="120"/>
          <w:sz w:val="20"/>
        </w:rPr>
        <w:t> </w:t>
      </w:r>
      <w:r>
        <w:rPr>
          <w:w w:val="120"/>
          <w:sz w:val="20"/>
        </w:rPr>
        <w:t>needed</w:t>
      </w:r>
      <w:r>
        <w:rPr>
          <w:spacing w:val="-10"/>
          <w:w w:val="120"/>
          <w:sz w:val="20"/>
        </w:rPr>
        <w:t> </w:t>
      </w:r>
      <w:r>
        <w:rPr>
          <w:spacing w:val="-3"/>
          <w:w w:val="120"/>
          <w:sz w:val="20"/>
        </w:rPr>
        <w:t>to</w:t>
      </w:r>
      <w:r>
        <w:rPr>
          <w:spacing w:val="-9"/>
          <w:w w:val="120"/>
          <w:sz w:val="20"/>
        </w:rPr>
        <w:t> </w:t>
      </w:r>
      <w:r>
        <w:rPr>
          <w:w w:val="120"/>
          <w:sz w:val="20"/>
        </w:rPr>
        <w:t>take</w:t>
      </w:r>
      <w:r>
        <w:rPr>
          <w:spacing w:val="-9"/>
          <w:w w:val="120"/>
          <w:sz w:val="20"/>
        </w:rPr>
        <w:t> </w:t>
      </w:r>
      <w:r>
        <w:rPr>
          <w:spacing w:val="-3"/>
          <w:w w:val="120"/>
          <w:sz w:val="20"/>
        </w:rPr>
        <w:t>place</w:t>
      </w:r>
      <w:r>
        <w:rPr>
          <w:spacing w:val="-10"/>
          <w:w w:val="120"/>
          <w:sz w:val="20"/>
        </w:rPr>
        <w:t> </w:t>
      </w:r>
      <w:r>
        <w:rPr>
          <w:w w:val="120"/>
          <w:sz w:val="20"/>
        </w:rPr>
        <w:t>without</w:t>
      </w:r>
      <w:r>
        <w:rPr>
          <w:spacing w:val="-9"/>
          <w:w w:val="120"/>
          <w:sz w:val="20"/>
        </w:rPr>
        <w:t> </w:t>
      </w:r>
      <w:r>
        <w:rPr>
          <w:w w:val="120"/>
          <w:sz w:val="20"/>
        </w:rPr>
        <w:t>the</w:t>
      </w:r>
      <w:r>
        <w:rPr>
          <w:spacing w:val="-9"/>
          <w:w w:val="120"/>
          <w:sz w:val="20"/>
        </w:rPr>
        <w:t> </w:t>
      </w:r>
      <w:r>
        <w:rPr>
          <w:w w:val="120"/>
          <w:sz w:val="20"/>
        </w:rPr>
        <w:t>pressure</w:t>
      </w:r>
      <w:r>
        <w:rPr>
          <w:spacing w:val="-10"/>
          <w:w w:val="120"/>
          <w:sz w:val="20"/>
        </w:rPr>
        <w:t> </w:t>
      </w:r>
      <w:r>
        <w:rPr>
          <w:w w:val="120"/>
          <w:sz w:val="20"/>
        </w:rPr>
        <w:t>of</w:t>
      </w:r>
      <w:r>
        <w:rPr>
          <w:spacing w:val="-9"/>
          <w:w w:val="120"/>
          <w:sz w:val="20"/>
        </w:rPr>
        <w:t> </w:t>
      </w:r>
      <w:r>
        <w:rPr>
          <w:w w:val="120"/>
          <w:sz w:val="20"/>
        </w:rPr>
        <w:t>deadlines.</w:t>
      </w:r>
      <w:r>
        <w:rPr>
          <w:spacing w:val="-9"/>
          <w:w w:val="120"/>
          <w:sz w:val="20"/>
        </w:rPr>
        <w:t> </w:t>
      </w:r>
      <w:r>
        <w:rPr>
          <w:w w:val="120"/>
          <w:sz w:val="20"/>
        </w:rPr>
        <w:t>‘It</w:t>
      </w:r>
      <w:r>
        <w:rPr>
          <w:spacing w:val="-10"/>
          <w:w w:val="120"/>
          <w:sz w:val="20"/>
        </w:rPr>
        <w:t> </w:t>
      </w:r>
      <w:r>
        <w:rPr>
          <w:w w:val="120"/>
          <w:sz w:val="20"/>
        </w:rPr>
        <w:t>is</w:t>
      </w:r>
      <w:r>
        <w:rPr>
          <w:spacing w:val="-9"/>
          <w:w w:val="120"/>
          <w:sz w:val="20"/>
        </w:rPr>
        <w:t> </w:t>
      </w:r>
      <w:r>
        <w:rPr>
          <w:w w:val="120"/>
          <w:sz w:val="20"/>
        </w:rPr>
        <w:t>imperative that the whole </w:t>
      </w:r>
      <w:r>
        <w:rPr>
          <w:spacing w:val="-3"/>
          <w:w w:val="120"/>
          <w:sz w:val="20"/>
        </w:rPr>
        <w:t>church </w:t>
      </w:r>
      <w:r>
        <w:rPr>
          <w:w w:val="120"/>
          <w:sz w:val="20"/>
        </w:rPr>
        <w:t>is given </w:t>
      </w:r>
      <w:r>
        <w:rPr>
          <w:spacing w:val="-3"/>
          <w:w w:val="120"/>
          <w:sz w:val="20"/>
        </w:rPr>
        <w:t>space to </w:t>
      </w:r>
      <w:r>
        <w:rPr>
          <w:w w:val="120"/>
          <w:sz w:val="20"/>
        </w:rPr>
        <w:t>be and </w:t>
      </w:r>
      <w:r>
        <w:rPr>
          <w:spacing w:val="-3"/>
          <w:w w:val="120"/>
          <w:sz w:val="20"/>
        </w:rPr>
        <w:t>to</w:t>
      </w:r>
      <w:r>
        <w:rPr>
          <w:spacing w:val="-12"/>
          <w:w w:val="120"/>
          <w:sz w:val="20"/>
        </w:rPr>
        <w:t> </w:t>
      </w:r>
      <w:r>
        <w:rPr>
          <w:spacing w:val="-3"/>
          <w:w w:val="120"/>
          <w:sz w:val="20"/>
        </w:rPr>
        <w:t>reflect’.</w:t>
      </w:r>
    </w:p>
    <w:p>
      <w:pPr>
        <w:pStyle w:val="BodyText"/>
      </w:pPr>
    </w:p>
    <w:p>
      <w:pPr>
        <w:pStyle w:val="ListParagraph"/>
        <w:numPr>
          <w:ilvl w:val="1"/>
          <w:numId w:val="101"/>
        </w:numPr>
        <w:tabs>
          <w:tab w:pos="1814" w:val="left" w:leader="none"/>
          <w:tab w:pos="1815" w:val="left" w:leader="none"/>
        </w:tabs>
        <w:spacing w:line="235" w:lineRule="auto" w:before="0" w:after="0"/>
        <w:ind w:left="1134" w:right="2021" w:firstLine="0"/>
        <w:jc w:val="left"/>
        <w:rPr>
          <w:sz w:val="20"/>
        </w:rPr>
      </w:pPr>
      <w:r>
        <w:rPr>
          <w:w w:val="120"/>
          <w:sz w:val="20"/>
        </w:rPr>
        <w:t>In addition the Assembly of 2007 asked Mission Council to set up a task group to take forward the process of continuing discussion, as well as addressing certain specific concerns which had been identified. A group was established towards the end of 2008 with the following membership: John Bradbury, Cecily Boulding (ecumenical observer), Lucy Brierley </w:t>
      </w:r>
      <w:r>
        <w:rPr>
          <w:spacing w:val="-2"/>
          <w:w w:val="120"/>
          <w:sz w:val="20"/>
        </w:rPr>
        <w:t>(secretary), </w:t>
      </w:r>
      <w:r>
        <w:rPr>
          <w:w w:val="120"/>
          <w:sz w:val="20"/>
        </w:rPr>
        <w:t>Richard Church, Doreen </w:t>
      </w:r>
      <w:r>
        <w:rPr>
          <w:spacing w:val="-3"/>
          <w:w w:val="120"/>
          <w:sz w:val="20"/>
        </w:rPr>
        <w:t>Daley, </w:t>
      </w:r>
      <w:r>
        <w:rPr>
          <w:w w:val="120"/>
          <w:sz w:val="20"/>
        </w:rPr>
        <w:t>Claire Gouldthorp, Val Morrison and John Waller </w:t>
      </w:r>
      <w:r>
        <w:rPr>
          <w:spacing w:val="-4"/>
          <w:w w:val="120"/>
          <w:sz w:val="20"/>
        </w:rPr>
        <w:t>(convener). </w:t>
      </w:r>
      <w:r>
        <w:rPr>
          <w:w w:val="120"/>
          <w:sz w:val="20"/>
        </w:rPr>
        <w:t>The task group has reported regularly to Mission Council   and this </w:t>
      </w:r>
      <w:r>
        <w:rPr>
          <w:spacing w:val="2"/>
          <w:w w:val="120"/>
          <w:sz w:val="20"/>
        </w:rPr>
        <w:t>report </w:t>
      </w:r>
      <w:r>
        <w:rPr>
          <w:w w:val="120"/>
          <w:sz w:val="20"/>
        </w:rPr>
        <w:t>is the result of its work so</w:t>
      </w:r>
      <w:r>
        <w:rPr>
          <w:spacing w:val="11"/>
          <w:w w:val="120"/>
          <w:sz w:val="20"/>
        </w:rPr>
        <w:t> </w:t>
      </w:r>
      <w:r>
        <w:rPr>
          <w:spacing w:val="-3"/>
          <w:w w:val="120"/>
          <w:sz w:val="20"/>
        </w:rPr>
        <w:t>far.</w:t>
      </w:r>
    </w:p>
    <w:p>
      <w:pPr>
        <w:pStyle w:val="BodyText"/>
        <w:spacing w:before="11"/>
        <w:rPr>
          <w:sz w:val="17"/>
        </w:rPr>
      </w:pPr>
    </w:p>
    <w:p>
      <w:pPr>
        <w:numPr>
          <w:ilvl w:val="0"/>
          <w:numId w:val="101"/>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Matters referred from the 2007</w:t>
      </w:r>
      <w:r>
        <w:rPr>
          <w:rFonts w:ascii="Stone Sans II ITC Std Bk"/>
          <w:b/>
          <w:spacing w:val="-9"/>
          <w:w w:val="115"/>
          <w:sz w:val="21"/>
        </w:rPr>
        <w:t> </w:t>
      </w:r>
      <w:r>
        <w:rPr>
          <w:rFonts w:ascii="Stone Sans II ITC Std Bk"/>
          <w:b/>
          <w:w w:val="115"/>
          <w:sz w:val="21"/>
        </w:rPr>
        <w:t>Assembly</w:t>
      </w:r>
    </w:p>
    <w:p>
      <w:pPr>
        <w:pStyle w:val="BodyText"/>
        <w:spacing w:line="235" w:lineRule="auto" w:before="223"/>
        <w:ind w:left="1133" w:right="1997"/>
      </w:pPr>
      <w:r>
        <w:rPr>
          <w:w w:val="120"/>
        </w:rPr>
        <w:t>A part of the report which was presented to the 2007 Assembly identified eleven issues that needed further exploration. The issues are repeated below with, in each case, the response that has been made to Mission Council.</w:t>
      </w:r>
    </w:p>
    <w:p>
      <w:pPr>
        <w:pStyle w:val="BodyText"/>
        <w:spacing w:before="10"/>
        <w:rPr>
          <w:sz w:val="18"/>
        </w:rPr>
      </w:pPr>
    </w:p>
    <w:p>
      <w:pPr>
        <w:pStyle w:val="ListParagraph"/>
        <w:numPr>
          <w:ilvl w:val="1"/>
          <w:numId w:val="101"/>
        </w:numPr>
        <w:tabs>
          <w:tab w:pos="1814" w:val="left" w:leader="none"/>
          <w:tab w:pos="1815" w:val="left" w:leader="none"/>
        </w:tabs>
        <w:spacing w:line="235" w:lineRule="auto" w:before="0" w:after="0"/>
        <w:ind w:left="1133" w:right="1983" w:firstLine="0"/>
        <w:jc w:val="left"/>
        <w:rPr>
          <w:sz w:val="20"/>
        </w:rPr>
      </w:pPr>
      <w:r>
        <w:rPr>
          <w:rFonts w:ascii="Stone Sans II ITC Std Bk"/>
          <w:b/>
          <w:spacing w:val="-3"/>
          <w:w w:val="115"/>
          <w:sz w:val="20"/>
        </w:rPr>
        <w:t>Theology. </w:t>
      </w:r>
      <w:r>
        <w:rPr>
          <w:i/>
          <w:w w:val="115"/>
          <w:sz w:val="20"/>
        </w:rPr>
        <w:t>Among </w:t>
      </w:r>
      <w:r>
        <w:rPr>
          <w:i/>
          <w:spacing w:val="-3"/>
          <w:w w:val="115"/>
          <w:sz w:val="20"/>
        </w:rPr>
        <w:t>several theological issues </w:t>
      </w:r>
      <w:r>
        <w:rPr>
          <w:i/>
          <w:w w:val="115"/>
          <w:sz w:val="20"/>
        </w:rPr>
        <w:t>to be </w:t>
      </w:r>
      <w:r>
        <w:rPr>
          <w:i/>
          <w:spacing w:val="-3"/>
          <w:w w:val="115"/>
          <w:sz w:val="20"/>
        </w:rPr>
        <w:t>addressed, </w:t>
      </w:r>
      <w:r>
        <w:rPr>
          <w:i/>
          <w:w w:val="115"/>
          <w:sz w:val="20"/>
        </w:rPr>
        <w:t>a </w:t>
      </w:r>
      <w:r>
        <w:rPr>
          <w:i/>
          <w:spacing w:val="-4"/>
          <w:w w:val="115"/>
          <w:sz w:val="20"/>
        </w:rPr>
        <w:t>coherent </w:t>
      </w:r>
      <w:r>
        <w:rPr>
          <w:i/>
          <w:w w:val="115"/>
          <w:sz w:val="20"/>
        </w:rPr>
        <w:t>and </w:t>
      </w:r>
      <w:r>
        <w:rPr>
          <w:i/>
          <w:spacing w:val="-4"/>
          <w:w w:val="115"/>
          <w:sz w:val="20"/>
        </w:rPr>
        <w:t>comprehensive </w:t>
      </w:r>
      <w:r>
        <w:rPr>
          <w:i/>
          <w:w w:val="115"/>
          <w:sz w:val="20"/>
        </w:rPr>
        <w:t>theology of </w:t>
      </w:r>
      <w:r>
        <w:rPr>
          <w:i/>
          <w:spacing w:val="-3"/>
          <w:w w:val="115"/>
          <w:sz w:val="20"/>
        </w:rPr>
        <w:t>same-sex </w:t>
      </w:r>
      <w:r>
        <w:rPr>
          <w:i/>
          <w:w w:val="115"/>
          <w:sz w:val="20"/>
        </w:rPr>
        <w:t>partnerships </w:t>
      </w:r>
      <w:r>
        <w:rPr>
          <w:i/>
          <w:spacing w:val="-3"/>
          <w:w w:val="115"/>
          <w:sz w:val="20"/>
        </w:rPr>
        <w:t>is urgently needed </w:t>
      </w:r>
      <w:r>
        <w:rPr>
          <w:i/>
          <w:w w:val="115"/>
          <w:sz w:val="20"/>
        </w:rPr>
        <w:t>as a </w:t>
      </w:r>
      <w:r>
        <w:rPr>
          <w:i/>
          <w:spacing w:val="-4"/>
          <w:w w:val="115"/>
          <w:sz w:val="20"/>
        </w:rPr>
        <w:t>basis </w:t>
      </w:r>
      <w:r>
        <w:rPr>
          <w:i/>
          <w:w w:val="115"/>
          <w:sz w:val="20"/>
        </w:rPr>
        <w:t>for </w:t>
      </w:r>
      <w:r>
        <w:rPr>
          <w:i/>
          <w:spacing w:val="-3"/>
          <w:w w:val="115"/>
          <w:sz w:val="20"/>
        </w:rPr>
        <w:t>any </w:t>
      </w:r>
      <w:r>
        <w:rPr>
          <w:i/>
          <w:w w:val="115"/>
          <w:sz w:val="20"/>
        </w:rPr>
        <w:t>further </w:t>
      </w:r>
      <w:r>
        <w:rPr>
          <w:i/>
          <w:spacing w:val="-4"/>
          <w:w w:val="115"/>
          <w:sz w:val="20"/>
        </w:rPr>
        <w:t>decisions. </w:t>
      </w:r>
      <w:r>
        <w:rPr>
          <w:i/>
          <w:spacing w:val="-5"/>
          <w:w w:val="115"/>
          <w:sz w:val="20"/>
        </w:rPr>
        <w:t>Ideally, </w:t>
      </w:r>
      <w:r>
        <w:rPr>
          <w:i/>
          <w:w w:val="115"/>
          <w:sz w:val="20"/>
        </w:rPr>
        <w:t>as with </w:t>
      </w:r>
      <w:r>
        <w:rPr>
          <w:i/>
          <w:spacing w:val="-3"/>
          <w:w w:val="115"/>
          <w:sz w:val="20"/>
        </w:rPr>
        <w:t>earlier </w:t>
      </w:r>
      <w:r>
        <w:rPr>
          <w:i/>
          <w:w w:val="115"/>
          <w:sz w:val="20"/>
        </w:rPr>
        <w:t>work, </w:t>
      </w:r>
      <w:r>
        <w:rPr>
          <w:i/>
          <w:spacing w:val="-3"/>
          <w:w w:val="115"/>
          <w:sz w:val="20"/>
        </w:rPr>
        <w:t>this should </w:t>
      </w:r>
      <w:r>
        <w:rPr>
          <w:i/>
          <w:w w:val="115"/>
          <w:sz w:val="20"/>
        </w:rPr>
        <w:t>be set </w:t>
      </w:r>
      <w:r>
        <w:rPr>
          <w:i/>
          <w:spacing w:val="-3"/>
          <w:w w:val="115"/>
          <w:sz w:val="20"/>
        </w:rPr>
        <w:t>within </w:t>
      </w:r>
      <w:r>
        <w:rPr>
          <w:i/>
          <w:w w:val="115"/>
          <w:sz w:val="20"/>
        </w:rPr>
        <w:t>the </w:t>
      </w:r>
      <w:r>
        <w:rPr>
          <w:i/>
          <w:spacing w:val="-3"/>
          <w:w w:val="115"/>
          <w:sz w:val="20"/>
        </w:rPr>
        <w:t>context </w:t>
      </w:r>
      <w:r>
        <w:rPr>
          <w:i/>
          <w:w w:val="115"/>
          <w:sz w:val="20"/>
        </w:rPr>
        <w:t>of </w:t>
      </w:r>
      <w:r>
        <w:rPr>
          <w:i/>
          <w:spacing w:val="-3"/>
          <w:w w:val="115"/>
          <w:sz w:val="20"/>
        </w:rPr>
        <w:t>human sexuality, </w:t>
      </w:r>
      <w:r>
        <w:rPr>
          <w:i/>
          <w:w w:val="115"/>
          <w:sz w:val="20"/>
        </w:rPr>
        <w:t>marriage and </w:t>
      </w:r>
      <w:r>
        <w:rPr>
          <w:i/>
          <w:spacing w:val="-3"/>
          <w:w w:val="115"/>
          <w:sz w:val="20"/>
        </w:rPr>
        <w:t>relationships </w:t>
      </w:r>
      <w:r>
        <w:rPr>
          <w:i/>
          <w:w w:val="115"/>
          <w:sz w:val="20"/>
        </w:rPr>
        <w:t>in </w:t>
      </w:r>
      <w:r>
        <w:rPr>
          <w:i/>
          <w:spacing w:val="-3"/>
          <w:w w:val="115"/>
          <w:sz w:val="20"/>
        </w:rPr>
        <w:t>general </w:t>
      </w:r>
      <w:r>
        <w:rPr>
          <w:i/>
          <w:w w:val="115"/>
          <w:sz w:val="20"/>
        </w:rPr>
        <w:t>as </w:t>
      </w:r>
      <w:r>
        <w:rPr>
          <w:i/>
          <w:spacing w:val="-3"/>
          <w:w w:val="115"/>
          <w:sz w:val="20"/>
        </w:rPr>
        <w:t>well </w:t>
      </w:r>
      <w:r>
        <w:rPr>
          <w:i/>
          <w:w w:val="115"/>
          <w:sz w:val="20"/>
        </w:rPr>
        <w:t>as our </w:t>
      </w:r>
      <w:r>
        <w:rPr>
          <w:i/>
          <w:spacing w:val="-3"/>
          <w:w w:val="115"/>
          <w:sz w:val="20"/>
        </w:rPr>
        <w:t>understanding </w:t>
      </w:r>
      <w:r>
        <w:rPr>
          <w:i/>
          <w:w w:val="115"/>
          <w:sz w:val="20"/>
        </w:rPr>
        <w:t>of </w:t>
      </w:r>
      <w:r>
        <w:rPr>
          <w:i/>
          <w:spacing w:val="-5"/>
          <w:w w:val="115"/>
          <w:sz w:val="20"/>
        </w:rPr>
        <w:t>gender. </w:t>
      </w:r>
      <w:r>
        <w:rPr>
          <w:w w:val="115"/>
          <w:sz w:val="20"/>
        </w:rPr>
        <w:t>The task group understands that the request is for a theology of same-sex partnerships and </w:t>
      </w:r>
      <w:r>
        <w:rPr>
          <w:spacing w:val="-2"/>
          <w:w w:val="115"/>
          <w:sz w:val="20"/>
        </w:rPr>
        <w:t>not </w:t>
      </w:r>
      <w:r>
        <w:rPr>
          <w:w w:val="115"/>
          <w:sz w:val="20"/>
        </w:rPr>
        <w:t>a    specifically </w:t>
      </w:r>
      <w:r>
        <w:rPr>
          <w:spacing w:val="-3"/>
          <w:w w:val="115"/>
          <w:sz w:val="20"/>
        </w:rPr>
        <w:t>United </w:t>
      </w:r>
      <w:r>
        <w:rPr>
          <w:w w:val="115"/>
          <w:sz w:val="20"/>
        </w:rPr>
        <w:t>Reformed </w:t>
      </w:r>
      <w:r>
        <w:rPr>
          <w:spacing w:val="-3"/>
          <w:w w:val="115"/>
          <w:sz w:val="20"/>
        </w:rPr>
        <w:t>Church </w:t>
      </w:r>
      <w:r>
        <w:rPr>
          <w:w w:val="115"/>
          <w:sz w:val="20"/>
        </w:rPr>
        <w:t>one, and that the need therefore is </w:t>
      </w:r>
      <w:r>
        <w:rPr>
          <w:spacing w:val="-3"/>
          <w:w w:val="115"/>
          <w:sz w:val="20"/>
        </w:rPr>
        <w:t>to </w:t>
      </w:r>
      <w:r>
        <w:rPr>
          <w:w w:val="115"/>
          <w:sz w:val="20"/>
        </w:rPr>
        <w:t>identify existing theological statements which will satisfy the request and be reasonably </w:t>
      </w:r>
      <w:r>
        <w:rPr>
          <w:spacing w:val="-3"/>
          <w:w w:val="115"/>
          <w:sz w:val="20"/>
        </w:rPr>
        <w:t>easily accessible. </w:t>
      </w:r>
      <w:r>
        <w:rPr>
          <w:w w:val="115"/>
          <w:sz w:val="20"/>
        </w:rPr>
        <w:t>At some point it </w:t>
      </w:r>
      <w:r>
        <w:rPr>
          <w:spacing w:val="-3"/>
          <w:w w:val="115"/>
          <w:sz w:val="20"/>
        </w:rPr>
        <w:t>may </w:t>
      </w:r>
      <w:r>
        <w:rPr>
          <w:w w:val="115"/>
          <w:sz w:val="20"/>
        </w:rPr>
        <w:t>be necessary </w:t>
      </w:r>
      <w:r>
        <w:rPr>
          <w:spacing w:val="-3"/>
          <w:w w:val="115"/>
          <w:sz w:val="20"/>
        </w:rPr>
        <w:t>to relate such </w:t>
      </w:r>
      <w:r>
        <w:rPr>
          <w:w w:val="115"/>
          <w:sz w:val="20"/>
        </w:rPr>
        <w:t>a theology </w:t>
      </w:r>
      <w:r>
        <w:rPr>
          <w:spacing w:val="-3"/>
          <w:w w:val="115"/>
          <w:sz w:val="20"/>
        </w:rPr>
        <w:t>to </w:t>
      </w:r>
      <w:r>
        <w:rPr>
          <w:w w:val="115"/>
          <w:sz w:val="20"/>
        </w:rPr>
        <w:t>the </w:t>
      </w:r>
      <w:r>
        <w:rPr>
          <w:spacing w:val="-3"/>
          <w:w w:val="115"/>
          <w:sz w:val="20"/>
        </w:rPr>
        <w:t>ecclesiology </w:t>
      </w:r>
      <w:r>
        <w:rPr>
          <w:w w:val="115"/>
          <w:sz w:val="20"/>
        </w:rPr>
        <w:t>of the </w:t>
      </w:r>
      <w:r>
        <w:rPr>
          <w:spacing w:val="-3"/>
          <w:w w:val="115"/>
          <w:sz w:val="20"/>
        </w:rPr>
        <w:t>United </w:t>
      </w:r>
      <w:r>
        <w:rPr>
          <w:w w:val="115"/>
          <w:sz w:val="20"/>
        </w:rPr>
        <w:t>Reformed </w:t>
      </w:r>
      <w:r>
        <w:rPr>
          <w:spacing w:val="-3"/>
          <w:w w:val="115"/>
          <w:sz w:val="20"/>
        </w:rPr>
        <w:t>Church. </w:t>
      </w:r>
      <w:r>
        <w:rPr>
          <w:w w:val="115"/>
          <w:sz w:val="20"/>
        </w:rPr>
        <w:t>The group has </w:t>
      </w:r>
      <w:r>
        <w:rPr>
          <w:spacing w:val="-3"/>
          <w:w w:val="115"/>
          <w:sz w:val="20"/>
        </w:rPr>
        <w:t>asked </w:t>
      </w:r>
      <w:r>
        <w:rPr>
          <w:w w:val="115"/>
          <w:sz w:val="20"/>
        </w:rPr>
        <w:t>the </w:t>
      </w:r>
      <w:r>
        <w:rPr>
          <w:spacing w:val="-3"/>
          <w:w w:val="115"/>
          <w:sz w:val="20"/>
        </w:rPr>
        <w:t>Faith </w:t>
      </w:r>
      <w:r>
        <w:rPr>
          <w:w w:val="115"/>
          <w:sz w:val="20"/>
        </w:rPr>
        <w:t>and Order Group for </w:t>
      </w:r>
      <w:r>
        <w:rPr>
          <w:spacing w:val="-3"/>
          <w:w w:val="115"/>
          <w:sz w:val="20"/>
        </w:rPr>
        <w:t>advice. </w:t>
      </w:r>
      <w:r>
        <w:rPr>
          <w:w w:val="115"/>
          <w:sz w:val="20"/>
        </w:rPr>
        <w:t>The </w:t>
      </w:r>
      <w:r>
        <w:rPr>
          <w:spacing w:val="-3"/>
          <w:w w:val="115"/>
          <w:sz w:val="20"/>
        </w:rPr>
        <w:t>second sentence</w:t>
      </w:r>
      <w:r>
        <w:rPr>
          <w:spacing w:val="10"/>
          <w:w w:val="115"/>
          <w:sz w:val="20"/>
        </w:rPr>
        <w:t> </w:t>
      </w:r>
      <w:r>
        <w:rPr>
          <w:w w:val="115"/>
          <w:sz w:val="20"/>
        </w:rPr>
        <w:t>of</w:t>
      </w:r>
      <w:r>
        <w:rPr>
          <w:spacing w:val="10"/>
          <w:w w:val="115"/>
          <w:sz w:val="20"/>
        </w:rPr>
        <w:t> </w:t>
      </w:r>
      <w:r>
        <w:rPr>
          <w:w w:val="115"/>
          <w:sz w:val="20"/>
        </w:rPr>
        <w:t>the</w:t>
      </w:r>
      <w:r>
        <w:rPr>
          <w:spacing w:val="10"/>
          <w:w w:val="115"/>
          <w:sz w:val="20"/>
        </w:rPr>
        <w:t> </w:t>
      </w:r>
      <w:r>
        <w:rPr>
          <w:w w:val="115"/>
          <w:sz w:val="20"/>
        </w:rPr>
        <w:t>request</w:t>
      </w:r>
      <w:r>
        <w:rPr>
          <w:spacing w:val="10"/>
          <w:w w:val="115"/>
          <w:sz w:val="20"/>
        </w:rPr>
        <w:t> </w:t>
      </w:r>
      <w:r>
        <w:rPr>
          <w:w w:val="115"/>
          <w:sz w:val="20"/>
        </w:rPr>
        <w:t>should</w:t>
      </w:r>
      <w:r>
        <w:rPr>
          <w:spacing w:val="10"/>
          <w:w w:val="115"/>
          <w:sz w:val="20"/>
        </w:rPr>
        <w:t> </w:t>
      </w:r>
      <w:r>
        <w:rPr>
          <w:w w:val="115"/>
          <w:sz w:val="20"/>
        </w:rPr>
        <w:t>fall</w:t>
      </w:r>
      <w:r>
        <w:rPr>
          <w:spacing w:val="10"/>
          <w:w w:val="115"/>
          <w:sz w:val="20"/>
        </w:rPr>
        <w:t> </w:t>
      </w:r>
      <w:r>
        <w:rPr>
          <w:spacing w:val="-3"/>
          <w:w w:val="115"/>
          <w:sz w:val="20"/>
        </w:rPr>
        <w:t>within</w:t>
      </w:r>
      <w:r>
        <w:rPr>
          <w:spacing w:val="10"/>
          <w:w w:val="115"/>
          <w:sz w:val="20"/>
        </w:rPr>
        <w:t> </w:t>
      </w:r>
      <w:r>
        <w:rPr>
          <w:w w:val="115"/>
          <w:sz w:val="20"/>
        </w:rPr>
        <w:t>the</w:t>
      </w:r>
      <w:r>
        <w:rPr>
          <w:spacing w:val="10"/>
          <w:w w:val="115"/>
          <w:sz w:val="20"/>
        </w:rPr>
        <w:t> </w:t>
      </w:r>
      <w:r>
        <w:rPr>
          <w:w w:val="115"/>
          <w:sz w:val="20"/>
        </w:rPr>
        <w:t>plans</w:t>
      </w:r>
      <w:r>
        <w:rPr>
          <w:spacing w:val="10"/>
          <w:w w:val="115"/>
          <w:sz w:val="20"/>
        </w:rPr>
        <w:t> </w:t>
      </w:r>
      <w:r>
        <w:rPr>
          <w:w w:val="115"/>
          <w:sz w:val="20"/>
        </w:rPr>
        <w:t>detailed</w:t>
      </w:r>
      <w:r>
        <w:rPr>
          <w:spacing w:val="11"/>
          <w:w w:val="115"/>
          <w:sz w:val="20"/>
        </w:rPr>
        <w:t> </w:t>
      </w:r>
      <w:r>
        <w:rPr>
          <w:w w:val="115"/>
          <w:sz w:val="20"/>
        </w:rPr>
        <w:t>in</w:t>
      </w:r>
      <w:r>
        <w:rPr>
          <w:spacing w:val="10"/>
          <w:w w:val="115"/>
          <w:sz w:val="20"/>
        </w:rPr>
        <w:t> </w:t>
      </w:r>
      <w:r>
        <w:rPr>
          <w:w w:val="115"/>
          <w:sz w:val="20"/>
        </w:rPr>
        <w:t>section</w:t>
      </w:r>
      <w:r>
        <w:rPr>
          <w:spacing w:val="10"/>
          <w:w w:val="115"/>
          <w:sz w:val="20"/>
        </w:rPr>
        <w:t> </w:t>
      </w:r>
      <w:r>
        <w:rPr>
          <w:w w:val="115"/>
          <w:sz w:val="20"/>
        </w:rPr>
        <w:t>4</w:t>
      </w:r>
      <w:r>
        <w:rPr>
          <w:spacing w:val="10"/>
          <w:w w:val="115"/>
          <w:sz w:val="20"/>
        </w:rPr>
        <w:t> </w:t>
      </w:r>
      <w:r>
        <w:rPr>
          <w:w w:val="115"/>
          <w:sz w:val="20"/>
        </w:rPr>
        <w:t>of</w:t>
      </w:r>
      <w:r>
        <w:rPr>
          <w:spacing w:val="10"/>
          <w:w w:val="115"/>
          <w:sz w:val="20"/>
        </w:rPr>
        <w:t> </w:t>
      </w:r>
      <w:r>
        <w:rPr>
          <w:spacing w:val="-3"/>
          <w:w w:val="115"/>
          <w:sz w:val="20"/>
        </w:rPr>
        <w:t>this</w:t>
      </w:r>
      <w:r>
        <w:rPr>
          <w:spacing w:val="10"/>
          <w:w w:val="115"/>
          <w:sz w:val="20"/>
        </w:rPr>
        <w:t> </w:t>
      </w:r>
      <w:r>
        <w:rPr>
          <w:w w:val="115"/>
          <w:sz w:val="20"/>
        </w:rPr>
        <w:t>report.</w:t>
      </w:r>
    </w:p>
    <w:p>
      <w:pPr>
        <w:pStyle w:val="BodyText"/>
        <w:spacing w:before="1"/>
        <w:rPr>
          <w:sz w:val="18"/>
        </w:rPr>
      </w:pPr>
    </w:p>
    <w:p>
      <w:pPr>
        <w:pStyle w:val="ListParagraph"/>
        <w:numPr>
          <w:ilvl w:val="1"/>
          <w:numId w:val="101"/>
        </w:numPr>
        <w:tabs>
          <w:tab w:pos="1814" w:val="left" w:leader="none"/>
          <w:tab w:pos="1815" w:val="left" w:leader="none"/>
        </w:tabs>
        <w:spacing w:line="235" w:lineRule="auto" w:before="1" w:after="0"/>
        <w:ind w:left="1134" w:right="2145" w:hanging="1"/>
        <w:jc w:val="left"/>
        <w:rPr>
          <w:sz w:val="20"/>
        </w:rPr>
      </w:pPr>
      <w:r>
        <w:rPr>
          <w:rFonts w:ascii="Stone Sans II ITC Std Bk" w:hAnsi="Stone Sans II ITC Std Bk"/>
          <w:b/>
          <w:spacing w:val="-3"/>
          <w:w w:val="115"/>
          <w:sz w:val="20"/>
        </w:rPr>
        <w:t>Advocacy.</w:t>
      </w:r>
      <w:r>
        <w:rPr>
          <w:rFonts w:ascii="Stone Sans II ITC Std Bk" w:hAnsi="Stone Sans II ITC Std Bk"/>
          <w:b/>
          <w:spacing w:val="-27"/>
          <w:w w:val="115"/>
          <w:sz w:val="20"/>
        </w:rPr>
        <w:t> </w:t>
      </w:r>
      <w:r>
        <w:rPr>
          <w:i/>
          <w:spacing w:val="-3"/>
          <w:w w:val="115"/>
          <w:sz w:val="20"/>
        </w:rPr>
        <w:t>Related</w:t>
      </w:r>
      <w:r>
        <w:rPr>
          <w:i/>
          <w:spacing w:val="-20"/>
          <w:w w:val="115"/>
          <w:sz w:val="20"/>
        </w:rPr>
        <w:t> </w:t>
      </w:r>
      <w:r>
        <w:rPr>
          <w:i/>
          <w:w w:val="115"/>
          <w:sz w:val="20"/>
        </w:rPr>
        <w:t>to</w:t>
      </w:r>
      <w:r>
        <w:rPr>
          <w:i/>
          <w:spacing w:val="-20"/>
          <w:w w:val="115"/>
          <w:sz w:val="20"/>
        </w:rPr>
        <w:t> </w:t>
      </w:r>
      <w:r>
        <w:rPr>
          <w:i/>
          <w:spacing w:val="-3"/>
          <w:w w:val="115"/>
          <w:sz w:val="20"/>
        </w:rPr>
        <w:t>this</w:t>
      </w:r>
      <w:r>
        <w:rPr>
          <w:i/>
          <w:spacing w:val="-20"/>
          <w:w w:val="115"/>
          <w:sz w:val="20"/>
        </w:rPr>
        <w:t> </w:t>
      </w:r>
      <w:r>
        <w:rPr>
          <w:i/>
          <w:spacing w:val="-3"/>
          <w:w w:val="115"/>
          <w:sz w:val="20"/>
        </w:rPr>
        <w:t>is</w:t>
      </w:r>
      <w:r>
        <w:rPr>
          <w:i/>
          <w:spacing w:val="-21"/>
          <w:w w:val="115"/>
          <w:sz w:val="20"/>
        </w:rPr>
        <w:t> </w:t>
      </w:r>
      <w:r>
        <w:rPr>
          <w:i/>
          <w:w w:val="115"/>
          <w:sz w:val="20"/>
        </w:rPr>
        <w:t>the</w:t>
      </w:r>
      <w:r>
        <w:rPr>
          <w:i/>
          <w:spacing w:val="-20"/>
          <w:w w:val="115"/>
          <w:sz w:val="20"/>
        </w:rPr>
        <w:t> </w:t>
      </w:r>
      <w:r>
        <w:rPr>
          <w:i/>
          <w:spacing w:val="-3"/>
          <w:w w:val="115"/>
          <w:sz w:val="20"/>
        </w:rPr>
        <w:t>need</w:t>
      </w:r>
      <w:r>
        <w:rPr>
          <w:i/>
          <w:spacing w:val="-20"/>
          <w:w w:val="115"/>
          <w:sz w:val="20"/>
        </w:rPr>
        <w:t> </w:t>
      </w:r>
      <w:r>
        <w:rPr>
          <w:i/>
          <w:w w:val="115"/>
          <w:sz w:val="20"/>
        </w:rPr>
        <w:t>for</w:t>
      </w:r>
      <w:r>
        <w:rPr>
          <w:i/>
          <w:spacing w:val="-21"/>
          <w:w w:val="115"/>
          <w:sz w:val="20"/>
        </w:rPr>
        <w:t> </w:t>
      </w:r>
      <w:r>
        <w:rPr>
          <w:i/>
          <w:w w:val="115"/>
          <w:sz w:val="20"/>
        </w:rPr>
        <w:t>clarity</w:t>
      </w:r>
      <w:r>
        <w:rPr>
          <w:i/>
          <w:spacing w:val="-20"/>
          <w:w w:val="115"/>
          <w:sz w:val="20"/>
        </w:rPr>
        <w:t> </w:t>
      </w:r>
      <w:r>
        <w:rPr>
          <w:i/>
          <w:w w:val="115"/>
          <w:sz w:val="20"/>
        </w:rPr>
        <w:t>about</w:t>
      </w:r>
      <w:r>
        <w:rPr>
          <w:i/>
          <w:spacing w:val="-20"/>
          <w:w w:val="115"/>
          <w:sz w:val="20"/>
        </w:rPr>
        <w:t> </w:t>
      </w:r>
      <w:r>
        <w:rPr>
          <w:i/>
          <w:w w:val="115"/>
          <w:sz w:val="20"/>
        </w:rPr>
        <w:t>the</w:t>
      </w:r>
      <w:r>
        <w:rPr>
          <w:i/>
          <w:spacing w:val="-21"/>
          <w:w w:val="115"/>
          <w:sz w:val="20"/>
        </w:rPr>
        <w:t> </w:t>
      </w:r>
      <w:r>
        <w:rPr>
          <w:i/>
          <w:spacing w:val="-5"/>
          <w:w w:val="115"/>
          <w:sz w:val="20"/>
        </w:rPr>
        <w:t>church’s</w:t>
      </w:r>
      <w:r>
        <w:rPr>
          <w:i/>
          <w:spacing w:val="-20"/>
          <w:w w:val="115"/>
          <w:sz w:val="20"/>
        </w:rPr>
        <w:t> </w:t>
      </w:r>
      <w:r>
        <w:rPr>
          <w:i/>
          <w:spacing w:val="-3"/>
          <w:w w:val="115"/>
          <w:sz w:val="20"/>
        </w:rPr>
        <w:t>teaching</w:t>
      </w:r>
      <w:r>
        <w:rPr>
          <w:i/>
          <w:spacing w:val="-20"/>
          <w:w w:val="115"/>
          <w:sz w:val="20"/>
        </w:rPr>
        <w:t> </w:t>
      </w:r>
      <w:r>
        <w:rPr>
          <w:i/>
          <w:w w:val="115"/>
          <w:sz w:val="20"/>
        </w:rPr>
        <w:t>on</w:t>
      </w:r>
      <w:r>
        <w:rPr>
          <w:i/>
          <w:spacing w:val="-20"/>
          <w:w w:val="115"/>
          <w:sz w:val="20"/>
        </w:rPr>
        <w:t> </w:t>
      </w:r>
      <w:r>
        <w:rPr>
          <w:i/>
          <w:w w:val="115"/>
          <w:sz w:val="20"/>
        </w:rPr>
        <w:t>matters </w:t>
      </w:r>
      <w:r>
        <w:rPr>
          <w:i/>
          <w:w w:val="120"/>
          <w:sz w:val="20"/>
        </w:rPr>
        <w:t>of </w:t>
      </w:r>
      <w:r>
        <w:rPr>
          <w:i/>
          <w:spacing w:val="-2"/>
          <w:w w:val="120"/>
          <w:sz w:val="20"/>
        </w:rPr>
        <w:t>sexual </w:t>
      </w:r>
      <w:r>
        <w:rPr>
          <w:i/>
          <w:spacing w:val="-3"/>
          <w:w w:val="120"/>
          <w:sz w:val="20"/>
        </w:rPr>
        <w:t>relationships. </w:t>
      </w:r>
      <w:r>
        <w:rPr>
          <w:i/>
          <w:w w:val="120"/>
          <w:sz w:val="20"/>
        </w:rPr>
        <w:t>What do </w:t>
      </w:r>
      <w:r>
        <w:rPr>
          <w:i/>
          <w:spacing w:val="-3"/>
          <w:w w:val="120"/>
          <w:sz w:val="20"/>
        </w:rPr>
        <w:t>we </w:t>
      </w:r>
      <w:r>
        <w:rPr>
          <w:i/>
          <w:w w:val="120"/>
          <w:sz w:val="20"/>
        </w:rPr>
        <w:t>actually affirm and </w:t>
      </w:r>
      <w:r>
        <w:rPr>
          <w:i/>
          <w:spacing w:val="-3"/>
          <w:w w:val="120"/>
          <w:sz w:val="20"/>
        </w:rPr>
        <w:t>teach </w:t>
      </w:r>
      <w:r>
        <w:rPr>
          <w:i/>
          <w:w w:val="120"/>
          <w:sz w:val="20"/>
        </w:rPr>
        <w:t>about </w:t>
      </w:r>
      <w:r>
        <w:rPr>
          <w:i/>
          <w:spacing w:val="-3"/>
          <w:w w:val="120"/>
          <w:sz w:val="20"/>
        </w:rPr>
        <w:t>marriage, singleness, celibacy</w:t>
      </w:r>
      <w:r>
        <w:rPr>
          <w:i/>
          <w:spacing w:val="-34"/>
          <w:w w:val="120"/>
          <w:sz w:val="20"/>
        </w:rPr>
        <w:t> </w:t>
      </w:r>
      <w:r>
        <w:rPr>
          <w:i/>
          <w:w w:val="120"/>
          <w:sz w:val="20"/>
        </w:rPr>
        <w:t>and</w:t>
      </w:r>
      <w:r>
        <w:rPr>
          <w:i/>
          <w:spacing w:val="-34"/>
          <w:w w:val="120"/>
          <w:sz w:val="20"/>
        </w:rPr>
        <w:t> </w:t>
      </w:r>
      <w:r>
        <w:rPr>
          <w:i/>
          <w:spacing w:val="-3"/>
          <w:w w:val="120"/>
          <w:sz w:val="20"/>
        </w:rPr>
        <w:t>same-sex</w:t>
      </w:r>
      <w:r>
        <w:rPr>
          <w:i/>
          <w:spacing w:val="-34"/>
          <w:w w:val="120"/>
          <w:sz w:val="20"/>
        </w:rPr>
        <w:t> </w:t>
      </w:r>
      <w:r>
        <w:rPr>
          <w:i/>
          <w:spacing w:val="-3"/>
          <w:w w:val="120"/>
          <w:sz w:val="20"/>
        </w:rPr>
        <w:t>relationships,</w:t>
      </w:r>
      <w:r>
        <w:rPr>
          <w:i/>
          <w:spacing w:val="-33"/>
          <w:w w:val="120"/>
          <w:sz w:val="20"/>
        </w:rPr>
        <w:t> </w:t>
      </w:r>
      <w:r>
        <w:rPr>
          <w:i/>
          <w:w w:val="120"/>
          <w:sz w:val="20"/>
        </w:rPr>
        <w:t>for</w:t>
      </w:r>
      <w:r>
        <w:rPr>
          <w:i/>
          <w:spacing w:val="-34"/>
          <w:w w:val="120"/>
          <w:sz w:val="20"/>
        </w:rPr>
        <w:t> </w:t>
      </w:r>
      <w:r>
        <w:rPr>
          <w:i/>
          <w:spacing w:val="-4"/>
          <w:w w:val="120"/>
          <w:sz w:val="20"/>
        </w:rPr>
        <w:t>instance?</w:t>
      </w:r>
      <w:r>
        <w:rPr>
          <w:i/>
          <w:spacing w:val="-34"/>
          <w:w w:val="120"/>
          <w:sz w:val="20"/>
        </w:rPr>
        <w:t> </w:t>
      </w:r>
      <w:r>
        <w:rPr>
          <w:i/>
          <w:w w:val="120"/>
          <w:sz w:val="20"/>
        </w:rPr>
        <w:t>Within</w:t>
      </w:r>
      <w:r>
        <w:rPr>
          <w:i/>
          <w:spacing w:val="-33"/>
          <w:w w:val="120"/>
          <w:sz w:val="20"/>
        </w:rPr>
        <w:t> </w:t>
      </w:r>
      <w:r>
        <w:rPr>
          <w:i/>
          <w:spacing w:val="-3"/>
          <w:w w:val="120"/>
          <w:sz w:val="20"/>
        </w:rPr>
        <w:t>this,</w:t>
      </w:r>
      <w:r>
        <w:rPr>
          <w:i/>
          <w:spacing w:val="-34"/>
          <w:w w:val="120"/>
          <w:sz w:val="20"/>
        </w:rPr>
        <w:t> </w:t>
      </w:r>
      <w:r>
        <w:rPr>
          <w:i/>
          <w:w w:val="120"/>
          <w:sz w:val="20"/>
        </w:rPr>
        <w:t>how</w:t>
      </w:r>
      <w:r>
        <w:rPr>
          <w:i/>
          <w:spacing w:val="-34"/>
          <w:w w:val="120"/>
          <w:sz w:val="20"/>
        </w:rPr>
        <w:t> </w:t>
      </w:r>
      <w:r>
        <w:rPr>
          <w:i/>
          <w:w w:val="120"/>
          <w:sz w:val="20"/>
        </w:rPr>
        <w:t>does</w:t>
      </w:r>
      <w:r>
        <w:rPr>
          <w:i/>
          <w:spacing w:val="-33"/>
          <w:w w:val="120"/>
          <w:sz w:val="20"/>
        </w:rPr>
        <w:t> </w:t>
      </w:r>
      <w:r>
        <w:rPr>
          <w:i/>
          <w:w w:val="120"/>
          <w:sz w:val="20"/>
        </w:rPr>
        <w:t>the</w:t>
      </w:r>
      <w:r>
        <w:rPr>
          <w:i/>
          <w:spacing w:val="-34"/>
          <w:w w:val="120"/>
          <w:sz w:val="20"/>
        </w:rPr>
        <w:t> </w:t>
      </w:r>
      <w:r>
        <w:rPr>
          <w:i/>
          <w:spacing w:val="-3"/>
          <w:w w:val="120"/>
          <w:sz w:val="20"/>
        </w:rPr>
        <w:t>church</w:t>
      </w:r>
      <w:r>
        <w:rPr>
          <w:i/>
          <w:spacing w:val="-34"/>
          <w:w w:val="120"/>
          <w:sz w:val="20"/>
        </w:rPr>
        <w:t> </w:t>
      </w:r>
      <w:r>
        <w:rPr>
          <w:i/>
          <w:spacing w:val="-3"/>
          <w:w w:val="120"/>
          <w:sz w:val="20"/>
        </w:rPr>
        <w:t>cope</w:t>
      </w:r>
      <w:r>
        <w:rPr>
          <w:i/>
          <w:spacing w:val="-33"/>
          <w:w w:val="120"/>
          <w:sz w:val="20"/>
        </w:rPr>
        <w:t> </w:t>
      </w:r>
      <w:r>
        <w:rPr>
          <w:i/>
          <w:w w:val="120"/>
          <w:sz w:val="20"/>
        </w:rPr>
        <w:t>with two</w:t>
      </w:r>
      <w:r>
        <w:rPr>
          <w:i/>
          <w:spacing w:val="-33"/>
          <w:w w:val="120"/>
          <w:sz w:val="20"/>
        </w:rPr>
        <w:t> </w:t>
      </w:r>
      <w:r>
        <w:rPr>
          <w:i/>
          <w:spacing w:val="-3"/>
          <w:w w:val="120"/>
          <w:sz w:val="20"/>
        </w:rPr>
        <w:t>incompatible</w:t>
      </w:r>
      <w:r>
        <w:rPr>
          <w:i/>
          <w:spacing w:val="-32"/>
          <w:w w:val="120"/>
          <w:sz w:val="20"/>
        </w:rPr>
        <w:t> </w:t>
      </w:r>
      <w:r>
        <w:rPr>
          <w:i/>
          <w:w w:val="120"/>
          <w:sz w:val="20"/>
        </w:rPr>
        <w:t>sets</w:t>
      </w:r>
      <w:r>
        <w:rPr>
          <w:i/>
          <w:spacing w:val="-33"/>
          <w:w w:val="120"/>
          <w:sz w:val="20"/>
        </w:rPr>
        <w:t> </w:t>
      </w:r>
      <w:r>
        <w:rPr>
          <w:i/>
          <w:w w:val="120"/>
          <w:sz w:val="20"/>
        </w:rPr>
        <w:t>of</w:t>
      </w:r>
      <w:r>
        <w:rPr>
          <w:i/>
          <w:spacing w:val="-32"/>
          <w:w w:val="120"/>
          <w:sz w:val="20"/>
        </w:rPr>
        <w:t> </w:t>
      </w:r>
      <w:r>
        <w:rPr>
          <w:i/>
          <w:spacing w:val="-3"/>
          <w:w w:val="120"/>
          <w:sz w:val="20"/>
        </w:rPr>
        <w:t>teaching,</w:t>
      </w:r>
      <w:r>
        <w:rPr>
          <w:i/>
          <w:spacing w:val="-33"/>
          <w:w w:val="120"/>
          <w:sz w:val="20"/>
        </w:rPr>
        <w:t> </w:t>
      </w:r>
      <w:r>
        <w:rPr>
          <w:i/>
          <w:w w:val="120"/>
          <w:sz w:val="20"/>
        </w:rPr>
        <w:t>one</w:t>
      </w:r>
      <w:r>
        <w:rPr>
          <w:i/>
          <w:spacing w:val="-32"/>
          <w:w w:val="120"/>
          <w:sz w:val="20"/>
        </w:rPr>
        <w:t> </w:t>
      </w:r>
      <w:r>
        <w:rPr>
          <w:i/>
          <w:w w:val="120"/>
          <w:sz w:val="20"/>
        </w:rPr>
        <w:t>of</w:t>
      </w:r>
      <w:r>
        <w:rPr>
          <w:i/>
          <w:spacing w:val="-32"/>
          <w:w w:val="120"/>
          <w:sz w:val="20"/>
        </w:rPr>
        <w:t> </w:t>
      </w:r>
      <w:r>
        <w:rPr>
          <w:i/>
          <w:spacing w:val="-3"/>
          <w:w w:val="120"/>
          <w:sz w:val="20"/>
        </w:rPr>
        <w:t>which</w:t>
      </w:r>
      <w:r>
        <w:rPr>
          <w:i/>
          <w:spacing w:val="-33"/>
          <w:w w:val="120"/>
          <w:sz w:val="20"/>
        </w:rPr>
        <w:t> </w:t>
      </w:r>
      <w:r>
        <w:rPr>
          <w:i/>
          <w:w w:val="120"/>
          <w:sz w:val="20"/>
        </w:rPr>
        <w:t>says</w:t>
      </w:r>
      <w:r>
        <w:rPr>
          <w:i/>
          <w:spacing w:val="-32"/>
          <w:w w:val="120"/>
          <w:sz w:val="20"/>
        </w:rPr>
        <w:t> </w:t>
      </w:r>
      <w:r>
        <w:rPr>
          <w:i/>
          <w:w w:val="120"/>
          <w:sz w:val="20"/>
        </w:rPr>
        <w:t>that</w:t>
      </w:r>
      <w:r>
        <w:rPr>
          <w:i/>
          <w:spacing w:val="-33"/>
          <w:w w:val="120"/>
          <w:sz w:val="20"/>
        </w:rPr>
        <w:t> </w:t>
      </w:r>
      <w:r>
        <w:rPr>
          <w:i/>
          <w:spacing w:val="-3"/>
          <w:w w:val="120"/>
          <w:sz w:val="20"/>
        </w:rPr>
        <w:t>same-sex</w:t>
      </w:r>
      <w:r>
        <w:rPr>
          <w:i/>
          <w:spacing w:val="-32"/>
          <w:w w:val="120"/>
          <w:sz w:val="20"/>
        </w:rPr>
        <w:t> </w:t>
      </w:r>
      <w:r>
        <w:rPr>
          <w:i/>
          <w:w w:val="120"/>
          <w:sz w:val="20"/>
        </w:rPr>
        <w:t>practice</w:t>
      </w:r>
      <w:r>
        <w:rPr>
          <w:i/>
          <w:spacing w:val="-32"/>
          <w:w w:val="120"/>
          <w:sz w:val="20"/>
        </w:rPr>
        <w:t> </w:t>
      </w:r>
      <w:r>
        <w:rPr>
          <w:i/>
          <w:spacing w:val="-3"/>
          <w:w w:val="120"/>
          <w:sz w:val="20"/>
        </w:rPr>
        <w:t>is</w:t>
      </w:r>
      <w:r>
        <w:rPr>
          <w:i/>
          <w:spacing w:val="-33"/>
          <w:w w:val="120"/>
          <w:sz w:val="20"/>
        </w:rPr>
        <w:t> </w:t>
      </w:r>
      <w:r>
        <w:rPr>
          <w:i/>
          <w:w w:val="120"/>
          <w:sz w:val="20"/>
        </w:rPr>
        <w:t>wrong</w:t>
      </w:r>
      <w:r>
        <w:rPr>
          <w:i/>
          <w:spacing w:val="-32"/>
          <w:w w:val="120"/>
          <w:sz w:val="20"/>
        </w:rPr>
        <w:t> </w:t>
      </w:r>
      <w:r>
        <w:rPr>
          <w:i/>
          <w:w w:val="120"/>
          <w:sz w:val="20"/>
        </w:rPr>
        <w:t>and</w:t>
      </w:r>
      <w:r>
        <w:rPr>
          <w:i/>
          <w:spacing w:val="-33"/>
          <w:w w:val="120"/>
          <w:sz w:val="20"/>
        </w:rPr>
        <w:t> </w:t>
      </w:r>
      <w:r>
        <w:rPr>
          <w:i/>
          <w:w w:val="120"/>
          <w:sz w:val="20"/>
        </w:rPr>
        <w:t>the other</w:t>
      </w:r>
      <w:r>
        <w:rPr>
          <w:i/>
          <w:spacing w:val="-30"/>
          <w:w w:val="120"/>
          <w:sz w:val="20"/>
        </w:rPr>
        <w:t> </w:t>
      </w:r>
      <w:r>
        <w:rPr>
          <w:i/>
          <w:w w:val="120"/>
          <w:sz w:val="20"/>
        </w:rPr>
        <w:t>of</w:t>
      </w:r>
      <w:r>
        <w:rPr>
          <w:i/>
          <w:spacing w:val="-29"/>
          <w:w w:val="120"/>
          <w:sz w:val="20"/>
        </w:rPr>
        <w:t> </w:t>
      </w:r>
      <w:r>
        <w:rPr>
          <w:i/>
          <w:spacing w:val="-3"/>
          <w:w w:val="120"/>
          <w:sz w:val="20"/>
        </w:rPr>
        <w:t>which</w:t>
      </w:r>
      <w:r>
        <w:rPr>
          <w:i/>
          <w:spacing w:val="-29"/>
          <w:w w:val="120"/>
          <w:sz w:val="20"/>
        </w:rPr>
        <w:t> </w:t>
      </w:r>
      <w:r>
        <w:rPr>
          <w:i/>
          <w:w w:val="120"/>
          <w:sz w:val="20"/>
        </w:rPr>
        <w:t>says</w:t>
      </w:r>
      <w:r>
        <w:rPr>
          <w:i/>
          <w:spacing w:val="-30"/>
          <w:w w:val="120"/>
          <w:sz w:val="20"/>
        </w:rPr>
        <w:t> </w:t>
      </w:r>
      <w:r>
        <w:rPr>
          <w:i/>
          <w:w w:val="120"/>
          <w:sz w:val="20"/>
        </w:rPr>
        <w:t>that</w:t>
      </w:r>
      <w:r>
        <w:rPr>
          <w:i/>
          <w:spacing w:val="-29"/>
          <w:w w:val="120"/>
          <w:sz w:val="20"/>
        </w:rPr>
        <w:t> </w:t>
      </w:r>
      <w:r>
        <w:rPr>
          <w:i/>
          <w:w w:val="120"/>
          <w:sz w:val="20"/>
        </w:rPr>
        <w:t>it</w:t>
      </w:r>
      <w:r>
        <w:rPr>
          <w:i/>
          <w:spacing w:val="-29"/>
          <w:w w:val="120"/>
          <w:sz w:val="20"/>
        </w:rPr>
        <w:t> </w:t>
      </w:r>
      <w:r>
        <w:rPr>
          <w:i/>
          <w:spacing w:val="-3"/>
          <w:w w:val="120"/>
          <w:sz w:val="20"/>
        </w:rPr>
        <w:t>can</w:t>
      </w:r>
      <w:r>
        <w:rPr>
          <w:i/>
          <w:spacing w:val="-30"/>
          <w:w w:val="120"/>
          <w:sz w:val="20"/>
        </w:rPr>
        <w:t> </w:t>
      </w:r>
      <w:r>
        <w:rPr>
          <w:i/>
          <w:w w:val="120"/>
          <w:sz w:val="20"/>
        </w:rPr>
        <w:t>be</w:t>
      </w:r>
      <w:r>
        <w:rPr>
          <w:i/>
          <w:spacing w:val="-29"/>
          <w:w w:val="120"/>
          <w:sz w:val="20"/>
        </w:rPr>
        <w:t> </w:t>
      </w:r>
      <w:r>
        <w:rPr>
          <w:i/>
          <w:spacing w:val="-3"/>
          <w:w w:val="120"/>
          <w:sz w:val="20"/>
        </w:rPr>
        <w:t>life-affirming?</w:t>
      </w:r>
      <w:r>
        <w:rPr>
          <w:i/>
          <w:spacing w:val="-29"/>
          <w:w w:val="120"/>
          <w:sz w:val="20"/>
        </w:rPr>
        <w:t> </w:t>
      </w:r>
      <w:r>
        <w:rPr>
          <w:i/>
          <w:w w:val="120"/>
          <w:sz w:val="20"/>
        </w:rPr>
        <w:t>Do</w:t>
      </w:r>
      <w:r>
        <w:rPr>
          <w:i/>
          <w:spacing w:val="-30"/>
          <w:w w:val="120"/>
          <w:sz w:val="20"/>
        </w:rPr>
        <w:t> </w:t>
      </w:r>
      <w:r>
        <w:rPr>
          <w:i/>
          <w:spacing w:val="-3"/>
          <w:w w:val="120"/>
          <w:sz w:val="20"/>
        </w:rPr>
        <w:t>we</w:t>
      </w:r>
      <w:r>
        <w:rPr>
          <w:i/>
          <w:spacing w:val="-29"/>
          <w:w w:val="120"/>
          <w:sz w:val="20"/>
        </w:rPr>
        <w:t> </w:t>
      </w:r>
      <w:r>
        <w:rPr>
          <w:i/>
          <w:spacing w:val="-2"/>
          <w:w w:val="120"/>
          <w:sz w:val="20"/>
        </w:rPr>
        <w:t>say</w:t>
      </w:r>
      <w:r>
        <w:rPr>
          <w:i/>
          <w:spacing w:val="-29"/>
          <w:w w:val="120"/>
          <w:sz w:val="20"/>
        </w:rPr>
        <w:t> </w:t>
      </w:r>
      <w:r>
        <w:rPr>
          <w:i/>
          <w:w w:val="120"/>
          <w:sz w:val="20"/>
        </w:rPr>
        <w:t>that</w:t>
      </w:r>
      <w:r>
        <w:rPr>
          <w:i/>
          <w:spacing w:val="-30"/>
          <w:w w:val="120"/>
          <w:sz w:val="20"/>
        </w:rPr>
        <w:t> </w:t>
      </w:r>
      <w:r>
        <w:rPr>
          <w:i/>
          <w:w w:val="120"/>
          <w:sz w:val="20"/>
        </w:rPr>
        <w:t>our</w:t>
      </w:r>
      <w:r>
        <w:rPr>
          <w:i/>
          <w:spacing w:val="-29"/>
          <w:w w:val="120"/>
          <w:sz w:val="20"/>
        </w:rPr>
        <w:t> </w:t>
      </w:r>
      <w:r>
        <w:rPr>
          <w:i/>
          <w:spacing w:val="-3"/>
          <w:w w:val="120"/>
          <w:sz w:val="20"/>
        </w:rPr>
        <w:t>church</w:t>
      </w:r>
      <w:r>
        <w:rPr>
          <w:i/>
          <w:spacing w:val="-29"/>
          <w:w w:val="120"/>
          <w:sz w:val="20"/>
        </w:rPr>
        <w:t> </w:t>
      </w:r>
      <w:r>
        <w:rPr>
          <w:i/>
          <w:spacing w:val="-3"/>
          <w:w w:val="120"/>
          <w:sz w:val="20"/>
        </w:rPr>
        <w:t>teaches</w:t>
      </w:r>
      <w:r>
        <w:rPr>
          <w:i/>
          <w:spacing w:val="-30"/>
          <w:w w:val="120"/>
          <w:sz w:val="20"/>
        </w:rPr>
        <w:t> </w:t>
      </w:r>
      <w:r>
        <w:rPr>
          <w:i/>
          <w:spacing w:val="-3"/>
          <w:w w:val="120"/>
          <w:sz w:val="20"/>
        </w:rPr>
        <w:t>both?</w:t>
      </w:r>
      <w:r>
        <w:rPr>
          <w:i/>
          <w:spacing w:val="-29"/>
          <w:w w:val="120"/>
          <w:sz w:val="20"/>
        </w:rPr>
        <w:t> </w:t>
      </w:r>
      <w:r>
        <w:rPr>
          <w:w w:val="120"/>
          <w:sz w:val="20"/>
        </w:rPr>
        <w:t>The </w:t>
      </w:r>
      <w:r>
        <w:rPr>
          <w:spacing w:val="-3"/>
          <w:w w:val="120"/>
          <w:sz w:val="20"/>
        </w:rPr>
        <w:t>United </w:t>
      </w:r>
      <w:r>
        <w:rPr>
          <w:w w:val="120"/>
          <w:sz w:val="20"/>
        </w:rPr>
        <w:t>Reformed </w:t>
      </w:r>
      <w:r>
        <w:rPr>
          <w:spacing w:val="-3"/>
          <w:w w:val="120"/>
          <w:sz w:val="20"/>
        </w:rPr>
        <w:t>Church </w:t>
      </w:r>
      <w:r>
        <w:rPr>
          <w:w w:val="120"/>
          <w:sz w:val="20"/>
        </w:rPr>
        <w:t>understanding of marriage is reflected in the marriage service in the Service Book. Beyond that, no specific statements </w:t>
      </w:r>
      <w:r>
        <w:rPr>
          <w:spacing w:val="-3"/>
          <w:w w:val="120"/>
          <w:sz w:val="20"/>
        </w:rPr>
        <w:t>have </w:t>
      </w:r>
      <w:r>
        <w:rPr>
          <w:w w:val="120"/>
          <w:sz w:val="20"/>
        </w:rPr>
        <w:t>been agreed on sexual </w:t>
      </w:r>
      <w:r>
        <w:rPr>
          <w:spacing w:val="-3"/>
          <w:w w:val="120"/>
          <w:sz w:val="20"/>
        </w:rPr>
        <w:t>relationships: </w:t>
      </w:r>
      <w:r>
        <w:rPr>
          <w:w w:val="120"/>
          <w:sz w:val="20"/>
        </w:rPr>
        <w:t>it is the </w:t>
      </w:r>
      <w:r>
        <w:rPr>
          <w:spacing w:val="-3"/>
          <w:w w:val="120"/>
          <w:sz w:val="20"/>
        </w:rPr>
        <w:t>intention </w:t>
      </w:r>
      <w:r>
        <w:rPr>
          <w:w w:val="120"/>
          <w:sz w:val="20"/>
        </w:rPr>
        <w:t>of the task group </w:t>
      </w:r>
      <w:r>
        <w:rPr>
          <w:spacing w:val="-3"/>
          <w:w w:val="120"/>
          <w:sz w:val="20"/>
        </w:rPr>
        <w:t>to create </w:t>
      </w:r>
      <w:r>
        <w:rPr>
          <w:w w:val="120"/>
          <w:sz w:val="20"/>
        </w:rPr>
        <w:t>opportunities for further </w:t>
      </w:r>
      <w:r>
        <w:rPr>
          <w:spacing w:val="-3"/>
          <w:w w:val="120"/>
          <w:sz w:val="20"/>
        </w:rPr>
        <w:t>discussion </w:t>
      </w:r>
      <w:r>
        <w:rPr>
          <w:w w:val="120"/>
          <w:sz w:val="20"/>
        </w:rPr>
        <w:t>of </w:t>
      </w:r>
      <w:r>
        <w:rPr>
          <w:spacing w:val="-3"/>
          <w:w w:val="120"/>
          <w:sz w:val="20"/>
        </w:rPr>
        <w:t>this </w:t>
      </w:r>
      <w:r>
        <w:rPr>
          <w:w w:val="120"/>
          <w:sz w:val="20"/>
        </w:rPr>
        <w:t>whole area in the next two years. In so doing, the group believes that the </w:t>
      </w:r>
      <w:r>
        <w:rPr>
          <w:spacing w:val="-3"/>
          <w:w w:val="120"/>
          <w:sz w:val="20"/>
        </w:rPr>
        <w:t>discussion </w:t>
      </w:r>
      <w:r>
        <w:rPr>
          <w:w w:val="120"/>
          <w:sz w:val="20"/>
        </w:rPr>
        <w:t>is most </w:t>
      </w:r>
      <w:r>
        <w:rPr>
          <w:spacing w:val="-3"/>
          <w:w w:val="120"/>
          <w:sz w:val="20"/>
        </w:rPr>
        <w:t>likely to </w:t>
      </w:r>
      <w:r>
        <w:rPr>
          <w:w w:val="120"/>
          <w:sz w:val="20"/>
        </w:rPr>
        <w:t>be fruitful in </w:t>
      </w:r>
      <w:r>
        <w:rPr>
          <w:spacing w:val="-2"/>
          <w:w w:val="120"/>
          <w:sz w:val="20"/>
        </w:rPr>
        <w:t>groupings </w:t>
      </w:r>
      <w:r>
        <w:rPr>
          <w:w w:val="120"/>
          <w:sz w:val="20"/>
        </w:rPr>
        <w:t>where people are used </w:t>
      </w:r>
      <w:r>
        <w:rPr>
          <w:spacing w:val="-3"/>
          <w:w w:val="120"/>
          <w:sz w:val="20"/>
        </w:rPr>
        <w:t>to </w:t>
      </w:r>
      <w:r>
        <w:rPr>
          <w:w w:val="120"/>
          <w:sz w:val="20"/>
        </w:rPr>
        <w:t>speaking together</w:t>
      </w:r>
      <w:r>
        <w:rPr>
          <w:spacing w:val="-10"/>
          <w:w w:val="120"/>
          <w:sz w:val="20"/>
        </w:rPr>
        <w:t> </w:t>
      </w:r>
      <w:r>
        <w:rPr>
          <w:w w:val="120"/>
          <w:sz w:val="20"/>
        </w:rPr>
        <w:t>and</w:t>
      </w:r>
      <w:r>
        <w:rPr>
          <w:spacing w:val="-9"/>
          <w:w w:val="120"/>
          <w:sz w:val="20"/>
        </w:rPr>
        <w:t> </w:t>
      </w:r>
      <w:r>
        <w:rPr>
          <w:w w:val="120"/>
          <w:sz w:val="20"/>
        </w:rPr>
        <w:t>it</w:t>
      </w:r>
      <w:r>
        <w:rPr>
          <w:spacing w:val="-9"/>
          <w:w w:val="120"/>
          <w:sz w:val="20"/>
        </w:rPr>
        <w:t> </w:t>
      </w:r>
      <w:r>
        <w:rPr>
          <w:w w:val="120"/>
          <w:sz w:val="20"/>
        </w:rPr>
        <w:t>believes</w:t>
      </w:r>
      <w:r>
        <w:rPr>
          <w:spacing w:val="-9"/>
          <w:w w:val="120"/>
          <w:sz w:val="20"/>
        </w:rPr>
        <w:t> </w:t>
      </w:r>
      <w:r>
        <w:rPr>
          <w:w w:val="120"/>
          <w:sz w:val="20"/>
        </w:rPr>
        <w:t>that</w:t>
      </w:r>
      <w:r>
        <w:rPr>
          <w:spacing w:val="-9"/>
          <w:w w:val="120"/>
          <w:sz w:val="20"/>
        </w:rPr>
        <w:t> </w:t>
      </w:r>
      <w:r>
        <w:rPr>
          <w:w w:val="120"/>
          <w:sz w:val="20"/>
        </w:rPr>
        <w:t>sexuality</w:t>
      </w:r>
      <w:r>
        <w:rPr>
          <w:spacing w:val="-9"/>
          <w:w w:val="120"/>
          <w:sz w:val="20"/>
        </w:rPr>
        <w:t> </w:t>
      </w:r>
      <w:r>
        <w:rPr>
          <w:w w:val="120"/>
          <w:sz w:val="20"/>
        </w:rPr>
        <w:t>needs</w:t>
      </w:r>
      <w:r>
        <w:rPr>
          <w:spacing w:val="-9"/>
          <w:w w:val="120"/>
          <w:sz w:val="20"/>
        </w:rPr>
        <w:t> </w:t>
      </w:r>
      <w:r>
        <w:rPr>
          <w:spacing w:val="-3"/>
          <w:w w:val="120"/>
          <w:sz w:val="20"/>
        </w:rPr>
        <w:t>to</w:t>
      </w:r>
      <w:r>
        <w:rPr>
          <w:spacing w:val="-9"/>
          <w:w w:val="120"/>
          <w:sz w:val="20"/>
        </w:rPr>
        <w:t> </w:t>
      </w:r>
      <w:r>
        <w:rPr>
          <w:w w:val="120"/>
          <w:sz w:val="20"/>
        </w:rPr>
        <w:t>be</w:t>
      </w:r>
      <w:r>
        <w:rPr>
          <w:spacing w:val="-9"/>
          <w:w w:val="120"/>
          <w:sz w:val="20"/>
        </w:rPr>
        <w:t> </w:t>
      </w:r>
      <w:r>
        <w:rPr>
          <w:w w:val="120"/>
          <w:sz w:val="20"/>
        </w:rPr>
        <w:t>seen</w:t>
      </w:r>
      <w:r>
        <w:rPr>
          <w:spacing w:val="-9"/>
          <w:w w:val="120"/>
          <w:sz w:val="20"/>
        </w:rPr>
        <w:t> </w:t>
      </w:r>
      <w:r>
        <w:rPr>
          <w:w w:val="120"/>
          <w:sz w:val="20"/>
        </w:rPr>
        <w:t>as</w:t>
      </w:r>
      <w:r>
        <w:rPr>
          <w:spacing w:val="-9"/>
          <w:w w:val="120"/>
          <w:sz w:val="20"/>
        </w:rPr>
        <w:t> </w:t>
      </w:r>
      <w:r>
        <w:rPr>
          <w:w w:val="120"/>
          <w:sz w:val="20"/>
        </w:rPr>
        <w:t>a</w:t>
      </w:r>
      <w:r>
        <w:rPr>
          <w:spacing w:val="-10"/>
          <w:w w:val="120"/>
          <w:sz w:val="20"/>
        </w:rPr>
        <w:t> </w:t>
      </w:r>
      <w:r>
        <w:rPr>
          <w:w w:val="120"/>
          <w:sz w:val="20"/>
        </w:rPr>
        <w:t>gift</w:t>
      </w:r>
      <w:r>
        <w:rPr>
          <w:spacing w:val="-9"/>
          <w:w w:val="120"/>
          <w:sz w:val="20"/>
        </w:rPr>
        <w:t> </w:t>
      </w:r>
      <w:r>
        <w:rPr>
          <w:w w:val="120"/>
          <w:sz w:val="20"/>
        </w:rPr>
        <w:t>rather</w:t>
      </w:r>
      <w:r>
        <w:rPr>
          <w:spacing w:val="-9"/>
          <w:w w:val="120"/>
          <w:sz w:val="20"/>
        </w:rPr>
        <w:t> </w:t>
      </w:r>
      <w:r>
        <w:rPr>
          <w:w w:val="120"/>
          <w:sz w:val="20"/>
        </w:rPr>
        <w:t>than</w:t>
      </w:r>
      <w:r>
        <w:rPr>
          <w:spacing w:val="-9"/>
          <w:w w:val="120"/>
          <w:sz w:val="20"/>
        </w:rPr>
        <w:t> </w:t>
      </w:r>
      <w:r>
        <w:rPr>
          <w:w w:val="120"/>
          <w:sz w:val="20"/>
        </w:rPr>
        <w:t>as</w:t>
      </w:r>
      <w:r>
        <w:rPr>
          <w:spacing w:val="-9"/>
          <w:w w:val="120"/>
          <w:sz w:val="20"/>
        </w:rPr>
        <w:t> </w:t>
      </w:r>
      <w:r>
        <w:rPr>
          <w:w w:val="120"/>
          <w:sz w:val="20"/>
        </w:rPr>
        <w:t>a</w:t>
      </w:r>
      <w:r>
        <w:rPr>
          <w:spacing w:val="-9"/>
          <w:w w:val="120"/>
          <w:sz w:val="20"/>
        </w:rPr>
        <w:t> </w:t>
      </w:r>
      <w:r>
        <w:rPr>
          <w:w w:val="120"/>
          <w:sz w:val="20"/>
        </w:rPr>
        <w:t>problem. On the question of </w:t>
      </w:r>
      <w:r>
        <w:rPr>
          <w:spacing w:val="-2"/>
          <w:w w:val="120"/>
          <w:sz w:val="20"/>
        </w:rPr>
        <w:t>how </w:t>
      </w:r>
      <w:r>
        <w:rPr>
          <w:w w:val="120"/>
          <w:sz w:val="20"/>
        </w:rPr>
        <w:t>the </w:t>
      </w:r>
      <w:r>
        <w:rPr>
          <w:spacing w:val="-3"/>
          <w:w w:val="120"/>
          <w:sz w:val="20"/>
        </w:rPr>
        <w:t>church copes </w:t>
      </w:r>
      <w:r>
        <w:rPr>
          <w:w w:val="120"/>
          <w:sz w:val="20"/>
        </w:rPr>
        <w:t>with two </w:t>
      </w:r>
      <w:r>
        <w:rPr>
          <w:spacing w:val="-3"/>
          <w:w w:val="120"/>
          <w:sz w:val="20"/>
        </w:rPr>
        <w:t>incompatible </w:t>
      </w:r>
      <w:r>
        <w:rPr>
          <w:w w:val="120"/>
          <w:sz w:val="20"/>
        </w:rPr>
        <w:t>sets of </w:t>
      </w:r>
      <w:r>
        <w:rPr>
          <w:spacing w:val="-3"/>
          <w:w w:val="120"/>
          <w:sz w:val="20"/>
        </w:rPr>
        <w:t>teaching, </w:t>
      </w:r>
      <w:r>
        <w:rPr>
          <w:w w:val="120"/>
          <w:sz w:val="20"/>
        </w:rPr>
        <w:t>more will be said under the heading of unity through </w:t>
      </w:r>
      <w:r>
        <w:rPr>
          <w:spacing w:val="-3"/>
          <w:w w:val="120"/>
          <w:sz w:val="20"/>
        </w:rPr>
        <w:t>diversity. </w:t>
      </w:r>
      <w:r>
        <w:rPr>
          <w:w w:val="120"/>
          <w:sz w:val="20"/>
        </w:rPr>
        <w:t>For the time being, those who </w:t>
      </w:r>
      <w:r>
        <w:rPr>
          <w:spacing w:val="-3"/>
          <w:w w:val="120"/>
          <w:sz w:val="20"/>
        </w:rPr>
        <w:t>wish to </w:t>
      </w:r>
      <w:r>
        <w:rPr>
          <w:w w:val="120"/>
          <w:sz w:val="20"/>
        </w:rPr>
        <w:t>know the </w:t>
      </w:r>
      <w:r>
        <w:rPr>
          <w:spacing w:val="-5"/>
          <w:w w:val="120"/>
          <w:sz w:val="20"/>
        </w:rPr>
        <w:t>church’s </w:t>
      </w:r>
      <w:r>
        <w:rPr>
          <w:spacing w:val="-3"/>
          <w:w w:val="120"/>
          <w:sz w:val="20"/>
        </w:rPr>
        <w:t>position </w:t>
      </w:r>
      <w:r>
        <w:rPr>
          <w:w w:val="120"/>
          <w:sz w:val="20"/>
        </w:rPr>
        <w:t>must be </w:t>
      </w:r>
      <w:r>
        <w:rPr>
          <w:spacing w:val="-3"/>
          <w:w w:val="120"/>
          <w:sz w:val="20"/>
        </w:rPr>
        <w:t>pointed to </w:t>
      </w:r>
      <w:r>
        <w:rPr>
          <w:w w:val="120"/>
          <w:sz w:val="20"/>
        </w:rPr>
        <w:t>the</w:t>
      </w:r>
      <w:r>
        <w:rPr>
          <w:spacing w:val="19"/>
          <w:w w:val="120"/>
          <w:sz w:val="20"/>
        </w:rPr>
        <w:t> </w:t>
      </w:r>
      <w:r>
        <w:rPr>
          <w:spacing w:val="-3"/>
          <w:w w:val="120"/>
          <w:sz w:val="20"/>
        </w:rPr>
        <w:t>Commitment.</w:t>
      </w:r>
    </w:p>
    <w:p>
      <w:pPr>
        <w:pStyle w:val="BodyText"/>
        <w:spacing w:before="6"/>
        <w:rPr>
          <w:sz w:val="18"/>
        </w:rPr>
      </w:pPr>
    </w:p>
    <w:p>
      <w:pPr>
        <w:pStyle w:val="ListParagraph"/>
        <w:numPr>
          <w:ilvl w:val="1"/>
          <w:numId w:val="101"/>
        </w:numPr>
        <w:tabs>
          <w:tab w:pos="1814" w:val="left" w:leader="none"/>
          <w:tab w:pos="1815" w:val="left" w:leader="none"/>
        </w:tabs>
        <w:spacing w:line="232" w:lineRule="auto" w:before="0" w:after="0"/>
        <w:ind w:left="1134" w:right="1994" w:firstLine="0"/>
        <w:jc w:val="left"/>
        <w:rPr>
          <w:sz w:val="20"/>
        </w:rPr>
      </w:pPr>
      <w:r>
        <w:rPr>
          <w:rFonts w:ascii="Stone Sans II ITC Std Bk" w:hAnsi="Stone Sans II ITC Std Bk"/>
          <w:b/>
          <w:w w:val="115"/>
          <w:sz w:val="20"/>
        </w:rPr>
        <w:t>Standards</w:t>
      </w:r>
      <w:r>
        <w:rPr>
          <w:rFonts w:ascii="Stone Sans II ITC Std Bk" w:hAnsi="Stone Sans II ITC Std Bk"/>
          <w:b/>
          <w:spacing w:val="-27"/>
          <w:w w:val="115"/>
          <w:sz w:val="20"/>
        </w:rPr>
        <w:t> </w:t>
      </w:r>
      <w:r>
        <w:rPr>
          <w:rFonts w:ascii="Stone Sans II ITC Std Bk" w:hAnsi="Stone Sans II ITC Std Bk"/>
          <w:b/>
          <w:w w:val="115"/>
          <w:sz w:val="20"/>
        </w:rPr>
        <w:t>in</w:t>
      </w:r>
      <w:r>
        <w:rPr>
          <w:rFonts w:ascii="Stone Sans II ITC Std Bk" w:hAnsi="Stone Sans II ITC Std Bk"/>
          <w:b/>
          <w:spacing w:val="-27"/>
          <w:w w:val="115"/>
          <w:sz w:val="20"/>
        </w:rPr>
        <w:t> </w:t>
      </w:r>
      <w:r>
        <w:rPr>
          <w:rFonts w:ascii="Stone Sans II ITC Std Bk" w:hAnsi="Stone Sans II ITC Std Bk"/>
          <w:b/>
          <w:spacing w:val="-3"/>
          <w:w w:val="115"/>
          <w:sz w:val="20"/>
        </w:rPr>
        <w:t>ministry.</w:t>
      </w:r>
      <w:r>
        <w:rPr>
          <w:rFonts w:ascii="Stone Sans II ITC Std Bk" w:hAnsi="Stone Sans II ITC Std Bk"/>
          <w:b/>
          <w:spacing w:val="-27"/>
          <w:w w:val="115"/>
          <w:sz w:val="20"/>
        </w:rPr>
        <w:t> </w:t>
      </w:r>
      <w:r>
        <w:rPr>
          <w:i/>
          <w:w w:val="115"/>
          <w:sz w:val="20"/>
        </w:rPr>
        <w:t>What</w:t>
      </w:r>
      <w:r>
        <w:rPr>
          <w:i/>
          <w:spacing w:val="-21"/>
          <w:w w:val="115"/>
          <w:sz w:val="20"/>
        </w:rPr>
        <w:t> </w:t>
      </w:r>
      <w:r>
        <w:rPr>
          <w:i/>
          <w:spacing w:val="-3"/>
          <w:w w:val="115"/>
          <w:sz w:val="20"/>
        </w:rPr>
        <w:t>are</w:t>
      </w:r>
      <w:r>
        <w:rPr>
          <w:i/>
          <w:spacing w:val="-21"/>
          <w:w w:val="115"/>
          <w:sz w:val="20"/>
        </w:rPr>
        <w:t> </w:t>
      </w:r>
      <w:r>
        <w:rPr>
          <w:i/>
          <w:spacing w:val="-4"/>
          <w:w w:val="115"/>
          <w:sz w:val="20"/>
        </w:rPr>
        <w:t>acceptable</w:t>
      </w:r>
      <w:r>
        <w:rPr>
          <w:i/>
          <w:spacing w:val="-21"/>
          <w:w w:val="115"/>
          <w:sz w:val="20"/>
        </w:rPr>
        <w:t> </w:t>
      </w:r>
      <w:r>
        <w:rPr>
          <w:i/>
          <w:w w:val="115"/>
          <w:sz w:val="20"/>
        </w:rPr>
        <w:t>patterns</w:t>
      </w:r>
      <w:r>
        <w:rPr>
          <w:i/>
          <w:spacing w:val="-21"/>
          <w:w w:val="115"/>
          <w:sz w:val="20"/>
        </w:rPr>
        <w:t> </w:t>
      </w:r>
      <w:r>
        <w:rPr>
          <w:i/>
          <w:w w:val="115"/>
          <w:sz w:val="20"/>
        </w:rPr>
        <w:t>of</w:t>
      </w:r>
      <w:r>
        <w:rPr>
          <w:i/>
          <w:spacing w:val="-21"/>
          <w:w w:val="115"/>
          <w:sz w:val="20"/>
        </w:rPr>
        <w:t> </w:t>
      </w:r>
      <w:r>
        <w:rPr>
          <w:i/>
          <w:spacing w:val="-3"/>
          <w:w w:val="115"/>
          <w:sz w:val="20"/>
        </w:rPr>
        <w:t>life</w:t>
      </w:r>
      <w:r>
        <w:rPr>
          <w:i/>
          <w:spacing w:val="-21"/>
          <w:w w:val="115"/>
          <w:sz w:val="20"/>
        </w:rPr>
        <w:t> </w:t>
      </w:r>
      <w:r>
        <w:rPr>
          <w:i/>
          <w:spacing w:val="-3"/>
          <w:w w:val="115"/>
          <w:sz w:val="20"/>
        </w:rPr>
        <w:t>within</w:t>
      </w:r>
      <w:r>
        <w:rPr>
          <w:i/>
          <w:spacing w:val="-21"/>
          <w:w w:val="115"/>
          <w:sz w:val="20"/>
        </w:rPr>
        <w:t> </w:t>
      </w:r>
      <w:r>
        <w:rPr>
          <w:i/>
          <w:spacing w:val="-3"/>
          <w:w w:val="115"/>
          <w:sz w:val="20"/>
        </w:rPr>
        <w:t>ordained</w:t>
      </w:r>
      <w:r>
        <w:rPr>
          <w:i/>
          <w:spacing w:val="-20"/>
          <w:w w:val="115"/>
          <w:sz w:val="20"/>
        </w:rPr>
        <w:t> </w:t>
      </w:r>
      <w:r>
        <w:rPr>
          <w:i/>
          <w:spacing w:val="-3"/>
          <w:w w:val="115"/>
          <w:sz w:val="20"/>
        </w:rPr>
        <w:t>ministry? </w:t>
      </w:r>
      <w:r>
        <w:rPr>
          <w:i/>
          <w:w w:val="115"/>
          <w:sz w:val="20"/>
        </w:rPr>
        <w:t>What </w:t>
      </w:r>
      <w:r>
        <w:rPr>
          <w:i/>
          <w:spacing w:val="-3"/>
          <w:w w:val="115"/>
          <w:sz w:val="20"/>
        </w:rPr>
        <w:t>standards are </w:t>
      </w:r>
      <w:r>
        <w:rPr>
          <w:i/>
          <w:w w:val="115"/>
          <w:sz w:val="20"/>
        </w:rPr>
        <w:t>expected of </w:t>
      </w:r>
      <w:r>
        <w:rPr>
          <w:i/>
          <w:spacing w:val="-3"/>
          <w:w w:val="115"/>
          <w:sz w:val="20"/>
        </w:rPr>
        <w:t>ministers </w:t>
      </w:r>
      <w:r>
        <w:rPr>
          <w:i/>
          <w:w w:val="115"/>
          <w:sz w:val="20"/>
        </w:rPr>
        <w:t>and </w:t>
      </w:r>
      <w:r>
        <w:rPr>
          <w:i/>
          <w:spacing w:val="-3"/>
          <w:w w:val="115"/>
          <w:sz w:val="20"/>
        </w:rPr>
        <w:t>members </w:t>
      </w:r>
      <w:r>
        <w:rPr>
          <w:i/>
          <w:w w:val="115"/>
          <w:sz w:val="20"/>
        </w:rPr>
        <w:t>in </w:t>
      </w:r>
      <w:r>
        <w:rPr>
          <w:i/>
          <w:spacing w:val="-3"/>
          <w:w w:val="115"/>
          <w:sz w:val="20"/>
        </w:rPr>
        <w:t>relation </w:t>
      </w:r>
      <w:r>
        <w:rPr>
          <w:i/>
          <w:w w:val="115"/>
          <w:sz w:val="20"/>
        </w:rPr>
        <w:t>to </w:t>
      </w:r>
      <w:r>
        <w:rPr>
          <w:i/>
          <w:spacing w:val="-3"/>
          <w:w w:val="115"/>
          <w:sz w:val="20"/>
        </w:rPr>
        <w:t>different expressions </w:t>
      </w:r>
      <w:r>
        <w:rPr>
          <w:i/>
          <w:w w:val="115"/>
          <w:sz w:val="20"/>
        </w:rPr>
        <w:t>of </w:t>
      </w:r>
      <w:r>
        <w:rPr>
          <w:i/>
          <w:spacing w:val="-3"/>
          <w:w w:val="115"/>
          <w:sz w:val="20"/>
        </w:rPr>
        <w:t>sexuality? </w:t>
      </w:r>
      <w:r>
        <w:rPr>
          <w:i/>
          <w:w w:val="115"/>
          <w:sz w:val="20"/>
        </w:rPr>
        <w:t>How </w:t>
      </w:r>
      <w:r>
        <w:rPr>
          <w:i/>
          <w:spacing w:val="-3"/>
          <w:w w:val="115"/>
          <w:sz w:val="20"/>
        </w:rPr>
        <w:t>are we </w:t>
      </w:r>
      <w:r>
        <w:rPr>
          <w:i/>
          <w:w w:val="115"/>
          <w:sz w:val="20"/>
        </w:rPr>
        <w:t>to </w:t>
      </w:r>
      <w:r>
        <w:rPr>
          <w:i/>
          <w:spacing w:val="-3"/>
          <w:w w:val="115"/>
          <w:sz w:val="20"/>
        </w:rPr>
        <w:t>understand </w:t>
      </w:r>
      <w:r>
        <w:rPr>
          <w:i/>
          <w:w w:val="115"/>
          <w:sz w:val="20"/>
        </w:rPr>
        <w:t>a </w:t>
      </w:r>
      <w:r>
        <w:rPr>
          <w:i/>
          <w:spacing w:val="-4"/>
          <w:w w:val="115"/>
          <w:sz w:val="20"/>
        </w:rPr>
        <w:t>minister’s </w:t>
      </w:r>
      <w:r>
        <w:rPr>
          <w:i/>
          <w:spacing w:val="-3"/>
          <w:w w:val="115"/>
          <w:sz w:val="20"/>
        </w:rPr>
        <w:t>promise </w:t>
      </w:r>
      <w:r>
        <w:rPr>
          <w:i/>
          <w:w w:val="115"/>
          <w:sz w:val="20"/>
        </w:rPr>
        <w:t>to </w:t>
      </w:r>
      <w:r>
        <w:rPr>
          <w:i/>
          <w:spacing w:val="-3"/>
          <w:w w:val="115"/>
          <w:sz w:val="20"/>
        </w:rPr>
        <w:t>lead </w:t>
      </w:r>
      <w:r>
        <w:rPr>
          <w:i/>
          <w:w w:val="115"/>
          <w:sz w:val="20"/>
        </w:rPr>
        <w:t>a holy </w:t>
      </w:r>
      <w:r>
        <w:rPr>
          <w:i/>
          <w:spacing w:val="-4"/>
          <w:w w:val="115"/>
          <w:sz w:val="20"/>
        </w:rPr>
        <w:t>life? </w:t>
      </w:r>
      <w:r>
        <w:rPr>
          <w:w w:val="115"/>
          <w:sz w:val="20"/>
        </w:rPr>
        <w:t>The Ministries </w:t>
      </w:r>
      <w:r>
        <w:rPr>
          <w:spacing w:val="-3"/>
          <w:w w:val="115"/>
          <w:sz w:val="20"/>
        </w:rPr>
        <w:t>Committee </w:t>
      </w:r>
      <w:r>
        <w:rPr>
          <w:w w:val="115"/>
          <w:sz w:val="20"/>
        </w:rPr>
        <w:t>was already working in </w:t>
      </w:r>
      <w:r>
        <w:rPr>
          <w:spacing w:val="-3"/>
          <w:w w:val="115"/>
          <w:sz w:val="20"/>
        </w:rPr>
        <w:t>this </w:t>
      </w:r>
      <w:r>
        <w:rPr>
          <w:w w:val="115"/>
          <w:sz w:val="20"/>
        </w:rPr>
        <w:t>general area  and  the  task  group  </w:t>
      </w:r>
      <w:r>
        <w:rPr>
          <w:spacing w:val="-3"/>
          <w:w w:val="115"/>
          <w:sz w:val="20"/>
        </w:rPr>
        <w:t>asked  </w:t>
      </w:r>
      <w:r>
        <w:rPr>
          <w:w w:val="115"/>
          <w:sz w:val="20"/>
        </w:rPr>
        <w:t>it  </w:t>
      </w:r>
      <w:r>
        <w:rPr>
          <w:spacing w:val="-3"/>
          <w:w w:val="115"/>
          <w:sz w:val="20"/>
        </w:rPr>
        <w:t>to consider </w:t>
      </w:r>
      <w:r>
        <w:rPr>
          <w:w w:val="115"/>
          <w:sz w:val="20"/>
        </w:rPr>
        <w:t>whether </w:t>
      </w:r>
      <w:r>
        <w:rPr>
          <w:spacing w:val="-3"/>
          <w:w w:val="115"/>
          <w:sz w:val="20"/>
        </w:rPr>
        <w:t>issues </w:t>
      </w:r>
      <w:r>
        <w:rPr>
          <w:w w:val="115"/>
          <w:sz w:val="20"/>
        </w:rPr>
        <w:t>of sexuality </w:t>
      </w:r>
      <w:r>
        <w:rPr>
          <w:spacing w:val="-3"/>
          <w:w w:val="115"/>
          <w:sz w:val="20"/>
        </w:rPr>
        <w:t>could </w:t>
      </w:r>
      <w:r>
        <w:rPr>
          <w:w w:val="115"/>
          <w:sz w:val="20"/>
        </w:rPr>
        <w:t>be included </w:t>
      </w:r>
      <w:r>
        <w:rPr>
          <w:spacing w:val="-3"/>
          <w:w w:val="115"/>
          <w:sz w:val="20"/>
        </w:rPr>
        <w:t>within </w:t>
      </w:r>
      <w:r>
        <w:rPr>
          <w:w w:val="115"/>
          <w:sz w:val="20"/>
        </w:rPr>
        <w:t>its  work.  The  </w:t>
      </w:r>
      <w:r>
        <w:rPr>
          <w:spacing w:val="-3"/>
          <w:w w:val="115"/>
          <w:sz w:val="20"/>
        </w:rPr>
        <w:t>Committee </w:t>
      </w:r>
      <w:r>
        <w:rPr>
          <w:w w:val="115"/>
          <w:sz w:val="20"/>
        </w:rPr>
        <w:t>agreed </w:t>
      </w:r>
      <w:r>
        <w:rPr>
          <w:spacing w:val="-3"/>
          <w:w w:val="115"/>
          <w:sz w:val="20"/>
        </w:rPr>
        <w:t>to this </w:t>
      </w:r>
      <w:r>
        <w:rPr>
          <w:w w:val="115"/>
          <w:sz w:val="20"/>
        </w:rPr>
        <w:t>request and those who want </w:t>
      </w:r>
      <w:r>
        <w:rPr>
          <w:spacing w:val="-3"/>
          <w:w w:val="115"/>
          <w:sz w:val="20"/>
        </w:rPr>
        <w:t>to </w:t>
      </w:r>
      <w:r>
        <w:rPr>
          <w:w w:val="115"/>
          <w:sz w:val="20"/>
        </w:rPr>
        <w:t>pursue </w:t>
      </w:r>
      <w:r>
        <w:rPr>
          <w:spacing w:val="-3"/>
          <w:w w:val="115"/>
          <w:sz w:val="20"/>
        </w:rPr>
        <w:t>this </w:t>
      </w:r>
      <w:r>
        <w:rPr>
          <w:w w:val="115"/>
          <w:sz w:val="20"/>
        </w:rPr>
        <w:t>matter should refer </w:t>
      </w:r>
      <w:r>
        <w:rPr>
          <w:spacing w:val="-3"/>
          <w:w w:val="115"/>
          <w:sz w:val="20"/>
        </w:rPr>
        <w:t>to </w:t>
      </w:r>
      <w:r>
        <w:rPr>
          <w:w w:val="115"/>
          <w:sz w:val="20"/>
        </w:rPr>
        <w:t>the papers on Standards of Conduct for </w:t>
      </w:r>
      <w:r>
        <w:rPr>
          <w:spacing w:val="-3"/>
          <w:w w:val="115"/>
          <w:sz w:val="20"/>
        </w:rPr>
        <w:t>ministers, Church Related </w:t>
      </w:r>
      <w:r>
        <w:rPr>
          <w:w w:val="115"/>
          <w:sz w:val="20"/>
        </w:rPr>
        <w:t>Community Workers and</w:t>
      </w:r>
      <w:r>
        <w:rPr>
          <w:spacing w:val="50"/>
          <w:w w:val="115"/>
          <w:sz w:val="20"/>
        </w:rPr>
        <w:t> </w:t>
      </w:r>
      <w:r>
        <w:rPr>
          <w:w w:val="115"/>
          <w:sz w:val="20"/>
        </w:rPr>
        <w:t>elders.</w:t>
      </w:r>
    </w:p>
    <w:p>
      <w:pPr>
        <w:spacing w:after="0" w:line="232" w:lineRule="auto"/>
        <w:jc w:val="left"/>
        <w:rPr>
          <w:sz w:val="20"/>
        </w:rPr>
        <w:sectPr>
          <w:pgSz w:w="11910" w:h="16840"/>
          <w:pgMar w:header="0" w:footer="647" w:top="1040" w:bottom="840" w:left="0" w:right="0"/>
        </w:sectPr>
      </w:pPr>
    </w:p>
    <w:p>
      <w:pPr>
        <w:pStyle w:val="ListParagraph"/>
        <w:numPr>
          <w:ilvl w:val="1"/>
          <w:numId w:val="101"/>
        </w:numPr>
        <w:tabs>
          <w:tab w:pos="2664" w:val="left" w:leader="none"/>
          <w:tab w:pos="2665" w:val="left" w:leader="none"/>
        </w:tabs>
        <w:spacing w:line="232" w:lineRule="auto" w:before="24" w:after="0"/>
        <w:ind w:left="1984" w:right="1149" w:firstLine="0"/>
        <w:jc w:val="left"/>
        <w:rPr>
          <w:sz w:val="20"/>
        </w:rPr>
      </w:pPr>
      <w:r>
        <w:rPr/>
        <w:pict>
          <v:rect style="position:absolute;margin-left:558.424988pt;margin-top:8.502504pt;width:22.677pt;height:22.677pt;mso-position-horizontal-relative:page;mso-position-vertical-relative:paragraph;z-index:251919360" filled="true" fillcolor="#f9e9c1" stroked="false">
            <v:fill opacity="32768f" type="solid"/>
            <w10:wrap type="none"/>
          </v:rect>
        </w:pict>
      </w:r>
      <w:r>
        <w:rPr>
          <w:rFonts w:ascii="Stone Sans II ITC Std Bk" w:hAnsi="Stone Sans II ITC Std Bk"/>
          <w:b/>
          <w:w w:val="115"/>
          <w:sz w:val="20"/>
        </w:rPr>
        <w:t>Discipline. </w:t>
      </w:r>
      <w:r>
        <w:rPr>
          <w:i/>
          <w:spacing w:val="-4"/>
          <w:w w:val="115"/>
          <w:sz w:val="20"/>
        </w:rPr>
        <w:t>Recognising </w:t>
      </w:r>
      <w:r>
        <w:rPr>
          <w:i/>
          <w:w w:val="115"/>
          <w:sz w:val="20"/>
        </w:rPr>
        <w:t>that </w:t>
      </w:r>
      <w:r>
        <w:rPr>
          <w:i/>
          <w:spacing w:val="-3"/>
          <w:w w:val="115"/>
          <w:sz w:val="20"/>
        </w:rPr>
        <w:t>there are ordained ministers within </w:t>
      </w:r>
      <w:r>
        <w:rPr>
          <w:i/>
          <w:w w:val="115"/>
          <w:sz w:val="20"/>
        </w:rPr>
        <w:t>the </w:t>
      </w:r>
      <w:r>
        <w:rPr>
          <w:i/>
          <w:spacing w:val="-3"/>
          <w:w w:val="115"/>
          <w:sz w:val="20"/>
        </w:rPr>
        <w:t>church </w:t>
      </w:r>
      <w:r>
        <w:rPr>
          <w:i/>
          <w:w w:val="115"/>
          <w:sz w:val="20"/>
        </w:rPr>
        <w:t>in </w:t>
      </w:r>
      <w:r>
        <w:rPr>
          <w:i/>
          <w:spacing w:val="-3"/>
          <w:w w:val="115"/>
          <w:sz w:val="20"/>
        </w:rPr>
        <w:t>openly </w:t>
      </w:r>
      <w:r>
        <w:rPr>
          <w:i/>
          <w:spacing w:val="-3"/>
          <w:w w:val="115"/>
          <w:sz w:val="20"/>
        </w:rPr>
        <w:t>same-sex relationships, are </w:t>
      </w:r>
      <w:r>
        <w:rPr>
          <w:i/>
          <w:w w:val="115"/>
          <w:sz w:val="20"/>
        </w:rPr>
        <w:t>they </w:t>
      </w:r>
      <w:r>
        <w:rPr>
          <w:i/>
          <w:spacing w:val="-3"/>
          <w:w w:val="115"/>
          <w:sz w:val="20"/>
        </w:rPr>
        <w:t>under similar </w:t>
      </w:r>
      <w:r>
        <w:rPr>
          <w:i/>
          <w:w w:val="115"/>
          <w:sz w:val="20"/>
        </w:rPr>
        <w:t>disciplinary </w:t>
      </w:r>
      <w:r>
        <w:rPr>
          <w:i/>
          <w:spacing w:val="-3"/>
          <w:w w:val="115"/>
          <w:sz w:val="20"/>
        </w:rPr>
        <w:t>constraints </w:t>
      </w:r>
      <w:r>
        <w:rPr>
          <w:i/>
          <w:w w:val="115"/>
          <w:sz w:val="20"/>
        </w:rPr>
        <w:t>as </w:t>
      </w:r>
      <w:r>
        <w:rPr>
          <w:i/>
          <w:spacing w:val="-3"/>
          <w:w w:val="115"/>
          <w:sz w:val="20"/>
        </w:rPr>
        <w:t>heterosexual </w:t>
      </w:r>
      <w:r>
        <w:rPr>
          <w:i/>
          <w:w w:val="115"/>
          <w:sz w:val="20"/>
        </w:rPr>
        <w:t>and </w:t>
      </w:r>
      <w:r>
        <w:rPr>
          <w:i/>
          <w:spacing w:val="-3"/>
          <w:w w:val="115"/>
          <w:sz w:val="20"/>
        </w:rPr>
        <w:t>single </w:t>
      </w:r>
      <w:r>
        <w:rPr>
          <w:i/>
          <w:spacing w:val="-4"/>
          <w:w w:val="115"/>
          <w:sz w:val="20"/>
        </w:rPr>
        <w:t>ministers? </w:t>
      </w:r>
      <w:r>
        <w:rPr>
          <w:i/>
          <w:w w:val="115"/>
          <w:sz w:val="20"/>
        </w:rPr>
        <w:t>If </w:t>
      </w:r>
      <w:r>
        <w:rPr>
          <w:i/>
          <w:spacing w:val="-4"/>
          <w:w w:val="115"/>
          <w:sz w:val="20"/>
        </w:rPr>
        <w:t>so, </w:t>
      </w:r>
      <w:r>
        <w:rPr>
          <w:i/>
          <w:spacing w:val="-3"/>
          <w:w w:val="115"/>
          <w:sz w:val="20"/>
        </w:rPr>
        <w:t>what </w:t>
      </w:r>
      <w:r>
        <w:rPr>
          <w:i/>
          <w:w w:val="115"/>
          <w:sz w:val="20"/>
        </w:rPr>
        <w:t>do </w:t>
      </w:r>
      <w:r>
        <w:rPr>
          <w:i/>
          <w:spacing w:val="-3"/>
          <w:w w:val="115"/>
          <w:sz w:val="20"/>
        </w:rPr>
        <w:t>we understand those constraints </w:t>
      </w:r>
      <w:r>
        <w:rPr>
          <w:i/>
          <w:w w:val="115"/>
          <w:sz w:val="20"/>
        </w:rPr>
        <w:t>to </w:t>
      </w:r>
      <w:r>
        <w:rPr>
          <w:i/>
          <w:spacing w:val="-5"/>
          <w:w w:val="115"/>
          <w:sz w:val="20"/>
        </w:rPr>
        <w:t>be? </w:t>
      </w:r>
      <w:r>
        <w:rPr>
          <w:w w:val="115"/>
          <w:sz w:val="20"/>
        </w:rPr>
        <w:t>This has been referred </w:t>
      </w:r>
      <w:r>
        <w:rPr>
          <w:spacing w:val="-3"/>
          <w:w w:val="115"/>
          <w:sz w:val="20"/>
        </w:rPr>
        <w:t>to </w:t>
      </w:r>
      <w:r>
        <w:rPr>
          <w:w w:val="115"/>
          <w:sz w:val="20"/>
        </w:rPr>
        <w:t>the Ministerial Incapacity </w:t>
      </w:r>
      <w:r>
        <w:rPr>
          <w:spacing w:val="-3"/>
          <w:w w:val="115"/>
          <w:sz w:val="20"/>
        </w:rPr>
        <w:t>Procedure </w:t>
      </w:r>
      <w:r>
        <w:rPr>
          <w:w w:val="115"/>
          <w:sz w:val="20"/>
        </w:rPr>
        <w:t>and Disciplinary </w:t>
      </w:r>
      <w:r>
        <w:rPr>
          <w:spacing w:val="-3"/>
          <w:w w:val="115"/>
          <w:sz w:val="20"/>
        </w:rPr>
        <w:t>Process </w:t>
      </w:r>
      <w:r>
        <w:rPr>
          <w:w w:val="115"/>
          <w:sz w:val="20"/>
        </w:rPr>
        <w:t>Advisory  Group  </w:t>
      </w:r>
      <w:r>
        <w:rPr>
          <w:spacing w:val="-4"/>
          <w:w w:val="115"/>
          <w:sz w:val="20"/>
        </w:rPr>
        <w:t>(MIND)  </w:t>
      </w:r>
      <w:r>
        <w:rPr>
          <w:w w:val="115"/>
          <w:sz w:val="20"/>
        </w:rPr>
        <w:t>as  the body which oversees matters of </w:t>
      </w:r>
      <w:r>
        <w:rPr>
          <w:spacing w:val="-3"/>
          <w:w w:val="115"/>
          <w:sz w:val="20"/>
        </w:rPr>
        <w:t>ministerial discipline. </w:t>
      </w:r>
      <w:r>
        <w:rPr>
          <w:w w:val="115"/>
          <w:sz w:val="20"/>
        </w:rPr>
        <w:t>It has responded that in its opinion </w:t>
      </w:r>
      <w:r>
        <w:rPr>
          <w:spacing w:val="-3"/>
          <w:w w:val="115"/>
          <w:sz w:val="20"/>
        </w:rPr>
        <w:t>ministers </w:t>
      </w:r>
      <w:r>
        <w:rPr>
          <w:w w:val="115"/>
          <w:sz w:val="20"/>
        </w:rPr>
        <w:t>in openly same-sex </w:t>
      </w:r>
      <w:r>
        <w:rPr>
          <w:spacing w:val="-3"/>
          <w:w w:val="115"/>
          <w:sz w:val="20"/>
        </w:rPr>
        <w:t>relationships </w:t>
      </w:r>
      <w:r>
        <w:rPr>
          <w:w w:val="115"/>
          <w:sz w:val="20"/>
        </w:rPr>
        <w:t>are under </w:t>
      </w:r>
      <w:r>
        <w:rPr>
          <w:spacing w:val="-3"/>
          <w:w w:val="115"/>
          <w:sz w:val="20"/>
        </w:rPr>
        <w:t>similar </w:t>
      </w:r>
      <w:r>
        <w:rPr>
          <w:w w:val="115"/>
          <w:sz w:val="20"/>
        </w:rPr>
        <w:t>constraints as </w:t>
      </w:r>
      <w:r>
        <w:rPr>
          <w:spacing w:val="-3"/>
          <w:w w:val="115"/>
          <w:sz w:val="20"/>
        </w:rPr>
        <w:t>heterosexual </w:t>
      </w:r>
      <w:r>
        <w:rPr>
          <w:w w:val="115"/>
          <w:sz w:val="20"/>
        </w:rPr>
        <w:t>and single </w:t>
      </w:r>
      <w:r>
        <w:rPr>
          <w:spacing w:val="-3"/>
          <w:w w:val="115"/>
          <w:sz w:val="20"/>
        </w:rPr>
        <w:t>ministers. </w:t>
      </w:r>
      <w:r>
        <w:rPr>
          <w:w w:val="115"/>
          <w:sz w:val="20"/>
        </w:rPr>
        <w:t>It further defined those constraints in the </w:t>
      </w:r>
      <w:r>
        <w:rPr>
          <w:spacing w:val="-3"/>
          <w:w w:val="115"/>
          <w:sz w:val="20"/>
        </w:rPr>
        <w:t>following </w:t>
      </w:r>
      <w:r>
        <w:rPr>
          <w:spacing w:val="-4"/>
          <w:w w:val="115"/>
          <w:sz w:val="20"/>
        </w:rPr>
        <w:t>way:’ </w:t>
      </w:r>
      <w:r>
        <w:rPr>
          <w:w w:val="115"/>
          <w:sz w:val="20"/>
        </w:rPr>
        <w:t>It is</w:t>
      </w:r>
      <w:r>
        <w:rPr>
          <w:spacing w:val="3"/>
          <w:w w:val="115"/>
          <w:sz w:val="20"/>
        </w:rPr>
        <w:t> </w:t>
      </w:r>
      <w:r>
        <w:rPr>
          <w:w w:val="115"/>
          <w:sz w:val="20"/>
        </w:rPr>
        <w:t>important</w:t>
      </w:r>
    </w:p>
    <w:p>
      <w:pPr>
        <w:pStyle w:val="BodyText"/>
        <w:spacing w:line="232" w:lineRule="auto"/>
        <w:ind w:left="1984" w:right="1181"/>
      </w:pPr>
      <w:r>
        <w:rPr>
          <w:spacing w:val="-3"/>
          <w:w w:val="120"/>
        </w:rPr>
        <w:t>to </w:t>
      </w:r>
      <w:r>
        <w:rPr>
          <w:w w:val="120"/>
        </w:rPr>
        <w:t>remember that the standards by which </w:t>
      </w:r>
      <w:r>
        <w:rPr>
          <w:spacing w:val="-3"/>
          <w:w w:val="120"/>
        </w:rPr>
        <w:t>ministers </w:t>
      </w:r>
      <w:r>
        <w:rPr>
          <w:w w:val="120"/>
        </w:rPr>
        <w:t>are measured under the </w:t>
      </w:r>
      <w:r>
        <w:rPr>
          <w:spacing w:val="-5"/>
          <w:w w:val="120"/>
        </w:rPr>
        <w:t>Church’s </w:t>
      </w:r>
      <w:r>
        <w:rPr>
          <w:w w:val="120"/>
        </w:rPr>
        <w:t>Disciplinary </w:t>
      </w:r>
      <w:r>
        <w:rPr>
          <w:spacing w:val="-3"/>
          <w:w w:val="120"/>
        </w:rPr>
        <w:t>Process (Section </w:t>
      </w:r>
      <w:r>
        <w:rPr>
          <w:spacing w:val="-8"/>
          <w:w w:val="120"/>
        </w:rPr>
        <w:t>O) </w:t>
      </w:r>
      <w:r>
        <w:rPr>
          <w:w w:val="120"/>
        </w:rPr>
        <w:t>are those defined by the </w:t>
      </w:r>
      <w:r>
        <w:rPr>
          <w:spacing w:val="-3"/>
          <w:w w:val="120"/>
        </w:rPr>
        <w:t>vows </w:t>
      </w:r>
      <w:r>
        <w:rPr>
          <w:w w:val="120"/>
        </w:rPr>
        <w:t>made at </w:t>
      </w:r>
      <w:r>
        <w:rPr>
          <w:spacing w:val="-3"/>
          <w:w w:val="120"/>
        </w:rPr>
        <w:t>ordination </w:t>
      </w:r>
      <w:r>
        <w:rPr>
          <w:w w:val="120"/>
        </w:rPr>
        <w:t>and promises made on induction </w:t>
      </w:r>
      <w:r>
        <w:rPr>
          <w:spacing w:val="-7"/>
          <w:w w:val="120"/>
        </w:rPr>
        <w:t>(or </w:t>
      </w:r>
      <w:r>
        <w:rPr>
          <w:spacing w:val="-3"/>
          <w:w w:val="120"/>
        </w:rPr>
        <w:t>commissioning </w:t>
      </w:r>
      <w:r>
        <w:rPr>
          <w:w w:val="120"/>
        </w:rPr>
        <w:t>in the case of </w:t>
      </w:r>
      <w:r>
        <w:rPr>
          <w:spacing w:val="-3"/>
          <w:w w:val="120"/>
        </w:rPr>
        <w:t>Church Related </w:t>
      </w:r>
      <w:r>
        <w:rPr>
          <w:w w:val="120"/>
        </w:rPr>
        <w:t>Community </w:t>
      </w:r>
      <w:r>
        <w:rPr>
          <w:spacing w:val="-5"/>
          <w:w w:val="120"/>
        </w:rPr>
        <w:t>Workers). </w:t>
      </w:r>
      <w:r>
        <w:rPr>
          <w:w w:val="120"/>
        </w:rPr>
        <w:t>When disciplinary cases are </w:t>
      </w:r>
      <w:r>
        <w:rPr>
          <w:spacing w:val="-3"/>
          <w:w w:val="120"/>
        </w:rPr>
        <w:t>considered </w:t>
      </w:r>
      <w:r>
        <w:rPr>
          <w:w w:val="120"/>
        </w:rPr>
        <w:t>it will therefore be breaches of the promises </w:t>
      </w:r>
      <w:r>
        <w:rPr>
          <w:spacing w:val="-3"/>
          <w:w w:val="120"/>
        </w:rPr>
        <w:t>to live </w:t>
      </w:r>
      <w:r>
        <w:rPr>
          <w:w w:val="120"/>
        </w:rPr>
        <w:t>a holy life and </w:t>
      </w:r>
      <w:r>
        <w:rPr>
          <w:spacing w:val="-3"/>
          <w:w w:val="120"/>
        </w:rPr>
        <w:t>to </w:t>
      </w:r>
      <w:r>
        <w:rPr>
          <w:w w:val="120"/>
        </w:rPr>
        <w:t>seek the well-being, purity and </w:t>
      </w:r>
      <w:r>
        <w:rPr>
          <w:spacing w:val="-3"/>
          <w:w w:val="120"/>
        </w:rPr>
        <w:t>peace </w:t>
      </w:r>
      <w:r>
        <w:rPr>
          <w:w w:val="120"/>
        </w:rPr>
        <w:t>of the </w:t>
      </w:r>
      <w:r>
        <w:rPr>
          <w:spacing w:val="-3"/>
          <w:w w:val="120"/>
        </w:rPr>
        <w:t>church </w:t>
      </w:r>
      <w:r>
        <w:rPr>
          <w:w w:val="120"/>
        </w:rPr>
        <w:t>which will be </w:t>
      </w:r>
      <w:r>
        <w:rPr>
          <w:spacing w:val="-3"/>
          <w:w w:val="120"/>
        </w:rPr>
        <w:t>considered. </w:t>
      </w:r>
      <w:r>
        <w:rPr>
          <w:w w:val="120"/>
        </w:rPr>
        <w:t>Any action or </w:t>
      </w:r>
      <w:r>
        <w:rPr>
          <w:spacing w:val="-3"/>
          <w:w w:val="120"/>
        </w:rPr>
        <w:t>omission </w:t>
      </w:r>
      <w:r>
        <w:rPr>
          <w:w w:val="120"/>
        </w:rPr>
        <w:t>of a </w:t>
      </w:r>
      <w:r>
        <w:rPr>
          <w:spacing w:val="-3"/>
          <w:w w:val="120"/>
        </w:rPr>
        <w:t>minister </w:t>
      </w:r>
      <w:r>
        <w:rPr>
          <w:w w:val="120"/>
        </w:rPr>
        <w:t>will be </w:t>
      </w:r>
      <w:r>
        <w:rPr>
          <w:spacing w:val="-3"/>
          <w:w w:val="120"/>
        </w:rPr>
        <w:t>considered </w:t>
      </w:r>
      <w:r>
        <w:rPr>
          <w:w w:val="120"/>
        </w:rPr>
        <w:t>in </w:t>
      </w:r>
      <w:r>
        <w:rPr>
          <w:spacing w:val="-3"/>
          <w:w w:val="120"/>
        </w:rPr>
        <w:t>this </w:t>
      </w:r>
      <w:r>
        <w:rPr>
          <w:w w:val="120"/>
        </w:rPr>
        <w:t>light. When individual cases are </w:t>
      </w:r>
      <w:r>
        <w:rPr>
          <w:spacing w:val="-3"/>
          <w:w w:val="120"/>
        </w:rPr>
        <w:t>considered </w:t>
      </w:r>
      <w:r>
        <w:rPr>
          <w:w w:val="120"/>
        </w:rPr>
        <w:t>it </w:t>
      </w:r>
      <w:r>
        <w:rPr>
          <w:spacing w:val="-3"/>
          <w:w w:val="120"/>
        </w:rPr>
        <w:t>may well </w:t>
      </w:r>
      <w:r>
        <w:rPr>
          <w:w w:val="120"/>
        </w:rPr>
        <w:t>be that Assembly </w:t>
      </w:r>
      <w:r>
        <w:rPr>
          <w:spacing w:val="-3"/>
          <w:w w:val="120"/>
        </w:rPr>
        <w:t>Commissions </w:t>
      </w:r>
      <w:r>
        <w:rPr>
          <w:w w:val="120"/>
        </w:rPr>
        <w:t>will find it helpful also </w:t>
      </w:r>
      <w:r>
        <w:rPr>
          <w:spacing w:val="-3"/>
          <w:w w:val="120"/>
        </w:rPr>
        <w:t>to </w:t>
      </w:r>
      <w:r>
        <w:rPr>
          <w:w w:val="120"/>
        </w:rPr>
        <w:t>be mindful of the </w:t>
      </w:r>
      <w:r>
        <w:rPr>
          <w:spacing w:val="-3"/>
          <w:w w:val="120"/>
        </w:rPr>
        <w:t>‘Standards </w:t>
      </w:r>
      <w:r>
        <w:rPr>
          <w:w w:val="120"/>
        </w:rPr>
        <w:t>of Conduct for </w:t>
      </w:r>
      <w:r>
        <w:rPr>
          <w:spacing w:val="-3"/>
          <w:w w:val="120"/>
        </w:rPr>
        <w:t>Ministers’ </w:t>
      </w:r>
      <w:r>
        <w:rPr>
          <w:w w:val="120"/>
        </w:rPr>
        <w:t>which </w:t>
      </w:r>
      <w:r>
        <w:rPr>
          <w:spacing w:val="-3"/>
          <w:w w:val="120"/>
        </w:rPr>
        <w:t>includes </w:t>
      </w:r>
      <w:r>
        <w:rPr>
          <w:w w:val="120"/>
        </w:rPr>
        <w:t>a </w:t>
      </w:r>
      <w:r>
        <w:rPr>
          <w:spacing w:val="-3"/>
          <w:w w:val="120"/>
        </w:rPr>
        <w:t>constraint </w:t>
      </w:r>
      <w:r>
        <w:rPr>
          <w:w w:val="120"/>
        </w:rPr>
        <w:t>on sexual </w:t>
      </w:r>
      <w:r>
        <w:rPr>
          <w:spacing w:val="-4"/>
          <w:w w:val="120"/>
        </w:rPr>
        <w:t>conduct.’ </w:t>
      </w:r>
      <w:r>
        <w:rPr>
          <w:w w:val="120"/>
        </w:rPr>
        <w:t>Mission </w:t>
      </w:r>
      <w:r>
        <w:rPr>
          <w:spacing w:val="-3"/>
          <w:w w:val="120"/>
        </w:rPr>
        <w:t>Council </w:t>
      </w:r>
      <w:r>
        <w:rPr>
          <w:w w:val="120"/>
        </w:rPr>
        <w:t>has </w:t>
      </w:r>
      <w:r>
        <w:rPr>
          <w:spacing w:val="-4"/>
          <w:w w:val="120"/>
        </w:rPr>
        <w:t>accepted </w:t>
      </w:r>
      <w:r>
        <w:rPr>
          <w:w w:val="120"/>
        </w:rPr>
        <w:t>the </w:t>
      </w:r>
      <w:r>
        <w:rPr>
          <w:spacing w:val="-3"/>
          <w:w w:val="120"/>
        </w:rPr>
        <w:t>advice </w:t>
      </w:r>
      <w:r>
        <w:rPr>
          <w:w w:val="120"/>
        </w:rPr>
        <w:t>of the task group that there is a need </w:t>
      </w:r>
      <w:r>
        <w:rPr>
          <w:spacing w:val="-3"/>
          <w:w w:val="120"/>
        </w:rPr>
        <w:t>to </w:t>
      </w:r>
      <w:r>
        <w:rPr>
          <w:w w:val="120"/>
        </w:rPr>
        <w:t>look at the connections between the various </w:t>
      </w:r>
      <w:r>
        <w:rPr>
          <w:spacing w:val="-3"/>
          <w:w w:val="120"/>
        </w:rPr>
        <w:t>groups </w:t>
      </w:r>
      <w:r>
        <w:rPr>
          <w:w w:val="120"/>
        </w:rPr>
        <w:t>who hold </w:t>
      </w:r>
      <w:r>
        <w:rPr>
          <w:spacing w:val="-3"/>
          <w:w w:val="120"/>
        </w:rPr>
        <w:t>responsibilities </w:t>
      </w:r>
      <w:r>
        <w:rPr>
          <w:w w:val="120"/>
        </w:rPr>
        <w:t>in the areas of standards and </w:t>
      </w:r>
      <w:r>
        <w:rPr>
          <w:spacing w:val="-3"/>
          <w:w w:val="120"/>
        </w:rPr>
        <w:t>discipline.</w:t>
      </w:r>
    </w:p>
    <w:p>
      <w:pPr>
        <w:pStyle w:val="BodyText"/>
        <w:spacing w:before="3"/>
        <w:rPr>
          <w:sz w:val="19"/>
        </w:rPr>
      </w:pPr>
    </w:p>
    <w:p>
      <w:pPr>
        <w:pStyle w:val="ListParagraph"/>
        <w:numPr>
          <w:ilvl w:val="1"/>
          <w:numId w:val="101"/>
        </w:numPr>
        <w:tabs>
          <w:tab w:pos="2664" w:val="left" w:leader="none"/>
          <w:tab w:pos="2665" w:val="left" w:leader="none"/>
        </w:tabs>
        <w:spacing w:line="230" w:lineRule="auto" w:before="1" w:after="0"/>
        <w:ind w:left="1984" w:right="1130" w:hanging="1"/>
        <w:jc w:val="left"/>
        <w:rPr>
          <w:sz w:val="20"/>
        </w:rPr>
      </w:pPr>
      <w:r>
        <w:rPr>
          <w:rFonts w:ascii="Stone Sans II ITC Std Bk" w:hAnsi="Stone Sans II ITC Std Bk"/>
          <w:b/>
          <w:w w:val="115"/>
          <w:sz w:val="20"/>
        </w:rPr>
        <w:t>Legal implications. </w:t>
      </w:r>
      <w:r>
        <w:rPr>
          <w:i/>
          <w:spacing w:val="-3"/>
          <w:w w:val="115"/>
          <w:sz w:val="20"/>
        </w:rPr>
        <w:t>Some recent legislation </w:t>
      </w:r>
      <w:r>
        <w:rPr>
          <w:i/>
          <w:w w:val="115"/>
          <w:sz w:val="20"/>
        </w:rPr>
        <w:t>carries </w:t>
      </w:r>
      <w:r>
        <w:rPr>
          <w:i/>
          <w:spacing w:val="-3"/>
          <w:w w:val="115"/>
          <w:sz w:val="20"/>
        </w:rPr>
        <w:t>implications </w:t>
      </w:r>
      <w:r>
        <w:rPr>
          <w:i/>
          <w:w w:val="115"/>
          <w:sz w:val="20"/>
        </w:rPr>
        <w:t>for the </w:t>
      </w:r>
      <w:r>
        <w:rPr>
          <w:i/>
          <w:spacing w:val="-3"/>
          <w:w w:val="115"/>
          <w:sz w:val="20"/>
        </w:rPr>
        <w:t>church. These </w:t>
      </w:r>
      <w:r>
        <w:rPr>
          <w:i/>
          <w:spacing w:val="-3"/>
          <w:w w:val="115"/>
          <w:sz w:val="20"/>
        </w:rPr>
        <w:t>need </w:t>
      </w:r>
      <w:r>
        <w:rPr>
          <w:i/>
          <w:w w:val="115"/>
          <w:sz w:val="20"/>
        </w:rPr>
        <w:t>to be </w:t>
      </w:r>
      <w:r>
        <w:rPr>
          <w:i/>
          <w:spacing w:val="-3"/>
          <w:w w:val="115"/>
          <w:sz w:val="20"/>
        </w:rPr>
        <w:t>reviewed </w:t>
      </w:r>
      <w:r>
        <w:rPr>
          <w:i/>
          <w:w w:val="115"/>
          <w:sz w:val="20"/>
        </w:rPr>
        <w:t>both in </w:t>
      </w:r>
      <w:r>
        <w:rPr>
          <w:i/>
          <w:spacing w:val="-3"/>
          <w:w w:val="115"/>
          <w:sz w:val="20"/>
        </w:rPr>
        <w:t>terms </w:t>
      </w:r>
      <w:r>
        <w:rPr>
          <w:i/>
          <w:w w:val="115"/>
          <w:sz w:val="20"/>
        </w:rPr>
        <w:t>of </w:t>
      </w:r>
      <w:r>
        <w:rPr>
          <w:i/>
          <w:spacing w:val="-3"/>
          <w:w w:val="115"/>
          <w:sz w:val="20"/>
        </w:rPr>
        <w:t>what is required </w:t>
      </w:r>
      <w:r>
        <w:rPr>
          <w:i/>
          <w:w w:val="115"/>
          <w:sz w:val="20"/>
        </w:rPr>
        <w:t>of the </w:t>
      </w:r>
      <w:r>
        <w:rPr>
          <w:i/>
          <w:spacing w:val="-3"/>
          <w:w w:val="115"/>
          <w:sz w:val="20"/>
        </w:rPr>
        <w:t>church </w:t>
      </w:r>
      <w:r>
        <w:rPr>
          <w:i/>
          <w:w w:val="115"/>
          <w:sz w:val="20"/>
        </w:rPr>
        <w:t>and the </w:t>
      </w:r>
      <w:r>
        <w:rPr>
          <w:i/>
          <w:spacing w:val="-5"/>
          <w:w w:val="115"/>
          <w:sz w:val="20"/>
        </w:rPr>
        <w:t>church’s </w:t>
      </w:r>
      <w:r>
        <w:rPr>
          <w:i/>
          <w:w w:val="115"/>
          <w:sz w:val="20"/>
        </w:rPr>
        <w:t>own </w:t>
      </w:r>
      <w:r>
        <w:rPr>
          <w:i/>
          <w:spacing w:val="-4"/>
          <w:w w:val="115"/>
          <w:sz w:val="20"/>
        </w:rPr>
        <w:t>response.</w:t>
      </w:r>
      <w:r>
        <w:rPr>
          <w:i/>
          <w:spacing w:val="-20"/>
          <w:w w:val="115"/>
          <w:sz w:val="20"/>
        </w:rPr>
        <w:t> </w:t>
      </w:r>
      <w:r>
        <w:rPr>
          <w:i/>
          <w:w w:val="115"/>
          <w:sz w:val="20"/>
        </w:rPr>
        <w:t>It</w:t>
      </w:r>
      <w:r>
        <w:rPr>
          <w:i/>
          <w:spacing w:val="-19"/>
          <w:w w:val="115"/>
          <w:sz w:val="20"/>
        </w:rPr>
        <w:t> </w:t>
      </w:r>
      <w:r>
        <w:rPr>
          <w:i/>
          <w:spacing w:val="-3"/>
          <w:w w:val="115"/>
          <w:sz w:val="20"/>
        </w:rPr>
        <w:t>would</w:t>
      </w:r>
      <w:r>
        <w:rPr>
          <w:i/>
          <w:spacing w:val="-20"/>
          <w:w w:val="115"/>
          <w:sz w:val="20"/>
        </w:rPr>
        <w:t> </w:t>
      </w:r>
      <w:r>
        <w:rPr>
          <w:i/>
          <w:w w:val="115"/>
          <w:sz w:val="20"/>
        </w:rPr>
        <w:t>be</w:t>
      </w:r>
      <w:r>
        <w:rPr>
          <w:i/>
          <w:spacing w:val="-19"/>
          <w:w w:val="115"/>
          <w:sz w:val="20"/>
        </w:rPr>
        <w:t> </w:t>
      </w:r>
      <w:r>
        <w:rPr>
          <w:i/>
          <w:w w:val="115"/>
          <w:sz w:val="20"/>
        </w:rPr>
        <w:t>good</w:t>
      </w:r>
      <w:r>
        <w:rPr>
          <w:i/>
          <w:spacing w:val="-20"/>
          <w:w w:val="115"/>
          <w:sz w:val="20"/>
        </w:rPr>
        <w:t> </w:t>
      </w:r>
      <w:r>
        <w:rPr>
          <w:i/>
          <w:w w:val="115"/>
          <w:sz w:val="20"/>
        </w:rPr>
        <w:t>to</w:t>
      </w:r>
      <w:r>
        <w:rPr>
          <w:i/>
          <w:spacing w:val="-19"/>
          <w:w w:val="115"/>
          <w:sz w:val="20"/>
        </w:rPr>
        <w:t> </w:t>
      </w:r>
      <w:r>
        <w:rPr>
          <w:i/>
          <w:w w:val="115"/>
          <w:sz w:val="20"/>
        </w:rPr>
        <w:t>do</w:t>
      </w:r>
      <w:r>
        <w:rPr>
          <w:i/>
          <w:spacing w:val="-19"/>
          <w:w w:val="115"/>
          <w:sz w:val="20"/>
        </w:rPr>
        <w:t> </w:t>
      </w:r>
      <w:r>
        <w:rPr>
          <w:i/>
          <w:spacing w:val="-3"/>
          <w:w w:val="115"/>
          <w:sz w:val="20"/>
        </w:rPr>
        <w:t>this</w:t>
      </w:r>
      <w:r>
        <w:rPr>
          <w:i/>
          <w:spacing w:val="-20"/>
          <w:w w:val="115"/>
          <w:sz w:val="20"/>
        </w:rPr>
        <w:t> </w:t>
      </w:r>
      <w:r>
        <w:rPr>
          <w:i/>
          <w:w w:val="115"/>
          <w:sz w:val="20"/>
        </w:rPr>
        <w:t>work</w:t>
      </w:r>
      <w:r>
        <w:rPr>
          <w:i/>
          <w:spacing w:val="-19"/>
          <w:w w:val="115"/>
          <w:sz w:val="20"/>
        </w:rPr>
        <w:t> </w:t>
      </w:r>
      <w:r>
        <w:rPr>
          <w:i/>
          <w:spacing w:val="-4"/>
          <w:w w:val="115"/>
          <w:sz w:val="20"/>
        </w:rPr>
        <w:t>ecumenically,</w:t>
      </w:r>
      <w:r>
        <w:rPr>
          <w:i/>
          <w:spacing w:val="-20"/>
          <w:w w:val="115"/>
          <w:sz w:val="20"/>
        </w:rPr>
        <w:t> </w:t>
      </w:r>
      <w:r>
        <w:rPr>
          <w:i/>
          <w:w w:val="115"/>
          <w:sz w:val="20"/>
        </w:rPr>
        <w:t>and</w:t>
      </w:r>
      <w:r>
        <w:rPr>
          <w:i/>
          <w:spacing w:val="-19"/>
          <w:w w:val="115"/>
          <w:sz w:val="20"/>
        </w:rPr>
        <w:t> </w:t>
      </w:r>
      <w:r>
        <w:rPr>
          <w:i/>
          <w:w w:val="115"/>
          <w:sz w:val="20"/>
        </w:rPr>
        <w:t>particularly</w:t>
      </w:r>
      <w:r>
        <w:rPr>
          <w:i/>
          <w:spacing w:val="-20"/>
          <w:w w:val="115"/>
          <w:sz w:val="20"/>
        </w:rPr>
        <w:t> </w:t>
      </w:r>
      <w:r>
        <w:rPr>
          <w:i/>
          <w:w w:val="115"/>
          <w:sz w:val="20"/>
        </w:rPr>
        <w:t>in</w:t>
      </w:r>
      <w:r>
        <w:rPr>
          <w:i/>
          <w:spacing w:val="-19"/>
          <w:w w:val="115"/>
          <w:sz w:val="20"/>
        </w:rPr>
        <w:t> </w:t>
      </w:r>
      <w:r>
        <w:rPr>
          <w:i/>
          <w:w w:val="115"/>
          <w:sz w:val="20"/>
        </w:rPr>
        <w:t>the</w:t>
      </w:r>
      <w:r>
        <w:rPr>
          <w:i/>
          <w:spacing w:val="-19"/>
          <w:w w:val="115"/>
          <w:sz w:val="20"/>
        </w:rPr>
        <w:t> </w:t>
      </w:r>
      <w:r>
        <w:rPr>
          <w:i/>
          <w:spacing w:val="-3"/>
          <w:w w:val="115"/>
          <w:sz w:val="20"/>
        </w:rPr>
        <w:t>light</w:t>
      </w:r>
      <w:r>
        <w:rPr>
          <w:i/>
          <w:spacing w:val="-20"/>
          <w:w w:val="115"/>
          <w:sz w:val="20"/>
        </w:rPr>
        <w:t> </w:t>
      </w:r>
      <w:r>
        <w:rPr>
          <w:i/>
          <w:w w:val="115"/>
          <w:sz w:val="20"/>
        </w:rPr>
        <w:t>of</w:t>
      </w:r>
      <w:r>
        <w:rPr>
          <w:i/>
          <w:spacing w:val="-19"/>
          <w:w w:val="115"/>
          <w:sz w:val="20"/>
        </w:rPr>
        <w:t> </w:t>
      </w:r>
      <w:r>
        <w:rPr>
          <w:i/>
          <w:spacing w:val="-3"/>
          <w:w w:val="115"/>
          <w:sz w:val="20"/>
        </w:rPr>
        <w:t>recent</w:t>
      </w:r>
      <w:r>
        <w:rPr>
          <w:i/>
          <w:spacing w:val="-20"/>
          <w:w w:val="115"/>
          <w:sz w:val="20"/>
        </w:rPr>
        <w:t> </w:t>
      </w:r>
      <w:r>
        <w:rPr>
          <w:i/>
          <w:w w:val="115"/>
          <w:sz w:val="20"/>
        </w:rPr>
        <w:t>work in the Methodist </w:t>
      </w:r>
      <w:r>
        <w:rPr>
          <w:i/>
          <w:spacing w:val="-3"/>
          <w:w w:val="115"/>
          <w:sz w:val="20"/>
        </w:rPr>
        <w:t>Church. </w:t>
      </w:r>
      <w:r>
        <w:rPr>
          <w:w w:val="115"/>
          <w:sz w:val="20"/>
        </w:rPr>
        <w:t>The group was </w:t>
      </w:r>
      <w:r>
        <w:rPr>
          <w:spacing w:val="-2"/>
          <w:w w:val="115"/>
          <w:sz w:val="20"/>
        </w:rPr>
        <w:t>not </w:t>
      </w:r>
      <w:r>
        <w:rPr>
          <w:w w:val="115"/>
          <w:sz w:val="20"/>
        </w:rPr>
        <w:t>aware of </w:t>
      </w:r>
      <w:r>
        <w:rPr>
          <w:spacing w:val="-3"/>
          <w:w w:val="115"/>
          <w:sz w:val="20"/>
        </w:rPr>
        <w:t>any </w:t>
      </w:r>
      <w:r>
        <w:rPr>
          <w:w w:val="115"/>
          <w:sz w:val="20"/>
        </w:rPr>
        <w:t>specific </w:t>
      </w:r>
      <w:r>
        <w:rPr>
          <w:spacing w:val="-3"/>
          <w:w w:val="115"/>
          <w:sz w:val="20"/>
        </w:rPr>
        <w:t>issues </w:t>
      </w:r>
      <w:r>
        <w:rPr>
          <w:w w:val="115"/>
          <w:sz w:val="20"/>
        </w:rPr>
        <w:t>that require legal </w:t>
      </w:r>
      <w:r>
        <w:rPr>
          <w:spacing w:val="-3"/>
          <w:w w:val="115"/>
          <w:sz w:val="20"/>
        </w:rPr>
        <w:t>advice </w:t>
      </w:r>
      <w:r>
        <w:rPr>
          <w:w w:val="115"/>
          <w:sz w:val="20"/>
        </w:rPr>
        <w:t>at the time of its last meeting, and it does  </w:t>
      </w:r>
      <w:r>
        <w:rPr>
          <w:spacing w:val="-2"/>
          <w:w w:val="115"/>
          <w:sz w:val="20"/>
        </w:rPr>
        <w:t>not  </w:t>
      </w:r>
      <w:r>
        <w:rPr>
          <w:w w:val="115"/>
          <w:sz w:val="20"/>
        </w:rPr>
        <w:t>recommend  seeking  </w:t>
      </w:r>
      <w:r>
        <w:rPr>
          <w:spacing w:val="-3"/>
          <w:w w:val="115"/>
          <w:sz w:val="20"/>
        </w:rPr>
        <w:t>such  advice </w:t>
      </w:r>
      <w:r>
        <w:rPr>
          <w:w w:val="115"/>
          <w:sz w:val="20"/>
        </w:rPr>
        <w:t>unless </w:t>
      </w:r>
      <w:r>
        <w:rPr>
          <w:spacing w:val="-3"/>
          <w:w w:val="115"/>
          <w:sz w:val="20"/>
        </w:rPr>
        <w:t>such issues </w:t>
      </w:r>
      <w:r>
        <w:rPr>
          <w:w w:val="115"/>
          <w:sz w:val="20"/>
        </w:rPr>
        <w:t>do arise. </w:t>
      </w:r>
      <w:r>
        <w:rPr>
          <w:spacing w:val="-4"/>
          <w:w w:val="115"/>
          <w:sz w:val="20"/>
        </w:rPr>
        <w:t>However, </w:t>
      </w:r>
      <w:r>
        <w:rPr>
          <w:spacing w:val="-2"/>
          <w:w w:val="115"/>
          <w:sz w:val="20"/>
        </w:rPr>
        <w:t>noting </w:t>
      </w:r>
      <w:r>
        <w:rPr>
          <w:w w:val="115"/>
          <w:sz w:val="20"/>
        </w:rPr>
        <w:t>that the Methodist </w:t>
      </w:r>
      <w:r>
        <w:rPr>
          <w:spacing w:val="-3"/>
          <w:w w:val="115"/>
          <w:sz w:val="20"/>
        </w:rPr>
        <w:t>Church</w:t>
      </w:r>
      <w:r>
        <w:rPr>
          <w:spacing w:val="-6"/>
          <w:w w:val="115"/>
          <w:sz w:val="20"/>
        </w:rPr>
        <w:t> </w:t>
      </w:r>
      <w:r>
        <w:rPr>
          <w:w w:val="115"/>
          <w:sz w:val="20"/>
        </w:rPr>
        <w:t>has done work</w:t>
      </w:r>
    </w:p>
    <w:p>
      <w:pPr>
        <w:pStyle w:val="BodyText"/>
        <w:spacing w:line="232" w:lineRule="auto" w:before="6"/>
        <w:ind w:left="1984" w:right="1395"/>
        <w:jc w:val="both"/>
      </w:pPr>
      <w:r>
        <w:rPr>
          <w:w w:val="120"/>
        </w:rPr>
        <w:t>in</w:t>
      </w:r>
      <w:r>
        <w:rPr>
          <w:spacing w:val="-9"/>
          <w:w w:val="120"/>
        </w:rPr>
        <w:t> </w:t>
      </w:r>
      <w:r>
        <w:rPr>
          <w:spacing w:val="-3"/>
          <w:w w:val="120"/>
        </w:rPr>
        <w:t>this</w:t>
      </w:r>
      <w:r>
        <w:rPr>
          <w:spacing w:val="-9"/>
          <w:w w:val="120"/>
        </w:rPr>
        <w:t> </w:t>
      </w:r>
      <w:r>
        <w:rPr>
          <w:w w:val="120"/>
        </w:rPr>
        <w:t>area,</w:t>
      </w:r>
      <w:r>
        <w:rPr>
          <w:spacing w:val="-9"/>
          <w:w w:val="120"/>
        </w:rPr>
        <w:t> </w:t>
      </w:r>
      <w:r>
        <w:rPr>
          <w:w w:val="120"/>
        </w:rPr>
        <w:t>the</w:t>
      </w:r>
      <w:r>
        <w:rPr>
          <w:spacing w:val="-9"/>
          <w:w w:val="120"/>
        </w:rPr>
        <w:t> </w:t>
      </w:r>
      <w:r>
        <w:rPr>
          <w:w w:val="120"/>
        </w:rPr>
        <w:t>group</w:t>
      </w:r>
      <w:r>
        <w:rPr>
          <w:spacing w:val="-9"/>
          <w:w w:val="120"/>
        </w:rPr>
        <w:t> </w:t>
      </w:r>
      <w:r>
        <w:rPr>
          <w:w w:val="120"/>
        </w:rPr>
        <w:t>has</w:t>
      </w:r>
      <w:r>
        <w:rPr>
          <w:spacing w:val="-9"/>
          <w:w w:val="120"/>
        </w:rPr>
        <w:t> </w:t>
      </w:r>
      <w:r>
        <w:rPr>
          <w:spacing w:val="-3"/>
          <w:w w:val="120"/>
        </w:rPr>
        <w:t>asked</w:t>
      </w:r>
      <w:r>
        <w:rPr>
          <w:spacing w:val="-9"/>
          <w:w w:val="120"/>
        </w:rPr>
        <w:t> </w:t>
      </w:r>
      <w:r>
        <w:rPr>
          <w:w w:val="120"/>
        </w:rPr>
        <w:t>if</w:t>
      </w:r>
      <w:r>
        <w:rPr>
          <w:spacing w:val="-9"/>
          <w:w w:val="120"/>
        </w:rPr>
        <w:t> </w:t>
      </w:r>
      <w:r>
        <w:rPr>
          <w:w w:val="120"/>
        </w:rPr>
        <w:t>it</w:t>
      </w:r>
      <w:r>
        <w:rPr>
          <w:spacing w:val="-9"/>
          <w:w w:val="120"/>
        </w:rPr>
        <w:t> </w:t>
      </w:r>
      <w:r>
        <w:rPr>
          <w:w w:val="120"/>
        </w:rPr>
        <w:t>can</w:t>
      </w:r>
      <w:r>
        <w:rPr>
          <w:spacing w:val="-9"/>
          <w:w w:val="120"/>
        </w:rPr>
        <w:t> </w:t>
      </w:r>
      <w:r>
        <w:rPr>
          <w:w w:val="120"/>
        </w:rPr>
        <w:t>share</w:t>
      </w:r>
      <w:r>
        <w:rPr>
          <w:spacing w:val="-9"/>
          <w:w w:val="120"/>
        </w:rPr>
        <w:t> </w:t>
      </w:r>
      <w:r>
        <w:rPr>
          <w:spacing w:val="-3"/>
          <w:w w:val="120"/>
        </w:rPr>
        <w:t>any</w:t>
      </w:r>
      <w:r>
        <w:rPr>
          <w:spacing w:val="-9"/>
          <w:w w:val="120"/>
        </w:rPr>
        <w:t> </w:t>
      </w:r>
      <w:r>
        <w:rPr>
          <w:w w:val="120"/>
        </w:rPr>
        <w:t>relevant</w:t>
      </w:r>
      <w:r>
        <w:rPr>
          <w:spacing w:val="-9"/>
          <w:w w:val="120"/>
        </w:rPr>
        <w:t> </w:t>
      </w:r>
      <w:r>
        <w:rPr>
          <w:spacing w:val="-3"/>
          <w:w w:val="120"/>
        </w:rPr>
        <w:t>outcomes.</w:t>
      </w:r>
      <w:r>
        <w:rPr>
          <w:spacing w:val="-9"/>
          <w:w w:val="120"/>
        </w:rPr>
        <w:t> </w:t>
      </w:r>
      <w:r>
        <w:rPr>
          <w:w w:val="120"/>
        </w:rPr>
        <w:t>In</w:t>
      </w:r>
      <w:r>
        <w:rPr>
          <w:spacing w:val="-9"/>
          <w:w w:val="120"/>
        </w:rPr>
        <w:t> </w:t>
      </w:r>
      <w:r>
        <w:rPr>
          <w:w w:val="120"/>
        </w:rPr>
        <w:t>the</w:t>
      </w:r>
      <w:r>
        <w:rPr>
          <w:spacing w:val="-9"/>
          <w:w w:val="120"/>
        </w:rPr>
        <w:t> </w:t>
      </w:r>
      <w:r>
        <w:rPr>
          <w:w w:val="120"/>
        </w:rPr>
        <w:t>meantime</w:t>
      </w:r>
      <w:r>
        <w:rPr>
          <w:spacing w:val="-9"/>
          <w:w w:val="120"/>
        </w:rPr>
        <w:t> </w:t>
      </w:r>
      <w:r>
        <w:rPr>
          <w:w w:val="120"/>
        </w:rPr>
        <w:t>a question</w:t>
      </w:r>
      <w:r>
        <w:rPr>
          <w:spacing w:val="-7"/>
          <w:w w:val="120"/>
        </w:rPr>
        <w:t> </w:t>
      </w:r>
      <w:r>
        <w:rPr>
          <w:w w:val="120"/>
        </w:rPr>
        <w:t>has</w:t>
      </w:r>
      <w:r>
        <w:rPr>
          <w:spacing w:val="-7"/>
          <w:w w:val="120"/>
        </w:rPr>
        <w:t> </w:t>
      </w:r>
      <w:r>
        <w:rPr>
          <w:w w:val="120"/>
        </w:rPr>
        <w:t>arisen</w:t>
      </w:r>
      <w:r>
        <w:rPr>
          <w:spacing w:val="-6"/>
          <w:w w:val="120"/>
        </w:rPr>
        <w:t> </w:t>
      </w:r>
      <w:r>
        <w:rPr>
          <w:w w:val="120"/>
        </w:rPr>
        <w:t>in</w:t>
      </w:r>
      <w:r>
        <w:rPr>
          <w:spacing w:val="-7"/>
          <w:w w:val="120"/>
        </w:rPr>
        <w:t> </w:t>
      </w:r>
      <w:r>
        <w:rPr>
          <w:w w:val="120"/>
        </w:rPr>
        <w:t>relation</w:t>
      </w:r>
      <w:r>
        <w:rPr>
          <w:spacing w:val="-6"/>
          <w:w w:val="120"/>
        </w:rPr>
        <w:t> </w:t>
      </w:r>
      <w:r>
        <w:rPr>
          <w:spacing w:val="-3"/>
          <w:w w:val="120"/>
        </w:rPr>
        <w:t>to</w:t>
      </w:r>
      <w:r>
        <w:rPr>
          <w:spacing w:val="-7"/>
          <w:w w:val="120"/>
        </w:rPr>
        <w:t> </w:t>
      </w:r>
      <w:r>
        <w:rPr>
          <w:w w:val="120"/>
        </w:rPr>
        <w:t>the</w:t>
      </w:r>
      <w:r>
        <w:rPr>
          <w:spacing w:val="-7"/>
          <w:w w:val="120"/>
        </w:rPr>
        <w:t> </w:t>
      </w:r>
      <w:r>
        <w:rPr>
          <w:w w:val="120"/>
        </w:rPr>
        <w:t>Equality</w:t>
      </w:r>
      <w:r>
        <w:rPr>
          <w:spacing w:val="-6"/>
          <w:w w:val="120"/>
        </w:rPr>
        <w:t> </w:t>
      </w:r>
      <w:r>
        <w:rPr>
          <w:w w:val="120"/>
        </w:rPr>
        <w:t>Bill</w:t>
      </w:r>
      <w:r>
        <w:rPr>
          <w:spacing w:val="-7"/>
          <w:w w:val="120"/>
        </w:rPr>
        <w:t> </w:t>
      </w:r>
      <w:r>
        <w:rPr>
          <w:w w:val="120"/>
        </w:rPr>
        <w:t>and</w:t>
      </w:r>
      <w:r>
        <w:rPr>
          <w:spacing w:val="-6"/>
          <w:w w:val="120"/>
        </w:rPr>
        <w:t> </w:t>
      </w:r>
      <w:r>
        <w:rPr>
          <w:spacing w:val="-3"/>
          <w:w w:val="120"/>
        </w:rPr>
        <w:t>advice</w:t>
      </w:r>
      <w:r>
        <w:rPr>
          <w:spacing w:val="-7"/>
          <w:w w:val="120"/>
        </w:rPr>
        <w:t> </w:t>
      </w:r>
      <w:r>
        <w:rPr>
          <w:spacing w:val="-3"/>
          <w:w w:val="120"/>
        </w:rPr>
        <w:t>may</w:t>
      </w:r>
      <w:r>
        <w:rPr>
          <w:spacing w:val="-6"/>
          <w:w w:val="120"/>
        </w:rPr>
        <w:t> </w:t>
      </w:r>
      <w:r>
        <w:rPr>
          <w:w w:val="120"/>
        </w:rPr>
        <w:t>be</w:t>
      </w:r>
      <w:r>
        <w:rPr>
          <w:spacing w:val="-7"/>
          <w:w w:val="120"/>
        </w:rPr>
        <w:t> </w:t>
      </w:r>
      <w:r>
        <w:rPr>
          <w:w w:val="120"/>
        </w:rPr>
        <w:t>given</w:t>
      </w:r>
      <w:r>
        <w:rPr>
          <w:spacing w:val="-7"/>
          <w:w w:val="120"/>
        </w:rPr>
        <w:t> </w:t>
      </w:r>
      <w:r>
        <w:rPr>
          <w:spacing w:val="-3"/>
          <w:w w:val="120"/>
        </w:rPr>
        <w:t>to</w:t>
      </w:r>
      <w:r>
        <w:rPr>
          <w:spacing w:val="-6"/>
          <w:w w:val="120"/>
        </w:rPr>
        <w:t> </w:t>
      </w:r>
      <w:r>
        <w:rPr>
          <w:w w:val="120"/>
        </w:rPr>
        <w:t>Assembly</w:t>
      </w:r>
      <w:r>
        <w:rPr>
          <w:spacing w:val="-7"/>
          <w:w w:val="120"/>
        </w:rPr>
        <w:t> </w:t>
      </w:r>
      <w:r>
        <w:rPr>
          <w:w w:val="120"/>
        </w:rPr>
        <w:t>if the </w:t>
      </w:r>
      <w:r>
        <w:rPr>
          <w:spacing w:val="-3"/>
          <w:w w:val="120"/>
        </w:rPr>
        <w:t>situation </w:t>
      </w:r>
      <w:r>
        <w:rPr>
          <w:w w:val="120"/>
        </w:rPr>
        <w:t>is clearer by</w:t>
      </w:r>
      <w:r>
        <w:rPr>
          <w:spacing w:val="-10"/>
          <w:w w:val="120"/>
        </w:rPr>
        <w:t> </w:t>
      </w:r>
      <w:r>
        <w:rPr>
          <w:w w:val="120"/>
        </w:rPr>
        <w:t>then.</w:t>
      </w:r>
    </w:p>
    <w:p>
      <w:pPr>
        <w:pStyle w:val="BodyText"/>
        <w:spacing w:before="10"/>
        <w:rPr>
          <w:sz w:val="18"/>
        </w:rPr>
      </w:pPr>
    </w:p>
    <w:p>
      <w:pPr>
        <w:pStyle w:val="ListParagraph"/>
        <w:numPr>
          <w:ilvl w:val="1"/>
          <w:numId w:val="101"/>
        </w:numPr>
        <w:tabs>
          <w:tab w:pos="2664" w:val="left" w:leader="none"/>
          <w:tab w:pos="2665" w:val="left" w:leader="none"/>
        </w:tabs>
        <w:spacing w:line="232" w:lineRule="auto" w:before="0" w:after="0"/>
        <w:ind w:left="1984" w:right="1234" w:firstLine="0"/>
        <w:jc w:val="left"/>
        <w:rPr>
          <w:sz w:val="20"/>
        </w:rPr>
      </w:pPr>
      <w:r>
        <w:rPr>
          <w:rFonts w:ascii="Stone Sans II ITC Std Bk"/>
          <w:b/>
          <w:w w:val="115"/>
          <w:sz w:val="20"/>
        </w:rPr>
        <w:t>Blessing of partnerships. </w:t>
      </w:r>
      <w:r>
        <w:rPr>
          <w:i/>
          <w:w w:val="115"/>
          <w:sz w:val="20"/>
        </w:rPr>
        <w:t>What attitude </w:t>
      </w:r>
      <w:r>
        <w:rPr>
          <w:i/>
          <w:spacing w:val="-3"/>
          <w:w w:val="115"/>
          <w:sz w:val="20"/>
        </w:rPr>
        <w:t>should </w:t>
      </w:r>
      <w:r>
        <w:rPr>
          <w:i/>
          <w:w w:val="115"/>
          <w:sz w:val="20"/>
        </w:rPr>
        <w:t>the </w:t>
      </w:r>
      <w:r>
        <w:rPr>
          <w:i/>
          <w:spacing w:val="-3"/>
          <w:w w:val="115"/>
          <w:sz w:val="20"/>
        </w:rPr>
        <w:t>United </w:t>
      </w:r>
      <w:r>
        <w:rPr>
          <w:i/>
          <w:w w:val="115"/>
          <w:sz w:val="20"/>
        </w:rPr>
        <w:t>Reformed </w:t>
      </w:r>
      <w:r>
        <w:rPr>
          <w:i/>
          <w:spacing w:val="-3"/>
          <w:w w:val="115"/>
          <w:sz w:val="20"/>
        </w:rPr>
        <w:t>Church take </w:t>
      </w:r>
      <w:r>
        <w:rPr>
          <w:i/>
          <w:spacing w:val="-3"/>
          <w:w w:val="115"/>
          <w:sz w:val="20"/>
        </w:rPr>
        <w:t>regarding </w:t>
      </w:r>
      <w:r>
        <w:rPr>
          <w:i/>
          <w:w w:val="115"/>
          <w:sz w:val="20"/>
        </w:rPr>
        <w:t>the </w:t>
      </w:r>
      <w:r>
        <w:rPr>
          <w:i/>
          <w:spacing w:val="-3"/>
          <w:w w:val="115"/>
          <w:sz w:val="20"/>
        </w:rPr>
        <w:t>blessing </w:t>
      </w:r>
      <w:r>
        <w:rPr>
          <w:i/>
          <w:w w:val="115"/>
          <w:sz w:val="20"/>
        </w:rPr>
        <w:t>of civil </w:t>
      </w:r>
      <w:r>
        <w:rPr>
          <w:i/>
          <w:spacing w:val="-3"/>
          <w:w w:val="115"/>
          <w:sz w:val="20"/>
        </w:rPr>
        <w:t>partnerships? </w:t>
      </w:r>
      <w:r>
        <w:rPr>
          <w:i/>
          <w:w w:val="115"/>
          <w:sz w:val="20"/>
        </w:rPr>
        <w:t>Do the </w:t>
      </w:r>
      <w:r>
        <w:rPr>
          <w:i/>
          <w:spacing w:val="-3"/>
          <w:w w:val="115"/>
          <w:sz w:val="20"/>
        </w:rPr>
        <w:t>present guidelines need </w:t>
      </w:r>
      <w:r>
        <w:rPr>
          <w:i/>
          <w:w w:val="115"/>
          <w:sz w:val="20"/>
        </w:rPr>
        <w:t>to be </w:t>
      </w:r>
      <w:r>
        <w:rPr>
          <w:i/>
          <w:spacing w:val="-4"/>
          <w:w w:val="115"/>
          <w:sz w:val="20"/>
        </w:rPr>
        <w:t>reviewed, </w:t>
      </w:r>
      <w:r>
        <w:rPr>
          <w:i/>
          <w:w w:val="115"/>
          <w:sz w:val="20"/>
        </w:rPr>
        <w:t>and </w:t>
      </w:r>
      <w:r>
        <w:rPr>
          <w:i/>
          <w:spacing w:val="-3"/>
          <w:w w:val="115"/>
          <w:sz w:val="20"/>
        </w:rPr>
        <w:t>should </w:t>
      </w:r>
      <w:r>
        <w:rPr>
          <w:i/>
          <w:w w:val="115"/>
          <w:sz w:val="20"/>
        </w:rPr>
        <w:t>they be subject to </w:t>
      </w:r>
      <w:r>
        <w:rPr>
          <w:i/>
          <w:spacing w:val="-3"/>
          <w:w w:val="115"/>
          <w:sz w:val="20"/>
        </w:rPr>
        <w:t>debate </w:t>
      </w:r>
      <w:r>
        <w:rPr>
          <w:i/>
          <w:w w:val="115"/>
          <w:sz w:val="20"/>
        </w:rPr>
        <w:t>and </w:t>
      </w:r>
      <w:r>
        <w:rPr>
          <w:i/>
          <w:spacing w:val="-3"/>
          <w:w w:val="115"/>
          <w:sz w:val="20"/>
        </w:rPr>
        <w:t>decision </w:t>
      </w:r>
      <w:r>
        <w:rPr>
          <w:i/>
          <w:w w:val="115"/>
          <w:sz w:val="20"/>
        </w:rPr>
        <w:t>in </w:t>
      </w:r>
      <w:r>
        <w:rPr>
          <w:i/>
          <w:spacing w:val="-3"/>
          <w:w w:val="115"/>
          <w:sz w:val="20"/>
        </w:rPr>
        <w:t>General </w:t>
      </w:r>
      <w:r>
        <w:rPr>
          <w:i/>
          <w:spacing w:val="-4"/>
          <w:w w:val="115"/>
          <w:sz w:val="20"/>
        </w:rPr>
        <w:t>Assembly? </w:t>
      </w:r>
      <w:r>
        <w:rPr>
          <w:w w:val="115"/>
          <w:sz w:val="20"/>
        </w:rPr>
        <w:t>The group looked at the </w:t>
      </w:r>
      <w:r>
        <w:rPr>
          <w:spacing w:val="-3"/>
          <w:w w:val="115"/>
          <w:sz w:val="20"/>
        </w:rPr>
        <w:t>advice </w:t>
      </w:r>
      <w:r>
        <w:rPr>
          <w:w w:val="115"/>
          <w:sz w:val="20"/>
        </w:rPr>
        <w:t>produced by Mission </w:t>
      </w:r>
      <w:r>
        <w:rPr>
          <w:spacing w:val="-3"/>
          <w:w w:val="115"/>
          <w:sz w:val="20"/>
        </w:rPr>
        <w:t>Council </w:t>
      </w:r>
      <w:r>
        <w:rPr>
          <w:w w:val="115"/>
          <w:sz w:val="20"/>
        </w:rPr>
        <w:t>in 2006 and made </w:t>
      </w:r>
      <w:r>
        <w:rPr>
          <w:spacing w:val="-3"/>
          <w:w w:val="115"/>
          <w:sz w:val="20"/>
        </w:rPr>
        <w:t>available  to  </w:t>
      </w:r>
      <w:r>
        <w:rPr>
          <w:w w:val="115"/>
          <w:sz w:val="20"/>
        </w:rPr>
        <w:t>local  </w:t>
      </w:r>
      <w:r>
        <w:rPr>
          <w:spacing w:val="-3"/>
          <w:w w:val="115"/>
          <w:sz w:val="20"/>
        </w:rPr>
        <w:t>churches  since </w:t>
      </w:r>
      <w:r>
        <w:rPr>
          <w:w w:val="115"/>
          <w:sz w:val="20"/>
        </w:rPr>
        <w:t>then. It did </w:t>
      </w:r>
      <w:r>
        <w:rPr>
          <w:spacing w:val="-2"/>
          <w:w w:val="115"/>
          <w:sz w:val="20"/>
        </w:rPr>
        <w:t>not </w:t>
      </w:r>
      <w:r>
        <w:rPr>
          <w:w w:val="115"/>
          <w:sz w:val="20"/>
        </w:rPr>
        <w:t>believe that </w:t>
      </w:r>
      <w:r>
        <w:rPr>
          <w:spacing w:val="-3"/>
          <w:w w:val="115"/>
          <w:sz w:val="20"/>
        </w:rPr>
        <w:t>this </w:t>
      </w:r>
      <w:r>
        <w:rPr>
          <w:w w:val="115"/>
          <w:sz w:val="20"/>
        </w:rPr>
        <w:t>was the right time </w:t>
      </w:r>
      <w:r>
        <w:rPr>
          <w:spacing w:val="-3"/>
          <w:w w:val="115"/>
          <w:sz w:val="20"/>
        </w:rPr>
        <w:t>to consider </w:t>
      </w:r>
      <w:r>
        <w:rPr>
          <w:w w:val="115"/>
          <w:sz w:val="20"/>
        </w:rPr>
        <w:t>other than minor changes which </w:t>
      </w:r>
      <w:r>
        <w:rPr>
          <w:spacing w:val="-3"/>
          <w:w w:val="115"/>
          <w:sz w:val="20"/>
        </w:rPr>
        <w:t>resulted </w:t>
      </w:r>
      <w:r>
        <w:rPr>
          <w:w w:val="115"/>
          <w:sz w:val="20"/>
        </w:rPr>
        <w:t>from the adoption of the </w:t>
      </w:r>
      <w:r>
        <w:rPr>
          <w:spacing w:val="-3"/>
          <w:w w:val="115"/>
          <w:sz w:val="20"/>
        </w:rPr>
        <w:t>Commitment </w:t>
      </w:r>
      <w:r>
        <w:rPr>
          <w:w w:val="115"/>
          <w:sz w:val="20"/>
        </w:rPr>
        <w:t>by  the  </w:t>
      </w:r>
      <w:r>
        <w:rPr>
          <w:spacing w:val="-3"/>
          <w:w w:val="115"/>
          <w:sz w:val="20"/>
        </w:rPr>
        <w:t>Assembly.  </w:t>
      </w:r>
      <w:r>
        <w:rPr>
          <w:w w:val="115"/>
          <w:sz w:val="20"/>
        </w:rPr>
        <w:t>These  changes </w:t>
      </w:r>
      <w:r>
        <w:rPr>
          <w:spacing w:val="-3"/>
          <w:w w:val="115"/>
          <w:sz w:val="20"/>
        </w:rPr>
        <w:t>have </w:t>
      </w:r>
      <w:r>
        <w:rPr>
          <w:w w:val="115"/>
          <w:sz w:val="20"/>
        </w:rPr>
        <w:t>been </w:t>
      </w:r>
      <w:r>
        <w:rPr>
          <w:spacing w:val="-4"/>
          <w:w w:val="115"/>
          <w:sz w:val="20"/>
        </w:rPr>
        <w:t>accepted </w:t>
      </w:r>
      <w:r>
        <w:rPr>
          <w:w w:val="115"/>
          <w:sz w:val="20"/>
        </w:rPr>
        <w:t>by Mission </w:t>
      </w:r>
      <w:r>
        <w:rPr>
          <w:spacing w:val="-3"/>
          <w:w w:val="115"/>
          <w:sz w:val="20"/>
        </w:rPr>
        <w:t>Council,  </w:t>
      </w:r>
      <w:r>
        <w:rPr>
          <w:w w:val="115"/>
          <w:sz w:val="20"/>
        </w:rPr>
        <w:t>which was </w:t>
      </w:r>
      <w:r>
        <w:rPr>
          <w:spacing w:val="-2"/>
          <w:w w:val="115"/>
          <w:sz w:val="20"/>
        </w:rPr>
        <w:t>not  </w:t>
      </w:r>
      <w:r>
        <w:rPr>
          <w:w w:val="115"/>
          <w:sz w:val="20"/>
        </w:rPr>
        <w:t>minded </w:t>
      </w:r>
      <w:r>
        <w:rPr>
          <w:spacing w:val="-3"/>
          <w:w w:val="115"/>
          <w:sz w:val="20"/>
        </w:rPr>
        <w:t>to  </w:t>
      </w:r>
      <w:r>
        <w:rPr>
          <w:w w:val="115"/>
          <w:sz w:val="20"/>
        </w:rPr>
        <w:t>subject them </w:t>
      </w:r>
      <w:r>
        <w:rPr>
          <w:spacing w:val="-3"/>
          <w:w w:val="115"/>
          <w:sz w:val="20"/>
        </w:rPr>
        <w:t>to  debate  </w:t>
      </w:r>
      <w:r>
        <w:rPr>
          <w:w w:val="115"/>
          <w:sz w:val="20"/>
        </w:rPr>
        <w:t>in the General</w:t>
      </w:r>
      <w:r>
        <w:rPr>
          <w:spacing w:val="2"/>
          <w:w w:val="115"/>
          <w:sz w:val="20"/>
        </w:rPr>
        <w:t> </w:t>
      </w:r>
      <w:r>
        <w:rPr>
          <w:spacing w:val="-3"/>
          <w:w w:val="115"/>
          <w:sz w:val="20"/>
        </w:rPr>
        <w:t>Assembly.</w:t>
      </w:r>
    </w:p>
    <w:p>
      <w:pPr>
        <w:pStyle w:val="BodyText"/>
        <w:spacing w:before="2"/>
        <w:rPr>
          <w:sz w:val="18"/>
        </w:rPr>
      </w:pPr>
    </w:p>
    <w:p>
      <w:pPr>
        <w:pStyle w:val="ListParagraph"/>
        <w:numPr>
          <w:ilvl w:val="1"/>
          <w:numId w:val="101"/>
        </w:numPr>
        <w:tabs>
          <w:tab w:pos="2664" w:val="left" w:leader="none"/>
          <w:tab w:pos="2665" w:val="left" w:leader="none"/>
        </w:tabs>
        <w:spacing w:line="232" w:lineRule="auto" w:before="0" w:after="0"/>
        <w:ind w:left="1984" w:right="1145" w:firstLine="0"/>
        <w:jc w:val="left"/>
        <w:rPr>
          <w:sz w:val="20"/>
        </w:rPr>
      </w:pPr>
      <w:r>
        <w:rPr>
          <w:rFonts w:ascii="Stone Sans II ITC Std Bk" w:hAnsi="Stone Sans II ITC Std Bk"/>
          <w:b/>
          <w:spacing w:val="-3"/>
          <w:w w:val="115"/>
          <w:sz w:val="20"/>
        </w:rPr>
        <w:t>Unity. </w:t>
      </w:r>
      <w:r>
        <w:rPr>
          <w:i/>
          <w:spacing w:val="-3"/>
          <w:w w:val="115"/>
          <w:sz w:val="20"/>
        </w:rPr>
        <w:t>Believing </w:t>
      </w:r>
      <w:r>
        <w:rPr>
          <w:i/>
          <w:w w:val="115"/>
          <w:sz w:val="20"/>
        </w:rPr>
        <w:t>that the unity of the </w:t>
      </w:r>
      <w:r>
        <w:rPr>
          <w:i/>
          <w:spacing w:val="-3"/>
          <w:w w:val="115"/>
          <w:sz w:val="20"/>
        </w:rPr>
        <w:t>Church is </w:t>
      </w:r>
      <w:r>
        <w:rPr>
          <w:i/>
          <w:w w:val="115"/>
          <w:sz w:val="20"/>
        </w:rPr>
        <w:t>a </w:t>
      </w:r>
      <w:r>
        <w:rPr>
          <w:i/>
          <w:spacing w:val="-3"/>
          <w:w w:val="115"/>
          <w:sz w:val="20"/>
        </w:rPr>
        <w:t>gospel priority, </w:t>
      </w:r>
      <w:r>
        <w:rPr>
          <w:i/>
          <w:w w:val="115"/>
          <w:sz w:val="20"/>
        </w:rPr>
        <w:t>how much </w:t>
      </w:r>
      <w:r>
        <w:rPr>
          <w:i/>
          <w:spacing w:val="-3"/>
          <w:w w:val="115"/>
          <w:sz w:val="20"/>
        </w:rPr>
        <w:t>internal </w:t>
      </w:r>
      <w:r>
        <w:rPr>
          <w:i/>
          <w:w w:val="115"/>
          <w:sz w:val="20"/>
        </w:rPr>
        <w:t>diversity </w:t>
      </w:r>
      <w:r>
        <w:rPr>
          <w:i/>
          <w:spacing w:val="-3"/>
          <w:w w:val="115"/>
          <w:sz w:val="20"/>
        </w:rPr>
        <w:t>is tolerable </w:t>
      </w:r>
      <w:r>
        <w:rPr>
          <w:i/>
          <w:w w:val="115"/>
          <w:sz w:val="20"/>
        </w:rPr>
        <w:t>before that unity </w:t>
      </w:r>
      <w:r>
        <w:rPr>
          <w:i/>
          <w:spacing w:val="-3"/>
          <w:w w:val="115"/>
          <w:sz w:val="20"/>
        </w:rPr>
        <w:t>is contradicted? Clearly there is </w:t>
      </w:r>
      <w:r>
        <w:rPr>
          <w:i/>
          <w:w w:val="115"/>
          <w:sz w:val="20"/>
        </w:rPr>
        <w:t>much diversity </w:t>
      </w:r>
      <w:r>
        <w:rPr>
          <w:i/>
          <w:spacing w:val="-3"/>
          <w:w w:val="115"/>
          <w:sz w:val="20"/>
        </w:rPr>
        <w:t>within </w:t>
      </w:r>
      <w:r>
        <w:rPr>
          <w:i/>
          <w:w w:val="115"/>
          <w:sz w:val="20"/>
        </w:rPr>
        <w:t>the </w:t>
      </w:r>
      <w:r>
        <w:rPr>
          <w:i/>
          <w:spacing w:val="-3"/>
          <w:w w:val="115"/>
          <w:sz w:val="20"/>
        </w:rPr>
        <w:t>present church over many issues, </w:t>
      </w:r>
      <w:r>
        <w:rPr>
          <w:i/>
          <w:w w:val="115"/>
          <w:sz w:val="20"/>
        </w:rPr>
        <w:t>but </w:t>
      </w:r>
      <w:r>
        <w:rPr>
          <w:i/>
          <w:spacing w:val="-3"/>
          <w:w w:val="115"/>
          <w:sz w:val="20"/>
        </w:rPr>
        <w:t>would </w:t>
      </w:r>
      <w:r>
        <w:rPr>
          <w:i/>
          <w:w w:val="115"/>
          <w:sz w:val="20"/>
        </w:rPr>
        <w:t>it </w:t>
      </w:r>
      <w:r>
        <w:rPr>
          <w:i/>
          <w:spacing w:val="-3"/>
          <w:w w:val="115"/>
          <w:sz w:val="20"/>
        </w:rPr>
        <w:t>ever </w:t>
      </w:r>
      <w:r>
        <w:rPr>
          <w:i/>
          <w:w w:val="115"/>
          <w:sz w:val="20"/>
        </w:rPr>
        <w:t>be </w:t>
      </w:r>
      <w:r>
        <w:rPr>
          <w:i/>
          <w:spacing w:val="-4"/>
          <w:w w:val="115"/>
          <w:sz w:val="20"/>
        </w:rPr>
        <w:t>acceptable </w:t>
      </w:r>
      <w:r>
        <w:rPr>
          <w:i/>
          <w:w w:val="115"/>
          <w:sz w:val="20"/>
        </w:rPr>
        <w:t>in the </w:t>
      </w:r>
      <w:r>
        <w:rPr>
          <w:i/>
          <w:spacing w:val="-3"/>
          <w:w w:val="115"/>
          <w:sz w:val="20"/>
        </w:rPr>
        <w:t>name </w:t>
      </w:r>
      <w:r>
        <w:rPr>
          <w:i/>
          <w:w w:val="115"/>
          <w:sz w:val="20"/>
        </w:rPr>
        <w:t>of unity to </w:t>
      </w:r>
      <w:r>
        <w:rPr>
          <w:i/>
          <w:spacing w:val="-3"/>
          <w:w w:val="115"/>
          <w:sz w:val="20"/>
        </w:rPr>
        <w:t>have such</w:t>
      </w:r>
      <w:r>
        <w:rPr>
          <w:i/>
          <w:spacing w:val="-23"/>
          <w:w w:val="115"/>
          <w:sz w:val="20"/>
        </w:rPr>
        <w:t> </w:t>
      </w:r>
      <w:r>
        <w:rPr>
          <w:i/>
          <w:w w:val="115"/>
          <w:sz w:val="20"/>
        </w:rPr>
        <w:t>a</w:t>
      </w:r>
      <w:r>
        <w:rPr>
          <w:i/>
          <w:spacing w:val="-22"/>
          <w:w w:val="115"/>
          <w:sz w:val="20"/>
        </w:rPr>
        <w:t> </w:t>
      </w:r>
      <w:r>
        <w:rPr>
          <w:i/>
          <w:w w:val="115"/>
          <w:sz w:val="20"/>
        </w:rPr>
        <w:t>diversity</w:t>
      </w:r>
      <w:r>
        <w:rPr>
          <w:i/>
          <w:spacing w:val="-23"/>
          <w:w w:val="115"/>
          <w:sz w:val="20"/>
        </w:rPr>
        <w:t> </w:t>
      </w:r>
      <w:r>
        <w:rPr>
          <w:i/>
          <w:w w:val="115"/>
          <w:sz w:val="20"/>
        </w:rPr>
        <w:t>of</w:t>
      </w:r>
      <w:r>
        <w:rPr>
          <w:i/>
          <w:spacing w:val="-22"/>
          <w:w w:val="115"/>
          <w:sz w:val="20"/>
        </w:rPr>
        <w:t> </w:t>
      </w:r>
      <w:r>
        <w:rPr>
          <w:i/>
          <w:w w:val="115"/>
          <w:sz w:val="20"/>
        </w:rPr>
        <w:t>beliefs</w:t>
      </w:r>
      <w:r>
        <w:rPr>
          <w:i/>
          <w:spacing w:val="-23"/>
          <w:w w:val="115"/>
          <w:sz w:val="20"/>
        </w:rPr>
        <w:t> </w:t>
      </w:r>
      <w:r>
        <w:rPr>
          <w:i/>
          <w:w w:val="115"/>
          <w:sz w:val="20"/>
        </w:rPr>
        <w:t>and</w:t>
      </w:r>
      <w:r>
        <w:rPr>
          <w:i/>
          <w:spacing w:val="-22"/>
          <w:w w:val="115"/>
          <w:sz w:val="20"/>
        </w:rPr>
        <w:t> </w:t>
      </w:r>
      <w:r>
        <w:rPr>
          <w:i/>
          <w:w w:val="115"/>
          <w:sz w:val="20"/>
        </w:rPr>
        <w:t>practices</w:t>
      </w:r>
      <w:r>
        <w:rPr>
          <w:i/>
          <w:spacing w:val="-22"/>
          <w:w w:val="115"/>
          <w:sz w:val="20"/>
        </w:rPr>
        <w:t> </w:t>
      </w:r>
      <w:r>
        <w:rPr>
          <w:i/>
          <w:w w:val="115"/>
          <w:sz w:val="20"/>
        </w:rPr>
        <w:t>that</w:t>
      </w:r>
      <w:r>
        <w:rPr>
          <w:i/>
          <w:spacing w:val="-23"/>
          <w:w w:val="115"/>
          <w:sz w:val="20"/>
        </w:rPr>
        <w:t> </w:t>
      </w:r>
      <w:r>
        <w:rPr>
          <w:i/>
          <w:spacing w:val="-3"/>
          <w:w w:val="115"/>
          <w:sz w:val="20"/>
        </w:rPr>
        <w:t>members</w:t>
      </w:r>
      <w:r>
        <w:rPr>
          <w:i/>
          <w:spacing w:val="-22"/>
          <w:w w:val="115"/>
          <w:sz w:val="20"/>
        </w:rPr>
        <w:t> </w:t>
      </w:r>
      <w:r>
        <w:rPr>
          <w:i/>
          <w:w w:val="115"/>
          <w:sz w:val="20"/>
        </w:rPr>
        <w:t>and</w:t>
      </w:r>
      <w:r>
        <w:rPr>
          <w:i/>
          <w:spacing w:val="-23"/>
          <w:w w:val="115"/>
          <w:sz w:val="20"/>
        </w:rPr>
        <w:t> </w:t>
      </w:r>
      <w:r>
        <w:rPr>
          <w:i/>
          <w:spacing w:val="-3"/>
          <w:w w:val="115"/>
          <w:sz w:val="20"/>
        </w:rPr>
        <w:t>ministers</w:t>
      </w:r>
      <w:r>
        <w:rPr>
          <w:i/>
          <w:spacing w:val="-22"/>
          <w:w w:val="115"/>
          <w:sz w:val="20"/>
        </w:rPr>
        <w:t> </w:t>
      </w:r>
      <w:r>
        <w:rPr>
          <w:i/>
          <w:spacing w:val="-3"/>
          <w:w w:val="115"/>
          <w:sz w:val="20"/>
        </w:rPr>
        <w:t>denied</w:t>
      </w:r>
      <w:r>
        <w:rPr>
          <w:i/>
          <w:spacing w:val="-22"/>
          <w:w w:val="115"/>
          <w:sz w:val="20"/>
        </w:rPr>
        <w:t> </w:t>
      </w:r>
      <w:r>
        <w:rPr>
          <w:i/>
          <w:w w:val="115"/>
          <w:sz w:val="20"/>
        </w:rPr>
        <w:t>the</w:t>
      </w:r>
      <w:r>
        <w:rPr>
          <w:i/>
          <w:spacing w:val="-23"/>
          <w:w w:val="115"/>
          <w:sz w:val="20"/>
        </w:rPr>
        <w:t> </w:t>
      </w:r>
      <w:r>
        <w:rPr>
          <w:i/>
          <w:w w:val="115"/>
          <w:sz w:val="20"/>
        </w:rPr>
        <w:t>actions</w:t>
      </w:r>
      <w:r>
        <w:rPr>
          <w:i/>
          <w:spacing w:val="-22"/>
          <w:w w:val="115"/>
          <w:sz w:val="20"/>
        </w:rPr>
        <w:t> </w:t>
      </w:r>
      <w:r>
        <w:rPr>
          <w:i/>
          <w:w w:val="115"/>
          <w:sz w:val="20"/>
        </w:rPr>
        <w:t>and</w:t>
      </w:r>
      <w:r>
        <w:rPr>
          <w:i/>
          <w:spacing w:val="-23"/>
          <w:w w:val="115"/>
          <w:sz w:val="20"/>
        </w:rPr>
        <w:t> </w:t>
      </w:r>
      <w:r>
        <w:rPr>
          <w:i/>
          <w:w w:val="115"/>
          <w:sz w:val="20"/>
        </w:rPr>
        <w:t>beliefs of others and </w:t>
      </w:r>
      <w:r>
        <w:rPr>
          <w:i/>
          <w:spacing w:val="-3"/>
          <w:w w:val="115"/>
          <w:sz w:val="20"/>
        </w:rPr>
        <w:t>where some ministers </w:t>
      </w:r>
      <w:r>
        <w:rPr>
          <w:i/>
          <w:spacing w:val="-4"/>
          <w:w w:val="115"/>
          <w:sz w:val="20"/>
        </w:rPr>
        <w:t>were </w:t>
      </w:r>
      <w:r>
        <w:rPr>
          <w:i/>
          <w:spacing w:val="-3"/>
          <w:w w:val="115"/>
          <w:sz w:val="20"/>
        </w:rPr>
        <w:t>totally </w:t>
      </w:r>
      <w:r>
        <w:rPr>
          <w:i/>
          <w:spacing w:val="-4"/>
          <w:w w:val="115"/>
          <w:sz w:val="20"/>
        </w:rPr>
        <w:t>unacceptable </w:t>
      </w:r>
      <w:r>
        <w:rPr>
          <w:i/>
          <w:w w:val="115"/>
          <w:sz w:val="20"/>
        </w:rPr>
        <w:t>in </w:t>
      </w:r>
      <w:r>
        <w:rPr>
          <w:i/>
          <w:spacing w:val="-3"/>
          <w:w w:val="115"/>
          <w:sz w:val="20"/>
        </w:rPr>
        <w:t>some </w:t>
      </w:r>
      <w:r>
        <w:rPr>
          <w:i/>
          <w:w w:val="115"/>
          <w:sz w:val="20"/>
        </w:rPr>
        <w:t>parts of the </w:t>
      </w:r>
      <w:r>
        <w:rPr>
          <w:i/>
          <w:spacing w:val="-4"/>
          <w:w w:val="115"/>
          <w:sz w:val="20"/>
        </w:rPr>
        <w:t>church? </w:t>
      </w:r>
      <w:r>
        <w:rPr>
          <w:w w:val="115"/>
          <w:sz w:val="20"/>
        </w:rPr>
        <w:t>Very early in its </w:t>
      </w:r>
      <w:r>
        <w:rPr>
          <w:spacing w:val="-3"/>
          <w:w w:val="115"/>
          <w:sz w:val="20"/>
        </w:rPr>
        <w:t>discussion </w:t>
      </w:r>
      <w:r>
        <w:rPr>
          <w:w w:val="115"/>
          <w:sz w:val="20"/>
        </w:rPr>
        <w:t>the group </w:t>
      </w:r>
      <w:r>
        <w:rPr>
          <w:spacing w:val="-3"/>
          <w:w w:val="115"/>
          <w:sz w:val="20"/>
        </w:rPr>
        <w:t>recognised </w:t>
      </w:r>
      <w:r>
        <w:rPr>
          <w:w w:val="115"/>
          <w:sz w:val="20"/>
        </w:rPr>
        <w:t>that </w:t>
      </w:r>
      <w:r>
        <w:rPr>
          <w:spacing w:val="-3"/>
          <w:w w:val="115"/>
          <w:sz w:val="20"/>
        </w:rPr>
        <w:t>this  </w:t>
      </w:r>
      <w:r>
        <w:rPr>
          <w:w w:val="115"/>
          <w:sz w:val="20"/>
        </w:rPr>
        <w:t>is a </w:t>
      </w:r>
      <w:r>
        <w:rPr>
          <w:spacing w:val="-3"/>
          <w:w w:val="115"/>
          <w:sz w:val="20"/>
        </w:rPr>
        <w:t>key  issue,  </w:t>
      </w:r>
      <w:r>
        <w:rPr>
          <w:spacing w:val="-2"/>
          <w:w w:val="115"/>
          <w:sz w:val="20"/>
        </w:rPr>
        <w:t>not </w:t>
      </w:r>
      <w:r>
        <w:rPr>
          <w:w w:val="115"/>
          <w:sz w:val="20"/>
        </w:rPr>
        <w:t>only in regard </w:t>
      </w:r>
      <w:r>
        <w:rPr>
          <w:spacing w:val="-3"/>
          <w:w w:val="115"/>
          <w:sz w:val="20"/>
        </w:rPr>
        <w:t>to human </w:t>
      </w:r>
      <w:r>
        <w:rPr>
          <w:w w:val="115"/>
          <w:sz w:val="20"/>
        </w:rPr>
        <w:t>sexuality but also in very </w:t>
      </w:r>
      <w:r>
        <w:rPr>
          <w:spacing w:val="-3"/>
          <w:w w:val="115"/>
          <w:sz w:val="20"/>
        </w:rPr>
        <w:t>many </w:t>
      </w:r>
      <w:r>
        <w:rPr>
          <w:w w:val="115"/>
          <w:sz w:val="20"/>
        </w:rPr>
        <w:t>aspects of the </w:t>
      </w:r>
      <w:r>
        <w:rPr>
          <w:spacing w:val="-5"/>
          <w:w w:val="115"/>
          <w:sz w:val="20"/>
        </w:rPr>
        <w:t>church’s </w:t>
      </w:r>
      <w:r>
        <w:rPr>
          <w:spacing w:val="-3"/>
          <w:w w:val="115"/>
          <w:sz w:val="20"/>
        </w:rPr>
        <w:t>life. </w:t>
      </w:r>
      <w:r>
        <w:rPr>
          <w:w w:val="115"/>
          <w:sz w:val="20"/>
        </w:rPr>
        <w:t>Later in </w:t>
      </w:r>
      <w:r>
        <w:rPr>
          <w:spacing w:val="-3"/>
          <w:w w:val="115"/>
          <w:sz w:val="20"/>
        </w:rPr>
        <w:t>this </w:t>
      </w:r>
      <w:r>
        <w:rPr>
          <w:w w:val="115"/>
          <w:sz w:val="20"/>
        </w:rPr>
        <w:t>report it sets out some thoughts on the subject which are </w:t>
      </w:r>
      <w:r>
        <w:rPr>
          <w:spacing w:val="-3"/>
          <w:w w:val="115"/>
          <w:sz w:val="20"/>
        </w:rPr>
        <w:t>intended to </w:t>
      </w:r>
      <w:r>
        <w:rPr>
          <w:w w:val="115"/>
          <w:sz w:val="20"/>
        </w:rPr>
        <w:t>encourage </w:t>
      </w:r>
      <w:r>
        <w:rPr>
          <w:spacing w:val="-3"/>
          <w:w w:val="115"/>
          <w:sz w:val="20"/>
        </w:rPr>
        <w:t>discussion </w:t>
      </w:r>
      <w:r>
        <w:rPr>
          <w:w w:val="115"/>
          <w:sz w:val="20"/>
        </w:rPr>
        <w:t>rather than point </w:t>
      </w:r>
      <w:r>
        <w:rPr>
          <w:spacing w:val="-3"/>
          <w:w w:val="115"/>
          <w:sz w:val="20"/>
        </w:rPr>
        <w:t>to any </w:t>
      </w:r>
      <w:r>
        <w:rPr>
          <w:w w:val="115"/>
          <w:sz w:val="20"/>
        </w:rPr>
        <w:t>particular </w:t>
      </w:r>
      <w:r>
        <w:rPr>
          <w:spacing w:val="-3"/>
          <w:w w:val="115"/>
          <w:sz w:val="20"/>
        </w:rPr>
        <w:t>conclusions.  </w:t>
      </w:r>
      <w:r>
        <w:rPr>
          <w:w w:val="115"/>
          <w:sz w:val="20"/>
        </w:rPr>
        <w:t>Any group which has </w:t>
      </w:r>
      <w:r>
        <w:rPr>
          <w:spacing w:val="-3"/>
          <w:w w:val="115"/>
          <w:sz w:val="20"/>
        </w:rPr>
        <w:t>such  </w:t>
      </w:r>
      <w:r>
        <w:rPr>
          <w:w w:val="115"/>
          <w:sz w:val="20"/>
        </w:rPr>
        <w:t>a </w:t>
      </w:r>
      <w:r>
        <w:rPr>
          <w:spacing w:val="-3"/>
          <w:w w:val="115"/>
          <w:sz w:val="20"/>
        </w:rPr>
        <w:t>discussion  </w:t>
      </w:r>
      <w:r>
        <w:rPr>
          <w:w w:val="115"/>
          <w:sz w:val="20"/>
        </w:rPr>
        <w:t>is </w:t>
      </w:r>
      <w:r>
        <w:rPr>
          <w:spacing w:val="-3"/>
          <w:w w:val="115"/>
          <w:sz w:val="20"/>
        </w:rPr>
        <w:t>welcome  to </w:t>
      </w:r>
      <w:r>
        <w:rPr>
          <w:w w:val="115"/>
          <w:sz w:val="20"/>
        </w:rPr>
        <w:t>send</w:t>
      </w:r>
      <w:r>
        <w:rPr>
          <w:spacing w:val="5"/>
          <w:w w:val="115"/>
          <w:sz w:val="20"/>
        </w:rPr>
        <w:t> </w:t>
      </w:r>
      <w:r>
        <w:rPr>
          <w:spacing w:val="-3"/>
          <w:w w:val="115"/>
          <w:sz w:val="20"/>
        </w:rPr>
        <w:t>any</w:t>
      </w:r>
      <w:r>
        <w:rPr>
          <w:spacing w:val="5"/>
          <w:w w:val="115"/>
          <w:sz w:val="20"/>
        </w:rPr>
        <w:t> </w:t>
      </w:r>
      <w:r>
        <w:rPr>
          <w:spacing w:val="-3"/>
          <w:w w:val="115"/>
          <w:sz w:val="20"/>
        </w:rPr>
        <w:t>conclusions</w:t>
      </w:r>
      <w:r>
        <w:rPr>
          <w:spacing w:val="5"/>
          <w:w w:val="115"/>
          <w:sz w:val="20"/>
        </w:rPr>
        <w:t> </w:t>
      </w:r>
      <w:r>
        <w:rPr>
          <w:spacing w:val="-3"/>
          <w:w w:val="115"/>
          <w:sz w:val="20"/>
        </w:rPr>
        <w:t>to</w:t>
      </w:r>
      <w:r>
        <w:rPr>
          <w:spacing w:val="6"/>
          <w:w w:val="115"/>
          <w:sz w:val="20"/>
        </w:rPr>
        <w:t> </w:t>
      </w:r>
      <w:r>
        <w:rPr>
          <w:w w:val="115"/>
          <w:sz w:val="20"/>
        </w:rPr>
        <w:t>the</w:t>
      </w:r>
      <w:r>
        <w:rPr>
          <w:spacing w:val="5"/>
          <w:w w:val="115"/>
          <w:sz w:val="20"/>
        </w:rPr>
        <w:t> </w:t>
      </w:r>
      <w:r>
        <w:rPr>
          <w:w w:val="115"/>
          <w:sz w:val="20"/>
        </w:rPr>
        <w:t>Secretary</w:t>
      </w:r>
      <w:r>
        <w:rPr>
          <w:spacing w:val="5"/>
          <w:w w:val="115"/>
          <w:sz w:val="20"/>
        </w:rPr>
        <w:t> </w:t>
      </w:r>
      <w:r>
        <w:rPr>
          <w:w w:val="115"/>
          <w:sz w:val="20"/>
        </w:rPr>
        <w:t>of</w:t>
      </w:r>
      <w:r>
        <w:rPr>
          <w:spacing w:val="5"/>
          <w:w w:val="115"/>
          <w:sz w:val="20"/>
        </w:rPr>
        <w:t> </w:t>
      </w:r>
      <w:r>
        <w:rPr>
          <w:w w:val="115"/>
          <w:sz w:val="20"/>
        </w:rPr>
        <w:t>the</w:t>
      </w:r>
      <w:r>
        <w:rPr>
          <w:spacing w:val="6"/>
          <w:w w:val="115"/>
          <w:sz w:val="20"/>
        </w:rPr>
        <w:t> </w:t>
      </w:r>
      <w:r>
        <w:rPr>
          <w:w w:val="115"/>
          <w:sz w:val="20"/>
        </w:rPr>
        <w:t>task</w:t>
      </w:r>
      <w:r>
        <w:rPr>
          <w:spacing w:val="5"/>
          <w:w w:val="115"/>
          <w:sz w:val="20"/>
        </w:rPr>
        <w:t> </w:t>
      </w:r>
      <w:r>
        <w:rPr>
          <w:spacing w:val="-3"/>
          <w:w w:val="115"/>
          <w:sz w:val="20"/>
        </w:rPr>
        <w:t>group,</w:t>
      </w:r>
      <w:r>
        <w:rPr>
          <w:spacing w:val="5"/>
          <w:w w:val="115"/>
          <w:sz w:val="20"/>
        </w:rPr>
        <w:t> </w:t>
      </w:r>
      <w:r>
        <w:rPr>
          <w:w w:val="115"/>
          <w:sz w:val="20"/>
        </w:rPr>
        <w:t>Lucy</w:t>
      </w:r>
      <w:r>
        <w:rPr>
          <w:spacing w:val="6"/>
          <w:w w:val="115"/>
          <w:sz w:val="20"/>
        </w:rPr>
        <w:t> </w:t>
      </w:r>
      <w:r>
        <w:rPr>
          <w:spacing w:val="-3"/>
          <w:w w:val="115"/>
          <w:sz w:val="20"/>
        </w:rPr>
        <w:t>Brierley.</w:t>
      </w:r>
    </w:p>
    <w:p>
      <w:pPr>
        <w:pStyle w:val="BodyText"/>
        <w:spacing w:before="7"/>
        <w:rPr>
          <w:sz w:val="18"/>
        </w:rPr>
      </w:pPr>
    </w:p>
    <w:p>
      <w:pPr>
        <w:pStyle w:val="ListParagraph"/>
        <w:numPr>
          <w:ilvl w:val="1"/>
          <w:numId w:val="101"/>
        </w:numPr>
        <w:tabs>
          <w:tab w:pos="2664" w:val="left" w:leader="none"/>
          <w:tab w:pos="2665" w:val="left" w:leader="none"/>
        </w:tabs>
        <w:spacing w:line="230" w:lineRule="auto" w:before="0" w:after="0"/>
        <w:ind w:left="1984" w:right="1276" w:firstLine="0"/>
        <w:jc w:val="left"/>
        <w:rPr>
          <w:i/>
          <w:sz w:val="20"/>
        </w:rPr>
      </w:pPr>
      <w:r>
        <w:rPr>
          <w:rFonts w:ascii="Stone Sans II ITC Std Bk" w:hAnsi="Stone Sans II ITC Std Bk"/>
          <w:b/>
          <w:w w:val="110"/>
          <w:sz w:val="20"/>
        </w:rPr>
        <w:t>Practical implications of </w:t>
      </w:r>
      <w:r>
        <w:rPr>
          <w:rFonts w:ascii="Stone Sans II ITC Std Bk" w:hAnsi="Stone Sans II ITC Std Bk"/>
          <w:b/>
          <w:spacing w:val="-3"/>
          <w:w w:val="110"/>
          <w:sz w:val="20"/>
        </w:rPr>
        <w:t>diversity. </w:t>
      </w:r>
      <w:r>
        <w:rPr>
          <w:i/>
          <w:spacing w:val="-3"/>
          <w:w w:val="110"/>
          <w:sz w:val="20"/>
        </w:rPr>
        <w:t>We need </w:t>
      </w:r>
      <w:r>
        <w:rPr>
          <w:i/>
          <w:w w:val="110"/>
          <w:sz w:val="20"/>
        </w:rPr>
        <w:t>to look </w:t>
      </w:r>
      <w:r>
        <w:rPr>
          <w:i/>
          <w:spacing w:val="-3"/>
          <w:w w:val="110"/>
          <w:sz w:val="20"/>
        </w:rPr>
        <w:t>carefully </w:t>
      </w:r>
      <w:r>
        <w:rPr>
          <w:i/>
          <w:w w:val="110"/>
          <w:sz w:val="20"/>
        </w:rPr>
        <w:t>at the </w:t>
      </w:r>
      <w:r>
        <w:rPr>
          <w:i/>
          <w:spacing w:val="-3"/>
          <w:w w:val="110"/>
          <w:sz w:val="20"/>
        </w:rPr>
        <w:t>implications </w:t>
      </w:r>
      <w:r>
        <w:rPr>
          <w:i/>
          <w:w w:val="110"/>
          <w:sz w:val="20"/>
        </w:rPr>
        <w:t>of </w:t>
      </w:r>
      <w:r>
        <w:rPr>
          <w:i/>
          <w:w w:val="110"/>
          <w:sz w:val="20"/>
        </w:rPr>
        <w:t>the kind of diversity </w:t>
      </w:r>
      <w:r>
        <w:rPr>
          <w:i/>
          <w:spacing w:val="-3"/>
          <w:w w:val="110"/>
          <w:sz w:val="20"/>
        </w:rPr>
        <w:t>envisaged </w:t>
      </w:r>
      <w:r>
        <w:rPr>
          <w:i/>
          <w:w w:val="110"/>
          <w:sz w:val="20"/>
        </w:rPr>
        <w:t>in the </w:t>
      </w:r>
      <w:r>
        <w:rPr>
          <w:i/>
          <w:spacing w:val="-3"/>
          <w:w w:val="110"/>
          <w:sz w:val="20"/>
        </w:rPr>
        <w:t>previous point. Might </w:t>
      </w:r>
      <w:r>
        <w:rPr>
          <w:i/>
          <w:w w:val="110"/>
          <w:sz w:val="20"/>
        </w:rPr>
        <w:t>the </w:t>
      </w:r>
      <w:r>
        <w:rPr>
          <w:i/>
          <w:spacing w:val="-4"/>
          <w:w w:val="110"/>
          <w:sz w:val="20"/>
        </w:rPr>
        <w:t>acceptance </w:t>
      </w:r>
      <w:r>
        <w:rPr>
          <w:i/>
          <w:w w:val="110"/>
          <w:sz w:val="20"/>
        </w:rPr>
        <w:t>of </w:t>
      </w:r>
      <w:r>
        <w:rPr>
          <w:i/>
          <w:spacing w:val="-3"/>
          <w:w w:val="110"/>
          <w:sz w:val="20"/>
        </w:rPr>
        <w:t>mutually exclusive interpretations living side </w:t>
      </w:r>
      <w:r>
        <w:rPr>
          <w:i/>
          <w:w w:val="110"/>
          <w:sz w:val="20"/>
        </w:rPr>
        <w:t>by </w:t>
      </w:r>
      <w:r>
        <w:rPr>
          <w:i/>
          <w:spacing w:val="-3"/>
          <w:w w:val="110"/>
          <w:sz w:val="20"/>
        </w:rPr>
        <w:t>side lead </w:t>
      </w:r>
      <w:r>
        <w:rPr>
          <w:i/>
          <w:w w:val="110"/>
          <w:sz w:val="20"/>
        </w:rPr>
        <w:t>all too </w:t>
      </w:r>
      <w:r>
        <w:rPr>
          <w:i/>
          <w:spacing w:val="-3"/>
          <w:w w:val="110"/>
          <w:sz w:val="20"/>
        </w:rPr>
        <w:t>painfully </w:t>
      </w:r>
      <w:r>
        <w:rPr>
          <w:i/>
          <w:w w:val="110"/>
          <w:sz w:val="20"/>
        </w:rPr>
        <w:t>to the </w:t>
      </w:r>
      <w:r>
        <w:rPr>
          <w:i/>
          <w:spacing w:val="-4"/>
          <w:w w:val="110"/>
          <w:sz w:val="20"/>
        </w:rPr>
        <w:t>‘clustering’ </w:t>
      </w:r>
      <w:r>
        <w:rPr>
          <w:i/>
          <w:w w:val="110"/>
          <w:sz w:val="20"/>
        </w:rPr>
        <w:t>of </w:t>
      </w:r>
      <w:r>
        <w:rPr>
          <w:i/>
          <w:spacing w:val="-3"/>
          <w:w w:val="110"/>
          <w:sz w:val="20"/>
        </w:rPr>
        <w:t>churches </w:t>
      </w:r>
      <w:r>
        <w:rPr>
          <w:i/>
          <w:w w:val="110"/>
          <w:sz w:val="20"/>
        </w:rPr>
        <w:t>and </w:t>
      </w:r>
      <w:r>
        <w:rPr>
          <w:i/>
          <w:spacing w:val="-3"/>
          <w:w w:val="110"/>
          <w:sz w:val="20"/>
        </w:rPr>
        <w:t>ministers </w:t>
      </w:r>
      <w:r>
        <w:rPr>
          <w:i/>
          <w:w w:val="110"/>
          <w:sz w:val="20"/>
        </w:rPr>
        <w:t>of </w:t>
      </w:r>
      <w:r>
        <w:rPr>
          <w:i/>
          <w:spacing w:val="-3"/>
          <w:w w:val="110"/>
          <w:sz w:val="20"/>
        </w:rPr>
        <w:t>similar </w:t>
      </w:r>
      <w:r>
        <w:rPr>
          <w:i/>
          <w:spacing w:val="-4"/>
          <w:w w:val="110"/>
          <w:sz w:val="20"/>
        </w:rPr>
        <w:t>views? </w:t>
      </w:r>
      <w:r>
        <w:rPr>
          <w:i/>
          <w:w w:val="110"/>
          <w:sz w:val="20"/>
        </w:rPr>
        <w:t>What does it </w:t>
      </w:r>
      <w:r>
        <w:rPr>
          <w:i/>
          <w:spacing w:val="-3"/>
          <w:w w:val="110"/>
          <w:sz w:val="20"/>
        </w:rPr>
        <w:t>mean </w:t>
      </w:r>
      <w:r>
        <w:rPr>
          <w:i/>
          <w:w w:val="110"/>
          <w:sz w:val="20"/>
        </w:rPr>
        <w:t>for a </w:t>
      </w:r>
      <w:r>
        <w:rPr>
          <w:i/>
          <w:spacing w:val="-3"/>
          <w:w w:val="110"/>
          <w:sz w:val="20"/>
        </w:rPr>
        <w:t>minister </w:t>
      </w:r>
      <w:r>
        <w:rPr>
          <w:i/>
          <w:w w:val="110"/>
          <w:sz w:val="20"/>
        </w:rPr>
        <w:t>to be </w:t>
      </w:r>
      <w:r>
        <w:rPr>
          <w:i/>
          <w:spacing w:val="-3"/>
          <w:w w:val="110"/>
          <w:sz w:val="20"/>
        </w:rPr>
        <w:t>called locally </w:t>
      </w:r>
      <w:r>
        <w:rPr>
          <w:i/>
          <w:w w:val="110"/>
          <w:sz w:val="20"/>
        </w:rPr>
        <w:t>but </w:t>
      </w:r>
      <w:r>
        <w:rPr>
          <w:i/>
          <w:spacing w:val="-4"/>
          <w:w w:val="110"/>
          <w:sz w:val="20"/>
        </w:rPr>
        <w:t>recognised nationally, </w:t>
      </w:r>
      <w:r>
        <w:rPr>
          <w:i/>
          <w:w w:val="110"/>
          <w:sz w:val="20"/>
        </w:rPr>
        <w:t>particularly if </w:t>
      </w:r>
      <w:r>
        <w:rPr>
          <w:i/>
          <w:spacing w:val="-3"/>
          <w:w w:val="110"/>
          <w:sz w:val="20"/>
        </w:rPr>
        <w:t>different criteria seem </w:t>
      </w:r>
      <w:r>
        <w:rPr>
          <w:i/>
          <w:w w:val="110"/>
          <w:sz w:val="20"/>
        </w:rPr>
        <w:t>to be </w:t>
      </w:r>
      <w:r>
        <w:rPr>
          <w:i/>
          <w:spacing w:val="-3"/>
          <w:w w:val="110"/>
          <w:sz w:val="20"/>
        </w:rPr>
        <w:t>used </w:t>
      </w:r>
      <w:r>
        <w:rPr>
          <w:i/>
          <w:w w:val="110"/>
          <w:sz w:val="20"/>
        </w:rPr>
        <w:t>in </w:t>
      </w:r>
      <w:r>
        <w:rPr>
          <w:i/>
          <w:spacing w:val="-3"/>
          <w:w w:val="110"/>
          <w:sz w:val="20"/>
        </w:rPr>
        <w:t>different </w:t>
      </w:r>
      <w:r>
        <w:rPr>
          <w:i/>
          <w:w w:val="110"/>
          <w:sz w:val="20"/>
        </w:rPr>
        <w:t>parts of the </w:t>
      </w:r>
      <w:r>
        <w:rPr>
          <w:i/>
          <w:spacing w:val="-4"/>
          <w:w w:val="110"/>
          <w:sz w:val="20"/>
        </w:rPr>
        <w:t>church? </w:t>
      </w:r>
      <w:r>
        <w:rPr>
          <w:i/>
          <w:spacing w:val="-3"/>
          <w:w w:val="110"/>
          <w:sz w:val="20"/>
        </w:rPr>
        <w:t>Might</w:t>
      </w:r>
      <w:r>
        <w:rPr>
          <w:i/>
          <w:spacing w:val="20"/>
          <w:w w:val="110"/>
          <w:sz w:val="20"/>
        </w:rPr>
        <w:t> </w:t>
      </w:r>
      <w:r>
        <w:rPr>
          <w:i/>
          <w:spacing w:val="-3"/>
          <w:w w:val="110"/>
          <w:sz w:val="20"/>
        </w:rPr>
        <w:t>some</w:t>
      </w:r>
    </w:p>
    <w:p>
      <w:pPr>
        <w:spacing w:line="232" w:lineRule="auto" w:before="3"/>
        <w:ind w:left="1984" w:right="1172" w:firstLine="0"/>
        <w:jc w:val="left"/>
        <w:rPr>
          <w:sz w:val="20"/>
        </w:rPr>
      </w:pPr>
      <w:r>
        <w:rPr>
          <w:i/>
          <w:spacing w:val="-3"/>
          <w:w w:val="115"/>
          <w:sz w:val="20"/>
        </w:rPr>
        <w:t>candidates</w:t>
      </w:r>
      <w:r>
        <w:rPr>
          <w:i/>
          <w:spacing w:val="-26"/>
          <w:w w:val="115"/>
          <w:sz w:val="20"/>
        </w:rPr>
        <w:t> </w:t>
      </w:r>
      <w:r>
        <w:rPr>
          <w:i/>
          <w:w w:val="115"/>
          <w:sz w:val="20"/>
        </w:rPr>
        <w:t>for</w:t>
      </w:r>
      <w:r>
        <w:rPr>
          <w:i/>
          <w:spacing w:val="-26"/>
          <w:w w:val="115"/>
          <w:sz w:val="20"/>
        </w:rPr>
        <w:t> </w:t>
      </w:r>
      <w:r>
        <w:rPr>
          <w:i/>
          <w:w w:val="115"/>
          <w:sz w:val="20"/>
        </w:rPr>
        <w:t>ministry</w:t>
      </w:r>
      <w:r>
        <w:rPr>
          <w:i/>
          <w:spacing w:val="-25"/>
          <w:w w:val="115"/>
          <w:sz w:val="20"/>
        </w:rPr>
        <w:t> </w:t>
      </w:r>
      <w:r>
        <w:rPr>
          <w:i/>
          <w:w w:val="115"/>
          <w:sz w:val="20"/>
        </w:rPr>
        <w:t>and</w:t>
      </w:r>
      <w:r>
        <w:rPr>
          <w:i/>
          <w:spacing w:val="-26"/>
          <w:w w:val="115"/>
          <w:sz w:val="20"/>
        </w:rPr>
        <w:t> </w:t>
      </w:r>
      <w:r>
        <w:rPr>
          <w:i/>
          <w:spacing w:val="-3"/>
          <w:w w:val="115"/>
          <w:sz w:val="20"/>
        </w:rPr>
        <w:t>some</w:t>
      </w:r>
      <w:r>
        <w:rPr>
          <w:i/>
          <w:spacing w:val="-25"/>
          <w:w w:val="115"/>
          <w:sz w:val="20"/>
        </w:rPr>
        <w:t> </w:t>
      </w:r>
      <w:r>
        <w:rPr>
          <w:i/>
          <w:w w:val="115"/>
          <w:sz w:val="20"/>
        </w:rPr>
        <w:t>existing</w:t>
      </w:r>
      <w:r>
        <w:rPr>
          <w:i/>
          <w:spacing w:val="-26"/>
          <w:w w:val="115"/>
          <w:sz w:val="20"/>
        </w:rPr>
        <w:t> </w:t>
      </w:r>
      <w:r>
        <w:rPr>
          <w:i/>
          <w:spacing w:val="-3"/>
          <w:w w:val="115"/>
          <w:sz w:val="20"/>
        </w:rPr>
        <w:t>ministers</w:t>
      </w:r>
      <w:r>
        <w:rPr>
          <w:i/>
          <w:spacing w:val="-26"/>
          <w:w w:val="115"/>
          <w:sz w:val="20"/>
        </w:rPr>
        <w:t> </w:t>
      </w:r>
      <w:r>
        <w:rPr>
          <w:i/>
          <w:spacing w:val="-3"/>
          <w:w w:val="115"/>
          <w:sz w:val="20"/>
        </w:rPr>
        <w:t>seeking</w:t>
      </w:r>
      <w:r>
        <w:rPr>
          <w:i/>
          <w:spacing w:val="-25"/>
          <w:w w:val="115"/>
          <w:sz w:val="20"/>
        </w:rPr>
        <w:t> </w:t>
      </w:r>
      <w:r>
        <w:rPr>
          <w:i/>
          <w:spacing w:val="-3"/>
          <w:w w:val="115"/>
          <w:sz w:val="20"/>
        </w:rPr>
        <w:t>pastorates</w:t>
      </w:r>
      <w:r>
        <w:rPr>
          <w:i/>
          <w:spacing w:val="-26"/>
          <w:w w:val="115"/>
          <w:sz w:val="20"/>
        </w:rPr>
        <w:t> </w:t>
      </w:r>
      <w:r>
        <w:rPr>
          <w:i/>
          <w:spacing w:val="-3"/>
          <w:w w:val="115"/>
          <w:sz w:val="20"/>
        </w:rPr>
        <w:t>need</w:t>
      </w:r>
      <w:r>
        <w:rPr>
          <w:i/>
          <w:spacing w:val="-25"/>
          <w:w w:val="115"/>
          <w:sz w:val="20"/>
        </w:rPr>
        <w:t> </w:t>
      </w:r>
      <w:r>
        <w:rPr>
          <w:i/>
          <w:w w:val="115"/>
          <w:sz w:val="20"/>
        </w:rPr>
        <w:t>to</w:t>
      </w:r>
      <w:r>
        <w:rPr>
          <w:i/>
          <w:spacing w:val="-26"/>
          <w:w w:val="115"/>
          <w:sz w:val="20"/>
        </w:rPr>
        <w:t> </w:t>
      </w:r>
      <w:r>
        <w:rPr>
          <w:i/>
          <w:w w:val="115"/>
          <w:sz w:val="20"/>
        </w:rPr>
        <w:t>look</w:t>
      </w:r>
      <w:r>
        <w:rPr>
          <w:i/>
          <w:spacing w:val="-25"/>
          <w:w w:val="115"/>
          <w:sz w:val="20"/>
        </w:rPr>
        <w:t> </w:t>
      </w:r>
      <w:r>
        <w:rPr>
          <w:i/>
          <w:w w:val="115"/>
          <w:sz w:val="20"/>
        </w:rPr>
        <w:t>for</w:t>
      </w:r>
      <w:r>
        <w:rPr>
          <w:i/>
          <w:spacing w:val="-26"/>
          <w:w w:val="115"/>
          <w:sz w:val="20"/>
        </w:rPr>
        <w:t> </w:t>
      </w:r>
      <w:r>
        <w:rPr>
          <w:i/>
          <w:spacing w:val="-3"/>
          <w:w w:val="115"/>
          <w:sz w:val="20"/>
        </w:rPr>
        <w:t>areas</w:t>
      </w:r>
      <w:r>
        <w:rPr>
          <w:i/>
          <w:spacing w:val="-26"/>
          <w:w w:val="115"/>
          <w:sz w:val="20"/>
        </w:rPr>
        <w:t> </w:t>
      </w:r>
      <w:r>
        <w:rPr>
          <w:i/>
          <w:w w:val="115"/>
          <w:sz w:val="20"/>
        </w:rPr>
        <w:t>of</w:t>
      </w:r>
      <w:r>
        <w:rPr>
          <w:i/>
          <w:spacing w:val="-25"/>
          <w:w w:val="115"/>
          <w:sz w:val="20"/>
        </w:rPr>
        <w:t> </w:t>
      </w:r>
      <w:r>
        <w:rPr>
          <w:i/>
          <w:w w:val="115"/>
          <w:sz w:val="20"/>
        </w:rPr>
        <w:t>the </w:t>
      </w:r>
      <w:r>
        <w:rPr>
          <w:i/>
          <w:w w:val="115"/>
          <w:sz w:val="20"/>
        </w:rPr>
        <w:t>country</w:t>
      </w:r>
      <w:r>
        <w:rPr>
          <w:i/>
          <w:spacing w:val="-19"/>
          <w:w w:val="115"/>
          <w:sz w:val="20"/>
        </w:rPr>
        <w:t> </w:t>
      </w:r>
      <w:r>
        <w:rPr>
          <w:i/>
          <w:spacing w:val="-3"/>
          <w:w w:val="115"/>
          <w:sz w:val="20"/>
        </w:rPr>
        <w:t>where</w:t>
      </w:r>
      <w:r>
        <w:rPr>
          <w:i/>
          <w:spacing w:val="-18"/>
          <w:w w:val="115"/>
          <w:sz w:val="20"/>
        </w:rPr>
        <w:t> </w:t>
      </w:r>
      <w:r>
        <w:rPr>
          <w:i/>
          <w:w w:val="115"/>
          <w:sz w:val="20"/>
        </w:rPr>
        <w:t>they</w:t>
      </w:r>
      <w:r>
        <w:rPr>
          <w:i/>
          <w:spacing w:val="-18"/>
          <w:w w:val="115"/>
          <w:sz w:val="20"/>
        </w:rPr>
        <w:t> </w:t>
      </w:r>
      <w:r>
        <w:rPr>
          <w:i/>
          <w:spacing w:val="-3"/>
          <w:w w:val="115"/>
          <w:sz w:val="20"/>
        </w:rPr>
        <w:t>might</w:t>
      </w:r>
      <w:r>
        <w:rPr>
          <w:i/>
          <w:spacing w:val="-19"/>
          <w:w w:val="115"/>
          <w:sz w:val="20"/>
        </w:rPr>
        <w:t> </w:t>
      </w:r>
      <w:r>
        <w:rPr>
          <w:i/>
          <w:w w:val="115"/>
          <w:sz w:val="20"/>
        </w:rPr>
        <w:t>be</w:t>
      </w:r>
      <w:r>
        <w:rPr>
          <w:i/>
          <w:spacing w:val="-18"/>
          <w:w w:val="115"/>
          <w:sz w:val="20"/>
        </w:rPr>
        <w:t> </w:t>
      </w:r>
      <w:r>
        <w:rPr>
          <w:i/>
          <w:spacing w:val="-3"/>
          <w:w w:val="115"/>
          <w:sz w:val="20"/>
        </w:rPr>
        <w:t>more</w:t>
      </w:r>
      <w:r>
        <w:rPr>
          <w:i/>
          <w:spacing w:val="-18"/>
          <w:w w:val="115"/>
          <w:sz w:val="20"/>
        </w:rPr>
        <w:t> </w:t>
      </w:r>
      <w:r>
        <w:rPr>
          <w:i/>
          <w:spacing w:val="-3"/>
          <w:w w:val="115"/>
          <w:sz w:val="20"/>
        </w:rPr>
        <w:t>readily</w:t>
      </w:r>
      <w:r>
        <w:rPr>
          <w:i/>
          <w:spacing w:val="-19"/>
          <w:w w:val="115"/>
          <w:sz w:val="20"/>
        </w:rPr>
        <w:t> </w:t>
      </w:r>
      <w:r>
        <w:rPr>
          <w:i/>
          <w:spacing w:val="-4"/>
          <w:w w:val="115"/>
          <w:sz w:val="20"/>
        </w:rPr>
        <w:t>accepted</w:t>
      </w:r>
      <w:r>
        <w:rPr>
          <w:i/>
          <w:spacing w:val="-18"/>
          <w:w w:val="115"/>
          <w:sz w:val="20"/>
        </w:rPr>
        <w:t> </w:t>
      </w:r>
      <w:r>
        <w:rPr>
          <w:i/>
          <w:w w:val="115"/>
          <w:sz w:val="20"/>
        </w:rPr>
        <w:t>than</w:t>
      </w:r>
      <w:r>
        <w:rPr>
          <w:i/>
          <w:spacing w:val="-18"/>
          <w:w w:val="115"/>
          <w:sz w:val="20"/>
        </w:rPr>
        <w:t> </w:t>
      </w:r>
      <w:r>
        <w:rPr>
          <w:i/>
          <w:w w:val="115"/>
          <w:sz w:val="20"/>
        </w:rPr>
        <w:t>in</w:t>
      </w:r>
      <w:r>
        <w:rPr>
          <w:i/>
          <w:spacing w:val="-18"/>
          <w:w w:val="115"/>
          <w:sz w:val="20"/>
        </w:rPr>
        <w:t> </w:t>
      </w:r>
      <w:r>
        <w:rPr>
          <w:i/>
          <w:spacing w:val="-3"/>
          <w:w w:val="115"/>
          <w:sz w:val="20"/>
        </w:rPr>
        <w:t>others?</w:t>
      </w:r>
      <w:r>
        <w:rPr>
          <w:i/>
          <w:spacing w:val="-19"/>
          <w:w w:val="115"/>
          <w:sz w:val="20"/>
        </w:rPr>
        <w:t> </w:t>
      </w:r>
      <w:r>
        <w:rPr>
          <w:i/>
          <w:w w:val="115"/>
          <w:sz w:val="20"/>
        </w:rPr>
        <w:t>If</w:t>
      </w:r>
      <w:r>
        <w:rPr>
          <w:i/>
          <w:spacing w:val="-18"/>
          <w:w w:val="115"/>
          <w:sz w:val="20"/>
        </w:rPr>
        <w:t> </w:t>
      </w:r>
      <w:r>
        <w:rPr>
          <w:i/>
          <w:spacing w:val="-3"/>
          <w:w w:val="115"/>
          <w:sz w:val="20"/>
        </w:rPr>
        <w:t>such</w:t>
      </w:r>
      <w:r>
        <w:rPr>
          <w:i/>
          <w:spacing w:val="-18"/>
          <w:w w:val="115"/>
          <w:sz w:val="20"/>
        </w:rPr>
        <w:t> </w:t>
      </w:r>
      <w:r>
        <w:rPr>
          <w:i/>
          <w:spacing w:val="-3"/>
          <w:w w:val="115"/>
          <w:sz w:val="20"/>
        </w:rPr>
        <w:t>pressures</w:t>
      </w:r>
      <w:r>
        <w:rPr>
          <w:i/>
          <w:spacing w:val="-19"/>
          <w:w w:val="115"/>
          <w:sz w:val="20"/>
        </w:rPr>
        <w:t> </w:t>
      </w:r>
      <w:r>
        <w:rPr>
          <w:i/>
          <w:spacing w:val="-4"/>
          <w:w w:val="115"/>
          <w:sz w:val="20"/>
        </w:rPr>
        <w:t>arise,</w:t>
      </w:r>
      <w:r>
        <w:rPr>
          <w:i/>
          <w:spacing w:val="-18"/>
          <w:w w:val="115"/>
          <w:sz w:val="20"/>
        </w:rPr>
        <w:t> </w:t>
      </w:r>
      <w:r>
        <w:rPr>
          <w:i/>
          <w:w w:val="115"/>
          <w:sz w:val="20"/>
        </w:rPr>
        <w:t>how</w:t>
      </w:r>
      <w:r>
        <w:rPr>
          <w:i/>
          <w:spacing w:val="-18"/>
          <w:w w:val="115"/>
          <w:sz w:val="20"/>
        </w:rPr>
        <w:t> </w:t>
      </w:r>
      <w:r>
        <w:rPr>
          <w:i/>
          <w:w w:val="115"/>
          <w:sz w:val="20"/>
        </w:rPr>
        <w:t>do </w:t>
      </w:r>
      <w:r>
        <w:rPr>
          <w:i/>
          <w:spacing w:val="-3"/>
          <w:w w:val="115"/>
          <w:sz w:val="20"/>
        </w:rPr>
        <w:t>we maintain </w:t>
      </w:r>
      <w:r>
        <w:rPr>
          <w:i/>
          <w:w w:val="115"/>
          <w:sz w:val="20"/>
        </w:rPr>
        <w:t>the integrity of the </w:t>
      </w:r>
      <w:r>
        <w:rPr>
          <w:i/>
          <w:spacing w:val="-4"/>
          <w:w w:val="115"/>
          <w:sz w:val="20"/>
        </w:rPr>
        <w:t>Church? </w:t>
      </w:r>
      <w:r>
        <w:rPr>
          <w:w w:val="115"/>
          <w:sz w:val="20"/>
        </w:rPr>
        <w:t>The task group </w:t>
      </w:r>
      <w:r>
        <w:rPr>
          <w:spacing w:val="-3"/>
          <w:w w:val="115"/>
          <w:sz w:val="20"/>
        </w:rPr>
        <w:t>recognises </w:t>
      </w:r>
      <w:r>
        <w:rPr>
          <w:w w:val="115"/>
          <w:sz w:val="20"/>
        </w:rPr>
        <w:t>that </w:t>
      </w:r>
      <w:r>
        <w:rPr>
          <w:spacing w:val="-3"/>
          <w:w w:val="115"/>
          <w:sz w:val="20"/>
        </w:rPr>
        <w:t>this issue </w:t>
      </w:r>
      <w:r>
        <w:rPr>
          <w:w w:val="115"/>
          <w:sz w:val="20"/>
        </w:rPr>
        <w:t>is </w:t>
      </w:r>
      <w:r>
        <w:rPr>
          <w:spacing w:val="-3"/>
          <w:w w:val="115"/>
          <w:sz w:val="20"/>
        </w:rPr>
        <w:t>closely linked to  </w:t>
      </w:r>
      <w:r>
        <w:rPr>
          <w:w w:val="115"/>
          <w:sz w:val="20"/>
        </w:rPr>
        <w:t>the previous one on a theological </w:t>
      </w:r>
      <w:r>
        <w:rPr>
          <w:spacing w:val="-3"/>
          <w:w w:val="115"/>
          <w:sz w:val="20"/>
        </w:rPr>
        <w:t>level.  </w:t>
      </w:r>
      <w:r>
        <w:rPr>
          <w:w w:val="115"/>
          <w:sz w:val="20"/>
        </w:rPr>
        <w:t>In practical terms it has </w:t>
      </w:r>
      <w:r>
        <w:rPr>
          <w:spacing w:val="-3"/>
          <w:w w:val="115"/>
          <w:sz w:val="20"/>
        </w:rPr>
        <w:t>considered  this issue </w:t>
      </w:r>
      <w:r>
        <w:rPr>
          <w:w w:val="115"/>
          <w:sz w:val="20"/>
        </w:rPr>
        <w:t>under the heading of Pastoral </w:t>
      </w:r>
      <w:r>
        <w:rPr>
          <w:spacing w:val="-3"/>
          <w:w w:val="115"/>
          <w:sz w:val="20"/>
        </w:rPr>
        <w:t>issues </w:t>
      </w:r>
      <w:r>
        <w:rPr>
          <w:spacing w:val="-6"/>
          <w:w w:val="115"/>
          <w:sz w:val="20"/>
        </w:rPr>
        <w:t>(see</w:t>
      </w:r>
      <w:r>
        <w:rPr>
          <w:spacing w:val="28"/>
          <w:w w:val="115"/>
          <w:sz w:val="20"/>
        </w:rPr>
        <w:t> </w:t>
      </w:r>
      <w:r>
        <w:rPr>
          <w:spacing w:val="-5"/>
          <w:w w:val="115"/>
          <w:sz w:val="20"/>
        </w:rPr>
        <w:t>below).</w:t>
      </w:r>
    </w:p>
    <w:p>
      <w:pPr>
        <w:pStyle w:val="BodyText"/>
        <w:spacing w:before="10"/>
        <w:rPr>
          <w:sz w:val="19"/>
        </w:rPr>
      </w:pPr>
    </w:p>
    <w:p>
      <w:pPr>
        <w:pStyle w:val="ListParagraph"/>
        <w:numPr>
          <w:ilvl w:val="1"/>
          <w:numId w:val="101"/>
        </w:numPr>
        <w:tabs>
          <w:tab w:pos="2664" w:val="left" w:leader="none"/>
          <w:tab w:pos="2665" w:val="left" w:leader="none"/>
        </w:tabs>
        <w:spacing w:line="220" w:lineRule="auto" w:before="0" w:after="0"/>
        <w:ind w:left="1984" w:right="1882" w:firstLine="0"/>
        <w:jc w:val="left"/>
        <w:rPr>
          <w:i/>
          <w:sz w:val="20"/>
        </w:rPr>
      </w:pPr>
      <w:r>
        <w:rPr>
          <w:rFonts w:ascii="Stone Sans II ITC Std Bk"/>
          <w:b/>
          <w:w w:val="110"/>
          <w:sz w:val="20"/>
        </w:rPr>
        <w:t>Conscience. </w:t>
      </w:r>
      <w:r>
        <w:rPr>
          <w:i/>
          <w:w w:val="110"/>
          <w:sz w:val="20"/>
        </w:rPr>
        <w:t>What are the implications of personal conscience in this </w:t>
      </w:r>
      <w:r>
        <w:rPr>
          <w:i/>
          <w:spacing w:val="-3"/>
          <w:w w:val="110"/>
          <w:sz w:val="20"/>
        </w:rPr>
        <w:t>area? </w:t>
      </w:r>
      <w:r>
        <w:rPr>
          <w:i/>
          <w:w w:val="110"/>
          <w:sz w:val="20"/>
        </w:rPr>
        <w:t>For </w:t>
      </w:r>
      <w:r>
        <w:rPr>
          <w:i/>
          <w:w w:val="110"/>
          <w:sz w:val="20"/>
        </w:rPr>
        <w:t>example,</w:t>
      </w:r>
      <w:r>
        <w:rPr>
          <w:i/>
          <w:spacing w:val="11"/>
          <w:w w:val="110"/>
          <w:sz w:val="20"/>
        </w:rPr>
        <w:t> </w:t>
      </w:r>
      <w:r>
        <w:rPr>
          <w:i/>
          <w:w w:val="110"/>
          <w:sz w:val="20"/>
        </w:rPr>
        <w:t>what</w:t>
      </w:r>
      <w:r>
        <w:rPr>
          <w:i/>
          <w:spacing w:val="12"/>
          <w:w w:val="110"/>
          <w:sz w:val="20"/>
        </w:rPr>
        <w:t> </w:t>
      </w:r>
      <w:r>
        <w:rPr>
          <w:i/>
          <w:w w:val="110"/>
          <w:sz w:val="20"/>
        </w:rPr>
        <w:t>freedom</w:t>
      </w:r>
      <w:r>
        <w:rPr>
          <w:i/>
          <w:spacing w:val="11"/>
          <w:w w:val="110"/>
          <w:sz w:val="20"/>
        </w:rPr>
        <w:t> </w:t>
      </w:r>
      <w:r>
        <w:rPr>
          <w:i/>
          <w:w w:val="110"/>
          <w:sz w:val="20"/>
        </w:rPr>
        <w:t>do</w:t>
      </w:r>
      <w:r>
        <w:rPr>
          <w:i/>
          <w:spacing w:val="12"/>
          <w:w w:val="110"/>
          <w:sz w:val="20"/>
        </w:rPr>
        <w:t> </w:t>
      </w:r>
      <w:r>
        <w:rPr>
          <w:i/>
          <w:w w:val="110"/>
          <w:sz w:val="20"/>
        </w:rPr>
        <w:t>individuals</w:t>
      </w:r>
      <w:r>
        <w:rPr>
          <w:i/>
          <w:spacing w:val="11"/>
          <w:w w:val="110"/>
          <w:sz w:val="20"/>
        </w:rPr>
        <w:t> </w:t>
      </w:r>
      <w:r>
        <w:rPr>
          <w:i/>
          <w:w w:val="110"/>
          <w:sz w:val="20"/>
        </w:rPr>
        <w:t>and</w:t>
      </w:r>
      <w:r>
        <w:rPr>
          <w:i/>
          <w:spacing w:val="12"/>
          <w:w w:val="110"/>
          <w:sz w:val="20"/>
        </w:rPr>
        <w:t> </w:t>
      </w:r>
      <w:r>
        <w:rPr>
          <w:i/>
          <w:w w:val="110"/>
          <w:sz w:val="20"/>
        </w:rPr>
        <w:t>congregations</w:t>
      </w:r>
      <w:r>
        <w:rPr>
          <w:i/>
          <w:spacing w:val="11"/>
          <w:w w:val="110"/>
          <w:sz w:val="20"/>
        </w:rPr>
        <w:t> </w:t>
      </w:r>
      <w:r>
        <w:rPr>
          <w:i/>
          <w:w w:val="110"/>
          <w:sz w:val="20"/>
        </w:rPr>
        <w:t>have</w:t>
      </w:r>
      <w:r>
        <w:rPr>
          <w:i/>
          <w:spacing w:val="12"/>
          <w:w w:val="110"/>
          <w:sz w:val="20"/>
        </w:rPr>
        <w:t> </w:t>
      </w:r>
      <w:r>
        <w:rPr>
          <w:i/>
          <w:w w:val="110"/>
          <w:sz w:val="20"/>
        </w:rPr>
        <w:t>to</w:t>
      </w:r>
      <w:r>
        <w:rPr>
          <w:i/>
          <w:spacing w:val="11"/>
          <w:w w:val="110"/>
          <w:sz w:val="20"/>
        </w:rPr>
        <w:t> </w:t>
      </w:r>
      <w:r>
        <w:rPr>
          <w:i/>
          <w:w w:val="110"/>
          <w:sz w:val="20"/>
        </w:rPr>
        <w:t>reject</w:t>
      </w:r>
      <w:r>
        <w:rPr>
          <w:i/>
          <w:spacing w:val="12"/>
          <w:w w:val="110"/>
          <w:sz w:val="20"/>
        </w:rPr>
        <w:t> </w:t>
      </w:r>
      <w:r>
        <w:rPr>
          <w:i/>
          <w:w w:val="110"/>
          <w:sz w:val="20"/>
        </w:rPr>
        <w:t>the</w:t>
      </w:r>
      <w:r>
        <w:rPr>
          <w:i/>
          <w:spacing w:val="11"/>
          <w:w w:val="110"/>
          <w:sz w:val="20"/>
        </w:rPr>
        <w:t> </w:t>
      </w:r>
      <w:r>
        <w:rPr>
          <w:i/>
          <w:w w:val="110"/>
          <w:sz w:val="20"/>
        </w:rPr>
        <w:t>ministries</w:t>
      </w:r>
      <w:r>
        <w:rPr>
          <w:i/>
          <w:spacing w:val="12"/>
          <w:w w:val="110"/>
          <w:sz w:val="20"/>
        </w:rPr>
        <w:t> </w:t>
      </w:r>
      <w:r>
        <w:rPr>
          <w:i/>
          <w:w w:val="110"/>
          <w:sz w:val="20"/>
        </w:rPr>
        <w:t>of</w:t>
      </w:r>
    </w:p>
    <w:p>
      <w:pPr>
        <w:spacing w:after="0" w:line="220" w:lineRule="auto"/>
        <w:jc w:val="left"/>
        <w:rPr>
          <w:sz w:val="20"/>
        </w:rPr>
        <w:sectPr>
          <w:pgSz w:w="11910" w:h="16840"/>
          <w:pgMar w:header="0" w:footer="647" w:top="1060" w:bottom="840" w:left="0" w:right="0"/>
        </w:sectPr>
      </w:pPr>
    </w:p>
    <w:p>
      <w:pPr>
        <w:pStyle w:val="BodyText"/>
        <w:spacing w:line="232" w:lineRule="auto" w:before="109"/>
        <w:ind w:left="1133" w:right="1901"/>
      </w:pPr>
      <w:r>
        <w:rPr/>
        <w:pict>
          <v:rect style="position:absolute;margin-left:12.047pt;margin-top:8.482127pt;width:22.677pt;height:22.677pt;mso-position-horizontal-relative:page;mso-position-vertical-relative:paragraph;z-index:251920384" filled="true" fillcolor="#f9e9c1" stroked="false">
            <v:fill opacity="32768f" type="solid"/>
            <w10:wrap type="none"/>
          </v:rect>
        </w:pict>
      </w:r>
      <w:r>
        <w:rPr>
          <w:i/>
          <w:w w:val="120"/>
        </w:rPr>
        <w:t>those</w:t>
      </w:r>
      <w:r>
        <w:rPr>
          <w:i/>
          <w:spacing w:val="-29"/>
          <w:w w:val="120"/>
        </w:rPr>
        <w:t> </w:t>
      </w:r>
      <w:r>
        <w:rPr>
          <w:i/>
          <w:w w:val="120"/>
        </w:rPr>
        <w:t>whose</w:t>
      </w:r>
      <w:r>
        <w:rPr>
          <w:i/>
          <w:spacing w:val="-29"/>
          <w:w w:val="120"/>
        </w:rPr>
        <w:t> </w:t>
      </w:r>
      <w:r>
        <w:rPr>
          <w:i/>
          <w:w w:val="120"/>
        </w:rPr>
        <w:t>attitudes</w:t>
      </w:r>
      <w:r>
        <w:rPr>
          <w:i/>
          <w:spacing w:val="-29"/>
          <w:w w:val="120"/>
        </w:rPr>
        <w:t> </w:t>
      </w:r>
      <w:r>
        <w:rPr>
          <w:i/>
          <w:w w:val="120"/>
        </w:rPr>
        <w:t>or</w:t>
      </w:r>
      <w:r>
        <w:rPr>
          <w:i/>
          <w:spacing w:val="-29"/>
          <w:w w:val="120"/>
        </w:rPr>
        <w:t> </w:t>
      </w:r>
      <w:r>
        <w:rPr>
          <w:i/>
          <w:w w:val="120"/>
        </w:rPr>
        <w:t>lifestyles</w:t>
      </w:r>
      <w:r>
        <w:rPr>
          <w:i/>
          <w:spacing w:val="-29"/>
          <w:w w:val="120"/>
        </w:rPr>
        <w:t> </w:t>
      </w:r>
      <w:r>
        <w:rPr>
          <w:i/>
          <w:w w:val="120"/>
        </w:rPr>
        <w:t>are</w:t>
      </w:r>
      <w:r>
        <w:rPr>
          <w:i/>
          <w:spacing w:val="-28"/>
          <w:w w:val="120"/>
        </w:rPr>
        <w:t> </w:t>
      </w:r>
      <w:r>
        <w:rPr>
          <w:i/>
          <w:w w:val="120"/>
        </w:rPr>
        <w:t>not</w:t>
      </w:r>
      <w:r>
        <w:rPr>
          <w:i/>
          <w:spacing w:val="-29"/>
          <w:w w:val="120"/>
        </w:rPr>
        <w:t> </w:t>
      </w:r>
      <w:r>
        <w:rPr>
          <w:i/>
          <w:w w:val="120"/>
        </w:rPr>
        <w:t>acceptable</w:t>
      </w:r>
      <w:r>
        <w:rPr>
          <w:i/>
          <w:spacing w:val="-29"/>
          <w:w w:val="120"/>
        </w:rPr>
        <w:t> </w:t>
      </w:r>
      <w:r>
        <w:rPr>
          <w:i/>
          <w:w w:val="120"/>
        </w:rPr>
        <w:t>to</w:t>
      </w:r>
      <w:r>
        <w:rPr>
          <w:i/>
          <w:spacing w:val="-29"/>
          <w:w w:val="120"/>
        </w:rPr>
        <w:t> </w:t>
      </w:r>
      <w:r>
        <w:rPr>
          <w:i/>
          <w:spacing w:val="-3"/>
          <w:w w:val="120"/>
        </w:rPr>
        <w:t>them?</w:t>
      </w:r>
      <w:r>
        <w:rPr>
          <w:i/>
          <w:spacing w:val="-29"/>
          <w:w w:val="120"/>
        </w:rPr>
        <w:t> </w:t>
      </w:r>
      <w:r>
        <w:rPr>
          <w:w w:val="120"/>
        </w:rPr>
        <w:t>The</w:t>
      </w:r>
      <w:r>
        <w:rPr>
          <w:spacing w:val="-27"/>
          <w:w w:val="120"/>
        </w:rPr>
        <w:t> </w:t>
      </w:r>
      <w:r>
        <w:rPr>
          <w:w w:val="120"/>
        </w:rPr>
        <w:t>task</w:t>
      </w:r>
      <w:r>
        <w:rPr>
          <w:spacing w:val="-27"/>
          <w:w w:val="120"/>
        </w:rPr>
        <w:t> </w:t>
      </w:r>
      <w:r>
        <w:rPr>
          <w:w w:val="120"/>
        </w:rPr>
        <w:t>group</w:t>
      </w:r>
      <w:r>
        <w:rPr>
          <w:spacing w:val="-28"/>
          <w:w w:val="120"/>
        </w:rPr>
        <w:t> </w:t>
      </w:r>
      <w:r>
        <w:rPr>
          <w:w w:val="120"/>
        </w:rPr>
        <w:t>does</w:t>
      </w:r>
      <w:r>
        <w:rPr>
          <w:spacing w:val="-27"/>
          <w:w w:val="120"/>
        </w:rPr>
        <w:t> </w:t>
      </w:r>
      <w:r>
        <w:rPr>
          <w:w w:val="120"/>
        </w:rPr>
        <w:t>not</w:t>
      </w:r>
      <w:r>
        <w:rPr>
          <w:spacing w:val="-28"/>
          <w:w w:val="120"/>
        </w:rPr>
        <w:t> </w:t>
      </w:r>
      <w:r>
        <w:rPr>
          <w:w w:val="120"/>
        </w:rPr>
        <w:t>see</w:t>
      </w:r>
      <w:r>
        <w:rPr>
          <w:spacing w:val="-27"/>
          <w:w w:val="120"/>
        </w:rPr>
        <w:t> </w:t>
      </w:r>
      <w:r>
        <w:rPr>
          <w:w w:val="120"/>
        </w:rPr>
        <w:t>this as an issue that needs further work at the moment. The rights of personal conviction are already accepted in the Basis of Union and, although this will be difficult to apply in some circumstances, further study is unlikely to make it any </w:t>
      </w:r>
      <w:r>
        <w:rPr>
          <w:spacing w:val="-3"/>
          <w:w w:val="120"/>
        </w:rPr>
        <w:t>easier. </w:t>
      </w:r>
      <w:r>
        <w:rPr>
          <w:w w:val="120"/>
        </w:rPr>
        <w:t>That having been said, the group does not rule out returning to the issue in future if changed circumstances</w:t>
      </w:r>
      <w:r>
        <w:rPr>
          <w:spacing w:val="50"/>
          <w:w w:val="120"/>
        </w:rPr>
        <w:t> </w:t>
      </w:r>
      <w:r>
        <w:rPr>
          <w:w w:val="120"/>
        </w:rPr>
        <w:t>arise.</w:t>
      </w:r>
    </w:p>
    <w:p>
      <w:pPr>
        <w:pStyle w:val="BodyText"/>
        <w:rPr>
          <w:sz w:val="19"/>
        </w:rPr>
      </w:pPr>
    </w:p>
    <w:p>
      <w:pPr>
        <w:pStyle w:val="ListParagraph"/>
        <w:numPr>
          <w:ilvl w:val="1"/>
          <w:numId w:val="101"/>
        </w:numPr>
        <w:tabs>
          <w:tab w:pos="1814" w:val="left" w:leader="none"/>
          <w:tab w:pos="1815" w:val="left" w:leader="none"/>
        </w:tabs>
        <w:spacing w:line="232" w:lineRule="auto" w:before="0" w:after="0"/>
        <w:ind w:left="1133" w:right="1854" w:firstLine="0"/>
        <w:jc w:val="left"/>
        <w:rPr>
          <w:sz w:val="20"/>
        </w:rPr>
      </w:pPr>
      <w:r>
        <w:rPr>
          <w:rFonts w:ascii="Stone Sans II ITC Std Bk"/>
          <w:b/>
          <w:w w:val="120"/>
          <w:sz w:val="20"/>
        </w:rPr>
        <w:t>Stereotyping.</w:t>
      </w:r>
      <w:r>
        <w:rPr>
          <w:rFonts w:ascii="Stone Sans II ITC Std Bk"/>
          <w:b/>
          <w:spacing w:val="-33"/>
          <w:w w:val="120"/>
          <w:sz w:val="20"/>
        </w:rPr>
        <w:t> </w:t>
      </w:r>
      <w:r>
        <w:rPr>
          <w:i/>
          <w:w w:val="120"/>
          <w:sz w:val="20"/>
        </w:rPr>
        <w:t>How</w:t>
      </w:r>
      <w:r>
        <w:rPr>
          <w:i/>
          <w:spacing w:val="-25"/>
          <w:w w:val="120"/>
          <w:sz w:val="20"/>
        </w:rPr>
        <w:t> </w:t>
      </w:r>
      <w:r>
        <w:rPr>
          <w:i/>
          <w:w w:val="120"/>
          <w:sz w:val="20"/>
        </w:rPr>
        <w:t>do</w:t>
      </w:r>
      <w:r>
        <w:rPr>
          <w:i/>
          <w:spacing w:val="-26"/>
          <w:w w:val="120"/>
          <w:sz w:val="20"/>
        </w:rPr>
        <w:t> </w:t>
      </w:r>
      <w:r>
        <w:rPr>
          <w:i/>
          <w:w w:val="120"/>
          <w:sz w:val="20"/>
        </w:rPr>
        <w:t>we</w:t>
      </w:r>
      <w:r>
        <w:rPr>
          <w:i/>
          <w:spacing w:val="-26"/>
          <w:w w:val="120"/>
          <w:sz w:val="20"/>
        </w:rPr>
        <w:t> </w:t>
      </w:r>
      <w:r>
        <w:rPr>
          <w:i/>
          <w:w w:val="120"/>
          <w:sz w:val="20"/>
        </w:rPr>
        <w:t>overcome</w:t>
      </w:r>
      <w:r>
        <w:rPr>
          <w:i/>
          <w:spacing w:val="-25"/>
          <w:w w:val="120"/>
          <w:sz w:val="20"/>
        </w:rPr>
        <w:t> </w:t>
      </w:r>
      <w:r>
        <w:rPr>
          <w:i/>
          <w:w w:val="120"/>
          <w:sz w:val="20"/>
        </w:rPr>
        <w:t>the</w:t>
      </w:r>
      <w:r>
        <w:rPr>
          <w:i/>
          <w:spacing w:val="-26"/>
          <w:w w:val="120"/>
          <w:sz w:val="20"/>
        </w:rPr>
        <w:t> </w:t>
      </w:r>
      <w:r>
        <w:rPr>
          <w:i/>
          <w:w w:val="120"/>
          <w:sz w:val="20"/>
        </w:rPr>
        <w:t>dangers</w:t>
      </w:r>
      <w:r>
        <w:rPr>
          <w:i/>
          <w:spacing w:val="-25"/>
          <w:w w:val="120"/>
          <w:sz w:val="20"/>
        </w:rPr>
        <w:t> </w:t>
      </w:r>
      <w:r>
        <w:rPr>
          <w:i/>
          <w:w w:val="120"/>
          <w:sz w:val="20"/>
        </w:rPr>
        <w:t>of</w:t>
      </w:r>
      <w:r>
        <w:rPr>
          <w:i/>
          <w:spacing w:val="-26"/>
          <w:w w:val="120"/>
          <w:sz w:val="20"/>
        </w:rPr>
        <w:t> </w:t>
      </w:r>
      <w:r>
        <w:rPr>
          <w:i/>
          <w:w w:val="120"/>
          <w:sz w:val="20"/>
        </w:rPr>
        <w:t>stereotyping,</w:t>
      </w:r>
      <w:r>
        <w:rPr>
          <w:i/>
          <w:spacing w:val="-26"/>
          <w:w w:val="120"/>
          <w:sz w:val="20"/>
        </w:rPr>
        <w:t> </w:t>
      </w:r>
      <w:r>
        <w:rPr>
          <w:i/>
          <w:w w:val="120"/>
          <w:sz w:val="20"/>
        </w:rPr>
        <w:t>which</w:t>
      </w:r>
      <w:r>
        <w:rPr>
          <w:i/>
          <w:spacing w:val="-25"/>
          <w:w w:val="120"/>
          <w:sz w:val="20"/>
        </w:rPr>
        <w:t> </w:t>
      </w:r>
      <w:r>
        <w:rPr>
          <w:i/>
          <w:w w:val="120"/>
          <w:sz w:val="20"/>
        </w:rPr>
        <w:t>need</w:t>
      </w:r>
      <w:r>
        <w:rPr>
          <w:i/>
          <w:spacing w:val="-26"/>
          <w:w w:val="120"/>
          <w:sz w:val="20"/>
        </w:rPr>
        <w:t> </w:t>
      </w:r>
      <w:r>
        <w:rPr>
          <w:i/>
          <w:w w:val="120"/>
          <w:sz w:val="20"/>
        </w:rPr>
        <w:t>to</w:t>
      </w:r>
      <w:r>
        <w:rPr>
          <w:i/>
          <w:spacing w:val="-25"/>
          <w:w w:val="120"/>
          <w:sz w:val="20"/>
        </w:rPr>
        <w:t> </w:t>
      </w:r>
      <w:r>
        <w:rPr>
          <w:i/>
          <w:w w:val="120"/>
          <w:sz w:val="20"/>
        </w:rPr>
        <w:t>be </w:t>
      </w:r>
      <w:r>
        <w:rPr>
          <w:i/>
          <w:w w:val="120"/>
          <w:sz w:val="20"/>
        </w:rPr>
        <w:t>challenged wherever they come from? </w:t>
      </w:r>
      <w:r>
        <w:rPr>
          <w:w w:val="120"/>
          <w:sz w:val="20"/>
        </w:rPr>
        <w:t>The group is aware that this is a danger in all human relationships, and not only in regard to sexuality. The clothes a person wears, the way they speak, or the colour of their skin can as easily lead to stereotyping as can their perceived theological position. The group believes that this is not an issue which needs further study or debate. It requires each of us constantly to look at ourselves, our attitudes and our behaviour, and to ask whether we are seeing in the other a person made in the image of God. In the church we should not assume that difference makes another person any less a follower of</w:t>
      </w:r>
      <w:r>
        <w:rPr>
          <w:spacing w:val="3"/>
          <w:w w:val="120"/>
          <w:sz w:val="20"/>
        </w:rPr>
        <w:t> </w:t>
      </w:r>
      <w:r>
        <w:rPr>
          <w:w w:val="120"/>
          <w:sz w:val="20"/>
        </w:rPr>
        <w:t>Jesus.</w:t>
      </w:r>
    </w:p>
    <w:p>
      <w:pPr>
        <w:pStyle w:val="BodyText"/>
        <w:spacing w:before="3"/>
        <w:rPr>
          <w:sz w:val="18"/>
        </w:rPr>
      </w:pPr>
    </w:p>
    <w:p>
      <w:pPr>
        <w:pStyle w:val="ListParagraph"/>
        <w:numPr>
          <w:ilvl w:val="1"/>
          <w:numId w:val="101"/>
        </w:numPr>
        <w:tabs>
          <w:tab w:pos="1814" w:val="left" w:leader="none"/>
          <w:tab w:pos="1815" w:val="left" w:leader="none"/>
        </w:tabs>
        <w:spacing w:line="232" w:lineRule="auto" w:before="0" w:after="0"/>
        <w:ind w:left="1133" w:right="1681" w:firstLine="0"/>
        <w:jc w:val="left"/>
        <w:rPr>
          <w:sz w:val="20"/>
        </w:rPr>
      </w:pPr>
      <w:r>
        <w:rPr>
          <w:rFonts w:ascii="Stone Sans II ITC Std Bk" w:hAnsi="Stone Sans II ITC Std Bk"/>
          <w:b/>
          <w:w w:val="120"/>
          <w:sz w:val="20"/>
        </w:rPr>
        <w:t>Pastoral</w:t>
      </w:r>
      <w:r>
        <w:rPr>
          <w:rFonts w:ascii="Stone Sans II ITC Std Bk" w:hAnsi="Stone Sans II ITC Std Bk"/>
          <w:b/>
          <w:spacing w:val="-42"/>
          <w:w w:val="120"/>
          <w:sz w:val="20"/>
        </w:rPr>
        <w:t> </w:t>
      </w:r>
      <w:r>
        <w:rPr>
          <w:rFonts w:ascii="Stone Sans II ITC Std Bk" w:hAnsi="Stone Sans II ITC Std Bk"/>
          <w:b/>
          <w:w w:val="120"/>
          <w:sz w:val="20"/>
        </w:rPr>
        <w:t>issues.</w:t>
      </w:r>
      <w:r>
        <w:rPr>
          <w:rFonts w:ascii="Stone Sans II ITC Std Bk" w:hAnsi="Stone Sans II ITC Std Bk"/>
          <w:b/>
          <w:spacing w:val="-41"/>
          <w:w w:val="120"/>
          <w:sz w:val="20"/>
        </w:rPr>
        <w:t> </w:t>
      </w:r>
      <w:r>
        <w:rPr>
          <w:i/>
          <w:w w:val="120"/>
          <w:sz w:val="20"/>
        </w:rPr>
        <w:t>How</w:t>
      </w:r>
      <w:r>
        <w:rPr>
          <w:i/>
          <w:spacing w:val="-34"/>
          <w:w w:val="120"/>
          <w:sz w:val="20"/>
        </w:rPr>
        <w:t> </w:t>
      </w:r>
      <w:r>
        <w:rPr>
          <w:i/>
          <w:spacing w:val="-3"/>
          <w:w w:val="120"/>
          <w:sz w:val="20"/>
        </w:rPr>
        <w:t>should</w:t>
      </w:r>
      <w:r>
        <w:rPr>
          <w:i/>
          <w:spacing w:val="-34"/>
          <w:w w:val="120"/>
          <w:sz w:val="20"/>
        </w:rPr>
        <w:t> </w:t>
      </w:r>
      <w:r>
        <w:rPr>
          <w:i/>
          <w:w w:val="120"/>
          <w:sz w:val="20"/>
        </w:rPr>
        <w:t>the</w:t>
      </w:r>
      <w:r>
        <w:rPr>
          <w:i/>
          <w:spacing w:val="-34"/>
          <w:w w:val="120"/>
          <w:sz w:val="20"/>
        </w:rPr>
        <w:t> </w:t>
      </w:r>
      <w:r>
        <w:rPr>
          <w:i/>
          <w:spacing w:val="-3"/>
          <w:w w:val="120"/>
          <w:sz w:val="20"/>
        </w:rPr>
        <w:t>church</w:t>
      </w:r>
      <w:r>
        <w:rPr>
          <w:i/>
          <w:spacing w:val="-34"/>
          <w:w w:val="120"/>
          <w:sz w:val="20"/>
        </w:rPr>
        <w:t> </w:t>
      </w:r>
      <w:r>
        <w:rPr>
          <w:i/>
          <w:spacing w:val="-3"/>
          <w:w w:val="120"/>
          <w:sz w:val="20"/>
        </w:rPr>
        <w:t>respond</w:t>
      </w:r>
      <w:r>
        <w:rPr>
          <w:i/>
          <w:spacing w:val="-34"/>
          <w:w w:val="120"/>
          <w:sz w:val="20"/>
        </w:rPr>
        <w:t> </w:t>
      </w:r>
      <w:r>
        <w:rPr>
          <w:i/>
          <w:w w:val="120"/>
          <w:sz w:val="20"/>
        </w:rPr>
        <w:t>to</w:t>
      </w:r>
      <w:r>
        <w:rPr>
          <w:i/>
          <w:spacing w:val="-34"/>
          <w:w w:val="120"/>
          <w:sz w:val="20"/>
        </w:rPr>
        <w:t> </w:t>
      </w:r>
      <w:r>
        <w:rPr>
          <w:i/>
          <w:spacing w:val="-3"/>
          <w:w w:val="120"/>
          <w:sz w:val="20"/>
        </w:rPr>
        <w:t>those</w:t>
      </w:r>
      <w:r>
        <w:rPr>
          <w:i/>
          <w:spacing w:val="-34"/>
          <w:w w:val="120"/>
          <w:sz w:val="20"/>
        </w:rPr>
        <w:t> </w:t>
      </w:r>
      <w:r>
        <w:rPr>
          <w:i/>
          <w:spacing w:val="-3"/>
          <w:w w:val="120"/>
          <w:sz w:val="20"/>
        </w:rPr>
        <w:t>whose</w:t>
      </w:r>
      <w:r>
        <w:rPr>
          <w:i/>
          <w:spacing w:val="-34"/>
          <w:w w:val="120"/>
          <w:sz w:val="20"/>
        </w:rPr>
        <w:t> </w:t>
      </w:r>
      <w:r>
        <w:rPr>
          <w:i/>
          <w:spacing w:val="-3"/>
          <w:w w:val="120"/>
          <w:sz w:val="20"/>
        </w:rPr>
        <w:t>orientation</w:t>
      </w:r>
      <w:r>
        <w:rPr>
          <w:i/>
          <w:spacing w:val="-34"/>
          <w:w w:val="120"/>
          <w:sz w:val="20"/>
        </w:rPr>
        <w:t> </w:t>
      </w:r>
      <w:r>
        <w:rPr>
          <w:i/>
          <w:spacing w:val="-3"/>
          <w:w w:val="120"/>
          <w:sz w:val="20"/>
        </w:rPr>
        <w:t>is</w:t>
      </w:r>
      <w:r>
        <w:rPr>
          <w:i/>
          <w:spacing w:val="-34"/>
          <w:w w:val="120"/>
          <w:sz w:val="20"/>
        </w:rPr>
        <w:t> </w:t>
      </w:r>
      <w:r>
        <w:rPr>
          <w:i/>
          <w:w w:val="120"/>
          <w:sz w:val="20"/>
        </w:rPr>
        <w:t>other</w:t>
      </w:r>
      <w:r>
        <w:rPr>
          <w:i/>
          <w:spacing w:val="-34"/>
          <w:w w:val="120"/>
          <w:sz w:val="20"/>
        </w:rPr>
        <w:t> </w:t>
      </w:r>
      <w:r>
        <w:rPr>
          <w:i/>
          <w:w w:val="120"/>
          <w:sz w:val="20"/>
        </w:rPr>
        <w:t>than </w:t>
      </w:r>
      <w:r>
        <w:rPr>
          <w:i/>
          <w:spacing w:val="-3"/>
          <w:w w:val="120"/>
          <w:sz w:val="20"/>
        </w:rPr>
        <w:t>heterosexual </w:t>
      </w:r>
      <w:r>
        <w:rPr>
          <w:i/>
          <w:w w:val="120"/>
          <w:sz w:val="20"/>
        </w:rPr>
        <w:t>and </w:t>
      </w:r>
      <w:r>
        <w:rPr>
          <w:i/>
          <w:spacing w:val="-3"/>
          <w:w w:val="120"/>
          <w:sz w:val="20"/>
        </w:rPr>
        <w:t>those </w:t>
      </w:r>
      <w:r>
        <w:rPr>
          <w:i/>
          <w:w w:val="120"/>
          <w:sz w:val="20"/>
        </w:rPr>
        <w:t>in </w:t>
      </w:r>
      <w:r>
        <w:rPr>
          <w:i/>
          <w:spacing w:val="-3"/>
          <w:w w:val="120"/>
          <w:sz w:val="20"/>
        </w:rPr>
        <w:t>same-sex relationships </w:t>
      </w:r>
      <w:r>
        <w:rPr>
          <w:i/>
          <w:w w:val="120"/>
          <w:sz w:val="20"/>
        </w:rPr>
        <w:t>and civil </w:t>
      </w:r>
      <w:r>
        <w:rPr>
          <w:i/>
          <w:spacing w:val="-3"/>
          <w:w w:val="120"/>
          <w:sz w:val="20"/>
        </w:rPr>
        <w:t>partnerships? </w:t>
      </w:r>
      <w:r>
        <w:rPr>
          <w:i/>
          <w:w w:val="120"/>
          <w:sz w:val="20"/>
        </w:rPr>
        <w:t>How </w:t>
      </w:r>
      <w:r>
        <w:rPr>
          <w:i/>
          <w:spacing w:val="-3"/>
          <w:w w:val="120"/>
          <w:sz w:val="20"/>
        </w:rPr>
        <w:t>should </w:t>
      </w:r>
      <w:r>
        <w:rPr>
          <w:i/>
          <w:w w:val="120"/>
          <w:sz w:val="20"/>
        </w:rPr>
        <w:t>the </w:t>
      </w:r>
      <w:r>
        <w:rPr>
          <w:i/>
          <w:spacing w:val="-3"/>
          <w:w w:val="120"/>
          <w:sz w:val="20"/>
        </w:rPr>
        <w:t>Church respond </w:t>
      </w:r>
      <w:r>
        <w:rPr>
          <w:i/>
          <w:w w:val="120"/>
          <w:sz w:val="20"/>
        </w:rPr>
        <w:t>to </w:t>
      </w:r>
      <w:r>
        <w:rPr>
          <w:i/>
          <w:spacing w:val="-3"/>
          <w:w w:val="120"/>
          <w:sz w:val="20"/>
        </w:rPr>
        <w:t>those </w:t>
      </w:r>
      <w:r>
        <w:rPr>
          <w:i/>
          <w:w w:val="120"/>
          <w:sz w:val="20"/>
        </w:rPr>
        <w:t>who find </w:t>
      </w:r>
      <w:r>
        <w:rPr>
          <w:i/>
          <w:spacing w:val="-3"/>
          <w:w w:val="120"/>
          <w:sz w:val="20"/>
        </w:rPr>
        <w:t>such relationships </w:t>
      </w:r>
      <w:r>
        <w:rPr>
          <w:i/>
          <w:w w:val="120"/>
          <w:sz w:val="20"/>
        </w:rPr>
        <w:t>and partnerships </w:t>
      </w:r>
      <w:r>
        <w:rPr>
          <w:i/>
          <w:spacing w:val="-4"/>
          <w:w w:val="120"/>
          <w:sz w:val="20"/>
        </w:rPr>
        <w:t>unacceptable </w:t>
      </w:r>
      <w:r>
        <w:rPr>
          <w:i/>
          <w:w w:val="120"/>
          <w:sz w:val="20"/>
        </w:rPr>
        <w:t>and </w:t>
      </w:r>
      <w:r>
        <w:rPr>
          <w:i/>
          <w:spacing w:val="-3"/>
          <w:w w:val="120"/>
          <w:sz w:val="20"/>
        </w:rPr>
        <w:t>offensive </w:t>
      </w:r>
      <w:r>
        <w:rPr>
          <w:i/>
          <w:w w:val="120"/>
          <w:sz w:val="20"/>
        </w:rPr>
        <w:t>in a </w:t>
      </w:r>
      <w:r>
        <w:rPr>
          <w:i/>
          <w:spacing w:val="-3"/>
          <w:w w:val="120"/>
          <w:sz w:val="20"/>
        </w:rPr>
        <w:t>Christian</w:t>
      </w:r>
      <w:r>
        <w:rPr>
          <w:i/>
          <w:spacing w:val="-35"/>
          <w:w w:val="120"/>
          <w:sz w:val="20"/>
        </w:rPr>
        <w:t> </w:t>
      </w:r>
      <w:r>
        <w:rPr>
          <w:i/>
          <w:spacing w:val="-3"/>
          <w:w w:val="120"/>
          <w:sz w:val="20"/>
        </w:rPr>
        <w:t>context?</w:t>
      </w:r>
      <w:r>
        <w:rPr>
          <w:i/>
          <w:spacing w:val="-34"/>
          <w:w w:val="120"/>
          <w:sz w:val="20"/>
        </w:rPr>
        <w:t> </w:t>
      </w:r>
      <w:r>
        <w:rPr>
          <w:i/>
          <w:spacing w:val="-3"/>
          <w:w w:val="120"/>
          <w:sz w:val="20"/>
        </w:rPr>
        <w:t>There</w:t>
      </w:r>
      <w:r>
        <w:rPr>
          <w:i/>
          <w:spacing w:val="-34"/>
          <w:w w:val="120"/>
          <w:sz w:val="20"/>
        </w:rPr>
        <w:t> </w:t>
      </w:r>
      <w:r>
        <w:rPr>
          <w:i/>
          <w:spacing w:val="-3"/>
          <w:w w:val="120"/>
          <w:sz w:val="20"/>
        </w:rPr>
        <w:t>is</w:t>
      </w:r>
      <w:r>
        <w:rPr>
          <w:i/>
          <w:spacing w:val="-34"/>
          <w:w w:val="120"/>
          <w:sz w:val="20"/>
        </w:rPr>
        <w:t> </w:t>
      </w:r>
      <w:r>
        <w:rPr>
          <w:i/>
          <w:spacing w:val="-3"/>
          <w:w w:val="120"/>
          <w:sz w:val="20"/>
        </w:rPr>
        <w:t>also</w:t>
      </w:r>
      <w:r>
        <w:rPr>
          <w:i/>
          <w:spacing w:val="-34"/>
          <w:w w:val="120"/>
          <w:sz w:val="20"/>
        </w:rPr>
        <w:t> </w:t>
      </w:r>
      <w:r>
        <w:rPr>
          <w:i/>
          <w:spacing w:val="-3"/>
          <w:w w:val="120"/>
          <w:sz w:val="20"/>
        </w:rPr>
        <w:t>potential</w:t>
      </w:r>
      <w:r>
        <w:rPr>
          <w:i/>
          <w:spacing w:val="-34"/>
          <w:w w:val="120"/>
          <w:sz w:val="20"/>
        </w:rPr>
        <w:t> </w:t>
      </w:r>
      <w:r>
        <w:rPr>
          <w:i/>
          <w:w w:val="120"/>
          <w:sz w:val="20"/>
        </w:rPr>
        <w:t>for</w:t>
      </w:r>
      <w:r>
        <w:rPr>
          <w:i/>
          <w:spacing w:val="-34"/>
          <w:w w:val="120"/>
          <w:sz w:val="20"/>
        </w:rPr>
        <w:t> </w:t>
      </w:r>
      <w:r>
        <w:rPr>
          <w:i/>
          <w:w w:val="120"/>
          <w:sz w:val="20"/>
        </w:rPr>
        <w:t>a</w:t>
      </w:r>
      <w:r>
        <w:rPr>
          <w:i/>
          <w:spacing w:val="-35"/>
          <w:w w:val="120"/>
          <w:sz w:val="20"/>
        </w:rPr>
        <w:t> </w:t>
      </w:r>
      <w:r>
        <w:rPr>
          <w:i/>
          <w:spacing w:val="-3"/>
          <w:w w:val="120"/>
          <w:sz w:val="20"/>
        </w:rPr>
        <w:t>wide</w:t>
      </w:r>
      <w:r>
        <w:rPr>
          <w:i/>
          <w:spacing w:val="-34"/>
          <w:w w:val="120"/>
          <w:sz w:val="20"/>
        </w:rPr>
        <w:t> </w:t>
      </w:r>
      <w:r>
        <w:rPr>
          <w:i/>
          <w:spacing w:val="-3"/>
          <w:w w:val="120"/>
          <w:sz w:val="20"/>
        </w:rPr>
        <w:t>range</w:t>
      </w:r>
      <w:r>
        <w:rPr>
          <w:i/>
          <w:spacing w:val="-34"/>
          <w:w w:val="120"/>
          <w:sz w:val="20"/>
        </w:rPr>
        <w:t> </w:t>
      </w:r>
      <w:r>
        <w:rPr>
          <w:i/>
          <w:w w:val="120"/>
          <w:sz w:val="20"/>
        </w:rPr>
        <w:t>of</w:t>
      </w:r>
      <w:r>
        <w:rPr>
          <w:i/>
          <w:spacing w:val="-34"/>
          <w:w w:val="120"/>
          <w:sz w:val="20"/>
        </w:rPr>
        <w:t> </w:t>
      </w:r>
      <w:r>
        <w:rPr>
          <w:i/>
          <w:spacing w:val="-3"/>
          <w:w w:val="120"/>
          <w:sz w:val="20"/>
        </w:rPr>
        <w:t>issues</w:t>
      </w:r>
      <w:r>
        <w:rPr>
          <w:i/>
          <w:spacing w:val="-34"/>
          <w:w w:val="120"/>
          <w:sz w:val="20"/>
        </w:rPr>
        <w:t> </w:t>
      </w:r>
      <w:r>
        <w:rPr>
          <w:i/>
          <w:w w:val="120"/>
          <w:sz w:val="20"/>
        </w:rPr>
        <w:t>of</w:t>
      </w:r>
      <w:r>
        <w:rPr>
          <w:i/>
          <w:spacing w:val="-34"/>
          <w:w w:val="120"/>
          <w:sz w:val="20"/>
        </w:rPr>
        <w:t> </w:t>
      </w:r>
      <w:r>
        <w:rPr>
          <w:i/>
          <w:spacing w:val="-3"/>
          <w:w w:val="120"/>
          <w:sz w:val="20"/>
        </w:rPr>
        <w:t>principle</w:t>
      </w:r>
      <w:r>
        <w:rPr>
          <w:i/>
          <w:spacing w:val="-34"/>
          <w:w w:val="120"/>
          <w:sz w:val="20"/>
        </w:rPr>
        <w:t> </w:t>
      </w:r>
      <w:r>
        <w:rPr>
          <w:i/>
          <w:w w:val="120"/>
          <w:sz w:val="20"/>
        </w:rPr>
        <w:t>to</w:t>
      </w:r>
      <w:r>
        <w:rPr>
          <w:i/>
          <w:spacing w:val="-35"/>
          <w:w w:val="120"/>
          <w:sz w:val="20"/>
        </w:rPr>
        <w:t> </w:t>
      </w:r>
      <w:r>
        <w:rPr>
          <w:i/>
          <w:spacing w:val="-3"/>
          <w:w w:val="120"/>
          <w:sz w:val="20"/>
        </w:rPr>
        <w:t>arise</w:t>
      </w:r>
      <w:r>
        <w:rPr>
          <w:i/>
          <w:spacing w:val="-34"/>
          <w:w w:val="120"/>
          <w:sz w:val="20"/>
        </w:rPr>
        <w:t> </w:t>
      </w:r>
      <w:r>
        <w:rPr>
          <w:i/>
          <w:w w:val="120"/>
          <w:sz w:val="20"/>
        </w:rPr>
        <w:t>from</w:t>
      </w:r>
      <w:r>
        <w:rPr>
          <w:i/>
          <w:spacing w:val="-34"/>
          <w:w w:val="120"/>
          <w:sz w:val="20"/>
        </w:rPr>
        <w:t> </w:t>
      </w:r>
      <w:r>
        <w:rPr>
          <w:i/>
          <w:spacing w:val="-3"/>
          <w:w w:val="120"/>
          <w:sz w:val="20"/>
        </w:rPr>
        <w:t>pastoral </w:t>
      </w:r>
      <w:r>
        <w:rPr>
          <w:i/>
          <w:spacing w:val="-3"/>
          <w:w w:val="115"/>
          <w:sz w:val="20"/>
        </w:rPr>
        <w:t>situations.</w:t>
      </w:r>
      <w:r>
        <w:rPr>
          <w:i/>
          <w:spacing w:val="-18"/>
          <w:w w:val="115"/>
          <w:sz w:val="20"/>
        </w:rPr>
        <w:t> </w:t>
      </w:r>
      <w:r>
        <w:rPr>
          <w:i/>
          <w:spacing w:val="-3"/>
          <w:w w:val="115"/>
          <w:sz w:val="20"/>
        </w:rPr>
        <w:t>Such</w:t>
      </w:r>
      <w:r>
        <w:rPr>
          <w:i/>
          <w:spacing w:val="-18"/>
          <w:w w:val="115"/>
          <w:sz w:val="20"/>
        </w:rPr>
        <w:t> </w:t>
      </w:r>
      <w:r>
        <w:rPr>
          <w:i/>
          <w:spacing w:val="-3"/>
          <w:w w:val="115"/>
          <w:sz w:val="20"/>
        </w:rPr>
        <w:t>things</w:t>
      </w:r>
      <w:r>
        <w:rPr>
          <w:i/>
          <w:spacing w:val="-18"/>
          <w:w w:val="115"/>
          <w:sz w:val="20"/>
        </w:rPr>
        <w:t> </w:t>
      </w:r>
      <w:r>
        <w:rPr>
          <w:i/>
          <w:w w:val="115"/>
          <w:sz w:val="20"/>
        </w:rPr>
        <w:t>as</w:t>
      </w:r>
      <w:r>
        <w:rPr>
          <w:i/>
          <w:spacing w:val="-17"/>
          <w:w w:val="115"/>
          <w:sz w:val="20"/>
        </w:rPr>
        <w:t> </w:t>
      </w:r>
      <w:r>
        <w:rPr>
          <w:i/>
          <w:w w:val="115"/>
          <w:sz w:val="20"/>
        </w:rPr>
        <w:t>a</w:t>
      </w:r>
      <w:r>
        <w:rPr>
          <w:i/>
          <w:spacing w:val="-18"/>
          <w:w w:val="115"/>
          <w:sz w:val="20"/>
        </w:rPr>
        <w:t> </w:t>
      </w:r>
      <w:r>
        <w:rPr>
          <w:i/>
          <w:spacing w:val="-5"/>
          <w:w w:val="115"/>
          <w:sz w:val="20"/>
        </w:rPr>
        <w:t>person’s</w:t>
      </w:r>
      <w:r>
        <w:rPr>
          <w:i/>
          <w:spacing w:val="-18"/>
          <w:w w:val="115"/>
          <w:sz w:val="20"/>
        </w:rPr>
        <w:t> </w:t>
      </w:r>
      <w:r>
        <w:rPr>
          <w:i/>
          <w:spacing w:val="-3"/>
          <w:w w:val="115"/>
          <w:sz w:val="20"/>
        </w:rPr>
        <w:t>reorientation</w:t>
      </w:r>
      <w:r>
        <w:rPr>
          <w:i/>
          <w:spacing w:val="-17"/>
          <w:w w:val="115"/>
          <w:sz w:val="20"/>
        </w:rPr>
        <w:t> </w:t>
      </w:r>
      <w:r>
        <w:rPr>
          <w:i/>
          <w:w w:val="115"/>
          <w:sz w:val="20"/>
        </w:rPr>
        <w:t>of</w:t>
      </w:r>
      <w:r>
        <w:rPr>
          <w:i/>
          <w:spacing w:val="-18"/>
          <w:w w:val="115"/>
          <w:sz w:val="20"/>
        </w:rPr>
        <w:t> </w:t>
      </w:r>
      <w:r>
        <w:rPr>
          <w:i/>
          <w:spacing w:val="-3"/>
          <w:w w:val="115"/>
          <w:sz w:val="20"/>
        </w:rPr>
        <w:t>gender</w:t>
      </w:r>
      <w:r>
        <w:rPr>
          <w:i/>
          <w:spacing w:val="-18"/>
          <w:w w:val="115"/>
          <w:sz w:val="20"/>
        </w:rPr>
        <w:t> </w:t>
      </w:r>
      <w:r>
        <w:rPr>
          <w:i/>
          <w:spacing w:val="-3"/>
          <w:w w:val="115"/>
          <w:sz w:val="20"/>
        </w:rPr>
        <w:t>could</w:t>
      </w:r>
      <w:r>
        <w:rPr>
          <w:i/>
          <w:spacing w:val="-17"/>
          <w:w w:val="115"/>
          <w:sz w:val="20"/>
        </w:rPr>
        <w:t> </w:t>
      </w:r>
      <w:r>
        <w:rPr>
          <w:i/>
          <w:w w:val="115"/>
          <w:sz w:val="20"/>
        </w:rPr>
        <w:t>affect</w:t>
      </w:r>
      <w:r>
        <w:rPr>
          <w:i/>
          <w:spacing w:val="-18"/>
          <w:w w:val="115"/>
          <w:sz w:val="20"/>
        </w:rPr>
        <w:t> </w:t>
      </w:r>
      <w:r>
        <w:rPr>
          <w:i/>
          <w:w w:val="115"/>
          <w:sz w:val="20"/>
        </w:rPr>
        <w:t>a</w:t>
      </w:r>
      <w:r>
        <w:rPr>
          <w:i/>
          <w:spacing w:val="-18"/>
          <w:w w:val="115"/>
          <w:sz w:val="20"/>
        </w:rPr>
        <w:t> </w:t>
      </w:r>
      <w:r>
        <w:rPr>
          <w:i/>
          <w:spacing w:val="-5"/>
          <w:w w:val="115"/>
          <w:sz w:val="20"/>
        </w:rPr>
        <w:t>minister.</w:t>
      </w:r>
      <w:r>
        <w:rPr>
          <w:i/>
          <w:spacing w:val="-18"/>
          <w:w w:val="115"/>
          <w:sz w:val="20"/>
        </w:rPr>
        <w:t> </w:t>
      </w:r>
      <w:r>
        <w:rPr>
          <w:i/>
          <w:spacing w:val="-3"/>
          <w:w w:val="115"/>
          <w:sz w:val="20"/>
        </w:rPr>
        <w:t>Situations</w:t>
      </w:r>
      <w:r>
        <w:rPr>
          <w:i/>
          <w:spacing w:val="-17"/>
          <w:w w:val="115"/>
          <w:sz w:val="20"/>
        </w:rPr>
        <w:t> </w:t>
      </w:r>
      <w:r>
        <w:rPr>
          <w:i/>
          <w:spacing w:val="-3"/>
          <w:w w:val="115"/>
          <w:sz w:val="20"/>
        </w:rPr>
        <w:t>like</w:t>
      </w:r>
      <w:r>
        <w:rPr>
          <w:i/>
          <w:spacing w:val="-18"/>
          <w:w w:val="115"/>
          <w:sz w:val="20"/>
        </w:rPr>
        <w:t> </w:t>
      </w:r>
      <w:r>
        <w:rPr>
          <w:i/>
          <w:spacing w:val="-3"/>
          <w:w w:val="115"/>
          <w:sz w:val="20"/>
        </w:rPr>
        <w:t>this </w:t>
      </w:r>
      <w:r>
        <w:rPr>
          <w:i/>
          <w:spacing w:val="-3"/>
          <w:w w:val="120"/>
          <w:sz w:val="20"/>
        </w:rPr>
        <w:t>need</w:t>
      </w:r>
      <w:r>
        <w:rPr>
          <w:i/>
          <w:spacing w:val="-32"/>
          <w:w w:val="120"/>
          <w:sz w:val="20"/>
        </w:rPr>
        <w:t> </w:t>
      </w:r>
      <w:r>
        <w:rPr>
          <w:i/>
          <w:w w:val="120"/>
          <w:sz w:val="20"/>
        </w:rPr>
        <w:t>to</w:t>
      </w:r>
      <w:r>
        <w:rPr>
          <w:i/>
          <w:spacing w:val="-32"/>
          <w:w w:val="120"/>
          <w:sz w:val="20"/>
        </w:rPr>
        <w:t> </w:t>
      </w:r>
      <w:r>
        <w:rPr>
          <w:i/>
          <w:w w:val="120"/>
          <w:sz w:val="20"/>
        </w:rPr>
        <w:t>be</w:t>
      </w:r>
      <w:r>
        <w:rPr>
          <w:i/>
          <w:spacing w:val="-31"/>
          <w:w w:val="120"/>
          <w:sz w:val="20"/>
        </w:rPr>
        <w:t> </w:t>
      </w:r>
      <w:r>
        <w:rPr>
          <w:i/>
          <w:spacing w:val="-3"/>
          <w:w w:val="120"/>
          <w:sz w:val="20"/>
        </w:rPr>
        <w:t>looked</w:t>
      </w:r>
      <w:r>
        <w:rPr>
          <w:i/>
          <w:spacing w:val="-32"/>
          <w:w w:val="120"/>
          <w:sz w:val="20"/>
        </w:rPr>
        <w:t> </w:t>
      </w:r>
      <w:r>
        <w:rPr>
          <w:i/>
          <w:w w:val="120"/>
          <w:sz w:val="20"/>
        </w:rPr>
        <w:t>at</w:t>
      </w:r>
      <w:r>
        <w:rPr>
          <w:i/>
          <w:spacing w:val="-31"/>
          <w:w w:val="120"/>
          <w:sz w:val="20"/>
        </w:rPr>
        <w:t> </w:t>
      </w:r>
      <w:r>
        <w:rPr>
          <w:i/>
          <w:w w:val="120"/>
          <w:sz w:val="20"/>
        </w:rPr>
        <w:t>now</w:t>
      </w:r>
      <w:r>
        <w:rPr>
          <w:i/>
          <w:spacing w:val="-32"/>
          <w:w w:val="120"/>
          <w:sz w:val="20"/>
        </w:rPr>
        <w:t> </w:t>
      </w:r>
      <w:r>
        <w:rPr>
          <w:i/>
          <w:w w:val="120"/>
          <w:sz w:val="20"/>
        </w:rPr>
        <w:t>so</w:t>
      </w:r>
      <w:r>
        <w:rPr>
          <w:i/>
          <w:spacing w:val="-31"/>
          <w:w w:val="120"/>
          <w:sz w:val="20"/>
        </w:rPr>
        <w:t> </w:t>
      </w:r>
      <w:r>
        <w:rPr>
          <w:i/>
          <w:w w:val="120"/>
          <w:sz w:val="20"/>
        </w:rPr>
        <w:t>that</w:t>
      </w:r>
      <w:r>
        <w:rPr>
          <w:i/>
          <w:spacing w:val="-32"/>
          <w:w w:val="120"/>
          <w:sz w:val="20"/>
        </w:rPr>
        <w:t> </w:t>
      </w:r>
      <w:r>
        <w:rPr>
          <w:i/>
          <w:spacing w:val="-3"/>
          <w:w w:val="120"/>
          <w:sz w:val="20"/>
        </w:rPr>
        <w:t>when</w:t>
      </w:r>
      <w:r>
        <w:rPr>
          <w:i/>
          <w:spacing w:val="-32"/>
          <w:w w:val="120"/>
          <w:sz w:val="20"/>
        </w:rPr>
        <w:t> </w:t>
      </w:r>
      <w:r>
        <w:rPr>
          <w:i/>
          <w:w w:val="120"/>
          <w:sz w:val="20"/>
        </w:rPr>
        <w:t>they</w:t>
      </w:r>
      <w:r>
        <w:rPr>
          <w:i/>
          <w:spacing w:val="-31"/>
          <w:w w:val="120"/>
          <w:sz w:val="20"/>
        </w:rPr>
        <w:t> </w:t>
      </w:r>
      <w:r>
        <w:rPr>
          <w:i/>
          <w:w w:val="120"/>
          <w:sz w:val="20"/>
        </w:rPr>
        <w:t>do</w:t>
      </w:r>
      <w:r>
        <w:rPr>
          <w:i/>
          <w:spacing w:val="-32"/>
          <w:w w:val="120"/>
          <w:sz w:val="20"/>
        </w:rPr>
        <w:t> </w:t>
      </w:r>
      <w:r>
        <w:rPr>
          <w:i/>
          <w:spacing w:val="-3"/>
          <w:w w:val="120"/>
          <w:sz w:val="20"/>
        </w:rPr>
        <w:t>arise</w:t>
      </w:r>
      <w:r>
        <w:rPr>
          <w:i/>
          <w:spacing w:val="-31"/>
          <w:w w:val="120"/>
          <w:sz w:val="20"/>
        </w:rPr>
        <w:t> </w:t>
      </w:r>
      <w:r>
        <w:rPr>
          <w:i/>
          <w:w w:val="120"/>
          <w:sz w:val="20"/>
        </w:rPr>
        <w:t>they</w:t>
      </w:r>
      <w:r>
        <w:rPr>
          <w:i/>
          <w:spacing w:val="-32"/>
          <w:w w:val="120"/>
          <w:sz w:val="20"/>
        </w:rPr>
        <w:t> </w:t>
      </w:r>
      <w:r>
        <w:rPr>
          <w:i/>
          <w:spacing w:val="-3"/>
          <w:w w:val="120"/>
          <w:sz w:val="20"/>
        </w:rPr>
        <w:t>can</w:t>
      </w:r>
      <w:r>
        <w:rPr>
          <w:i/>
          <w:spacing w:val="-31"/>
          <w:w w:val="120"/>
          <w:sz w:val="20"/>
        </w:rPr>
        <w:t> </w:t>
      </w:r>
      <w:r>
        <w:rPr>
          <w:i/>
          <w:w w:val="120"/>
          <w:sz w:val="20"/>
        </w:rPr>
        <w:t>be</w:t>
      </w:r>
      <w:r>
        <w:rPr>
          <w:i/>
          <w:spacing w:val="-32"/>
          <w:w w:val="120"/>
          <w:sz w:val="20"/>
        </w:rPr>
        <w:t> </w:t>
      </w:r>
      <w:r>
        <w:rPr>
          <w:i/>
          <w:spacing w:val="-3"/>
          <w:w w:val="120"/>
          <w:sz w:val="20"/>
        </w:rPr>
        <w:t>addressed</w:t>
      </w:r>
      <w:r>
        <w:rPr>
          <w:i/>
          <w:spacing w:val="-32"/>
          <w:w w:val="120"/>
          <w:sz w:val="20"/>
        </w:rPr>
        <w:t> </w:t>
      </w:r>
      <w:r>
        <w:rPr>
          <w:i/>
          <w:w w:val="120"/>
          <w:sz w:val="20"/>
        </w:rPr>
        <w:t>with</w:t>
      </w:r>
      <w:r>
        <w:rPr>
          <w:i/>
          <w:spacing w:val="-31"/>
          <w:w w:val="120"/>
          <w:sz w:val="20"/>
        </w:rPr>
        <w:t> </w:t>
      </w:r>
      <w:r>
        <w:rPr>
          <w:i/>
          <w:spacing w:val="-3"/>
          <w:w w:val="120"/>
          <w:sz w:val="20"/>
        </w:rPr>
        <w:t>understanding</w:t>
      </w:r>
      <w:r>
        <w:rPr>
          <w:i/>
          <w:spacing w:val="-32"/>
          <w:w w:val="120"/>
          <w:sz w:val="20"/>
        </w:rPr>
        <w:t> </w:t>
      </w:r>
      <w:r>
        <w:rPr>
          <w:i/>
          <w:w w:val="120"/>
          <w:sz w:val="20"/>
        </w:rPr>
        <w:t>and </w:t>
      </w:r>
      <w:r>
        <w:rPr>
          <w:i/>
          <w:spacing w:val="-4"/>
          <w:w w:val="120"/>
          <w:sz w:val="20"/>
        </w:rPr>
        <w:t>care. </w:t>
      </w:r>
      <w:r>
        <w:rPr>
          <w:w w:val="120"/>
          <w:sz w:val="20"/>
        </w:rPr>
        <w:t>The task group </w:t>
      </w:r>
      <w:r>
        <w:rPr>
          <w:spacing w:val="-3"/>
          <w:w w:val="120"/>
          <w:sz w:val="20"/>
        </w:rPr>
        <w:t>realised </w:t>
      </w:r>
      <w:r>
        <w:rPr>
          <w:w w:val="120"/>
          <w:sz w:val="20"/>
        </w:rPr>
        <w:t>at an early stage that the </w:t>
      </w:r>
      <w:r>
        <w:rPr>
          <w:spacing w:val="-3"/>
          <w:w w:val="120"/>
          <w:sz w:val="20"/>
        </w:rPr>
        <w:t>Commitment </w:t>
      </w:r>
      <w:r>
        <w:rPr>
          <w:w w:val="120"/>
          <w:sz w:val="20"/>
        </w:rPr>
        <w:t>was bound </w:t>
      </w:r>
      <w:r>
        <w:rPr>
          <w:spacing w:val="-3"/>
          <w:w w:val="120"/>
          <w:sz w:val="20"/>
        </w:rPr>
        <w:t>to result </w:t>
      </w:r>
      <w:r>
        <w:rPr>
          <w:w w:val="120"/>
          <w:sz w:val="20"/>
        </w:rPr>
        <w:t>in practical</w:t>
      </w:r>
      <w:r>
        <w:rPr>
          <w:spacing w:val="-5"/>
          <w:w w:val="120"/>
          <w:sz w:val="20"/>
        </w:rPr>
        <w:t> </w:t>
      </w:r>
      <w:r>
        <w:rPr>
          <w:w w:val="120"/>
          <w:sz w:val="20"/>
        </w:rPr>
        <w:t>and</w:t>
      </w:r>
      <w:r>
        <w:rPr>
          <w:spacing w:val="-4"/>
          <w:w w:val="120"/>
          <w:sz w:val="20"/>
        </w:rPr>
        <w:t> </w:t>
      </w:r>
      <w:r>
        <w:rPr>
          <w:w w:val="120"/>
          <w:sz w:val="20"/>
        </w:rPr>
        <w:t>pastoral</w:t>
      </w:r>
      <w:r>
        <w:rPr>
          <w:spacing w:val="-4"/>
          <w:w w:val="120"/>
          <w:sz w:val="20"/>
        </w:rPr>
        <w:t> </w:t>
      </w:r>
      <w:r>
        <w:rPr>
          <w:w w:val="120"/>
          <w:sz w:val="20"/>
        </w:rPr>
        <w:t>questions,</w:t>
      </w:r>
      <w:r>
        <w:rPr>
          <w:spacing w:val="-4"/>
          <w:w w:val="120"/>
          <w:sz w:val="20"/>
        </w:rPr>
        <w:t> </w:t>
      </w:r>
      <w:r>
        <w:rPr>
          <w:w w:val="120"/>
          <w:sz w:val="20"/>
        </w:rPr>
        <w:t>some</w:t>
      </w:r>
      <w:r>
        <w:rPr>
          <w:spacing w:val="-4"/>
          <w:w w:val="120"/>
          <w:sz w:val="20"/>
        </w:rPr>
        <w:t> </w:t>
      </w:r>
      <w:r>
        <w:rPr>
          <w:w w:val="120"/>
          <w:sz w:val="20"/>
        </w:rPr>
        <w:t>of</w:t>
      </w:r>
      <w:r>
        <w:rPr>
          <w:spacing w:val="-4"/>
          <w:w w:val="120"/>
          <w:sz w:val="20"/>
        </w:rPr>
        <w:t> </w:t>
      </w:r>
      <w:r>
        <w:rPr>
          <w:w w:val="120"/>
          <w:sz w:val="20"/>
        </w:rPr>
        <w:t>which</w:t>
      </w:r>
      <w:r>
        <w:rPr>
          <w:spacing w:val="-4"/>
          <w:w w:val="120"/>
          <w:sz w:val="20"/>
        </w:rPr>
        <w:t> </w:t>
      </w:r>
      <w:r>
        <w:rPr>
          <w:spacing w:val="-3"/>
          <w:w w:val="120"/>
          <w:sz w:val="20"/>
        </w:rPr>
        <w:t>could</w:t>
      </w:r>
      <w:r>
        <w:rPr>
          <w:spacing w:val="-4"/>
          <w:w w:val="120"/>
          <w:sz w:val="20"/>
        </w:rPr>
        <w:t> </w:t>
      </w:r>
      <w:r>
        <w:rPr>
          <w:w w:val="120"/>
          <w:sz w:val="20"/>
        </w:rPr>
        <w:t>be</w:t>
      </w:r>
      <w:r>
        <w:rPr>
          <w:spacing w:val="-4"/>
          <w:w w:val="120"/>
          <w:sz w:val="20"/>
        </w:rPr>
        <w:t> </w:t>
      </w:r>
      <w:r>
        <w:rPr>
          <w:w w:val="120"/>
          <w:sz w:val="20"/>
        </w:rPr>
        <w:t>very</w:t>
      </w:r>
      <w:r>
        <w:rPr>
          <w:spacing w:val="-4"/>
          <w:w w:val="120"/>
          <w:sz w:val="20"/>
        </w:rPr>
        <w:t> </w:t>
      </w:r>
      <w:r>
        <w:rPr>
          <w:w w:val="120"/>
          <w:sz w:val="20"/>
        </w:rPr>
        <w:t>serious</w:t>
      </w:r>
      <w:r>
        <w:rPr>
          <w:spacing w:val="-4"/>
          <w:w w:val="120"/>
          <w:sz w:val="20"/>
        </w:rPr>
        <w:t> </w:t>
      </w:r>
      <w:r>
        <w:rPr>
          <w:w w:val="120"/>
          <w:sz w:val="20"/>
        </w:rPr>
        <w:t>indeed</w:t>
      </w:r>
      <w:r>
        <w:rPr>
          <w:spacing w:val="-4"/>
          <w:w w:val="120"/>
          <w:sz w:val="20"/>
        </w:rPr>
        <w:t> </w:t>
      </w:r>
      <w:r>
        <w:rPr>
          <w:w w:val="120"/>
          <w:sz w:val="20"/>
        </w:rPr>
        <w:t>and</w:t>
      </w:r>
      <w:r>
        <w:rPr>
          <w:spacing w:val="-4"/>
          <w:w w:val="120"/>
          <w:sz w:val="20"/>
        </w:rPr>
        <w:t> </w:t>
      </w:r>
      <w:r>
        <w:rPr>
          <w:spacing w:val="-3"/>
          <w:w w:val="120"/>
          <w:sz w:val="20"/>
        </w:rPr>
        <w:t>have</w:t>
      </w:r>
      <w:r>
        <w:rPr>
          <w:spacing w:val="-4"/>
          <w:w w:val="120"/>
          <w:sz w:val="20"/>
        </w:rPr>
        <w:t> </w:t>
      </w:r>
      <w:r>
        <w:rPr>
          <w:w w:val="120"/>
          <w:sz w:val="20"/>
        </w:rPr>
        <w:t>a</w:t>
      </w:r>
      <w:r>
        <w:rPr>
          <w:spacing w:val="-4"/>
          <w:w w:val="120"/>
          <w:sz w:val="20"/>
        </w:rPr>
        <w:t> </w:t>
      </w:r>
      <w:r>
        <w:rPr>
          <w:w w:val="120"/>
          <w:sz w:val="20"/>
        </w:rPr>
        <w:t>deep impact on </w:t>
      </w:r>
      <w:r>
        <w:rPr>
          <w:spacing w:val="-3"/>
          <w:w w:val="120"/>
          <w:sz w:val="20"/>
        </w:rPr>
        <w:t>individuals </w:t>
      </w:r>
      <w:r>
        <w:rPr>
          <w:w w:val="120"/>
          <w:sz w:val="20"/>
        </w:rPr>
        <w:t>and </w:t>
      </w:r>
      <w:r>
        <w:rPr>
          <w:spacing w:val="-3"/>
          <w:w w:val="120"/>
          <w:sz w:val="20"/>
        </w:rPr>
        <w:t>churches. </w:t>
      </w:r>
      <w:r>
        <w:rPr>
          <w:w w:val="120"/>
          <w:sz w:val="20"/>
        </w:rPr>
        <w:t>With that in mind it has </w:t>
      </w:r>
      <w:r>
        <w:rPr>
          <w:spacing w:val="-3"/>
          <w:w w:val="120"/>
          <w:sz w:val="20"/>
        </w:rPr>
        <w:t>asked </w:t>
      </w:r>
      <w:r>
        <w:rPr>
          <w:w w:val="120"/>
          <w:sz w:val="20"/>
        </w:rPr>
        <w:t>the </w:t>
      </w:r>
      <w:r>
        <w:rPr>
          <w:spacing w:val="-3"/>
          <w:w w:val="120"/>
          <w:sz w:val="20"/>
        </w:rPr>
        <w:t>Synod </w:t>
      </w:r>
      <w:r>
        <w:rPr>
          <w:w w:val="120"/>
          <w:sz w:val="20"/>
        </w:rPr>
        <w:t>Moderators </w:t>
      </w:r>
      <w:r>
        <w:rPr>
          <w:spacing w:val="-3"/>
          <w:w w:val="120"/>
          <w:sz w:val="20"/>
        </w:rPr>
        <w:t>to indicate </w:t>
      </w:r>
      <w:r>
        <w:rPr>
          <w:w w:val="120"/>
          <w:sz w:val="20"/>
        </w:rPr>
        <w:t>their experience without actually quoting </w:t>
      </w:r>
      <w:r>
        <w:rPr>
          <w:spacing w:val="-3"/>
          <w:w w:val="120"/>
          <w:sz w:val="20"/>
        </w:rPr>
        <w:t>any </w:t>
      </w:r>
      <w:r>
        <w:rPr>
          <w:w w:val="120"/>
          <w:sz w:val="20"/>
        </w:rPr>
        <w:t>particular cases. This </w:t>
      </w:r>
      <w:r>
        <w:rPr>
          <w:spacing w:val="-3"/>
          <w:w w:val="120"/>
          <w:sz w:val="20"/>
        </w:rPr>
        <w:t>showed </w:t>
      </w:r>
      <w:r>
        <w:rPr>
          <w:w w:val="120"/>
          <w:sz w:val="20"/>
        </w:rPr>
        <w:t>that the number</w:t>
      </w:r>
      <w:r>
        <w:rPr>
          <w:spacing w:val="-12"/>
          <w:w w:val="120"/>
          <w:sz w:val="20"/>
        </w:rPr>
        <w:t> </w:t>
      </w:r>
      <w:r>
        <w:rPr>
          <w:w w:val="120"/>
          <w:sz w:val="20"/>
        </w:rPr>
        <w:t>of</w:t>
      </w:r>
      <w:r>
        <w:rPr>
          <w:spacing w:val="-12"/>
          <w:w w:val="120"/>
          <w:sz w:val="20"/>
        </w:rPr>
        <w:t> </w:t>
      </w:r>
      <w:r>
        <w:rPr>
          <w:spacing w:val="-3"/>
          <w:w w:val="120"/>
          <w:sz w:val="20"/>
        </w:rPr>
        <w:t>issues</w:t>
      </w:r>
      <w:r>
        <w:rPr>
          <w:spacing w:val="-12"/>
          <w:w w:val="120"/>
          <w:sz w:val="20"/>
        </w:rPr>
        <w:t> </w:t>
      </w:r>
      <w:r>
        <w:rPr>
          <w:w w:val="120"/>
          <w:sz w:val="20"/>
        </w:rPr>
        <w:t>that</w:t>
      </w:r>
      <w:r>
        <w:rPr>
          <w:spacing w:val="-12"/>
          <w:w w:val="120"/>
          <w:sz w:val="20"/>
        </w:rPr>
        <w:t> </w:t>
      </w:r>
      <w:r>
        <w:rPr>
          <w:spacing w:val="-3"/>
          <w:w w:val="120"/>
          <w:sz w:val="20"/>
        </w:rPr>
        <w:t>have</w:t>
      </w:r>
      <w:r>
        <w:rPr>
          <w:spacing w:val="-12"/>
          <w:w w:val="120"/>
          <w:sz w:val="20"/>
        </w:rPr>
        <w:t> </w:t>
      </w:r>
      <w:r>
        <w:rPr>
          <w:w w:val="120"/>
          <w:sz w:val="20"/>
        </w:rPr>
        <w:t>arisen</w:t>
      </w:r>
      <w:r>
        <w:rPr>
          <w:spacing w:val="-12"/>
          <w:w w:val="120"/>
          <w:sz w:val="20"/>
        </w:rPr>
        <w:t> </w:t>
      </w:r>
      <w:r>
        <w:rPr>
          <w:w w:val="120"/>
          <w:sz w:val="20"/>
        </w:rPr>
        <w:t>so</w:t>
      </w:r>
      <w:r>
        <w:rPr>
          <w:spacing w:val="-12"/>
          <w:w w:val="120"/>
          <w:sz w:val="20"/>
        </w:rPr>
        <w:t> </w:t>
      </w:r>
      <w:r>
        <w:rPr>
          <w:w w:val="120"/>
          <w:sz w:val="20"/>
        </w:rPr>
        <w:t>far</w:t>
      </w:r>
      <w:r>
        <w:rPr>
          <w:spacing w:val="-12"/>
          <w:w w:val="120"/>
          <w:sz w:val="20"/>
        </w:rPr>
        <w:t> </w:t>
      </w:r>
      <w:r>
        <w:rPr>
          <w:w w:val="120"/>
          <w:sz w:val="20"/>
        </w:rPr>
        <w:t>is</w:t>
      </w:r>
      <w:r>
        <w:rPr>
          <w:spacing w:val="-11"/>
          <w:w w:val="120"/>
          <w:sz w:val="20"/>
        </w:rPr>
        <w:t> </w:t>
      </w:r>
      <w:r>
        <w:rPr>
          <w:w w:val="120"/>
          <w:sz w:val="20"/>
        </w:rPr>
        <w:t>fairly</w:t>
      </w:r>
      <w:r>
        <w:rPr>
          <w:spacing w:val="-12"/>
          <w:w w:val="120"/>
          <w:sz w:val="20"/>
        </w:rPr>
        <w:t> </w:t>
      </w:r>
      <w:r>
        <w:rPr>
          <w:spacing w:val="-3"/>
          <w:w w:val="120"/>
          <w:sz w:val="20"/>
        </w:rPr>
        <w:t>small,</w:t>
      </w:r>
      <w:r>
        <w:rPr>
          <w:spacing w:val="-12"/>
          <w:w w:val="120"/>
          <w:sz w:val="20"/>
        </w:rPr>
        <w:t> </w:t>
      </w:r>
      <w:r>
        <w:rPr>
          <w:w w:val="120"/>
          <w:sz w:val="20"/>
        </w:rPr>
        <w:t>that</w:t>
      </w:r>
      <w:r>
        <w:rPr>
          <w:spacing w:val="-12"/>
          <w:w w:val="120"/>
          <w:sz w:val="20"/>
        </w:rPr>
        <w:t> </w:t>
      </w:r>
      <w:r>
        <w:rPr>
          <w:w w:val="120"/>
          <w:sz w:val="20"/>
        </w:rPr>
        <w:t>some</w:t>
      </w:r>
      <w:r>
        <w:rPr>
          <w:spacing w:val="-12"/>
          <w:w w:val="120"/>
          <w:sz w:val="20"/>
        </w:rPr>
        <w:t> </w:t>
      </w:r>
      <w:r>
        <w:rPr>
          <w:w w:val="120"/>
          <w:sz w:val="20"/>
        </w:rPr>
        <w:t>are</w:t>
      </w:r>
      <w:r>
        <w:rPr>
          <w:spacing w:val="-12"/>
          <w:w w:val="120"/>
          <w:sz w:val="20"/>
        </w:rPr>
        <w:t> </w:t>
      </w:r>
      <w:r>
        <w:rPr>
          <w:spacing w:val="-3"/>
          <w:w w:val="120"/>
          <w:sz w:val="20"/>
        </w:rPr>
        <w:t>complex</w:t>
      </w:r>
      <w:r>
        <w:rPr>
          <w:spacing w:val="-12"/>
          <w:w w:val="120"/>
          <w:sz w:val="20"/>
        </w:rPr>
        <w:t> </w:t>
      </w:r>
      <w:r>
        <w:rPr>
          <w:w w:val="120"/>
          <w:sz w:val="20"/>
        </w:rPr>
        <w:t>and</w:t>
      </w:r>
      <w:r>
        <w:rPr>
          <w:spacing w:val="-12"/>
          <w:w w:val="120"/>
          <w:sz w:val="20"/>
        </w:rPr>
        <w:t> </w:t>
      </w:r>
      <w:r>
        <w:rPr>
          <w:w w:val="120"/>
          <w:sz w:val="20"/>
        </w:rPr>
        <w:t>stressful,</w:t>
      </w:r>
      <w:r>
        <w:rPr>
          <w:spacing w:val="-12"/>
          <w:w w:val="120"/>
          <w:sz w:val="20"/>
        </w:rPr>
        <w:t> </w:t>
      </w:r>
      <w:r>
        <w:rPr>
          <w:w w:val="120"/>
          <w:sz w:val="20"/>
        </w:rPr>
        <w:t>and that sometimes what was a problem in one instance </w:t>
      </w:r>
      <w:r>
        <w:rPr>
          <w:spacing w:val="-2"/>
          <w:w w:val="120"/>
          <w:sz w:val="20"/>
        </w:rPr>
        <w:t>proved </w:t>
      </w:r>
      <w:r>
        <w:rPr>
          <w:spacing w:val="-3"/>
          <w:w w:val="120"/>
          <w:sz w:val="20"/>
        </w:rPr>
        <w:t>quite </w:t>
      </w:r>
      <w:r>
        <w:rPr>
          <w:w w:val="120"/>
          <w:sz w:val="20"/>
        </w:rPr>
        <w:t>straightforward in </w:t>
      </w:r>
      <w:r>
        <w:rPr>
          <w:spacing w:val="-4"/>
          <w:w w:val="120"/>
          <w:sz w:val="20"/>
        </w:rPr>
        <w:t>another. </w:t>
      </w:r>
      <w:r>
        <w:rPr>
          <w:w w:val="120"/>
          <w:sz w:val="20"/>
        </w:rPr>
        <w:t>Overall it does </w:t>
      </w:r>
      <w:r>
        <w:rPr>
          <w:spacing w:val="-2"/>
          <w:w w:val="120"/>
          <w:sz w:val="20"/>
        </w:rPr>
        <w:t>not </w:t>
      </w:r>
      <w:r>
        <w:rPr>
          <w:w w:val="120"/>
          <w:sz w:val="20"/>
        </w:rPr>
        <w:t>seem that there is need for further action at the present time. </w:t>
      </w:r>
      <w:r>
        <w:rPr>
          <w:spacing w:val="-4"/>
          <w:w w:val="120"/>
          <w:sz w:val="20"/>
        </w:rPr>
        <w:t>However, </w:t>
      </w:r>
      <w:r>
        <w:rPr>
          <w:w w:val="120"/>
          <w:sz w:val="20"/>
        </w:rPr>
        <w:t>the group wants </w:t>
      </w:r>
      <w:r>
        <w:rPr>
          <w:spacing w:val="-3"/>
          <w:w w:val="120"/>
          <w:sz w:val="20"/>
        </w:rPr>
        <w:t>to </w:t>
      </w:r>
      <w:r>
        <w:rPr>
          <w:w w:val="120"/>
          <w:sz w:val="20"/>
        </w:rPr>
        <w:t>observe that </w:t>
      </w:r>
      <w:r>
        <w:rPr>
          <w:spacing w:val="-3"/>
          <w:w w:val="120"/>
          <w:sz w:val="20"/>
        </w:rPr>
        <w:t>any </w:t>
      </w:r>
      <w:r>
        <w:rPr>
          <w:w w:val="120"/>
          <w:sz w:val="20"/>
        </w:rPr>
        <w:t>ethical </w:t>
      </w:r>
      <w:r>
        <w:rPr>
          <w:spacing w:val="-3"/>
          <w:w w:val="120"/>
          <w:sz w:val="20"/>
        </w:rPr>
        <w:t>position </w:t>
      </w:r>
      <w:r>
        <w:rPr>
          <w:w w:val="120"/>
          <w:sz w:val="20"/>
        </w:rPr>
        <w:t>taken by the </w:t>
      </w:r>
      <w:r>
        <w:rPr>
          <w:spacing w:val="-3"/>
          <w:w w:val="120"/>
          <w:sz w:val="20"/>
        </w:rPr>
        <w:t>church </w:t>
      </w:r>
      <w:r>
        <w:rPr>
          <w:w w:val="120"/>
          <w:sz w:val="20"/>
        </w:rPr>
        <w:t>will inevitably produce practical </w:t>
      </w:r>
      <w:r>
        <w:rPr>
          <w:spacing w:val="-3"/>
          <w:w w:val="120"/>
          <w:sz w:val="20"/>
        </w:rPr>
        <w:t>consequences </w:t>
      </w:r>
      <w:r>
        <w:rPr>
          <w:w w:val="120"/>
          <w:sz w:val="20"/>
        </w:rPr>
        <w:t>for which </w:t>
      </w:r>
      <w:r>
        <w:rPr>
          <w:spacing w:val="-3"/>
          <w:w w:val="120"/>
          <w:sz w:val="20"/>
        </w:rPr>
        <w:t>provision </w:t>
      </w:r>
      <w:r>
        <w:rPr>
          <w:w w:val="120"/>
          <w:sz w:val="20"/>
        </w:rPr>
        <w:t>had </w:t>
      </w:r>
      <w:r>
        <w:rPr>
          <w:spacing w:val="-2"/>
          <w:w w:val="120"/>
          <w:sz w:val="20"/>
        </w:rPr>
        <w:t>not </w:t>
      </w:r>
      <w:r>
        <w:rPr>
          <w:spacing w:val="-6"/>
          <w:w w:val="120"/>
          <w:sz w:val="20"/>
        </w:rPr>
        <w:t>(and </w:t>
      </w:r>
      <w:r>
        <w:rPr>
          <w:w w:val="120"/>
          <w:sz w:val="20"/>
        </w:rPr>
        <w:t>maybe </w:t>
      </w:r>
      <w:r>
        <w:rPr>
          <w:spacing w:val="-3"/>
          <w:w w:val="120"/>
          <w:sz w:val="20"/>
        </w:rPr>
        <w:t>could </w:t>
      </w:r>
      <w:r>
        <w:rPr>
          <w:spacing w:val="-2"/>
          <w:w w:val="120"/>
          <w:sz w:val="20"/>
        </w:rPr>
        <w:t>not </w:t>
      </w:r>
      <w:r>
        <w:rPr>
          <w:spacing w:val="-6"/>
          <w:w w:val="120"/>
          <w:sz w:val="20"/>
        </w:rPr>
        <w:t>have)   </w:t>
      </w:r>
      <w:r>
        <w:rPr>
          <w:w w:val="120"/>
          <w:sz w:val="20"/>
        </w:rPr>
        <w:t>been </w:t>
      </w:r>
      <w:r>
        <w:rPr>
          <w:spacing w:val="-3"/>
          <w:w w:val="120"/>
          <w:sz w:val="20"/>
        </w:rPr>
        <w:t>made, </w:t>
      </w:r>
      <w:r>
        <w:rPr>
          <w:w w:val="120"/>
          <w:sz w:val="20"/>
        </w:rPr>
        <w:t>or which require pastoral judgements </w:t>
      </w:r>
      <w:r>
        <w:rPr>
          <w:spacing w:val="-3"/>
          <w:w w:val="120"/>
          <w:sz w:val="20"/>
        </w:rPr>
        <w:t>to </w:t>
      </w:r>
      <w:r>
        <w:rPr>
          <w:w w:val="120"/>
          <w:sz w:val="20"/>
        </w:rPr>
        <w:t>be made in the light of the particular </w:t>
      </w:r>
      <w:r>
        <w:rPr>
          <w:spacing w:val="-3"/>
          <w:w w:val="120"/>
          <w:sz w:val="20"/>
        </w:rPr>
        <w:t>circumstances. </w:t>
      </w:r>
      <w:r>
        <w:rPr>
          <w:w w:val="120"/>
          <w:sz w:val="20"/>
        </w:rPr>
        <w:t>No </w:t>
      </w:r>
      <w:r>
        <w:rPr>
          <w:spacing w:val="-2"/>
          <w:w w:val="120"/>
          <w:sz w:val="20"/>
        </w:rPr>
        <w:t>amount </w:t>
      </w:r>
      <w:r>
        <w:rPr>
          <w:w w:val="120"/>
          <w:sz w:val="20"/>
        </w:rPr>
        <w:t>of definition is going </w:t>
      </w:r>
      <w:r>
        <w:rPr>
          <w:spacing w:val="-3"/>
          <w:w w:val="120"/>
          <w:sz w:val="20"/>
        </w:rPr>
        <w:t>to </w:t>
      </w:r>
      <w:r>
        <w:rPr>
          <w:w w:val="120"/>
          <w:sz w:val="20"/>
        </w:rPr>
        <w:t>be able </w:t>
      </w:r>
      <w:r>
        <w:rPr>
          <w:spacing w:val="-3"/>
          <w:w w:val="120"/>
          <w:sz w:val="20"/>
        </w:rPr>
        <w:t>to alter this </w:t>
      </w:r>
      <w:r>
        <w:rPr>
          <w:w w:val="120"/>
          <w:sz w:val="20"/>
        </w:rPr>
        <w:t>fact. It is therefore of primary importance that the </w:t>
      </w:r>
      <w:r>
        <w:rPr>
          <w:spacing w:val="-3"/>
          <w:w w:val="120"/>
          <w:sz w:val="20"/>
        </w:rPr>
        <w:t>Church </w:t>
      </w:r>
      <w:r>
        <w:rPr>
          <w:w w:val="120"/>
          <w:sz w:val="20"/>
        </w:rPr>
        <w:t>in all its </w:t>
      </w:r>
      <w:r>
        <w:rPr>
          <w:spacing w:val="-3"/>
          <w:w w:val="120"/>
          <w:sz w:val="20"/>
        </w:rPr>
        <w:t>councils </w:t>
      </w:r>
      <w:r>
        <w:rPr>
          <w:w w:val="120"/>
          <w:sz w:val="20"/>
        </w:rPr>
        <w:t>has those </w:t>
      </w:r>
      <w:r>
        <w:rPr>
          <w:spacing w:val="-3"/>
          <w:w w:val="120"/>
          <w:sz w:val="20"/>
        </w:rPr>
        <w:t>to </w:t>
      </w:r>
      <w:r>
        <w:rPr>
          <w:w w:val="120"/>
          <w:sz w:val="20"/>
        </w:rPr>
        <w:t>whom </w:t>
      </w:r>
      <w:r>
        <w:rPr>
          <w:spacing w:val="-3"/>
          <w:w w:val="120"/>
          <w:sz w:val="20"/>
        </w:rPr>
        <w:t>such situations </w:t>
      </w:r>
      <w:r>
        <w:rPr>
          <w:w w:val="120"/>
          <w:sz w:val="20"/>
        </w:rPr>
        <w:t>can be referred, and that </w:t>
      </w:r>
      <w:r>
        <w:rPr>
          <w:spacing w:val="-3"/>
          <w:w w:val="120"/>
          <w:sz w:val="20"/>
        </w:rPr>
        <w:t>such </w:t>
      </w:r>
      <w:r>
        <w:rPr>
          <w:w w:val="120"/>
          <w:sz w:val="20"/>
        </w:rPr>
        <w:t>persons and </w:t>
      </w:r>
      <w:r>
        <w:rPr>
          <w:spacing w:val="-3"/>
          <w:w w:val="120"/>
          <w:sz w:val="20"/>
        </w:rPr>
        <w:t>groups </w:t>
      </w:r>
      <w:r>
        <w:rPr>
          <w:w w:val="120"/>
          <w:sz w:val="20"/>
        </w:rPr>
        <w:t>are </w:t>
      </w:r>
      <w:r>
        <w:rPr>
          <w:spacing w:val="-3"/>
          <w:w w:val="120"/>
          <w:sz w:val="20"/>
        </w:rPr>
        <w:t>accorded </w:t>
      </w:r>
      <w:r>
        <w:rPr>
          <w:w w:val="120"/>
          <w:sz w:val="20"/>
        </w:rPr>
        <w:t>the trust of the whole</w:t>
      </w:r>
      <w:r>
        <w:rPr>
          <w:spacing w:val="-36"/>
          <w:w w:val="120"/>
          <w:sz w:val="20"/>
        </w:rPr>
        <w:t> </w:t>
      </w:r>
      <w:r>
        <w:rPr>
          <w:spacing w:val="-4"/>
          <w:w w:val="120"/>
          <w:sz w:val="20"/>
        </w:rPr>
        <w:t>body. </w:t>
      </w:r>
      <w:r>
        <w:rPr>
          <w:w w:val="120"/>
          <w:sz w:val="20"/>
        </w:rPr>
        <w:t>This</w:t>
      </w:r>
    </w:p>
    <w:p>
      <w:pPr>
        <w:pStyle w:val="BodyText"/>
        <w:spacing w:line="232" w:lineRule="auto" w:before="9"/>
        <w:ind w:left="1133" w:right="1273"/>
      </w:pPr>
      <w:r>
        <w:rPr>
          <w:w w:val="120"/>
        </w:rPr>
        <w:t>seems</w:t>
      </w:r>
      <w:r>
        <w:rPr>
          <w:spacing w:val="-8"/>
          <w:w w:val="120"/>
        </w:rPr>
        <w:t> </w:t>
      </w:r>
      <w:r>
        <w:rPr>
          <w:spacing w:val="-3"/>
          <w:w w:val="120"/>
        </w:rPr>
        <w:t>to</w:t>
      </w:r>
      <w:r>
        <w:rPr>
          <w:spacing w:val="-8"/>
          <w:w w:val="120"/>
        </w:rPr>
        <w:t> </w:t>
      </w:r>
      <w:r>
        <w:rPr>
          <w:w w:val="120"/>
        </w:rPr>
        <w:t>the</w:t>
      </w:r>
      <w:r>
        <w:rPr>
          <w:spacing w:val="-7"/>
          <w:w w:val="120"/>
        </w:rPr>
        <w:t> </w:t>
      </w:r>
      <w:r>
        <w:rPr>
          <w:w w:val="120"/>
        </w:rPr>
        <w:t>group</w:t>
      </w:r>
      <w:r>
        <w:rPr>
          <w:spacing w:val="-8"/>
          <w:w w:val="120"/>
        </w:rPr>
        <w:t> </w:t>
      </w:r>
      <w:r>
        <w:rPr>
          <w:spacing w:val="-3"/>
          <w:w w:val="120"/>
        </w:rPr>
        <w:t>to</w:t>
      </w:r>
      <w:r>
        <w:rPr>
          <w:spacing w:val="-7"/>
          <w:w w:val="120"/>
        </w:rPr>
        <w:t> </w:t>
      </w:r>
      <w:r>
        <w:rPr>
          <w:w w:val="120"/>
        </w:rPr>
        <w:t>be</w:t>
      </w:r>
      <w:r>
        <w:rPr>
          <w:spacing w:val="-8"/>
          <w:w w:val="120"/>
        </w:rPr>
        <w:t> </w:t>
      </w:r>
      <w:r>
        <w:rPr>
          <w:w w:val="120"/>
        </w:rPr>
        <w:t>part</w:t>
      </w:r>
      <w:r>
        <w:rPr>
          <w:spacing w:val="-7"/>
          <w:w w:val="120"/>
        </w:rPr>
        <w:t> </w:t>
      </w:r>
      <w:r>
        <w:rPr>
          <w:w w:val="120"/>
        </w:rPr>
        <w:t>of</w:t>
      </w:r>
      <w:r>
        <w:rPr>
          <w:spacing w:val="-8"/>
          <w:w w:val="120"/>
        </w:rPr>
        <w:t> </w:t>
      </w:r>
      <w:r>
        <w:rPr>
          <w:w w:val="120"/>
        </w:rPr>
        <w:t>the</w:t>
      </w:r>
      <w:r>
        <w:rPr>
          <w:spacing w:val="-8"/>
          <w:w w:val="120"/>
        </w:rPr>
        <w:t> </w:t>
      </w:r>
      <w:r>
        <w:rPr>
          <w:w w:val="120"/>
        </w:rPr>
        <w:t>essential</w:t>
      </w:r>
      <w:r>
        <w:rPr>
          <w:spacing w:val="-7"/>
          <w:w w:val="120"/>
        </w:rPr>
        <w:t> </w:t>
      </w:r>
      <w:r>
        <w:rPr>
          <w:spacing w:val="-3"/>
          <w:w w:val="120"/>
        </w:rPr>
        <w:t>nature</w:t>
      </w:r>
      <w:r>
        <w:rPr>
          <w:spacing w:val="-8"/>
          <w:w w:val="120"/>
        </w:rPr>
        <w:t> </w:t>
      </w:r>
      <w:r>
        <w:rPr>
          <w:w w:val="120"/>
        </w:rPr>
        <w:t>of</w:t>
      </w:r>
      <w:r>
        <w:rPr>
          <w:spacing w:val="-7"/>
          <w:w w:val="120"/>
        </w:rPr>
        <w:t> </w:t>
      </w:r>
      <w:r>
        <w:rPr>
          <w:w w:val="120"/>
        </w:rPr>
        <w:t>a</w:t>
      </w:r>
      <w:r>
        <w:rPr>
          <w:spacing w:val="-8"/>
          <w:w w:val="120"/>
        </w:rPr>
        <w:t> </w:t>
      </w:r>
      <w:r>
        <w:rPr>
          <w:w w:val="120"/>
        </w:rPr>
        <w:t>Christian</w:t>
      </w:r>
      <w:r>
        <w:rPr>
          <w:spacing w:val="-7"/>
          <w:w w:val="120"/>
        </w:rPr>
        <w:t> </w:t>
      </w:r>
      <w:r>
        <w:rPr>
          <w:spacing w:val="-4"/>
          <w:w w:val="120"/>
        </w:rPr>
        <w:t>community,</w:t>
      </w:r>
      <w:r>
        <w:rPr>
          <w:spacing w:val="-8"/>
          <w:w w:val="120"/>
        </w:rPr>
        <w:t> </w:t>
      </w:r>
      <w:r>
        <w:rPr>
          <w:w w:val="120"/>
        </w:rPr>
        <w:t>and</w:t>
      </w:r>
      <w:r>
        <w:rPr>
          <w:spacing w:val="-7"/>
          <w:w w:val="120"/>
        </w:rPr>
        <w:t> </w:t>
      </w:r>
      <w:r>
        <w:rPr>
          <w:w w:val="120"/>
        </w:rPr>
        <w:t>therefore</w:t>
      </w:r>
      <w:r>
        <w:rPr>
          <w:spacing w:val="-8"/>
          <w:w w:val="120"/>
        </w:rPr>
        <w:t> </w:t>
      </w:r>
      <w:r>
        <w:rPr>
          <w:w w:val="120"/>
        </w:rPr>
        <w:t>it does</w:t>
      </w:r>
      <w:r>
        <w:rPr>
          <w:spacing w:val="-11"/>
          <w:w w:val="120"/>
        </w:rPr>
        <w:t> </w:t>
      </w:r>
      <w:r>
        <w:rPr>
          <w:spacing w:val="-2"/>
          <w:w w:val="120"/>
        </w:rPr>
        <w:t>not</w:t>
      </w:r>
      <w:r>
        <w:rPr>
          <w:spacing w:val="-11"/>
          <w:w w:val="120"/>
        </w:rPr>
        <w:t> </w:t>
      </w:r>
      <w:r>
        <w:rPr>
          <w:w w:val="120"/>
        </w:rPr>
        <w:t>propose</w:t>
      </w:r>
      <w:r>
        <w:rPr>
          <w:spacing w:val="-10"/>
          <w:w w:val="120"/>
        </w:rPr>
        <w:t> </w:t>
      </w:r>
      <w:r>
        <w:rPr>
          <w:spacing w:val="-3"/>
          <w:w w:val="120"/>
        </w:rPr>
        <w:t>to</w:t>
      </w:r>
      <w:r>
        <w:rPr>
          <w:spacing w:val="-11"/>
          <w:w w:val="120"/>
        </w:rPr>
        <w:t> </w:t>
      </w:r>
      <w:r>
        <w:rPr>
          <w:w w:val="120"/>
        </w:rPr>
        <w:t>take</w:t>
      </w:r>
      <w:r>
        <w:rPr>
          <w:spacing w:val="-10"/>
          <w:w w:val="120"/>
        </w:rPr>
        <w:t> </w:t>
      </w:r>
      <w:r>
        <w:rPr>
          <w:spacing w:val="-3"/>
          <w:w w:val="120"/>
        </w:rPr>
        <w:t>this</w:t>
      </w:r>
      <w:r>
        <w:rPr>
          <w:spacing w:val="-11"/>
          <w:w w:val="120"/>
        </w:rPr>
        <w:t> </w:t>
      </w:r>
      <w:r>
        <w:rPr>
          <w:w w:val="120"/>
        </w:rPr>
        <w:t>particular</w:t>
      </w:r>
      <w:r>
        <w:rPr>
          <w:spacing w:val="-11"/>
          <w:w w:val="120"/>
        </w:rPr>
        <w:t> </w:t>
      </w:r>
      <w:r>
        <w:rPr>
          <w:spacing w:val="-3"/>
          <w:w w:val="120"/>
        </w:rPr>
        <w:t>issue</w:t>
      </w:r>
      <w:r>
        <w:rPr>
          <w:spacing w:val="-10"/>
          <w:w w:val="120"/>
        </w:rPr>
        <w:t> </w:t>
      </w:r>
      <w:r>
        <w:rPr>
          <w:spacing w:val="-3"/>
          <w:w w:val="120"/>
        </w:rPr>
        <w:t>any</w:t>
      </w:r>
      <w:r>
        <w:rPr>
          <w:spacing w:val="-11"/>
          <w:w w:val="120"/>
        </w:rPr>
        <w:t> </w:t>
      </w:r>
      <w:r>
        <w:rPr>
          <w:w w:val="120"/>
        </w:rPr>
        <w:t>further</w:t>
      </w:r>
      <w:r>
        <w:rPr>
          <w:spacing w:val="-10"/>
          <w:w w:val="120"/>
        </w:rPr>
        <w:t> </w:t>
      </w:r>
      <w:r>
        <w:rPr>
          <w:w w:val="120"/>
        </w:rPr>
        <w:t>unless</w:t>
      </w:r>
      <w:r>
        <w:rPr>
          <w:spacing w:val="-11"/>
          <w:w w:val="120"/>
        </w:rPr>
        <w:t> </w:t>
      </w:r>
      <w:r>
        <w:rPr>
          <w:w w:val="120"/>
        </w:rPr>
        <w:t>it</w:t>
      </w:r>
      <w:r>
        <w:rPr>
          <w:spacing w:val="-11"/>
          <w:w w:val="120"/>
        </w:rPr>
        <w:t> </w:t>
      </w:r>
      <w:r>
        <w:rPr>
          <w:w w:val="120"/>
        </w:rPr>
        <w:t>becomes</w:t>
      </w:r>
      <w:r>
        <w:rPr>
          <w:spacing w:val="-10"/>
          <w:w w:val="120"/>
        </w:rPr>
        <w:t> </w:t>
      </w:r>
      <w:r>
        <w:rPr>
          <w:w w:val="120"/>
        </w:rPr>
        <w:t>clear</w:t>
      </w:r>
      <w:r>
        <w:rPr>
          <w:spacing w:val="-11"/>
          <w:w w:val="120"/>
        </w:rPr>
        <w:t> </w:t>
      </w:r>
      <w:r>
        <w:rPr>
          <w:w w:val="120"/>
        </w:rPr>
        <w:t>that</w:t>
      </w:r>
      <w:r>
        <w:rPr>
          <w:spacing w:val="-10"/>
          <w:w w:val="120"/>
        </w:rPr>
        <w:t> </w:t>
      </w:r>
      <w:r>
        <w:rPr>
          <w:w w:val="120"/>
        </w:rPr>
        <w:t>there</w:t>
      </w:r>
      <w:r>
        <w:rPr>
          <w:spacing w:val="-11"/>
          <w:w w:val="120"/>
        </w:rPr>
        <w:t> </w:t>
      </w:r>
      <w:r>
        <w:rPr>
          <w:w w:val="120"/>
        </w:rPr>
        <w:t>are aspects which are </w:t>
      </w:r>
      <w:r>
        <w:rPr>
          <w:spacing w:val="-3"/>
          <w:w w:val="120"/>
        </w:rPr>
        <w:t>causing </w:t>
      </w:r>
      <w:r>
        <w:rPr>
          <w:w w:val="120"/>
        </w:rPr>
        <w:t>serious damage or</w:t>
      </w:r>
      <w:r>
        <w:rPr>
          <w:spacing w:val="-12"/>
          <w:w w:val="120"/>
        </w:rPr>
        <w:t> </w:t>
      </w:r>
      <w:r>
        <w:rPr>
          <w:spacing w:val="-3"/>
          <w:w w:val="120"/>
        </w:rPr>
        <w:t>difficulty.</w:t>
      </w:r>
    </w:p>
    <w:p>
      <w:pPr>
        <w:numPr>
          <w:ilvl w:val="0"/>
          <w:numId w:val="101"/>
        </w:numPr>
        <w:tabs>
          <w:tab w:pos="1853" w:val="left" w:leader="none"/>
          <w:tab w:pos="1854" w:val="left" w:leader="none"/>
        </w:tabs>
        <w:spacing w:before="214"/>
        <w:ind w:left="1853" w:right="0" w:hanging="721"/>
        <w:jc w:val="left"/>
        <w:rPr>
          <w:rFonts w:ascii="Stone Sans II ITC Std Bk"/>
          <w:b/>
          <w:sz w:val="21"/>
        </w:rPr>
      </w:pPr>
      <w:r>
        <w:rPr>
          <w:rFonts w:ascii="Stone Sans II ITC Std Bk"/>
          <w:b/>
          <w:w w:val="115"/>
          <w:sz w:val="21"/>
        </w:rPr>
        <w:t>Unity through</w:t>
      </w:r>
      <w:r>
        <w:rPr>
          <w:rFonts w:ascii="Stone Sans II ITC Std Bk"/>
          <w:b/>
          <w:spacing w:val="-22"/>
          <w:w w:val="115"/>
          <w:sz w:val="21"/>
        </w:rPr>
        <w:t> </w:t>
      </w:r>
      <w:r>
        <w:rPr>
          <w:rFonts w:ascii="Stone Sans II ITC Std Bk"/>
          <w:b/>
          <w:w w:val="115"/>
          <w:sz w:val="21"/>
        </w:rPr>
        <w:t>diversity</w:t>
      </w:r>
    </w:p>
    <w:p>
      <w:pPr>
        <w:pStyle w:val="ListParagraph"/>
        <w:numPr>
          <w:ilvl w:val="1"/>
          <w:numId w:val="101"/>
        </w:numPr>
        <w:tabs>
          <w:tab w:pos="1813" w:val="left" w:leader="none"/>
          <w:tab w:pos="1815" w:val="left" w:leader="none"/>
        </w:tabs>
        <w:spacing w:line="232" w:lineRule="auto" w:before="220" w:after="0"/>
        <w:ind w:left="1133" w:right="1887" w:firstLine="0"/>
        <w:jc w:val="left"/>
        <w:rPr>
          <w:sz w:val="20"/>
        </w:rPr>
      </w:pPr>
      <w:r>
        <w:rPr>
          <w:w w:val="120"/>
          <w:sz w:val="20"/>
        </w:rPr>
        <w:t>The </w:t>
      </w:r>
      <w:r>
        <w:rPr>
          <w:spacing w:val="-3"/>
          <w:w w:val="120"/>
          <w:sz w:val="20"/>
        </w:rPr>
        <w:t>Commitment </w:t>
      </w:r>
      <w:r>
        <w:rPr>
          <w:w w:val="120"/>
          <w:sz w:val="20"/>
        </w:rPr>
        <w:t>which the Assembly has adopted </w:t>
      </w:r>
      <w:r>
        <w:rPr>
          <w:spacing w:val="-3"/>
          <w:w w:val="120"/>
          <w:sz w:val="20"/>
        </w:rPr>
        <w:t>recognises </w:t>
      </w:r>
      <w:r>
        <w:rPr>
          <w:w w:val="120"/>
          <w:sz w:val="20"/>
        </w:rPr>
        <w:t>that there is a </w:t>
      </w:r>
      <w:r>
        <w:rPr>
          <w:spacing w:val="-3"/>
          <w:w w:val="120"/>
          <w:sz w:val="20"/>
        </w:rPr>
        <w:t>considerable</w:t>
      </w:r>
      <w:r>
        <w:rPr>
          <w:spacing w:val="-20"/>
          <w:w w:val="120"/>
          <w:sz w:val="20"/>
        </w:rPr>
        <w:t> </w:t>
      </w:r>
      <w:r>
        <w:rPr>
          <w:w w:val="120"/>
          <w:sz w:val="20"/>
        </w:rPr>
        <w:t>diversity</w:t>
      </w:r>
      <w:r>
        <w:rPr>
          <w:spacing w:val="-19"/>
          <w:w w:val="120"/>
          <w:sz w:val="20"/>
        </w:rPr>
        <w:t> </w:t>
      </w:r>
      <w:r>
        <w:rPr>
          <w:w w:val="120"/>
          <w:sz w:val="20"/>
        </w:rPr>
        <w:t>of</w:t>
      </w:r>
      <w:r>
        <w:rPr>
          <w:spacing w:val="-19"/>
          <w:w w:val="120"/>
          <w:sz w:val="20"/>
        </w:rPr>
        <w:t> </w:t>
      </w:r>
      <w:r>
        <w:rPr>
          <w:w w:val="120"/>
          <w:sz w:val="20"/>
        </w:rPr>
        <w:t>view</w:t>
      </w:r>
      <w:r>
        <w:rPr>
          <w:spacing w:val="-20"/>
          <w:w w:val="120"/>
          <w:sz w:val="20"/>
        </w:rPr>
        <w:t> </w:t>
      </w:r>
      <w:r>
        <w:rPr>
          <w:w w:val="120"/>
          <w:sz w:val="20"/>
        </w:rPr>
        <w:t>on</w:t>
      </w:r>
      <w:r>
        <w:rPr>
          <w:spacing w:val="-19"/>
          <w:w w:val="120"/>
          <w:sz w:val="20"/>
        </w:rPr>
        <w:t> </w:t>
      </w:r>
      <w:r>
        <w:rPr>
          <w:w w:val="120"/>
          <w:sz w:val="20"/>
        </w:rPr>
        <w:t>matters</w:t>
      </w:r>
      <w:r>
        <w:rPr>
          <w:spacing w:val="-19"/>
          <w:w w:val="120"/>
          <w:sz w:val="20"/>
        </w:rPr>
        <w:t> </w:t>
      </w:r>
      <w:r>
        <w:rPr>
          <w:w w:val="120"/>
          <w:sz w:val="20"/>
        </w:rPr>
        <w:t>of</w:t>
      </w:r>
      <w:r>
        <w:rPr>
          <w:spacing w:val="-20"/>
          <w:w w:val="120"/>
          <w:sz w:val="20"/>
        </w:rPr>
        <w:t> </w:t>
      </w:r>
      <w:r>
        <w:rPr>
          <w:spacing w:val="-3"/>
          <w:w w:val="120"/>
          <w:sz w:val="20"/>
        </w:rPr>
        <w:t>human</w:t>
      </w:r>
      <w:r>
        <w:rPr>
          <w:spacing w:val="-19"/>
          <w:w w:val="120"/>
          <w:sz w:val="20"/>
        </w:rPr>
        <w:t> </w:t>
      </w:r>
      <w:r>
        <w:rPr>
          <w:w w:val="120"/>
          <w:sz w:val="20"/>
        </w:rPr>
        <w:t>sexuality</w:t>
      </w:r>
      <w:r>
        <w:rPr>
          <w:spacing w:val="-19"/>
          <w:w w:val="120"/>
          <w:sz w:val="20"/>
        </w:rPr>
        <w:t> </w:t>
      </w:r>
      <w:r>
        <w:rPr>
          <w:w w:val="120"/>
          <w:sz w:val="20"/>
        </w:rPr>
        <w:t>held</w:t>
      </w:r>
      <w:r>
        <w:rPr>
          <w:spacing w:val="-20"/>
          <w:w w:val="120"/>
          <w:sz w:val="20"/>
        </w:rPr>
        <w:t> </w:t>
      </w:r>
      <w:r>
        <w:rPr>
          <w:spacing w:val="-3"/>
          <w:w w:val="120"/>
          <w:sz w:val="20"/>
        </w:rPr>
        <w:t>within</w:t>
      </w:r>
      <w:r>
        <w:rPr>
          <w:spacing w:val="-19"/>
          <w:w w:val="120"/>
          <w:sz w:val="20"/>
        </w:rPr>
        <w:t> </w:t>
      </w:r>
      <w:r>
        <w:rPr>
          <w:w w:val="120"/>
          <w:sz w:val="20"/>
        </w:rPr>
        <w:t>the</w:t>
      </w:r>
      <w:r>
        <w:rPr>
          <w:spacing w:val="-19"/>
          <w:w w:val="120"/>
          <w:sz w:val="20"/>
        </w:rPr>
        <w:t> </w:t>
      </w:r>
      <w:r>
        <w:rPr>
          <w:spacing w:val="-3"/>
          <w:w w:val="120"/>
          <w:sz w:val="20"/>
        </w:rPr>
        <w:t>United</w:t>
      </w:r>
      <w:r>
        <w:rPr>
          <w:spacing w:val="-19"/>
          <w:w w:val="120"/>
          <w:sz w:val="20"/>
        </w:rPr>
        <w:t> </w:t>
      </w:r>
      <w:r>
        <w:rPr>
          <w:w w:val="120"/>
          <w:sz w:val="20"/>
        </w:rPr>
        <w:t>Reformed </w:t>
      </w:r>
      <w:r>
        <w:rPr>
          <w:spacing w:val="-3"/>
          <w:w w:val="120"/>
          <w:sz w:val="20"/>
        </w:rPr>
        <w:t>Church. </w:t>
      </w:r>
      <w:r>
        <w:rPr>
          <w:w w:val="120"/>
          <w:sz w:val="20"/>
        </w:rPr>
        <w:t>It ends with the </w:t>
      </w:r>
      <w:r>
        <w:rPr>
          <w:spacing w:val="-3"/>
          <w:w w:val="120"/>
          <w:sz w:val="20"/>
        </w:rPr>
        <w:t>commitment ‘to </w:t>
      </w:r>
      <w:r>
        <w:rPr>
          <w:w w:val="120"/>
          <w:sz w:val="20"/>
        </w:rPr>
        <w:t>stay </w:t>
      </w:r>
      <w:r>
        <w:rPr>
          <w:spacing w:val="-4"/>
          <w:w w:val="120"/>
          <w:sz w:val="20"/>
        </w:rPr>
        <w:t>together, </w:t>
      </w:r>
      <w:r>
        <w:rPr>
          <w:spacing w:val="-3"/>
          <w:w w:val="120"/>
          <w:sz w:val="20"/>
        </w:rPr>
        <w:t>to </w:t>
      </w:r>
      <w:r>
        <w:rPr>
          <w:w w:val="120"/>
          <w:sz w:val="20"/>
        </w:rPr>
        <w:t>work and pray </w:t>
      </w:r>
      <w:r>
        <w:rPr>
          <w:spacing w:val="-4"/>
          <w:w w:val="120"/>
          <w:sz w:val="20"/>
        </w:rPr>
        <w:t>together, </w:t>
      </w:r>
      <w:r>
        <w:rPr>
          <w:spacing w:val="-3"/>
          <w:w w:val="120"/>
          <w:sz w:val="20"/>
        </w:rPr>
        <w:t>to </w:t>
      </w:r>
      <w:r>
        <w:rPr>
          <w:w w:val="120"/>
          <w:sz w:val="20"/>
        </w:rPr>
        <w:t>treat one</w:t>
      </w:r>
      <w:r>
        <w:rPr>
          <w:spacing w:val="-10"/>
          <w:w w:val="120"/>
          <w:sz w:val="20"/>
        </w:rPr>
        <w:t> </w:t>
      </w:r>
      <w:r>
        <w:rPr>
          <w:w w:val="120"/>
          <w:sz w:val="20"/>
        </w:rPr>
        <w:t>another</w:t>
      </w:r>
      <w:r>
        <w:rPr>
          <w:spacing w:val="-10"/>
          <w:w w:val="120"/>
          <w:sz w:val="20"/>
        </w:rPr>
        <w:t> </w:t>
      </w:r>
      <w:r>
        <w:rPr>
          <w:w w:val="120"/>
          <w:sz w:val="20"/>
        </w:rPr>
        <w:t>with</w:t>
      </w:r>
      <w:r>
        <w:rPr>
          <w:spacing w:val="-9"/>
          <w:w w:val="120"/>
          <w:sz w:val="20"/>
        </w:rPr>
        <w:t> </w:t>
      </w:r>
      <w:r>
        <w:rPr>
          <w:w w:val="120"/>
          <w:sz w:val="20"/>
        </w:rPr>
        <w:t>respect,</w:t>
      </w:r>
      <w:r>
        <w:rPr>
          <w:spacing w:val="-10"/>
          <w:w w:val="120"/>
          <w:sz w:val="20"/>
        </w:rPr>
        <w:t> </w:t>
      </w:r>
      <w:r>
        <w:rPr>
          <w:w w:val="120"/>
          <w:sz w:val="20"/>
        </w:rPr>
        <w:t>and</w:t>
      </w:r>
      <w:r>
        <w:rPr>
          <w:spacing w:val="-9"/>
          <w:w w:val="120"/>
          <w:sz w:val="20"/>
        </w:rPr>
        <w:t> </w:t>
      </w:r>
      <w:r>
        <w:rPr>
          <w:spacing w:val="-3"/>
          <w:w w:val="120"/>
          <w:sz w:val="20"/>
        </w:rPr>
        <w:t>to</w:t>
      </w:r>
      <w:r>
        <w:rPr>
          <w:spacing w:val="-10"/>
          <w:w w:val="120"/>
          <w:sz w:val="20"/>
        </w:rPr>
        <w:t> </w:t>
      </w:r>
      <w:r>
        <w:rPr>
          <w:w w:val="120"/>
          <w:sz w:val="20"/>
        </w:rPr>
        <w:t>seek</w:t>
      </w:r>
      <w:r>
        <w:rPr>
          <w:spacing w:val="-9"/>
          <w:w w:val="120"/>
          <w:sz w:val="20"/>
        </w:rPr>
        <w:t> </w:t>
      </w:r>
      <w:r>
        <w:rPr>
          <w:spacing w:val="-4"/>
          <w:w w:val="120"/>
          <w:sz w:val="20"/>
        </w:rPr>
        <w:t>God’s</w:t>
      </w:r>
      <w:r>
        <w:rPr>
          <w:spacing w:val="-10"/>
          <w:w w:val="120"/>
          <w:sz w:val="20"/>
        </w:rPr>
        <w:t> </w:t>
      </w:r>
      <w:r>
        <w:rPr>
          <w:w w:val="120"/>
          <w:sz w:val="20"/>
        </w:rPr>
        <w:t>gifts</w:t>
      </w:r>
      <w:r>
        <w:rPr>
          <w:spacing w:val="-9"/>
          <w:w w:val="120"/>
          <w:sz w:val="20"/>
        </w:rPr>
        <w:t> </w:t>
      </w:r>
      <w:r>
        <w:rPr>
          <w:w w:val="120"/>
          <w:sz w:val="20"/>
        </w:rPr>
        <w:t>of</w:t>
      </w:r>
      <w:r>
        <w:rPr>
          <w:spacing w:val="-10"/>
          <w:w w:val="120"/>
          <w:sz w:val="20"/>
        </w:rPr>
        <w:t> </w:t>
      </w:r>
      <w:r>
        <w:rPr>
          <w:spacing w:val="-4"/>
          <w:w w:val="120"/>
          <w:sz w:val="20"/>
        </w:rPr>
        <w:t>unity,</w:t>
      </w:r>
      <w:r>
        <w:rPr>
          <w:spacing w:val="-9"/>
          <w:w w:val="120"/>
          <w:sz w:val="20"/>
        </w:rPr>
        <w:t> </w:t>
      </w:r>
      <w:r>
        <w:rPr>
          <w:spacing w:val="-4"/>
          <w:w w:val="120"/>
          <w:sz w:val="20"/>
        </w:rPr>
        <w:t>harmony,</w:t>
      </w:r>
      <w:r>
        <w:rPr>
          <w:spacing w:val="-10"/>
          <w:w w:val="120"/>
          <w:sz w:val="20"/>
        </w:rPr>
        <w:t> </w:t>
      </w:r>
      <w:r>
        <w:rPr>
          <w:w w:val="120"/>
          <w:sz w:val="20"/>
        </w:rPr>
        <w:t>wisdom</w:t>
      </w:r>
      <w:r>
        <w:rPr>
          <w:spacing w:val="-10"/>
          <w:w w:val="120"/>
          <w:sz w:val="20"/>
        </w:rPr>
        <w:t> </w:t>
      </w:r>
      <w:r>
        <w:rPr>
          <w:w w:val="120"/>
          <w:sz w:val="20"/>
        </w:rPr>
        <w:t>and</w:t>
      </w:r>
      <w:r>
        <w:rPr>
          <w:spacing w:val="-9"/>
          <w:w w:val="120"/>
          <w:sz w:val="20"/>
        </w:rPr>
        <w:t> </w:t>
      </w:r>
      <w:r>
        <w:rPr>
          <w:w w:val="120"/>
          <w:sz w:val="20"/>
        </w:rPr>
        <w:t>deeper</w:t>
      </w:r>
    </w:p>
    <w:p>
      <w:pPr>
        <w:pStyle w:val="BodyText"/>
        <w:spacing w:line="232" w:lineRule="auto" w:before="5"/>
        <w:ind w:left="1133" w:right="1651"/>
        <w:jc w:val="both"/>
      </w:pPr>
      <w:r>
        <w:rPr>
          <w:spacing w:val="-3"/>
          <w:w w:val="120"/>
        </w:rPr>
        <w:t>understanding’.</w:t>
      </w:r>
      <w:r>
        <w:rPr>
          <w:spacing w:val="-17"/>
          <w:w w:val="120"/>
        </w:rPr>
        <w:t> </w:t>
      </w:r>
      <w:r>
        <w:rPr>
          <w:spacing w:val="-4"/>
          <w:w w:val="120"/>
        </w:rPr>
        <w:t>However,</w:t>
      </w:r>
      <w:r>
        <w:rPr>
          <w:spacing w:val="-17"/>
          <w:w w:val="120"/>
        </w:rPr>
        <w:t> </w:t>
      </w:r>
      <w:r>
        <w:rPr>
          <w:w w:val="120"/>
        </w:rPr>
        <w:t>serious</w:t>
      </w:r>
      <w:r>
        <w:rPr>
          <w:spacing w:val="-17"/>
          <w:w w:val="120"/>
        </w:rPr>
        <w:t> </w:t>
      </w:r>
      <w:r>
        <w:rPr>
          <w:w w:val="120"/>
        </w:rPr>
        <w:t>questions</w:t>
      </w:r>
      <w:r>
        <w:rPr>
          <w:spacing w:val="-17"/>
          <w:w w:val="120"/>
        </w:rPr>
        <w:t> </w:t>
      </w:r>
      <w:r>
        <w:rPr>
          <w:spacing w:val="-3"/>
          <w:w w:val="120"/>
        </w:rPr>
        <w:t>remain.</w:t>
      </w:r>
      <w:r>
        <w:rPr>
          <w:spacing w:val="-16"/>
          <w:w w:val="120"/>
        </w:rPr>
        <w:t> </w:t>
      </w:r>
      <w:r>
        <w:rPr>
          <w:w w:val="120"/>
        </w:rPr>
        <w:t>How</w:t>
      </w:r>
      <w:r>
        <w:rPr>
          <w:spacing w:val="-17"/>
          <w:w w:val="120"/>
        </w:rPr>
        <w:t> </w:t>
      </w:r>
      <w:r>
        <w:rPr>
          <w:w w:val="120"/>
        </w:rPr>
        <w:t>much</w:t>
      </w:r>
      <w:r>
        <w:rPr>
          <w:spacing w:val="-17"/>
          <w:w w:val="120"/>
        </w:rPr>
        <w:t> </w:t>
      </w:r>
      <w:r>
        <w:rPr>
          <w:w w:val="120"/>
        </w:rPr>
        <w:t>diversity</w:t>
      </w:r>
      <w:r>
        <w:rPr>
          <w:spacing w:val="-17"/>
          <w:w w:val="120"/>
        </w:rPr>
        <w:t> </w:t>
      </w:r>
      <w:r>
        <w:rPr>
          <w:w w:val="120"/>
        </w:rPr>
        <w:t>is</w:t>
      </w:r>
      <w:r>
        <w:rPr>
          <w:spacing w:val="-16"/>
          <w:w w:val="120"/>
        </w:rPr>
        <w:t> </w:t>
      </w:r>
      <w:r>
        <w:rPr>
          <w:spacing w:val="-3"/>
          <w:w w:val="120"/>
        </w:rPr>
        <w:t>possible</w:t>
      </w:r>
      <w:r>
        <w:rPr>
          <w:spacing w:val="-17"/>
          <w:w w:val="120"/>
        </w:rPr>
        <w:t> </w:t>
      </w:r>
      <w:r>
        <w:rPr>
          <w:w w:val="120"/>
        </w:rPr>
        <w:t>before</w:t>
      </w:r>
      <w:r>
        <w:rPr>
          <w:spacing w:val="-17"/>
          <w:w w:val="120"/>
        </w:rPr>
        <w:t> </w:t>
      </w:r>
      <w:r>
        <w:rPr>
          <w:w w:val="120"/>
        </w:rPr>
        <w:t>unity loses</w:t>
      </w:r>
      <w:r>
        <w:rPr>
          <w:spacing w:val="-16"/>
          <w:w w:val="120"/>
        </w:rPr>
        <w:t> </w:t>
      </w:r>
      <w:r>
        <w:rPr>
          <w:w w:val="120"/>
        </w:rPr>
        <w:t>its</w:t>
      </w:r>
      <w:r>
        <w:rPr>
          <w:spacing w:val="-16"/>
          <w:w w:val="120"/>
        </w:rPr>
        <w:t> </w:t>
      </w:r>
      <w:r>
        <w:rPr>
          <w:spacing w:val="-4"/>
          <w:w w:val="120"/>
        </w:rPr>
        <w:t>meaning?</w:t>
      </w:r>
      <w:r>
        <w:rPr>
          <w:spacing w:val="-16"/>
          <w:w w:val="120"/>
        </w:rPr>
        <w:t> </w:t>
      </w:r>
      <w:r>
        <w:rPr>
          <w:w w:val="120"/>
        </w:rPr>
        <w:t>Does</w:t>
      </w:r>
      <w:r>
        <w:rPr>
          <w:spacing w:val="-16"/>
          <w:w w:val="120"/>
        </w:rPr>
        <w:t> </w:t>
      </w:r>
      <w:r>
        <w:rPr>
          <w:w w:val="120"/>
        </w:rPr>
        <w:t>the</w:t>
      </w:r>
      <w:r>
        <w:rPr>
          <w:spacing w:val="-16"/>
          <w:w w:val="120"/>
        </w:rPr>
        <w:t> </w:t>
      </w:r>
      <w:r>
        <w:rPr>
          <w:w w:val="120"/>
        </w:rPr>
        <w:t>desire</w:t>
      </w:r>
      <w:r>
        <w:rPr>
          <w:spacing w:val="-16"/>
          <w:w w:val="120"/>
        </w:rPr>
        <w:t> </w:t>
      </w:r>
      <w:r>
        <w:rPr>
          <w:w w:val="120"/>
        </w:rPr>
        <w:t>for</w:t>
      </w:r>
      <w:r>
        <w:rPr>
          <w:spacing w:val="-16"/>
          <w:w w:val="120"/>
        </w:rPr>
        <w:t> </w:t>
      </w:r>
      <w:r>
        <w:rPr>
          <w:w w:val="120"/>
        </w:rPr>
        <w:t>unity</w:t>
      </w:r>
      <w:r>
        <w:rPr>
          <w:spacing w:val="-16"/>
          <w:w w:val="120"/>
        </w:rPr>
        <w:t> </w:t>
      </w:r>
      <w:r>
        <w:rPr>
          <w:w w:val="120"/>
        </w:rPr>
        <w:t>mean</w:t>
      </w:r>
      <w:r>
        <w:rPr>
          <w:spacing w:val="-16"/>
          <w:w w:val="120"/>
        </w:rPr>
        <w:t> </w:t>
      </w:r>
      <w:r>
        <w:rPr>
          <w:w w:val="120"/>
        </w:rPr>
        <w:t>that</w:t>
      </w:r>
      <w:r>
        <w:rPr>
          <w:spacing w:val="-16"/>
          <w:w w:val="120"/>
        </w:rPr>
        <w:t> </w:t>
      </w:r>
      <w:r>
        <w:rPr>
          <w:w w:val="120"/>
        </w:rPr>
        <w:t>truth</w:t>
      </w:r>
      <w:r>
        <w:rPr>
          <w:spacing w:val="-15"/>
          <w:w w:val="120"/>
        </w:rPr>
        <w:t> </w:t>
      </w:r>
      <w:r>
        <w:rPr>
          <w:w w:val="120"/>
        </w:rPr>
        <w:t>and</w:t>
      </w:r>
      <w:r>
        <w:rPr>
          <w:spacing w:val="-16"/>
          <w:w w:val="120"/>
        </w:rPr>
        <w:t> </w:t>
      </w:r>
      <w:r>
        <w:rPr>
          <w:spacing w:val="-3"/>
          <w:w w:val="120"/>
        </w:rPr>
        <w:t>conviction</w:t>
      </w:r>
      <w:r>
        <w:rPr>
          <w:spacing w:val="-16"/>
          <w:w w:val="120"/>
        </w:rPr>
        <w:t> </w:t>
      </w:r>
      <w:r>
        <w:rPr>
          <w:spacing w:val="-3"/>
          <w:w w:val="120"/>
        </w:rPr>
        <w:t>have</w:t>
      </w:r>
      <w:r>
        <w:rPr>
          <w:spacing w:val="-16"/>
          <w:w w:val="120"/>
        </w:rPr>
        <w:t> </w:t>
      </w:r>
      <w:r>
        <w:rPr>
          <w:spacing w:val="-3"/>
          <w:w w:val="120"/>
        </w:rPr>
        <w:t>to</w:t>
      </w:r>
      <w:r>
        <w:rPr>
          <w:spacing w:val="-16"/>
          <w:w w:val="120"/>
        </w:rPr>
        <w:t> </w:t>
      </w:r>
      <w:r>
        <w:rPr>
          <w:w w:val="120"/>
        </w:rPr>
        <w:t>be</w:t>
      </w:r>
      <w:r>
        <w:rPr>
          <w:spacing w:val="-16"/>
          <w:w w:val="120"/>
        </w:rPr>
        <w:t> </w:t>
      </w:r>
      <w:r>
        <w:rPr>
          <w:w w:val="120"/>
        </w:rPr>
        <w:t>subjected </w:t>
      </w:r>
      <w:r>
        <w:rPr>
          <w:spacing w:val="-3"/>
          <w:w w:val="120"/>
        </w:rPr>
        <w:t>to </w:t>
      </w:r>
      <w:r>
        <w:rPr>
          <w:spacing w:val="-4"/>
          <w:w w:val="120"/>
        </w:rPr>
        <w:t>it? </w:t>
      </w:r>
      <w:r>
        <w:rPr>
          <w:w w:val="120"/>
        </w:rPr>
        <w:t>What is the </w:t>
      </w:r>
      <w:r>
        <w:rPr>
          <w:spacing w:val="-3"/>
          <w:w w:val="120"/>
        </w:rPr>
        <w:t>basis </w:t>
      </w:r>
      <w:r>
        <w:rPr>
          <w:w w:val="120"/>
        </w:rPr>
        <w:t>on which the </w:t>
      </w:r>
      <w:r>
        <w:rPr>
          <w:spacing w:val="-3"/>
          <w:w w:val="120"/>
        </w:rPr>
        <w:t>Church </w:t>
      </w:r>
      <w:r>
        <w:rPr>
          <w:w w:val="120"/>
        </w:rPr>
        <w:t>is</w:t>
      </w:r>
      <w:r>
        <w:rPr>
          <w:spacing w:val="-35"/>
          <w:w w:val="120"/>
        </w:rPr>
        <w:t> </w:t>
      </w:r>
      <w:r>
        <w:rPr>
          <w:spacing w:val="-3"/>
          <w:w w:val="120"/>
        </w:rPr>
        <w:t>united?</w:t>
      </w:r>
    </w:p>
    <w:p>
      <w:pPr>
        <w:pStyle w:val="BodyText"/>
        <w:spacing w:before="9"/>
        <w:rPr>
          <w:sz w:val="19"/>
        </w:rPr>
      </w:pPr>
    </w:p>
    <w:p>
      <w:pPr>
        <w:pStyle w:val="ListParagraph"/>
        <w:numPr>
          <w:ilvl w:val="1"/>
          <w:numId w:val="101"/>
        </w:numPr>
        <w:tabs>
          <w:tab w:pos="1814" w:val="left" w:leader="none"/>
          <w:tab w:pos="1815" w:val="left" w:leader="none"/>
        </w:tabs>
        <w:spacing w:line="232" w:lineRule="auto" w:before="1" w:after="0"/>
        <w:ind w:left="1133" w:right="1832" w:firstLine="0"/>
        <w:jc w:val="left"/>
        <w:rPr>
          <w:sz w:val="20"/>
        </w:rPr>
      </w:pPr>
      <w:r>
        <w:rPr>
          <w:w w:val="120"/>
          <w:sz w:val="20"/>
        </w:rPr>
        <w:t>Although human sexuality is the issue which has given rise to these questions, they actually apply across the whole range of Christian faith and life. Therefore, in encouraging groups to think about this subject, the task group advises that it should be done in general terms and not related to one particular issue. It may help sometimes to consider particular examples in order to give focus to the discussion, but any conclusions could be tested by relating them to other aspects of faith and life. There is a need for consistency in whatever conclusions we may</w:t>
      </w:r>
      <w:r>
        <w:rPr>
          <w:spacing w:val="5"/>
          <w:w w:val="120"/>
          <w:sz w:val="20"/>
        </w:rPr>
        <w:t> </w:t>
      </w:r>
      <w:r>
        <w:rPr>
          <w:w w:val="120"/>
          <w:sz w:val="20"/>
        </w:rPr>
        <w:t>reach.</w:t>
      </w:r>
    </w:p>
    <w:p>
      <w:pPr>
        <w:pStyle w:val="BodyText"/>
        <w:spacing w:before="2"/>
      </w:pPr>
    </w:p>
    <w:p>
      <w:pPr>
        <w:pStyle w:val="ListParagraph"/>
        <w:numPr>
          <w:ilvl w:val="1"/>
          <w:numId w:val="101"/>
        </w:numPr>
        <w:tabs>
          <w:tab w:pos="1814" w:val="left" w:leader="none"/>
          <w:tab w:pos="1815" w:val="left" w:leader="none"/>
        </w:tabs>
        <w:spacing w:line="232" w:lineRule="auto" w:before="0" w:after="0"/>
        <w:ind w:left="1133" w:right="1693" w:firstLine="0"/>
        <w:jc w:val="left"/>
        <w:rPr>
          <w:sz w:val="20"/>
        </w:rPr>
      </w:pPr>
      <w:r>
        <w:rPr>
          <w:w w:val="120"/>
          <w:sz w:val="20"/>
        </w:rPr>
        <w:t>In the following paragraphs issues of unity and diversity are considered in a variety of contexts and in each case some questions are posed. No attempt has been made to explore the issues in depth: it is </w:t>
      </w:r>
      <w:r>
        <w:rPr>
          <w:spacing w:val="2"/>
          <w:w w:val="120"/>
          <w:sz w:val="20"/>
        </w:rPr>
        <w:t>left </w:t>
      </w:r>
      <w:r>
        <w:rPr>
          <w:w w:val="120"/>
          <w:sz w:val="20"/>
        </w:rPr>
        <w:t>for individuals and groups to do that for themselves in whatever ways they find</w:t>
      </w:r>
      <w:r>
        <w:rPr>
          <w:spacing w:val="5"/>
          <w:w w:val="120"/>
          <w:sz w:val="20"/>
        </w:rPr>
        <w:t> </w:t>
      </w:r>
      <w:r>
        <w:rPr>
          <w:w w:val="120"/>
          <w:sz w:val="20"/>
        </w:rPr>
        <w:t>helpful.</w:t>
      </w:r>
    </w:p>
    <w:p>
      <w:pPr>
        <w:spacing w:after="0" w:line="232" w:lineRule="auto"/>
        <w:jc w:val="left"/>
        <w:rPr>
          <w:sz w:val="20"/>
        </w:rPr>
        <w:sectPr>
          <w:pgSz w:w="11910" w:h="16840"/>
          <w:pgMar w:header="0" w:footer="647" w:top="1060" w:bottom="840" w:left="0" w:right="0"/>
        </w:sectPr>
      </w:pPr>
    </w:p>
    <w:p>
      <w:pPr>
        <w:pStyle w:val="ListParagraph"/>
        <w:numPr>
          <w:ilvl w:val="2"/>
          <w:numId w:val="101"/>
        </w:numPr>
        <w:tabs>
          <w:tab w:pos="2664" w:val="left" w:leader="none"/>
          <w:tab w:pos="2665" w:val="left" w:leader="none"/>
        </w:tabs>
        <w:spacing w:line="232" w:lineRule="auto" w:before="80" w:after="0"/>
        <w:ind w:left="1984" w:right="1171" w:firstLine="0"/>
        <w:jc w:val="left"/>
        <w:rPr>
          <w:sz w:val="20"/>
        </w:rPr>
      </w:pPr>
      <w:r>
        <w:rPr/>
        <w:pict>
          <v:rect style="position:absolute;margin-left:558.424988pt;margin-top:8.467788pt;width:22.677pt;height:22.677pt;mso-position-horizontal-relative:page;mso-position-vertical-relative:paragraph;z-index:251921408" filled="true" fillcolor="#f9e9c1" stroked="false">
            <v:fill opacity="32768f" type="solid"/>
            <w10:wrap type="none"/>
          </v:rect>
        </w:pict>
      </w:r>
      <w:r>
        <w:rPr>
          <w:rFonts w:ascii="Stone Sans II ITC Std Bk" w:hAnsi="Stone Sans II ITC Std Bk"/>
          <w:b/>
          <w:w w:val="120"/>
          <w:sz w:val="20"/>
        </w:rPr>
        <w:t>Unity</w:t>
      </w:r>
      <w:r>
        <w:rPr>
          <w:rFonts w:ascii="Stone Sans II ITC Std Bk" w:hAnsi="Stone Sans II ITC Std Bk"/>
          <w:b/>
          <w:spacing w:val="-22"/>
          <w:w w:val="120"/>
          <w:sz w:val="20"/>
        </w:rPr>
        <w:t> </w:t>
      </w:r>
      <w:r>
        <w:rPr>
          <w:rFonts w:ascii="Stone Sans II ITC Std Bk" w:hAnsi="Stone Sans II ITC Std Bk"/>
          <w:b/>
          <w:w w:val="120"/>
          <w:sz w:val="20"/>
        </w:rPr>
        <w:t>in</w:t>
      </w:r>
      <w:r>
        <w:rPr>
          <w:rFonts w:ascii="Stone Sans II ITC Std Bk" w:hAnsi="Stone Sans II ITC Std Bk"/>
          <w:b/>
          <w:spacing w:val="-22"/>
          <w:w w:val="120"/>
          <w:sz w:val="20"/>
        </w:rPr>
        <w:t> </w:t>
      </w:r>
      <w:r>
        <w:rPr>
          <w:rFonts w:ascii="Stone Sans II ITC Std Bk" w:hAnsi="Stone Sans II ITC Std Bk"/>
          <w:b/>
          <w:w w:val="120"/>
          <w:sz w:val="20"/>
        </w:rPr>
        <w:t>the</w:t>
      </w:r>
      <w:r>
        <w:rPr>
          <w:rFonts w:ascii="Stone Sans II ITC Std Bk" w:hAnsi="Stone Sans II ITC Std Bk"/>
          <w:b/>
          <w:spacing w:val="-21"/>
          <w:w w:val="120"/>
          <w:sz w:val="20"/>
        </w:rPr>
        <w:t> </w:t>
      </w:r>
      <w:r>
        <w:rPr>
          <w:rFonts w:ascii="Stone Sans II ITC Std Bk" w:hAnsi="Stone Sans II ITC Std Bk"/>
          <w:b/>
          <w:w w:val="120"/>
          <w:sz w:val="20"/>
        </w:rPr>
        <w:t>New</w:t>
      </w:r>
      <w:r>
        <w:rPr>
          <w:rFonts w:ascii="Stone Sans II ITC Std Bk" w:hAnsi="Stone Sans II ITC Std Bk"/>
          <w:b/>
          <w:spacing w:val="-22"/>
          <w:w w:val="120"/>
          <w:sz w:val="20"/>
        </w:rPr>
        <w:t> </w:t>
      </w:r>
      <w:r>
        <w:rPr>
          <w:rFonts w:ascii="Stone Sans II ITC Std Bk" w:hAnsi="Stone Sans II ITC Std Bk"/>
          <w:b/>
          <w:w w:val="120"/>
          <w:sz w:val="20"/>
        </w:rPr>
        <w:t>Testament.</w:t>
      </w:r>
      <w:r>
        <w:rPr>
          <w:rFonts w:ascii="Stone Sans II ITC Std Bk" w:hAnsi="Stone Sans II ITC Std Bk"/>
          <w:b/>
          <w:spacing w:val="-21"/>
          <w:w w:val="120"/>
          <w:sz w:val="20"/>
        </w:rPr>
        <w:t> </w:t>
      </w:r>
      <w:r>
        <w:rPr>
          <w:w w:val="120"/>
          <w:sz w:val="20"/>
        </w:rPr>
        <w:t>Unity</w:t>
      </w:r>
      <w:r>
        <w:rPr>
          <w:spacing w:val="-14"/>
          <w:w w:val="120"/>
          <w:sz w:val="20"/>
        </w:rPr>
        <w:t> </w:t>
      </w:r>
      <w:r>
        <w:rPr>
          <w:w w:val="120"/>
          <w:sz w:val="20"/>
        </w:rPr>
        <w:t>is</w:t>
      </w:r>
      <w:r>
        <w:rPr>
          <w:spacing w:val="-13"/>
          <w:w w:val="120"/>
          <w:sz w:val="20"/>
        </w:rPr>
        <w:t> </w:t>
      </w:r>
      <w:r>
        <w:rPr>
          <w:w w:val="120"/>
          <w:sz w:val="20"/>
        </w:rPr>
        <w:t>the</w:t>
      </w:r>
      <w:r>
        <w:rPr>
          <w:spacing w:val="-14"/>
          <w:w w:val="120"/>
          <w:sz w:val="20"/>
        </w:rPr>
        <w:t> </w:t>
      </w:r>
      <w:r>
        <w:rPr>
          <w:w w:val="120"/>
          <w:sz w:val="20"/>
        </w:rPr>
        <w:t>essence</w:t>
      </w:r>
      <w:r>
        <w:rPr>
          <w:spacing w:val="-13"/>
          <w:w w:val="120"/>
          <w:sz w:val="20"/>
        </w:rPr>
        <w:t> </w:t>
      </w:r>
      <w:r>
        <w:rPr>
          <w:w w:val="120"/>
          <w:sz w:val="20"/>
        </w:rPr>
        <w:t>of</w:t>
      </w:r>
      <w:r>
        <w:rPr>
          <w:spacing w:val="-14"/>
          <w:w w:val="120"/>
          <w:sz w:val="20"/>
        </w:rPr>
        <w:t> </w:t>
      </w:r>
      <w:r>
        <w:rPr>
          <w:w w:val="120"/>
          <w:sz w:val="20"/>
        </w:rPr>
        <w:t>the</w:t>
      </w:r>
      <w:r>
        <w:rPr>
          <w:spacing w:val="-13"/>
          <w:w w:val="120"/>
          <w:sz w:val="20"/>
        </w:rPr>
        <w:t> </w:t>
      </w:r>
      <w:r>
        <w:rPr>
          <w:w w:val="120"/>
          <w:sz w:val="20"/>
        </w:rPr>
        <w:t>Christian</w:t>
      </w:r>
      <w:r>
        <w:rPr>
          <w:spacing w:val="-14"/>
          <w:w w:val="120"/>
          <w:sz w:val="20"/>
        </w:rPr>
        <w:t> </w:t>
      </w:r>
      <w:r>
        <w:rPr>
          <w:w w:val="120"/>
          <w:sz w:val="20"/>
        </w:rPr>
        <w:t>community. ‘There is one body and one Spirit, just as you were called to the one hope of your    calling, one Lord, one faith, one baptism, one God and Father of all, who is above all and through all and in all’ (Ephesians 4:4-6) ‘Because there is one bread, we who are many  are one </w:t>
      </w:r>
      <w:r>
        <w:rPr>
          <w:spacing w:val="-3"/>
          <w:w w:val="120"/>
          <w:sz w:val="20"/>
        </w:rPr>
        <w:t>body, </w:t>
      </w:r>
      <w:r>
        <w:rPr>
          <w:w w:val="120"/>
          <w:sz w:val="20"/>
        </w:rPr>
        <w:t>for we all participate of the one bread’ (I Corinthians </w:t>
      </w:r>
      <w:r>
        <w:rPr>
          <w:spacing w:val="-9"/>
          <w:w w:val="120"/>
          <w:sz w:val="20"/>
        </w:rPr>
        <w:t>10:17). </w:t>
      </w:r>
      <w:r>
        <w:rPr>
          <w:w w:val="120"/>
          <w:sz w:val="20"/>
        </w:rPr>
        <w:t>Unity is the subject of the prayer of Jesus that they all may be one (John </w:t>
      </w:r>
      <w:r>
        <w:rPr>
          <w:spacing w:val="-6"/>
          <w:w w:val="120"/>
          <w:sz w:val="20"/>
        </w:rPr>
        <w:t>17:20-23). </w:t>
      </w:r>
      <w:r>
        <w:rPr>
          <w:w w:val="120"/>
          <w:sz w:val="20"/>
        </w:rPr>
        <w:t>It is based on the word of Jesus that disciples are chosen by him; they do not make the choice (John </w:t>
      </w:r>
      <w:r>
        <w:rPr>
          <w:spacing w:val="-10"/>
          <w:w w:val="120"/>
          <w:sz w:val="20"/>
        </w:rPr>
        <w:t>15:16). </w:t>
      </w:r>
      <w:r>
        <w:rPr>
          <w:w w:val="120"/>
          <w:sz w:val="20"/>
        </w:rPr>
        <w:t>It is based on the entreaty of Jesus that disciples should love one another as he loves them (John </w:t>
      </w:r>
      <w:r>
        <w:rPr>
          <w:spacing w:val="-12"/>
          <w:w w:val="120"/>
          <w:sz w:val="20"/>
        </w:rPr>
        <w:t>15:12). </w:t>
      </w:r>
      <w:r>
        <w:rPr>
          <w:w w:val="120"/>
          <w:sz w:val="20"/>
        </w:rPr>
        <w:t>Paul expresses the whole mission of Jesus in terms of the bringing together of all things </w:t>
      </w:r>
      <w:r>
        <w:rPr>
          <w:spacing w:val="-3"/>
          <w:w w:val="120"/>
          <w:sz w:val="20"/>
        </w:rPr>
        <w:t>(Colossians </w:t>
      </w:r>
      <w:r>
        <w:rPr>
          <w:spacing w:val="-8"/>
          <w:w w:val="120"/>
          <w:sz w:val="20"/>
        </w:rPr>
        <w:t>1:15-20). </w:t>
      </w:r>
      <w:r>
        <w:rPr>
          <w:w w:val="120"/>
          <w:sz w:val="20"/>
        </w:rPr>
        <w:t>Can you think of other texts that support this understanding of </w:t>
      </w:r>
      <w:r>
        <w:rPr>
          <w:spacing w:val="-3"/>
          <w:w w:val="120"/>
          <w:sz w:val="20"/>
        </w:rPr>
        <w:t>unity? </w:t>
      </w:r>
      <w:r>
        <w:rPr>
          <w:w w:val="120"/>
          <w:sz w:val="20"/>
        </w:rPr>
        <w:t>How is it experienced in your local church or</w:t>
      </w:r>
      <w:r>
        <w:rPr>
          <w:spacing w:val="45"/>
          <w:w w:val="120"/>
          <w:sz w:val="20"/>
        </w:rPr>
        <w:t> </w:t>
      </w:r>
      <w:r>
        <w:rPr>
          <w:w w:val="120"/>
          <w:sz w:val="20"/>
        </w:rPr>
        <w:t>pastorate?</w:t>
      </w:r>
    </w:p>
    <w:p>
      <w:pPr>
        <w:pStyle w:val="BodyText"/>
        <w:spacing w:before="6"/>
        <w:rPr>
          <w:sz w:val="18"/>
        </w:rPr>
      </w:pPr>
    </w:p>
    <w:p>
      <w:pPr>
        <w:pStyle w:val="ListParagraph"/>
        <w:numPr>
          <w:ilvl w:val="2"/>
          <w:numId w:val="101"/>
        </w:numPr>
        <w:tabs>
          <w:tab w:pos="2665" w:val="left" w:leader="none"/>
        </w:tabs>
        <w:spacing w:line="232" w:lineRule="auto" w:before="0" w:after="0"/>
        <w:ind w:left="1984" w:right="1240" w:firstLine="0"/>
        <w:jc w:val="left"/>
        <w:rPr>
          <w:sz w:val="20"/>
        </w:rPr>
      </w:pPr>
      <w:r>
        <w:rPr>
          <w:rFonts w:ascii="Stone Sans II ITC Std Bk"/>
          <w:b/>
          <w:w w:val="120"/>
          <w:sz w:val="20"/>
        </w:rPr>
        <w:t>Diversity</w:t>
      </w:r>
      <w:r>
        <w:rPr>
          <w:rFonts w:ascii="Stone Sans II ITC Std Bk"/>
          <w:b/>
          <w:spacing w:val="-24"/>
          <w:w w:val="120"/>
          <w:sz w:val="20"/>
        </w:rPr>
        <w:t> </w:t>
      </w:r>
      <w:r>
        <w:rPr>
          <w:rFonts w:ascii="Stone Sans II ITC Std Bk"/>
          <w:b/>
          <w:w w:val="120"/>
          <w:sz w:val="20"/>
        </w:rPr>
        <w:t>in</w:t>
      </w:r>
      <w:r>
        <w:rPr>
          <w:rFonts w:ascii="Stone Sans II ITC Std Bk"/>
          <w:b/>
          <w:spacing w:val="-24"/>
          <w:w w:val="120"/>
          <w:sz w:val="20"/>
        </w:rPr>
        <w:t> </w:t>
      </w:r>
      <w:r>
        <w:rPr>
          <w:rFonts w:ascii="Stone Sans II ITC Std Bk"/>
          <w:b/>
          <w:w w:val="120"/>
          <w:sz w:val="20"/>
        </w:rPr>
        <w:t>the</w:t>
      </w:r>
      <w:r>
        <w:rPr>
          <w:rFonts w:ascii="Stone Sans II ITC Std Bk"/>
          <w:b/>
          <w:spacing w:val="-24"/>
          <w:w w:val="120"/>
          <w:sz w:val="20"/>
        </w:rPr>
        <w:t> </w:t>
      </w:r>
      <w:r>
        <w:rPr>
          <w:rFonts w:ascii="Stone Sans II ITC Std Bk"/>
          <w:b/>
          <w:w w:val="120"/>
          <w:sz w:val="20"/>
        </w:rPr>
        <w:t>New</w:t>
      </w:r>
      <w:r>
        <w:rPr>
          <w:rFonts w:ascii="Stone Sans II ITC Std Bk"/>
          <w:b/>
          <w:spacing w:val="-23"/>
          <w:w w:val="120"/>
          <w:sz w:val="20"/>
        </w:rPr>
        <w:t> </w:t>
      </w:r>
      <w:r>
        <w:rPr>
          <w:rFonts w:ascii="Stone Sans II ITC Std Bk"/>
          <w:b/>
          <w:w w:val="120"/>
          <w:sz w:val="20"/>
        </w:rPr>
        <w:t>Testament.</w:t>
      </w:r>
      <w:r>
        <w:rPr>
          <w:rFonts w:ascii="Stone Sans II ITC Std Bk"/>
          <w:b/>
          <w:spacing w:val="-24"/>
          <w:w w:val="120"/>
          <w:sz w:val="20"/>
        </w:rPr>
        <w:t> </w:t>
      </w:r>
      <w:r>
        <w:rPr>
          <w:w w:val="120"/>
          <w:sz w:val="20"/>
        </w:rPr>
        <w:t>Diversity</w:t>
      </w:r>
      <w:r>
        <w:rPr>
          <w:spacing w:val="-16"/>
          <w:w w:val="120"/>
          <w:sz w:val="20"/>
        </w:rPr>
        <w:t> </w:t>
      </w:r>
      <w:r>
        <w:rPr>
          <w:w w:val="120"/>
          <w:sz w:val="20"/>
        </w:rPr>
        <w:t>is</w:t>
      </w:r>
      <w:r>
        <w:rPr>
          <w:spacing w:val="-15"/>
          <w:w w:val="120"/>
          <w:sz w:val="20"/>
        </w:rPr>
        <w:t> </w:t>
      </w:r>
      <w:r>
        <w:rPr>
          <w:w w:val="120"/>
          <w:sz w:val="20"/>
        </w:rPr>
        <w:t>also</w:t>
      </w:r>
      <w:r>
        <w:rPr>
          <w:spacing w:val="-16"/>
          <w:w w:val="120"/>
          <w:sz w:val="20"/>
        </w:rPr>
        <w:t> </w:t>
      </w:r>
      <w:r>
        <w:rPr>
          <w:w w:val="120"/>
          <w:sz w:val="20"/>
        </w:rPr>
        <w:t>the</w:t>
      </w:r>
      <w:r>
        <w:rPr>
          <w:spacing w:val="-16"/>
          <w:w w:val="120"/>
          <w:sz w:val="20"/>
        </w:rPr>
        <w:t> </w:t>
      </w:r>
      <w:r>
        <w:rPr>
          <w:w w:val="120"/>
          <w:sz w:val="20"/>
        </w:rPr>
        <w:t>essence</w:t>
      </w:r>
      <w:r>
        <w:rPr>
          <w:spacing w:val="-15"/>
          <w:w w:val="120"/>
          <w:sz w:val="20"/>
        </w:rPr>
        <w:t> </w:t>
      </w:r>
      <w:r>
        <w:rPr>
          <w:w w:val="120"/>
          <w:sz w:val="20"/>
        </w:rPr>
        <w:t>of</w:t>
      </w:r>
      <w:r>
        <w:rPr>
          <w:spacing w:val="-16"/>
          <w:w w:val="120"/>
          <w:sz w:val="20"/>
        </w:rPr>
        <w:t> </w:t>
      </w:r>
      <w:r>
        <w:rPr>
          <w:w w:val="120"/>
          <w:sz w:val="20"/>
        </w:rPr>
        <w:t>the</w:t>
      </w:r>
      <w:r>
        <w:rPr>
          <w:spacing w:val="-16"/>
          <w:w w:val="120"/>
          <w:sz w:val="20"/>
        </w:rPr>
        <w:t> </w:t>
      </w:r>
      <w:r>
        <w:rPr>
          <w:w w:val="120"/>
          <w:sz w:val="20"/>
        </w:rPr>
        <w:t>Christian community. Jesus deliberately called a remarkably diverse group of people to be his first disciples </w:t>
      </w:r>
      <w:r>
        <w:rPr>
          <w:spacing w:val="-5"/>
          <w:w w:val="120"/>
          <w:sz w:val="20"/>
        </w:rPr>
        <w:t>(and </w:t>
      </w:r>
      <w:r>
        <w:rPr>
          <w:w w:val="120"/>
          <w:sz w:val="20"/>
        </w:rPr>
        <w:t>that created problems, as in Matthew 20:20-28 and Mark </w:t>
      </w:r>
      <w:r>
        <w:rPr>
          <w:spacing w:val="-3"/>
          <w:w w:val="120"/>
          <w:sz w:val="20"/>
        </w:rPr>
        <w:t>10:35-45). </w:t>
      </w:r>
      <w:r>
        <w:rPr>
          <w:w w:val="120"/>
          <w:sz w:val="20"/>
        </w:rPr>
        <w:t>The Pauline image of the church as the Body of Christ maintains that diversity is a necessity: the church cannot function effectively without different </w:t>
      </w:r>
      <w:r>
        <w:rPr>
          <w:spacing w:val="2"/>
          <w:w w:val="120"/>
          <w:sz w:val="20"/>
        </w:rPr>
        <w:t>gifts </w:t>
      </w:r>
      <w:r>
        <w:rPr>
          <w:w w:val="120"/>
          <w:sz w:val="20"/>
        </w:rPr>
        <w:t>and understandings (Romans </w:t>
      </w:r>
      <w:r>
        <w:rPr>
          <w:spacing w:val="-3"/>
          <w:w w:val="120"/>
          <w:sz w:val="20"/>
        </w:rPr>
        <w:t>12:3-8, </w:t>
      </w:r>
      <w:r>
        <w:rPr>
          <w:w w:val="120"/>
          <w:sz w:val="20"/>
        </w:rPr>
        <w:t>I Corinthians </w:t>
      </w:r>
      <w:r>
        <w:rPr>
          <w:spacing w:val="-9"/>
          <w:w w:val="120"/>
          <w:sz w:val="20"/>
        </w:rPr>
        <w:t>12). </w:t>
      </w:r>
      <w:r>
        <w:rPr>
          <w:w w:val="120"/>
          <w:sz w:val="20"/>
        </w:rPr>
        <w:t>It is in their diversity that disciples constitute a complete whole. What </w:t>
      </w:r>
      <w:r>
        <w:rPr>
          <w:spacing w:val="3"/>
          <w:w w:val="120"/>
          <w:sz w:val="20"/>
        </w:rPr>
        <w:t>sorts </w:t>
      </w:r>
      <w:r>
        <w:rPr>
          <w:w w:val="120"/>
          <w:sz w:val="20"/>
        </w:rPr>
        <w:t>of diversity are needed in a local church for it to function effectively? Can you think of instances where diversity has been </w:t>
      </w:r>
      <w:r>
        <w:rPr>
          <w:spacing w:val="-11"/>
          <w:w w:val="120"/>
          <w:sz w:val="20"/>
        </w:rPr>
        <w:t>(a) </w:t>
      </w:r>
      <w:r>
        <w:rPr>
          <w:w w:val="120"/>
          <w:sz w:val="20"/>
        </w:rPr>
        <w:t>helpful and </w:t>
      </w:r>
      <w:r>
        <w:rPr>
          <w:spacing w:val="-7"/>
          <w:w w:val="120"/>
          <w:sz w:val="20"/>
        </w:rPr>
        <w:t>(b) </w:t>
      </w:r>
      <w:r>
        <w:rPr>
          <w:w w:val="120"/>
          <w:sz w:val="20"/>
        </w:rPr>
        <w:t>unhelpful in local church</w:t>
      </w:r>
      <w:r>
        <w:rPr>
          <w:spacing w:val="7"/>
          <w:w w:val="120"/>
          <w:sz w:val="20"/>
        </w:rPr>
        <w:t> </w:t>
      </w:r>
      <w:r>
        <w:rPr>
          <w:w w:val="120"/>
          <w:sz w:val="20"/>
        </w:rPr>
        <w:t>life?</w:t>
      </w:r>
    </w:p>
    <w:p>
      <w:pPr>
        <w:pStyle w:val="BodyText"/>
        <w:spacing w:before="3"/>
        <w:rPr>
          <w:sz w:val="18"/>
        </w:rPr>
      </w:pPr>
    </w:p>
    <w:p>
      <w:pPr>
        <w:pStyle w:val="ListParagraph"/>
        <w:numPr>
          <w:ilvl w:val="2"/>
          <w:numId w:val="101"/>
        </w:numPr>
        <w:tabs>
          <w:tab w:pos="2665" w:val="left" w:leader="none"/>
        </w:tabs>
        <w:spacing w:line="232" w:lineRule="auto" w:before="1" w:after="0"/>
        <w:ind w:left="1984" w:right="1275" w:firstLine="0"/>
        <w:jc w:val="left"/>
        <w:rPr>
          <w:sz w:val="20"/>
        </w:rPr>
      </w:pPr>
      <w:r>
        <w:rPr>
          <w:rFonts w:ascii="Stone Sans II ITC Std Bk" w:hAnsi="Stone Sans II ITC Std Bk"/>
          <w:b/>
          <w:w w:val="120"/>
          <w:sz w:val="20"/>
        </w:rPr>
        <w:t>Diversity,</w:t>
      </w:r>
      <w:r>
        <w:rPr>
          <w:rFonts w:ascii="Stone Sans II ITC Std Bk" w:hAnsi="Stone Sans II ITC Std Bk"/>
          <w:b/>
          <w:spacing w:val="-28"/>
          <w:w w:val="120"/>
          <w:sz w:val="20"/>
        </w:rPr>
        <w:t> </w:t>
      </w:r>
      <w:r>
        <w:rPr>
          <w:rFonts w:ascii="Stone Sans II ITC Std Bk" w:hAnsi="Stone Sans II ITC Std Bk"/>
          <w:b/>
          <w:w w:val="120"/>
          <w:sz w:val="20"/>
        </w:rPr>
        <w:t>disunity</w:t>
      </w:r>
      <w:r>
        <w:rPr>
          <w:rFonts w:ascii="Stone Sans II ITC Std Bk" w:hAnsi="Stone Sans II ITC Std Bk"/>
          <w:b/>
          <w:spacing w:val="-28"/>
          <w:w w:val="120"/>
          <w:sz w:val="20"/>
        </w:rPr>
        <w:t> </w:t>
      </w:r>
      <w:r>
        <w:rPr>
          <w:rFonts w:ascii="Stone Sans II ITC Std Bk" w:hAnsi="Stone Sans II ITC Std Bk"/>
          <w:b/>
          <w:w w:val="120"/>
          <w:sz w:val="20"/>
        </w:rPr>
        <w:t>and</w:t>
      </w:r>
      <w:r>
        <w:rPr>
          <w:rFonts w:ascii="Stone Sans II ITC Std Bk" w:hAnsi="Stone Sans II ITC Std Bk"/>
          <w:b/>
          <w:spacing w:val="-28"/>
          <w:w w:val="120"/>
          <w:sz w:val="20"/>
        </w:rPr>
        <w:t> </w:t>
      </w:r>
      <w:r>
        <w:rPr>
          <w:rFonts w:ascii="Stone Sans II ITC Std Bk" w:hAnsi="Stone Sans II ITC Std Bk"/>
          <w:b/>
          <w:w w:val="120"/>
          <w:sz w:val="20"/>
        </w:rPr>
        <w:t>division.</w:t>
      </w:r>
      <w:r>
        <w:rPr>
          <w:rFonts w:ascii="Stone Sans II ITC Std Bk" w:hAnsi="Stone Sans II ITC Std Bk"/>
          <w:b/>
          <w:spacing w:val="-28"/>
          <w:w w:val="120"/>
          <w:sz w:val="20"/>
        </w:rPr>
        <w:t> </w:t>
      </w:r>
      <w:r>
        <w:rPr>
          <w:w w:val="120"/>
          <w:sz w:val="20"/>
        </w:rPr>
        <w:t>These</w:t>
      </w:r>
      <w:r>
        <w:rPr>
          <w:spacing w:val="-20"/>
          <w:w w:val="120"/>
          <w:sz w:val="20"/>
        </w:rPr>
        <w:t> </w:t>
      </w:r>
      <w:r>
        <w:rPr>
          <w:w w:val="120"/>
          <w:sz w:val="20"/>
        </w:rPr>
        <w:t>three</w:t>
      </w:r>
      <w:r>
        <w:rPr>
          <w:spacing w:val="-19"/>
          <w:w w:val="120"/>
          <w:sz w:val="20"/>
        </w:rPr>
        <w:t> </w:t>
      </w:r>
      <w:r>
        <w:rPr>
          <w:w w:val="120"/>
          <w:sz w:val="20"/>
        </w:rPr>
        <w:t>words</w:t>
      </w:r>
      <w:r>
        <w:rPr>
          <w:spacing w:val="-20"/>
          <w:w w:val="120"/>
          <w:sz w:val="20"/>
        </w:rPr>
        <w:t> </w:t>
      </w:r>
      <w:r>
        <w:rPr>
          <w:w w:val="120"/>
          <w:sz w:val="20"/>
        </w:rPr>
        <w:t>describe</w:t>
      </w:r>
      <w:r>
        <w:rPr>
          <w:spacing w:val="-20"/>
          <w:w w:val="120"/>
          <w:sz w:val="20"/>
        </w:rPr>
        <w:t> </w:t>
      </w:r>
      <w:r>
        <w:rPr>
          <w:w w:val="120"/>
          <w:sz w:val="20"/>
        </w:rPr>
        <w:t>situations</w:t>
      </w:r>
      <w:r>
        <w:rPr>
          <w:spacing w:val="-19"/>
          <w:w w:val="120"/>
          <w:sz w:val="20"/>
        </w:rPr>
        <w:t> </w:t>
      </w:r>
      <w:r>
        <w:rPr>
          <w:w w:val="120"/>
          <w:sz w:val="20"/>
        </w:rPr>
        <w:t>which may follow on from one another but which in practice often overlap one another. From the beginning of the </w:t>
      </w:r>
      <w:r>
        <w:rPr>
          <w:spacing w:val="-3"/>
          <w:w w:val="120"/>
          <w:sz w:val="20"/>
        </w:rPr>
        <w:t>church’s </w:t>
      </w:r>
      <w:r>
        <w:rPr>
          <w:w w:val="120"/>
          <w:sz w:val="20"/>
        </w:rPr>
        <w:t>life, diversity has cause disunity and sometimes led to division. The obvious example is in the distinction between Jews and Gentiles (Acts </w:t>
      </w:r>
      <w:r>
        <w:rPr>
          <w:spacing w:val="-10"/>
          <w:w w:val="120"/>
          <w:sz w:val="20"/>
        </w:rPr>
        <w:t>15:1-35, </w:t>
      </w:r>
      <w:r>
        <w:rPr>
          <w:w w:val="120"/>
          <w:sz w:val="20"/>
        </w:rPr>
        <w:t>but see also Galatians 1 and </w:t>
      </w:r>
      <w:r>
        <w:rPr>
          <w:spacing w:val="-6"/>
          <w:w w:val="120"/>
          <w:sz w:val="20"/>
        </w:rPr>
        <w:t>2). </w:t>
      </w:r>
      <w:r>
        <w:rPr>
          <w:w w:val="120"/>
          <w:sz w:val="20"/>
        </w:rPr>
        <w:t>A difference on mission strategy led to sharp disagreement and division </w:t>
      </w:r>
      <w:r>
        <w:rPr>
          <w:spacing w:val="-6"/>
          <w:w w:val="120"/>
          <w:sz w:val="20"/>
        </w:rPr>
        <w:t>(as </w:t>
      </w:r>
      <w:r>
        <w:rPr>
          <w:w w:val="120"/>
          <w:sz w:val="20"/>
        </w:rPr>
        <w:t>described in </w:t>
      </w:r>
      <w:r>
        <w:rPr>
          <w:spacing w:val="2"/>
          <w:w w:val="120"/>
          <w:sz w:val="20"/>
        </w:rPr>
        <w:t>Acts </w:t>
      </w:r>
      <w:r>
        <w:rPr>
          <w:spacing w:val="-6"/>
          <w:w w:val="120"/>
          <w:sz w:val="20"/>
        </w:rPr>
        <w:t>15:36-41). </w:t>
      </w:r>
      <w:r>
        <w:rPr>
          <w:w w:val="120"/>
          <w:sz w:val="20"/>
        </w:rPr>
        <w:t>The Corinthian Church was noted for its disunity: over personalities (I Corinthians </w:t>
      </w:r>
      <w:r>
        <w:rPr>
          <w:spacing w:val="-9"/>
          <w:w w:val="120"/>
          <w:sz w:val="20"/>
        </w:rPr>
        <w:t>1:10-17),  </w:t>
      </w:r>
      <w:r>
        <w:rPr>
          <w:w w:val="120"/>
          <w:sz w:val="20"/>
        </w:rPr>
        <w:t>over sexual immorality   (I Corinthians </w:t>
      </w:r>
      <w:r>
        <w:rPr>
          <w:spacing w:val="-5"/>
          <w:w w:val="120"/>
          <w:sz w:val="20"/>
        </w:rPr>
        <w:t>5), </w:t>
      </w:r>
      <w:r>
        <w:rPr>
          <w:w w:val="120"/>
          <w:sz w:val="20"/>
        </w:rPr>
        <w:t>over food sacrificed to idols (I Corinthians </w:t>
      </w:r>
      <w:r>
        <w:rPr>
          <w:spacing w:val="-7"/>
          <w:w w:val="120"/>
          <w:sz w:val="20"/>
        </w:rPr>
        <w:t>8), </w:t>
      </w:r>
      <w:r>
        <w:rPr>
          <w:w w:val="120"/>
          <w:sz w:val="20"/>
        </w:rPr>
        <w:t>over the Lord’s Supper (I Corinthians</w:t>
      </w:r>
      <w:r>
        <w:rPr>
          <w:spacing w:val="13"/>
          <w:w w:val="120"/>
          <w:sz w:val="20"/>
        </w:rPr>
        <w:t> </w:t>
      </w:r>
      <w:r>
        <w:rPr>
          <w:spacing w:val="-12"/>
          <w:w w:val="120"/>
          <w:sz w:val="20"/>
        </w:rPr>
        <w:t>11:17-22)</w:t>
      </w:r>
      <w:r>
        <w:rPr>
          <w:spacing w:val="13"/>
          <w:w w:val="120"/>
          <w:sz w:val="20"/>
        </w:rPr>
        <w:t> </w:t>
      </w:r>
      <w:r>
        <w:rPr>
          <w:w w:val="120"/>
          <w:sz w:val="20"/>
        </w:rPr>
        <w:t>and</w:t>
      </w:r>
      <w:r>
        <w:rPr>
          <w:spacing w:val="14"/>
          <w:w w:val="120"/>
          <w:sz w:val="20"/>
        </w:rPr>
        <w:t> </w:t>
      </w:r>
      <w:r>
        <w:rPr>
          <w:w w:val="120"/>
          <w:sz w:val="20"/>
        </w:rPr>
        <w:t>so</w:t>
      </w:r>
      <w:r>
        <w:rPr>
          <w:spacing w:val="13"/>
          <w:w w:val="120"/>
          <w:sz w:val="20"/>
        </w:rPr>
        <w:t> </w:t>
      </w:r>
      <w:r>
        <w:rPr>
          <w:w w:val="120"/>
          <w:sz w:val="20"/>
        </w:rPr>
        <w:t>on.</w:t>
      </w:r>
      <w:r>
        <w:rPr>
          <w:spacing w:val="13"/>
          <w:w w:val="120"/>
          <w:sz w:val="20"/>
        </w:rPr>
        <w:t> </w:t>
      </w:r>
      <w:r>
        <w:rPr>
          <w:w w:val="120"/>
          <w:sz w:val="20"/>
        </w:rPr>
        <w:t>How</w:t>
      </w:r>
      <w:r>
        <w:rPr>
          <w:spacing w:val="14"/>
          <w:w w:val="120"/>
          <w:sz w:val="20"/>
        </w:rPr>
        <w:t> </w:t>
      </w:r>
      <w:r>
        <w:rPr>
          <w:w w:val="120"/>
          <w:sz w:val="20"/>
        </w:rPr>
        <w:t>do</w:t>
      </w:r>
      <w:r>
        <w:rPr>
          <w:spacing w:val="13"/>
          <w:w w:val="120"/>
          <w:sz w:val="20"/>
        </w:rPr>
        <w:t> </w:t>
      </w:r>
      <w:r>
        <w:rPr>
          <w:w w:val="120"/>
          <w:sz w:val="20"/>
        </w:rPr>
        <w:t>you</w:t>
      </w:r>
      <w:r>
        <w:rPr>
          <w:spacing w:val="13"/>
          <w:w w:val="120"/>
          <w:sz w:val="20"/>
        </w:rPr>
        <w:t> </w:t>
      </w:r>
      <w:r>
        <w:rPr>
          <w:w w:val="120"/>
          <w:sz w:val="20"/>
        </w:rPr>
        <w:t>judge</w:t>
      </w:r>
      <w:r>
        <w:rPr>
          <w:spacing w:val="14"/>
          <w:w w:val="120"/>
          <w:sz w:val="20"/>
        </w:rPr>
        <w:t> </w:t>
      </w:r>
      <w:r>
        <w:rPr>
          <w:w w:val="120"/>
          <w:sz w:val="20"/>
        </w:rPr>
        <w:t>when</w:t>
      </w:r>
      <w:r>
        <w:rPr>
          <w:spacing w:val="13"/>
          <w:w w:val="120"/>
          <w:sz w:val="20"/>
        </w:rPr>
        <w:t> </w:t>
      </w:r>
      <w:r>
        <w:rPr>
          <w:w w:val="120"/>
          <w:sz w:val="20"/>
        </w:rPr>
        <w:t>diversity</w:t>
      </w:r>
      <w:r>
        <w:rPr>
          <w:spacing w:val="13"/>
          <w:w w:val="120"/>
          <w:sz w:val="20"/>
        </w:rPr>
        <w:t> </w:t>
      </w:r>
      <w:r>
        <w:rPr>
          <w:w w:val="120"/>
          <w:sz w:val="20"/>
        </w:rPr>
        <w:t>is</w:t>
      </w:r>
      <w:r>
        <w:rPr>
          <w:spacing w:val="14"/>
          <w:w w:val="120"/>
          <w:sz w:val="20"/>
        </w:rPr>
        <w:t> </w:t>
      </w:r>
      <w:r>
        <w:rPr>
          <w:w w:val="120"/>
          <w:sz w:val="20"/>
        </w:rPr>
        <w:t>leading</w:t>
      </w:r>
      <w:r>
        <w:rPr>
          <w:spacing w:val="13"/>
          <w:w w:val="120"/>
          <w:sz w:val="20"/>
        </w:rPr>
        <w:t> </w:t>
      </w:r>
      <w:r>
        <w:rPr>
          <w:w w:val="120"/>
          <w:sz w:val="20"/>
        </w:rPr>
        <w:t>to</w:t>
      </w:r>
      <w:r>
        <w:rPr>
          <w:spacing w:val="13"/>
          <w:w w:val="120"/>
          <w:sz w:val="20"/>
        </w:rPr>
        <w:t> </w:t>
      </w:r>
      <w:r>
        <w:rPr>
          <w:w w:val="120"/>
          <w:sz w:val="20"/>
        </w:rPr>
        <w:t>disunity</w:t>
      </w:r>
    </w:p>
    <w:p>
      <w:pPr>
        <w:pStyle w:val="BodyText"/>
        <w:spacing w:line="236" w:lineRule="exact"/>
        <w:ind w:left="1984"/>
      </w:pPr>
      <w:r>
        <w:rPr>
          <w:w w:val="120"/>
        </w:rPr>
        <w:t>and division in the </w:t>
      </w:r>
      <w:r>
        <w:rPr>
          <w:spacing w:val="-3"/>
          <w:w w:val="120"/>
        </w:rPr>
        <w:t>Church’s </w:t>
      </w:r>
      <w:r>
        <w:rPr>
          <w:w w:val="120"/>
        </w:rPr>
        <w:t>life? Is it possible or desirable to set boundaries to</w:t>
      </w:r>
      <w:r>
        <w:rPr>
          <w:spacing w:val="34"/>
          <w:w w:val="120"/>
        </w:rPr>
        <w:t> </w:t>
      </w:r>
      <w:r>
        <w:rPr>
          <w:w w:val="120"/>
        </w:rPr>
        <w:t>diversity?</w:t>
      </w:r>
    </w:p>
    <w:p>
      <w:pPr>
        <w:pStyle w:val="BodyText"/>
        <w:spacing w:before="7"/>
        <w:rPr>
          <w:sz w:val="18"/>
        </w:rPr>
      </w:pPr>
    </w:p>
    <w:p>
      <w:pPr>
        <w:pStyle w:val="ListParagraph"/>
        <w:numPr>
          <w:ilvl w:val="2"/>
          <w:numId w:val="101"/>
        </w:numPr>
        <w:tabs>
          <w:tab w:pos="2665" w:val="left" w:leader="none"/>
        </w:tabs>
        <w:spacing w:line="230" w:lineRule="auto" w:before="0" w:after="0"/>
        <w:ind w:left="1984" w:right="1147" w:firstLine="0"/>
        <w:jc w:val="left"/>
        <w:rPr>
          <w:sz w:val="20"/>
        </w:rPr>
      </w:pPr>
      <w:r>
        <w:rPr>
          <w:rFonts w:ascii="Stone Sans II ITC Std Bk"/>
          <w:b/>
          <w:w w:val="120"/>
          <w:sz w:val="20"/>
        </w:rPr>
        <w:t>Another</w:t>
      </w:r>
      <w:r>
        <w:rPr>
          <w:rFonts w:ascii="Stone Sans II ITC Std Bk"/>
          <w:b/>
          <w:spacing w:val="-35"/>
          <w:w w:val="120"/>
          <w:sz w:val="20"/>
        </w:rPr>
        <w:t> </w:t>
      </w:r>
      <w:r>
        <w:rPr>
          <w:rFonts w:ascii="Stone Sans II ITC Std Bk"/>
          <w:b/>
          <w:w w:val="120"/>
          <w:sz w:val="20"/>
        </w:rPr>
        <w:t>reaction</w:t>
      </w:r>
      <w:r>
        <w:rPr>
          <w:rFonts w:ascii="Stone Sans II ITC Std Bk"/>
          <w:b/>
          <w:spacing w:val="-34"/>
          <w:w w:val="120"/>
          <w:sz w:val="20"/>
        </w:rPr>
        <w:t> </w:t>
      </w:r>
      <w:r>
        <w:rPr>
          <w:rFonts w:ascii="Stone Sans II ITC Std Bk"/>
          <w:b/>
          <w:spacing w:val="-3"/>
          <w:w w:val="120"/>
          <w:sz w:val="20"/>
        </w:rPr>
        <w:t>to</w:t>
      </w:r>
      <w:r>
        <w:rPr>
          <w:rFonts w:ascii="Stone Sans II ITC Std Bk"/>
          <w:b/>
          <w:spacing w:val="-35"/>
          <w:w w:val="120"/>
          <w:sz w:val="20"/>
        </w:rPr>
        <w:t> </w:t>
      </w:r>
      <w:r>
        <w:rPr>
          <w:rFonts w:ascii="Stone Sans II ITC Std Bk"/>
          <w:b/>
          <w:spacing w:val="-3"/>
          <w:w w:val="120"/>
          <w:sz w:val="20"/>
        </w:rPr>
        <w:t>diversity.</w:t>
      </w:r>
      <w:r>
        <w:rPr>
          <w:rFonts w:ascii="Stone Sans II ITC Std Bk"/>
          <w:b/>
          <w:spacing w:val="-33"/>
          <w:w w:val="120"/>
          <w:sz w:val="20"/>
        </w:rPr>
        <w:t> </w:t>
      </w:r>
      <w:r>
        <w:rPr>
          <w:w w:val="120"/>
          <w:sz w:val="20"/>
        </w:rPr>
        <w:t>There</w:t>
      </w:r>
      <w:r>
        <w:rPr>
          <w:spacing w:val="-26"/>
          <w:w w:val="120"/>
          <w:sz w:val="20"/>
        </w:rPr>
        <w:t> </w:t>
      </w:r>
      <w:r>
        <w:rPr>
          <w:w w:val="120"/>
          <w:sz w:val="20"/>
        </w:rPr>
        <w:t>is</w:t>
      </w:r>
      <w:r>
        <w:rPr>
          <w:spacing w:val="-26"/>
          <w:w w:val="120"/>
          <w:sz w:val="20"/>
        </w:rPr>
        <w:t> </w:t>
      </w:r>
      <w:r>
        <w:rPr>
          <w:w w:val="120"/>
          <w:sz w:val="20"/>
        </w:rPr>
        <w:t>another</w:t>
      </w:r>
      <w:r>
        <w:rPr>
          <w:spacing w:val="-25"/>
          <w:w w:val="120"/>
          <w:sz w:val="20"/>
        </w:rPr>
        <w:t> </w:t>
      </w:r>
      <w:r>
        <w:rPr>
          <w:w w:val="120"/>
          <w:sz w:val="20"/>
        </w:rPr>
        <w:t>strand</w:t>
      </w:r>
      <w:r>
        <w:rPr>
          <w:spacing w:val="-26"/>
          <w:w w:val="120"/>
          <w:sz w:val="20"/>
        </w:rPr>
        <w:t> </w:t>
      </w:r>
      <w:r>
        <w:rPr>
          <w:spacing w:val="-3"/>
          <w:w w:val="120"/>
          <w:sz w:val="20"/>
        </w:rPr>
        <w:t>within</w:t>
      </w:r>
      <w:r>
        <w:rPr>
          <w:spacing w:val="-26"/>
          <w:w w:val="120"/>
          <w:sz w:val="20"/>
        </w:rPr>
        <w:t> </w:t>
      </w:r>
      <w:r>
        <w:rPr>
          <w:w w:val="120"/>
          <w:sz w:val="20"/>
        </w:rPr>
        <w:t>the</w:t>
      </w:r>
      <w:r>
        <w:rPr>
          <w:spacing w:val="-25"/>
          <w:w w:val="120"/>
          <w:sz w:val="20"/>
        </w:rPr>
        <w:t> </w:t>
      </w:r>
      <w:r>
        <w:rPr>
          <w:w w:val="120"/>
          <w:sz w:val="20"/>
        </w:rPr>
        <w:t>New</w:t>
      </w:r>
      <w:r>
        <w:rPr>
          <w:spacing w:val="-26"/>
          <w:w w:val="120"/>
          <w:sz w:val="20"/>
        </w:rPr>
        <w:t> </w:t>
      </w:r>
      <w:r>
        <w:rPr>
          <w:spacing w:val="-3"/>
          <w:w w:val="120"/>
          <w:sz w:val="20"/>
        </w:rPr>
        <w:t>Testament </w:t>
      </w:r>
      <w:r>
        <w:rPr>
          <w:w w:val="120"/>
          <w:sz w:val="20"/>
        </w:rPr>
        <w:t>which suggests that where there is disagreement in the </w:t>
      </w:r>
      <w:r>
        <w:rPr>
          <w:spacing w:val="-3"/>
          <w:w w:val="120"/>
          <w:sz w:val="20"/>
        </w:rPr>
        <w:t>church, </w:t>
      </w:r>
      <w:r>
        <w:rPr>
          <w:w w:val="120"/>
          <w:sz w:val="20"/>
        </w:rPr>
        <w:t>those </w:t>
      </w:r>
      <w:r>
        <w:rPr>
          <w:spacing w:val="-3"/>
          <w:w w:val="120"/>
          <w:sz w:val="20"/>
        </w:rPr>
        <w:t>causing </w:t>
      </w:r>
      <w:r>
        <w:rPr>
          <w:w w:val="120"/>
          <w:sz w:val="20"/>
        </w:rPr>
        <w:t>the</w:t>
      </w:r>
      <w:r>
        <w:rPr>
          <w:spacing w:val="-37"/>
          <w:w w:val="120"/>
          <w:sz w:val="20"/>
        </w:rPr>
        <w:t> </w:t>
      </w:r>
      <w:r>
        <w:rPr>
          <w:w w:val="120"/>
          <w:sz w:val="20"/>
        </w:rPr>
        <w:t>problem should be cut off in order </w:t>
      </w:r>
      <w:r>
        <w:rPr>
          <w:spacing w:val="-3"/>
          <w:w w:val="120"/>
          <w:sz w:val="20"/>
        </w:rPr>
        <w:t>to </w:t>
      </w:r>
      <w:r>
        <w:rPr>
          <w:w w:val="120"/>
          <w:sz w:val="20"/>
        </w:rPr>
        <w:t>preserve the purity and unity of the </w:t>
      </w:r>
      <w:r>
        <w:rPr>
          <w:spacing w:val="-4"/>
          <w:w w:val="120"/>
          <w:sz w:val="20"/>
        </w:rPr>
        <w:t>body. </w:t>
      </w:r>
      <w:r>
        <w:rPr>
          <w:w w:val="120"/>
          <w:sz w:val="20"/>
        </w:rPr>
        <w:t>Some texts which seem </w:t>
      </w:r>
      <w:r>
        <w:rPr>
          <w:spacing w:val="-3"/>
          <w:w w:val="120"/>
          <w:sz w:val="20"/>
        </w:rPr>
        <w:t>to </w:t>
      </w:r>
      <w:r>
        <w:rPr>
          <w:w w:val="120"/>
          <w:sz w:val="20"/>
        </w:rPr>
        <w:t>support </w:t>
      </w:r>
      <w:r>
        <w:rPr>
          <w:spacing w:val="-3"/>
          <w:w w:val="120"/>
          <w:sz w:val="20"/>
        </w:rPr>
        <w:t>this </w:t>
      </w:r>
      <w:r>
        <w:rPr>
          <w:w w:val="120"/>
          <w:sz w:val="20"/>
        </w:rPr>
        <w:t>attitude are Matthew </w:t>
      </w:r>
      <w:r>
        <w:rPr>
          <w:spacing w:val="-5"/>
          <w:w w:val="120"/>
          <w:sz w:val="20"/>
        </w:rPr>
        <w:t>5:29-30, </w:t>
      </w:r>
      <w:r>
        <w:rPr>
          <w:spacing w:val="-7"/>
          <w:w w:val="120"/>
          <w:sz w:val="20"/>
        </w:rPr>
        <w:t>18:8-9, </w:t>
      </w:r>
      <w:r>
        <w:rPr>
          <w:w w:val="120"/>
          <w:sz w:val="20"/>
        </w:rPr>
        <w:t>Mark </w:t>
      </w:r>
      <w:r>
        <w:rPr>
          <w:spacing w:val="-4"/>
          <w:w w:val="120"/>
          <w:sz w:val="20"/>
        </w:rPr>
        <w:t>9:42-48, </w:t>
      </w:r>
      <w:r>
        <w:rPr>
          <w:w w:val="120"/>
          <w:sz w:val="20"/>
        </w:rPr>
        <w:t>II</w:t>
      </w:r>
      <w:r>
        <w:rPr>
          <w:spacing w:val="-6"/>
          <w:w w:val="120"/>
          <w:sz w:val="20"/>
        </w:rPr>
        <w:t> </w:t>
      </w:r>
      <w:r>
        <w:rPr>
          <w:spacing w:val="-3"/>
          <w:w w:val="120"/>
          <w:sz w:val="20"/>
        </w:rPr>
        <w:t>Corinthians</w:t>
      </w:r>
    </w:p>
    <w:p>
      <w:pPr>
        <w:pStyle w:val="BodyText"/>
        <w:spacing w:line="232" w:lineRule="auto"/>
        <w:ind w:left="1984" w:right="1120"/>
      </w:pPr>
      <w:r>
        <w:rPr>
          <w:spacing w:val="-3"/>
          <w:w w:val="120"/>
        </w:rPr>
        <w:t>6: </w:t>
      </w:r>
      <w:r>
        <w:rPr>
          <w:spacing w:val="-9"/>
          <w:w w:val="120"/>
        </w:rPr>
        <w:t>14, </w:t>
      </w:r>
      <w:r>
        <w:rPr>
          <w:w w:val="120"/>
        </w:rPr>
        <w:t>II Thessalonians </w:t>
      </w:r>
      <w:r>
        <w:rPr>
          <w:spacing w:val="-11"/>
          <w:w w:val="120"/>
        </w:rPr>
        <w:t>3:14, </w:t>
      </w:r>
      <w:r>
        <w:rPr>
          <w:w w:val="120"/>
        </w:rPr>
        <w:t>Titus </w:t>
      </w:r>
      <w:r>
        <w:rPr>
          <w:spacing w:val="-11"/>
          <w:w w:val="120"/>
        </w:rPr>
        <w:t>3:9-11. </w:t>
      </w:r>
      <w:r>
        <w:rPr>
          <w:w w:val="120"/>
        </w:rPr>
        <w:t>Is </w:t>
      </w:r>
      <w:r>
        <w:rPr>
          <w:spacing w:val="-3"/>
          <w:w w:val="120"/>
        </w:rPr>
        <w:t>this </w:t>
      </w:r>
      <w:r>
        <w:rPr>
          <w:w w:val="120"/>
        </w:rPr>
        <w:t>an </w:t>
      </w:r>
      <w:r>
        <w:rPr>
          <w:spacing w:val="-3"/>
          <w:w w:val="120"/>
        </w:rPr>
        <w:t>alternative </w:t>
      </w:r>
      <w:r>
        <w:rPr>
          <w:spacing w:val="-4"/>
          <w:w w:val="120"/>
        </w:rPr>
        <w:t>view, </w:t>
      </w:r>
      <w:r>
        <w:rPr>
          <w:w w:val="120"/>
        </w:rPr>
        <w:t>or is it suggesting what should only be done in </w:t>
      </w:r>
      <w:r>
        <w:rPr>
          <w:spacing w:val="-3"/>
          <w:w w:val="120"/>
        </w:rPr>
        <w:t>extremis? </w:t>
      </w:r>
      <w:r>
        <w:rPr>
          <w:w w:val="120"/>
        </w:rPr>
        <w:t>Can </w:t>
      </w:r>
      <w:r>
        <w:rPr>
          <w:spacing w:val="-3"/>
          <w:w w:val="120"/>
        </w:rPr>
        <w:t>you </w:t>
      </w:r>
      <w:r>
        <w:rPr>
          <w:w w:val="120"/>
        </w:rPr>
        <w:t>suggest in what </w:t>
      </w:r>
      <w:r>
        <w:rPr>
          <w:spacing w:val="-3"/>
          <w:w w:val="120"/>
        </w:rPr>
        <w:t>circumstances </w:t>
      </w:r>
      <w:r>
        <w:rPr>
          <w:w w:val="120"/>
        </w:rPr>
        <w:t>it might be right for a </w:t>
      </w:r>
      <w:r>
        <w:rPr>
          <w:spacing w:val="-3"/>
          <w:w w:val="120"/>
        </w:rPr>
        <w:t>Church </w:t>
      </w:r>
      <w:r>
        <w:rPr>
          <w:w w:val="120"/>
        </w:rPr>
        <w:t>Meeting </w:t>
      </w:r>
      <w:r>
        <w:rPr>
          <w:spacing w:val="-3"/>
          <w:w w:val="120"/>
        </w:rPr>
        <w:t>to </w:t>
      </w:r>
      <w:r>
        <w:rPr>
          <w:w w:val="120"/>
        </w:rPr>
        <w:t>decide </w:t>
      </w:r>
      <w:r>
        <w:rPr>
          <w:spacing w:val="-3"/>
          <w:w w:val="120"/>
        </w:rPr>
        <w:t>to </w:t>
      </w:r>
      <w:r>
        <w:rPr>
          <w:w w:val="120"/>
        </w:rPr>
        <w:t>end a </w:t>
      </w:r>
      <w:r>
        <w:rPr>
          <w:spacing w:val="-4"/>
          <w:w w:val="120"/>
        </w:rPr>
        <w:t>person’s </w:t>
      </w:r>
      <w:r>
        <w:rPr>
          <w:spacing w:val="-3"/>
          <w:w w:val="120"/>
        </w:rPr>
        <w:t>membership?</w:t>
      </w:r>
    </w:p>
    <w:p>
      <w:pPr>
        <w:pStyle w:val="BodyText"/>
        <w:spacing w:before="9"/>
        <w:rPr>
          <w:sz w:val="18"/>
        </w:rPr>
      </w:pPr>
    </w:p>
    <w:p>
      <w:pPr>
        <w:pStyle w:val="ListParagraph"/>
        <w:numPr>
          <w:ilvl w:val="2"/>
          <w:numId w:val="101"/>
        </w:numPr>
        <w:tabs>
          <w:tab w:pos="2665" w:val="left" w:leader="none"/>
        </w:tabs>
        <w:spacing w:line="232" w:lineRule="auto" w:before="0" w:after="0"/>
        <w:ind w:left="1984" w:right="1170" w:firstLine="0"/>
        <w:jc w:val="left"/>
        <w:rPr>
          <w:sz w:val="20"/>
        </w:rPr>
      </w:pPr>
      <w:r>
        <w:rPr>
          <w:rFonts w:ascii="Stone Sans II ITC Std Bk"/>
          <w:b/>
          <w:w w:val="120"/>
          <w:sz w:val="20"/>
        </w:rPr>
        <w:t>Unity based on a creed. </w:t>
      </w:r>
      <w:r>
        <w:rPr>
          <w:w w:val="120"/>
          <w:sz w:val="20"/>
        </w:rPr>
        <w:t>The United Reformed Church and its uniting traditions have been reluctant to ask people to subscribe to a single creed as an expression of their unity. A reason behind this can be seen by looking at the simple Trinitarian formula: I believe in one God, </w:t>
      </w:r>
      <w:r>
        <w:rPr>
          <w:spacing w:val="-3"/>
          <w:w w:val="120"/>
          <w:sz w:val="20"/>
        </w:rPr>
        <w:t>Father, </w:t>
      </w:r>
      <w:r>
        <w:rPr>
          <w:w w:val="120"/>
          <w:sz w:val="20"/>
        </w:rPr>
        <w:t>Son and Holy Spirit. Some will feel that this is what unites them to Christians of all traditions and all ages and at the same time places the United Reformed Church within the one, </w:t>
      </w:r>
      <w:r>
        <w:rPr>
          <w:spacing w:val="-3"/>
          <w:w w:val="120"/>
          <w:sz w:val="20"/>
        </w:rPr>
        <w:t>holy, </w:t>
      </w:r>
      <w:r>
        <w:rPr>
          <w:w w:val="120"/>
          <w:sz w:val="20"/>
        </w:rPr>
        <w:t>catholic and apostolic church: others will see it as an excessively male-dominated statement to which they cannot subscribe. What does it say to us when the same words both unite and divide </w:t>
      </w:r>
      <w:r>
        <w:rPr>
          <w:spacing w:val="-4"/>
          <w:w w:val="120"/>
          <w:sz w:val="20"/>
        </w:rPr>
        <w:t>us? </w:t>
      </w:r>
      <w:r>
        <w:rPr>
          <w:w w:val="120"/>
          <w:sz w:val="20"/>
        </w:rPr>
        <w:t>Are there simple statements of faith to which we all ought to be able to</w:t>
      </w:r>
      <w:r>
        <w:rPr>
          <w:spacing w:val="21"/>
          <w:w w:val="120"/>
          <w:sz w:val="20"/>
        </w:rPr>
        <w:t> </w:t>
      </w:r>
      <w:r>
        <w:rPr>
          <w:w w:val="120"/>
          <w:sz w:val="20"/>
        </w:rPr>
        <w:t>subscribe?</w:t>
      </w:r>
    </w:p>
    <w:p>
      <w:pPr>
        <w:pStyle w:val="BodyText"/>
        <w:spacing w:before="4"/>
        <w:rPr>
          <w:sz w:val="18"/>
        </w:rPr>
      </w:pPr>
    </w:p>
    <w:p>
      <w:pPr>
        <w:pStyle w:val="ListParagraph"/>
        <w:numPr>
          <w:ilvl w:val="2"/>
          <w:numId w:val="101"/>
        </w:numPr>
        <w:tabs>
          <w:tab w:pos="2665" w:val="left" w:leader="none"/>
        </w:tabs>
        <w:spacing w:line="232" w:lineRule="auto" w:before="0" w:after="0"/>
        <w:ind w:left="1984" w:right="1327" w:firstLine="0"/>
        <w:jc w:val="left"/>
        <w:rPr>
          <w:sz w:val="20"/>
        </w:rPr>
      </w:pPr>
      <w:r>
        <w:rPr>
          <w:rFonts w:ascii="Stone Sans II ITC Std Bk"/>
          <w:b/>
          <w:w w:val="115"/>
          <w:sz w:val="20"/>
        </w:rPr>
        <w:t>Unity and the Basis of Union. </w:t>
      </w:r>
      <w:r>
        <w:rPr>
          <w:w w:val="115"/>
          <w:sz w:val="20"/>
        </w:rPr>
        <w:t>The set of words that describe the unity of the United Reformed Church, and its place within  the  one  </w:t>
      </w:r>
      <w:r>
        <w:rPr>
          <w:spacing w:val="-3"/>
          <w:w w:val="115"/>
          <w:sz w:val="20"/>
        </w:rPr>
        <w:t>holy,  </w:t>
      </w:r>
      <w:r>
        <w:rPr>
          <w:w w:val="115"/>
          <w:sz w:val="20"/>
        </w:rPr>
        <w:t>catholic  and  apostolic church, are those of the Basis of Union. </w:t>
      </w:r>
      <w:r>
        <w:rPr>
          <w:spacing w:val="-5"/>
          <w:w w:val="115"/>
          <w:sz w:val="20"/>
        </w:rPr>
        <w:t>Yet  </w:t>
      </w:r>
      <w:r>
        <w:rPr>
          <w:w w:val="115"/>
          <w:sz w:val="20"/>
        </w:rPr>
        <w:t>it is phrased in such a way as to be capable      of a variety of interpretations and it specifically allows individual members the right of personal conviction, unless that is exercised to the injury of the peace and unity of the Church. Is the Church any less a united fellowship if there are different interpretations    and sometimes-different convictions? How important is it for the Church to describe its identity and for its members to accept</w:t>
      </w:r>
      <w:r>
        <w:rPr>
          <w:spacing w:val="41"/>
          <w:w w:val="115"/>
          <w:sz w:val="20"/>
        </w:rPr>
        <w:t> </w:t>
      </w:r>
      <w:r>
        <w:rPr>
          <w:spacing w:val="-3"/>
          <w:w w:val="115"/>
          <w:sz w:val="20"/>
        </w:rPr>
        <w:t>it?</w:t>
      </w:r>
    </w:p>
    <w:p>
      <w:pPr>
        <w:spacing w:after="0" w:line="232" w:lineRule="auto"/>
        <w:jc w:val="left"/>
        <w:rPr>
          <w:sz w:val="20"/>
        </w:rPr>
        <w:sectPr>
          <w:pgSz w:w="11910" w:h="16840"/>
          <w:pgMar w:header="0" w:footer="647" w:top="1060" w:bottom="840" w:left="0" w:right="0"/>
        </w:sectPr>
      </w:pPr>
    </w:p>
    <w:p>
      <w:pPr>
        <w:pStyle w:val="ListParagraph"/>
        <w:numPr>
          <w:ilvl w:val="2"/>
          <w:numId w:val="101"/>
        </w:numPr>
        <w:tabs>
          <w:tab w:pos="1815" w:val="left" w:leader="none"/>
        </w:tabs>
        <w:spacing w:line="232" w:lineRule="auto" w:before="97" w:after="0"/>
        <w:ind w:left="1133" w:right="2079" w:firstLine="0"/>
        <w:jc w:val="left"/>
        <w:rPr>
          <w:sz w:val="20"/>
        </w:rPr>
      </w:pPr>
      <w:r>
        <w:rPr/>
        <w:pict>
          <v:rect style="position:absolute;margin-left:12.047pt;margin-top:8.491788pt;width:22.677pt;height:22.677pt;mso-position-horizontal-relative:page;mso-position-vertical-relative:paragraph;z-index:251923456" filled="true" fillcolor="#f9e9c1" stroked="false">
            <v:fill opacity="32768f" type="solid"/>
            <w10:wrap type="none"/>
          </v:rect>
        </w:pict>
      </w:r>
      <w:r>
        <w:rPr>
          <w:rFonts w:ascii="Stone Sans II ITC Std Bk"/>
          <w:b/>
          <w:w w:val="120"/>
          <w:sz w:val="20"/>
        </w:rPr>
        <w:t>Unity and the Reformed tradition. </w:t>
      </w:r>
      <w:r>
        <w:rPr>
          <w:w w:val="120"/>
          <w:sz w:val="20"/>
        </w:rPr>
        <w:t>The history of the Reformed tradition is very much one of division and conflict: over papal </w:t>
      </w:r>
      <w:r>
        <w:rPr>
          <w:spacing w:val="-3"/>
          <w:w w:val="120"/>
          <w:sz w:val="20"/>
        </w:rPr>
        <w:t>power, </w:t>
      </w:r>
      <w:r>
        <w:rPr>
          <w:w w:val="120"/>
          <w:sz w:val="20"/>
        </w:rPr>
        <w:t>over the status of priests, over state control of the Church, over the place of the Bible, over the place of the laity, and  so on. Those familiar with the history of Presbyterianism in Scotland will know that very often Reformed Churches themselves have split into fragments over doctrinal disputes. In England and Wales one of the proud titles of our predecessors was that of Dissenters. </w:t>
      </w:r>
      <w:r>
        <w:rPr>
          <w:spacing w:val="3"/>
          <w:w w:val="120"/>
          <w:sz w:val="20"/>
        </w:rPr>
        <w:t>As </w:t>
      </w:r>
      <w:r>
        <w:rPr>
          <w:w w:val="120"/>
          <w:sz w:val="20"/>
        </w:rPr>
        <w:t>inheritors of that tradition, are there issues on which we have to take a stand and on what basis do we make such a</w:t>
      </w:r>
      <w:r>
        <w:rPr>
          <w:spacing w:val="12"/>
          <w:w w:val="120"/>
          <w:sz w:val="20"/>
        </w:rPr>
        <w:t> </w:t>
      </w:r>
      <w:r>
        <w:rPr>
          <w:w w:val="120"/>
          <w:sz w:val="20"/>
        </w:rPr>
        <w:t>decision?</w:t>
      </w:r>
    </w:p>
    <w:p>
      <w:pPr>
        <w:pStyle w:val="BodyText"/>
        <w:spacing w:before="6"/>
        <w:rPr>
          <w:sz w:val="18"/>
        </w:rPr>
      </w:pPr>
    </w:p>
    <w:p>
      <w:pPr>
        <w:pStyle w:val="ListParagraph"/>
        <w:numPr>
          <w:ilvl w:val="2"/>
          <w:numId w:val="101"/>
        </w:numPr>
        <w:tabs>
          <w:tab w:pos="1815" w:val="left" w:leader="none"/>
        </w:tabs>
        <w:spacing w:line="228" w:lineRule="auto" w:before="0" w:after="0"/>
        <w:ind w:left="1133" w:right="2000" w:firstLine="0"/>
        <w:jc w:val="left"/>
        <w:rPr>
          <w:sz w:val="20"/>
        </w:rPr>
      </w:pPr>
      <w:r>
        <w:rPr>
          <w:rFonts w:ascii="Stone Sans II ITC Std Bk"/>
          <w:b/>
          <w:w w:val="115"/>
          <w:sz w:val="20"/>
        </w:rPr>
        <w:t>Unity</w:t>
      </w:r>
      <w:r>
        <w:rPr>
          <w:rFonts w:ascii="Stone Sans II ITC Std Bk"/>
          <w:b/>
          <w:spacing w:val="-19"/>
          <w:w w:val="115"/>
          <w:sz w:val="20"/>
        </w:rPr>
        <w:t> </w:t>
      </w:r>
      <w:r>
        <w:rPr>
          <w:rFonts w:ascii="Stone Sans II ITC Std Bk"/>
          <w:b/>
          <w:w w:val="115"/>
          <w:sz w:val="20"/>
        </w:rPr>
        <w:t>and</w:t>
      </w:r>
      <w:r>
        <w:rPr>
          <w:rFonts w:ascii="Stone Sans II ITC Std Bk"/>
          <w:b/>
          <w:spacing w:val="-19"/>
          <w:w w:val="115"/>
          <w:sz w:val="20"/>
        </w:rPr>
        <w:t> </w:t>
      </w:r>
      <w:r>
        <w:rPr>
          <w:rFonts w:ascii="Stone Sans II ITC Std Bk"/>
          <w:b/>
          <w:w w:val="115"/>
          <w:sz w:val="20"/>
        </w:rPr>
        <w:t>the</w:t>
      </w:r>
      <w:r>
        <w:rPr>
          <w:rFonts w:ascii="Stone Sans II ITC Std Bk"/>
          <w:b/>
          <w:spacing w:val="-18"/>
          <w:w w:val="115"/>
          <w:sz w:val="20"/>
        </w:rPr>
        <w:t> </w:t>
      </w:r>
      <w:r>
        <w:rPr>
          <w:rFonts w:ascii="Stone Sans II ITC Std Bk"/>
          <w:b/>
          <w:w w:val="115"/>
          <w:sz w:val="20"/>
        </w:rPr>
        <w:t>ecumenical</w:t>
      </w:r>
      <w:r>
        <w:rPr>
          <w:rFonts w:ascii="Stone Sans II ITC Std Bk"/>
          <w:b/>
          <w:spacing w:val="-19"/>
          <w:w w:val="115"/>
          <w:sz w:val="20"/>
        </w:rPr>
        <w:t> </w:t>
      </w:r>
      <w:r>
        <w:rPr>
          <w:rFonts w:ascii="Stone Sans II ITC Std Bk"/>
          <w:b/>
          <w:w w:val="115"/>
          <w:sz w:val="20"/>
        </w:rPr>
        <w:t>movement.</w:t>
      </w:r>
      <w:r>
        <w:rPr>
          <w:rFonts w:ascii="Stone Sans II ITC Std Bk"/>
          <w:b/>
          <w:spacing w:val="-19"/>
          <w:w w:val="115"/>
          <w:sz w:val="20"/>
        </w:rPr>
        <w:t> </w:t>
      </w:r>
      <w:r>
        <w:rPr>
          <w:spacing w:val="-7"/>
          <w:w w:val="115"/>
          <w:sz w:val="20"/>
        </w:rPr>
        <w:t>2010</w:t>
      </w:r>
      <w:r>
        <w:rPr>
          <w:spacing w:val="-11"/>
          <w:w w:val="115"/>
          <w:sz w:val="20"/>
        </w:rPr>
        <w:t> </w:t>
      </w:r>
      <w:r>
        <w:rPr>
          <w:w w:val="115"/>
          <w:sz w:val="20"/>
        </w:rPr>
        <w:t>marks</w:t>
      </w:r>
      <w:r>
        <w:rPr>
          <w:spacing w:val="-11"/>
          <w:w w:val="115"/>
          <w:sz w:val="20"/>
        </w:rPr>
        <w:t> </w:t>
      </w:r>
      <w:r>
        <w:rPr>
          <w:w w:val="115"/>
          <w:sz w:val="20"/>
        </w:rPr>
        <w:t>the</w:t>
      </w:r>
      <w:r>
        <w:rPr>
          <w:spacing w:val="-11"/>
          <w:w w:val="115"/>
          <w:sz w:val="20"/>
        </w:rPr>
        <w:t> </w:t>
      </w:r>
      <w:r>
        <w:rPr>
          <w:w w:val="115"/>
          <w:sz w:val="20"/>
        </w:rPr>
        <w:t>centenary</w:t>
      </w:r>
      <w:r>
        <w:rPr>
          <w:spacing w:val="-12"/>
          <w:w w:val="115"/>
          <w:sz w:val="20"/>
        </w:rPr>
        <w:t> </w:t>
      </w:r>
      <w:r>
        <w:rPr>
          <w:w w:val="115"/>
          <w:sz w:val="20"/>
        </w:rPr>
        <w:t>of</w:t>
      </w:r>
      <w:r>
        <w:rPr>
          <w:spacing w:val="-11"/>
          <w:w w:val="115"/>
          <w:sz w:val="20"/>
        </w:rPr>
        <w:t> </w:t>
      </w:r>
      <w:r>
        <w:rPr>
          <w:w w:val="115"/>
          <w:sz w:val="20"/>
        </w:rPr>
        <w:t>the</w:t>
      </w:r>
      <w:r>
        <w:rPr>
          <w:spacing w:val="-11"/>
          <w:w w:val="115"/>
          <w:sz w:val="20"/>
        </w:rPr>
        <w:t> </w:t>
      </w:r>
      <w:r>
        <w:rPr>
          <w:w w:val="115"/>
          <w:sz w:val="20"/>
        </w:rPr>
        <w:t>beginning </w:t>
      </w:r>
      <w:r>
        <w:rPr>
          <w:w w:val="120"/>
          <w:sz w:val="20"/>
        </w:rPr>
        <w:t>of the ecumenical </w:t>
      </w:r>
      <w:r>
        <w:rPr>
          <w:spacing w:val="-3"/>
          <w:w w:val="120"/>
          <w:sz w:val="20"/>
        </w:rPr>
        <w:t>movement, </w:t>
      </w:r>
      <w:r>
        <w:rPr>
          <w:w w:val="120"/>
          <w:sz w:val="20"/>
        </w:rPr>
        <w:t>in which Reformed </w:t>
      </w:r>
      <w:r>
        <w:rPr>
          <w:spacing w:val="-3"/>
          <w:w w:val="120"/>
          <w:sz w:val="20"/>
        </w:rPr>
        <w:t>Churches have played </w:t>
      </w:r>
      <w:r>
        <w:rPr>
          <w:w w:val="120"/>
          <w:sz w:val="20"/>
        </w:rPr>
        <w:t>a major part. In seeking</w:t>
      </w:r>
      <w:r>
        <w:rPr>
          <w:spacing w:val="-7"/>
          <w:w w:val="120"/>
          <w:sz w:val="20"/>
        </w:rPr>
        <w:t> </w:t>
      </w:r>
      <w:r>
        <w:rPr>
          <w:w w:val="120"/>
          <w:sz w:val="20"/>
        </w:rPr>
        <w:t>the</w:t>
      </w:r>
      <w:r>
        <w:rPr>
          <w:spacing w:val="-7"/>
          <w:w w:val="120"/>
          <w:sz w:val="20"/>
        </w:rPr>
        <w:t> </w:t>
      </w:r>
      <w:r>
        <w:rPr>
          <w:w w:val="120"/>
          <w:sz w:val="20"/>
        </w:rPr>
        <w:t>unity</w:t>
      </w:r>
      <w:r>
        <w:rPr>
          <w:spacing w:val="-6"/>
          <w:w w:val="120"/>
          <w:sz w:val="20"/>
        </w:rPr>
        <w:t> </w:t>
      </w:r>
      <w:r>
        <w:rPr>
          <w:w w:val="120"/>
          <w:sz w:val="20"/>
        </w:rPr>
        <w:t>of</w:t>
      </w:r>
      <w:r>
        <w:rPr>
          <w:spacing w:val="-7"/>
          <w:w w:val="120"/>
          <w:sz w:val="20"/>
        </w:rPr>
        <w:t> </w:t>
      </w:r>
      <w:r>
        <w:rPr>
          <w:spacing w:val="-3"/>
          <w:w w:val="120"/>
          <w:sz w:val="20"/>
        </w:rPr>
        <w:t>churches</w:t>
      </w:r>
      <w:r>
        <w:rPr>
          <w:spacing w:val="-7"/>
          <w:w w:val="120"/>
          <w:sz w:val="20"/>
        </w:rPr>
        <w:t> </w:t>
      </w:r>
      <w:r>
        <w:rPr>
          <w:w w:val="120"/>
          <w:sz w:val="20"/>
        </w:rPr>
        <w:t>and</w:t>
      </w:r>
      <w:r>
        <w:rPr>
          <w:spacing w:val="-6"/>
          <w:w w:val="120"/>
          <w:sz w:val="20"/>
        </w:rPr>
        <w:t> </w:t>
      </w:r>
      <w:r>
        <w:rPr>
          <w:w w:val="120"/>
          <w:sz w:val="20"/>
        </w:rPr>
        <w:t>people</w:t>
      </w:r>
      <w:r>
        <w:rPr>
          <w:spacing w:val="-7"/>
          <w:w w:val="120"/>
          <w:sz w:val="20"/>
        </w:rPr>
        <w:t> </w:t>
      </w:r>
      <w:r>
        <w:rPr>
          <w:w w:val="120"/>
          <w:sz w:val="20"/>
        </w:rPr>
        <w:t>the</w:t>
      </w:r>
      <w:r>
        <w:rPr>
          <w:spacing w:val="-7"/>
          <w:w w:val="120"/>
          <w:sz w:val="20"/>
        </w:rPr>
        <w:t> </w:t>
      </w:r>
      <w:r>
        <w:rPr>
          <w:spacing w:val="-3"/>
          <w:w w:val="120"/>
          <w:sz w:val="20"/>
        </w:rPr>
        <w:t>movement</w:t>
      </w:r>
      <w:r>
        <w:rPr>
          <w:spacing w:val="-6"/>
          <w:w w:val="120"/>
          <w:sz w:val="20"/>
        </w:rPr>
        <w:t> </w:t>
      </w:r>
      <w:r>
        <w:rPr>
          <w:w w:val="120"/>
          <w:sz w:val="20"/>
        </w:rPr>
        <w:t>has</w:t>
      </w:r>
      <w:r>
        <w:rPr>
          <w:spacing w:val="-7"/>
          <w:w w:val="120"/>
          <w:sz w:val="20"/>
        </w:rPr>
        <w:t> </w:t>
      </w:r>
      <w:r>
        <w:rPr>
          <w:w w:val="120"/>
          <w:sz w:val="20"/>
        </w:rPr>
        <w:t>sought</w:t>
      </w:r>
      <w:r>
        <w:rPr>
          <w:spacing w:val="-7"/>
          <w:w w:val="120"/>
          <w:sz w:val="20"/>
        </w:rPr>
        <w:t> </w:t>
      </w:r>
      <w:r>
        <w:rPr>
          <w:spacing w:val="-3"/>
          <w:w w:val="120"/>
          <w:sz w:val="20"/>
        </w:rPr>
        <w:t>to</w:t>
      </w:r>
      <w:r>
        <w:rPr>
          <w:spacing w:val="-6"/>
          <w:w w:val="120"/>
          <w:sz w:val="20"/>
        </w:rPr>
        <w:t> </w:t>
      </w:r>
      <w:r>
        <w:rPr>
          <w:w w:val="120"/>
          <w:sz w:val="20"/>
        </w:rPr>
        <w:t>cut</w:t>
      </w:r>
      <w:r>
        <w:rPr>
          <w:spacing w:val="-7"/>
          <w:w w:val="120"/>
          <w:sz w:val="20"/>
        </w:rPr>
        <w:t> </w:t>
      </w:r>
      <w:r>
        <w:rPr>
          <w:w w:val="120"/>
          <w:sz w:val="20"/>
        </w:rPr>
        <w:t>through</w:t>
      </w:r>
      <w:r>
        <w:rPr>
          <w:spacing w:val="-6"/>
          <w:w w:val="120"/>
          <w:sz w:val="20"/>
        </w:rPr>
        <w:t> </w:t>
      </w:r>
      <w:r>
        <w:rPr>
          <w:w w:val="120"/>
          <w:sz w:val="20"/>
        </w:rPr>
        <w:t>some</w:t>
      </w:r>
    </w:p>
    <w:p>
      <w:pPr>
        <w:pStyle w:val="BodyText"/>
        <w:spacing w:line="232" w:lineRule="auto" w:before="2"/>
        <w:ind w:left="1133" w:right="2076"/>
      </w:pPr>
      <w:r>
        <w:rPr>
          <w:w w:val="120"/>
        </w:rPr>
        <w:t>of these </w:t>
      </w:r>
      <w:r>
        <w:rPr>
          <w:spacing w:val="-3"/>
          <w:w w:val="120"/>
        </w:rPr>
        <w:t>divisions </w:t>
      </w:r>
      <w:r>
        <w:rPr>
          <w:w w:val="120"/>
        </w:rPr>
        <w:t>caused by old </w:t>
      </w:r>
      <w:r>
        <w:rPr>
          <w:spacing w:val="-3"/>
          <w:w w:val="120"/>
        </w:rPr>
        <w:t>disputes </w:t>
      </w:r>
      <w:r>
        <w:rPr>
          <w:w w:val="120"/>
        </w:rPr>
        <w:t>and past </w:t>
      </w:r>
      <w:r>
        <w:rPr>
          <w:spacing w:val="-3"/>
          <w:w w:val="120"/>
        </w:rPr>
        <w:t>history. </w:t>
      </w:r>
      <w:r>
        <w:rPr>
          <w:w w:val="120"/>
        </w:rPr>
        <w:t>The </w:t>
      </w:r>
      <w:r>
        <w:rPr>
          <w:spacing w:val="-3"/>
          <w:w w:val="120"/>
        </w:rPr>
        <w:t>United </w:t>
      </w:r>
      <w:r>
        <w:rPr>
          <w:w w:val="120"/>
        </w:rPr>
        <w:t>Reformed </w:t>
      </w:r>
      <w:r>
        <w:rPr>
          <w:spacing w:val="-3"/>
          <w:w w:val="120"/>
        </w:rPr>
        <w:t>Church </w:t>
      </w:r>
      <w:r>
        <w:rPr>
          <w:w w:val="120"/>
        </w:rPr>
        <w:t>has</w:t>
      </w:r>
      <w:r>
        <w:rPr>
          <w:spacing w:val="-12"/>
          <w:w w:val="120"/>
        </w:rPr>
        <w:t> </w:t>
      </w:r>
      <w:r>
        <w:rPr>
          <w:w w:val="120"/>
        </w:rPr>
        <w:t>seen</w:t>
      </w:r>
      <w:r>
        <w:rPr>
          <w:spacing w:val="-11"/>
          <w:w w:val="120"/>
        </w:rPr>
        <w:t> </w:t>
      </w:r>
      <w:r>
        <w:rPr>
          <w:w w:val="120"/>
        </w:rPr>
        <w:t>itself</w:t>
      </w:r>
      <w:r>
        <w:rPr>
          <w:spacing w:val="-12"/>
          <w:w w:val="120"/>
        </w:rPr>
        <w:t> </w:t>
      </w:r>
      <w:r>
        <w:rPr>
          <w:w w:val="120"/>
        </w:rPr>
        <w:t>as</w:t>
      </w:r>
      <w:r>
        <w:rPr>
          <w:spacing w:val="-11"/>
          <w:w w:val="120"/>
        </w:rPr>
        <w:t> </w:t>
      </w:r>
      <w:r>
        <w:rPr>
          <w:w w:val="120"/>
        </w:rPr>
        <w:t>in</w:t>
      </w:r>
      <w:r>
        <w:rPr>
          <w:spacing w:val="-11"/>
          <w:w w:val="120"/>
        </w:rPr>
        <w:t> </w:t>
      </w:r>
      <w:r>
        <w:rPr>
          <w:w w:val="120"/>
        </w:rPr>
        <w:t>the</w:t>
      </w:r>
      <w:r>
        <w:rPr>
          <w:spacing w:val="-12"/>
          <w:w w:val="120"/>
        </w:rPr>
        <w:t> </w:t>
      </w:r>
      <w:r>
        <w:rPr>
          <w:w w:val="120"/>
        </w:rPr>
        <w:t>vanguard</w:t>
      </w:r>
      <w:r>
        <w:rPr>
          <w:spacing w:val="-11"/>
          <w:w w:val="120"/>
        </w:rPr>
        <w:t> </w:t>
      </w:r>
      <w:r>
        <w:rPr>
          <w:w w:val="120"/>
        </w:rPr>
        <w:t>of</w:t>
      </w:r>
      <w:r>
        <w:rPr>
          <w:spacing w:val="-11"/>
          <w:w w:val="120"/>
        </w:rPr>
        <w:t> </w:t>
      </w:r>
      <w:r>
        <w:rPr>
          <w:w w:val="120"/>
        </w:rPr>
        <w:t>the</w:t>
      </w:r>
      <w:r>
        <w:rPr>
          <w:spacing w:val="-12"/>
          <w:w w:val="120"/>
        </w:rPr>
        <w:t> </w:t>
      </w:r>
      <w:r>
        <w:rPr>
          <w:spacing w:val="-3"/>
          <w:w w:val="120"/>
        </w:rPr>
        <w:t>movement</w:t>
      </w:r>
      <w:r>
        <w:rPr>
          <w:spacing w:val="-11"/>
          <w:w w:val="120"/>
        </w:rPr>
        <w:t> </w:t>
      </w:r>
      <w:r>
        <w:rPr>
          <w:w w:val="120"/>
        </w:rPr>
        <w:t>in</w:t>
      </w:r>
      <w:r>
        <w:rPr>
          <w:spacing w:val="-11"/>
          <w:w w:val="120"/>
        </w:rPr>
        <w:t> </w:t>
      </w:r>
      <w:r>
        <w:rPr>
          <w:spacing w:val="-3"/>
          <w:w w:val="120"/>
        </w:rPr>
        <w:t>this</w:t>
      </w:r>
      <w:r>
        <w:rPr>
          <w:spacing w:val="-12"/>
          <w:w w:val="120"/>
        </w:rPr>
        <w:t> </w:t>
      </w:r>
      <w:r>
        <w:rPr>
          <w:spacing w:val="-3"/>
          <w:w w:val="120"/>
        </w:rPr>
        <w:t>country.</w:t>
      </w:r>
      <w:r>
        <w:rPr>
          <w:spacing w:val="-11"/>
          <w:w w:val="120"/>
        </w:rPr>
        <w:t> </w:t>
      </w:r>
      <w:r>
        <w:rPr>
          <w:w w:val="120"/>
        </w:rPr>
        <w:t>In</w:t>
      </w:r>
      <w:r>
        <w:rPr>
          <w:spacing w:val="-11"/>
          <w:w w:val="120"/>
        </w:rPr>
        <w:t> </w:t>
      </w:r>
      <w:r>
        <w:rPr>
          <w:spacing w:val="-3"/>
          <w:w w:val="120"/>
        </w:rPr>
        <w:t>your</w:t>
      </w:r>
      <w:r>
        <w:rPr>
          <w:spacing w:val="-12"/>
          <w:w w:val="120"/>
        </w:rPr>
        <w:t> </w:t>
      </w:r>
      <w:r>
        <w:rPr>
          <w:w w:val="120"/>
        </w:rPr>
        <w:t>experience,</w:t>
      </w:r>
      <w:r>
        <w:rPr>
          <w:spacing w:val="-11"/>
          <w:w w:val="120"/>
        </w:rPr>
        <w:t> </w:t>
      </w:r>
      <w:r>
        <w:rPr>
          <w:spacing w:val="-2"/>
          <w:w w:val="120"/>
        </w:rPr>
        <w:t>how </w:t>
      </w:r>
      <w:r>
        <w:rPr>
          <w:spacing w:val="-3"/>
          <w:w w:val="120"/>
        </w:rPr>
        <w:t>successful </w:t>
      </w:r>
      <w:r>
        <w:rPr>
          <w:w w:val="120"/>
        </w:rPr>
        <w:t>has the ecumenical </w:t>
      </w:r>
      <w:r>
        <w:rPr>
          <w:spacing w:val="-3"/>
          <w:w w:val="120"/>
        </w:rPr>
        <w:t>movement </w:t>
      </w:r>
      <w:r>
        <w:rPr>
          <w:w w:val="120"/>
        </w:rPr>
        <w:t>been in </w:t>
      </w:r>
      <w:r>
        <w:rPr>
          <w:spacing w:val="-3"/>
          <w:w w:val="120"/>
        </w:rPr>
        <w:t>achieving </w:t>
      </w:r>
      <w:r>
        <w:rPr>
          <w:w w:val="120"/>
        </w:rPr>
        <w:t>the unity of Christians and </w:t>
      </w:r>
      <w:r>
        <w:rPr>
          <w:spacing w:val="-4"/>
          <w:w w:val="120"/>
        </w:rPr>
        <w:t>churches? </w:t>
      </w:r>
      <w:r>
        <w:rPr>
          <w:w w:val="120"/>
        </w:rPr>
        <w:t>Are there lessons </w:t>
      </w:r>
      <w:r>
        <w:rPr>
          <w:spacing w:val="-3"/>
          <w:w w:val="120"/>
        </w:rPr>
        <w:t>to </w:t>
      </w:r>
      <w:r>
        <w:rPr>
          <w:w w:val="120"/>
        </w:rPr>
        <w:t>be learned from the </w:t>
      </w:r>
      <w:r>
        <w:rPr>
          <w:spacing w:val="-3"/>
          <w:w w:val="120"/>
        </w:rPr>
        <w:t>experience? </w:t>
      </w:r>
      <w:r>
        <w:rPr>
          <w:w w:val="120"/>
        </w:rPr>
        <w:t>Is there a danger that we </w:t>
      </w:r>
      <w:r>
        <w:rPr>
          <w:spacing w:val="-3"/>
          <w:w w:val="120"/>
        </w:rPr>
        <w:t>may</w:t>
      </w:r>
      <w:r>
        <w:rPr>
          <w:spacing w:val="-6"/>
          <w:w w:val="120"/>
        </w:rPr>
        <w:t> </w:t>
      </w:r>
      <w:r>
        <w:rPr>
          <w:spacing w:val="-3"/>
          <w:w w:val="120"/>
        </w:rPr>
        <w:t>create</w:t>
      </w:r>
      <w:r>
        <w:rPr>
          <w:spacing w:val="-6"/>
          <w:w w:val="120"/>
        </w:rPr>
        <w:t> </w:t>
      </w:r>
      <w:r>
        <w:rPr>
          <w:w w:val="120"/>
        </w:rPr>
        <w:t>new</w:t>
      </w:r>
      <w:r>
        <w:rPr>
          <w:spacing w:val="-5"/>
          <w:w w:val="120"/>
        </w:rPr>
        <w:t> </w:t>
      </w:r>
      <w:r>
        <w:rPr>
          <w:spacing w:val="-3"/>
          <w:w w:val="120"/>
        </w:rPr>
        <w:t>divisions</w:t>
      </w:r>
      <w:r>
        <w:rPr>
          <w:spacing w:val="-6"/>
          <w:w w:val="120"/>
        </w:rPr>
        <w:t> </w:t>
      </w:r>
      <w:r>
        <w:rPr>
          <w:spacing w:val="-3"/>
          <w:w w:val="120"/>
        </w:rPr>
        <w:t>to</w:t>
      </w:r>
      <w:r>
        <w:rPr>
          <w:spacing w:val="-6"/>
          <w:w w:val="120"/>
        </w:rPr>
        <w:t> </w:t>
      </w:r>
      <w:r>
        <w:rPr>
          <w:spacing w:val="-3"/>
          <w:w w:val="120"/>
        </w:rPr>
        <w:t>replace</w:t>
      </w:r>
      <w:r>
        <w:rPr>
          <w:spacing w:val="-5"/>
          <w:w w:val="120"/>
        </w:rPr>
        <w:t> </w:t>
      </w:r>
      <w:r>
        <w:rPr>
          <w:w w:val="120"/>
        </w:rPr>
        <w:t>the</w:t>
      </w:r>
      <w:r>
        <w:rPr>
          <w:spacing w:val="-6"/>
          <w:w w:val="120"/>
        </w:rPr>
        <w:t> </w:t>
      </w:r>
      <w:r>
        <w:rPr>
          <w:w w:val="120"/>
        </w:rPr>
        <w:t>old</w:t>
      </w:r>
      <w:r>
        <w:rPr>
          <w:spacing w:val="-5"/>
          <w:w w:val="120"/>
        </w:rPr>
        <w:t> </w:t>
      </w:r>
      <w:r>
        <w:rPr>
          <w:w w:val="120"/>
        </w:rPr>
        <w:t>ones,</w:t>
      </w:r>
      <w:r>
        <w:rPr>
          <w:spacing w:val="-6"/>
          <w:w w:val="120"/>
        </w:rPr>
        <w:t> </w:t>
      </w:r>
      <w:r>
        <w:rPr>
          <w:w w:val="120"/>
        </w:rPr>
        <w:t>with</w:t>
      </w:r>
      <w:r>
        <w:rPr>
          <w:spacing w:val="-6"/>
          <w:w w:val="120"/>
        </w:rPr>
        <w:t> </w:t>
      </w:r>
      <w:r>
        <w:rPr>
          <w:w w:val="120"/>
        </w:rPr>
        <w:t>the</w:t>
      </w:r>
      <w:r>
        <w:rPr>
          <w:spacing w:val="-5"/>
          <w:w w:val="120"/>
        </w:rPr>
        <w:t> </w:t>
      </w:r>
      <w:r>
        <w:rPr>
          <w:w w:val="120"/>
        </w:rPr>
        <w:t>same</w:t>
      </w:r>
      <w:r>
        <w:rPr>
          <w:spacing w:val="-6"/>
          <w:w w:val="120"/>
        </w:rPr>
        <w:t> </w:t>
      </w:r>
      <w:r>
        <w:rPr>
          <w:w w:val="120"/>
        </w:rPr>
        <w:t>sorry</w:t>
      </w:r>
      <w:r>
        <w:rPr>
          <w:spacing w:val="-6"/>
          <w:w w:val="120"/>
        </w:rPr>
        <w:t> </w:t>
      </w:r>
      <w:r>
        <w:rPr>
          <w:spacing w:val="-4"/>
          <w:w w:val="120"/>
        </w:rPr>
        <w:t>result?</w:t>
      </w:r>
    </w:p>
    <w:p>
      <w:pPr>
        <w:pStyle w:val="BodyText"/>
        <w:spacing w:before="11"/>
        <w:rPr>
          <w:sz w:val="18"/>
        </w:rPr>
      </w:pPr>
    </w:p>
    <w:p>
      <w:pPr>
        <w:pStyle w:val="ListParagraph"/>
        <w:numPr>
          <w:ilvl w:val="2"/>
          <w:numId w:val="101"/>
        </w:numPr>
        <w:tabs>
          <w:tab w:pos="1815" w:val="left" w:leader="none"/>
        </w:tabs>
        <w:spacing w:line="232" w:lineRule="auto" w:before="1" w:after="0"/>
        <w:ind w:left="1133" w:right="1993" w:firstLine="0"/>
        <w:jc w:val="left"/>
        <w:rPr>
          <w:sz w:val="20"/>
        </w:rPr>
      </w:pPr>
      <w:r>
        <w:rPr>
          <w:rFonts w:ascii="Stone Sans II ITC Std Bk"/>
          <w:b/>
          <w:w w:val="120"/>
          <w:sz w:val="20"/>
        </w:rPr>
        <w:t>Unity and the missionary situation. </w:t>
      </w:r>
      <w:r>
        <w:rPr>
          <w:w w:val="120"/>
          <w:sz w:val="20"/>
        </w:rPr>
        <w:t>There is little doubt that mission is a priority for the Church and that the situation is one in which a significant </w:t>
      </w:r>
      <w:r>
        <w:rPr>
          <w:spacing w:val="2"/>
          <w:w w:val="120"/>
          <w:sz w:val="20"/>
        </w:rPr>
        <w:t>part </w:t>
      </w:r>
      <w:r>
        <w:rPr>
          <w:w w:val="120"/>
          <w:sz w:val="20"/>
        </w:rPr>
        <w:t>of our society is ignorant of the Gospel and either apathetic or resistant to it. In such a situation, is it foolish for the Church to spend time debating different understandings of truth   when the need is to show the essential core of the Gospel, or is it important to be able to present the Gospel with clarity and unanimity? What is the right relationship of unity and mission in </w:t>
      </w:r>
      <w:r>
        <w:rPr>
          <w:spacing w:val="-5"/>
          <w:w w:val="120"/>
          <w:sz w:val="20"/>
        </w:rPr>
        <w:t>21</w:t>
      </w:r>
      <w:r>
        <w:rPr>
          <w:spacing w:val="-5"/>
          <w:w w:val="120"/>
          <w:position w:val="7"/>
          <w:sz w:val="11"/>
        </w:rPr>
        <w:t>st </w:t>
      </w:r>
      <w:r>
        <w:rPr>
          <w:w w:val="120"/>
          <w:sz w:val="20"/>
        </w:rPr>
        <w:t>century</w:t>
      </w:r>
      <w:r>
        <w:rPr>
          <w:spacing w:val="11"/>
          <w:w w:val="120"/>
          <w:sz w:val="20"/>
        </w:rPr>
        <w:t> </w:t>
      </w:r>
      <w:r>
        <w:rPr>
          <w:w w:val="120"/>
          <w:sz w:val="20"/>
        </w:rPr>
        <w:t>Britain?</w:t>
      </w:r>
    </w:p>
    <w:p>
      <w:pPr>
        <w:pStyle w:val="BodyText"/>
        <w:spacing w:before="3"/>
        <w:rPr>
          <w:sz w:val="18"/>
        </w:rPr>
      </w:pPr>
    </w:p>
    <w:p>
      <w:pPr>
        <w:pStyle w:val="ListParagraph"/>
        <w:numPr>
          <w:ilvl w:val="2"/>
          <w:numId w:val="101"/>
        </w:numPr>
        <w:tabs>
          <w:tab w:pos="1815" w:val="left" w:leader="none"/>
        </w:tabs>
        <w:spacing w:line="230" w:lineRule="auto" w:before="0" w:after="0"/>
        <w:ind w:left="1133" w:right="1989" w:firstLine="0"/>
        <w:jc w:val="left"/>
        <w:rPr>
          <w:sz w:val="20"/>
        </w:rPr>
      </w:pPr>
      <w:r>
        <w:rPr>
          <w:rFonts w:ascii="Stone Sans II ITC Std Bk"/>
          <w:b/>
          <w:w w:val="120"/>
          <w:sz w:val="20"/>
        </w:rPr>
        <w:t>Unity</w:t>
      </w:r>
      <w:r>
        <w:rPr>
          <w:rFonts w:ascii="Stone Sans II ITC Std Bk"/>
          <w:b/>
          <w:spacing w:val="-26"/>
          <w:w w:val="120"/>
          <w:sz w:val="20"/>
        </w:rPr>
        <w:t> </w:t>
      </w:r>
      <w:r>
        <w:rPr>
          <w:rFonts w:ascii="Stone Sans II ITC Std Bk"/>
          <w:b/>
          <w:w w:val="120"/>
          <w:sz w:val="20"/>
        </w:rPr>
        <w:t>and</w:t>
      </w:r>
      <w:r>
        <w:rPr>
          <w:rFonts w:ascii="Stone Sans II ITC Std Bk"/>
          <w:b/>
          <w:spacing w:val="-25"/>
          <w:w w:val="120"/>
          <w:sz w:val="20"/>
        </w:rPr>
        <w:t> </w:t>
      </w:r>
      <w:r>
        <w:rPr>
          <w:rFonts w:ascii="Stone Sans II ITC Std Bk"/>
          <w:b/>
          <w:spacing w:val="-3"/>
          <w:w w:val="120"/>
          <w:sz w:val="20"/>
        </w:rPr>
        <w:t>culture.</w:t>
      </w:r>
      <w:r>
        <w:rPr>
          <w:rFonts w:ascii="Stone Sans II ITC Std Bk"/>
          <w:b/>
          <w:spacing w:val="-25"/>
          <w:w w:val="120"/>
          <w:sz w:val="20"/>
        </w:rPr>
        <w:t> </w:t>
      </w:r>
      <w:r>
        <w:rPr>
          <w:w w:val="120"/>
          <w:sz w:val="20"/>
        </w:rPr>
        <w:t>There</w:t>
      </w:r>
      <w:r>
        <w:rPr>
          <w:spacing w:val="-17"/>
          <w:w w:val="120"/>
          <w:sz w:val="20"/>
        </w:rPr>
        <w:t> </w:t>
      </w:r>
      <w:r>
        <w:rPr>
          <w:w w:val="120"/>
          <w:sz w:val="20"/>
        </w:rPr>
        <w:t>is</w:t>
      </w:r>
      <w:r>
        <w:rPr>
          <w:spacing w:val="-17"/>
          <w:w w:val="120"/>
          <w:sz w:val="20"/>
        </w:rPr>
        <w:t> </w:t>
      </w:r>
      <w:r>
        <w:rPr>
          <w:w w:val="120"/>
          <w:sz w:val="20"/>
        </w:rPr>
        <w:t>an</w:t>
      </w:r>
      <w:r>
        <w:rPr>
          <w:spacing w:val="-17"/>
          <w:w w:val="120"/>
          <w:sz w:val="20"/>
        </w:rPr>
        <w:t> </w:t>
      </w:r>
      <w:r>
        <w:rPr>
          <w:w w:val="120"/>
          <w:sz w:val="20"/>
        </w:rPr>
        <w:t>extent</w:t>
      </w:r>
      <w:r>
        <w:rPr>
          <w:spacing w:val="-17"/>
          <w:w w:val="120"/>
          <w:sz w:val="20"/>
        </w:rPr>
        <w:t> </w:t>
      </w:r>
      <w:r>
        <w:rPr>
          <w:spacing w:val="-3"/>
          <w:w w:val="120"/>
          <w:sz w:val="20"/>
        </w:rPr>
        <w:t>to</w:t>
      </w:r>
      <w:r>
        <w:rPr>
          <w:spacing w:val="-17"/>
          <w:w w:val="120"/>
          <w:sz w:val="20"/>
        </w:rPr>
        <w:t> </w:t>
      </w:r>
      <w:r>
        <w:rPr>
          <w:w w:val="120"/>
          <w:sz w:val="20"/>
        </w:rPr>
        <w:t>which</w:t>
      </w:r>
      <w:r>
        <w:rPr>
          <w:spacing w:val="-17"/>
          <w:w w:val="120"/>
          <w:sz w:val="20"/>
        </w:rPr>
        <w:t> </w:t>
      </w:r>
      <w:r>
        <w:rPr>
          <w:w w:val="120"/>
          <w:sz w:val="20"/>
        </w:rPr>
        <w:t>the</w:t>
      </w:r>
      <w:r>
        <w:rPr>
          <w:spacing w:val="-17"/>
          <w:w w:val="120"/>
          <w:sz w:val="20"/>
        </w:rPr>
        <w:t> </w:t>
      </w:r>
      <w:r>
        <w:rPr>
          <w:spacing w:val="-2"/>
          <w:w w:val="120"/>
          <w:sz w:val="20"/>
        </w:rPr>
        <w:t>way</w:t>
      </w:r>
      <w:r>
        <w:rPr>
          <w:spacing w:val="-18"/>
          <w:w w:val="120"/>
          <w:sz w:val="20"/>
        </w:rPr>
        <w:t> </w:t>
      </w:r>
      <w:r>
        <w:rPr>
          <w:w w:val="120"/>
          <w:sz w:val="20"/>
        </w:rPr>
        <w:t>we</w:t>
      </w:r>
      <w:r>
        <w:rPr>
          <w:spacing w:val="-17"/>
          <w:w w:val="120"/>
          <w:sz w:val="20"/>
        </w:rPr>
        <w:t> </w:t>
      </w:r>
      <w:r>
        <w:rPr>
          <w:w w:val="120"/>
          <w:sz w:val="20"/>
        </w:rPr>
        <w:t>express</w:t>
      </w:r>
      <w:r>
        <w:rPr>
          <w:spacing w:val="-17"/>
          <w:w w:val="120"/>
          <w:sz w:val="20"/>
        </w:rPr>
        <w:t> </w:t>
      </w:r>
      <w:r>
        <w:rPr>
          <w:w w:val="120"/>
          <w:sz w:val="20"/>
        </w:rPr>
        <w:t>our</w:t>
      </w:r>
      <w:r>
        <w:rPr>
          <w:spacing w:val="-17"/>
          <w:w w:val="120"/>
          <w:sz w:val="20"/>
        </w:rPr>
        <w:t> </w:t>
      </w:r>
      <w:r>
        <w:rPr>
          <w:w w:val="120"/>
          <w:sz w:val="20"/>
        </w:rPr>
        <w:t>faith,</w:t>
      </w:r>
      <w:r>
        <w:rPr>
          <w:spacing w:val="-17"/>
          <w:w w:val="120"/>
          <w:sz w:val="20"/>
        </w:rPr>
        <w:t> </w:t>
      </w:r>
      <w:r>
        <w:rPr>
          <w:w w:val="120"/>
          <w:sz w:val="20"/>
        </w:rPr>
        <w:t>and the</w:t>
      </w:r>
      <w:r>
        <w:rPr>
          <w:spacing w:val="-24"/>
          <w:w w:val="120"/>
          <w:sz w:val="20"/>
        </w:rPr>
        <w:t> </w:t>
      </w:r>
      <w:r>
        <w:rPr>
          <w:w w:val="120"/>
          <w:sz w:val="20"/>
        </w:rPr>
        <w:t>principles</w:t>
      </w:r>
      <w:r>
        <w:rPr>
          <w:spacing w:val="-24"/>
          <w:w w:val="120"/>
          <w:sz w:val="20"/>
        </w:rPr>
        <w:t> </w:t>
      </w:r>
      <w:r>
        <w:rPr>
          <w:w w:val="120"/>
          <w:sz w:val="20"/>
        </w:rPr>
        <w:t>by</w:t>
      </w:r>
      <w:r>
        <w:rPr>
          <w:spacing w:val="-23"/>
          <w:w w:val="120"/>
          <w:sz w:val="20"/>
        </w:rPr>
        <w:t> </w:t>
      </w:r>
      <w:r>
        <w:rPr>
          <w:w w:val="120"/>
          <w:sz w:val="20"/>
        </w:rPr>
        <w:t>which</w:t>
      </w:r>
      <w:r>
        <w:rPr>
          <w:spacing w:val="-24"/>
          <w:w w:val="120"/>
          <w:sz w:val="20"/>
        </w:rPr>
        <w:t> </w:t>
      </w:r>
      <w:r>
        <w:rPr>
          <w:w w:val="120"/>
          <w:sz w:val="20"/>
        </w:rPr>
        <w:t>we</w:t>
      </w:r>
      <w:r>
        <w:rPr>
          <w:spacing w:val="-24"/>
          <w:w w:val="120"/>
          <w:sz w:val="20"/>
        </w:rPr>
        <w:t> </w:t>
      </w:r>
      <w:r>
        <w:rPr>
          <w:spacing w:val="-3"/>
          <w:w w:val="120"/>
          <w:sz w:val="20"/>
        </w:rPr>
        <w:t>live</w:t>
      </w:r>
      <w:r>
        <w:rPr>
          <w:spacing w:val="-23"/>
          <w:w w:val="120"/>
          <w:sz w:val="20"/>
        </w:rPr>
        <w:t> </w:t>
      </w:r>
      <w:r>
        <w:rPr>
          <w:w w:val="120"/>
          <w:sz w:val="20"/>
        </w:rPr>
        <w:t>as</w:t>
      </w:r>
      <w:r>
        <w:rPr>
          <w:spacing w:val="-24"/>
          <w:w w:val="120"/>
          <w:sz w:val="20"/>
        </w:rPr>
        <w:t> </w:t>
      </w:r>
      <w:r>
        <w:rPr>
          <w:w w:val="120"/>
          <w:sz w:val="20"/>
        </w:rPr>
        <w:t>Christians,</w:t>
      </w:r>
      <w:r>
        <w:rPr>
          <w:spacing w:val="-23"/>
          <w:w w:val="120"/>
          <w:sz w:val="20"/>
        </w:rPr>
        <w:t> </w:t>
      </w:r>
      <w:r>
        <w:rPr>
          <w:w w:val="120"/>
          <w:sz w:val="20"/>
        </w:rPr>
        <w:t>arise</w:t>
      </w:r>
      <w:r>
        <w:rPr>
          <w:spacing w:val="-24"/>
          <w:w w:val="120"/>
          <w:sz w:val="20"/>
        </w:rPr>
        <w:t> </w:t>
      </w:r>
      <w:r>
        <w:rPr>
          <w:w w:val="120"/>
          <w:sz w:val="20"/>
        </w:rPr>
        <w:t>from</w:t>
      </w:r>
      <w:r>
        <w:rPr>
          <w:spacing w:val="-24"/>
          <w:w w:val="120"/>
          <w:sz w:val="20"/>
        </w:rPr>
        <w:t> </w:t>
      </w:r>
      <w:r>
        <w:rPr>
          <w:w w:val="120"/>
          <w:sz w:val="20"/>
        </w:rPr>
        <w:t>the</w:t>
      </w:r>
      <w:r>
        <w:rPr>
          <w:spacing w:val="-23"/>
          <w:w w:val="120"/>
          <w:sz w:val="20"/>
        </w:rPr>
        <w:t> </w:t>
      </w:r>
      <w:r>
        <w:rPr>
          <w:spacing w:val="-3"/>
          <w:w w:val="120"/>
          <w:sz w:val="20"/>
        </w:rPr>
        <w:t>nature</w:t>
      </w:r>
      <w:r>
        <w:rPr>
          <w:spacing w:val="-24"/>
          <w:w w:val="120"/>
          <w:sz w:val="20"/>
        </w:rPr>
        <w:t> </w:t>
      </w:r>
      <w:r>
        <w:rPr>
          <w:w w:val="120"/>
          <w:sz w:val="20"/>
        </w:rPr>
        <w:t>of</w:t>
      </w:r>
      <w:r>
        <w:rPr>
          <w:spacing w:val="-24"/>
          <w:w w:val="120"/>
          <w:sz w:val="20"/>
        </w:rPr>
        <w:t> </w:t>
      </w:r>
      <w:r>
        <w:rPr>
          <w:w w:val="120"/>
          <w:sz w:val="20"/>
        </w:rPr>
        <w:t>our</w:t>
      </w:r>
      <w:r>
        <w:rPr>
          <w:spacing w:val="-23"/>
          <w:w w:val="120"/>
          <w:sz w:val="20"/>
        </w:rPr>
        <w:t> </w:t>
      </w:r>
      <w:r>
        <w:rPr>
          <w:spacing w:val="-3"/>
          <w:w w:val="120"/>
          <w:sz w:val="20"/>
        </w:rPr>
        <w:t>religious</w:t>
      </w:r>
      <w:r>
        <w:rPr>
          <w:spacing w:val="-24"/>
          <w:w w:val="120"/>
          <w:sz w:val="20"/>
        </w:rPr>
        <w:t> </w:t>
      </w:r>
      <w:r>
        <w:rPr>
          <w:w w:val="120"/>
          <w:sz w:val="20"/>
        </w:rPr>
        <w:t>experience, the </w:t>
      </w:r>
      <w:r>
        <w:rPr>
          <w:spacing w:val="-3"/>
          <w:w w:val="120"/>
          <w:sz w:val="20"/>
        </w:rPr>
        <w:t>church </w:t>
      </w:r>
      <w:r>
        <w:rPr>
          <w:w w:val="120"/>
          <w:sz w:val="20"/>
        </w:rPr>
        <w:t>which nurtured </w:t>
      </w:r>
      <w:r>
        <w:rPr>
          <w:spacing w:val="-2"/>
          <w:w w:val="120"/>
          <w:sz w:val="20"/>
        </w:rPr>
        <w:t>us, </w:t>
      </w:r>
      <w:r>
        <w:rPr>
          <w:w w:val="120"/>
          <w:sz w:val="20"/>
        </w:rPr>
        <w:t>the people who </w:t>
      </w:r>
      <w:r>
        <w:rPr>
          <w:spacing w:val="-3"/>
          <w:w w:val="120"/>
          <w:sz w:val="20"/>
        </w:rPr>
        <w:t>have </w:t>
      </w:r>
      <w:r>
        <w:rPr>
          <w:w w:val="120"/>
          <w:sz w:val="20"/>
        </w:rPr>
        <w:t>influenced us and the </w:t>
      </w:r>
      <w:r>
        <w:rPr>
          <w:spacing w:val="-3"/>
          <w:w w:val="120"/>
          <w:sz w:val="20"/>
        </w:rPr>
        <w:t>culture </w:t>
      </w:r>
      <w:r>
        <w:rPr>
          <w:w w:val="120"/>
          <w:sz w:val="20"/>
        </w:rPr>
        <w:t>in which we feel at home. Some of our diversity arises from </w:t>
      </w:r>
      <w:r>
        <w:rPr>
          <w:spacing w:val="-3"/>
          <w:w w:val="120"/>
          <w:sz w:val="20"/>
        </w:rPr>
        <w:t>this </w:t>
      </w:r>
      <w:r>
        <w:rPr>
          <w:w w:val="120"/>
          <w:sz w:val="20"/>
        </w:rPr>
        <w:t>fact. </w:t>
      </w:r>
      <w:r>
        <w:rPr>
          <w:spacing w:val="-3"/>
          <w:w w:val="120"/>
          <w:sz w:val="20"/>
        </w:rPr>
        <w:t>Have you </w:t>
      </w:r>
      <w:r>
        <w:rPr>
          <w:w w:val="120"/>
          <w:sz w:val="20"/>
        </w:rPr>
        <w:t>explored </w:t>
      </w:r>
      <w:r>
        <w:rPr>
          <w:spacing w:val="-3"/>
          <w:w w:val="120"/>
          <w:sz w:val="20"/>
        </w:rPr>
        <w:t>this </w:t>
      </w:r>
      <w:r>
        <w:rPr>
          <w:w w:val="120"/>
          <w:sz w:val="20"/>
        </w:rPr>
        <w:t>angle with others who </w:t>
      </w:r>
      <w:r>
        <w:rPr>
          <w:spacing w:val="-3"/>
          <w:w w:val="120"/>
          <w:sz w:val="20"/>
        </w:rPr>
        <w:t>you </w:t>
      </w:r>
      <w:r>
        <w:rPr>
          <w:w w:val="120"/>
          <w:sz w:val="20"/>
        </w:rPr>
        <w:t>find it difficult </w:t>
      </w:r>
      <w:r>
        <w:rPr>
          <w:spacing w:val="-3"/>
          <w:w w:val="120"/>
          <w:sz w:val="20"/>
        </w:rPr>
        <w:t>to </w:t>
      </w:r>
      <w:r>
        <w:rPr>
          <w:w w:val="120"/>
          <w:sz w:val="20"/>
        </w:rPr>
        <w:t>understand? Is it a good or a bad thing that local </w:t>
      </w:r>
      <w:r>
        <w:rPr>
          <w:spacing w:val="-3"/>
          <w:w w:val="120"/>
          <w:sz w:val="20"/>
        </w:rPr>
        <w:t>churches </w:t>
      </w:r>
      <w:r>
        <w:rPr>
          <w:w w:val="120"/>
          <w:sz w:val="20"/>
        </w:rPr>
        <w:t>attract people of </w:t>
      </w:r>
      <w:r>
        <w:rPr>
          <w:spacing w:val="-3"/>
          <w:w w:val="120"/>
          <w:sz w:val="20"/>
        </w:rPr>
        <w:t>similar theology, </w:t>
      </w:r>
      <w:r>
        <w:rPr>
          <w:w w:val="120"/>
          <w:sz w:val="20"/>
        </w:rPr>
        <w:t>social class or ethnic</w:t>
      </w:r>
      <w:r>
        <w:rPr>
          <w:spacing w:val="-37"/>
          <w:w w:val="120"/>
          <w:sz w:val="20"/>
        </w:rPr>
        <w:t> </w:t>
      </w:r>
      <w:r>
        <w:rPr>
          <w:spacing w:val="-3"/>
          <w:w w:val="120"/>
          <w:sz w:val="20"/>
        </w:rPr>
        <w:t>background?</w:t>
      </w:r>
    </w:p>
    <w:p>
      <w:pPr>
        <w:pStyle w:val="BodyText"/>
        <w:spacing w:before="2"/>
        <w:rPr>
          <w:sz w:val="19"/>
        </w:rPr>
      </w:pPr>
    </w:p>
    <w:p>
      <w:pPr>
        <w:pStyle w:val="ListParagraph"/>
        <w:numPr>
          <w:ilvl w:val="2"/>
          <w:numId w:val="101"/>
        </w:numPr>
        <w:tabs>
          <w:tab w:pos="1815" w:val="left" w:leader="none"/>
        </w:tabs>
        <w:spacing w:line="230" w:lineRule="auto" w:before="0" w:after="0"/>
        <w:ind w:left="1133" w:right="2032" w:firstLine="0"/>
        <w:jc w:val="left"/>
        <w:rPr>
          <w:sz w:val="20"/>
        </w:rPr>
      </w:pPr>
      <w:r>
        <w:rPr>
          <w:rFonts w:ascii="Stone Sans II ITC Std Bk" w:hAnsi="Stone Sans II ITC Std Bk"/>
          <w:b/>
          <w:w w:val="120"/>
          <w:sz w:val="20"/>
        </w:rPr>
        <w:t>Unity and Communion. </w:t>
      </w:r>
      <w:r>
        <w:rPr>
          <w:w w:val="120"/>
          <w:sz w:val="20"/>
        </w:rPr>
        <w:t>It is at the Lord’s </w:t>
      </w:r>
      <w:r>
        <w:rPr>
          <w:spacing w:val="-3"/>
          <w:w w:val="120"/>
          <w:sz w:val="20"/>
        </w:rPr>
        <w:t>Table </w:t>
      </w:r>
      <w:r>
        <w:rPr>
          <w:w w:val="120"/>
          <w:sz w:val="20"/>
        </w:rPr>
        <w:t>that many people have their greatest sense of the unity of the fellowship. We get caught up in the wonderful grace of God offered to all who come in faith, and whatever differences we may have with others in the church on other matters do not concern us. How do you connect that experience to the times in meetings when you find yourself in a position of diversity or</w:t>
      </w:r>
      <w:r>
        <w:rPr>
          <w:spacing w:val="29"/>
          <w:w w:val="120"/>
          <w:sz w:val="20"/>
        </w:rPr>
        <w:t> </w:t>
      </w:r>
      <w:r>
        <w:rPr>
          <w:w w:val="120"/>
          <w:sz w:val="20"/>
        </w:rPr>
        <w:t>division?</w:t>
      </w:r>
    </w:p>
    <w:p>
      <w:pPr>
        <w:pStyle w:val="BodyText"/>
        <w:spacing w:before="3"/>
        <w:rPr>
          <w:sz w:val="18"/>
        </w:rPr>
      </w:pPr>
    </w:p>
    <w:p>
      <w:pPr>
        <w:pStyle w:val="ListParagraph"/>
        <w:numPr>
          <w:ilvl w:val="2"/>
          <w:numId w:val="101"/>
        </w:numPr>
        <w:tabs>
          <w:tab w:pos="1815" w:val="left" w:leader="none"/>
          <w:tab w:pos="4065" w:val="left" w:leader="dot"/>
        </w:tabs>
        <w:spacing w:line="260" w:lineRule="exact" w:before="0" w:after="0"/>
        <w:ind w:left="1814" w:right="0" w:hanging="682"/>
        <w:jc w:val="left"/>
        <w:rPr>
          <w:sz w:val="20"/>
        </w:rPr>
      </w:pPr>
      <w:r>
        <w:rPr>
          <w:rFonts w:ascii="Stone Sans II ITC Std Bk"/>
          <w:b/>
          <w:w w:val="120"/>
          <w:sz w:val="20"/>
        </w:rPr>
        <w:t>Unity</w:t>
      </w:r>
      <w:r>
        <w:rPr>
          <w:rFonts w:ascii="Stone Sans II ITC Std Bk"/>
          <w:b/>
          <w:spacing w:val="-30"/>
          <w:w w:val="120"/>
          <w:sz w:val="20"/>
        </w:rPr>
        <w:t> </w:t>
      </w:r>
      <w:r>
        <w:rPr>
          <w:rFonts w:ascii="Stone Sans II ITC Std Bk"/>
          <w:b/>
          <w:w w:val="120"/>
          <w:sz w:val="20"/>
        </w:rPr>
        <w:t>and</w:t>
        <w:tab/>
      </w:r>
      <w:r>
        <w:rPr>
          <w:w w:val="120"/>
          <w:sz w:val="20"/>
        </w:rPr>
        <w:t>Unity can be looked at from any number of angles.</w:t>
      </w:r>
      <w:r>
        <w:rPr>
          <w:spacing w:val="23"/>
          <w:w w:val="120"/>
          <w:sz w:val="20"/>
        </w:rPr>
        <w:t> </w:t>
      </w:r>
      <w:r>
        <w:rPr>
          <w:w w:val="120"/>
          <w:sz w:val="20"/>
        </w:rPr>
        <w:t>Are</w:t>
      </w:r>
    </w:p>
    <w:p>
      <w:pPr>
        <w:pStyle w:val="BodyText"/>
        <w:spacing w:line="232" w:lineRule="auto"/>
        <w:ind w:left="1133" w:right="1997"/>
      </w:pPr>
      <w:r>
        <w:rPr>
          <w:w w:val="120"/>
        </w:rPr>
        <w:t>there others that are as significant, or more significant, to you? Can you draw your thinking about unity and diversity into a coherent statement?</w:t>
      </w:r>
    </w:p>
    <w:p>
      <w:pPr>
        <w:numPr>
          <w:ilvl w:val="0"/>
          <w:numId w:val="101"/>
        </w:numPr>
        <w:tabs>
          <w:tab w:pos="1853" w:val="left" w:leader="none"/>
          <w:tab w:pos="1854" w:val="left" w:leader="none"/>
        </w:tabs>
        <w:spacing w:before="208"/>
        <w:ind w:left="1853" w:right="0" w:hanging="721"/>
        <w:jc w:val="left"/>
        <w:rPr>
          <w:rFonts w:ascii="Stone Sans II ITC Std Bk"/>
          <w:b/>
          <w:sz w:val="21"/>
        </w:rPr>
      </w:pPr>
      <w:r>
        <w:rPr>
          <w:rFonts w:ascii="Stone Sans II ITC Std Bk"/>
          <w:b/>
          <w:w w:val="115"/>
          <w:sz w:val="21"/>
        </w:rPr>
        <w:t>Human sexuality: the next</w:t>
      </w:r>
      <w:r>
        <w:rPr>
          <w:rFonts w:ascii="Stone Sans II ITC Std Bk"/>
          <w:b/>
          <w:spacing w:val="-7"/>
          <w:w w:val="115"/>
          <w:sz w:val="21"/>
        </w:rPr>
        <w:t> </w:t>
      </w:r>
      <w:r>
        <w:rPr>
          <w:rFonts w:ascii="Stone Sans II ITC Std Bk"/>
          <w:b/>
          <w:w w:val="115"/>
          <w:sz w:val="21"/>
        </w:rPr>
        <w:t>stage</w:t>
      </w:r>
    </w:p>
    <w:p>
      <w:pPr>
        <w:pStyle w:val="ListParagraph"/>
        <w:numPr>
          <w:ilvl w:val="1"/>
          <w:numId w:val="101"/>
        </w:numPr>
        <w:tabs>
          <w:tab w:pos="1814" w:val="left" w:leader="none"/>
          <w:tab w:pos="1815" w:val="left" w:leader="none"/>
        </w:tabs>
        <w:spacing w:line="232" w:lineRule="auto" w:before="221" w:after="0"/>
        <w:ind w:left="1133" w:right="2184" w:firstLine="0"/>
        <w:jc w:val="left"/>
        <w:rPr>
          <w:sz w:val="20"/>
        </w:rPr>
      </w:pPr>
      <w:r>
        <w:rPr>
          <w:w w:val="120"/>
          <w:sz w:val="20"/>
        </w:rPr>
        <w:t>The task group sees the next stage as the two years leading up to the Assembly of </w:t>
      </w:r>
      <w:r>
        <w:rPr>
          <w:spacing w:val="-6"/>
          <w:w w:val="120"/>
          <w:sz w:val="20"/>
        </w:rPr>
        <w:t>2012. </w:t>
      </w:r>
      <w:r>
        <w:rPr>
          <w:w w:val="120"/>
          <w:sz w:val="20"/>
        </w:rPr>
        <w:t>The focus of that time will be human sexuality, but not limited to same-sex relationships, and being careful to see sexuality primarily as God’s </w:t>
      </w:r>
      <w:r>
        <w:rPr>
          <w:spacing w:val="2"/>
          <w:w w:val="120"/>
          <w:sz w:val="20"/>
        </w:rPr>
        <w:t>gift </w:t>
      </w:r>
      <w:r>
        <w:rPr>
          <w:w w:val="120"/>
          <w:sz w:val="20"/>
        </w:rPr>
        <w:t>rather than as an ecclesiastical problem. This will be a theological exploration and so attention will need to be given to the way we do our theology and the use we make of the</w:t>
      </w:r>
      <w:r>
        <w:rPr>
          <w:spacing w:val="1"/>
          <w:w w:val="120"/>
          <w:sz w:val="20"/>
        </w:rPr>
        <w:t> </w:t>
      </w:r>
      <w:r>
        <w:rPr>
          <w:w w:val="120"/>
          <w:sz w:val="20"/>
        </w:rPr>
        <w:t>Bible.</w:t>
      </w:r>
    </w:p>
    <w:p>
      <w:pPr>
        <w:pStyle w:val="BodyText"/>
        <w:spacing w:before="12"/>
        <w:rPr>
          <w:sz w:val="19"/>
        </w:rPr>
      </w:pPr>
    </w:p>
    <w:p>
      <w:pPr>
        <w:pStyle w:val="ListParagraph"/>
        <w:numPr>
          <w:ilvl w:val="1"/>
          <w:numId w:val="101"/>
        </w:numPr>
        <w:tabs>
          <w:tab w:pos="1814" w:val="left" w:leader="none"/>
          <w:tab w:pos="1815" w:val="left" w:leader="none"/>
        </w:tabs>
        <w:spacing w:line="232" w:lineRule="auto" w:before="0" w:after="0"/>
        <w:ind w:left="1133" w:right="1991" w:firstLine="0"/>
        <w:jc w:val="left"/>
        <w:rPr>
          <w:sz w:val="20"/>
        </w:rPr>
      </w:pPr>
      <w:r>
        <w:rPr>
          <w:w w:val="120"/>
          <w:sz w:val="20"/>
        </w:rPr>
        <w:t>The first step will be </w:t>
      </w:r>
      <w:r>
        <w:rPr>
          <w:spacing w:val="-3"/>
          <w:w w:val="120"/>
          <w:sz w:val="20"/>
        </w:rPr>
        <w:t>to have </w:t>
      </w:r>
      <w:r>
        <w:rPr>
          <w:w w:val="120"/>
          <w:sz w:val="20"/>
        </w:rPr>
        <w:t>a theological </w:t>
      </w:r>
      <w:r>
        <w:rPr>
          <w:spacing w:val="-3"/>
          <w:w w:val="120"/>
          <w:sz w:val="20"/>
        </w:rPr>
        <w:t>consultation </w:t>
      </w:r>
      <w:r>
        <w:rPr>
          <w:w w:val="120"/>
          <w:sz w:val="20"/>
        </w:rPr>
        <w:t>for people with some expertise</w:t>
      </w:r>
      <w:r>
        <w:rPr>
          <w:spacing w:val="-13"/>
          <w:w w:val="120"/>
          <w:sz w:val="20"/>
        </w:rPr>
        <w:t> </w:t>
      </w:r>
      <w:r>
        <w:rPr>
          <w:w w:val="120"/>
          <w:sz w:val="20"/>
        </w:rPr>
        <w:t>in</w:t>
      </w:r>
      <w:r>
        <w:rPr>
          <w:spacing w:val="-13"/>
          <w:w w:val="120"/>
          <w:sz w:val="20"/>
        </w:rPr>
        <w:t> </w:t>
      </w:r>
      <w:r>
        <w:rPr>
          <w:w w:val="120"/>
          <w:sz w:val="20"/>
        </w:rPr>
        <w:t>the</w:t>
      </w:r>
      <w:r>
        <w:rPr>
          <w:spacing w:val="-13"/>
          <w:w w:val="120"/>
          <w:sz w:val="20"/>
        </w:rPr>
        <w:t> </w:t>
      </w:r>
      <w:r>
        <w:rPr>
          <w:w w:val="120"/>
          <w:sz w:val="20"/>
        </w:rPr>
        <w:t>various</w:t>
      </w:r>
      <w:r>
        <w:rPr>
          <w:spacing w:val="-13"/>
          <w:w w:val="120"/>
          <w:sz w:val="20"/>
        </w:rPr>
        <w:t> </w:t>
      </w:r>
      <w:r>
        <w:rPr>
          <w:w w:val="120"/>
          <w:sz w:val="20"/>
        </w:rPr>
        <w:t>aspects</w:t>
      </w:r>
      <w:r>
        <w:rPr>
          <w:spacing w:val="-13"/>
          <w:w w:val="120"/>
          <w:sz w:val="20"/>
        </w:rPr>
        <w:t> </w:t>
      </w:r>
      <w:r>
        <w:rPr>
          <w:w w:val="120"/>
          <w:sz w:val="20"/>
        </w:rPr>
        <w:t>of</w:t>
      </w:r>
      <w:r>
        <w:rPr>
          <w:spacing w:val="-13"/>
          <w:w w:val="120"/>
          <w:sz w:val="20"/>
        </w:rPr>
        <w:t> </w:t>
      </w:r>
      <w:r>
        <w:rPr>
          <w:w w:val="120"/>
          <w:sz w:val="20"/>
        </w:rPr>
        <w:t>the</w:t>
      </w:r>
      <w:r>
        <w:rPr>
          <w:spacing w:val="-13"/>
          <w:w w:val="120"/>
          <w:sz w:val="20"/>
        </w:rPr>
        <w:t> </w:t>
      </w:r>
      <w:r>
        <w:rPr>
          <w:w w:val="120"/>
          <w:sz w:val="20"/>
        </w:rPr>
        <w:t>subject.</w:t>
      </w:r>
      <w:r>
        <w:rPr>
          <w:spacing w:val="-13"/>
          <w:w w:val="120"/>
          <w:sz w:val="20"/>
        </w:rPr>
        <w:t> </w:t>
      </w:r>
      <w:r>
        <w:rPr>
          <w:w w:val="120"/>
          <w:sz w:val="20"/>
        </w:rPr>
        <w:t>Arising</w:t>
      </w:r>
      <w:r>
        <w:rPr>
          <w:spacing w:val="-13"/>
          <w:w w:val="120"/>
          <w:sz w:val="20"/>
        </w:rPr>
        <w:t> </w:t>
      </w:r>
      <w:r>
        <w:rPr>
          <w:w w:val="120"/>
          <w:sz w:val="20"/>
        </w:rPr>
        <w:t>from</w:t>
      </w:r>
      <w:r>
        <w:rPr>
          <w:spacing w:val="-13"/>
          <w:w w:val="120"/>
          <w:sz w:val="20"/>
        </w:rPr>
        <w:t> </w:t>
      </w:r>
      <w:r>
        <w:rPr>
          <w:w w:val="120"/>
          <w:sz w:val="20"/>
        </w:rPr>
        <w:t>that,</w:t>
      </w:r>
      <w:r>
        <w:rPr>
          <w:spacing w:val="-13"/>
          <w:w w:val="120"/>
          <w:sz w:val="20"/>
        </w:rPr>
        <w:t> </w:t>
      </w:r>
      <w:r>
        <w:rPr>
          <w:w w:val="120"/>
          <w:sz w:val="20"/>
        </w:rPr>
        <w:t>the</w:t>
      </w:r>
      <w:r>
        <w:rPr>
          <w:spacing w:val="-13"/>
          <w:w w:val="120"/>
          <w:sz w:val="20"/>
        </w:rPr>
        <w:t> </w:t>
      </w:r>
      <w:r>
        <w:rPr>
          <w:spacing w:val="-3"/>
          <w:w w:val="120"/>
          <w:sz w:val="20"/>
        </w:rPr>
        <w:t>intention</w:t>
      </w:r>
      <w:r>
        <w:rPr>
          <w:spacing w:val="-13"/>
          <w:w w:val="120"/>
          <w:sz w:val="20"/>
        </w:rPr>
        <w:t> </w:t>
      </w:r>
      <w:r>
        <w:rPr>
          <w:w w:val="120"/>
          <w:sz w:val="20"/>
        </w:rPr>
        <w:t>is</w:t>
      </w:r>
      <w:r>
        <w:rPr>
          <w:spacing w:val="-13"/>
          <w:w w:val="120"/>
          <w:sz w:val="20"/>
        </w:rPr>
        <w:t> </w:t>
      </w:r>
      <w:r>
        <w:rPr>
          <w:spacing w:val="-3"/>
          <w:w w:val="120"/>
          <w:sz w:val="20"/>
        </w:rPr>
        <w:t>to</w:t>
      </w:r>
      <w:r>
        <w:rPr>
          <w:spacing w:val="-13"/>
          <w:w w:val="120"/>
          <w:sz w:val="20"/>
        </w:rPr>
        <w:t> </w:t>
      </w:r>
      <w:r>
        <w:rPr>
          <w:w w:val="120"/>
          <w:sz w:val="20"/>
        </w:rPr>
        <w:t>produce a</w:t>
      </w:r>
      <w:r>
        <w:rPr>
          <w:spacing w:val="-5"/>
          <w:w w:val="120"/>
          <w:sz w:val="20"/>
        </w:rPr>
        <w:t> </w:t>
      </w:r>
      <w:r>
        <w:rPr>
          <w:w w:val="120"/>
          <w:sz w:val="20"/>
        </w:rPr>
        <w:t>DVD</w:t>
      </w:r>
      <w:r>
        <w:rPr>
          <w:spacing w:val="-4"/>
          <w:w w:val="120"/>
          <w:sz w:val="20"/>
        </w:rPr>
        <w:t> </w:t>
      </w:r>
      <w:r>
        <w:rPr>
          <w:w w:val="120"/>
          <w:sz w:val="20"/>
        </w:rPr>
        <w:t>and</w:t>
      </w:r>
      <w:r>
        <w:rPr>
          <w:spacing w:val="-5"/>
          <w:w w:val="120"/>
          <w:sz w:val="20"/>
        </w:rPr>
        <w:t> </w:t>
      </w:r>
      <w:r>
        <w:rPr>
          <w:spacing w:val="-3"/>
          <w:w w:val="120"/>
          <w:sz w:val="20"/>
        </w:rPr>
        <w:t>discussion</w:t>
      </w:r>
      <w:r>
        <w:rPr>
          <w:spacing w:val="-4"/>
          <w:w w:val="120"/>
          <w:sz w:val="20"/>
        </w:rPr>
        <w:t> </w:t>
      </w:r>
      <w:r>
        <w:rPr>
          <w:spacing w:val="-3"/>
          <w:w w:val="120"/>
          <w:sz w:val="20"/>
        </w:rPr>
        <w:t>material</w:t>
      </w:r>
      <w:r>
        <w:rPr>
          <w:spacing w:val="-4"/>
          <w:w w:val="120"/>
          <w:sz w:val="20"/>
        </w:rPr>
        <w:t> </w:t>
      </w:r>
      <w:r>
        <w:rPr>
          <w:w w:val="120"/>
          <w:sz w:val="20"/>
        </w:rPr>
        <w:t>in</w:t>
      </w:r>
      <w:r>
        <w:rPr>
          <w:spacing w:val="-5"/>
          <w:w w:val="120"/>
          <w:sz w:val="20"/>
        </w:rPr>
        <w:t> </w:t>
      </w:r>
      <w:r>
        <w:rPr>
          <w:w w:val="120"/>
          <w:sz w:val="20"/>
        </w:rPr>
        <w:t>a</w:t>
      </w:r>
      <w:r>
        <w:rPr>
          <w:spacing w:val="-4"/>
          <w:w w:val="120"/>
          <w:sz w:val="20"/>
        </w:rPr>
        <w:t> </w:t>
      </w:r>
      <w:r>
        <w:rPr>
          <w:w w:val="120"/>
          <w:sz w:val="20"/>
        </w:rPr>
        <w:t>form</w:t>
      </w:r>
      <w:r>
        <w:rPr>
          <w:spacing w:val="-4"/>
          <w:w w:val="120"/>
          <w:sz w:val="20"/>
        </w:rPr>
        <w:t> </w:t>
      </w:r>
      <w:r>
        <w:rPr>
          <w:w w:val="120"/>
          <w:sz w:val="20"/>
        </w:rPr>
        <w:t>which</w:t>
      </w:r>
      <w:r>
        <w:rPr>
          <w:spacing w:val="-5"/>
          <w:w w:val="120"/>
          <w:sz w:val="20"/>
        </w:rPr>
        <w:t> </w:t>
      </w:r>
      <w:r>
        <w:rPr>
          <w:w w:val="120"/>
          <w:sz w:val="20"/>
        </w:rPr>
        <w:t>can</w:t>
      </w:r>
      <w:r>
        <w:rPr>
          <w:spacing w:val="-4"/>
          <w:w w:val="120"/>
          <w:sz w:val="20"/>
        </w:rPr>
        <w:t> </w:t>
      </w:r>
      <w:r>
        <w:rPr>
          <w:w w:val="120"/>
          <w:sz w:val="20"/>
        </w:rPr>
        <w:t>be</w:t>
      </w:r>
      <w:r>
        <w:rPr>
          <w:spacing w:val="-4"/>
          <w:w w:val="120"/>
          <w:sz w:val="20"/>
        </w:rPr>
        <w:t> </w:t>
      </w:r>
      <w:r>
        <w:rPr>
          <w:w w:val="120"/>
          <w:sz w:val="20"/>
        </w:rPr>
        <w:t>used</w:t>
      </w:r>
      <w:r>
        <w:rPr>
          <w:spacing w:val="-5"/>
          <w:w w:val="120"/>
          <w:sz w:val="20"/>
        </w:rPr>
        <w:t> </w:t>
      </w:r>
      <w:r>
        <w:rPr>
          <w:w w:val="120"/>
          <w:sz w:val="20"/>
        </w:rPr>
        <w:t>by</w:t>
      </w:r>
      <w:r>
        <w:rPr>
          <w:spacing w:val="-4"/>
          <w:w w:val="120"/>
          <w:sz w:val="20"/>
        </w:rPr>
        <w:t> </w:t>
      </w:r>
      <w:r>
        <w:rPr>
          <w:spacing w:val="-3"/>
          <w:w w:val="120"/>
          <w:sz w:val="20"/>
        </w:rPr>
        <w:t>groups</w:t>
      </w:r>
      <w:r>
        <w:rPr>
          <w:spacing w:val="-4"/>
          <w:w w:val="120"/>
          <w:sz w:val="20"/>
        </w:rPr>
        <w:t> </w:t>
      </w:r>
      <w:r>
        <w:rPr>
          <w:w w:val="120"/>
          <w:sz w:val="20"/>
        </w:rPr>
        <w:t>in</w:t>
      </w:r>
      <w:r>
        <w:rPr>
          <w:spacing w:val="-5"/>
          <w:w w:val="120"/>
          <w:sz w:val="20"/>
        </w:rPr>
        <w:t> </w:t>
      </w:r>
      <w:r>
        <w:rPr>
          <w:w w:val="120"/>
          <w:sz w:val="20"/>
        </w:rPr>
        <w:t>local</w:t>
      </w:r>
      <w:r>
        <w:rPr>
          <w:spacing w:val="-4"/>
          <w:w w:val="120"/>
          <w:sz w:val="20"/>
        </w:rPr>
        <w:t> </w:t>
      </w:r>
      <w:r>
        <w:rPr>
          <w:spacing w:val="-3"/>
          <w:w w:val="120"/>
          <w:sz w:val="20"/>
        </w:rPr>
        <w:t>churches</w:t>
      </w:r>
      <w:r>
        <w:rPr>
          <w:spacing w:val="-4"/>
          <w:w w:val="120"/>
          <w:sz w:val="20"/>
        </w:rPr>
        <w:t> </w:t>
      </w:r>
      <w:r>
        <w:rPr>
          <w:w w:val="120"/>
          <w:sz w:val="20"/>
        </w:rPr>
        <w:t>or</w:t>
      </w:r>
      <w:r>
        <w:rPr>
          <w:spacing w:val="-5"/>
          <w:w w:val="120"/>
          <w:sz w:val="20"/>
        </w:rPr>
        <w:t> </w:t>
      </w:r>
      <w:r>
        <w:rPr>
          <w:w w:val="120"/>
          <w:sz w:val="20"/>
        </w:rPr>
        <w:t>in </w:t>
      </w:r>
      <w:r>
        <w:rPr>
          <w:spacing w:val="-3"/>
          <w:w w:val="120"/>
          <w:sz w:val="20"/>
        </w:rPr>
        <w:t>any</w:t>
      </w:r>
      <w:r>
        <w:rPr>
          <w:spacing w:val="-5"/>
          <w:w w:val="120"/>
          <w:sz w:val="20"/>
        </w:rPr>
        <w:t> </w:t>
      </w:r>
      <w:r>
        <w:rPr>
          <w:w w:val="120"/>
          <w:sz w:val="20"/>
        </w:rPr>
        <w:t>other</w:t>
      </w:r>
      <w:r>
        <w:rPr>
          <w:spacing w:val="-5"/>
          <w:w w:val="120"/>
          <w:sz w:val="20"/>
        </w:rPr>
        <w:t> </w:t>
      </w:r>
      <w:r>
        <w:rPr>
          <w:w w:val="120"/>
          <w:sz w:val="20"/>
        </w:rPr>
        <w:t>forum</w:t>
      </w:r>
      <w:r>
        <w:rPr>
          <w:spacing w:val="-5"/>
          <w:w w:val="120"/>
          <w:sz w:val="20"/>
        </w:rPr>
        <w:t> </w:t>
      </w:r>
      <w:r>
        <w:rPr>
          <w:w w:val="120"/>
          <w:sz w:val="20"/>
        </w:rPr>
        <w:t>where</w:t>
      </w:r>
      <w:r>
        <w:rPr>
          <w:spacing w:val="-5"/>
          <w:w w:val="120"/>
          <w:sz w:val="20"/>
        </w:rPr>
        <w:t> </w:t>
      </w:r>
      <w:r>
        <w:rPr>
          <w:w w:val="120"/>
          <w:sz w:val="20"/>
        </w:rPr>
        <w:t>people</w:t>
      </w:r>
      <w:r>
        <w:rPr>
          <w:spacing w:val="-5"/>
          <w:w w:val="120"/>
          <w:sz w:val="20"/>
        </w:rPr>
        <w:t> </w:t>
      </w:r>
      <w:r>
        <w:rPr>
          <w:w w:val="120"/>
          <w:sz w:val="20"/>
        </w:rPr>
        <w:t>are</w:t>
      </w:r>
      <w:r>
        <w:rPr>
          <w:spacing w:val="-5"/>
          <w:w w:val="120"/>
          <w:sz w:val="20"/>
        </w:rPr>
        <w:t> </w:t>
      </w:r>
      <w:r>
        <w:rPr>
          <w:w w:val="120"/>
          <w:sz w:val="20"/>
        </w:rPr>
        <w:t>used</w:t>
      </w:r>
      <w:r>
        <w:rPr>
          <w:spacing w:val="-5"/>
          <w:w w:val="120"/>
          <w:sz w:val="20"/>
        </w:rPr>
        <w:t> </w:t>
      </w:r>
      <w:r>
        <w:rPr>
          <w:spacing w:val="-3"/>
          <w:w w:val="120"/>
          <w:sz w:val="20"/>
        </w:rPr>
        <w:t>to</w:t>
      </w:r>
      <w:r>
        <w:rPr>
          <w:spacing w:val="-5"/>
          <w:w w:val="120"/>
          <w:sz w:val="20"/>
        </w:rPr>
        <w:t> </w:t>
      </w:r>
      <w:r>
        <w:rPr>
          <w:spacing w:val="-3"/>
          <w:w w:val="120"/>
          <w:sz w:val="20"/>
        </w:rPr>
        <w:t>discussing</w:t>
      </w:r>
      <w:r>
        <w:rPr>
          <w:spacing w:val="-5"/>
          <w:w w:val="120"/>
          <w:sz w:val="20"/>
        </w:rPr>
        <w:t> </w:t>
      </w:r>
      <w:r>
        <w:rPr>
          <w:w w:val="120"/>
          <w:sz w:val="20"/>
        </w:rPr>
        <w:t>and</w:t>
      </w:r>
      <w:r>
        <w:rPr>
          <w:spacing w:val="-5"/>
          <w:w w:val="120"/>
          <w:sz w:val="20"/>
        </w:rPr>
        <w:t> </w:t>
      </w:r>
      <w:r>
        <w:rPr>
          <w:spacing w:val="-3"/>
          <w:w w:val="120"/>
          <w:sz w:val="20"/>
        </w:rPr>
        <w:t>listening</w:t>
      </w:r>
      <w:r>
        <w:rPr>
          <w:spacing w:val="-5"/>
          <w:w w:val="120"/>
          <w:sz w:val="20"/>
        </w:rPr>
        <w:t> </w:t>
      </w:r>
      <w:r>
        <w:rPr>
          <w:spacing w:val="-3"/>
          <w:w w:val="120"/>
          <w:sz w:val="20"/>
        </w:rPr>
        <w:t>to</w:t>
      </w:r>
      <w:r>
        <w:rPr>
          <w:spacing w:val="-5"/>
          <w:w w:val="120"/>
          <w:sz w:val="20"/>
        </w:rPr>
        <w:t> </w:t>
      </w:r>
      <w:r>
        <w:rPr>
          <w:w w:val="120"/>
          <w:sz w:val="20"/>
        </w:rPr>
        <w:t>each</w:t>
      </w:r>
      <w:r>
        <w:rPr>
          <w:spacing w:val="-5"/>
          <w:w w:val="120"/>
          <w:sz w:val="20"/>
        </w:rPr>
        <w:t> other.</w:t>
      </w:r>
    </w:p>
    <w:p>
      <w:pPr>
        <w:pStyle w:val="BodyText"/>
        <w:spacing w:before="10"/>
        <w:rPr>
          <w:sz w:val="19"/>
        </w:rPr>
      </w:pPr>
    </w:p>
    <w:p>
      <w:pPr>
        <w:pStyle w:val="ListParagraph"/>
        <w:numPr>
          <w:ilvl w:val="1"/>
          <w:numId w:val="101"/>
        </w:numPr>
        <w:tabs>
          <w:tab w:pos="1814" w:val="left" w:leader="none"/>
          <w:tab w:pos="1815" w:val="left" w:leader="none"/>
        </w:tabs>
        <w:spacing w:line="232" w:lineRule="auto" w:before="1" w:after="0"/>
        <w:ind w:left="1133" w:right="2325" w:firstLine="0"/>
        <w:jc w:val="left"/>
        <w:rPr>
          <w:sz w:val="20"/>
        </w:rPr>
      </w:pPr>
      <w:r>
        <w:rPr>
          <w:w w:val="120"/>
          <w:sz w:val="20"/>
        </w:rPr>
        <w:t>Whilst it is too early to say what direction the </w:t>
      </w:r>
      <w:r>
        <w:rPr>
          <w:spacing w:val="-7"/>
          <w:w w:val="120"/>
          <w:sz w:val="20"/>
        </w:rPr>
        <w:t>2012 </w:t>
      </w:r>
      <w:r>
        <w:rPr>
          <w:w w:val="120"/>
          <w:sz w:val="20"/>
        </w:rPr>
        <w:t>Assembly might take, at the moment the thought is that it could review the Commitment and decide, in the light  of the general discussion described above, whether or not it wants to move from the Commitment in any way or whether it believes other steps should be</w:t>
      </w:r>
      <w:r>
        <w:rPr>
          <w:spacing w:val="26"/>
          <w:w w:val="120"/>
          <w:sz w:val="20"/>
        </w:rPr>
        <w:t> </w:t>
      </w:r>
      <w:r>
        <w:rPr>
          <w:w w:val="120"/>
          <w:sz w:val="20"/>
        </w:rPr>
        <w:t>taken.</w:t>
      </w:r>
    </w:p>
    <w:p>
      <w:pPr>
        <w:pStyle w:val="BodyText"/>
        <w:spacing w:before="8"/>
        <w:rPr>
          <w:sz w:val="28"/>
        </w:rPr>
      </w:pPr>
      <w:r>
        <w:rPr/>
        <w:pict>
          <v:shape style="position:absolute;margin-left:56.692902pt;margin-top:19.887699pt;width:439.4pt;height:.1pt;mso-position-horizontal-relative:page;mso-position-vertical-relative:paragraph;z-index:-251394048;mso-wrap-distance-left:0;mso-wrap-distance-right:0" coordorigin="1134,398" coordsize="8788,0" path="m1134,398l9921,398e" filled="false" stroked="true" strokeweight=".75pt" strokecolor="#ca4f1b">
            <v:path arrowok="t"/>
            <v:stroke dashstyle="solid"/>
            <w10:wrap type="topAndBottom"/>
          </v:shape>
        </w:pict>
      </w:r>
    </w:p>
    <w:p>
      <w:pPr>
        <w:spacing w:after="0"/>
        <w:rPr>
          <w:sz w:val="28"/>
        </w:rPr>
        <w:sectPr>
          <w:pgSz w:w="11910" w:h="16840"/>
          <w:pgMar w:header="0" w:footer="647" w:top="1060" w:bottom="840" w:left="0" w:right="0"/>
        </w:sectPr>
      </w:pPr>
    </w:p>
    <w:p>
      <w:pPr>
        <w:pStyle w:val="Heading2"/>
        <w:spacing w:before="16"/>
        <w:ind w:left="1899"/>
      </w:pPr>
      <w:r>
        <w:rPr/>
        <w:pict>
          <v:rect style="position:absolute;margin-left:558.424988pt;margin-top:8.502976pt;width:22.677pt;height:22.677pt;mso-position-horizontal-relative:page;mso-position-vertical-relative:paragraph;z-index:251924480" filled="true" fillcolor="#f9e9c1" stroked="false">
            <v:fill opacity="32768f" type="solid"/>
            <w10:wrap type="none"/>
          </v:rect>
        </w:pict>
      </w:r>
      <w:r>
        <w:rPr>
          <w:color w:val="CA4F1B"/>
          <w:w w:val="110"/>
        </w:rPr>
        <w:t>Annexe 6a</w:t>
      </w:r>
    </w:p>
    <w:p>
      <w:pPr>
        <w:pStyle w:val="Heading6"/>
        <w:spacing w:line="196" w:lineRule="auto" w:before="150"/>
        <w:ind w:left="1899" w:right="3166"/>
      </w:pPr>
      <w:r>
        <w:rPr>
          <w:w w:val="110"/>
        </w:rPr>
        <w:t>The Commitment on Human Sexuality (General Assembly 2007)</w:t>
      </w:r>
    </w:p>
    <w:p>
      <w:pPr>
        <w:pStyle w:val="BodyText"/>
        <w:spacing w:before="9"/>
        <w:rPr>
          <w:rFonts w:ascii="Stone Sans II ITC Std Bk"/>
          <w:b/>
          <w:sz w:val="28"/>
        </w:rPr>
      </w:pPr>
    </w:p>
    <w:p>
      <w:pPr>
        <w:pStyle w:val="BodyText"/>
        <w:spacing w:line="333" w:lineRule="auto"/>
        <w:ind w:left="1899" w:right="4239"/>
      </w:pPr>
      <w:r>
        <w:rPr>
          <w:w w:val="120"/>
        </w:rPr>
        <w:t>As the General Assembly of the United Reformed Church, we recognise that –</w:t>
      </w:r>
    </w:p>
    <w:p>
      <w:pPr>
        <w:pStyle w:val="ListParagraph"/>
        <w:numPr>
          <w:ilvl w:val="0"/>
          <w:numId w:val="102"/>
        </w:numPr>
        <w:tabs>
          <w:tab w:pos="2579" w:val="left" w:leader="none"/>
          <w:tab w:pos="2580" w:val="left" w:leader="none"/>
        </w:tabs>
        <w:spacing w:line="196" w:lineRule="auto" w:before="10" w:after="0"/>
        <w:ind w:left="2579" w:right="2003" w:hanging="681"/>
        <w:jc w:val="left"/>
        <w:rPr>
          <w:sz w:val="20"/>
        </w:rPr>
      </w:pPr>
      <w:r>
        <w:rPr>
          <w:w w:val="120"/>
          <w:sz w:val="20"/>
        </w:rPr>
        <w:t>many of the issues and views surrounding human sexuality can seem to be intractable and</w:t>
      </w:r>
      <w:r>
        <w:rPr>
          <w:spacing w:val="4"/>
          <w:w w:val="120"/>
          <w:sz w:val="20"/>
        </w:rPr>
        <w:t> </w:t>
      </w:r>
      <w:r>
        <w:rPr>
          <w:w w:val="120"/>
          <w:sz w:val="20"/>
        </w:rPr>
        <w:t>irreconcilable;</w:t>
      </w:r>
    </w:p>
    <w:p>
      <w:pPr>
        <w:pStyle w:val="ListParagraph"/>
        <w:numPr>
          <w:ilvl w:val="0"/>
          <w:numId w:val="102"/>
        </w:numPr>
        <w:tabs>
          <w:tab w:pos="2579" w:val="left" w:leader="none"/>
          <w:tab w:pos="2580" w:val="left" w:leader="none"/>
        </w:tabs>
        <w:spacing w:line="196" w:lineRule="auto" w:before="115" w:after="0"/>
        <w:ind w:left="2579" w:right="1977" w:hanging="681"/>
        <w:jc w:val="left"/>
        <w:rPr>
          <w:sz w:val="20"/>
        </w:rPr>
      </w:pPr>
      <w:r>
        <w:rPr>
          <w:w w:val="120"/>
          <w:sz w:val="20"/>
        </w:rPr>
        <w:t>despite lengthy debates, much study and many </w:t>
      </w:r>
      <w:r>
        <w:rPr>
          <w:spacing w:val="2"/>
          <w:w w:val="120"/>
          <w:sz w:val="20"/>
        </w:rPr>
        <w:t>reports, </w:t>
      </w:r>
      <w:r>
        <w:rPr>
          <w:w w:val="120"/>
          <w:sz w:val="20"/>
        </w:rPr>
        <w:t>opinions have not changed sufficiently for us to be of one</w:t>
      </w:r>
      <w:r>
        <w:rPr>
          <w:spacing w:val="17"/>
          <w:w w:val="120"/>
          <w:sz w:val="20"/>
        </w:rPr>
        <w:t> </w:t>
      </w:r>
      <w:r>
        <w:rPr>
          <w:w w:val="120"/>
          <w:sz w:val="20"/>
        </w:rPr>
        <w:t>mind;</w:t>
      </w:r>
    </w:p>
    <w:p>
      <w:pPr>
        <w:pStyle w:val="ListParagraph"/>
        <w:numPr>
          <w:ilvl w:val="0"/>
          <w:numId w:val="102"/>
        </w:numPr>
        <w:tabs>
          <w:tab w:pos="2579" w:val="left" w:leader="none"/>
          <w:tab w:pos="2580" w:val="left" w:leader="none"/>
        </w:tabs>
        <w:spacing w:line="240" w:lineRule="auto" w:before="76" w:after="0"/>
        <w:ind w:left="2579" w:right="0" w:hanging="681"/>
        <w:jc w:val="left"/>
        <w:rPr>
          <w:sz w:val="20"/>
        </w:rPr>
      </w:pPr>
      <w:r>
        <w:rPr>
          <w:w w:val="120"/>
          <w:sz w:val="20"/>
        </w:rPr>
        <w:t>this is a deeply emotive and potentially divisive</w:t>
      </w:r>
      <w:r>
        <w:rPr>
          <w:spacing w:val="14"/>
          <w:w w:val="120"/>
          <w:sz w:val="20"/>
        </w:rPr>
        <w:t> </w:t>
      </w:r>
      <w:r>
        <w:rPr>
          <w:w w:val="120"/>
          <w:sz w:val="20"/>
        </w:rPr>
        <w:t>issue;</w:t>
      </w:r>
    </w:p>
    <w:p>
      <w:pPr>
        <w:pStyle w:val="ListParagraph"/>
        <w:numPr>
          <w:ilvl w:val="0"/>
          <w:numId w:val="102"/>
        </w:numPr>
        <w:tabs>
          <w:tab w:pos="2579" w:val="left" w:leader="none"/>
          <w:tab w:pos="2580" w:val="left" w:leader="none"/>
        </w:tabs>
        <w:spacing w:line="196" w:lineRule="auto" w:before="57" w:after="0"/>
        <w:ind w:left="2579" w:right="1193" w:hanging="681"/>
        <w:jc w:val="left"/>
        <w:rPr>
          <w:sz w:val="20"/>
        </w:rPr>
      </w:pPr>
      <w:r>
        <w:rPr>
          <w:w w:val="120"/>
          <w:sz w:val="20"/>
        </w:rPr>
        <w:t>human sexuality and the language we use about it raises many complex questions, not least in the area of biblical</w:t>
      </w:r>
      <w:r>
        <w:rPr>
          <w:spacing w:val="11"/>
          <w:w w:val="120"/>
          <w:sz w:val="20"/>
        </w:rPr>
        <w:t> </w:t>
      </w:r>
      <w:r>
        <w:rPr>
          <w:w w:val="120"/>
          <w:sz w:val="20"/>
        </w:rPr>
        <w:t>interpretation.</w:t>
      </w:r>
    </w:p>
    <w:p>
      <w:pPr>
        <w:pStyle w:val="BodyText"/>
        <w:spacing w:before="6"/>
      </w:pPr>
    </w:p>
    <w:p>
      <w:pPr>
        <w:pStyle w:val="BodyText"/>
        <w:spacing w:line="235" w:lineRule="auto"/>
        <w:ind w:left="1899" w:right="1120"/>
      </w:pPr>
      <w:r>
        <w:rPr>
          <w:w w:val="120"/>
        </w:rPr>
        <w:t>While it is not possible to do full justice to the variety of views represented within the church, we recognise that the range includes –</w:t>
      </w:r>
    </w:p>
    <w:p>
      <w:pPr>
        <w:pStyle w:val="BodyText"/>
        <w:spacing w:before="9"/>
        <w:rPr>
          <w:sz w:val="19"/>
        </w:rPr>
      </w:pPr>
    </w:p>
    <w:p>
      <w:pPr>
        <w:pStyle w:val="BodyText"/>
        <w:spacing w:line="235" w:lineRule="auto"/>
        <w:ind w:left="1899" w:right="1466"/>
      </w:pPr>
      <w:r>
        <w:rPr>
          <w:w w:val="120"/>
        </w:rPr>
        <w:t>Some people who feel that the debate on human sexuality has become a wrong focus and has received too much attention, believing that:</w:t>
      </w:r>
    </w:p>
    <w:p>
      <w:pPr>
        <w:pStyle w:val="ListParagraph"/>
        <w:numPr>
          <w:ilvl w:val="0"/>
          <w:numId w:val="102"/>
        </w:numPr>
        <w:tabs>
          <w:tab w:pos="2579" w:val="left" w:leader="none"/>
          <w:tab w:pos="2580" w:val="left" w:leader="none"/>
        </w:tabs>
        <w:spacing w:line="196" w:lineRule="auto" w:before="107" w:after="0"/>
        <w:ind w:left="2579" w:right="1670" w:hanging="681"/>
        <w:jc w:val="left"/>
        <w:rPr>
          <w:sz w:val="20"/>
        </w:rPr>
      </w:pPr>
      <w:r>
        <w:rPr>
          <w:w w:val="120"/>
          <w:sz w:val="20"/>
        </w:rPr>
        <w:t>faithful living and worship should take priority over controversy about human sexuality;</w:t>
      </w:r>
    </w:p>
    <w:p>
      <w:pPr>
        <w:pStyle w:val="ListParagraph"/>
        <w:numPr>
          <w:ilvl w:val="0"/>
          <w:numId w:val="102"/>
        </w:numPr>
        <w:tabs>
          <w:tab w:pos="2579" w:val="left" w:leader="none"/>
          <w:tab w:pos="2580" w:val="left" w:leader="none"/>
        </w:tabs>
        <w:spacing w:line="196" w:lineRule="auto" w:before="115" w:after="0"/>
        <w:ind w:left="2579" w:right="1426" w:hanging="681"/>
        <w:jc w:val="left"/>
        <w:rPr>
          <w:sz w:val="20"/>
        </w:rPr>
      </w:pPr>
      <w:r>
        <w:rPr>
          <w:w w:val="120"/>
          <w:sz w:val="20"/>
        </w:rPr>
        <w:t>participation in God’s mission and Christ’s ministry in the world demands all the energy of God’s</w:t>
      </w:r>
      <w:r>
        <w:rPr>
          <w:spacing w:val="7"/>
          <w:w w:val="120"/>
          <w:sz w:val="20"/>
        </w:rPr>
        <w:t> </w:t>
      </w:r>
      <w:r>
        <w:rPr>
          <w:w w:val="120"/>
          <w:sz w:val="20"/>
        </w:rPr>
        <w:t>people;</w:t>
      </w:r>
    </w:p>
    <w:p>
      <w:pPr>
        <w:pStyle w:val="ListParagraph"/>
        <w:numPr>
          <w:ilvl w:val="0"/>
          <w:numId w:val="102"/>
        </w:numPr>
        <w:tabs>
          <w:tab w:pos="2579" w:val="left" w:leader="none"/>
          <w:tab w:pos="2580" w:val="left" w:leader="none"/>
        </w:tabs>
        <w:spacing w:line="196" w:lineRule="auto" w:before="115" w:after="0"/>
        <w:ind w:left="2579" w:right="1850" w:hanging="681"/>
        <w:jc w:val="left"/>
        <w:rPr>
          <w:sz w:val="20"/>
        </w:rPr>
      </w:pPr>
      <w:r>
        <w:rPr>
          <w:w w:val="120"/>
          <w:sz w:val="20"/>
        </w:rPr>
        <w:t>this is not a matter over which policy decisions imposing a universal rule are necessary or</w:t>
      </w:r>
      <w:r>
        <w:rPr>
          <w:spacing w:val="3"/>
          <w:w w:val="120"/>
          <w:sz w:val="20"/>
        </w:rPr>
        <w:t> </w:t>
      </w:r>
      <w:r>
        <w:rPr>
          <w:w w:val="120"/>
          <w:sz w:val="20"/>
        </w:rPr>
        <w:t>appropriate;</w:t>
      </w:r>
    </w:p>
    <w:p>
      <w:pPr>
        <w:pStyle w:val="ListParagraph"/>
        <w:numPr>
          <w:ilvl w:val="0"/>
          <w:numId w:val="102"/>
        </w:numPr>
        <w:tabs>
          <w:tab w:pos="2579" w:val="left" w:leader="none"/>
          <w:tab w:pos="2580" w:val="left" w:leader="none"/>
        </w:tabs>
        <w:spacing w:line="196" w:lineRule="auto" w:before="115" w:after="0"/>
        <w:ind w:left="2579" w:right="1532" w:hanging="681"/>
        <w:jc w:val="left"/>
        <w:rPr>
          <w:sz w:val="20"/>
        </w:rPr>
      </w:pPr>
      <w:r>
        <w:rPr>
          <w:w w:val="120"/>
          <w:sz w:val="20"/>
        </w:rPr>
        <w:t>the </w:t>
      </w:r>
      <w:r>
        <w:rPr>
          <w:spacing w:val="-3"/>
          <w:w w:val="120"/>
          <w:sz w:val="20"/>
        </w:rPr>
        <w:t>Church’s </w:t>
      </w:r>
      <w:r>
        <w:rPr>
          <w:w w:val="120"/>
          <w:sz w:val="20"/>
        </w:rPr>
        <w:t>existing assessment procedures are appropriate for discerning the call of</w:t>
      </w:r>
      <w:r>
        <w:rPr>
          <w:spacing w:val="4"/>
          <w:w w:val="120"/>
          <w:sz w:val="20"/>
        </w:rPr>
        <w:t> </w:t>
      </w:r>
      <w:r>
        <w:rPr>
          <w:w w:val="120"/>
          <w:sz w:val="20"/>
        </w:rPr>
        <w:t>God;</w:t>
      </w:r>
    </w:p>
    <w:p>
      <w:pPr>
        <w:pStyle w:val="ListParagraph"/>
        <w:numPr>
          <w:ilvl w:val="0"/>
          <w:numId w:val="102"/>
        </w:numPr>
        <w:tabs>
          <w:tab w:pos="2579" w:val="left" w:leader="none"/>
          <w:tab w:pos="2580" w:val="left" w:leader="none"/>
        </w:tabs>
        <w:spacing w:line="196" w:lineRule="auto" w:before="115" w:after="0"/>
        <w:ind w:left="2579" w:right="1174" w:hanging="681"/>
        <w:jc w:val="left"/>
        <w:rPr>
          <w:sz w:val="20"/>
        </w:rPr>
      </w:pPr>
      <w:r>
        <w:rPr>
          <w:w w:val="120"/>
          <w:sz w:val="20"/>
        </w:rPr>
        <w:t>responses to pastoral situations involving people in same-sex relationships are best determined within the local</w:t>
      </w:r>
      <w:r>
        <w:rPr>
          <w:spacing w:val="9"/>
          <w:w w:val="120"/>
          <w:sz w:val="20"/>
        </w:rPr>
        <w:t> </w:t>
      </w:r>
      <w:r>
        <w:rPr>
          <w:w w:val="120"/>
          <w:sz w:val="20"/>
        </w:rPr>
        <w:t>church;</w:t>
      </w:r>
    </w:p>
    <w:p>
      <w:pPr>
        <w:pStyle w:val="ListParagraph"/>
        <w:numPr>
          <w:ilvl w:val="0"/>
          <w:numId w:val="102"/>
        </w:numPr>
        <w:tabs>
          <w:tab w:pos="2579" w:val="left" w:leader="none"/>
          <w:tab w:pos="2580" w:val="left" w:leader="none"/>
        </w:tabs>
        <w:spacing w:line="196" w:lineRule="auto" w:before="115" w:after="0"/>
        <w:ind w:left="2579" w:right="1065" w:hanging="681"/>
        <w:jc w:val="left"/>
        <w:rPr>
          <w:sz w:val="20"/>
        </w:rPr>
      </w:pPr>
      <w:r>
        <w:rPr>
          <w:w w:val="120"/>
          <w:sz w:val="20"/>
        </w:rPr>
        <w:t>working and sharing fellowship with people of very different views can create painful</w:t>
      </w:r>
      <w:r>
        <w:rPr>
          <w:spacing w:val="6"/>
          <w:w w:val="120"/>
          <w:sz w:val="20"/>
        </w:rPr>
        <w:t> </w:t>
      </w:r>
      <w:r>
        <w:rPr>
          <w:w w:val="120"/>
          <w:sz w:val="20"/>
        </w:rPr>
        <w:t>tensions,</w:t>
      </w:r>
      <w:r>
        <w:rPr>
          <w:spacing w:val="7"/>
          <w:w w:val="120"/>
          <w:sz w:val="20"/>
        </w:rPr>
        <w:t> </w:t>
      </w:r>
      <w:r>
        <w:rPr>
          <w:w w:val="120"/>
          <w:sz w:val="20"/>
        </w:rPr>
        <w:t>though</w:t>
      </w:r>
      <w:r>
        <w:rPr>
          <w:spacing w:val="7"/>
          <w:w w:val="120"/>
          <w:sz w:val="20"/>
        </w:rPr>
        <w:t> </w:t>
      </w:r>
      <w:r>
        <w:rPr>
          <w:w w:val="120"/>
          <w:sz w:val="20"/>
        </w:rPr>
        <w:t>it</w:t>
      </w:r>
      <w:r>
        <w:rPr>
          <w:spacing w:val="6"/>
          <w:w w:val="120"/>
          <w:sz w:val="20"/>
        </w:rPr>
        <w:t> </w:t>
      </w:r>
      <w:r>
        <w:rPr>
          <w:w w:val="120"/>
          <w:sz w:val="20"/>
        </w:rPr>
        <w:t>may</w:t>
      </w:r>
      <w:r>
        <w:rPr>
          <w:spacing w:val="7"/>
          <w:w w:val="120"/>
          <w:sz w:val="20"/>
        </w:rPr>
        <w:t> </w:t>
      </w:r>
      <w:r>
        <w:rPr>
          <w:w w:val="120"/>
          <w:sz w:val="20"/>
        </w:rPr>
        <w:t>also</w:t>
      </w:r>
      <w:r>
        <w:rPr>
          <w:spacing w:val="7"/>
          <w:w w:val="120"/>
          <w:sz w:val="20"/>
        </w:rPr>
        <w:t> </w:t>
      </w:r>
      <w:r>
        <w:rPr>
          <w:w w:val="120"/>
          <w:sz w:val="20"/>
        </w:rPr>
        <w:t>offer</w:t>
      </w:r>
      <w:r>
        <w:rPr>
          <w:spacing w:val="6"/>
          <w:w w:val="120"/>
          <w:sz w:val="20"/>
        </w:rPr>
        <w:t> </w:t>
      </w:r>
      <w:r>
        <w:rPr>
          <w:w w:val="120"/>
          <w:sz w:val="20"/>
        </w:rPr>
        <w:t>opportunity</w:t>
      </w:r>
      <w:r>
        <w:rPr>
          <w:spacing w:val="7"/>
          <w:w w:val="120"/>
          <w:sz w:val="20"/>
        </w:rPr>
        <w:t> </w:t>
      </w:r>
      <w:r>
        <w:rPr>
          <w:w w:val="120"/>
          <w:sz w:val="20"/>
        </w:rPr>
        <w:t>for</w:t>
      </w:r>
      <w:r>
        <w:rPr>
          <w:spacing w:val="7"/>
          <w:w w:val="120"/>
          <w:sz w:val="20"/>
        </w:rPr>
        <w:t> </w:t>
      </w:r>
      <w:r>
        <w:rPr>
          <w:w w:val="120"/>
          <w:sz w:val="20"/>
        </w:rPr>
        <w:t>growth</w:t>
      </w:r>
      <w:r>
        <w:rPr>
          <w:spacing w:val="6"/>
          <w:w w:val="120"/>
          <w:sz w:val="20"/>
        </w:rPr>
        <w:t> </w:t>
      </w:r>
      <w:r>
        <w:rPr>
          <w:w w:val="120"/>
          <w:sz w:val="20"/>
        </w:rPr>
        <w:t>and</w:t>
      </w:r>
      <w:r>
        <w:rPr>
          <w:spacing w:val="7"/>
          <w:w w:val="120"/>
          <w:sz w:val="20"/>
        </w:rPr>
        <w:t> </w:t>
      </w:r>
      <w:r>
        <w:rPr>
          <w:w w:val="120"/>
          <w:sz w:val="20"/>
        </w:rPr>
        <w:t>development.</w:t>
      </w:r>
    </w:p>
    <w:p>
      <w:pPr>
        <w:pStyle w:val="BodyText"/>
        <w:spacing w:before="8"/>
        <w:rPr>
          <w:sz w:val="28"/>
        </w:rPr>
      </w:pPr>
    </w:p>
    <w:p>
      <w:pPr>
        <w:pStyle w:val="BodyText"/>
        <w:spacing w:line="235" w:lineRule="auto"/>
        <w:ind w:left="1899" w:right="1120"/>
      </w:pPr>
      <w:r>
        <w:rPr>
          <w:w w:val="120"/>
        </w:rPr>
        <w:t>Some other people who feel that this debate is a necessary focus because it concerns the Word of God, and for them is a passionately held matter of holiness, purity and obedience to God’s commands in scripture, believing that:</w:t>
      </w:r>
    </w:p>
    <w:p>
      <w:pPr>
        <w:pStyle w:val="ListParagraph"/>
        <w:numPr>
          <w:ilvl w:val="0"/>
          <w:numId w:val="102"/>
        </w:numPr>
        <w:tabs>
          <w:tab w:pos="2579" w:val="left" w:leader="none"/>
          <w:tab w:pos="2580" w:val="left" w:leader="none"/>
        </w:tabs>
        <w:spacing w:line="196" w:lineRule="auto" w:before="107" w:after="0"/>
        <w:ind w:left="2579" w:right="1164" w:hanging="681"/>
        <w:jc w:val="left"/>
        <w:rPr>
          <w:sz w:val="20"/>
        </w:rPr>
      </w:pPr>
      <w:r>
        <w:rPr>
          <w:w w:val="120"/>
          <w:sz w:val="20"/>
        </w:rPr>
        <w:t>God’s creation plan is for the complementarity of man and woman, and that sexual relations apart from that are therefore</w:t>
      </w:r>
      <w:r>
        <w:rPr>
          <w:spacing w:val="6"/>
          <w:w w:val="120"/>
          <w:sz w:val="20"/>
        </w:rPr>
        <w:t> </w:t>
      </w:r>
      <w:r>
        <w:rPr>
          <w:w w:val="120"/>
          <w:sz w:val="20"/>
        </w:rPr>
        <w:t>disordered;</w:t>
      </w:r>
    </w:p>
    <w:p>
      <w:pPr>
        <w:pStyle w:val="ListParagraph"/>
        <w:numPr>
          <w:ilvl w:val="0"/>
          <w:numId w:val="102"/>
        </w:numPr>
        <w:tabs>
          <w:tab w:pos="2579" w:val="left" w:leader="none"/>
          <w:tab w:pos="2580" w:val="left" w:leader="none"/>
        </w:tabs>
        <w:spacing w:line="196" w:lineRule="auto" w:before="115" w:after="0"/>
        <w:ind w:left="2579" w:right="1160" w:hanging="681"/>
        <w:jc w:val="left"/>
        <w:rPr>
          <w:sz w:val="20"/>
        </w:rPr>
      </w:pPr>
      <w:r>
        <w:rPr>
          <w:w w:val="120"/>
          <w:sz w:val="20"/>
        </w:rPr>
        <w:t>scripture and the traditions of the church teach that the only legitimate pattern for sexual relations is between a man and woman within the commitment of</w:t>
      </w:r>
      <w:r>
        <w:rPr>
          <w:spacing w:val="11"/>
          <w:w w:val="120"/>
          <w:sz w:val="20"/>
        </w:rPr>
        <w:t> </w:t>
      </w:r>
      <w:r>
        <w:rPr>
          <w:w w:val="120"/>
          <w:sz w:val="20"/>
        </w:rPr>
        <w:t>marriage;</w:t>
      </w:r>
    </w:p>
    <w:p>
      <w:pPr>
        <w:pStyle w:val="ListParagraph"/>
        <w:numPr>
          <w:ilvl w:val="0"/>
          <w:numId w:val="102"/>
        </w:numPr>
        <w:tabs>
          <w:tab w:pos="2579" w:val="left" w:leader="none"/>
          <w:tab w:pos="2580" w:val="left" w:leader="none"/>
        </w:tabs>
        <w:spacing w:line="240" w:lineRule="auto" w:before="75" w:after="0"/>
        <w:ind w:left="2579" w:right="0" w:hanging="681"/>
        <w:jc w:val="left"/>
        <w:rPr>
          <w:sz w:val="20"/>
        </w:rPr>
      </w:pPr>
      <w:r>
        <w:rPr>
          <w:w w:val="120"/>
          <w:sz w:val="20"/>
        </w:rPr>
        <w:t>all scriptural references to same-sex activity are explicit in their</w:t>
      </w:r>
      <w:r>
        <w:rPr>
          <w:spacing w:val="12"/>
          <w:w w:val="120"/>
          <w:sz w:val="20"/>
        </w:rPr>
        <w:t> </w:t>
      </w:r>
      <w:r>
        <w:rPr>
          <w:w w:val="120"/>
          <w:sz w:val="20"/>
        </w:rPr>
        <w:t>condemnation;</w:t>
      </w:r>
    </w:p>
    <w:p>
      <w:pPr>
        <w:pStyle w:val="ListParagraph"/>
        <w:numPr>
          <w:ilvl w:val="0"/>
          <w:numId w:val="102"/>
        </w:numPr>
        <w:tabs>
          <w:tab w:pos="2579" w:val="left" w:leader="none"/>
          <w:tab w:pos="2580" w:val="left" w:leader="none"/>
        </w:tabs>
        <w:spacing w:line="196" w:lineRule="auto" w:before="57" w:after="0"/>
        <w:ind w:left="2579" w:right="1396" w:hanging="681"/>
        <w:jc w:val="left"/>
        <w:rPr>
          <w:sz w:val="20"/>
        </w:rPr>
      </w:pPr>
      <w:r>
        <w:rPr>
          <w:w w:val="120"/>
          <w:sz w:val="20"/>
        </w:rPr>
        <w:t>same-sex activity is an affront to Christian morality and offensive to many people of other faiths and of</w:t>
      </w:r>
      <w:r>
        <w:rPr>
          <w:spacing w:val="8"/>
          <w:w w:val="120"/>
          <w:sz w:val="20"/>
        </w:rPr>
        <w:t> </w:t>
      </w:r>
      <w:r>
        <w:rPr>
          <w:w w:val="120"/>
          <w:sz w:val="20"/>
        </w:rPr>
        <w:t>none;</w:t>
      </w:r>
    </w:p>
    <w:p>
      <w:pPr>
        <w:pStyle w:val="ListParagraph"/>
        <w:numPr>
          <w:ilvl w:val="0"/>
          <w:numId w:val="102"/>
        </w:numPr>
        <w:tabs>
          <w:tab w:pos="2579" w:val="left" w:leader="none"/>
          <w:tab w:pos="2580" w:val="left" w:leader="none"/>
        </w:tabs>
        <w:spacing w:line="240" w:lineRule="auto" w:before="76" w:after="0"/>
        <w:ind w:left="2579" w:right="0" w:hanging="681"/>
        <w:jc w:val="left"/>
        <w:rPr>
          <w:sz w:val="20"/>
        </w:rPr>
      </w:pPr>
      <w:r>
        <w:rPr>
          <w:w w:val="120"/>
          <w:sz w:val="20"/>
        </w:rPr>
        <w:t>people in sexually active same-sex </w:t>
      </w:r>
      <w:r>
        <w:rPr>
          <w:spacing w:val="-3"/>
          <w:w w:val="120"/>
          <w:sz w:val="20"/>
        </w:rPr>
        <w:t>relationships </w:t>
      </w:r>
      <w:r>
        <w:rPr>
          <w:w w:val="120"/>
          <w:sz w:val="20"/>
        </w:rPr>
        <w:t>should </w:t>
      </w:r>
      <w:r>
        <w:rPr>
          <w:spacing w:val="-2"/>
          <w:w w:val="120"/>
          <w:sz w:val="20"/>
        </w:rPr>
        <w:t>not </w:t>
      </w:r>
      <w:r>
        <w:rPr>
          <w:w w:val="120"/>
          <w:sz w:val="20"/>
        </w:rPr>
        <w:t>be </w:t>
      </w:r>
      <w:r>
        <w:rPr>
          <w:spacing w:val="-4"/>
          <w:w w:val="120"/>
          <w:sz w:val="20"/>
        </w:rPr>
        <w:t>accepted </w:t>
      </w:r>
      <w:r>
        <w:rPr>
          <w:w w:val="120"/>
          <w:sz w:val="20"/>
        </w:rPr>
        <w:t>for</w:t>
      </w:r>
      <w:r>
        <w:rPr>
          <w:spacing w:val="-29"/>
          <w:w w:val="120"/>
          <w:sz w:val="20"/>
        </w:rPr>
        <w:t> </w:t>
      </w:r>
      <w:r>
        <w:rPr>
          <w:w w:val="120"/>
          <w:sz w:val="20"/>
        </w:rPr>
        <w:t>ministry;</w:t>
      </w:r>
    </w:p>
    <w:p>
      <w:pPr>
        <w:pStyle w:val="ListParagraph"/>
        <w:numPr>
          <w:ilvl w:val="0"/>
          <w:numId w:val="102"/>
        </w:numPr>
        <w:tabs>
          <w:tab w:pos="2579" w:val="left" w:leader="none"/>
          <w:tab w:pos="2580" w:val="left" w:leader="none"/>
        </w:tabs>
        <w:spacing w:line="196" w:lineRule="auto" w:before="57" w:after="0"/>
        <w:ind w:left="2579" w:right="1220" w:hanging="681"/>
        <w:jc w:val="left"/>
        <w:rPr>
          <w:sz w:val="20"/>
        </w:rPr>
      </w:pPr>
      <w:r>
        <w:rPr>
          <w:w w:val="120"/>
          <w:sz w:val="20"/>
        </w:rPr>
        <w:t>the acceptance of same-sex </w:t>
      </w:r>
      <w:r>
        <w:rPr>
          <w:spacing w:val="-4"/>
          <w:w w:val="120"/>
          <w:sz w:val="20"/>
        </w:rPr>
        <w:t>(civil) </w:t>
      </w:r>
      <w:r>
        <w:rPr>
          <w:w w:val="120"/>
          <w:sz w:val="20"/>
        </w:rPr>
        <w:t>partnerships on the </w:t>
      </w:r>
      <w:r>
        <w:rPr>
          <w:spacing w:val="2"/>
          <w:w w:val="120"/>
          <w:sz w:val="20"/>
        </w:rPr>
        <w:t>part </w:t>
      </w:r>
      <w:r>
        <w:rPr>
          <w:w w:val="120"/>
          <w:sz w:val="20"/>
        </w:rPr>
        <w:t>of society and the state is a matter to be</w:t>
      </w:r>
      <w:r>
        <w:rPr>
          <w:spacing w:val="7"/>
          <w:w w:val="120"/>
          <w:sz w:val="20"/>
        </w:rPr>
        <w:t> </w:t>
      </w:r>
      <w:r>
        <w:rPr>
          <w:w w:val="120"/>
          <w:sz w:val="20"/>
        </w:rPr>
        <w:t>resisted;</w:t>
      </w:r>
    </w:p>
    <w:p>
      <w:pPr>
        <w:pStyle w:val="ListParagraph"/>
        <w:numPr>
          <w:ilvl w:val="0"/>
          <w:numId w:val="102"/>
        </w:numPr>
        <w:tabs>
          <w:tab w:pos="2579" w:val="left" w:leader="none"/>
          <w:tab w:pos="2580" w:val="left" w:leader="none"/>
        </w:tabs>
        <w:spacing w:line="196" w:lineRule="auto" w:before="115" w:after="0"/>
        <w:ind w:left="2579" w:right="1597" w:hanging="681"/>
        <w:jc w:val="left"/>
        <w:rPr>
          <w:sz w:val="20"/>
        </w:rPr>
      </w:pPr>
      <w:r>
        <w:rPr>
          <w:w w:val="120"/>
          <w:sz w:val="20"/>
        </w:rPr>
        <w:t>the character and teaching of Jesus requires that both grace and truth must be embodied in dealing with this issue and with the people</w:t>
      </w:r>
      <w:r>
        <w:rPr>
          <w:spacing w:val="50"/>
          <w:w w:val="120"/>
          <w:sz w:val="20"/>
        </w:rPr>
        <w:t> </w:t>
      </w:r>
      <w:r>
        <w:rPr>
          <w:w w:val="120"/>
          <w:sz w:val="20"/>
        </w:rPr>
        <w:t>concerned;</w:t>
      </w:r>
    </w:p>
    <w:p>
      <w:pPr>
        <w:pStyle w:val="ListParagraph"/>
        <w:numPr>
          <w:ilvl w:val="0"/>
          <w:numId w:val="102"/>
        </w:numPr>
        <w:tabs>
          <w:tab w:pos="2579" w:val="left" w:leader="none"/>
          <w:tab w:pos="2580" w:val="left" w:leader="none"/>
        </w:tabs>
        <w:spacing w:line="196" w:lineRule="auto" w:before="115" w:after="0"/>
        <w:ind w:left="2579" w:right="1453" w:hanging="681"/>
        <w:jc w:val="left"/>
        <w:rPr>
          <w:sz w:val="20"/>
        </w:rPr>
      </w:pPr>
      <w:r>
        <w:rPr>
          <w:w w:val="120"/>
          <w:sz w:val="20"/>
        </w:rPr>
        <w:t>working and sharing fellowship with people of very different views and practice creates painful</w:t>
      </w:r>
      <w:r>
        <w:rPr>
          <w:spacing w:val="3"/>
          <w:w w:val="120"/>
          <w:sz w:val="20"/>
        </w:rPr>
        <w:t> </w:t>
      </w:r>
      <w:r>
        <w:rPr>
          <w:w w:val="120"/>
          <w:sz w:val="20"/>
        </w:rPr>
        <w:t>tensions.</w:t>
      </w:r>
    </w:p>
    <w:p>
      <w:pPr>
        <w:spacing w:after="0" w:line="196" w:lineRule="auto"/>
        <w:jc w:val="left"/>
        <w:rPr>
          <w:sz w:val="20"/>
        </w:rPr>
        <w:sectPr>
          <w:pgSz w:w="11910" w:h="16840"/>
          <w:pgMar w:header="0" w:footer="647" w:top="1060" w:bottom="840" w:left="0" w:right="0"/>
        </w:sectPr>
      </w:pPr>
    </w:p>
    <w:p>
      <w:pPr>
        <w:pStyle w:val="BodyText"/>
        <w:spacing w:line="235" w:lineRule="auto" w:before="107"/>
        <w:ind w:left="1133" w:right="1789"/>
      </w:pPr>
      <w:r>
        <w:rPr/>
        <w:pict>
          <v:rect style="position:absolute;margin-left:12.047pt;margin-top:8.477343pt;width:22.677pt;height:22.677pt;mso-position-horizontal-relative:page;mso-position-vertical-relative:paragraph;z-index:251926528" filled="true" fillcolor="#f9e9c1" stroked="false">
            <v:fill opacity="32768f" type="solid"/>
            <w10:wrap type="none"/>
          </v:rect>
        </w:pict>
      </w:r>
      <w:r>
        <w:rPr>
          <w:w w:val="120"/>
        </w:rPr>
        <w:t>Some others again who feel that this debate is a necessary focus because it is a passionately held matter of God’s unbounded grace, justice, the work of the Spirit and faithfulness to God’s revelation in Christ and in scripture, believing that:</w:t>
      </w:r>
    </w:p>
    <w:p>
      <w:pPr>
        <w:pStyle w:val="ListParagraph"/>
        <w:numPr>
          <w:ilvl w:val="0"/>
          <w:numId w:val="103"/>
        </w:numPr>
        <w:tabs>
          <w:tab w:pos="1814" w:val="left" w:leader="none"/>
          <w:tab w:pos="1815" w:val="left" w:leader="none"/>
        </w:tabs>
        <w:spacing w:line="196" w:lineRule="auto" w:before="107" w:after="0"/>
        <w:ind w:left="1814" w:right="2302" w:hanging="681"/>
        <w:jc w:val="left"/>
        <w:rPr>
          <w:sz w:val="20"/>
        </w:rPr>
      </w:pPr>
      <w:r>
        <w:rPr>
          <w:w w:val="120"/>
          <w:sz w:val="20"/>
        </w:rPr>
        <w:t>God’s will is for newness of life for all people in Christ, regardless of any human distinctions, including sexual</w:t>
      </w:r>
      <w:r>
        <w:rPr>
          <w:spacing w:val="7"/>
          <w:w w:val="120"/>
          <w:sz w:val="20"/>
        </w:rPr>
        <w:t> </w:t>
      </w:r>
      <w:r>
        <w:rPr>
          <w:w w:val="120"/>
          <w:sz w:val="20"/>
        </w:rPr>
        <w:t>orientation;</w:t>
      </w:r>
    </w:p>
    <w:p>
      <w:pPr>
        <w:pStyle w:val="ListParagraph"/>
        <w:numPr>
          <w:ilvl w:val="0"/>
          <w:numId w:val="103"/>
        </w:numPr>
        <w:tabs>
          <w:tab w:pos="1814" w:val="left" w:leader="none"/>
          <w:tab w:pos="1815" w:val="left" w:leader="none"/>
        </w:tabs>
        <w:spacing w:line="196" w:lineRule="auto" w:before="115" w:after="0"/>
        <w:ind w:left="1814" w:right="1894" w:hanging="681"/>
        <w:jc w:val="left"/>
        <w:rPr>
          <w:sz w:val="20"/>
        </w:rPr>
      </w:pPr>
      <w:r>
        <w:rPr>
          <w:w w:val="120"/>
          <w:sz w:val="20"/>
        </w:rPr>
        <w:t>it is God’s creative intent that there are people whose innate sexual orientation and its fulfilment are directed towards others of the same</w:t>
      </w:r>
      <w:r>
        <w:rPr>
          <w:spacing w:val="9"/>
          <w:w w:val="120"/>
          <w:sz w:val="20"/>
        </w:rPr>
        <w:t> </w:t>
      </w:r>
      <w:r>
        <w:rPr>
          <w:w w:val="120"/>
          <w:sz w:val="20"/>
        </w:rPr>
        <w:t>sex;</w:t>
      </w:r>
    </w:p>
    <w:p>
      <w:pPr>
        <w:pStyle w:val="ListParagraph"/>
        <w:numPr>
          <w:ilvl w:val="0"/>
          <w:numId w:val="103"/>
        </w:numPr>
        <w:tabs>
          <w:tab w:pos="1814" w:val="left" w:leader="none"/>
          <w:tab w:pos="1815" w:val="left" w:leader="none"/>
        </w:tabs>
        <w:spacing w:line="216" w:lineRule="auto" w:before="98" w:after="0"/>
        <w:ind w:left="1814" w:right="1913" w:hanging="681"/>
        <w:jc w:val="left"/>
        <w:rPr>
          <w:sz w:val="20"/>
        </w:rPr>
      </w:pPr>
      <w:r>
        <w:rPr>
          <w:w w:val="120"/>
          <w:sz w:val="20"/>
        </w:rPr>
        <w:t>some people are called by God into committed, loving, same-sex relationships, including their sexual consummation, and that such relationships can be judged by the fruits of the Spirit that</w:t>
      </w:r>
      <w:r>
        <w:rPr>
          <w:spacing w:val="9"/>
          <w:w w:val="120"/>
          <w:sz w:val="20"/>
        </w:rPr>
        <w:t> </w:t>
      </w:r>
      <w:r>
        <w:rPr>
          <w:w w:val="120"/>
          <w:sz w:val="20"/>
        </w:rPr>
        <w:t>result;</w:t>
      </w:r>
    </w:p>
    <w:p>
      <w:pPr>
        <w:pStyle w:val="ListParagraph"/>
        <w:numPr>
          <w:ilvl w:val="0"/>
          <w:numId w:val="103"/>
        </w:numPr>
        <w:tabs>
          <w:tab w:pos="1815" w:val="left" w:leader="none"/>
        </w:tabs>
        <w:spacing w:line="216" w:lineRule="auto" w:before="90" w:after="0"/>
        <w:ind w:left="1814" w:right="2112" w:hanging="681"/>
        <w:jc w:val="both"/>
        <w:rPr>
          <w:sz w:val="20"/>
        </w:rPr>
      </w:pPr>
      <w:r>
        <w:rPr>
          <w:w w:val="120"/>
          <w:sz w:val="20"/>
        </w:rPr>
        <w:t>whilst most scriptural references to same-sex activity seem negative, they are not relevant to the contemporary understanding of same-sex relationships; emphasis needs to be given to the scriptural themes of grace, love and</w:t>
      </w:r>
      <w:r>
        <w:rPr>
          <w:spacing w:val="23"/>
          <w:w w:val="120"/>
          <w:sz w:val="20"/>
        </w:rPr>
        <w:t> </w:t>
      </w:r>
      <w:r>
        <w:rPr>
          <w:w w:val="120"/>
          <w:sz w:val="20"/>
        </w:rPr>
        <w:t>faithfulness;</w:t>
      </w:r>
    </w:p>
    <w:p>
      <w:pPr>
        <w:pStyle w:val="ListParagraph"/>
        <w:numPr>
          <w:ilvl w:val="0"/>
          <w:numId w:val="103"/>
        </w:numPr>
        <w:tabs>
          <w:tab w:pos="1814" w:val="left" w:leader="none"/>
          <w:tab w:pos="1815" w:val="left" w:leader="none"/>
        </w:tabs>
        <w:spacing w:line="216" w:lineRule="auto" w:before="90" w:after="0"/>
        <w:ind w:left="1814" w:right="2202" w:hanging="681"/>
        <w:jc w:val="left"/>
        <w:rPr>
          <w:sz w:val="20"/>
        </w:rPr>
      </w:pPr>
      <w:r>
        <w:rPr>
          <w:w w:val="120"/>
          <w:sz w:val="20"/>
        </w:rPr>
        <w:t>where vocations to ministry of those in committed same-sex relationships are discerned through the processes of the church to be the work of the Holy Spirit, such vocations should be</w:t>
      </w:r>
      <w:r>
        <w:rPr>
          <w:spacing w:val="9"/>
          <w:w w:val="120"/>
          <w:sz w:val="20"/>
        </w:rPr>
        <w:t> </w:t>
      </w:r>
      <w:r>
        <w:rPr>
          <w:w w:val="120"/>
          <w:sz w:val="20"/>
        </w:rPr>
        <w:t>upheld;</w:t>
      </w:r>
    </w:p>
    <w:p>
      <w:pPr>
        <w:pStyle w:val="ListParagraph"/>
        <w:numPr>
          <w:ilvl w:val="0"/>
          <w:numId w:val="103"/>
        </w:numPr>
        <w:tabs>
          <w:tab w:pos="1814" w:val="left" w:leader="none"/>
          <w:tab w:pos="1815" w:val="left" w:leader="none"/>
        </w:tabs>
        <w:spacing w:line="196" w:lineRule="auto" w:before="108" w:after="0"/>
        <w:ind w:left="1814" w:right="1900" w:hanging="681"/>
        <w:jc w:val="left"/>
        <w:rPr>
          <w:sz w:val="20"/>
        </w:rPr>
      </w:pPr>
      <w:r>
        <w:rPr>
          <w:w w:val="120"/>
          <w:sz w:val="20"/>
        </w:rPr>
        <w:t>this is an issue of justice, and the church should celebrate changes made to address unjust structures in society as, in part, the work of the</w:t>
      </w:r>
      <w:r>
        <w:rPr>
          <w:spacing w:val="20"/>
          <w:w w:val="120"/>
          <w:sz w:val="20"/>
        </w:rPr>
        <w:t> </w:t>
      </w:r>
      <w:r>
        <w:rPr>
          <w:w w:val="120"/>
          <w:sz w:val="20"/>
        </w:rPr>
        <w:t>Spirit;</w:t>
      </w:r>
    </w:p>
    <w:p>
      <w:pPr>
        <w:pStyle w:val="ListParagraph"/>
        <w:numPr>
          <w:ilvl w:val="0"/>
          <w:numId w:val="103"/>
        </w:numPr>
        <w:tabs>
          <w:tab w:pos="1814" w:val="left" w:leader="none"/>
          <w:tab w:pos="1815" w:val="left" w:leader="none"/>
        </w:tabs>
        <w:spacing w:line="196" w:lineRule="auto" w:before="115" w:after="0"/>
        <w:ind w:left="1814" w:right="2292" w:hanging="681"/>
        <w:jc w:val="left"/>
        <w:rPr>
          <w:sz w:val="20"/>
        </w:rPr>
      </w:pPr>
      <w:r>
        <w:rPr>
          <w:w w:val="120"/>
          <w:sz w:val="20"/>
        </w:rPr>
        <w:t>the Church should welcome the creation of civil partnerships and support such unions</w:t>
      </w:r>
      <w:r>
        <w:rPr>
          <w:spacing w:val="1"/>
          <w:w w:val="120"/>
          <w:sz w:val="20"/>
        </w:rPr>
        <w:t> </w:t>
      </w:r>
      <w:r>
        <w:rPr>
          <w:w w:val="120"/>
          <w:sz w:val="20"/>
        </w:rPr>
        <w:t>pastorally;</w:t>
      </w:r>
    </w:p>
    <w:p>
      <w:pPr>
        <w:pStyle w:val="ListParagraph"/>
        <w:numPr>
          <w:ilvl w:val="0"/>
          <w:numId w:val="103"/>
        </w:numPr>
        <w:tabs>
          <w:tab w:pos="1814" w:val="left" w:leader="none"/>
          <w:tab w:pos="1815" w:val="left" w:leader="none"/>
        </w:tabs>
        <w:spacing w:line="196" w:lineRule="auto" w:before="115" w:after="0"/>
        <w:ind w:left="1814" w:right="2218" w:hanging="681"/>
        <w:jc w:val="left"/>
        <w:rPr>
          <w:sz w:val="20"/>
        </w:rPr>
      </w:pPr>
      <w:r>
        <w:rPr>
          <w:w w:val="120"/>
          <w:sz w:val="20"/>
        </w:rPr>
        <w:t>working and sharing fellowship with people of very different views and practice creates painful</w:t>
      </w:r>
      <w:r>
        <w:rPr>
          <w:spacing w:val="3"/>
          <w:w w:val="120"/>
          <w:sz w:val="20"/>
        </w:rPr>
        <w:t> </w:t>
      </w:r>
      <w:r>
        <w:rPr>
          <w:w w:val="120"/>
          <w:sz w:val="20"/>
        </w:rPr>
        <w:t>tensions.</w:t>
      </w:r>
    </w:p>
    <w:p>
      <w:pPr>
        <w:pStyle w:val="BodyText"/>
        <w:spacing w:before="4"/>
        <w:rPr>
          <w:sz w:val="28"/>
        </w:rPr>
      </w:pPr>
    </w:p>
    <w:p>
      <w:pPr>
        <w:pStyle w:val="BodyText"/>
        <w:ind w:left="1133"/>
      </w:pPr>
      <w:r>
        <w:rPr>
          <w:w w:val="125"/>
        </w:rPr>
        <w:t>Recognising this very wide range of views, we –</w:t>
      </w:r>
    </w:p>
    <w:p>
      <w:pPr>
        <w:pStyle w:val="ListParagraph"/>
        <w:numPr>
          <w:ilvl w:val="0"/>
          <w:numId w:val="103"/>
        </w:numPr>
        <w:tabs>
          <w:tab w:pos="1815" w:val="left" w:leader="none"/>
        </w:tabs>
        <w:spacing w:line="240" w:lineRule="auto" w:before="65" w:after="0"/>
        <w:ind w:left="1814" w:right="0" w:hanging="682"/>
        <w:jc w:val="both"/>
        <w:rPr>
          <w:sz w:val="20"/>
        </w:rPr>
      </w:pPr>
      <w:r>
        <w:rPr>
          <w:w w:val="120"/>
          <w:sz w:val="20"/>
        </w:rPr>
        <w:t>acknowledge this</w:t>
      </w:r>
      <w:r>
        <w:rPr>
          <w:spacing w:val="4"/>
          <w:w w:val="120"/>
          <w:sz w:val="20"/>
        </w:rPr>
        <w:t> </w:t>
      </w:r>
      <w:r>
        <w:rPr>
          <w:w w:val="120"/>
          <w:sz w:val="20"/>
        </w:rPr>
        <w:t>diversity;</w:t>
      </w:r>
    </w:p>
    <w:p>
      <w:pPr>
        <w:pStyle w:val="ListParagraph"/>
        <w:numPr>
          <w:ilvl w:val="0"/>
          <w:numId w:val="103"/>
        </w:numPr>
        <w:tabs>
          <w:tab w:pos="1815" w:val="left" w:leader="none"/>
        </w:tabs>
        <w:spacing w:line="240" w:lineRule="auto" w:before="17" w:after="0"/>
        <w:ind w:left="1814" w:right="0" w:hanging="682"/>
        <w:jc w:val="both"/>
        <w:rPr>
          <w:sz w:val="20"/>
        </w:rPr>
      </w:pPr>
      <w:r>
        <w:rPr>
          <w:w w:val="120"/>
          <w:sz w:val="20"/>
        </w:rPr>
        <w:t>accept that these views are all held with integrity and often with</w:t>
      </w:r>
      <w:r>
        <w:rPr>
          <w:spacing w:val="23"/>
          <w:w w:val="120"/>
          <w:sz w:val="20"/>
        </w:rPr>
        <w:t> </w:t>
      </w:r>
      <w:r>
        <w:rPr>
          <w:w w:val="120"/>
          <w:sz w:val="20"/>
        </w:rPr>
        <w:t>passion;</w:t>
      </w:r>
    </w:p>
    <w:p>
      <w:pPr>
        <w:pStyle w:val="ListParagraph"/>
        <w:numPr>
          <w:ilvl w:val="0"/>
          <w:numId w:val="103"/>
        </w:numPr>
        <w:tabs>
          <w:tab w:pos="1815" w:val="left" w:leader="none"/>
        </w:tabs>
        <w:spacing w:line="196" w:lineRule="auto" w:before="57" w:after="0"/>
        <w:ind w:left="1814" w:right="1862" w:hanging="681"/>
        <w:jc w:val="both"/>
        <w:rPr>
          <w:sz w:val="20"/>
        </w:rPr>
      </w:pPr>
      <w:r>
        <w:rPr>
          <w:w w:val="120"/>
          <w:sz w:val="20"/>
        </w:rPr>
        <w:t>acknowledge that those who are sisters and brothers in Christ are so through God’s calling rather than personal</w:t>
      </w:r>
      <w:r>
        <w:rPr>
          <w:spacing w:val="9"/>
          <w:w w:val="120"/>
          <w:sz w:val="20"/>
        </w:rPr>
        <w:t> </w:t>
      </w:r>
      <w:r>
        <w:rPr>
          <w:w w:val="120"/>
          <w:sz w:val="20"/>
        </w:rPr>
        <w:t>choosing;</w:t>
      </w:r>
    </w:p>
    <w:p>
      <w:pPr>
        <w:pStyle w:val="ListParagraph"/>
        <w:numPr>
          <w:ilvl w:val="0"/>
          <w:numId w:val="103"/>
        </w:numPr>
        <w:tabs>
          <w:tab w:pos="1815" w:val="left" w:leader="none"/>
        </w:tabs>
        <w:spacing w:line="240" w:lineRule="auto" w:before="75" w:after="0"/>
        <w:ind w:left="1814" w:right="0" w:hanging="682"/>
        <w:jc w:val="both"/>
        <w:rPr>
          <w:sz w:val="20"/>
        </w:rPr>
      </w:pPr>
      <w:r>
        <w:rPr>
          <w:w w:val="120"/>
          <w:sz w:val="20"/>
        </w:rPr>
        <w:t>believe that Christ calls us to strive to live</w:t>
      </w:r>
      <w:r>
        <w:rPr>
          <w:spacing w:val="17"/>
          <w:w w:val="120"/>
          <w:sz w:val="20"/>
        </w:rPr>
        <w:t> </w:t>
      </w:r>
      <w:r>
        <w:rPr>
          <w:w w:val="120"/>
          <w:sz w:val="20"/>
        </w:rPr>
        <w:t>together;</w:t>
      </w:r>
    </w:p>
    <w:p>
      <w:pPr>
        <w:pStyle w:val="ListParagraph"/>
        <w:numPr>
          <w:ilvl w:val="0"/>
          <w:numId w:val="103"/>
        </w:numPr>
        <w:tabs>
          <w:tab w:pos="1815" w:val="left" w:leader="none"/>
        </w:tabs>
        <w:spacing w:line="196" w:lineRule="auto" w:before="57" w:after="0"/>
        <w:ind w:left="1814" w:right="1941" w:hanging="681"/>
        <w:jc w:val="both"/>
        <w:rPr>
          <w:sz w:val="20"/>
        </w:rPr>
      </w:pPr>
      <w:r>
        <w:rPr>
          <w:w w:val="120"/>
          <w:sz w:val="20"/>
        </w:rPr>
        <w:t>realise that this can only be done by reliance on the grace of God to enable mutual respect, love and continuing exploration</w:t>
      </w:r>
      <w:r>
        <w:rPr>
          <w:spacing w:val="15"/>
          <w:w w:val="120"/>
          <w:sz w:val="20"/>
        </w:rPr>
        <w:t> </w:t>
      </w:r>
      <w:r>
        <w:rPr>
          <w:w w:val="120"/>
          <w:sz w:val="20"/>
        </w:rPr>
        <w:t>together;</w:t>
      </w:r>
    </w:p>
    <w:p>
      <w:pPr>
        <w:pStyle w:val="ListParagraph"/>
        <w:numPr>
          <w:ilvl w:val="0"/>
          <w:numId w:val="103"/>
        </w:numPr>
        <w:tabs>
          <w:tab w:pos="1815" w:val="left" w:leader="none"/>
        </w:tabs>
        <w:spacing w:line="216" w:lineRule="auto" w:before="98" w:after="0"/>
        <w:ind w:left="1814" w:right="2012" w:hanging="681"/>
        <w:jc w:val="both"/>
        <w:rPr>
          <w:sz w:val="20"/>
        </w:rPr>
      </w:pPr>
      <w:r>
        <w:rPr>
          <w:w w:val="120"/>
          <w:sz w:val="20"/>
        </w:rPr>
        <w:t>agree to continue to explore these differences in the light of our understanding of Scripture and under the Holy Spirit’s guidance for our individual and shared life in today’s</w:t>
      </w:r>
      <w:r>
        <w:rPr>
          <w:spacing w:val="2"/>
          <w:w w:val="120"/>
          <w:sz w:val="20"/>
        </w:rPr>
        <w:t> </w:t>
      </w:r>
      <w:r>
        <w:rPr>
          <w:w w:val="120"/>
          <w:sz w:val="20"/>
        </w:rPr>
        <w:t>world.</w:t>
      </w:r>
    </w:p>
    <w:p>
      <w:pPr>
        <w:pStyle w:val="BodyText"/>
        <w:rPr>
          <w:sz w:val="28"/>
        </w:rPr>
      </w:pPr>
    </w:p>
    <w:p>
      <w:pPr>
        <w:pStyle w:val="BodyText"/>
        <w:spacing w:line="235" w:lineRule="auto"/>
        <w:ind w:left="1133" w:right="1901"/>
      </w:pPr>
      <w:r>
        <w:rPr>
          <w:w w:val="120"/>
        </w:rPr>
        <w:t>In love and submission to Christ who holds us together, we therefore commit ourselves to stay together, to work and pray together, to treat one another with respect, and to seek God’s gifts of unity, harmony, wisdom and deeper understanding.</w:t>
      </w:r>
    </w:p>
    <w:p>
      <w:pPr>
        <w:pStyle w:val="BodyText"/>
      </w:pPr>
    </w:p>
    <w:p>
      <w:pPr>
        <w:pStyle w:val="BodyText"/>
      </w:pPr>
    </w:p>
    <w:p>
      <w:pPr>
        <w:pStyle w:val="BodyText"/>
        <w:spacing w:before="4"/>
        <w:rPr>
          <w:sz w:val="10"/>
        </w:rPr>
      </w:pPr>
      <w:r>
        <w:rPr/>
        <w:pict>
          <v:shape style="position:absolute;margin-left:56.692902pt;margin-top:8.65746pt;width:439.4pt;height:.1pt;mso-position-horizontal-relative:page;mso-position-vertical-relative:paragraph;z-index:-251390976;mso-wrap-distance-left:0;mso-wrap-distance-right:0" coordorigin="1134,173" coordsize="8788,0" path="m1134,173l9921,173e" filled="false" stroked="true" strokeweight=".75pt" strokecolor="#ca4f1b">
            <v:path arrowok="t"/>
            <v:stroke dashstyle="solid"/>
            <w10:wrap type="topAndBottom"/>
          </v:shape>
        </w:pict>
      </w:r>
    </w:p>
    <w:p>
      <w:pPr>
        <w:spacing w:after="0"/>
        <w:rPr>
          <w:sz w:val="10"/>
        </w:rPr>
        <w:sectPr>
          <w:pgSz w:w="11910" w:h="16840"/>
          <w:pgMar w:header="0" w:footer="647" w:top="1060" w:bottom="840" w:left="0" w:right="0"/>
        </w:sectPr>
      </w:pPr>
    </w:p>
    <w:p>
      <w:pPr>
        <w:pStyle w:val="Heading2"/>
        <w:spacing w:before="115"/>
      </w:pPr>
      <w:r>
        <w:rPr/>
        <w:pict>
          <v:rect style="position:absolute;margin-left:558.424988pt;margin-top:8.492283pt;width:22.677pt;height:22.677pt;mso-position-horizontal-relative:page;mso-position-vertical-relative:paragraph;z-index:251928576" filled="true" fillcolor="#f9e9c1" stroked="false">
            <v:fill opacity="32768f" type="solid"/>
            <w10:wrap type="none"/>
          </v:rect>
        </w:pict>
      </w:r>
      <w:r>
        <w:rPr>
          <w:color w:val="CA4F1B"/>
          <w:w w:val="110"/>
        </w:rPr>
        <w:t>Annexe 7</w:t>
      </w:r>
    </w:p>
    <w:p>
      <w:pPr>
        <w:pStyle w:val="Heading6"/>
        <w:spacing w:line="196" w:lineRule="auto" w:before="150"/>
        <w:ind w:left="1984" w:right="1120"/>
      </w:pPr>
      <w:r>
        <w:rPr>
          <w:w w:val="110"/>
        </w:rPr>
        <w:t>Final report of the Working Party on housing provision for Ministers and Church Related Community Workers</w:t>
      </w:r>
    </w:p>
    <w:p>
      <w:pPr>
        <w:spacing w:before="265"/>
        <w:ind w:left="1984" w:right="0" w:firstLine="0"/>
        <w:jc w:val="left"/>
        <w:rPr>
          <w:rFonts w:ascii="Stone Sans II ITC Std Bk"/>
          <w:b/>
          <w:sz w:val="21"/>
        </w:rPr>
      </w:pPr>
      <w:r>
        <w:rPr>
          <w:rFonts w:ascii="Stone Sans II ITC Std Bk"/>
          <w:b/>
          <w:w w:val="115"/>
          <w:sz w:val="21"/>
        </w:rPr>
        <w:t>Introduction</w:t>
      </w:r>
    </w:p>
    <w:p>
      <w:pPr>
        <w:pStyle w:val="ListParagraph"/>
        <w:numPr>
          <w:ilvl w:val="0"/>
          <w:numId w:val="104"/>
        </w:numPr>
        <w:tabs>
          <w:tab w:pos="2664" w:val="left" w:leader="none"/>
          <w:tab w:pos="2665" w:val="left" w:leader="none"/>
        </w:tabs>
        <w:spacing w:line="240" w:lineRule="exact" w:before="217" w:after="0"/>
        <w:ind w:left="1984" w:right="1380" w:firstLine="0"/>
        <w:jc w:val="left"/>
        <w:rPr>
          <w:sz w:val="21"/>
        </w:rPr>
      </w:pPr>
      <w:r>
        <w:rPr>
          <w:w w:val="120"/>
          <w:sz w:val="20"/>
        </w:rPr>
        <w:t>On 26</w:t>
      </w:r>
      <w:r>
        <w:rPr>
          <w:w w:val="120"/>
          <w:position w:val="7"/>
          <w:sz w:val="11"/>
        </w:rPr>
        <w:t>th </w:t>
      </w:r>
      <w:r>
        <w:rPr>
          <w:w w:val="120"/>
          <w:sz w:val="20"/>
        </w:rPr>
        <w:t>January 2008 Mission Council received and considered a </w:t>
      </w:r>
      <w:r>
        <w:rPr>
          <w:spacing w:val="2"/>
          <w:w w:val="120"/>
          <w:sz w:val="20"/>
        </w:rPr>
        <w:t>report </w:t>
      </w:r>
      <w:r>
        <w:rPr>
          <w:w w:val="120"/>
          <w:sz w:val="20"/>
        </w:rPr>
        <w:t>from a working </w:t>
      </w:r>
      <w:r>
        <w:rPr>
          <w:spacing w:val="2"/>
          <w:w w:val="120"/>
          <w:sz w:val="20"/>
        </w:rPr>
        <w:t>party </w:t>
      </w:r>
      <w:r>
        <w:rPr>
          <w:w w:val="120"/>
          <w:sz w:val="20"/>
        </w:rPr>
        <w:t>established by the Ministries Committee</w:t>
      </w:r>
      <w:r>
        <w:rPr>
          <w:w w:val="120"/>
          <w:position w:val="4"/>
          <w:sz w:val="20"/>
        </w:rPr>
        <w:t>1 </w:t>
      </w:r>
      <w:r>
        <w:rPr>
          <w:w w:val="120"/>
          <w:sz w:val="20"/>
        </w:rPr>
        <w:t>arguing for a change to the present manse system. Their conclusion was ‘that there are grounds for a detailed plan to be prepared for a new system in which it would not be the norm for ministers to be housed in </w:t>
      </w:r>
      <w:r>
        <w:rPr>
          <w:spacing w:val="-3"/>
          <w:w w:val="120"/>
          <w:sz w:val="20"/>
        </w:rPr>
        <w:t>manses’. </w:t>
      </w:r>
      <w:r>
        <w:rPr>
          <w:w w:val="120"/>
          <w:sz w:val="20"/>
        </w:rPr>
        <w:t>Mission Council decided to establish this working </w:t>
      </w:r>
      <w:r>
        <w:rPr>
          <w:spacing w:val="2"/>
          <w:w w:val="120"/>
          <w:sz w:val="20"/>
        </w:rPr>
        <w:t>party </w:t>
      </w:r>
      <w:r>
        <w:rPr>
          <w:w w:val="120"/>
          <w:sz w:val="20"/>
        </w:rPr>
        <w:t>to examine the financial, practical and pastoral implications of such a change together with a full implementation programme. The membership of the committee is listed at the end of this</w:t>
      </w:r>
      <w:r>
        <w:rPr>
          <w:spacing w:val="2"/>
          <w:w w:val="120"/>
          <w:sz w:val="20"/>
        </w:rPr>
        <w:t> </w:t>
      </w:r>
      <w:r>
        <w:rPr>
          <w:w w:val="120"/>
          <w:sz w:val="20"/>
        </w:rPr>
        <w:t>report.</w:t>
      </w:r>
    </w:p>
    <w:p>
      <w:pPr>
        <w:pStyle w:val="BodyText"/>
        <w:spacing w:before="8"/>
        <w:rPr>
          <w:sz w:val="19"/>
        </w:rPr>
      </w:pPr>
    </w:p>
    <w:p>
      <w:pPr>
        <w:pStyle w:val="ListParagraph"/>
        <w:numPr>
          <w:ilvl w:val="0"/>
          <w:numId w:val="104"/>
        </w:numPr>
        <w:tabs>
          <w:tab w:pos="2664" w:val="left" w:leader="none"/>
          <w:tab w:pos="2665" w:val="left" w:leader="none"/>
        </w:tabs>
        <w:spacing w:line="240" w:lineRule="exact" w:before="1" w:after="0"/>
        <w:ind w:left="1984" w:right="1277" w:firstLine="0"/>
        <w:jc w:val="left"/>
        <w:rPr>
          <w:sz w:val="21"/>
        </w:rPr>
      </w:pPr>
      <w:r>
        <w:rPr>
          <w:w w:val="120"/>
          <w:sz w:val="20"/>
        </w:rPr>
        <w:t>We held eight meetings over a period of over a </w:t>
      </w:r>
      <w:r>
        <w:rPr>
          <w:spacing w:val="-4"/>
          <w:w w:val="120"/>
          <w:sz w:val="20"/>
        </w:rPr>
        <w:t>year. </w:t>
      </w:r>
      <w:r>
        <w:rPr>
          <w:w w:val="120"/>
          <w:sz w:val="20"/>
        </w:rPr>
        <w:t>We made use of resources supplied to us by Rachel Wakeman (formerly Greening) and </w:t>
      </w:r>
      <w:r>
        <w:rPr>
          <w:spacing w:val="-3"/>
          <w:w w:val="120"/>
          <w:sz w:val="20"/>
        </w:rPr>
        <w:t>PLATO</w:t>
      </w:r>
      <w:r>
        <w:rPr>
          <w:spacing w:val="-3"/>
          <w:w w:val="120"/>
          <w:position w:val="4"/>
          <w:sz w:val="20"/>
        </w:rPr>
        <w:t>2 </w:t>
      </w:r>
      <w:r>
        <w:rPr>
          <w:w w:val="120"/>
          <w:sz w:val="20"/>
        </w:rPr>
        <w:t>and sabbatical research by the Revd Michael Spencer into the views of serving ministers about their housing. We decided to undertake a further survey to assess the current position, and  in particular whether some of the assumptions upon which the different arguments are based are correct. We are very grateful to the Revd Nigel Appleton and his team for devising the questionnaire and collating the results, details of which are set out</w:t>
      </w:r>
      <w:r>
        <w:rPr>
          <w:spacing w:val="42"/>
          <w:w w:val="120"/>
          <w:sz w:val="20"/>
        </w:rPr>
        <w:t> </w:t>
      </w:r>
      <w:r>
        <w:rPr>
          <w:w w:val="120"/>
          <w:sz w:val="20"/>
        </w:rPr>
        <w:t>below</w:t>
      </w:r>
      <w:r>
        <w:rPr>
          <w:w w:val="120"/>
          <w:position w:val="4"/>
          <w:sz w:val="20"/>
        </w:rPr>
        <w:t>3</w:t>
      </w:r>
      <w:r>
        <w:rPr>
          <w:w w:val="120"/>
          <w:sz w:val="20"/>
        </w:rPr>
        <w:t>.</w:t>
      </w:r>
    </w:p>
    <w:p>
      <w:pPr>
        <w:pStyle w:val="ListParagraph"/>
        <w:numPr>
          <w:ilvl w:val="0"/>
          <w:numId w:val="104"/>
        </w:numPr>
        <w:tabs>
          <w:tab w:pos="2664" w:val="left" w:leader="none"/>
          <w:tab w:pos="2665" w:val="left" w:leader="none"/>
        </w:tabs>
        <w:spacing w:line="235" w:lineRule="auto" w:before="236" w:after="0"/>
        <w:ind w:left="1984" w:right="1246" w:hanging="1"/>
        <w:jc w:val="left"/>
        <w:rPr>
          <w:sz w:val="21"/>
        </w:rPr>
      </w:pPr>
      <w:r>
        <w:rPr>
          <w:w w:val="120"/>
          <w:sz w:val="20"/>
        </w:rPr>
        <w:t>With many propositions ‘the devil is in the detail’ and the proposal to change    the manse system is no exception. </w:t>
      </w:r>
      <w:r>
        <w:rPr>
          <w:spacing w:val="3"/>
          <w:w w:val="120"/>
          <w:sz w:val="20"/>
        </w:rPr>
        <w:t>As </w:t>
      </w:r>
      <w:r>
        <w:rPr>
          <w:w w:val="120"/>
          <w:sz w:val="20"/>
        </w:rPr>
        <w:t>we began to examine the proposal, we were not persuaded that the previous </w:t>
      </w:r>
      <w:r>
        <w:rPr>
          <w:spacing w:val="2"/>
          <w:w w:val="120"/>
          <w:sz w:val="20"/>
        </w:rPr>
        <w:t>report </w:t>
      </w:r>
      <w:r>
        <w:rPr>
          <w:w w:val="120"/>
          <w:sz w:val="20"/>
        </w:rPr>
        <w:t>had fairly considered the advantages of the manse system. We therefore invited the chairman of that working party, the Revd Geoffrey Roper, </w:t>
      </w:r>
      <w:r>
        <w:rPr>
          <w:spacing w:val="-3"/>
          <w:w w:val="120"/>
          <w:sz w:val="20"/>
        </w:rPr>
        <w:t>(who </w:t>
      </w:r>
      <w:r>
        <w:rPr>
          <w:w w:val="120"/>
          <w:sz w:val="20"/>
        </w:rPr>
        <w:t>has, through various working parties of the URC, been arguing for this change since </w:t>
      </w:r>
      <w:r>
        <w:rPr>
          <w:spacing w:val="-8"/>
          <w:w w:val="120"/>
          <w:sz w:val="20"/>
        </w:rPr>
        <w:t>1979) </w:t>
      </w:r>
      <w:r>
        <w:rPr>
          <w:w w:val="120"/>
          <w:sz w:val="20"/>
        </w:rPr>
        <w:t>to explain further the thinking behind the recommendations, and to answer questions, which he graciously agreed to</w:t>
      </w:r>
      <w:r>
        <w:rPr>
          <w:spacing w:val="19"/>
          <w:w w:val="120"/>
          <w:sz w:val="20"/>
        </w:rPr>
        <w:t> </w:t>
      </w:r>
      <w:r>
        <w:rPr>
          <w:w w:val="120"/>
          <w:sz w:val="20"/>
        </w:rPr>
        <w:t>do.</w:t>
      </w:r>
    </w:p>
    <w:p>
      <w:pPr>
        <w:pStyle w:val="BodyText"/>
        <w:spacing w:before="5"/>
        <w:rPr>
          <w:sz w:val="19"/>
        </w:rPr>
      </w:pPr>
    </w:p>
    <w:p>
      <w:pPr>
        <w:pStyle w:val="ListParagraph"/>
        <w:numPr>
          <w:ilvl w:val="0"/>
          <w:numId w:val="104"/>
        </w:numPr>
        <w:tabs>
          <w:tab w:pos="2664" w:val="left" w:leader="none"/>
          <w:tab w:pos="2665" w:val="left" w:leader="none"/>
        </w:tabs>
        <w:spacing w:line="240" w:lineRule="exact" w:before="0" w:after="0"/>
        <w:ind w:left="1984" w:right="1154" w:hanging="1"/>
        <w:jc w:val="left"/>
        <w:rPr>
          <w:sz w:val="21"/>
        </w:rPr>
      </w:pPr>
      <w:r>
        <w:rPr>
          <w:w w:val="120"/>
          <w:sz w:val="20"/>
        </w:rPr>
        <w:t>We confess that despite our best endeavours, we have been unable to </w:t>
      </w:r>
      <w:r>
        <w:rPr>
          <w:spacing w:val="2"/>
          <w:w w:val="120"/>
          <w:sz w:val="20"/>
        </w:rPr>
        <w:t>carry </w:t>
      </w:r>
      <w:r>
        <w:rPr>
          <w:w w:val="120"/>
          <w:sz w:val="20"/>
        </w:rPr>
        <w:t>out our brief. We have looked at the main advantages and disadvantages of changing the manse system and set out the issues and our conclusions below</w:t>
      </w:r>
      <w:r>
        <w:rPr>
          <w:w w:val="120"/>
          <w:position w:val="4"/>
          <w:sz w:val="20"/>
        </w:rPr>
        <w:t>4</w:t>
      </w:r>
      <w:r>
        <w:rPr>
          <w:w w:val="120"/>
          <w:sz w:val="20"/>
        </w:rPr>
        <w:t>. We have examined a number of options for change and concluded that the only practicable option is to retain the present manse system, but improve the practice in order to ensure that manses can be provided where they are needed and are properly</w:t>
      </w:r>
      <w:r>
        <w:rPr>
          <w:spacing w:val="29"/>
          <w:w w:val="120"/>
          <w:sz w:val="20"/>
        </w:rPr>
        <w:t> </w:t>
      </w:r>
      <w:r>
        <w:rPr>
          <w:w w:val="120"/>
          <w:sz w:val="20"/>
        </w:rPr>
        <w:t>maintained.</w:t>
      </w:r>
    </w:p>
    <w:p>
      <w:pPr>
        <w:pStyle w:val="BodyText"/>
        <w:spacing w:before="11"/>
        <w:rPr>
          <w:sz w:val="17"/>
        </w:rPr>
      </w:pPr>
    </w:p>
    <w:p>
      <w:pPr>
        <w:spacing w:before="0"/>
        <w:ind w:left="1984" w:right="0" w:firstLine="0"/>
        <w:jc w:val="left"/>
        <w:rPr>
          <w:rFonts w:ascii="Stone Sans II ITC Std Bk"/>
          <w:b/>
          <w:sz w:val="21"/>
        </w:rPr>
      </w:pPr>
      <w:r>
        <w:rPr>
          <w:rFonts w:ascii="Stone Sans II ITC Std Bk"/>
          <w:b/>
          <w:w w:val="115"/>
          <w:sz w:val="21"/>
        </w:rPr>
        <w:t>The options</w:t>
      </w:r>
    </w:p>
    <w:p>
      <w:pPr>
        <w:pStyle w:val="ListParagraph"/>
        <w:numPr>
          <w:ilvl w:val="0"/>
          <w:numId w:val="104"/>
        </w:numPr>
        <w:tabs>
          <w:tab w:pos="2664" w:val="left" w:leader="none"/>
          <w:tab w:pos="2665" w:val="left" w:leader="none"/>
        </w:tabs>
        <w:spacing w:line="232" w:lineRule="auto" w:before="215" w:after="0"/>
        <w:ind w:left="1984" w:right="1186" w:hanging="1"/>
        <w:jc w:val="left"/>
        <w:rPr>
          <w:sz w:val="21"/>
        </w:rPr>
      </w:pPr>
      <w:r>
        <w:rPr>
          <w:w w:val="120"/>
          <w:sz w:val="20"/>
        </w:rPr>
        <w:t>The options for change </w:t>
      </w:r>
      <w:r>
        <w:rPr>
          <w:spacing w:val="-3"/>
          <w:w w:val="120"/>
          <w:sz w:val="20"/>
        </w:rPr>
        <w:t>(some </w:t>
      </w:r>
      <w:r>
        <w:rPr>
          <w:w w:val="120"/>
          <w:sz w:val="20"/>
        </w:rPr>
        <w:t>of which are variations on the same </w:t>
      </w:r>
      <w:r>
        <w:rPr>
          <w:spacing w:val="-3"/>
          <w:w w:val="120"/>
          <w:sz w:val="20"/>
        </w:rPr>
        <w:t>theme) </w:t>
      </w:r>
      <w:r>
        <w:rPr>
          <w:w w:val="120"/>
          <w:sz w:val="20"/>
        </w:rPr>
        <w:t>that we have identified</w:t>
      </w:r>
      <w:r>
        <w:rPr>
          <w:spacing w:val="3"/>
          <w:w w:val="120"/>
          <w:sz w:val="20"/>
        </w:rPr>
        <w:t> </w:t>
      </w:r>
      <w:r>
        <w:rPr>
          <w:w w:val="120"/>
          <w:sz w:val="20"/>
        </w:rPr>
        <w:t>are:</w:t>
      </w:r>
    </w:p>
    <w:p>
      <w:pPr>
        <w:pStyle w:val="BodyText"/>
        <w:spacing w:before="10"/>
        <w:rPr>
          <w:sz w:val="19"/>
        </w:rPr>
      </w:pPr>
    </w:p>
    <w:p>
      <w:pPr>
        <w:pStyle w:val="ListParagraph"/>
        <w:numPr>
          <w:ilvl w:val="0"/>
          <w:numId w:val="105"/>
        </w:numPr>
        <w:tabs>
          <w:tab w:pos="2664" w:val="left" w:leader="none"/>
          <w:tab w:pos="2665" w:val="left" w:leader="none"/>
        </w:tabs>
        <w:spacing w:line="235" w:lineRule="auto" w:before="0" w:after="0"/>
        <w:ind w:left="2664" w:right="1302" w:hanging="681"/>
        <w:jc w:val="left"/>
        <w:rPr>
          <w:sz w:val="20"/>
        </w:rPr>
      </w:pPr>
      <w:r>
        <w:rPr>
          <w:w w:val="120"/>
          <w:sz w:val="20"/>
        </w:rPr>
        <w:t>keep the present manse system, but improve the practice in order to ensure that manses can be provided where they are needed and are properly</w:t>
      </w:r>
      <w:r>
        <w:rPr>
          <w:spacing w:val="51"/>
          <w:w w:val="120"/>
          <w:sz w:val="20"/>
        </w:rPr>
        <w:t> </w:t>
      </w:r>
      <w:r>
        <w:rPr>
          <w:w w:val="120"/>
          <w:sz w:val="20"/>
        </w:rPr>
        <w:t>maintained;</w:t>
      </w:r>
    </w:p>
    <w:p>
      <w:pPr>
        <w:pStyle w:val="ListParagraph"/>
        <w:numPr>
          <w:ilvl w:val="0"/>
          <w:numId w:val="105"/>
        </w:numPr>
        <w:tabs>
          <w:tab w:pos="2664" w:val="left" w:leader="none"/>
          <w:tab w:pos="2665" w:val="left" w:leader="none"/>
        </w:tabs>
        <w:spacing w:line="235" w:lineRule="auto" w:before="2" w:after="0"/>
        <w:ind w:left="2664" w:right="1250" w:hanging="681"/>
        <w:jc w:val="left"/>
        <w:rPr>
          <w:sz w:val="20"/>
        </w:rPr>
      </w:pPr>
      <w:r>
        <w:rPr>
          <w:w w:val="120"/>
          <w:sz w:val="20"/>
        </w:rPr>
        <w:t>consolidate the stock of manses and manage them through a housing association that would act as managing</w:t>
      </w:r>
      <w:r>
        <w:rPr>
          <w:spacing w:val="12"/>
          <w:w w:val="120"/>
          <w:sz w:val="20"/>
        </w:rPr>
        <w:t> </w:t>
      </w:r>
      <w:r>
        <w:rPr>
          <w:w w:val="120"/>
          <w:sz w:val="20"/>
        </w:rPr>
        <w:t>agent;</w:t>
      </w:r>
    </w:p>
    <w:p>
      <w:pPr>
        <w:pStyle w:val="ListParagraph"/>
        <w:numPr>
          <w:ilvl w:val="0"/>
          <w:numId w:val="105"/>
        </w:numPr>
        <w:tabs>
          <w:tab w:pos="2664" w:val="left" w:leader="none"/>
          <w:tab w:pos="2665" w:val="left" w:leader="none"/>
        </w:tabs>
        <w:spacing w:line="235" w:lineRule="auto" w:before="1" w:after="0"/>
        <w:ind w:left="2664" w:right="1376" w:hanging="681"/>
        <w:jc w:val="left"/>
        <w:rPr>
          <w:sz w:val="20"/>
        </w:rPr>
      </w:pPr>
      <w:r>
        <w:rPr>
          <w:w w:val="120"/>
          <w:sz w:val="20"/>
        </w:rPr>
        <w:t>create an incentive scheme that would encourage ministers and their families to build up an equity holding in a consolidated stock of</w:t>
      </w:r>
      <w:r>
        <w:rPr>
          <w:spacing w:val="32"/>
          <w:w w:val="120"/>
          <w:sz w:val="20"/>
        </w:rPr>
        <w:t> </w:t>
      </w:r>
      <w:r>
        <w:rPr>
          <w:w w:val="120"/>
          <w:sz w:val="20"/>
        </w:rPr>
        <w:t>manses;</w:t>
      </w:r>
    </w:p>
    <w:p>
      <w:pPr>
        <w:pStyle w:val="BodyText"/>
        <w:spacing w:before="2"/>
        <w:rPr>
          <w:sz w:val="19"/>
        </w:rPr>
      </w:pPr>
      <w:r>
        <w:rPr/>
        <w:pict>
          <v:shape style="position:absolute;margin-left:99.212601pt;margin-top:13.926927pt;width:79.850pt;height:.1pt;mso-position-horizontal-relative:page;mso-position-vertical-relative:paragraph;z-index:-251388928;mso-wrap-distance-left:0;mso-wrap-distance-right:0" coordorigin="1984,279" coordsize="1597,0" path="m1984,279l3581,279e" filled="false" stroked="true" strokeweight=".5pt" strokecolor="#000000">
            <v:path arrowok="t"/>
            <v:stroke dashstyle="solid"/>
            <w10:wrap type="topAndBottom"/>
          </v:shape>
        </w:pict>
      </w:r>
    </w:p>
    <w:p>
      <w:pPr>
        <w:pStyle w:val="ListParagraph"/>
        <w:numPr>
          <w:ilvl w:val="0"/>
          <w:numId w:val="106"/>
        </w:numPr>
        <w:tabs>
          <w:tab w:pos="2437" w:val="left" w:leader="none"/>
          <w:tab w:pos="2438" w:val="left" w:leader="none"/>
        </w:tabs>
        <w:spacing w:line="240" w:lineRule="auto" w:before="181" w:after="0"/>
        <w:ind w:left="2437" w:right="1628" w:hanging="454"/>
        <w:jc w:val="left"/>
        <w:rPr>
          <w:sz w:val="18"/>
        </w:rPr>
      </w:pPr>
      <w:r>
        <w:rPr>
          <w:w w:val="120"/>
          <w:sz w:val="18"/>
        </w:rPr>
        <w:t>Autumn </w:t>
      </w:r>
      <w:r>
        <w:rPr>
          <w:spacing w:val="-5"/>
          <w:w w:val="120"/>
          <w:sz w:val="18"/>
        </w:rPr>
        <w:t>2007. </w:t>
      </w:r>
      <w:r>
        <w:rPr>
          <w:w w:val="120"/>
          <w:sz w:val="18"/>
        </w:rPr>
        <w:t>The members of the working </w:t>
      </w:r>
      <w:r>
        <w:rPr>
          <w:spacing w:val="3"/>
          <w:w w:val="120"/>
          <w:sz w:val="18"/>
        </w:rPr>
        <w:t>party </w:t>
      </w:r>
      <w:r>
        <w:rPr>
          <w:w w:val="120"/>
          <w:sz w:val="18"/>
        </w:rPr>
        <w:t>were Geoffrey Roper, Ruth Whitehead, Helen Matthews, Guy </w:t>
      </w:r>
      <w:r>
        <w:rPr>
          <w:spacing w:val="2"/>
          <w:w w:val="120"/>
          <w:sz w:val="18"/>
        </w:rPr>
        <w:t>Morfett </w:t>
      </w:r>
      <w:r>
        <w:rPr>
          <w:w w:val="120"/>
          <w:sz w:val="18"/>
        </w:rPr>
        <w:t>and John Ellis. Staff: Christine</w:t>
      </w:r>
      <w:r>
        <w:rPr>
          <w:spacing w:val="4"/>
          <w:w w:val="120"/>
          <w:sz w:val="18"/>
        </w:rPr>
        <w:t> </w:t>
      </w:r>
      <w:r>
        <w:rPr>
          <w:w w:val="120"/>
          <w:sz w:val="18"/>
        </w:rPr>
        <w:t>Craven.</w:t>
      </w:r>
    </w:p>
    <w:p>
      <w:pPr>
        <w:pStyle w:val="ListParagraph"/>
        <w:numPr>
          <w:ilvl w:val="0"/>
          <w:numId w:val="106"/>
        </w:numPr>
        <w:tabs>
          <w:tab w:pos="2437" w:val="left" w:leader="none"/>
          <w:tab w:pos="2438" w:val="left" w:leader="none"/>
        </w:tabs>
        <w:spacing w:line="240" w:lineRule="auto" w:before="1" w:after="0"/>
        <w:ind w:left="2437" w:right="0" w:hanging="454"/>
        <w:jc w:val="left"/>
        <w:rPr>
          <w:sz w:val="18"/>
        </w:rPr>
      </w:pPr>
      <w:r>
        <w:rPr>
          <w:spacing w:val="2"/>
          <w:w w:val="120"/>
          <w:sz w:val="18"/>
        </w:rPr>
        <w:t>Property </w:t>
      </w:r>
      <w:r>
        <w:rPr>
          <w:w w:val="120"/>
          <w:sz w:val="18"/>
        </w:rPr>
        <w:t>Legal Administrative and Trust</w:t>
      </w:r>
      <w:r>
        <w:rPr>
          <w:spacing w:val="5"/>
          <w:w w:val="120"/>
          <w:sz w:val="18"/>
        </w:rPr>
        <w:t> </w:t>
      </w:r>
      <w:r>
        <w:rPr>
          <w:w w:val="120"/>
          <w:sz w:val="18"/>
        </w:rPr>
        <w:t>Officers</w:t>
      </w:r>
    </w:p>
    <w:p>
      <w:pPr>
        <w:pStyle w:val="ListParagraph"/>
        <w:numPr>
          <w:ilvl w:val="0"/>
          <w:numId w:val="106"/>
        </w:numPr>
        <w:tabs>
          <w:tab w:pos="2437" w:val="left" w:leader="none"/>
          <w:tab w:pos="2438" w:val="left" w:leader="none"/>
        </w:tabs>
        <w:spacing w:line="240" w:lineRule="auto" w:before="0" w:after="0"/>
        <w:ind w:left="2437" w:right="1027" w:hanging="454"/>
        <w:jc w:val="left"/>
        <w:rPr>
          <w:sz w:val="18"/>
        </w:rPr>
      </w:pPr>
      <w:r>
        <w:rPr>
          <w:w w:val="115"/>
          <w:sz w:val="18"/>
        </w:rPr>
        <w:t>The full </w:t>
      </w:r>
      <w:r>
        <w:rPr>
          <w:spacing w:val="2"/>
          <w:w w:val="115"/>
          <w:sz w:val="18"/>
        </w:rPr>
        <w:t>report </w:t>
      </w:r>
      <w:r>
        <w:rPr>
          <w:i/>
          <w:w w:val="115"/>
          <w:sz w:val="18"/>
        </w:rPr>
        <w:t>Report on a survey of ministers receiving a stipend and of CRCWs </w:t>
      </w:r>
      <w:r>
        <w:rPr>
          <w:w w:val="115"/>
          <w:sz w:val="18"/>
        </w:rPr>
        <w:t>can be found on the URC’s</w:t>
      </w:r>
      <w:r>
        <w:rPr>
          <w:spacing w:val="4"/>
          <w:w w:val="115"/>
          <w:sz w:val="18"/>
        </w:rPr>
        <w:t> </w:t>
      </w:r>
      <w:r>
        <w:rPr>
          <w:w w:val="115"/>
          <w:sz w:val="18"/>
        </w:rPr>
        <w:t>website.</w:t>
      </w:r>
    </w:p>
    <w:p>
      <w:pPr>
        <w:pStyle w:val="ListParagraph"/>
        <w:numPr>
          <w:ilvl w:val="0"/>
          <w:numId w:val="106"/>
        </w:numPr>
        <w:tabs>
          <w:tab w:pos="2437" w:val="left" w:leader="none"/>
          <w:tab w:pos="2438" w:val="left" w:leader="none"/>
        </w:tabs>
        <w:spacing w:line="240" w:lineRule="auto" w:before="0" w:after="0"/>
        <w:ind w:left="2438" w:right="446" w:hanging="454"/>
        <w:jc w:val="left"/>
        <w:rPr>
          <w:sz w:val="18"/>
        </w:rPr>
      </w:pPr>
      <w:r>
        <w:rPr>
          <w:spacing w:val="2"/>
          <w:w w:val="120"/>
          <w:sz w:val="18"/>
        </w:rPr>
        <w:t>For simplicity </w:t>
      </w:r>
      <w:r>
        <w:rPr>
          <w:w w:val="120"/>
          <w:sz w:val="18"/>
        </w:rPr>
        <w:t>we use the words ‘minister’ and ‘ministers’ to mean </w:t>
      </w:r>
      <w:r>
        <w:rPr>
          <w:spacing w:val="2"/>
          <w:w w:val="120"/>
          <w:sz w:val="18"/>
        </w:rPr>
        <w:t>Stipendiary Ministers </w:t>
      </w:r>
      <w:r>
        <w:rPr>
          <w:w w:val="120"/>
          <w:sz w:val="18"/>
        </w:rPr>
        <w:t>of Word and </w:t>
      </w:r>
      <w:r>
        <w:rPr>
          <w:spacing w:val="2"/>
          <w:w w:val="120"/>
          <w:sz w:val="18"/>
        </w:rPr>
        <w:t>Sacrament </w:t>
      </w:r>
      <w:r>
        <w:rPr>
          <w:w w:val="120"/>
          <w:sz w:val="18"/>
        </w:rPr>
        <w:t>and Church Related </w:t>
      </w:r>
      <w:r>
        <w:rPr>
          <w:spacing w:val="2"/>
          <w:w w:val="120"/>
          <w:sz w:val="18"/>
        </w:rPr>
        <w:t>Community Workers. The </w:t>
      </w:r>
      <w:r>
        <w:rPr>
          <w:w w:val="120"/>
          <w:sz w:val="18"/>
        </w:rPr>
        <w:t>masculine </w:t>
      </w:r>
      <w:r>
        <w:rPr>
          <w:spacing w:val="2"/>
          <w:w w:val="120"/>
          <w:sz w:val="18"/>
        </w:rPr>
        <w:t>includes </w:t>
      </w:r>
      <w:r>
        <w:rPr>
          <w:w w:val="120"/>
          <w:sz w:val="18"/>
        </w:rPr>
        <w:t>the</w:t>
      </w:r>
      <w:r>
        <w:rPr>
          <w:spacing w:val="13"/>
          <w:w w:val="120"/>
          <w:sz w:val="18"/>
        </w:rPr>
        <w:t> </w:t>
      </w:r>
      <w:r>
        <w:rPr>
          <w:w w:val="120"/>
          <w:sz w:val="18"/>
        </w:rPr>
        <w:t>feminine.</w:t>
      </w:r>
    </w:p>
    <w:p>
      <w:pPr>
        <w:spacing w:after="0" w:line="240" w:lineRule="auto"/>
        <w:jc w:val="left"/>
        <w:rPr>
          <w:sz w:val="18"/>
        </w:rPr>
        <w:sectPr>
          <w:pgSz w:w="11910" w:h="16840"/>
          <w:pgMar w:header="0" w:footer="647" w:top="1060" w:bottom="840" w:left="0" w:right="0"/>
        </w:sectPr>
      </w:pPr>
    </w:p>
    <w:p>
      <w:pPr>
        <w:pStyle w:val="ListParagraph"/>
        <w:numPr>
          <w:ilvl w:val="0"/>
          <w:numId w:val="105"/>
        </w:numPr>
        <w:tabs>
          <w:tab w:pos="1814" w:val="left" w:leader="none"/>
          <w:tab w:pos="1815" w:val="left" w:leader="none"/>
        </w:tabs>
        <w:spacing w:line="235" w:lineRule="auto" w:before="107" w:after="0"/>
        <w:ind w:left="1814" w:right="1985" w:hanging="681"/>
        <w:jc w:val="left"/>
        <w:rPr>
          <w:sz w:val="20"/>
        </w:rPr>
      </w:pPr>
      <w:r>
        <w:rPr/>
        <w:pict>
          <v:rect style="position:absolute;margin-left:12.047pt;margin-top:8.477343pt;width:22.677pt;height:22.677pt;mso-position-horizontal-relative:page;mso-position-vertical-relative:paragraph;z-index:251929600" filled="true" fillcolor="#f9e9c1" stroked="false">
            <v:fill opacity="32768f" type="solid"/>
            <w10:wrap type="none"/>
          </v:rect>
        </w:pict>
      </w:r>
      <w:r>
        <w:rPr>
          <w:w w:val="120"/>
          <w:sz w:val="20"/>
        </w:rPr>
        <w:t>over time, withdraw from the provision of tied housing entirely, and instead invest the proceeds of sale in managed </w:t>
      </w:r>
      <w:r>
        <w:rPr>
          <w:spacing w:val="2"/>
          <w:w w:val="120"/>
          <w:sz w:val="20"/>
        </w:rPr>
        <w:t>property </w:t>
      </w:r>
      <w:r>
        <w:rPr>
          <w:w w:val="120"/>
          <w:sz w:val="20"/>
        </w:rPr>
        <w:t>funds, from which housing allowances would be paid to</w:t>
      </w:r>
      <w:r>
        <w:rPr>
          <w:spacing w:val="8"/>
          <w:w w:val="120"/>
          <w:sz w:val="20"/>
        </w:rPr>
        <w:t> </w:t>
      </w:r>
      <w:r>
        <w:rPr>
          <w:w w:val="120"/>
          <w:sz w:val="20"/>
        </w:rPr>
        <w:t>ministers;</w:t>
      </w:r>
    </w:p>
    <w:p>
      <w:pPr>
        <w:pStyle w:val="ListParagraph"/>
        <w:numPr>
          <w:ilvl w:val="0"/>
          <w:numId w:val="105"/>
        </w:numPr>
        <w:tabs>
          <w:tab w:pos="1814" w:val="left" w:leader="none"/>
          <w:tab w:pos="1815" w:val="left" w:leader="none"/>
        </w:tabs>
        <w:spacing w:line="235" w:lineRule="auto" w:before="2" w:after="0"/>
        <w:ind w:left="1814" w:right="2149" w:hanging="681"/>
        <w:jc w:val="left"/>
        <w:rPr>
          <w:sz w:val="20"/>
        </w:rPr>
      </w:pPr>
      <w:r>
        <w:rPr>
          <w:w w:val="120"/>
          <w:sz w:val="20"/>
        </w:rPr>
        <w:t>quantify the benefit represented by the manse, grossed up to allow for </w:t>
      </w:r>
      <w:r>
        <w:rPr>
          <w:spacing w:val="2"/>
          <w:w w:val="120"/>
          <w:sz w:val="20"/>
        </w:rPr>
        <w:t>tax </w:t>
      </w:r>
      <w:r>
        <w:rPr>
          <w:w w:val="120"/>
          <w:sz w:val="20"/>
        </w:rPr>
        <w:t>and National Insurance liability, which would be paid as a housing allowance, leaving the minister free to choose whatever accommodation he can</w:t>
      </w:r>
      <w:r>
        <w:rPr>
          <w:spacing w:val="4"/>
          <w:w w:val="120"/>
          <w:sz w:val="20"/>
        </w:rPr>
        <w:t> </w:t>
      </w:r>
      <w:r>
        <w:rPr>
          <w:w w:val="120"/>
          <w:sz w:val="20"/>
        </w:rPr>
        <w:t>afford;</w:t>
      </w:r>
    </w:p>
    <w:p>
      <w:pPr>
        <w:pStyle w:val="ListParagraph"/>
        <w:numPr>
          <w:ilvl w:val="0"/>
          <w:numId w:val="105"/>
        </w:numPr>
        <w:tabs>
          <w:tab w:pos="1814" w:val="left" w:leader="none"/>
          <w:tab w:pos="1815" w:val="left" w:leader="none"/>
        </w:tabs>
        <w:spacing w:line="235" w:lineRule="auto" w:before="3" w:after="0"/>
        <w:ind w:left="1814" w:right="2131" w:hanging="681"/>
        <w:jc w:val="left"/>
        <w:rPr>
          <w:sz w:val="20"/>
        </w:rPr>
      </w:pPr>
      <w:r>
        <w:rPr>
          <w:w w:val="120"/>
          <w:sz w:val="20"/>
        </w:rPr>
        <w:t>liquidate </w:t>
      </w:r>
      <w:r>
        <w:rPr>
          <w:spacing w:val="2"/>
          <w:w w:val="120"/>
          <w:sz w:val="20"/>
        </w:rPr>
        <w:t>part </w:t>
      </w:r>
      <w:r>
        <w:rPr>
          <w:w w:val="120"/>
          <w:sz w:val="20"/>
        </w:rPr>
        <w:t>of the stock of manses, to create a fund from which mortgages at preferential rates would be granted to those ministers who either already owned or who wished to acquire an interest in a</w:t>
      </w:r>
      <w:r>
        <w:rPr>
          <w:spacing w:val="19"/>
          <w:w w:val="120"/>
          <w:sz w:val="20"/>
        </w:rPr>
        <w:t> </w:t>
      </w:r>
      <w:r>
        <w:rPr>
          <w:w w:val="120"/>
          <w:sz w:val="20"/>
        </w:rPr>
        <w:t>property;</w:t>
      </w:r>
    </w:p>
    <w:p>
      <w:pPr>
        <w:pStyle w:val="ListParagraph"/>
        <w:numPr>
          <w:ilvl w:val="0"/>
          <w:numId w:val="105"/>
        </w:numPr>
        <w:tabs>
          <w:tab w:pos="1814" w:val="left" w:leader="none"/>
          <w:tab w:pos="1815" w:val="left" w:leader="none"/>
        </w:tabs>
        <w:spacing w:line="235" w:lineRule="auto" w:before="2" w:after="0"/>
        <w:ind w:left="1814" w:right="2449" w:hanging="681"/>
        <w:jc w:val="left"/>
        <w:rPr>
          <w:sz w:val="20"/>
        </w:rPr>
      </w:pPr>
      <w:r>
        <w:rPr>
          <w:w w:val="120"/>
          <w:sz w:val="20"/>
        </w:rPr>
        <w:t>establish some form of shared equity scheme between the denomination and those ministers who wish to</w:t>
      </w:r>
      <w:r>
        <w:rPr>
          <w:spacing w:val="9"/>
          <w:w w:val="120"/>
          <w:sz w:val="20"/>
        </w:rPr>
        <w:t> </w:t>
      </w:r>
      <w:r>
        <w:rPr>
          <w:w w:val="120"/>
          <w:sz w:val="20"/>
        </w:rPr>
        <w:t>participate.</w:t>
      </w:r>
    </w:p>
    <w:p>
      <w:pPr>
        <w:spacing w:before="215"/>
        <w:ind w:left="1133" w:right="0" w:firstLine="0"/>
        <w:jc w:val="left"/>
        <w:rPr>
          <w:rFonts w:ascii="Stone Sans II ITC Std Bk"/>
          <w:b/>
          <w:sz w:val="21"/>
        </w:rPr>
      </w:pPr>
      <w:r>
        <w:rPr>
          <w:rFonts w:ascii="Stone Sans II ITC Std Bk"/>
          <w:b/>
          <w:w w:val="115"/>
          <w:sz w:val="21"/>
        </w:rPr>
        <w:t>The present legal framework</w:t>
      </w:r>
    </w:p>
    <w:p>
      <w:pPr>
        <w:pStyle w:val="ListParagraph"/>
        <w:numPr>
          <w:ilvl w:val="0"/>
          <w:numId w:val="104"/>
        </w:numPr>
        <w:tabs>
          <w:tab w:pos="1814" w:val="left" w:leader="none"/>
          <w:tab w:pos="1815" w:val="left" w:leader="none"/>
        </w:tabs>
        <w:spacing w:line="240" w:lineRule="auto" w:before="209" w:after="0"/>
        <w:ind w:left="1814" w:right="0" w:hanging="682"/>
        <w:jc w:val="left"/>
        <w:rPr>
          <w:sz w:val="21"/>
        </w:rPr>
      </w:pPr>
      <w:r>
        <w:rPr>
          <w:w w:val="120"/>
          <w:sz w:val="20"/>
        </w:rPr>
        <w:t>Section 8 </w:t>
      </w:r>
      <w:r>
        <w:rPr>
          <w:spacing w:val="-11"/>
          <w:w w:val="120"/>
          <w:sz w:val="20"/>
        </w:rPr>
        <w:t>(1) </w:t>
      </w:r>
      <w:r>
        <w:rPr>
          <w:w w:val="120"/>
          <w:sz w:val="20"/>
        </w:rPr>
        <w:t>of the </w:t>
      </w:r>
      <w:r>
        <w:rPr>
          <w:w w:val="120"/>
          <w:sz w:val="20"/>
          <w:u w:val="single"/>
        </w:rPr>
        <w:t>United Reformed Church Act</w:t>
      </w:r>
      <w:r>
        <w:rPr>
          <w:w w:val="120"/>
          <w:sz w:val="20"/>
        </w:rPr>
        <w:t> </w:t>
      </w:r>
      <w:r>
        <w:rPr>
          <w:spacing w:val="-7"/>
          <w:w w:val="120"/>
          <w:sz w:val="20"/>
        </w:rPr>
        <w:t>1972 </w:t>
      </w:r>
      <w:r>
        <w:rPr>
          <w:w w:val="120"/>
          <w:sz w:val="20"/>
        </w:rPr>
        <w:t>provides</w:t>
      </w:r>
      <w:r>
        <w:rPr>
          <w:spacing w:val="13"/>
          <w:w w:val="120"/>
          <w:sz w:val="20"/>
        </w:rPr>
        <w:t> </w:t>
      </w:r>
      <w:r>
        <w:rPr>
          <w:w w:val="120"/>
          <w:sz w:val="20"/>
        </w:rPr>
        <w:t>that:</w:t>
      </w:r>
    </w:p>
    <w:p>
      <w:pPr>
        <w:pStyle w:val="BodyText"/>
        <w:spacing w:before="11"/>
        <w:rPr>
          <w:sz w:val="19"/>
        </w:rPr>
      </w:pPr>
    </w:p>
    <w:p>
      <w:pPr>
        <w:spacing w:line="213" w:lineRule="auto" w:before="0"/>
        <w:ind w:left="1133" w:right="2305" w:firstLine="0"/>
        <w:jc w:val="left"/>
        <w:rPr>
          <w:sz w:val="20"/>
        </w:rPr>
      </w:pPr>
      <w:r>
        <w:rPr>
          <w:spacing w:val="-3"/>
          <w:w w:val="115"/>
          <w:sz w:val="20"/>
        </w:rPr>
        <w:t>‘</w:t>
      </w:r>
      <w:r>
        <w:rPr>
          <w:rFonts w:ascii="Stone Sans II ITC Std Bk" w:hAnsi="Stone Sans II ITC Std Bk"/>
          <w:b/>
          <w:spacing w:val="-3"/>
          <w:w w:val="115"/>
          <w:sz w:val="20"/>
        </w:rPr>
        <w:t>all</w:t>
      </w:r>
      <w:r>
        <w:rPr>
          <w:rFonts w:ascii="Stone Sans II ITC Std Bk" w:hAnsi="Stone Sans II ITC Std Bk"/>
          <w:b/>
          <w:spacing w:val="-19"/>
          <w:w w:val="115"/>
          <w:sz w:val="20"/>
        </w:rPr>
        <w:t> </w:t>
      </w:r>
      <w:r>
        <w:rPr>
          <w:rFonts w:ascii="Stone Sans II ITC Std Bk" w:hAnsi="Stone Sans II ITC Std Bk"/>
          <w:b/>
          <w:w w:val="115"/>
          <w:sz w:val="20"/>
        </w:rPr>
        <w:t>land</w:t>
      </w:r>
      <w:r>
        <w:rPr>
          <w:rFonts w:ascii="Stone Sans II ITC Std Bk" w:hAnsi="Stone Sans II ITC Std Bk"/>
          <w:b/>
          <w:spacing w:val="-18"/>
          <w:w w:val="115"/>
          <w:sz w:val="20"/>
        </w:rPr>
        <w:t> </w:t>
      </w:r>
      <w:r>
        <w:rPr>
          <w:rFonts w:ascii="Stone Sans II ITC Std Bk" w:hAnsi="Stone Sans II ITC Std Bk"/>
          <w:b/>
          <w:w w:val="115"/>
          <w:sz w:val="20"/>
        </w:rPr>
        <w:t>which</w:t>
      </w:r>
      <w:r>
        <w:rPr>
          <w:rFonts w:ascii="Stone Sans II ITC Std Bk" w:hAnsi="Stone Sans II ITC Std Bk"/>
          <w:b/>
          <w:spacing w:val="-19"/>
          <w:w w:val="115"/>
          <w:sz w:val="20"/>
        </w:rPr>
        <w:t> </w:t>
      </w:r>
      <w:r>
        <w:rPr>
          <w:rFonts w:ascii="Stone Sans II ITC Std Bk" w:hAnsi="Stone Sans II ITC Std Bk"/>
          <w:b/>
          <w:w w:val="115"/>
          <w:sz w:val="20"/>
        </w:rPr>
        <w:t>immediately</w:t>
      </w:r>
      <w:r>
        <w:rPr>
          <w:rFonts w:ascii="Stone Sans II ITC Std Bk" w:hAnsi="Stone Sans II ITC Std Bk"/>
          <w:b/>
          <w:spacing w:val="-18"/>
          <w:w w:val="115"/>
          <w:sz w:val="20"/>
        </w:rPr>
        <w:t> </w:t>
      </w:r>
      <w:r>
        <w:rPr>
          <w:rFonts w:ascii="Stone Sans II ITC Std Bk" w:hAnsi="Stone Sans II ITC Std Bk"/>
          <w:b/>
          <w:w w:val="115"/>
          <w:sz w:val="20"/>
        </w:rPr>
        <w:t>before</w:t>
      </w:r>
      <w:r>
        <w:rPr>
          <w:rFonts w:ascii="Stone Sans II ITC Std Bk" w:hAnsi="Stone Sans II ITC Std Bk"/>
          <w:b/>
          <w:spacing w:val="-18"/>
          <w:w w:val="115"/>
          <w:sz w:val="20"/>
        </w:rPr>
        <w:t> </w:t>
      </w:r>
      <w:r>
        <w:rPr>
          <w:rFonts w:ascii="Stone Sans II ITC Std Bk" w:hAnsi="Stone Sans II ITC Std Bk"/>
          <w:b/>
          <w:w w:val="115"/>
          <w:sz w:val="20"/>
        </w:rPr>
        <w:t>the</w:t>
      </w:r>
      <w:r>
        <w:rPr>
          <w:rFonts w:ascii="Stone Sans II ITC Std Bk" w:hAnsi="Stone Sans II ITC Std Bk"/>
          <w:b/>
          <w:spacing w:val="-19"/>
          <w:w w:val="115"/>
          <w:sz w:val="20"/>
        </w:rPr>
        <w:t> </w:t>
      </w:r>
      <w:r>
        <w:rPr>
          <w:rFonts w:ascii="Stone Sans II ITC Std Bk" w:hAnsi="Stone Sans II ITC Std Bk"/>
          <w:b/>
          <w:w w:val="115"/>
          <w:sz w:val="20"/>
        </w:rPr>
        <w:t>date</w:t>
      </w:r>
      <w:r>
        <w:rPr>
          <w:rFonts w:ascii="Stone Sans II ITC Std Bk" w:hAnsi="Stone Sans II ITC Std Bk"/>
          <w:b/>
          <w:spacing w:val="-18"/>
          <w:w w:val="115"/>
          <w:sz w:val="20"/>
        </w:rPr>
        <w:t> </w:t>
      </w:r>
      <w:r>
        <w:rPr>
          <w:rFonts w:ascii="Stone Sans II ITC Std Bk" w:hAnsi="Stone Sans II ITC Std Bk"/>
          <w:b/>
          <w:w w:val="115"/>
          <w:sz w:val="20"/>
        </w:rPr>
        <w:t>of</w:t>
      </w:r>
      <w:r>
        <w:rPr>
          <w:rFonts w:ascii="Stone Sans II ITC Std Bk" w:hAnsi="Stone Sans II ITC Std Bk"/>
          <w:b/>
          <w:spacing w:val="-18"/>
          <w:w w:val="115"/>
          <w:sz w:val="20"/>
        </w:rPr>
        <w:t> </w:t>
      </w:r>
      <w:r>
        <w:rPr>
          <w:rFonts w:ascii="Stone Sans II ITC Std Bk" w:hAnsi="Stone Sans II ITC Std Bk"/>
          <w:b/>
          <w:w w:val="115"/>
          <w:sz w:val="20"/>
        </w:rPr>
        <w:t>formation</w:t>
      </w:r>
      <w:r>
        <w:rPr>
          <w:rFonts w:ascii="Stone Sans II ITC Std Bk" w:hAnsi="Stone Sans II ITC Std Bk"/>
          <w:b/>
          <w:spacing w:val="-19"/>
          <w:w w:val="115"/>
          <w:sz w:val="20"/>
        </w:rPr>
        <w:t> </w:t>
      </w:r>
      <w:r>
        <w:rPr>
          <w:rFonts w:ascii="Stone Sans II ITC Std Bk" w:hAnsi="Stone Sans II ITC Std Bk"/>
          <w:b/>
          <w:w w:val="115"/>
          <w:sz w:val="20"/>
        </w:rPr>
        <w:t>is</w:t>
      </w:r>
      <w:r>
        <w:rPr>
          <w:rFonts w:ascii="Stone Sans II ITC Std Bk" w:hAnsi="Stone Sans II ITC Std Bk"/>
          <w:b/>
          <w:spacing w:val="-18"/>
          <w:w w:val="115"/>
          <w:sz w:val="20"/>
        </w:rPr>
        <w:t> </w:t>
      </w:r>
      <w:r>
        <w:rPr>
          <w:rFonts w:ascii="Stone Sans II ITC Std Bk" w:hAnsi="Stone Sans II ITC Std Bk"/>
          <w:b/>
          <w:w w:val="115"/>
          <w:sz w:val="20"/>
        </w:rPr>
        <w:t>held</w:t>
      </w:r>
      <w:r>
        <w:rPr>
          <w:rFonts w:ascii="Stone Sans II ITC Std Bk" w:hAnsi="Stone Sans II ITC Std Bk"/>
          <w:b/>
          <w:spacing w:val="-19"/>
          <w:w w:val="115"/>
          <w:sz w:val="20"/>
        </w:rPr>
        <w:t> </w:t>
      </w:r>
      <w:r>
        <w:rPr>
          <w:rFonts w:ascii="Stone Sans II ITC Std Bk" w:hAnsi="Stone Sans II ITC Std Bk"/>
          <w:b/>
          <w:w w:val="115"/>
          <w:sz w:val="20"/>
        </w:rPr>
        <w:t>on</w:t>
      </w:r>
      <w:r>
        <w:rPr>
          <w:rFonts w:ascii="Stone Sans II ITC Std Bk" w:hAnsi="Stone Sans II ITC Std Bk"/>
          <w:b/>
          <w:spacing w:val="-18"/>
          <w:w w:val="115"/>
          <w:sz w:val="20"/>
        </w:rPr>
        <w:t> </w:t>
      </w:r>
      <w:r>
        <w:rPr>
          <w:rFonts w:ascii="Stone Sans II ITC Std Bk" w:hAnsi="Stone Sans II ITC Std Bk"/>
          <w:b/>
          <w:w w:val="115"/>
          <w:sz w:val="20"/>
        </w:rPr>
        <w:t>trust</w:t>
      </w:r>
      <w:r>
        <w:rPr>
          <w:rFonts w:ascii="Stone Sans II ITC Std Bk" w:hAnsi="Stone Sans II ITC Std Bk"/>
          <w:b/>
          <w:spacing w:val="-18"/>
          <w:w w:val="115"/>
          <w:sz w:val="20"/>
        </w:rPr>
        <w:t> </w:t>
      </w:r>
      <w:r>
        <w:rPr>
          <w:rFonts w:ascii="Stone Sans II ITC Std Bk" w:hAnsi="Stone Sans II ITC Std Bk"/>
          <w:b/>
          <w:w w:val="115"/>
          <w:sz w:val="20"/>
        </w:rPr>
        <w:t>for</w:t>
      </w:r>
      <w:r>
        <w:rPr>
          <w:rFonts w:ascii="Stone Sans II ITC Std Bk" w:hAnsi="Stone Sans II ITC Std Bk"/>
          <w:b/>
          <w:spacing w:val="-20"/>
          <w:w w:val="115"/>
          <w:sz w:val="20"/>
        </w:rPr>
        <w:t> </w:t>
      </w:r>
      <w:r>
        <w:rPr>
          <w:w w:val="115"/>
          <w:sz w:val="20"/>
        </w:rPr>
        <w:t>or for the purposes of or in connection with </w:t>
      </w:r>
      <w:r>
        <w:rPr>
          <w:rFonts w:ascii="Stone Sans II ITC Std Bk" w:hAnsi="Stone Sans II ITC Std Bk"/>
          <w:b/>
          <w:w w:val="115"/>
          <w:sz w:val="20"/>
        </w:rPr>
        <w:t>a uniting church </w:t>
      </w:r>
      <w:r>
        <w:rPr>
          <w:w w:val="115"/>
          <w:sz w:val="20"/>
        </w:rPr>
        <w:t>(whether alone or jointly   with one or more other uniting churches or uniting congregations) </w:t>
      </w:r>
      <w:r>
        <w:rPr>
          <w:rFonts w:ascii="Stone Sans II ITC Std Bk" w:hAnsi="Stone Sans II ITC Std Bk"/>
          <w:b/>
          <w:w w:val="115"/>
          <w:sz w:val="20"/>
        </w:rPr>
        <w:t>or a uniting</w:t>
      </w:r>
      <w:r>
        <w:rPr>
          <w:rFonts w:ascii="Stone Sans II ITC Std Bk" w:hAnsi="Stone Sans II ITC Std Bk"/>
          <w:b/>
          <w:spacing w:val="60"/>
          <w:w w:val="115"/>
          <w:sz w:val="20"/>
        </w:rPr>
        <w:t> </w:t>
      </w:r>
      <w:r>
        <w:rPr>
          <w:rFonts w:ascii="Stone Sans II ITC Std Bk" w:hAnsi="Stone Sans II ITC Std Bk"/>
          <w:b/>
          <w:w w:val="115"/>
          <w:sz w:val="20"/>
        </w:rPr>
        <w:t>congregation </w:t>
      </w:r>
      <w:r>
        <w:rPr>
          <w:w w:val="115"/>
          <w:sz w:val="20"/>
        </w:rPr>
        <w:t>(whether alone or jointly with one or more other uniting congregations) </w:t>
      </w:r>
      <w:r>
        <w:rPr>
          <w:rFonts w:ascii="Stone Sans II ITC Std Bk" w:hAnsi="Stone Sans II ITC Std Bk"/>
          <w:b/>
          <w:w w:val="115"/>
          <w:sz w:val="20"/>
        </w:rPr>
        <w:t>shall on or from that date</w:t>
      </w:r>
      <w:r>
        <w:rPr>
          <w:w w:val="115"/>
          <w:sz w:val="20"/>
        </w:rPr>
        <w:t>, and in accordance with the following provisions of this section, </w:t>
      </w:r>
      <w:r>
        <w:rPr>
          <w:rFonts w:ascii="Stone Sans II ITC Std Bk" w:hAnsi="Stone Sans II ITC Std Bk"/>
          <w:b/>
          <w:w w:val="115"/>
          <w:sz w:val="20"/>
        </w:rPr>
        <w:t>be held in trust for </w:t>
      </w:r>
      <w:r>
        <w:rPr>
          <w:w w:val="115"/>
          <w:sz w:val="20"/>
        </w:rPr>
        <w:t>or </w:t>
      </w:r>
      <w:r>
        <w:rPr>
          <w:spacing w:val="-6"/>
          <w:w w:val="115"/>
          <w:sz w:val="20"/>
        </w:rPr>
        <w:t>(as </w:t>
      </w:r>
      <w:r>
        <w:rPr>
          <w:w w:val="115"/>
          <w:sz w:val="20"/>
        </w:rPr>
        <w:t>the case may </w:t>
      </w:r>
      <w:r>
        <w:rPr>
          <w:spacing w:val="-5"/>
          <w:w w:val="115"/>
          <w:sz w:val="20"/>
        </w:rPr>
        <w:t>be) </w:t>
      </w:r>
      <w:r>
        <w:rPr>
          <w:w w:val="115"/>
          <w:sz w:val="20"/>
        </w:rPr>
        <w:t>for equivalent purposes of or in connection</w:t>
      </w:r>
      <w:r>
        <w:rPr>
          <w:spacing w:val="-2"/>
          <w:w w:val="115"/>
          <w:sz w:val="20"/>
        </w:rPr>
        <w:t> </w:t>
      </w:r>
      <w:r>
        <w:rPr>
          <w:w w:val="115"/>
          <w:sz w:val="20"/>
        </w:rPr>
        <w:t>with</w:t>
      </w:r>
      <w:r>
        <w:rPr>
          <w:spacing w:val="-2"/>
          <w:w w:val="115"/>
          <w:sz w:val="20"/>
        </w:rPr>
        <w:t> </w:t>
      </w:r>
      <w:r>
        <w:rPr>
          <w:rFonts w:ascii="Stone Sans II ITC Std Bk" w:hAnsi="Stone Sans II ITC Std Bk"/>
          <w:b/>
          <w:w w:val="115"/>
          <w:sz w:val="20"/>
        </w:rPr>
        <w:t>the</w:t>
      </w:r>
      <w:r>
        <w:rPr>
          <w:rFonts w:ascii="Stone Sans II ITC Std Bk" w:hAnsi="Stone Sans II ITC Std Bk"/>
          <w:b/>
          <w:spacing w:val="-9"/>
          <w:w w:val="115"/>
          <w:sz w:val="20"/>
        </w:rPr>
        <w:t> </w:t>
      </w:r>
      <w:r>
        <w:rPr>
          <w:rFonts w:ascii="Stone Sans II ITC Std Bk" w:hAnsi="Stone Sans II ITC Std Bk"/>
          <w:b/>
          <w:w w:val="115"/>
          <w:sz w:val="20"/>
        </w:rPr>
        <w:t>uniting</w:t>
      </w:r>
      <w:r>
        <w:rPr>
          <w:rFonts w:ascii="Stone Sans II ITC Std Bk" w:hAnsi="Stone Sans II ITC Std Bk"/>
          <w:b/>
          <w:spacing w:val="-9"/>
          <w:w w:val="115"/>
          <w:sz w:val="20"/>
        </w:rPr>
        <w:t> </w:t>
      </w:r>
      <w:r>
        <w:rPr>
          <w:rFonts w:ascii="Stone Sans II ITC Std Bk" w:hAnsi="Stone Sans II ITC Std Bk"/>
          <w:b/>
          <w:w w:val="115"/>
          <w:sz w:val="20"/>
        </w:rPr>
        <w:t>church</w:t>
      </w:r>
      <w:r>
        <w:rPr>
          <w:rFonts w:ascii="Stone Sans II ITC Std Bk" w:hAnsi="Stone Sans II ITC Std Bk"/>
          <w:b/>
          <w:spacing w:val="-8"/>
          <w:w w:val="115"/>
          <w:sz w:val="20"/>
        </w:rPr>
        <w:t> </w:t>
      </w:r>
      <w:r>
        <w:rPr>
          <w:rFonts w:ascii="Stone Sans II ITC Std Bk" w:hAnsi="Stone Sans II ITC Std Bk"/>
          <w:b/>
          <w:w w:val="115"/>
          <w:sz w:val="20"/>
        </w:rPr>
        <w:t>or</w:t>
      </w:r>
      <w:r>
        <w:rPr>
          <w:rFonts w:ascii="Stone Sans II ITC Std Bk" w:hAnsi="Stone Sans II ITC Std Bk"/>
          <w:b/>
          <w:spacing w:val="-9"/>
          <w:w w:val="115"/>
          <w:sz w:val="20"/>
        </w:rPr>
        <w:t> </w:t>
      </w:r>
      <w:r>
        <w:rPr>
          <w:rFonts w:ascii="Stone Sans II ITC Std Bk" w:hAnsi="Stone Sans II ITC Std Bk"/>
          <w:b/>
          <w:w w:val="115"/>
          <w:sz w:val="20"/>
        </w:rPr>
        <w:t>uniting</w:t>
      </w:r>
      <w:r>
        <w:rPr>
          <w:rFonts w:ascii="Stone Sans II ITC Std Bk" w:hAnsi="Stone Sans II ITC Std Bk"/>
          <w:b/>
          <w:spacing w:val="-9"/>
          <w:w w:val="115"/>
          <w:sz w:val="20"/>
        </w:rPr>
        <w:t> </w:t>
      </w:r>
      <w:r>
        <w:rPr>
          <w:rFonts w:ascii="Stone Sans II ITC Std Bk" w:hAnsi="Stone Sans II ITC Std Bk"/>
          <w:b/>
          <w:w w:val="115"/>
          <w:sz w:val="20"/>
        </w:rPr>
        <w:t>congregation</w:t>
      </w:r>
      <w:r>
        <w:rPr>
          <w:rFonts w:ascii="Stone Sans II ITC Std Bk" w:hAnsi="Stone Sans II ITC Std Bk"/>
          <w:b/>
          <w:spacing w:val="-9"/>
          <w:w w:val="115"/>
          <w:sz w:val="20"/>
        </w:rPr>
        <w:t> </w:t>
      </w:r>
      <w:r>
        <w:rPr>
          <w:rFonts w:ascii="Stone Sans II ITC Std Bk" w:hAnsi="Stone Sans II ITC Std Bk"/>
          <w:b/>
          <w:w w:val="115"/>
          <w:sz w:val="20"/>
        </w:rPr>
        <w:t>in</w:t>
      </w:r>
      <w:r>
        <w:rPr>
          <w:rFonts w:ascii="Stone Sans II ITC Std Bk" w:hAnsi="Stone Sans II ITC Std Bk"/>
          <w:b/>
          <w:spacing w:val="-9"/>
          <w:w w:val="115"/>
          <w:sz w:val="20"/>
        </w:rPr>
        <w:t> </w:t>
      </w:r>
      <w:r>
        <w:rPr>
          <w:rFonts w:ascii="Stone Sans II ITC Std Bk" w:hAnsi="Stone Sans II ITC Std Bk"/>
          <w:b/>
          <w:w w:val="115"/>
          <w:sz w:val="20"/>
        </w:rPr>
        <w:t>question.</w:t>
      </w:r>
      <w:r>
        <w:rPr>
          <w:w w:val="115"/>
          <w:sz w:val="20"/>
        </w:rPr>
        <w:t>’</w:t>
      </w:r>
    </w:p>
    <w:p>
      <w:pPr>
        <w:pStyle w:val="BodyText"/>
        <w:rPr>
          <w:sz w:val="18"/>
        </w:rPr>
      </w:pPr>
    </w:p>
    <w:p>
      <w:pPr>
        <w:pStyle w:val="ListParagraph"/>
        <w:numPr>
          <w:ilvl w:val="0"/>
          <w:numId w:val="104"/>
        </w:numPr>
        <w:tabs>
          <w:tab w:pos="1814" w:val="left" w:leader="none"/>
          <w:tab w:pos="1815" w:val="left" w:leader="none"/>
        </w:tabs>
        <w:spacing w:line="235" w:lineRule="auto" w:before="1" w:after="0"/>
        <w:ind w:left="1133" w:right="2116" w:hanging="1"/>
        <w:jc w:val="left"/>
        <w:rPr>
          <w:sz w:val="21"/>
        </w:rPr>
      </w:pPr>
      <w:r>
        <w:rPr>
          <w:w w:val="120"/>
          <w:sz w:val="20"/>
        </w:rPr>
        <w:t>It is unfortunate that this section is no longer reproduced in the Manual, because it makes clear that, so long as the local congregation continues, the </w:t>
      </w:r>
      <w:r>
        <w:rPr>
          <w:spacing w:val="2"/>
          <w:w w:val="120"/>
          <w:sz w:val="20"/>
        </w:rPr>
        <w:t>property </w:t>
      </w:r>
      <w:r>
        <w:rPr>
          <w:w w:val="120"/>
          <w:sz w:val="20"/>
        </w:rPr>
        <w:t>is held for its benefit, and not for the general benefit of the denomination. Neither the trustees  nor synods are entitled to deal with the manse except in accordance with the</w:t>
      </w:r>
      <w:r>
        <w:rPr>
          <w:spacing w:val="27"/>
          <w:w w:val="120"/>
          <w:sz w:val="20"/>
        </w:rPr>
        <w:t> </w:t>
      </w:r>
      <w:r>
        <w:rPr>
          <w:w w:val="120"/>
          <w:sz w:val="20"/>
        </w:rPr>
        <w:t>wishes</w:t>
      </w:r>
    </w:p>
    <w:p>
      <w:pPr>
        <w:pStyle w:val="BodyText"/>
        <w:spacing w:line="235" w:lineRule="auto"/>
        <w:ind w:left="1133" w:right="2004"/>
      </w:pPr>
      <w:r>
        <w:rPr>
          <w:w w:val="120"/>
        </w:rPr>
        <w:t>of the local congregation (although the church meeting in reaching its decision must  have regard to any recommendations of other councils of the </w:t>
      </w:r>
      <w:r>
        <w:rPr>
          <w:spacing w:val="-4"/>
          <w:w w:val="120"/>
        </w:rPr>
        <w:t>church). </w:t>
      </w:r>
      <w:r>
        <w:rPr>
          <w:w w:val="120"/>
        </w:rPr>
        <w:t>This is the case regardless of the superior wisdom of those who can always find a better use for someone </w:t>
      </w:r>
      <w:r>
        <w:rPr>
          <w:spacing w:val="-4"/>
          <w:w w:val="120"/>
        </w:rPr>
        <w:t>else’s </w:t>
      </w:r>
      <w:r>
        <w:rPr>
          <w:w w:val="120"/>
        </w:rPr>
        <w:t>money, or the advantages that might accrue to the denomination if the local  church chose a different</w:t>
      </w:r>
      <w:r>
        <w:rPr>
          <w:spacing w:val="7"/>
          <w:w w:val="120"/>
        </w:rPr>
        <w:t> </w:t>
      </w:r>
      <w:r>
        <w:rPr>
          <w:w w:val="120"/>
        </w:rPr>
        <w:t>course.</w:t>
      </w:r>
    </w:p>
    <w:p>
      <w:pPr>
        <w:pStyle w:val="BodyText"/>
        <w:spacing w:before="9"/>
        <w:rPr>
          <w:sz w:val="17"/>
        </w:rPr>
      </w:pPr>
    </w:p>
    <w:p>
      <w:pPr>
        <w:spacing w:before="1"/>
        <w:ind w:left="1133" w:right="0" w:firstLine="0"/>
        <w:jc w:val="left"/>
        <w:rPr>
          <w:rFonts w:ascii="Stone Sans II ITC Std Bk"/>
          <w:b/>
          <w:sz w:val="21"/>
        </w:rPr>
      </w:pPr>
      <w:r>
        <w:rPr>
          <w:rFonts w:ascii="Stone Sans II ITC Std Bk"/>
          <w:b/>
          <w:w w:val="115"/>
          <w:sz w:val="21"/>
        </w:rPr>
        <w:t>The case for change</w:t>
      </w:r>
    </w:p>
    <w:p>
      <w:pPr>
        <w:pStyle w:val="ListParagraph"/>
        <w:numPr>
          <w:ilvl w:val="0"/>
          <w:numId w:val="104"/>
        </w:numPr>
        <w:tabs>
          <w:tab w:pos="1814" w:val="left" w:leader="none"/>
          <w:tab w:pos="1815" w:val="left" w:leader="none"/>
        </w:tabs>
        <w:spacing w:line="232" w:lineRule="auto" w:before="215" w:after="0"/>
        <w:ind w:left="1133" w:right="2642" w:hanging="1"/>
        <w:jc w:val="left"/>
        <w:rPr>
          <w:sz w:val="21"/>
        </w:rPr>
      </w:pPr>
      <w:r>
        <w:rPr>
          <w:w w:val="120"/>
          <w:sz w:val="20"/>
        </w:rPr>
        <w:t>The concerns identified as the background to the setting up of the previous working </w:t>
      </w:r>
      <w:r>
        <w:rPr>
          <w:spacing w:val="2"/>
          <w:w w:val="120"/>
          <w:sz w:val="20"/>
        </w:rPr>
        <w:t>party</w:t>
      </w:r>
      <w:r>
        <w:rPr>
          <w:spacing w:val="4"/>
          <w:w w:val="120"/>
          <w:sz w:val="20"/>
        </w:rPr>
        <w:t> </w:t>
      </w:r>
      <w:r>
        <w:rPr>
          <w:w w:val="120"/>
          <w:sz w:val="20"/>
        </w:rPr>
        <w:t>were:</w:t>
      </w:r>
    </w:p>
    <w:p>
      <w:pPr>
        <w:pStyle w:val="ListParagraph"/>
        <w:numPr>
          <w:ilvl w:val="0"/>
          <w:numId w:val="107"/>
        </w:numPr>
        <w:tabs>
          <w:tab w:pos="1814" w:val="left" w:leader="none"/>
          <w:tab w:pos="1815" w:val="left" w:leader="none"/>
        </w:tabs>
        <w:spacing w:line="235" w:lineRule="auto" w:before="2" w:after="0"/>
        <w:ind w:left="1814" w:right="2067" w:hanging="681"/>
        <w:jc w:val="left"/>
        <w:rPr>
          <w:sz w:val="20"/>
        </w:rPr>
      </w:pPr>
      <w:r>
        <w:rPr>
          <w:w w:val="120"/>
          <w:sz w:val="20"/>
        </w:rPr>
        <w:t>the financial costs of providing retired ministers’ housing to those who would not otherwise be adequately housed in</w:t>
      </w:r>
      <w:r>
        <w:rPr>
          <w:spacing w:val="10"/>
          <w:w w:val="120"/>
          <w:sz w:val="20"/>
        </w:rPr>
        <w:t> </w:t>
      </w:r>
      <w:r>
        <w:rPr>
          <w:w w:val="120"/>
          <w:sz w:val="20"/>
        </w:rPr>
        <w:t>retirement;</w:t>
      </w:r>
    </w:p>
    <w:p>
      <w:pPr>
        <w:pStyle w:val="ListParagraph"/>
        <w:numPr>
          <w:ilvl w:val="0"/>
          <w:numId w:val="107"/>
        </w:numPr>
        <w:tabs>
          <w:tab w:pos="1814" w:val="left" w:leader="none"/>
          <w:tab w:pos="1815" w:val="left" w:leader="none"/>
        </w:tabs>
        <w:spacing w:line="235" w:lineRule="auto" w:before="1" w:after="0"/>
        <w:ind w:left="1814" w:right="2165" w:hanging="681"/>
        <w:jc w:val="left"/>
        <w:rPr>
          <w:sz w:val="20"/>
        </w:rPr>
      </w:pPr>
      <w:r>
        <w:rPr>
          <w:w w:val="120"/>
          <w:sz w:val="20"/>
        </w:rPr>
        <w:t>‘trapped ministers’ that is those who have lost their sense of vocation and would choose to leave the ministry if it were not for the </w:t>
      </w:r>
      <w:r>
        <w:rPr>
          <w:spacing w:val="2"/>
          <w:w w:val="120"/>
          <w:sz w:val="20"/>
        </w:rPr>
        <w:t>fact </w:t>
      </w:r>
      <w:r>
        <w:rPr>
          <w:w w:val="120"/>
          <w:sz w:val="20"/>
        </w:rPr>
        <w:t>that it would make their family</w:t>
      </w:r>
      <w:r>
        <w:rPr>
          <w:spacing w:val="1"/>
          <w:w w:val="120"/>
          <w:sz w:val="20"/>
        </w:rPr>
        <w:t> </w:t>
      </w:r>
      <w:r>
        <w:rPr>
          <w:w w:val="120"/>
          <w:sz w:val="20"/>
        </w:rPr>
        <w:t>homeless.</w:t>
      </w:r>
    </w:p>
    <w:p>
      <w:pPr>
        <w:pStyle w:val="BodyText"/>
        <w:spacing w:before="1"/>
        <w:rPr>
          <w:sz w:val="19"/>
        </w:rPr>
      </w:pPr>
    </w:p>
    <w:p>
      <w:pPr>
        <w:pStyle w:val="ListParagraph"/>
        <w:numPr>
          <w:ilvl w:val="0"/>
          <w:numId w:val="104"/>
        </w:numPr>
        <w:tabs>
          <w:tab w:pos="1814" w:val="left" w:leader="none"/>
          <w:tab w:pos="1815" w:val="left" w:leader="none"/>
        </w:tabs>
        <w:spacing w:line="235" w:lineRule="auto" w:before="0" w:after="0"/>
        <w:ind w:left="1133" w:right="2262" w:hanging="1"/>
        <w:jc w:val="left"/>
        <w:rPr>
          <w:sz w:val="21"/>
        </w:rPr>
      </w:pPr>
      <w:r>
        <w:rPr>
          <w:w w:val="120"/>
          <w:sz w:val="20"/>
        </w:rPr>
        <w:t>The Retired Ministers’ Housing Society faces a typical shortfall of one or two houses per </w:t>
      </w:r>
      <w:r>
        <w:rPr>
          <w:spacing w:val="-4"/>
          <w:w w:val="120"/>
          <w:sz w:val="20"/>
        </w:rPr>
        <w:t>year, </w:t>
      </w:r>
      <w:r>
        <w:rPr>
          <w:w w:val="120"/>
          <w:sz w:val="20"/>
        </w:rPr>
        <w:t>with a larger prospective gap in several of the years over the next decade because over half of the ministers currently in service are due to retire in the next ten years. Thereafter the problem will probably resolve, as numbers become more manageable. None of the possible changes to the manse system which might be introduced is likely to deliver the </w:t>
      </w:r>
      <w:r>
        <w:rPr>
          <w:spacing w:val="2"/>
          <w:w w:val="120"/>
          <w:sz w:val="20"/>
        </w:rPr>
        <w:t>sort </w:t>
      </w:r>
      <w:r>
        <w:rPr>
          <w:w w:val="120"/>
          <w:sz w:val="20"/>
        </w:rPr>
        <w:t>of funds necessary to meet the shortfall within ten years. Most synods have responded generously to the </w:t>
      </w:r>
      <w:r>
        <w:rPr>
          <w:spacing w:val="-3"/>
          <w:w w:val="120"/>
          <w:sz w:val="20"/>
        </w:rPr>
        <w:t>RMHS’s </w:t>
      </w:r>
      <w:r>
        <w:rPr>
          <w:w w:val="120"/>
          <w:sz w:val="20"/>
        </w:rPr>
        <w:t>appeals for financial support, and have so far given or pledged over </w:t>
      </w:r>
      <w:r>
        <w:rPr>
          <w:spacing w:val="-5"/>
          <w:w w:val="120"/>
          <w:sz w:val="20"/>
        </w:rPr>
        <w:t>£1m. </w:t>
      </w:r>
      <w:r>
        <w:rPr>
          <w:w w:val="120"/>
          <w:sz w:val="20"/>
        </w:rPr>
        <w:t>We consider that they should be encouraged to maintain this support in the</w:t>
      </w:r>
      <w:r>
        <w:rPr>
          <w:spacing w:val="15"/>
          <w:w w:val="120"/>
          <w:sz w:val="20"/>
        </w:rPr>
        <w:t> </w:t>
      </w:r>
      <w:r>
        <w:rPr>
          <w:w w:val="120"/>
          <w:sz w:val="20"/>
        </w:rPr>
        <w:t>future.</w:t>
      </w:r>
    </w:p>
    <w:p>
      <w:pPr>
        <w:pStyle w:val="BodyText"/>
        <w:spacing w:before="3"/>
        <w:rPr>
          <w:sz w:val="19"/>
        </w:rPr>
      </w:pPr>
    </w:p>
    <w:p>
      <w:pPr>
        <w:pStyle w:val="ListParagraph"/>
        <w:numPr>
          <w:ilvl w:val="0"/>
          <w:numId w:val="104"/>
        </w:numPr>
        <w:tabs>
          <w:tab w:pos="1814" w:val="left" w:leader="none"/>
          <w:tab w:pos="1815" w:val="left" w:leader="none"/>
        </w:tabs>
        <w:spacing w:line="235" w:lineRule="auto" w:before="0" w:after="0"/>
        <w:ind w:left="1133" w:right="2059" w:hanging="1"/>
        <w:jc w:val="left"/>
        <w:rPr>
          <w:sz w:val="21"/>
        </w:rPr>
      </w:pPr>
      <w:r>
        <w:rPr>
          <w:w w:val="120"/>
          <w:sz w:val="20"/>
        </w:rPr>
        <w:t>The problem of ‘trapped ministers’ is a serious problem for a relatively small number of ministers. Estimates suggest that as many as </w:t>
      </w:r>
      <w:r>
        <w:rPr>
          <w:spacing w:val="-3"/>
          <w:w w:val="120"/>
          <w:sz w:val="20"/>
        </w:rPr>
        <w:t>10% </w:t>
      </w:r>
      <w:r>
        <w:rPr>
          <w:w w:val="120"/>
          <w:sz w:val="20"/>
        </w:rPr>
        <w:t>of ministers have experienced such a crisis of vocation. We are not persuaded that the scale of the problem is itself a reason for changing the whole system, and believe that some other method could be devised for dealing with this problem. Ministers owning their own homes, whether in whole or in part, are just as likely to feel trapped by a whole complex of ties to a local area, including negative equity, a partner’s job or the</w:t>
      </w:r>
      <w:r>
        <w:rPr>
          <w:spacing w:val="33"/>
          <w:w w:val="120"/>
          <w:sz w:val="20"/>
        </w:rPr>
        <w:t> </w:t>
      </w:r>
      <w:r>
        <w:rPr>
          <w:w w:val="120"/>
          <w:sz w:val="20"/>
        </w:rPr>
        <w:t>children’s</w:t>
      </w:r>
    </w:p>
    <w:p>
      <w:pPr>
        <w:spacing w:after="0" w:line="235" w:lineRule="auto"/>
        <w:jc w:val="left"/>
        <w:rPr>
          <w:sz w:val="21"/>
        </w:rPr>
        <w:sectPr>
          <w:pgSz w:w="11910" w:h="16840"/>
          <w:pgMar w:header="0" w:footer="647" w:top="1060" w:bottom="840" w:left="0" w:right="0"/>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1931648" filled="true" fillcolor="#f9e9c1" stroked="false">
            <v:fill opacity="32768f" type="solid"/>
            <w10:wrap type="none"/>
          </v:rect>
        </w:pict>
      </w:r>
      <w:r>
        <w:rPr>
          <w:w w:val="120"/>
        </w:rPr>
        <w:t>schooling. We did devise a possible way forward to mitigate the financial hardship, but have concluded that the problem is primarily a pastoral one and needs consideration by a more widely based group.</w:t>
      </w:r>
    </w:p>
    <w:p>
      <w:pPr>
        <w:pStyle w:val="BodyText"/>
        <w:spacing w:before="2"/>
        <w:rPr>
          <w:sz w:val="19"/>
        </w:rPr>
      </w:pPr>
    </w:p>
    <w:p>
      <w:pPr>
        <w:pStyle w:val="ListParagraph"/>
        <w:numPr>
          <w:ilvl w:val="0"/>
          <w:numId w:val="104"/>
        </w:numPr>
        <w:tabs>
          <w:tab w:pos="2664" w:val="left" w:leader="none"/>
          <w:tab w:pos="2665" w:val="left" w:leader="none"/>
        </w:tabs>
        <w:spacing w:line="232" w:lineRule="auto" w:before="1" w:after="0"/>
        <w:ind w:left="1984" w:right="1874" w:hanging="1"/>
        <w:jc w:val="left"/>
        <w:rPr>
          <w:sz w:val="21"/>
        </w:rPr>
      </w:pPr>
      <w:r>
        <w:rPr>
          <w:w w:val="120"/>
          <w:sz w:val="20"/>
        </w:rPr>
        <w:t>It soon became apparent that those who advocate change actually want to achieve different objectives. These</w:t>
      </w:r>
      <w:r>
        <w:rPr>
          <w:spacing w:val="6"/>
          <w:w w:val="120"/>
          <w:sz w:val="20"/>
        </w:rPr>
        <w:t> </w:t>
      </w:r>
      <w:r>
        <w:rPr>
          <w:w w:val="120"/>
          <w:sz w:val="20"/>
        </w:rPr>
        <w:t>are:</w:t>
      </w:r>
    </w:p>
    <w:p>
      <w:pPr>
        <w:pStyle w:val="ListParagraph"/>
        <w:numPr>
          <w:ilvl w:val="0"/>
          <w:numId w:val="108"/>
        </w:numPr>
        <w:tabs>
          <w:tab w:pos="2664" w:val="left" w:leader="none"/>
          <w:tab w:pos="2665" w:val="left" w:leader="none"/>
        </w:tabs>
        <w:spacing w:line="235" w:lineRule="auto" w:before="1" w:after="0"/>
        <w:ind w:left="2664" w:right="1139" w:hanging="681"/>
        <w:jc w:val="left"/>
        <w:rPr>
          <w:sz w:val="20"/>
        </w:rPr>
      </w:pPr>
      <w:r>
        <w:rPr>
          <w:w w:val="120"/>
          <w:sz w:val="20"/>
        </w:rPr>
        <w:t>to ensure that the provision of housing is in harmony with and not running  counter to the denomination’s mission and deployment objectives. Many small congregations retain manses dating from the </w:t>
      </w:r>
      <w:r>
        <w:rPr>
          <w:spacing w:val="-3"/>
          <w:w w:val="120"/>
          <w:sz w:val="20"/>
        </w:rPr>
        <w:t>‘one </w:t>
      </w:r>
      <w:r>
        <w:rPr>
          <w:w w:val="120"/>
          <w:sz w:val="20"/>
        </w:rPr>
        <w:t>church one minister’ era, which no longer meet the needs of joint pastorates, and they are considered to be using this capital without regard for the wider needs of the</w:t>
      </w:r>
      <w:r>
        <w:rPr>
          <w:spacing w:val="24"/>
          <w:w w:val="120"/>
          <w:sz w:val="20"/>
        </w:rPr>
        <w:t> </w:t>
      </w:r>
      <w:r>
        <w:rPr>
          <w:w w:val="120"/>
          <w:sz w:val="20"/>
        </w:rPr>
        <w:t>denomination;</w:t>
      </w:r>
    </w:p>
    <w:p>
      <w:pPr>
        <w:pStyle w:val="ListParagraph"/>
        <w:numPr>
          <w:ilvl w:val="0"/>
          <w:numId w:val="108"/>
        </w:numPr>
        <w:tabs>
          <w:tab w:pos="2664" w:val="left" w:leader="none"/>
          <w:tab w:pos="2665" w:val="left" w:leader="none"/>
        </w:tabs>
        <w:spacing w:line="235" w:lineRule="auto" w:before="4" w:after="0"/>
        <w:ind w:left="2664" w:right="1145" w:hanging="681"/>
        <w:jc w:val="left"/>
        <w:rPr>
          <w:sz w:val="20"/>
        </w:rPr>
      </w:pPr>
      <w:r>
        <w:rPr>
          <w:w w:val="120"/>
          <w:sz w:val="20"/>
        </w:rPr>
        <w:t>to ensure that we remove the </w:t>
      </w:r>
      <w:r>
        <w:rPr>
          <w:spacing w:val="2"/>
          <w:w w:val="120"/>
          <w:sz w:val="20"/>
        </w:rPr>
        <w:t>embarrassing </w:t>
      </w:r>
      <w:r>
        <w:rPr>
          <w:w w:val="120"/>
          <w:sz w:val="20"/>
        </w:rPr>
        <w:t>and </w:t>
      </w:r>
      <w:r>
        <w:rPr>
          <w:spacing w:val="2"/>
          <w:w w:val="120"/>
          <w:sz w:val="20"/>
        </w:rPr>
        <w:t>pastorally </w:t>
      </w:r>
      <w:r>
        <w:rPr>
          <w:w w:val="120"/>
          <w:sz w:val="20"/>
        </w:rPr>
        <w:t>unacceptable </w:t>
      </w:r>
      <w:r>
        <w:rPr>
          <w:spacing w:val="3"/>
          <w:w w:val="120"/>
          <w:sz w:val="20"/>
        </w:rPr>
        <w:t>fact </w:t>
      </w:r>
      <w:r>
        <w:rPr>
          <w:w w:val="120"/>
          <w:sz w:val="20"/>
        </w:rPr>
        <w:t>of    a </w:t>
      </w:r>
      <w:r>
        <w:rPr>
          <w:spacing w:val="2"/>
          <w:w w:val="120"/>
          <w:sz w:val="20"/>
        </w:rPr>
        <w:t>minority </w:t>
      </w:r>
      <w:r>
        <w:rPr>
          <w:w w:val="120"/>
          <w:sz w:val="20"/>
        </w:rPr>
        <w:t>of manses not being at the approved manse </w:t>
      </w:r>
      <w:r>
        <w:rPr>
          <w:spacing w:val="2"/>
          <w:w w:val="120"/>
          <w:sz w:val="20"/>
        </w:rPr>
        <w:t>standard </w:t>
      </w:r>
      <w:r>
        <w:rPr>
          <w:w w:val="120"/>
          <w:sz w:val="20"/>
        </w:rPr>
        <w:t>and the </w:t>
      </w:r>
      <w:r>
        <w:rPr>
          <w:spacing w:val="2"/>
          <w:w w:val="120"/>
          <w:sz w:val="20"/>
        </w:rPr>
        <w:t>degree  </w:t>
      </w:r>
      <w:r>
        <w:rPr>
          <w:w w:val="120"/>
          <w:sz w:val="20"/>
        </w:rPr>
        <w:t>of control some </w:t>
      </w:r>
      <w:r>
        <w:rPr>
          <w:spacing w:val="2"/>
          <w:w w:val="120"/>
          <w:sz w:val="20"/>
        </w:rPr>
        <w:t>local </w:t>
      </w:r>
      <w:r>
        <w:rPr>
          <w:w w:val="120"/>
          <w:sz w:val="20"/>
        </w:rPr>
        <w:t>churches retain on the </w:t>
      </w:r>
      <w:r>
        <w:rPr>
          <w:spacing w:val="2"/>
          <w:w w:val="120"/>
          <w:sz w:val="20"/>
        </w:rPr>
        <w:t>quality </w:t>
      </w:r>
      <w:r>
        <w:rPr>
          <w:w w:val="120"/>
          <w:sz w:val="20"/>
        </w:rPr>
        <w:t>and </w:t>
      </w:r>
      <w:r>
        <w:rPr>
          <w:spacing w:val="3"/>
          <w:w w:val="120"/>
          <w:sz w:val="20"/>
        </w:rPr>
        <w:t>frequency </w:t>
      </w:r>
      <w:r>
        <w:rPr>
          <w:w w:val="120"/>
          <w:sz w:val="20"/>
        </w:rPr>
        <w:t>of work </w:t>
      </w:r>
      <w:r>
        <w:rPr>
          <w:spacing w:val="2"/>
          <w:w w:val="120"/>
          <w:sz w:val="20"/>
        </w:rPr>
        <w:t>done </w:t>
      </w:r>
      <w:r>
        <w:rPr>
          <w:w w:val="120"/>
          <w:sz w:val="20"/>
        </w:rPr>
        <w:t>in</w:t>
      </w:r>
      <w:r>
        <w:rPr>
          <w:spacing w:val="5"/>
          <w:w w:val="120"/>
          <w:sz w:val="20"/>
        </w:rPr>
        <w:t> </w:t>
      </w:r>
      <w:r>
        <w:rPr>
          <w:w w:val="120"/>
          <w:sz w:val="20"/>
        </w:rPr>
        <w:t>manses;</w:t>
      </w:r>
    </w:p>
    <w:p>
      <w:pPr>
        <w:pStyle w:val="ListParagraph"/>
        <w:numPr>
          <w:ilvl w:val="0"/>
          <w:numId w:val="108"/>
        </w:numPr>
        <w:tabs>
          <w:tab w:pos="2664" w:val="left" w:leader="none"/>
          <w:tab w:pos="2665" w:val="left" w:leader="none"/>
        </w:tabs>
        <w:spacing w:line="235" w:lineRule="auto" w:before="3" w:after="0"/>
        <w:ind w:left="2664" w:right="1133" w:hanging="681"/>
        <w:jc w:val="left"/>
        <w:rPr>
          <w:sz w:val="20"/>
        </w:rPr>
      </w:pPr>
      <w:r>
        <w:rPr>
          <w:spacing w:val="-3"/>
          <w:w w:val="120"/>
          <w:sz w:val="20"/>
        </w:rPr>
        <w:t>to </w:t>
      </w:r>
      <w:r>
        <w:rPr>
          <w:w w:val="120"/>
          <w:sz w:val="20"/>
        </w:rPr>
        <w:t>meet the aspirations of those </w:t>
      </w:r>
      <w:r>
        <w:rPr>
          <w:spacing w:val="-3"/>
          <w:w w:val="120"/>
          <w:sz w:val="20"/>
        </w:rPr>
        <w:t>ministers </w:t>
      </w:r>
      <w:r>
        <w:rPr>
          <w:w w:val="120"/>
          <w:sz w:val="20"/>
        </w:rPr>
        <w:t>who </w:t>
      </w:r>
      <w:r>
        <w:rPr>
          <w:spacing w:val="-3"/>
          <w:w w:val="120"/>
          <w:sz w:val="20"/>
        </w:rPr>
        <w:t>wish to </w:t>
      </w:r>
      <w:r>
        <w:rPr>
          <w:spacing w:val="-2"/>
          <w:w w:val="120"/>
          <w:sz w:val="20"/>
        </w:rPr>
        <w:t>own </w:t>
      </w:r>
      <w:r>
        <w:rPr>
          <w:w w:val="120"/>
          <w:sz w:val="20"/>
        </w:rPr>
        <w:t>their </w:t>
      </w:r>
      <w:r>
        <w:rPr>
          <w:spacing w:val="-2"/>
          <w:w w:val="120"/>
          <w:sz w:val="20"/>
        </w:rPr>
        <w:t>own </w:t>
      </w:r>
      <w:r>
        <w:rPr>
          <w:w w:val="120"/>
          <w:sz w:val="20"/>
        </w:rPr>
        <w:t>home, reflecting what is </w:t>
      </w:r>
      <w:r>
        <w:rPr>
          <w:spacing w:val="-2"/>
          <w:w w:val="120"/>
          <w:sz w:val="20"/>
        </w:rPr>
        <w:t>now </w:t>
      </w:r>
      <w:r>
        <w:rPr>
          <w:w w:val="120"/>
          <w:sz w:val="20"/>
        </w:rPr>
        <w:t>the norm in our </w:t>
      </w:r>
      <w:r>
        <w:rPr>
          <w:spacing w:val="-3"/>
          <w:w w:val="120"/>
          <w:sz w:val="20"/>
        </w:rPr>
        <w:t>society. </w:t>
      </w:r>
      <w:r>
        <w:rPr>
          <w:w w:val="120"/>
          <w:sz w:val="20"/>
        </w:rPr>
        <w:t>This </w:t>
      </w:r>
      <w:r>
        <w:rPr>
          <w:spacing w:val="-3"/>
          <w:w w:val="120"/>
          <w:sz w:val="20"/>
        </w:rPr>
        <w:t>would </w:t>
      </w:r>
      <w:r>
        <w:rPr>
          <w:w w:val="120"/>
          <w:sz w:val="20"/>
        </w:rPr>
        <w:t>give them capital </w:t>
      </w:r>
      <w:r>
        <w:rPr>
          <w:spacing w:val="-3"/>
          <w:w w:val="120"/>
          <w:sz w:val="20"/>
        </w:rPr>
        <w:t>to </w:t>
      </w:r>
      <w:r>
        <w:rPr>
          <w:w w:val="120"/>
          <w:sz w:val="20"/>
        </w:rPr>
        <w:t>fund or help </w:t>
      </w:r>
      <w:r>
        <w:rPr>
          <w:spacing w:val="-3"/>
          <w:w w:val="120"/>
          <w:sz w:val="20"/>
        </w:rPr>
        <w:t>to </w:t>
      </w:r>
      <w:r>
        <w:rPr>
          <w:w w:val="120"/>
          <w:sz w:val="20"/>
        </w:rPr>
        <w:t>fund their retirement </w:t>
      </w:r>
      <w:r>
        <w:rPr>
          <w:spacing w:val="-3"/>
          <w:w w:val="120"/>
          <w:sz w:val="20"/>
        </w:rPr>
        <w:t>housing. </w:t>
      </w:r>
      <w:r>
        <w:rPr>
          <w:w w:val="120"/>
          <w:sz w:val="20"/>
        </w:rPr>
        <w:t>It is argued that most other </w:t>
      </w:r>
      <w:r>
        <w:rPr>
          <w:spacing w:val="-3"/>
          <w:w w:val="120"/>
          <w:sz w:val="20"/>
        </w:rPr>
        <w:t>organisations </w:t>
      </w:r>
      <w:r>
        <w:rPr>
          <w:w w:val="120"/>
          <w:sz w:val="20"/>
        </w:rPr>
        <w:t>that used </w:t>
      </w:r>
      <w:r>
        <w:rPr>
          <w:spacing w:val="-3"/>
          <w:w w:val="120"/>
          <w:sz w:val="20"/>
        </w:rPr>
        <w:t>to </w:t>
      </w:r>
      <w:r>
        <w:rPr>
          <w:w w:val="120"/>
          <w:sz w:val="20"/>
        </w:rPr>
        <w:t>provide tied </w:t>
      </w:r>
      <w:r>
        <w:rPr>
          <w:spacing w:val="-3"/>
          <w:w w:val="120"/>
          <w:sz w:val="20"/>
        </w:rPr>
        <w:t>housing </w:t>
      </w:r>
      <w:r>
        <w:rPr>
          <w:w w:val="120"/>
          <w:sz w:val="20"/>
        </w:rPr>
        <w:t>no longer do </w:t>
      </w:r>
      <w:r>
        <w:rPr>
          <w:spacing w:val="-3"/>
          <w:w w:val="120"/>
          <w:sz w:val="20"/>
        </w:rPr>
        <w:t>so, </w:t>
      </w:r>
      <w:r>
        <w:rPr>
          <w:w w:val="120"/>
          <w:sz w:val="20"/>
        </w:rPr>
        <w:t>and the </w:t>
      </w:r>
      <w:r>
        <w:rPr>
          <w:spacing w:val="-3"/>
          <w:w w:val="120"/>
          <w:sz w:val="20"/>
        </w:rPr>
        <w:t>denomination </w:t>
      </w:r>
      <w:r>
        <w:rPr>
          <w:w w:val="120"/>
          <w:sz w:val="20"/>
        </w:rPr>
        <w:t>should do the same. The </w:t>
      </w:r>
      <w:r>
        <w:rPr>
          <w:spacing w:val="-3"/>
          <w:w w:val="120"/>
          <w:sz w:val="20"/>
        </w:rPr>
        <w:t>manse </w:t>
      </w:r>
      <w:r>
        <w:rPr>
          <w:w w:val="120"/>
          <w:sz w:val="20"/>
        </w:rPr>
        <w:t>system </w:t>
      </w:r>
      <w:r>
        <w:rPr>
          <w:spacing w:val="-3"/>
          <w:w w:val="120"/>
          <w:sz w:val="20"/>
        </w:rPr>
        <w:t>creates </w:t>
      </w:r>
      <w:r>
        <w:rPr>
          <w:w w:val="120"/>
          <w:sz w:val="20"/>
        </w:rPr>
        <w:t>a </w:t>
      </w:r>
      <w:r>
        <w:rPr>
          <w:spacing w:val="-3"/>
          <w:w w:val="120"/>
          <w:sz w:val="20"/>
        </w:rPr>
        <w:t>culture </w:t>
      </w:r>
      <w:r>
        <w:rPr>
          <w:w w:val="120"/>
          <w:sz w:val="20"/>
        </w:rPr>
        <w:t>of</w:t>
      </w:r>
      <w:r>
        <w:rPr>
          <w:spacing w:val="-14"/>
          <w:w w:val="120"/>
          <w:sz w:val="20"/>
        </w:rPr>
        <w:t> </w:t>
      </w:r>
      <w:r>
        <w:rPr>
          <w:spacing w:val="-3"/>
          <w:w w:val="120"/>
          <w:sz w:val="20"/>
        </w:rPr>
        <w:t>dependency.</w:t>
      </w:r>
    </w:p>
    <w:p>
      <w:pPr>
        <w:pStyle w:val="BodyText"/>
        <w:spacing w:line="235" w:lineRule="auto" w:before="4"/>
        <w:ind w:left="1984" w:right="1514"/>
      </w:pPr>
      <w:r>
        <w:rPr>
          <w:w w:val="120"/>
        </w:rPr>
        <w:t>There is no single solution that can meet all these objectives. As will be seen, </w:t>
      </w:r>
      <w:r>
        <w:rPr>
          <w:spacing w:val="-3"/>
          <w:w w:val="120"/>
        </w:rPr>
        <w:t>solutions </w:t>
      </w:r>
      <w:r>
        <w:rPr>
          <w:w w:val="120"/>
        </w:rPr>
        <w:t>which </w:t>
      </w:r>
      <w:r>
        <w:rPr>
          <w:spacing w:val="-3"/>
          <w:w w:val="120"/>
        </w:rPr>
        <w:t>promote </w:t>
      </w:r>
      <w:r>
        <w:rPr>
          <w:w w:val="120"/>
        </w:rPr>
        <w:t>objective </w:t>
      </w:r>
      <w:r>
        <w:rPr>
          <w:spacing w:val="-4"/>
          <w:w w:val="120"/>
        </w:rPr>
        <w:t>(iii) </w:t>
      </w:r>
      <w:r>
        <w:rPr>
          <w:w w:val="120"/>
        </w:rPr>
        <w:t>are generally </w:t>
      </w:r>
      <w:r>
        <w:rPr>
          <w:spacing w:val="-3"/>
          <w:w w:val="120"/>
        </w:rPr>
        <w:t>inconsistent </w:t>
      </w:r>
      <w:r>
        <w:rPr>
          <w:w w:val="120"/>
        </w:rPr>
        <w:t>with objective </w:t>
      </w:r>
      <w:r>
        <w:rPr>
          <w:spacing w:val="-5"/>
          <w:w w:val="120"/>
        </w:rPr>
        <w:t>(i).</w:t>
      </w:r>
    </w:p>
    <w:p>
      <w:pPr>
        <w:pStyle w:val="BodyText"/>
        <w:spacing w:before="9"/>
        <w:rPr>
          <w:sz w:val="19"/>
        </w:rPr>
      </w:pPr>
    </w:p>
    <w:p>
      <w:pPr>
        <w:pStyle w:val="ListParagraph"/>
        <w:numPr>
          <w:ilvl w:val="0"/>
          <w:numId w:val="104"/>
        </w:numPr>
        <w:tabs>
          <w:tab w:pos="2664" w:val="left" w:leader="none"/>
          <w:tab w:pos="2665" w:val="left" w:leader="none"/>
        </w:tabs>
        <w:spacing w:line="235" w:lineRule="auto" w:before="0" w:after="0"/>
        <w:ind w:left="1984" w:right="1430" w:hanging="1"/>
        <w:jc w:val="left"/>
        <w:rPr>
          <w:sz w:val="20"/>
        </w:rPr>
      </w:pPr>
      <w:r>
        <w:rPr>
          <w:spacing w:val="-6"/>
          <w:w w:val="120"/>
          <w:sz w:val="20"/>
        </w:rPr>
        <w:t>To </w:t>
      </w:r>
      <w:r>
        <w:rPr>
          <w:w w:val="120"/>
          <w:sz w:val="20"/>
        </w:rPr>
        <w:t>achieve any  of  </w:t>
      </w:r>
      <w:r>
        <w:rPr>
          <w:spacing w:val="2"/>
          <w:w w:val="120"/>
          <w:sz w:val="20"/>
        </w:rPr>
        <w:t>these objectives </w:t>
      </w:r>
      <w:r>
        <w:rPr>
          <w:w w:val="120"/>
          <w:sz w:val="20"/>
        </w:rPr>
        <w:t>would  </w:t>
      </w:r>
      <w:r>
        <w:rPr>
          <w:spacing w:val="2"/>
          <w:w w:val="120"/>
          <w:sz w:val="20"/>
        </w:rPr>
        <w:t>require radical </w:t>
      </w:r>
      <w:r>
        <w:rPr>
          <w:w w:val="120"/>
          <w:sz w:val="20"/>
        </w:rPr>
        <w:t>change,  including the amendment of </w:t>
      </w:r>
      <w:r>
        <w:rPr>
          <w:spacing w:val="2"/>
          <w:w w:val="120"/>
          <w:sz w:val="20"/>
        </w:rPr>
        <w:t>section </w:t>
      </w:r>
      <w:r>
        <w:rPr>
          <w:spacing w:val="-6"/>
          <w:w w:val="120"/>
          <w:sz w:val="20"/>
        </w:rPr>
        <w:t>8(1) </w:t>
      </w:r>
      <w:r>
        <w:rPr>
          <w:w w:val="120"/>
          <w:sz w:val="20"/>
        </w:rPr>
        <w:t>of the United </w:t>
      </w:r>
      <w:r>
        <w:rPr>
          <w:spacing w:val="2"/>
          <w:w w:val="120"/>
          <w:sz w:val="20"/>
        </w:rPr>
        <w:t>Reformed </w:t>
      </w:r>
      <w:r>
        <w:rPr>
          <w:w w:val="120"/>
          <w:sz w:val="20"/>
        </w:rPr>
        <w:t>Church </w:t>
      </w:r>
      <w:r>
        <w:rPr>
          <w:spacing w:val="3"/>
          <w:w w:val="120"/>
          <w:sz w:val="20"/>
        </w:rPr>
        <w:t>Act </w:t>
      </w:r>
      <w:r>
        <w:rPr>
          <w:spacing w:val="-5"/>
          <w:w w:val="120"/>
          <w:sz w:val="20"/>
        </w:rPr>
        <w:t>1972, </w:t>
      </w:r>
      <w:r>
        <w:rPr>
          <w:w w:val="120"/>
          <w:sz w:val="20"/>
        </w:rPr>
        <w:t>so that the control of manses </w:t>
      </w:r>
      <w:r>
        <w:rPr>
          <w:spacing w:val="-3"/>
          <w:w w:val="120"/>
          <w:sz w:val="20"/>
        </w:rPr>
        <w:t>(and </w:t>
      </w:r>
      <w:r>
        <w:rPr>
          <w:spacing w:val="2"/>
          <w:w w:val="120"/>
          <w:sz w:val="20"/>
        </w:rPr>
        <w:t>arguably </w:t>
      </w:r>
      <w:r>
        <w:rPr>
          <w:w w:val="120"/>
          <w:sz w:val="20"/>
        </w:rPr>
        <w:t>church buildings as well) would pass </w:t>
      </w:r>
      <w:r>
        <w:rPr>
          <w:spacing w:val="2"/>
          <w:w w:val="120"/>
          <w:sz w:val="20"/>
        </w:rPr>
        <w:t>from </w:t>
      </w:r>
      <w:r>
        <w:rPr>
          <w:w w:val="120"/>
          <w:sz w:val="20"/>
        </w:rPr>
        <w:t>the </w:t>
      </w:r>
      <w:r>
        <w:rPr>
          <w:spacing w:val="2"/>
          <w:w w:val="120"/>
          <w:sz w:val="20"/>
        </w:rPr>
        <w:t>local </w:t>
      </w:r>
      <w:r>
        <w:rPr>
          <w:w w:val="120"/>
          <w:sz w:val="20"/>
        </w:rPr>
        <w:t>church to the denomination for it to use to meet whatever </w:t>
      </w:r>
      <w:r>
        <w:rPr>
          <w:spacing w:val="2"/>
          <w:w w:val="120"/>
          <w:sz w:val="20"/>
        </w:rPr>
        <w:t>priorities </w:t>
      </w:r>
      <w:r>
        <w:rPr>
          <w:w w:val="120"/>
          <w:sz w:val="20"/>
        </w:rPr>
        <w:t>it chooses for mission and</w:t>
      </w:r>
      <w:r>
        <w:rPr>
          <w:spacing w:val="12"/>
          <w:w w:val="120"/>
          <w:sz w:val="20"/>
        </w:rPr>
        <w:t> </w:t>
      </w:r>
      <w:r>
        <w:rPr>
          <w:w w:val="120"/>
          <w:sz w:val="20"/>
        </w:rPr>
        <w:t>ministry.</w:t>
      </w:r>
    </w:p>
    <w:p>
      <w:pPr>
        <w:pStyle w:val="BodyText"/>
        <w:spacing w:before="3"/>
        <w:rPr>
          <w:sz w:val="19"/>
        </w:rPr>
      </w:pPr>
    </w:p>
    <w:p>
      <w:pPr>
        <w:pStyle w:val="ListParagraph"/>
        <w:numPr>
          <w:ilvl w:val="0"/>
          <w:numId w:val="104"/>
        </w:numPr>
        <w:tabs>
          <w:tab w:pos="2664" w:val="left" w:leader="none"/>
          <w:tab w:pos="2665" w:val="left" w:leader="none"/>
        </w:tabs>
        <w:spacing w:line="235" w:lineRule="auto" w:before="0" w:after="0"/>
        <w:ind w:left="1984" w:right="1445" w:hanging="1"/>
        <w:jc w:val="left"/>
        <w:rPr>
          <w:sz w:val="21"/>
        </w:rPr>
      </w:pPr>
      <w:r>
        <w:rPr>
          <w:w w:val="120"/>
          <w:sz w:val="20"/>
        </w:rPr>
        <w:t>In considering possible reform we have borne in mind that funding for housing comes either from the existing </w:t>
      </w:r>
      <w:r>
        <w:rPr>
          <w:spacing w:val="2"/>
          <w:w w:val="120"/>
          <w:sz w:val="20"/>
        </w:rPr>
        <w:t>property </w:t>
      </w:r>
      <w:r>
        <w:rPr>
          <w:w w:val="120"/>
          <w:sz w:val="20"/>
        </w:rPr>
        <w:t>held by local churches and synods, the income generated from that property, or the direct giving of a declining number of church members, many of whom are themselves on limited incomes. Money diverted from these sources into retired ministers’ housing reduces the funds available for</w:t>
      </w:r>
      <w:r>
        <w:rPr>
          <w:spacing w:val="-8"/>
          <w:w w:val="120"/>
          <w:sz w:val="20"/>
        </w:rPr>
        <w:t> </w:t>
      </w:r>
      <w:r>
        <w:rPr>
          <w:w w:val="120"/>
          <w:sz w:val="20"/>
        </w:rPr>
        <w:t>the</w:t>
      </w:r>
    </w:p>
    <w:p>
      <w:pPr>
        <w:pStyle w:val="BodyText"/>
        <w:spacing w:line="241" w:lineRule="exact"/>
        <w:ind w:left="1984"/>
      </w:pPr>
      <w:r>
        <w:rPr>
          <w:w w:val="120"/>
        </w:rPr>
        <w:t>remuneration of serving ministers and for other projects. There is no hidden pot of cash.</w:t>
      </w:r>
    </w:p>
    <w:p>
      <w:pPr>
        <w:spacing w:before="213"/>
        <w:ind w:left="1984" w:right="0" w:firstLine="0"/>
        <w:jc w:val="left"/>
        <w:rPr>
          <w:rFonts w:ascii="Stone Sans II ITC Std Bk"/>
          <w:b/>
          <w:sz w:val="21"/>
        </w:rPr>
      </w:pPr>
      <w:r>
        <w:rPr>
          <w:rFonts w:ascii="Stone Sans II ITC Std Bk"/>
          <w:b/>
          <w:w w:val="115"/>
          <w:sz w:val="21"/>
        </w:rPr>
        <w:t>The case for keeping the manse system</w:t>
      </w:r>
    </w:p>
    <w:p>
      <w:pPr>
        <w:pStyle w:val="ListParagraph"/>
        <w:numPr>
          <w:ilvl w:val="0"/>
          <w:numId w:val="104"/>
        </w:numPr>
        <w:tabs>
          <w:tab w:pos="2664" w:val="left" w:leader="none"/>
          <w:tab w:pos="2665" w:val="left" w:leader="none"/>
        </w:tabs>
        <w:spacing w:line="232" w:lineRule="auto" w:before="185" w:after="0"/>
        <w:ind w:left="1984" w:right="1304" w:firstLine="0"/>
        <w:jc w:val="left"/>
        <w:rPr>
          <w:sz w:val="21"/>
        </w:rPr>
      </w:pPr>
      <w:r>
        <w:rPr/>
        <w:pict>
          <v:group style="position:absolute;margin-left:99.212601pt;margin-top:41.473953pt;width:440.35pt;height:49.55pt;mso-position-horizontal-relative:page;mso-position-vertical-relative:paragraph;z-index:-267491328" coordorigin="1984,829" coordsize="8807,991">
            <v:shape style="position:absolute;left:1989;top:834;width:4973;height:981" coordorigin="1989,834" coordsize="4973,981" path="m6962,834l4966,834,1989,834,1989,1815,4966,1815,6962,1815,6962,834e" filled="true" fillcolor="#000000" stroked="false">
              <v:path arrowok="t"/>
              <v:fill type="solid"/>
            </v:shape>
            <v:line style="position:absolute" from="6962,834" to="6962,1815" stroked="true" strokeweight=".001pt" strokecolor="#000000">
              <v:stroke dashstyle="solid"/>
            </v:line>
            <v:shape style="position:absolute;left:6961;top:834;width:3830;height:981" coordorigin="6962,834" coordsize="3830,981" path="m10791,834l8889,834,6962,834,6962,1815,8889,1815,10791,1815,10791,834e" filled="true" fillcolor="#000000" stroked="false">
              <v:path arrowok="t"/>
              <v:fill type="solid"/>
            </v:shape>
            <v:line style="position:absolute" from="1984,834" to="2608,834" stroked="true" strokeweight=".5pt" strokecolor="#000000">
              <v:stroke dashstyle="solid"/>
            </v:line>
            <v:line style="position:absolute" from="2608,834" to="4966,834" stroked="true" strokeweight=".5pt" strokecolor="#000000">
              <v:stroke dashstyle="solid"/>
            </v:line>
            <v:line style="position:absolute" from="4966,834" to="5026,834" stroked="true" strokeweight=".5pt" strokecolor="#000000">
              <v:stroke dashstyle="solid"/>
            </v:line>
            <v:line style="position:absolute" from="4966,1810" to="4966,839" stroked="true" strokeweight=".5pt" strokecolor="#000000">
              <v:stroke dashstyle="solid"/>
            </v:line>
            <v:line style="position:absolute" from="5026,834" to="6962,834" stroked="true" strokeweight=".5pt" strokecolor="#000000">
              <v:stroke dashstyle="solid"/>
            </v:line>
            <v:line style="position:absolute" from="6962,834" to="7022,834" stroked="true" strokeweight=".5pt" strokecolor="#000000">
              <v:stroke dashstyle="solid"/>
            </v:line>
            <v:line style="position:absolute" from="6962,1810" to="6962,839" stroked="true" strokeweight=".5pt" strokecolor="#000000">
              <v:stroke dashstyle="solid"/>
            </v:line>
            <v:line style="position:absolute" from="7022,834" to="8889,834" stroked="true" strokeweight=".5pt" strokecolor="#000000">
              <v:stroke dashstyle="solid"/>
            </v:line>
            <v:line style="position:absolute" from="8889,834" to="8949,834" stroked="true" strokeweight=".5pt" strokecolor="#000000">
              <v:stroke dashstyle="solid"/>
            </v:line>
            <v:line style="position:absolute" from="8889,1810" to="8889,839" stroked="true" strokeweight=".5pt" strokecolor="#000000">
              <v:stroke dashstyle="solid"/>
            </v:line>
            <v:line style="position:absolute" from="8949,834" to="10791,834" stroked="true" strokeweight=".5pt" strokecolor="#000000">
              <v:stroke dashstyle="solid"/>
            </v:line>
            <v:line style="position:absolute" from="1984,1815" to="2608,1815" stroked="true" strokeweight=".5pt" strokecolor="#000000">
              <v:stroke dashstyle="solid"/>
            </v:line>
            <v:line style="position:absolute" from="2608,1815" to="4966,1815" stroked="true" strokeweight=".5pt" strokecolor="#000000">
              <v:stroke dashstyle="solid"/>
            </v:line>
            <v:line style="position:absolute" from="4966,1815" to="5026,1815" stroked="true" strokeweight=".5pt" strokecolor="#000000">
              <v:stroke dashstyle="solid"/>
            </v:line>
            <v:line style="position:absolute" from="5026,1815" to="6962,1815" stroked="true" strokeweight=".5pt" strokecolor="#000000">
              <v:stroke dashstyle="solid"/>
            </v:line>
            <v:line style="position:absolute" from="6962,1815" to="7022,1815" stroked="true" strokeweight=".5pt" strokecolor="#000000">
              <v:stroke dashstyle="solid"/>
            </v:line>
            <v:line style="position:absolute" from="7022,1815" to="8889,1815" stroked="true" strokeweight=".5pt" strokecolor="#000000">
              <v:stroke dashstyle="solid"/>
            </v:line>
            <v:line style="position:absolute" from="8889,1815" to="8949,1815" stroked="true" strokeweight=".5pt" strokecolor="#000000">
              <v:stroke dashstyle="solid"/>
            </v:line>
            <v:line style="position:absolute" from="8949,1815" to="10791,1815" stroked="true" strokeweight=".5pt" strokecolor="#000000">
              <v:stroke dashstyle="solid"/>
            </v:line>
            <w10:wrap type="none"/>
          </v:group>
        </w:pict>
      </w:r>
      <w:r>
        <w:rPr>
          <w:w w:val="120"/>
          <w:sz w:val="20"/>
        </w:rPr>
        <w:t>The Church has an inherited housing stock of over </w:t>
      </w:r>
      <w:r>
        <w:rPr>
          <w:spacing w:val="2"/>
          <w:w w:val="120"/>
          <w:sz w:val="20"/>
        </w:rPr>
        <w:t>800 </w:t>
      </w:r>
      <w:r>
        <w:rPr>
          <w:w w:val="120"/>
          <w:sz w:val="20"/>
        </w:rPr>
        <w:t>manses</w:t>
      </w:r>
      <w:r>
        <w:rPr>
          <w:w w:val="120"/>
          <w:position w:val="4"/>
          <w:sz w:val="20"/>
        </w:rPr>
        <w:t>5 </w:t>
      </w:r>
      <w:r>
        <w:rPr>
          <w:w w:val="120"/>
          <w:sz w:val="20"/>
        </w:rPr>
        <w:t>which would be impossible to replace if sold off. The distribution is as</w:t>
      </w:r>
      <w:r>
        <w:rPr>
          <w:spacing w:val="17"/>
          <w:w w:val="120"/>
          <w:sz w:val="20"/>
        </w:rPr>
        <w:t> </w:t>
      </w:r>
      <w:r>
        <w:rPr>
          <w:w w:val="120"/>
          <w:sz w:val="20"/>
        </w:rPr>
        <w:t>follows:</w:t>
      </w:r>
    </w:p>
    <w:p>
      <w:pPr>
        <w:pStyle w:val="BodyText"/>
        <w:spacing w:before="11"/>
        <w:rPr>
          <w:sz w:val="10"/>
        </w:rPr>
      </w:pPr>
    </w:p>
    <w:tbl>
      <w:tblPr>
        <w:tblW w:w="0" w:type="auto"/>
        <w:jc w:val="left"/>
        <w:tblInd w:w="1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9"/>
        <w:gridCol w:w="2419"/>
        <w:gridCol w:w="1996"/>
        <w:gridCol w:w="1928"/>
        <w:gridCol w:w="1875"/>
      </w:tblGrid>
      <w:tr>
        <w:trPr>
          <w:trHeight w:val="985" w:hRule="atLeast"/>
        </w:trPr>
        <w:tc>
          <w:tcPr>
            <w:tcW w:w="3038" w:type="dxa"/>
            <w:gridSpan w:val="2"/>
            <w:tcBorders>
              <w:top w:val="nil"/>
              <w:left w:val="nil"/>
              <w:bottom w:val="nil"/>
              <w:right w:val="nil"/>
            </w:tcBorders>
            <w:shd w:val="clear" w:color="auto" w:fill="000000"/>
          </w:tcPr>
          <w:p>
            <w:pPr>
              <w:pStyle w:val="TableParagraph"/>
              <w:spacing w:before="100"/>
              <w:ind w:left="84"/>
              <w:rPr>
                <w:rFonts w:ascii="Stone Sans II ITC Std X Bd"/>
                <w:b/>
                <w:sz w:val="20"/>
              </w:rPr>
            </w:pPr>
            <w:r>
              <w:rPr>
                <w:rFonts w:ascii="Stone Sans II ITC Std X Bd"/>
                <w:b/>
                <w:color w:val="FFFFFF"/>
                <w:w w:val="110"/>
                <w:sz w:val="20"/>
              </w:rPr>
              <w:t>Synod</w:t>
            </w:r>
          </w:p>
        </w:tc>
        <w:tc>
          <w:tcPr>
            <w:tcW w:w="1996" w:type="dxa"/>
            <w:tcBorders>
              <w:top w:val="nil"/>
              <w:left w:val="nil"/>
              <w:bottom w:val="nil"/>
              <w:right w:val="nil"/>
            </w:tcBorders>
            <w:shd w:val="clear" w:color="auto" w:fill="000000"/>
          </w:tcPr>
          <w:p>
            <w:pPr>
              <w:pStyle w:val="TableParagraph"/>
              <w:spacing w:line="213" w:lineRule="auto" w:before="122"/>
              <w:ind w:left="24"/>
              <w:rPr>
                <w:rFonts w:ascii="Stone Sans II ITC Std X Bd"/>
                <w:b/>
                <w:sz w:val="20"/>
              </w:rPr>
            </w:pPr>
            <w:r>
              <w:rPr>
                <w:rFonts w:ascii="Stone Sans II ITC Std X Bd"/>
                <w:b/>
                <w:color w:val="FFFFFF"/>
                <w:w w:val="110"/>
                <w:sz w:val="20"/>
              </w:rPr>
              <w:t>No. of manses (approximate)</w:t>
            </w:r>
          </w:p>
        </w:tc>
        <w:tc>
          <w:tcPr>
            <w:tcW w:w="1928" w:type="dxa"/>
            <w:tcBorders>
              <w:top w:val="nil"/>
              <w:left w:val="nil"/>
              <w:bottom w:val="nil"/>
              <w:right w:val="nil"/>
            </w:tcBorders>
            <w:shd w:val="clear" w:color="auto" w:fill="000000"/>
          </w:tcPr>
          <w:p>
            <w:pPr>
              <w:pStyle w:val="TableParagraph"/>
              <w:spacing w:line="213" w:lineRule="auto" w:before="122"/>
              <w:ind w:left="23" w:right="245"/>
              <w:rPr>
                <w:rFonts w:ascii="Stone Sans II ITC Std X Bd"/>
                <w:b/>
                <w:sz w:val="20"/>
              </w:rPr>
            </w:pPr>
            <w:r>
              <w:rPr>
                <w:rFonts w:ascii="Stone Sans II ITC Std X Bd"/>
                <w:b/>
                <w:color w:val="FFFFFF"/>
                <w:w w:val="110"/>
                <w:sz w:val="20"/>
              </w:rPr>
              <w:t>No. of churches </w:t>
            </w:r>
            <w:r>
              <w:rPr>
                <w:rFonts w:ascii="Stone Sans II ITC Std X Bd"/>
                <w:b/>
                <w:color w:val="FFFFFF"/>
                <w:spacing w:val="-6"/>
                <w:w w:val="110"/>
                <w:sz w:val="20"/>
              </w:rPr>
              <w:t>(as </w:t>
            </w:r>
            <w:r>
              <w:rPr>
                <w:rFonts w:ascii="Stone Sans II ITC Std X Bd"/>
                <w:b/>
                <w:color w:val="FFFFFF"/>
                <w:spacing w:val="-7"/>
                <w:w w:val="110"/>
                <w:sz w:val="20"/>
              </w:rPr>
              <w:t>at </w:t>
            </w:r>
            <w:r>
              <w:rPr>
                <w:rFonts w:ascii="Stone Sans II ITC Std X Bd"/>
                <w:b/>
                <w:color w:val="FFFFFF"/>
                <w:spacing w:val="-8"/>
                <w:w w:val="110"/>
                <w:sz w:val="20"/>
              </w:rPr>
              <w:t>13/11/2008)</w:t>
            </w:r>
          </w:p>
        </w:tc>
        <w:tc>
          <w:tcPr>
            <w:tcW w:w="1875" w:type="dxa"/>
            <w:tcBorders>
              <w:top w:val="nil"/>
              <w:left w:val="nil"/>
              <w:bottom w:val="nil"/>
              <w:right w:val="nil"/>
            </w:tcBorders>
            <w:shd w:val="clear" w:color="auto" w:fill="000000"/>
          </w:tcPr>
          <w:p>
            <w:pPr>
              <w:pStyle w:val="TableParagraph"/>
              <w:spacing w:line="213" w:lineRule="auto" w:before="122"/>
              <w:ind w:left="23" w:right="91"/>
              <w:rPr>
                <w:rFonts w:ascii="Stone Sans II ITC Std X Bd"/>
                <w:b/>
                <w:sz w:val="20"/>
              </w:rPr>
            </w:pPr>
            <w:r>
              <w:rPr>
                <w:rFonts w:ascii="Stone Sans II ITC Std X Bd"/>
                <w:b/>
                <w:color w:val="FFFFFF"/>
                <w:w w:val="110"/>
                <w:sz w:val="20"/>
              </w:rPr>
              <w:t>No. of ministers and CRCWs</w:t>
            </w:r>
          </w:p>
        </w:tc>
      </w:tr>
      <w:tr>
        <w:trPr>
          <w:trHeight w:val="373" w:hRule="atLeast"/>
        </w:trPr>
        <w:tc>
          <w:tcPr>
            <w:tcW w:w="619" w:type="dxa"/>
            <w:tcBorders>
              <w:top w:val="nil"/>
            </w:tcBorders>
          </w:tcPr>
          <w:p>
            <w:pPr>
              <w:pStyle w:val="TableParagraph"/>
              <w:spacing w:before="108"/>
              <w:ind w:left="79"/>
              <w:rPr>
                <w:sz w:val="20"/>
              </w:rPr>
            </w:pPr>
            <w:r>
              <w:rPr>
                <w:w w:val="125"/>
                <w:sz w:val="20"/>
              </w:rPr>
              <w:t>1</w:t>
            </w:r>
          </w:p>
        </w:tc>
        <w:tc>
          <w:tcPr>
            <w:tcW w:w="2419" w:type="dxa"/>
            <w:tcBorders>
              <w:top w:val="nil"/>
            </w:tcBorders>
          </w:tcPr>
          <w:p>
            <w:pPr>
              <w:pStyle w:val="TableParagraph"/>
              <w:spacing w:before="108"/>
              <w:ind w:left="79"/>
              <w:rPr>
                <w:sz w:val="20"/>
              </w:rPr>
            </w:pPr>
            <w:r>
              <w:rPr>
                <w:w w:val="120"/>
                <w:sz w:val="20"/>
              </w:rPr>
              <w:t>Northern</w:t>
            </w:r>
          </w:p>
        </w:tc>
        <w:tc>
          <w:tcPr>
            <w:tcW w:w="1996" w:type="dxa"/>
            <w:tcBorders>
              <w:top w:val="nil"/>
            </w:tcBorders>
          </w:tcPr>
          <w:p>
            <w:pPr>
              <w:pStyle w:val="TableParagraph"/>
              <w:spacing w:before="108"/>
              <w:ind w:left="79"/>
              <w:rPr>
                <w:sz w:val="20"/>
              </w:rPr>
            </w:pPr>
            <w:r>
              <w:rPr>
                <w:w w:val="125"/>
                <w:sz w:val="20"/>
              </w:rPr>
              <w:t>52</w:t>
            </w:r>
          </w:p>
        </w:tc>
        <w:tc>
          <w:tcPr>
            <w:tcW w:w="1928" w:type="dxa"/>
            <w:tcBorders>
              <w:top w:val="nil"/>
            </w:tcBorders>
          </w:tcPr>
          <w:p>
            <w:pPr>
              <w:pStyle w:val="TableParagraph"/>
              <w:spacing w:before="108"/>
              <w:ind w:left="78"/>
              <w:rPr>
                <w:sz w:val="20"/>
              </w:rPr>
            </w:pPr>
            <w:r>
              <w:rPr>
                <w:w w:val="125"/>
                <w:sz w:val="20"/>
              </w:rPr>
              <w:t>82</w:t>
            </w:r>
          </w:p>
        </w:tc>
        <w:tc>
          <w:tcPr>
            <w:tcW w:w="1875" w:type="dxa"/>
            <w:tcBorders>
              <w:top w:val="nil"/>
              <w:right w:val="single" w:sz="34" w:space="0" w:color="000000"/>
            </w:tcBorders>
          </w:tcPr>
          <w:p>
            <w:pPr>
              <w:pStyle w:val="TableParagraph"/>
              <w:spacing w:before="108"/>
              <w:ind w:left="78"/>
              <w:rPr>
                <w:sz w:val="20"/>
              </w:rPr>
            </w:pPr>
            <w:r>
              <w:rPr>
                <w:w w:val="125"/>
                <w:sz w:val="20"/>
              </w:rPr>
              <w:t>35</w:t>
            </w:r>
          </w:p>
        </w:tc>
      </w:tr>
      <w:tr>
        <w:trPr>
          <w:trHeight w:val="373" w:hRule="atLeast"/>
        </w:trPr>
        <w:tc>
          <w:tcPr>
            <w:tcW w:w="619" w:type="dxa"/>
          </w:tcPr>
          <w:p>
            <w:pPr>
              <w:pStyle w:val="TableParagraph"/>
              <w:spacing w:before="108"/>
              <w:ind w:left="80"/>
              <w:rPr>
                <w:sz w:val="20"/>
              </w:rPr>
            </w:pPr>
            <w:r>
              <w:rPr>
                <w:w w:val="125"/>
                <w:sz w:val="20"/>
              </w:rPr>
              <w:t>2</w:t>
            </w:r>
          </w:p>
        </w:tc>
        <w:tc>
          <w:tcPr>
            <w:tcW w:w="2419" w:type="dxa"/>
          </w:tcPr>
          <w:p>
            <w:pPr>
              <w:pStyle w:val="TableParagraph"/>
              <w:spacing w:before="108"/>
              <w:ind w:left="79"/>
              <w:rPr>
                <w:sz w:val="20"/>
              </w:rPr>
            </w:pPr>
            <w:r>
              <w:rPr>
                <w:w w:val="120"/>
                <w:sz w:val="20"/>
              </w:rPr>
              <w:t>North Western</w:t>
            </w:r>
          </w:p>
        </w:tc>
        <w:tc>
          <w:tcPr>
            <w:tcW w:w="1996" w:type="dxa"/>
          </w:tcPr>
          <w:p>
            <w:pPr>
              <w:pStyle w:val="TableParagraph"/>
              <w:spacing w:before="108"/>
              <w:ind w:left="79"/>
              <w:rPr>
                <w:sz w:val="20"/>
              </w:rPr>
            </w:pPr>
            <w:r>
              <w:rPr>
                <w:w w:val="125"/>
                <w:sz w:val="20"/>
              </w:rPr>
              <w:t>69</w:t>
            </w:r>
          </w:p>
        </w:tc>
        <w:tc>
          <w:tcPr>
            <w:tcW w:w="1928" w:type="dxa"/>
          </w:tcPr>
          <w:p>
            <w:pPr>
              <w:pStyle w:val="TableParagraph"/>
              <w:spacing w:before="108"/>
              <w:ind w:left="78"/>
              <w:rPr>
                <w:sz w:val="20"/>
              </w:rPr>
            </w:pPr>
            <w:r>
              <w:rPr>
                <w:w w:val="125"/>
                <w:sz w:val="20"/>
              </w:rPr>
              <w:t>143</w:t>
            </w:r>
          </w:p>
        </w:tc>
        <w:tc>
          <w:tcPr>
            <w:tcW w:w="1875" w:type="dxa"/>
            <w:tcBorders>
              <w:right w:val="single" w:sz="34" w:space="0" w:color="000000"/>
            </w:tcBorders>
          </w:tcPr>
          <w:p>
            <w:pPr>
              <w:pStyle w:val="TableParagraph"/>
              <w:spacing w:before="108"/>
              <w:ind w:left="78"/>
              <w:rPr>
                <w:sz w:val="20"/>
              </w:rPr>
            </w:pPr>
            <w:r>
              <w:rPr>
                <w:w w:val="125"/>
                <w:sz w:val="20"/>
              </w:rPr>
              <w:t>61</w:t>
            </w:r>
          </w:p>
        </w:tc>
      </w:tr>
      <w:tr>
        <w:trPr>
          <w:trHeight w:val="373" w:hRule="atLeast"/>
        </w:trPr>
        <w:tc>
          <w:tcPr>
            <w:tcW w:w="619" w:type="dxa"/>
          </w:tcPr>
          <w:p>
            <w:pPr>
              <w:pStyle w:val="TableParagraph"/>
              <w:spacing w:before="108"/>
              <w:ind w:left="80"/>
              <w:rPr>
                <w:sz w:val="20"/>
              </w:rPr>
            </w:pPr>
            <w:r>
              <w:rPr>
                <w:w w:val="125"/>
                <w:sz w:val="20"/>
              </w:rPr>
              <w:t>3</w:t>
            </w:r>
          </w:p>
        </w:tc>
        <w:tc>
          <w:tcPr>
            <w:tcW w:w="2419" w:type="dxa"/>
          </w:tcPr>
          <w:p>
            <w:pPr>
              <w:pStyle w:val="TableParagraph"/>
              <w:spacing w:before="108"/>
              <w:ind w:left="80"/>
              <w:rPr>
                <w:sz w:val="20"/>
              </w:rPr>
            </w:pPr>
            <w:r>
              <w:rPr>
                <w:w w:val="115"/>
                <w:sz w:val="20"/>
              </w:rPr>
              <w:t>Mersey</w:t>
            </w:r>
          </w:p>
        </w:tc>
        <w:tc>
          <w:tcPr>
            <w:tcW w:w="1996" w:type="dxa"/>
          </w:tcPr>
          <w:p>
            <w:pPr>
              <w:pStyle w:val="TableParagraph"/>
              <w:spacing w:before="108"/>
              <w:ind w:left="79"/>
              <w:rPr>
                <w:sz w:val="20"/>
              </w:rPr>
            </w:pPr>
            <w:r>
              <w:rPr>
                <w:w w:val="125"/>
                <w:sz w:val="20"/>
              </w:rPr>
              <w:t>41</w:t>
            </w:r>
          </w:p>
        </w:tc>
        <w:tc>
          <w:tcPr>
            <w:tcW w:w="1928" w:type="dxa"/>
          </w:tcPr>
          <w:p>
            <w:pPr>
              <w:pStyle w:val="TableParagraph"/>
              <w:spacing w:before="108"/>
              <w:ind w:left="79"/>
              <w:rPr>
                <w:sz w:val="20"/>
              </w:rPr>
            </w:pPr>
            <w:r>
              <w:rPr>
                <w:w w:val="125"/>
                <w:sz w:val="20"/>
              </w:rPr>
              <w:t>90</w:t>
            </w:r>
          </w:p>
        </w:tc>
        <w:tc>
          <w:tcPr>
            <w:tcW w:w="1875" w:type="dxa"/>
            <w:tcBorders>
              <w:right w:val="single" w:sz="34" w:space="0" w:color="000000"/>
            </w:tcBorders>
          </w:tcPr>
          <w:p>
            <w:pPr>
              <w:pStyle w:val="TableParagraph"/>
              <w:spacing w:before="108"/>
              <w:ind w:left="78"/>
              <w:rPr>
                <w:sz w:val="20"/>
              </w:rPr>
            </w:pPr>
            <w:r>
              <w:rPr>
                <w:w w:val="125"/>
                <w:sz w:val="20"/>
              </w:rPr>
              <w:t>31</w:t>
            </w:r>
          </w:p>
        </w:tc>
      </w:tr>
      <w:tr>
        <w:trPr>
          <w:trHeight w:val="373" w:hRule="atLeast"/>
        </w:trPr>
        <w:tc>
          <w:tcPr>
            <w:tcW w:w="619" w:type="dxa"/>
          </w:tcPr>
          <w:p>
            <w:pPr>
              <w:pStyle w:val="TableParagraph"/>
              <w:spacing w:before="108"/>
              <w:ind w:left="80"/>
              <w:rPr>
                <w:sz w:val="20"/>
              </w:rPr>
            </w:pPr>
            <w:r>
              <w:rPr>
                <w:w w:val="125"/>
                <w:sz w:val="20"/>
              </w:rPr>
              <w:t>4</w:t>
            </w:r>
          </w:p>
        </w:tc>
        <w:tc>
          <w:tcPr>
            <w:tcW w:w="2419" w:type="dxa"/>
          </w:tcPr>
          <w:p>
            <w:pPr>
              <w:pStyle w:val="TableParagraph"/>
              <w:spacing w:before="108"/>
              <w:ind w:left="80"/>
              <w:rPr>
                <w:sz w:val="20"/>
              </w:rPr>
            </w:pPr>
            <w:r>
              <w:rPr>
                <w:w w:val="120"/>
                <w:sz w:val="20"/>
              </w:rPr>
              <w:t>Yorkshire</w:t>
            </w:r>
          </w:p>
        </w:tc>
        <w:tc>
          <w:tcPr>
            <w:tcW w:w="1996" w:type="dxa"/>
          </w:tcPr>
          <w:p>
            <w:pPr>
              <w:pStyle w:val="TableParagraph"/>
              <w:spacing w:before="108"/>
              <w:ind w:left="79"/>
              <w:rPr>
                <w:sz w:val="20"/>
              </w:rPr>
            </w:pPr>
            <w:r>
              <w:rPr>
                <w:w w:val="125"/>
                <w:sz w:val="20"/>
              </w:rPr>
              <w:t>50</w:t>
            </w:r>
          </w:p>
        </w:tc>
        <w:tc>
          <w:tcPr>
            <w:tcW w:w="1928" w:type="dxa"/>
          </w:tcPr>
          <w:p>
            <w:pPr>
              <w:pStyle w:val="TableParagraph"/>
              <w:spacing w:before="108"/>
              <w:ind w:left="79"/>
              <w:rPr>
                <w:sz w:val="20"/>
              </w:rPr>
            </w:pPr>
            <w:r>
              <w:rPr>
                <w:w w:val="125"/>
                <w:sz w:val="20"/>
              </w:rPr>
              <w:t>108</w:t>
            </w:r>
          </w:p>
        </w:tc>
        <w:tc>
          <w:tcPr>
            <w:tcW w:w="1875" w:type="dxa"/>
            <w:tcBorders>
              <w:right w:val="single" w:sz="34" w:space="0" w:color="000000"/>
            </w:tcBorders>
          </w:tcPr>
          <w:p>
            <w:pPr>
              <w:pStyle w:val="TableParagraph"/>
              <w:spacing w:before="108"/>
              <w:ind w:left="79"/>
              <w:rPr>
                <w:sz w:val="20"/>
              </w:rPr>
            </w:pPr>
            <w:r>
              <w:rPr>
                <w:w w:val="125"/>
                <w:sz w:val="20"/>
              </w:rPr>
              <w:t>42</w:t>
            </w:r>
          </w:p>
        </w:tc>
      </w:tr>
      <w:tr>
        <w:trPr>
          <w:trHeight w:val="373" w:hRule="atLeast"/>
        </w:trPr>
        <w:tc>
          <w:tcPr>
            <w:tcW w:w="619" w:type="dxa"/>
          </w:tcPr>
          <w:p>
            <w:pPr>
              <w:pStyle w:val="TableParagraph"/>
              <w:spacing w:before="108"/>
              <w:ind w:left="80"/>
              <w:rPr>
                <w:sz w:val="20"/>
              </w:rPr>
            </w:pPr>
            <w:r>
              <w:rPr>
                <w:w w:val="125"/>
                <w:sz w:val="20"/>
              </w:rPr>
              <w:t>5</w:t>
            </w:r>
          </w:p>
        </w:tc>
        <w:tc>
          <w:tcPr>
            <w:tcW w:w="2419" w:type="dxa"/>
          </w:tcPr>
          <w:p>
            <w:pPr>
              <w:pStyle w:val="TableParagraph"/>
              <w:spacing w:before="108"/>
              <w:ind w:left="80"/>
              <w:rPr>
                <w:sz w:val="20"/>
              </w:rPr>
            </w:pPr>
            <w:r>
              <w:rPr>
                <w:w w:val="120"/>
                <w:sz w:val="20"/>
              </w:rPr>
              <w:t>East Midlands</w:t>
            </w:r>
          </w:p>
        </w:tc>
        <w:tc>
          <w:tcPr>
            <w:tcW w:w="1996" w:type="dxa"/>
          </w:tcPr>
          <w:p>
            <w:pPr>
              <w:pStyle w:val="TableParagraph"/>
              <w:spacing w:before="108"/>
              <w:ind w:left="79"/>
              <w:rPr>
                <w:sz w:val="20"/>
              </w:rPr>
            </w:pPr>
            <w:r>
              <w:rPr>
                <w:w w:val="125"/>
                <w:sz w:val="20"/>
              </w:rPr>
              <w:t>59</w:t>
            </w:r>
          </w:p>
        </w:tc>
        <w:tc>
          <w:tcPr>
            <w:tcW w:w="1928" w:type="dxa"/>
          </w:tcPr>
          <w:p>
            <w:pPr>
              <w:pStyle w:val="TableParagraph"/>
              <w:spacing w:before="108"/>
              <w:ind w:left="79"/>
              <w:rPr>
                <w:sz w:val="20"/>
              </w:rPr>
            </w:pPr>
            <w:r>
              <w:rPr>
                <w:w w:val="125"/>
                <w:sz w:val="20"/>
              </w:rPr>
              <w:t>144</w:t>
            </w:r>
          </w:p>
        </w:tc>
        <w:tc>
          <w:tcPr>
            <w:tcW w:w="1875" w:type="dxa"/>
            <w:tcBorders>
              <w:right w:val="single" w:sz="34" w:space="0" w:color="000000"/>
            </w:tcBorders>
          </w:tcPr>
          <w:p>
            <w:pPr>
              <w:pStyle w:val="TableParagraph"/>
              <w:spacing w:before="108"/>
              <w:ind w:left="79"/>
              <w:rPr>
                <w:sz w:val="20"/>
              </w:rPr>
            </w:pPr>
            <w:r>
              <w:rPr>
                <w:w w:val="125"/>
                <w:sz w:val="20"/>
              </w:rPr>
              <w:t>47</w:t>
            </w:r>
          </w:p>
        </w:tc>
      </w:tr>
      <w:tr>
        <w:trPr>
          <w:trHeight w:val="373" w:hRule="atLeast"/>
        </w:trPr>
        <w:tc>
          <w:tcPr>
            <w:tcW w:w="619" w:type="dxa"/>
          </w:tcPr>
          <w:p>
            <w:pPr>
              <w:pStyle w:val="TableParagraph"/>
              <w:spacing w:before="108"/>
              <w:ind w:left="81"/>
              <w:rPr>
                <w:sz w:val="20"/>
              </w:rPr>
            </w:pPr>
            <w:r>
              <w:rPr>
                <w:w w:val="125"/>
                <w:sz w:val="20"/>
              </w:rPr>
              <w:t>6</w:t>
            </w:r>
          </w:p>
        </w:tc>
        <w:tc>
          <w:tcPr>
            <w:tcW w:w="2419" w:type="dxa"/>
          </w:tcPr>
          <w:p>
            <w:pPr>
              <w:pStyle w:val="TableParagraph"/>
              <w:spacing w:before="108"/>
              <w:ind w:left="80"/>
              <w:rPr>
                <w:sz w:val="20"/>
              </w:rPr>
            </w:pPr>
            <w:r>
              <w:rPr>
                <w:w w:val="120"/>
                <w:sz w:val="20"/>
              </w:rPr>
              <w:t>West Midlands</w:t>
            </w:r>
          </w:p>
        </w:tc>
        <w:tc>
          <w:tcPr>
            <w:tcW w:w="1996" w:type="dxa"/>
          </w:tcPr>
          <w:p>
            <w:pPr>
              <w:pStyle w:val="TableParagraph"/>
              <w:spacing w:before="108"/>
              <w:ind w:left="80"/>
              <w:rPr>
                <w:sz w:val="20"/>
              </w:rPr>
            </w:pPr>
            <w:r>
              <w:rPr>
                <w:w w:val="125"/>
                <w:sz w:val="20"/>
              </w:rPr>
              <w:t>71</w:t>
            </w:r>
          </w:p>
        </w:tc>
        <w:tc>
          <w:tcPr>
            <w:tcW w:w="1928" w:type="dxa"/>
          </w:tcPr>
          <w:p>
            <w:pPr>
              <w:pStyle w:val="TableParagraph"/>
              <w:spacing w:before="108"/>
              <w:ind w:left="79"/>
              <w:rPr>
                <w:sz w:val="20"/>
              </w:rPr>
            </w:pPr>
            <w:r>
              <w:rPr>
                <w:w w:val="125"/>
                <w:sz w:val="20"/>
              </w:rPr>
              <w:t>137</w:t>
            </w:r>
          </w:p>
        </w:tc>
        <w:tc>
          <w:tcPr>
            <w:tcW w:w="1875" w:type="dxa"/>
            <w:tcBorders>
              <w:right w:val="single" w:sz="34" w:space="0" w:color="000000"/>
            </w:tcBorders>
          </w:tcPr>
          <w:p>
            <w:pPr>
              <w:pStyle w:val="TableParagraph"/>
              <w:spacing w:before="108"/>
              <w:ind w:left="79"/>
              <w:rPr>
                <w:sz w:val="20"/>
              </w:rPr>
            </w:pPr>
            <w:r>
              <w:rPr>
                <w:w w:val="125"/>
                <w:sz w:val="20"/>
              </w:rPr>
              <w:t>57</w:t>
            </w:r>
          </w:p>
        </w:tc>
      </w:tr>
      <w:tr>
        <w:trPr>
          <w:trHeight w:val="373" w:hRule="atLeast"/>
        </w:trPr>
        <w:tc>
          <w:tcPr>
            <w:tcW w:w="619" w:type="dxa"/>
          </w:tcPr>
          <w:p>
            <w:pPr>
              <w:pStyle w:val="TableParagraph"/>
              <w:spacing w:before="108"/>
              <w:ind w:left="81"/>
              <w:rPr>
                <w:sz w:val="20"/>
              </w:rPr>
            </w:pPr>
            <w:r>
              <w:rPr>
                <w:w w:val="125"/>
                <w:sz w:val="20"/>
              </w:rPr>
              <w:t>7</w:t>
            </w:r>
          </w:p>
        </w:tc>
        <w:tc>
          <w:tcPr>
            <w:tcW w:w="2419" w:type="dxa"/>
          </w:tcPr>
          <w:p>
            <w:pPr>
              <w:pStyle w:val="TableParagraph"/>
              <w:spacing w:before="108"/>
              <w:ind w:left="80"/>
              <w:rPr>
                <w:sz w:val="20"/>
              </w:rPr>
            </w:pPr>
            <w:r>
              <w:rPr>
                <w:w w:val="115"/>
                <w:sz w:val="20"/>
              </w:rPr>
              <w:t>Eastern</w:t>
            </w:r>
          </w:p>
        </w:tc>
        <w:tc>
          <w:tcPr>
            <w:tcW w:w="1996" w:type="dxa"/>
          </w:tcPr>
          <w:p>
            <w:pPr>
              <w:pStyle w:val="TableParagraph"/>
              <w:spacing w:before="108"/>
              <w:ind w:left="80"/>
              <w:rPr>
                <w:sz w:val="20"/>
              </w:rPr>
            </w:pPr>
            <w:r>
              <w:rPr>
                <w:w w:val="125"/>
                <w:sz w:val="20"/>
              </w:rPr>
              <w:t>84</w:t>
            </w:r>
          </w:p>
        </w:tc>
        <w:tc>
          <w:tcPr>
            <w:tcW w:w="1928" w:type="dxa"/>
          </w:tcPr>
          <w:p>
            <w:pPr>
              <w:pStyle w:val="TableParagraph"/>
              <w:spacing w:before="108"/>
              <w:ind w:left="80"/>
              <w:rPr>
                <w:sz w:val="20"/>
              </w:rPr>
            </w:pPr>
            <w:r>
              <w:rPr>
                <w:w w:val="125"/>
                <w:sz w:val="20"/>
              </w:rPr>
              <w:t>144</w:t>
            </w:r>
          </w:p>
        </w:tc>
        <w:tc>
          <w:tcPr>
            <w:tcW w:w="1875" w:type="dxa"/>
            <w:tcBorders>
              <w:right w:val="single" w:sz="34" w:space="0" w:color="000000"/>
            </w:tcBorders>
          </w:tcPr>
          <w:p>
            <w:pPr>
              <w:pStyle w:val="TableParagraph"/>
              <w:spacing w:before="108"/>
              <w:ind w:left="79"/>
              <w:rPr>
                <w:sz w:val="20"/>
              </w:rPr>
            </w:pPr>
            <w:r>
              <w:rPr>
                <w:w w:val="125"/>
                <w:sz w:val="20"/>
              </w:rPr>
              <w:t>51</w:t>
            </w:r>
          </w:p>
        </w:tc>
      </w:tr>
      <w:tr>
        <w:trPr>
          <w:trHeight w:val="373" w:hRule="atLeast"/>
        </w:trPr>
        <w:tc>
          <w:tcPr>
            <w:tcW w:w="619" w:type="dxa"/>
          </w:tcPr>
          <w:p>
            <w:pPr>
              <w:pStyle w:val="TableParagraph"/>
              <w:spacing w:before="108"/>
              <w:ind w:left="81"/>
              <w:rPr>
                <w:sz w:val="20"/>
              </w:rPr>
            </w:pPr>
            <w:r>
              <w:rPr>
                <w:w w:val="125"/>
                <w:sz w:val="20"/>
              </w:rPr>
              <w:t>8</w:t>
            </w:r>
          </w:p>
        </w:tc>
        <w:tc>
          <w:tcPr>
            <w:tcW w:w="2419" w:type="dxa"/>
          </w:tcPr>
          <w:p>
            <w:pPr>
              <w:pStyle w:val="TableParagraph"/>
              <w:spacing w:before="108"/>
              <w:ind w:left="81"/>
              <w:rPr>
                <w:sz w:val="20"/>
              </w:rPr>
            </w:pPr>
            <w:r>
              <w:rPr>
                <w:w w:val="120"/>
                <w:sz w:val="20"/>
              </w:rPr>
              <w:t>South Western</w:t>
            </w:r>
          </w:p>
        </w:tc>
        <w:tc>
          <w:tcPr>
            <w:tcW w:w="1996" w:type="dxa"/>
          </w:tcPr>
          <w:p>
            <w:pPr>
              <w:pStyle w:val="TableParagraph"/>
              <w:spacing w:before="108"/>
              <w:ind w:left="80"/>
              <w:rPr>
                <w:sz w:val="20"/>
              </w:rPr>
            </w:pPr>
            <w:r>
              <w:rPr>
                <w:w w:val="125"/>
                <w:sz w:val="20"/>
              </w:rPr>
              <w:t>80</w:t>
            </w:r>
          </w:p>
        </w:tc>
        <w:tc>
          <w:tcPr>
            <w:tcW w:w="1928" w:type="dxa"/>
          </w:tcPr>
          <w:p>
            <w:pPr>
              <w:pStyle w:val="TableParagraph"/>
              <w:spacing w:before="108"/>
              <w:ind w:left="80"/>
              <w:rPr>
                <w:sz w:val="20"/>
              </w:rPr>
            </w:pPr>
            <w:r>
              <w:rPr>
                <w:w w:val="125"/>
                <w:sz w:val="20"/>
              </w:rPr>
              <w:t>124</w:t>
            </w:r>
          </w:p>
        </w:tc>
        <w:tc>
          <w:tcPr>
            <w:tcW w:w="1875" w:type="dxa"/>
            <w:tcBorders>
              <w:right w:val="single" w:sz="34" w:space="0" w:color="000000"/>
            </w:tcBorders>
          </w:tcPr>
          <w:p>
            <w:pPr>
              <w:pStyle w:val="TableParagraph"/>
              <w:spacing w:before="108"/>
              <w:ind w:left="79"/>
              <w:rPr>
                <w:sz w:val="20"/>
              </w:rPr>
            </w:pPr>
            <w:r>
              <w:rPr>
                <w:w w:val="125"/>
                <w:sz w:val="20"/>
              </w:rPr>
              <w:t>44</w:t>
            </w:r>
          </w:p>
        </w:tc>
      </w:tr>
    </w:tbl>
    <w:p>
      <w:pPr>
        <w:pStyle w:val="BodyText"/>
        <w:spacing w:before="10"/>
        <w:rPr>
          <w:sz w:val="26"/>
        </w:rPr>
      </w:pPr>
      <w:r>
        <w:rPr/>
        <w:pict>
          <v:shape style="position:absolute;margin-left:99.921295pt;margin-top:18.604294pt;width:79.850pt;height:.1pt;mso-position-horizontal-relative:page;mso-position-vertical-relative:paragraph;z-index:-251385856;mso-wrap-distance-left:0;mso-wrap-distance-right:0" coordorigin="1998,372" coordsize="1597,0" path="m1998,372l3595,372e" filled="false" stroked="true" strokeweight=".5pt" strokecolor="#000000">
            <v:path arrowok="t"/>
            <v:stroke dashstyle="solid"/>
            <w10:wrap type="topAndBottom"/>
          </v:shape>
        </w:pict>
      </w:r>
    </w:p>
    <w:p>
      <w:pPr>
        <w:tabs>
          <w:tab w:pos="2437" w:val="left" w:leader="none"/>
        </w:tabs>
        <w:spacing w:before="55"/>
        <w:ind w:left="2437" w:right="1466" w:hanging="454"/>
        <w:jc w:val="left"/>
        <w:rPr>
          <w:sz w:val="18"/>
        </w:rPr>
      </w:pPr>
      <w:r>
        <w:rPr>
          <w:w w:val="115"/>
          <w:sz w:val="18"/>
        </w:rPr>
        <w:t>5</w:t>
        <w:tab/>
        <w:t>It is not always obvious when a manse is properly classified as such. This has led to variations  between synods asked for this</w:t>
      </w:r>
      <w:r>
        <w:rPr>
          <w:spacing w:val="25"/>
          <w:w w:val="115"/>
          <w:sz w:val="18"/>
        </w:rPr>
        <w:t> </w:t>
      </w:r>
      <w:r>
        <w:rPr>
          <w:w w:val="115"/>
          <w:sz w:val="18"/>
        </w:rPr>
        <w:t>information.</w:t>
      </w:r>
    </w:p>
    <w:p>
      <w:pPr>
        <w:spacing w:after="0"/>
        <w:jc w:val="left"/>
        <w:rPr>
          <w:sz w:val="18"/>
        </w:rPr>
        <w:sectPr>
          <w:pgSz w:w="11910" w:h="16840"/>
          <w:pgMar w:header="0" w:footer="647" w:top="1060" w:bottom="840" w:left="0" w:right="0"/>
        </w:sectPr>
      </w:pPr>
    </w:p>
    <w:p>
      <w:pPr>
        <w:pStyle w:val="BodyText"/>
        <w:tabs>
          <w:tab w:pos="1133" w:val="left" w:leader="none"/>
        </w:tabs>
        <w:ind w:left="240"/>
      </w:pPr>
      <w:r>
        <w:rPr>
          <w:position w:val="194"/>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position w:val="194"/>
        </w:rPr>
      </w:r>
      <w:r>
        <w:rPr>
          <w:position w:val="194"/>
        </w:rPr>
        <w:tab/>
      </w:r>
      <w:r>
        <w:rPr/>
        <w:pict>
          <v:shape style="width:443.85pt;height:124.65pt;mso-position-horizontal-relative:char;mso-position-vertical-relative:line" type="#_x0000_t202"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9"/>
                    <w:gridCol w:w="2419"/>
                    <w:gridCol w:w="1996"/>
                    <w:gridCol w:w="1928"/>
                    <w:gridCol w:w="1902"/>
                  </w:tblGrid>
                  <w:tr>
                    <w:trPr>
                      <w:trHeight w:val="373" w:hRule="atLeast"/>
                    </w:trPr>
                    <w:tc>
                      <w:tcPr>
                        <w:tcW w:w="619" w:type="dxa"/>
                      </w:tcPr>
                      <w:p>
                        <w:pPr>
                          <w:pStyle w:val="TableParagraph"/>
                          <w:spacing w:before="103"/>
                          <w:ind w:left="79"/>
                          <w:rPr>
                            <w:sz w:val="20"/>
                          </w:rPr>
                        </w:pPr>
                        <w:r>
                          <w:rPr>
                            <w:w w:val="125"/>
                            <w:sz w:val="20"/>
                          </w:rPr>
                          <w:t>9</w:t>
                        </w:r>
                      </w:p>
                    </w:tc>
                    <w:tc>
                      <w:tcPr>
                        <w:tcW w:w="2419" w:type="dxa"/>
                      </w:tcPr>
                      <w:p>
                        <w:pPr>
                          <w:pStyle w:val="TableParagraph"/>
                          <w:spacing w:before="103"/>
                          <w:ind w:left="79"/>
                          <w:rPr>
                            <w:sz w:val="20"/>
                          </w:rPr>
                        </w:pPr>
                        <w:r>
                          <w:rPr>
                            <w:w w:val="115"/>
                            <w:sz w:val="20"/>
                          </w:rPr>
                          <w:t>Wessex</w:t>
                        </w:r>
                      </w:p>
                    </w:tc>
                    <w:tc>
                      <w:tcPr>
                        <w:tcW w:w="1996" w:type="dxa"/>
                      </w:tcPr>
                      <w:p>
                        <w:pPr>
                          <w:pStyle w:val="TableParagraph"/>
                          <w:spacing w:before="103"/>
                          <w:ind w:left="79"/>
                          <w:rPr>
                            <w:sz w:val="20"/>
                          </w:rPr>
                        </w:pPr>
                        <w:r>
                          <w:rPr>
                            <w:w w:val="125"/>
                            <w:sz w:val="20"/>
                          </w:rPr>
                          <w:t>70</w:t>
                        </w:r>
                      </w:p>
                    </w:tc>
                    <w:tc>
                      <w:tcPr>
                        <w:tcW w:w="1928" w:type="dxa"/>
                      </w:tcPr>
                      <w:p>
                        <w:pPr>
                          <w:pStyle w:val="TableParagraph"/>
                          <w:spacing w:before="103"/>
                          <w:ind w:left="78"/>
                          <w:rPr>
                            <w:sz w:val="20"/>
                          </w:rPr>
                        </w:pPr>
                        <w:r>
                          <w:rPr>
                            <w:w w:val="125"/>
                            <w:sz w:val="20"/>
                          </w:rPr>
                          <w:t>141</w:t>
                        </w:r>
                      </w:p>
                    </w:tc>
                    <w:tc>
                      <w:tcPr>
                        <w:tcW w:w="1902" w:type="dxa"/>
                      </w:tcPr>
                      <w:p>
                        <w:pPr>
                          <w:pStyle w:val="TableParagraph"/>
                          <w:spacing w:before="103"/>
                          <w:ind w:left="78"/>
                          <w:rPr>
                            <w:sz w:val="20"/>
                          </w:rPr>
                        </w:pPr>
                        <w:r>
                          <w:rPr>
                            <w:w w:val="125"/>
                            <w:sz w:val="20"/>
                          </w:rPr>
                          <w:t>50</w:t>
                        </w:r>
                      </w:p>
                    </w:tc>
                  </w:tr>
                  <w:tr>
                    <w:trPr>
                      <w:trHeight w:val="373" w:hRule="atLeast"/>
                    </w:trPr>
                    <w:tc>
                      <w:tcPr>
                        <w:tcW w:w="619" w:type="dxa"/>
                      </w:tcPr>
                      <w:p>
                        <w:pPr>
                          <w:pStyle w:val="TableParagraph"/>
                          <w:spacing w:before="103"/>
                          <w:ind w:left="80"/>
                          <w:rPr>
                            <w:sz w:val="20"/>
                          </w:rPr>
                        </w:pPr>
                        <w:r>
                          <w:rPr>
                            <w:w w:val="125"/>
                            <w:sz w:val="20"/>
                          </w:rPr>
                          <w:t>10</w:t>
                        </w:r>
                      </w:p>
                    </w:tc>
                    <w:tc>
                      <w:tcPr>
                        <w:tcW w:w="2419" w:type="dxa"/>
                      </w:tcPr>
                      <w:p>
                        <w:pPr>
                          <w:pStyle w:val="TableParagraph"/>
                          <w:spacing w:before="103"/>
                          <w:ind w:left="79"/>
                          <w:rPr>
                            <w:sz w:val="20"/>
                          </w:rPr>
                        </w:pPr>
                        <w:r>
                          <w:rPr>
                            <w:w w:val="120"/>
                            <w:sz w:val="20"/>
                          </w:rPr>
                          <w:t>Thames North</w:t>
                        </w:r>
                      </w:p>
                    </w:tc>
                    <w:tc>
                      <w:tcPr>
                        <w:tcW w:w="1996" w:type="dxa"/>
                      </w:tcPr>
                      <w:p>
                        <w:pPr>
                          <w:pStyle w:val="TableParagraph"/>
                          <w:spacing w:before="103"/>
                          <w:ind w:left="79"/>
                          <w:rPr>
                            <w:sz w:val="20"/>
                          </w:rPr>
                        </w:pPr>
                        <w:r>
                          <w:rPr>
                            <w:w w:val="125"/>
                            <w:sz w:val="20"/>
                          </w:rPr>
                          <w:t>91</w:t>
                        </w:r>
                      </w:p>
                    </w:tc>
                    <w:tc>
                      <w:tcPr>
                        <w:tcW w:w="1928" w:type="dxa"/>
                      </w:tcPr>
                      <w:p>
                        <w:pPr>
                          <w:pStyle w:val="TableParagraph"/>
                          <w:spacing w:before="103"/>
                          <w:ind w:left="78"/>
                          <w:rPr>
                            <w:sz w:val="20"/>
                          </w:rPr>
                        </w:pPr>
                        <w:r>
                          <w:rPr>
                            <w:w w:val="125"/>
                            <w:sz w:val="20"/>
                          </w:rPr>
                          <w:t>141</w:t>
                        </w:r>
                      </w:p>
                    </w:tc>
                    <w:tc>
                      <w:tcPr>
                        <w:tcW w:w="1902" w:type="dxa"/>
                      </w:tcPr>
                      <w:p>
                        <w:pPr>
                          <w:pStyle w:val="TableParagraph"/>
                          <w:spacing w:before="103"/>
                          <w:ind w:left="78"/>
                          <w:rPr>
                            <w:sz w:val="20"/>
                          </w:rPr>
                        </w:pPr>
                        <w:r>
                          <w:rPr>
                            <w:w w:val="125"/>
                            <w:sz w:val="20"/>
                          </w:rPr>
                          <w:t>64</w:t>
                        </w:r>
                      </w:p>
                    </w:tc>
                  </w:tr>
                  <w:tr>
                    <w:trPr>
                      <w:trHeight w:val="373" w:hRule="atLeast"/>
                    </w:trPr>
                    <w:tc>
                      <w:tcPr>
                        <w:tcW w:w="619" w:type="dxa"/>
                      </w:tcPr>
                      <w:p>
                        <w:pPr>
                          <w:pStyle w:val="TableParagraph"/>
                          <w:spacing w:before="103"/>
                          <w:ind w:left="80"/>
                          <w:rPr>
                            <w:sz w:val="20"/>
                          </w:rPr>
                        </w:pPr>
                        <w:r>
                          <w:rPr>
                            <w:w w:val="125"/>
                            <w:sz w:val="20"/>
                          </w:rPr>
                          <w:t>11</w:t>
                        </w:r>
                      </w:p>
                    </w:tc>
                    <w:tc>
                      <w:tcPr>
                        <w:tcW w:w="2419" w:type="dxa"/>
                      </w:tcPr>
                      <w:p>
                        <w:pPr>
                          <w:pStyle w:val="TableParagraph"/>
                          <w:spacing w:before="103"/>
                          <w:ind w:left="80"/>
                          <w:rPr>
                            <w:sz w:val="20"/>
                          </w:rPr>
                        </w:pPr>
                        <w:r>
                          <w:rPr>
                            <w:w w:val="120"/>
                            <w:sz w:val="20"/>
                          </w:rPr>
                          <w:t>Southern</w:t>
                        </w:r>
                      </w:p>
                    </w:tc>
                    <w:tc>
                      <w:tcPr>
                        <w:tcW w:w="1996" w:type="dxa"/>
                      </w:tcPr>
                      <w:p>
                        <w:pPr>
                          <w:pStyle w:val="TableParagraph"/>
                          <w:spacing w:before="103"/>
                          <w:ind w:left="79"/>
                          <w:rPr>
                            <w:sz w:val="20"/>
                          </w:rPr>
                        </w:pPr>
                        <w:r>
                          <w:rPr>
                            <w:w w:val="125"/>
                            <w:sz w:val="20"/>
                          </w:rPr>
                          <w:t>87</w:t>
                        </w:r>
                      </w:p>
                    </w:tc>
                    <w:tc>
                      <w:tcPr>
                        <w:tcW w:w="1928" w:type="dxa"/>
                      </w:tcPr>
                      <w:p>
                        <w:pPr>
                          <w:pStyle w:val="TableParagraph"/>
                          <w:spacing w:before="103"/>
                          <w:ind w:left="79"/>
                          <w:rPr>
                            <w:sz w:val="20"/>
                          </w:rPr>
                        </w:pPr>
                        <w:r>
                          <w:rPr>
                            <w:w w:val="125"/>
                            <w:sz w:val="20"/>
                          </w:rPr>
                          <w:t>165</w:t>
                        </w:r>
                      </w:p>
                    </w:tc>
                    <w:tc>
                      <w:tcPr>
                        <w:tcW w:w="1902" w:type="dxa"/>
                      </w:tcPr>
                      <w:p>
                        <w:pPr>
                          <w:pStyle w:val="TableParagraph"/>
                          <w:spacing w:before="103"/>
                          <w:ind w:left="78"/>
                          <w:rPr>
                            <w:sz w:val="20"/>
                          </w:rPr>
                        </w:pPr>
                        <w:r>
                          <w:rPr>
                            <w:w w:val="125"/>
                            <w:sz w:val="20"/>
                          </w:rPr>
                          <w:t>79</w:t>
                        </w:r>
                      </w:p>
                    </w:tc>
                  </w:tr>
                  <w:tr>
                    <w:trPr>
                      <w:trHeight w:val="373" w:hRule="atLeast"/>
                    </w:trPr>
                    <w:tc>
                      <w:tcPr>
                        <w:tcW w:w="619" w:type="dxa"/>
                      </w:tcPr>
                      <w:p>
                        <w:pPr>
                          <w:pStyle w:val="TableParagraph"/>
                          <w:spacing w:before="103"/>
                          <w:ind w:left="80"/>
                          <w:rPr>
                            <w:sz w:val="20"/>
                          </w:rPr>
                        </w:pPr>
                        <w:r>
                          <w:rPr>
                            <w:w w:val="125"/>
                            <w:sz w:val="20"/>
                          </w:rPr>
                          <w:t>12</w:t>
                        </w:r>
                      </w:p>
                    </w:tc>
                    <w:tc>
                      <w:tcPr>
                        <w:tcW w:w="2419" w:type="dxa"/>
                      </w:tcPr>
                      <w:p>
                        <w:pPr>
                          <w:pStyle w:val="TableParagraph"/>
                          <w:spacing w:before="103"/>
                          <w:ind w:left="80"/>
                          <w:rPr>
                            <w:sz w:val="20"/>
                          </w:rPr>
                        </w:pPr>
                        <w:r>
                          <w:rPr>
                            <w:w w:val="115"/>
                            <w:sz w:val="20"/>
                          </w:rPr>
                          <w:t>Wales</w:t>
                        </w:r>
                      </w:p>
                    </w:tc>
                    <w:tc>
                      <w:tcPr>
                        <w:tcW w:w="1996" w:type="dxa"/>
                      </w:tcPr>
                      <w:p>
                        <w:pPr>
                          <w:pStyle w:val="TableParagraph"/>
                          <w:spacing w:before="103"/>
                          <w:ind w:left="79"/>
                          <w:rPr>
                            <w:sz w:val="20"/>
                          </w:rPr>
                        </w:pPr>
                        <w:r>
                          <w:rPr>
                            <w:w w:val="125"/>
                            <w:sz w:val="20"/>
                          </w:rPr>
                          <w:t>33</w:t>
                        </w:r>
                      </w:p>
                    </w:tc>
                    <w:tc>
                      <w:tcPr>
                        <w:tcW w:w="1928" w:type="dxa"/>
                      </w:tcPr>
                      <w:p>
                        <w:pPr>
                          <w:pStyle w:val="TableParagraph"/>
                          <w:spacing w:before="103"/>
                          <w:ind w:left="79"/>
                          <w:rPr>
                            <w:sz w:val="20"/>
                          </w:rPr>
                        </w:pPr>
                        <w:r>
                          <w:rPr>
                            <w:w w:val="125"/>
                            <w:sz w:val="20"/>
                          </w:rPr>
                          <w:t>115</w:t>
                        </w:r>
                      </w:p>
                    </w:tc>
                    <w:tc>
                      <w:tcPr>
                        <w:tcW w:w="1902" w:type="dxa"/>
                      </w:tcPr>
                      <w:p>
                        <w:pPr>
                          <w:pStyle w:val="TableParagraph"/>
                          <w:spacing w:before="103"/>
                          <w:ind w:left="79"/>
                          <w:rPr>
                            <w:sz w:val="20"/>
                          </w:rPr>
                        </w:pPr>
                        <w:r>
                          <w:rPr>
                            <w:w w:val="125"/>
                            <w:sz w:val="20"/>
                          </w:rPr>
                          <w:t>28</w:t>
                        </w:r>
                      </w:p>
                    </w:tc>
                  </w:tr>
                  <w:tr>
                    <w:trPr>
                      <w:trHeight w:val="373" w:hRule="atLeast"/>
                    </w:trPr>
                    <w:tc>
                      <w:tcPr>
                        <w:tcW w:w="619" w:type="dxa"/>
                      </w:tcPr>
                      <w:p>
                        <w:pPr>
                          <w:pStyle w:val="TableParagraph"/>
                          <w:spacing w:before="103"/>
                          <w:ind w:left="80"/>
                          <w:rPr>
                            <w:sz w:val="20"/>
                          </w:rPr>
                        </w:pPr>
                        <w:r>
                          <w:rPr>
                            <w:w w:val="125"/>
                            <w:sz w:val="20"/>
                          </w:rPr>
                          <w:t>13</w:t>
                        </w:r>
                      </w:p>
                    </w:tc>
                    <w:tc>
                      <w:tcPr>
                        <w:tcW w:w="2419" w:type="dxa"/>
                      </w:tcPr>
                      <w:p>
                        <w:pPr>
                          <w:pStyle w:val="TableParagraph"/>
                          <w:spacing w:before="103"/>
                          <w:ind w:left="80"/>
                          <w:rPr>
                            <w:sz w:val="20"/>
                          </w:rPr>
                        </w:pPr>
                        <w:r>
                          <w:rPr>
                            <w:w w:val="120"/>
                            <w:sz w:val="20"/>
                          </w:rPr>
                          <w:t>Scotland</w:t>
                        </w:r>
                      </w:p>
                    </w:tc>
                    <w:tc>
                      <w:tcPr>
                        <w:tcW w:w="1996" w:type="dxa"/>
                      </w:tcPr>
                      <w:p>
                        <w:pPr>
                          <w:pStyle w:val="TableParagraph"/>
                          <w:spacing w:before="103"/>
                          <w:ind w:left="79"/>
                          <w:rPr>
                            <w:sz w:val="20"/>
                          </w:rPr>
                        </w:pPr>
                        <w:r>
                          <w:rPr>
                            <w:w w:val="125"/>
                            <w:sz w:val="20"/>
                          </w:rPr>
                          <w:t>26</w:t>
                        </w:r>
                      </w:p>
                    </w:tc>
                    <w:tc>
                      <w:tcPr>
                        <w:tcW w:w="1928" w:type="dxa"/>
                      </w:tcPr>
                      <w:p>
                        <w:pPr>
                          <w:pStyle w:val="TableParagraph"/>
                          <w:spacing w:before="103"/>
                          <w:ind w:left="79"/>
                          <w:rPr>
                            <w:sz w:val="20"/>
                          </w:rPr>
                        </w:pPr>
                        <w:r>
                          <w:rPr>
                            <w:w w:val="125"/>
                            <w:sz w:val="20"/>
                          </w:rPr>
                          <w:t>53</w:t>
                        </w:r>
                      </w:p>
                    </w:tc>
                    <w:tc>
                      <w:tcPr>
                        <w:tcW w:w="1902" w:type="dxa"/>
                      </w:tcPr>
                      <w:p>
                        <w:pPr>
                          <w:pStyle w:val="TableParagraph"/>
                          <w:spacing w:before="103"/>
                          <w:ind w:left="79"/>
                          <w:rPr>
                            <w:sz w:val="20"/>
                          </w:rPr>
                        </w:pPr>
                        <w:r>
                          <w:rPr>
                            <w:w w:val="125"/>
                            <w:sz w:val="20"/>
                          </w:rPr>
                          <w:t>38</w:t>
                        </w:r>
                      </w:p>
                    </w:tc>
                  </w:tr>
                  <w:tr>
                    <w:trPr>
                      <w:trHeight w:val="556" w:hRule="atLeast"/>
                    </w:trPr>
                    <w:tc>
                      <w:tcPr>
                        <w:tcW w:w="619" w:type="dxa"/>
                        <w:shd w:val="clear" w:color="auto" w:fill="FFFBDC"/>
                      </w:tcPr>
                      <w:p>
                        <w:pPr>
                          <w:pStyle w:val="TableParagraph"/>
                          <w:rPr>
                            <w:rFonts w:ascii="Times New Roman"/>
                            <w:sz w:val="22"/>
                          </w:rPr>
                        </w:pPr>
                      </w:p>
                    </w:tc>
                    <w:tc>
                      <w:tcPr>
                        <w:tcW w:w="2419" w:type="dxa"/>
                        <w:shd w:val="clear" w:color="auto" w:fill="FFFBDC"/>
                      </w:tcPr>
                      <w:p>
                        <w:pPr>
                          <w:pStyle w:val="TableParagraph"/>
                          <w:spacing w:before="103"/>
                          <w:ind w:left="80"/>
                          <w:rPr>
                            <w:sz w:val="20"/>
                          </w:rPr>
                        </w:pPr>
                        <w:r>
                          <w:rPr>
                            <w:w w:val="120"/>
                            <w:sz w:val="20"/>
                          </w:rPr>
                          <w:t>Total</w:t>
                        </w:r>
                      </w:p>
                    </w:tc>
                    <w:tc>
                      <w:tcPr>
                        <w:tcW w:w="1996" w:type="dxa"/>
                        <w:shd w:val="clear" w:color="auto" w:fill="FFFBDC"/>
                      </w:tcPr>
                      <w:p>
                        <w:pPr>
                          <w:pStyle w:val="TableParagraph"/>
                          <w:spacing w:before="103"/>
                          <w:ind w:left="80"/>
                          <w:rPr>
                            <w:sz w:val="20"/>
                          </w:rPr>
                        </w:pPr>
                        <w:r>
                          <w:rPr>
                            <w:w w:val="125"/>
                            <w:sz w:val="20"/>
                          </w:rPr>
                          <w:t>813</w:t>
                        </w:r>
                      </w:p>
                    </w:tc>
                    <w:tc>
                      <w:tcPr>
                        <w:tcW w:w="1928" w:type="dxa"/>
                        <w:shd w:val="clear" w:color="auto" w:fill="FFFBDC"/>
                      </w:tcPr>
                      <w:p>
                        <w:pPr>
                          <w:pStyle w:val="TableParagraph"/>
                          <w:spacing w:before="103"/>
                          <w:ind w:left="79"/>
                          <w:rPr>
                            <w:sz w:val="20"/>
                          </w:rPr>
                        </w:pPr>
                        <w:r>
                          <w:rPr>
                            <w:w w:val="125"/>
                            <w:sz w:val="20"/>
                          </w:rPr>
                          <w:t>1587</w:t>
                        </w:r>
                      </w:p>
                    </w:tc>
                    <w:tc>
                      <w:tcPr>
                        <w:tcW w:w="1902" w:type="dxa"/>
                        <w:shd w:val="clear" w:color="auto" w:fill="FFFBDC"/>
                      </w:tcPr>
                      <w:p>
                        <w:pPr>
                          <w:pStyle w:val="TableParagraph"/>
                          <w:spacing w:before="103"/>
                          <w:ind w:left="79"/>
                          <w:rPr>
                            <w:sz w:val="20"/>
                          </w:rPr>
                        </w:pPr>
                        <w:r>
                          <w:rPr>
                            <w:w w:val="125"/>
                            <w:sz w:val="20"/>
                          </w:rPr>
                          <w:t>627</w:t>
                        </w:r>
                      </w:p>
                    </w:tc>
                  </w:tr>
                </w:tbl>
                <w:p>
                  <w:pPr>
                    <w:pStyle w:val="BodyText"/>
                  </w:pPr>
                </w:p>
              </w:txbxContent>
            </v:textbox>
          </v:shape>
        </w:pict>
      </w:r>
      <w:r>
        <w:rPr/>
      </w:r>
    </w:p>
    <w:p>
      <w:pPr>
        <w:pStyle w:val="BodyText"/>
        <w:spacing w:line="223" w:lineRule="auto" w:before="180"/>
        <w:ind w:left="1133" w:right="1634" w:firstLine="1"/>
      </w:pPr>
      <w:r>
        <w:rPr>
          <w:w w:val="120"/>
        </w:rPr>
        <w:t>In most synods there is roughly one manse for every two churches. On average there are roughly four manses for every three ministers</w:t>
      </w:r>
      <w:r>
        <w:rPr>
          <w:w w:val="120"/>
          <w:position w:val="4"/>
        </w:rPr>
        <w:t>6</w:t>
      </w:r>
      <w:r>
        <w:rPr>
          <w:w w:val="120"/>
        </w:rPr>
        <w:t>. There needs to be a surplus in order to facilitate the transfer of ministers from one pastorate to another, but arguably not on this scale. In every synod except Scotland, there are more manses than there are ministers.</w:t>
      </w:r>
    </w:p>
    <w:p>
      <w:pPr>
        <w:pStyle w:val="BodyText"/>
        <w:spacing w:line="242" w:lineRule="exact"/>
        <w:ind w:left="1133"/>
      </w:pPr>
      <w:r>
        <w:rPr>
          <w:w w:val="120"/>
        </w:rPr>
        <w:t>We deal with the explanation for Scotland’s position in paragraph 27 below.</w:t>
      </w:r>
    </w:p>
    <w:p>
      <w:pPr>
        <w:pStyle w:val="BodyText"/>
        <w:spacing w:before="11"/>
        <w:rPr>
          <w:sz w:val="18"/>
        </w:rPr>
      </w:pPr>
    </w:p>
    <w:p>
      <w:pPr>
        <w:pStyle w:val="ListParagraph"/>
        <w:numPr>
          <w:ilvl w:val="0"/>
          <w:numId w:val="104"/>
        </w:numPr>
        <w:tabs>
          <w:tab w:pos="1814" w:val="left" w:leader="none"/>
          <w:tab w:pos="1815" w:val="left" w:leader="none"/>
        </w:tabs>
        <w:spacing w:line="235" w:lineRule="auto" w:before="0" w:after="0"/>
        <w:ind w:left="1133" w:right="2488" w:hanging="1"/>
        <w:jc w:val="left"/>
        <w:rPr>
          <w:sz w:val="21"/>
        </w:rPr>
      </w:pPr>
      <w:r>
        <w:rPr>
          <w:w w:val="120"/>
          <w:sz w:val="20"/>
        </w:rPr>
        <w:t>Within the statutory framework some synods have now developed successful strategic manse policies with the consent of local churches. These encourage the local</w:t>
      </w:r>
      <w:r>
        <w:rPr>
          <w:spacing w:val="-7"/>
          <w:w w:val="120"/>
          <w:sz w:val="20"/>
        </w:rPr>
        <w:t> </w:t>
      </w:r>
      <w:r>
        <w:rPr>
          <w:w w:val="120"/>
          <w:sz w:val="20"/>
        </w:rPr>
        <w:t>churches</w:t>
      </w:r>
      <w:r>
        <w:rPr>
          <w:spacing w:val="-7"/>
          <w:w w:val="120"/>
          <w:sz w:val="20"/>
        </w:rPr>
        <w:t> </w:t>
      </w:r>
      <w:r>
        <w:rPr>
          <w:w w:val="120"/>
          <w:sz w:val="20"/>
        </w:rPr>
        <w:t>to</w:t>
      </w:r>
      <w:r>
        <w:rPr>
          <w:spacing w:val="-7"/>
          <w:w w:val="120"/>
          <w:sz w:val="20"/>
        </w:rPr>
        <w:t> </w:t>
      </w:r>
      <w:r>
        <w:rPr>
          <w:w w:val="120"/>
          <w:sz w:val="20"/>
        </w:rPr>
        <w:t>hand</w:t>
      </w:r>
      <w:r>
        <w:rPr>
          <w:spacing w:val="-7"/>
          <w:w w:val="120"/>
          <w:sz w:val="20"/>
        </w:rPr>
        <w:t> </w:t>
      </w:r>
      <w:r>
        <w:rPr>
          <w:w w:val="120"/>
          <w:sz w:val="20"/>
        </w:rPr>
        <w:t>over</w:t>
      </w:r>
      <w:r>
        <w:rPr>
          <w:spacing w:val="-7"/>
          <w:w w:val="120"/>
          <w:sz w:val="20"/>
        </w:rPr>
        <w:t> </w:t>
      </w:r>
      <w:r>
        <w:rPr>
          <w:w w:val="120"/>
          <w:sz w:val="20"/>
        </w:rPr>
        <w:t>to</w:t>
      </w:r>
      <w:r>
        <w:rPr>
          <w:spacing w:val="-6"/>
          <w:w w:val="120"/>
          <w:sz w:val="20"/>
        </w:rPr>
        <w:t> </w:t>
      </w:r>
      <w:r>
        <w:rPr>
          <w:w w:val="120"/>
          <w:sz w:val="20"/>
        </w:rPr>
        <w:t>the</w:t>
      </w:r>
      <w:r>
        <w:rPr>
          <w:spacing w:val="-7"/>
          <w:w w:val="120"/>
          <w:sz w:val="20"/>
        </w:rPr>
        <w:t> </w:t>
      </w:r>
      <w:r>
        <w:rPr>
          <w:i/>
          <w:w w:val="120"/>
          <w:sz w:val="20"/>
        </w:rPr>
        <w:t>Synod</w:t>
      </w:r>
      <w:r>
        <w:rPr>
          <w:i/>
          <w:spacing w:val="-10"/>
          <w:w w:val="120"/>
          <w:sz w:val="20"/>
        </w:rPr>
        <w:t> </w:t>
      </w:r>
      <w:r>
        <w:rPr>
          <w:i/>
          <w:w w:val="120"/>
          <w:sz w:val="20"/>
        </w:rPr>
        <w:t>Manse</w:t>
      </w:r>
      <w:r>
        <w:rPr>
          <w:i/>
          <w:spacing w:val="-9"/>
          <w:w w:val="120"/>
          <w:sz w:val="20"/>
        </w:rPr>
        <w:t> </w:t>
      </w:r>
      <w:r>
        <w:rPr>
          <w:i/>
          <w:w w:val="120"/>
          <w:sz w:val="20"/>
        </w:rPr>
        <w:t>Fund</w:t>
      </w:r>
      <w:r>
        <w:rPr>
          <w:i/>
          <w:spacing w:val="-9"/>
          <w:w w:val="120"/>
          <w:sz w:val="20"/>
        </w:rPr>
        <w:t> </w:t>
      </w:r>
      <w:r>
        <w:rPr>
          <w:w w:val="120"/>
          <w:sz w:val="20"/>
        </w:rPr>
        <w:t>the</w:t>
      </w:r>
      <w:r>
        <w:rPr>
          <w:spacing w:val="-7"/>
          <w:w w:val="120"/>
          <w:sz w:val="20"/>
        </w:rPr>
        <w:t> </w:t>
      </w:r>
      <w:r>
        <w:rPr>
          <w:w w:val="120"/>
          <w:sz w:val="20"/>
        </w:rPr>
        <w:t>proceeds</w:t>
      </w:r>
      <w:r>
        <w:rPr>
          <w:spacing w:val="-7"/>
          <w:w w:val="120"/>
          <w:sz w:val="20"/>
        </w:rPr>
        <w:t> </w:t>
      </w:r>
      <w:r>
        <w:rPr>
          <w:w w:val="120"/>
          <w:sz w:val="20"/>
        </w:rPr>
        <w:t>of</w:t>
      </w:r>
      <w:r>
        <w:rPr>
          <w:spacing w:val="-7"/>
          <w:w w:val="120"/>
          <w:sz w:val="20"/>
        </w:rPr>
        <w:t> </w:t>
      </w:r>
      <w:r>
        <w:rPr>
          <w:w w:val="120"/>
          <w:sz w:val="20"/>
        </w:rPr>
        <w:t>sale</w:t>
      </w:r>
      <w:r>
        <w:rPr>
          <w:spacing w:val="-6"/>
          <w:w w:val="120"/>
          <w:sz w:val="20"/>
        </w:rPr>
        <w:t> </w:t>
      </w:r>
      <w:r>
        <w:rPr>
          <w:w w:val="120"/>
          <w:sz w:val="20"/>
        </w:rPr>
        <w:t>of</w:t>
      </w:r>
      <w:r>
        <w:rPr>
          <w:spacing w:val="-7"/>
          <w:w w:val="120"/>
          <w:sz w:val="20"/>
        </w:rPr>
        <w:t> </w:t>
      </w:r>
      <w:r>
        <w:rPr>
          <w:w w:val="120"/>
          <w:sz w:val="20"/>
        </w:rPr>
        <w:t>a</w:t>
      </w:r>
      <w:r>
        <w:rPr>
          <w:spacing w:val="-7"/>
          <w:w w:val="120"/>
          <w:sz w:val="20"/>
        </w:rPr>
        <w:t> </w:t>
      </w:r>
      <w:r>
        <w:rPr>
          <w:w w:val="120"/>
          <w:sz w:val="20"/>
        </w:rPr>
        <w:t>manse that is no longer needed to house a minister and the rent from a vacant manse, on the</w:t>
      </w:r>
      <w:r>
        <w:rPr>
          <w:spacing w:val="4"/>
          <w:w w:val="120"/>
          <w:sz w:val="20"/>
        </w:rPr>
        <w:t> </w:t>
      </w:r>
      <w:r>
        <w:rPr>
          <w:w w:val="120"/>
          <w:sz w:val="20"/>
        </w:rPr>
        <w:t>understanding</w:t>
      </w:r>
      <w:r>
        <w:rPr>
          <w:spacing w:val="5"/>
          <w:w w:val="120"/>
          <w:sz w:val="20"/>
        </w:rPr>
        <w:t> </w:t>
      </w:r>
      <w:r>
        <w:rPr>
          <w:w w:val="120"/>
          <w:sz w:val="20"/>
        </w:rPr>
        <w:t>that</w:t>
      </w:r>
      <w:r>
        <w:rPr>
          <w:spacing w:val="5"/>
          <w:w w:val="120"/>
          <w:sz w:val="20"/>
        </w:rPr>
        <w:t> </w:t>
      </w:r>
      <w:r>
        <w:rPr>
          <w:w w:val="120"/>
          <w:sz w:val="20"/>
        </w:rPr>
        <w:t>if</w:t>
      </w:r>
      <w:r>
        <w:rPr>
          <w:spacing w:val="4"/>
          <w:w w:val="120"/>
          <w:sz w:val="20"/>
        </w:rPr>
        <w:t> </w:t>
      </w:r>
      <w:r>
        <w:rPr>
          <w:w w:val="120"/>
          <w:sz w:val="20"/>
        </w:rPr>
        <w:t>and</w:t>
      </w:r>
      <w:r>
        <w:rPr>
          <w:spacing w:val="5"/>
          <w:w w:val="120"/>
          <w:sz w:val="20"/>
        </w:rPr>
        <w:t> </w:t>
      </w:r>
      <w:r>
        <w:rPr>
          <w:w w:val="120"/>
          <w:sz w:val="20"/>
        </w:rPr>
        <w:t>when</w:t>
      </w:r>
      <w:r>
        <w:rPr>
          <w:spacing w:val="5"/>
          <w:w w:val="120"/>
          <w:sz w:val="20"/>
        </w:rPr>
        <w:t> </w:t>
      </w:r>
      <w:r>
        <w:rPr>
          <w:w w:val="120"/>
          <w:sz w:val="20"/>
        </w:rPr>
        <w:t>they</w:t>
      </w:r>
      <w:r>
        <w:rPr>
          <w:spacing w:val="4"/>
          <w:w w:val="120"/>
          <w:sz w:val="20"/>
        </w:rPr>
        <w:t> </w:t>
      </w:r>
      <w:r>
        <w:rPr>
          <w:w w:val="120"/>
          <w:sz w:val="20"/>
        </w:rPr>
        <w:t>call</w:t>
      </w:r>
      <w:r>
        <w:rPr>
          <w:spacing w:val="5"/>
          <w:w w:val="120"/>
          <w:sz w:val="20"/>
        </w:rPr>
        <w:t> </w:t>
      </w:r>
      <w:r>
        <w:rPr>
          <w:w w:val="120"/>
          <w:sz w:val="20"/>
        </w:rPr>
        <w:t>a</w:t>
      </w:r>
      <w:r>
        <w:rPr>
          <w:spacing w:val="5"/>
          <w:w w:val="120"/>
          <w:sz w:val="20"/>
        </w:rPr>
        <w:t> </w:t>
      </w:r>
      <w:r>
        <w:rPr>
          <w:w w:val="120"/>
          <w:sz w:val="20"/>
        </w:rPr>
        <w:t>minister,</w:t>
      </w:r>
      <w:r>
        <w:rPr>
          <w:spacing w:val="4"/>
          <w:w w:val="120"/>
          <w:sz w:val="20"/>
        </w:rPr>
        <w:t> </w:t>
      </w:r>
      <w:r>
        <w:rPr>
          <w:w w:val="120"/>
          <w:sz w:val="20"/>
        </w:rPr>
        <w:t>they</w:t>
      </w:r>
      <w:r>
        <w:rPr>
          <w:spacing w:val="5"/>
          <w:w w:val="120"/>
          <w:sz w:val="20"/>
        </w:rPr>
        <w:t> </w:t>
      </w:r>
      <w:r>
        <w:rPr>
          <w:w w:val="120"/>
          <w:sz w:val="20"/>
        </w:rPr>
        <w:t>will</w:t>
      </w:r>
      <w:r>
        <w:rPr>
          <w:spacing w:val="5"/>
          <w:w w:val="120"/>
          <w:sz w:val="20"/>
        </w:rPr>
        <w:t> </w:t>
      </w:r>
      <w:r>
        <w:rPr>
          <w:w w:val="120"/>
          <w:sz w:val="20"/>
        </w:rPr>
        <w:t>be</w:t>
      </w:r>
      <w:r>
        <w:rPr>
          <w:spacing w:val="5"/>
          <w:w w:val="120"/>
          <w:sz w:val="20"/>
        </w:rPr>
        <w:t> </w:t>
      </w:r>
      <w:r>
        <w:rPr>
          <w:w w:val="120"/>
          <w:sz w:val="20"/>
        </w:rPr>
        <w:t>provided</w:t>
      </w:r>
      <w:r>
        <w:rPr>
          <w:spacing w:val="4"/>
          <w:w w:val="120"/>
          <w:sz w:val="20"/>
        </w:rPr>
        <w:t> </w:t>
      </w:r>
      <w:r>
        <w:rPr>
          <w:w w:val="120"/>
          <w:sz w:val="20"/>
        </w:rPr>
        <w:t>with</w:t>
      </w:r>
      <w:r>
        <w:rPr>
          <w:spacing w:val="5"/>
          <w:w w:val="120"/>
          <w:sz w:val="20"/>
        </w:rPr>
        <w:t> </w:t>
      </w:r>
      <w:r>
        <w:rPr>
          <w:w w:val="120"/>
          <w:sz w:val="20"/>
        </w:rPr>
        <w:t>a</w:t>
      </w:r>
    </w:p>
    <w:p>
      <w:pPr>
        <w:pStyle w:val="BodyText"/>
        <w:spacing w:line="235" w:lineRule="auto" w:before="1"/>
        <w:ind w:left="1133" w:right="2076"/>
      </w:pPr>
      <w:r>
        <w:rPr>
          <w:w w:val="120"/>
        </w:rPr>
        <w:t>suitable manse. The synod (often through its trust </w:t>
      </w:r>
      <w:r>
        <w:rPr>
          <w:spacing w:val="-3"/>
          <w:w w:val="120"/>
        </w:rPr>
        <w:t>company) </w:t>
      </w:r>
      <w:r>
        <w:rPr>
          <w:w w:val="120"/>
        </w:rPr>
        <w:t>provides financial and other assistance with the cost of repairs and maintenance which remain the responsibility of the local church. Not all synods have chosen to develop a strategic manse policy along these</w:t>
      </w:r>
      <w:r>
        <w:rPr>
          <w:spacing w:val="1"/>
          <w:w w:val="120"/>
        </w:rPr>
        <w:t> </w:t>
      </w:r>
      <w:r>
        <w:rPr>
          <w:w w:val="120"/>
        </w:rPr>
        <w:t>lines.</w:t>
      </w:r>
    </w:p>
    <w:p>
      <w:pPr>
        <w:pStyle w:val="BodyText"/>
        <w:spacing w:before="11"/>
        <w:rPr>
          <w:sz w:val="19"/>
        </w:rPr>
      </w:pPr>
    </w:p>
    <w:p>
      <w:pPr>
        <w:pStyle w:val="ListParagraph"/>
        <w:numPr>
          <w:ilvl w:val="0"/>
          <w:numId w:val="104"/>
        </w:numPr>
        <w:tabs>
          <w:tab w:pos="1814" w:val="left" w:leader="none"/>
          <w:tab w:pos="1815" w:val="left" w:leader="none"/>
        </w:tabs>
        <w:spacing w:line="235" w:lineRule="auto" w:before="0" w:after="0"/>
        <w:ind w:left="1133" w:right="2203" w:firstLine="0"/>
        <w:jc w:val="left"/>
        <w:rPr>
          <w:sz w:val="20"/>
        </w:rPr>
      </w:pPr>
      <w:r>
        <w:rPr>
          <w:w w:val="120"/>
          <w:sz w:val="20"/>
        </w:rPr>
        <w:t>Those synods that currently operate a strategic manse policy have found that they normally need to sell two manses that do not meet the required standard in order to purchase one that does. Any surplus is reinvested. The value of manses held by churches is not confined to their disposal value. Voluntary labour in local churches for their own identified church </w:t>
      </w:r>
      <w:r>
        <w:rPr>
          <w:spacing w:val="2"/>
          <w:w w:val="120"/>
          <w:sz w:val="20"/>
        </w:rPr>
        <w:t>property </w:t>
      </w:r>
      <w:r>
        <w:rPr>
          <w:spacing w:val="-4"/>
          <w:w w:val="120"/>
          <w:sz w:val="20"/>
        </w:rPr>
        <w:t>(even </w:t>
      </w:r>
      <w:r>
        <w:rPr>
          <w:w w:val="120"/>
          <w:sz w:val="20"/>
        </w:rPr>
        <w:t>for manses held by synods) has significant value across the denomination which would be lost, and would be a substantial additional cost if the beneficial interest in those manses were compulsorily transferred to the</w:t>
      </w:r>
      <w:r>
        <w:rPr>
          <w:spacing w:val="4"/>
          <w:w w:val="120"/>
          <w:sz w:val="20"/>
        </w:rPr>
        <w:t> </w:t>
      </w:r>
      <w:r>
        <w:rPr>
          <w:w w:val="120"/>
          <w:sz w:val="20"/>
        </w:rPr>
        <w:t>denomination.</w:t>
      </w:r>
    </w:p>
    <w:p>
      <w:pPr>
        <w:pStyle w:val="BodyText"/>
        <w:spacing w:before="4"/>
        <w:rPr>
          <w:sz w:val="19"/>
        </w:rPr>
      </w:pPr>
    </w:p>
    <w:p>
      <w:pPr>
        <w:pStyle w:val="ListParagraph"/>
        <w:numPr>
          <w:ilvl w:val="0"/>
          <w:numId w:val="104"/>
        </w:numPr>
        <w:tabs>
          <w:tab w:pos="1814" w:val="left" w:leader="none"/>
          <w:tab w:pos="1815" w:val="left" w:leader="none"/>
        </w:tabs>
        <w:spacing w:line="235" w:lineRule="auto" w:before="1" w:after="0"/>
        <w:ind w:left="1133" w:right="2225" w:hanging="1"/>
        <w:jc w:val="left"/>
        <w:rPr>
          <w:sz w:val="21"/>
        </w:rPr>
      </w:pPr>
      <w:r>
        <w:rPr>
          <w:w w:val="120"/>
          <w:sz w:val="20"/>
        </w:rPr>
        <w:t>The assembly manse standard guidelines specify a three/four bedroomed   house with a lounge and dining room (preferably separate) and a study (downstairs is recommended). The present housing stock means that there are suitable manses, even in expensive areas of the country. Whatever the other merits of changing the</w:t>
      </w:r>
      <w:r>
        <w:rPr>
          <w:spacing w:val="1"/>
          <w:w w:val="120"/>
          <w:sz w:val="20"/>
        </w:rPr>
        <w:t> </w:t>
      </w:r>
      <w:r>
        <w:rPr>
          <w:w w:val="120"/>
          <w:sz w:val="20"/>
        </w:rPr>
        <w:t>manse</w:t>
      </w:r>
    </w:p>
    <w:p>
      <w:pPr>
        <w:pStyle w:val="BodyText"/>
        <w:spacing w:line="235" w:lineRule="auto"/>
        <w:ind w:left="1133" w:right="2076"/>
      </w:pPr>
      <w:r>
        <w:rPr>
          <w:w w:val="120"/>
        </w:rPr>
        <w:t>system we do not think such change will increase mobility or ensure that the church has the ministers it needs where and when it needs them. If the denomination comes out of the provision of tied housing in favour of paying an increased stipend, there will be some </w:t>
      </w:r>
      <w:r>
        <w:rPr>
          <w:spacing w:val="2"/>
          <w:w w:val="120"/>
        </w:rPr>
        <w:t>parts </w:t>
      </w:r>
      <w:r>
        <w:rPr>
          <w:w w:val="120"/>
        </w:rPr>
        <w:t>of the country </w:t>
      </w:r>
      <w:r>
        <w:rPr>
          <w:spacing w:val="-3"/>
          <w:w w:val="120"/>
        </w:rPr>
        <w:t>(south </w:t>
      </w:r>
      <w:r>
        <w:rPr>
          <w:w w:val="120"/>
        </w:rPr>
        <w:t>of the Severn – Thames </w:t>
      </w:r>
      <w:r>
        <w:rPr>
          <w:spacing w:val="-4"/>
          <w:w w:val="120"/>
        </w:rPr>
        <w:t>line) </w:t>
      </w:r>
      <w:r>
        <w:rPr>
          <w:w w:val="120"/>
        </w:rPr>
        <w:t>where it is unlikely that any minister would be able to afford to rent or buy a </w:t>
      </w:r>
      <w:r>
        <w:rPr>
          <w:spacing w:val="2"/>
          <w:w w:val="120"/>
        </w:rPr>
        <w:t>property </w:t>
      </w:r>
      <w:r>
        <w:rPr>
          <w:w w:val="120"/>
        </w:rPr>
        <w:t>of that standard. The church would have no real say in whether or not the chosen </w:t>
      </w:r>
      <w:r>
        <w:rPr>
          <w:spacing w:val="2"/>
          <w:w w:val="120"/>
        </w:rPr>
        <w:t>property </w:t>
      </w:r>
      <w:r>
        <w:rPr>
          <w:w w:val="120"/>
        </w:rPr>
        <w:t>was suitable. It might be  all that was affordable. The mobility of ministers would be seriously curtailed if assets  had to be realized by selling a house every time a minister sought to move</w:t>
      </w:r>
      <w:r>
        <w:rPr>
          <w:spacing w:val="35"/>
          <w:w w:val="120"/>
        </w:rPr>
        <w:t> </w:t>
      </w:r>
      <w:r>
        <w:rPr>
          <w:w w:val="120"/>
        </w:rPr>
        <w:t>pastorate.</w:t>
      </w:r>
    </w:p>
    <w:p>
      <w:pPr>
        <w:pStyle w:val="BodyText"/>
        <w:spacing w:line="235" w:lineRule="auto" w:before="6"/>
        <w:ind w:left="1133" w:right="1997"/>
      </w:pPr>
      <w:r>
        <w:rPr>
          <w:w w:val="120"/>
        </w:rPr>
        <w:t>There would also be a significant financial cost for the minister involved in moving home, which might deter some from changing pastorate.</w:t>
      </w:r>
    </w:p>
    <w:p>
      <w:pPr>
        <w:pStyle w:val="BodyText"/>
        <w:rPr>
          <w:sz w:val="19"/>
        </w:rPr>
      </w:pPr>
    </w:p>
    <w:p>
      <w:pPr>
        <w:pStyle w:val="ListParagraph"/>
        <w:numPr>
          <w:ilvl w:val="0"/>
          <w:numId w:val="104"/>
        </w:numPr>
        <w:tabs>
          <w:tab w:pos="1814" w:val="left" w:leader="none"/>
          <w:tab w:pos="1815" w:val="left" w:leader="none"/>
        </w:tabs>
        <w:spacing w:line="235" w:lineRule="auto" w:before="0" w:after="0"/>
        <w:ind w:left="1133" w:right="2108" w:hanging="1"/>
        <w:jc w:val="left"/>
        <w:rPr>
          <w:sz w:val="21"/>
        </w:rPr>
      </w:pPr>
      <w:r>
        <w:rPr>
          <w:w w:val="120"/>
          <w:sz w:val="20"/>
        </w:rPr>
        <w:t>A minister is required to live in a manse ‘for the better performance of his </w:t>
      </w:r>
      <w:r>
        <w:rPr>
          <w:spacing w:val="-3"/>
          <w:w w:val="120"/>
          <w:sz w:val="20"/>
        </w:rPr>
        <w:t>duties’. </w:t>
      </w:r>
      <w:r>
        <w:rPr>
          <w:w w:val="120"/>
          <w:sz w:val="20"/>
        </w:rPr>
        <w:t>This emphasises that the manse is a resource for the job and not simply a home for the minister. It is also key to the </w:t>
      </w:r>
      <w:r>
        <w:rPr>
          <w:spacing w:val="2"/>
          <w:w w:val="120"/>
          <w:sz w:val="20"/>
        </w:rPr>
        <w:t>tax </w:t>
      </w:r>
      <w:r>
        <w:rPr>
          <w:w w:val="120"/>
          <w:sz w:val="20"/>
        </w:rPr>
        <w:t>treatment of</w:t>
      </w:r>
      <w:r>
        <w:rPr>
          <w:spacing w:val="2"/>
          <w:w w:val="120"/>
          <w:sz w:val="20"/>
        </w:rPr>
        <w:t> </w:t>
      </w:r>
      <w:r>
        <w:rPr>
          <w:w w:val="120"/>
          <w:sz w:val="20"/>
        </w:rPr>
        <w:t>manses.</w:t>
      </w:r>
    </w:p>
    <w:p>
      <w:pPr>
        <w:pStyle w:val="BodyText"/>
      </w:pPr>
    </w:p>
    <w:p>
      <w:pPr>
        <w:pStyle w:val="BodyText"/>
      </w:pPr>
    </w:p>
    <w:p>
      <w:pPr>
        <w:pStyle w:val="BodyText"/>
      </w:pPr>
    </w:p>
    <w:p>
      <w:pPr>
        <w:pStyle w:val="BodyText"/>
      </w:pPr>
    </w:p>
    <w:p>
      <w:pPr>
        <w:pStyle w:val="BodyText"/>
        <w:spacing w:before="7"/>
        <w:rPr>
          <w:sz w:val="14"/>
        </w:rPr>
      </w:pPr>
      <w:r>
        <w:rPr/>
        <w:pict>
          <v:shape style="position:absolute;margin-left:54.992096pt;margin-top:11.132688pt;width:79.850pt;height:.1pt;mso-position-horizontal-relative:page;mso-position-vertical-relative:paragraph;z-index:-251381760;mso-wrap-distance-left:0;mso-wrap-distance-right:0" coordorigin="1100,223" coordsize="1597,0" path="m1100,223l2696,223e" filled="false" stroked="true" strokeweight=".5pt" strokecolor="#000000">
            <v:path arrowok="t"/>
            <v:stroke dashstyle="solid"/>
            <w10:wrap type="topAndBottom"/>
          </v:shape>
        </w:pict>
      </w:r>
    </w:p>
    <w:p>
      <w:pPr>
        <w:tabs>
          <w:tab w:pos="1553" w:val="left" w:leader="none"/>
        </w:tabs>
        <w:spacing w:before="101"/>
        <w:ind w:left="1099" w:right="0" w:firstLine="0"/>
        <w:jc w:val="left"/>
        <w:rPr>
          <w:sz w:val="18"/>
        </w:rPr>
      </w:pPr>
      <w:r>
        <w:rPr>
          <w:w w:val="120"/>
          <w:sz w:val="18"/>
        </w:rPr>
        <w:t>6</w:t>
        <w:tab/>
        <w:t>This calculation does not include ministers already living in their own</w:t>
      </w:r>
      <w:r>
        <w:rPr>
          <w:spacing w:val="21"/>
          <w:w w:val="120"/>
          <w:sz w:val="18"/>
        </w:rPr>
        <w:t> </w:t>
      </w:r>
      <w:r>
        <w:rPr>
          <w:w w:val="120"/>
          <w:sz w:val="18"/>
        </w:rPr>
        <w:t>property.</w:t>
      </w:r>
    </w:p>
    <w:p>
      <w:pPr>
        <w:spacing w:after="0"/>
        <w:jc w:val="left"/>
        <w:rPr>
          <w:sz w:val="18"/>
        </w:rPr>
        <w:sectPr>
          <w:headerReference w:type="even" r:id="rId208"/>
          <w:headerReference w:type="default" r:id="rId209"/>
          <w:footerReference w:type="even" r:id="rId210"/>
          <w:footerReference w:type="default" r:id="rId211"/>
          <w:pgSz w:w="11910" w:h="16840"/>
          <w:pgMar w:header="0" w:footer="647" w:top="1120" w:bottom="840" w:left="0" w:right="0"/>
          <w:pgNumType w:start="84"/>
        </w:sectPr>
      </w:pPr>
    </w:p>
    <w:p>
      <w:pPr>
        <w:pStyle w:val="ListParagraph"/>
        <w:numPr>
          <w:ilvl w:val="0"/>
          <w:numId w:val="109"/>
        </w:numPr>
        <w:tabs>
          <w:tab w:pos="2664" w:val="left" w:leader="none"/>
          <w:tab w:pos="2665" w:val="left" w:leader="none"/>
        </w:tabs>
        <w:spacing w:line="235" w:lineRule="auto" w:before="102" w:after="0"/>
        <w:ind w:left="1984" w:right="1185" w:hanging="1"/>
        <w:jc w:val="left"/>
        <w:rPr>
          <w:sz w:val="20"/>
        </w:rPr>
      </w:pPr>
      <w:r>
        <w:rPr/>
        <w:pict>
          <v:rect style="position:absolute;margin-left:558.424988pt;margin-top:8.50488pt;width:22.677pt;height:22.677pt;mso-position-horizontal-relative:page;mso-position-vertical-relative:paragraph;z-index:251935744" filled="true" fillcolor="#f9e9c1" stroked="false">
            <v:fill opacity="32768f" type="solid"/>
            <w10:wrap type="none"/>
          </v:rect>
        </w:pict>
      </w:r>
      <w:r>
        <w:rPr>
          <w:w w:val="120"/>
          <w:sz w:val="20"/>
        </w:rPr>
        <w:t>The present system of housing ministers in manses is </w:t>
      </w:r>
      <w:r>
        <w:rPr>
          <w:spacing w:val="2"/>
          <w:w w:val="120"/>
          <w:sz w:val="20"/>
        </w:rPr>
        <w:t>tax </w:t>
      </w:r>
      <w:r>
        <w:rPr>
          <w:w w:val="120"/>
          <w:sz w:val="20"/>
        </w:rPr>
        <w:t>efficient, as that requirement means that it is not regarded as a taxable benefit. A housing allowance would be. We have calculated that every £1,000 net paid to a minister in housing allowance would gross up to </w:t>
      </w:r>
      <w:r>
        <w:rPr>
          <w:spacing w:val="-6"/>
          <w:w w:val="120"/>
          <w:sz w:val="20"/>
        </w:rPr>
        <w:t>£1,450  </w:t>
      </w:r>
      <w:r>
        <w:rPr>
          <w:w w:val="120"/>
          <w:sz w:val="20"/>
        </w:rPr>
        <w:t>at basic rate of tax, and including additional  National Insurance. Furthermore as employer there would be an </w:t>
      </w:r>
      <w:r>
        <w:rPr>
          <w:spacing w:val="2"/>
          <w:w w:val="120"/>
          <w:sz w:val="20"/>
        </w:rPr>
        <w:t>extra </w:t>
      </w:r>
      <w:r>
        <w:rPr>
          <w:spacing w:val="-5"/>
          <w:w w:val="120"/>
          <w:sz w:val="20"/>
        </w:rPr>
        <w:t>£186 </w:t>
      </w:r>
      <w:r>
        <w:rPr>
          <w:w w:val="120"/>
          <w:sz w:val="20"/>
        </w:rPr>
        <w:t>of National Insurance contribution. That means an </w:t>
      </w:r>
      <w:r>
        <w:rPr>
          <w:spacing w:val="2"/>
          <w:w w:val="120"/>
          <w:sz w:val="20"/>
        </w:rPr>
        <w:t>extra </w:t>
      </w:r>
      <w:r>
        <w:rPr>
          <w:spacing w:val="-4"/>
          <w:w w:val="120"/>
          <w:sz w:val="20"/>
        </w:rPr>
        <w:t>£636 </w:t>
      </w:r>
      <w:r>
        <w:rPr>
          <w:w w:val="120"/>
          <w:sz w:val="20"/>
        </w:rPr>
        <w:t>would go directly to the Inland Revenue for every £1,000 put into ministers’ hands in housing allowance. If the intention is to pay some form of ‘rent’ to help with mortgage payments and the running costs of the </w:t>
      </w:r>
      <w:r>
        <w:rPr>
          <w:spacing w:val="2"/>
          <w:w w:val="120"/>
          <w:sz w:val="20"/>
        </w:rPr>
        <w:t>property </w:t>
      </w:r>
      <w:r>
        <w:rPr>
          <w:w w:val="120"/>
          <w:sz w:val="20"/>
        </w:rPr>
        <w:t>an average of </w:t>
      </w:r>
      <w:r>
        <w:rPr>
          <w:spacing w:val="-3"/>
          <w:w w:val="120"/>
          <w:sz w:val="20"/>
        </w:rPr>
        <w:t>£12,000 </w:t>
      </w:r>
      <w:r>
        <w:rPr>
          <w:w w:val="120"/>
          <w:sz w:val="20"/>
        </w:rPr>
        <w:t>does not seem unreasonable. At that level the </w:t>
      </w:r>
      <w:r>
        <w:rPr>
          <w:spacing w:val="2"/>
          <w:w w:val="120"/>
          <w:sz w:val="20"/>
        </w:rPr>
        <w:t>extra tax </w:t>
      </w:r>
      <w:r>
        <w:rPr>
          <w:w w:val="120"/>
          <w:sz w:val="20"/>
        </w:rPr>
        <w:t>cost per minister is </w:t>
      </w:r>
      <w:r>
        <w:rPr>
          <w:spacing w:val="-8"/>
          <w:w w:val="120"/>
          <w:sz w:val="20"/>
        </w:rPr>
        <w:t>£7,632 </w:t>
      </w:r>
      <w:r>
        <w:rPr>
          <w:w w:val="120"/>
          <w:sz w:val="20"/>
        </w:rPr>
        <w:t>per annum. If all ministers wanted to do that it comes</w:t>
      </w:r>
      <w:r>
        <w:rPr>
          <w:spacing w:val="18"/>
          <w:w w:val="120"/>
          <w:sz w:val="20"/>
        </w:rPr>
        <w:t> </w:t>
      </w:r>
      <w:r>
        <w:rPr>
          <w:w w:val="120"/>
          <w:sz w:val="20"/>
        </w:rPr>
        <w:t>to</w:t>
      </w:r>
    </w:p>
    <w:p>
      <w:pPr>
        <w:pStyle w:val="BodyText"/>
        <w:ind w:left="1984"/>
      </w:pPr>
      <w:r>
        <w:rPr>
          <w:w w:val="120"/>
        </w:rPr>
        <w:t>£5m per annum!</w:t>
      </w:r>
    </w:p>
    <w:p>
      <w:pPr>
        <w:pStyle w:val="BodyText"/>
        <w:spacing w:before="11"/>
        <w:rPr>
          <w:sz w:val="18"/>
        </w:rPr>
      </w:pPr>
    </w:p>
    <w:p>
      <w:pPr>
        <w:pStyle w:val="ListParagraph"/>
        <w:numPr>
          <w:ilvl w:val="0"/>
          <w:numId w:val="109"/>
        </w:numPr>
        <w:tabs>
          <w:tab w:pos="2664" w:val="left" w:leader="none"/>
          <w:tab w:pos="2665" w:val="left" w:leader="none"/>
        </w:tabs>
        <w:spacing w:line="235" w:lineRule="auto" w:before="0" w:after="0"/>
        <w:ind w:left="1984" w:right="1249" w:hanging="1"/>
        <w:jc w:val="left"/>
        <w:rPr>
          <w:sz w:val="20"/>
        </w:rPr>
      </w:pPr>
      <w:r>
        <w:rPr>
          <w:w w:val="120"/>
          <w:sz w:val="20"/>
        </w:rPr>
        <w:t>The Church would have to pay ministers a sufficiently high level of stipend for them to be able to buy or rent a </w:t>
      </w:r>
      <w:r>
        <w:rPr>
          <w:spacing w:val="2"/>
          <w:w w:val="120"/>
          <w:sz w:val="20"/>
        </w:rPr>
        <w:t>property </w:t>
      </w:r>
      <w:r>
        <w:rPr>
          <w:w w:val="120"/>
          <w:sz w:val="20"/>
        </w:rPr>
        <w:t>in the area in which they are to minister.  Since </w:t>
      </w:r>
      <w:r>
        <w:rPr>
          <w:spacing w:val="2"/>
          <w:w w:val="120"/>
          <w:sz w:val="20"/>
        </w:rPr>
        <w:t>property </w:t>
      </w:r>
      <w:r>
        <w:rPr>
          <w:w w:val="120"/>
          <w:sz w:val="20"/>
        </w:rPr>
        <w:t>costs are the most variable element in any household budget, it is unlikely that the current policy of paying the same stipend throughout the country would be sustainable. Some method would have to be devised to pay a weighted figure depending on the </w:t>
      </w:r>
      <w:r>
        <w:rPr>
          <w:spacing w:val="2"/>
          <w:w w:val="120"/>
          <w:sz w:val="20"/>
        </w:rPr>
        <w:t>property </w:t>
      </w:r>
      <w:r>
        <w:rPr>
          <w:w w:val="120"/>
          <w:sz w:val="20"/>
        </w:rPr>
        <w:t>costs in the</w:t>
      </w:r>
      <w:r>
        <w:rPr>
          <w:spacing w:val="15"/>
          <w:w w:val="120"/>
          <w:sz w:val="20"/>
        </w:rPr>
        <w:t> </w:t>
      </w:r>
      <w:r>
        <w:rPr>
          <w:w w:val="120"/>
          <w:sz w:val="20"/>
        </w:rPr>
        <w:t>area.</w:t>
      </w:r>
    </w:p>
    <w:p>
      <w:pPr>
        <w:spacing w:before="216"/>
        <w:ind w:left="1984" w:right="0" w:firstLine="0"/>
        <w:jc w:val="left"/>
        <w:rPr>
          <w:rFonts w:ascii="Stone Sans II ITC Std Bk"/>
          <w:b/>
          <w:sz w:val="21"/>
        </w:rPr>
      </w:pPr>
      <w:r>
        <w:rPr>
          <w:rFonts w:ascii="Stone Sans II ITC Std Bk"/>
          <w:b/>
          <w:w w:val="115"/>
          <w:sz w:val="21"/>
        </w:rPr>
        <w:t>The research evidence</w:t>
      </w:r>
    </w:p>
    <w:p>
      <w:pPr>
        <w:pStyle w:val="ListParagraph"/>
        <w:numPr>
          <w:ilvl w:val="0"/>
          <w:numId w:val="109"/>
        </w:numPr>
        <w:tabs>
          <w:tab w:pos="2664" w:val="left" w:leader="none"/>
          <w:tab w:pos="2665" w:val="left" w:leader="none"/>
        </w:tabs>
        <w:spacing w:line="235" w:lineRule="auto" w:before="213" w:after="0"/>
        <w:ind w:left="1984" w:right="1556" w:hanging="1"/>
        <w:jc w:val="left"/>
        <w:rPr>
          <w:sz w:val="20"/>
        </w:rPr>
      </w:pPr>
      <w:r>
        <w:rPr>
          <w:w w:val="120"/>
          <w:sz w:val="20"/>
        </w:rPr>
        <w:t>The Revd Mike Spencer carried out a sabbatical survey in 2005 into the views of serving ministers about their housing. The response rate was over 79%. His results showed that most manses were an acceptable size but that over one third were</w:t>
      </w:r>
      <w:r>
        <w:rPr>
          <w:spacing w:val="4"/>
          <w:w w:val="120"/>
          <w:sz w:val="20"/>
        </w:rPr>
        <w:t> </w:t>
      </w:r>
      <w:r>
        <w:rPr>
          <w:w w:val="120"/>
          <w:sz w:val="20"/>
        </w:rPr>
        <w:t>not</w:t>
      </w:r>
    </w:p>
    <w:p>
      <w:pPr>
        <w:pStyle w:val="BodyText"/>
        <w:spacing w:line="235" w:lineRule="auto"/>
        <w:ind w:left="1984" w:right="1120"/>
      </w:pPr>
      <w:r>
        <w:rPr>
          <w:w w:val="120"/>
        </w:rPr>
        <w:t>considered to be in good condition when the minister arrived. A substantial majority was in favour of centralised management of manses, regardless of whether they themselves had experienced difficulties in relation to the repair and maintenance of the manse.</w:t>
      </w:r>
    </w:p>
    <w:p>
      <w:pPr>
        <w:pStyle w:val="BodyText"/>
        <w:spacing w:line="235" w:lineRule="auto" w:before="2"/>
        <w:ind w:left="1984" w:right="1192"/>
      </w:pPr>
      <w:r>
        <w:rPr>
          <w:w w:val="120"/>
        </w:rPr>
        <w:t>About </w:t>
      </w:r>
      <w:r>
        <w:rPr>
          <w:spacing w:val="-7"/>
          <w:w w:val="120"/>
        </w:rPr>
        <w:t>75%  </w:t>
      </w:r>
      <w:r>
        <w:rPr>
          <w:w w:val="120"/>
        </w:rPr>
        <w:t>of respondents were interested in some form of housing association to  enable ministers to build up their share of </w:t>
      </w:r>
      <w:r>
        <w:rPr>
          <w:spacing w:val="2"/>
          <w:w w:val="120"/>
        </w:rPr>
        <w:t>property </w:t>
      </w:r>
      <w:r>
        <w:rPr>
          <w:w w:val="120"/>
        </w:rPr>
        <w:t>ownership throughout their ministry. One third already owned a</w:t>
      </w:r>
      <w:r>
        <w:rPr>
          <w:spacing w:val="12"/>
          <w:w w:val="120"/>
        </w:rPr>
        <w:t> </w:t>
      </w:r>
      <w:r>
        <w:rPr>
          <w:w w:val="120"/>
        </w:rPr>
        <w:t>property.</w:t>
      </w:r>
    </w:p>
    <w:p>
      <w:pPr>
        <w:pStyle w:val="BodyText"/>
        <w:rPr>
          <w:sz w:val="19"/>
        </w:rPr>
      </w:pPr>
    </w:p>
    <w:p>
      <w:pPr>
        <w:pStyle w:val="ListParagraph"/>
        <w:numPr>
          <w:ilvl w:val="0"/>
          <w:numId w:val="109"/>
        </w:numPr>
        <w:tabs>
          <w:tab w:pos="2664" w:val="left" w:leader="none"/>
          <w:tab w:pos="2665" w:val="left" w:leader="none"/>
        </w:tabs>
        <w:spacing w:line="235" w:lineRule="auto" w:before="1" w:after="0"/>
        <w:ind w:left="1984" w:right="1327" w:hanging="1"/>
        <w:jc w:val="left"/>
        <w:rPr>
          <w:sz w:val="20"/>
        </w:rPr>
      </w:pPr>
      <w:r>
        <w:rPr>
          <w:w w:val="120"/>
          <w:sz w:val="20"/>
        </w:rPr>
        <w:t>We decided to undertake a further survey to assess the current position, and in particular whether some of the assumptions upon which the different arguments are based are correct. We are very grateful to the Revd Nigel Appleton and his team for devising the questionnaire and collating the results. The response rate was high at </w:t>
      </w:r>
      <w:r>
        <w:rPr>
          <w:spacing w:val="-6"/>
          <w:w w:val="120"/>
          <w:sz w:val="20"/>
        </w:rPr>
        <w:t>71% </w:t>
      </w:r>
      <w:r>
        <w:rPr>
          <w:w w:val="120"/>
          <w:sz w:val="20"/>
        </w:rPr>
        <w:t>of the total number of serving ministers, spread across all the Synods. The full report, which includes an executive summary, can be found on the URC</w:t>
      </w:r>
      <w:r>
        <w:rPr>
          <w:spacing w:val="36"/>
          <w:w w:val="120"/>
          <w:sz w:val="20"/>
        </w:rPr>
        <w:t> </w:t>
      </w:r>
      <w:r>
        <w:rPr>
          <w:w w:val="120"/>
          <w:sz w:val="20"/>
        </w:rPr>
        <w:t>website.</w:t>
      </w:r>
    </w:p>
    <w:p>
      <w:pPr>
        <w:pStyle w:val="BodyText"/>
        <w:rPr>
          <w:sz w:val="19"/>
        </w:rPr>
      </w:pPr>
    </w:p>
    <w:p>
      <w:pPr>
        <w:pStyle w:val="ListParagraph"/>
        <w:numPr>
          <w:ilvl w:val="0"/>
          <w:numId w:val="109"/>
        </w:numPr>
        <w:tabs>
          <w:tab w:pos="2664" w:val="left" w:leader="none"/>
          <w:tab w:pos="2665" w:val="left" w:leader="none"/>
        </w:tabs>
        <w:spacing w:line="235" w:lineRule="auto" w:before="0" w:after="0"/>
        <w:ind w:left="1984" w:right="1266" w:hanging="1"/>
        <w:jc w:val="left"/>
        <w:rPr>
          <w:sz w:val="20"/>
        </w:rPr>
      </w:pPr>
      <w:r>
        <w:rPr>
          <w:w w:val="120"/>
          <w:sz w:val="20"/>
        </w:rPr>
        <w:t>Nearly </w:t>
      </w:r>
      <w:r>
        <w:rPr>
          <w:spacing w:val="-9"/>
          <w:w w:val="120"/>
          <w:sz w:val="20"/>
        </w:rPr>
        <w:t>13%  </w:t>
      </w:r>
      <w:r>
        <w:rPr>
          <w:w w:val="120"/>
          <w:sz w:val="20"/>
        </w:rPr>
        <w:t>of respondents live alone. The overwhelming majority </w:t>
      </w:r>
      <w:r>
        <w:rPr>
          <w:spacing w:val="-6"/>
          <w:w w:val="120"/>
          <w:sz w:val="20"/>
        </w:rPr>
        <w:t>(78%)  </w:t>
      </w:r>
      <w:r>
        <w:rPr>
          <w:w w:val="120"/>
          <w:sz w:val="20"/>
        </w:rPr>
        <w:t>are living with a partner or with a partner and children who are still in education. A striking finding is that almost 46% either owned </w:t>
      </w:r>
      <w:r>
        <w:rPr>
          <w:spacing w:val="2"/>
          <w:w w:val="120"/>
          <w:sz w:val="20"/>
        </w:rPr>
        <w:t>property </w:t>
      </w:r>
      <w:r>
        <w:rPr>
          <w:w w:val="120"/>
          <w:sz w:val="20"/>
        </w:rPr>
        <w:t>outright or were buying one with a mortgage before they entered the ministry. Half do not currently own a property, but the rest either own some form of </w:t>
      </w:r>
      <w:r>
        <w:rPr>
          <w:spacing w:val="2"/>
          <w:w w:val="120"/>
          <w:sz w:val="20"/>
        </w:rPr>
        <w:t>property </w:t>
      </w:r>
      <w:r>
        <w:rPr>
          <w:w w:val="120"/>
          <w:sz w:val="20"/>
        </w:rPr>
        <w:t>or </w:t>
      </w:r>
      <w:r>
        <w:rPr>
          <w:spacing w:val="2"/>
          <w:w w:val="120"/>
          <w:sz w:val="20"/>
        </w:rPr>
        <w:t>left </w:t>
      </w:r>
      <w:r>
        <w:rPr>
          <w:w w:val="120"/>
          <w:sz w:val="20"/>
        </w:rPr>
        <w:t>this section blank. When asked what they would like if the manse system were to be modified 20% would like to provide  their own </w:t>
      </w:r>
      <w:r>
        <w:rPr>
          <w:spacing w:val="2"/>
          <w:w w:val="120"/>
          <w:sz w:val="20"/>
        </w:rPr>
        <w:t>property </w:t>
      </w:r>
      <w:r>
        <w:rPr>
          <w:w w:val="120"/>
          <w:sz w:val="20"/>
        </w:rPr>
        <w:t>with financial help from the denomination and a further </w:t>
      </w:r>
      <w:r>
        <w:rPr>
          <w:spacing w:val="-5"/>
          <w:w w:val="120"/>
          <w:sz w:val="20"/>
        </w:rPr>
        <w:t>19% </w:t>
      </w:r>
      <w:r>
        <w:rPr>
          <w:w w:val="120"/>
          <w:sz w:val="20"/>
        </w:rPr>
        <w:t>would like to do so but do not think it will be possible. This is strongest among those entering the ministry in their 20s and 30s. The majority continue to expect to be provided with a manse and with housing in their</w:t>
      </w:r>
      <w:r>
        <w:rPr>
          <w:spacing w:val="12"/>
          <w:w w:val="120"/>
          <w:sz w:val="20"/>
        </w:rPr>
        <w:t> </w:t>
      </w:r>
      <w:r>
        <w:rPr>
          <w:w w:val="120"/>
          <w:sz w:val="20"/>
        </w:rPr>
        <w:t>retirement.</w:t>
      </w:r>
    </w:p>
    <w:p>
      <w:pPr>
        <w:pStyle w:val="BodyText"/>
        <w:spacing w:before="4"/>
        <w:rPr>
          <w:sz w:val="19"/>
        </w:rPr>
      </w:pPr>
    </w:p>
    <w:p>
      <w:pPr>
        <w:pStyle w:val="ListParagraph"/>
        <w:numPr>
          <w:ilvl w:val="0"/>
          <w:numId w:val="109"/>
        </w:numPr>
        <w:tabs>
          <w:tab w:pos="2664" w:val="left" w:leader="none"/>
          <w:tab w:pos="2665" w:val="left" w:leader="none"/>
        </w:tabs>
        <w:spacing w:line="235" w:lineRule="auto" w:before="0" w:after="0"/>
        <w:ind w:left="1984" w:right="1723" w:hanging="1"/>
        <w:jc w:val="left"/>
        <w:rPr>
          <w:sz w:val="20"/>
        </w:rPr>
      </w:pPr>
      <w:r>
        <w:rPr>
          <w:w w:val="120"/>
          <w:sz w:val="20"/>
        </w:rPr>
        <w:t>It is also right to mention that awareness that our working </w:t>
      </w:r>
      <w:r>
        <w:rPr>
          <w:spacing w:val="2"/>
          <w:w w:val="120"/>
          <w:sz w:val="20"/>
        </w:rPr>
        <w:t>party </w:t>
      </w:r>
      <w:r>
        <w:rPr>
          <w:w w:val="120"/>
          <w:sz w:val="20"/>
        </w:rPr>
        <w:t>was looking at possible change to the manse system has also caused anxiety to some who are dependent on the present arrangements</w:t>
      </w:r>
      <w:r>
        <w:rPr>
          <w:spacing w:val="15"/>
          <w:w w:val="120"/>
          <w:sz w:val="20"/>
        </w:rPr>
        <w:t> </w:t>
      </w:r>
      <w:r>
        <w:rPr>
          <w:w w:val="120"/>
          <w:sz w:val="20"/>
        </w:rPr>
        <w:t>continuing.</w:t>
      </w:r>
    </w:p>
    <w:p>
      <w:pPr>
        <w:spacing w:before="213"/>
        <w:ind w:left="1984" w:right="0" w:firstLine="0"/>
        <w:jc w:val="left"/>
        <w:rPr>
          <w:rFonts w:ascii="Stone Sans II ITC Std Bk"/>
          <w:b/>
          <w:sz w:val="21"/>
        </w:rPr>
      </w:pPr>
      <w:r>
        <w:rPr>
          <w:rFonts w:ascii="Stone Sans II ITC Std Bk"/>
          <w:b/>
          <w:w w:val="115"/>
          <w:sz w:val="21"/>
        </w:rPr>
        <w:t>Experience of other denominations and in Scotland</w:t>
      </w:r>
    </w:p>
    <w:p>
      <w:pPr>
        <w:pStyle w:val="ListParagraph"/>
        <w:numPr>
          <w:ilvl w:val="0"/>
          <w:numId w:val="109"/>
        </w:numPr>
        <w:tabs>
          <w:tab w:pos="2664" w:val="left" w:leader="none"/>
          <w:tab w:pos="2665" w:val="left" w:leader="none"/>
        </w:tabs>
        <w:spacing w:line="235" w:lineRule="auto" w:before="213" w:after="0"/>
        <w:ind w:left="1984" w:right="1334" w:hanging="1"/>
        <w:jc w:val="left"/>
        <w:rPr>
          <w:sz w:val="20"/>
        </w:rPr>
      </w:pPr>
      <w:r>
        <w:rPr>
          <w:w w:val="120"/>
          <w:sz w:val="20"/>
        </w:rPr>
        <w:t>We have made some enquiries of our ecumenical partners as to their present practice. Methodists provide a manse as the norm although some do have a housing allowance. Baptist churches are independent and therefore housing provision will vary. Their standardised housing allowance is</w:t>
      </w:r>
      <w:r>
        <w:rPr>
          <w:spacing w:val="13"/>
          <w:w w:val="120"/>
          <w:sz w:val="20"/>
        </w:rPr>
        <w:t> </w:t>
      </w:r>
      <w:r>
        <w:rPr>
          <w:w w:val="120"/>
          <w:sz w:val="20"/>
        </w:rPr>
        <w:t>£5,600.</w:t>
      </w:r>
    </w:p>
    <w:p>
      <w:pPr>
        <w:spacing w:after="0" w:line="235" w:lineRule="auto"/>
        <w:jc w:val="left"/>
        <w:rPr>
          <w:sz w:val="20"/>
        </w:rPr>
        <w:sectPr>
          <w:pgSz w:w="11910" w:h="16840"/>
          <w:pgMar w:header="0" w:footer="647" w:top="1060" w:bottom="840" w:left="0" w:right="0"/>
        </w:sectPr>
      </w:pPr>
    </w:p>
    <w:p>
      <w:pPr>
        <w:pStyle w:val="ListParagraph"/>
        <w:numPr>
          <w:ilvl w:val="0"/>
          <w:numId w:val="109"/>
        </w:numPr>
        <w:tabs>
          <w:tab w:pos="1814" w:val="left" w:leader="none"/>
          <w:tab w:pos="1815" w:val="left" w:leader="none"/>
        </w:tabs>
        <w:spacing w:line="235" w:lineRule="auto" w:before="118" w:after="0"/>
        <w:ind w:left="1133" w:right="2077" w:hanging="1"/>
        <w:jc w:val="left"/>
        <w:rPr>
          <w:sz w:val="20"/>
        </w:rPr>
      </w:pPr>
      <w:r>
        <w:rPr/>
        <w:pict>
          <v:rect style="position:absolute;margin-left:12.047pt;margin-top:8.47888pt;width:22.677pt;height:22.677pt;mso-position-horizontal-relative:page;mso-position-vertical-relative:paragraph;z-index:251936768" filled="true" fillcolor="#f9e9c1" stroked="false">
            <v:fill opacity="32768f" type="solid"/>
            <w10:wrap type="none"/>
          </v:rect>
        </w:pict>
      </w:r>
      <w:r>
        <w:rPr>
          <w:w w:val="120"/>
          <w:sz w:val="20"/>
        </w:rPr>
        <w:t>The Church of England Pensions Board undertook a major review of retirement housing with a consequent exploration of the housing issues for serving clergy. The final </w:t>
      </w:r>
      <w:r>
        <w:rPr>
          <w:spacing w:val="2"/>
          <w:w w:val="120"/>
          <w:sz w:val="20"/>
        </w:rPr>
        <w:t>report </w:t>
      </w:r>
      <w:r>
        <w:rPr>
          <w:w w:val="120"/>
          <w:sz w:val="20"/>
        </w:rPr>
        <w:t>was published in 2009. The board now offers two distinct services to ministers seeking housing in retirement. Although various other possibilities for assisting serving ministers to enter the </w:t>
      </w:r>
      <w:r>
        <w:rPr>
          <w:spacing w:val="2"/>
          <w:w w:val="120"/>
          <w:sz w:val="20"/>
        </w:rPr>
        <w:t>property </w:t>
      </w:r>
      <w:r>
        <w:rPr>
          <w:w w:val="120"/>
          <w:sz w:val="20"/>
        </w:rPr>
        <w:t>market were raised by the report, some of these have been ruled out as unfeasible, whilst others are not seen to be viable financially at the present time. The one proposal that has been developed is encouraging</w:t>
      </w:r>
      <w:r>
        <w:rPr>
          <w:spacing w:val="10"/>
          <w:w w:val="120"/>
          <w:sz w:val="20"/>
        </w:rPr>
        <w:t> </w:t>
      </w:r>
      <w:r>
        <w:rPr>
          <w:w w:val="120"/>
          <w:sz w:val="20"/>
        </w:rPr>
        <w:t>ordinands</w:t>
      </w:r>
    </w:p>
    <w:p>
      <w:pPr>
        <w:pStyle w:val="BodyText"/>
        <w:spacing w:line="235" w:lineRule="auto" w:before="3"/>
        <w:ind w:left="1133" w:right="2191"/>
      </w:pPr>
      <w:r>
        <w:rPr>
          <w:w w:val="120"/>
        </w:rPr>
        <w:t>and those in the early years of ministry to become more financially educated in order that those ministers can make better informed decisions regarding their future housing needs. While the United Reformed Church may not wish to do this formally, it is important that any advice given to ordinands is soundly based.</w:t>
      </w:r>
    </w:p>
    <w:p>
      <w:pPr>
        <w:pStyle w:val="BodyText"/>
        <w:spacing w:before="1"/>
        <w:rPr>
          <w:sz w:val="19"/>
        </w:rPr>
      </w:pPr>
    </w:p>
    <w:p>
      <w:pPr>
        <w:pStyle w:val="ListParagraph"/>
        <w:numPr>
          <w:ilvl w:val="0"/>
          <w:numId w:val="109"/>
        </w:numPr>
        <w:tabs>
          <w:tab w:pos="1814" w:val="left" w:leader="none"/>
          <w:tab w:pos="1815" w:val="left" w:leader="none"/>
        </w:tabs>
        <w:spacing w:line="235" w:lineRule="auto" w:before="0" w:after="0"/>
        <w:ind w:left="1133" w:right="2425" w:hanging="1"/>
        <w:jc w:val="left"/>
        <w:rPr>
          <w:sz w:val="20"/>
        </w:rPr>
      </w:pPr>
      <w:r>
        <w:rPr>
          <w:w w:val="120"/>
          <w:sz w:val="20"/>
        </w:rPr>
        <w:t>The legal and fiscal treatment of manses in Scotland is different. Council </w:t>
      </w:r>
      <w:r>
        <w:rPr>
          <w:spacing w:val="2"/>
          <w:w w:val="120"/>
          <w:sz w:val="20"/>
        </w:rPr>
        <w:t>tax </w:t>
      </w:r>
      <w:r>
        <w:rPr>
          <w:w w:val="120"/>
          <w:sz w:val="20"/>
        </w:rPr>
        <w:t>for ministers housed in their own properties is paid directly by the church, and is not treated as a taxable benefit. Manses are mostly owned by local churches. There is a shortage of manses. Over the years before union with the URC manses were sold</w:t>
      </w:r>
      <w:r>
        <w:rPr>
          <w:spacing w:val="41"/>
          <w:w w:val="120"/>
          <w:sz w:val="20"/>
        </w:rPr>
        <w:t> </w:t>
      </w:r>
      <w:r>
        <w:rPr>
          <w:w w:val="120"/>
          <w:sz w:val="20"/>
        </w:rPr>
        <w:t>by</w:t>
      </w:r>
    </w:p>
    <w:p>
      <w:pPr>
        <w:pStyle w:val="BodyText"/>
        <w:spacing w:line="235" w:lineRule="auto" w:before="1"/>
        <w:ind w:left="1133" w:right="2020"/>
      </w:pPr>
      <w:r>
        <w:rPr>
          <w:w w:val="120"/>
        </w:rPr>
        <w:t>local churches to provide resources to keep the church going. Thus they have churches that have ministers with their own houses who would be unable to call a minister who would require a manse, and churches that are vacant or soon will be that have no manse. In 2004 the Synod had sufficient resources to buy two manses, only one if the vacancy was in Edinburgh, but that would have left the Synod with no cash at all so that was not an option. Since then the Synod has been creating a manse fund to replenish stock. The Synod adheres to the procedure as set out in the United Reformed Church Act 2000 in relation to acquisition and disposal etc of manses. Where the church is continuing then it is a matter of the resources from disposal funding a replacement but otherwise they aim to build up a Synod Manse Fund.</w:t>
      </w:r>
    </w:p>
    <w:p>
      <w:pPr>
        <w:pStyle w:val="BodyText"/>
        <w:spacing w:before="8"/>
        <w:rPr>
          <w:sz w:val="19"/>
        </w:rPr>
      </w:pPr>
    </w:p>
    <w:p>
      <w:pPr>
        <w:pStyle w:val="ListParagraph"/>
        <w:numPr>
          <w:ilvl w:val="0"/>
          <w:numId w:val="109"/>
        </w:numPr>
        <w:tabs>
          <w:tab w:pos="1814" w:val="left" w:leader="none"/>
          <w:tab w:pos="1815" w:val="left" w:leader="none"/>
        </w:tabs>
        <w:spacing w:line="232" w:lineRule="auto" w:before="0" w:after="0"/>
        <w:ind w:left="1133" w:right="2622" w:hanging="1"/>
        <w:jc w:val="left"/>
        <w:rPr>
          <w:sz w:val="20"/>
        </w:rPr>
      </w:pPr>
      <w:r>
        <w:rPr>
          <w:w w:val="120"/>
          <w:sz w:val="20"/>
        </w:rPr>
        <w:t>The Revd Craig Bowman has made enquiries of ecumenical partners in the USA</w:t>
      </w:r>
      <w:r>
        <w:rPr>
          <w:spacing w:val="5"/>
          <w:w w:val="120"/>
          <w:sz w:val="20"/>
        </w:rPr>
        <w:t> </w:t>
      </w:r>
      <w:r>
        <w:rPr>
          <w:w w:val="120"/>
          <w:sz w:val="20"/>
        </w:rPr>
        <w:t>and</w:t>
      </w:r>
      <w:r>
        <w:rPr>
          <w:spacing w:val="6"/>
          <w:w w:val="120"/>
          <w:sz w:val="20"/>
        </w:rPr>
        <w:t> </w:t>
      </w:r>
      <w:r>
        <w:rPr>
          <w:w w:val="120"/>
          <w:sz w:val="20"/>
        </w:rPr>
        <w:t>Canada.</w:t>
      </w:r>
      <w:r>
        <w:rPr>
          <w:spacing w:val="6"/>
          <w:w w:val="120"/>
          <w:sz w:val="20"/>
        </w:rPr>
        <w:t> </w:t>
      </w:r>
      <w:r>
        <w:rPr>
          <w:w w:val="120"/>
          <w:sz w:val="20"/>
        </w:rPr>
        <w:t>The</w:t>
      </w:r>
      <w:r>
        <w:rPr>
          <w:spacing w:val="5"/>
          <w:w w:val="120"/>
          <w:sz w:val="20"/>
        </w:rPr>
        <w:t> </w:t>
      </w:r>
      <w:r>
        <w:rPr>
          <w:w w:val="120"/>
          <w:sz w:val="20"/>
        </w:rPr>
        <w:t>United</w:t>
      </w:r>
      <w:r>
        <w:rPr>
          <w:spacing w:val="6"/>
          <w:w w:val="120"/>
          <w:sz w:val="20"/>
        </w:rPr>
        <w:t> </w:t>
      </w:r>
      <w:r>
        <w:rPr>
          <w:w w:val="120"/>
          <w:sz w:val="20"/>
        </w:rPr>
        <w:t>Methodist</w:t>
      </w:r>
      <w:r>
        <w:rPr>
          <w:spacing w:val="6"/>
          <w:w w:val="120"/>
          <w:sz w:val="20"/>
        </w:rPr>
        <w:t> </w:t>
      </w:r>
      <w:r>
        <w:rPr>
          <w:w w:val="120"/>
          <w:sz w:val="20"/>
        </w:rPr>
        <w:t>Church</w:t>
      </w:r>
      <w:r>
        <w:rPr>
          <w:spacing w:val="6"/>
          <w:w w:val="120"/>
          <w:sz w:val="20"/>
        </w:rPr>
        <w:t> </w:t>
      </w:r>
      <w:r>
        <w:rPr>
          <w:w w:val="120"/>
          <w:sz w:val="20"/>
        </w:rPr>
        <w:t>there</w:t>
      </w:r>
      <w:r>
        <w:rPr>
          <w:spacing w:val="5"/>
          <w:w w:val="120"/>
          <w:sz w:val="20"/>
        </w:rPr>
        <w:t> </w:t>
      </w:r>
      <w:r>
        <w:rPr>
          <w:w w:val="120"/>
          <w:sz w:val="20"/>
        </w:rPr>
        <w:t>still</w:t>
      </w:r>
      <w:r>
        <w:rPr>
          <w:spacing w:val="6"/>
          <w:w w:val="120"/>
          <w:sz w:val="20"/>
        </w:rPr>
        <w:t> </w:t>
      </w:r>
      <w:r>
        <w:rPr>
          <w:w w:val="120"/>
          <w:sz w:val="20"/>
        </w:rPr>
        <w:t>provides</w:t>
      </w:r>
      <w:r>
        <w:rPr>
          <w:spacing w:val="6"/>
          <w:w w:val="120"/>
          <w:sz w:val="20"/>
        </w:rPr>
        <w:t> </w:t>
      </w:r>
      <w:r>
        <w:rPr>
          <w:w w:val="120"/>
          <w:sz w:val="20"/>
        </w:rPr>
        <w:t>manses</w:t>
      </w:r>
      <w:r>
        <w:rPr>
          <w:spacing w:val="5"/>
          <w:w w:val="120"/>
          <w:sz w:val="20"/>
        </w:rPr>
        <w:t> </w:t>
      </w:r>
      <w:r>
        <w:rPr>
          <w:w w:val="120"/>
          <w:sz w:val="20"/>
        </w:rPr>
        <w:t>but</w:t>
      </w:r>
      <w:r>
        <w:rPr>
          <w:spacing w:val="6"/>
          <w:w w:val="120"/>
          <w:sz w:val="20"/>
        </w:rPr>
        <w:t> </w:t>
      </w:r>
      <w:r>
        <w:rPr>
          <w:w w:val="120"/>
          <w:sz w:val="20"/>
        </w:rPr>
        <w:t>the</w:t>
      </w:r>
    </w:p>
    <w:p>
      <w:pPr>
        <w:pStyle w:val="BodyText"/>
        <w:spacing w:line="235" w:lineRule="auto" w:before="2"/>
        <w:ind w:left="1133" w:right="2076"/>
      </w:pPr>
      <w:r>
        <w:rPr>
          <w:w w:val="120"/>
        </w:rPr>
        <w:t>Presbyterian Church USA and the United Church of Christ do not have a consistent policy of doing so, not least because congregations have sold off a lot of their properties and cannot afford to replace them. In the United Church of Canada, each pastoral charge deals with the matter differently. Where a housing allowance is paid it must be at least 20% of salary. It is not easy to translate their practice to the UK</w:t>
      </w:r>
      <w:r>
        <w:rPr>
          <w:spacing w:val="15"/>
          <w:w w:val="120"/>
        </w:rPr>
        <w:t> </w:t>
      </w:r>
      <w:r>
        <w:rPr>
          <w:w w:val="120"/>
        </w:rPr>
        <w:t>situation.</w:t>
      </w:r>
    </w:p>
    <w:p>
      <w:pPr>
        <w:pStyle w:val="BodyText"/>
        <w:spacing w:before="9"/>
        <w:rPr>
          <w:sz w:val="17"/>
        </w:rPr>
      </w:pPr>
    </w:p>
    <w:p>
      <w:pPr>
        <w:spacing w:before="1"/>
        <w:ind w:left="1133" w:right="0" w:firstLine="0"/>
        <w:jc w:val="left"/>
        <w:rPr>
          <w:rFonts w:ascii="Stone Sans II ITC Std Bk"/>
          <w:b/>
          <w:sz w:val="21"/>
        </w:rPr>
      </w:pPr>
      <w:r>
        <w:rPr>
          <w:rFonts w:ascii="Stone Sans II ITC Std Bk"/>
          <w:b/>
          <w:w w:val="115"/>
          <w:sz w:val="21"/>
        </w:rPr>
        <w:t>Possible ways forward</w:t>
      </w:r>
    </w:p>
    <w:p>
      <w:pPr>
        <w:pStyle w:val="ListParagraph"/>
        <w:numPr>
          <w:ilvl w:val="0"/>
          <w:numId w:val="109"/>
        </w:numPr>
        <w:tabs>
          <w:tab w:pos="1814" w:val="left" w:leader="none"/>
          <w:tab w:pos="1815" w:val="left" w:leader="none"/>
        </w:tabs>
        <w:spacing w:line="235" w:lineRule="auto" w:before="213" w:after="0"/>
        <w:ind w:left="1133" w:right="2166" w:hanging="1"/>
        <w:jc w:val="left"/>
        <w:rPr>
          <w:sz w:val="20"/>
        </w:rPr>
      </w:pPr>
      <w:r>
        <w:rPr>
          <w:w w:val="120"/>
          <w:sz w:val="20"/>
        </w:rPr>
        <w:t>We have identified these in paragraph 5 above, and shall now consider them in more detail. Before doing so, we should acknowledge the disappointment felt by those on our working </w:t>
      </w:r>
      <w:r>
        <w:rPr>
          <w:spacing w:val="2"/>
          <w:w w:val="120"/>
          <w:sz w:val="20"/>
        </w:rPr>
        <w:t>party </w:t>
      </w:r>
      <w:r>
        <w:rPr>
          <w:w w:val="120"/>
          <w:sz w:val="20"/>
        </w:rPr>
        <w:t>who had hoped that we might adopt a more radical solution to the problems that have been identified. That we have not felt able to do so is in</w:t>
      </w:r>
      <w:r>
        <w:rPr>
          <w:spacing w:val="29"/>
          <w:w w:val="120"/>
          <w:sz w:val="20"/>
        </w:rPr>
        <w:t> </w:t>
      </w:r>
      <w:r>
        <w:rPr>
          <w:spacing w:val="2"/>
          <w:w w:val="120"/>
          <w:sz w:val="20"/>
        </w:rPr>
        <w:t>part</w:t>
      </w:r>
    </w:p>
    <w:p>
      <w:pPr>
        <w:pStyle w:val="BodyText"/>
        <w:spacing w:line="235" w:lineRule="auto"/>
        <w:ind w:left="1133" w:right="2110"/>
      </w:pPr>
      <w:r>
        <w:rPr>
          <w:w w:val="120"/>
        </w:rPr>
        <w:t>a reflection of the different areas of expertise we have brought to the working group, but it is also a testimony to the difficulty we have had in considering these issues. The debate on the manse system is only </w:t>
      </w:r>
      <w:r>
        <w:rPr>
          <w:spacing w:val="2"/>
          <w:w w:val="120"/>
        </w:rPr>
        <w:t>part </w:t>
      </w:r>
      <w:r>
        <w:rPr>
          <w:w w:val="120"/>
        </w:rPr>
        <w:t>of much wider issues about the nature of ministry; whether the URC can continue with its present pattern of small congregations stretching ministerial resources and controlling substantial financial resources; and the future of the URC over the next ten years. We have to decide whether we should hold  to the traditional theological basis of remunerating ministers or move to a system</w:t>
      </w:r>
      <w:r>
        <w:rPr>
          <w:spacing w:val="23"/>
          <w:w w:val="120"/>
        </w:rPr>
        <w:t> </w:t>
      </w:r>
      <w:r>
        <w:rPr>
          <w:w w:val="120"/>
        </w:rPr>
        <w:t>which</w:t>
      </w:r>
    </w:p>
    <w:p>
      <w:pPr>
        <w:pStyle w:val="BodyText"/>
        <w:spacing w:line="235" w:lineRule="auto" w:before="5"/>
        <w:ind w:left="1133" w:right="1997"/>
      </w:pPr>
      <w:r>
        <w:rPr>
          <w:w w:val="120"/>
        </w:rPr>
        <w:t>recognizes their aspirations to own property as one which the denomination for pastoral reasons should try to meet.</w:t>
      </w:r>
    </w:p>
    <w:p>
      <w:pPr>
        <w:pStyle w:val="BodyText"/>
        <w:spacing w:before="2"/>
        <w:rPr>
          <w:sz w:val="19"/>
        </w:rPr>
      </w:pPr>
    </w:p>
    <w:p>
      <w:pPr>
        <w:pStyle w:val="ListParagraph"/>
        <w:numPr>
          <w:ilvl w:val="0"/>
          <w:numId w:val="109"/>
        </w:numPr>
        <w:tabs>
          <w:tab w:pos="1814" w:val="left" w:leader="none"/>
          <w:tab w:pos="1815" w:val="left" w:leader="none"/>
        </w:tabs>
        <w:spacing w:line="232" w:lineRule="auto" w:before="1" w:after="0"/>
        <w:ind w:left="1133" w:right="2027" w:hanging="1"/>
        <w:jc w:val="left"/>
        <w:rPr>
          <w:sz w:val="20"/>
        </w:rPr>
      </w:pPr>
      <w:r>
        <w:rPr>
          <w:w w:val="120"/>
          <w:sz w:val="20"/>
        </w:rPr>
        <w:t>Fundamentally the issue is whether local churches have the collective will to make a change to the remuneration system and, if so, how radical they are prepared to</w:t>
      </w:r>
      <w:r>
        <w:rPr>
          <w:spacing w:val="37"/>
          <w:w w:val="120"/>
          <w:sz w:val="20"/>
        </w:rPr>
        <w:t> </w:t>
      </w:r>
      <w:r>
        <w:rPr>
          <w:w w:val="120"/>
          <w:sz w:val="20"/>
        </w:rPr>
        <w:t>be.</w:t>
      </w:r>
    </w:p>
    <w:p>
      <w:pPr>
        <w:pStyle w:val="BodyText"/>
        <w:spacing w:line="235" w:lineRule="auto" w:before="1"/>
        <w:ind w:left="1133" w:right="1997"/>
      </w:pPr>
      <w:r>
        <w:rPr>
          <w:w w:val="120"/>
        </w:rPr>
        <w:t>In our view, it matters very little whether a group like ours or Mission Council or even General Assembly decides that a particular change is desirable or not. Our ecclesiology does not allow the imposition of this sort of policy change from the centre. There would have to be a ‘hearts and minds’ exercise, which is likely to take a long time.</w:t>
      </w:r>
    </w:p>
    <w:p>
      <w:pPr>
        <w:spacing w:after="0" w:line="235" w:lineRule="auto"/>
        <w:sectPr>
          <w:headerReference w:type="even" r:id="rId212"/>
          <w:headerReference w:type="default" r:id="rId213"/>
          <w:footerReference w:type="even" r:id="rId214"/>
          <w:footerReference w:type="default" r:id="rId215"/>
          <w:pgSz w:w="11910" w:h="16840"/>
          <w:pgMar w:header="0" w:footer="647" w:top="1060" w:bottom="840" w:left="0" w:right="0"/>
          <w:pgNumType w:start="86"/>
        </w:sectPr>
      </w:pPr>
    </w:p>
    <w:p>
      <w:pPr>
        <w:numPr>
          <w:ilvl w:val="0"/>
          <w:numId w:val="109"/>
        </w:numPr>
        <w:tabs>
          <w:tab w:pos="2664" w:val="left" w:leader="none"/>
          <w:tab w:pos="2665" w:val="left" w:leader="none"/>
        </w:tabs>
        <w:spacing w:line="213" w:lineRule="auto" w:before="117"/>
        <w:ind w:left="1984" w:right="1648" w:hanging="1"/>
        <w:jc w:val="left"/>
        <w:rPr>
          <w:rFonts w:ascii="Stone Sans II ITC Std Bk"/>
          <w:b/>
          <w:sz w:val="20"/>
        </w:rPr>
      </w:pPr>
      <w:r>
        <w:rPr/>
        <w:pict>
          <v:rect style="position:absolute;margin-left:558.424988pt;margin-top:8.490773pt;width:22.677pt;height:22.677pt;mso-position-horizontal-relative:page;mso-position-vertical-relative:paragraph;z-index:251937792" filled="true" fillcolor="#f9e9c1" stroked="false">
            <v:fill opacity="32768f" type="solid"/>
            <w10:wrap type="none"/>
          </v:rect>
        </w:pict>
      </w:r>
      <w:r>
        <w:rPr>
          <w:rFonts w:ascii="Stone Sans II ITC Std Bk"/>
          <w:b/>
          <w:w w:val="110"/>
          <w:sz w:val="20"/>
        </w:rPr>
        <w:t>Option </w:t>
      </w:r>
      <w:r>
        <w:rPr>
          <w:rFonts w:ascii="Stone Sans II ITC Std Bk"/>
          <w:b/>
          <w:spacing w:val="-4"/>
          <w:w w:val="110"/>
          <w:sz w:val="20"/>
        </w:rPr>
        <w:t>(i): </w:t>
      </w:r>
      <w:r>
        <w:rPr>
          <w:rFonts w:ascii="Stone Sans II ITC Std Bk"/>
          <w:b/>
          <w:w w:val="110"/>
          <w:sz w:val="20"/>
        </w:rPr>
        <w:t>keep the present manse system, but improve the practice in order to ensure that manses can be provided where they are needed and are properly</w:t>
      </w:r>
      <w:r>
        <w:rPr>
          <w:rFonts w:ascii="Stone Sans II ITC Std Bk"/>
          <w:b/>
          <w:spacing w:val="-1"/>
          <w:w w:val="110"/>
          <w:sz w:val="20"/>
        </w:rPr>
        <w:t> </w:t>
      </w:r>
      <w:r>
        <w:rPr>
          <w:rFonts w:ascii="Stone Sans II ITC Std Bk"/>
          <w:b/>
          <w:w w:val="110"/>
          <w:sz w:val="20"/>
        </w:rPr>
        <w:t>maintained.</w:t>
      </w:r>
    </w:p>
    <w:p>
      <w:pPr>
        <w:pStyle w:val="BodyText"/>
        <w:spacing w:before="12"/>
        <w:rPr>
          <w:rFonts w:ascii="Stone Sans II ITC Std Bk"/>
          <w:b/>
          <w:sz w:val="16"/>
        </w:rPr>
      </w:pPr>
    </w:p>
    <w:p>
      <w:pPr>
        <w:pStyle w:val="BodyText"/>
        <w:spacing w:line="242" w:lineRule="exact"/>
        <w:ind w:left="1984"/>
        <w:jc w:val="both"/>
      </w:pPr>
      <w:r>
        <w:rPr>
          <w:w w:val="120"/>
        </w:rPr>
        <w:t>The majority of the group favour this option for the following reasons:</w:t>
      </w:r>
    </w:p>
    <w:p>
      <w:pPr>
        <w:pStyle w:val="ListParagraph"/>
        <w:numPr>
          <w:ilvl w:val="0"/>
          <w:numId w:val="110"/>
        </w:numPr>
        <w:tabs>
          <w:tab w:pos="2664" w:val="left" w:leader="none"/>
          <w:tab w:pos="2665" w:val="left" w:leader="none"/>
        </w:tabs>
        <w:spacing w:line="240" w:lineRule="exact" w:before="0" w:after="0"/>
        <w:ind w:left="2664" w:right="0" w:hanging="681"/>
        <w:jc w:val="both"/>
        <w:rPr>
          <w:sz w:val="20"/>
        </w:rPr>
      </w:pPr>
      <w:r>
        <w:rPr>
          <w:w w:val="120"/>
          <w:sz w:val="20"/>
        </w:rPr>
        <w:t>the benefits of the manse system outlined in paragraphs </w:t>
      </w:r>
      <w:r>
        <w:rPr>
          <w:spacing w:val="-8"/>
          <w:w w:val="120"/>
          <w:sz w:val="20"/>
        </w:rPr>
        <w:t>14 </w:t>
      </w:r>
      <w:r>
        <w:rPr>
          <w:w w:val="120"/>
          <w:sz w:val="20"/>
        </w:rPr>
        <w:t>to 20</w:t>
      </w:r>
      <w:r>
        <w:rPr>
          <w:spacing w:val="35"/>
          <w:w w:val="120"/>
          <w:sz w:val="20"/>
        </w:rPr>
        <w:t> </w:t>
      </w:r>
      <w:r>
        <w:rPr>
          <w:w w:val="120"/>
          <w:sz w:val="20"/>
        </w:rPr>
        <w:t>above;</w:t>
      </w:r>
    </w:p>
    <w:p>
      <w:pPr>
        <w:pStyle w:val="ListParagraph"/>
        <w:numPr>
          <w:ilvl w:val="0"/>
          <w:numId w:val="110"/>
        </w:numPr>
        <w:tabs>
          <w:tab w:pos="2665" w:val="left" w:leader="none"/>
        </w:tabs>
        <w:spacing w:line="235" w:lineRule="auto" w:before="2" w:after="0"/>
        <w:ind w:left="2664" w:right="1144" w:hanging="681"/>
        <w:jc w:val="both"/>
        <w:rPr>
          <w:sz w:val="20"/>
        </w:rPr>
      </w:pPr>
      <w:r>
        <w:rPr>
          <w:w w:val="120"/>
          <w:sz w:val="20"/>
        </w:rPr>
        <w:t>The experience of those denominations that have sold off their manses has not led to better provision of ministerial</w:t>
      </w:r>
      <w:r>
        <w:rPr>
          <w:spacing w:val="9"/>
          <w:w w:val="120"/>
          <w:sz w:val="20"/>
        </w:rPr>
        <w:t> </w:t>
      </w:r>
      <w:r>
        <w:rPr>
          <w:w w:val="120"/>
          <w:sz w:val="20"/>
        </w:rPr>
        <w:t>housing;</w:t>
      </w:r>
    </w:p>
    <w:p>
      <w:pPr>
        <w:pStyle w:val="ListParagraph"/>
        <w:numPr>
          <w:ilvl w:val="0"/>
          <w:numId w:val="110"/>
        </w:numPr>
        <w:tabs>
          <w:tab w:pos="2664" w:val="left" w:leader="none"/>
          <w:tab w:pos="2665" w:val="left" w:leader="none"/>
        </w:tabs>
        <w:spacing w:line="235" w:lineRule="auto" w:before="1" w:after="0"/>
        <w:ind w:left="2664" w:right="1254" w:hanging="681"/>
        <w:jc w:val="both"/>
        <w:rPr>
          <w:sz w:val="20"/>
        </w:rPr>
      </w:pPr>
      <w:r>
        <w:rPr>
          <w:w w:val="120"/>
          <w:sz w:val="20"/>
        </w:rPr>
        <w:t>there is little evidence that local churches would support any of the proposals for a more radical change, and without that support it would be virtually impossible to get the statutory amendments required. The time and energy involved would arguably be better used</w:t>
      </w:r>
      <w:r>
        <w:rPr>
          <w:spacing w:val="8"/>
          <w:w w:val="120"/>
          <w:sz w:val="20"/>
        </w:rPr>
        <w:t> </w:t>
      </w:r>
      <w:r>
        <w:rPr>
          <w:w w:val="120"/>
          <w:sz w:val="20"/>
        </w:rPr>
        <w:t>elsewhere;</w:t>
      </w:r>
    </w:p>
    <w:p>
      <w:pPr>
        <w:pStyle w:val="ListParagraph"/>
        <w:numPr>
          <w:ilvl w:val="0"/>
          <w:numId w:val="110"/>
        </w:numPr>
        <w:tabs>
          <w:tab w:pos="2664" w:val="left" w:leader="none"/>
          <w:tab w:pos="2665" w:val="left" w:leader="none"/>
        </w:tabs>
        <w:spacing w:line="235" w:lineRule="auto" w:before="3" w:after="0"/>
        <w:ind w:left="2664" w:right="1475" w:hanging="681"/>
        <w:jc w:val="left"/>
        <w:rPr>
          <w:sz w:val="20"/>
        </w:rPr>
      </w:pPr>
      <w:r>
        <w:rPr>
          <w:spacing w:val="-2"/>
          <w:w w:val="120"/>
          <w:sz w:val="20"/>
        </w:rPr>
        <w:t>moving </w:t>
      </w:r>
      <w:r>
        <w:rPr>
          <w:spacing w:val="-3"/>
          <w:w w:val="120"/>
          <w:sz w:val="20"/>
        </w:rPr>
        <w:t>away </w:t>
      </w:r>
      <w:r>
        <w:rPr>
          <w:w w:val="120"/>
          <w:sz w:val="20"/>
        </w:rPr>
        <w:t>from the </w:t>
      </w:r>
      <w:r>
        <w:rPr>
          <w:spacing w:val="-3"/>
          <w:w w:val="120"/>
          <w:sz w:val="20"/>
        </w:rPr>
        <w:t>manse </w:t>
      </w:r>
      <w:r>
        <w:rPr>
          <w:w w:val="120"/>
          <w:sz w:val="20"/>
        </w:rPr>
        <w:t>system </w:t>
      </w:r>
      <w:r>
        <w:rPr>
          <w:spacing w:val="-3"/>
          <w:w w:val="120"/>
          <w:sz w:val="20"/>
        </w:rPr>
        <w:t>would </w:t>
      </w:r>
      <w:r>
        <w:rPr>
          <w:w w:val="120"/>
          <w:sz w:val="20"/>
        </w:rPr>
        <w:t>be wasteful of </w:t>
      </w:r>
      <w:r>
        <w:rPr>
          <w:spacing w:val="-3"/>
          <w:w w:val="120"/>
          <w:sz w:val="20"/>
        </w:rPr>
        <w:t>resources, </w:t>
      </w:r>
      <w:r>
        <w:rPr>
          <w:w w:val="120"/>
          <w:sz w:val="20"/>
        </w:rPr>
        <w:t>both of money</w:t>
      </w:r>
      <w:r>
        <w:rPr>
          <w:spacing w:val="-8"/>
          <w:w w:val="120"/>
          <w:sz w:val="20"/>
        </w:rPr>
        <w:t> </w:t>
      </w:r>
      <w:r>
        <w:rPr>
          <w:w w:val="120"/>
          <w:sz w:val="20"/>
        </w:rPr>
        <w:t>and</w:t>
      </w:r>
      <w:r>
        <w:rPr>
          <w:spacing w:val="-7"/>
          <w:w w:val="120"/>
          <w:sz w:val="20"/>
        </w:rPr>
        <w:t> </w:t>
      </w:r>
      <w:r>
        <w:rPr>
          <w:w w:val="120"/>
          <w:sz w:val="20"/>
        </w:rPr>
        <w:t>peoples’</w:t>
      </w:r>
      <w:r>
        <w:rPr>
          <w:spacing w:val="-7"/>
          <w:w w:val="120"/>
          <w:sz w:val="20"/>
        </w:rPr>
        <w:t> </w:t>
      </w:r>
      <w:r>
        <w:rPr>
          <w:w w:val="120"/>
          <w:sz w:val="20"/>
        </w:rPr>
        <w:t>time.</w:t>
      </w:r>
      <w:r>
        <w:rPr>
          <w:spacing w:val="-7"/>
          <w:w w:val="120"/>
          <w:sz w:val="20"/>
        </w:rPr>
        <w:t> </w:t>
      </w:r>
      <w:r>
        <w:rPr>
          <w:w w:val="120"/>
          <w:sz w:val="20"/>
        </w:rPr>
        <w:t>The</w:t>
      </w:r>
      <w:r>
        <w:rPr>
          <w:spacing w:val="-7"/>
          <w:w w:val="120"/>
          <w:sz w:val="20"/>
        </w:rPr>
        <w:t> </w:t>
      </w:r>
      <w:r>
        <w:rPr>
          <w:spacing w:val="-3"/>
          <w:w w:val="120"/>
          <w:sz w:val="20"/>
        </w:rPr>
        <w:t>denomination</w:t>
      </w:r>
      <w:r>
        <w:rPr>
          <w:spacing w:val="-7"/>
          <w:w w:val="120"/>
          <w:sz w:val="20"/>
        </w:rPr>
        <w:t> </w:t>
      </w:r>
      <w:r>
        <w:rPr>
          <w:w w:val="120"/>
          <w:sz w:val="20"/>
        </w:rPr>
        <w:t>has</w:t>
      </w:r>
      <w:r>
        <w:rPr>
          <w:spacing w:val="-7"/>
          <w:w w:val="120"/>
          <w:sz w:val="20"/>
        </w:rPr>
        <w:t> </w:t>
      </w:r>
      <w:r>
        <w:rPr>
          <w:w w:val="120"/>
          <w:sz w:val="20"/>
        </w:rPr>
        <w:t>other</w:t>
      </w:r>
      <w:r>
        <w:rPr>
          <w:spacing w:val="-7"/>
          <w:w w:val="120"/>
          <w:sz w:val="20"/>
        </w:rPr>
        <w:t> </w:t>
      </w:r>
      <w:r>
        <w:rPr>
          <w:w w:val="120"/>
          <w:sz w:val="20"/>
        </w:rPr>
        <w:t>major</w:t>
      </w:r>
      <w:r>
        <w:rPr>
          <w:spacing w:val="-7"/>
          <w:w w:val="120"/>
          <w:sz w:val="20"/>
        </w:rPr>
        <w:t> </w:t>
      </w:r>
      <w:r>
        <w:rPr>
          <w:w w:val="120"/>
          <w:sz w:val="20"/>
        </w:rPr>
        <w:t>financial</w:t>
      </w:r>
      <w:r>
        <w:rPr>
          <w:spacing w:val="-7"/>
          <w:w w:val="120"/>
          <w:sz w:val="20"/>
        </w:rPr>
        <w:t> </w:t>
      </w:r>
      <w:r>
        <w:rPr>
          <w:w w:val="120"/>
          <w:sz w:val="20"/>
        </w:rPr>
        <w:t>problems facing</w:t>
      </w:r>
      <w:r>
        <w:rPr>
          <w:spacing w:val="-6"/>
          <w:w w:val="120"/>
          <w:sz w:val="20"/>
        </w:rPr>
        <w:t> </w:t>
      </w:r>
      <w:r>
        <w:rPr>
          <w:w w:val="120"/>
          <w:sz w:val="20"/>
        </w:rPr>
        <w:t>it,</w:t>
      </w:r>
      <w:r>
        <w:rPr>
          <w:spacing w:val="-6"/>
          <w:w w:val="120"/>
          <w:sz w:val="20"/>
        </w:rPr>
        <w:t> </w:t>
      </w:r>
      <w:r>
        <w:rPr>
          <w:w w:val="120"/>
          <w:sz w:val="20"/>
        </w:rPr>
        <w:t>for</w:t>
      </w:r>
      <w:r>
        <w:rPr>
          <w:spacing w:val="-6"/>
          <w:w w:val="120"/>
          <w:sz w:val="20"/>
        </w:rPr>
        <w:t> </w:t>
      </w:r>
      <w:r>
        <w:rPr>
          <w:w w:val="120"/>
          <w:sz w:val="20"/>
        </w:rPr>
        <w:t>example</w:t>
      </w:r>
      <w:r>
        <w:rPr>
          <w:spacing w:val="-6"/>
          <w:w w:val="120"/>
          <w:sz w:val="20"/>
        </w:rPr>
        <w:t> </w:t>
      </w:r>
      <w:r>
        <w:rPr>
          <w:w w:val="120"/>
          <w:sz w:val="20"/>
        </w:rPr>
        <w:t>the</w:t>
      </w:r>
      <w:r>
        <w:rPr>
          <w:spacing w:val="-6"/>
          <w:w w:val="120"/>
          <w:sz w:val="20"/>
        </w:rPr>
        <w:t> </w:t>
      </w:r>
      <w:r>
        <w:rPr>
          <w:w w:val="120"/>
          <w:sz w:val="20"/>
        </w:rPr>
        <w:t>deficit</w:t>
      </w:r>
      <w:r>
        <w:rPr>
          <w:spacing w:val="-6"/>
          <w:w w:val="120"/>
          <w:sz w:val="20"/>
        </w:rPr>
        <w:t> </w:t>
      </w:r>
      <w:r>
        <w:rPr>
          <w:w w:val="120"/>
          <w:sz w:val="20"/>
        </w:rPr>
        <w:t>in</w:t>
      </w:r>
      <w:r>
        <w:rPr>
          <w:spacing w:val="-6"/>
          <w:w w:val="120"/>
          <w:sz w:val="20"/>
        </w:rPr>
        <w:t> </w:t>
      </w:r>
      <w:r>
        <w:rPr>
          <w:w w:val="120"/>
          <w:sz w:val="20"/>
        </w:rPr>
        <w:t>the</w:t>
      </w:r>
      <w:r>
        <w:rPr>
          <w:spacing w:val="-6"/>
          <w:w w:val="120"/>
          <w:sz w:val="20"/>
        </w:rPr>
        <w:t> </w:t>
      </w:r>
      <w:r>
        <w:rPr>
          <w:spacing w:val="-3"/>
          <w:w w:val="120"/>
          <w:sz w:val="20"/>
        </w:rPr>
        <w:t>ministers’</w:t>
      </w:r>
      <w:r>
        <w:rPr>
          <w:spacing w:val="-6"/>
          <w:w w:val="120"/>
          <w:sz w:val="20"/>
        </w:rPr>
        <w:t> </w:t>
      </w:r>
      <w:r>
        <w:rPr>
          <w:w w:val="120"/>
          <w:sz w:val="20"/>
        </w:rPr>
        <w:t>pension</w:t>
      </w:r>
      <w:r>
        <w:rPr>
          <w:spacing w:val="-6"/>
          <w:w w:val="120"/>
          <w:sz w:val="20"/>
        </w:rPr>
        <w:t> </w:t>
      </w:r>
      <w:r>
        <w:rPr>
          <w:w w:val="120"/>
          <w:sz w:val="20"/>
        </w:rPr>
        <w:t>fund</w:t>
      </w:r>
      <w:r>
        <w:rPr>
          <w:spacing w:val="-6"/>
          <w:w w:val="120"/>
          <w:sz w:val="20"/>
        </w:rPr>
        <w:t> </w:t>
      </w:r>
      <w:r>
        <w:rPr>
          <w:w w:val="120"/>
          <w:sz w:val="20"/>
        </w:rPr>
        <w:t>and</w:t>
      </w:r>
      <w:r>
        <w:rPr>
          <w:spacing w:val="-5"/>
          <w:w w:val="120"/>
          <w:sz w:val="20"/>
        </w:rPr>
        <w:t> </w:t>
      </w:r>
      <w:r>
        <w:rPr>
          <w:w w:val="120"/>
          <w:sz w:val="20"/>
        </w:rPr>
        <w:t>the</w:t>
      </w:r>
      <w:r>
        <w:rPr>
          <w:spacing w:val="-6"/>
          <w:w w:val="120"/>
          <w:sz w:val="20"/>
        </w:rPr>
        <w:t> </w:t>
      </w:r>
      <w:r>
        <w:rPr>
          <w:w w:val="120"/>
          <w:sz w:val="20"/>
        </w:rPr>
        <w:t>problems facing the RMHS. It should </w:t>
      </w:r>
      <w:r>
        <w:rPr>
          <w:spacing w:val="-2"/>
          <w:w w:val="120"/>
          <w:sz w:val="20"/>
        </w:rPr>
        <w:t>not </w:t>
      </w:r>
      <w:r>
        <w:rPr>
          <w:w w:val="120"/>
          <w:sz w:val="20"/>
        </w:rPr>
        <w:t>be </w:t>
      </w:r>
      <w:r>
        <w:rPr>
          <w:spacing w:val="-3"/>
          <w:w w:val="120"/>
          <w:sz w:val="20"/>
        </w:rPr>
        <w:t>dissipating resources </w:t>
      </w:r>
      <w:r>
        <w:rPr>
          <w:w w:val="120"/>
          <w:sz w:val="20"/>
        </w:rPr>
        <w:t>on </w:t>
      </w:r>
      <w:r>
        <w:rPr>
          <w:spacing w:val="-3"/>
          <w:w w:val="120"/>
          <w:sz w:val="20"/>
        </w:rPr>
        <w:t>this contentious </w:t>
      </w:r>
      <w:r>
        <w:rPr>
          <w:w w:val="120"/>
          <w:sz w:val="20"/>
        </w:rPr>
        <w:t>and </w:t>
      </w:r>
      <w:r>
        <w:rPr>
          <w:spacing w:val="-3"/>
          <w:w w:val="120"/>
          <w:sz w:val="20"/>
        </w:rPr>
        <w:t>divisive issue;</w:t>
      </w:r>
    </w:p>
    <w:p>
      <w:pPr>
        <w:pStyle w:val="ListParagraph"/>
        <w:numPr>
          <w:ilvl w:val="0"/>
          <w:numId w:val="110"/>
        </w:numPr>
        <w:tabs>
          <w:tab w:pos="2664" w:val="left" w:leader="none"/>
          <w:tab w:pos="2665" w:val="left" w:leader="none"/>
        </w:tabs>
        <w:spacing w:line="235" w:lineRule="auto" w:before="3" w:after="0"/>
        <w:ind w:left="2664" w:right="1237" w:hanging="681"/>
        <w:jc w:val="left"/>
        <w:rPr>
          <w:sz w:val="20"/>
        </w:rPr>
      </w:pPr>
      <w:r>
        <w:rPr>
          <w:w w:val="120"/>
          <w:sz w:val="20"/>
        </w:rPr>
        <w:t>the main beneficiary of a wholesale move away from the manse system is likely to be the Inland</w:t>
      </w:r>
      <w:r>
        <w:rPr>
          <w:spacing w:val="6"/>
          <w:w w:val="120"/>
          <w:sz w:val="20"/>
        </w:rPr>
        <w:t> </w:t>
      </w:r>
      <w:r>
        <w:rPr>
          <w:w w:val="120"/>
          <w:sz w:val="20"/>
        </w:rPr>
        <w:t>Revenue.</w:t>
      </w:r>
    </w:p>
    <w:p>
      <w:pPr>
        <w:pStyle w:val="BodyText"/>
        <w:spacing w:before="1"/>
        <w:rPr>
          <w:sz w:val="19"/>
        </w:rPr>
      </w:pPr>
    </w:p>
    <w:p>
      <w:pPr>
        <w:pStyle w:val="ListParagraph"/>
        <w:numPr>
          <w:ilvl w:val="0"/>
          <w:numId w:val="109"/>
        </w:numPr>
        <w:tabs>
          <w:tab w:pos="2664" w:val="left" w:leader="none"/>
          <w:tab w:pos="2665" w:val="left" w:leader="none"/>
        </w:tabs>
        <w:spacing w:line="235" w:lineRule="auto" w:before="0" w:after="0"/>
        <w:ind w:left="1984" w:right="1384" w:hanging="1"/>
        <w:jc w:val="left"/>
        <w:rPr>
          <w:sz w:val="20"/>
        </w:rPr>
      </w:pPr>
      <w:r>
        <w:rPr>
          <w:w w:val="120"/>
          <w:sz w:val="20"/>
        </w:rPr>
        <w:t>It is usually </w:t>
      </w:r>
      <w:r>
        <w:rPr>
          <w:spacing w:val="2"/>
          <w:w w:val="120"/>
          <w:sz w:val="20"/>
        </w:rPr>
        <w:t>part </w:t>
      </w:r>
      <w:r>
        <w:rPr>
          <w:w w:val="120"/>
          <w:sz w:val="20"/>
        </w:rPr>
        <w:t>of the terms of settlement that suitable ministerial housing can or will be made available. Some synods go further and do not allow a vacancy to be declared unless that is the case. At the very least, no minister should have to move into substandard accommodation, and the terms of settlement and the synod scrutiny of them should ensure</w:t>
      </w:r>
      <w:r>
        <w:rPr>
          <w:spacing w:val="5"/>
          <w:w w:val="120"/>
          <w:sz w:val="20"/>
        </w:rPr>
        <w:t> </w:t>
      </w:r>
      <w:r>
        <w:rPr>
          <w:w w:val="120"/>
          <w:sz w:val="20"/>
        </w:rPr>
        <w:t>this.</w:t>
      </w:r>
    </w:p>
    <w:p>
      <w:pPr>
        <w:pStyle w:val="BodyText"/>
        <w:spacing w:before="5"/>
        <w:rPr>
          <w:sz w:val="18"/>
        </w:rPr>
      </w:pPr>
    </w:p>
    <w:p>
      <w:pPr>
        <w:numPr>
          <w:ilvl w:val="0"/>
          <w:numId w:val="109"/>
        </w:numPr>
        <w:tabs>
          <w:tab w:pos="2664" w:val="left" w:leader="none"/>
          <w:tab w:pos="2665" w:val="left" w:leader="none"/>
        </w:tabs>
        <w:spacing w:before="0"/>
        <w:ind w:left="2664" w:right="0" w:hanging="681"/>
        <w:jc w:val="left"/>
        <w:rPr>
          <w:rFonts w:ascii="Stone Sans II ITC Std Bk"/>
          <w:b/>
          <w:sz w:val="20"/>
        </w:rPr>
      </w:pPr>
      <w:r>
        <w:rPr>
          <w:rFonts w:ascii="Stone Sans II ITC Std Bk"/>
          <w:b/>
          <w:w w:val="110"/>
          <w:sz w:val="20"/>
        </w:rPr>
        <w:t>How do we improve the maintenance of</w:t>
      </w:r>
      <w:r>
        <w:rPr>
          <w:rFonts w:ascii="Stone Sans II ITC Std Bk"/>
          <w:b/>
          <w:spacing w:val="-4"/>
          <w:w w:val="110"/>
          <w:sz w:val="20"/>
        </w:rPr>
        <w:t> </w:t>
      </w:r>
      <w:r>
        <w:rPr>
          <w:rFonts w:ascii="Stone Sans II ITC Std Bk"/>
          <w:b/>
          <w:w w:val="110"/>
          <w:sz w:val="20"/>
        </w:rPr>
        <w:t>manses?</w:t>
      </w:r>
    </w:p>
    <w:p>
      <w:pPr>
        <w:pStyle w:val="BodyText"/>
        <w:spacing w:line="235" w:lineRule="auto" w:before="226"/>
        <w:ind w:left="1984" w:right="1120"/>
      </w:pPr>
      <w:r>
        <w:rPr>
          <w:w w:val="120"/>
        </w:rPr>
        <w:t>Most synods are now working towards strategic manse policies which will give financial help with repairs to churches whose manses are within the policy, and ensure that</w:t>
      </w:r>
    </w:p>
    <w:p>
      <w:pPr>
        <w:pStyle w:val="BodyText"/>
        <w:spacing w:line="235" w:lineRule="auto" w:before="1"/>
        <w:ind w:left="1984" w:right="1514"/>
      </w:pPr>
      <w:r>
        <w:rPr>
          <w:w w:val="120"/>
        </w:rPr>
        <w:t>the local church has a manse available when it wishes to call a minister. It has been a slow process for the synods with well-regarded manse policies to get to that position. Other synods have encountered considerable resistance to the policy and have some reservations about its operation in practice. Making the policy work successfully is  very time consuming and labour intensive. Generally, </w:t>
      </w:r>
      <w:r>
        <w:rPr>
          <w:spacing w:val="-3"/>
          <w:w w:val="120"/>
        </w:rPr>
        <w:t>however, </w:t>
      </w:r>
      <w:r>
        <w:rPr>
          <w:w w:val="120"/>
        </w:rPr>
        <w:t>synods rely upon local churches to ensure that the repairs are carried</w:t>
      </w:r>
      <w:r>
        <w:rPr>
          <w:spacing w:val="12"/>
          <w:w w:val="120"/>
        </w:rPr>
        <w:t> </w:t>
      </w:r>
      <w:r>
        <w:rPr>
          <w:w w:val="120"/>
        </w:rPr>
        <w:t>out.</w:t>
      </w:r>
    </w:p>
    <w:p>
      <w:pPr>
        <w:pStyle w:val="BodyText"/>
        <w:spacing w:before="4"/>
        <w:rPr>
          <w:sz w:val="19"/>
        </w:rPr>
      </w:pPr>
    </w:p>
    <w:p>
      <w:pPr>
        <w:pStyle w:val="ListParagraph"/>
        <w:numPr>
          <w:ilvl w:val="0"/>
          <w:numId w:val="109"/>
        </w:numPr>
        <w:tabs>
          <w:tab w:pos="2664" w:val="left" w:leader="none"/>
          <w:tab w:pos="2665" w:val="left" w:leader="none"/>
        </w:tabs>
        <w:spacing w:line="235" w:lineRule="auto" w:before="0" w:after="0"/>
        <w:ind w:left="1984" w:right="1260" w:hanging="1"/>
        <w:jc w:val="left"/>
        <w:rPr>
          <w:sz w:val="20"/>
        </w:rPr>
      </w:pPr>
      <w:r>
        <w:rPr>
          <w:w w:val="120"/>
          <w:sz w:val="20"/>
        </w:rPr>
        <w:t>Our enquiries suggest that whether or not the manse is within a synod policy or remains under the control of the local church, the problems in carrying out repairs lie in the following</w:t>
      </w:r>
      <w:r>
        <w:rPr>
          <w:spacing w:val="3"/>
          <w:w w:val="120"/>
          <w:sz w:val="20"/>
        </w:rPr>
        <w:t> </w:t>
      </w:r>
      <w:r>
        <w:rPr>
          <w:w w:val="120"/>
          <w:sz w:val="20"/>
        </w:rPr>
        <w:t>areas:</w:t>
      </w:r>
    </w:p>
    <w:p>
      <w:pPr>
        <w:pStyle w:val="ListParagraph"/>
        <w:numPr>
          <w:ilvl w:val="0"/>
          <w:numId w:val="111"/>
        </w:numPr>
        <w:tabs>
          <w:tab w:pos="2664" w:val="left" w:leader="none"/>
          <w:tab w:pos="2665" w:val="left" w:leader="none"/>
        </w:tabs>
        <w:spacing w:line="235" w:lineRule="auto" w:before="0" w:after="0"/>
        <w:ind w:left="2664" w:right="1493" w:hanging="681"/>
        <w:jc w:val="left"/>
        <w:rPr>
          <w:sz w:val="20"/>
        </w:rPr>
      </w:pPr>
      <w:r>
        <w:rPr>
          <w:w w:val="120"/>
          <w:sz w:val="20"/>
        </w:rPr>
        <w:t>sometimes it is simply that the local church does not do the repairs it should, either because it does not inspect the </w:t>
      </w:r>
      <w:r>
        <w:rPr>
          <w:spacing w:val="2"/>
          <w:w w:val="120"/>
          <w:sz w:val="20"/>
        </w:rPr>
        <w:t>property </w:t>
      </w:r>
      <w:r>
        <w:rPr>
          <w:w w:val="120"/>
          <w:sz w:val="20"/>
        </w:rPr>
        <w:t>and see what needs to be done, or because it lacks the funds to </w:t>
      </w:r>
      <w:r>
        <w:rPr>
          <w:spacing w:val="2"/>
          <w:w w:val="120"/>
          <w:sz w:val="20"/>
        </w:rPr>
        <w:t>carry </w:t>
      </w:r>
      <w:r>
        <w:rPr>
          <w:w w:val="120"/>
          <w:sz w:val="20"/>
        </w:rPr>
        <w:t>them out. The church may expect the minister will tell them what needs to be done. This does not happen, often because the minister knows that the church has genuine financial</w:t>
      </w:r>
      <w:r>
        <w:rPr>
          <w:spacing w:val="2"/>
          <w:w w:val="120"/>
          <w:sz w:val="20"/>
        </w:rPr>
        <w:t> </w:t>
      </w:r>
      <w:r>
        <w:rPr>
          <w:w w:val="120"/>
          <w:sz w:val="20"/>
        </w:rPr>
        <w:t>difficulties;</w:t>
      </w:r>
    </w:p>
    <w:p>
      <w:pPr>
        <w:pStyle w:val="ListParagraph"/>
        <w:numPr>
          <w:ilvl w:val="0"/>
          <w:numId w:val="111"/>
        </w:numPr>
        <w:tabs>
          <w:tab w:pos="2664" w:val="left" w:leader="none"/>
          <w:tab w:pos="2665" w:val="left" w:leader="none"/>
        </w:tabs>
        <w:spacing w:line="235" w:lineRule="auto" w:before="3" w:after="0"/>
        <w:ind w:left="2664" w:right="1164" w:hanging="681"/>
        <w:jc w:val="left"/>
        <w:rPr>
          <w:sz w:val="20"/>
        </w:rPr>
      </w:pPr>
      <w:r>
        <w:rPr>
          <w:w w:val="120"/>
          <w:sz w:val="20"/>
        </w:rPr>
        <w:t>the second situation is where the church is willing to </w:t>
      </w:r>
      <w:r>
        <w:rPr>
          <w:spacing w:val="2"/>
          <w:w w:val="120"/>
          <w:sz w:val="20"/>
        </w:rPr>
        <w:t>carry </w:t>
      </w:r>
      <w:r>
        <w:rPr>
          <w:w w:val="120"/>
          <w:sz w:val="20"/>
        </w:rPr>
        <w:t>out the repairs, but the minister objects to the works being carried out. Other problems arise when the minister makes excessive demands about what needs to be</w:t>
      </w:r>
      <w:r>
        <w:rPr>
          <w:spacing w:val="14"/>
          <w:w w:val="120"/>
          <w:sz w:val="20"/>
        </w:rPr>
        <w:t> </w:t>
      </w:r>
      <w:r>
        <w:rPr>
          <w:w w:val="120"/>
          <w:sz w:val="20"/>
        </w:rPr>
        <w:t>done;</w:t>
      </w:r>
    </w:p>
    <w:p>
      <w:pPr>
        <w:pStyle w:val="ListParagraph"/>
        <w:numPr>
          <w:ilvl w:val="0"/>
          <w:numId w:val="111"/>
        </w:numPr>
        <w:tabs>
          <w:tab w:pos="2664" w:val="left" w:leader="none"/>
          <w:tab w:pos="2665" w:val="left" w:leader="none"/>
        </w:tabs>
        <w:spacing w:line="235" w:lineRule="auto" w:before="2" w:after="0"/>
        <w:ind w:left="2664" w:right="1943" w:hanging="681"/>
        <w:jc w:val="left"/>
        <w:rPr>
          <w:sz w:val="20"/>
        </w:rPr>
      </w:pPr>
      <w:r>
        <w:rPr>
          <w:w w:val="120"/>
          <w:sz w:val="20"/>
        </w:rPr>
        <w:t>there are also those situations where there is a disagreement about whose responsibility it is to </w:t>
      </w:r>
      <w:r>
        <w:rPr>
          <w:spacing w:val="2"/>
          <w:w w:val="120"/>
          <w:sz w:val="20"/>
        </w:rPr>
        <w:t>carry </w:t>
      </w:r>
      <w:r>
        <w:rPr>
          <w:w w:val="120"/>
          <w:sz w:val="20"/>
        </w:rPr>
        <w:t>out certain</w:t>
      </w:r>
      <w:r>
        <w:rPr>
          <w:spacing w:val="10"/>
          <w:w w:val="120"/>
          <w:sz w:val="20"/>
        </w:rPr>
        <w:t> </w:t>
      </w:r>
      <w:r>
        <w:rPr>
          <w:w w:val="120"/>
          <w:sz w:val="20"/>
        </w:rPr>
        <w:t>repairs.</w:t>
      </w:r>
    </w:p>
    <w:p>
      <w:pPr>
        <w:pStyle w:val="BodyText"/>
        <w:rPr>
          <w:sz w:val="19"/>
        </w:rPr>
      </w:pPr>
    </w:p>
    <w:p>
      <w:pPr>
        <w:pStyle w:val="ListParagraph"/>
        <w:numPr>
          <w:ilvl w:val="0"/>
          <w:numId w:val="109"/>
        </w:numPr>
        <w:tabs>
          <w:tab w:pos="2664" w:val="left" w:leader="none"/>
          <w:tab w:pos="2665" w:val="left" w:leader="none"/>
        </w:tabs>
        <w:spacing w:line="235" w:lineRule="auto" w:before="0" w:after="0"/>
        <w:ind w:left="1984" w:right="1326" w:hanging="1"/>
        <w:jc w:val="left"/>
        <w:rPr>
          <w:sz w:val="20"/>
        </w:rPr>
      </w:pPr>
      <w:r>
        <w:rPr>
          <w:w w:val="120"/>
          <w:sz w:val="20"/>
        </w:rPr>
        <w:t>We believe that some of these difficulties could be dealt with by this issue being addressed clearly in the terms of settlement. Manses should be inspected and put into a proper state before a vacancy is declared, or there should be a clear plan for ensuring that it is in a fit state before a minister moves in. Synods now have responsibility for these matters and should share good practice in relation to this. They should also be responsible for mediating any disputes between the minister and the local</w:t>
      </w:r>
      <w:r>
        <w:rPr>
          <w:spacing w:val="40"/>
          <w:w w:val="120"/>
          <w:sz w:val="20"/>
        </w:rPr>
        <w:t> </w:t>
      </w:r>
      <w:r>
        <w:rPr>
          <w:w w:val="120"/>
          <w:sz w:val="20"/>
        </w:rPr>
        <w:t>church.</w:t>
      </w:r>
    </w:p>
    <w:p>
      <w:pPr>
        <w:spacing w:after="0" w:line="235" w:lineRule="auto"/>
        <w:jc w:val="left"/>
        <w:rPr>
          <w:sz w:val="20"/>
        </w:rPr>
        <w:sectPr>
          <w:pgSz w:w="11910" w:h="16840"/>
          <w:pgMar w:header="0" w:footer="647" w:top="1060" w:bottom="840" w:left="0" w:right="0"/>
        </w:sectPr>
      </w:pPr>
    </w:p>
    <w:p>
      <w:pPr>
        <w:numPr>
          <w:ilvl w:val="0"/>
          <w:numId w:val="109"/>
        </w:numPr>
        <w:tabs>
          <w:tab w:pos="1814" w:val="left" w:leader="none"/>
          <w:tab w:pos="1815" w:val="left" w:leader="none"/>
        </w:tabs>
        <w:spacing w:line="213" w:lineRule="auto" w:before="134"/>
        <w:ind w:left="1133" w:right="2315" w:hanging="1"/>
        <w:jc w:val="left"/>
        <w:rPr>
          <w:rFonts w:ascii="Stone Sans II ITC Std Bk"/>
          <w:b/>
          <w:sz w:val="20"/>
        </w:rPr>
      </w:pPr>
      <w:r>
        <w:rPr/>
        <w:pict>
          <v:rect style="position:absolute;margin-left:12.047pt;margin-top:8.514773pt;width:22.677pt;height:22.677pt;mso-position-horizontal-relative:page;mso-position-vertical-relative:paragraph;z-index:251938816" filled="true" fillcolor="#f9e9c1" stroked="false">
            <v:fill opacity="32768f" type="solid"/>
            <w10:wrap type="none"/>
          </v:rect>
        </w:pict>
      </w:r>
      <w:r>
        <w:rPr>
          <w:rFonts w:ascii="Stone Sans II ITC Std Bk"/>
          <w:b/>
          <w:w w:val="110"/>
          <w:sz w:val="20"/>
        </w:rPr>
        <w:t>Option </w:t>
      </w:r>
      <w:r>
        <w:rPr>
          <w:rFonts w:ascii="Stone Sans II ITC Std Bk"/>
          <w:b/>
          <w:spacing w:val="-3"/>
          <w:w w:val="110"/>
          <w:sz w:val="20"/>
        </w:rPr>
        <w:t>(ii): </w:t>
      </w:r>
      <w:r>
        <w:rPr>
          <w:rFonts w:ascii="Stone Sans II ITC Std Bk"/>
          <w:b/>
          <w:w w:val="110"/>
          <w:sz w:val="20"/>
        </w:rPr>
        <w:t>consolidate the stock of manses and manage them through a housing association that would act as managing</w:t>
      </w:r>
      <w:r>
        <w:rPr>
          <w:rFonts w:ascii="Stone Sans II ITC Std Bk"/>
          <w:b/>
          <w:spacing w:val="-1"/>
          <w:w w:val="110"/>
          <w:sz w:val="20"/>
        </w:rPr>
        <w:t> </w:t>
      </w:r>
      <w:r>
        <w:rPr>
          <w:rFonts w:ascii="Stone Sans II ITC Std Bk"/>
          <w:b/>
          <w:w w:val="110"/>
          <w:sz w:val="20"/>
        </w:rPr>
        <w:t>agent.</w:t>
      </w:r>
    </w:p>
    <w:p>
      <w:pPr>
        <w:pStyle w:val="BodyText"/>
        <w:spacing w:before="2"/>
        <w:rPr>
          <w:rFonts w:ascii="Stone Sans II ITC Std Bk"/>
          <w:b/>
          <w:sz w:val="17"/>
        </w:rPr>
      </w:pPr>
    </w:p>
    <w:p>
      <w:pPr>
        <w:pStyle w:val="BodyText"/>
        <w:spacing w:line="235" w:lineRule="auto"/>
        <w:ind w:left="1133" w:right="2591"/>
      </w:pPr>
      <w:r>
        <w:rPr>
          <w:w w:val="120"/>
        </w:rPr>
        <w:t>We have considered both the option of using an existing association and the establishment of a new association. The perceived advantage of this system is that it would provide professional management of the stock, so that there would be less variation in the carrying out of repairs. It would also provide ministers and</w:t>
      </w:r>
      <w:r>
        <w:rPr>
          <w:spacing w:val="38"/>
          <w:w w:val="120"/>
        </w:rPr>
        <w:t> </w:t>
      </w:r>
      <w:r>
        <w:rPr>
          <w:w w:val="120"/>
        </w:rPr>
        <w:t>their</w:t>
      </w:r>
    </w:p>
    <w:p>
      <w:pPr>
        <w:pStyle w:val="BodyText"/>
        <w:spacing w:line="235" w:lineRule="auto" w:before="3"/>
        <w:ind w:left="1133" w:right="1997"/>
      </w:pPr>
      <w:r>
        <w:rPr>
          <w:w w:val="120"/>
        </w:rPr>
        <w:t>families with the legal protection afforded to tenants. From the point of view of flexible deployment of ministers that may not be an advantage. From the ministers’ point of view it would provide continuity of tenancy for those wishing to move out of ministry or into retirement, and they might acquire reciprocal rights to other property managed by the association. Since most housing associations operate shared ownership schemes, this would also allow ministers who wish to do so to own property.</w:t>
      </w:r>
    </w:p>
    <w:p>
      <w:pPr>
        <w:pStyle w:val="BodyText"/>
        <w:spacing w:before="12"/>
        <w:rPr>
          <w:sz w:val="18"/>
        </w:rPr>
      </w:pPr>
    </w:p>
    <w:p>
      <w:pPr>
        <w:pStyle w:val="ListParagraph"/>
        <w:numPr>
          <w:ilvl w:val="0"/>
          <w:numId w:val="109"/>
        </w:numPr>
        <w:tabs>
          <w:tab w:pos="1814" w:val="left" w:leader="none"/>
          <w:tab w:pos="1815" w:val="left" w:leader="none"/>
        </w:tabs>
        <w:spacing w:line="253" w:lineRule="exact" w:before="0" w:after="0"/>
        <w:ind w:left="1814" w:right="0" w:hanging="682"/>
        <w:jc w:val="left"/>
        <w:rPr>
          <w:sz w:val="20"/>
        </w:rPr>
      </w:pPr>
      <w:r>
        <w:rPr>
          <w:w w:val="120"/>
          <w:sz w:val="20"/>
        </w:rPr>
        <w:t>We have rejected this option for the following</w:t>
      </w:r>
      <w:r>
        <w:rPr>
          <w:spacing w:val="13"/>
          <w:w w:val="120"/>
          <w:sz w:val="20"/>
        </w:rPr>
        <w:t> </w:t>
      </w:r>
      <w:r>
        <w:rPr>
          <w:w w:val="120"/>
          <w:sz w:val="20"/>
        </w:rPr>
        <w:t>reasons:</w:t>
      </w:r>
    </w:p>
    <w:p>
      <w:pPr>
        <w:pStyle w:val="ListParagraph"/>
        <w:numPr>
          <w:ilvl w:val="0"/>
          <w:numId w:val="112"/>
        </w:numPr>
        <w:tabs>
          <w:tab w:pos="1814" w:val="left" w:leader="none"/>
          <w:tab w:pos="1815" w:val="left" w:leader="none"/>
        </w:tabs>
        <w:spacing w:line="239" w:lineRule="exact" w:before="0" w:after="0"/>
        <w:ind w:left="1814" w:right="0" w:hanging="682"/>
        <w:jc w:val="left"/>
        <w:rPr>
          <w:sz w:val="20"/>
        </w:rPr>
      </w:pPr>
      <w:r>
        <w:rPr>
          <w:w w:val="120"/>
          <w:sz w:val="20"/>
        </w:rPr>
        <w:t>it shares many of the disadvantages of other alternatives to the manse</w:t>
      </w:r>
      <w:r>
        <w:rPr>
          <w:spacing w:val="3"/>
          <w:w w:val="120"/>
          <w:sz w:val="20"/>
        </w:rPr>
        <w:t> </w:t>
      </w:r>
      <w:r>
        <w:rPr>
          <w:w w:val="120"/>
          <w:sz w:val="20"/>
        </w:rPr>
        <w:t>system;</w:t>
      </w:r>
    </w:p>
    <w:p>
      <w:pPr>
        <w:pStyle w:val="ListParagraph"/>
        <w:numPr>
          <w:ilvl w:val="0"/>
          <w:numId w:val="112"/>
        </w:numPr>
        <w:tabs>
          <w:tab w:pos="1814" w:val="left" w:leader="none"/>
          <w:tab w:pos="1815" w:val="left" w:leader="none"/>
        </w:tabs>
        <w:spacing w:line="235" w:lineRule="auto" w:before="1" w:after="0"/>
        <w:ind w:left="1814" w:right="2575" w:hanging="681"/>
        <w:jc w:val="left"/>
        <w:rPr>
          <w:sz w:val="20"/>
        </w:rPr>
      </w:pPr>
      <w:r>
        <w:rPr>
          <w:w w:val="120"/>
          <w:sz w:val="20"/>
        </w:rPr>
        <w:t>it is expensive compared with the present way of managing manses because much</w:t>
      </w:r>
      <w:r>
        <w:rPr>
          <w:spacing w:val="5"/>
          <w:w w:val="120"/>
          <w:sz w:val="20"/>
        </w:rPr>
        <w:t> </w:t>
      </w:r>
      <w:r>
        <w:rPr>
          <w:w w:val="120"/>
          <w:sz w:val="20"/>
        </w:rPr>
        <w:t>of</w:t>
      </w:r>
      <w:r>
        <w:rPr>
          <w:spacing w:val="5"/>
          <w:w w:val="120"/>
          <w:sz w:val="20"/>
        </w:rPr>
        <w:t> </w:t>
      </w:r>
      <w:r>
        <w:rPr>
          <w:w w:val="120"/>
          <w:sz w:val="20"/>
        </w:rPr>
        <w:t>what</w:t>
      </w:r>
      <w:r>
        <w:rPr>
          <w:spacing w:val="5"/>
          <w:w w:val="120"/>
          <w:sz w:val="20"/>
        </w:rPr>
        <w:t> </w:t>
      </w:r>
      <w:r>
        <w:rPr>
          <w:w w:val="120"/>
          <w:sz w:val="20"/>
        </w:rPr>
        <w:t>is</w:t>
      </w:r>
      <w:r>
        <w:rPr>
          <w:spacing w:val="5"/>
          <w:w w:val="120"/>
          <w:sz w:val="20"/>
        </w:rPr>
        <w:t> </w:t>
      </w:r>
      <w:r>
        <w:rPr>
          <w:w w:val="120"/>
          <w:sz w:val="20"/>
        </w:rPr>
        <w:t>now</w:t>
      </w:r>
      <w:r>
        <w:rPr>
          <w:spacing w:val="5"/>
          <w:w w:val="120"/>
          <w:sz w:val="20"/>
        </w:rPr>
        <w:t> </w:t>
      </w:r>
      <w:r>
        <w:rPr>
          <w:w w:val="120"/>
          <w:sz w:val="20"/>
        </w:rPr>
        <w:t>done</w:t>
      </w:r>
      <w:r>
        <w:rPr>
          <w:spacing w:val="5"/>
          <w:w w:val="120"/>
          <w:sz w:val="20"/>
        </w:rPr>
        <w:t> </w:t>
      </w:r>
      <w:r>
        <w:rPr>
          <w:w w:val="120"/>
          <w:sz w:val="20"/>
        </w:rPr>
        <w:t>by</w:t>
      </w:r>
      <w:r>
        <w:rPr>
          <w:spacing w:val="5"/>
          <w:w w:val="120"/>
          <w:sz w:val="20"/>
        </w:rPr>
        <w:t> </w:t>
      </w:r>
      <w:r>
        <w:rPr>
          <w:w w:val="120"/>
          <w:sz w:val="20"/>
        </w:rPr>
        <w:t>voluntary</w:t>
      </w:r>
      <w:r>
        <w:rPr>
          <w:spacing w:val="5"/>
          <w:w w:val="120"/>
          <w:sz w:val="20"/>
        </w:rPr>
        <w:t> </w:t>
      </w:r>
      <w:r>
        <w:rPr>
          <w:w w:val="120"/>
          <w:sz w:val="20"/>
        </w:rPr>
        <w:t>labour</w:t>
      </w:r>
      <w:r>
        <w:rPr>
          <w:spacing w:val="5"/>
          <w:w w:val="120"/>
          <w:sz w:val="20"/>
        </w:rPr>
        <w:t> </w:t>
      </w:r>
      <w:r>
        <w:rPr>
          <w:w w:val="120"/>
          <w:sz w:val="20"/>
        </w:rPr>
        <w:t>would</w:t>
      </w:r>
      <w:r>
        <w:rPr>
          <w:spacing w:val="5"/>
          <w:w w:val="120"/>
          <w:sz w:val="20"/>
        </w:rPr>
        <w:t> </w:t>
      </w:r>
      <w:r>
        <w:rPr>
          <w:w w:val="120"/>
          <w:sz w:val="20"/>
        </w:rPr>
        <w:t>have</w:t>
      </w:r>
      <w:r>
        <w:rPr>
          <w:spacing w:val="5"/>
          <w:w w:val="120"/>
          <w:sz w:val="20"/>
        </w:rPr>
        <w:t> </w:t>
      </w:r>
      <w:r>
        <w:rPr>
          <w:w w:val="120"/>
          <w:sz w:val="20"/>
        </w:rPr>
        <w:t>to</w:t>
      </w:r>
      <w:r>
        <w:rPr>
          <w:spacing w:val="5"/>
          <w:w w:val="120"/>
          <w:sz w:val="20"/>
        </w:rPr>
        <w:t> </w:t>
      </w:r>
      <w:r>
        <w:rPr>
          <w:w w:val="120"/>
          <w:sz w:val="20"/>
        </w:rPr>
        <w:t>be</w:t>
      </w:r>
      <w:r>
        <w:rPr>
          <w:spacing w:val="5"/>
          <w:w w:val="120"/>
          <w:sz w:val="20"/>
        </w:rPr>
        <w:t> </w:t>
      </w:r>
      <w:r>
        <w:rPr>
          <w:w w:val="120"/>
          <w:sz w:val="20"/>
        </w:rPr>
        <w:t>paid</w:t>
      </w:r>
      <w:r>
        <w:rPr>
          <w:spacing w:val="5"/>
          <w:w w:val="120"/>
          <w:sz w:val="20"/>
        </w:rPr>
        <w:t> </w:t>
      </w:r>
      <w:r>
        <w:rPr>
          <w:w w:val="120"/>
          <w:sz w:val="20"/>
        </w:rPr>
        <w:t>for;</w:t>
      </w:r>
    </w:p>
    <w:p>
      <w:pPr>
        <w:pStyle w:val="ListParagraph"/>
        <w:numPr>
          <w:ilvl w:val="0"/>
          <w:numId w:val="112"/>
        </w:numPr>
        <w:tabs>
          <w:tab w:pos="1814" w:val="left" w:leader="none"/>
          <w:tab w:pos="1815" w:val="left" w:leader="none"/>
        </w:tabs>
        <w:spacing w:line="235" w:lineRule="auto" w:before="2" w:after="0"/>
        <w:ind w:left="1814" w:right="2238" w:hanging="681"/>
        <w:jc w:val="left"/>
        <w:rPr>
          <w:sz w:val="20"/>
        </w:rPr>
      </w:pPr>
      <w:r>
        <w:rPr>
          <w:w w:val="120"/>
          <w:sz w:val="20"/>
        </w:rPr>
        <w:t>the regulation and registration of housing associations is different in each of the three nations served by the</w:t>
      </w:r>
      <w:r>
        <w:rPr>
          <w:spacing w:val="10"/>
          <w:w w:val="120"/>
          <w:sz w:val="20"/>
        </w:rPr>
        <w:t> </w:t>
      </w:r>
      <w:r>
        <w:rPr>
          <w:w w:val="120"/>
          <w:sz w:val="20"/>
        </w:rPr>
        <w:t>URC.</w:t>
      </w:r>
    </w:p>
    <w:p>
      <w:pPr>
        <w:pStyle w:val="BodyText"/>
        <w:spacing w:before="5"/>
        <w:rPr>
          <w:sz w:val="18"/>
        </w:rPr>
      </w:pPr>
    </w:p>
    <w:p>
      <w:pPr>
        <w:numPr>
          <w:ilvl w:val="0"/>
          <w:numId w:val="109"/>
        </w:numPr>
        <w:tabs>
          <w:tab w:pos="1814" w:val="left" w:leader="none"/>
          <w:tab w:pos="1815" w:val="left" w:leader="none"/>
        </w:tabs>
        <w:spacing w:before="0"/>
        <w:ind w:left="1814" w:right="0" w:hanging="682"/>
        <w:jc w:val="left"/>
        <w:rPr>
          <w:rFonts w:ascii="Stone Sans II ITC Std Bk"/>
          <w:b/>
          <w:sz w:val="20"/>
        </w:rPr>
      </w:pPr>
      <w:r>
        <w:rPr>
          <w:rFonts w:ascii="Stone Sans II ITC Std Bk"/>
          <w:b/>
          <w:w w:val="110"/>
          <w:sz w:val="20"/>
        </w:rPr>
        <w:t>The remaining</w:t>
      </w:r>
      <w:r>
        <w:rPr>
          <w:rFonts w:ascii="Stone Sans II ITC Std Bk"/>
          <w:b/>
          <w:spacing w:val="-1"/>
          <w:w w:val="110"/>
          <w:sz w:val="20"/>
        </w:rPr>
        <w:t> </w:t>
      </w:r>
      <w:r>
        <w:rPr>
          <w:rFonts w:ascii="Stone Sans II ITC Std Bk"/>
          <w:b/>
          <w:w w:val="110"/>
          <w:sz w:val="20"/>
        </w:rPr>
        <w:t>options</w:t>
      </w:r>
    </w:p>
    <w:p>
      <w:pPr>
        <w:pStyle w:val="BodyText"/>
        <w:spacing w:line="235" w:lineRule="auto" w:before="226"/>
        <w:ind w:left="1133" w:right="1997"/>
      </w:pPr>
      <w:r>
        <w:rPr>
          <w:w w:val="120"/>
        </w:rPr>
        <w:t>Options (iii)-(vi) are all variants on the same theme. They are different ways of allowing ministers to provide their own housing. This has been the most divisive issue for our working party. We are not agreed that this is an aspiration that the denomination should seek to meet. It raises issues about the nature of the call to ministry, as well as practical problems for pastorates, if the retiring minister remains living in the immediate area. It does not ensure that ministers are where the denomination needs them, but rather in areas where they wish to live.</w:t>
      </w:r>
    </w:p>
    <w:p>
      <w:pPr>
        <w:pStyle w:val="BodyText"/>
        <w:spacing w:before="7"/>
      </w:pPr>
    </w:p>
    <w:p>
      <w:pPr>
        <w:numPr>
          <w:ilvl w:val="0"/>
          <w:numId w:val="109"/>
        </w:numPr>
        <w:tabs>
          <w:tab w:pos="1814" w:val="left" w:leader="none"/>
          <w:tab w:pos="1815" w:val="left" w:leader="none"/>
        </w:tabs>
        <w:spacing w:line="213" w:lineRule="auto" w:before="0"/>
        <w:ind w:left="1133" w:right="2101" w:hanging="1"/>
        <w:jc w:val="left"/>
        <w:rPr>
          <w:rFonts w:ascii="Stone Sans II ITC Std Bk"/>
          <w:b/>
          <w:sz w:val="20"/>
        </w:rPr>
      </w:pPr>
      <w:r>
        <w:rPr>
          <w:rFonts w:ascii="Stone Sans II ITC Std Bk"/>
          <w:b/>
          <w:w w:val="110"/>
          <w:sz w:val="20"/>
        </w:rPr>
        <w:t>Option</w:t>
      </w:r>
      <w:r>
        <w:rPr>
          <w:rFonts w:ascii="Stone Sans II ITC Std Bk"/>
          <w:b/>
          <w:spacing w:val="-11"/>
          <w:w w:val="110"/>
          <w:sz w:val="20"/>
        </w:rPr>
        <w:t> </w:t>
      </w:r>
      <w:r>
        <w:rPr>
          <w:rFonts w:ascii="Stone Sans II ITC Std Bk"/>
          <w:b/>
          <w:spacing w:val="-4"/>
          <w:w w:val="110"/>
          <w:sz w:val="20"/>
        </w:rPr>
        <w:t>(iii):</w:t>
      </w:r>
      <w:r>
        <w:rPr>
          <w:rFonts w:ascii="Stone Sans II ITC Std Bk"/>
          <w:b/>
          <w:spacing w:val="-11"/>
          <w:w w:val="110"/>
          <w:sz w:val="20"/>
        </w:rPr>
        <w:t> </w:t>
      </w:r>
      <w:r>
        <w:rPr>
          <w:rFonts w:ascii="Stone Sans II ITC Std Bk"/>
          <w:b/>
          <w:spacing w:val="-3"/>
          <w:w w:val="110"/>
          <w:sz w:val="20"/>
        </w:rPr>
        <w:t>create</w:t>
      </w:r>
      <w:r>
        <w:rPr>
          <w:rFonts w:ascii="Stone Sans II ITC Std Bk"/>
          <w:b/>
          <w:spacing w:val="-11"/>
          <w:w w:val="110"/>
          <w:sz w:val="20"/>
        </w:rPr>
        <w:t> </w:t>
      </w:r>
      <w:r>
        <w:rPr>
          <w:rFonts w:ascii="Stone Sans II ITC Std Bk"/>
          <w:b/>
          <w:w w:val="110"/>
          <w:sz w:val="20"/>
        </w:rPr>
        <w:t>an</w:t>
      </w:r>
      <w:r>
        <w:rPr>
          <w:rFonts w:ascii="Stone Sans II ITC Std Bk"/>
          <w:b/>
          <w:spacing w:val="-11"/>
          <w:w w:val="110"/>
          <w:sz w:val="20"/>
        </w:rPr>
        <w:t> </w:t>
      </w:r>
      <w:r>
        <w:rPr>
          <w:rFonts w:ascii="Stone Sans II ITC Std Bk"/>
          <w:b/>
          <w:spacing w:val="-3"/>
          <w:w w:val="110"/>
          <w:sz w:val="20"/>
        </w:rPr>
        <w:t>incentive</w:t>
      </w:r>
      <w:r>
        <w:rPr>
          <w:rFonts w:ascii="Stone Sans II ITC Std Bk"/>
          <w:b/>
          <w:spacing w:val="-10"/>
          <w:w w:val="110"/>
          <w:sz w:val="20"/>
        </w:rPr>
        <w:t> </w:t>
      </w:r>
      <w:r>
        <w:rPr>
          <w:rFonts w:ascii="Stone Sans II ITC Std Bk"/>
          <w:b/>
          <w:w w:val="110"/>
          <w:sz w:val="20"/>
        </w:rPr>
        <w:t>scheme</w:t>
      </w:r>
      <w:r>
        <w:rPr>
          <w:rFonts w:ascii="Stone Sans II ITC Std Bk"/>
          <w:b/>
          <w:spacing w:val="-11"/>
          <w:w w:val="110"/>
          <w:sz w:val="20"/>
        </w:rPr>
        <w:t> </w:t>
      </w:r>
      <w:r>
        <w:rPr>
          <w:rFonts w:ascii="Stone Sans II ITC Std Bk"/>
          <w:b/>
          <w:w w:val="110"/>
          <w:sz w:val="20"/>
        </w:rPr>
        <w:t>that</w:t>
      </w:r>
      <w:r>
        <w:rPr>
          <w:rFonts w:ascii="Stone Sans II ITC Std Bk"/>
          <w:b/>
          <w:spacing w:val="-11"/>
          <w:w w:val="110"/>
          <w:sz w:val="20"/>
        </w:rPr>
        <w:t> </w:t>
      </w:r>
      <w:r>
        <w:rPr>
          <w:rFonts w:ascii="Stone Sans II ITC Std Bk"/>
          <w:b/>
          <w:w w:val="110"/>
          <w:sz w:val="20"/>
        </w:rPr>
        <w:t>would</w:t>
      </w:r>
      <w:r>
        <w:rPr>
          <w:rFonts w:ascii="Stone Sans II ITC Std Bk"/>
          <w:b/>
          <w:spacing w:val="-11"/>
          <w:w w:val="110"/>
          <w:sz w:val="20"/>
        </w:rPr>
        <w:t> </w:t>
      </w:r>
      <w:r>
        <w:rPr>
          <w:rFonts w:ascii="Stone Sans II ITC Std Bk"/>
          <w:b/>
          <w:w w:val="110"/>
          <w:sz w:val="20"/>
        </w:rPr>
        <w:t>encourage</w:t>
      </w:r>
      <w:r>
        <w:rPr>
          <w:rFonts w:ascii="Stone Sans II ITC Std Bk"/>
          <w:b/>
          <w:spacing w:val="-11"/>
          <w:w w:val="110"/>
          <w:sz w:val="20"/>
        </w:rPr>
        <w:t> </w:t>
      </w:r>
      <w:r>
        <w:rPr>
          <w:rFonts w:ascii="Stone Sans II ITC Std Bk"/>
          <w:b/>
          <w:w w:val="110"/>
          <w:sz w:val="20"/>
        </w:rPr>
        <w:t>ministers</w:t>
      </w:r>
      <w:r>
        <w:rPr>
          <w:rFonts w:ascii="Stone Sans II ITC Std Bk"/>
          <w:b/>
          <w:spacing w:val="-11"/>
          <w:w w:val="110"/>
          <w:sz w:val="20"/>
        </w:rPr>
        <w:t> </w:t>
      </w:r>
      <w:r>
        <w:rPr>
          <w:rFonts w:ascii="Stone Sans II ITC Std Bk"/>
          <w:b/>
          <w:w w:val="110"/>
          <w:sz w:val="20"/>
        </w:rPr>
        <w:t>and their</w:t>
      </w:r>
      <w:r>
        <w:rPr>
          <w:rFonts w:ascii="Stone Sans II ITC Std Bk"/>
          <w:b/>
          <w:spacing w:val="-9"/>
          <w:w w:val="110"/>
          <w:sz w:val="20"/>
        </w:rPr>
        <w:t> </w:t>
      </w:r>
      <w:r>
        <w:rPr>
          <w:rFonts w:ascii="Stone Sans II ITC Std Bk"/>
          <w:b/>
          <w:w w:val="110"/>
          <w:sz w:val="20"/>
        </w:rPr>
        <w:t>families</w:t>
      </w:r>
      <w:r>
        <w:rPr>
          <w:rFonts w:ascii="Stone Sans II ITC Std Bk"/>
          <w:b/>
          <w:spacing w:val="-9"/>
          <w:w w:val="110"/>
          <w:sz w:val="20"/>
        </w:rPr>
        <w:t> </w:t>
      </w:r>
      <w:r>
        <w:rPr>
          <w:rFonts w:ascii="Stone Sans II ITC Std Bk"/>
          <w:b/>
          <w:spacing w:val="-3"/>
          <w:w w:val="110"/>
          <w:sz w:val="20"/>
        </w:rPr>
        <w:t>to</w:t>
      </w:r>
      <w:r>
        <w:rPr>
          <w:rFonts w:ascii="Stone Sans II ITC Std Bk"/>
          <w:b/>
          <w:spacing w:val="-9"/>
          <w:w w:val="110"/>
          <w:sz w:val="20"/>
        </w:rPr>
        <w:t> </w:t>
      </w:r>
      <w:r>
        <w:rPr>
          <w:rFonts w:ascii="Stone Sans II ITC Std Bk"/>
          <w:b/>
          <w:w w:val="110"/>
          <w:sz w:val="20"/>
        </w:rPr>
        <w:t>build</w:t>
      </w:r>
      <w:r>
        <w:rPr>
          <w:rFonts w:ascii="Stone Sans II ITC Std Bk"/>
          <w:b/>
          <w:spacing w:val="-9"/>
          <w:w w:val="110"/>
          <w:sz w:val="20"/>
        </w:rPr>
        <w:t> </w:t>
      </w:r>
      <w:r>
        <w:rPr>
          <w:rFonts w:ascii="Stone Sans II ITC Std Bk"/>
          <w:b/>
          <w:w w:val="110"/>
          <w:sz w:val="20"/>
        </w:rPr>
        <w:t>up</w:t>
      </w:r>
      <w:r>
        <w:rPr>
          <w:rFonts w:ascii="Stone Sans II ITC Std Bk"/>
          <w:b/>
          <w:spacing w:val="-9"/>
          <w:w w:val="110"/>
          <w:sz w:val="20"/>
        </w:rPr>
        <w:t> </w:t>
      </w:r>
      <w:r>
        <w:rPr>
          <w:rFonts w:ascii="Stone Sans II ITC Std Bk"/>
          <w:b/>
          <w:w w:val="110"/>
          <w:sz w:val="20"/>
        </w:rPr>
        <w:t>an</w:t>
      </w:r>
      <w:r>
        <w:rPr>
          <w:rFonts w:ascii="Stone Sans II ITC Std Bk"/>
          <w:b/>
          <w:spacing w:val="-9"/>
          <w:w w:val="110"/>
          <w:sz w:val="20"/>
        </w:rPr>
        <w:t> </w:t>
      </w:r>
      <w:r>
        <w:rPr>
          <w:rFonts w:ascii="Stone Sans II ITC Std Bk"/>
          <w:b/>
          <w:w w:val="110"/>
          <w:sz w:val="20"/>
        </w:rPr>
        <w:t>equity</w:t>
      </w:r>
      <w:r>
        <w:rPr>
          <w:rFonts w:ascii="Stone Sans II ITC Std Bk"/>
          <w:b/>
          <w:spacing w:val="-9"/>
          <w:w w:val="110"/>
          <w:sz w:val="20"/>
        </w:rPr>
        <w:t> </w:t>
      </w:r>
      <w:r>
        <w:rPr>
          <w:rFonts w:ascii="Stone Sans II ITC Std Bk"/>
          <w:b/>
          <w:w w:val="110"/>
          <w:sz w:val="20"/>
        </w:rPr>
        <w:t>holding</w:t>
      </w:r>
      <w:r>
        <w:rPr>
          <w:rFonts w:ascii="Stone Sans II ITC Std Bk"/>
          <w:b/>
          <w:spacing w:val="-8"/>
          <w:w w:val="110"/>
          <w:sz w:val="20"/>
        </w:rPr>
        <w:t> </w:t>
      </w:r>
      <w:r>
        <w:rPr>
          <w:rFonts w:ascii="Stone Sans II ITC Std Bk"/>
          <w:b/>
          <w:w w:val="110"/>
          <w:sz w:val="20"/>
        </w:rPr>
        <w:t>in</w:t>
      </w:r>
      <w:r>
        <w:rPr>
          <w:rFonts w:ascii="Stone Sans II ITC Std Bk"/>
          <w:b/>
          <w:spacing w:val="-9"/>
          <w:w w:val="110"/>
          <w:sz w:val="20"/>
        </w:rPr>
        <w:t> </w:t>
      </w:r>
      <w:r>
        <w:rPr>
          <w:rFonts w:ascii="Stone Sans II ITC Std Bk"/>
          <w:b/>
          <w:w w:val="110"/>
          <w:sz w:val="20"/>
        </w:rPr>
        <w:t>a</w:t>
      </w:r>
      <w:r>
        <w:rPr>
          <w:rFonts w:ascii="Stone Sans II ITC Std Bk"/>
          <w:b/>
          <w:spacing w:val="-9"/>
          <w:w w:val="110"/>
          <w:sz w:val="20"/>
        </w:rPr>
        <w:t> </w:t>
      </w:r>
      <w:r>
        <w:rPr>
          <w:rFonts w:ascii="Stone Sans II ITC Std Bk"/>
          <w:b/>
          <w:w w:val="110"/>
          <w:sz w:val="20"/>
        </w:rPr>
        <w:t>consolidated</w:t>
      </w:r>
      <w:r>
        <w:rPr>
          <w:rFonts w:ascii="Stone Sans II ITC Std Bk"/>
          <w:b/>
          <w:spacing w:val="-9"/>
          <w:w w:val="110"/>
          <w:sz w:val="20"/>
        </w:rPr>
        <w:t> </w:t>
      </w:r>
      <w:r>
        <w:rPr>
          <w:rFonts w:ascii="Stone Sans II ITC Std Bk"/>
          <w:b/>
          <w:w w:val="110"/>
          <w:sz w:val="20"/>
        </w:rPr>
        <w:t>stock</w:t>
      </w:r>
      <w:r>
        <w:rPr>
          <w:rFonts w:ascii="Stone Sans II ITC Std Bk"/>
          <w:b/>
          <w:spacing w:val="-9"/>
          <w:w w:val="110"/>
          <w:sz w:val="20"/>
        </w:rPr>
        <w:t> </w:t>
      </w:r>
      <w:r>
        <w:rPr>
          <w:rFonts w:ascii="Stone Sans II ITC Std Bk"/>
          <w:b/>
          <w:w w:val="110"/>
          <w:sz w:val="20"/>
        </w:rPr>
        <w:t>of</w:t>
      </w:r>
      <w:r>
        <w:rPr>
          <w:rFonts w:ascii="Stone Sans II ITC Std Bk"/>
          <w:b/>
          <w:spacing w:val="-9"/>
          <w:w w:val="110"/>
          <w:sz w:val="20"/>
        </w:rPr>
        <w:t> </w:t>
      </w:r>
      <w:r>
        <w:rPr>
          <w:rFonts w:ascii="Stone Sans II ITC Std Bk"/>
          <w:b/>
          <w:w w:val="110"/>
          <w:sz w:val="20"/>
        </w:rPr>
        <w:t>manses.</w:t>
      </w:r>
    </w:p>
    <w:p>
      <w:pPr>
        <w:pStyle w:val="BodyText"/>
        <w:spacing w:before="3"/>
        <w:rPr>
          <w:rFonts w:ascii="Stone Sans II ITC Std Bk"/>
          <w:b/>
          <w:sz w:val="17"/>
        </w:rPr>
      </w:pPr>
    </w:p>
    <w:p>
      <w:pPr>
        <w:pStyle w:val="BodyText"/>
        <w:spacing w:line="235" w:lineRule="auto"/>
        <w:ind w:left="1133" w:right="1937"/>
      </w:pPr>
      <w:r>
        <w:rPr>
          <w:w w:val="120"/>
        </w:rPr>
        <w:t>This and some of the other </w:t>
      </w:r>
      <w:r>
        <w:rPr>
          <w:spacing w:val="-3"/>
          <w:w w:val="120"/>
        </w:rPr>
        <w:t>options involve over </w:t>
      </w:r>
      <w:r>
        <w:rPr>
          <w:w w:val="120"/>
        </w:rPr>
        <w:t>time transferring some assets of local </w:t>
      </w:r>
      <w:r>
        <w:rPr>
          <w:spacing w:val="-3"/>
          <w:w w:val="120"/>
        </w:rPr>
        <w:t>churches </w:t>
      </w:r>
      <w:r>
        <w:rPr>
          <w:w w:val="120"/>
        </w:rPr>
        <w:t>and the </w:t>
      </w:r>
      <w:r>
        <w:rPr>
          <w:spacing w:val="-3"/>
          <w:w w:val="120"/>
        </w:rPr>
        <w:t>denomination to ministers </w:t>
      </w:r>
      <w:r>
        <w:rPr>
          <w:w w:val="120"/>
        </w:rPr>
        <w:t>and their families. Those who argue in </w:t>
      </w:r>
      <w:r>
        <w:rPr>
          <w:spacing w:val="-2"/>
          <w:w w:val="120"/>
        </w:rPr>
        <w:t>favour </w:t>
      </w:r>
      <w:r>
        <w:rPr>
          <w:w w:val="120"/>
        </w:rPr>
        <w:t>of it do </w:t>
      </w:r>
      <w:r>
        <w:rPr>
          <w:spacing w:val="-2"/>
          <w:w w:val="120"/>
        </w:rPr>
        <w:t>not </w:t>
      </w:r>
      <w:r>
        <w:rPr>
          <w:w w:val="120"/>
        </w:rPr>
        <w:t>see </w:t>
      </w:r>
      <w:r>
        <w:rPr>
          <w:spacing w:val="-3"/>
          <w:w w:val="120"/>
        </w:rPr>
        <w:t>this </w:t>
      </w:r>
      <w:r>
        <w:rPr>
          <w:w w:val="120"/>
        </w:rPr>
        <w:t>as a problem, because they do </w:t>
      </w:r>
      <w:r>
        <w:rPr>
          <w:spacing w:val="-2"/>
          <w:w w:val="120"/>
        </w:rPr>
        <w:t>not </w:t>
      </w:r>
      <w:r>
        <w:rPr>
          <w:w w:val="120"/>
        </w:rPr>
        <w:t>think the </w:t>
      </w:r>
      <w:r>
        <w:rPr>
          <w:spacing w:val="-3"/>
          <w:w w:val="120"/>
        </w:rPr>
        <w:t>denomination </w:t>
      </w:r>
      <w:r>
        <w:rPr>
          <w:w w:val="120"/>
        </w:rPr>
        <w:t>is making the best </w:t>
      </w:r>
      <w:r>
        <w:rPr>
          <w:spacing w:val="-2"/>
          <w:w w:val="120"/>
        </w:rPr>
        <w:t>use </w:t>
      </w:r>
      <w:r>
        <w:rPr>
          <w:w w:val="120"/>
        </w:rPr>
        <w:t>of its assets at the moment and believe the overall remuneration package for </w:t>
      </w:r>
      <w:r>
        <w:rPr>
          <w:spacing w:val="-3"/>
          <w:w w:val="120"/>
        </w:rPr>
        <w:t>ministers </w:t>
      </w:r>
      <w:r>
        <w:rPr>
          <w:w w:val="120"/>
        </w:rPr>
        <w:t>is less than generous. If we are also living in the </w:t>
      </w:r>
      <w:r>
        <w:rPr>
          <w:spacing w:val="-4"/>
          <w:w w:val="120"/>
        </w:rPr>
        <w:t>‘end </w:t>
      </w:r>
      <w:r>
        <w:rPr>
          <w:spacing w:val="-3"/>
          <w:w w:val="120"/>
        </w:rPr>
        <w:t>times’ </w:t>
      </w:r>
      <w:r>
        <w:rPr>
          <w:w w:val="120"/>
        </w:rPr>
        <w:t>for the </w:t>
      </w:r>
      <w:r>
        <w:rPr>
          <w:spacing w:val="-3"/>
          <w:w w:val="120"/>
        </w:rPr>
        <w:t>denomination, </w:t>
      </w:r>
      <w:r>
        <w:rPr>
          <w:w w:val="120"/>
        </w:rPr>
        <w:t>we will die rich, without </w:t>
      </w:r>
      <w:r>
        <w:rPr>
          <w:spacing w:val="-3"/>
          <w:w w:val="120"/>
        </w:rPr>
        <w:t>having </w:t>
      </w:r>
      <w:r>
        <w:rPr>
          <w:w w:val="120"/>
        </w:rPr>
        <w:t>made </w:t>
      </w:r>
      <w:r>
        <w:rPr>
          <w:spacing w:val="-3"/>
          <w:w w:val="120"/>
        </w:rPr>
        <w:t>any </w:t>
      </w:r>
      <w:r>
        <w:rPr>
          <w:w w:val="120"/>
        </w:rPr>
        <w:t>effort </w:t>
      </w:r>
      <w:r>
        <w:rPr>
          <w:spacing w:val="-3"/>
          <w:w w:val="120"/>
        </w:rPr>
        <w:t>to </w:t>
      </w:r>
      <w:r>
        <w:rPr>
          <w:w w:val="120"/>
        </w:rPr>
        <w:t>do better for our </w:t>
      </w:r>
      <w:r>
        <w:rPr>
          <w:spacing w:val="-3"/>
          <w:w w:val="120"/>
        </w:rPr>
        <w:t>ministers.</w:t>
      </w:r>
    </w:p>
    <w:p>
      <w:pPr>
        <w:pStyle w:val="BodyText"/>
        <w:spacing w:before="5"/>
        <w:rPr>
          <w:sz w:val="19"/>
        </w:rPr>
      </w:pPr>
    </w:p>
    <w:p>
      <w:pPr>
        <w:pStyle w:val="ListParagraph"/>
        <w:numPr>
          <w:ilvl w:val="0"/>
          <w:numId w:val="109"/>
        </w:numPr>
        <w:tabs>
          <w:tab w:pos="1814" w:val="left" w:leader="none"/>
          <w:tab w:pos="1815" w:val="left" w:leader="none"/>
        </w:tabs>
        <w:spacing w:line="232" w:lineRule="auto" w:before="0" w:after="0"/>
        <w:ind w:left="1133" w:right="2176" w:hanging="1"/>
        <w:jc w:val="left"/>
        <w:rPr>
          <w:sz w:val="20"/>
        </w:rPr>
      </w:pPr>
      <w:r>
        <w:rPr>
          <w:w w:val="120"/>
          <w:sz w:val="20"/>
        </w:rPr>
        <w:t>We have rejected this particular solution because we think that there are already existing </w:t>
      </w:r>
      <w:r>
        <w:rPr>
          <w:spacing w:val="2"/>
          <w:w w:val="120"/>
          <w:sz w:val="20"/>
        </w:rPr>
        <w:t>property </w:t>
      </w:r>
      <w:r>
        <w:rPr>
          <w:w w:val="120"/>
          <w:sz w:val="20"/>
        </w:rPr>
        <w:t>funds in which ministers who wish to do so may</w:t>
      </w:r>
      <w:r>
        <w:rPr>
          <w:spacing w:val="33"/>
          <w:w w:val="120"/>
          <w:sz w:val="20"/>
        </w:rPr>
        <w:t> </w:t>
      </w:r>
      <w:r>
        <w:rPr>
          <w:w w:val="120"/>
          <w:sz w:val="20"/>
        </w:rPr>
        <w:t>invest.</w:t>
      </w:r>
    </w:p>
    <w:p>
      <w:pPr>
        <w:pStyle w:val="BodyText"/>
        <w:spacing w:before="4"/>
      </w:pPr>
    </w:p>
    <w:p>
      <w:pPr>
        <w:numPr>
          <w:ilvl w:val="0"/>
          <w:numId w:val="109"/>
        </w:numPr>
        <w:tabs>
          <w:tab w:pos="1814" w:val="left" w:leader="none"/>
          <w:tab w:pos="1815" w:val="left" w:leader="none"/>
        </w:tabs>
        <w:spacing w:line="213" w:lineRule="auto" w:before="0"/>
        <w:ind w:left="1133" w:right="2046" w:hanging="1"/>
        <w:jc w:val="left"/>
        <w:rPr>
          <w:rFonts w:ascii="Stone Sans II ITC Std Bk"/>
          <w:b/>
          <w:sz w:val="20"/>
        </w:rPr>
      </w:pPr>
      <w:r>
        <w:rPr>
          <w:rFonts w:ascii="Stone Sans II ITC Std Bk"/>
          <w:b/>
          <w:w w:val="110"/>
          <w:sz w:val="20"/>
        </w:rPr>
        <w:t>Option </w:t>
      </w:r>
      <w:r>
        <w:rPr>
          <w:rFonts w:ascii="Stone Sans II ITC Std Bk"/>
          <w:b/>
          <w:spacing w:val="-5"/>
          <w:w w:val="110"/>
          <w:sz w:val="20"/>
        </w:rPr>
        <w:t>(iv): </w:t>
      </w:r>
      <w:r>
        <w:rPr>
          <w:rFonts w:ascii="Stone Sans II ITC Std Bk"/>
          <w:b/>
          <w:w w:val="110"/>
          <w:sz w:val="20"/>
        </w:rPr>
        <w:t>over time, withdraw from the provision of tied housing entirely, and instead invest the proceeds of sale in managed property funds, from which housing allowances would be paid to</w:t>
      </w:r>
      <w:r>
        <w:rPr>
          <w:rFonts w:ascii="Stone Sans II ITC Std Bk"/>
          <w:b/>
          <w:spacing w:val="-2"/>
          <w:w w:val="110"/>
          <w:sz w:val="20"/>
        </w:rPr>
        <w:t> </w:t>
      </w:r>
      <w:r>
        <w:rPr>
          <w:rFonts w:ascii="Stone Sans II ITC Std Bk"/>
          <w:b/>
          <w:w w:val="110"/>
          <w:sz w:val="20"/>
        </w:rPr>
        <w:t>ministers.</w:t>
      </w:r>
    </w:p>
    <w:p>
      <w:pPr>
        <w:pStyle w:val="BodyText"/>
        <w:spacing w:before="2"/>
        <w:rPr>
          <w:rFonts w:ascii="Stone Sans II ITC Std Bk"/>
          <w:b/>
          <w:sz w:val="17"/>
        </w:rPr>
      </w:pPr>
    </w:p>
    <w:p>
      <w:pPr>
        <w:pStyle w:val="BodyText"/>
        <w:spacing w:line="235" w:lineRule="auto"/>
        <w:ind w:left="1133" w:right="2079"/>
      </w:pPr>
      <w:r>
        <w:rPr>
          <w:w w:val="120"/>
        </w:rPr>
        <w:t>We reject this option as a waste of resources. We have set out in paragraph </w:t>
      </w:r>
      <w:r>
        <w:rPr>
          <w:spacing w:val="-8"/>
          <w:w w:val="120"/>
        </w:rPr>
        <w:t>19 </w:t>
      </w:r>
      <w:r>
        <w:rPr>
          <w:w w:val="120"/>
        </w:rPr>
        <w:t>above some of the financial implications of making this change. The money to fund this could only come from increasing the churches’ Ministry and Mission contributions or the sale  of property. On one calculation, if all the existing manses were sold and the money used to fund housing allowances at the level set out in paragraph </w:t>
      </w:r>
      <w:r>
        <w:rPr>
          <w:spacing w:val="-10"/>
          <w:w w:val="120"/>
        </w:rPr>
        <w:t>19, </w:t>
      </w:r>
      <w:r>
        <w:rPr>
          <w:w w:val="120"/>
        </w:rPr>
        <w:t>the money would last for about 30 years. The biggest beneficiary would be the Inland</w:t>
      </w:r>
      <w:r>
        <w:rPr>
          <w:spacing w:val="40"/>
          <w:w w:val="120"/>
        </w:rPr>
        <w:t> </w:t>
      </w:r>
      <w:r>
        <w:rPr>
          <w:w w:val="120"/>
        </w:rPr>
        <w:t>Revenue.</w:t>
      </w:r>
    </w:p>
    <w:p>
      <w:pPr>
        <w:pStyle w:val="BodyText"/>
        <w:spacing w:before="6"/>
      </w:pPr>
    </w:p>
    <w:p>
      <w:pPr>
        <w:numPr>
          <w:ilvl w:val="0"/>
          <w:numId w:val="109"/>
        </w:numPr>
        <w:tabs>
          <w:tab w:pos="1814" w:val="left" w:leader="none"/>
          <w:tab w:pos="1815" w:val="left" w:leader="none"/>
        </w:tabs>
        <w:spacing w:line="213" w:lineRule="auto" w:before="1"/>
        <w:ind w:left="1133" w:right="2294" w:hanging="1"/>
        <w:jc w:val="left"/>
        <w:rPr>
          <w:sz w:val="20"/>
        </w:rPr>
      </w:pPr>
      <w:r>
        <w:rPr>
          <w:rFonts w:ascii="Stone Sans II ITC Std Bk"/>
          <w:b/>
          <w:w w:val="110"/>
          <w:sz w:val="20"/>
        </w:rPr>
        <w:t>Option </w:t>
      </w:r>
      <w:r>
        <w:rPr>
          <w:rFonts w:ascii="Stone Sans II ITC Std Bk"/>
          <w:b/>
          <w:spacing w:val="-8"/>
          <w:w w:val="110"/>
          <w:sz w:val="20"/>
        </w:rPr>
        <w:t>(v): </w:t>
      </w:r>
      <w:r>
        <w:rPr>
          <w:rFonts w:ascii="Stone Sans II ITC Std Bk"/>
          <w:b/>
          <w:w w:val="110"/>
          <w:sz w:val="20"/>
        </w:rPr>
        <w:t>quantify the benefit represented by the manse, grossed up to allow for tax and National Insurance liability which would be paid as a housing allowance, leaving the minister free to choose whatever accommodation he can</w:t>
      </w:r>
      <w:r>
        <w:rPr>
          <w:rFonts w:ascii="Stone Sans II ITC Std Bk"/>
          <w:b/>
          <w:spacing w:val="-1"/>
          <w:w w:val="110"/>
          <w:sz w:val="20"/>
        </w:rPr>
        <w:t> </w:t>
      </w:r>
      <w:r>
        <w:rPr>
          <w:rFonts w:ascii="Stone Sans II ITC Std Bk"/>
          <w:b/>
          <w:w w:val="110"/>
          <w:sz w:val="20"/>
        </w:rPr>
        <w:t>afford</w:t>
      </w:r>
      <w:r>
        <w:rPr>
          <w:w w:val="110"/>
          <w:sz w:val="20"/>
        </w:rPr>
        <w:t>.</w:t>
      </w:r>
    </w:p>
    <w:p>
      <w:pPr>
        <w:spacing w:after="0" w:line="213" w:lineRule="auto"/>
        <w:jc w:val="left"/>
        <w:rPr>
          <w:sz w:val="20"/>
        </w:rPr>
        <w:sectPr>
          <w:pgSz w:w="11910" w:h="16840"/>
          <w:pgMar w:header="0" w:footer="647" w:top="1060" w:bottom="840" w:left="0" w:right="0"/>
        </w:sectPr>
      </w:pPr>
    </w:p>
    <w:p>
      <w:pPr>
        <w:pStyle w:val="BodyText"/>
        <w:spacing w:line="235" w:lineRule="auto" w:before="91"/>
        <w:ind w:left="1984" w:right="1514"/>
      </w:pPr>
      <w:r>
        <w:rPr/>
        <w:pict>
          <v:rect style="position:absolute;margin-left:558.424988pt;margin-top:8.503343pt;width:22.677pt;height:22.677pt;mso-position-horizontal-relative:page;mso-position-vertical-relative:paragraph;z-index:251939840" filled="true" fillcolor="#f9e9c1" stroked="false">
            <v:fill opacity="32768f" type="solid"/>
            <w10:wrap type="none"/>
          </v:rect>
        </w:pict>
      </w:r>
      <w:r>
        <w:rPr>
          <w:w w:val="120"/>
        </w:rPr>
        <w:t>We reject this option. The church cannot afford it if it is to have a long-term future with a similar number of ministers to that at present. We think it is unlikely that the denomination would be able to pay the </w:t>
      </w:r>
      <w:r>
        <w:rPr>
          <w:spacing w:val="2"/>
          <w:w w:val="120"/>
        </w:rPr>
        <w:t>sort </w:t>
      </w:r>
      <w:r>
        <w:rPr>
          <w:w w:val="120"/>
        </w:rPr>
        <w:t>of sums that would be necessary to</w:t>
      </w:r>
      <w:r>
        <w:rPr>
          <w:spacing w:val="52"/>
          <w:w w:val="120"/>
        </w:rPr>
        <w:t> </w:t>
      </w:r>
      <w:r>
        <w:rPr>
          <w:w w:val="120"/>
        </w:rPr>
        <w:t>fund</w:t>
      </w:r>
    </w:p>
    <w:p>
      <w:pPr>
        <w:pStyle w:val="BodyText"/>
        <w:spacing w:line="235" w:lineRule="auto" w:before="2"/>
        <w:ind w:left="1984" w:right="1120"/>
      </w:pPr>
      <w:r>
        <w:rPr>
          <w:w w:val="120"/>
        </w:rPr>
        <w:t>the purchase or rental of suitable property. If the decision is to pay an increased housing allowance to allow those who wish to purchase a property, we do not think it should be grossed up.</w:t>
      </w:r>
    </w:p>
    <w:p>
      <w:pPr>
        <w:pStyle w:val="BodyText"/>
        <w:spacing w:before="4"/>
      </w:pPr>
    </w:p>
    <w:p>
      <w:pPr>
        <w:numPr>
          <w:ilvl w:val="0"/>
          <w:numId w:val="109"/>
        </w:numPr>
        <w:tabs>
          <w:tab w:pos="2664" w:val="left" w:leader="none"/>
          <w:tab w:pos="2665" w:val="left" w:leader="none"/>
        </w:tabs>
        <w:spacing w:line="213" w:lineRule="auto" w:before="0"/>
        <w:ind w:left="1984" w:right="1404" w:hanging="1"/>
        <w:jc w:val="left"/>
        <w:rPr>
          <w:rFonts w:ascii="Stone Sans II ITC Std Bk"/>
          <w:b/>
          <w:sz w:val="20"/>
        </w:rPr>
      </w:pPr>
      <w:r>
        <w:rPr>
          <w:rFonts w:ascii="Stone Sans II ITC Std Bk"/>
          <w:b/>
          <w:w w:val="110"/>
          <w:sz w:val="20"/>
        </w:rPr>
        <w:t>Option </w:t>
      </w:r>
      <w:r>
        <w:rPr>
          <w:rFonts w:ascii="Stone Sans II ITC Std Bk"/>
          <w:b/>
          <w:spacing w:val="-5"/>
          <w:w w:val="110"/>
          <w:sz w:val="20"/>
        </w:rPr>
        <w:t>(vi): </w:t>
      </w:r>
      <w:r>
        <w:rPr>
          <w:rFonts w:ascii="Stone Sans II ITC Std Bk"/>
          <w:b/>
          <w:w w:val="110"/>
          <w:sz w:val="20"/>
        </w:rPr>
        <w:t>liquidate part of the stock of manses, to create a fund from which mortgages at preferential rates would be granted to those ministers who either already owned or who wished to acquire an interest in a</w:t>
      </w:r>
      <w:r>
        <w:rPr>
          <w:rFonts w:ascii="Stone Sans II ITC Std Bk"/>
          <w:b/>
          <w:spacing w:val="1"/>
          <w:w w:val="110"/>
          <w:sz w:val="20"/>
        </w:rPr>
        <w:t> </w:t>
      </w:r>
      <w:r>
        <w:rPr>
          <w:rFonts w:ascii="Stone Sans II ITC Std Bk"/>
          <w:b/>
          <w:w w:val="110"/>
          <w:sz w:val="20"/>
        </w:rPr>
        <w:t>property.</w:t>
      </w:r>
    </w:p>
    <w:p>
      <w:pPr>
        <w:pStyle w:val="BodyText"/>
        <w:spacing w:before="2"/>
        <w:rPr>
          <w:rFonts w:ascii="Stone Sans II ITC Std Bk"/>
          <w:b/>
          <w:sz w:val="17"/>
        </w:rPr>
      </w:pPr>
    </w:p>
    <w:p>
      <w:pPr>
        <w:pStyle w:val="BodyText"/>
        <w:spacing w:line="235" w:lineRule="auto"/>
        <w:ind w:left="1984" w:right="1273"/>
      </w:pPr>
      <w:r>
        <w:rPr>
          <w:w w:val="120"/>
        </w:rPr>
        <w:t>This option is not necessarily an alternative to the manse system, since it could be used by those who are living in a manse as well as those who are not. We reject it for the reasons already given.</w:t>
      </w:r>
    </w:p>
    <w:p>
      <w:pPr>
        <w:pStyle w:val="BodyText"/>
        <w:spacing w:before="4"/>
      </w:pPr>
    </w:p>
    <w:p>
      <w:pPr>
        <w:numPr>
          <w:ilvl w:val="0"/>
          <w:numId w:val="109"/>
        </w:numPr>
        <w:tabs>
          <w:tab w:pos="2664" w:val="left" w:leader="none"/>
          <w:tab w:pos="2665" w:val="left" w:leader="none"/>
        </w:tabs>
        <w:spacing w:line="213" w:lineRule="auto" w:before="0"/>
        <w:ind w:left="1984" w:right="1647" w:hanging="1"/>
        <w:jc w:val="left"/>
        <w:rPr>
          <w:rFonts w:ascii="Stone Sans II ITC Std Bk"/>
          <w:b/>
          <w:sz w:val="20"/>
        </w:rPr>
      </w:pPr>
      <w:r>
        <w:rPr>
          <w:rFonts w:ascii="Stone Sans II ITC Std Bk"/>
          <w:b/>
          <w:w w:val="110"/>
          <w:sz w:val="20"/>
        </w:rPr>
        <w:t>Option </w:t>
      </w:r>
      <w:r>
        <w:rPr>
          <w:rFonts w:ascii="Stone Sans II ITC Std Bk"/>
          <w:b/>
          <w:spacing w:val="-4"/>
          <w:w w:val="110"/>
          <w:sz w:val="20"/>
        </w:rPr>
        <w:t>(vii): </w:t>
      </w:r>
      <w:r>
        <w:rPr>
          <w:rFonts w:ascii="Stone Sans II ITC Std Bk"/>
          <w:b/>
          <w:w w:val="110"/>
          <w:sz w:val="20"/>
        </w:rPr>
        <w:t>establish some form of shared equity scheme between the denomination and those ministers who wish to</w:t>
      </w:r>
      <w:r>
        <w:rPr>
          <w:rFonts w:ascii="Stone Sans II ITC Std Bk"/>
          <w:b/>
          <w:spacing w:val="-1"/>
          <w:w w:val="110"/>
          <w:sz w:val="20"/>
        </w:rPr>
        <w:t> </w:t>
      </w:r>
      <w:r>
        <w:rPr>
          <w:rFonts w:ascii="Stone Sans II ITC Std Bk"/>
          <w:b/>
          <w:w w:val="110"/>
          <w:sz w:val="20"/>
        </w:rPr>
        <w:t>participate.</w:t>
      </w:r>
    </w:p>
    <w:p>
      <w:pPr>
        <w:pStyle w:val="BodyText"/>
        <w:spacing w:before="3"/>
        <w:rPr>
          <w:rFonts w:ascii="Stone Sans II ITC Std Bk"/>
          <w:b/>
          <w:sz w:val="17"/>
        </w:rPr>
      </w:pPr>
    </w:p>
    <w:p>
      <w:pPr>
        <w:pStyle w:val="BodyText"/>
        <w:spacing w:line="235" w:lineRule="auto"/>
        <w:ind w:left="1984" w:right="1133"/>
      </w:pPr>
      <w:r>
        <w:rPr>
          <w:w w:val="120"/>
        </w:rPr>
        <w:t>The Revd Nigel Appleton prepared for us an outline of a model shared ownership  scheme, and we are indebted to him for this. It would be open to those ministers who had capital resources </w:t>
      </w:r>
      <w:r>
        <w:rPr>
          <w:spacing w:val="-3"/>
          <w:w w:val="120"/>
        </w:rPr>
        <w:t>(either </w:t>
      </w:r>
      <w:r>
        <w:rPr>
          <w:w w:val="120"/>
        </w:rPr>
        <w:t>owned or borrowed) to put towards the purchase of a property. The minister would identify a suitable property, in consultation with synod.  This would not necessarily have to meet the standard for manses but living in that </w:t>
      </w:r>
      <w:r>
        <w:rPr>
          <w:spacing w:val="2"/>
          <w:w w:val="120"/>
        </w:rPr>
        <w:t>property </w:t>
      </w:r>
      <w:r>
        <w:rPr>
          <w:w w:val="120"/>
        </w:rPr>
        <w:t>would be a condition of concurrence in a call. The balance of the purchase   price would be funded by synod and the equity in the </w:t>
      </w:r>
      <w:r>
        <w:rPr>
          <w:spacing w:val="2"/>
          <w:w w:val="120"/>
        </w:rPr>
        <w:t>property </w:t>
      </w:r>
      <w:r>
        <w:rPr>
          <w:w w:val="120"/>
        </w:rPr>
        <w:t>would be held in proportion to the respective contributions of the minister and synod. The minister would pay rent to the synod on the balance. The minister could purchase an increased</w:t>
      </w:r>
      <w:r>
        <w:rPr>
          <w:spacing w:val="31"/>
          <w:w w:val="120"/>
        </w:rPr>
        <w:t> </w:t>
      </w:r>
      <w:r>
        <w:rPr>
          <w:w w:val="120"/>
        </w:rPr>
        <w:t>share</w:t>
      </w:r>
    </w:p>
    <w:p>
      <w:pPr>
        <w:pStyle w:val="BodyText"/>
        <w:spacing w:line="235" w:lineRule="auto" w:before="7"/>
        <w:ind w:left="1984" w:right="1120"/>
      </w:pPr>
      <w:r>
        <w:rPr>
          <w:w w:val="120"/>
        </w:rPr>
        <w:t>in the equity at a later stage, with a corresponding adjustment to the rent. This basic scheme is capable of being refined in a number of ways. The outline proposal is attached as Annexe 8a for those who wish to consider it in more detail.</w:t>
      </w:r>
    </w:p>
    <w:p>
      <w:pPr>
        <w:pStyle w:val="BodyText"/>
        <w:spacing w:before="1"/>
        <w:rPr>
          <w:sz w:val="19"/>
        </w:rPr>
      </w:pPr>
    </w:p>
    <w:p>
      <w:pPr>
        <w:pStyle w:val="ListParagraph"/>
        <w:numPr>
          <w:ilvl w:val="0"/>
          <w:numId w:val="109"/>
        </w:numPr>
        <w:tabs>
          <w:tab w:pos="2664" w:val="left" w:leader="none"/>
          <w:tab w:pos="2665" w:val="left" w:leader="none"/>
        </w:tabs>
        <w:spacing w:line="235" w:lineRule="auto" w:before="0" w:after="0"/>
        <w:ind w:left="1984" w:right="1152" w:hanging="1"/>
        <w:jc w:val="left"/>
        <w:rPr>
          <w:sz w:val="20"/>
        </w:rPr>
      </w:pPr>
      <w:r>
        <w:rPr>
          <w:w w:val="120"/>
          <w:sz w:val="20"/>
        </w:rPr>
        <w:t>This scheme has the advantage over the other options that it could be done without the necessity for statutory change if synods were to utilise funds from redundant manses. It would meet the aspirations of serving ministers to own, in </w:t>
      </w:r>
      <w:r>
        <w:rPr>
          <w:spacing w:val="2"/>
          <w:w w:val="120"/>
          <w:sz w:val="20"/>
        </w:rPr>
        <w:t>part </w:t>
      </w:r>
      <w:r>
        <w:rPr>
          <w:w w:val="120"/>
          <w:sz w:val="20"/>
        </w:rPr>
        <w:t>at</w:t>
      </w:r>
      <w:r>
        <w:rPr>
          <w:spacing w:val="9"/>
          <w:w w:val="120"/>
          <w:sz w:val="20"/>
        </w:rPr>
        <w:t> </w:t>
      </w:r>
      <w:r>
        <w:rPr>
          <w:w w:val="120"/>
          <w:sz w:val="20"/>
        </w:rPr>
        <w:t>least,</w:t>
      </w:r>
    </w:p>
    <w:p>
      <w:pPr>
        <w:pStyle w:val="BodyText"/>
        <w:spacing w:line="235" w:lineRule="auto"/>
        <w:ind w:left="1984" w:right="1120"/>
      </w:pPr>
      <w:r>
        <w:rPr>
          <w:w w:val="120"/>
        </w:rPr>
        <w:t>their own property, and give them resources to provide their own accommodation in retirement, thus relieving pressure on the Retired Ministers’ Housing Society.</w:t>
      </w:r>
    </w:p>
    <w:p>
      <w:pPr>
        <w:pStyle w:val="BodyText"/>
        <w:spacing w:before="12"/>
        <w:rPr>
          <w:sz w:val="18"/>
        </w:rPr>
      </w:pPr>
    </w:p>
    <w:p>
      <w:pPr>
        <w:pStyle w:val="ListParagraph"/>
        <w:numPr>
          <w:ilvl w:val="0"/>
          <w:numId w:val="109"/>
        </w:numPr>
        <w:tabs>
          <w:tab w:pos="2664" w:val="left" w:leader="none"/>
          <w:tab w:pos="2665" w:val="left" w:leader="none"/>
        </w:tabs>
        <w:spacing w:line="235" w:lineRule="auto" w:before="0" w:after="0"/>
        <w:ind w:left="1984" w:right="1134" w:hanging="1"/>
        <w:jc w:val="left"/>
        <w:rPr>
          <w:sz w:val="20"/>
        </w:rPr>
      </w:pPr>
      <w:r>
        <w:rPr>
          <w:w w:val="120"/>
          <w:sz w:val="20"/>
        </w:rPr>
        <w:t>This proposal has the support of a minority of the committee, who believe that  the denomination should do something to meet those aspirations, and that this is the least contentious way of achieving a step in the right direction. The majority, </w:t>
      </w:r>
      <w:r>
        <w:rPr>
          <w:spacing w:val="-3"/>
          <w:w w:val="120"/>
          <w:sz w:val="20"/>
        </w:rPr>
        <w:t>however, </w:t>
      </w:r>
      <w:r>
        <w:rPr>
          <w:w w:val="120"/>
          <w:sz w:val="20"/>
        </w:rPr>
        <w:t>consider that there are a number of major difficulties in implementing such a scheme. If  it were synod based, it would depend on synods providing resources both financial and administrative to make the scheme work. The ability of synods to do this would vary, and some might not be able to do it at all. Such a scheme would therefore create inequalities between ministers depending where their ministry was exercised. It would cut across the principle of a uniform scheme of ministerial remuneration throughout the denomination. The alternative would be to establish a tri-national scheme, or enter into an agreement with an existing housing association to do so, but the legal and other complexities </w:t>
      </w:r>
      <w:r>
        <w:rPr>
          <w:spacing w:val="-3"/>
          <w:w w:val="120"/>
          <w:sz w:val="20"/>
        </w:rPr>
        <w:t>(some </w:t>
      </w:r>
      <w:r>
        <w:rPr>
          <w:w w:val="120"/>
          <w:sz w:val="20"/>
        </w:rPr>
        <w:t>of which we have referred to </w:t>
      </w:r>
      <w:r>
        <w:rPr>
          <w:spacing w:val="-4"/>
          <w:w w:val="120"/>
          <w:sz w:val="20"/>
        </w:rPr>
        <w:t>above) </w:t>
      </w:r>
      <w:r>
        <w:rPr>
          <w:w w:val="120"/>
          <w:sz w:val="20"/>
        </w:rPr>
        <w:t>of doing so would be</w:t>
      </w:r>
      <w:r>
        <w:rPr>
          <w:spacing w:val="49"/>
          <w:w w:val="120"/>
          <w:sz w:val="20"/>
        </w:rPr>
        <w:t> </w:t>
      </w:r>
      <w:r>
        <w:rPr>
          <w:w w:val="120"/>
          <w:sz w:val="20"/>
        </w:rPr>
        <w:t>considerable.</w:t>
      </w:r>
    </w:p>
    <w:p>
      <w:pPr>
        <w:pStyle w:val="BodyText"/>
        <w:spacing w:before="5"/>
        <w:rPr>
          <w:sz w:val="19"/>
        </w:rPr>
      </w:pPr>
    </w:p>
    <w:p>
      <w:pPr>
        <w:pStyle w:val="ListParagraph"/>
        <w:numPr>
          <w:ilvl w:val="0"/>
          <w:numId w:val="109"/>
        </w:numPr>
        <w:tabs>
          <w:tab w:pos="2664" w:val="left" w:leader="none"/>
          <w:tab w:pos="2665" w:val="left" w:leader="none"/>
        </w:tabs>
        <w:spacing w:line="235" w:lineRule="auto" w:before="0" w:after="0"/>
        <w:ind w:left="1984" w:right="1230" w:hanging="1"/>
        <w:jc w:val="left"/>
        <w:rPr>
          <w:sz w:val="20"/>
        </w:rPr>
      </w:pPr>
      <w:r>
        <w:rPr>
          <w:w w:val="120"/>
          <w:sz w:val="20"/>
        </w:rPr>
        <w:t>Such schemes can be very difficult and disproportionately time-consuming to administer and there are many possible pitfalls, about which the minister would have to take independent advice. Property values can go down as well as up, and this can cause difficulties if a minister needs to move at a time when </w:t>
      </w:r>
      <w:r>
        <w:rPr>
          <w:spacing w:val="2"/>
          <w:w w:val="120"/>
          <w:sz w:val="20"/>
        </w:rPr>
        <w:t>property </w:t>
      </w:r>
      <w:r>
        <w:rPr>
          <w:w w:val="120"/>
          <w:sz w:val="20"/>
        </w:rPr>
        <w:t>values are low and the capital</w:t>
      </w:r>
      <w:r>
        <w:rPr>
          <w:spacing w:val="-4"/>
          <w:w w:val="120"/>
          <w:sz w:val="20"/>
        </w:rPr>
        <w:t> </w:t>
      </w:r>
      <w:r>
        <w:rPr>
          <w:w w:val="120"/>
          <w:sz w:val="20"/>
        </w:rPr>
        <w:t>sum</w:t>
      </w:r>
      <w:r>
        <w:rPr>
          <w:spacing w:val="-3"/>
          <w:w w:val="120"/>
          <w:sz w:val="20"/>
        </w:rPr>
        <w:t> </w:t>
      </w:r>
      <w:r>
        <w:rPr>
          <w:w w:val="120"/>
          <w:sz w:val="20"/>
        </w:rPr>
        <w:t>realised</w:t>
      </w:r>
      <w:r>
        <w:rPr>
          <w:spacing w:val="-4"/>
          <w:w w:val="120"/>
          <w:sz w:val="20"/>
        </w:rPr>
        <w:t> </w:t>
      </w:r>
      <w:r>
        <w:rPr>
          <w:w w:val="120"/>
          <w:sz w:val="20"/>
        </w:rPr>
        <w:t>is</w:t>
      </w:r>
      <w:r>
        <w:rPr>
          <w:spacing w:val="-3"/>
          <w:w w:val="120"/>
          <w:sz w:val="20"/>
        </w:rPr>
        <w:t> </w:t>
      </w:r>
      <w:r>
        <w:rPr>
          <w:w w:val="120"/>
          <w:sz w:val="20"/>
        </w:rPr>
        <w:t>less</w:t>
      </w:r>
      <w:r>
        <w:rPr>
          <w:spacing w:val="-4"/>
          <w:w w:val="120"/>
          <w:sz w:val="20"/>
        </w:rPr>
        <w:t> </w:t>
      </w:r>
      <w:r>
        <w:rPr>
          <w:w w:val="120"/>
          <w:sz w:val="20"/>
        </w:rPr>
        <w:t>than</w:t>
      </w:r>
      <w:r>
        <w:rPr>
          <w:spacing w:val="-3"/>
          <w:w w:val="120"/>
          <w:sz w:val="20"/>
        </w:rPr>
        <w:t> </w:t>
      </w:r>
      <w:r>
        <w:rPr>
          <w:w w:val="120"/>
          <w:sz w:val="20"/>
        </w:rPr>
        <w:t>expected.</w:t>
      </w:r>
      <w:r>
        <w:rPr>
          <w:spacing w:val="-4"/>
          <w:w w:val="120"/>
          <w:sz w:val="20"/>
        </w:rPr>
        <w:t> </w:t>
      </w:r>
      <w:r>
        <w:rPr>
          <w:w w:val="120"/>
          <w:sz w:val="20"/>
        </w:rPr>
        <w:t>Repairs</w:t>
      </w:r>
      <w:r>
        <w:rPr>
          <w:spacing w:val="-3"/>
          <w:w w:val="120"/>
          <w:sz w:val="20"/>
        </w:rPr>
        <w:t> </w:t>
      </w:r>
      <w:r>
        <w:rPr>
          <w:w w:val="120"/>
          <w:sz w:val="20"/>
        </w:rPr>
        <w:t>are</w:t>
      </w:r>
      <w:r>
        <w:rPr>
          <w:spacing w:val="-3"/>
          <w:w w:val="120"/>
          <w:sz w:val="20"/>
        </w:rPr>
        <w:t> </w:t>
      </w:r>
      <w:r>
        <w:rPr>
          <w:w w:val="120"/>
          <w:sz w:val="20"/>
        </w:rPr>
        <w:t>another</w:t>
      </w:r>
      <w:r>
        <w:rPr>
          <w:spacing w:val="-4"/>
          <w:w w:val="120"/>
          <w:sz w:val="20"/>
        </w:rPr>
        <w:t> </w:t>
      </w:r>
      <w:r>
        <w:rPr>
          <w:w w:val="120"/>
          <w:sz w:val="20"/>
        </w:rPr>
        <w:t>area</w:t>
      </w:r>
      <w:r>
        <w:rPr>
          <w:spacing w:val="-3"/>
          <w:w w:val="120"/>
          <w:sz w:val="20"/>
        </w:rPr>
        <w:t> </w:t>
      </w:r>
      <w:r>
        <w:rPr>
          <w:w w:val="120"/>
          <w:sz w:val="20"/>
        </w:rPr>
        <w:t>of</w:t>
      </w:r>
      <w:r>
        <w:rPr>
          <w:spacing w:val="-4"/>
          <w:w w:val="120"/>
          <w:sz w:val="20"/>
        </w:rPr>
        <w:t> </w:t>
      </w:r>
      <w:r>
        <w:rPr>
          <w:w w:val="120"/>
          <w:sz w:val="20"/>
        </w:rPr>
        <w:t>potential</w:t>
      </w:r>
      <w:r>
        <w:rPr>
          <w:spacing w:val="-3"/>
          <w:w w:val="120"/>
          <w:sz w:val="20"/>
        </w:rPr>
        <w:t> </w:t>
      </w:r>
      <w:r>
        <w:rPr>
          <w:w w:val="120"/>
          <w:sz w:val="20"/>
        </w:rPr>
        <w:t>difficulty. Many</w:t>
      </w:r>
      <w:r>
        <w:rPr>
          <w:spacing w:val="7"/>
          <w:w w:val="120"/>
          <w:sz w:val="20"/>
        </w:rPr>
        <w:t> </w:t>
      </w:r>
      <w:r>
        <w:rPr>
          <w:w w:val="120"/>
          <w:sz w:val="20"/>
        </w:rPr>
        <w:t>of</w:t>
      </w:r>
      <w:r>
        <w:rPr>
          <w:spacing w:val="7"/>
          <w:w w:val="120"/>
          <w:sz w:val="20"/>
        </w:rPr>
        <w:t> </w:t>
      </w:r>
      <w:r>
        <w:rPr>
          <w:w w:val="120"/>
          <w:sz w:val="20"/>
        </w:rPr>
        <w:t>the</w:t>
      </w:r>
      <w:r>
        <w:rPr>
          <w:spacing w:val="8"/>
          <w:w w:val="120"/>
          <w:sz w:val="20"/>
        </w:rPr>
        <w:t> </w:t>
      </w:r>
      <w:r>
        <w:rPr>
          <w:w w:val="120"/>
          <w:sz w:val="20"/>
        </w:rPr>
        <w:t>problems</w:t>
      </w:r>
      <w:r>
        <w:rPr>
          <w:spacing w:val="7"/>
          <w:w w:val="120"/>
          <w:sz w:val="20"/>
        </w:rPr>
        <w:t> </w:t>
      </w:r>
      <w:r>
        <w:rPr>
          <w:w w:val="120"/>
          <w:sz w:val="20"/>
        </w:rPr>
        <w:t>highlighted</w:t>
      </w:r>
      <w:r>
        <w:rPr>
          <w:spacing w:val="8"/>
          <w:w w:val="120"/>
          <w:sz w:val="20"/>
        </w:rPr>
        <w:t> </w:t>
      </w:r>
      <w:r>
        <w:rPr>
          <w:w w:val="120"/>
          <w:sz w:val="20"/>
        </w:rPr>
        <w:t>in</w:t>
      </w:r>
      <w:r>
        <w:rPr>
          <w:spacing w:val="7"/>
          <w:w w:val="120"/>
          <w:sz w:val="20"/>
        </w:rPr>
        <w:t> </w:t>
      </w:r>
      <w:r>
        <w:rPr>
          <w:w w:val="120"/>
          <w:sz w:val="20"/>
        </w:rPr>
        <w:t>paragraph</w:t>
      </w:r>
      <w:r>
        <w:rPr>
          <w:spacing w:val="8"/>
          <w:w w:val="120"/>
          <w:sz w:val="20"/>
        </w:rPr>
        <w:t> </w:t>
      </w:r>
      <w:r>
        <w:rPr>
          <w:spacing w:val="-12"/>
          <w:w w:val="120"/>
          <w:sz w:val="20"/>
        </w:rPr>
        <w:t>17</w:t>
      </w:r>
      <w:r>
        <w:rPr>
          <w:spacing w:val="7"/>
          <w:w w:val="120"/>
          <w:sz w:val="20"/>
        </w:rPr>
        <w:t> </w:t>
      </w:r>
      <w:r>
        <w:rPr>
          <w:w w:val="120"/>
          <w:sz w:val="20"/>
        </w:rPr>
        <w:t>would</w:t>
      </w:r>
      <w:r>
        <w:rPr>
          <w:spacing w:val="8"/>
          <w:w w:val="120"/>
          <w:sz w:val="20"/>
        </w:rPr>
        <w:t> </w:t>
      </w:r>
      <w:r>
        <w:rPr>
          <w:w w:val="120"/>
          <w:sz w:val="20"/>
        </w:rPr>
        <w:t>apply</w:t>
      </w:r>
      <w:r>
        <w:rPr>
          <w:spacing w:val="7"/>
          <w:w w:val="120"/>
          <w:sz w:val="20"/>
        </w:rPr>
        <w:t> </w:t>
      </w:r>
      <w:r>
        <w:rPr>
          <w:w w:val="120"/>
          <w:sz w:val="20"/>
        </w:rPr>
        <w:t>to</w:t>
      </w:r>
      <w:r>
        <w:rPr>
          <w:spacing w:val="8"/>
          <w:w w:val="120"/>
          <w:sz w:val="20"/>
        </w:rPr>
        <w:t> </w:t>
      </w:r>
      <w:r>
        <w:rPr>
          <w:w w:val="120"/>
          <w:sz w:val="20"/>
        </w:rPr>
        <w:t>this</w:t>
      </w:r>
      <w:r>
        <w:rPr>
          <w:spacing w:val="7"/>
          <w:w w:val="120"/>
          <w:sz w:val="20"/>
        </w:rPr>
        <w:t> </w:t>
      </w:r>
      <w:r>
        <w:rPr>
          <w:w w:val="120"/>
          <w:sz w:val="20"/>
        </w:rPr>
        <w:t>scheme</w:t>
      </w:r>
      <w:r>
        <w:rPr>
          <w:spacing w:val="8"/>
          <w:w w:val="120"/>
          <w:sz w:val="20"/>
        </w:rPr>
        <w:t> </w:t>
      </w:r>
      <w:r>
        <w:rPr>
          <w:w w:val="120"/>
          <w:sz w:val="20"/>
        </w:rPr>
        <w:t>as</w:t>
      </w:r>
      <w:r>
        <w:rPr>
          <w:spacing w:val="7"/>
          <w:w w:val="120"/>
          <w:sz w:val="20"/>
        </w:rPr>
        <w:t> </w:t>
      </w:r>
      <w:r>
        <w:rPr>
          <w:w w:val="120"/>
          <w:sz w:val="20"/>
        </w:rPr>
        <w:t>well.</w:t>
      </w:r>
    </w:p>
    <w:p>
      <w:pPr>
        <w:pStyle w:val="BodyText"/>
        <w:rPr>
          <w:sz w:val="19"/>
        </w:rPr>
      </w:pPr>
    </w:p>
    <w:p>
      <w:pPr>
        <w:pStyle w:val="ListParagraph"/>
        <w:numPr>
          <w:ilvl w:val="0"/>
          <w:numId w:val="109"/>
        </w:numPr>
        <w:tabs>
          <w:tab w:pos="2664" w:val="left" w:leader="none"/>
          <w:tab w:pos="2665" w:val="left" w:leader="none"/>
        </w:tabs>
        <w:spacing w:line="235" w:lineRule="auto" w:before="0" w:after="0"/>
        <w:ind w:left="1984" w:right="1454" w:hanging="1"/>
        <w:jc w:val="left"/>
        <w:rPr>
          <w:sz w:val="20"/>
        </w:rPr>
      </w:pPr>
      <w:r>
        <w:rPr>
          <w:w w:val="120"/>
          <w:sz w:val="20"/>
        </w:rPr>
        <w:t>If Mission Council wishes to do something to meet the aspirations of those ministers who would like to own their own homes at least in part, this would be a way of doing it, provided that the difficulties we have identified can be</w:t>
      </w:r>
      <w:r>
        <w:rPr>
          <w:spacing w:val="48"/>
          <w:w w:val="120"/>
          <w:sz w:val="20"/>
        </w:rPr>
        <w:t> </w:t>
      </w:r>
      <w:r>
        <w:rPr>
          <w:w w:val="120"/>
          <w:sz w:val="20"/>
        </w:rPr>
        <w:t>addressed.</w:t>
      </w:r>
    </w:p>
    <w:p>
      <w:pPr>
        <w:spacing w:after="0" w:line="235" w:lineRule="auto"/>
        <w:jc w:val="left"/>
        <w:rPr>
          <w:sz w:val="20"/>
        </w:rPr>
        <w:sectPr>
          <w:pgSz w:w="11910" w:h="16840"/>
          <w:pgMar w:header="0" w:footer="647" w:top="1060" w:bottom="840" w:left="0" w:right="0"/>
        </w:sectPr>
      </w:pPr>
    </w:p>
    <w:p>
      <w:pPr>
        <w:pStyle w:val="BodyText"/>
        <w:spacing w:before="11"/>
        <w:rPr>
          <w:sz w:val="13"/>
        </w:rPr>
      </w:pPr>
    </w:p>
    <w:p>
      <w:pPr>
        <w:pStyle w:val="BodyText"/>
        <w:tabs>
          <w:tab w:pos="1105" w:val="left" w:leader="none"/>
        </w:tabs>
        <w:ind w:left="240"/>
      </w:pPr>
      <w:r>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r>
      <w:r>
        <w:rPr/>
        <w:tab/>
      </w:r>
      <w:r>
        <w:rPr>
          <w:position w:val="2"/>
        </w:rPr>
        <w:pict>
          <v:shape style="width:439.8pt;height:21.7pt;mso-position-horizontal-relative:char;mso-position-vertical-relative:line" type="#_x0000_t202" filled="true" fillcolor="#fcf4e0" stroked="false">
            <w10:anchorlock/>
            <v:textbox inset="0,0,0,0">
              <w:txbxContent>
                <w:p>
                  <w:pPr>
                    <w:tabs>
                      <w:tab w:pos="4157" w:val="left" w:leader="none"/>
                    </w:tabs>
                    <w:spacing w:before="135"/>
                    <w:ind w:left="85" w:right="0" w:firstLine="0"/>
                    <w:jc w:val="left"/>
                    <w:rPr>
                      <w:sz w:val="18"/>
                    </w:rPr>
                  </w:pPr>
                  <w:r>
                    <w:rPr>
                      <w:w w:val="120"/>
                      <w:sz w:val="18"/>
                    </w:rPr>
                    <w:t>Elizabeth  Lawson</w:t>
                  </w:r>
                  <w:r>
                    <w:rPr>
                      <w:spacing w:val="7"/>
                      <w:w w:val="120"/>
                      <w:sz w:val="18"/>
                    </w:rPr>
                    <w:t> </w:t>
                  </w:r>
                  <w:r>
                    <w:rPr>
                      <w:w w:val="120"/>
                      <w:sz w:val="18"/>
                    </w:rPr>
                    <w:t>Q.C.</w:t>
                  </w:r>
                  <w:r>
                    <w:rPr>
                      <w:spacing w:val="29"/>
                      <w:w w:val="120"/>
                      <w:sz w:val="18"/>
                    </w:rPr>
                    <w:t> </w:t>
                  </w:r>
                  <w:r>
                    <w:rPr>
                      <w:spacing w:val="-3"/>
                      <w:w w:val="120"/>
                      <w:sz w:val="18"/>
                    </w:rPr>
                    <w:t>(Convener)</w:t>
                    <w:tab/>
                  </w:r>
                  <w:r>
                    <w:rPr>
                      <w:w w:val="120"/>
                      <w:sz w:val="18"/>
                    </w:rPr>
                    <w:t>Church Secretary at St Paul’s Bayswater</w:t>
                  </w:r>
                  <w:r>
                    <w:rPr>
                      <w:spacing w:val="24"/>
                      <w:w w:val="120"/>
                      <w:sz w:val="18"/>
                    </w:rPr>
                    <w:t> </w:t>
                  </w:r>
                  <w:r>
                    <w:rPr>
                      <w:w w:val="120"/>
                      <w:sz w:val="18"/>
                    </w:rPr>
                    <w:t>URC</w:t>
                  </w:r>
                </w:p>
              </w:txbxContent>
            </v:textbox>
            <v:fill type="solid"/>
          </v:shape>
        </w:pict>
      </w:r>
      <w:r>
        <w:rPr>
          <w:position w:val="2"/>
        </w:rPr>
      </w:r>
    </w:p>
    <w:p>
      <w:pPr>
        <w:tabs>
          <w:tab w:pos="5263" w:val="left" w:leader="none"/>
        </w:tabs>
        <w:spacing w:before="99"/>
        <w:ind w:left="1190" w:right="0" w:firstLine="0"/>
        <w:jc w:val="left"/>
        <w:rPr>
          <w:sz w:val="18"/>
        </w:rPr>
      </w:pPr>
      <w:r>
        <w:rPr/>
        <w:pict>
          <v:group style="position:absolute;margin-left:56.692902pt;margin-top:19.874210pt;width:438.4pt;height:36.2pt;mso-position-horizontal-relative:page;mso-position-vertical-relative:paragraph;z-index:-251371520;mso-wrap-distance-left:0;mso-wrap-distance-right:0" coordorigin="1134,397" coordsize="8768,724">
            <v:rect style="position:absolute;left:1133;top:407;width:4073;height:704" filled="true" fillcolor="#fcf4e0" stroked="false">
              <v:fill type="solid"/>
            </v:rect>
            <v:rect style="position:absolute;left:5206;top:407;width:4695;height:704" filled="true" fillcolor="#fcf4e0" stroked="false">
              <v:fill type="solid"/>
            </v:rect>
            <v:rect style="position:absolute;left:1133;top:397;width:4073;height:20" filled="true" fillcolor="#8ba8bd" stroked="false">
              <v:fill type="solid"/>
            </v:rect>
            <v:rect style="position:absolute;left:5206;top:397;width:4695;height:20" filled="true" fillcolor="#8ba8bd" stroked="false">
              <v:fill type="solid"/>
            </v:rect>
            <v:rect style="position:absolute;left:1133;top:1101;width:4073;height:20" filled="true" fillcolor="#8ba8bd" stroked="false">
              <v:fill type="solid"/>
            </v:rect>
            <v:rect style="position:absolute;left:5206;top:1101;width:4695;height:20" filled="true" fillcolor="#8ba8bd" stroked="false">
              <v:fill type="solid"/>
            </v:rect>
            <v:shape style="position:absolute;left:5263;top:551;width:4082;height:459" type="#_x0000_t202" filled="false" stroked="false">
              <v:textbox inset="0,0,0,0">
                <w:txbxContent>
                  <w:p>
                    <w:pPr>
                      <w:spacing w:line="261" w:lineRule="auto" w:before="1"/>
                      <w:ind w:left="0" w:right="0" w:firstLine="0"/>
                      <w:jc w:val="left"/>
                      <w:rPr>
                        <w:sz w:val="18"/>
                      </w:rPr>
                    </w:pPr>
                    <w:r>
                      <w:rPr>
                        <w:w w:val="120"/>
                        <w:sz w:val="18"/>
                      </w:rPr>
                      <w:t>Principal of Contact Consulting and associate minister Cumnor URC Oxford.</w:t>
                    </w:r>
                  </w:p>
                </w:txbxContent>
              </v:textbox>
              <w10:wrap type="none"/>
            </v:shape>
            <v:shape style="position:absolute;left:1190;top:551;width:1895;height:219" type="#_x0000_t202" filled="false" stroked="false">
              <v:textbox inset="0,0,0,0">
                <w:txbxContent>
                  <w:p>
                    <w:pPr>
                      <w:spacing w:line="217" w:lineRule="exact" w:before="1"/>
                      <w:ind w:left="0" w:right="0" w:firstLine="0"/>
                      <w:jc w:val="left"/>
                      <w:rPr>
                        <w:sz w:val="18"/>
                      </w:rPr>
                    </w:pPr>
                    <w:r>
                      <w:rPr>
                        <w:w w:val="125"/>
                        <w:sz w:val="18"/>
                      </w:rPr>
                      <w:t>Revd Nigel Appleton</w:t>
                    </w:r>
                  </w:p>
                </w:txbxContent>
              </v:textbox>
              <w10:wrap type="none"/>
            </v:shape>
            <w10:wrap type="topAndBottom"/>
          </v:group>
        </w:pict>
      </w:r>
      <w:r>
        <w:rPr/>
        <w:pict>
          <v:shape style="position:absolute;margin-left:56.692001pt;margin-top:-25.479826pt;width:438.4pt;height:1pt;mso-position-horizontal-relative:page;mso-position-vertical-relative:paragraph;z-index:251957248" coordorigin="1134,-510" coordsize="8768,20" path="m9901,-510l5207,-510,1134,-510,1134,-490,5207,-490,9901,-490,9901,-510e" filled="true" fillcolor="#8ba8bd" stroked="false">
            <v:path arrowok="t"/>
            <v:fill type="solid"/>
            <w10:wrap type="none"/>
          </v:shape>
        </w:pict>
      </w:r>
      <w:r>
        <w:rPr/>
        <w:pict>
          <v:shape style="position:absolute;margin-left:56.692001pt;margin-top:-2.802824pt;width:438.4pt;height:1pt;mso-position-horizontal-relative:page;mso-position-vertical-relative:paragraph;z-index:251958272" coordorigin="1134,-56" coordsize="8768,20" path="m9901,-56l5207,-56,1134,-56,1134,-36,5207,-36,9901,-36,9901,-56e" filled="true" fillcolor="#8ba8bd" stroked="false">
            <v:path arrowok="t"/>
            <v:fill type="solid"/>
            <w10:wrap type="none"/>
          </v:shape>
        </w:pict>
      </w:r>
      <w:r>
        <w:rPr>
          <w:w w:val="125"/>
          <w:sz w:val="18"/>
        </w:rPr>
        <w:t>Revd Ray Adams </w:t>
      </w:r>
      <w:r>
        <w:rPr>
          <w:spacing w:val="-3"/>
          <w:w w:val="125"/>
          <w:sz w:val="18"/>
        </w:rPr>
        <w:t>(until</w:t>
      </w:r>
      <w:r>
        <w:rPr>
          <w:spacing w:val="-17"/>
          <w:w w:val="125"/>
          <w:sz w:val="18"/>
        </w:rPr>
        <w:t> </w:t>
      </w:r>
      <w:r>
        <w:rPr>
          <w:w w:val="125"/>
          <w:sz w:val="18"/>
        </w:rPr>
        <w:t>December</w:t>
      </w:r>
      <w:r>
        <w:rPr>
          <w:spacing w:val="-4"/>
          <w:w w:val="125"/>
          <w:sz w:val="18"/>
        </w:rPr>
        <w:t> </w:t>
      </w:r>
      <w:r>
        <w:rPr>
          <w:w w:val="125"/>
          <w:sz w:val="18"/>
        </w:rPr>
        <w:t>2008)</w:t>
        <w:tab/>
        <w:t>Deputy General</w:t>
      </w:r>
      <w:r>
        <w:rPr>
          <w:spacing w:val="-1"/>
          <w:w w:val="125"/>
          <w:sz w:val="18"/>
        </w:rPr>
        <w:t> </w:t>
      </w:r>
      <w:r>
        <w:rPr>
          <w:w w:val="125"/>
          <w:sz w:val="18"/>
        </w:rPr>
        <w:t>Secretary</w:t>
      </w:r>
    </w:p>
    <w:p>
      <w:pPr>
        <w:tabs>
          <w:tab w:pos="5263" w:val="left" w:leader="none"/>
        </w:tabs>
        <w:spacing w:before="106" w:after="99"/>
        <w:ind w:left="1190" w:right="0" w:firstLine="0"/>
        <w:jc w:val="left"/>
        <w:rPr>
          <w:sz w:val="18"/>
        </w:rPr>
      </w:pPr>
      <w:r>
        <w:rPr>
          <w:w w:val="120"/>
          <w:sz w:val="18"/>
        </w:rPr>
        <w:t>Revd</w:t>
      </w:r>
      <w:r>
        <w:rPr>
          <w:spacing w:val="15"/>
          <w:w w:val="120"/>
          <w:sz w:val="18"/>
        </w:rPr>
        <w:t> </w:t>
      </w:r>
      <w:r>
        <w:rPr>
          <w:w w:val="120"/>
          <w:sz w:val="18"/>
        </w:rPr>
        <w:t>Craig</w:t>
      </w:r>
      <w:r>
        <w:rPr>
          <w:spacing w:val="16"/>
          <w:w w:val="120"/>
          <w:sz w:val="18"/>
        </w:rPr>
        <w:t> </w:t>
      </w:r>
      <w:r>
        <w:rPr>
          <w:w w:val="120"/>
          <w:sz w:val="18"/>
        </w:rPr>
        <w:t>Bowman</w:t>
        <w:tab/>
        <w:t>Secretary for</w:t>
      </w:r>
      <w:r>
        <w:rPr>
          <w:spacing w:val="4"/>
          <w:w w:val="120"/>
          <w:sz w:val="18"/>
        </w:rPr>
        <w:t> </w:t>
      </w:r>
      <w:r>
        <w:rPr>
          <w:w w:val="120"/>
          <w:sz w:val="18"/>
        </w:rPr>
        <w:t>Ministries</w:t>
      </w:r>
    </w:p>
    <w:p>
      <w:pPr>
        <w:pStyle w:val="BodyText"/>
        <w:ind w:left="1105"/>
      </w:pPr>
      <w:r>
        <w:rPr/>
        <w:pict>
          <v:shape style="width:439.8pt;height:21.7pt;mso-position-horizontal-relative:char;mso-position-vertical-relative:line" type="#_x0000_t202" filled="true" fillcolor="#fcf4e0" stroked="false">
            <w10:anchorlock/>
            <v:textbox inset="0,0,0,0">
              <w:txbxContent>
                <w:p>
                  <w:pPr>
                    <w:tabs>
                      <w:tab w:pos="4157" w:val="left" w:leader="none"/>
                    </w:tabs>
                    <w:spacing w:before="135"/>
                    <w:ind w:left="85" w:right="0" w:firstLine="0"/>
                    <w:jc w:val="left"/>
                    <w:rPr>
                      <w:sz w:val="18"/>
                    </w:rPr>
                  </w:pPr>
                  <w:r>
                    <w:rPr>
                      <w:w w:val="120"/>
                      <w:sz w:val="18"/>
                    </w:rPr>
                    <w:t>Margaret</w:t>
                  </w:r>
                  <w:r>
                    <w:rPr>
                      <w:spacing w:val="11"/>
                      <w:w w:val="120"/>
                      <w:sz w:val="18"/>
                    </w:rPr>
                    <w:t> </w:t>
                  </w:r>
                  <w:r>
                    <w:rPr>
                      <w:w w:val="120"/>
                      <w:sz w:val="18"/>
                    </w:rPr>
                    <w:t>Carrick</w:t>
                  </w:r>
                  <w:r>
                    <w:rPr>
                      <w:spacing w:val="11"/>
                      <w:w w:val="120"/>
                      <w:sz w:val="18"/>
                    </w:rPr>
                    <w:t> </w:t>
                  </w:r>
                  <w:r>
                    <w:rPr>
                      <w:w w:val="120"/>
                      <w:sz w:val="18"/>
                    </w:rPr>
                    <w:t>Smith</w:t>
                    <w:tab/>
                    <w:t>Wessex Synod Trust and Finance</w:t>
                  </w:r>
                  <w:r>
                    <w:rPr>
                      <w:spacing w:val="22"/>
                      <w:w w:val="120"/>
                      <w:sz w:val="18"/>
                    </w:rPr>
                    <w:t> </w:t>
                  </w:r>
                  <w:r>
                    <w:rPr>
                      <w:w w:val="120"/>
                      <w:sz w:val="18"/>
                    </w:rPr>
                    <w:t>Committee</w:t>
                  </w:r>
                </w:p>
              </w:txbxContent>
            </v:textbox>
            <v:fill type="solid"/>
          </v:shape>
        </w:pict>
      </w:r>
      <w:r>
        <w:rPr/>
      </w:r>
    </w:p>
    <w:p>
      <w:pPr>
        <w:pStyle w:val="BodyText"/>
        <w:spacing w:line="20" w:lineRule="exact"/>
        <w:ind w:left="1133"/>
        <w:rPr>
          <w:sz w:val="2"/>
        </w:rPr>
      </w:pPr>
      <w:r>
        <w:rPr>
          <w:sz w:val="2"/>
        </w:rPr>
        <w:pict>
          <v:group style="width:438.4pt;height:1pt;mso-position-horizontal-relative:char;mso-position-vertical-relative:line" coordorigin="0,0" coordsize="8768,20">
            <v:rect style="position:absolute;left:0;top:0;width:4073;height:20" filled="true" fillcolor="#8ba8bd" stroked="false">
              <v:fill type="solid"/>
            </v:rect>
            <v:rect style="position:absolute;left:4073;top:0;width:4695;height:20" filled="true" fillcolor="#8ba8bd" stroked="false">
              <v:fill type="solid"/>
            </v:rect>
          </v:group>
        </w:pict>
      </w:r>
      <w:r>
        <w:rPr>
          <w:sz w:val="2"/>
        </w:rPr>
      </w:r>
    </w:p>
    <w:p>
      <w:pPr>
        <w:tabs>
          <w:tab w:pos="5263" w:val="left" w:leader="none"/>
        </w:tabs>
        <w:spacing w:line="261" w:lineRule="auto" w:before="118"/>
        <w:ind w:left="5263" w:right="2573" w:hanging="4073"/>
        <w:jc w:val="left"/>
        <w:rPr>
          <w:sz w:val="18"/>
        </w:rPr>
      </w:pPr>
      <w:r>
        <w:rPr/>
        <w:pict>
          <v:shape style="position:absolute;margin-left:56.692001pt;margin-top:-24.533768pt;width:438.4pt;height:1pt;mso-position-horizontal-relative:page;mso-position-vertical-relative:paragraph;z-index:251959296" coordorigin="1134,-491" coordsize="8768,20" path="m9901,-491l5207,-491,1134,-491,1134,-471,5207,-471,9901,-471,9901,-491e" filled="true" fillcolor="#8ba8bd" stroked="false">
            <v:path arrowok="t"/>
            <v:fill type="solid"/>
            <w10:wrap type="none"/>
          </v:shape>
        </w:pict>
      </w:r>
      <w:r>
        <w:rPr/>
        <w:pict>
          <v:shape style="position:absolute;margin-left:56.692001pt;margin-top:39.718235pt;width:438.4pt;height:1pt;mso-position-horizontal-relative:page;mso-position-vertical-relative:paragraph;z-index:251960320" coordorigin="1134,794" coordsize="8768,20" path="m9901,794l5207,794,1134,794,1134,814,5207,814,9901,814,9901,794e" filled="true" fillcolor="#8ba8bd" stroked="false">
            <v:path arrowok="t"/>
            <v:fill type="solid"/>
            <w10:wrap type="none"/>
          </v:shape>
        </w:pict>
      </w:r>
      <w:r>
        <w:rPr>
          <w:w w:val="120"/>
          <w:sz w:val="18"/>
        </w:rPr>
        <w:t>Revd</w:t>
      </w:r>
      <w:r>
        <w:rPr>
          <w:spacing w:val="14"/>
          <w:w w:val="120"/>
          <w:sz w:val="18"/>
        </w:rPr>
        <w:t> </w:t>
      </w:r>
      <w:r>
        <w:rPr>
          <w:w w:val="120"/>
          <w:sz w:val="18"/>
        </w:rPr>
        <w:t>David</w:t>
      </w:r>
      <w:r>
        <w:rPr>
          <w:spacing w:val="14"/>
          <w:w w:val="120"/>
          <w:sz w:val="18"/>
        </w:rPr>
        <w:t> </w:t>
      </w:r>
      <w:r>
        <w:rPr>
          <w:w w:val="120"/>
          <w:sz w:val="18"/>
        </w:rPr>
        <w:t>Coote</w:t>
        <w:tab/>
        <w:t>Hull area team ministry; member of Yorkshire Synod Finance</w:t>
      </w:r>
      <w:r>
        <w:rPr>
          <w:spacing w:val="6"/>
          <w:w w:val="120"/>
          <w:sz w:val="18"/>
        </w:rPr>
        <w:t> </w:t>
      </w:r>
      <w:r>
        <w:rPr>
          <w:w w:val="120"/>
          <w:sz w:val="18"/>
        </w:rPr>
        <w:t>Committee</w:t>
      </w:r>
    </w:p>
    <w:p>
      <w:pPr>
        <w:pStyle w:val="BodyText"/>
        <w:spacing w:before="10"/>
        <w:rPr>
          <w:sz w:val="15"/>
        </w:rPr>
      </w:pPr>
      <w:r>
        <w:rPr/>
        <w:pict>
          <v:shape style="position:absolute;margin-left:55.275604pt;margin-top:10.901697pt;width:439.8pt;height:21.7pt;mso-position-horizontal-relative:page;mso-position-vertical-relative:paragraph;z-index:-251368448;mso-wrap-distance-left:0;mso-wrap-distance-right:0" type="#_x0000_t202" filled="true" fillcolor="#fcf4e0" stroked="false">
            <v:textbox inset="0,0,0,0">
              <w:txbxContent>
                <w:p>
                  <w:pPr>
                    <w:tabs>
                      <w:tab w:pos="4157" w:val="left" w:leader="none"/>
                    </w:tabs>
                    <w:spacing w:before="135"/>
                    <w:ind w:left="85" w:right="0" w:firstLine="0"/>
                    <w:jc w:val="left"/>
                    <w:rPr>
                      <w:sz w:val="18"/>
                    </w:rPr>
                  </w:pPr>
                  <w:r>
                    <w:rPr>
                      <w:w w:val="120"/>
                      <w:sz w:val="18"/>
                    </w:rPr>
                    <w:t>John Ellis</w:t>
                    <w:tab/>
                    <w:t>Treasurer of the</w:t>
                  </w:r>
                  <w:r>
                    <w:rPr>
                      <w:spacing w:val="6"/>
                      <w:w w:val="120"/>
                      <w:sz w:val="18"/>
                    </w:rPr>
                    <w:t> </w:t>
                  </w:r>
                  <w:r>
                    <w:rPr>
                      <w:w w:val="120"/>
                      <w:sz w:val="18"/>
                    </w:rPr>
                    <w:t>URC</w:t>
                  </w:r>
                </w:p>
              </w:txbxContent>
            </v:textbox>
            <v:fill type="solid"/>
            <w10:wrap type="topAndBottom"/>
          </v:shape>
        </w:pict>
      </w:r>
    </w:p>
    <w:p>
      <w:pPr>
        <w:pStyle w:val="BodyText"/>
        <w:spacing w:line="20" w:lineRule="exact"/>
        <w:ind w:left="1133"/>
        <w:rPr>
          <w:sz w:val="2"/>
        </w:rPr>
      </w:pPr>
      <w:r>
        <w:rPr>
          <w:sz w:val="2"/>
        </w:rPr>
        <w:pict>
          <v:group style="width:438.4pt;height:1pt;mso-position-horizontal-relative:char;mso-position-vertical-relative:line" coordorigin="0,0" coordsize="8768,20">
            <v:rect style="position:absolute;left:0;top:0;width:4073;height:20" filled="true" fillcolor="#8ba8bd" stroked="false">
              <v:fill type="solid"/>
            </v:rect>
            <v:rect style="position:absolute;left:4073;top:0;width:4695;height:20" filled="true" fillcolor="#8ba8bd" stroked="false">
              <v:fill type="solid"/>
            </v:rect>
          </v:group>
        </w:pict>
      </w:r>
      <w:r>
        <w:rPr>
          <w:sz w:val="2"/>
        </w:rPr>
      </w:r>
    </w:p>
    <w:p>
      <w:pPr>
        <w:tabs>
          <w:tab w:pos="5263" w:val="left" w:leader="none"/>
        </w:tabs>
        <w:spacing w:before="120"/>
        <w:ind w:left="1190" w:right="0" w:firstLine="0"/>
        <w:jc w:val="left"/>
        <w:rPr>
          <w:sz w:val="18"/>
        </w:rPr>
      </w:pPr>
      <w:r>
        <w:rPr>
          <w:w w:val="120"/>
          <w:sz w:val="18"/>
        </w:rPr>
        <w:t>Rachel Wakeman</w:t>
      </w:r>
      <w:r>
        <w:rPr>
          <w:spacing w:val="28"/>
          <w:w w:val="120"/>
          <w:sz w:val="18"/>
        </w:rPr>
        <w:t> </w:t>
      </w:r>
      <w:r>
        <w:rPr>
          <w:w w:val="120"/>
          <w:sz w:val="18"/>
        </w:rPr>
        <w:t>(formerly</w:t>
      </w:r>
      <w:r>
        <w:rPr>
          <w:spacing w:val="14"/>
          <w:w w:val="120"/>
          <w:sz w:val="18"/>
        </w:rPr>
        <w:t> </w:t>
      </w:r>
      <w:r>
        <w:rPr>
          <w:w w:val="120"/>
          <w:sz w:val="18"/>
        </w:rPr>
        <w:t>Greening)</w:t>
        <w:tab/>
        <w:t>Trust and </w:t>
      </w:r>
      <w:r>
        <w:rPr>
          <w:spacing w:val="2"/>
          <w:w w:val="120"/>
          <w:sz w:val="18"/>
        </w:rPr>
        <w:t>Property </w:t>
      </w:r>
      <w:r>
        <w:rPr>
          <w:w w:val="120"/>
          <w:sz w:val="18"/>
        </w:rPr>
        <w:t>Officer, West Midlands</w:t>
      </w:r>
      <w:r>
        <w:rPr>
          <w:spacing w:val="14"/>
          <w:w w:val="120"/>
          <w:sz w:val="18"/>
        </w:rPr>
        <w:t> </w:t>
      </w:r>
      <w:r>
        <w:rPr>
          <w:w w:val="120"/>
          <w:sz w:val="18"/>
        </w:rPr>
        <w:t>Synod,</w:t>
      </w:r>
    </w:p>
    <w:p>
      <w:pPr>
        <w:spacing w:before="20"/>
        <w:ind w:left="1724" w:right="1297" w:firstLine="0"/>
        <w:jc w:val="center"/>
        <w:rPr>
          <w:sz w:val="18"/>
        </w:rPr>
      </w:pPr>
      <w:r>
        <w:rPr/>
        <w:pict>
          <v:group style="position:absolute;margin-left:56.692902pt;margin-top:16.207321pt;width:438.4pt;height:36.75pt;mso-position-horizontal-relative:page;mso-position-vertical-relative:paragraph;z-index:-251364352;mso-wrap-distance-left:0;mso-wrap-distance-right:0" coordorigin="1134,324" coordsize="8768,735">
            <v:rect style="position:absolute;left:1133;top:334;width:4073;height:715" filled="true" fillcolor="#fcf4e0" stroked="false">
              <v:fill type="solid"/>
            </v:rect>
            <v:rect style="position:absolute;left:5206;top:334;width:4695;height:715" filled="true" fillcolor="#fcf4e0" stroked="false">
              <v:fill type="solid"/>
            </v:rect>
            <v:rect style="position:absolute;left:1133;top:324;width:4073;height:20" filled="true" fillcolor="#8ba8bd" stroked="false">
              <v:fill type="solid"/>
            </v:rect>
            <v:rect style="position:absolute;left:5206;top:324;width:4695;height:20" filled="true" fillcolor="#8ba8bd" stroked="false">
              <v:fill type="solid"/>
            </v:rect>
            <v:rect style="position:absolute;left:1133;top:1038;width:4073;height:20" filled="true" fillcolor="#8ba8bd" stroked="false">
              <v:fill type="solid"/>
            </v:rect>
            <v:rect style="position:absolute;left:5206;top:1038;width:4695;height:20" filled="true" fillcolor="#8ba8bd" stroked="false">
              <v:fill type="solid"/>
            </v:rect>
            <v:shape style="position:absolute;left:5263;top:477;width:3789;height:459" type="#_x0000_t202" filled="false" stroked="false">
              <v:textbox inset="0,0,0,0">
                <w:txbxContent>
                  <w:p>
                    <w:pPr>
                      <w:spacing w:line="261" w:lineRule="auto" w:before="1"/>
                      <w:ind w:left="0" w:right="0" w:firstLine="0"/>
                      <w:jc w:val="left"/>
                      <w:rPr>
                        <w:sz w:val="18"/>
                      </w:rPr>
                    </w:pPr>
                    <w:r>
                      <w:rPr>
                        <w:w w:val="120"/>
                        <w:sz w:val="18"/>
                      </w:rPr>
                      <w:t>Member of Assembly Finance Committee; Treasurer Thames North Synod</w:t>
                    </w:r>
                  </w:p>
                </w:txbxContent>
              </v:textbox>
              <w10:wrap type="none"/>
            </v:shape>
            <v:shape style="position:absolute;left:1190;top:477;width:1112;height:219" type="#_x0000_t202" filled="false" stroked="false">
              <v:textbox inset="0,0,0,0">
                <w:txbxContent>
                  <w:p>
                    <w:pPr>
                      <w:spacing w:line="217" w:lineRule="exact" w:before="1"/>
                      <w:ind w:left="0" w:right="0" w:firstLine="0"/>
                      <w:jc w:val="left"/>
                      <w:rPr>
                        <w:sz w:val="18"/>
                      </w:rPr>
                    </w:pPr>
                    <w:r>
                      <w:rPr>
                        <w:w w:val="120"/>
                        <w:sz w:val="18"/>
                      </w:rPr>
                      <w:t>Brian Hosier</w:t>
                    </w:r>
                  </w:p>
                </w:txbxContent>
              </v:textbox>
              <w10:wrap type="none"/>
            </v:shape>
            <w10:wrap type="topAndBottom"/>
          </v:group>
        </w:pict>
      </w:r>
      <w:r>
        <w:rPr>
          <w:w w:val="120"/>
          <w:sz w:val="18"/>
        </w:rPr>
        <w:t>Convener of PLATO.</w:t>
      </w:r>
    </w:p>
    <w:p>
      <w:pPr>
        <w:pStyle w:val="BodyText"/>
        <w:spacing w:before="8"/>
        <w:rPr>
          <w:sz w:val="5"/>
        </w:rPr>
      </w:pPr>
    </w:p>
    <w:p>
      <w:pPr>
        <w:spacing w:after="0"/>
        <w:rPr>
          <w:sz w:val="5"/>
        </w:rPr>
        <w:sectPr>
          <w:pgSz w:w="11910" w:h="16840"/>
          <w:pgMar w:header="0" w:footer="647" w:top="1060" w:bottom="840" w:left="0" w:right="0"/>
        </w:sectPr>
      </w:pPr>
    </w:p>
    <w:p>
      <w:pPr>
        <w:spacing w:line="261" w:lineRule="auto" w:before="37"/>
        <w:ind w:left="1190" w:right="-20" w:firstLine="0"/>
        <w:jc w:val="left"/>
        <w:rPr>
          <w:sz w:val="18"/>
        </w:rPr>
      </w:pPr>
      <w:r>
        <w:rPr/>
        <w:pict>
          <v:shape style="position:absolute;margin-left:56.692001pt;margin-top:30.481205pt;width:438.4pt;height:1pt;mso-position-horizontal-relative:page;mso-position-vertical-relative:paragraph;z-index:251961344" coordorigin="1134,610" coordsize="8768,20" path="m9901,610l5207,610,1134,610,1134,630,5207,630,9901,630,9901,610e" filled="true" fillcolor="#8ba8bd" stroked="false">
            <v:path arrowok="t"/>
            <v:fill type="solid"/>
            <w10:wrap type="none"/>
          </v:shape>
        </w:pict>
      </w:r>
      <w:r>
        <w:rPr>
          <w:w w:val="125"/>
          <w:sz w:val="18"/>
        </w:rPr>
        <w:t>Revd Richard Mortimer (from December 2008)</w:t>
      </w:r>
    </w:p>
    <w:p>
      <w:pPr>
        <w:spacing w:before="37"/>
        <w:ind w:left="1190" w:right="0" w:firstLine="0"/>
        <w:jc w:val="left"/>
        <w:rPr>
          <w:sz w:val="18"/>
        </w:rPr>
      </w:pPr>
      <w:r>
        <w:rPr/>
        <w:br w:type="column"/>
      </w:r>
      <w:r>
        <w:rPr>
          <w:w w:val="120"/>
          <w:sz w:val="18"/>
        </w:rPr>
        <w:t>Deputy General Secretary</w:t>
      </w:r>
    </w:p>
    <w:p>
      <w:pPr>
        <w:spacing w:after="0"/>
        <w:jc w:val="left"/>
        <w:rPr>
          <w:sz w:val="18"/>
        </w:rPr>
        <w:sectPr>
          <w:type w:val="continuous"/>
          <w:pgSz w:w="11910" w:h="16840"/>
          <w:pgMar w:top="860" w:bottom="280" w:left="0" w:right="0"/>
          <w:cols w:num="2" w:equalWidth="0">
            <w:col w:w="3324" w:space="749"/>
            <w:col w:w="7837"/>
          </w:cols>
        </w:sectPr>
      </w:pPr>
    </w:p>
    <w:p>
      <w:pPr>
        <w:pStyle w:val="BodyText"/>
        <w:spacing w:before="3"/>
        <w:rPr>
          <w:sz w:val="9"/>
        </w:rPr>
      </w:pPr>
    </w:p>
    <w:p>
      <w:pPr>
        <w:pStyle w:val="BodyText"/>
        <w:ind w:left="1105"/>
      </w:pPr>
      <w:r>
        <w:rPr/>
        <w:pict>
          <v:shape style="width:439.8pt;height:21.7pt;mso-position-horizontal-relative:char;mso-position-vertical-relative:line" type="#_x0000_t202" filled="true" fillcolor="#fcf4e0" stroked="false">
            <w10:anchorlock/>
            <v:textbox inset="0,0,0,0">
              <w:txbxContent>
                <w:p>
                  <w:pPr>
                    <w:tabs>
                      <w:tab w:pos="4157" w:val="left" w:leader="none"/>
                    </w:tabs>
                    <w:spacing w:before="135"/>
                    <w:ind w:left="85" w:right="0" w:firstLine="0"/>
                    <w:jc w:val="left"/>
                    <w:rPr>
                      <w:sz w:val="18"/>
                    </w:rPr>
                  </w:pPr>
                  <w:r>
                    <w:rPr>
                      <w:w w:val="120"/>
                      <w:sz w:val="18"/>
                    </w:rPr>
                    <w:t>Revd</w:t>
                  </w:r>
                  <w:r>
                    <w:rPr>
                      <w:spacing w:val="10"/>
                      <w:w w:val="120"/>
                      <w:sz w:val="18"/>
                    </w:rPr>
                    <w:t> </w:t>
                  </w:r>
                  <w:r>
                    <w:rPr>
                      <w:w w:val="120"/>
                      <w:sz w:val="18"/>
                    </w:rPr>
                    <w:t>Michael</w:t>
                  </w:r>
                  <w:r>
                    <w:rPr>
                      <w:spacing w:val="10"/>
                      <w:w w:val="120"/>
                      <w:sz w:val="18"/>
                    </w:rPr>
                    <w:t> </w:t>
                  </w:r>
                  <w:r>
                    <w:rPr>
                      <w:w w:val="120"/>
                      <w:sz w:val="18"/>
                    </w:rPr>
                    <w:t>Spencer</w:t>
                    <w:tab/>
                    <w:t>Retired Ministers Housing</w:t>
                  </w:r>
                  <w:r>
                    <w:rPr>
                      <w:spacing w:val="10"/>
                      <w:w w:val="120"/>
                      <w:sz w:val="18"/>
                    </w:rPr>
                    <w:t> </w:t>
                  </w:r>
                  <w:r>
                    <w:rPr>
                      <w:w w:val="120"/>
                      <w:sz w:val="18"/>
                    </w:rPr>
                    <w:t>Society</w:t>
                  </w:r>
                </w:p>
              </w:txbxContent>
            </v:textbox>
            <v:fill type="solid"/>
          </v:shape>
        </w:pict>
      </w:r>
      <w:r>
        <w:rPr/>
      </w:r>
    </w:p>
    <w:p>
      <w:pPr>
        <w:pStyle w:val="BodyText"/>
        <w:spacing w:line="20" w:lineRule="exact"/>
        <w:ind w:left="1133"/>
        <w:rPr>
          <w:sz w:val="2"/>
        </w:rPr>
      </w:pPr>
      <w:r>
        <w:rPr>
          <w:sz w:val="2"/>
        </w:rPr>
        <w:pict>
          <v:group style="width:438.4pt;height:1pt;mso-position-horizontal-relative:char;mso-position-vertical-relative:line" coordorigin="0,0" coordsize="8768,20">
            <v:rect style="position:absolute;left:0;top:0;width:4073;height:20" filled="true" fillcolor="#8ba8bd" stroked="false">
              <v:fill type="solid"/>
            </v:rect>
            <v:rect style="position:absolute;left:4073;top:0;width:4695;height:20" filled="true" fillcolor="#8ba8bd" stroked="false">
              <v:fill type="solid"/>
            </v:rect>
          </v:group>
        </w:pict>
      </w:r>
      <w:r>
        <w:rPr>
          <w:sz w:val="2"/>
        </w:rPr>
      </w:r>
    </w:p>
    <w:p>
      <w:pPr>
        <w:tabs>
          <w:tab w:pos="5263" w:val="left" w:leader="none"/>
        </w:tabs>
        <w:spacing w:before="118"/>
        <w:ind w:left="1190" w:right="0" w:firstLine="0"/>
        <w:jc w:val="left"/>
        <w:rPr>
          <w:sz w:val="18"/>
        </w:rPr>
      </w:pPr>
      <w:r>
        <w:rPr/>
        <w:pict>
          <v:group style="position:absolute;margin-left:56.692902pt;margin-top:20.827047pt;width:438.4pt;height:1pt;mso-position-horizontal-relative:page;mso-position-vertical-relative:paragraph;z-index:-251361280;mso-wrap-distance-left:0;mso-wrap-distance-right:0" coordorigin="1134,417" coordsize="8768,20">
            <v:line style="position:absolute" from="1134,427" to="5207,427" stroked="true" strokeweight="1pt" strokecolor="#8ba8bd">
              <v:stroke dashstyle="solid"/>
            </v:line>
            <v:line style="position:absolute" from="5207,427" to="9901,427" stroked="true" strokeweight="1pt" strokecolor="#8ba8bd">
              <v:stroke dashstyle="solid"/>
            </v:line>
            <w10:wrap type="topAndBottom"/>
          </v:group>
        </w:pict>
      </w:r>
      <w:r>
        <w:rPr>
          <w:w w:val="120"/>
          <w:sz w:val="18"/>
        </w:rPr>
        <w:t>Graham</w:t>
      </w:r>
      <w:r>
        <w:rPr>
          <w:spacing w:val="10"/>
          <w:w w:val="120"/>
          <w:sz w:val="18"/>
        </w:rPr>
        <w:t> </w:t>
      </w:r>
      <w:r>
        <w:rPr>
          <w:w w:val="120"/>
          <w:sz w:val="18"/>
        </w:rPr>
        <w:t>Stacy</w:t>
        <w:tab/>
        <w:t>Former URC</w:t>
      </w:r>
      <w:r>
        <w:rPr>
          <w:spacing w:val="4"/>
          <w:w w:val="120"/>
          <w:sz w:val="18"/>
        </w:rPr>
        <w:t> </w:t>
      </w:r>
      <w:r>
        <w:rPr>
          <w:w w:val="120"/>
          <w:sz w:val="18"/>
        </w:rPr>
        <w:t>Treasurer</w:t>
      </w:r>
    </w:p>
    <w:p>
      <w:pPr>
        <w:pStyle w:val="BodyText"/>
      </w:pPr>
    </w:p>
    <w:p>
      <w:pPr>
        <w:pStyle w:val="BodyText"/>
      </w:pPr>
    </w:p>
    <w:p>
      <w:pPr>
        <w:pStyle w:val="BodyText"/>
      </w:pPr>
    </w:p>
    <w:p>
      <w:pPr>
        <w:pStyle w:val="BodyText"/>
      </w:pPr>
    </w:p>
    <w:p>
      <w:pPr>
        <w:pStyle w:val="BodyText"/>
        <w:spacing w:before="3"/>
        <w:rPr>
          <w:sz w:val="15"/>
        </w:rPr>
      </w:pPr>
      <w:r>
        <w:rPr/>
        <w:pict>
          <v:shape style="position:absolute;margin-left:55.275604pt;margin-top:11.674573pt;width:439.4pt;height:.1pt;mso-position-horizontal-relative:page;mso-position-vertical-relative:paragraph;z-index:-251360256;mso-wrap-distance-left:0;mso-wrap-distance-right:0" coordorigin="1106,233" coordsize="8788,0" path="m1106,233l9893,233e" filled="false" stroked="true" strokeweight=".75pt" strokecolor="#ca4f1b">
            <v:path arrowok="t"/>
            <v:stroke dashstyle="solid"/>
            <w10:wrap type="topAndBottom"/>
          </v:shape>
        </w:pict>
      </w:r>
    </w:p>
    <w:p>
      <w:pPr>
        <w:spacing w:after="0"/>
        <w:rPr>
          <w:sz w:val="15"/>
        </w:rPr>
        <w:sectPr>
          <w:type w:val="continuous"/>
          <w:pgSz w:w="11910" w:h="16840"/>
          <w:pgMar w:top="860" w:bottom="280" w:left="0" w:right="0"/>
        </w:sectPr>
      </w:pPr>
    </w:p>
    <w:p>
      <w:pPr>
        <w:pStyle w:val="Heading2"/>
        <w:spacing w:before="21"/>
      </w:pPr>
      <w:r>
        <w:rPr/>
        <w:pict>
          <v:rect style="position:absolute;margin-left:558.424988pt;margin-top:31.299015pt;width:22.677pt;height:22.677pt;mso-position-horizontal-relative:page;mso-position-vertical-relative:page;z-index:251962368" filled="true" fillcolor="#f5db95" stroked="false">
            <v:fill type="solid"/>
            <w10:wrap type="none"/>
          </v:rect>
        </w:pict>
      </w:r>
      <w:r>
        <w:rPr/>
        <w:pict>
          <v:rect style="position:absolute;margin-left:558.424988pt;margin-top:15.130906pt;width:22.677pt;height:22.677pt;mso-position-horizontal-relative:page;mso-position-vertical-relative:paragraph;z-index:251963392" filled="true" fillcolor="#f9e9c1" stroked="false">
            <v:fill opacity="32768f" type="solid"/>
            <w10:wrap type="none"/>
          </v:rect>
        </w:pict>
      </w:r>
      <w:r>
        <w:rPr>
          <w:color w:val="CA4F1B"/>
          <w:w w:val="110"/>
        </w:rPr>
        <w:t>Annexe 7a</w:t>
      </w:r>
    </w:p>
    <w:p>
      <w:pPr>
        <w:pStyle w:val="Heading6"/>
        <w:spacing w:line="196" w:lineRule="auto" w:before="151"/>
        <w:ind w:left="1984" w:right="1997"/>
      </w:pPr>
      <w:r>
        <w:rPr>
          <w:w w:val="110"/>
        </w:rPr>
        <w:t>A system of shared equity for serving ministers and CRCWs in the URC</w:t>
      </w:r>
    </w:p>
    <w:p>
      <w:pPr>
        <w:spacing w:before="265"/>
        <w:ind w:left="1984" w:right="0" w:firstLine="0"/>
        <w:jc w:val="left"/>
        <w:rPr>
          <w:rFonts w:ascii="Stone Sans II ITC Std Bk"/>
          <w:b/>
          <w:sz w:val="21"/>
        </w:rPr>
      </w:pPr>
      <w:r>
        <w:rPr>
          <w:rFonts w:ascii="Stone Sans II ITC Std Bk"/>
          <w:b/>
          <w:w w:val="115"/>
          <w:sz w:val="21"/>
        </w:rPr>
        <w:t>Understanding the model</w:t>
      </w:r>
    </w:p>
    <w:p>
      <w:pPr>
        <w:pStyle w:val="BodyText"/>
        <w:spacing w:line="235" w:lineRule="auto" w:before="222"/>
        <w:ind w:left="1984" w:right="1291"/>
      </w:pPr>
      <w:r>
        <w:rPr>
          <w:w w:val="120"/>
        </w:rPr>
        <w:t>Shared Equity schemes are </w:t>
      </w:r>
      <w:r>
        <w:rPr>
          <w:spacing w:val="-2"/>
          <w:w w:val="120"/>
        </w:rPr>
        <w:t>not </w:t>
      </w:r>
      <w:r>
        <w:rPr>
          <w:spacing w:val="-4"/>
          <w:w w:val="120"/>
        </w:rPr>
        <w:t>new. </w:t>
      </w:r>
      <w:r>
        <w:rPr>
          <w:w w:val="120"/>
        </w:rPr>
        <w:t>Housing Associations </w:t>
      </w:r>
      <w:r>
        <w:rPr>
          <w:spacing w:val="-3"/>
          <w:w w:val="120"/>
        </w:rPr>
        <w:t>have </w:t>
      </w:r>
      <w:r>
        <w:rPr>
          <w:w w:val="120"/>
        </w:rPr>
        <w:t>been offering them, with varying degrees of encouragement from both Conservative and Labour governments,  for</w:t>
      </w:r>
      <w:r>
        <w:rPr>
          <w:spacing w:val="-11"/>
          <w:w w:val="120"/>
        </w:rPr>
        <w:t> </w:t>
      </w:r>
      <w:r>
        <w:rPr>
          <w:w w:val="120"/>
        </w:rPr>
        <w:t>more</w:t>
      </w:r>
      <w:r>
        <w:rPr>
          <w:spacing w:val="-11"/>
          <w:w w:val="120"/>
        </w:rPr>
        <w:t> </w:t>
      </w:r>
      <w:r>
        <w:rPr>
          <w:w w:val="120"/>
        </w:rPr>
        <w:t>than</w:t>
      </w:r>
      <w:r>
        <w:rPr>
          <w:spacing w:val="-11"/>
          <w:w w:val="120"/>
        </w:rPr>
        <w:t> </w:t>
      </w:r>
      <w:r>
        <w:rPr>
          <w:w w:val="120"/>
        </w:rPr>
        <w:t>twenty</w:t>
      </w:r>
      <w:r>
        <w:rPr>
          <w:spacing w:val="-11"/>
          <w:w w:val="120"/>
        </w:rPr>
        <w:t> </w:t>
      </w:r>
      <w:r>
        <w:rPr>
          <w:w w:val="120"/>
        </w:rPr>
        <w:t>years.</w:t>
      </w:r>
      <w:r>
        <w:rPr>
          <w:spacing w:val="-11"/>
          <w:w w:val="120"/>
        </w:rPr>
        <w:t> </w:t>
      </w:r>
      <w:r>
        <w:rPr>
          <w:w w:val="120"/>
        </w:rPr>
        <w:t>Their</w:t>
      </w:r>
      <w:r>
        <w:rPr>
          <w:spacing w:val="-11"/>
          <w:w w:val="120"/>
        </w:rPr>
        <w:t> </w:t>
      </w:r>
      <w:r>
        <w:rPr>
          <w:w w:val="120"/>
        </w:rPr>
        <w:t>purpose</w:t>
      </w:r>
      <w:r>
        <w:rPr>
          <w:spacing w:val="-11"/>
          <w:w w:val="120"/>
        </w:rPr>
        <w:t> </w:t>
      </w:r>
      <w:r>
        <w:rPr>
          <w:w w:val="120"/>
        </w:rPr>
        <w:t>has</w:t>
      </w:r>
      <w:r>
        <w:rPr>
          <w:spacing w:val="-11"/>
          <w:w w:val="120"/>
        </w:rPr>
        <w:t> </w:t>
      </w:r>
      <w:r>
        <w:rPr>
          <w:w w:val="120"/>
        </w:rPr>
        <w:t>been</w:t>
      </w:r>
      <w:r>
        <w:rPr>
          <w:spacing w:val="-11"/>
          <w:w w:val="120"/>
        </w:rPr>
        <w:t> </w:t>
      </w:r>
      <w:r>
        <w:rPr>
          <w:spacing w:val="-3"/>
          <w:w w:val="120"/>
        </w:rPr>
        <w:t>to</w:t>
      </w:r>
      <w:r>
        <w:rPr>
          <w:spacing w:val="-11"/>
          <w:w w:val="120"/>
        </w:rPr>
        <w:t> </w:t>
      </w:r>
      <w:r>
        <w:rPr>
          <w:w w:val="120"/>
        </w:rPr>
        <w:t>offer</w:t>
      </w:r>
      <w:r>
        <w:rPr>
          <w:spacing w:val="-11"/>
          <w:w w:val="120"/>
        </w:rPr>
        <w:t> </w:t>
      </w:r>
      <w:r>
        <w:rPr>
          <w:spacing w:val="-4"/>
          <w:w w:val="120"/>
        </w:rPr>
        <w:t>access</w:t>
      </w:r>
      <w:r>
        <w:rPr>
          <w:spacing w:val="-11"/>
          <w:w w:val="120"/>
        </w:rPr>
        <w:t> </w:t>
      </w:r>
      <w:r>
        <w:rPr>
          <w:spacing w:val="-3"/>
          <w:w w:val="120"/>
        </w:rPr>
        <w:t>to</w:t>
      </w:r>
      <w:r>
        <w:rPr>
          <w:spacing w:val="-11"/>
          <w:w w:val="120"/>
        </w:rPr>
        <w:t> </w:t>
      </w:r>
      <w:r>
        <w:rPr>
          <w:w w:val="120"/>
        </w:rPr>
        <w:t>homeownership</w:t>
      </w:r>
      <w:r>
        <w:rPr>
          <w:spacing w:val="-11"/>
          <w:w w:val="120"/>
        </w:rPr>
        <w:t> </w:t>
      </w:r>
      <w:r>
        <w:rPr>
          <w:w w:val="120"/>
        </w:rPr>
        <w:t>for</w:t>
      </w:r>
    </w:p>
    <w:p>
      <w:pPr>
        <w:pStyle w:val="BodyText"/>
        <w:spacing w:line="242" w:lineRule="exact"/>
        <w:ind w:left="1984"/>
      </w:pPr>
      <w:r>
        <w:rPr>
          <w:w w:val="120"/>
        </w:rPr>
        <w:t>people whose low level of income would otherwise prevent them from choosing that tenure.</w:t>
      </w:r>
    </w:p>
    <w:p>
      <w:pPr>
        <w:pStyle w:val="BodyText"/>
        <w:spacing w:before="8"/>
        <w:rPr>
          <w:sz w:val="19"/>
        </w:rPr>
      </w:pPr>
    </w:p>
    <w:p>
      <w:pPr>
        <w:pStyle w:val="BodyText"/>
        <w:spacing w:line="235" w:lineRule="auto"/>
        <w:ind w:left="1984" w:right="1273"/>
      </w:pPr>
      <w:r>
        <w:rPr>
          <w:w w:val="120"/>
        </w:rPr>
        <w:t>The basic model is that the sale value of the property is fixed. The purchaser opts to buy a share in the equity of the property in return for a payment equal to the corresponding proportion of the sale value. This purchase will generally be funded by a mortgage. The purchaser will pay rental to the Housing Association on the unpurchased share of the property. There is an expectation that the purchaser may ‘staircase up’, buying a further share of the equity as their circumstances improve. In some variants of the model the</w:t>
      </w:r>
    </w:p>
    <w:p>
      <w:pPr>
        <w:pStyle w:val="BodyText"/>
        <w:spacing w:line="235" w:lineRule="auto" w:before="4"/>
        <w:ind w:left="1984" w:right="1073"/>
        <w:jc w:val="both"/>
      </w:pPr>
      <w:r>
        <w:rPr>
          <w:w w:val="120"/>
        </w:rPr>
        <w:t>government funds the unpurchased share on behalf of the Housing Association so that no rental is paid by the occupant who will have only the mortgage to find (in addition to the normal household expenses and charges of course).</w:t>
      </w:r>
    </w:p>
    <w:p>
      <w:pPr>
        <w:pStyle w:val="BodyText"/>
        <w:spacing w:before="10"/>
        <w:rPr>
          <w:sz w:val="19"/>
        </w:rPr>
      </w:pPr>
    </w:p>
    <w:p>
      <w:pPr>
        <w:pStyle w:val="BodyText"/>
        <w:spacing w:line="235" w:lineRule="auto" w:before="1"/>
        <w:ind w:left="1984" w:right="898"/>
      </w:pPr>
      <w:r>
        <w:rPr>
          <w:spacing w:val="-4"/>
          <w:w w:val="120"/>
        </w:rPr>
        <w:t>Typically </w:t>
      </w:r>
      <w:r>
        <w:rPr>
          <w:w w:val="120"/>
        </w:rPr>
        <w:t>a purchaser will buy a 50% or </w:t>
      </w:r>
      <w:r>
        <w:rPr>
          <w:spacing w:val="-9"/>
          <w:w w:val="120"/>
        </w:rPr>
        <w:t>75% </w:t>
      </w:r>
      <w:r>
        <w:rPr>
          <w:spacing w:val="-3"/>
          <w:w w:val="120"/>
        </w:rPr>
        <w:t>share, </w:t>
      </w:r>
      <w:r>
        <w:rPr>
          <w:w w:val="120"/>
        </w:rPr>
        <w:t>although other proportions are </w:t>
      </w:r>
      <w:r>
        <w:rPr>
          <w:spacing w:val="-3"/>
          <w:w w:val="120"/>
        </w:rPr>
        <w:t>possible. </w:t>
      </w:r>
      <w:r>
        <w:rPr>
          <w:w w:val="120"/>
        </w:rPr>
        <w:t>The aspiration is that, </w:t>
      </w:r>
      <w:r>
        <w:rPr>
          <w:spacing w:val="-3"/>
          <w:w w:val="120"/>
        </w:rPr>
        <w:t>over time, </w:t>
      </w:r>
      <w:r>
        <w:rPr>
          <w:w w:val="120"/>
        </w:rPr>
        <w:t>they will </w:t>
      </w:r>
      <w:r>
        <w:rPr>
          <w:spacing w:val="-3"/>
          <w:w w:val="120"/>
        </w:rPr>
        <w:t>acquire </w:t>
      </w:r>
      <w:r>
        <w:rPr>
          <w:w w:val="120"/>
        </w:rPr>
        <w:t>100% </w:t>
      </w:r>
      <w:r>
        <w:rPr>
          <w:spacing w:val="-2"/>
          <w:w w:val="120"/>
        </w:rPr>
        <w:t>ownership </w:t>
      </w:r>
      <w:r>
        <w:rPr>
          <w:w w:val="120"/>
        </w:rPr>
        <w:t>but some </w:t>
      </w:r>
      <w:r>
        <w:rPr>
          <w:spacing w:val="-3"/>
          <w:w w:val="120"/>
        </w:rPr>
        <w:t>may </w:t>
      </w:r>
      <w:r>
        <w:rPr>
          <w:w w:val="120"/>
        </w:rPr>
        <w:t>never </w:t>
      </w:r>
      <w:r>
        <w:rPr>
          <w:spacing w:val="-3"/>
          <w:w w:val="120"/>
        </w:rPr>
        <w:t>achieve this. </w:t>
      </w:r>
      <w:r>
        <w:rPr>
          <w:w w:val="120"/>
        </w:rPr>
        <w:t>The model is particularly attractive </w:t>
      </w:r>
      <w:r>
        <w:rPr>
          <w:spacing w:val="-3"/>
          <w:w w:val="120"/>
        </w:rPr>
        <w:t>to </w:t>
      </w:r>
      <w:r>
        <w:rPr>
          <w:w w:val="120"/>
        </w:rPr>
        <w:t>first time buyers who </w:t>
      </w:r>
      <w:r>
        <w:rPr>
          <w:spacing w:val="-3"/>
          <w:w w:val="120"/>
        </w:rPr>
        <w:t>have </w:t>
      </w:r>
      <w:r>
        <w:rPr>
          <w:w w:val="120"/>
        </w:rPr>
        <w:t>an expectation that their </w:t>
      </w:r>
      <w:r>
        <w:rPr>
          <w:spacing w:val="-3"/>
          <w:w w:val="120"/>
        </w:rPr>
        <w:t>circumstances </w:t>
      </w:r>
      <w:r>
        <w:rPr>
          <w:w w:val="120"/>
        </w:rPr>
        <w:t>will </w:t>
      </w:r>
      <w:r>
        <w:rPr>
          <w:spacing w:val="-3"/>
          <w:w w:val="120"/>
        </w:rPr>
        <w:t>improve: children </w:t>
      </w:r>
      <w:r>
        <w:rPr>
          <w:w w:val="120"/>
        </w:rPr>
        <w:t>will start school </w:t>
      </w:r>
      <w:r>
        <w:rPr>
          <w:spacing w:val="-2"/>
          <w:w w:val="120"/>
        </w:rPr>
        <w:t>releasing </w:t>
      </w:r>
      <w:r>
        <w:rPr>
          <w:w w:val="120"/>
        </w:rPr>
        <w:t>a partner </w:t>
      </w:r>
      <w:r>
        <w:rPr>
          <w:spacing w:val="-3"/>
          <w:w w:val="120"/>
        </w:rPr>
        <w:t>to </w:t>
      </w:r>
      <w:r>
        <w:rPr>
          <w:w w:val="120"/>
        </w:rPr>
        <w:t>full- time work, or career progression will bring </w:t>
      </w:r>
      <w:r>
        <w:rPr>
          <w:spacing w:val="-3"/>
          <w:w w:val="120"/>
        </w:rPr>
        <w:t>enhanced income, </w:t>
      </w:r>
      <w:r>
        <w:rPr>
          <w:w w:val="120"/>
        </w:rPr>
        <w:t>and so on.</w:t>
      </w:r>
    </w:p>
    <w:p>
      <w:pPr>
        <w:pStyle w:val="BodyText"/>
        <w:spacing w:after="1"/>
        <w:rPr>
          <w:sz w:val="23"/>
        </w:rPr>
      </w:pPr>
    </w:p>
    <w:tbl>
      <w:tblPr>
        <w:tblW w:w="0" w:type="auto"/>
        <w:jc w:val="left"/>
        <w:tblInd w:w="19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16"/>
        <w:gridCol w:w="354"/>
        <w:gridCol w:w="249"/>
      </w:tblGrid>
      <w:tr>
        <w:trPr>
          <w:trHeight w:val="339" w:hRule="atLeast"/>
        </w:trPr>
        <w:tc>
          <w:tcPr>
            <w:tcW w:w="8716" w:type="dxa"/>
            <w:vMerge w:val="restart"/>
            <w:tcBorders>
              <w:top w:val="single" w:sz="8" w:space="0" w:color="CA4F1B"/>
            </w:tcBorders>
            <w:shd w:val="clear" w:color="auto" w:fill="FCF4E0"/>
          </w:tcPr>
          <w:p>
            <w:pPr>
              <w:pStyle w:val="TableParagraph"/>
              <w:spacing w:before="1"/>
              <w:rPr>
                <w:sz w:val="20"/>
              </w:rPr>
            </w:pPr>
          </w:p>
          <w:p>
            <w:pPr>
              <w:pStyle w:val="TableParagraph"/>
              <w:ind w:left="293"/>
              <w:rPr>
                <w:rFonts w:ascii="Stone Sans II ITC Std Sm"/>
                <w:b/>
                <w:sz w:val="20"/>
              </w:rPr>
            </w:pPr>
            <w:r>
              <w:rPr>
                <w:rFonts w:ascii="Stone Sans II ITC Std Sm"/>
                <w:b/>
                <w:w w:val="110"/>
                <w:sz w:val="20"/>
              </w:rPr>
              <w:t>Worked example</w:t>
            </w:r>
          </w:p>
          <w:p>
            <w:pPr>
              <w:pStyle w:val="TableParagraph"/>
              <w:spacing w:before="2"/>
              <w:rPr>
                <w:sz w:val="18"/>
              </w:rPr>
            </w:pPr>
          </w:p>
          <w:p>
            <w:pPr>
              <w:pStyle w:val="TableParagraph"/>
              <w:ind w:left="293"/>
              <w:rPr>
                <w:sz w:val="20"/>
              </w:rPr>
            </w:pPr>
            <w:r>
              <w:rPr>
                <w:spacing w:val="4"/>
                <w:w w:val="120"/>
                <w:sz w:val="20"/>
              </w:rPr>
              <w:t>The </w:t>
            </w:r>
            <w:r>
              <w:rPr>
                <w:spacing w:val="7"/>
                <w:w w:val="120"/>
                <w:sz w:val="20"/>
              </w:rPr>
              <w:t>property </w:t>
            </w:r>
            <w:r>
              <w:rPr>
                <w:w w:val="120"/>
                <w:sz w:val="20"/>
              </w:rPr>
              <w:t>is </w:t>
            </w:r>
            <w:r>
              <w:rPr>
                <w:spacing w:val="4"/>
                <w:w w:val="120"/>
                <w:sz w:val="20"/>
              </w:rPr>
              <w:t>valued </w:t>
            </w:r>
            <w:r>
              <w:rPr>
                <w:spacing w:val="2"/>
                <w:w w:val="120"/>
                <w:sz w:val="20"/>
              </w:rPr>
              <w:t>at</w:t>
            </w:r>
            <w:r>
              <w:rPr>
                <w:spacing w:val="54"/>
                <w:w w:val="120"/>
                <w:sz w:val="20"/>
              </w:rPr>
              <w:t> </w:t>
            </w:r>
            <w:r>
              <w:rPr>
                <w:spacing w:val="6"/>
                <w:w w:val="120"/>
                <w:sz w:val="20"/>
              </w:rPr>
              <w:t>£200,000.</w:t>
            </w:r>
          </w:p>
          <w:p>
            <w:pPr>
              <w:pStyle w:val="TableParagraph"/>
              <w:spacing w:line="207" w:lineRule="exact" w:before="110"/>
              <w:ind w:left="293"/>
              <w:rPr>
                <w:sz w:val="20"/>
              </w:rPr>
            </w:pPr>
            <w:r>
              <w:rPr>
                <w:w w:val="120"/>
                <w:sz w:val="20"/>
              </w:rPr>
              <w:t>The ‘social rent’ would be approximately £120 per week or £520 per calendar mont</w:t>
            </w:r>
          </w:p>
        </w:tc>
        <w:tc>
          <w:tcPr>
            <w:tcW w:w="354" w:type="dxa"/>
            <w:tcBorders>
              <w:bottom w:val="single" w:sz="49" w:space="0" w:color="FFFFFF"/>
            </w:tcBorders>
            <w:shd w:val="clear" w:color="auto" w:fill="CA4F1B"/>
          </w:tcPr>
          <w:p>
            <w:pPr>
              <w:pStyle w:val="TableParagraph"/>
              <w:rPr>
                <w:rFonts w:ascii="Times New Roman"/>
                <w:sz w:val="22"/>
              </w:rPr>
            </w:pPr>
          </w:p>
        </w:tc>
        <w:tc>
          <w:tcPr>
            <w:tcW w:w="249" w:type="dxa"/>
            <w:vMerge w:val="restart"/>
            <w:tcBorders>
              <w:top w:val="single" w:sz="8" w:space="0" w:color="CA4F1B"/>
            </w:tcBorders>
            <w:shd w:val="clear" w:color="auto" w:fill="FCF4E0"/>
          </w:tcPr>
          <w:p>
            <w:pPr>
              <w:pStyle w:val="TableParagraph"/>
              <w:rPr>
                <w:rFonts w:ascii="Times New Roman"/>
                <w:sz w:val="22"/>
              </w:rPr>
            </w:pPr>
          </w:p>
        </w:tc>
      </w:tr>
      <w:tr>
        <w:trPr>
          <w:trHeight w:val="359" w:hRule="atLeast"/>
        </w:trPr>
        <w:tc>
          <w:tcPr>
            <w:tcW w:w="8716" w:type="dxa"/>
            <w:vMerge/>
            <w:tcBorders>
              <w:top w:val="nil"/>
            </w:tcBorders>
            <w:shd w:val="clear" w:color="auto" w:fill="FCF4E0"/>
          </w:tcPr>
          <w:p>
            <w:pPr>
              <w:rPr>
                <w:sz w:val="2"/>
                <w:szCs w:val="2"/>
              </w:rPr>
            </w:pPr>
          </w:p>
        </w:tc>
        <w:tc>
          <w:tcPr>
            <w:tcW w:w="354" w:type="dxa"/>
            <w:tcBorders>
              <w:top w:val="single" w:sz="49" w:space="0" w:color="FFFFFF"/>
              <w:bottom w:val="single" w:sz="54" w:space="0" w:color="FFFFFF"/>
            </w:tcBorders>
            <w:shd w:val="clear" w:color="auto" w:fill="E3AC83"/>
          </w:tcPr>
          <w:p>
            <w:pPr>
              <w:pStyle w:val="TableParagraph"/>
              <w:rPr>
                <w:rFonts w:ascii="Times New Roman"/>
                <w:sz w:val="22"/>
              </w:rPr>
            </w:pPr>
          </w:p>
        </w:tc>
        <w:tc>
          <w:tcPr>
            <w:tcW w:w="249" w:type="dxa"/>
            <w:vMerge/>
            <w:tcBorders>
              <w:top w:val="nil"/>
            </w:tcBorders>
            <w:shd w:val="clear" w:color="auto" w:fill="FCF4E0"/>
          </w:tcPr>
          <w:p>
            <w:pPr>
              <w:rPr>
                <w:sz w:val="2"/>
                <w:szCs w:val="2"/>
              </w:rPr>
            </w:pPr>
          </w:p>
        </w:tc>
      </w:tr>
      <w:tr>
        <w:trPr>
          <w:trHeight w:val="359" w:hRule="atLeast"/>
        </w:trPr>
        <w:tc>
          <w:tcPr>
            <w:tcW w:w="8716" w:type="dxa"/>
            <w:vMerge/>
            <w:tcBorders>
              <w:top w:val="nil"/>
            </w:tcBorders>
            <w:shd w:val="clear" w:color="auto" w:fill="FCF4E0"/>
          </w:tcPr>
          <w:p>
            <w:pPr>
              <w:rPr>
                <w:sz w:val="2"/>
                <w:szCs w:val="2"/>
              </w:rPr>
            </w:pPr>
          </w:p>
        </w:tc>
        <w:tc>
          <w:tcPr>
            <w:tcW w:w="354" w:type="dxa"/>
            <w:tcBorders>
              <w:top w:val="single" w:sz="54" w:space="0" w:color="FFFFFF"/>
            </w:tcBorders>
            <w:shd w:val="clear" w:color="auto" w:fill="EFCEB4"/>
          </w:tcPr>
          <w:p>
            <w:pPr>
              <w:pStyle w:val="TableParagraph"/>
              <w:spacing w:line="207" w:lineRule="exact" w:before="133"/>
              <w:ind w:left="-3"/>
              <w:rPr>
                <w:sz w:val="20"/>
              </w:rPr>
            </w:pPr>
            <w:r>
              <w:rPr>
                <w:w w:val="125"/>
                <w:sz w:val="20"/>
              </w:rPr>
              <w:t>h.</w:t>
            </w:r>
          </w:p>
        </w:tc>
        <w:tc>
          <w:tcPr>
            <w:tcW w:w="249" w:type="dxa"/>
            <w:vMerge/>
            <w:tcBorders>
              <w:top w:val="nil"/>
            </w:tcBorders>
            <w:shd w:val="clear" w:color="auto" w:fill="FCF4E0"/>
          </w:tcPr>
          <w:p>
            <w:pPr>
              <w:rPr>
                <w:sz w:val="2"/>
                <w:szCs w:val="2"/>
              </w:rPr>
            </w:pPr>
          </w:p>
        </w:tc>
      </w:tr>
      <w:tr>
        <w:trPr>
          <w:trHeight w:val="6005" w:hRule="atLeast"/>
        </w:trPr>
        <w:tc>
          <w:tcPr>
            <w:tcW w:w="9319" w:type="dxa"/>
            <w:gridSpan w:val="3"/>
            <w:tcBorders>
              <w:bottom w:val="single" w:sz="8" w:space="0" w:color="CA4F1B"/>
            </w:tcBorders>
            <w:shd w:val="clear" w:color="auto" w:fill="FCF4E0"/>
          </w:tcPr>
          <w:p>
            <w:pPr>
              <w:pStyle w:val="TableParagraph"/>
              <w:spacing w:before="126"/>
              <w:ind w:left="293"/>
              <w:rPr>
                <w:sz w:val="20"/>
              </w:rPr>
            </w:pPr>
            <w:r>
              <w:rPr>
                <w:w w:val="120"/>
                <w:sz w:val="20"/>
              </w:rPr>
              <w:t>The purchaser takes a 75% share.</w:t>
            </w:r>
          </w:p>
          <w:p>
            <w:pPr>
              <w:pStyle w:val="TableParagraph"/>
              <w:spacing w:before="110"/>
              <w:ind w:left="293"/>
              <w:rPr>
                <w:sz w:val="20"/>
              </w:rPr>
            </w:pPr>
            <w:r>
              <w:rPr>
                <w:w w:val="120"/>
                <w:sz w:val="20"/>
              </w:rPr>
              <w:t>To fund this they provide a 5% deposit of £10,000.</w:t>
            </w:r>
          </w:p>
          <w:p>
            <w:pPr>
              <w:pStyle w:val="TableParagraph"/>
              <w:spacing w:line="235" w:lineRule="auto" w:before="113"/>
              <w:ind w:left="293" w:right="707"/>
              <w:rPr>
                <w:sz w:val="20"/>
              </w:rPr>
            </w:pPr>
            <w:r>
              <w:rPr>
                <w:w w:val="120"/>
                <w:sz w:val="20"/>
              </w:rPr>
              <w:t>They take a mortgage of £140,000 over 25 years at 5% (slightly above current rate offers).</w:t>
            </w:r>
          </w:p>
          <w:p>
            <w:pPr>
              <w:pStyle w:val="TableParagraph"/>
              <w:spacing w:before="1"/>
              <w:rPr>
                <w:sz w:val="33"/>
              </w:rPr>
            </w:pPr>
          </w:p>
          <w:p>
            <w:pPr>
              <w:pStyle w:val="TableParagraph"/>
              <w:spacing w:before="1"/>
              <w:ind w:left="293"/>
              <w:rPr>
                <w:sz w:val="20"/>
              </w:rPr>
            </w:pPr>
            <w:r>
              <w:rPr>
                <w:spacing w:val="4"/>
                <w:w w:val="120"/>
                <w:sz w:val="20"/>
              </w:rPr>
              <w:t>Their monthly </w:t>
            </w:r>
            <w:r>
              <w:rPr>
                <w:spacing w:val="6"/>
                <w:w w:val="120"/>
                <w:sz w:val="20"/>
              </w:rPr>
              <w:t>mortgage </w:t>
            </w:r>
            <w:r>
              <w:rPr>
                <w:spacing w:val="4"/>
                <w:w w:val="120"/>
                <w:sz w:val="20"/>
              </w:rPr>
              <w:t>payment </w:t>
            </w:r>
            <w:r>
              <w:rPr>
                <w:w w:val="120"/>
                <w:sz w:val="20"/>
              </w:rPr>
              <w:t>is</w:t>
            </w:r>
            <w:r>
              <w:rPr>
                <w:spacing w:val="53"/>
                <w:w w:val="120"/>
                <w:sz w:val="20"/>
              </w:rPr>
              <w:t> </w:t>
            </w:r>
            <w:r>
              <w:rPr>
                <w:w w:val="120"/>
                <w:sz w:val="20"/>
              </w:rPr>
              <w:t>£818-43.</w:t>
            </w:r>
          </w:p>
          <w:p>
            <w:pPr>
              <w:pStyle w:val="TableParagraph"/>
              <w:spacing w:line="348" w:lineRule="auto" w:before="109"/>
              <w:ind w:left="293" w:right="2003"/>
              <w:rPr>
                <w:sz w:val="20"/>
              </w:rPr>
            </w:pPr>
            <w:r>
              <w:rPr>
                <w:w w:val="120"/>
                <w:sz w:val="20"/>
              </w:rPr>
              <w:t>Their monthly rental payment for the remaining 25% share is £130. Total outgoings on mortgage and rent £948.43.</w:t>
            </w:r>
          </w:p>
          <w:p>
            <w:pPr>
              <w:pStyle w:val="TableParagraph"/>
              <w:spacing w:before="11"/>
              <w:rPr>
                <w:sz w:val="23"/>
              </w:rPr>
            </w:pPr>
          </w:p>
          <w:p>
            <w:pPr>
              <w:pStyle w:val="TableParagraph"/>
              <w:ind w:left="293"/>
              <w:rPr>
                <w:sz w:val="20"/>
              </w:rPr>
            </w:pPr>
            <w:r>
              <w:rPr>
                <w:w w:val="120"/>
                <w:sz w:val="20"/>
              </w:rPr>
              <w:t>Monthly mortgage on £190,000 (valuation less deposit) would be £1,110-72.</w:t>
            </w:r>
          </w:p>
          <w:p>
            <w:pPr>
              <w:pStyle w:val="TableParagraph"/>
              <w:spacing w:before="4"/>
              <w:rPr>
                <w:sz w:val="33"/>
              </w:rPr>
            </w:pPr>
          </w:p>
          <w:p>
            <w:pPr>
              <w:pStyle w:val="TableParagraph"/>
              <w:spacing w:line="235" w:lineRule="auto"/>
              <w:ind w:left="293" w:right="707"/>
              <w:rPr>
                <w:sz w:val="20"/>
              </w:rPr>
            </w:pPr>
            <w:r>
              <w:rPr>
                <w:spacing w:val="5"/>
                <w:w w:val="120"/>
                <w:sz w:val="20"/>
              </w:rPr>
              <w:t>Appreciation </w:t>
            </w:r>
            <w:r>
              <w:rPr>
                <w:spacing w:val="2"/>
                <w:w w:val="120"/>
                <w:sz w:val="20"/>
              </w:rPr>
              <w:t>in </w:t>
            </w:r>
            <w:r>
              <w:rPr>
                <w:spacing w:val="3"/>
                <w:w w:val="120"/>
                <w:sz w:val="20"/>
              </w:rPr>
              <w:t>total </w:t>
            </w:r>
            <w:r>
              <w:rPr>
                <w:spacing w:val="4"/>
                <w:w w:val="120"/>
                <w:sz w:val="20"/>
              </w:rPr>
              <w:t>value </w:t>
            </w:r>
            <w:r>
              <w:rPr>
                <w:spacing w:val="3"/>
                <w:w w:val="120"/>
                <w:sz w:val="20"/>
              </w:rPr>
              <w:t>of </w:t>
            </w:r>
            <w:r>
              <w:rPr>
                <w:spacing w:val="7"/>
                <w:w w:val="120"/>
                <w:sz w:val="20"/>
              </w:rPr>
              <w:t>property </w:t>
            </w:r>
            <w:r>
              <w:rPr>
                <w:spacing w:val="3"/>
                <w:w w:val="120"/>
                <w:sz w:val="20"/>
              </w:rPr>
              <w:t>over ten </w:t>
            </w:r>
            <w:r>
              <w:rPr>
                <w:spacing w:val="4"/>
                <w:w w:val="120"/>
                <w:sz w:val="20"/>
              </w:rPr>
              <w:t>years </w:t>
            </w:r>
            <w:r>
              <w:rPr>
                <w:spacing w:val="2"/>
                <w:w w:val="120"/>
                <w:sz w:val="20"/>
              </w:rPr>
              <w:t>at </w:t>
            </w:r>
            <w:r>
              <w:rPr>
                <w:w w:val="120"/>
                <w:sz w:val="20"/>
              </w:rPr>
              <w:t>3% </w:t>
            </w:r>
            <w:r>
              <w:rPr>
                <w:spacing w:val="4"/>
                <w:w w:val="120"/>
                <w:sz w:val="20"/>
              </w:rPr>
              <w:t>annual rate </w:t>
            </w:r>
            <w:r>
              <w:rPr>
                <w:spacing w:val="3"/>
                <w:w w:val="120"/>
                <w:sz w:val="20"/>
              </w:rPr>
              <w:t>of </w:t>
            </w:r>
            <w:r>
              <w:rPr>
                <w:spacing w:val="6"/>
                <w:w w:val="120"/>
                <w:sz w:val="20"/>
              </w:rPr>
              <w:t>uplift</w:t>
            </w:r>
            <w:r>
              <w:rPr>
                <w:spacing w:val="66"/>
                <w:w w:val="120"/>
                <w:sz w:val="20"/>
              </w:rPr>
              <w:t> </w:t>
            </w:r>
            <w:r>
              <w:rPr>
                <w:spacing w:val="4"/>
                <w:w w:val="120"/>
                <w:sz w:val="20"/>
              </w:rPr>
              <w:t>would </w:t>
            </w:r>
            <w:r>
              <w:rPr>
                <w:spacing w:val="3"/>
                <w:w w:val="120"/>
                <w:sz w:val="20"/>
              </w:rPr>
              <w:t>be </w:t>
            </w:r>
            <w:r>
              <w:rPr>
                <w:spacing w:val="2"/>
                <w:w w:val="120"/>
                <w:sz w:val="20"/>
              </w:rPr>
              <w:t>£268,783.</w:t>
            </w:r>
          </w:p>
          <w:p>
            <w:pPr>
              <w:pStyle w:val="TableParagraph"/>
              <w:spacing w:line="235" w:lineRule="auto" w:before="115"/>
              <w:ind w:left="293" w:right="1021"/>
              <w:rPr>
                <w:sz w:val="20"/>
              </w:rPr>
            </w:pPr>
            <w:r>
              <w:rPr>
                <w:w w:val="120"/>
                <w:sz w:val="20"/>
              </w:rPr>
              <w:t>(Historically levels of appreciation have been significantly higher over most periods of ten years in the last forty years.)</w:t>
            </w:r>
          </w:p>
          <w:p>
            <w:pPr>
              <w:pStyle w:val="TableParagraph"/>
              <w:spacing w:line="235" w:lineRule="auto" w:before="115"/>
              <w:ind w:left="293" w:right="707"/>
              <w:rPr>
                <w:sz w:val="20"/>
              </w:rPr>
            </w:pPr>
            <w:r>
              <w:rPr>
                <w:w w:val="120"/>
                <w:sz w:val="20"/>
              </w:rPr>
              <w:t>Share of capital appreciation at 75% share would be £20,158, added to the proportion of equity purchased through the mortgage after ten years of approximately £30,000.</w:t>
            </w:r>
          </w:p>
        </w:tc>
      </w:tr>
    </w:tbl>
    <w:p>
      <w:pPr>
        <w:spacing w:after="0" w:line="235" w:lineRule="auto"/>
        <w:rPr>
          <w:sz w:val="20"/>
        </w:rPr>
        <w:sectPr>
          <w:headerReference w:type="default" r:id="rId216"/>
          <w:headerReference w:type="even" r:id="rId217"/>
          <w:footerReference w:type="default" r:id="rId218"/>
          <w:footerReference w:type="even" r:id="rId219"/>
          <w:pgSz w:w="11910" w:h="16840"/>
          <w:pgMar w:header="0" w:footer="647" w:top="940" w:bottom="840" w:left="0" w:right="0"/>
          <w:pgNumType w:start="91"/>
        </w:sectPr>
      </w:pPr>
    </w:p>
    <w:p>
      <w:pPr>
        <w:pStyle w:val="BodyText"/>
        <w:spacing w:line="235" w:lineRule="auto" w:before="107"/>
        <w:ind w:left="1133" w:right="1721"/>
        <w:jc w:val="both"/>
      </w:pPr>
      <w:r>
        <w:rPr/>
        <w:pict>
          <v:rect style="position:absolute;margin-left:12.047pt;margin-top:8.477343pt;width:22.677pt;height:22.677pt;mso-position-horizontal-relative:page;mso-position-vertical-relative:paragraph;z-index:251964416" filled="true" fillcolor="#f9e9c1" stroked="false">
            <v:fill opacity="32768f" type="solid"/>
            <w10:wrap type="none"/>
          </v:rect>
        </w:pict>
      </w:r>
      <w:r>
        <w:rPr>
          <w:w w:val="120"/>
        </w:rPr>
        <w:t>Those taking an equity share have generally moved to full ownership at the point of moving to another property when the equity they have built up through their mortgage provides a lump sum to invest in the new property.</w:t>
      </w:r>
    </w:p>
    <w:p>
      <w:pPr>
        <w:pStyle w:val="BodyText"/>
        <w:spacing w:before="10"/>
        <w:rPr>
          <w:sz w:val="19"/>
        </w:rPr>
      </w:pPr>
    </w:p>
    <w:p>
      <w:pPr>
        <w:pStyle w:val="BodyText"/>
        <w:spacing w:line="235" w:lineRule="auto"/>
        <w:ind w:left="1133" w:right="1970"/>
      </w:pPr>
      <w:r>
        <w:rPr>
          <w:spacing w:val="2"/>
          <w:w w:val="120"/>
        </w:rPr>
        <w:t>Another variation </w:t>
      </w:r>
      <w:r>
        <w:rPr>
          <w:w w:val="120"/>
        </w:rPr>
        <w:t>has </w:t>
      </w:r>
      <w:r>
        <w:rPr>
          <w:spacing w:val="2"/>
          <w:w w:val="120"/>
        </w:rPr>
        <w:t>been applied </w:t>
      </w:r>
      <w:r>
        <w:rPr>
          <w:w w:val="120"/>
        </w:rPr>
        <w:t>to </w:t>
      </w:r>
      <w:r>
        <w:rPr>
          <w:spacing w:val="2"/>
          <w:w w:val="120"/>
        </w:rPr>
        <w:t>older people </w:t>
      </w:r>
      <w:r>
        <w:rPr>
          <w:w w:val="120"/>
        </w:rPr>
        <w:t>wishing to release </w:t>
      </w:r>
      <w:r>
        <w:rPr>
          <w:spacing w:val="2"/>
          <w:w w:val="120"/>
        </w:rPr>
        <w:t>tranches </w:t>
      </w:r>
      <w:r>
        <w:rPr>
          <w:w w:val="120"/>
        </w:rPr>
        <w:t>of </w:t>
      </w:r>
      <w:r>
        <w:rPr>
          <w:spacing w:val="2"/>
          <w:w w:val="120"/>
        </w:rPr>
        <w:t>equity </w:t>
      </w:r>
      <w:r>
        <w:rPr>
          <w:w w:val="120"/>
        </w:rPr>
        <w:t>to </w:t>
      </w:r>
      <w:r>
        <w:rPr>
          <w:spacing w:val="2"/>
          <w:w w:val="120"/>
        </w:rPr>
        <w:t>fund </w:t>
      </w:r>
      <w:r>
        <w:rPr>
          <w:w w:val="120"/>
        </w:rPr>
        <w:t>care or </w:t>
      </w:r>
      <w:r>
        <w:rPr>
          <w:spacing w:val="3"/>
          <w:w w:val="120"/>
        </w:rPr>
        <w:t>lifestyle </w:t>
      </w:r>
      <w:r>
        <w:rPr>
          <w:w w:val="120"/>
        </w:rPr>
        <w:t>choices in old </w:t>
      </w:r>
      <w:r>
        <w:rPr>
          <w:spacing w:val="2"/>
          <w:w w:val="120"/>
        </w:rPr>
        <w:t>age </w:t>
      </w:r>
      <w:r>
        <w:rPr>
          <w:w w:val="120"/>
        </w:rPr>
        <w:t>by ‘staircasing down’ as they </w:t>
      </w:r>
      <w:r>
        <w:rPr>
          <w:spacing w:val="2"/>
          <w:w w:val="120"/>
        </w:rPr>
        <w:t>surrender </w:t>
      </w:r>
      <w:r>
        <w:rPr>
          <w:w w:val="120"/>
        </w:rPr>
        <w:t>a share of </w:t>
      </w:r>
      <w:r>
        <w:rPr>
          <w:spacing w:val="2"/>
          <w:w w:val="120"/>
        </w:rPr>
        <w:t>equity </w:t>
      </w:r>
      <w:r>
        <w:rPr>
          <w:w w:val="120"/>
        </w:rPr>
        <w:t>for cash. </w:t>
      </w:r>
      <w:r>
        <w:rPr>
          <w:spacing w:val="2"/>
          <w:w w:val="120"/>
        </w:rPr>
        <w:t>Although </w:t>
      </w:r>
      <w:r>
        <w:rPr>
          <w:w w:val="120"/>
        </w:rPr>
        <w:t>this has never </w:t>
      </w:r>
      <w:r>
        <w:rPr>
          <w:spacing w:val="3"/>
          <w:w w:val="120"/>
        </w:rPr>
        <w:t>attracted </w:t>
      </w:r>
      <w:r>
        <w:rPr>
          <w:w w:val="120"/>
        </w:rPr>
        <w:t>much </w:t>
      </w:r>
      <w:r>
        <w:rPr>
          <w:spacing w:val="3"/>
          <w:w w:val="120"/>
        </w:rPr>
        <w:t>support </w:t>
      </w:r>
      <w:r>
        <w:rPr>
          <w:w w:val="120"/>
        </w:rPr>
        <w:t>the current plans set out by Government in </w:t>
      </w:r>
      <w:r>
        <w:rPr>
          <w:spacing w:val="2"/>
          <w:w w:val="120"/>
        </w:rPr>
        <w:t>its Green </w:t>
      </w:r>
      <w:r>
        <w:rPr>
          <w:w w:val="120"/>
        </w:rPr>
        <w:t>Paper on the future of care </w:t>
      </w:r>
      <w:r>
        <w:rPr>
          <w:spacing w:val="2"/>
          <w:w w:val="120"/>
        </w:rPr>
        <w:t>services </w:t>
      </w:r>
      <w:r>
        <w:rPr>
          <w:w w:val="120"/>
        </w:rPr>
        <w:t>may give it greater acceptance.</w:t>
      </w:r>
    </w:p>
    <w:p>
      <w:pPr>
        <w:pStyle w:val="BodyText"/>
        <w:spacing w:before="10"/>
        <w:rPr>
          <w:sz w:val="17"/>
        </w:rPr>
      </w:pPr>
    </w:p>
    <w:p>
      <w:pPr>
        <w:spacing w:before="0"/>
        <w:ind w:left="1133" w:right="0" w:firstLine="0"/>
        <w:jc w:val="left"/>
        <w:rPr>
          <w:rFonts w:ascii="Stone Sans II ITC Std Bk"/>
          <w:b/>
          <w:sz w:val="21"/>
        </w:rPr>
      </w:pPr>
      <w:r>
        <w:rPr>
          <w:rFonts w:ascii="Stone Sans II ITC Std Bk"/>
          <w:b/>
          <w:w w:val="115"/>
          <w:sz w:val="21"/>
        </w:rPr>
        <w:t>Applying this to the situation of serving ministers</w:t>
      </w:r>
    </w:p>
    <w:p>
      <w:pPr>
        <w:pStyle w:val="BodyText"/>
        <w:spacing w:line="235" w:lineRule="auto" w:before="223"/>
        <w:ind w:left="1133" w:right="1634"/>
      </w:pPr>
      <w:r>
        <w:rPr>
          <w:w w:val="120"/>
        </w:rPr>
        <w:t>The survey shows us that a significant number of serving ministers have resources that would allow them to contribute to the provision of their own housing whilst serving. Even more came into ministry with some equity and might have been minded to invest in their housing whilst serving, if that had been practicable.</w:t>
      </w:r>
    </w:p>
    <w:p>
      <w:pPr>
        <w:pStyle w:val="BodyText"/>
        <w:spacing w:before="11"/>
        <w:rPr>
          <w:sz w:val="19"/>
        </w:rPr>
      </w:pPr>
    </w:p>
    <w:p>
      <w:pPr>
        <w:pStyle w:val="BodyText"/>
        <w:spacing w:line="235" w:lineRule="auto"/>
        <w:ind w:left="1133" w:right="1878"/>
      </w:pPr>
      <w:r>
        <w:rPr>
          <w:w w:val="120"/>
        </w:rPr>
        <w:t>The inhibitions felt by the majority of those in the Working Group about the transfer of capital assets from the Church to individual ministers involved in a scheme that replaced the provision of manses with a system of cash allowances might be moderated by a shared equity scheme.</w:t>
      </w:r>
    </w:p>
    <w:p>
      <w:pPr>
        <w:pStyle w:val="BodyText"/>
        <w:spacing w:before="10"/>
        <w:rPr>
          <w:sz w:val="19"/>
        </w:rPr>
      </w:pPr>
    </w:p>
    <w:p>
      <w:pPr>
        <w:pStyle w:val="BodyText"/>
        <w:spacing w:line="235" w:lineRule="auto" w:before="1"/>
        <w:ind w:left="1133" w:right="1997"/>
      </w:pPr>
      <w:r>
        <w:rPr>
          <w:spacing w:val="2"/>
          <w:w w:val="120"/>
        </w:rPr>
        <w:t>The variation between synods </w:t>
      </w:r>
      <w:r>
        <w:rPr>
          <w:w w:val="120"/>
        </w:rPr>
        <w:t>in the current </w:t>
      </w:r>
      <w:r>
        <w:rPr>
          <w:spacing w:val="2"/>
          <w:w w:val="120"/>
        </w:rPr>
        <w:t>pattern </w:t>
      </w:r>
      <w:r>
        <w:rPr>
          <w:w w:val="120"/>
        </w:rPr>
        <w:t>for holding and managing manses means that such a scheme could </w:t>
      </w:r>
      <w:r>
        <w:rPr>
          <w:spacing w:val="2"/>
          <w:w w:val="120"/>
        </w:rPr>
        <w:t>probably </w:t>
      </w:r>
      <w:r>
        <w:rPr>
          <w:w w:val="120"/>
        </w:rPr>
        <w:t>only be promoted at a </w:t>
      </w:r>
      <w:r>
        <w:rPr>
          <w:spacing w:val="3"/>
          <w:w w:val="120"/>
        </w:rPr>
        <w:t>synod </w:t>
      </w:r>
      <w:r>
        <w:rPr>
          <w:w w:val="120"/>
        </w:rPr>
        <w:t>level. This would offer the </w:t>
      </w:r>
      <w:r>
        <w:rPr>
          <w:spacing w:val="2"/>
          <w:w w:val="120"/>
        </w:rPr>
        <w:t>advantage </w:t>
      </w:r>
      <w:r>
        <w:rPr>
          <w:w w:val="120"/>
        </w:rPr>
        <w:t>that it could be piloted in one </w:t>
      </w:r>
      <w:r>
        <w:rPr>
          <w:spacing w:val="3"/>
          <w:w w:val="120"/>
        </w:rPr>
        <w:t>synod </w:t>
      </w:r>
      <w:r>
        <w:rPr>
          <w:spacing w:val="2"/>
          <w:w w:val="120"/>
        </w:rPr>
        <w:t>before </w:t>
      </w:r>
      <w:r>
        <w:rPr>
          <w:w w:val="120"/>
        </w:rPr>
        <w:t>being </w:t>
      </w:r>
      <w:r>
        <w:rPr>
          <w:spacing w:val="2"/>
          <w:w w:val="120"/>
        </w:rPr>
        <w:t>offered more </w:t>
      </w:r>
      <w:r>
        <w:rPr>
          <w:w w:val="120"/>
        </w:rPr>
        <w:t>widely.</w:t>
      </w:r>
    </w:p>
    <w:p>
      <w:pPr>
        <w:pStyle w:val="BodyText"/>
        <w:spacing w:before="10"/>
        <w:rPr>
          <w:sz w:val="19"/>
        </w:rPr>
      </w:pPr>
    </w:p>
    <w:p>
      <w:pPr>
        <w:pStyle w:val="BodyText"/>
        <w:spacing w:line="235" w:lineRule="auto" w:before="1"/>
        <w:ind w:left="1133" w:right="1273"/>
      </w:pPr>
      <w:r>
        <w:rPr>
          <w:w w:val="120"/>
        </w:rPr>
        <w:t>In outline the scheme might offer a minister moving to a new pastorate the opportunity to provide their own accommodation on a shared equity basis.</w:t>
      </w:r>
    </w:p>
    <w:p>
      <w:pPr>
        <w:pStyle w:val="BodyText"/>
        <w:spacing w:before="9"/>
        <w:rPr>
          <w:sz w:val="19"/>
        </w:rPr>
      </w:pPr>
    </w:p>
    <w:p>
      <w:pPr>
        <w:pStyle w:val="BodyText"/>
        <w:spacing w:line="235" w:lineRule="auto"/>
        <w:ind w:left="1133" w:right="1901"/>
      </w:pPr>
      <w:r>
        <w:rPr>
          <w:w w:val="120"/>
        </w:rPr>
        <w:t>The minister would identify a property, in consultation with the synod, but perhaps with a less rigorous or more flexible approach to what might constitute a suitable property than most current manse policies. The ‘condition of residence’ implicit in the current terms and conditions of ministers would be varied so that the requirement would be to live in the property provided (a manse), or in a property acceptable to the synod as a condition of its concurrence in the call.</w:t>
      </w:r>
    </w:p>
    <w:p>
      <w:pPr>
        <w:pStyle w:val="BodyText"/>
      </w:pPr>
    </w:p>
    <w:p>
      <w:pPr>
        <w:pStyle w:val="BodyText"/>
        <w:spacing w:line="235" w:lineRule="auto"/>
        <w:ind w:left="1133" w:right="1686"/>
      </w:pPr>
      <w:r>
        <w:rPr>
          <w:w w:val="120"/>
        </w:rPr>
        <w:t>The minister would calculate the proportion of the purchase price they could fund (whether by application of the proceeds of sale from other property, family resources or a mortgage) leading to the identification of a share of the purchase price (including fees and related charges). For administrative convenience this might be in 5% increments of the value. It would be sensible to agree a minimum share that would qualify for this arrangement and that might be 25%.</w:t>
      </w:r>
    </w:p>
    <w:p>
      <w:pPr>
        <w:pStyle w:val="BodyText"/>
      </w:pPr>
    </w:p>
    <w:p>
      <w:pPr>
        <w:pStyle w:val="BodyText"/>
        <w:spacing w:line="235" w:lineRule="auto"/>
        <w:ind w:left="1133" w:right="1916"/>
      </w:pPr>
      <w:r>
        <w:rPr>
          <w:w w:val="120"/>
        </w:rPr>
        <w:t>The synod would make an investment in the </w:t>
      </w:r>
      <w:r>
        <w:rPr>
          <w:spacing w:val="2"/>
          <w:w w:val="120"/>
        </w:rPr>
        <w:t>property </w:t>
      </w:r>
      <w:r>
        <w:rPr>
          <w:w w:val="120"/>
        </w:rPr>
        <w:t>equivalent to the balancing share   in the purchase costs of the </w:t>
      </w:r>
      <w:r>
        <w:rPr>
          <w:spacing w:val="2"/>
          <w:w w:val="120"/>
        </w:rPr>
        <w:t>property </w:t>
      </w:r>
      <w:r>
        <w:rPr>
          <w:w w:val="120"/>
        </w:rPr>
        <w:t>and fund this from within a fund for the provision of manses. Clearly the circumstances in synods varies greatly and where there is no common holding of manses this might be difficult, unless the proceeds of some manse sales were allocated to this</w:t>
      </w:r>
      <w:r>
        <w:rPr>
          <w:spacing w:val="5"/>
          <w:w w:val="120"/>
        </w:rPr>
        <w:t> </w:t>
      </w:r>
      <w:r>
        <w:rPr>
          <w:w w:val="120"/>
        </w:rPr>
        <w:t>purpose.</w:t>
      </w:r>
    </w:p>
    <w:p>
      <w:pPr>
        <w:pStyle w:val="BodyText"/>
      </w:pPr>
    </w:p>
    <w:p>
      <w:pPr>
        <w:pStyle w:val="BodyText"/>
        <w:spacing w:line="235" w:lineRule="auto"/>
        <w:ind w:left="1133" w:right="1997"/>
      </w:pPr>
      <w:r>
        <w:rPr>
          <w:w w:val="120"/>
        </w:rPr>
        <w:t>Over the period of the ministry both parties would benefit from any appreciation in the value of the property proportionate to the share they hold.</w:t>
      </w:r>
    </w:p>
    <w:p>
      <w:pPr>
        <w:pStyle w:val="BodyText"/>
        <w:spacing w:before="9"/>
        <w:rPr>
          <w:sz w:val="19"/>
        </w:rPr>
      </w:pPr>
    </w:p>
    <w:p>
      <w:pPr>
        <w:pStyle w:val="BodyText"/>
        <w:spacing w:line="235" w:lineRule="auto"/>
        <w:ind w:left="1133" w:right="1735"/>
      </w:pPr>
      <w:r>
        <w:rPr>
          <w:w w:val="120"/>
        </w:rPr>
        <w:t>Should the minister resign or retire from ministry they would have the option of purchasing the synod’s share of the property. Should they decide not to exercise that right the synod would decide whether to retain the property (and buy out the minister’s share on the basis of an agreed valuation) or to sell the property and divide the proceeds according to the shares held.</w:t>
      </w:r>
    </w:p>
    <w:p>
      <w:pPr>
        <w:spacing w:after="0" w:line="235" w:lineRule="auto"/>
        <w:sectPr>
          <w:pgSz w:w="11910" w:h="16840"/>
          <w:pgMar w:header="0" w:footer="647" w:top="1060" w:bottom="840" w:left="0" w:right="0"/>
        </w:sectPr>
      </w:pPr>
    </w:p>
    <w:p>
      <w:pPr>
        <w:pStyle w:val="BodyText"/>
        <w:spacing w:line="235" w:lineRule="auto" w:before="91"/>
        <w:ind w:left="1984" w:right="1573"/>
      </w:pPr>
      <w:r>
        <w:rPr/>
        <w:pict>
          <v:rect style="position:absolute;margin-left:558.424988pt;margin-top:8.503343pt;width:22.677pt;height:22.677pt;mso-position-horizontal-relative:page;mso-position-vertical-relative:paragraph;z-index:251966464" filled="true" fillcolor="#f9e9c1" stroked="false">
            <v:fill opacity="32768f" type="solid"/>
            <w10:wrap type="none"/>
          </v:rect>
        </w:pict>
      </w:r>
      <w:r>
        <w:rPr>
          <w:w w:val="120"/>
        </w:rPr>
        <w:t>To support the minister in the servicing of any borrowing to fund their share the synod may pay a form of reverse rental as an addition to current housing allowances. This would be calculated as equivalent to the income on a capital sum equal to the proportion of the cost of purchase met by the minister.</w:t>
      </w:r>
    </w:p>
    <w:p>
      <w:pPr>
        <w:pStyle w:val="BodyText"/>
        <w:spacing w:before="3"/>
        <w:rPr>
          <w:sz w:val="24"/>
        </w:rPr>
      </w:pPr>
    </w:p>
    <w:tbl>
      <w:tblPr>
        <w:tblW w:w="0" w:type="auto"/>
        <w:jc w:val="left"/>
        <w:tblInd w:w="19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5"/>
        <w:gridCol w:w="355"/>
        <w:gridCol w:w="269"/>
      </w:tblGrid>
      <w:tr>
        <w:trPr>
          <w:trHeight w:val="339" w:hRule="atLeast"/>
        </w:trPr>
        <w:tc>
          <w:tcPr>
            <w:tcW w:w="8145" w:type="dxa"/>
            <w:vMerge w:val="restart"/>
            <w:tcBorders>
              <w:top w:val="single" w:sz="8" w:space="0" w:color="CA4F1B"/>
            </w:tcBorders>
            <w:shd w:val="clear" w:color="auto" w:fill="FCF4E0"/>
          </w:tcPr>
          <w:p>
            <w:pPr>
              <w:pStyle w:val="TableParagraph"/>
              <w:spacing w:before="3"/>
              <w:rPr>
                <w:sz w:val="33"/>
              </w:rPr>
            </w:pPr>
          </w:p>
          <w:p>
            <w:pPr>
              <w:pStyle w:val="TableParagraph"/>
              <w:spacing w:line="235" w:lineRule="auto" w:before="1"/>
              <w:ind w:left="350" w:right="964"/>
              <w:rPr>
                <w:sz w:val="20"/>
              </w:rPr>
            </w:pPr>
            <w:r>
              <w:rPr>
                <w:w w:val="120"/>
                <w:sz w:val="20"/>
              </w:rPr>
              <w:t>This can best be understood by looking at a worked example. Purchase price of property £200,000</w:t>
            </w:r>
          </w:p>
          <w:p>
            <w:pPr>
              <w:pStyle w:val="TableParagraph"/>
              <w:spacing w:before="5"/>
              <w:rPr>
                <w:sz w:val="19"/>
              </w:rPr>
            </w:pPr>
          </w:p>
          <w:p>
            <w:pPr>
              <w:pStyle w:val="TableParagraph"/>
              <w:spacing w:line="175" w:lineRule="exact"/>
              <w:ind w:left="350"/>
              <w:rPr>
                <w:sz w:val="20"/>
              </w:rPr>
            </w:pPr>
            <w:r>
              <w:rPr>
                <w:w w:val="120"/>
                <w:sz w:val="20"/>
              </w:rPr>
              <w:t>The minister takes a 50% share funded by a mixture of proceeds from the</w:t>
            </w:r>
          </w:p>
        </w:tc>
        <w:tc>
          <w:tcPr>
            <w:tcW w:w="355" w:type="dxa"/>
            <w:tcBorders>
              <w:bottom w:val="single" w:sz="49" w:space="0" w:color="FFFFFF"/>
            </w:tcBorders>
            <w:shd w:val="clear" w:color="auto" w:fill="CA4F1B"/>
          </w:tcPr>
          <w:p>
            <w:pPr>
              <w:pStyle w:val="TableParagraph"/>
              <w:rPr>
                <w:rFonts w:ascii="Times New Roman"/>
                <w:sz w:val="22"/>
              </w:rPr>
            </w:pPr>
          </w:p>
        </w:tc>
        <w:tc>
          <w:tcPr>
            <w:tcW w:w="269" w:type="dxa"/>
            <w:vMerge w:val="restart"/>
            <w:tcBorders>
              <w:top w:val="single" w:sz="8" w:space="0" w:color="CA4F1B"/>
            </w:tcBorders>
            <w:shd w:val="clear" w:color="auto" w:fill="FCF4E0"/>
          </w:tcPr>
          <w:p>
            <w:pPr>
              <w:pStyle w:val="TableParagraph"/>
              <w:rPr>
                <w:rFonts w:ascii="Times New Roman"/>
                <w:sz w:val="22"/>
              </w:rPr>
            </w:pPr>
          </w:p>
        </w:tc>
      </w:tr>
      <w:tr>
        <w:trPr>
          <w:trHeight w:val="359" w:hRule="atLeast"/>
        </w:trPr>
        <w:tc>
          <w:tcPr>
            <w:tcW w:w="8145" w:type="dxa"/>
            <w:vMerge/>
            <w:tcBorders>
              <w:top w:val="nil"/>
            </w:tcBorders>
            <w:shd w:val="clear" w:color="auto" w:fill="FCF4E0"/>
          </w:tcPr>
          <w:p>
            <w:pPr>
              <w:rPr>
                <w:sz w:val="2"/>
                <w:szCs w:val="2"/>
              </w:rPr>
            </w:pPr>
          </w:p>
        </w:tc>
        <w:tc>
          <w:tcPr>
            <w:tcW w:w="355" w:type="dxa"/>
            <w:tcBorders>
              <w:top w:val="single" w:sz="49" w:space="0" w:color="FFFFFF"/>
              <w:bottom w:val="single" w:sz="54" w:space="0" w:color="FFFFFF"/>
            </w:tcBorders>
            <w:shd w:val="clear" w:color="auto" w:fill="E3AC83"/>
          </w:tcPr>
          <w:p>
            <w:pPr>
              <w:pStyle w:val="TableParagraph"/>
              <w:rPr>
                <w:rFonts w:ascii="Times New Roman"/>
                <w:sz w:val="22"/>
              </w:rPr>
            </w:pPr>
          </w:p>
        </w:tc>
        <w:tc>
          <w:tcPr>
            <w:tcW w:w="269" w:type="dxa"/>
            <w:vMerge/>
            <w:tcBorders>
              <w:top w:val="nil"/>
            </w:tcBorders>
            <w:shd w:val="clear" w:color="auto" w:fill="FCF4E0"/>
          </w:tcPr>
          <w:p>
            <w:pPr>
              <w:rPr>
                <w:sz w:val="2"/>
                <w:szCs w:val="2"/>
              </w:rPr>
            </w:pPr>
          </w:p>
        </w:tc>
      </w:tr>
      <w:tr>
        <w:trPr>
          <w:trHeight w:val="359" w:hRule="atLeast"/>
        </w:trPr>
        <w:tc>
          <w:tcPr>
            <w:tcW w:w="8145" w:type="dxa"/>
            <w:vMerge/>
            <w:tcBorders>
              <w:top w:val="nil"/>
            </w:tcBorders>
            <w:shd w:val="clear" w:color="auto" w:fill="FCF4E0"/>
          </w:tcPr>
          <w:p>
            <w:pPr>
              <w:rPr>
                <w:sz w:val="2"/>
                <w:szCs w:val="2"/>
              </w:rPr>
            </w:pPr>
          </w:p>
        </w:tc>
        <w:tc>
          <w:tcPr>
            <w:tcW w:w="355" w:type="dxa"/>
            <w:tcBorders>
              <w:top w:val="single" w:sz="54" w:space="0" w:color="FFFFFF"/>
            </w:tcBorders>
            <w:shd w:val="clear" w:color="auto" w:fill="EFCEB4"/>
          </w:tcPr>
          <w:p>
            <w:pPr>
              <w:pStyle w:val="TableParagraph"/>
              <w:rPr>
                <w:rFonts w:ascii="Times New Roman"/>
                <w:sz w:val="22"/>
              </w:rPr>
            </w:pPr>
          </w:p>
        </w:tc>
        <w:tc>
          <w:tcPr>
            <w:tcW w:w="269" w:type="dxa"/>
            <w:vMerge/>
            <w:tcBorders>
              <w:top w:val="nil"/>
            </w:tcBorders>
            <w:shd w:val="clear" w:color="auto" w:fill="FCF4E0"/>
          </w:tcPr>
          <w:p>
            <w:pPr>
              <w:rPr>
                <w:sz w:val="2"/>
                <w:szCs w:val="2"/>
              </w:rPr>
            </w:pPr>
          </w:p>
        </w:tc>
      </w:tr>
      <w:tr>
        <w:trPr>
          <w:trHeight w:val="3365" w:hRule="atLeast"/>
        </w:trPr>
        <w:tc>
          <w:tcPr>
            <w:tcW w:w="8769" w:type="dxa"/>
            <w:gridSpan w:val="3"/>
            <w:tcBorders>
              <w:bottom w:val="single" w:sz="8" w:space="0" w:color="CA4F1B"/>
            </w:tcBorders>
            <w:shd w:val="clear" w:color="auto" w:fill="FCF4E0"/>
          </w:tcPr>
          <w:p>
            <w:pPr>
              <w:pStyle w:val="TableParagraph"/>
              <w:spacing w:before="45"/>
              <w:ind w:left="350"/>
              <w:rPr>
                <w:sz w:val="20"/>
              </w:rPr>
            </w:pPr>
            <w:r>
              <w:rPr>
                <w:w w:val="120"/>
                <w:sz w:val="20"/>
              </w:rPr>
              <w:t>sale of a holiday property (or other family resources) and a small mortgage.</w:t>
            </w:r>
          </w:p>
          <w:p>
            <w:pPr>
              <w:pStyle w:val="TableParagraph"/>
              <w:spacing w:before="7"/>
              <w:rPr>
                <w:sz w:val="19"/>
              </w:rPr>
            </w:pPr>
          </w:p>
          <w:p>
            <w:pPr>
              <w:pStyle w:val="TableParagraph"/>
              <w:spacing w:line="235" w:lineRule="auto"/>
              <w:ind w:left="350" w:right="445"/>
              <w:rPr>
                <w:sz w:val="20"/>
              </w:rPr>
            </w:pPr>
            <w:r>
              <w:rPr>
                <w:spacing w:val="4"/>
                <w:w w:val="120"/>
                <w:sz w:val="20"/>
              </w:rPr>
              <w:t>The </w:t>
            </w:r>
            <w:r>
              <w:rPr>
                <w:spacing w:val="5"/>
                <w:w w:val="120"/>
                <w:sz w:val="20"/>
              </w:rPr>
              <w:t>synod, </w:t>
            </w:r>
            <w:r>
              <w:rPr>
                <w:spacing w:val="4"/>
                <w:w w:val="120"/>
                <w:sz w:val="20"/>
              </w:rPr>
              <w:t>which would </w:t>
            </w:r>
            <w:r>
              <w:rPr>
                <w:spacing w:val="5"/>
                <w:w w:val="120"/>
                <w:sz w:val="20"/>
              </w:rPr>
              <w:t>otherwise </w:t>
            </w:r>
            <w:r>
              <w:rPr>
                <w:spacing w:val="3"/>
                <w:w w:val="120"/>
                <w:sz w:val="20"/>
              </w:rPr>
              <w:t>have </w:t>
            </w:r>
            <w:r>
              <w:rPr>
                <w:spacing w:val="4"/>
                <w:w w:val="120"/>
                <w:sz w:val="20"/>
              </w:rPr>
              <w:t>invested the whole </w:t>
            </w:r>
            <w:r>
              <w:rPr>
                <w:spacing w:val="6"/>
                <w:w w:val="120"/>
                <w:sz w:val="20"/>
              </w:rPr>
              <w:t>£200,000 </w:t>
            </w:r>
            <w:r>
              <w:rPr>
                <w:spacing w:val="2"/>
                <w:w w:val="120"/>
                <w:sz w:val="20"/>
              </w:rPr>
              <w:t>in </w:t>
            </w:r>
            <w:r>
              <w:rPr>
                <w:spacing w:val="4"/>
                <w:w w:val="120"/>
                <w:sz w:val="20"/>
              </w:rPr>
              <w:t>the purchase </w:t>
            </w:r>
            <w:r>
              <w:rPr>
                <w:spacing w:val="3"/>
                <w:w w:val="120"/>
                <w:sz w:val="20"/>
              </w:rPr>
              <w:t>of </w:t>
            </w:r>
            <w:r>
              <w:rPr>
                <w:spacing w:val="4"/>
                <w:w w:val="120"/>
                <w:sz w:val="20"/>
              </w:rPr>
              <w:t>the </w:t>
            </w:r>
            <w:r>
              <w:rPr>
                <w:spacing w:val="7"/>
                <w:w w:val="120"/>
                <w:sz w:val="20"/>
              </w:rPr>
              <w:t>property </w:t>
            </w:r>
            <w:r>
              <w:rPr>
                <w:spacing w:val="5"/>
                <w:w w:val="120"/>
                <w:sz w:val="20"/>
              </w:rPr>
              <w:t>invests </w:t>
            </w:r>
            <w:r>
              <w:rPr>
                <w:spacing w:val="4"/>
                <w:w w:val="120"/>
                <w:sz w:val="20"/>
              </w:rPr>
              <w:t>£100,000 </w:t>
            </w:r>
            <w:r>
              <w:rPr>
                <w:spacing w:val="2"/>
                <w:w w:val="120"/>
                <w:sz w:val="20"/>
              </w:rPr>
              <w:t>in </w:t>
            </w:r>
            <w:r>
              <w:rPr>
                <w:spacing w:val="4"/>
                <w:w w:val="120"/>
                <w:sz w:val="20"/>
              </w:rPr>
              <w:t>the </w:t>
            </w:r>
            <w:r>
              <w:rPr>
                <w:spacing w:val="7"/>
                <w:w w:val="120"/>
                <w:sz w:val="20"/>
              </w:rPr>
              <w:t>property </w:t>
            </w:r>
            <w:r>
              <w:rPr>
                <w:spacing w:val="4"/>
                <w:w w:val="120"/>
                <w:sz w:val="20"/>
              </w:rPr>
              <w:t>and the balance </w:t>
            </w:r>
            <w:r>
              <w:rPr>
                <w:spacing w:val="2"/>
                <w:w w:val="120"/>
                <w:sz w:val="20"/>
              </w:rPr>
              <w:t>in  </w:t>
            </w:r>
            <w:r>
              <w:rPr>
                <w:w w:val="120"/>
                <w:sz w:val="20"/>
              </w:rPr>
              <w:t>a </w:t>
            </w:r>
            <w:r>
              <w:rPr>
                <w:spacing w:val="4"/>
                <w:w w:val="120"/>
                <w:sz w:val="20"/>
              </w:rPr>
              <w:t>fund paying, </w:t>
            </w:r>
            <w:r>
              <w:rPr>
                <w:w w:val="120"/>
                <w:sz w:val="20"/>
              </w:rPr>
              <w:t>say, 4% </w:t>
            </w:r>
            <w:r>
              <w:rPr>
                <w:spacing w:val="4"/>
                <w:w w:val="120"/>
                <w:sz w:val="20"/>
              </w:rPr>
              <w:t>annually which </w:t>
            </w:r>
            <w:r>
              <w:rPr>
                <w:spacing w:val="2"/>
                <w:w w:val="120"/>
                <w:sz w:val="20"/>
              </w:rPr>
              <w:t>it </w:t>
            </w:r>
            <w:r>
              <w:rPr>
                <w:spacing w:val="3"/>
                <w:w w:val="120"/>
                <w:sz w:val="20"/>
              </w:rPr>
              <w:t>pays </w:t>
            </w:r>
            <w:r>
              <w:rPr>
                <w:spacing w:val="2"/>
                <w:w w:val="120"/>
                <w:sz w:val="20"/>
              </w:rPr>
              <w:t>as </w:t>
            </w:r>
            <w:r>
              <w:rPr>
                <w:spacing w:val="3"/>
                <w:w w:val="120"/>
                <w:sz w:val="20"/>
              </w:rPr>
              <w:t>an </w:t>
            </w:r>
            <w:r>
              <w:rPr>
                <w:spacing w:val="4"/>
                <w:w w:val="120"/>
                <w:sz w:val="20"/>
              </w:rPr>
              <w:t>allowance </w:t>
            </w:r>
            <w:r>
              <w:rPr>
                <w:w w:val="120"/>
                <w:sz w:val="20"/>
              </w:rPr>
              <w:t>to </w:t>
            </w:r>
            <w:r>
              <w:rPr>
                <w:spacing w:val="4"/>
                <w:w w:val="120"/>
                <w:sz w:val="20"/>
              </w:rPr>
              <w:t>the </w:t>
            </w:r>
            <w:r>
              <w:rPr>
                <w:spacing w:val="3"/>
                <w:w w:val="120"/>
                <w:sz w:val="20"/>
              </w:rPr>
              <w:t>minister, </w:t>
            </w:r>
            <w:r>
              <w:rPr>
                <w:spacing w:val="4"/>
                <w:w w:val="120"/>
                <w:sz w:val="20"/>
              </w:rPr>
              <w:t>less</w:t>
            </w:r>
            <w:r>
              <w:rPr>
                <w:spacing w:val="14"/>
                <w:w w:val="120"/>
                <w:sz w:val="20"/>
              </w:rPr>
              <w:t> </w:t>
            </w:r>
            <w:r>
              <w:rPr>
                <w:w w:val="120"/>
                <w:sz w:val="20"/>
              </w:rPr>
              <w:t>a</w:t>
            </w:r>
            <w:r>
              <w:rPr>
                <w:spacing w:val="14"/>
                <w:w w:val="120"/>
                <w:sz w:val="20"/>
              </w:rPr>
              <w:t> </w:t>
            </w:r>
            <w:r>
              <w:rPr>
                <w:spacing w:val="4"/>
                <w:w w:val="120"/>
                <w:sz w:val="20"/>
              </w:rPr>
              <w:t>handling</w:t>
            </w:r>
            <w:r>
              <w:rPr>
                <w:spacing w:val="14"/>
                <w:w w:val="120"/>
                <w:sz w:val="20"/>
              </w:rPr>
              <w:t> </w:t>
            </w:r>
            <w:r>
              <w:rPr>
                <w:spacing w:val="4"/>
                <w:w w:val="120"/>
                <w:sz w:val="20"/>
              </w:rPr>
              <w:t>charge</w:t>
            </w:r>
            <w:r>
              <w:rPr>
                <w:spacing w:val="14"/>
                <w:w w:val="120"/>
                <w:sz w:val="20"/>
              </w:rPr>
              <w:t> </w:t>
            </w:r>
            <w:r>
              <w:rPr>
                <w:spacing w:val="3"/>
                <w:w w:val="120"/>
                <w:sz w:val="20"/>
              </w:rPr>
              <w:t>of</w:t>
            </w:r>
            <w:r>
              <w:rPr>
                <w:spacing w:val="14"/>
                <w:w w:val="120"/>
                <w:sz w:val="20"/>
              </w:rPr>
              <w:t> </w:t>
            </w:r>
            <w:r>
              <w:rPr>
                <w:spacing w:val="2"/>
                <w:w w:val="120"/>
                <w:sz w:val="20"/>
              </w:rPr>
              <w:t>2%</w:t>
            </w:r>
            <w:r>
              <w:rPr>
                <w:spacing w:val="14"/>
                <w:w w:val="120"/>
                <w:sz w:val="20"/>
              </w:rPr>
              <w:t> </w:t>
            </w:r>
            <w:r>
              <w:rPr>
                <w:spacing w:val="3"/>
                <w:w w:val="120"/>
                <w:sz w:val="20"/>
              </w:rPr>
              <w:t>of</w:t>
            </w:r>
            <w:r>
              <w:rPr>
                <w:spacing w:val="15"/>
                <w:w w:val="120"/>
                <w:sz w:val="20"/>
              </w:rPr>
              <w:t> </w:t>
            </w:r>
            <w:r>
              <w:rPr>
                <w:spacing w:val="4"/>
                <w:w w:val="120"/>
                <w:sz w:val="20"/>
              </w:rPr>
              <w:t>the</w:t>
            </w:r>
            <w:r>
              <w:rPr>
                <w:spacing w:val="14"/>
                <w:w w:val="120"/>
                <w:sz w:val="20"/>
              </w:rPr>
              <w:t> </w:t>
            </w:r>
            <w:r>
              <w:rPr>
                <w:spacing w:val="4"/>
                <w:w w:val="120"/>
                <w:sz w:val="20"/>
              </w:rPr>
              <w:t>allowance.</w:t>
            </w:r>
          </w:p>
          <w:p>
            <w:pPr>
              <w:pStyle w:val="TableParagraph"/>
              <w:spacing w:before="11"/>
              <w:rPr>
                <w:sz w:val="19"/>
              </w:rPr>
            </w:pPr>
          </w:p>
          <w:p>
            <w:pPr>
              <w:pStyle w:val="TableParagraph"/>
              <w:spacing w:line="235" w:lineRule="auto"/>
              <w:ind w:left="350" w:right="332"/>
              <w:rPr>
                <w:sz w:val="20"/>
              </w:rPr>
            </w:pPr>
            <w:r>
              <w:rPr>
                <w:spacing w:val="4"/>
                <w:w w:val="120"/>
                <w:sz w:val="20"/>
              </w:rPr>
              <w:t>The minister receives </w:t>
            </w:r>
            <w:r>
              <w:rPr>
                <w:spacing w:val="3"/>
                <w:w w:val="120"/>
                <w:sz w:val="20"/>
              </w:rPr>
              <w:t>an </w:t>
            </w:r>
            <w:r>
              <w:rPr>
                <w:spacing w:val="4"/>
                <w:w w:val="120"/>
                <w:sz w:val="20"/>
              </w:rPr>
              <w:t>annual housing allowance toward the </w:t>
            </w:r>
            <w:r>
              <w:rPr>
                <w:spacing w:val="5"/>
                <w:w w:val="120"/>
                <w:sz w:val="20"/>
              </w:rPr>
              <w:t>capital </w:t>
            </w:r>
            <w:r>
              <w:rPr>
                <w:spacing w:val="4"/>
                <w:w w:val="120"/>
                <w:sz w:val="20"/>
              </w:rPr>
              <w:t>costs </w:t>
            </w:r>
            <w:r>
              <w:rPr>
                <w:spacing w:val="3"/>
                <w:w w:val="120"/>
                <w:sz w:val="20"/>
              </w:rPr>
              <w:t>of </w:t>
            </w:r>
            <w:r>
              <w:rPr>
                <w:spacing w:val="4"/>
                <w:w w:val="120"/>
                <w:sz w:val="20"/>
              </w:rPr>
              <w:t>the </w:t>
            </w:r>
            <w:r>
              <w:rPr>
                <w:spacing w:val="7"/>
                <w:w w:val="120"/>
                <w:sz w:val="20"/>
              </w:rPr>
              <w:t>property </w:t>
            </w:r>
            <w:r>
              <w:rPr>
                <w:spacing w:val="3"/>
                <w:w w:val="120"/>
                <w:sz w:val="20"/>
              </w:rPr>
              <w:t>of </w:t>
            </w:r>
            <w:r>
              <w:rPr>
                <w:w w:val="120"/>
                <w:sz w:val="20"/>
              </w:rPr>
              <w:t>£3,920. </w:t>
            </w:r>
            <w:r>
              <w:rPr>
                <w:spacing w:val="3"/>
                <w:w w:val="120"/>
                <w:sz w:val="20"/>
              </w:rPr>
              <w:t>This </w:t>
            </w:r>
            <w:r>
              <w:rPr>
                <w:spacing w:val="4"/>
                <w:w w:val="120"/>
                <w:sz w:val="20"/>
              </w:rPr>
              <w:t>would </w:t>
            </w:r>
            <w:r>
              <w:rPr>
                <w:spacing w:val="3"/>
                <w:w w:val="120"/>
                <w:sz w:val="20"/>
              </w:rPr>
              <w:t>of </w:t>
            </w:r>
            <w:r>
              <w:rPr>
                <w:spacing w:val="4"/>
                <w:w w:val="120"/>
                <w:sz w:val="20"/>
              </w:rPr>
              <w:t>course be </w:t>
            </w:r>
            <w:r>
              <w:rPr>
                <w:spacing w:val="5"/>
                <w:w w:val="120"/>
                <w:sz w:val="20"/>
              </w:rPr>
              <w:t>taxable </w:t>
            </w:r>
            <w:r>
              <w:rPr>
                <w:spacing w:val="3"/>
                <w:w w:val="120"/>
                <w:sz w:val="20"/>
              </w:rPr>
              <w:t>so </w:t>
            </w:r>
            <w:r>
              <w:rPr>
                <w:spacing w:val="4"/>
                <w:w w:val="120"/>
                <w:sz w:val="20"/>
              </w:rPr>
              <w:t>the </w:t>
            </w:r>
            <w:r>
              <w:rPr>
                <w:spacing w:val="3"/>
                <w:w w:val="120"/>
                <w:sz w:val="20"/>
              </w:rPr>
              <w:t>net </w:t>
            </w:r>
            <w:r>
              <w:rPr>
                <w:spacing w:val="5"/>
                <w:w w:val="120"/>
                <w:sz w:val="20"/>
              </w:rPr>
              <w:t>benefit </w:t>
            </w:r>
            <w:r>
              <w:rPr>
                <w:w w:val="120"/>
                <w:sz w:val="20"/>
              </w:rPr>
              <w:t>to  </w:t>
            </w:r>
            <w:r>
              <w:rPr>
                <w:spacing w:val="4"/>
                <w:w w:val="120"/>
                <w:sz w:val="20"/>
              </w:rPr>
              <w:t>the minister would be around </w:t>
            </w:r>
            <w:r>
              <w:rPr>
                <w:w w:val="120"/>
                <w:sz w:val="20"/>
              </w:rPr>
              <w:t>£3,100; </w:t>
            </w:r>
            <w:r>
              <w:rPr>
                <w:spacing w:val="6"/>
                <w:w w:val="120"/>
                <w:sz w:val="20"/>
              </w:rPr>
              <w:t>sufficient </w:t>
            </w:r>
            <w:r>
              <w:rPr>
                <w:spacing w:val="3"/>
                <w:w w:val="120"/>
                <w:sz w:val="20"/>
              </w:rPr>
              <w:t>of </w:t>
            </w:r>
            <w:r>
              <w:rPr>
                <w:spacing w:val="5"/>
                <w:w w:val="120"/>
                <w:sz w:val="20"/>
              </w:rPr>
              <w:t>itself </w:t>
            </w:r>
            <w:r>
              <w:rPr>
                <w:w w:val="120"/>
                <w:sz w:val="20"/>
              </w:rPr>
              <w:t>to </w:t>
            </w:r>
            <w:r>
              <w:rPr>
                <w:spacing w:val="5"/>
                <w:w w:val="120"/>
                <w:sz w:val="20"/>
              </w:rPr>
              <w:t>service </w:t>
            </w:r>
            <w:r>
              <w:rPr>
                <w:w w:val="120"/>
                <w:sz w:val="20"/>
              </w:rPr>
              <w:t>a </w:t>
            </w:r>
            <w:r>
              <w:rPr>
                <w:spacing w:val="5"/>
                <w:w w:val="120"/>
                <w:sz w:val="20"/>
              </w:rPr>
              <w:t>twenty-  </w:t>
            </w:r>
            <w:r>
              <w:rPr>
                <w:spacing w:val="4"/>
                <w:w w:val="120"/>
                <w:sz w:val="20"/>
              </w:rPr>
              <w:t>five </w:t>
            </w:r>
            <w:r>
              <w:rPr>
                <w:spacing w:val="3"/>
                <w:w w:val="120"/>
                <w:sz w:val="20"/>
              </w:rPr>
              <w:t>year </w:t>
            </w:r>
            <w:r>
              <w:rPr>
                <w:spacing w:val="4"/>
                <w:w w:val="120"/>
                <w:sz w:val="20"/>
              </w:rPr>
              <w:t>repayment </w:t>
            </w:r>
            <w:r>
              <w:rPr>
                <w:spacing w:val="6"/>
                <w:w w:val="120"/>
                <w:sz w:val="20"/>
              </w:rPr>
              <w:t>mortgage </w:t>
            </w:r>
            <w:r>
              <w:rPr>
                <w:spacing w:val="3"/>
                <w:w w:val="120"/>
                <w:sz w:val="20"/>
              </w:rPr>
              <w:t>of </w:t>
            </w:r>
            <w:r>
              <w:rPr>
                <w:spacing w:val="4"/>
                <w:w w:val="120"/>
                <w:sz w:val="20"/>
              </w:rPr>
              <w:t>around </w:t>
            </w:r>
            <w:r>
              <w:rPr>
                <w:spacing w:val="3"/>
                <w:w w:val="120"/>
                <w:sz w:val="20"/>
              </w:rPr>
              <w:t>£45,000, </w:t>
            </w:r>
            <w:r>
              <w:rPr>
                <w:spacing w:val="2"/>
                <w:w w:val="120"/>
                <w:sz w:val="20"/>
              </w:rPr>
              <w:t>in </w:t>
            </w:r>
            <w:r>
              <w:rPr>
                <w:spacing w:val="5"/>
                <w:w w:val="120"/>
                <w:sz w:val="20"/>
              </w:rPr>
              <w:t>addition </w:t>
            </w:r>
            <w:r>
              <w:rPr>
                <w:w w:val="120"/>
                <w:sz w:val="20"/>
              </w:rPr>
              <w:t>to </w:t>
            </w:r>
            <w:r>
              <w:rPr>
                <w:spacing w:val="3"/>
                <w:w w:val="120"/>
                <w:sz w:val="20"/>
              </w:rPr>
              <w:t>any </w:t>
            </w:r>
            <w:r>
              <w:rPr>
                <w:spacing w:val="6"/>
                <w:w w:val="120"/>
                <w:sz w:val="20"/>
              </w:rPr>
              <w:t>mortgage </w:t>
            </w:r>
            <w:r>
              <w:rPr>
                <w:spacing w:val="5"/>
                <w:w w:val="120"/>
                <w:sz w:val="20"/>
              </w:rPr>
              <w:t>funded</w:t>
            </w:r>
            <w:r>
              <w:rPr>
                <w:spacing w:val="13"/>
                <w:w w:val="120"/>
                <w:sz w:val="20"/>
              </w:rPr>
              <w:t> </w:t>
            </w:r>
            <w:r>
              <w:rPr>
                <w:spacing w:val="4"/>
                <w:w w:val="120"/>
                <w:sz w:val="20"/>
              </w:rPr>
              <w:t>from</w:t>
            </w:r>
            <w:r>
              <w:rPr>
                <w:spacing w:val="13"/>
                <w:w w:val="120"/>
                <w:sz w:val="20"/>
              </w:rPr>
              <w:t> </w:t>
            </w:r>
            <w:r>
              <w:rPr>
                <w:spacing w:val="5"/>
                <w:w w:val="120"/>
                <w:sz w:val="20"/>
              </w:rPr>
              <w:t>stipend</w:t>
            </w:r>
            <w:r>
              <w:rPr>
                <w:spacing w:val="13"/>
                <w:w w:val="120"/>
                <w:sz w:val="20"/>
              </w:rPr>
              <w:t> </w:t>
            </w:r>
            <w:r>
              <w:rPr>
                <w:spacing w:val="3"/>
                <w:w w:val="120"/>
                <w:sz w:val="20"/>
              </w:rPr>
              <w:t>or</w:t>
            </w:r>
            <w:r>
              <w:rPr>
                <w:spacing w:val="13"/>
                <w:w w:val="120"/>
                <w:sz w:val="20"/>
              </w:rPr>
              <w:t> </w:t>
            </w:r>
            <w:r>
              <w:rPr>
                <w:spacing w:val="4"/>
                <w:w w:val="120"/>
                <w:sz w:val="20"/>
              </w:rPr>
              <w:t>income</w:t>
            </w:r>
            <w:r>
              <w:rPr>
                <w:spacing w:val="13"/>
                <w:w w:val="120"/>
                <w:sz w:val="20"/>
              </w:rPr>
              <w:t> </w:t>
            </w:r>
            <w:r>
              <w:rPr>
                <w:spacing w:val="4"/>
                <w:w w:val="120"/>
                <w:sz w:val="20"/>
              </w:rPr>
              <w:t>from</w:t>
            </w:r>
            <w:r>
              <w:rPr>
                <w:spacing w:val="14"/>
                <w:w w:val="120"/>
                <w:sz w:val="20"/>
              </w:rPr>
              <w:t> </w:t>
            </w:r>
            <w:r>
              <w:rPr>
                <w:w w:val="120"/>
                <w:sz w:val="20"/>
              </w:rPr>
              <w:t>a</w:t>
            </w:r>
            <w:r>
              <w:rPr>
                <w:spacing w:val="13"/>
                <w:w w:val="120"/>
                <w:sz w:val="20"/>
              </w:rPr>
              <w:t> </w:t>
            </w:r>
            <w:r>
              <w:rPr>
                <w:spacing w:val="6"/>
                <w:w w:val="120"/>
                <w:sz w:val="20"/>
              </w:rPr>
              <w:t>partner</w:t>
            </w:r>
            <w:r>
              <w:rPr>
                <w:spacing w:val="13"/>
                <w:w w:val="120"/>
                <w:sz w:val="20"/>
              </w:rPr>
              <w:t> </w:t>
            </w:r>
            <w:r>
              <w:rPr>
                <w:spacing w:val="3"/>
                <w:w w:val="120"/>
                <w:sz w:val="20"/>
              </w:rPr>
              <w:t>for</w:t>
            </w:r>
            <w:r>
              <w:rPr>
                <w:spacing w:val="13"/>
                <w:w w:val="120"/>
                <w:sz w:val="20"/>
              </w:rPr>
              <w:t> </w:t>
            </w:r>
            <w:r>
              <w:rPr>
                <w:spacing w:val="5"/>
                <w:w w:val="120"/>
                <w:sz w:val="20"/>
              </w:rPr>
              <w:t>example.</w:t>
            </w:r>
          </w:p>
        </w:tc>
      </w:tr>
    </w:tbl>
    <w:p>
      <w:pPr>
        <w:pStyle w:val="BodyText"/>
        <w:spacing w:before="4"/>
        <w:rPr>
          <w:sz w:val="31"/>
        </w:rPr>
      </w:pPr>
    </w:p>
    <w:p>
      <w:pPr>
        <w:pStyle w:val="BodyText"/>
        <w:spacing w:line="235" w:lineRule="auto"/>
        <w:ind w:left="1984" w:right="1120"/>
      </w:pPr>
      <w:r>
        <w:rPr>
          <w:w w:val="120"/>
        </w:rPr>
        <w:t>By this arrangement the minister is able to build a proportion of equity, the synod retains its capital (and if invested in funds that offer income plus capital growth, may even enhance it).</w:t>
      </w:r>
    </w:p>
    <w:p>
      <w:pPr>
        <w:pStyle w:val="BodyText"/>
        <w:spacing w:before="11"/>
        <w:rPr>
          <w:sz w:val="19"/>
        </w:rPr>
      </w:pPr>
    </w:p>
    <w:p>
      <w:pPr>
        <w:pStyle w:val="BodyText"/>
        <w:spacing w:line="235" w:lineRule="auto"/>
        <w:ind w:left="1984" w:right="1273"/>
      </w:pPr>
      <w:r>
        <w:rPr>
          <w:w w:val="120"/>
        </w:rPr>
        <w:t>Whilst it would be challenging to operate the scheme in areas of highest property value it offers an option not currently available to meet the aspirations of some ministers.</w:t>
      </w:r>
    </w:p>
    <w:p>
      <w:pPr>
        <w:pStyle w:val="BodyText"/>
        <w:spacing w:line="235" w:lineRule="auto" w:before="1"/>
        <w:ind w:left="1984" w:right="1120"/>
      </w:pPr>
      <w:r>
        <w:rPr>
          <w:w w:val="120"/>
        </w:rPr>
        <w:t>It presumes that synods are able to access and manage the capital resources represented by the current stock of manses and this may be a large presumption.</w:t>
      </w:r>
    </w:p>
    <w:p>
      <w:pPr>
        <w:pStyle w:val="BodyText"/>
        <w:spacing w:before="9"/>
        <w:rPr>
          <w:sz w:val="19"/>
        </w:rPr>
      </w:pPr>
    </w:p>
    <w:p>
      <w:pPr>
        <w:pStyle w:val="BodyText"/>
        <w:spacing w:line="235" w:lineRule="auto" w:before="1"/>
        <w:ind w:left="1984" w:right="1120"/>
      </w:pPr>
      <w:r>
        <w:rPr>
          <w:w w:val="120"/>
        </w:rPr>
        <w:t>The figures offered in illustration are, of course, averages and represent current circumstances qualified by a longer term view concerning the direction of interest rates, returns on investment and property prices.</w:t>
      </w:r>
    </w:p>
    <w:p>
      <w:pPr>
        <w:pStyle w:val="BodyText"/>
        <w:spacing w:before="6"/>
        <w:rPr>
          <w:sz w:val="19"/>
        </w:rPr>
      </w:pPr>
    </w:p>
    <w:p>
      <w:pPr>
        <w:pStyle w:val="BodyText"/>
        <w:ind w:left="1984"/>
      </w:pPr>
      <w:r>
        <w:rPr>
          <w:w w:val="120"/>
        </w:rPr>
        <w:t>It is offered to the Working Group as the basis for discussion.</w:t>
      </w:r>
    </w:p>
    <w:p>
      <w:pPr>
        <w:pStyle w:val="BodyText"/>
      </w:pPr>
    </w:p>
    <w:p>
      <w:pPr>
        <w:pStyle w:val="BodyText"/>
      </w:pPr>
    </w:p>
    <w:p>
      <w:pPr>
        <w:pStyle w:val="BodyText"/>
      </w:pPr>
    </w:p>
    <w:p>
      <w:pPr>
        <w:pStyle w:val="BodyText"/>
        <w:rPr>
          <w:sz w:val="13"/>
        </w:rPr>
      </w:pPr>
      <w:r>
        <w:rPr/>
        <w:pict>
          <v:shape style="position:absolute;margin-left:99.212601pt;margin-top:10.285833pt;width:439.4pt;height:.1pt;mso-position-horizontal-relative:page;mso-position-vertical-relative:paragraph;z-index:-251351040;mso-wrap-distance-left:0;mso-wrap-distance-right:0" coordorigin="1984,206" coordsize="8788,0" path="m1984,206l10772,206e" filled="false" stroked="true" strokeweight=".75pt" strokecolor="#ca4f1b">
            <v:path arrowok="t"/>
            <v:stroke dashstyle="solid"/>
            <w10:wrap type="topAndBottom"/>
          </v:shape>
        </w:pict>
      </w:r>
    </w:p>
    <w:p>
      <w:pPr>
        <w:spacing w:after="0"/>
        <w:rPr>
          <w:sz w:val="13"/>
        </w:rPr>
        <w:sectPr>
          <w:headerReference w:type="default" r:id="rId220"/>
          <w:headerReference w:type="even" r:id="rId221"/>
          <w:footerReference w:type="default" r:id="rId222"/>
          <w:footerReference w:type="even" r:id="rId223"/>
          <w:pgSz w:w="11910" w:h="16840"/>
          <w:pgMar w:header="0" w:footer="647" w:top="1060" w:bottom="840" w:left="0" w:right="0"/>
          <w:pgNumType w:start="93"/>
        </w:sectPr>
      </w:pPr>
    </w:p>
    <w:p>
      <w:pPr>
        <w:pStyle w:val="Heading2"/>
        <w:spacing w:before="131"/>
        <w:ind w:left="1133"/>
      </w:pPr>
      <w:r>
        <w:rPr/>
        <w:pict>
          <v:rect style="position:absolute;margin-left:12.047pt;margin-top:8.466283pt;width:22.677pt;height:22.677pt;mso-position-horizontal-relative:page;mso-position-vertical-relative:paragraph;z-index:251968512" filled="true" fillcolor="#f9e9c1" stroked="false">
            <v:fill opacity="32768f" type="solid"/>
            <w10:wrap type="none"/>
          </v:rect>
        </w:pict>
      </w:r>
      <w:r>
        <w:rPr>
          <w:color w:val="CA4F1B"/>
          <w:w w:val="110"/>
        </w:rPr>
        <w:t>Annexe 8</w:t>
      </w:r>
    </w:p>
    <w:p>
      <w:pPr>
        <w:pStyle w:val="Heading6"/>
        <w:spacing w:before="158"/>
      </w:pPr>
      <w:r>
        <w:rPr>
          <w:w w:val="110"/>
        </w:rPr>
        <w:t>Ethical Investment Policy Statement</w:t>
      </w:r>
    </w:p>
    <w:p>
      <w:pPr>
        <w:pStyle w:val="BodyText"/>
        <w:spacing w:line="235" w:lineRule="auto" w:before="255"/>
        <w:ind w:left="1133" w:right="2408"/>
      </w:pPr>
      <w:r>
        <w:rPr>
          <w:w w:val="120"/>
        </w:rPr>
        <w:t>Mission Council meeting in London Colney in March </w:t>
      </w:r>
      <w:r>
        <w:rPr>
          <w:spacing w:val="-6"/>
          <w:w w:val="120"/>
        </w:rPr>
        <w:t>2010 </w:t>
      </w:r>
      <w:r>
        <w:rPr>
          <w:w w:val="120"/>
        </w:rPr>
        <w:t>received a </w:t>
      </w:r>
      <w:r>
        <w:rPr>
          <w:spacing w:val="2"/>
          <w:w w:val="120"/>
        </w:rPr>
        <w:t>report </w:t>
      </w:r>
      <w:r>
        <w:rPr>
          <w:w w:val="120"/>
        </w:rPr>
        <w:t>on ethical investment principles for the use by the United Reformed Church. These principles   are</w:t>
      </w:r>
      <w:r>
        <w:rPr>
          <w:spacing w:val="6"/>
          <w:w w:val="120"/>
        </w:rPr>
        <w:t> </w:t>
      </w:r>
      <w:r>
        <w:rPr>
          <w:w w:val="120"/>
        </w:rPr>
        <w:t>based</w:t>
      </w:r>
      <w:r>
        <w:rPr>
          <w:spacing w:val="7"/>
          <w:w w:val="120"/>
        </w:rPr>
        <w:t> </w:t>
      </w:r>
      <w:r>
        <w:rPr>
          <w:w w:val="120"/>
        </w:rPr>
        <w:t>on</w:t>
      </w:r>
      <w:r>
        <w:rPr>
          <w:spacing w:val="6"/>
          <w:w w:val="120"/>
        </w:rPr>
        <w:t> </w:t>
      </w:r>
      <w:r>
        <w:rPr>
          <w:w w:val="120"/>
        </w:rPr>
        <w:t>theological</w:t>
      </w:r>
      <w:r>
        <w:rPr>
          <w:spacing w:val="7"/>
          <w:w w:val="120"/>
        </w:rPr>
        <w:t> </w:t>
      </w:r>
      <w:r>
        <w:rPr>
          <w:w w:val="120"/>
        </w:rPr>
        <w:t>reflection</w:t>
      </w:r>
      <w:r>
        <w:rPr>
          <w:spacing w:val="6"/>
          <w:w w:val="120"/>
        </w:rPr>
        <w:t> </w:t>
      </w:r>
      <w:r>
        <w:rPr>
          <w:w w:val="120"/>
        </w:rPr>
        <w:t>on</w:t>
      </w:r>
      <w:r>
        <w:rPr>
          <w:spacing w:val="7"/>
          <w:w w:val="120"/>
        </w:rPr>
        <w:t> </w:t>
      </w:r>
      <w:r>
        <w:rPr>
          <w:w w:val="120"/>
        </w:rPr>
        <w:t>how</w:t>
      </w:r>
      <w:r>
        <w:rPr>
          <w:spacing w:val="7"/>
          <w:w w:val="120"/>
        </w:rPr>
        <w:t> </w:t>
      </w:r>
      <w:r>
        <w:rPr>
          <w:w w:val="120"/>
        </w:rPr>
        <w:t>to</w:t>
      </w:r>
      <w:r>
        <w:rPr>
          <w:spacing w:val="6"/>
          <w:w w:val="120"/>
        </w:rPr>
        <w:t> </w:t>
      </w:r>
      <w:r>
        <w:rPr>
          <w:w w:val="120"/>
        </w:rPr>
        <w:t>express</w:t>
      </w:r>
      <w:r>
        <w:rPr>
          <w:spacing w:val="7"/>
          <w:w w:val="120"/>
        </w:rPr>
        <w:t> </w:t>
      </w:r>
      <w:r>
        <w:rPr>
          <w:w w:val="120"/>
        </w:rPr>
        <w:t>mission</w:t>
      </w:r>
      <w:r>
        <w:rPr>
          <w:spacing w:val="6"/>
          <w:w w:val="120"/>
        </w:rPr>
        <w:t> </w:t>
      </w:r>
      <w:r>
        <w:rPr>
          <w:w w:val="120"/>
        </w:rPr>
        <w:t>responsibility</w:t>
      </w:r>
      <w:r>
        <w:rPr>
          <w:spacing w:val="7"/>
          <w:w w:val="120"/>
        </w:rPr>
        <w:t> </w:t>
      </w:r>
      <w:r>
        <w:rPr>
          <w:w w:val="120"/>
        </w:rPr>
        <w:t>through</w:t>
      </w:r>
    </w:p>
    <w:p>
      <w:pPr>
        <w:pStyle w:val="BodyText"/>
        <w:spacing w:line="235" w:lineRule="auto" w:before="2"/>
        <w:ind w:left="1133" w:right="1997"/>
      </w:pPr>
      <w:r>
        <w:rPr>
          <w:w w:val="120"/>
        </w:rPr>
        <w:t>investment and developments in ethical investment policy and practice to reflect both positive and negative screening criteria based on social, environmental, governance and ethical concerns. Assembly is asked to adopt these principles.</w:t>
      </w:r>
    </w:p>
    <w:p>
      <w:pPr>
        <w:pStyle w:val="BodyText"/>
        <w:spacing w:before="8"/>
        <w:rPr>
          <w:sz w:val="17"/>
        </w:rPr>
      </w:pPr>
    </w:p>
    <w:p>
      <w:pPr>
        <w:spacing w:before="1"/>
        <w:ind w:left="1133" w:right="0" w:firstLine="0"/>
        <w:jc w:val="left"/>
        <w:rPr>
          <w:rFonts w:ascii="Stone Sans II ITC Std Bk"/>
          <w:b/>
          <w:sz w:val="21"/>
        </w:rPr>
      </w:pPr>
      <w:r>
        <w:rPr>
          <w:rFonts w:ascii="Stone Sans II ITC Std Bk"/>
          <w:b/>
          <w:w w:val="115"/>
          <w:sz w:val="21"/>
        </w:rPr>
        <w:t>Ethical investment principles for use by the United Reformed Church</w:t>
      </w:r>
    </w:p>
    <w:p>
      <w:pPr>
        <w:pStyle w:val="ListParagraph"/>
        <w:numPr>
          <w:ilvl w:val="0"/>
          <w:numId w:val="113"/>
        </w:numPr>
        <w:tabs>
          <w:tab w:pos="1814" w:val="left" w:leader="none"/>
          <w:tab w:pos="1815" w:val="left" w:leader="none"/>
        </w:tabs>
        <w:spacing w:line="235" w:lineRule="auto" w:before="222" w:after="0"/>
        <w:ind w:left="1133" w:right="2119" w:firstLine="0"/>
        <w:jc w:val="left"/>
        <w:rPr>
          <w:sz w:val="20"/>
        </w:rPr>
      </w:pPr>
      <w:r>
        <w:rPr>
          <w:spacing w:val="2"/>
          <w:w w:val="120"/>
          <w:sz w:val="20"/>
        </w:rPr>
        <w:t>The General Assembly </w:t>
      </w:r>
      <w:r>
        <w:rPr>
          <w:w w:val="120"/>
          <w:sz w:val="20"/>
        </w:rPr>
        <w:t>of the United </w:t>
      </w:r>
      <w:r>
        <w:rPr>
          <w:spacing w:val="2"/>
          <w:w w:val="120"/>
          <w:sz w:val="20"/>
        </w:rPr>
        <w:t>Reformed </w:t>
      </w:r>
      <w:r>
        <w:rPr>
          <w:w w:val="120"/>
          <w:sz w:val="20"/>
        </w:rPr>
        <w:t>Church considers investment decisions to be an integral </w:t>
      </w:r>
      <w:r>
        <w:rPr>
          <w:spacing w:val="3"/>
          <w:w w:val="120"/>
          <w:sz w:val="20"/>
        </w:rPr>
        <w:t>part </w:t>
      </w:r>
      <w:r>
        <w:rPr>
          <w:w w:val="120"/>
          <w:sz w:val="20"/>
        </w:rPr>
        <w:t>of the Church’s mission and </w:t>
      </w:r>
      <w:r>
        <w:rPr>
          <w:spacing w:val="2"/>
          <w:w w:val="120"/>
          <w:sz w:val="20"/>
        </w:rPr>
        <w:t>witness </w:t>
      </w:r>
      <w:r>
        <w:rPr>
          <w:w w:val="120"/>
          <w:sz w:val="20"/>
        </w:rPr>
        <w:t>and is committed,  as </w:t>
      </w:r>
      <w:r>
        <w:rPr>
          <w:spacing w:val="2"/>
          <w:w w:val="120"/>
          <w:sz w:val="20"/>
        </w:rPr>
        <w:t>far </w:t>
      </w:r>
      <w:r>
        <w:rPr>
          <w:w w:val="120"/>
          <w:sz w:val="20"/>
        </w:rPr>
        <w:t>as it is </w:t>
      </w:r>
      <w:r>
        <w:rPr>
          <w:spacing w:val="2"/>
          <w:w w:val="120"/>
          <w:sz w:val="20"/>
        </w:rPr>
        <w:t>legal </w:t>
      </w:r>
      <w:r>
        <w:rPr>
          <w:w w:val="120"/>
          <w:sz w:val="20"/>
        </w:rPr>
        <w:t>and </w:t>
      </w:r>
      <w:r>
        <w:rPr>
          <w:spacing w:val="2"/>
          <w:w w:val="120"/>
          <w:sz w:val="20"/>
        </w:rPr>
        <w:t>practical, </w:t>
      </w:r>
      <w:r>
        <w:rPr>
          <w:w w:val="120"/>
          <w:sz w:val="20"/>
        </w:rPr>
        <w:t>to </w:t>
      </w:r>
      <w:r>
        <w:rPr>
          <w:spacing w:val="2"/>
          <w:w w:val="120"/>
          <w:sz w:val="20"/>
        </w:rPr>
        <w:t>expressing Christian responsibility through </w:t>
      </w:r>
      <w:r>
        <w:rPr>
          <w:w w:val="120"/>
          <w:sz w:val="20"/>
        </w:rPr>
        <w:t>investment</w:t>
      </w:r>
      <w:r>
        <w:rPr>
          <w:spacing w:val="10"/>
          <w:w w:val="120"/>
          <w:sz w:val="20"/>
        </w:rPr>
        <w:t> </w:t>
      </w:r>
      <w:r>
        <w:rPr>
          <w:w w:val="120"/>
          <w:sz w:val="20"/>
        </w:rPr>
        <w:t>decisions.</w:t>
      </w:r>
      <w:r>
        <w:rPr>
          <w:spacing w:val="11"/>
          <w:w w:val="120"/>
          <w:sz w:val="20"/>
        </w:rPr>
        <w:t> </w:t>
      </w:r>
      <w:r>
        <w:rPr>
          <w:w w:val="120"/>
          <w:sz w:val="20"/>
        </w:rPr>
        <w:t>Towards</w:t>
      </w:r>
      <w:r>
        <w:rPr>
          <w:spacing w:val="10"/>
          <w:w w:val="120"/>
          <w:sz w:val="20"/>
        </w:rPr>
        <w:t> </w:t>
      </w:r>
      <w:r>
        <w:rPr>
          <w:w w:val="120"/>
          <w:sz w:val="20"/>
        </w:rPr>
        <w:t>this</w:t>
      </w:r>
      <w:r>
        <w:rPr>
          <w:spacing w:val="11"/>
          <w:w w:val="120"/>
          <w:sz w:val="20"/>
        </w:rPr>
        <w:t> </w:t>
      </w:r>
      <w:r>
        <w:rPr>
          <w:w w:val="120"/>
          <w:sz w:val="20"/>
        </w:rPr>
        <w:t>end,</w:t>
      </w:r>
      <w:r>
        <w:rPr>
          <w:spacing w:val="11"/>
          <w:w w:val="120"/>
          <w:sz w:val="20"/>
        </w:rPr>
        <w:t> </w:t>
      </w:r>
      <w:r>
        <w:rPr>
          <w:spacing w:val="2"/>
          <w:w w:val="120"/>
          <w:sz w:val="20"/>
        </w:rPr>
        <w:t>Assembly</w:t>
      </w:r>
      <w:r>
        <w:rPr>
          <w:spacing w:val="10"/>
          <w:w w:val="120"/>
          <w:sz w:val="20"/>
        </w:rPr>
        <w:t> </w:t>
      </w:r>
      <w:r>
        <w:rPr>
          <w:spacing w:val="3"/>
          <w:w w:val="120"/>
          <w:sz w:val="20"/>
        </w:rPr>
        <w:t>requests</w:t>
      </w:r>
      <w:r>
        <w:rPr>
          <w:spacing w:val="11"/>
          <w:w w:val="120"/>
          <w:sz w:val="20"/>
        </w:rPr>
        <w:t> </w:t>
      </w:r>
      <w:r>
        <w:rPr>
          <w:w w:val="120"/>
          <w:sz w:val="20"/>
        </w:rPr>
        <w:t>that</w:t>
      </w:r>
      <w:r>
        <w:rPr>
          <w:spacing w:val="10"/>
          <w:w w:val="120"/>
          <w:sz w:val="20"/>
        </w:rPr>
        <w:t> </w:t>
      </w:r>
      <w:r>
        <w:rPr>
          <w:w w:val="120"/>
          <w:sz w:val="20"/>
        </w:rPr>
        <w:t>those</w:t>
      </w:r>
      <w:r>
        <w:rPr>
          <w:spacing w:val="11"/>
          <w:w w:val="120"/>
          <w:sz w:val="20"/>
        </w:rPr>
        <w:t> </w:t>
      </w:r>
      <w:r>
        <w:rPr>
          <w:w w:val="120"/>
          <w:sz w:val="20"/>
        </w:rPr>
        <w:t>responsible</w:t>
      </w:r>
    </w:p>
    <w:p>
      <w:pPr>
        <w:pStyle w:val="BodyText"/>
        <w:spacing w:line="235" w:lineRule="auto" w:before="3"/>
        <w:ind w:left="1133" w:right="1997"/>
      </w:pPr>
      <w:r>
        <w:rPr>
          <w:w w:val="120"/>
        </w:rPr>
        <w:t>for investment decisions on behalf of the URC and its Trust bodies are guided by the principles set out below.</w:t>
      </w:r>
    </w:p>
    <w:p>
      <w:pPr>
        <w:pStyle w:val="BodyText"/>
        <w:spacing w:before="9"/>
        <w:rPr>
          <w:sz w:val="19"/>
        </w:rPr>
      </w:pPr>
    </w:p>
    <w:p>
      <w:pPr>
        <w:pStyle w:val="ListParagraph"/>
        <w:numPr>
          <w:ilvl w:val="0"/>
          <w:numId w:val="113"/>
        </w:numPr>
        <w:tabs>
          <w:tab w:pos="1814" w:val="left" w:leader="none"/>
          <w:tab w:pos="1815" w:val="left" w:leader="none"/>
        </w:tabs>
        <w:spacing w:line="235" w:lineRule="auto" w:before="1" w:after="0"/>
        <w:ind w:left="1133" w:right="2688" w:firstLine="0"/>
        <w:jc w:val="left"/>
        <w:rPr>
          <w:sz w:val="20"/>
        </w:rPr>
      </w:pPr>
      <w:r>
        <w:rPr>
          <w:w w:val="120"/>
          <w:sz w:val="20"/>
        </w:rPr>
        <w:t>Assembly wishes the basic, aspirational ethical principles outlined below to inform all investment</w:t>
      </w:r>
      <w:r>
        <w:rPr>
          <w:spacing w:val="5"/>
          <w:w w:val="120"/>
          <w:sz w:val="20"/>
        </w:rPr>
        <w:t> </w:t>
      </w:r>
      <w:r>
        <w:rPr>
          <w:w w:val="120"/>
          <w:sz w:val="20"/>
        </w:rPr>
        <w:t>decisions:</w:t>
      </w:r>
    </w:p>
    <w:p>
      <w:pPr>
        <w:pStyle w:val="ListParagraph"/>
        <w:numPr>
          <w:ilvl w:val="0"/>
          <w:numId w:val="103"/>
        </w:numPr>
        <w:tabs>
          <w:tab w:pos="1814" w:val="left" w:leader="none"/>
          <w:tab w:pos="1815" w:val="left" w:leader="none"/>
        </w:tabs>
        <w:spacing w:line="196" w:lineRule="auto" w:before="7" w:after="0"/>
        <w:ind w:left="1814" w:right="2092" w:hanging="681"/>
        <w:jc w:val="left"/>
        <w:rPr>
          <w:sz w:val="20"/>
        </w:rPr>
      </w:pPr>
      <w:r>
        <w:rPr>
          <w:rFonts w:ascii="Stone Sans II ITC Std Bk" w:hAnsi="Stone Sans II ITC Std Bk"/>
          <w:b/>
          <w:w w:val="115"/>
          <w:sz w:val="20"/>
        </w:rPr>
        <w:t>mission integrity </w:t>
      </w:r>
      <w:r>
        <w:rPr>
          <w:w w:val="115"/>
          <w:sz w:val="20"/>
        </w:rPr>
        <w:t>– the URC will, in all investment related activities, aim to avoid undermining</w:t>
      </w:r>
      <w:r>
        <w:rPr>
          <w:spacing w:val="23"/>
          <w:w w:val="115"/>
          <w:sz w:val="20"/>
        </w:rPr>
        <w:t> </w:t>
      </w:r>
      <w:r>
        <w:rPr>
          <w:w w:val="115"/>
          <w:sz w:val="20"/>
        </w:rPr>
        <w:t>the</w:t>
      </w:r>
      <w:r>
        <w:rPr>
          <w:spacing w:val="23"/>
          <w:w w:val="115"/>
          <w:sz w:val="20"/>
        </w:rPr>
        <w:t> </w:t>
      </w:r>
      <w:r>
        <w:rPr>
          <w:w w:val="115"/>
          <w:sz w:val="20"/>
        </w:rPr>
        <w:t>credibility,</w:t>
      </w:r>
      <w:r>
        <w:rPr>
          <w:spacing w:val="24"/>
          <w:w w:val="115"/>
          <w:sz w:val="20"/>
        </w:rPr>
        <w:t> </w:t>
      </w:r>
      <w:r>
        <w:rPr>
          <w:w w:val="115"/>
          <w:sz w:val="20"/>
        </w:rPr>
        <w:t>effectiveness</w:t>
      </w:r>
      <w:r>
        <w:rPr>
          <w:spacing w:val="23"/>
          <w:w w:val="115"/>
          <w:sz w:val="20"/>
        </w:rPr>
        <w:t> </w:t>
      </w:r>
      <w:r>
        <w:rPr>
          <w:w w:val="115"/>
          <w:sz w:val="20"/>
        </w:rPr>
        <w:t>and</w:t>
      </w:r>
      <w:r>
        <w:rPr>
          <w:spacing w:val="24"/>
          <w:w w:val="115"/>
          <w:sz w:val="20"/>
        </w:rPr>
        <w:t> </w:t>
      </w:r>
      <w:r>
        <w:rPr>
          <w:w w:val="115"/>
          <w:sz w:val="20"/>
        </w:rPr>
        <w:t>unity</w:t>
      </w:r>
      <w:r>
        <w:rPr>
          <w:spacing w:val="23"/>
          <w:w w:val="115"/>
          <w:sz w:val="20"/>
        </w:rPr>
        <w:t> </w:t>
      </w:r>
      <w:r>
        <w:rPr>
          <w:w w:val="115"/>
          <w:sz w:val="20"/>
        </w:rPr>
        <w:t>of</w:t>
      </w:r>
      <w:r>
        <w:rPr>
          <w:spacing w:val="24"/>
          <w:w w:val="115"/>
          <w:sz w:val="20"/>
        </w:rPr>
        <w:t> </w:t>
      </w:r>
      <w:r>
        <w:rPr>
          <w:w w:val="115"/>
          <w:sz w:val="20"/>
        </w:rPr>
        <w:t>its</w:t>
      </w:r>
      <w:r>
        <w:rPr>
          <w:spacing w:val="23"/>
          <w:w w:val="115"/>
          <w:sz w:val="20"/>
        </w:rPr>
        <w:t> </w:t>
      </w:r>
      <w:r>
        <w:rPr>
          <w:w w:val="115"/>
          <w:sz w:val="20"/>
        </w:rPr>
        <w:t>mission</w:t>
      </w:r>
      <w:r>
        <w:rPr>
          <w:spacing w:val="24"/>
          <w:w w:val="115"/>
          <w:sz w:val="20"/>
        </w:rPr>
        <w:t> </w:t>
      </w:r>
      <w:r>
        <w:rPr>
          <w:w w:val="115"/>
          <w:sz w:val="20"/>
        </w:rPr>
        <w:t>and</w:t>
      </w:r>
      <w:r>
        <w:rPr>
          <w:spacing w:val="23"/>
          <w:w w:val="115"/>
          <w:sz w:val="20"/>
        </w:rPr>
        <w:t> </w:t>
      </w:r>
      <w:r>
        <w:rPr>
          <w:w w:val="115"/>
          <w:sz w:val="20"/>
        </w:rPr>
        <w:t>witness;</w:t>
      </w:r>
    </w:p>
    <w:p>
      <w:pPr>
        <w:pStyle w:val="ListParagraph"/>
        <w:numPr>
          <w:ilvl w:val="0"/>
          <w:numId w:val="103"/>
        </w:numPr>
        <w:tabs>
          <w:tab w:pos="1814" w:val="left" w:leader="none"/>
          <w:tab w:pos="1815" w:val="left" w:leader="none"/>
        </w:tabs>
        <w:spacing w:line="196" w:lineRule="auto" w:before="16" w:after="0"/>
        <w:ind w:left="1814" w:right="2360" w:hanging="681"/>
        <w:jc w:val="left"/>
        <w:rPr>
          <w:sz w:val="20"/>
        </w:rPr>
      </w:pPr>
      <w:r>
        <w:rPr>
          <w:rFonts w:ascii="Stone Sans II ITC Std Bk" w:hAnsi="Stone Sans II ITC Std Bk"/>
          <w:b/>
          <w:w w:val="120"/>
          <w:sz w:val="20"/>
        </w:rPr>
        <w:t>stewardship</w:t>
      </w:r>
      <w:r>
        <w:rPr>
          <w:rFonts w:ascii="Stone Sans II ITC Std Bk" w:hAnsi="Stone Sans II ITC Std Bk"/>
          <w:b/>
          <w:spacing w:val="-20"/>
          <w:w w:val="120"/>
          <w:sz w:val="20"/>
        </w:rPr>
        <w:t> </w:t>
      </w:r>
      <w:r>
        <w:rPr>
          <w:w w:val="120"/>
          <w:sz w:val="20"/>
        </w:rPr>
        <w:t>–</w:t>
      </w:r>
      <w:r>
        <w:rPr>
          <w:spacing w:val="-11"/>
          <w:w w:val="120"/>
          <w:sz w:val="20"/>
        </w:rPr>
        <w:t> </w:t>
      </w:r>
      <w:r>
        <w:rPr>
          <w:w w:val="120"/>
          <w:sz w:val="20"/>
        </w:rPr>
        <w:t>those</w:t>
      </w:r>
      <w:r>
        <w:rPr>
          <w:spacing w:val="-10"/>
          <w:w w:val="120"/>
          <w:sz w:val="20"/>
        </w:rPr>
        <w:t> </w:t>
      </w:r>
      <w:r>
        <w:rPr>
          <w:w w:val="120"/>
          <w:sz w:val="20"/>
        </w:rPr>
        <w:t>entrusted</w:t>
      </w:r>
      <w:r>
        <w:rPr>
          <w:spacing w:val="-11"/>
          <w:w w:val="120"/>
          <w:sz w:val="20"/>
        </w:rPr>
        <w:t> </w:t>
      </w:r>
      <w:r>
        <w:rPr>
          <w:w w:val="120"/>
          <w:sz w:val="20"/>
        </w:rPr>
        <w:t>with</w:t>
      </w:r>
      <w:r>
        <w:rPr>
          <w:spacing w:val="-10"/>
          <w:w w:val="120"/>
          <w:sz w:val="20"/>
        </w:rPr>
        <w:t> </w:t>
      </w:r>
      <w:r>
        <w:rPr>
          <w:w w:val="120"/>
          <w:sz w:val="20"/>
        </w:rPr>
        <w:t>responsibility</w:t>
      </w:r>
      <w:r>
        <w:rPr>
          <w:spacing w:val="-10"/>
          <w:w w:val="120"/>
          <w:sz w:val="20"/>
        </w:rPr>
        <w:t> </w:t>
      </w:r>
      <w:r>
        <w:rPr>
          <w:w w:val="120"/>
          <w:sz w:val="20"/>
        </w:rPr>
        <w:t>for</w:t>
      </w:r>
      <w:r>
        <w:rPr>
          <w:spacing w:val="-11"/>
          <w:w w:val="120"/>
          <w:sz w:val="20"/>
        </w:rPr>
        <w:t> </w:t>
      </w:r>
      <w:r>
        <w:rPr>
          <w:w w:val="120"/>
          <w:sz w:val="20"/>
        </w:rPr>
        <w:t>investment</w:t>
      </w:r>
      <w:r>
        <w:rPr>
          <w:spacing w:val="-10"/>
          <w:w w:val="120"/>
          <w:sz w:val="20"/>
        </w:rPr>
        <w:t> </w:t>
      </w:r>
      <w:r>
        <w:rPr>
          <w:w w:val="120"/>
          <w:sz w:val="20"/>
        </w:rPr>
        <w:t>decisions</w:t>
      </w:r>
      <w:r>
        <w:rPr>
          <w:spacing w:val="-11"/>
          <w:w w:val="120"/>
          <w:sz w:val="20"/>
        </w:rPr>
        <w:t> </w:t>
      </w:r>
      <w:r>
        <w:rPr>
          <w:w w:val="120"/>
          <w:sz w:val="20"/>
        </w:rPr>
        <w:t>on behalf</w:t>
      </w:r>
      <w:r>
        <w:rPr>
          <w:spacing w:val="5"/>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URC,</w:t>
      </w:r>
      <w:r>
        <w:rPr>
          <w:spacing w:val="6"/>
          <w:w w:val="120"/>
          <w:sz w:val="20"/>
        </w:rPr>
        <w:t> </w:t>
      </w:r>
      <w:r>
        <w:rPr>
          <w:w w:val="120"/>
          <w:sz w:val="20"/>
        </w:rPr>
        <w:t>its</w:t>
      </w:r>
      <w:r>
        <w:rPr>
          <w:spacing w:val="6"/>
          <w:w w:val="120"/>
          <w:sz w:val="20"/>
        </w:rPr>
        <w:t> </w:t>
      </w:r>
      <w:r>
        <w:rPr>
          <w:w w:val="120"/>
          <w:sz w:val="20"/>
        </w:rPr>
        <w:t>Trust</w:t>
      </w:r>
      <w:r>
        <w:rPr>
          <w:spacing w:val="6"/>
          <w:w w:val="120"/>
          <w:sz w:val="20"/>
        </w:rPr>
        <w:t> </w:t>
      </w:r>
      <w:r>
        <w:rPr>
          <w:w w:val="120"/>
          <w:sz w:val="20"/>
        </w:rPr>
        <w:t>bodies</w:t>
      </w:r>
      <w:r>
        <w:rPr>
          <w:spacing w:val="6"/>
          <w:w w:val="120"/>
          <w:sz w:val="20"/>
        </w:rPr>
        <w:t> </w:t>
      </w:r>
      <w:r>
        <w:rPr>
          <w:w w:val="120"/>
          <w:sz w:val="20"/>
        </w:rPr>
        <w:t>and</w:t>
      </w:r>
      <w:r>
        <w:rPr>
          <w:spacing w:val="6"/>
          <w:w w:val="120"/>
          <w:sz w:val="20"/>
        </w:rPr>
        <w:t> </w:t>
      </w:r>
      <w:r>
        <w:rPr>
          <w:w w:val="120"/>
          <w:sz w:val="20"/>
        </w:rPr>
        <w:t>their</w:t>
      </w:r>
      <w:r>
        <w:rPr>
          <w:spacing w:val="6"/>
          <w:w w:val="120"/>
          <w:sz w:val="20"/>
        </w:rPr>
        <w:t> </w:t>
      </w:r>
      <w:r>
        <w:rPr>
          <w:w w:val="120"/>
          <w:sz w:val="20"/>
        </w:rPr>
        <w:t>agents</w:t>
      </w:r>
      <w:r>
        <w:rPr>
          <w:spacing w:val="5"/>
          <w:w w:val="120"/>
          <w:sz w:val="20"/>
        </w:rPr>
        <w:t> </w:t>
      </w:r>
      <w:r>
        <w:rPr>
          <w:w w:val="120"/>
          <w:sz w:val="20"/>
        </w:rPr>
        <w:t>will</w:t>
      </w:r>
      <w:r>
        <w:rPr>
          <w:spacing w:val="6"/>
          <w:w w:val="120"/>
          <w:sz w:val="20"/>
        </w:rPr>
        <w:t> </w:t>
      </w:r>
      <w:r>
        <w:rPr>
          <w:w w:val="120"/>
          <w:sz w:val="20"/>
        </w:rPr>
        <w:t>exercise</w:t>
      </w:r>
      <w:r>
        <w:rPr>
          <w:spacing w:val="6"/>
          <w:w w:val="120"/>
          <w:sz w:val="20"/>
        </w:rPr>
        <w:t> </w:t>
      </w:r>
      <w:r>
        <w:rPr>
          <w:w w:val="120"/>
          <w:sz w:val="20"/>
        </w:rPr>
        <w:t>due</w:t>
      </w:r>
      <w:r>
        <w:rPr>
          <w:spacing w:val="6"/>
          <w:w w:val="120"/>
          <w:sz w:val="20"/>
        </w:rPr>
        <w:t> </w:t>
      </w:r>
      <w:r>
        <w:rPr>
          <w:w w:val="120"/>
          <w:sz w:val="20"/>
        </w:rPr>
        <w:t>diligence</w:t>
      </w:r>
    </w:p>
    <w:p>
      <w:pPr>
        <w:pStyle w:val="BodyText"/>
        <w:spacing w:line="235" w:lineRule="auto" w:before="10"/>
        <w:ind w:left="1814" w:right="1997"/>
      </w:pPr>
      <w:r>
        <w:rPr>
          <w:w w:val="120"/>
        </w:rPr>
        <w:t>and care in the exercise of their duty to ensure that mission and fiduciary responsibilities are creatively and effectively balanced;</w:t>
      </w:r>
    </w:p>
    <w:p>
      <w:pPr>
        <w:pStyle w:val="ListParagraph"/>
        <w:numPr>
          <w:ilvl w:val="0"/>
          <w:numId w:val="103"/>
        </w:numPr>
        <w:tabs>
          <w:tab w:pos="1814" w:val="left" w:leader="none"/>
          <w:tab w:pos="1815" w:val="left" w:leader="none"/>
        </w:tabs>
        <w:spacing w:line="196" w:lineRule="auto" w:before="7" w:after="0"/>
        <w:ind w:left="1814" w:right="2395" w:hanging="681"/>
        <w:jc w:val="left"/>
        <w:rPr>
          <w:sz w:val="20"/>
        </w:rPr>
      </w:pPr>
      <w:r>
        <w:rPr>
          <w:rFonts w:ascii="Stone Sans II ITC Std Bk" w:hAnsi="Stone Sans II ITC Std Bk"/>
          <w:b/>
          <w:w w:val="120"/>
          <w:sz w:val="20"/>
        </w:rPr>
        <w:t>legality </w:t>
      </w:r>
      <w:r>
        <w:rPr>
          <w:w w:val="120"/>
          <w:sz w:val="20"/>
        </w:rPr>
        <w:t>– all investment decisions will comply with the legal requirements for trustees as outlined in the Charity </w:t>
      </w:r>
      <w:r>
        <w:rPr>
          <w:spacing w:val="2"/>
          <w:w w:val="120"/>
          <w:sz w:val="20"/>
        </w:rPr>
        <w:t>Acts </w:t>
      </w:r>
      <w:r>
        <w:rPr>
          <w:w w:val="120"/>
          <w:sz w:val="20"/>
        </w:rPr>
        <w:t>and other</w:t>
      </w:r>
      <w:r>
        <w:rPr>
          <w:spacing w:val="17"/>
          <w:w w:val="120"/>
          <w:sz w:val="20"/>
        </w:rPr>
        <w:t> </w:t>
      </w:r>
      <w:r>
        <w:rPr>
          <w:w w:val="120"/>
          <w:sz w:val="20"/>
        </w:rPr>
        <w:t>legislation;</w:t>
      </w:r>
    </w:p>
    <w:p>
      <w:pPr>
        <w:pStyle w:val="ListParagraph"/>
        <w:numPr>
          <w:ilvl w:val="0"/>
          <w:numId w:val="103"/>
        </w:numPr>
        <w:tabs>
          <w:tab w:pos="1814" w:val="left" w:leader="none"/>
          <w:tab w:pos="1815" w:val="left" w:leader="none"/>
        </w:tabs>
        <w:spacing w:line="216" w:lineRule="auto" w:before="0" w:after="0"/>
        <w:ind w:left="1814" w:right="2136" w:hanging="681"/>
        <w:jc w:val="left"/>
        <w:rPr>
          <w:sz w:val="20"/>
        </w:rPr>
      </w:pPr>
      <w:r>
        <w:rPr>
          <w:rFonts w:ascii="Stone Sans II ITC Std Bk" w:hAnsi="Stone Sans II ITC Std Bk"/>
          <w:b/>
          <w:w w:val="120"/>
          <w:sz w:val="20"/>
        </w:rPr>
        <w:t>sustainability </w:t>
      </w:r>
      <w:r>
        <w:rPr>
          <w:w w:val="120"/>
          <w:sz w:val="20"/>
        </w:rPr>
        <w:t>– investment decisions will be guided by the principle of financial and environmental sustainability with a view to the long term maintenance of well-being for the economic, social and natural</w:t>
      </w:r>
      <w:r>
        <w:rPr>
          <w:spacing w:val="19"/>
          <w:w w:val="120"/>
          <w:sz w:val="20"/>
        </w:rPr>
        <w:t> </w:t>
      </w:r>
      <w:r>
        <w:rPr>
          <w:w w:val="120"/>
          <w:sz w:val="20"/>
        </w:rPr>
        <w:t>environments;</w:t>
      </w:r>
    </w:p>
    <w:p>
      <w:pPr>
        <w:pStyle w:val="ListParagraph"/>
        <w:numPr>
          <w:ilvl w:val="0"/>
          <w:numId w:val="103"/>
        </w:numPr>
        <w:tabs>
          <w:tab w:pos="1814" w:val="left" w:leader="none"/>
          <w:tab w:pos="1815" w:val="left" w:leader="none"/>
        </w:tabs>
        <w:spacing w:line="199" w:lineRule="auto" w:before="5" w:after="0"/>
        <w:ind w:left="1814" w:right="2478" w:hanging="681"/>
        <w:jc w:val="left"/>
        <w:rPr>
          <w:sz w:val="20"/>
        </w:rPr>
      </w:pPr>
      <w:r>
        <w:rPr>
          <w:rFonts w:ascii="Stone Sans II ITC Std Bk" w:hAnsi="Stone Sans II ITC Std Bk"/>
          <w:b/>
          <w:w w:val="120"/>
          <w:sz w:val="20"/>
        </w:rPr>
        <w:t>solidarity </w:t>
      </w:r>
      <w:r>
        <w:rPr>
          <w:w w:val="120"/>
          <w:sz w:val="20"/>
        </w:rPr>
        <w:t>– investment decisions will be guided by the biblical principle of solidarity with those who are poor and marginalised and seek social justice as expressed in Statement 9 of the </w:t>
      </w:r>
      <w:r>
        <w:rPr>
          <w:spacing w:val="-3"/>
          <w:w w:val="120"/>
          <w:sz w:val="20"/>
        </w:rPr>
        <w:t>URC’s </w:t>
      </w:r>
      <w:r>
        <w:rPr>
          <w:w w:val="120"/>
          <w:sz w:val="20"/>
        </w:rPr>
        <w:t>Mission</w:t>
      </w:r>
      <w:r>
        <w:rPr>
          <w:spacing w:val="8"/>
          <w:w w:val="120"/>
          <w:sz w:val="20"/>
        </w:rPr>
        <w:t> </w:t>
      </w:r>
      <w:r>
        <w:rPr>
          <w:w w:val="120"/>
          <w:sz w:val="20"/>
        </w:rPr>
        <w:t>framework;</w:t>
      </w:r>
      <w:r>
        <w:rPr>
          <w:w w:val="120"/>
          <w:position w:val="4"/>
          <w:sz w:val="20"/>
        </w:rPr>
        <w:t>1</w:t>
      </w:r>
    </w:p>
    <w:p>
      <w:pPr>
        <w:pStyle w:val="ListParagraph"/>
        <w:numPr>
          <w:ilvl w:val="0"/>
          <w:numId w:val="103"/>
        </w:numPr>
        <w:tabs>
          <w:tab w:pos="1814" w:val="left" w:leader="none"/>
          <w:tab w:pos="1815" w:val="left" w:leader="none"/>
        </w:tabs>
        <w:spacing w:line="196" w:lineRule="auto" w:before="10" w:after="0"/>
        <w:ind w:left="1814" w:right="2054" w:hanging="681"/>
        <w:jc w:val="left"/>
        <w:rPr>
          <w:sz w:val="20"/>
        </w:rPr>
      </w:pPr>
      <w:r>
        <w:rPr>
          <w:rFonts w:ascii="Stone Sans II ITC Std Bk" w:hAnsi="Stone Sans II ITC Std Bk"/>
          <w:b/>
          <w:w w:val="120"/>
          <w:sz w:val="20"/>
        </w:rPr>
        <w:t>accountability</w:t>
      </w:r>
      <w:r>
        <w:rPr>
          <w:rFonts w:ascii="Stone Sans II ITC Std Bk" w:hAnsi="Stone Sans II ITC Std Bk"/>
          <w:b/>
          <w:spacing w:val="-16"/>
          <w:w w:val="120"/>
          <w:sz w:val="20"/>
        </w:rPr>
        <w:t> </w:t>
      </w:r>
      <w:r>
        <w:rPr>
          <w:w w:val="120"/>
          <w:sz w:val="20"/>
        </w:rPr>
        <w:t>–</w:t>
      </w:r>
      <w:r>
        <w:rPr>
          <w:spacing w:val="-5"/>
          <w:w w:val="120"/>
          <w:sz w:val="20"/>
        </w:rPr>
        <w:t> </w:t>
      </w:r>
      <w:r>
        <w:rPr>
          <w:w w:val="120"/>
          <w:sz w:val="20"/>
        </w:rPr>
        <w:t>URC</w:t>
      </w:r>
      <w:r>
        <w:rPr>
          <w:spacing w:val="-6"/>
          <w:w w:val="120"/>
          <w:sz w:val="20"/>
        </w:rPr>
        <w:t> </w:t>
      </w:r>
      <w:r>
        <w:rPr>
          <w:w w:val="120"/>
          <w:sz w:val="20"/>
        </w:rPr>
        <w:t>trustees,</w:t>
      </w:r>
      <w:r>
        <w:rPr>
          <w:spacing w:val="-5"/>
          <w:w w:val="120"/>
          <w:sz w:val="20"/>
        </w:rPr>
        <w:t> </w:t>
      </w:r>
      <w:r>
        <w:rPr>
          <w:w w:val="120"/>
          <w:sz w:val="20"/>
        </w:rPr>
        <w:t>working</w:t>
      </w:r>
      <w:r>
        <w:rPr>
          <w:spacing w:val="-6"/>
          <w:w w:val="120"/>
          <w:sz w:val="20"/>
        </w:rPr>
        <w:t> </w:t>
      </w:r>
      <w:r>
        <w:rPr>
          <w:w w:val="120"/>
          <w:sz w:val="20"/>
        </w:rPr>
        <w:t>in</w:t>
      </w:r>
      <w:r>
        <w:rPr>
          <w:spacing w:val="-5"/>
          <w:w w:val="120"/>
          <w:sz w:val="20"/>
        </w:rPr>
        <w:t> </w:t>
      </w:r>
      <w:r>
        <w:rPr>
          <w:w w:val="120"/>
          <w:sz w:val="20"/>
        </w:rPr>
        <w:t>liaison</w:t>
      </w:r>
      <w:r>
        <w:rPr>
          <w:spacing w:val="-6"/>
          <w:w w:val="120"/>
          <w:sz w:val="20"/>
        </w:rPr>
        <w:t> </w:t>
      </w:r>
      <w:r>
        <w:rPr>
          <w:w w:val="120"/>
          <w:sz w:val="20"/>
        </w:rPr>
        <w:t>with</w:t>
      </w:r>
      <w:r>
        <w:rPr>
          <w:spacing w:val="-6"/>
          <w:w w:val="120"/>
          <w:sz w:val="20"/>
        </w:rPr>
        <w:t> </w:t>
      </w:r>
      <w:r>
        <w:rPr>
          <w:w w:val="120"/>
          <w:sz w:val="20"/>
        </w:rPr>
        <w:t>fund</w:t>
      </w:r>
      <w:r>
        <w:rPr>
          <w:spacing w:val="-5"/>
          <w:w w:val="120"/>
          <w:sz w:val="20"/>
        </w:rPr>
        <w:t> </w:t>
      </w:r>
      <w:r>
        <w:rPr>
          <w:w w:val="120"/>
          <w:sz w:val="20"/>
        </w:rPr>
        <w:t>managers,</w:t>
      </w:r>
      <w:r>
        <w:rPr>
          <w:spacing w:val="-6"/>
          <w:w w:val="120"/>
          <w:sz w:val="20"/>
        </w:rPr>
        <w:t> </w:t>
      </w:r>
      <w:r>
        <w:rPr>
          <w:w w:val="120"/>
          <w:sz w:val="20"/>
        </w:rPr>
        <w:t>will</w:t>
      </w:r>
      <w:r>
        <w:rPr>
          <w:spacing w:val="-5"/>
          <w:w w:val="120"/>
          <w:sz w:val="20"/>
        </w:rPr>
        <w:t> </w:t>
      </w:r>
      <w:r>
        <w:rPr>
          <w:w w:val="120"/>
          <w:sz w:val="20"/>
        </w:rPr>
        <w:t>aspire to the highest level of compliance with this policy which can be</w:t>
      </w:r>
      <w:r>
        <w:rPr>
          <w:spacing w:val="2"/>
          <w:w w:val="120"/>
          <w:sz w:val="20"/>
        </w:rPr>
        <w:t> </w:t>
      </w:r>
      <w:r>
        <w:rPr>
          <w:w w:val="120"/>
          <w:sz w:val="20"/>
        </w:rPr>
        <w:t>achieved;</w:t>
      </w:r>
    </w:p>
    <w:p>
      <w:pPr>
        <w:pStyle w:val="ListParagraph"/>
        <w:numPr>
          <w:ilvl w:val="0"/>
          <w:numId w:val="103"/>
        </w:numPr>
        <w:tabs>
          <w:tab w:pos="1815" w:val="left" w:leader="none"/>
        </w:tabs>
        <w:spacing w:line="216" w:lineRule="auto" w:before="0" w:after="0"/>
        <w:ind w:left="1814" w:right="2262" w:hanging="681"/>
        <w:jc w:val="both"/>
        <w:rPr>
          <w:sz w:val="20"/>
        </w:rPr>
      </w:pPr>
      <w:r>
        <w:rPr>
          <w:rFonts w:ascii="Stone Sans II ITC Std Bk" w:hAnsi="Stone Sans II ITC Std Bk"/>
          <w:b/>
          <w:w w:val="120"/>
          <w:sz w:val="20"/>
        </w:rPr>
        <w:t>transparency </w:t>
      </w:r>
      <w:r>
        <w:rPr>
          <w:w w:val="120"/>
          <w:sz w:val="20"/>
        </w:rPr>
        <w:t>– </w:t>
      </w:r>
      <w:r>
        <w:rPr>
          <w:spacing w:val="2"/>
          <w:w w:val="120"/>
          <w:sz w:val="20"/>
        </w:rPr>
        <w:t>reputational </w:t>
      </w:r>
      <w:r>
        <w:rPr>
          <w:w w:val="120"/>
          <w:sz w:val="20"/>
        </w:rPr>
        <w:t>risk will be minimised by ensuring </w:t>
      </w:r>
      <w:r>
        <w:rPr>
          <w:spacing w:val="2"/>
          <w:w w:val="120"/>
          <w:sz w:val="20"/>
        </w:rPr>
        <w:t>openness </w:t>
      </w:r>
      <w:r>
        <w:rPr>
          <w:w w:val="120"/>
          <w:sz w:val="20"/>
        </w:rPr>
        <w:t>and </w:t>
      </w:r>
      <w:r>
        <w:rPr>
          <w:spacing w:val="2"/>
          <w:w w:val="120"/>
          <w:sz w:val="20"/>
        </w:rPr>
        <w:t>transparency </w:t>
      </w:r>
      <w:r>
        <w:rPr>
          <w:w w:val="120"/>
          <w:sz w:val="20"/>
        </w:rPr>
        <w:t>in </w:t>
      </w:r>
      <w:r>
        <w:rPr>
          <w:spacing w:val="3"/>
          <w:w w:val="120"/>
          <w:sz w:val="20"/>
        </w:rPr>
        <w:t>reporting </w:t>
      </w:r>
      <w:r>
        <w:rPr>
          <w:w w:val="120"/>
          <w:sz w:val="20"/>
        </w:rPr>
        <w:t>on URC investment </w:t>
      </w:r>
      <w:r>
        <w:rPr>
          <w:spacing w:val="3"/>
          <w:w w:val="120"/>
          <w:sz w:val="20"/>
        </w:rPr>
        <w:t>portfolios </w:t>
      </w:r>
      <w:r>
        <w:rPr>
          <w:w w:val="120"/>
          <w:sz w:val="20"/>
        </w:rPr>
        <w:t>and compliance with this</w:t>
      </w:r>
      <w:r>
        <w:rPr>
          <w:spacing w:val="6"/>
          <w:w w:val="120"/>
          <w:sz w:val="20"/>
        </w:rPr>
        <w:t> </w:t>
      </w:r>
      <w:r>
        <w:rPr>
          <w:spacing w:val="2"/>
          <w:w w:val="120"/>
          <w:sz w:val="20"/>
        </w:rPr>
        <w:t>policy;</w:t>
      </w:r>
    </w:p>
    <w:p>
      <w:pPr>
        <w:pStyle w:val="ListParagraph"/>
        <w:numPr>
          <w:ilvl w:val="0"/>
          <w:numId w:val="103"/>
        </w:numPr>
        <w:tabs>
          <w:tab w:pos="1815" w:val="left" w:leader="none"/>
        </w:tabs>
        <w:spacing w:line="216" w:lineRule="auto" w:before="0" w:after="0"/>
        <w:ind w:left="1814" w:right="2338" w:hanging="681"/>
        <w:jc w:val="both"/>
        <w:rPr>
          <w:sz w:val="20"/>
        </w:rPr>
      </w:pPr>
      <w:r>
        <w:rPr>
          <w:rFonts w:ascii="Stone Sans II ITC Std Bk" w:hAnsi="Stone Sans II ITC Std Bk"/>
          <w:b/>
          <w:w w:val="120"/>
          <w:sz w:val="20"/>
        </w:rPr>
        <w:t>partnership</w:t>
      </w:r>
      <w:r>
        <w:rPr>
          <w:rFonts w:ascii="Stone Sans II ITC Std Bk" w:hAnsi="Stone Sans II ITC Std Bk"/>
          <w:b/>
          <w:spacing w:val="-13"/>
          <w:w w:val="120"/>
          <w:sz w:val="20"/>
        </w:rPr>
        <w:t> </w:t>
      </w:r>
      <w:r>
        <w:rPr>
          <w:w w:val="120"/>
          <w:sz w:val="20"/>
        </w:rPr>
        <w:t>–</w:t>
      </w:r>
      <w:r>
        <w:rPr>
          <w:spacing w:val="-5"/>
          <w:w w:val="120"/>
          <w:sz w:val="20"/>
        </w:rPr>
        <w:t> </w:t>
      </w:r>
      <w:r>
        <w:rPr>
          <w:w w:val="120"/>
          <w:sz w:val="20"/>
        </w:rPr>
        <w:t>the</w:t>
      </w:r>
      <w:r>
        <w:rPr>
          <w:spacing w:val="-5"/>
          <w:w w:val="120"/>
          <w:sz w:val="20"/>
        </w:rPr>
        <w:t> </w:t>
      </w:r>
      <w:r>
        <w:rPr>
          <w:w w:val="120"/>
          <w:sz w:val="20"/>
        </w:rPr>
        <w:t>URC</w:t>
      </w:r>
      <w:r>
        <w:rPr>
          <w:spacing w:val="-5"/>
          <w:w w:val="120"/>
          <w:sz w:val="20"/>
        </w:rPr>
        <w:t> </w:t>
      </w:r>
      <w:r>
        <w:rPr>
          <w:w w:val="120"/>
          <w:sz w:val="20"/>
        </w:rPr>
        <w:t>recognises</w:t>
      </w:r>
      <w:r>
        <w:rPr>
          <w:spacing w:val="-5"/>
          <w:w w:val="120"/>
          <w:sz w:val="20"/>
        </w:rPr>
        <w:t> </w:t>
      </w:r>
      <w:r>
        <w:rPr>
          <w:w w:val="120"/>
          <w:sz w:val="20"/>
        </w:rPr>
        <w:t>the</w:t>
      </w:r>
      <w:r>
        <w:rPr>
          <w:spacing w:val="-5"/>
          <w:w w:val="120"/>
          <w:sz w:val="20"/>
        </w:rPr>
        <w:t> </w:t>
      </w:r>
      <w:r>
        <w:rPr>
          <w:w w:val="120"/>
          <w:sz w:val="20"/>
        </w:rPr>
        <w:t>value</w:t>
      </w:r>
      <w:r>
        <w:rPr>
          <w:spacing w:val="-5"/>
          <w:w w:val="120"/>
          <w:sz w:val="20"/>
        </w:rPr>
        <w:t> </w:t>
      </w:r>
      <w:r>
        <w:rPr>
          <w:w w:val="120"/>
          <w:sz w:val="20"/>
        </w:rPr>
        <w:t>of</w:t>
      </w:r>
      <w:r>
        <w:rPr>
          <w:spacing w:val="-5"/>
          <w:w w:val="120"/>
          <w:sz w:val="20"/>
        </w:rPr>
        <w:t> </w:t>
      </w:r>
      <w:r>
        <w:rPr>
          <w:w w:val="120"/>
          <w:sz w:val="20"/>
        </w:rPr>
        <w:t>collaborative</w:t>
      </w:r>
      <w:r>
        <w:rPr>
          <w:spacing w:val="-5"/>
          <w:w w:val="120"/>
          <w:sz w:val="20"/>
        </w:rPr>
        <w:t> </w:t>
      </w:r>
      <w:r>
        <w:rPr>
          <w:w w:val="120"/>
          <w:sz w:val="20"/>
        </w:rPr>
        <w:t>action</w:t>
      </w:r>
      <w:r>
        <w:rPr>
          <w:spacing w:val="-5"/>
          <w:w w:val="120"/>
          <w:sz w:val="20"/>
        </w:rPr>
        <w:t> </w:t>
      </w:r>
      <w:r>
        <w:rPr>
          <w:w w:val="120"/>
          <w:sz w:val="20"/>
        </w:rPr>
        <w:t>in</w:t>
      </w:r>
      <w:r>
        <w:rPr>
          <w:spacing w:val="-5"/>
          <w:w w:val="120"/>
          <w:sz w:val="20"/>
        </w:rPr>
        <w:t> </w:t>
      </w:r>
      <w:r>
        <w:rPr>
          <w:w w:val="120"/>
          <w:sz w:val="20"/>
        </w:rPr>
        <w:t>terms</w:t>
      </w:r>
      <w:r>
        <w:rPr>
          <w:spacing w:val="-5"/>
          <w:w w:val="120"/>
          <w:sz w:val="20"/>
        </w:rPr>
        <w:t> </w:t>
      </w:r>
      <w:r>
        <w:rPr>
          <w:w w:val="120"/>
          <w:sz w:val="20"/>
        </w:rPr>
        <w:t>of effecting change in companies’ policies and practices and commits to working with</w:t>
      </w:r>
      <w:r>
        <w:rPr>
          <w:spacing w:val="9"/>
          <w:w w:val="120"/>
          <w:sz w:val="20"/>
        </w:rPr>
        <w:t> </w:t>
      </w:r>
      <w:r>
        <w:rPr>
          <w:w w:val="120"/>
          <w:sz w:val="20"/>
        </w:rPr>
        <w:t>the</w:t>
      </w:r>
      <w:r>
        <w:rPr>
          <w:spacing w:val="9"/>
          <w:w w:val="120"/>
          <w:sz w:val="20"/>
        </w:rPr>
        <w:t> </w:t>
      </w:r>
      <w:r>
        <w:rPr>
          <w:w w:val="120"/>
          <w:sz w:val="20"/>
        </w:rPr>
        <w:t>other</w:t>
      </w:r>
      <w:r>
        <w:rPr>
          <w:spacing w:val="9"/>
          <w:w w:val="120"/>
          <w:sz w:val="20"/>
        </w:rPr>
        <w:t> </w:t>
      </w:r>
      <w:r>
        <w:rPr>
          <w:w w:val="120"/>
          <w:sz w:val="20"/>
        </w:rPr>
        <w:t>members</w:t>
      </w:r>
      <w:r>
        <w:rPr>
          <w:spacing w:val="9"/>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Church</w:t>
      </w:r>
      <w:r>
        <w:rPr>
          <w:spacing w:val="9"/>
          <w:w w:val="120"/>
          <w:sz w:val="20"/>
        </w:rPr>
        <w:t> </w:t>
      </w:r>
      <w:r>
        <w:rPr>
          <w:w w:val="120"/>
          <w:sz w:val="20"/>
        </w:rPr>
        <w:t>Investors</w:t>
      </w:r>
      <w:r>
        <w:rPr>
          <w:spacing w:val="9"/>
          <w:w w:val="120"/>
          <w:sz w:val="20"/>
        </w:rPr>
        <w:t> </w:t>
      </w:r>
      <w:r>
        <w:rPr>
          <w:w w:val="120"/>
          <w:sz w:val="20"/>
        </w:rPr>
        <w:t>Group</w:t>
      </w:r>
      <w:r>
        <w:rPr>
          <w:spacing w:val="9"/>
          <w:w w:val="120"/>
          <w:sz w:val="20"/>
        </w:rPr>
        <w:t> </w:t>
      </w:r>
      <w:r>
        <w:rPr>
          <w:spacing w:val="-5"/>
          <w:w w:val="120"/>
          <w:sz w:val="20"/>
        </w:rPr>
        <w:t>(CIG),</w:t>
      </w:r>
      <w:r>
        <w:rPr>
          <w:spacing w:val="9"/>
          <w:w w:val="120"/>
          <w:sz w:val="20"/>
        </w:rPr>
        <w:t> </w:t>
      </w:r>
      <w:r>
        <w:rPr>
          <w:w w:val="120"/>
          <w:sz w:val="20"/>
        </w:rPr>
        <w:t>the</w:t>
      </w:r>
      <w:r>
        <w:rPr>
          <w:spacing w:val="9"/>
          <w:w w:val="120"/>
          <w:sz w:val="20"/>
        </w:rPr>
        <w:t> </w:t>
      </w:r>
      <w:r>
        <w:rPr>
          <w:w w:val="120"/>
          <w:sz w:val="20"/>
        </w:rPr>
        <w:t>Ecumenical</w:t>
      </w:r>
    </w:p>
    <w:p>
      <w:pPr>
        <w:pStyle w:val="BodyText"/>
        <w:spacing w:line="235" w:lineRule="auto"/>
        <w:ind w:left="1814" w:right="2112"/>
        <w:jc w:val="both"/>
      </w:pPr>
      <w:r>
        <w:rPr>
          <w:w w:val="120"/>
        </w:rPr>
        <w:t>Council for Corporate Responsibility (ECCR) and other ecumenical agencies to engage with companies and, where relevant, to act in support of their initiatives.</w:t>
      </w:r>
    </w:p>
    <w:p>
      <w:pPr>
        <w:pStyle w:val="BodyText"/>
        <w:spacing w:before="1"/>
        <w:rPr>
          <w:sz w:val="19"/>
        </w:rPr>
      </w:pPr>
    </w:p>
    <w:p>
      <w:pPr>
        <w:pStyle w:val="ListParagraph"/>
        <w:numPr>
          <w:ilvl w:val="0"/>
          <w:numId w:val="113"/>
        </w:numPr>
        <w:tabs>
          <w:tab w:pos="1814" w:val="left" w:leader="none"/>
          <w:tab w:pos="1815" w:val="left" w:leader="none"/>
        </w:tabs>
        <w:spacing w:line="235" w:lineRule="auto" w:before="0" w:after="0"/>
        <w:ind w:left="1133" w:right="2048" w:firstLine="0"/>
        <w:jc w:val="left"/>
        <w:rPr>
          <w:sz w:val="20"/>
        </w:rPr>
      </w:pPr>
      <w:r>
        <w:rPr>
          <w:w w:val="120"/>
          <w:sz w:val="20"/>
        </w:rPr>
        <w:t>Expression will be given to these principles through both negative and positive screening of companies as well as through selective direct engagement with companies. Each of these investment strategies is outlined below and should be considered as </w:t>
      </w:r>
      <w:r>
        <w:rPr>
          <w:spacing w:val="2"/>
          <w:w w:val="120"/>
          <w:sz w:val="20"/>
        </w:rPr>
        <w:t>part </w:t>
      </w:r>
      <w:r>
        <w:rPr>
          <w:w w:val="120"/>
          <w:sz w:val="20"/>
        </w:rPr>
        <w:t>of an integral approach to ethical investment by the</w:t>
      </w:r>
      <w:r>
        <w:rPr>
          <w:spacing w:val="21"/>
          <w:w w:val="120"/>
          <w:sz w:val="20"/>
        </w:rPr>
        <w:t> </w:t>
      </w:r>
      <w:r>
        <w:rPr>
          <w:w w:val="120"/>
          <w:sz w:val="20"/>
        </w:rPr>
        <w:t>URC.</w:t>
      </w:r>
    </w:p>
    <w:p>
      <w:pPr>
        <w:pStyle w:val="BodyText"/>
        <w:spacing w:before="11"/>
        <w:rPr>
          <w:sz w:val="19"/>
        </w:rPr>
      </w:pPr>
    </w:p>
    <w:p>
      <w:pPr>
        <w:pStyle w:val="ListParagraph"/>
        <w:numPr>
          <w:ilvl w:val="0"/>
          <w:numId w:val="113"/>
        </w:numPr>
        <w:tabs>
          <w:tab w:pos="1814" w:val="left" w:leader="none"/>
          <w:tab w:pos="1815" w:val="left" w:leader="none"/>
        </w:tabs>
        <w:spacing w:line="235" w:lineRule="auto" w:before="0" w:after="0"/>
        <w:ind w:left="1133" w:right="2770" w:firstLine="0"/>
        <w:jc w:val="left"/>
        <w:rPr>
          <w:sz w:val="20"/>
        </w:rPr>
      </w:pPr>
      <w:r>
        <w:rPr>
          <w:w w:val="120"/>
          <w:sz w:val="20"/>
        </w:rPr>
        <w:t>The existing URC Ethical Investment policy will be developed to guide our investments in terms of negative screening. This policy</w:t>
      </w:r>
      <w:r>
        <w:rPr>
          <w:spacing w:val="17"/>
          <w:w w:val="120"/>
          <w:sz w:val="20"/>
        </w:rPr>
        <w:t> </w:t>
      </w:r>
      <w:r>
        <w:rPr>
          <w:w w:val="120"/>
          <w:sz w:val="20"/>
        </w:rPr>
        <w:t>states:</w:t>
      </w:r>
    </w:p>
    <w:p>
      <w:pPr>
        <w:pStyle w:val="BodyText"/>
      </w:pPr>
    </w:p>
    <w:p>
      <w:pPr>
        <w:pStyle w:val="BodyText"/>
        <w:spacing w:before="3"/>
        <w:rPr>
          <w:sz w:val="12"/>
        </w:rPr>
      </w:pPr>
      <w:r>
        <w:rPr/>
        <w:pict>
          <v:shape style="position:absolute;margin-left:56.692902pt;margin-top:9.717127pt;width:79.850pt;height:.1pt;mso-position-horizontal-relative:page;mso-position-vertical-relative:paragraph;z-index:-251348992;mso-wrap-distance-left:0;mso-wrap-distance-right:0" coordorigin="1134,194" coordsize="1597,0" path="m1134,194l2730,194e" filled="false" stroked="true" strokeweight=".5pt" strokecolor="#000000">
            <v:path arrowok="t"/>
            <v:stroke dashstyle="solid"/>
            <w10:wrap type="topAndBottom"/>
          </v:shape>
        </w:pict>
      </w:r>
    </w:p>
    <w:p>
      <w:pPr>
        <w:tabs>
          <w:tab w:pos="1587" w:val="left" w:leader="none"/>
        </w:tabs>
        <w:spacing w:before="145"/>
        <w:ind w:left="1587" w:right="1470" w:hanging="454"/>
        <w:jc w:val="left"/>
        <w:rPr>
          <w:sz w:val="18"/>
        </w:rPr>
      </w:pPr>
      <w:r>
        <w:rPr>
          <w:w w:val="120"/>
          <w:sz w:val="18"/>
        </w:rPr>
        <w:t>1</w:t>
        <w:tab/>
        <w:t>See</w:t>
      </w:r>
      <w:r>
        <w:rPr>
          <w:spacing w:val="-2"/>
          <w:w w:val="120"/>
          <w:sz w:val="18"/>
        </w:rPr>
        <w:t> </w:t>
      </w:r>
      <w:r>
        <w:rPr>
          <w:w w:val="120"/>
          <w:sz w:val="18"/>
        </w:rPr>
        <w:t>p.28</w:t>
      </w:r>
      <w:r>
        <w:rPr>
          <w:spacing w:val="-2"/>
          <w:w w:val="120"/>
          <w:sz w:val="18"/>
        </w:rPr>
        <w:t> </w:t>
      </w:r>
      <w:r>
        <w:rPr>
          <w:w w:val="120"/>
          <w:sz w:val="18"/>
        </w:rPr>
        <w:t>Book</w:t>
      </w:r>
      <w:r>
        <w:rPr>
          <w:spacing w:val="-2"/>
          <w:w w:val="120"/>
          <w:sz w:val="18"/>
        </w:rPr>
        <w:t> </w:t>
      </w:r>
      <w:r>
        <w:rPr>
          <w:w w:val="120"/>
          <w:sz w:val="18"/>
        </w:rPr>
        <w:t>of</w:t>
      </w:r>
      <w:r>
        <w:rPr>
          <w:spacing w:val="-1"/>
          <w:w w:val="120"/>
          <w:sz w:val="18"/>
        </w:rPr>
        <w:t> </w:t>
      </w:r>
      <w:r>
        <w:rPr>
          <w:spacing w:val="2"/>
          <w:w w:val="120"/>
          <w:sz w:val="18"/>
        </w:rPr>
        <w:t>Reports</w:t>
      </w:r>
      <w:r>
        <w:rPr>
          <w:spacing w:val="-2"/>
          <w:w w:val="120"/>
          <w:sz w:val="18"/>
        </w:rPr>
        <w:t> </w:t>
      </w:r>
      <w:r>
        <w:rPr>
          <w:spacing w:val="-4"/>
          <w:w w:val="120"/>
          <w:sz w:val="18"/>
        </w:rPr>
        <w:t>2010</w:t>
      </w:r>
      <w:r>
        <w:rPr>
          <w:spacing w:val="-2"/>
          <w:w w:val="120"/>
          <w:sz w:val="18"/>
        </w:rPr>
        <w:t> </w:t>
      </w:r>
      <w:r>
        <w:rPr>
          <w:w w:val="120"/>
          <w:sz w:val="18"/>
        </w:rPr>
        <w:t>or</w:t>
      </w:r>
      <w:r>
        <w:rPr>
          <w:spacing w:val="-1"/>
          <w:w w:val="120"/>
          <w:sz w:val="18"/>
        </w:rPr>
        <w:t> </w:t>
      </w:r>
      <w:r>
        <w:rPr>
          <w:w w:val="120"/>
          <w:sz w:val="18"/>
        </w:rPr>
        <w:t>p.22</w:t>
      </w:r>
      <w:r>
        <w:rPr>
          <w:spacing w:val="-2"/>
          <w:w w:val="120"/>
          <w:sz w:val="18"/>
        </w:rPr>
        <w:t> </w:t>
      </w:r>
      <w:r>
        <w:rPr>
          <w:w w:val="120"/>
          <w:sz w:val="18"/>
        </w:rPr>
        <w:t>of</w:t>
      </w:r>
      <w:r>
        <w:rPr>
          <w:spacing w:val="-2"/>
          <w:w w:val="120"/>
          <w:sz w:val="18"/>
        </w:rPr>
        <w:t> </w:t>
      </w:r>
      <w:r>
        <w:rPr>
          <w:w w:val="120"/>
          <w:sz w:val="18"/>
        </w:rPr>
        <w:t>the</w:t>
      </w:r>
      <w:r>
        <w:rPr>
          <w:spacing w:val="-2"/>
          <w:w w:val="120"/>
          <w:sz w:val="18"/>
        </w:rPr>
        <w:t> </w:t>
      </w:r>
      <w:r>
        <w:rPr>
          <w:i/>
          <w:w w:val="120"/>
          <w:sz w:val="18"/>
        </w:rPr>
        <w:t>vision2020</w:t>
      </w:r>
      <w:r>
        <w:rPr>
          <w:i/>
          <w:spacing w:val="-4"/>
          <w:w w:val="120"/>
          <w:sz w:val="18"/>
        </w:rPr>
        <w:t> </w:t>
      </w:r>
      <w:r>
        <w:rPr>
          <w:i/>
          <w:w w:val="120"/>
          <w:sz w:val="18"/>
        </w:rPr>
        <w:t>–</w:t>
      </w:r>
      <w:r>
        <w:rPr>
          <w:i/>
          <w:spacing w:val="-5"/>
          <w:w w:val="120"/>
          <w:sz w:val="18"/>
        </w:rPr>
        <w:t> </w:t>
      </w:r>
      <w:r>
        <w:rPr>
          <w:i/>
          <w:w w:val="120"/>
          <w:sz w:val="18"/>
        </w:rPr>
        <w:t>planning</w:t>
      </w:r>
      <w:r>
        <w:rPr>
          <w:i/>
          <w:spacing w:val="-4"/>
          <w:w w:val="120"/>
          <w:sz w:val="18"/>
        </w:rPr>
        <w:t> </w:t>
      </w:r>
      <w:r>
        <w:rPr>
          <w:i/>
          <w:w w:val="120"/>
          <w:sz w:val="18"/>
        </w:rPr>
        <w:t>for</w:t>
      </w:r>
      <w:r>
        <w:rPr>
          <w:i/>
          <w:spacing w:val="-5"/>
          <w:w w:val="120"/>
          <w:sz w:val="18"/>
        </w:rPr>
        <w:t> </w:t>
      </w:r>
      <w:r>
        <w:rPr>
          <w:i/>
          <w:w w:val="120"/>
          <w:sz w:val="18"/>
        </w:rPr>
        <w:t>growth</w:t>
      </w:r>
      <w:r>
        <w:rPr>
          <w:i/>
          <w:spacing w:val="-4"/>
          <w:w w:val="120"/>
          <w:sz w:val="18"/>
        </w:rPr>
        <w:t> </w:t>
      </w:r>
      <w:r>
        <w:rPr>
          <w:i/>
          <w:w w:val="120"/>
          <w:sz w:val="18"/>
        </w:rPr>
        <w:t>in</w:t>
      </w:r>
      <w:r>
        <w:rPr>
          <w:i/>
          <w:spacing w:val="-5"/>
          <w:w w:val="120"/>
          <w:sz w:val="18"/>
        </w:rPr>
        <w:t> </w:t>
      </w:r>
      <w:r>
        <w:rPr>
          <w:i/>
          <w:w w:val="120"/>
          <w:sz w:val="18"/>
        </w:rPr>
        <w:t>the</w:t>
      </w:r>
      <w:r>
        <w:rPr>
          <w:i/>
          <w:spacing w:val="-4"/>
          <w:w w:val="120"/>
          <w:sz w:val="18"/>
        </w:rPr>
        <w:t> </w:t>
      </w:r>
      <w:r>
        <w:rPr>
          <w:i/>
          <w:w w:val="120"/>
          <w:sz w:val="18"/>
        </w:rPr>
        <w:t>URC</w:t>
      </w:r>
      <w:r>
        <w:rPr>
          <w:i/>
          <w:spacing w:val="-5"/>
          <w:w w:val="120"/>
          <w:sz w:val="18"/>
        </w:rPr>
        <w:t> </w:t>
      </w:r>
      <w:r>
        <w:rPr>
          <w:w w:val="120"/>
          <w:sz w:val="18"/>
        </w:rPr>
        <w:t>booklet</w:t>
      </w:r>
      <w:r>
        <w:rPr>
          <w:spacing w:val="-1"/>
          <w:w w:val="120"/>
          <w:sz w:val="18"/>
        </w:rPr>
        <w:t> </w:t>
      </w:r>
      <w:r>
        <w:rPr>
          <w:w w:val="120"/>
          <w:sz w:val="18"/>
        </w:rPr>
        <w:t>for details –</w:t>
      </w:r>
      <w:r>
        <w:rPr>
          <w:spacing w:val="-14"/>
          <w:w w:val="120"/>
          <w:sz w:val="18"/>
        </w:rPr>
        <w:t> </w:t>
      </w:r>
      <w:hyperlink r:id="rId224">
        <w:r>
          <w:rPr>
            <w:w w:val="120"/>
            <w:sz w:val="18"/>
          </w:rPr>
          <w:t>http://www.urc.org.uk/what_we_do/mission/images/vision2020_booklet_colour.pdf</w:t>
        </w:r>
      </w:hyperlink>
    </w:p>
    <w:p>
      <w:pPr>
        <w:spacing w:after="0"/>
        <w:jc w:val="left"/>
        <w:rPr>
          <w:sz w:val="18"/>
        </w:rPr>
        <w:sectPr>
          <w:pgSz w:w="11910" w:h="16840"/>
          <w:pgMar w:header="0" w:footer="647" w:top="1060" w:bottom="840" w:left="0" w:right="0"/>
        </w:sectPr>
      </w:pPr>
    </w:p>
    <w:tbl>
      <w:tblPr>
        <w:tblW w:w="0" w:type="auto"/>
        <w:jc w:val="left"/>
        <w:tblInd w:w="1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44"/>
        <w:gridCol w:w="354"/>
        <w:gridCol w:w="300"/>
      </w:tblGrid>
      <w:tr>
        <w:trPr>
          <w:trHeight w:val="339" w:hRule="atLeast"/>
        </w:trPr>
        <w:tc>
          <w:tcPr>
            <w:tcW w:w="8444" w:type="dxa"/>
            <w:vMerge w:val="restart"/>
            <w:tcBorders>
              <w:top w:val="single" w:sz="8" w:space="0" w:color="CA4F1B"/>
            </w:tcBorders>
            <w:shd w:val="clear" w:color="auto" w:fill="FCF4E0"/>
          </w:tcPr>
          <w:p>
            <w:pPr>
              <w:pStyle w:val="TableParagraph"/>
              <w:spacing w:before="9"/>
              <w:rPr>
                <w:sz w:val="24"/>
              </w:rPr>
            </w:pPr>
          </w:p>
          <w:p>
            <w:pPr>
              <w:pStyle w:val="TableParagraph"/>
              <w:spacing w:line="235" w:lineRule="auto"/>
              <w:ind w:left="350"/>
              <w:rPr>
                <w:sz w:val="20"/>
              </w:rPr>
            </w:pPr>
            <w:r>
              <w:rPr>
                <w:w w:val="120"/>
                <w:sz w:val="20"/>
              </w:rPr>
              <w:t>General Assembly recommends that trustees and all those with investment responsibilities connected with the United Reformed Church should avoid any investment in:</w:t>
            </w:r>
          </w:p>
        </w:tc>
        <w:tc>
          <w:tcPr>
            <w:tcW w:w="354" w:type="dxa"/>
            <w:tcBorders>
              <w:bottom w:val="single" w:sz="49" w:space="0" w:color="FFFFFF"/>
            </w:tcBorders>
            <w:shd w:val="clear" w:color="auto" w:fill="CA4F1B"/>
          </w:tcPr>
          <w:p>
            <w:pPr>
              <w:pStyle w:val="TableParagraph"/>
              <w:rPr>
                <w:rFonts w:ascii="Times New Roman"/>
                <w:sz w:val="22"/>
              </w:rPr>
            </w:pPr>
          </w:p>
        </w:tc>
        <w:tc>
          <w:tcPr>
            <w:tcW w:w="300" w:type="dxa"/>
            <w:vMerge w:val="restart"/>
            <w:tcBorders>
              <w:top w:val="single" w:sz="8" w:space="0" w:color="CA4F1B"/>
            </w:tcBorders>
            <w:shd w:val="clear" w:color="auto" w:fill="FCF4E0"/>
          </w:tcPr>
          <w:p>
            <w:pPr>
              <w:pStyle w:val="TableParagraph"/>
              <w:rPr>
                <w:rFonts w:ascii="Times New Roman"/>
                <w:sz w:val="22"/>
              </w:rPr>
            </w:pPr>
          </w:p>
        </w:tc>
      </w:tr>
      <w:tr>
        <w:trPr>
          <w:trHeight w:val="359" w:hRule="atLeast"/>
        </w:trPr>
        <w:tc>
          <w:tcPr>
            <w:tcW w:w="8444" w:type="dxa"/>
            <w:vMerge/>
            <w:tcBorders>
              <w:top w:val="nil"/>
            </w:tcBorders>
            <w:shd w:val="clear" w:color="auto" w:fill="FCF4E0"/>
          </w:tcPr>
          <w:p>
            <w:pPr>
              <w:rPr>
                <w:sz w:val="2"/>
                <w:szCs w:val="2"/>
              </w:rPr>
            </w:pPr>
          </w:p>
        </w:tc>
        <w:tc>
          <w:tcPr>
            <w:tcW w:w="354" w:type="dxa"/>
            <w:tcBorders>
              <w:top w:val="single" w:sz="49" w:space="0" w:color="FFFFFF"/>
              <w:bottom w:val="single" w:sz="54" w:space="0" w:color="FFFFFF"/>
            </w:tcBorders>
            <w:shd w:val="clear" w:color="auto" w:fill="E3AC83"/>
          </w:tcPr>
          <w:p>
            <w:pPr>
              <w:pStyle w:val="TableParagraph"/>
              <w:rPr>
                <w:rFonts w:ascii="Times New Roman"/>
                <w:sz w:val="22"/>
              </w:rPr>
            </w:pPr>
          </w:p>
        </w:tc>
        <w:tc>
          <w:tcPr>
            <w:tcW w:w="300" w:type="dxa"/>
            <w:vMerge/>
            <w:tcBorders>
              <w:top w:val="nil"/>
            </w:tcBorders>
            <w:shd w:val="clear" w:color="auto" w:fill="FCF4E0"/>
          </w:tcPr>
          <w:p>
            <w:pPr>
              <w:rPr>
                <w:sz w:val="2"/>
                <w:szCs w:val="2"/>
              </w:rPr>
            </w:pPr>
          </w:p>
        </w:tc>
      </w:tr>
      <w:tr>
        <w:trPr>
          <w:trHeight w:val="359" w:hRule="atLeast"/>
        </w:trPr>
        <w:tc>
          <w:tcPr>
            <w:tcW w:w="8444" w:type="dxa"/>
            <w:vMerge/>
            <w:tcBorders>
              <w:top w:val="nil"/>
            </w:tcBorders>
            <w:shd w:val="clear" w:color="auto" w:fill="FCF4E0"/>
          </w:tcPr>
          <w:p>
            <w:pPr>
              <w:rPr>
                <w:sz w:val="2"/>
                <w:szCs w:val="2"/>
              </w:rPr>
            </w:pPr>
          </w:p>
        </w:tc>
        <w:tc>
          <w:tcPr>
            <w:tcW w:w="354" w:type="dxa"/>
            <w:tcBorders>
              <w:top w:val="single" w:sz="54" w:space="0" w:color="FFFFFF"/>
            </w:tcBorders>
            <w:shd w:val="clear" w:color="auto" w:fill="EFCEB4"/>
          </w:tcPr>
          <w:p>
            <w:pPr>
              <w:pStyle w:val="TableParagraph"/>
              <w:rPr>
                <w:rFonts w:ascii="Times New Roman"/>
                <w:sz w:val="22"/>
              </w:rPr>
            </w:pPr>
          </w:p>
        </w:tc>
        <w:tc>
          <w:tcPr>
            <w:tcW w:w="300" w:type="dxa"/>
            <w:vMerge/>
            <w:tcBorders>
              <w:top w:val="nil"/>
            </w:tcBorders>
            <w:shd w:val="clear" w:color="auto" w:fill="FCF4E0"/>
          </w:tcPr>
          <w:p>
            <w:pPr>
              <w:rPr>
                <w:sz w:val="2"/>
                <w:szCs w:val="2"/>
              </w:rPr>
            </w:pPr>
          </w:p>
        </w:tc>
      </w:tr>
      <w:tr>
        <w:trPr>
          <w:trHeight w:val="4325" w:hRule="atLeast"/>
        </w:trPr>
        <w:tc>
          <w:tcPr>
            <w:tcW w:w="9098" w:type="dxa"/>
            <w:gridSpan w:val="3"/>
            <w:tcBorders>
              <w:bottom w:val="single" w:sz="8" w:space="0" w:color="CA4F1B"/>
            </w:tcBorders>
            <w:shd w:val="clear" w:color="auto" w:fill="FCF4E0"/>
          </w:tcPr>
          <w:p>
            <w:pPr>
              <w:pStyle w:val="TableParagraph"/>
              <w:numPr>
                <w:ilvl w:val="0"/>
                <w:numId w:val="114"/>
              </w:numPr>
              <w:tabs>
                <w:tab w:pos="691" w:val="left" w:leader="none"/>
              </w:tabs>
              <w:spacing w:line="183" w:lineRule="exact" w:before="0" w:after="0"/>
              <w:ind w:left="690" w:right="0" w:hanging="341"/>
              <w:jc w:val="left"/>
              <w:rPr>
                <w:sz w:val="20"/>
              </w:rPr>
            </w:pPr>
            <w:r>
              <w:rPr>
                <w:spacing w:val="4"/>
                <w:w w:val="120"/>
                <w:sz w:val="20"/>
              </w:rPr>
              <w:t>companies</w:t>
            </w:r>
            <w:r>
              <w:rPr>
                <w:spacing w:val="16"/>
                <w:w w:val="120"/>
                <w:sz w:val="20"/>
              </w:rPr>
              <w:t> </w:t>
            </w:r>
            <w:r>
              <w:rPr>
                <w:spacing w:val="5"/>
                <w:w w:val="120"/>
                <w:sz w:val="20"/>
              </w:rPr>
              <w:t>directly</w:t>
            </w:r>
            <w:r>
              <w:rPr>
                <w:spacing w:val="16"/>
                <w:w w:val="120"/>
                <w:sz w:val="20"/>
              </w:rPr>
              <w:t> </w:t>
            </w:r>
            <w:r>
              <w:rPr>
                <w:spacing w:val="5"/>
                <w:w w:val="120"/>
                <w:sz w:val="20"/>
              </w:rPr>
              <w:t>engaged</w:t>
            </w:r>
            <w:r>
              <w:rPr>
                <w:spacing w:val="16"/>
                <w:w w:val="120"/>
                <w:sz w:val="20"/>
              </w:rPr>
              <w:t> </w:t>
            </w:r>
            <w:r>
              <w:rPr>
                <w:spacing w:val="2"/>
                <w:w w:val="120"/>
                <w:sz w:val="20"/>
              </w:rPr>
              <w:t>in</w:t>
            </w:r>
            <w:r>
              <w:rPr>
                <w:spacing w:val="16"/>
                <w:w w:val="120"/>
                <w:sz w:val="20"/>
              </w:rPr>
              <w:t> </w:t>
            </w:r>
            <w:r>
              <w:rPr>
                <w:spacing w:val="4"/>
                <w:w w:val="120"/>
                <w:sz w:val="20"/>
              </w:rPr>
              <w:t>the</w:t>
            </w:r>
            <w:r>
              <w:rPr>
                <w:spacing w:val="16"/>
                <w:w w:val="120"/>
                <w:sz w:val="20"/>
              </w:rPr>
              <w:t> </w:t>
            </w:r>
            <w:r>
              <w:rPr>
                <w:spacing w:val="5"/>
                <w:w w:val="120"/>
                <w:sz w:val="20"/>
              </w:rPr>
              <w:t>manufacture</w:t>
            </w:r>
            <w:r>
              <w:rPr>
                <w:spacing w:val="16"/>
                <w:w w:val="120"/>
                <w:sz w:val="20"/>
              </w:rPr>
              <w:t> </w:t>
            </w:r>
            <w:r>
              <w:rPr>
                <w:spacing w:val="3"/>
                <w:w w:val="120"/>
                <w:sz w:val="20"/>
              </w:rPr>
              <w:t>or</w:t>
            </w:r>
            <w:r>
              <w:rPr>
                <w:spacing w:val="16"/>
                <w:w w:val="120"/>
                <w:sz w:val="20"/>
              </w:rPr>
              <w:t> </w:t>
            </w:r>
            <w:r>
              <w:rPr>
                <w:spacing w:val="4"/>
                <w:w w:val="120"/>
                <w:sz w:val="20"/>
              </w:rPr>
              <w:t>supply</w:t>
            </w:r>
            <w:r>
              <w:rPr>
                <w:spacing w:val="16"/>
                <w:w w:val="120"/>
                <w:sz w:val="20"/>
              </w:rPr>
              <w:t> </w:t>
            </w:r>
            <w:r>
              <w:rPr>
                <w:spacing w:val="3"/>
                <w:w w:val="120"/>
                <w:sz w:val="20"/>
              </w:rPr>
              <w:t>of</w:t>
            </w:r>
            <w:r>
              <w:rPr>
                <w:spacing w:val="16"/>
                <w:w w:val="120"/>
                <w:sz w:val="20"/>
              </w:rPr>
              <w:t> </w:t>
            </w:r>
            <w:r>
              <w:rPr>
                <w:spacing w:val="4"/>
                <w:w w:val="120"/>
                <w:sz w:val="20"/>
              </w:rPr>
              <w:t>weapons</w:t>
            </w:r>
          </w:p>
          <w:p>
            <w:pPr>
              <w:pStyle w:val="TableParagraph"/>
              <w:spacing w:line="242" w:lineRule="exact"/>
              <w:ind w:left="690"/>
              <w:rPr>
                <w:sz w:val="20"/>
              </w:rPr>
            </w:pPr>
            <w:r>
              <w:rPr>
                <w:w w:val="115"/>
                <w:sz w:val="20"/>
              </w:rPr>
              <w:t>of destruction;</w:t>
            </w:r>
          </w:p>
          <w:p>
            <w:pPr>
              <w:pStyle w:val="TableParagraph"/>
              <w:spacing w:before="7"/>
              <w:rPr>
                <w:sz w:val="19"/>
              </w:rPr>
            </w:pPr>
          </w:p>
          <w:p>
            <w:pPr>
              <w:pStyle w:val="TableParagraph"/>
              <w:numPr>
                <w:ilvl w:val="0"/>
                <w:numId w:val="114"/>
              </w:numPr>
              <w:tabs>
                <w:tab w:pos="691" w:val="left" w:leader="none"/>
              </w:tabs>
              <w:spacing w:line="235" w:lineRule="auto" w:before="0" w:after="0"/>
              <w:ind w:left="690" w:right="1041" w:hanging="341"/>
              <w:jc w:val="left"/>
              <w:rPr>
                <w:sz w:val="20"/>
              </w:rPr>
            </w:pPr>
            <w:r>
              <w:rPr>
                <w:spacing w:val="4"/>
                <w:w w:val="120"/>
                <w:sz w:val="20"/>
              </w:rPr>
              <w:t>companies </w:t>
            </w:r>
            <w:r>
              <w:rPr>
                <w:w w:val="120"/>
                <w:sz w:val="20"/>
              </w:rPr>
              <w:t>a </w:t>
            </w:r>
            <w:r>
              <w:rPr>
                <w:spacing w:val="5"/>
                <w:w w:val="120"/>
                <w:sz w:val="20"/>
              </w:rPr>
              <w:t>significant </w:t>
            </w:r>
            <w:r>
              <w:rPr>
                <w:spacing w:val="6"/>
                <w:w w:val="120"/>
                <w:sz w:val="20"/>
              </w:rPr>
              <w:t>part </w:t>
            </w:r>
            <w:r>
              <w:rPr>
                <w:spacing w:val="3"/>
                <w:w w:val="120"/>
                <w:sz w:val="20"/>
              </w:rPr>
              <w:t>of </w:t>
            </w:r>
            <w:r>
              <w:rPr>
                <w:spacing w:val="4"/>
                <w:w w:val="120"/>
                <w:sz w:val="20"/>
              </w:rPr>
              <w:t>whose business </w:t>
            </w:r>
            <w:r>
              <w:rPr>
                <w:w w:val="120"/>
                <w:sz w:val="20"/>
              </w:rPr>
              <w:t>is </w:t>
            </w:r>
            <w:r>
              <w:rPr>
                <w:spacing w:val="2"/>
                <w:w w:val="120"/>
                <w:sz w:val="20"/>
              </w:rPr>
              <w:t>in </w:t>
            </w:r>
            <w:r>
              <w:rPr>
                <w:spacing w:val="4"/>
                <w:w w:val="120"/>
                <w:sz w:val="20"/>
              </w:rPr>
              <w:t>the supply </w:t>
            </w:r>
            <w:r>
              <w:rPr>
                <w:spacing w:val="3"/>
                <w:w w:val="120"/>
                <w:sz w:val="20"/>
              </w:rPr>
              <w:t>of </w:t>
            </w:r>
            <w:r>
              <w:rPr>
                <w:spacing w:val="4"/>
                <w:w w:val="120"/>
                <w:sz w:val="20"/>
              </w:rPr>
              <w:t>alcoholic </w:t>
            </w:r>
            <w:r>
              <w:rPr>
                <w:spacing w:val="5"/>
                <w:w w:val="120"/>
                <w:sz w:val="20"/>
              </w:rPr>
              <w:t>drinks </w:t>
            </w:r>
            <w:r>
              <w:rPr>
                <w:spacing w:val="3"/>
                <w:w w:val="120"/>
                <w:sz w:val="20"/>
              </w:rPr>
              <w:t>or tobacco </w:t>
            </w:r>
            <w:r>
              <w:rPr>
                <w:spacing w:val="6"/>
                <w:w w:val="120"/>
                <w:sz w:val="20"/>
              </w:rPr>
              <w:t>products </w:t>
            </w:r>
            <w:r>
              <w:rPr>
                <w:spacing w:val="3"/>
                <w:w w:val="120"/>
                <w:sz w:val="20"/>
              </w:rPr>
              <w:t>or </w:t>
            </w:r>
            <w:r>
              <w:rPr>
                <w:spacing w:val="6"/>
                <w:w w:val="120"/>
                <w:sz w:val="20"/>
              </w:rPr>
              <w:t>military </w:t>
            </w:r>
            <w:r>
              <w:rPr>
                <w:spacing w:val="5"/>
                <w:w w:val="120"/>
                <w:sz w:val="20"/>
              </w:rPr>
              <w:t>equipment </w:t>
            </w:r>
            <w:r>
              <w:rPr>
                <w:w w:val="120"/>
                <w:sz w:val="20"/>
              </w:rPr>
              <w:t>(other </w:t>
            </w:r>
            <w:r>
              <w:rPr>
                <w:spacing w:val="4"/>
                <w:w w:val="120"/>
                <w:sz w:val="20"/>
              </w:rPr>
              <w:t>than weapons </w:t>
            </w:r>
            <w:r>
              <w:rPr>
                <w:spacing w:val="3"/>
                <w:w w:val="120"/>
                <w:sz w:val="20"/>
              </w:rPr>
              <w:t>of </w:t>
            </w:r>
            <w:r>
              <w:rPr>
                <w:spacing w:val="4"/>
                <w:w w:val="120"/>
                <w:sz w:val="20"/>
              </w:rPr>
              <w:t>destruction); </w:t>
            </w:r>
            <w:r>
              <w:rPr>
                <w:spacing w:val="3"/>
                <w:w w:val="120"/>
                <w:sz w:val="20"/>
              </w:rPr>
              <w:t>or </w:t>
            </w:r>
            <w:r>
              <w:rPr>
                <w:spacing w:val="4"/>
                <w:w w:val="120"/>
                <w:sz w:val="20"/>
              </w:rPr>
              <w:t>the provision </w:t>
            </w:r>
            <w:r>
              <w:rPr>
                <w:spacing w:val="3"/>
                <w:w w:val="120"/>
                <w:sz w:val="20"/>
              </w:rPr>
              <w:t>of </w:t>
            </w:r>
            <w:r>
              <w:rPr>
                <w:spacing w:val="4"/>
                <w:w w:val="120"/>
                <w:sz w:val="20"/>
              </w:rPr>
              <w:t>gambling facilities; </w:t>
            </w:r>
            <w:r>
              <w:rPr>
                <w:spacing w:val="3"/>
                <w:w w:val="120"/>
                <w:sz w:val="20"/>
              </w:rPr>
              <w:t>or </w:t>
            </w:r>
            <w:r>
              <w:rPr>
                <w:spacing w:val="4"/>
                <w:w w:val="120"/>
                <w:sz w:val="20"/>
              </w:rPr>
              <w:t>the </w:t>
            </w:r>
            <w:r>
              <w:rPr>
                <w:spacing w:val="5"/>
                <w:w w:val="120"/>
                <w:sz w:val="20"/>
              </w:rPr>
              <w:t>publication </w:t>
            </w:r>
            <w:r>
              <w:rPr>
                <w:spacing w:val="3"/>
                <w:w w:val="120"/>
                <w:sz w:val="20"/>
              </w:rPr>
              <w:t>or </w:t>
            </w:r>
            <w:r>
              <w:rPr>
                <w:spacing w:val="5"/>
                <w:w w:val="120"/>
                <w:sz w:val="20"/>
              </w:rPr>
              <w:t>distribution </w:t>
            </w:r>
            <w:r>
              <w:rPr>
                <w:spacing w:val="3"/>
                <w:w w:val="120"/>
                <w:sz w:val="20"/>
              </w:rPr>
              <w:t>of</w:t>
            </w:r>
            <w:r>
              <w:rPr>
                <w:spacing w:val="45"/>
                <w:w w:val="120"/>
                <w:sz w:val="20"/>
              </w:rPr>
              <w:t> </w:t>
            </w:r>
            <w:r>
              <w:rPr>
                <w:spacing w:val="4"/>
                <w:w w:val="120"/>
                <w:sz w:val="20"/>
              </w:rPr>
              <w:t>pornography.</w:t>
            </w:r>
          </w:p>
          <w:p>
            <w:pPr>
              <w:pStyle w:val="TableParagraph"/>
              <w:spacing w:before="11"/>
              <w:rPr>
                <w:sz w:val="19"/>
              </w:rPr>
            </w:pPr>
          </w:p>
          <w:p>
            <w:pPr>
              <w:pStyle w:val="TableParagraph"/>
              <w:spacing w:line="235" w:lineRule="auto"/>
              <w:ind w:left="350" w:right="453"/>
              <w:rPr>
                <w:sz w:val="20"/>
              </w:rPr>
            </w:pPr>
            <w:r>
              <w:rPr>
                <w:spacing w:val="5"/>
                <w:w w:val="120"/>
                <w:sz w:val="20"/>
              </w:rPr>
              <w:t>General Assembly </w:t>
            </w:r>
            <w:r>
              <w:rPr>
                <w:spacing w:val="3"/>
                <w:w w:val="120"/>
                <w:sz w:val="20"/>
              </w:rPr>
              <w:t>notes </w:t>
            </w:r>
            <w:r>
              <w:rPr>
                <w:spacing w:val="4"/>
                <w:w w:val="120"/>
                <w:sz w:val="20"/>
              </w:rPr>
              <w:t>that the </w:t>
            </w:r>
            <w:r>
              <w:rPr>
                <w:spacing w:val="5"/>
                <w:w w:val="120"/>
                <w:sz w:val="20"/>
              </w:rPr>
              <w:t>definition </w:t>
            </w:r>
            <w:r>
              <w:rPr>
                <w:spacing w:val="3"/>
                <w:w w:val="120"/>
                <w:sz w:val="20"/>
              </w:rPr>
              <w:t>of </w:t>
            </w:r>
            <w:r>
              <w:rPr>
                <w:spacing w:val="4"/>
                <w:w w:val="120"/>
                <w:sz w:val="20"/>
              </w:rPr>
              <w:t>these </w:t>
            </w:r>
            <w:r>
              <w:rPr>
                <w:spacing w:val="5"/>
                <w:w w:val="120"/>
                <w:sz w:val="20"/>
              </w:rPr>
              <w:t>activities, </w:t>
            </w:r>
            <w:r>
              <w:rPr>
                <w:spacing w:val="3"/>
                <w:w w:val="120"/>
                <w:sz w:val="20"/>
              </w:rPr>
              <w:t>or of </w:t>
            </w:r>
            <w:r>
              <w:rPr>
                <w:spacing w:val="4"/>
                <w:w w:val="120"/>
                <w:sz w:val="20"/>
              </w:rPr>
              <w:t>what constitutes </w:t>
            </w:r>
            <w:r>
              <w:rPr>
                <w:w w:val="120"/>
                <w:sz w:val="20"/>
              </w:rPr>
              <w:t>a </w:t>
            </w:r>
            <w:r>
              <w:rPr>
                <w:spacing w:val="5"/>
                <w:w w:val="120"/>
                <w:sz w:val="20"/>
              </w:rPr>
              <w:t>significant </w:t>
            </w:r>
            <w:r>
              <w:rPr>
                <w:spacing w:val="6"/>
                <w:w w:val="120"/>
                <w:sz w:val="20"/>
              </w:rPr>
              <w:t>part </w:t>
            </w:r>
            <w:r>
              <w:rPr>
                <w:spacing w:val="3"/>
                <w:w w:val="120"/>
                <w:sz w:val="20"/>
              </w:rPr>
              <w:t>of </w:t>
            </w:r>
            <w:r>
              <w:rPr>
                <w:w w:val="120"/>
                <w:sz w:val="20"/>
              </w:rPr>
              <w:t>a </w:t>
            </w:r>
            <w:r>
              <w:rPr>
                <w:spacing w:val="3"/>
                <w:w w:val="120"/>
                <w:sz w:val="20"/>
              </w:rPr>
              <w:t>company’s </w:t>
            </w:r>
            <w:r>
              <w:rPr>
                <w:spacing w:val="4"/>
                <w:w w:val="120"/>
                <w:sz w:val="20"/>
              </w:rPr>
              <w:t>business, </w:t>
            </w:r>
            <w:r>
              <w:rPr>
                <w:spacing w:val="5"/>
                <w:w w:val="120"/>
                <w:sz w:val="20"/>
              </w:rPr>
              <w:t>requires judgement </w:t>
            </w:r>
            <w:r>
              <w:rPr>
                <w:spacing w:val="4"/>
                <w:w w:val="120"/>
                <w:sz w:val="20"/>
              </w:rPr>
              <w:t>and the Ethical </w:t>
            </w:r>
            <w:r>
              <w:rPr>
                <w:spacing w:val="5"/>
                <w:w w:val="120"/>
                <w:sz w:val="20"/>
              </w:rPr>
              <w:t>Investment </w:t>
            </w:r>
            <w:r>
              <w:rPr>
                <w:spacing w:val="6"/>
                <w:w w:val="120"/>
                <w:sz w:val="20"/>
              </w:rPr>
              <w:t>Advisory </w:t>
            </w:r>
            <w:r>
              <w:rPr>
                <w:spacing w:val="4"/>
                <w:w w:val="120"/>
                <w:sz w:val="20"/>
              </w:rPr>
              <w:t>Group </w:t>
            </w:r>
            <w:r>
              <w:rPr>
                <w:spacing w:val="2"/>
                <w:w w:val="120"/>
                <w:sz w:val="20"/>
              </w:rPr>
              <w:t>(EIAG) </w:t>
            </w:r>
            <w:r>
              <w:rPr>
                <w:spacing w:val="3"/>
                <w:w w:val="120"/>
                <w:sz w:val="20"/>
              </w:rPr>
              <w:t>of </w:t>
            </w:r>
            <w:r>
              <w:rPr>
                <w:spacing w:val="4"/>
                <w:w w:val="120"/>
                <w:sz w:val="20"/>
              </w:rPr>
              <w:t>Mission </w:t>
            </w:r>
            <w:r>
              <w:rPr>
                <w:spacing w:val="3"/>
                <w:w w:val="120"/>
                <w:sz w:val="20"/>
              </w:rPr>
              <w:t>Council </w:t>
            </w:r>
            <w:r>
              <w:rPr>
                <w:w w:val="120"/>
                <w:sz w:val="20"/>
              </w:rPr>
              <w:t>is </w:t>
            </w:r>
            <w:r>
              <w:rPr>
                <w:spacing w:val="4"/>
                <w:w w:val="120"/>
                <w:sz w:val="20"/>
              </w:rPr>
              <w:t>available </w:t>
            </w:r>
            <w:r>
              <w:rPr>
                <w:w w:val="120"/>
                <w:sz w:val="20"/>
              </w:rPr>
              <w:t>to </w:t>
            </w:r>
            <w:r>
              <w:rPr>
                <w:spacing w:val="6"/>
                <w:w w:val="120"/>
                <w:sz w:val="20"/>
              </w:rPr>
              <w:t>offer </w:t>
            </w:r>
            <w:r>
              <w:rPr>
                <w:spacing w:val="4"/>
                <w:w w:val="120"/>
                <w:sz w:val="20"/>
              </w:rPr>
              <w:t>advice. </w:t>
            </w:r>
            <w:r>
              <w:rPr>
                <w:spacing w:val="3"/>
                <w:w w:val="120"/>
                <w:sz w:val="20"/>
              </w:rPr>
              <w:t>In </w:t>
            </w:r>
            <w:r>
              <w:rPr>
                <w:spacing w:val="5"/>
                <w:w w:val="120"/>
                <w:sz w:val="20"/>
              </w:rPr>
              <w:t>general, </w:t>
            </w:r>
            <w:r>
              <w:rPr>
                <w:spacing w:val="3"/>
                <w:w w:val="120"/>
                <w:sz w:val="20"/>
              </w:rPr>
              <w:t>EIAG </w:t>
            </w:r>
            <w:r>
              <w:rPr>
                <w:spacing w:val="4"/>
                <w:w w:val="120"/>
                <w:sz w:val="20"/>
              </w:rPr>
              <w:t>will deem ‘significant’ </w:t>
            </w:r>
            <w:r>
              <w:rPr>
                <w:w w:val="120"/>
                <w:sz w:val="20"/>
              </w:rPr>
              <w:t>to </w:t>
            </w:r>
            <w:r>
              <w:rPr>
                <w:spacing w:val="4"/>
                <w:w w:val="120"/>
                <w:sz w:val="20"/>
              </w:rPr>
              <w:t>mean where the share </w:t>
            </w:r>
            <w:r>
              <w:rPr>
                <w:spacing w:val="3"/>
                <w:w w:val="120"/>
                <w:sz w:val="20"/>
              </w:rPr>
              <w:t>of </w:t>
            </w:r>
            <w:r>
              <w:rPr>
                <w:spacing w:val="4"/>
                <w:w w:val="120"/>
                <w:sz w:val="20"/>
              </w:rPr>
              <w:t>turnover </w:t>
            </w:r>
            <w:r>
              <w:rPr>
                <w:spacing w:val="5"/>
                <w:w w:val="120"/>
                <w:sz w:val="20"/>
              </w:rPr>
              <w:t>derived </w:t>
            </w:r>
            <w:r>
              <w:rPr>
                <w:spacing w:val="4"/>
                <w:w w:val="120"/>
                <w:sz w:val="20"/>
              </w:rPr>
              <w:t>from the </w:t>
            </w:r>
            <w:r>
              <w:rPr>
                <w:spacing w:val="6"/>
                <w:w w:val="120"/>
                <w:sz w:val="20"/>
              </w:rPr>
              <w:t>activity </w:t>
            </w:r>
            <w:r>
              <w:rPr>
                <w:spacing w:val="4"/>
                <w:w w:val="120"/>
                <w:sz w:val="20"/>
              </w:rPr>
              <w:t>concerned </w:t>
            </w:r>
            <w:r>
              <w:rPr>
                <w:w w:val="120"/>
                <w:sz w:val="20"/>
              </w:rPr>
              <w:t>is </w:t>
            </w:r>
            <w:r>
              <w:rPr>
                <w:spacing w:val="4"/>
                <w:w w:val="120"/>
                <w:sz w:val="20"/>
              </w:rPr>
              <w:t>more than around 10-20%of the </w:t>
            </w:r>
            <w:r>
              <w:rPr>
                <w:spacing w:val="3"/>
                <w:w w:val="120"/>
                <w:sz w:val="20"/>
              </w:rPr>
              <w:t>company’s total</w:t>
            </w:r>
            <w:r>
              <w:rPr>
                <w:spacing w:val="23"/>
                <w:w w:val="120"/>
                <w:sz w:val="20"/>
              </w:rPr>
              <w:t> </w:t>
            </w:r>
            <w:r>
              <w:rPr>
                <w:spacing w:val="3"/>
                <w:w w:val="120"/>
                <w:sz w:val="20"/>
              </w:rPr>
              <w:t>turnover.</w:t>
            </w:r>
          </w:p>
          <w:p>
            <w:pPr>
              <w:pStyle w:val="TableParagraph"/>
              <w:rPr>
                <w:sz w:val="20"/>
              </w:rPr>
            </w:pPr>
          </w:p>
          <w:p>
            <w:pPr>
              <w:pStyle w:val="TableParagraph"/>
              <w:spacing w:line="235" w:lineRule="auto"/>
              <w:ind w:left="350" w:right="195"/>
              <w:rPr>
                <w:sz w:val="20"/>
              </w:rPr>
            </w:pPr>
            <w:r>
              <w:rPr>
                <w:w w:val="120"/>
                <w:sz w:val="20"/>
              </w:rPr>
              <w:t>General Assembly recognises that this policy can only be advisory as the responsibility of specific investment decisions remains with each body of trustees.</w:t>
            </w:r>
          </w:p>
        </w:tc>
      </w:tr>
    </w:tbl>
    <w:p>
      <w:pPr>
        <w:pStyle w:val="BodyText"/>
      </w:pPr>
      <w:r>
        <w:rPr/>
        <w:pict>
          <v:rect style="position:absolute;margin-left:558.424988pt;margin-top:62.480015pt;width:22.677pt;height:22.677pt;mso-position-horizontal-relative:page;mso-position-vertical-relative:page;z-index:-267454464" filled="true" fillcolor="#f9e9c1" stroked="false">
            <v:fill opacity="32768f" type="solid"/>
            <w10:wrap type="none"/>
          </v:rect>
        </w:pict>
      </w:r>
    </w:p>
    <w:p>
      <w:pPr>
        <w:pStyle w:val="BodyText"/>
        <w:spacing w:before="11"/>
        <w:rPr>
          <w:sz w:val="18"/>
        </w:rPr>
      </w:pPr>
    </w:p>
    <w:p>
      <w:pPr>
        <w:pStyle w:val="BodyText"/>
        <w:spacing w:line="235" w:lineRule="auto" w:before="104"/>
        <w:ind w:left="1873" w:right="949"/>
      </w:pPr>
      <w:r>
        <w:rPr>
          <w:w w:val="120"/>
        </w:rPr>
        <w:t>However, in addition to the criteria listed above, the URC’s investment bodies are encouraged to avoid investment in companies whose management practices are deemed to be unacceptable or whose operations are deemed to:</w:t>
      </w:r>
    </w:p>
    <w:p>
      <w:pPr>
        <w:pStyle w:val="ListParagraph"/>
        <w:numPr>
          <w:ilvl w:val="0"/>
          <w:numId w:val="115"/>
        </w:numPr>
        <w:tabs>
          <w:tab w:pos="2553" w:val="left" w:leader="none"/>
          <w:tab w:pos="2555" w:val="left" w:leader="none"/>
        </w:tabs>
        <w:spacing w:line="245" w:lineRule="exact" w:before="0" w:after="0"/>
        <w:ind w:left="2554" w:right="0" w:hanging="682"/>
        <w:jc w:val="left"/>
        <w:rPr>
          <w:sz w:val="20"/>
        </w:rPr>
      </w:pPr>
      <w:r>
        <w:rPr>
          <w:w w:val="120"/>
          <w:sz w:val="20"/>
        </w:rPr>
        <w:t>contribute to the oppressive nature of regimes which are guilty of gross</w:t>
      </w:r>
      <w:r>
        <w:rPr>
          <w:spacing w:val="31"/>
          <w:w w:val="120"/>
          <w:sz w:val="20"/>
        </w:rPr>
        <w:t> </w:t>
      </w:r>
      <w:r>
        <w:rPr>
          <w:w w:val="120"/>
          <w:sz w:val="20"/>
        </w:rPr>
        <w:t>human</w:t>
      </w:r>
    </w:p>
    <w:p>
      <w:pPr>
        <w:pStyle w:val="BodyText"/>
        <w:spacing w:line="201" w:lineRule="exact"/>
        <w:ind w:left="2554"/>
      </w:pPr>
      <w:r>
        <w:rPr>
          <w:w w:val="120"/>
        </w:rPr>
        <w:t>rights violations;</w:t>
      </w:r>
    </w:p>
    <w:p>
      <w:pPr>
        <w:pStyle w:val="ListParagraph"/>
        <w:numPr>
          <w:ilvl w:val="0"/>
          <w:numId w:val="115"/>
        </w:numPr>
        <w:tabs>
          <w:tab w:pos="2553" w:val="left" w:leader="none"/>
          <w:tab w:pos="2555" w:val="left" w:leader="none"/>
        </w:tabs>
        <w:spacing w:line="244" w:lineRule="exact" w:before="0" w:after="0"/>
        <w:ind w:left="2554" w:right="0" w:hanging="682"/>
        <w:jc w:val="left"/>
        <w:rPr>
          <w:sz w:val="20"/>
        </w:rPr>
      </w:pPr>
      <w:r>
        <w:rPr>
          <w:w w:val="120"/>
          <w:sz w:val="20"/>
        </w:rPr>
        <w:t>contribute to a harmful impact on the social or natural</w:t>
      </w:r>
      <w:r>
        <w:rPr>
          <w:spacing w:val="17"/>
          <w:w w:val="120"/>
          <w:sz w:val="20"/>
        </w:rPr>
        <w:t> </w:t>
      </w:r>
      <w:r>
        <w:rPr>
          <w:w w:val="120"/>
          <w:sz w:val="20"/>
        </w:rPr>
        <w:t>environment;</w:t>
      </w:r>
    </w:p>
    <w:p>
      <w:pPr>
        <w:pStyle w:val="ListParagraph"/>
        <w:numPr>
          <w:ilvl w:val="0"/>
          <w:numId w:val="115"/>
        </w:numPr>
        <w:tabs>
          <w:tab w:pos="2553" w:val="left" w:leader="none"/>
          <w:tab w:pos="2555" w:val="left" w:leader="none"/>
        </w:tabs>
        <w:spacing w:line="240" w:lineRule="exact" w:before="0" w:after="0"/>
        <w:ind w:left="2554" w:right="0" w:hanging="682"/>
        <w:jc w:val="left"/>
        <w:rPr>
          <w:sz w:val="20"/>
        </w:rPr>
      </w:pPr>
      <w:r>
        <w:rPr>
          <w:w w:val="120"/>
          <w:sz w:val="20"/>
        </w:rPr>
        <w:t>harm the society in which they operate more than they benefit</w:t>
      </w:r>
      <w:r>
        <w:rPr>
          <w:spacing w:val="21"/>
          <w:w w:val="120"/>
          <w:sz w:val="20"/>
        </w:rPr>
        <w:t> </w:t>
      </w:r>
      <w:r>
        <w:rPr>
          <w:w w:val="120"/>
          <w:sz w:val="20"/>
        </w:rPr>
        <w:t>it;</w:t>
      </w:r>
    </w:p>
    <w:p>
      <w:pPr>
        <w:pStyle w:val="ListParagraph"/>
        <w:numPr>
          <w:ilvl w:val="0"/>
          <w:numId w:val="115"/>
        </w:numPr>
        <w:tabs>
          <w:tab w:pos="2553" w:val="left" w:leader="none"/>
          <w:tab w:pos="2555" w:val="left" w:leader="none"/>
        </w:tabs>
        <w:spacing w:line="281" w:lineRule="exact" w:before="0" w:after="0"/>
        <w:ind w:left="2554" w:right="0" w:hanging="682"/>
        <w:jc w:val="left"/>
        <w:rPr>
          <w:sz w:val="20"/>
        </w:rPr>
      </w:pPr>
      <w:r>
        <w:rPr>
          <w:w w:val="120"/>
          <w:sz w:val="20"/>
        </w:rPr>
        <w:t>promote</w:t>
      </w:r>
      <w:r>
        <w:rPr>
          <w:spacing w:val="1"/>
          <w:w w:val="120"/>
          <w:sz w:val="20"/>
        </w:rPr>
        <w:t> </w:t>
      </w:r>
      <w:r>
        <w:rPr>
          <w:w w:val="120"/>
          <w:sz w:val="20"/>
        </w:rPr>
        <w:t>injustice.</w:t>
      </w:r>
    </w:p>
    <w:p>
      <w:pPr>
        <w:pStyle w:val="ListParagraph"/>
        <w:numPr>
          <w:ilvl w:val="0"/>
          <w:numId w:val="116"/>
        </w:numPr>
        <w:tabs>
          <w:tab w:pos="2553" w:val="left" w:leader="none"/>
          <w:tab w:pos="2555" w:val="left" w:leader="none"/>
        </w:tabs>
        <w:spacing w:line="230" w:lineRule="auto" w:before="283" w:after="0"/>
        <w:ind w:left="1873" w:right="1108" w:firstLine="0"/>
        <w:jc w:val="left"/>
        <w:rPr>
          <w:sz w:val="20"/>
        </w:rPr>
      </w:pPr>
      <w:r>
        <w:rPr>
          <w:rFonts w:ascii="Stone Sans II ITC Std Bk" w:hAnsi="Stone Sans II ITC Std Bk"/>
          <w:b/>
          <w:w w:val="120"/>
          <w:sz w:val="20"/>
        </w:rPr>
        <w:t>Positive screening and ‘best in class/sector’ strategy </w:t>
      </w:r>
      <w:r>
        <w:rPr>
          <w:w w:val="120"/>
          <w:sz w:val="20"/>
        </w:rPr>
        <w:t>– URC trustees are encouraged to support companies that seek to develop their businesses successfully and sustainably in the long term interests of shareholders and other stakeholders. The URC will seek to invest in companies which have an active commitment to the</w:t>
      </w:r>
      <w:r>
        <w:rPr>
          <w:spacing w:val="26"/>
          <w:w w:val="120"/>
          <w:sz w:val="20"/>
        </w:rPr>
        <w:t> </w:t>
      </w:r>
      <w:r>
        <w:rPr>
          <w:w w:val="120"/>
          <w:sz w:val="20"/>
        </w:rPr>
        <w:t>following:</w:t>
      </w:r>
    </w:p>
    <w:p>
      <w:pPr>
        <w:pStyle w:val="ListParagraph"/>
        <w:numPr>
          <w:ilvl w:val="0"/>
          <w:numId w:val="115"/>
        </w:numPr>
        <w:tabs>
          <w:tab w:pos="2553" w:val="left" w:leader="none"/>
          <w:tab w:pos="2555" w:val="left" w:leader="none"/>
        </w:tabs>
        <w:spacing w:line="212" w:lineRule="exact" w:before="0" w:after="0"/>
        <w:ind w:left="2554" w:right="0" w:hanging="682"/>
        <w:jc w:val="left"/>
        <w:rPr>
          <w:sz w:val="20"/>
        </w:rPr>
      </w:pPr>
      <w:r>
        <w:rPr>
          <w:w w:val="120"/>
          <w:sz w:val="20"/>
        </w:rPr>
        <w:t>responsible employment</w:t>
      </w:r>
      <w:r>
        <w:rPr>
          <w:spacing w:val="4"/>
          <w:w w:val="120"/>
          <w:sz w:val="20"/>
        </w:rPr>
        <w:t> </w:t>
      </w:r>
      <w:r>
        <w:rPr>
          <w:w w:val="120"/>
          <w:sz w:val="20"/>
        </w:rPr>
        <w:t>practices;</w:t>
      </w:r>
    </w:p>
    <w:p>
      <w:pPr>
        <w:pStyle w:val="ListParagraph"/>
        <w:numPr>
          <w:ilvl w:val="0"/>
          <w:numId w:val="115"/>
        </w:numPr>
        <w:tabs>
          <w:tab w:pos="2553" w:val="left" w:leader="none"/>
          <w:tab w:pos="2555" w:val="left" w:leader="none"/>
        </w:tabs>
        <w:spacing w:line="240" w:lineRule="exact" w:before="0" w:after="0"/>
        <w:ind w:left="2554" w:right="0" w:hanging="682"/>
        <w:jc w:val="left"/>
        <w:rPr>
          <w:sz w:val="20"/>
        </w:rPr>
      </w:pPr>
      <w:r>
        <w:rPr>
          <w:w w:val="120"/>
          <w:sz w:val="20"/>
        </w:rPr>
        <w:t>equal opportunities policy and</w:t>
      </w:r>
      <w:r>
        <w:rPr>
          <w:spacing w:val="10"/>
          <w:w w:val="120"/>
          <w:sz w:val="20"/>
        </w:rPr>
        <w:t> </w:t>
      </w:r>
      <w:r>
        <w:rPr>
          <w:w w:val="120"/>
          <w:sz w:val="20"/>
        </w:rPr>
        <w:t>practice;</w:t>
      </w:r>
    </w:p>
    <w:p>
      <w:pPr>
        <w:pStyle w:val="ListParagraph"/>
        <w:numPr>
          <w:ilvl w:val="0"/>
          <w:numId w:val="115"/>
        </w:numPr>
        <w:tabs>
          <w:tab w:pos="2553" w:val="left" w:leader="none"/>
          <w:tab w:pos="2555" w:val="left" w:leader="none"/>
        </w:tabs>
        <w:spacing w:line="240" w:lineRule="exact" w:before="0" w:after="0"/>
        <w:ind w:left="2554" w:right="0" w:hanging="682"/>
        <w:jc w:val="left"/>
        <w:rPr>
          <w:sz w:val="20"/>
        </w:rPr>
      </w:pPr>
      <w:r>
        <w:rPr>
          <w:w w:val="120"/>
          <w:sz w:val="20"/>
        </w:rPr>
        <w:t>good practice in terms of corporate</w:t>
      </w:r>
      <w:r>
        <w:rPr>
          <w:spacing w:val="15"/>
          <w:w w:val="120"/>
          <w:sz w:val="20"/>
        </w:rPr>
        <w:t> </w:t>
      </w:r>
      <w:r>
        <w:rPr>
          <w:w w:val="120"/>
          <w:sz w:val="20"/>
        </w:rPr>
        <w:t>governance;</w:t>
      </w:r>
    </w:p>
    <w:p>
      <w:pPr>
        <w:pStyle w:val="ListParagraph"/>
        <w:numPr>
          <w:ilvl w:val="0"/>
          <w:numId w:val="115"/>
        </w:numPr>
        <w:tabs>
          <w:tab w:pos="2553" w:val="left" w:leader="none"/>
          <w:tab w:pos="2555" w:val="left" w:leader="none"/>
        </w:tabs>
        <w:spacing w:line="275" w:lineRule="exact" w:before="0" w:after="0"/>
        <w:ind w:left="2554" w:right="0" w:hanging="682"/>
        <w:jc w:val="left"/>
        <w:rPr>
          <w:sz w:val="20"/>
        </w:rPr>
      </w:pPr>
      <w:r>
        <w:rPr>
          <w:w w:val="120"/>
          <w:sz w:val="20"/>
        </w:rPr>
        <w:t>environmental sustainability expressed by comprehensive environmental and</w:t>
      </w:r>
      <w:r>
        <w:rPr>
          <w:spacing w:val="15"/>
          <w:w w:val="120"/>
          <w:sz w:val="20"/>
        </w:rPr>
        <w:t> </w:t>
      </w:r>
      <w:r>
        <w:rPr>
          <w:w w:val="120"/>
          <w:sz w:val="20"/>
        </w:rPr>
        <w:t>climate</w:t>
      </w:r>
    </w:p>
    <w:p>
      <w:pPr>
        <w:pStyle w:val="BodyText"/>
        <w:spacing w:line="201" w:lineRule="exact"/>
        <w:ind w:left="2554"/>
      </w:pPr>
      <w:r>
        <w:rPr>
          <w:w w:val="120"/>
        </w:rPr>
        <w:t>change policies and audits;</w:t>
      </w:r>
    </w:p>
    <w:p>
      <w:pPr>
        <w:pStyle w:val="ListParagraph"/>
        <w:numPr>
          <w:ilvl w:val="0"/>
          <w:numId w:val="115"/>
        </w:numPr>
        <w:tabs>
          <w:tab w:pos="2553" w:val="left" w:leader="none"/>
          <w:tab w:pos="2555" w:val="left" w:leader="none"/>
        </w:tabs>
        <w:spacing w:line="279" w:lineRule="exact" w:before="0" w:after="0"/>
        <w:ind w:left="2554" w:right="0" w:hanging="682"/>
        <w:jc w:val="left"/>
        <w:rPr>
          <w:sz w:val="20"/>
        </w:rPr>
      </w:pPr>
      <w:r>
        <w:rPr>
          <w:w w:val="120"/>
          <w:sz w:val="20"/>
        </w:rPr>
        <w:t>positive attitudes to customers and active monitoring of employment</w:t>
      </w:r>
      <w:r>
        <w:rPr>
          <w:spacing w:val="25"/>
          <w:w w:val="120"/>
          <w:sz w:val="20"/>
        </w:rPr>
        <w:t> </w:t>
      </w:r>
      <w:r>
        <w:rPr>
          <w:w w:val="120"/>
          <w:sz w:val="20"/>
        </w:rPr>
        <w:t>practices</w:t>
      </w:r>
    </w:p>
    <w:p>
      <w:pPr>
        <w:pStyle w:val="BodyText"/>
        <w:spacing w:line="201" w:lineRule="exact"/>
        <w:ind w:left="2554"/>
      </w:pPr>
      <w:r>
        <w:rPr>
          <w:w w:val="120"/>
        </w:rPr>
        <w:t>across the supply chain;</w:t>
      </w:r>
    </w:p>
    <w:p>
      <w:pPr>
        <w:pStyle w:val="ListParagraph"/>
        <w:numPr>
          <w:ilvl w:val="0"/>
          <w:numId w:val="115"/>
        </w:numPr>
        <w:tabs>
          <w:tab w:pos="2553" w:val="left" w:leader="none"/>
          <w:tab w:pos="2555" w:val="left" w:leader="none"/>
        </w:tabs>
        <w:spacing w:line="244" w:lineRule="exact" w:before="0" w:after="0"/>
        <w:ind w:left="2554" w:right="0" w:hanging="682"/>
        <w:jc w:val="left"/>
        <w:rPr>
          <w:sz w:val="20"/>
        </w:rPr>
      </w:pPr>
      <w:r>
        <w:rPr>
          <w:w w:val="120"/>
          <w:sz w:val="20"/>
        </w:rPr>
        <w:t>openness in reporting to</w:t>
      </w:r>
      <w:r>
        <w:rPr>
          <w:spacing w:val="8"/>
          <w:w w:val="120"/>
          <w:sz w:val="20"/>
        </w:rPr>
        <w:t> </w:t>
      </w:r>
      <w:r>
        <w:rPr>
          <w:w w:val="120"/>
          <w:sz w:val="20"/>
        </w:rPr>
        <w:t>stakeholders;</w:t>
      </w:r>
    </w:p>
    <w:p>
      <w:pPr>
        <w:pStyle w:val="ListParagraph"/>
        <w:numPr>
          <w:ilvl w:val="0"/>
          <w:numId w:val="115"/>
        </w:numPr>
        <w:tabs>
          <w:tab w:pos="2553" w:val="left" w:leader="none"/>
          <w:tab w:pos="2555" w:val="left" w:leader="none"/>
        </w:tabs>
        <w:spacing w:line="240" w:lineRule="exact" w:before="0" w:after="0"/>
        <w:ind w:left="2554" w:right="0" w:hanging="682"/>
        <w:jc w:val="left"/>
        <w:rPr>
          <w:sz w:val="20"/>
        </w:rPr>
      </w:pPr>
      <w:r>
        <w:rPr>
          <w:w w:val="120"/>
          <w:sz w:val="20"/>
        </w:rPr>
        <w:t>sensitivity towards communities in which they</w:t>
      </w:r>
      <w:r>
        <w:rPr>
          <w:spacing w:val="11"/>
          <w:w w:val="120"/>
          <w:sz w:val="20"/>
        </w:rPr>
        <w:t> </w:t>
      </w:r>
      <w:r>
        <w:rPr>
          <w:w w:val="120"/>
          <w:sz w:val="20"/>
        </w:rPr>
        <w:t>operate;</w:t>
      </w:r>
    </w:p>
    <w:p>
      <w:pPr>
        <w:pStyle w:val="ListParagraph"/>
        <w:numPr>
          <w:ilvl w:val="0"/>
          <w:numId w:val="115"/>
        </w:numPr>
        <w:tabs>
          <w:tab w:pos="2553" w:val="left" w:leader="none"/>
          <w:tab w:pos="2555" w:val="left" w:leader="none"/>
        </w:tabs>
        <w:spacing w:line="240" w:lineRule="exact" w:before="0" w:after="0"/>
        <w:ind w:left="2554" w:right="0" w:hanging="682"/>
        <w:jc w:val="left"/>
        <w:rPr>
          <w:sz w:val="20"/>
        </w:rPr>
      </w:pPr>
      <w:r>
        <w:rPr>
          <w:w w:val="120"/>
          <w:sz w:val="20"/>
        </w:rPr>
        <w:t>integrity in all their dealings;</w:t>
      </w:r>
      <w:r>
        <w:rPr>
          <w:spacing w:val="11"/>
          <w:w w:val="120"/>
          <w:sz w:val="20"/>
        </w:rPr>
        <w:t> </w:t>
      </w:r>
      <w:r>
        <w:rPr>
          <w:w w:val="120"/>
          <w:sz w:val="20"/>
        </w:rPr>
        <w:t>and</w:t>
      </w:r>
    </w:p>
    <w:p>
      <w:pPr>
        <w:pStyle w:val="ListParagraph"/>
        <w:numPr>
          <w:ilvl w:val="0"/>
          <w:numId w:val="115"/>
        </w:numPr>
        <w:tabs>
          <w:tab w:pos="2553" w:val="left" w:leader="none"/>
          <w:tab w:pos="2555" w:val="left" w:leader="none"/>
        </w:tabs>
        <w:spacing w:line="281" w:lineRule="exact" w:before="0" w:after="0"/>
        <w:ind w:left="2554" w:right="0" w:hanging="682"/>
        <w:jc w:val="left"/>
        <w:rPr>
          <w:sz w:val="20"/>
        </w:rPr>
      </w:pPr>
      <w:r>
        <w:rPr>
          <w:w w:val="120"/>
          <w:sz w:val="20"/>
        </w:rPr>
        <w:t>the promotion of human rights, especially in countries with oppressive</w:t>
      </w:r>
      <w:r>
        <w:rPr>
          <w:spacing w:val="35"/>
          <w:w w:val="120"/>
          <w:sz w:val="20"/>
        </w:rPr>
        <w:t> </w:t>
      </w:r>
      <w:r>
        <w:rPr>
          <w:w w:val="120"/>
          <w:sz w:val="20"/>
        </w:rPr>
        <w:t>regimes.</w:t>
      </w:r>
    </w:p>
    <w:p>
      <w:pPr>
        <w:pStyle w:val="ListParagraph"/>
        <w:numPr>
          <w:ilvl w:val="0"/>
          <w:numId w:val="116"/>
        </w:numPr>
        <w:tabs>
          <w:tab w:pos="2553" w:val="left" w:leader="none"/>
          <w:tab w:pos="2555" w:val="left" w:leader="none"/>
        </w:tabs>
        <w:spacing w:line="232" w:lineRule="auto" w:before="222" w:after="0"/>
        <w:ind w:left="1873" w:right="966" w:firstLine="0"/>
        <w:jc w:val="left"/>
        <w:rPr>
          <w:sz w:val="20"/>
        </w:rPr>
      </w:pPr>
      <w:r>
        <w:rPr>
          <w:rFonts w:ascii="Stone Sans II ITC Std Bk" w:hAnsi="Stone Sans II ITC Std Bk"/>
          <w:b/>
          <w:w w:val="120"/>
          <w:sz w:val="20"/>
        </w:rPr>
        <w:t>Engagement</w:t>
      </w:r>
      <w:r>
        <w:rPr>
          <w:rFonts w:ascii="Stone Sans II ITC Std Bk" w:hAnsi="Stone Sans II ITC Std Bk"/>
          <w:b/>
          <w:spacing w:val="-34"/>
          <w:w w:val="120"/>
          <w:sz w:val="20"/>
        </w:rPr>
        <w:t> </w:t>
      </w:r>
      <w:r>
        <w:rPr>
          <w:rFonts w:ascii="Stone Sans II ITC Std Bk" w:hAnsi="Stone Sans II ITC Std Bk"/>
          <w:b/>
          <w:w w:val="120"/>
          <w:sz w:val="20"/>
        </w:rPr>
        <w:t>and</w:t>
      </w:r>
      <w:r>
        <w:rPr>
          <w:rFonts w:ascii="Stone Sans II ITC Std Bk" w:hAnsi="Stone Sans II ITC Std Bk"/>
          <w:b/>
          <w:spacing w:val="-34"/>
          <w:w w:val="120"/>
          <w:sz w:val="20"/>
        </w:rPr>
        <w:t> </w:t>
      </w:r>
      <w:r>
        <w:rPr>
          <w:rFonts w:ascii="Stone Sans II ITC Std Bk" w:hAnsi="Stone Sans II ITC Std Bk"/>
          <w:b/>
          <w:w w:val="120"/>
          <w:sz w:val="20"/>
        </w:rPr>
        <w:t>dialogue</w:t>
      </w:r>
      <w:r>
        <w:rPr>
          <w:rFonts w:ascii="Stone Sans II ITC Std Bk" w:hAnsi="Stone Sans II ITC Std Bk"/>
          <w:b/>
          <w:spacing w:val="-33"/>
          <w:w w:val="120"/>
          <w:sz w:val="20"/>
        </w:rPr>
        <w:t> </w:t>
      </w:r>
      <w:r>
        <w:rPr>
          <w:rFonts w:ascii="Stone Sans II ITC Std Bk" w:hAnsi="Stone Sans II ITC Std Bk"/>
          <w:b/>
          <w:w w:val="120"/>
          <w:sz w:val="20"/>
        </w:rPr>
        <w:t>with</w:t>
      </w:r>
      <w:r>
        <w:rPr>
          <w:rFonts w:ascii="Stone Sans II ITC Std Bk" w:hAnsi="Stone Sans II ITC Std Bk"/>
          <w:b/>
          <w:spacing w:val="-34"/>
          <w:w w:val="120"/>
          <w:sz w:val="20"/>
        </w:rPr>
        <w:t> </w:t>
      </w:r>
      <w:r>
        <w:rPr>
          <w:rFonts w:ascii="Stone Sans II ITC Std Bk" w:hAnsi="Stone Sans II ITC Std Bk"/>
          <w:b/>
          <w:w w:val="120"/>
          <w:sz w:val="20"/>
        </w:rPr>
        <w:t>companies</w:t>
      </w:r>
      <w:r>
        <w:rPr>
          <w:rFonts w:ascii="Stone Sans II ITC Std Bk" w:hAnsi="Stone Sans II ITC Std Bk"/>
          <w:b/>
          <w:spacing w:val="-34"/>
          <w:w w:val="120"/>
          <w:sz w:val="20"/>
        </w:rPr>
        <w:t> </w:t>
      </w:r>
      <w:r>
        <w:rPr>
          <w:w w:val="120"/>
          <w:sz w:val="20"/>
        </w:rPr>
        <w:t>–</w:t>
      </w:r>
      <w:r>
        <w:rPr>
          <w:spacing w:val="-25"/>
          <w:w w:val="120"/>
          <w:sz w:val="20"/>
        </w:rPr>
        <w:t> </w:t>
      </w:r>
      <w:r>
        <w:rPr>
          <w:w w:val="120"/>
          <w:sz w:val="20"/>
        </w:rPr>
        <w:t>the</w:t>
      </w:r>
      <w:r>
        <w:rPr>
          <w:spacing w:val="-25"/>
          <w:w w:val="120"/>
          <w:sz w:val="20"/>
        </w:rPr>
        <w:t> </w:t>
      </w:r>
      <w:r>
        <w:rPr>
          <w:w w:val="120"/>
          <w:sz w:val="20"/>
        </w:rPr>
        <w:t>URC</w:t>
      </w:r>
      <w:r>
        <w:rPr>
          <w:spacing w:val="-25"/>
          <w:w w:val="120"/>
          <w:sz w:val="20"/>
        </w:rPr>
        <w:t> </w:t>
      </w:r>
      <w:r>
        <w:rPr>
          <w:w w:val="120"/>
          <w:sz w:val="20"/>
        </w:rPr>
        <w:t>endorses</w:t>
      </w:r>
      <w:r>
        <w:rPr>
          <w:spacing w:val="-25"/>
          <w:w w:val="120"/>
          <w:sz w:val="20"/>
        </w:rPr>
        <w:t> </w:t>
      </w:r>
      <w:r>
        <w:rPr>
          <w:w w:val="120"/>
          <w:sz w:val="20"/>
        </w:rPr>
        <w:t>the</w:t>
      </w:r>
      <w:r>
        <w:rPr>
          <w:spacing w:val="-25"/>
          <w:w w:val="120"/>
          <w:sz w:val="20"/>
        </w:rPr>
        <w:t> </w:t>
      </w:r>
      <w:r>
        <w:rPr>
          <w:w w:val="120"/>
          <w:sz w:val="20"/>
        </w:rPr>
        <w:t>strategy</w:t>
      </w:r>
      <w:r>
        <w:rPr>
          <w:spacing w:val="-24"/>
          <w:w w:val="120"/>
          <w:sz w:val="20"/>
        </w:rPr>
        <w:t> </w:t>
      </w:r>
      <w:r>
        <w:rPr>
          <w:w w:val="120"/>
          <w:sz w:val="20"/>
        </w:rPr>
        <w:t>of direct engagement with </w:t>
      </w:r>
      <w:r>
        <w:rPr>
          <w:spacing w:val="-3"/>
          <w:w w:val="120"/>
          <w:sz w:val="20"/>
        </w:rPr>
        <w:t>companies </w:t>
      </w:r>
      <w:r>
        <w:rPr>
          <w:w w:val="120"/>
          <w:sz w:val="20"/>
        </w:rPr>
        <w:t>through </w:t>
      </w:r>
      <w:r>
        <w:rPr>
          <w:spacing w:val="-3"/>
          <w:w w:val="120"/>
          <w:sz w:val="20"/>
        </w:rPr>
        <w:t>correspondence, </w:t>
      </w:r>
      <w:r>
        <w:rPr>
          <w:w w:val="120"/>
          <w:sz w:val="20"/>
        </w:rPr>
        <w:t>face-to-face meetings and </w:t>
      </w:r>
      <w:r>
        <w:rPr>
          <w:spacing w:val="-3"/>
          <w:w w:val="120"/>
          <w:sz w:val="20"/>
        </w:rPr>
        <w:t>shareholders’</w:t>
      </w:r>
      <w:r>
        <w:rPr>
          <w:spacing w:val="-8"/>
          <w:w w:val="120"/>
          <w:sz w:val="20"/>
        </w:rPr>
        <w:t> </w:t>
      </w:r>
      <w:r>
        <w:rPr>
          <w:spacing w:val="-3"/>
          <w:w w:val="120"/>
          <w:sz w:val="20"/>
        </w:rPr>
        <w:t>attendance</w:t>
      </w:r>
      <w:r>
        <w:rPr>
          <w:spacing w:val="-8"/>
          <w:w w:val="120"/>
          <w:sz w:val="20"/>
        </w:rPr>
        <w:t> </w:t>
      </w:r>
      <w:r>
        <w:rPr>
          <w:w w:val="120"/>
          <w:sz w:val="20"/>
        </w:rPr>
        <w:t>at</w:t>
      </w:r>
      <w:r>
        <w:rPr>
          <w:spacing w:val="-7"/>
          <w:w w:val="120"/>
          <w:sz w:val="20"/>
        </w:rPr>
        <w:t> </w:t>
      </w:r>
      <w:r>
        <w:rPr>
          <w:w w:val="120"/>
          <w:sz w:val="20"/>
        </w:rPr>
        <w:t>AGMs</w:t>
      </w:r>
      <w:r>
        <w:rPr>
          <w:spacing w:val="-8"/>
          <w:w w:val="120"/>
          <w:sz w:val="20"/>
        </w:rPr>
        <w:t> </w:t>
      </w:r>
      <w:r>
        <w:rPr>
          <w:w w:val="120"/>
          <w:sz w:val="20"/>
        </w:rPr>
        <w:t>as</w:t>
      </w:r>
      <w:r>
        <w:rPr>
          <w:spacing w:val="-8"/>
          <w:w w:val="120"/>
          <w:sz w:val="20"/>
        </w:rPr>
        <w:t> </w:t>
      </w:r>
      <w:r>
        <w:rPr>
          <w:w w:val="120"/>
          <w:sz w:val="20"/>
        </w:rPr>
        <w:t>a</w:t>
      </w:r>
      <w:r>
        <w:rPr>
          <w:spacing w:val="-7"/>
          <w:w w:val="120"/>
          <w:sz w:val="20"/>
        </w:rPr>
        <w:t> </w:t>
      </w:r>
      <w:r>
        <w:rPr>
          <w:w w:val="120"/>
          <w:sz w:val="20"/>
        </w:rPr>
        <w:t>means</w:t>
      </w:r>
      <w:r>
        <w:rPr>
          <w:spacing w:val="-8"/>
          <w:w w:val="120"/>
          <w:sz w:val="20"/>
        </w:rPr>
        <w:t> </w:t>
      </w:r>
      <w:r>
        <w:rPr>
          <w:w w:val="120"/>
          <w:sz w:val="20"/>
        </w:rPr>
        <w:t>of</w:t>
      </w:r>
      <w:r>
        <w:rPr>
          <w:spacing w:val="-8"/>
          <w:w w:val="120"/>
          <w:sz w:val="20"/>
        </w:rPr>
        <w:t> </w:t>
      </w:r>
      <w:r>
        <w:rPr>
          <w:w w:val="120"/>
          <w:sz w:val="20"/>
        </w:rPr>
        <w:t>influencing</w:t>
      </w:r>
      <w:r>
        <w:rPr>
          <w:spacing w:val="-7"/>
          <w:w w:val="120"/>
          <w:sz w:val="20"/>
        </w:rPr>
        <w:t> </w:t>
      </w:r>
      <w:r>
        <w:rPr>
          <w:w w:val="120"/>
          <w:sz w:val="20"/>
        </w:rPr>
        <w:t>the</w:t>
      </w:r>
      <w:r>
        <w:rPr>
          <w:spacing w:val="-8"/>
          <w:w w:val="120"/>
          <w:sz w:val="20"/>
        </w:rPr>
        <w:t> </w:t>
      </w:r>
      <w:r>
        <w:rPr>
          <w:w w:val="120"/>
          <w:sz w:val="20"/>
        </w:rPr>
        <w:t>practices</w:t>
      </w:r>
      <w:r>
        <w:rPr>
          <w:spacing w:val="-8"/>
          <w:w w:val="120"/>
          <w:sz w:val="20"/>
        </w:rPr>
        <w:t> </w:t>
      </w:r>
      <w:r>
        <w:rPr>
          <w:w w:val="120"/>
          <w:sz w:val="20"/>
        </w:rPr>
        <w:t>of</w:t>
      </w:r>
      <w:r>
        <w:rPr>
          <w:spacing w:val="-7"/>
          <w:w w:val="120"/>
          <w:sz w:val="20"/>
        </w:rPr>
        <w:t> </w:t>
      </w:r>
      <w:r>
        <w:rPr>
          <w:w w:val="120"/>
          <w:sz w:val="20"/>
        </w:rPr>
        <w:t>these</w:t>
      </w:r>
      <w:r>
        <w:rPr>
          <w:spacing w:val="-8"/>
          <w:w w:val="120"/>
          <w:sz w:val="20"/>
        </w:rPr>
        <w:t> </w:t>
      </w:r>
      <w:r>
        <w:rPr>
          <w:spacing w:val="-3"/>
          <w:w w:val="120"/>
          <w:sz w:val="20"/>
        </w:rPr>
        <w:t>companies. </w:t>
      </w:r>
      <w:r>
        <w:rPr>
          <w:w w:val="120"/>
          <w:sz w:val="20"/>
        </w:rPr>
        <w:t>This is based on an understanding of the theological and moral duty </w:t>
      </w:r>
      <w:r>
        <w:rPr>
          <w:spacing w:val="-3"/>
          <w:w w:val="120"/>
          <w:sz w:val="20"/>
        </w:rPr>
        <w:t>to monitor </w:t>
      </w:r>
      <w:r>
        <w:rPr>
          <w:w w:val="120"/>
          <w:sz w:val="20"/>
        </w:rPr>
        <w:t>the policies and practices of </w:t>
      </w:r>
      <w:r>
        <w:rPr>
          <w:spacing w:val="-3"/>
          <w:w w:val="120"/>
          <w:sz w:val="20"/>
        </w:rPr>
        <w:t>companies </w:t>
      </w:r>
      <w:r>
        <w:rPr>
          <w:w w:val="120"/>
          <w:sz w:val="20"/>
        </w:rPr>
        <w:t>in which a URC body is a direct shareholder and </w:t>
      </w:r>
      <w:r>
        <w:rPr>
          <w:spacing w:val="-3"/>
          <w:w w:val="120"/>
          <w:sz w:val="20"/>
        </w:rPr>
        <w:t>to </w:t>
      </w:r>
      <w:r>
        <w:rPr>
          <w:w w:val="120"/>
          <w:sz w:val="20"/>
        </w:rPr>
        <w:t>raise </w:t>
      </w:r>
      <w:r>
        <w:rPr>
          <w:spacing w:val="-3"/>
          <w:w w:val="120"/>
          <w:sz w:val="20"/>
        </w:rPr>
        <w:t>concerns </w:t>
      </w:r>
      <w:r>
        <w:rPr>
          <w:w w:val="120"/>
          <w:sz w:val="20"/>
        </w:rPr>
        <w:t>with a </w:t>
      </w:r>
      <w:r>
        <w:rPr>
          <w:spacing w:val="-3"/>
          <w:w w:val="120"/>
          <w:sz w:val="20"/>
        </w:rPr>
        <w:t>company </w:t>
      </w:r>
      <w:r>
        <w:rPr>
          <w:w w:val="120"/>
          <w:sz w:val="20"/>
        </w:rPr>
        <w:t>if we are </w:t>
      </w:r>
      <w:r>
        <w:rPr>
          <w:spacing w:val="-2"/>
          <w:w w:val="120"/>
          <w:sz w:val="20"/>
        </w:rPr>
        <w:t>not </w:t>
      </w:r>
      <w:r>
        <w:rPr>
          <w:w w:val="120"/>
          <w:sz w:val="20"/>
        </w:rPr>
        <w:t>fully satisfied with its</w:t>
      </w:r>
      <w:r>
        <w:rPr>
          <w:spacing w:val="-31"/>
          <w:w w:val="120"/>
          <w:sz w:val="20"/>
        </w:rPr>
        <w:t> </w:t>
      </w:r>
      <w:r>
        <w:rPr>
          <w:w w:val="120"/>
          <w:sz w:val="20"/>
        </w:rPr>
        <w:t>business.</w:t>
      </w:r>
    </w:p>
    <w:p>
      <w:pPr>
        <w:spacing w:after="0" w:line="232" w:lineRule="auto"/>
        <w:jc w:val="left"/>
        <w:rPr>
          <w:sz w:val="20"/>
        </w:rPr>
        <w:sectPr>
          <w:headerReference w:type="default" r:id="rId225"/>
          <w:headerReference w:type="even" r:id="rId226"/>
          <w:footerReference w:type="default" r:id="rId227"/>
          <w:footerReference w:type="even" r:id="rId228"/>
          <w:pgSz w:w="11910" w:h="16840"/>
          <w:pgMar w:header="0" w:footer="647" w:top="1320" w:bottom="840" w:left="0" w:right="0"/>
          <w:pgNumType w:start="95"/>
        </w:sectPr>
      </w:pPr>
    </w:p>
    <w:p>
      <w:pPr>
        <w:pStyle w:val="ListParagraph"/>
        <w:numPr>
          <w:ilvl w:val="0"/>
          <w:numId w:val="116"/>
        </w:numPr>
        <w:tabs>
          <w:tab w:pos="1814" w:val="left" w:leader="none"/>
          <w:tab w:pos="1815" w:val="left" w:leader="none"/>
        </w:tabs>
        <w:spacing w:line="223" w:lineRule="auto" w:before="105" w:after="0"/>
        <w:ind w:left="1133" w:right="1708" w:firstLine="0"/>
        <w:jc w:val="left"/>
        <w:rPr>
          <w:sz w:val="20"/>
        </w:rPr>
      </w:pPr>
      <w:r>
        <w:rPr/>
        <w:pict>
          <v:rect style="position:absolute;margin-left:12.047pt;margin-top:8.485787pt;width:22.677pt;height:22.677pt;mso-position-horizontal-relative:page;mso-position-vertical-relative:paragraph;z-index:251972608" filled="true" fillcolor="#f9e9c1" stroked="false">
            <v:fill opacity="32768f" type="solid"/>
            <w10:wrap type="none"/>
          </v:rect>
        </w:pict>
      </w:r>
      <w:r>
        <w:rPr>
          <w:rFonts w:ascii="Stone Sans II ITC Std Bk" w:hAnsi="Stone Sans II ITC Std Bk"/>
          <w:b/>
          <w:w w:val="120"/>
          <w:sz w:val="20"/>
        </w:rPr>
        <w:t>Project</w:t>
      </w:r>
      <w:r>
        <w:rPr>
          <w:rFonts w:ascii="Stone Sans II ITC Std Bk" w:hAnsi="Stone Sans II ITC Std Bk"/>
          <w:b/>
          <w:spacing w:val="-32"/>
          <w:w w:val="120"/>
          <w:sz w:val="20"/>
        </w:rPr>
        <w:t> </w:t>
      </w:r>
      <w:r>
        <w:rPr>
          <w:rFonts w:ascii="Stone Sans II ITC Std Bk" w:hAnsi="Stone Sans II ITC Std Bk"/>
          <w:b/>
          <w:w w:val="120"/>
          <w:sz w:val="20"/>
        </w:rPr>
        <w:t>or</w:t>
      </w:r>
      <w:r>
        <w:rPr>
          <w:rFonts w:ascii="Stone Sans II ITC Std Bk" w:hAnsi="Stone Sans II ITC Std Bk"/>
          <w:b/>
          <w:spacing w:val="-32"/>
          <w:w w:val="120"/>
          <w:sz w:val="20"/>
        </w:rPr>
        <w:t> </w:t>
      </w:r>
      <w:r>
        <w:rPr>
          <w:rFonts w:ascii="Stone Sans II ITC Std Bk" w:hAnsi="Stone Sans II ITC Std Bk"/>
          <w:b/>
          <w:w w:val="120"/>
          <w:sz w:val="20"/>
        </w:rPr>
        <w:t>socially-directed</w:t>
      </w:r>
      <w:r>
        <w:rPr>
          <w:rFonts w:ascii="Stone Sans II ITC Std Bk" w:hAnsi="Stone Sans II ITC Std Bk"/>
          <w:b/>
          <w:spacing w:val="-31"/>
          <w:w w:val="120"/>
          <w:sz w:val="20"/>
        </w:rPr>
        <w:t> </w:t>
      </w:r>
      <w:r>
        <w:rPr>
          <w:rFonts w:ascii="Stone Sans II ITC Std Bk" w:hAnsi="Stone Sans II ITC Std Bk"/>
          <w:b/>
          <w:w w:val="120"/>
          <w:sz w:val="20"/>
        </w:rPr>
        <w:t>investment</w:t>
      </w:r>
      <w:r>
        <w:rPr>
          <w:rFonts w:ascii="Stone Sans II ITC Std Bk" w:hAnsi="Stone Sans II ITC Std Bk"/>
          <w:b/>
          <w:spacing w:val="-33"/>
          <w:w w:val="120"/>
          <w:sz w:val="20"/>
        </w:rPr>
        <w:t> </w:t>
      </w:r>
      <w:r>
        <w:rPr>
          <w:w w:val="120"/>
          <w:sz w:val="20"/>
        </w:rPr>
        <w:t>–</w:t>
      </w:r>
      <w:r>
        <w:rPr>
          <w:spacing w:val="-23"/>
          <w:w w:val="120"/>
          <w:sz w:val="20"/>
        </w:rPr>
        <w:t> </w:t>
      </w:r>
      <w:r>
        <w:rPr>
          <w:w w:val="120"/>
          <w:sz w:val="20"/>
        </w:rPr>
        <w:t>in</w:t>
      </w:r>
      <w:r>
        <w:rPr>
          <w:spacing w:val="-23"/>
          <w:w w:val="120"/>
          <w:sz w:val="20"/>
        </w:rPr>
        <w:t> </w:t>
      </w:r>
      <w:r>
        <w:rPr>
          <w:w w:val="120"/>
          <w:sz w:val="20"/>
        </w:rPr>
        <w:t>addition</w:t>
      </w:r>
      <w:r>
        <w:rPr>
          <w:spacing w:val="-24"/>
          <w:w w:val="120"/>
          <w:sz w:val="20"/>
        </w:rPr>
        <w:t> </w:t>
      </w:r>
      <w:r>
        <w:rPr>
          <w:w w:val="120"/>
          <w:sz w:val="20"/>
        </w:rPr>
        <w:t>to</w:t>
      </w:r>
      <w:r>
        <w:rPr>
          <w:spacing w:val="-23"/>
          <w:w w:val="120"/>
          <w:sz w:val="20"/>
        </w:rPr>
        <w:t> </w:t>
      </w:r>
      <w:r>
        <w:rPr>
          <w:w w:val="120"/>
          <w:sz w:val="20"/>
        </w:rPr>
        <w:t>the</w:t>
      </w:r>
      <w:r>
        <w:rPr>
          <w:spacing w:val="-23"/>
          <w:w w:val="120"/>
          <w:sz w:val="20"/>
        </w:rPr>
        <w:t> </w:t>
      </w:r>
      <w:r>
        <w:rPr>
          <w:w w:val="120"/>
          <w:sz w:val="20"/>
        </w:rPr>
        <w:t>positive</w:t>
      </w:r>
      <w:r>
        <w:rPr>
          <w:spacing w:val="-24"/>
          <w:w w:val="120"/>
          <w:sz w:val="20"/>
        </w:rPr>
        <w:t> </w:t>
      </w:r>
      <w:r>
        <w:rPr>
          <w:w w:val="120"/>
          <w:sz w:val="20"/>
        </w:rPr>
        <w:t>screening,</w:t>
      </w:r>
      <w:r>
        <w:rPr>
          <w:spacing w:val="-23"/>
          <w:w w:val="120"/>
          <w:sz w:val="20"/>
        </w:rPr>
        <w:t> </w:t>
      </w:r>
      <w:r>
        <w:rPr>
          <w:w w:val="120"/>
          <w:sz w:val="20"/>
        </w:rPr>
        <w:t>the URC will continue to set aside a proportion of its capital for investment where the</w:t>
      </w:r>
      <w:r>
        <w:rPr>
          <w:spacing w:val="29"/>
          <w:w w:val="120"/>
          <w:sz w:val="20"/>
        </w:rPr>
        <w:t> </w:t>
      </w:r>
      <w:r>
        <w:rPr>
          <w:w w:val="120"/>
          <w:sz w:val="20"/>
        </w:rPr>
        <w:t>return</w:t>
      </w:r>
    </w:p>
    <w:p>
      <w:pPr>
        <w:pStyle w:val="BodyText"/>
        <w:spacing w:line="242" w:lineRule="exact"/>
        <w:ind w:left="1133"/>
      </w:pPr>
      <w:r>
        <w:rPr>
          <w:w w:val="120"/>
        </w:rPr>
        <w:t>is principally social rather than financial. This echoes the Church’s mission strategy.</w:t>
      </w:r>
      <w:r>
        <w:rPr>
          <w:w w:val="120"/>
          <w:position w:val="4"/>
        </w:rPr>
        <w:t>2 </w:t>
      </w:r>
      <w:r>
        <w:rPr>
          <w:w w:val="120"/>
        </w:rPr>
        <w:t>The</w:t>
      </w:r>
    </w:p>
    <w:p>
      <w:pPr>
        <w:pStyle w:val="BodyText"/>
        <w:spacing w:line="235" w:lineRule="auto" w:before="2"/>
        <w:ind w:left="1133" w:right="1997"/>
      </w:pPr>
      <w:r>
        <w:rPr>
          <w:w w:val="120"/>
        </w:rPr>
        <w:t>following social investments have considerable overlap with ethical investment portfolios and may sometimes offer market rate investments:</w:t>
      </w:r>
    </w:p>
    <w:p>
      <w:pPr>
        <w:pStyle w:val="ListParagraph"/>
        <w:numPr>
          <w:ilvl w:val="0"/>
          <w:numId w:val="103"/>
        </w:numPr>
        <w:tabs>
          <w:tab w:pos="1814" w:val="left" w:leader="none"/>
          <w:tab w:pos="1815" w:val="left" w:leader="none"/>
        </w:tabs>
        <w:spacing w:line="208" w:lineRule="exact" w:before="0" w:after="0"/>
        <w:ind w:left="1814" w:right="0" w:hanging="682"/>
        <w:jc w:val="left"/>
        <w:rPr>
          <w:sz w:val="20"/>
        </w:rPr>
      </w:pPr>
      <w:r>
        <w:rPr>
          <w:w w:val="120"/>
          <w:sz w:val="20"/>
        </w:rPr>
        <w:t>community land and reinvestment</w:t>
      </w:r>
      <w:r>
        <w:rPr>
          <w:spacing w:val="7"/>
          <w:w w:val="120"/>
          <w:sz w:val="20"/>
        </w:rPr>
        <w:t> </w:t>
      </w:r>
      <w:r>
        <w:rPr>
          <w:w w:val="120"/>
          <w:sz w:val="20"/>
        </w:rPr>
        <w:t>trusts;</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w w:val="125"/>
          <w:sz w:val="20"/>
        </w:rPr>
        <w:t>ecological building</w:t>
      </w:r>
      <w:r>
        <w:rPr>
          <w:spacing w:val="-1"/>
          <w:w w:val="125"/>
          <w:sz w:val="20"/>
        </w:rPr>
        <w:t> </w:t>
      </w:r>
      <w:r>
        <w:rPr>
          <w:w w:val="125"/>
          <w:sz w:val="20"/>
        </w:rPr>
        <w:t>projects;</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w w:val="120"/>
          <w:sz w:val="20"/>
        </w:rPr>
        <w:t>organic food and fair trade initiatives;</w:t>
      </w:r>
      <w:r>
        <w:rPr>
          <w:spacing w:val="11"/>
          <w:w w:val="120"/>
          <w:sz w:val="20"/>
        </w:rPr>
        <w:t> </w:t>
      </w:r>
      <w:r>
        <w:rPr>
          <w:w w:val="120"/>
          <w:sz w:val="20"/>
        </w:rPr>
        <w:t>and</w:t>
      </w:r>
    </w:p>
    <w:p>
      <w:pPr>
        <w:pStyle w:val="ListParagraph"/>
        <w:numPr>
          <w:ilvl w:val="0"/>
          <w:numId w:val="103"/>
        </w:numPr>
        <w:tabs>
          <w:tab w:pos="1814" w:val="left" w:leader="none"/>
          <w:tab w:pos="1815" w:val="left" w:leader="none"/>
        </w:tabs>
        <w:spacing w:line="275" w:lineRule="exact" w:before="0" w:after="0"/>
        <w:ind w:left="1814" w:right="0" w:hanging="682"/>
        <w:jc w:val="left"/>
        <w:rPr>
          <w:sz w:val="20"/>
        </w:rPr>
      </w:pPr>
      <w:r>
        <w:rPr>
          <w:w w:val="120"/>
          <w:sz w:val="20"/>
        </w:rPr>
        <w:t>micro-credit based social development</w:t>
      </w:r>
      <w:r>
        <w:rPr>
          <w:spacing w:val="10"/>
          <w:w w:val="120"/>
          <w:sz w:val="20"/>
        </w:rPr>
        <w:t> </w:t>
      </w:r>
      <w:r>
        <w:rPr>
          <w:w w:val="120"/>
          <w:sz w:val="20"/>
        </w:rPr>
        <w:t>programmes.</w:t>
      </w:r>
    </w:p>
    <w:p>
      <w:pPr>
        <w:pStyle w:val="BodyText"/>
        <w:spacing w:line="201" w:lineRule="auto" w:before="24"/>
        <w:ind w:left="1133" w:right="1997"/>
      </w:pPr>
      <w:r>
        <w:rPr>
          <w:w w:val="120"/>
        </w:rPr>
        <w:t>In supporting any such initiative, URC Trust bodies should be satisfied that effective governance monitoring is in place.</w:t>
      </w:r>
      <w:r>
        <w:rPr>
          <w:w w:val="120"/>
          <w:position w:val="4"/>
        </w:rPr>
        <w:t>3</w:t>
      </w:r>
    </w:p>
    <w:p>
      <w:pPr>
        <w:pStyle w:val="ListParagraph"/>
        <w:numPr>
          <w:ilvl w:val="0"/>
          <w:numId w:val="116"/>
        </w:numPr>
        <w:tabs>
          <w:tab w:pos="1814" w:val="left" w:leader="none"/>
          <w:tab w:pos="1815" w:val="left" w:leader="none"/>
        </w:tabs>
        <w:spacing w:line="230" w:lineRule="auto" w:before="235" w:after="0"/>
        <w:ind w:left="1133" w:right="1677" w:firstLine="0"/>
        <w:jc w:val="left"/>
        <w:rPr>
          <w:sz w:val="20"/>
        </w:rPr>
      </w:pPr>
      <w:r>
        <w:rPr>
          <w:rFonts w:ascii="Stone Sans II ITC Std Bk" w:hAnsi="Stone Sans II ITC Std Bk"/>
          <w:b/>
          <w:w w:val="120"/>
          <w:sz w:val="20"/>
        </w:rPr>
        <w:t>Disinvestment</w:t>
      </w:r>
      <w:r>
        <w:rPr>
          <w:rFonts w:ascii="Stone Sans II ITC Std Bk" w:hAnsi="Stone Sans II ITC Std Bk"/>
          <w:b/>
          <w:spacing w:val="-17"/>
          <w:w w:val="120"/>
          <w:sz w:val="20"/>
        </w:rPr>
        <w:t> </w:t>
      </w:r>
      <w:r>
        <w:rPr>
          <w:w w:val="120"/>
          <w:sz w:val="20"/>
        </w:rPr>
        <w:t>–</w:t>
      </w:r>
      <w:r>
        <w:rPr>
          <w:spacing w:val="-7"/>
          <w:w w:val="120"/>
          <w:sz w:val="20"/>
        </w:rPr>
        <w:t> </w:t>
      </w:r>
      <w:r>
        <w:rPr>
          <w:w w:val="120"/>
          <w:sz w:val="20"/>
        </w:rPr>
        <w:t>as</w:t>
      </w:r>
      <w:r>
        <w:rPr>
          <w:spacing w:val="-7"/>
          <w:w w:val="120"/>
          <w:sz w:val="20"/>
        </w:rPr>
        <w:t> </w:t>
      </w:r>
      <w:r>
        <w:rPr>
          <w:w w:val="120"/>
          <w:sz w:val="20"/>
        </w:rPr>
        <w:t>a</w:t>
      </w:r>
      <w:r>
        <w:rPr>
          <w:spacing w:val="-7"/>
          <w:w w:val="120"/>
          <w:sz w:val="20"/>
        </w:rPr>
        <w:t> </w:t>
      </w:r>
      <w:r>
        <w:rPr>
          <w:w w:val="120"/>
          <w:sz w:val="20"/>
        </w:rPr>
        <w:t>last</w:t>
      </w:r>
      <w:r>
        <w:rPr>
          <w:spacing w:val="-6"/>
          <w:w w:val="120"/>
          <w:sz w:val="20"/>
        </w:rPr>
        <w:t> </w:t>
      </w:r>
      <w:r>
        <w:rPr>
          <w:w w:val="120"/>
          <w:sz w:val="20"/>
        </w:rPr>
        <w:t>resort,</w:t>
      </w:r>
      <w:r>
        <w:rPr>
          <w:spacing w:val="-7"/>
          <w:w w:val="120"/>
          <w:sz w:val="20"/>
        </w:rPr>
        <w:t> </w:t>
      </w:r>
      <w:r>
        <w:rPr>
          <w:w w:val="120"/>
          <w:sz w:val="20"/>
        </w:rPr>
        <w:t>the</w:t>
      </w:r>
      <w:r>
        <w:rPr>
          <w:spacing w:val="-7"/>
          <w:w w:val="120"/>
          <w:sz w:val="20"/>
        </w:rPr>
        <w:t> </w:t>
      </w:r>
      <w:r>
        <w:rPr>
          <w:w w:val="120"/>
          <w:sz w:val="20"/>
        </w:rPr>
        <w:t>URC</w:t>
      </w:r>
      <w:r>
        <w:rPr>
          <w:spacing w:val="-7"/>
          <w:w w:val="120"/>
          <w:sz w:val="20"/>
        </w:rPr>
        <w:t> </w:t>
      </w:r>
      <w:r>
        <w:rPr>
          <w:w w:val="120"/>
          <w:sz w:val="20"/>
        </w:rPr>
        <w:t>will</w:t>
      </w:r>
      <w:r>
        <w:rPr>
          <w:spacing w:val="-7"/>
          <w:w w:val="120"/>
          <w:sz w:val="20"/>
        </w:rPr>
        <w:t> </w:t>
      </w:r>
      <w:r>
        <w:rPr>
          <w:w w:val="120"/>
          <w:sz w:val="20"/>
        </w:rPr>
        <w:t>consider</w:t>
      </w:r>
      <w:r>
        <w:rPr>
          <w:spacing w:val="-7"/>
          <w:w w:val="120"/>
          <w:sz w:val="20"/>
        </w:rPr>
        <w:t> </w:t>
      </w:r>
      <w:r>
        <w:rPr>
          <w:w w:val="120"/>
          <w:sz w:val="20"/>
        </w:rPr>
        <w:t>selling</w:t>
      </w:r>
      <w:r>
        <w:rPr>
          <w:spacing w:val="-7"/>
          <w:w w:val="120"/>
          <w:sz w:val="20"/>
        </w:rPr>
        <w:t> </w:t>
      </w:r>
      <w:r>
        <w:rPr>
          <w:w w:val="120"/>
          <w:sz w:val="20"/>
        </w:rPr>
        <w:t>its</w:t>
      </w:r>
      <w:r>
        <w:rPr>
          <w:spacing w:val="-7"/>
          <w:w w:val="120"/>
          <w:sz w:val="20"/>
        </w:rPr>
        <w:t> </w:t>
      </w:r>
      <w:r>
        <w:rPr>
          <w:w w:val="120"/>
          <w:sz w:val="20"/>
        </w:rPr>
        <w:t>shares</w:t>
      </w:r>
      <w:r>
        <w:rPr>
          <w:spacing w:val="-7"/>
          <w:w w:val="120"/>
          <w:sz w:val="20"/>
        </w:rPr>
        <w:t> </w:t>
      </w:r>
      <w:r>
        <w:rPr>
          <w:w w:val="120"/>
          <w:sz w:val="20"/>
        </w:rPr>
        <w:t>in</w:t>
      </w:r>
      <w:r>
        <w:rPr>
          <w:spacing w:val="-6"/>
          <w:w w:val="120"/>
          <w:sz w:val="20"/>
        </w:rPr>
        <w:t> </w:t>
      </w:r>
      <w:r>
        <w:rPr>
          <w:w w:val="120"/>
          <w:sz w:val="20"/>
        </w:rPr>
        <w:t>a</w:t>
      </w:r>
      <w:r>
        <w:rPr>
          <w:spacing w:val="-7"/>
          <w:w w:val="120"/>
          <w:sz w:val="20"/>
        </w:rPr>
        <w:t> </w:t>
      </w:r>
      <w:r>
        <w:rPr>
          <w:w w:val="120"/>
          <w:sz w:val="20"/>
        </w:rPr>
        <w:t>company on ethical grounds in cases where a company fails to amend its operating policies and practices</w:t>
      </w:r>
      <w:r>
        <w:rPr>
          <w:spacing w:val="6"/>
          <w:w w:val="120"/>
          <w:sz w:val="20"/>
        </w:rPr>
        <w:t> </w:t>
      </w:r>
      <w:r>
        <w:rPr>
          <w:w w:val="120"/>
          <w:sz w:val="20"/>
        </w:rPr>
        <w:t>after</w:t>
      </w:r>
      <w:r>
        <w:rPr>
          <w:spacing w:val="7"/>
          <w:w w:val="120"/>
          <w:sz w:val="20"/>
        </w:rPr>
        <w:t> </w:t>
      </w:r>
      <w:r>
        <w:rPr>
          <w:w w:val="120"/>
          <w:sz w:val="20"/>
        </w:rPr>
        <w:t>engagement</w:t>
      </w:r>
      <w:r>
        <w:rPr>
          <w:spacing w:val="7"/>
          <w:w w:val="120"/>
          <w:sz w:val="20"/>
        </w:rPr>
        <w:t> </w:t>
      </w:r>
      <w:r>
        <w:rPr>
          <w:w w:val="120"/>
          <w:sz w:val="20"/>
        </w:rPr>
        <w:t>and</w:t>
      </w:r>
      <w:r>
        <w:rPr>
          <w:spacing w:val="6"/>
          <w:w w:val="120"/>
          <w:sz w:val="20"/>
        </w:rPr>
        <w:t> </w:t>
      </w:r>
      <w:r>
        <w:rPr>
          <w:w w:val="120"/>
          <w:sz w:val="20"/>
        </w:rPr>
        <w:t>dialogue</w:t>
      </w:r>
      <w:r>
        <w:rPr>
          <w:spacing w:val="7"/>
          <w:w w:val="120"/>
          <w:sz w:val="20"/>
        </w:rPr>
        <w:t> </w:t>
      </w:r>
      <w:r>
        <w:rPr>
          <w:w w:val="120"/>
          <w:sz w:val="20"/>
        </w:rPr>
        <w:t>over</w:t>
      </w:r>
      <w:r>
        <w:rPr>
          <w:spacing w:val="7"/>
          <w:w w:val="120"/>
          <w:sz w:val="20"/>
        </w:rPr>
        <w:t> </w:t>
      </w:r>
      <w:r>
        <w:rPr>
          <w:w w:val="120"/>
          <w:sz w:val="20"/>
        </w:rPr>
        <w:t>an</w:t>
      </w:r>
      <w:r>
        <w:rPr>
          <w:spacing w:val="7"/>
          <w:w w:val="120"/>
          <w:sz w:val="20"/>
        </w:rPr>
        <w:t> </w:t>
      </w:r>
      <w:r>
        <w:rPr>
          <w:w w:val="120"/>
          <w:sz w:val="20"/>
        </w:rPr>
        <w:t>extended</w:t>
      </w:r>
      <w:r>
        <w:rPr>
          <w:spacing w:val="6"/>
          <w:w w:val="120"/>
          <w:sz w:val="20"/>
        </w:rPr>
        <w:t> </w:t>
      </w:r>
      <w:r>
        <w:rPr>
          <w:w w:val="120"/>
          <w:sz w:val="20"/>
        </w:rPr>
        <w:t>period</w:t>
      </w:r>
      <w:r>
        <w:rPr>
          <w:spacing w:val="7"/>
          <w:w w:val="120"/>
          <w:sz w:val="20"/>
        </w:rPr>
        <w:t> </w:t>
      </w:r>
      <w:r>
        <w:rPr>
          <w:w w:val="120"/>
          <w:sz w:val="20"/>
        </w:rPr>
        <w:t>of</w:t>
      </w:r>
      <w:r>
        <w:rPr>
          <w:spacing w:val="7"/>
          <w:w w:val="120"/>
          <w:sz w:val="20"/>
        </w:rPr>
        <w:t> </w:t>
      </w:r>
      <w:r>
        <w:rPr>
          <w:w w:val="120"/>
          <w:sz w:val="20"/>
        </w:rPr>
        <w:t>time.</w:t>
      </w:r>
      <w:r>
        <w:rPr>
          <w:spacing w:val="7"/>
          <w:w w:val="120"/>
          <w:sz w:val="20"/>
        </w:rPr>
        <w:t> </w:t>
      </w:r>
      <w:r>
        <w:rPr>
          <w:w w:val="120"/>
          <w:sz w:val="20"/>
        </w:rPr>
        <w:t>Such</w:t>
      </w:r>
      <w:r>
        <w:rPr>
          <w:spacing w:val="6"/>
          <w:w w:val="120"/>
          <w:sz w:val="20"/>
        </w:rPr>
        <w:t> </w:t>
      </w:r>
      <w:r>
        <w:rPr>
          <w:w w:val="120"/>
          <w:sz w:val="20"/>
        </w:rPr>
        <w:t>action</w:t>
      </w:r>
    </w:p>
    <w:p>
      <w:pPr>
        <w:pStyle w:val="BodyText"/>
        <w:spacing w:line="235" w:lineRule="auto"/>
        <w:ind w:left="1133" w:right="1634"/>
      </w:pPr>
      <w:r>
        <w:rPr>
          <w:w w:val="120"/>
        </w:rPr>
        <w:t>will generally be taken in conjunction with ecumenical partners through the CIG (or similar body) based on advice from the EIAG. However, such decisions will be subject to periodic review in the light of these principles to maintain the integrity and credibility of the policy.</w:t>
      </w:r>
    </w:p>
    <w:p>
      <w:pPr>
        <w:pStyle w:val="BodyText"/>
        <w:rPr>
          <w:sz w:val="19"/>
        </w:rPr>
      </w:pPr>
    </w:p>
    <w:p>
      <w:pPr>
        <w:pStyle w:val="ListParagraph"/>
        <w:numPr>
          <w:ilvl w:val="0"/>
          <w:numId w:val="116"/>
        </w:numPr>
        <w:tabs>
          <w:tab w:pos="1814" w:val="left" w:leader="none"/>
          <w:tab w:pos="1815" w:val="left" w:leader="none"/>
        </w:tabs>
        <w:spacing w:line="232" w:lineRule="auto" w:before="0" w:after="0"/>
        <w:ind w:left="1133" w:right="1671" w:firstLine="0"/>
        <w:jc w:val="left"/>
        <w:rPr>
          <w:sz w:val="20"/>
        </w:rPr>
      </w:pPr>
      <w:r>
        <w:rPr>
          <w:rFonts w:ascii="Stone Sans II ITC Std Bk" w:hAnsi="Stone Sans II ITC Std Bk"/>
          <w:b/>
          <w:w w:val="120"/>
          <w:sz w:val="20"/>
        </w:rPr>
        <w:t>Monitoring of policy </w:t>
      </w:r>
      <w:r>
        <w:rPr>
          <w:w w:val="120"/>
          <w:sz w:val="20"/>
        </w:rPr>
        <w:t>– The monitoring of these principles on behalf of the URC is principally the task of Mission Council’s Ethical Investment Advisory Group. EIAG is required to </w:t>
      </w:r>
      <w:r>
        <w:rPr>
          <w:spacing w:val="2"/>
          <w:w w:val="120"/>
          <w:sz w:val="20"/>
        </w:rPr>
        <w:t>report </w:t>
      </w:r>
      <w:r>
        <w:rPr>
          <w:w w:val="120"/>
          <w:sz w:val="20"/>
        </w:rPr>
        <w:t>on issues of concern and develop policy statements on various issues related to ethical investment as necessary. However, every investment body and officer within the URC family (whether at assembly, synod or local church level) needs to share in this responsibility to ensure the Church retains its mission</w:t>
      </w:r>
      <w:r>
        <w:rPr>
          <w:spacing w:val="12"/>
          <w:w w:val="120"/>
          <w:sz w:val="20"/>
        </w:rPr>
        <w:t> </w:t>
      </w:r>
      <w:r>
        <w:rPr>
          <w:w w:val="120"/>
          <w:sz w:val="20"/>
        </w:rPr>
        <w:t>integrity.</w:t>
      </w:r>
    </w:p>
    <w:p>
      <w:pPr>
        <w:pStyle w:val="BodyText"/>
      </w:pPr>
    </w:p>
    <w:p>
      <w:pPr>
        <w:pStyle w:val="BodyText"/>
      </w:pPr>
    </w:p>
    <w:p>
      <w:pPr>
        <w:pStyle w:val="BodyText"/>
        <w:spacing w:before="4"/>
        <w:rPr>
          <w:sz w:val="27"/>
        </w:rPr>
      </w:pPr>
      <w:r>
        <w:rPr/>
        <w:pict>
          <v:shape style="position:absolute;margin-left:56.692902pt;margin-top:19.047747pt;width:439.4pt;height:.1pt;mso-position-horizontal-relative:page;mso-position-vertical-relative:paragraph;z-index:-251345920;mso-wrap-distance-left:0;mso-wrap-distance-right:0" coordorigin="1134,381" coordsize="8788,0" path="m1134,381l9921,381e" filled="false" stroked="true" strokeweight=".75pt" strokecolor="#ca4f1b">
            <v:path arrowok="t"/>
            <v:stroke dashstyle="solid"/>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7"/>
        </w:rPr>
      </w:pPr>
      <w:r>
        <w:rPr/>
        <w:pict>
          <v:shape style="position:absolute;margin-left:56.692902pt;margin-top:13.132498pt;width:79.850pt;height:.1pt;mso-position-horizontal-relative:page;mso-position-vertical-relative:paragraph;z-index:-251344896;mso-wrap-distance-left:0;mso-wrap-distance-right:0" coordorigin="1134,263" coordsize="1597,0" path="m1134,263l2730,263e" filled="false" stroked="true" strokeweight=".5pt" strokecolor="#000000">
            <v:path arrowok="t"/>
            <v:stroke dashstyle="solid"/>
            <w10:wrap type="topAndBottom"/>
          </v:shape>
        </w:pict>
      </w:r>
    </w:p>
    <w:p>
      <w:pPr>
        <w:pStyle w:val="ListParagraph"/>
        <w:numPr>
          <w:ilvl w:val="0"/>
          <w:numId w:val="117"/>
        </w:numPr>
        <w:tabs>
          <w:tab w:pos="1587" w:val="left" w:leader="none"/>
          <w:tab w:pos="1588" w:val="left" w:leader="none"/>
        </w:tabs>
        <w:spacing w:line="240" w:lineRule="auto" w:before="145" w:after="0"/>
        <w:ind w:left="1587" w:right="2589" w:hanging="454"/>
        <w:jc w:val="left"/>
        <w:rPr>
          <w:sz w:val="18"/>
        </w:rPr>
      </w:pPr>
      <w:r>
        <w:rPr>
          <w:w w:val="120"/>
          <w:sz w:val="18"/>
        </w:rPr>
        <w:t>See</w:t>
      </w:r>
      <w:r>
        <w:rPr>
          <w:spacing w:val="-10"/>
          <w:w w:val="120"/>
          <w:sz w:val="18"/>
        </w:rPr>
        <w:t> </w:t>
      </w:r>
      <w:r>
        <w:rPr>
          <w:i/>
          <w:w w:val="120"/>
          <w:sz w:val="18"/>
        </w:rPr>
        <w:t>vision2020</w:t>
      </w:r>
      <w:r>
        <w:rPr>
          <w:i/>
          <w:spacing w:val="-11"/>
          <w:w w:val="120"/>
          <w:sz w:val="18"/>
        </w:rPr>
        <w:t> </w:t>
      </w:r>
      <w:r>
        <w:rPr>
          <w:i/>
          <w:w w:val="120"/>
          <w:sz w:val="18"/>
        </w:rPr>
        <w:t>–</w:t>
      </w:r>
      <w:r>
        <w:rPr>
          <w:i/>
          <w:spacing w:val="-12"/>
          <w:w w:val="120"/>
          <w:sz w:val="18"/>
        </w:rPr>
        <w:t> </w:t>
      </w:r>
      <w:r>
        <w:rPr>
          <w:i/>
          <w:w w:val="120"/>
          <w:sz w:val="18"/>
        </w:rPr>
        <w:t>planning</w:t>
      </w:r>
      <w:r>
        <w:rPr>
          <w:i/>
          <w:spacing w:val="-12"/>
          <w:w w:val="120"/>
          <w:sz w:val="18"/>
        </w:rPr>
        <w:t> </w:t>
      </w:r>
      <w:r>
        <w:rPr>
          <w:i/>
          <w:w w:val="120"/>
          <w:sz w:val="18"/>
        </w:rPr>
        <w:t>for</w:t>
      </w:r>
      <w:r>
        <w:rPr>
          <w:i/>
          <w:spacing w:val="-11"/>
          <w:w w:val="120"/>
          <w:sz w:val="18"/>
        </w:rPr>
        <w:t> </w:t>
      </w:r>
      <w:r>
        <w:rPr>
          <w:i/>
          <w:w w:val="120"/>
          <w:sz w:val="18"/>
        </w:rPr>
        <w:t>growth</w:t>
      </w:r>
      <w:r>
        <w:rPr>
          <w:i/>
          <w:spacing w:val="-12"/>
          <w:w w:val="120"/>
          <w:sz w:val="18"/>
        </w:rPr>
        <w:t> </w:t>
      </w:r>
      <w:r>
        <w:rPr>
          <w:i/>
          <w:w w:val="120"/>
          <w:sz w:val="18"/>
        </w:rPr>
        <w:t>in</w:t>
      </w:r>
      <w:r>
        <w:rPr>
          <w:i/>
          <w:spacing w:val="-12"/>
          <w:w w:val="120"/>
          <w:sz w:val="18"/>
        </w:rPr>
        <w:t> </w:t>
      </w:r>
      <w:r>
        <w:rPr>
          <w:i/>
          <w:w w:val="120"/>
          <w:sz w:val="18"/>
        </w:rPr>
        <w:t>the</w:t>
      </w:r>
      <w:r>
        <w:rPr>
          <w:i/>
          <w:spacing w:val="-11"/>
          <w:w w:val="120"/>
          <w:sz w:val="18"/>
        </w:rPr>
        <w:t> </w:t>
      </w:r>
      <w:r>
        <w:rPr>
          <w:i/>
          <w:w w:val="120"/>
          <w:sz w:val="18"/>
        </w:rPr>
        <w:t>URC</w:t>
      </w:r>
      <w:r>
        <w:rPr>
          <w:i/>
          <w:spacing w:val="-12"/>
          <w:w w:val="120"/>
          <w:sz w:val="18"/>
        </w:rPr>
        <w:t> </w:t>
      </w:r>
      <w:r>
        <w:rPr>
          <w:w w:val="120"/>
          <w:sz w:val="18"/>
        </w:rPr>
        <w:t>at</w:t>
      </w:r>
      <w:r>
        <w:rPr>
          <w:spacing w:val="-9"/>
          <w:w w:val="120"/>
          <w:sz w:val="18"/>
        </w:rPr>
        <w:t> </w:t>
      </w:r>
      <w:hyperlink r:id="rId229">
        <w:r>
          <w:rPr>
            <w:w w:val="120"/>
            <w:sz w:val="18"/>
          </w:rPr>
          <w:t>http://www.urc.org.uk/what_we_do/</w:t>
        </w:r>
      </w:hyperlink>
      <w:r>
        <w:rPr>
          <w:w w:val="120"/>
          <w:sz w:val="18"/>
        </w:rPr>
        <w:t> mission/images/vision2020_booklet_colour.pdf</w:t>
      </w:r>
    </w:p>
    <w:p>
      <w:pPr>
        <w:pStyle w:val="ListParagraph"/>
        <w:numPr>
          <w:ilvl w:val="0"/>
          <w:numId w:val="117"/>
        </w:numPr>
        <w:tabs>
          <w:tab w:pos="1587" w:val="left" w:leader="none"/>
          <w:tab w:pos="1588" w:val="left" w:leader="none"/>
        </w:tabs>
        <w:spacing w:line="240" w:lineRule="auto" w:before="0" w:after="0"/>
        <w:ind w:left="1587" w:right="2850" w:hanging="454"/>
        <w:jc w:val="left"/>
        <w:rPr>
          <w:sz w:val="18"/>
        </w:rPr>
      </w:pPr>
      <w:r>
        <w:rPr>
          <w:w w:val="115"/>
          <w:sz w:val="18"/>
        </w:rPr>
        <w:t>Cited in EIRIS/UKSIF Charity Project, </w:t>
      </w:r>
      <w:r>
        <w:rPr>
          <w:i/>
          <w:w w:val="115"/>
          <w:sz w:val="18"/>
        </w:rPr>
        <w:t>Responsible Investment Approaches to Non-Equity </w:t>
      </w:r>
      <w:r>
        <w:rPr>
          <w:i/>
          <w:w w:val="115"/>
          <w:sz w:val="18"/>
        </w:rPr>
        <w:t>Investments: An Introduction for Charity Trustees, </w:t>
      </w:r>
      <w:r>
        <w:rPr>
          <w:w w:val="115"/>
          <w:sz w:val="18"/>
        </w:rPr>
        <w:t>2006,</w:t>
      </w:r>
      <w:r>
        <w:rPr>
          <w:spacing w:val="37"/>
          <w:w w:val="115"/>
          <w:sz w:val="18"/>
        </w:rPr>
        <w:t> </w:t>
      </w:r>
      <w:hyperlink r:id="rId230">
        <w:r>
          <w:rPr>
            <w:w w:val="115"/>
            <w:sz w:val="18"/>
          </w:rPr>
          <w:t>www.charityysri.org</w:t>
        </w:r>
      </w:hyperlink>
    </w:p>
    <w:p>
      <w:pPr>
        <w:spacing w:after="0" w:line="240" w:lineRule="auto"/>
        <w:jc w:val="left"/>
        <w:rPr>
          <w:sz w:val="18"/>
        </w:rPr>
        <w:sectPr>
          <w:pgSz w:w="11910" w:h="16840"/>
          <w:pgMar w:header="0" w:footer="647" w:top="1060" w:bottom="840" w:left="0" w:right="0"/>
        </w:sectPr>
      </w:pPr>
    </w:p>
    <w:p>
      <w:pPr>
        <w:pStyle w:val="Heading2"/>
        <w:spacing w:before="115"/>
      </w:pPr>
      <w:r>
        <w:rPr/>
        <w:pict>
          <v:rect style="position:absolute;margin-left:558.424988pt;margin-top:8.492283pt;width:22.677pt;height:22.677pt;mso-position-horizontal-relative:page;mso-position-vertical-relative:paragraph;z-index:251973632" filled="true" fillcolor="#f9e9c1" stroked="false">
            <v:fill opacity="32768f" type="solid"/>
            <w10:wrap type="none"/>
          </v:rect>
        </w:pict>
      </w:r>
      <w:r>
        <w:rPr>
          <w:color w:val="CA4F1B"/>
          <w:w w:val="110"/>
        </w:rPr>
        <w:t>Annexe 9</w:t>
      </w:r>
    </w:p>
    <w:p>
      <w:pPr>
        <w:pStyle w:val="Heading6"/>
        <w:spacing w:line="196" w:lineRule="auto" w:before="150"/>
        <w:ind w:left="1984" w:right="4239"/>
      </w:pPr>
      <w:r>
        <w:rPr>
          <w:w w:val="110"/>
        </w:rPr>
        <w:t>Policy on investment in Nestlé Review Report</w:t>
      </w:r>
    </w:p>
    <w:p>
      <w:pPr>
        <w:pStyle w:val="BodyText"/>
        <w:spacing w:before="6"/>
        <w:rPr>
          <w:rFonts w:ascii="Stone Sans II ITC Std Bk"/>
          <w:b/>
          <w:sz w:val="31"/>
        </w:rPr>
      </w:pPr>
    </w:p>
    <w:p>
      <w:pPr>
        <w:numPr>
          <w:ilvl w:val="1"/>
          <w:numId w:val="117"/>
        </w:numPr>
        <w:tabs>
          <w:tab w:pos="2704" w:val="left" w:leader="none"/>
          <w:tab w:pos="2705" w:val="left" w:leader="none"/>
        </w:tabs>
        <w:spacing w:line="267" w:lineRule="exact" w:before="0"/>
        <w:ind w:left="2704" w:right="0" w:hanging="721"/>
        <w:jc w:val="left"/>
        <w:rPr>
          <w:rFonts w:ascii="Stone Sans II ITC Std Bk"/>
          <w:b/>
          <w:sz w:val="21"/>
        </w:rPr>
      </w:pPr>
      <w:r>
        <w:rPr>
          <w:rFonts w:ascii="Stone Sans II ITC Std Bk"/>
          <w:b/>
          <w:w w:val="115"/>
          <w:sz w:val="21"/>
        </w:rPr>
        <w:t>Background</w:t>
      </w:r>
    </w:p>
    <w:p>
      <w:pPr>
        <w:spacing w:line="213" w:lineRule="auto" w:before="6"/>
        <w:ind w:left="1984" w:right="1997" w:firstLine="0"/>
        <w:jc w:val="left"/>
        <w:rPr>
          <w:rFonts w:ascii="Stone Sans II ITC Std Bk"/>
          <w:b/>
          <w:sz w:val="20"/>
        </w:rPr>
      </w:pPr>
      <w:r>
        <w:rPr>
          <w:rFonts w:ascii="Stone Sans II ITC Std Bk"/>
          <w:b/>
          <w:w w:val="110"/>
          <w:sz w:val="20"/>
        </w:rPr>
        <w:t>N.B. This report makes reference to MC appendices 1-9. Due to the length of these appendices they have not been included in the Book of Reports but may be accessed on the URC website at this link:</w:t>
      </w:r>
      <w:hyperlink r:id="rId235">
        <w:r>
          <w:rPr>
            <w:rFonts w:ascii="Stone Sans II ITC Std Bk"/>
            <w:b/>
            <w:w w:val="110"/>
            <w:sz w:val="20"/>
          </w:rPr>
          <w:t> http://www.urc.org.uk/what_we_do/mission_council/mission_council</w:t>
        </w:r>
      </w:hyperlink>
      <w:r>
        <w:rPr>
          <w:rFonts w:ascii="Stone Sans II ITC Std Bk"/>
          <w:b/>
          <w:w w:val="110"/>
          <w:sz w:val="20"/>
        </w:rPr>
        <w:t> (</w:t>
      </w:r>
      <w:hyperlink r:id="rId236">
        <w:r>
          <w:rPr>
            <w:rFonts w:ascii="Stone Sans II ITC Std Bk"/>
            <w:b/>
            <w:w w:val="110"/>
            <w:sz w:val="20"/>
          </w:rPr>
          <w:t>http://bit.ly/missioncouncil) </w:t>
        </w:r>
      </w:hyperlink>
      <w:r>
        <w:rPr>
          <w:rFonts w:ascii="Stone Sans II ITC Std Bk"/>
          <w:b/>
          <w:w w:val="110"/>
          <w:sz w:val="20"/>
        </w:rPr>
        <w:t>(Mission Council papers March 2010)</w:t>
      </w:r>
    </w:p>
    <w:p>
      <w:pPr>
        <w:pStyle w:val="BodyText"/>
        <w:rPr>
          <w:rFonts w:ascii="Stone Sans II ITC Std Bk"/>
          <w:b/>
          <w:sz w:val="17"/>
        </w:rPr>
      </w:pPr>
    </w:p>
    <w:p>
      <w:pPr>
        <w:pStyle w:val="ListParagraph"/>
        <w:numPr>
          <w:ilvl w:val="2"/>
          <w:numId w:val="117"/>
        </w:numPr>
        <w:tabs>
          <w:tab w:pos="2664" w:val="left" w:leader="none"/>
          <w:tab w:pos="2665" w:val="left" w:leader="none"/>
        </w:tabs>
        <w:spacing w:line="235" w:lineRule="auto" w:before="0" w:after="0"/>
        <w:ind w:left="1984" w:right="1133" w:firstLine="0"/>
        <w:jc w:val="left"/>
        <w:rPr>
          <w:i/>
          <w:sz w:val="20"/>
        </w:rPr>
      </w:pPr>
      <w:r>
        <w:rPr>
          <w:w w:val="120"/>
          <w:sz w:val="20"/>
        </w:rPr>
        <w:t>The United Reformed Church (URC) adopted a motion to boycott Nestlé products at General Assembly in </w:t>
      </w:r>
      <w:r>
        <w:rPr>
          <w:spacing w:val="-6"/>
          <w:w w:val="120"/>
          <w:sz w:val="20"/>
        </w:rPr>
        <w:t>1992 </w:t>
      </w:r>
      <w:r>
        <w:rPr>
          <w:w w:val="120"/>
          <w:sz w:val="20"/>
        </w:rPr>
        <w:t>based on concerns highlighted by Baby Milk Action (BMA) related to the company’s policy of marketing and distributing of breast milk substitutes  to</w:t>
      </w:r>
      <w:r>
        <w:rPr>
          <w:spacing w:val="-5"/>
          <w:w w:val="120"/>
          <w:sz w:val="20"/>
        </w:rPr>
        <w:t> </w:t>
      </w:r>
      <w:r>
        <w:rPr>
          <w:w w:val="120"/>
          <w:sz w:val="20"/>
        </w:rPr>
        <w:t>mothers</w:t>
      </w:r>
      <w:r>
        <w:rPr>
          <w:spacing w:val="-5"/>
          <w:w w:val="120"/>
          <w:sz w:val="20"/>
        </w:rPr>
        <w:t> </w:t>
      </w:r>
      <w:r>
        <w:rPr>
          <w:w w:val="120"/>
          <w:sz w:val="20"/>
        </w:rPr>
        <w:t>in</w:t>
      </w:r>
      <w:r>
        <w:rPr>
          <w:spacing w:val="-5"/>
          <w:w w:val="120"/>
          <w:sz w:val="20"/>
        </w:rPr>
        <w:t> </w:t>
      </w:r>
      <w:r>
        <w:rPr>
          <w:w w:val="120"/>
          <w:sz w:val="20"/>
        </w:rPr>
        <w:t>Third</w:t>
      </w:r>
      <w:r>
        <w:rPr>
          <w:spacing w:val="-5"/>
          <w:w w:val="120"/>
          <w:sz w:val="20"/>
        </w:rPr>
        <w:t> </w:t>
      </w:r>
      <w:r>
        <w:rPr>
          <w:w w:val="120"/>
          <w:sz w:val="20"/>
        </w:rPr>
        <w:t>World</w:t>
      </w:r>
      <w:r>
        <w:rPr>
          <w:spacing w:val="-5"/>
          <w:w w:val="120"/>
          <w:sz w:val="20"/>
        </w:rPr>
        <w:t> </w:t>
      </w:r>
      <w:r>
        <w:rPr>
          <w:w w:val="120"/>
          <w:sz w:val="20"/>
        </w:rPr>
        <w:t>countries.</w:t>
      </w:r>
      <w:r>
        <w:rPr>
          <w:spacing w:val="-5"/>
          <w:w w:val="120"/>
          <w:sz w:val="20"/>
        </w:rPr>
        <w:t> </w:t>
      </w:r>
      <w:r>
        <w:rPr>
          <w:w w:val="120"/>
          <w:sz w:val="20"/>
        </w:rPr>
        <w:t>This</w:t>
      </w:r>
      <w:r>
        <w:rPr>
          <w:spacing w:val="-5"/>
          <w:w w:val="120"/>
          <w:sz w:val="20"/>
        </w:rPr>
        <w:t> </w:t>
      </w:r>
      <w:r>
        <w:rPr>
          <w:w w:val="120"/>
          <w:sz w:val="20"/>
        </w:rPr>
        <w:t>motion</w:t>
      </w:r>
      <w:r>
        <w:rPr>
          <w:spacing w:val="-5"/>
          <w:w w:val="120"/>
          <w:sz w:val="20"/>
        </w:rPr>
        <w:t> </w:t>
      </w:r>
      <w:r>
        <w:rPr>
          <w:w w:val="120"/>
          <w:sz w:val="20"/>
        </w:rPr>
        <w:t>called</w:t>
      </w:r>
      <w:r>
        <w:rPr>
          <w:spacing w:val="-5"/>
          <w:w w:val="120"/>
          <w:sz w:val="20"/>
        </w:rPr>
        <w:t> </w:t>
      </w:r>
      <w:r>
        <w:rPr>
          <w:w w:val="120"/>
          <w:sz w:val="20"/>
        </w:rPr>
        <w:t>for</w:t>
      </w:r>
      <w:r>
        <w:rPr>
          <w:spacing w:val="-5"/>
          <w:w w:val="120"/>
          <w:sz w:val="20"/>
        </w:rPr>
        <w:t> </w:t>
      </w:r>
      <w:r>
        <w:rPr>
          <w:w w:val="120"/>
          <w:sz w:val="20"/>
        </w:rPr>
        <w:t>‘</w:t>
      </w:r>
      <w:r>
        <w:rPr>
          <w:i/>
          <w:w w:val="120"/>
          <w:sz w:val="20"/>
        </w:rPr>
        <w:t>Church</w:t>
      </w:r>
      <w:r>
        <w:rPr>
          <w:i/>
          <w:spacing w:val="-8"/>
          <w:w w:val="120"/>
          <w:sz w:val="20"/>
        </w:rPr>
        <w:t> </w:t>
      </w:r>
      <w:r>
        <w:rPr>
          <w:i/>
          <w:w w:val="120"/>
          <w:sz w:val="20"/>
        </w:rPr>
        <w:t>and</w:t>
      </w:r>
      <w:r>
        <w:rPr>
          <w:i/>
          <w:spacing w:val="-7"/>
          <w:w w:val="120"/>
          <w:sz w:val="20"/>
        </w:rPr>
        <w:t> </w:t>
      </w:r>
      <w:r>
        <w:rPr>
          <w:i/>
          <w:w w:val="120"/>
          <w:sz w:val="20"/>
        </w:rPr>
        <w:t>Society</w:t>
      </w:r>
      <w:r>
        <w:rPr>
          <w:i/>
          <w:spacing w:val="-8"/>
          <w:w w:val="120"/>
          <w:sz w:val="20"/>
        </w:rPr>
        <w:t> </w:t>
      </w:r>
      <w:r>
        <w:rPr>
          <w:i/>
          <w:w w:val="120"/>
          <w:sz w:val="20"/>
        </w:rPr>
        <w:t>to</w:t>
      </w:r>
      <w:r>
        <w:rPr>
          <w:i/>
          <w:spacing w:val="-8"/>
          <w:w w:val="120"/>
          <w:sz w:val="20"/>
        </w:rPr>
        <w:t> </w:t>
      </w:r>
      <w:r>
        <w:rPr>
          <w:i/>
          <w:w w:val="120"/>
          <w:sz w:val="20"/>
        </w:rPr>
        <w:t>set</w:t>
      </w:r>
      <w:r>
        <w:rPr>
          <w:i/>
          <w:spacing w:val="-7"/>
          <w:w w:val="120"/>
          <w:sz w:val="20"/>
        </w:rPr>
        <w:t> </w:t>
      </w:r>
      <w:r>
        <w:rPr>
          <w:i/>
          <w:w w:val="120"/>
          <w:sz w:val="20"/>
        </w:rPr>
        <w:t>up</w:t>
      </w:r>
    </w:p>
    <w:p>
      <w:pPr>
        <w:spacing w:line="223" w:lineRule="auto" w:before="13"/>
        <w:ind w:left="1984" w:right="1120" w:firstLine="0"/>
        <w:jc w:val="left"/>
        <w:rPr>
          <w:sz w:val="20"/>
        </w:rPr>
      </w:pPr>
      <w:r>
        <w:rPr>
          <w:i/>
          <w:w w:val="110"/>
          <w:sz w:val="20"/>
        </w:rPr>
        <w:t>a working party to monitor the situation to enable the motion to be reviewed at the General </w:t>
      </w:r>
      <w:r>
        <w:rPr>
          <w:i/>
          <w:w w:val="110"/>
          <w:sz w:val="20"/>
        </w:rPr>
        <w:t>Assembly 1993’ </w:t>
      </w:r>
      <w:r>
        <w:rPr>
          <w:w w:val="110"/>
          <w:sz w:val="20"/>
        </w:rPr>
        <w:t>– see </w:t>
      </w:r>
      <w:r>
        <w:rPr>
          <w:rFonts w:ascii="Stone Sans II ITC Std Bk" w:hAnsi="Stone Sans II ITC Std Bk"/>
          <w:b/>
          <w:i/>
          <w:w w:val="110"/>
          <w:sz w:val="20"/>
        </w:rPr>
        <w:t>MC Appendix 1 </w:t>
      </w:r>
      <w:r>
        <w:rPr>
          <w:w w:val="110"/>
          <w:sz w:val="20"/>
        </w:rPr>
        <w:t>for copy of motion.</w:t>
      </w:r>
    </w:p>
    <w:p>
      <w:pPr>
        <w:pStyle w:val="BodyText"/>
        <w:rPr>
          <w:sz w:val="19"/>
        </w:rPr>
      </w:pPr>
    </w:p>
    <w:p>
      <w:pPr>
        <w:pStyle w:val="ListParagraph"/>
        <w:numPr>
          <w:ilvl w:val="2"/>
          <w:numId w:val="117"/>
        </w:numPr>
        <w:tabs>
          <w:tab w:pos="2664" w:val="left" w:leader="none"/>
          <w:tab w:pos="2665" w:val="left" w:leader="none"/>
        </w:tabs>
        <w:spacing w:line="235" w:lineRule="auto" w:before="0" w:after="0"/>
        <w:ind w:left="1984" w:right="1260" w:firstLine="0"/>
        <w:jc w:val="left"/>
        <w:rPr>
          <w:rFonts w:ascii="Stone Sans II ITC Std Bk" w:hAnsi="Stone Sans II ITC Std Bk"/>
          <w:b/>
          <w:i/>
          <w:sz w:val="20"/>
        </w:rPr>
      </w:pPr>
      <w:r>
        <w:rPr>
          <w:w w:val="115"/>
          <w:sz w:val="20"/>
        </w:rPr>
        <w:t>The Church and Society </w:t>
      </w:r>
      <w:r>
        <w:rPr>
          <w:spacing w:val="-6"/>
          <w:w w:val="115"/>
          <w:sz w:val="20"/>
        </w:rPr>
        <w:t>(C&amp;S) </w:t>
      </w:r>
      <w:r>
        <w:rPr>
          <w:w w:val="115"/>
          <w:sz w:val="20"/>
        </w:rPr>
        <w:t>Committee expressed its  continued  support  for </w:t>
      </w:r>
      <w:r>
        <w:rPr>
          <w:spacing w:val="-4"/>
          <w:w w:val="115"/>
          <w:sz w:val="20"/>
        </w:rPr>
        <w:t>BMA’s </w:t>
      </w:r>
      <w:r>
        <w:rPr>
          <w:w w:val="115"/>
          <w:sz w:val="20"/>
        </w:rPr>
        <w:t>campaign to continue boycotting Nestlé products  in  its  </w:t>
      </w:r>
      <w:r>
        <w:rPr>
          <w:spacing w:val="2"/>
          <w:w w:val="115"/>
          <w:sz w:val="20"/>
        </w:rPr>
        <w:t>report  </w:t>
      </w:r>
      <w:r>
        <w:rPr>
          <w:w w:val="115"/>
          <w:sz w:val="20"/>
        </w:rPr>
        <w:t>to  Assembly  in </w:t>
      </w:r>
      <w:r>
        <w:rPr>
          <w:spacing w:val="-4"/>
          <w:w w:val="115"/>
          <w:sz w:val="20"/>
        </w:rPr>
        <w:t>2001. </w:t>
      </w:r>
      <w:r>
        <w:rPr>
          <w:w w:val="115"/>
          <w:sz w:val="20"/>
        </w:rPr>
        <w:t>This was based on the case that Nestlé ‘</w:t>
      </w:r>
      <w:r>
        <w:rPr>
          <w:i/>
          <w:w w:val="115"/>
          <w:sz w:val="20"/>
        </w:rPr>
        <w:t>contributes to the unnecessary death and </w:t>
      </w:r>
      <w:r>
        <w:rPr>
          <w:i/>
          <w:w w:val="115"/>
          <w:sz w:val="20"/>
        </w:rPr>
        <w:t>suffering of infants by aggressively marketing breast milk substitutes in ways that violate the International</w:t>
      </w:r>
      <w:r>
        <w:rPr>
          <w:i/>
          <w:spacing w:val="-28"/>
          <w:w w:val="115"/>
          <w:sz w:val="20"/>
        </w:rPr>
        <w:t> </w:t>
      </w:r>
      <w:r>
        <w:rPr>
          <w:i/>
          <w:w w:val="115"/>
          <w:sz w:val="20"/>
        </w:rPr>
        <w:t>Code</w:t>
      </w:r>
      <w:r>
        <w:rPr>
          <w:i/>
          <w:spacing w:val="-27"/>
          <w:w w:val="115"/>
          <w:sz w:val="20"/>
        </w:rPr>
        <w:t> </w:t>
      </w:r>
      <w:r>
        <w:rPr>
          <w:i/>
          <w:w w:val="115"/>
          <w:sz w:val="20"/>
        </w:rPr>
        <w:t>of</w:t>
      </w:r>
      <w:r>
        <w:rPr>
          <w:i/>
          <w:spacing w:val="-27"/>
          <w:w w:val="115"/>
          <w:sz w:val="20"/>
        </w:rPr>
        <w:t> </w:t>
      </w:r>
      <w:r>
        <w:rPr>
          <w:i/>
          <w:w w:val="115"/>
          <w:sz w:val="20"/>
        </w:rPr>
        <w:t>Marketing</w:t>
      </w:r>
      <w:r>
        <w:rPr>
          <w:i/>
          <w:spacing w:val="-27"/>
          <w:w w:val="115"/>
          <w:sz w:val="20"/>
        </w:rPr>
        <w:t> </w:t>
      </w:r>
      <w:r>
        <w:rPr>
          <w:i/>
          <w:w w:val="115"/>
          <w:sz w:val="20"/>
        </w:rPr>
        <w:t>of</w:t>
      </w:r>
      <w:r>
        <w:rPr>
          <w:i/>
          <w:spacing w:val="-27"/>
          <w:w w:val="115"/>
          <w:sz w:val="20"/>
        </w:rPr>
        <w:t> </w:t>
      </w:r>
      <w:r>
        <w:rPr>
          <w:i/>
          <w:w w:val="115"/>
          <w:sz w:val="20"/>
        </w:rPr>
        <w:t>Breast-Milk</w:t>
      </w:r>
      <w:r>
        <w:rPr>
          <w:i/>
          <w:spacing w:val="-28"/>
          <w:w w:val="115"/>
          <w:sz w:val="20"/>
        </w:rPr>
        <w:t> </w:t>
      </w:r>
      <w:r>
        <w:rPr>
          <w:i/>
          <w:w w:val="115"/>
          <w:sz w:val="20"/>
        </w:rPr>
        <w:t>Substitutes</w:t>
      </w:r>
      <w:r>
        <w:rPr>
          <w:i/>
          <w:spacing w:val="-27"/>
          <w:w w:val="115"/>
          <w:sz w:val="20"/>
        </w:rPr>
        <w:t> </w:t>
      </w:r>
      <w:r>
        <w:rPr>
          <w:i/>
          <w:w w:val="115"/>
          <w:sz w:val="20"/>
        </w:rPr>
        <w:t>and</w:t>
      </w:r>
      <w:r>
        <w:rPr>
          <w:i/>
          <w:spacing w:val="-27"/>
          <w:w w:val="115"/>
          <w:sz w:val="20"/>
        </w:rPr>
        <w:t> </w:t>
      </w:r>
      <w:r>
        <w:rPr>
          <w:i/>
          <w:w w:val="115"/>
          <w:sz w:val="20"/>
        </w:rPr>
        <w:t>subsequent</w:t>
      </w:r>
      <w:r>
        <w:rPr>
          <w:i/>
          <w:spacing w:val="-27"/>
          <w:w w:val="115"/>
          <w:sz w:val="20"/>
        </w:rPr>
        <w:t> </w:t>
      </w:r>
      <w:r>
        <w:rPr>
          <w:i/>
          <w:w w:val="115"/>
          <w:sz w:val="20"/>
        </w:rPr>
        <w:t>relevant</w:t>
      </w:r>
      <w:r>
        <w:rPr>
          <w:i/>
          <w:spacing w:val="-27"/>
          <w:w w:val="115"/>
          <w:sz w:val="20"/>
        </w:rPr>
        <w:t> </w:t>
      </w:r>
      <w:r>
        <w:rPr>
          <w:i/>
          <w:w w:val="115"/>
          <w:sz w:val="20"/>
        </w:rPr>
        <w:t>resolutions adopted by the World Health </w:t>
      </w:r>
      <w:r>
        <w:rPr>
          <w:i/>
          <w:spacing w:val="-3"/>
          <w:w w:val="115"/>
          <w:sz w:val="20"/>
        </w:rPr>
        <w:t>Assembly.</w:t>
      </w:r>
      <w:r>
        <w:rPr>
          <w:spacing w:val="-3"/>
          <w:w w:val="115"/>
          <w:sz w:val="20"/>
        </w:rPr>
        <w:t>’ </w:t>
      </w:r>
      <w:r>
        <w:rPr>
          <w:w w:val="115"/>
          <w:sz w:val="20"/>
        </w:rPr>
        <w:t>The </w:t>
      </w:r>
      <w:r>
        <w:rPr>
          <w:spacing w:val="2"/>
          <w:w w:val="115"/>
          <w:sz w:val="20"/>
        </w:rPr>
        <w:t>report </w:t>
      </w:r>
      <w:r>
        <w:rPr>
          <w:w w:val="115"/>
          <w:sz w:val="20"/>
        </w:rPr>
        <w:t>ended by calling for </w:t>
      </w:r>
      <w:r>
        <w:rPr>
          <w:i/>
          <w:w w:val="115"/>
          <w:sz w:val="20"/>
        </w:rPr>
        <w:t>‘the Church to </w:t>
      </w:r>
      <w:r>
        <w:rPr>
          <w:i/>
          <w:w w:val="115"/>
          <w:sz w:val="20"/>
        </w:rPr>
        <w:t>continue</w:t>
      </w:r>
      <w:r>
        <w:rPr>
          <w:i/>
          <w:spacing w:val="-25"/>
          <w:w w:val="115"/>
          <w:sz w:val="20"/>
        </w:rPr>
        <w:t> </w:t>
      </w:r>
      <w:r>
        <w:rPr>
          <w:i/>
          <w:w w:val="115"/>
          <w:sz w:val="20"/>
        </w:rPr>
        <w:t>to</w:t>
      </w:r>
      <w:r>
        <w:rPr>
          <w:i/>
          <w:spacing w:val="-24"/>
          <w:w w:val="115"/>
          <w:sz w:val="20"/>
        </w:rPr>
        <w:t> </w:t>
      </w:r>
      <w:r>
        <w:rPr>
          <w:i/>
          <w:w w:val="115"/>
          <w:sz w:val="20"/>
        </w:rPr>
        <w:t>express</w:t>
      </w:r>
      <w:r>
        <w:rPr>
          <w:i/>
          <w:spacing w:val="-24"/>
          <w:w w:val="115"/>
          <w:sz w:val="20"/>
        </w:rPr>
        <w:t> </w:t>
      </w:r>
      <w:r>
        <w:rPr>
          <w:i/>
          <w:w w:val="115"/>
          <w:sz w:val="20"/>
        </w:rPr>
        <w:t>practically</w:t>
      </w:r>
      <w:r>
        <w:rPr>
          <w:i/>
          <w:spacing w:val="-24"/>
          <w:w w:val="115"/>
          <w:sz w:val="20"/>
        </w:rPr>
        <w:t> </w:t>
      </w:r>
      <w:r>
        <w:rPr>
          <w:i/>
          <w:w w:val="115"/>
          <w:sz w:val="20"/>
        </w:rPr>
        <w:t>its</w:t>
      </w:r>
      <w:r>
        <w:rPr>
          <w:i/>
          <w:spacing w:val="-25"/>
          <w:w w:val="115"/>
          <w:sz w:val="20"/>
        </w:rPr>
        <w:t> </w:t>
      </w:r>
      <w:r>
        <w:rPr>
          <w:i/>
          <w:w w:val="115"/>
          <w:sz w:val="20"/>
        </w:rPr>
        <w:t>feelings</w:t>
      </w:r>
      <w:r>
        <w:rPr>
          <w:i/>
          <w:spacing w:val="-24"/>
          <w:w w:val="115"/>
          <w:sz w:val="20"/>
        </w:rPr>
        <w:t> </w:t>
      </w:r>
      <w:r>
        <w:rPr>
          <w:i/>
          <w:w w:val="115"/>
          <w:sz w:val="20"/>
        </w:rPr>
        <w:t>about</w:t>
      </w:r>
      <w:r>
        <w:rPr>
          <w:i/>
          <w:spacing w:val="-24"/>
          <w:w w:val="115"/>
          <w:sz w:val="20"/>
        </w:rPr>
        <w:t> </w:t>
      </w:r>
      <w:r>
        <w:rPr>
          <w:i/>
          <w:w w:val="115"/>
          <w:sz w:val="20"/>
        </w:rPr>
        <w:t>Nestlé’s</w:t>
      </w:r>
      <w:r>
        <w:rPr>
          <w:i/>
          <w:spacing w:val="-24"/>
          <w:w w:val="115"/>
          <w:sz w:val="20"/>
        </w:rPr>
        <w:t> </w:t>
      </w:r>
      <w:r>
        <w:rPr>
          <w:i/>
          <w:w w:val="115"/>
          <w:sz w:val="20"/>
        </w:rPr>
        <w:t>practice</w:t>
      </w:r>
      <w:r>
        <w:rPr>
          <w:i/>
          <w:spacing w:val="-24"/>
          <w:w w:val="115"/>
          <w:sz w:val="20"/>
        </w:rPr>
        <w:t> </w:t>
      </w:r>
      <w:r>
        <w:rPr>
          <w:i/>
          <w:w w:val="115"/>
          <w:sz w:val="20"/>
        </w:rPr>
        <w:t>of</w:t>
      </w:r>
      <w:r>
        <w:rPr>
          <w:i/>
          <w:spacing w:val="-25"/>
          <w:w w:val="115"/>
          <w:sz w:val="20"/>
        </w:rPr>
        <w:t> </w:t>
      </w:r>
      <w:r>
        <w:rPr>
          <w:i/>
          <w:w w:val="115"/>
          <w:sz w:val="20"/>
        </w:rPr>
        <w:t>prioritising</w:t>
      </w:r>
      <w:r>
        <w:rPr>
          <w:i/>
          <w:spacing w:val="-24"/>
          <w:w w:val="115"/>
          <w:sz w:val="20"/>
        </w:rPr>
        <w:t> </w:t>
      </w:r>
      <w:r>
        <w:rPr>
          <w:i/>
          <w:w w:val="115"/>
          <w:sz w:val="20"/>
        </w:rPr>
        <w:t>its</w:t>
      </w:r>
      <w:r>
        <w:rPr>
          <w:i/>
          <w:spacing w:val="-24"/>
          <w:w w:val="115"/>
          <w:sz w:val="20"/>
        </w:rPr>
        <w:t> </w:t>
      </w:r>
      <w:r>
        <w:rPr>
          <w:i/>
          <w:w w:val="115"/>
          <w:sz w:val="20"/>
        </w:rPr>
        <w:t>own</w:t>
      </w:r>
      <w:r>
        <w:rPr>
          <w:i/>
          <w:spacing w:val="-24"/>
          <w:w w:val="115"/>
          <w:sz w:val="20"/>
        </w:rPr>
        <w:t> </w:t>
      </w:r>
      <w:r>
        <w:rPr>
          <w:i/>
          <w:w w:val="115"/>
          <w:sz w:val="20"/>
        </w:rPr>
        <w:t>interests before</w:t>
      </w:r>
      <w:r>
        <w:rPr>
          <w:i/>
          <w:spacing w:val="-9"/>
          <w:w w:val="115"/>
          <w:sz w:val="20"/>
        </w:rPr>
        <w:t> </w:t>
      </w:r>
      <w:r>
        <w:rPr>
          <w:i/>
          <w:w w:val="115"/>
          <w:sz w:val="20"/>
        </w:rPr>
        <w:t>the</w:t>
      </w:r>
      <w:r>
        <w:rPr>
          <w:i/>
          <w:spacing w:val="-8"/>
          <w:w w:val="115"/>
          <w:sz w:val="20"/>
        </w:rPr>
        <w:t> </w:t>
      </w:r>
      <w:r>
        <w:rPr>
          <w:i/>
          <w:w w:val="115"/>
          <w:sz w:val="20"/>
        </w:rPr>
        <w:t>health</w:t>
      </w:r>
      <w:r>
        <w:rPr>
          <w:i/>
          <w:spacing w:val="-8"/>
          <w:w w:val="115"/>
          <w:sz w:val="20"/>
        </w:rPr>
        <w:t> </w:t>
      </w:r>
      <w:r>
        <w:rPr>
          <w:i/>
          <w:w w:val="115"/>
          <w:sz w:val="20"/>
        </w:rPr>
        <w:t>and</w:t>
      </w:r>
      <w:r>
        <w:rPr>
          <w:i/>
          <w:spacing w:val="-9"/>
          <w:w w:val="115"/>
          <w:sz w:val="20"/>
        </w:rPr>
        <w:t> </w:t>
      </w:r>
      <w:r>
        <w:rPr>
          <w:i/>
          <w:w w:val="115"/>
          <w:sz w:val="20"/>
        </w:rPr>
        <w:t>lives</w:t>
      </w:r>
      <w:r>
        <w:rPr>
          <w:i/>
          <w:spacing w:val="-8"/>
          <w:w w:val="115"/>
          <w:sz w:val="20"/>
        </w:rPr>
        <w:t> </w:t>
      </w:r>
      <w:r>
        <w:rPr>
          <w:i/>
          <w:w w:val="115"/>
          <w:sz w:val="20"/>
        </w:rPr>
        <w:t>of</w:t>
      </w:r>
      <w:r>
        <w:rPr>
          <w:i/>
          <w:spacing w:val="-8"/>
          <w:w w:val="115"/>
          <w:sz w:val="20"/>
        </w:rPr>
        <w:t> </w:t>
      </w:r>
      <w:r>
        <w:rPr>
          <w:i/>
          <w:w w:val="115"/>
          <w:sz w:val="20"/>
        </w:rPr>
        <w:t>babies</w:t>
      </w:r>
      <w:r>
        <w:rPr>
          <w:i/>
          <w:spacing w:val="-8"/>
          <w:w w:val="115"/>
          <w:sz w:val="20"/>
        </w:rPr>
        <w:t> </w:t>
      </w:r>
      <w:r>
        <w:rPr>
          <w:i/>
          <w:w w:val="115"/>
          <w:sz w:val="20"/>
        </w:rPr>
        <w:t>in</w:t>
      </w:r>
      <w:r>
        <w:rPr>
          <w:i/>
          <w:spacing w:val="-9"/>
          <w:w w:val="115"/>
          <w:sz w:val="20"/>
        </w:rPr>
        <w:t> </w:t>
      </w:r>
      <w:r>
        <w:rPr>
          <w:i/>
          <w:w w:val="115"/>
          <w:sz w:val="20"/>
        </w:rPr>
        <w:t>the</w:t>
      </w:r>
      <w:r>
        <w:rPr>
          <w:i/>
          <w:spacing w:val="-8"/>
          <w:w w:val="115"/>
          <w:sz w:val="20"/>
        </w:rPr>
        <w:t> </w:t>
      </w:r>
      <w:r>
        <w:rPr>
          <w:i/>
          <w:w w:val="115"/>
          <w:sz w:val="20"/>
        </w:rPr>
        <w:t>developing</w:t>
      </w:r>
      <w:r>
        <w:rPr>
          <w:i/>
          <w:spacing w:val="-8"/>
          <w:w w:val="115"/>
          <w:sz w:val="20"/>
        </w:rPr>
        <w:t> </w:t>
      </w:r>
      <w:r>
        <w:rPr>
          <w:i/>
          <w:w w:val="115"/>
          <w:sz w:val="20"/>
        </w:rPr>
        <w:t>world’</w:t>
      </w:r>
      <w:r>
        <w:rPr>
          <w:i/>
          <w:spacing w:val="-8"/>
          <w:w w:val="115"/>
          <w:sz w:val="20"/>
        </w:rPr>
        <w:t> </w:t>
      </w:r>
      <w:r>
        <w:rPr>
          <w:i/>
          <w:w w:val="115"/>
          <w:sz w:val="20"/>
        </w:rPr>
        <w:t>–</w:t>
      </w:r>
      <w:r>
        <w:rPr>
          <w:i/>
          <w:spacing w:val="-9"/>
          <w:w w:val="115"/>
          <w:sz w:val="20"/>
        </w:rPr>
        <w:t> </w:t>
      </w:r>
      <w:r>
        <w:rPr>
          <w:w w:val="115"/>
          <w:sz w:val="20"/>
        </w:rPr>
        <w:t>see</w:t>
      </w:r>
      <w:r>
        <w:rPr>
          <w:spacing w:val="-6"/>
          <w:w w:val="115"/>
          <w:sz w:val="20"/>
        </w:rPr>
        <w:t> </w:t>
      </w:r>
      <w:r>
        <w:rPr>
          <w:w w:val="115"/>
          <w:sz w:val="20"/>
        </w:rPr>
        <w:t>attached</w:t>
      </w:r>
      <w:r>
        <w:rPr>
          <w:spacing w:val="-5"/>
          <w:w w:val="115"/>
          <w:sz w:val="20"/>
        </w:rPr>
        <w:t> </w:t>
      </w:r>
      <w:r>
        <w:rPr>
          <w:rFonts w:ascii="Stone Sans II ITC Std Bk" w:hAnsi="Stone Sans II ITC Std Bk"/>
          <w:b/>
          <w:i/>
          <w:w w:val="115"/>
          <w:sz w:val="20"/>
        </w:rPr>
        <w:t>MC</w:t>
      </w:r>
      <w:r>
        <w:rPr>
          <w:rFonts w:ascii="Stone Sans II ITC Std Bk" w:hAnsi="Stone Sans II ITC Std Bk"/>
          <w:b/>
          <w:i/>
          <w:spacing w:val="-13"/>
          <w:w w:val="115"/>
          <w:sz w:val="20"/>
        </w:rPr>
        <w:t> </w:t>
      </w:r>
      <w:r>
        <w:rPr>
          <w:rFonts w:ascii="Stone Sans II ITC Std Bk" w:hAnsi="Stone Sans II ITC Std Bk"/>
          <w:b/>
          <w:i/>
          <w:w w:val="115"/>
          <w:sz w:val="20"/>
        </w:rPr>
        <w:t>Appendix</w:t>
      </w:r>
      <w:r>
        <w:rPr>
          <w:rFonts w:ascii="Stone Sans II ITC Std Bk" w:hAnsi="Stone Sans II ITC Std Bk"/>
          <w:b/>
          <w:i/>
          <w:spacing w:val="-13"/>
          <w:w w:val="115"/>
          <w:sz w:val="20"/>
        </w:rPr>
        <w:t> </w:t>
      </w:r>
      <w:r>
        <w:rPr>
          <w:rFonts w:ascii="Stone Sans II ITC Std Bk" w:hAnsi="Stone Sans II ITC Std Bk"/>
          <w:b/>
          <w:i/>
          <w:w w:val="115"/>
          <w:sz w:val="20"/>
        </w:rPr>
        <w:t>2.</w:t>
      </w:r>
    </w:p>
    <w:p>
      <w:pPr>
        <w:pStyle w:val="BodyText"/>
        <w:spacing w:before="3"/>
        <w:rPr>
          <w:rFonts w:ascii="Stone Sans II ITC Std Bk"/>
          <w:b/>
          <w:i/>
          <w:sz w:val="16"/>
        </w:rPr>
      </w:pPr>
    </w:p>
    <w:p>
      <w:pPr>
        <w:pStyle w:val="ListParagraph"/>
        <w:numPr>
          <w:ilvl w:val="2"/>
          <w:numId w:val="117"/>
        </w:numPr>
        <w:tabs>
          <w:tab w:pos="2664" w:val="left" w:leader="none"/>
          <w:tab w:pos="2665" w:val="left" w:leader="none"/>
        </w:tabs>
        <w:spacing w:line="235" w:lineRule="auto" w:before="0" w:after="0"/>
        <w:ind w:left="1984" w:right="1317" w:firstLine="0"/>
        <w:jc w:val="left"/>
        <w:rPr>
          <w:i/>
          <w:sz w:val="20"/>
        </w:rPr>
      </w:pPr>
      <w:r>
        <w:rPr>
          <w:w w:val="120"/>
          <w:sz w:val="20"/>
        </w:rPr>
        <w:t>The Methodist Church released a statement on 25 November 2005 saying that  its Joint Advisory Committee on Ethical Investment (JACEI) had cleared the way for its Central</w:t>
      </w:r>
      <w:r>
        <w:rPr>
          <w:spacing w:val="-3"/>
          <w:w w:val="120"/>
          <w:sz w:val="20"/>
        </w:rPr>
        <w:t> </w:t>
      </w:r>
      <w:r>
        <w:rPr>
          <w:w w:val="120"/>
          <w:sz w:val="20"/>
        </w:rPr>
        <w:t>Finance</w:t>
      </w:r>
      <w:r>
        <w:rPr>
          <w:spacing w:val="-3"/>
          <w:w w:val="120"/>
          <w:sz w:val="20"/>
        </w:rPr>
        <w:t> </w:t>
      </w:r>
      <w:r>
        <w:rPr>
          <w:w w:val="120"/>
          <w:sz w:val="20"/>
        </w:rPr>
        <w:t>Board</w:t>
      </w:r>
      <w:r>
        <w:rPr>
          <w:spacing w:val="-2"/>
          <w:w w:val="120"/>
          <w:sz w:val="20"/>
        </w:rPr>
        <w:t> </w:t>
      </w:r>
      <w:r>
        <w:rPr>
          <w:w w:val="120"/>
          <w:sz w:val="20"/>
        </w:rPr>
        <w:t>to</w:t>
      </w:r>
      <w:r>
        <w:rPr>
          <w:spacing w:val="-3"/>
          <w:w w:val="120"/>
          <w:sz w:val="20"/>
        </w:rPr>
        <w:t> </w:t>
      </w:r>
      <w:r>
        <w:rPr>
          <w:w w:val="120"/>
          <w:sz w:val="20"/>
        </w:rPr>
        <w:t>invest</w:t>
      </w:r>
      <w:r>
        <w:rPr>
          <w:spacing w:val="-2"/>
          <w:w w:val="120"/>
          <w:sz w:val="20"/>
        </w:rPr>
        <w:t> </w:t>
      </w:r>
      <w:r>
        <w:rPr>
          <w:w w:val="120"/>
          <w:sz w:val="20"/>
        </w:rPr>
        <w:t>in</w:t>
      </w:r>
      <w:r>
        <w:rPr>
          <w:spacing w:val="-3"/>
          <w:w w:val="120"/>
          <w:sz w:val="20"/>
        </w:rPr>
        <w:t> </w:t>
      </w:r>
      <w:r>
        <w:rPr>
          <w:w w:val="120"/>
          <w:sz w:val="20"/>
        </w:rPr>
        <w:t>Nestlé,</w:t>
      </w:r>
      <w:r>
        <w:rPr>
          <w:spacing w:val="-2"/>
          <w:w w:val="120"/>
          <w:sz w:val="20"/>
        </w:rPr>
        <w:t> </w:t>
      </w:r>
      <w:r>
        <w:rPr>
          <w:w w:val="120"/>
          <w:sz w:val="20"/>
        </w:rPr>
        <w:t>if</w:t>
      </w:r>
      <w:r>
        <w:rPr>
          <w:spacing w:val="-3"/>
          <w:w w:val="120"/>
          <w:sz w:val="20"/>
        </w:rPr>
        <w:t> </w:t>
      </w:r>
      <w:r>
        <w:rPr>
          <w:w w:val="120"/>
          <w:sz w:val="20"/>
        </w:rPr>
        <w:t>it</w:t>
      </w:r>
      <w:r>
        <w:rPr>
          <w:spacing w:val="-3"/>
          <w:w w:val="120"/>
          <w:sz w:val="20"/>
        </w:rPr>
        <w:t> </w:t>
      </w:r>
      <w:r>
        <w:rPr>
          <w:w w:val="120"/>
          <w:sz w:val="20"/>
        </w:rPr>
        <w:t>so</w:t>
      </w:r>
      <w:r>
        <w:rPr>
          <w:spacing w:val="-2"/>
          <w:w w:val="120"/>
          <w:sz w:val="20"/>
        </w:rPr>
        <w:t> </w:t>
      </w:r>
      <w:r>
        <w:rPr>
          <w:w w:val="120"/>
          <w:sz w:val="20"/>
        </w:rPr>
        <w:t>wished.</w:t>
      </w:r>
      <w:r>
        <w:rPr>
          <w:spacing w:val="-3"/>
          <w:w w:val="120"/>
          <w:sz w:val="20"/>
        </w:rPr>
        <w:t> </w:t>
      </w:r>
      <w:r>
        <w:rPr>
          <w:w w:val="120"/>
          <w:sz w:val="20"/>
        </w:rPr>
        <w:t>The</w:t>
      </w:r>
      <w:r>
        <w:rPr>
          <w:spacing w:val="-2"/>
          <w:w w:val="120"/>
          <w:sz w:val="20"/>
        </w:rPr>
        <w:t> </w:t>
      </w:r>
      <w:r>
        <w:rPr>
          <w:w w:val="120"/>
          <w:sz w:val="20"/>
        </w:rPr>
        <w:t>committee</w:t>
      </w:r>
      <w:r>
        <w:rPr>
          <w:spacing w:val="-3"/>
          <w:w w:val="120"/>
          <w:sz w:val="20"/>
        </w:rPr>
        <w:t> </w:t>
      </w:r>
      <w:r>
        <w:rPr>
          <w:w w:val="120"/>
          <w:sz w:val="20"/>
        </w:rPr>
        <w:t>said</w:t>
      </w:r>
      <w:r>
        <w:rPr>
          <w:spacing w:val="-2"/>
          <w:w w:val="120"/>
          <w:sz w:val="20"/>
        </w:rPr>
        <w:t> </w:t>
      </w:r>
      <w:r>
        <w:rPr>
          <w:w w:val="120"/>
          <w:sz w:val="20"/>
        </w:rPr>
        <w:t>that</w:t>
      </w:r>
      <w:r>
        <w:rPr>
          <w:spacing w:val="-6"/>
          <w:w w:val="120"/>
          <w:sz w:val="20"/>
        </w:rPr>
        <w:t> </w:t>
      </w:r>
      <w:r>
        <w:rPr>
          <w:i/>
          <w:w w:val="120"/>
          <w:sz w:val="20"/>
        </w:rPr>
        <w:t>‘whilst </w:t>
      </w:r>
      <w:r>
        <w:rPr>
          <w:i/>
          <w:w w:val="120"/>
          <w:sz w:val="20"/>
        </w:rPr>
        <w:t>there</w:t>
      </w:r>
      <w:r>
        <w:rPr>
          <w:i/>
          <w:spacing w:val="-28"/>
          <w:w w:val="120"/>
          <w:sz w:val="20"/>
        </w:rPr>
        <w:t> </w:t>
      </w:r>
      <w:r>
        <w:rPr>
          <w:i/>
          <w:w w:val="120"/>
          <w:sz w:val="20"/>
        </w:rPr>
        <w:t>were</w:t>
      </w:r>
      <w:r>
        <w:rPr>
          <w:i/>
          <w:spacing w:val="-28"/>
          <w:w w:val="120"/>
          <w:sz w:val="20"/>
        </w:rPr>
        <w:t> </w:t>
      </w:r>
      <w:r>
        <w:rPr>
          <w:i/>
          <w:w w:val="120"/>
          <w:sz w:val="20"/>
        </w:rPr>
        <w:t>still</w:t>
      </w:r>
      <w:r>
        <w:rPr>
          <w:i/>
          <w:spacing w:val="-28"/>
          <w:w w:val="120"/>
          <w:sz w:val="20"/>
        </w:rPr>
        <w:t> </w:t>
      </w:r>
      <w:r>
        <w:rPr>
          <w:i/>
          <w:w w:val="120"/>
          <w:sz w:val="20"/>
        </w:rPr>
        <w:t>areas</w:t>
      </w:r>
      <w:r>
        <w:rPr>
          <w:i/>
          <w:spacing w:val="-27"/>
          <w:w w:val="120"/>
          <w:sz w:val="20"/>
        </w:rPr>
        <w:t> </w:t>
      </w:r>
      <w:r>
        <w:rPr>
          <w:i/>
          <w:w w:val="120"/>
          <w:sz w:val="20"/>
        </w:rPr>
        <w:t>of</w:t>
      </w:r>
      <w:r>
        <w:rPr>
          <w:i/>
          <w:spacing w:val="-28"/>
          <w:w w:val="120"/>
          <w:sz w:val="20"/>
        </w:rPr>
        <w:t> </w:t>
      </w:r>
      <w:r>
        <w:rPr>
          <w:i/>
          <w:w w:val="120"/>
          <w:sz w:val="20"/>
        </w:rPr>
        <w:t>ethical</w:t>
      </w:r>
      <w:r>
        <w:rPr>
          <w:i/>
          <w:spacing w:val="-28"/>
          <w:w w:val="120"/>
          <w:sz w:val="20"/>
        </w:rPr>
        <w:t> </w:t>
      </w:r>
      <w:r>
        <w:rPr>
          <w:i/>
          <w:w w:val="120"/>
          <w:sz w:val="20"/>
        </w:rPr>
        <w:t>concern</w:t>
      </w:r>
      <w:r>
        <w:rPr>
          <w:i/>
          <w:spacing w:val="-27"/>
          <w:w w:val="120"/>
          <w:sz w:val="20"/>
        </w:rPr>
        <w:t> </w:t>
      </w:r>
      <w:r>
        <w:rPr>
          <w:i/>
          <w:w w:val="120"/>
          <w:sz w:val="20"/>
        </w:rPr>
        <w:t>relating</w:t>
      </w:r>
      <w:r>
        <w:rPr>
          <w:i/>
          <w:spacing w:val="-28"/>
          <w:w w:val="120"/>
          <w:sz w:val="20"/>
        </w:rPr>
        <w:t> </w:t>
      </w:r>
      <w:r>
        <w:rPr>
          <w:i/>
          <w:w w:val="120"/>
          <w:sz w:val="20"/>
        </w:rPr>
        <w:t>to</w:t>
      </w:r>
      <w:r>
        <w:rPr>
          <w:i/>
          <w:spacing w:val="-28"/>
          <w:w w:val="120"/>
          <w:sz w:val="20"/>
        </w:rPr>
        <w:t> </w:t>
      </w:r>
      <w:r>
        <w:rPr>
          <w:i/>
          <w:w w:val="120"/>
          <w:sz w:val="20"/>
        </w:rPr>
        <w:t>the</w:t>
      </w:r>
      <w:r>
        <w:rPr>
          <w:i/>
          <w:spacing w:val="-28"/>
          <w:w w:val="120"/>
          <w:sz w:val="20"/>
        </w:rPr>
        <w:t> </w:t>
      </w:r>
      <w:r>
        <w:rPr>
          <w:i/>
          <w:w w:val="120"/>
          <w:sz w:val="20"/>
        </w:rPr>
        <w:t>marketing</w:t>
      </w:r>
      <w:r>
        <w:rPr>
          <w:i/>
          <w:spacing w:val="-27"/>
          <w:w w:val="120"/>
          <w:sz w:val="20"/>
        </w:rPr>
        <w:t> </w:t>
      </w:r>
      <w:r>
        <w:rPr>
          <w:i/>
          <w:w w:val="120"/>
          <w:sz w:val="20"/>
        </w:rPr>
        <w:t>and</w:t>
      </w:r>
      <w:r>
        <w:rPr>
          <w:i/>
          <w:spacing w:val="-28"/>
          <w:w w:val="120"/>
          <w:sz w:val="20"/>
        </w:rPr>
        <w:t> </w:t>
      </w:r>
      <w:r>
        <w:rPr>
          <w:i/>
          <w:w w:val="120"/>
          <w:sz w:val="20"/>
        </w:rPr>
        <w:t>promotion</w:t>
      </w:r>
      <w:r>
        <w:rPr>
          <w:i/>
          <w:spacing w:val="-28"/>
          <w:w w:val="120"/>
          <w:sz w:val="20"/>
        </w:rPr>
        <w:t> </w:t>
      </w:r>
      <w:r>
        <w:rPr>
          <w:i/>
          <w:w w:val="120"/>
          <w:sz w:val="20"/>
        </w:rPr>
        <w:t>of</w:t>
      </w:r>
      <w:r>
        <w:rPr>
          <w:i/>
          <w:spacing w:val="-27"/>
          <w:w w:val="120"/>
          <w:sz w:val="20"/>
        </w:rPr>
        <w:t> </w:t>
      </w:r>
      <w:r>
        <w:rPr>
          <w:i/>
          <w:w w:val="120"/>
          <w:sz w:val="20"/>
        </w:rPr>
        <w:t>breast</w:t>
      </w:r>
    </w:p>
    <w:p>
      <w:pPr>
        <w:spacing w:line="230" w:lineRule="auto" w:before="7"/>
        <w:ind w:left="1984" w:right="1689" w:firstLine="0"/>
        <w:jc w:val="left"/>
        <w:rPr>
          <w:sz w:val="20"/>
        </w:rPr>
      </w:pPr>
      <w:r>
        <w:rPr>
          <w:i/>
          <w:w w:val="110"/>
          <w:sz w:val="20"/>
        </w:rPr>
        <w:t>milk substitutes, there was no suggestion that the nature of Nestlé’s business was inherently </w:t>
      </w:r>
      <w:r>
        <w:rPr>
          <w:i/>
          <w:w w:val="110"/>
          <w:sz w:val="20"/>
        </w:rPr>
        <w:t>unethical, and there were insufficient reasons to avoid investment on ethical grounds’ </w:t>
      </w:r>
      <w:r>
        <w:rPr>
          <w:w w:val="110"/>
          <w:sz w:val="20"/>
        </w:rPr>
        <w:t>–     see </w:t>
      </w:r>
      <w:r>
        <w:rPr>
          <w:rFonts w:ascii="Stone Sans II ITC Std Bk" w:hAnsi="Stone Sans II ITC Std Bk"/>
          <w:b/>
          <w:i/>
          <w:w w:val="110"/>
          <w:sz w:val="20"/>
        </w:rPr>
        <w:t>MC Appendix 3 </w:t>
      </w:r>
      <w:r>
        <w:rPr>
          <w:w w:val="110"/>
          <w:sz w:val="20"/>
        </w:rPr>
        <w:t>for a copy of this</w:t>
      </w:r>
      <w:r>
        <w:rPr>
          <w:spacing w:val="10"/>
          <w:w w:val="110"/>
          <w:sz w:val="20"/>
        </w:rPr>
        <w:t> </w:t>
      </w:r>
      <w:r>
        <w:rPr>
          <w:w w:val="110"/>
          <w:sz w:val="20"/>
        </w:rPr>
        <w:t>statement.</w:t>
      </w:r>
    </w:p>
    <w:p>
      <w:pPr>
        <w:pStyle w:val="BodyText"/>
        <w:spacing w:before="8"/>
        <w:rPr>
          <w:sz w:val="18"/>
        </w:rPr>
      </w:pPr>
    </w:p>
    <w:p>
      <w:pPr>
        <w:pStyle w:val="ListParagraph"/>
        <w:numPr>
          <w:ilvl w:val="2"/>
          <w:numId w:val="117"/>
        </w:numPr>
        <w:tabs>
          <w:tab w:pos="2664" w:val="left" w:leader="none"/>
          <w:tab w:pos="2665" w:val="left" w:leader="none"/>
        </w:tabs>
        <w:spacing w:line="235" w:lineRule="auto" w:before="0" w:after="0"/>
        <w:ind w:left="1984" w:right="1293" w:firstLine="0"/>
        <w:jc w:val="left"/>
        <w:rPr>
          <w:i/>
          <w:sz w:val="20"/>
        </w:rPr>
      </w:pPr>
      <w:r>
        <w:rPr>
          <w:w w:val="120"/>
          <w:sz w:val="20"/>
        </w:rPr>
        <w:t>In response to this statement, the </w:t>
      </w:r>
      <w:r>
        <w:rPr>
          <w:spacing w:val="-3"/>
          <w:w w:val="120"/>
          <w:sz w:val="20"/>
        </w:rPr>
        <w:t>C&amp;S </w:t>
      </w:r>
      <w:r>
        <w:rPr>
          <w:w w:val="120"/>
          <w:sz w:val="20"/>
        </w:rPr>
        <w:t>Committee (in conjunction with the </w:t>
      </w:r>
      <w:r>
        <w:rPr>
          <w:i/>
          <w:w w:val="120"/>
          <w:sz w:val="20"/>
        </w:rPr>
        <w:t>Commitment</w:t>
      </w:r>
      <w:r>
        <w:rPr>
          <w:i/>
          <w:spacing w:val="-11"/>
          <w:w w:val="120"/>
          <w:sz w:val="20"/>
        </w:rPr>
        <w:t> </w:t>
      </w:r>
      <w:r>
        <w:rPr>
          <w:i/>
          <w:w w:val="120"/>
          <w:sz w:val="20"/>
        </w:rPr>
        <w:t>for</w:t>
      </w:r>
      <w:r>
        <w:rPr>
          <w:i/>
          <w:spacing w:val="-10"/>
          <w:w w:val="120"/>
          <w:sz w:val="20"/>
        </w:rPr>
        <w:t> </w:t>
      </w:r>
      <w:r>
        <w:rPr>
          <w:i/>
          <w:w w:val="120"/>
          <w:sz w:val="20"/>
        </w:rPr>
        <w:t>Life</w:t>
      </w:r>
      <w:r>
        <w:rPr>
          <w:i/>
          <w:spacing w:val="-8"/>
          <w:w w:val="120"/>
          <w:sz w:val="20"/>
        </w:rPr>
        <w:t> </w:t>
      </w:r>
      <w:r>
        <w:rPr>
          <w:w w:val="120"/>
          <w:sz w:val="20"/>
        </w:rPr>
        <w:t>sub-committee)</w:t>
      </w:r>
      <w:r>
        <w:rPr>
          <w:spacing w:val="-8"/>
          <w:w w:val="120"/>
          <w:sz w:val="20"/>
        </w:rPr>
        <w:t> </w:t>
      </w:r>
      <w:r>
        <w:rPr>
          <w:w w:val="120"/>
          <w:sz w:val="20"/>
        </w:rPr>
        <w:t>released</w:t>
      </w:r>
      <w:r>
        <w:rPr>
          <w:spacing w:val="-8"/>
          <w:w w:val="120"/>
          <w:sz w:val="20"/>
        </w:rPr>
        <w:t> </w:t>
      </w:r>
      <w:r>
        <w:rPr>
          <w:w w:val="120"/>
          <w:sz w:val="20"/>
        </w:rPr>
        <w:t>a</w:t>
      </w:r>
      <w:r>
        <w:rPr>
          <w:spacing w:val="-8"/>
          <w:w w:val="120"/>
          <w:sz w:val="20"/>
        </w:rPr>
        <w:t> </w:t>
      </w:r>
      <w:r>
        <w:rPr>
          <w:w w:val="120"/>
          <w:sz w:val="20"/>
        </w:rPr>
        <w:t>statement</w:t>
      </w:r>
      <w:r>
        <w:rPr>
          <w:spacing w:val="-8"/>
          <w:w w:val="120"/>
          <w:sz w:val="20"/>
        </w:rPr>
        <w:t> </w:t>
      </w:r>
      <w:r>
        <w:rPr>
          <w:w w:val="120"/>
          <w:sz w:val="20"/>
        </w:rPr>
        <w:t>in</w:t>
      </w:r>
      <w:r>
        <w:rPr>
          <w:spacing w:val="-8"/>
          <w:w w:val="120"/>
          <w:sz w:val="20"/>
        </w:rPr>
        <w:t> </w:t>
      </w:r>
      <w:r>
        <w:rPr>
          <w:w w:val="120"/>
          <w:sz w:val="20"/>
        </w:rPr>
        <w:t>December</w:t>
      </w:r>
      <w:r>
        <w:rPr>
          <w:spacing w:val="-8"/>
          <w:w w:val="120"/>
          <w:sz w:val="20"/>
        </w:rPr>
        <w:t> </w:t>
      </w:r>
      <w:r>
        <w:rPr>
          <w:w w:val="120"/>
          <w:sz w:val="20"/>
        </w:rPr>
        <w:t>2005</w:t>
      </w:r>
      <w:r>
        <w:rPr>
          <w:spacing w:val="-8"/>
          <w:w w:val="120"/>
          <w:sz w:val="20"/>
        </w:rPr>
        <w:t> </w:t>
      </w:r>
      <w:r>
        <w:rPr>
          <w:w w:val="120"/>
          <w:sz w:val="20"/>
        </w:rPr>
        <w:t>saying</w:t>
      </w:r>
      <w:r>
        <w:rPr>
          <w:spacing w:val="-8"/>
          <w:w w:val="120"/>
          <w:sz w:val="20"/>
        </w:rPr>
        <w:t> </w:t>
      </w:r>
      <w:r>
        <w:rPr>
          <w:w w:val="120"/>
          <w:sz w:val="20"/>
        </w:rPr>
        <w:t>that whilst</w:t>
      </w:r>
      <w:r>
        <w:rPr>
          <w:spacing w:val="-22"/>
          <w:w w:val="120"/>
          <w:sz w:val="20"/>
        </w:rPr>
        <w:t> </w:t>
      </w:r>
      <w:r>
        <w:rPr>
          <w:i/>
          <w:w w:val="120"/>
          <w:sz w:val="20"/>
        </w:rPr>
        <w:t>‘some</w:t>
      </w:r>
      <w:r>
        <w:rPr>
          <w:i/>
          <w:spacing w:val="-22"/>
          <w:w w:val="120"/>
          <w:sz w:val="20"/>
        </w:rPr>
        <w:t> </w:t>
      </w:r>
      <w:r>
        <w:rPr>
          <w:i/>
          <w:w w:val="120"/>
          <w:sz w:val="20"/>
        </w:rPr>
        <w:t>in</w:t>
      </w:r>
      <w:r>
        <w:rPr>
          <w:i/>
          <w:spacing w:val="-23"/>
          <w:w w:val="120"/>
          <w:sz w:val="20"/>
        </w:rPr>
        <w:t> </w:t>
      </w:r>
      <w:r>
        <w:rPr>
          <w:i/>
          <w:w w:val="120"/>
          <w:sz w:val="20"/>
        </w:rPr>
        <w:t>the</w:t>
      </w:r>
      <w:r>
        <w:rPr>
          <w:i/>
          <w:spacing w:val="-23"/>
          <w:w w:val="120"/>
          <w:sz w:val="20"/>
        </w:rPr>
        <w:t> </w:t>
      </w:r>
      <w:r>
        <w:rPr>
          <w:i/>
          <w:w w:val="120"/>
          <w:sz w:val="20"/>
        </w:rPr>
        <w:t>URC</w:t>
      </w:r>
      <w:r>
        <w:rPr>
          <w:i/>
          <w:spacing w:val="-23"/>
          <w:w w:val="120"/>
          <w:sz w:val="20"/>
        </w:rPr>
        <w:t> </w:t>
      </w:r>
      <w:r>
        <w:rPr>
          <w:i/>
          <w:w w:val="120"/>
          <w:sz w:val="20"/>
        </w:rPr>
        <w:t>may</w:t>
      </w:r>
      <w:r>
        <w:rPr>
          <w:i/>
          <w:spacing w:val="-23"/>
          <w:w w:val="120"/>
          <w:sz w:val="20"/>
        </w:rPr>
        <w:t> </w:t>
      </w:r>
      <w:r>
        <w:rPr>
          <w:i/>
          <w:w w:val="120"/>
          <w:sz w:val="20"/>
        </w:rPr>
        <w:t>feel,</w:t>
      </w:r>
      <w:r>
        <w:rPr>
          <w:i/>
          <w:spacing w:val="-23"/>
          <w:w w:val="120"/>
          <w:sz w:val="20"/>
        </w:rPr>
        <w:t> </w:t>
      </w:r>
      <w:r>
        <w:rPr>
          <w:i/>
          <w:w w:val="120"/>
          <w:sz w:val="20"/>
        </w:rPr>
        <w:t>as</w:t>
      </w:r>
      <w:r>
        <w:rPr>
          <w:i/>
          <w:spacing w:val="-23"/>
          <w:w w:val="120"/>
          <w:sz w:val="20"/>
        </w:rPr>
        <w:t> </w:t>
      </w:r>
      <w:r>
        <w:rPr>
          <w:i/>
          <w:w w:val="120"/>
          <w:sz w:val="20"/>
        </w:rPr>
        <w:t>the</w:t>
      </w:r>
      <w:r>
        <w:rPr>
          <w:i/>
          <w:spacing w:val="-23"/>
          <w:w w:val="120"/>
          <w:sz w:val="20"/>
        </w:rPr>
        <w:t> </w:t>
      </w:r>
      <w:r>
        <w:rPr>
          <w:i/>
          <w:w w:val="120"/>
          <w:sz w:val="20"/>
        </w:rPr>
        <w:t>Methodist</w:t>
      </w:r>
      <w:r>
        <w:rPr>
          <w:i/>
          <w:spacing w:val="-22"/>
          <w:w w:val="120"/>
          <w:sz w:val="20"/>
        </w:rPr>
        <w:t> </w:t>
      </w:r>
      <w:r>
        <w:rPr>
          <w:i/>
          <w:w w:val="120"/>
          <w:sz w:val="20"/>
        </w:rPr>
        <w:t>Church</w:t>
      </w:r>
      <w:r>
        <w:rPr>
          <w:i/>
          <w:spacing w:val="-23"/>
          <w:w w:val="120"/>
          <w:sz w:val="20"/>
        </w:rPr>
        <w:t> </w:t>
      </w:r>
      <w:r>
        <w:rPr>
          <w:i/>
          <w:w w:val="120"/>
          <w:sz w:val="20"/>
        </w:rPr>
        <w:t>does,</w:t>
      </w:r>
      <w:r>
        <w:rPr>
          <w:i/>
          <w:spacing w:val="-23"/>
          <w:w w:val="120"/>
          <w:sz w:val="20"/>
        </w:rPr>
        <w:t> </w:t>
      </w:r>
      <w:r>
        <w:rPr>
          <w:i/>
          <w:w w:val="120"/>
          <w:sz w:val="20"/>
        </w:rPr>
        <w:t>that</w:t>
      </w:r>
      <w:r>
        <w:rPr>
          <w:i/>
          <w:spacing w:val="-23"/>
          <w:w w:val="120"/>
          <w:sz w:val="20"/>
        </w:rPr>
        <w:t> </w:t>
      </w:r>
      <w:r>
        <w:rPr>
          <w:i/>
          <w:w w:val="120"/>
          <w:sz w:val="20"/>
        </w:rPr>
        <w:t>the</w:t>
      </w:r>
      <w:r>
        <w:rPr>
          <w:i/>
          <w:spacing w:val="-23"/>
          <w:w w:val="120"/>
          <w:sz w:val="20"/>
        </w:rPr>
        <w:t> </w:t>
      </w:r>
      <w:r>
        <w:rPr>
          <w:i/>
          <w:w w:val="120"/>
          <w:sz w:val="20"/>
        </w:rPr>
        <w:t>option</w:t>
      </w:r>
      <w:r>
        <w:rPr>
          <w:i/>
          <w:spacing w:val="-23"/>
          <w:w w:val="120"/>
          <w:sz w:val="20"/>
        </w:rPr>
        <w:t> </w:t>
      </w:r>
      <w:r>
        <w:rPr>
          <w:i/>
          <w:w w:val="120"/>
          <w:sz w:val="20"/>
        </w:rPr>
        <w:t>of</w:t>
      </w:r>
      <w:r>
        <w:rPr>
          <w:i/>
          <w:spacing w:val="-23"/>
          <w:w w:val="120"/>
          <w:sz w:val="20"/>
        </w:rPr>
        <w:t> </w:t>
      </w:r>
      <w:r>
        <w:rPr>
          <w:i/>
          <w:w w:val="120"/>
          <w:sz w:val="20"/>
        </w:rPr>
        <w:t>making</w:t>
      </w:r>
    </w:p>
    <w:p>
      <w:pPr>
        <w:spacing w:line="235" w:lineRule="auto" w:before="2"/>
        <w:ind w:left="1984" w:right="1273" w:firstLine="0"/>
        <w:jc w:val="left"/>
        <w:rPr>
          <w:i/>
          <w:sz w:val="20"/>
        </w:rPr>
      </w:pPr>
      <w:r>
        <w:rPr>
          <w:i/>
          <w:w w:val="110"/>
          <w:sz w:val="20"/>
        </w:rPr>
        <w:t>a financial investment would enable the Church to press Nestlé further than it could by other </w:t>
      </w:r>
      <w:r>
        <w:rPr>
          <w:i/>
          <w:w w:val="110"/>
          <w:sz w:val="20"/>
        </w:rPr>
        <w:t>means; others would no doubt believe that the best way of working for change is for the boycott to remain – or that a token investment would not necessarily be incompatible with a continuing boycott.’ </w:t>
      </w:r>
      <w:r>
        <w:rPr>
          <w:w w:val="110"/>
          <w:sz w:val="20"/>
        </w:rPr>
        <w:t>The statement also  made  reference  to  the  </w:t>
      </w:r>
      <w:r>
        <w:rPr>
          <w:spacing w:val="2"/>
          <w:w w:val="110"/>
          <w:sz w:val="20"/>
        </w:rPr>
        <w:t>fact </w:t>
      </w:r>
      <w:r>
        <w:rPr>
          <w:w w:val="110"/>
          <w:sz w:val="20"/>
        </w:rPr>
        <w:t>that  ‘t</w:t>
      </w:r>
      <w:r>
        <w:rPr>
          <w:i/>
          <w:w w:val="110"/>
          <w:sz w:val="20"/>
        </w:rPr>
        <w:t>he URC Assembly resolution </w:t>
      </w:r>
      <w:r>
        <w:rPr>
          <w:i/>
          <w:w w:val="110"/>
          <w:sz w:val="20"/>
        </w:rPr>
        <w:t>has remained in force since </w:t>
      </w:r>
      <w:r>
        <w:rPr>
          <w:i/>
          <w:spacing w:val="-7"/>
          <w:w w:val="110"/>
          <w:sz w:val="20"/>
        </w:rPr>
        <w:t>1992; </w:t>
      </w:r>
      <w:r>
        <w:rPr>
          <w:i/>
          <w:w w:val="110"/>
          <w:sz w:val="20"/>
        </w:rPr>
        <w:t>any proposed change would have to be considered by the </w:t>
      </w:r>
      <w:r>
        <w:rPr>
          <w:i/>
          <w:spacing w:val="-3"/>
          <w:w w:val="110"/>
          <w:sz w:val="20"/>
        </w:rPr>
        <w:t>Church’s </w:t>
      </w:r>
      <w:r>
        <w:rPr>
          <w:i/>
          <w:w w:val="110"/>
          <w:sz w:val="20"/>
        </w:rPr>
        <w:t>committees and, ultimately, by General</w:t>
      </w:r>
      <w:r>
        <w:rPr>
          <w:i/>
          <w:spacing w:val="30"/>
          <w:w w:val="110"/>
          <w:sz w:val="20"/>
        </w:rPr>
        <w:t> </w:t>
      </w:r>
      <w:r>
        <w:rPr>
          <w:i/>
          <w:spacing w:val="-3"/>
          <w:w w:val="110"/>
          <w:sz w:val="20"/>
        </w:rPr>
        <w:t>Assembly.’</w:t>
      </w:r>
    </w:p>
    <w:p>
      <w:pPr>
        <w:pStyle w:val="BodyText"/>
        <w:rPr>
          <w:i/>
        </w:rPr>
      </w:pPr>
    </w:p>
    <w:p>
      <w:pPr>
        <w:pStyle w:val="ListParagraph"/>
        <w:numPr>
          <w:ilvl w:val="2"/>
          <w:numId w:val="117"/>
        </w:numPr>
        <w:tabs>
          <w:tab w:pos="2664" w:val="left" w:leader="none"/>
          <w:tab w:pos="2665" w:val="left" w:leader="none"/>
        </w:tabs>
        <w:spacing w:line="235" w:lineRule="auto" w:before="0" w:after="0"/>
        <w:ind w:left="1984" w:right="1167" w:firstLine="0"/>
        <w:jc w:val="left"/>
        <w:rPr>
          <w:i/>
          <w:sz w:val="20"/>
        </w:rPr>
      </w:pPr>
      <w:r>
        <w:rPr>
          <w:w w:val="115"/>
          <w:sz w:val="20"/>
        </w:rPr>
        <w:t>In the </w:t>
      </w:r>
      <w:r>
        <w:rPr>
          <w:spacing w:val="-3"/>
          <w:w w:val="115"/>
          <w:sz w:val="20"/>
        </w:rPr>
        <w:t>C&amp;S </w:t>
      </w:r>
      <w:r>
        <w:rPr>
          <w:w w:val="115"/>
          <w:sz w:val="20"/>
        </w:rPr>
        <w:t>Report to  General  Assembly  in  2006  the  Committee  expressed  the view that in light of the decision by the Methodist Church to allow its investment agency      to invest in </w:t>
      </w:r>
      <w:r>
        <w:rPr>
          <w:spacing w:val="-3"/>
          <w:w w:val="115"/>
          <w:sz w:val="20"/>
        </w:rPr>
        <w:t>Nestlé’, </w:t>
      </w:r>
      <w:r>
        <w:rPr>
          <w:w w:val="115"/>
          <w:sz w:val="20"/>
        </w:rPr>
        <w:t>the URC </w:t>
      </w:r>
      <w:r>
        <w:rPr>
          <w:i/>
          <w:w w:val="115"/>
          <w:sz w:val="20"/>
        </w:rPr>
        <w:t>should continue to recommend a boycott of Nestlé products; </w:t>
      </w:r>
      <w:r>
        <w:rPr>
          <w:i/>
          <w:w w:val="115"/>
          <w:sz w:val="20"/>
        </w:rPr>
        <w:t>however</w:t>
      </w:r>
      <w:r>
        <w:rPr>
          <w:i/>
          <w:spacing w:val="-16"/>
          <w:w w:val="115"/>
          <w:sz w:val="20"/>
        </w:rPr>
        <w:t> </w:t>
      </w:r>
      <w:r>
        <w:rPr>
          <w:i/>
          <w:w w:val="115"/>
          <w:sz w:val="20"/>
        </w:rPr>
        <w:t>the</w:t>
      </w:r>
      <w:r>
        <w:rPr>
          <w:i/>
          <w:spacing w:val="-16"/>
          <w:w w:val="115"/>
          <w:sz w:val="20"/>
        </w:rPr>
        <w:t> </w:t>
      </w:r>
      <w:r>
        <w:rPr>
          <w:i/>
          <w:w w:val="115"/>
          <w:sz w:val="20"/>
        </w:rPr>
        <w:t>committee</w:t>
      </w:r>
      <w:r>
        <w:rPr>
          <w:i/>
          <w:spacing w:val="-15"/>
          <w:w w:val="115"/>
          <w:sz w:val="20"/>
        </w:rPr>
        <w:t> </w:t>
      </w:r>
      <w:r>
        <w:rPr>
          <w:i/>
          <w:w w:val="115"/>
          <w:sz w:val="20"/>
        </w:rPr>
        <w:t>endorses</w:t>
      </w:r>
      <w:r>
        <w:rPr>
          <w:i/>
          <w:spacing w:val="-16"/>
          <w:w w:val="115"/>
          <w:sz w:val="20"/>
        </w:rPr>
        <w:t> </w:t>
      </w:r>
      <w:r>
        <w:rPr>
          <w:i/>
          <w:w w:val="115"/>
          <w:sz w:val="20"/>
        </w:rPr>
        <w:t>the</w:t>
      </w:r>
      <w:r>
        <w:rPr>
          <w:i/>
          <w:spacing w:val="-15"/>
          <w:w w:val="115"/>
          <w:sz w:val="20"/>
        </w:rPr>
        <w:t> </w:t>
      </w:r>
      <w:r>
        <w:rPr>
          <w:i/>
          <w:w w:val="115"/>
          <w:sz w:val="20"/>
        </w:rPr>
        <w:t>possibility</w:t>
      </w:r>
      <w:r>
        <w:rPr>
          <w:i/>
          <w:spacing w:val="-16"/>
          <w:w w:val="115"/>
          <w:sz w:val="20"/>
        </w:rPr>
        <w:t> </w:t>
      </w:r>
      <w:r>
        <w:rPr>
          <w:i/>
          <w:w w:val="115"/>
          <w:sz w:val="20"/>
        </w:rPr>
        <w:t>of</w:t>
      </w:r>
      <w:r>
        <w:rPr>
          <w:i/>
          <w:spacing w:val="-15"/>
          <w:w w:val="115"/>
          <w:sz w:val="20"/>
        </w:rPr>
        <w:t> </w:t>
      </w:r>
      <w:r>
        <w:rPr>
          <w:i/>
          <w:w w:val="115"/>
          <w:sz w:val="20"/>
        </w:rPr>
        <w:t>a</w:t>
      </w:r>
      <w:r>
        <w:rPr>
          <w:i/>
          <w:spacing w:val="-16"/>
          <w:w w:val="115"/>
          <w:sz w:val="20"/>
        </w:rPr>
        <w:t> </w:t>
      </w:r>
      <w:r>
        <w:rPr>
          <w:i/>
          <w:w w:val="115"/>
          <w:sz w:val="20"/>
        </w:rPr>
        <w:t>selective</w:t>
      </w:r>
      <w:r>
        <w:rPr>
          <w:i/>
          <w:spacing w:val="-15"/>
          <w:w w:val="115"/>
          <w:sz w:val="20"/>
        </w:rPr>
        <w:t> </w:t>
      </w:r>
      <w:r>
        <w:rPr>
          <w:i/>
          <w:w w:val="115"/>
          <w:sz w:val="20"/>
        </w:rPr>
        <w:t>purchase</w:t>
      </w:r>
      <w:r>
        <w:rPr>
          <w:i/>
          <w:spacing w:val="-16"/>
          <w:w w:val="115"/>
          <w:sz w:val="20"/>
        </w:rPr>
        <w:t> </w:t>
      </w:r>
      <w:r>
        <w:rPr>
          <w:i/>
          <w:w w:val="115"/>
          <w:sz w:val="20"/>
        </w:rPr>
        <w:t>of</w:t>
      </w:r>
      <w:r>
        <w:rPr>
          <w:i/>
          <w:spacing w:val="-15"/>
          <w:w w:val="115"/>
          <w:sz w:val="20"/>
        </w:rPr>
        <w:t> </w:t>
      </w:r>
      <w:r>
        <w:rPr>
          <w:i/>
          <w:w w:val="115"/>
          <w:sz w:val="20"/>
        </w:rPr>
        <w:t>shares</w:t>
      </w:r>
      <w:r>
        <w:rPr>
          <w:i/>
          <w:spacing w:val="-16"/>
          <w:w w:val="115"/>
          <w:sz w:val="20"/>
        </w:rPr>
        <w:t> </w:t>
      </w:r>
      <w:r>
        <w:rPr>
          <w:i/>
          <w:w w:val="115"/>
          <w:sz w:val="20"/>
        </w:rPr>
        <w:t>in</w:t>
      </w:r>
      <w:r>
        <w:rPr>
          <w:i/>
          <w:spacing w:val="-15"/>
          <w:w w:val="115"/>
          <w:sz w:val="20"/>
        </w:rPr>
        <w:t> </w:t>
      </w:r>
      <w:r>
        <w:rPr>
          <w:i/>
          <w:w w:val="115"/>
          <w:sz w:val="20"/>
        </w:rPr>
        <w:t>companies</w:t>
      </w:r>
    </w:p>
    <w:p>
      <w:pPr>
        <w:spacing w:line="235" w:lineRule="auto" w:before="3"/>
        <w:ind w:left="1984" w:right="1357" w:firstLine="0"/>
        <w:jc w:val="left"/>
        <w:rPr>
          <w:i/>
          <w:sz w:val="20"/>
        </w:rPr>
      </w:pPr>
      <w:r>
        <w:rPr>
          <w:i/>
          <w:w w:val="115"/>
          <w:sz w:val="20"/>
        </w:rPr>
        <w:t>to enable campaigning from </w:t>
      </w:r>
      <w:r>
        <w:rPr>
          <w:i/>
          <w:spacing w:val="-3"/>
          <w:w w:val="115"/>
          <w:sz w:val="20"/>
        </w:rPr>
        <w:t>within.’ </w:t>
      </w:r>
      <w:r>
        <w:rPr>
          <w:w w:val="115"/>
          <w:sz w:val="20"/>
        </w:rPr>
        <w:t>This decision was also endorsed by the </w:t>
      </w:r>
      <w:r>
        <w:rPr>
          <w:i/>
          <w:w w:val="115"/>
          <w:sz w:val="20"/>
        </w:rPr>
        <w:t>Commitment   </w:t>
      </w:r>
      <w:r>
        <w:rPr>
          <w:i/>
          <w:w w:val="115"/>
          <w:sz w:val="20"/>
        </w:rPr>
        <w:t>for Life </w:t>
      </w:r>
      <w:r>
        <w:rPr>
          <w:w w:val="115"/>
          <w:sz w:val="20"/>
        </w:rPr>
        <w:t>Sub-committee who whilst endorsing the </w:t>
      </w:r>
      <w:r>
        <w:rPr>
          <w:spacing w:val="-6"/>
          <w:w w:val="115"/>
          <w:sz w:val="20"/>
        </w:rPr>
        <w:t>1992 </w:t>
      </w:r>
      <w:r>
        <w:rPr>
          <w:w w:val="115"/>
          <w:sz w:val="20"/>
        </w:rPr>
        <w:t>General Assembly decision  to boycott Nestlé products, also stated that they </w:t>
      </w:r>
      <w:r>
        <w:rPr>
          <w:i/>
          <w:w w:val="115"/>
          <w:sz w:val="20"/>
        </w:rPr>
        <w:t>‘would not be against a selective purchase of </w:t>
      </w:r>
      <w:r>
        <w:rPr>
          <w:i/>
          <w:w w:val="115"/>
          <w:sz w:val="20"/>
        </w:rPr>
        <w:t>shares in Nestlé, as long as this was used to enable campaigning from</w:t>
      </w:r>
      <w:r>
        <w:rPr>
          <w:i/>
          <w:spacing w:val="-37"/>
          <w:w w:val="115"/>
          <w:sz w:val="20"/>
        </w:rPr>
        <w:t> </w:t>
      </w:r>
      <w:r>
        <w:rPr>
          <w:i/>
          <w:spacing w:val="-3"/>
          <w:w w:val="115"/>
          <w:sz w:val="20"/>
        </w:rPr>
        <w:t>within.’</w:t>
      </w:r>
    </w:p>
    <w:p>
      <w:pPr>
        <w:spacing w:after="0" w:line="235" w:lineRule="auto"/>
        <w:jc w:val="left"/>
        <w:rPr>
          <w:sz w:val="20"/>
        </w:rPr>
        <w:sectPr>
          <w:headerReference w:type="default" r:id="rId231"/>
          <w:headerReference w:type="even" r:id="rId232"/>
          <w:footerReference w:type="default" r:id="rId233"/>
          <w:footerReference w:type="even" r:id="rId234"/>
          <w:pgSz w:w="11910" w:h="16840"/>
          <w:pgMar w:header="0" w:footer="647" w:top="1060" w:bottom="840" w:left="0" w:right="0"/>
          <w:pgNumType w:start="97"/>
        </w:sectPr>
      </w:pPr>
    </w:p>
    <w:p>
      <w:pPr>
        <w:pStyle w:val="ListParagraph"/>
        <w:numPr>
          <w:ilvl w:val="2"/>
          <w:numId w:val="117"/>
        </w:numPr>
        <w:tabs>
          <w:tab w:pos="1814" w:val="left" w:leader="none"/>
          <w:tab w:pos="1815" w:val="left" w:leader="none"/>
        </w:tabs>
        <w:spacing w:line="223" w:lineRule="auto" w:before="117" w:after="0"/>
        <w:ind w:left="1133" w:right="2176" w:firstLine="0"/>
        <w:jc w:val="left"/>
        <w:rPr>
          <w:rFonts w:ascii="Stone Sans II ITC Std Bk" w:hAnsi="Stone Sans II ITC Std Bk"/>
          <w:b/>
          <w:i/>
          <w:sz w:val="20"/>
        </w:rPr>
      </w:pPr>
      <w:r>
        <w:rPr/>
        <w:pict>
          <v:rect style="position:absolute;margin-left:12.047pt;margin-top:8.501268pt;width:22.677pt;height:22.677pt;mso-position-horizontal-relative:page;mso-position-vertical-relative:paragraph;z-index:251974656" filled="true" fillcolor="#f9e9c1" stroked="false">
            <v:fill opacity="32768f" type="solid"/>
            <w10:wrap type="none"/>
          </v:rect>
        </w:pict>
      </w:r>
      <w:r>
        <w:rPr>
          <w:w w:val="120"/>
          <w:sz w:val="20"/>
        </w:rPr>
        <w:t>A detailed briefing paper on Nestlé was prepared by the Secretary for Church and</w:t>
      </w:r>
      <w:r>
        <w:rPr>
          <w:spacing w:val="-10"/>
          <w:w w:val="120"/>
          <w:sz w:val="20"/>
        </w:rPr>
        <w:t> </w:t>
      </w:r>
      <w:r>
        <w:rPr>
          <w:w w:val="120"/>
          <w:sz w:val="20"/>
        </w:rPr>
        <w:t>Society</w:t>
      </w:r>
      <w:r>
        <w:rPr>
          <w:spacing w:val="-9"/>
          <w:w w:val="120"/>
          <w:sz w:val="20"/>
        </w:rPr>
        <w:t> </w:t>
      </w:r>
      <w:r>
        <w:rPr>
          <w:w w:val="120"/>
          <w:sz w:val="20"/>
        </w:rPr>
        <w:t>ahead</w:t>
      </w:r>
      <w:r>
        <w:rPr>
          <w:spacing w:val="-9"/>
          <w:w w:val="120"/>
          <w:sz w:val="20"/>
        </w:rPr>
        <w:t> </w:t>
      </w:r>
      <w:r>
        <w:rPr>
          <w:w w:val="120"/>
          <w:sz w:val="20"/>
        </w:rPr>
        <w:t>of</w:t>
      </w:r>
      <w:r>
        <w:rPr>
          <w:spacing w:val="-10"/>
          <w:w w:val="120"/>
          <w:sz w:val="20"/>
        </w:rPr>
        <w:t> </w:t>
      </w:r>
      <w:r>
        <w:rPr>
          <w:w w:val="120"/>
          <w:sz w:val="20"/>
        </w:rPr>
        <w:t>the</w:t>
      </w:r>
      <w:r>
        <w:rPr>
          <w:spacing w:val="-9"/>
          <w:w w:val="120"/>
          <w:sz w:val="20"/>
        </w:rPr>
        <w:t> </w:t>
      </w:r>
      <w:r>
        <w:rPr>
          <w:spacing w:val="-5"/>
          <w:w w:val="120"/>
          <w:sz w:val="20"/>
        </w:rPr>
        <w:t>C&amp;S</w:t>
      </w:r>
      <w:r>
        <w:rPr>
          <w:spacing w:val="-9"/>
          <w:w w:val="120"/>
          <w:sz w:val="20"/>
        </w:rPr>
        <w:t> </w:t>
      </w:r>
      <w:r>
        <w:rPr>
          <w:spacing w:val="-3"/>
          <w:w w:val="120"/>
          <w:sz w:val="20"/>
        </w:rPr>
        <w:t>Committee</w:t>
      </w:r>
      <w:r>
        <w:rPr>
          <w:spacing w:val="-9"/>
          <w:w w:val="120"/>
          <w:sz w:val="20"/>
        </w:rPr>
        <w:t> </w:t>
      </w:r>
      <w:r>
        <w:rPr>
          <w:w w:val="120"/>
          <w:sz w:val="20"/>
        </w:rPr>
        <w:t>meeting</w:t>
      </w:r>
      <w:r>
        <w:rPr>
          <w:spacing w:val="-10"/>
          <w:w w:val="120"/>
          <w:sz w:val="20"/>
        </w:rPr>
        <w:t> </w:t>
      </w:r>
      <w:r>
        <w:rPr>
          <w:w w:val="120"/>
          <w:sz w:val="20"/>
        </w:rPr>
        <w:t>in</w:t>
      </w:r>
      <w:r>
        <w:rPr>
          <w:spacing w:val="-9"/>
          <w:w w:val="120"/>
          <w:sz w:val="20"/>
        </w:rPr>
        <w:t> </w:t>
      </w:r>
      <w:r>
        <w:rPr>
          <w:w w:val="120"/>
          <w:sz w:val="20"/>
        </w:rPr>
        <w:t>January</w:t>
      </w:r>
      <w:r>
        <w:rPr>
          <w:spacing w:val="-9"/>
          <w:w w:val="120"/>
          <w:sz w:val="20"/>
        </w:rPr>
        <w:t> </w:t>
      </w:r>
      <w:r>
        <w:rPr>
          <w:spacing w:val="-3"/>
          <w:w w:val="120"/>
          <w:sz w:val="20"/>
        </w:rPr>
        <w:t>2007</w:t>
      </w:r>
      <w:r>
        <w:rPr>
          <w:spacing w:val="-10"/>
          <w:w w:val="120"/>
          <w:sz w:val="20"/>
        </w:rPr>
        <w:t> </w:t>
      </w:r>
      <w:r>
        <w:rPr>
          <w:w w:val="120"/>
          <w:sz w:val="20"/>
        </w:rPr>
        <w:t>–</w:t>
      </w:r>
      <w:r>
        <w:rPr>
          <w:spacing w:val="-9"/>
          <w:w w:val="120"/>
          <w:sz w:val="20"/>
        </w:rPr>
        <w:t> </w:t>
      </w:r>
      <w:r>
        <w:rPr>
          <w:w w:val="120"/>
          <w:sz w:val="20"/>
        </w:rPr>
        <w:t>see</w:t>
      </w:r>
      <w:r>
        <w:rPr>
          <w:spacing w:val="-9"/>
          <w:w w:val="120"/>
          <w:sz w:val="20"/>
        </w:rPr>
        <w:t> </w:t>
      </w:r>
      <w:r>
        <w:rPr>
          <w:rFonts w:ascii="Stone Sans II ITC Std Bk" w:hAnsi="Stone Sans II ITC Std Bk"/>
          <w:b/>
          <w:i/>
          <w:w w:val="120"/>
          <w:sz w:val="20"/>
        </w:rPr>
        <w:t>MC</w:t>
      </w:r>
      <w:r>
        <w:rPr>
          <w:rFonts w:ascii="Stone Sans II ITC Std Bk" w:hAnsi="Stone Sans II ITC Std Bk"/>
          <w:b/>
          <w:i/>
          <w:spacing w:val="-17"/>
          <w:w w:val="120"/>
          <w:sz w:val="20"/>
        </w:rPr>
        <w:t> </w:t>
      </w:r>
      <w:r>
        <w:rPr>
          <w:rFonts w:ascii="Stone Sans II ITC Std Bk" w:hAnsi="Stone Sans II ITC Std Bk"/>
          <w:b/>
          <w:i/>
          <w:w w:val="120"/>
          <w:sz w:val="20"/>
        </w:rPr>
        <w:t>Appendix</w:t>
      </w:r>
      <w:r>
        <w:rPr>
          <w:rFonts w:ascii="Stone Sans II ITC Std Bk" w:hAnsi="Stone Sans II ITC Std Bk"/>
          <w:b/>
          <w:i/>
          <w:spacing w:val="-16"/>
          <w:w w:val="120"/>
          <w:sz w:val="20"/>
        </w:rPr>
        <w:t> </w:t>
      </w:r>
      <w:r>
        <w:rPr>
          <w:rFonts w:ascii="Stone Sans II ITC Std Bk" w:hAnsi="Stone Sans II ITC Std Bk"/>
          <w:b/>
          <w:i/>
          <w:w w:val="120"/>
          <w:sz w:val="20"/>
        </w:rPr>
        <w:t>4.</w:t>
      </w:r>
    </w:p>
    <w:p>
      <w:pPr>
        <w:pStyle w:val="BodyText"/>
        <w:spacing w:line="235" w:lineRule="auto"/>
        <w:ind w:left="1133" w:right="2001"/>
      </w:pPr>
      <w:r>
        <w:rPr>
          <w:w w:val="120"/>
        </w:rPr>
        <w:t>Unfortunately, time did not permit discussion to be held on this paper and it was referred to the </w:t>
      </w:r>
      <w:r>
        <w:rPr>
          <w:i/>
          <w:w w:val="120"/>
        </w:rPr>
        <w:t>Commitment for Life </w:t>
      </w:r>
      <w:r>
        <w:rPr>
          <w:w w:val="120"/>
        </w:rPr>
        <w:t>sub-committee for discussion at their next meeting. Following this meeting a Nestlé working group was established to consider whether Nestlé had  done enough in factual terms to warrant lifting the boycott of its products and whether engaging with the company was an</w:t>
      </w:r>
      <w:r>
        <w:rPr>
          <w:spacing w:val="17"/>
          <w:w w:val="120"/>
        </w:rPr>
        <w:t> </w:t>
      </w:r>
      <w:r>
        <w:rPr>
          <w:w w:val="120"/>
        </w:rPr>
        <w:t>option.</w:t>
      </w:r>
    </w:p>
    <w:p>
      <w:pPr>
        <w:pStyle w:val="BodyText"/>
        <w:spacing w:before="3"/>
        <w:rPr>
          <w:sz w:val="19"/>
        </w:rPr>
      </w:pPr>
    </w:p>
    <w:p>
      <w:pPr>
        <w:pStyle w:val="ListParagraph"/>
        <w:numPr>
          <w:ilvl w:val="2"/>
          <w:numId w:val="117"/>
        </w:numPr>
        <w:tabs>
          <w:tab w:pos="1814" w:val="left" w:leader="none"/>
          <w:tab w:pos="1815" w:val="left" w:leader="none"/>
        </w:tabs>
        <w:spacing w:line="235" w:lineRule="auto" w:before="0" w:after="0"/>
        <w:ind w:left="1133" w:right="2004" w:firstLine="0"/>
        <w:jc w:val="left"/>
        <w:rPr>
          <w:sz w:val="20"/>
        </w:rPr>
      </w:pPr>
      <w:r>
        <w:rPr>
          <w:w w:val="120"/>
          <w:sz w:val="20"/>
        </w:rPr>
        <w:t>The first meeting of the Nestlé working group took place on the </w:t>
      </w:r>
      <w:r>
        <w:rPr>
          <w:spacing w:val="-6"/>
          <w:w w:val="120"/>
          <w:sz w:val="20"/>
        </w:rPr>
        <w:t>10 </w:t>
      </w:r>
      <w:r>
        <w:rPr>
          <w:w w:val="120"/>
          <w:sz w:val="20"/>
        </w:rPr>
        <w:t>October 2007 at which Steve Hucklesby explained the rationale for the Methodist </w:t>
      </w:r>
      <w:r>
        <w:rPr>
          <w:spacing w:val="-3"/>
          <w:w w:val="120"/>
          <w:sz w:val="20"/>
        </w:rPr>
        <w:t>Church’s </w:t>
      </w:r>
      <w:r>
        <w:rPr>
          <w:w w:val="120"/>
          <w:sz w:val="20"/>
        </w:rPr>
        <w:t>decision to engage with the </w:t>
      </w:r>
      <w:r>
        <w:rPr>
          <w:spacing w:val="-3"/>
          <w:w w:val="120"/>
          <w:sz w:val="20"/>
        </w:rPr>
        <w:t>company. </w:t>
      </w:r>
      <w:r>
        <w:rPr>
          <w:w w:val="120"/>
          <w:sz w:val="20"/>
        </w:rPr>
        <w:t>Discussion followed on the merits of the URC continuing with its boycott of Nestlé products and the case of investment and engagement in light of    the changes made by the company and a follow-up meeting was scheduled for January 2008. Unfortunately, this meeting did not take place due to the non-availability of</w:t>
      </w:r>
      <w:r>
        <w:rPr>
          <w:spacing w:val="50"/>
          <w:w w:val="120"/>
          <w:sz w:val="20"/>
        </w:rPr>
        <w:t> </w:t>
      </w:r>
      <w:r>
        <w:rPr>
          <w:w w:val="120"/>
          <w:sz w:val="20"/>
        </w:rPr>
        <w:t>some</w:t>
      </w:r>
    </w:p>
    <w:p>
      <w:pPr>
        <w:pStyle w:val="BodyText"/>
        <w:spacing w:line="235" w:lineRule="auto" w:before="5"/>
        <w:ind w:left="1133" w:right="1901"/>
      </w:pPr>
      <w:r>
        <w:rPr>
          <w:w w:val="120"/>
        </w:rPr>
        <w:t>of the members of the working group. However, at the January 2008 meeting of the </w:t>
      </w:r>
      <w:r>
        <w:rPr>
          <w:spacing w:val="-3"/>
          <w:w w:val="120"/>
        </w:rPr>
        <w:t>C&amp;S </w:t>
      </w:r>
      <w:r>
        <w:rPr>
          <w:w w:val="120"/>
        </w:rPr>
        <w:t>Committee, it was proposed that the review of the Nestlé boycott be </w:t>
      </w:r>
      <w:r>
        <w:rPr>
          <w:spacing w:val="2"/>
          <w:w w:val="120"/>
        </w:rPr>
        <w:t>left </w:t>
      </w:r>
      <w:r>
        <w:rPr>
          <w:w w:val="120"/>
        </w:rPr>
        <w:t>in abeyance until the proposals for broadening the </w:t>
      </w:r>
      <w:r>
        <w:rPr>
          <w:spacing w:val="-3"/>
          <w:w w:val="120"/>
        </w:rPr>
        <w:t>URC’s </w:t>
      </w:r>
      <w:r>
        <w:rPr>
          <w:w w:val="120"/>
        </w:rPr>
        <w:t>guidelines for ethical investment were completed to allow balanced debate on this issue based on objective criteria. This decision was endorsed</w:t>
      </w:r>
      <w:r>
        <w:rPr>
          <w:spacing w:val="10"/>
          <w:w w:val="120"/>
        </w:rPr>
        <w:t> </w:t>
      </w:r>
      <w:r>
        <w:rPr>
          <w:w w:val="120"/>
        </w:rPr>
        <w:t>by</w:t>
      </w:r>
      <w:r>
        <w:rPr>
          <w:spacing w:val="10"/>
          <w:w w:val="120"/>
        </w:rPr>
        <w:t> </w:t>
      </w:r>
      <w:r>
        <w:rPr>
          <w:w w:val="120"/>
        </w:rPr>
        <w:t>the</w:t>
      </w:r>
      <w:r>
        <w:rPr>
          <w:spacing w:val="11"/>
          <w:w w:val="120"/>
        </w:rPr>
        <w:t> </w:t>
      </w:r>
      <w:r>
        <w:rPr>
          <w:w w:val="120"/>
        </w:rPr>
        <w:t>Ethical</w:t>
      </w:r>
      <w:r>
        <w:rPr>
          <w:spacing w:val="10"/>
          <w:w w:val="120"/>
        </w:rPr>
        <w:t> </w:t>
      </w:r>
      <w:r>
        <w:rPr>
          <w:w w:val="120"/>
        </w:rPr>
        <w:t>Investment</w:t>
      </w:r>
      <w:r>
        <w:rPr>
          <w:spacing w:val="10"/>
          <w:w w:val="120"/>
        </w:rPr>
        <w:t> </w:t>
      </w:r>
      <w:r>
        <w:rPr>
          <w:w w:val="120"/>
        </w:rPr>
        <w:t>Advisory</w:t>
      </w:r>
      <w:r>
        <w:rPr>
          <w:spacing w:val="11"/>
          <w:w w:val="120"/>
        </w:rPr>
        <w:t> </w:t>
      </w:r>
      <w:r>
        <w:rPr>
          <w:w w:val="120"/>
        </w:rPr>
        <w:t>Group</w:t>
      </w:r>
      <w:r>
        <w:rPr>
          <w:spacing w:val="10"/>
          <w:w w:val="120"/>
        </w:rPr>
        <w:t> </w:t>
      </w:r>
      <w:r>
        <w:rPr>
          <w:spacing w:val="-2"/>
          <w:w w:val="120"/>
        </w:rPr>
        <w:t>(EIAG)</w:t>
      </w:r>
      <w:r>
        <w:rPr>
          <w:spacing w:val="10"/>
          <w:w w:val="120"/>
        </w:rPr>
        <w:t> </w:t>
      </w:r>
      <w:r>
        <w:rPr>
          <w:w w:val="120"/>
        </w:rPr>
        <w:t>at</w:t>
      </w:r>
      <w:r>
        <w:rPr>
          <w:spacing w:val="11"/>
          <w:w w:val="120"/>
        </w:rPr>
        <w:t> </w:t>
      </w:r>
      <w:r>
        <w:rPr>
          <w:w w:val="120"/>
        </w:rPr>
        <w:t>their</w:t>
      </w:r>
      <w:r>
        <w:rPr>
          <w:spacing w:val="10"/>
          <w:w w:val="120"/>
        </w:rPr>
        <w:t> </w:t>
      </w:r>
      <w:r>
        <w:rPr>
          <w:w w:val="120"/>
        </w:rPr>
        <w:t>meeting</w:t>
      </w:r>
      <w:r>
        <w:rPr>
          <w:spacing w:val="11"/>
          <w:w w:val="120"/>
        </w:rPr>
        <w:t> </w:t>
      </w:r>
      <w:r>
        <w:rPr>
          <w:w w:val="120"/>
        </w:rPr>
        <w:t>in</w:t>
      </w:r>
      <w:r>
        <w:rPr>
          <w:spacing w:val="10"/>
          <w:w w:val="120"/>
        </w:rPr>
        <w:t> </w:t>
      </w:r>
      <w:r>
        <w:rPr>
          <w:w w:val="120"/>
        </w:rPr>
        <w:t>April</w:t>
      </w:r>
      <w:r>
        <w:rPr>
          <w:spacing w:val="10"/>
          <w:w w:val="120"/>
        </w:rPr>
        <w:t> </w:t>
      </w:r>
      <w:r>
        <w:rPr>
          <w:w w:val="120"/>
        </w:rPr>
        <w:t>2008.</w:t>
      </w:r>
    </w:p>
    <w:p>
      <w:pPr>
        <w:pStyle w:val="BodyText"/>
        <w:spacing w:before="9"/>
        <w:rPr>
          <w:sz w:val="17"/>
        </w:rPr>
      </w:pPr>
    </w:p>
    <w:p>
      <w:pPr>
        <w:numPr>
          <w:ilvl w:val="1"/>
          <w:numId w:val="117"/>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Revised Ethical Investment</w:t>
      </w:r>
      <w:r>
        <w:rPr>
          <w:rFonts w:ascii="Stone Sans II ITC Std Bk"/>
          <w:b/>
          <w:spacing w:val="-6"/>
          <w:w w:val="115"/>
          <w:sz w:val="21"/>
        </w:rPr>
        <w:t> </w:t>
      </w:r>
      <w:r>
        <w:rPr>
          <w:rFonts w:ascii="Stone Sans II ITC Std Bk"/>
          <w:b/>
          <w:w w:val="115"/>
          <w:sz w:val="21"/>
        </w:rPr>
        <w:t>Principles</w:t>
      </w:r>
    </w:p>
    <w:p>
      <w:pPr>
        <w:pStyle w:val="ListParagraph"/>
        <w:numPr>
          <w:ilvl w:val="2"/>
          <w:numId w:val="117"/>
        </w:numPr>
        <w:tabs>
          <w:tab w:pos="1489" w:val="left" w:leader="none"/>
        </w:tabs>
        <w:spacing w:line="230" w:lineRule="auto" w:before="226" w:after="0"/>
        <w:ind w:left="1133" w:right="1877" w:firstLine="0"/>
        <w:jc w:val="left"/>
        <w:rPr>
          <w:sz w:val="20"/>
        </w:rPr>
      </w:pPr>
      <w:r>
        <w:rPr>
          <w:w w:val="120"/>
          <w:sz w:val="20"/>
        </w:rPr>
        <w:t>Guiding principles for a revised Ethical Investment Policy for the URC were discussed and adopted together with this briefing document at the last meeting of Mission Council on the 10</w:t>
      </w:r>
      <w:r>
        <w:rPr>
          <w:w w:val="120"/>
          <w:position w:val="7"/>
          <w:sz w:val="11"/>
        </w:rPr>
        <w:t>th </w:t>
      </w:r>
      <w:r>
        <w:rPr>
          <w:w w:val="120"/>
          <w:sz w:val="20"/>
        </w:rPr>
        <w:t>March </w:t>
      </w:r>
      <w:r>
        <w:rPr>
          <w:spacing w:val="-6"/>
          <w:w w:val="120"/>
          <w:sz w:val="20"/>
        </w:rPr>
        <w:t>2010 </w:t>
      </w:r>
      <w:r>
        <w:rPr>
          <w:w w:val="120"/>
          <w:sz w:val="20"/>
        </w:rPr>
        <w:t>– see </w:t>
      </w:r>
      <w:r>
        <w:rPr>
          <w:rFonts w:ascii="Stone Sans II ITC Std Bk" w:hAnsi="Stone Sans II ITC Std Bk"/>
          <w:b/>
          <w:i/>
          <w:w w:val="120"/>
          <w:sz w:val="20"/>
        </w:rPr>
        <w:t>MC Appendix 5. </w:t>
      </w:r>
      <w:r>
        <w:rPr>
          <w:w w:val="120"/>
          <w:sz w:val="20"/>
        </w:rPr>
        <w:t>These guiding principles were informed by the </w:t>
      </w:r>
      <w:r>
        <w:rPr>
          <w:spacing w:val="2"/>
          <w:w w:val="120"/>
          <w:sz w:val="20"/>
        </w:rPr>
        <w:t>report </w:t>
      </w:r>
      <w:r>
        <w:rPr>
          <w:w w:val="120"/>
          <w:sz w:val="20"/>
        </w:rPr>
        <w:t>of a theology working group established by the Mission Committee to consider the issue of expressing mission responsibility through investment as well as the ethical policies of our ecumenical</w:t>
      </w:r>
      <w:r>
        <w:rPr>
          <w:spacing w:val="8"/>
          <w:w w:val="120"/>
          <w:sz w:val="20"/>
        </w:rPr>
        <w:t> </w:t>
      </w:r>
      <w:r>
        <w:rPr>
          <w:w w:val="120"/>
          <w:sz w:val="20"/>
        </w:rPr>
        <w:t>partners.</w:t>
      </w:r>
    </w:p>
    <w:p>
      <w:pPr>
        <w:pStyle w:val="BodyText"/>
      </w:pPr>
    </w:p>
    <w:p>
      <w:pPr>
        <w:pStyle w:val="ListParagraph"/>
        <w:numPr>
          <w:ilvl w:val="2"/>
          <w:numId w:val="117"/>
        </w:numPr>
        <w:tabs>
          <w:tab w:pos="1813" w:val="left" w:leader="none"/>
          <w:tab w:pos="1815" w:val="left" w:leader="none"/>
        </w:tabs>
        <w:spacing w:line="235" w:lineRule="auto" w:before="1" w:after="0"/>
        <w:ind w:left="1133" w:right="2255" w:firstLine="0"/>
        <w:jc w:val="left"/>
        <w:rPr>
          <w:sz w:val="20"/>
        </w:rPr>
      </w:pPr>
      <w:r>
        <w:rPr>
          <w:w w:val="120"/>
          <w:sz w:val="20"/>
        </w:rPr>
        <w:t>Key issues highlighted in these guiding principles include the desire to achieve   a better fit between the mission and fiduciary responsibilities of the URC, the inclusion of positive screening criteria and the criteria for engagement with companies</w:t>
      </w:r>
      <w:r>
        <w:rPr>
          <w:spacing w:val="51"/>
          <w:w w:val="120"/>
          <w:sz w:val="20"/>
        </w:rPr>
        <w:t> </w:t>
      </w:r>
      <w:r>
        <w:rPr>
          <w:spacing w:val="-5"/>
          <w:w w:val="120"/>
          <w:sz w:val="20"/>
        </w:rPr>
        <w:t>(and</w:t>
      </w:r>
    </w:p>
    <w:p>
      <w:pPr>
        <w:pStyle w:val="BodyText"/>
        <w:spacing w:line="235" w:lineRule="auto" w:before="2"/>
        <w:ind w:left="1133" w:right="1997"/>
      </w:pPr>
      <w:r>
        <w:rPr>
          <w:w w:val="120"/>
        </w:rPr>
        <w:t>disinvestment when deemed necessary). The URC’s response to Nestlé will be considered in terms of these criteria and will provide an interesting test case for the revised ethical policy when this is debated at General Assembly in July 2010.</w:t>
      </w:r>
    </w:p>
    <w:p>
      <w:pPr>
        <w:numPr>
          <w:ilvl w:val="1"/>
          <w:numId w:val="117"/>
        </w:numPr>
        <w:tabs>
          <w:tab w:pos="1853" w:val="left" w:leader="none"/>
          <w:tab w:pos="1854" w:val="left" w:leader="none"/>
        </w:tabs>
        <w:spacing w:before="216"/>
        <w:ind w:left="1853" w:right="0" w:hanging="721"/>
        <w:jc w:val="left"/>
        <w:rPr>
          <w:rFonts w:ascii="Stone Sans II ITC Std Bk" w:hAnsi="Stone Sans II ITC Std Bk"/>
          <w:b/>
          <w:sz w:val="21"/>
        </w:rPr>
      </w:pPr>
      <w:r>
        <w:rPr>
          <w:rFonts w:ascii="Stone Sans II ITC Std Bk" w:hAnsi="Stone Sans II ITC Std Bk"/>
          <w:b/>
          <w:w w:val="115"/>
          <w:sz w:val="21"/>
        </w:rPr>
        <w:t>Meeting with Nestlé</w:t>
      </w:r>
      <w:r>
        <w:rPr>
          <w:rFonts w:ascii="Stone Sans II ITC Std Bk" w:hAnsi="Stone Sans II ITC Std Bk"/>
          <w:b/>
          <w:spacing w:val="-5"/>
          <w:w w:val="115"/>
          <w:sz w:val="21"/>
        </w:rPr>
        <w:t> </w:t>
      </w:r>
      <w:r>
        <w:rPr>
          <w:rFonts w:ascii="Stone Sans II ITC Std Bk" w:hAnsi="Stone Sans II ITC Std Bk"/>
          <w:b/>
          <w:w w:val="115"/>
          <w:sz w:val="21"/>
        </w:rPr>
        <w:t>Management</w:t>
      </w:r>
    </w:p>
    <w:p>
      <w:pPr>
        <w:pStyle w:val="ListParagraph"/>
        <w:numPr>
          <w:ilvl w:val="2"/>
          <w:numId w:val="117"/>
        </w:numPr>
        <w:tabs>
          <w:tab w:pos="1814" w:val="left" w:leader="none"/>
          <w:tab w:pos="1815" w:val="left" w:leader="none"/>
        </w:tabs>
        <w:spacing w:line="232" w:lineRule="auto" w:before="224" w:after="0"/>
        <w:ind w:left="1133" w:right="2005" w:firstLine="0"/>
        <w:jc w:val="left"/>
        <w:rPr>
          <w:sz w:val="20"/>
        </w:rPr>
      </w:pPr>
      <w:r>
        <w:rPr>
          <w:w w:val="120"/>
          <w:sz w:val="20"/>
        </w:rPr>
        <w:t>A meeting between the Church Investors Group and senior Nestlé management was hosted by CCLA on 4 December 2009 to engage on issues of ethical concern related to their marketing of baby milk substitutes and compliance with the </w:t>
      </w:r>
      <w:r>
        <w:rPr>
          <w:i/>
          <w:w w:val="120"/>
          <w:sz w:val="20"/>
        </w:rPr>
        <w:t>International Code of </w:t>
      </w:r>
      <w:r>
        <w:rPr>
          <w:i/>
          <w:w w:val="120"/>
          <w:sz w:val="20"/>
        </w:rPr>
        <w:t>Marketing</w:t>
      </w:r>
      <w:r>
        <w:rPr>
          <w:i/>
          <w:spacing w:val="-31"/>
          <w:w w:val="120"/>
          <w:sz w:val="20"/>
        </w:rPr>
        <w:t> </w:t>
      </w:r>
      <w:r>
        <w:rPr>
          <w:i/>
          <w:w w:val="120"/>
          <w:sz w:val="20"/>
        </w:rPr>
        <w:t>of</w:t>
      </w:r>
      <w:r>
        <w:rPr>
          <w:i/>
          <w:spacing w:val="-30"/>
          <w:w w:val="120"/>
          <w:sz w:val="20"/>
        </w:rPr>
        <w:t> </w:t>
      </w:r>
      <w:r>
        <w:rPr>
          <w:i/>
          <w:w w:val="120"/>
          <w:sz w:val="20"/>
        </w:rPr>
        <w:t>Breast-milk</w:t>
      </w:r>
      <w:r>
        <w:rPr>
          <w:i/>
          <w:spacing w:val="-30"/>
          <w:w w:val="120"/>
          <w:sz w:val="20"/>
        </w:rPr>
        <w:t> </w:t>
      </w:r>
      <w:r>
        <w:rPr>
          <w:i/>
          <w:w w:val="120"/>
          <w:sz w:val="20"/>
        </w:rPr>
        <w:t>Substitutes</w:t>
      </w:r>
      <w:r>
        <w:rPr>
          <w:i/>
          <w:spacing w:val="-30"/>
          <w:w w:val="120"/>
          <w:sz w:val="20"/>
        </w:rPr>
        <w:t> </w:t>
      </w:r>
      <w:r>
        <w:rPr>
          <w:i/>
          <w:w w:val="120"/>
          <w:sz w:val="20"/>
        </w:rPr>
        <w:t>(International</w:t>
      </w:r>
      <w:r>
        <w:rPr>
          <w:i/>
          <w:spacing w:val="-30"/>
          <w:w w:val="120"/>
          <w:sz w:val="20"/>
        </w:rPr>
        <w:t> </w:t>
      </w:r>
      <w:r>
        <w:rPr>
          <w:i/>
          <w:spacing w:val="-4"/>
          <w:w w:val="120"/>
          <w:sz w:val="20"/>
        </w:rPr>
        <w:t>Code)</w:t>
      </w:r>
      <w:r>
        <w:rPr>
          <w:i/>
          <w:spacing w:val="-30"/>
          <w:w w:val="120"/>
          <w:sz w:val="20"/>
        </w:rPr>
        <w:t> </w:t>
      </w:r>
      <w:r>
        <w:rPr>
          <w:i/>
          <w:w w:val="120"/>
          <w:sz w:val="20"/>
        </w:rPr>
        <w:t>–</w:t>
      </w:r>
      <w:r>
        <w:rPr>
          <w:i/>
          <w:spacing w:val="-30"/>
          <w:w w:val="120"/>
          <w:sz w:val="20"/>
        </w:rPr>
        <w:t> </w:t>
      </w:r>
      <w:r>
        <w:rPr>
          <w:w w:val="120"/>
          <w:sz w:val="20"/>
        </w:rPr>
        <w:t>see</w:t>
      </w:r>
      <w:r>
        <w:rPr>
          <w:spacing w:val="-29"/>
          <w:w w:val="120"/>
          <w:sz w:val="20"/>
        </w:rPr>
        <w:t> </w:t>
      </w:r>
      <w:r>
        <w:rPr>
          <w:rFonts w:ascii="Stone Sans II ITC Std Bk" w:hAnsi="Stone Sans II ITC Std Bk"/>
          <w:b/>
          <w:i/>
          <w:w w:val="120"/>
          <w:sz w:val="20"/>
        </w:rPr>
        <w:t>MC</w:t>
      </w:r>
      <w:r>
        <w:rPr>
          <w:rFonts w:ascii="Stone Sans II ITC Std Bk" w:hAnsi="Stone Sans II ITC Std Bk"/>
          <w:b/>
          <w:i/>
          <w:spacing w:val="-34"/>
          <w:w w:val="120"/>
          <w:sz w:val="20"/>
        </w:rPr>
        <w:t> </w:t>
      </w:r>
      <w:r>
        <w:rPr>
          <w:rFonts w:ascii="Stone Sans II ITC Std Bk" w:hAnsi="Stone Sans II ITC Std Bk"/>
          <w:b/>
          <w:i/>
          <w:w w:val="120"/>
          <w:sz w:val="20"/>
        </w:rPr>
        <w:t>Appendix</w:t>
      </w:r>
      <w:r>
        <w:rPr>
          <w:rFonts w:ascii="Stone Sans II ITC Std Bk" w:hAnsi="Stone Sans II ITC Std Bk"/>
          <w:b/>
          <w:i/>
          <w:spacing w:val="-35"/>
          <w:w w:val="120"/>
          <w:sz w:val="20"/>
        </w:rPr>
        <w:t> </w:t>
      </w:r>
      <w:r>
        <w:rPr>
          <w:rFonts w:ascii="Stone Sans II ITC Std Bk" w:hAnsi="Stone Sans II ITC Std Bk"/>
          <w:b/>
          <w:i/>
          <w:w w:val="120"/>
          <w:sz w:val="20"/>
        </w:rPr>
        <w:t>6</w:t>
      </w:r>
      <w:r>
        <w:rPr>
          <w:rFonts w:ascii="Stone Sans II ITC Std Bk" w:hAnsi="Stone Sans II ITC Std Bk"/>
          <w:b/>
          <w:i/>
          <w:spacing w:val="-35"/>
          <w:w w:val="120"/>
          <w:sz w:val="20"/>
        </w:rPr>
        <w:t> </w:t>
      </w:r>
      <w:r>
        <w:rPr>
          <w:w w:val="120"/>
          <w:sz w:val="20"/>
        </w:rPr>
        <w:t>for</w:t>
      </w:r>
      <w:r>
        <w:rPr>
          <w:spacing w:val="-28"/>
          <w:w w:val="120"/>
          <w:sz w:val="20"/>
        </w:rPr>
        <w:t> </w:t>
      </w:r>
      <w:r>
        <w:rPr>
          <w:w w:val="120"/>
          <w:sz w:val="20"/>
        </w:rPr>
        <w:t>a</w:t>
      </w:r>
      <w:r>
        <w:rPr>
          <w:spacing w:val="-29"/>
          <w:w w:val="120"/>
          <w:sz w:val="20"/>
        </w:rPr>
        <w:t> </w:t>
      </w:r>
      <w:r>
        <w:rPr>
          <w:w w:val="120"/>
          <w:sz w:val="20"/>
        </w:rPr>
        <w:t>copy</w:t>
      </w:r>
      <w:r>
        <w:rPr>
          <w:spacing w:val="-29"/>
          <w:w w:val="120"/>
          <w:sz w:val="20"/>
        </w:rPr>
        <w:t> </w:t>
      </w:r>
      <w:r>
        <w:rPr>
          <w:w w:val="120"/>
          <w:sz w:val="20"/>
        </w:rPr>
        <w:t>of the notes of this meeting. Five representatives from the URC were invited to attend this meeting – Richard Nunn </w:t>
      </w:r>
      <w:r>
        <w:rPr>
          <w:spacing w:val="-3"/>
          <w:w w:val="120"/>
          <w:sz w:val="20"/>
        </w:rPr>
        <w:t>(Chair </w:t>
      </w:r>
      <w:r>
        <w:rPr>
          <w:w w:val="120"/>
          <w:sz w:val="20"/>
        </w:rPr>
        <w:t>of the URC Investment </w:t>
      </w:r>
      <w:r>
        <w:rPr>
          <w:spacing w:val="-3"/>
          <w:w w:val="120"/>
          <w:sz w:val="20"/>
        </w:rPr>
        <w:t>Committee), </w:t>
      </w:r>
      <w:r>
        <w:rPr>
          <w:w w:val="120"/>
          <w:sz w:val="20"/>
        </w:rPr>
        <w:t>John Ellis </w:t>
      </w:r>
      <w:r>
        <w:rPr>
          <w:spacing w:val="-3"/>
          <w:w w:val="120"/>
          <w:sz w:val="20"/>
        </w:rPr>
        <w:t>(Treasurer), </w:t>
      </w:r>
      <w:r>
        <w:rPr>
          <w:w w:val="120"/>
          <w:sz w:val="20"/>
        </w:rPr>
        <w:t>Simon Loveitt (URC spokesperson on public </w:t>
      </w:r>
      <w:r>
        <w:rPr>
          <w:spacing w:val="-4"/>
          <w:w w:val="120"/>
          <w:sz w:val="20"/>
        </w:rPr>
        <w:t>issues), </w:t>
      </w:r>
      <w:r>
        <w:rPr>
          <w:w w:val="120"/>
          <w:sz w:val="20"/>
        </w:rPr>
        <w:t>Val Morrison (Co-Moderator Elect), and Linda Mead (</w:t>
      </w:r>
      <w:r>
        <w:rPr>
          <w:i/>
          <w:w w:val="120"/>
          <w:sz w:val="20"/>
        </w:rPr>
        <w:t>Commitment for Life </w:t>
      </w:r>
      <w:r>
        <w:rPr>
          <w:w w:val="120"/>
          <w:sz w:val="20"/>
        </w:rPr>
        <w:t>Coordinator). A briefing meeting was held at URC House ahead of this meeting where issues of concern identified and discussed. The following 3 questions emerged from this</w:t>
      </w:r>
      <w:r>
        <w:rPr>
          <w:spacing w:val="16"/>
          <w:w w:val="120"/>
          <w:sz w:val="20"/>
        </w:rPr>
        <w:t> </w:t>
      </w:r>
      <w:r>
        <w:rPr>
          <w:w w:val="120"/>
          <w:sz w:val="20"/>
        </w:rPr>
        <w:t>meeting:</w:t>
      </w:r>
    </w:p>
    <w:p>
      <w:pPr>
        <w:pStyle w:val="BodyText"/>
      </w:pPr>
    </w:p>
    <w:p>
      <w:pPr>
        <w:pStyle w:val="ListParagraph"/>
        <w:numPr>
          <w:ilvl w:val="3"/>
          <w:numId w:val="117"/>
        </w:numPr>
        <w:tabs>
          <w:tab w:pos="1814" w:val="left" w:leader="none"/>
          <w:tab w:pos="1815" w:val="left" w:leader="none"/>
        </w:tabs>
        <w:spacing w:line="235" w:lineRule="auto" w:before="0" w:after="0"/>
        <w:ind w:left="1133" w:right="2209" w:firstLine="0"/>
        <w:jc w:val="left"/>
        <w:rPr>
          <w:sz w:val="20"/>
        </w:rPr>
      </w:pPr>
      <w:r>
        <w:rPr>
          <w:w w:val="120"/>
          <w:sz w:val="20"/>
        </w:rPr>
        <w:t>what specific changes have been made by Nestlé in terms of its marketing of breast milk substitutes and compliance with the International Code of Marketing of Breast-milk Substitutes to warrant recommending that the boycott of their products by the URC be</w:t>
      </w:r>
      <w:r>
        <w:rPr>
          <w:spacing w:val="6"/>
          <w:w w:val="120"/>
          <w:sz w:val="20"/>
        </w:rPr>
        <w:t> </w:t>
      </w:r>
      <w:r>
        <w:rPr>
          <w:w w:val="120"/>
          <w:sz w:val="20"/>
        </w:rPr>
        <w:t>ended?</w:t>
      </w:r>
    </w:p>
    <w:p>
      <w:pPr>
        <w:pStyle w:val="BodyText"/>
        <w:spacing w:before="7"/>
        <w:rPr>
          <w:sz w:val="19"/>
        </w:rPr>
      </w:pPr>
    </w:p>
    <w:p>
      <w:pPr>
        <w:pStyle w:val="ListParagraph"/>
        <w:numPr>
          <w:ilvl w:val="3"/>
          <w:numId w:val="117"/>
        </w:numPr>
        <w:tabs>
          <w:tab w:pos="1814" w:val="left" w:leader="none"/>
          <w:tab w:pos="1815" w:val="left" w:leader="none"/>
        </w:tabs>
        <w:spacing w:line="240" w:lineRule="auto" w:before="0" w:after="0"/>
        <w:ind w:left="1814" w:right="0" w:hanging="682"/>
        <w:jc w:val="left"/>
        <w:rPr>
          <w:sz w:val="20"/>
        </w:rPr>
      </w:pPr>
      <w:r>
        <w:rPr>
          <w:w w:val="120"/>
          <w:sz w:val="20"/>
        </w:rPr>
        <w:t>is Nestlé planning to apply for listing with the </w:t>
      </w:r>
      <w:r>
        <w:rPr>
          <w:i/>
          <w:w w:val="120"/>
          <w:sz w:val="20"/>
        </w:rPr>
        <w:t>FTSE4Good</w:t>
      </w:r>
      <w:r>
        <w:rPr>
          <w:i/>
          <w:spacing w:val="12"/>
          <w:w w:val="120"/>
          <w:sz w:val="20"/>
        </w:rPr>
        <w:t> </w:t>
      </w:r>
      <w:r>
        <w:rPr>
          <w:w w:val="120"/>
          <w:sz w:val="20"/>
        </w:rPr>
        <w:t>Index?</w:t>
      </w:r>
    </w:p>
    <w:p>
      <w:pPr>
        <w:pStyle w:val="BodyText"/>
        <w:spacing w:before="8"/>
        <w:rPr>
          <w:sz w:val="19"/>
        </w:rPr>
      </w:pPr>
    </w:p>
    <w:p>
      <w:pPr>
        <w:pStyle w:val="ListParagraph"/>
        <w:numPr>
          <w:ilvl w:val="3"/>
          <w:numId w:val="117"/>
        </w:numPr>
        <w:tabs>
          <w:tab w:pos="1814" w:val="left" w:leader="none"/>
          <w:tab w:pos="1815" w:val="left" w:leader="none"/>
        </w:tabs>
        <w:spacing w:line="235" w:lineRule="auto" w:before="0" w:after="0"/>
        <w:ind w:left="1133" w:right="1861" w:firstLine="0"/>
        <w:jc w:val="left"/>
        <w:rPr>
          <w:sz w:val="20"/>
        </w:rPr>
      </w:pPr>
      <w:r>
        <w:rPr>
          <w:w w:val="120"/>
          <w:sz w:val="20"/>
        </w:rPr>
        <w:t>what actions was Nestlé taking to regulate their supply chain and to ensure that the human rights of employees were</w:t>
      </w:r>
      <w:r>
        <w:rPr>
          <w:spacing w:val="11"/>
          <w:w w:val="120"/>
          <w:sz w:val="20"/>
        </w:rPr>
        <w:t> </w:t>
      </w:r>
      <w:r>
        <w:rPr>
          <w:w w:val="120"/>
          <w:sz w:val="20"/>
        </w:rPr>
        <w:t>upheld?</w:t>
      </w:r>
    </w:p>
    <w:p>
      <w:pPr>
        <w:spacing w:after="0" w:line="235" w:lineRule="auto"/>
        <w:jc w:val="left"/>
        <w:rPr>
          <w:sz w:val="20"/>
        </w:rPr>
        <w:sectPr>
          <w:pgSz w:w="11910" w:h="16840"/>
          <w:pgMar w:header="0" w:footer="647" w:top="1060" w:bottom="840" w:left="0" w:right="0"/>
        </w:sectPr>
      </w:pPr>
    </w:p>
    <w:p>
      <w:pPr>
        <w:pStyle w:val="ListParagraph"/>
        <w:numPr>
          <w:ilvl w:val="2"/>
          <w:numId w:val="117"/>
        </w:numPr>
        <w:tabs>
          <w:tab w:pos="2664" w:val="left" w:leader="none"/>
          <w:tab w:pos="2665" w:val="left" w:leader="none"/>
        </w:tabs>
        <w:spacing w:line="227" w:lineRule="exact" w:before="87" w:after="0"/>
        <w:ind w:left="2664" w:right="0" w:hanging="681"/>
        <w:jc w:val="left"/>
        <w:rPr>
          <w:sz w:val="20"/>
        </w:rPr>
      </w:pPr>
      <w:r>
        <w:rPr/>
        <w:pict>
          <v:rect style="position:absolute;margin-left:558.424988pt;margin-top:8.493772pt;width:22.677pt;height:22.677pt;mso-position-horizontal-relative:page;mso-position-vertical-relative:paragraph;z-index:251976704" filled="true" fillcolor="#f9e9c1" stroked="false">
            <v:fill opacity="32768f" type="solid"/>
            <w10:wrap type="none"/>
          </v:rect>
        </w:pict>
      </w:r>
      <w:r>
        <w:rPr>
          <w:w w:val="120"/>
          <w:sz w:val="20"/>
        </w:rPr>
        <w:t>In response, at the meeting, Nestlé affirmed</w:t>
      </w:r>
      <w:r>
        <w:rPr>
          <w:spacing w:val="11"/>
          <w:w w:val="120"/>
          <w:sz w:val="20"/>
        </w:rPr>
        <w:t> </w:t>
      </w:r>
      <w:r>
        <w:rPr>
          <w:w w:val="120"/>
          <w:sz w:val="20"/>
        </w:rPr>
        <w:t>that:</w:t>
      </w:r>
    </w:p>
    <w:p>
      <w:pPr>
        <w:pStyle w:val="ListParagraph"/>
        <w:numPr>
          <w:ilvl w:val="0"/>
          <w:numId w:val="118"/>
        </w:numPr>
        <w:tabs>
          <w:tab w:pos="2664" w:val="left" w:leader="none"/>
          <w:tab w:pos="2665" w:val="left" w:leader="none"/>
        </w:tabs>
        <w:spacing w:line="216" w:lineRule="auto" w:before="5" w:after="0"/>
        <w:ind w:left="2664" w:right="1205" w:hanging="681"/>
        <w:jc w:val="left"/>
        <w:rPr>
          <w:sz w:val="20"/>
        </w:rPr>
      </w:pPr>
      <w:r>
        <w:rPr>
          <w:w w:val="120"/>
          <w:sz w:val="20"/>
        </w:rPr>
        <w:t>the </w:t>
      </w:r>
      <w:r>
        <w:rPr>
          <w:spacing w:val="2"/>
          <w:w w:val="120"/>
          <w:sz w:val="20"/>
        </w:rPr>
        <w:t>WHO </w:t>
      </w:r>
      <w:r>
        <w:rPr>
          <w:w w:val="120"/>
          <w:sz w:val="20"/>
        </w:rPr>
        <w:t>code on BMS drives their operations in the BMS business. Allegations of non compliance are investigated thoroughly. Where necessary, corrective action is taken</w:t>
      </w:r>
      <w:r>
        <w:rPr>
          <w:spacing w:val="3"/>
          <w:w w:val="120"/>
          <w:sz w:val="20"/>
        </w:rPr>
        <w:t> </w:t>
      </w:r>
      <w:r>
        <w:rPr>
          <w:w w:val="120"/>
          <w:sz w:val="20"/>
        </w:rPr>
        <w:t>immediately;</w:t>
      </w:r>
    </w:p>
    <w:p>
      <w:pPr>
        <w:pStyle w:val="ListParagraph"/>
        <w:numPr>
          <w:ilvl w:val="0"/>
          <w:numId w:val="118"/>
        </w:numPr>
        <w:tabs>
          <w:tab w:pos="2664" w:val="left" w:leader="none"/>
          <w:tab w:pos="2665" w:val="left" w:leader="none"/>
        </w:tabs>
        <w:spacing w:line="216" w:lineRule="auto" w:before="0" w:after="0"/>
        <w:ind w:left="2664" w:right="1526" w:hanging="681"/>
        <w:jc w:val="left"/>
        <w:rPr>
          <w:sz w:val="20"/>
        </w:rPr>
      </w:pPr>
      <w:r>
        <w:rPr>
          <w:w w:val="120"/>
          <w:sz w:val="20"/>
        </w:rPr>
        <w:t>they have been enthusiastic supporters of </w:t>
      </w:r>
      <w:r>
        <w:rPr>
          <w:i/>
          <w:w w:val="120"/>
          <w:sz w:val="20"/>
        </w:rPr>
        <w:t>FTSE4Good </w:t>
      </w:r>
      <w:r>
        <w:rPr>
          <w:w w:val="120"/>
          <w:sz w:val="20"/>
        </w:rPr>
        <w:t>and now that it is more focussed upon the developing world market rather than the whole world they would embrace whatever was required to</w:t>
      </w:r>
      <w:r>
        <w:rPr>
          <w:spacing w:val="14"/>
          <w:w w:val="120"/>
          <w:sz w:val="20"/>
        </w:rPr>
        <w:t> </w:t>
      </w:r>
      <w:r>
        <w:rPr>
          <w:w w:val="120"/>
          <w:sz w:val="20"/>
        </w:rPr>
        <w:t>comply;</w:t>
      </w:r>
    </w:p>
    <w:p>
      <w:pPr>
        <w:pStyle w:val="ListParagraph"/>
        <w:numPr>
          <w:ilvl w:val="0"/>
          <w:numId w:val="118"/>
        </w:numPr>
        <w:tabs>
          <w:tab w:pos="2664" w:val="left" w:leader="none"/>
          <w:tab w:pos="2665" w:val="left" w:leader="none"/>
        </w:tabs>
        <w:spacing w:line="216" w:lineRule="auto" w:before="0" w:after="0"/>
        <w:ind w:left="2664" w:right="1796" w:hanging="681"/>
        <w:jc w:val="left"/>
        <w:rPr>
          <w:sz w:val="20"/>
        </w:rPr>
      </w:pPr>
      <w:r>
        <w:rPr>
          <w:w w:val="120"/>
          <w:sz w:val="20"/>
        </w:rPr>
        <w:t>they promote shared values with their customers, suppliers as well as shareholders as they see their role as being long term providers of nutrition solutions rather than seeking shareholder value as fast as</w:t>
      </w:r>
      <w:r>
        <w:rPr>
          <w:spacing w:val="1"/>
          <w:w w:val="120"/>
          <w:sz w:val="20"/>
        </w:rPr>
        <w:t> </w:t>
      </w:r>
      <w:r>
        <w:rPr>
          <w:w w:val="120"/>
          <w:sz w:val="20"/>
        </w:rPr>
        <w:t>possible;</w:t>
      </w:r>
    </w:p>
    <w:p>
      <w:pPr>
        <w:pStyle w:val="ListParagraph"/>
        <w:numPr>
          <w:ilvl w:val="0"/>
          <w:numId w:val="118"/>
        </w:numPr>
        <w:tabs>
          <w:tab w:pos="2664" w:val="left" w:leader="none"/>
          <w:tab w:pos="2665" w:val="left" w:leader="none"/>
        </w:tabs>
        <w:spacing w:line="196" w:lineRule="auto" w:before="0" w:after="0"/>
        <w:ind w:left="2664" w:right="1661" w:hanging="681"/>
        <w:jc w:val="left"/>
        <w:rPr>
          <w:sz w:val="20"/>
        </w:rPr>
      </w:pPr>
      <w:r>
        <w:rPr>
          <w:w w:val="120"/>
          <w:sz w:val="20"/>
        </w:rPr>
        <w:t>they now actively support independent assessments of their activities and its impact upon local communities. These have been highly</w:t>
      </w:r>
      <w:r>
        <w:rPr>
          <w:spacing w:val="38"/>
          <w:w w:val="120"/>
          <w:sz w:val="20"/>
        </w:rPr>
        <w:t> </w:t>
      </w:r>
      <w:r>
        <w:rPr>
          <w:w w:val="120"/>
          <w:sz w:val="20"/>
        </w:rPr>
        <w:t>favourable.</w:t>
      </w:r>
    </w:p>
    <w:p>
      <w:pPr>
        <w:pStyle w:val="BodyText"/>
        <w:spacing w:before="8"/>
        <w:rPr>
          <w:sz w:val="19"/>
        </w:rPr>
      </w:pPr>
    </w:p>
    <w:p>
      <w:pPr>
        <w:pStyle w:val="ListParagraph"/>
        <w:numPr>
          <w:ilvl w:val="2"/>
          <w:numId w:val="117"/>
        </w:numPr>
        <w:tabs>
          <w:tab w:pos="2664" w:val="left" w:leader="none"/>
          <w:tab w:pos="2665" w:val="left" w:leader="none"/>
        </w:tabs>
        <w:spacing w:line="235" w:lineRule="auto" w:before="0" w:after="0"/>
        <w:ind w:left="1984" w:right="1567" w:firstLine="0"/>
        <w:jc w:val="left"/>
        <w:rPr>
          <w:sz w:val="20"/>
        </w:rPr>
      </w:pPr>
      <w:r>
        <w:rPr>
          <w:w w:val="120"/>
          <w:sz w:val="20"/>
        </w:rPr>
        <w:t>There was general agreement from the URC representatives who attended this meeting that in light of this engagement, a proposal be made to the EIAG for consideration at their </w:t>
      </w:r>
      <w:r>
        <w:rPr>
          <w:spacing w:val="2"/>
          <w:w w:val="120"/>
          <w:sz w:val="20"/>
        </w:rPr>
        <w:t>February </w:t>
      </w:r>
      <w:r>
        <w:rPr>
          <w:spacing w:val="-6"/>
          <w:w w:val="120"/>
          <w:sz w:val="20"/>
        </w:rPr>
        <w:t>2010 </w:t>
      </w:r>
      <w:r>
        <w:rPr>
          <w:w w:val="120"/>
          <w:sz w:val="20"/>
        </w:rPr>
        <w:t>meeting that the boycott of Nestlé products by the</w:t>
      </w:r>
      <w:r>
        <w:rPr>
          <w:spacing w:val="4"/>
          <w:w w:val="120"/>
          <w:sz w:val="20"/>
        </w:rPr>
        <w:t> </w:t>
      </w:r>
      <w:r>
        <w:rPr>
          <w:w w:val="120"/>
          <w:sz w:val="20"/>
        </w:rPr>
        <w:t>URC</w:t>
      </w:r>
      <w:r>
        <w:rPr>
          <w:spacing w:val="5"/>
          <w:w w:val="120"/>
          <w:sz w:val="20"/>
        </w:rPr>
        <w:t> </w:t>
      </w:r>
      <w:r>
        <w:rPr>
          <w:w w:val="120"/>
          <w:sz w:val="20"/>
        </w:rPr>
        <w:t>be</w:t>
      </w:r>
      <w:r>
        <w:rPr>
          <w:spacing w:val="5"/>
          <w:w w:val="120"/>
          <w:sz w:val="20"/>
        </w:rPr>
        <w:t> </w:t>
      </w:r>
      <w:r>
        <w:rPr>
          <w:w w:val="120"/>
          <w:sz w:val="20"/>
        </w:rPr>
        <w:t>ended</w:t>
      </w:r>
      <w:r>
        <w:rPr>
          <w:spacing w:val="4"/>
          <w:w w:val="120"/>
          <w:sz w:val="20"/>
        </w:rPr>
        <w:t> </w:t>
      </w:r>
      <w:r>
        <w:rPr>
          <w:w w:val="120"/>
          <w:sz w:val="20"/>
        </w:rPr>
        <w:t>and</w:t>
      </w:r>
      <w:r>
        <w:rPr>
          <w:spacing w:val="5"/>
          <w:w w:val="120"/>
          <w:sz w:val="20"/>
        </w:rPr>
        <w:t> </w:t>
      </w:r>
      <w:r>
        <w:rPr>
          <w:w w:val="120"/>
          <w:sz w:val="20"/>
        </w:rPr>
        <w:t>that</w:t>
      </w:r>
      <w:r>
        <w:rPr>
          <w:spacing w:val="5"/>
          <w:w w:val="120"/>
          <w:sz w:val="20"/>
        </w:rPr>
        <w:t> </w:t>
      </w:r>
      <w:r>
        <w:rPr>
          <w:w w:val="120"/>
          <w:sz w:val="20"/>
        </w:rPr>
        <w:t>a</w:t>
      </w:r>
      <w:r>
        <w:rPr>
          <w:spacing w:val="4"/>
          <w:w w:val="120"/>
          <w:sz w:val="20"/>
        </w:rPr>
        <w:t> </w:t>
      </w:r>
      <w:r>
        <w:rPr>
          <w:w w:val="120"/>
          <w:sz w:val="20"/>
        </w:rPr>
        <w:t>formal</w:t>
      </w:r>
      <w:r>
        <w:rPr>
          <w:spacing w:val="5"/>
          <w:w w:val="120"/>
          <w:sz w:val="20"/>
        </w:rPr>
        <w:t> </w:t>
      </w:r>
      <w:r>
        <w:rPr>
          <w:w w:val="120"/>
          <w:sz w:val="20"/>
        </w:rPr>
        <w:t>proposal</w:t>
      </w:r>
      <w:r>
        <w:rPr>
          <w:spacing w:val="5"/>
          <w:w w:val="120"/>
          <w:sz w:val="20"/>
        </w:rPr>
        <w:t> </w:t>
      </w:r>
      <w:r>
        <w:rPr>
          <w:w w:val="120"/>
          <w:sz w:val="20"/>
        </w:rPr>
        <w:t>outlining</w:t>
      </w:r>
      <w:r>
        <w:rPr>
          <w:spacing w:val="4"/>
          <w:w w:val="120"/>
          <w:sz w:val="20"/>
        </w:rPr>
        <w:t> </w:t>
      </w:r>
      <w:r>
        <w:rPr>
          <w:w w:val="120"/>
          <w:sz w:val="20"/>
        </w:rPr>
        <w:t>the</w:t>
      </w:r>
      <w:r>
        <w:rPr>
          <w:spacing w:val="5"/>
          <w:w w:val="120"/>
          <w:sz w:val="20"/>
        </w:rPr>
        <w:t> </w:t>
      </w:r>
      <w:r>
        <w:rPr>
          <w:w w:val="120"/>
          <w:sz w:val="20"/>
        </w:rPr>
        <w:t>rationale</w:t>
      </w:r>
      <w:r>
        <w:rPr>
          <w:spacing w:val="5"/>
          <w:w w:val="120"/>
          <w:sz w:val="20"/>
        </w:rPr>
        <w:t> </w:t>
      </w:r>
      <w:r>
        <w:rPr>
          <w:w w:val="120"/>
          <w:sz w:val="20"/>
        </w:rPr>
        <w:t>for</w:t>
      </w:r>
      <w:r>
        <w:rPr>
          <w:spacing w:val="4"/>
          <w:w w:val="120"/>
          <w:sz w:val="20"/>
        </w:rPr>
        <w:t> </w:t>
      </w:r>
      <w:r>
        <w:rPr>
          <w:w w:val="120"/>
          <w:sz w:val="20"/>
        </w:rPr>
        <w:t>this</w:t>
      </w:r>
      <w:r>
        <w:rPr>
          <w:spacing w:val="5"/>
          <w:w w:val="120"/>
          <w:sz w:val="20"/>
        </w:rPr>
        <w:t> </w:t>
      </w:r>
      <w:r>
        <w:rPr>
          <w:w w:val="120"/>
          <w:sz w:val="20"/>
        </w:rPr>
        <w:t>decision</w:t>
      </w:r>
    </w:p>
    <w:p>
      <w:pPr>
        <w:pStyle w:val="BodyText"/>
        <w:spacing w:line="235" w:lineRule="auto" w:before="3"/>
        <w:ind w:left="1984" w:right="1120"/>
      </w:pPr>
      <w:r>
        <w:rPr>
          <w:w w:val="120"/>
        </w:rPr>
        <w:t>be forwarded to Mission Council in March together with the revised Ethical Investment Policy for joint consideration. Mission Committee also considered this proposal at</w:t>
      </w:r>
    </w:p>
    <w:p>
      <w:pPr>
        <w:pStyle w:val="BodyText"/>
        <w:spacing w:line="228" w:lineRule="auto" w:before="7"/>
        <w:ind w:left="1984" w:right="1466"/>
      </w:pPr>
      <w:r>
        <w:rPr>
          <w:w w:val="120"/>
        </w:rPr>
        <w:t>their January meeting but decided that they first needed to review the revised Ethical Investment Policy of the URC before being in a position to review the decision to boycott Nestlé products. See </w:t>
      </w:r>
      <w:r>
        <w:rPr>
          <w:rFonts w:ascii="Stone Sans II ITC Std Bk" w:hAnsi="Stone Sans II ITC Std Bk"/>
          <w:b/>
          <w:i/>
          <w:w w:val="120"/>
        </w:rPr>
        <w:t>MC Appendix 7 </w:t>
      </w:r>
      <w:r>
        <w:rPr>
          <w:w w:val="120"/>
        </w:rPr>
        <w:t>for a list of the responses of the URC representatives who attended the meeting with Nestlé management.</w:t>
      </w:r>
    </w:p>
    <w:p>
      <w:pPr>
        <w:pStyle w:val="BodyText"/>
        <w:spacing w:before="3"/>
      </w:pPr>
    </w:p>
    <w:p>
      <w:pPr>
        <w:numPr>
          <w:ilvl w:val="1"/>
          <w:numId w:val="117"/>
        </w:numPr>
        <w:tabs>
          <w:tab w:pos="2704" w:val="left" w:leader="none"/>
          <w:tab w:pos="2705" w:val="left" w:leader="none"/>
        </w:tabs>
        <w:spacing w:line="204" w:lineRule="auto" w:before="0"/>
        <w:ind w:left="1984" w:right="1635" w:firstLine="0"/>
        <w:jc w:val="left"/>
        <w:rPr>
          <w:rFonts w:ascii="Stone Sans II ITC Std Bk" w:hAnsi="Stone Sans II ITC Std Bk"/>
          <w:b/>
          <w:sz w:val="21"/>
        </w:rPr>
      </w:pPr>
      <w:r>
        <w:rPr>
          <w:rFonts w:ascii="Stone Sans II ITC Std Bk" w:hAnsi="Stone Sans II ITC Std Bk"/>
          <w:b/>
          <w:w w:val="115"/>
          <w:sz w:val="21"/>
        </w:rPr>
        <w:t>Assessment of Nestlé marketing of breast-milk substitutes and compliance</w:t>
      </w:r>
      <w:r>
        <w:rPr>
          <w:rFonts w:ascii="Stone Sans II ITC Std Bk" w:hAnsi="Stone Sans II ITC Std Bk"/>
          <w:b/>
          <w:spacing w:val="-12"/>
          <w:w w:val="115"/>
          <w:sz w:val="21"/>
        </w:rPr>
        <w:t> </w:t>
      </w:r>
      <w:r>
        <w:rPr>
          <w:rFonts w:ascii="Stone Sans II ITC Std Bk" w:hAnsi="Stone Sans II ITC Std Bk"/>
          <w:b/>
          <w:w w:val="115"/>
          <w:sz w:val="21"/>
        </w:rPr>
        <w:t>with</w:t>
      </w:r>
      <w:r>
        <w:rPr>
          <w:rFonts w:ascii="Stone Sans II ITC Std Bk" w:hAnsi="Stone Sans II ITC Std Bk"/>
          <w:b/>
          <w:spacing w:val="-11"/>
          <w:w w:val="115"/>
          <w:sz w:val="21"/>
        </w:rPr>
        <w:t> </w:t>
      </w:r>
      <w:r>
        <w:rPr>
          <w:rFonts w:ascii="Stone Sans II ITC Std Bk" w:hAnsi="Stone Sans II ITC Std Bk"/>
          <w:b/>
          <w:w w:val="115"/>
          <w:sz w:val="21"/>
        </w:rPr>
        <w:t>the</w:t>
      </w:r>
      <w:r>
        <w:rPr>
          <w:rFonts w:ascii="Stone Sans II ITC Std Bk" w:hAnsi="Stone Sans II ITC Std Bk"/>
          <w:b/>
          <w:spacing w:val="-11"/>
          <w:w w:val="115"/>
          <w:sz w:val="21"/>
        </w:rPr>
        <w:t> </w:t>
      </w:r>
      <w:r>
        <w:rPr>
          <w:rFonts w:ascii="Stone Sans II ITC Std Bk" w:hAnsi="Stone Sans II ITC Std Bk"/>
          <w:b/>
          <w:i/>
          <w:w w:val="115"/>
          <w:sz w:val="21"/>
        </w:rPr>
        <w:t>International</w:t>
      </w:r>
      <w:r>
        <w:rPr>
          <w:rFonts w:ascii="Stone Sans II ITC Std Bk" w:hAnsi="Stone Sans II ITC Std Bk"/>
          <w:b/>
          <w:i/>
          <w:spacing w:val="-11"/>
          <w:w w:val="115"/>
          <w:sz w:val="21"/>
        </w:rPr>
        <w:t> </w:t>
      </w:r>
      <w:r>
        <w:rPr>
          <w:rFonts w:ascii="Stone Sans II ITC Std Bk" w:hAnsi="Stone Sans II ITC Std Bk"/>
          <w:b/>
          <w:i/>
          <w:w w:val="115"/>
          <w:sz w:val="21"/>
        </w:rPr>
        <w:t>Code</w:t>
      </w:r>
      <w:r>
        <w:rPr>
          <w:rFonts w:ascii="Stone Sans II ITC Std Bk" w:hAnsi="Stone Sans II ITC Std Bk"/>
          <w:b/>
          <w:i/>
          <w:spacing w:val="-6"/>
          <w:w w:val="115"/>
          <w:sz w:val="21"/>
        </w:rPr>
        <w:t> </w:t>
      </w:r>
      <w:r>
        <w:rPr>
          <w:rFonts w:ascii="Stone Sans II ITC Std Bk" w:hAnsi="Stone Sans II ITC Std Bk"/>
          <w:b/>
          <w:w w:val="115"/>
          <w:sz w:val="21"/>
        </w:rPr>
        <w:t>and</w:t>
      </w:r>
      <w:r>
        <w:rPr>
          <w:rFonts w:ascii="Stone Sans II ITC Std Bk" w:hAnsi="Stone Sans II ITC Std Bk"/>
          <w:b/>
          <w:spacing w:val="-12"/>
          <w:w w:val="115"/>
          <w:sz w:val="21"/>
        </w:rPr>
        <w:t> </w:t>
      </w:r>
      <w:r>
        <w:rPr>
          <w:rFonts w:ascii="Stone Sans II ITC Std Bk" w:hAnsi="Stone Sans II ITC Std Bk"/>
          <w:b/>
          <w:w w:val="115"/>
          <w:sz w:val="21"/>
        </w:rPr>
        <w:t>subsequent,</w:t>
      </w:r>
      <w:r>
        <w:rPr>
          <w:rFonts w:ascii="Stone Sans II ITC Std Bk" w:hAnsi="Stone Sans II ITC Std Bk"/>
          <w:b/>
          <w:spacing w:val="-11"/>
          <w:w w:val="115"/>
          <w:sz w:val="21"/>
        </w:rPr>
        <w:t> </w:t>
      </w:r>
      <w:r>
        <w:rPr>
          <w:rFonts w:ascii="Stone Sans II ITC Std Bk" w:hAnsi="Stone Sans II ITC Std Bk"/>
          <w:b/>
          <w:w w:val="115"/>
          <w:sz w:val="21"/>
        </w:rPr>
        <w:t>relevant</w:t>
      </w:r>
      <w:r>
        <w:rPr>
          <w:rFonts w:ascii="Stone Sans II ITC Std Bk" w:hAnsi="Stone Sans II ITC Std Bk"/>
          <w:b/>
          <w:spacing w:val="-11"/>
          <w:w w:val="115"/>
          <w:sz w:val="21"/>
        </w:rPr>
        <w:t> </w:t>
      </w:r>
      <w:r>
        <w:rPr>
          <w:rFonts w:ascii="Stone Sans II ITC Std Bk" w:hAnsi="Stone Sans II ITC Std Bk"/>
          <w:b/>
          <w:w w:val="115"/>
          <w:sz w:val="21"/>
        </w:rPr>
        <w:t>World Health Assembly</w:t>
      </w:r>
      <w:r>
        <w:rPr>
          <w:rFonts w:ascii="Stone Sans II ITC Std Bk" w:hAnsi="Stone Sans II ITC Std Bk"/>
          <w:b/>
          <w:spacing w:val="-4"/>
          <w:w w:val="115"/>
          <w:sz w:val="21"/>
        </w:rPr>
        <w:t> </w:t>
      </w:r>
      <w:r>
        <w:rPr>
          <w:rFonts w:ascii="Stone Sans II ITC Std Bk" w:hAnsi="Stone Sans II ITC Std Bk"/>
          <w:b/>
          <w:w w:val="115"/>
          <w:sz w:val="21"/>
        </w:rPr>
        <w:t>resolutions</w:t>
      </w:r>
    </w:p>
    <w:p>
      <w:pPr>
        <w:pStyle w:val="ListParagraph"/>
        <w:numPr>
          <w:ilvl w:val="2"/>
          <w:numId w:val="117"/>
        </w:numPr>
        <w:tabs>
          <w:tab w:pos="2664" w:val="left" w:leader="none"/>
          <w:tab w:pos="2665" w:val="left" w:leader="none"/>
        </w:tabs>
        <w:spacing w:line="235" w:lineRule="auto" w:before="231" w:after="0"/>
        <w:ind w:left="1984" w:right="1450" w:firstLine="0"/>
        <w:jc w:val="left"/>
        <w:rPr>
          <w:sz w:val="20"/>
        </w:rPr>
      </w:pPr>
      <w:r>
        <w:rPr>
          <w:w w:val="120"/>
          <w:sz w:val="20"/>
        </w:rPr>
        <w:t>In seeking to take this proposal forward, it is important that an independent assessment be made of Nestlé’s current practices related to the marketing of breast milk substitutes and compliance with the relevant international health codes and resolutions. It is not, however the intention of this briefing paper to present a detailed analysis of the alleged violations of the </w:t>
      </w:r>
      <w:r>
        <w:rPr>
          <w:i/>
          <w:w w:val="120"/>
          <w:sz w:val="20"/>
        </w:rPr>
        <w:t>International Code </w:t>
      </w:r>
      <w:r>
        <w:rPr>
          <w:w w:val="120"/>
          <w:sz w:val="20"/>
        </w:rPr>
        <w:t>and child rights</w:t>
      </w:r>
      <w:r>
        <w:rPr>
          <w:spacing w:val="-23"/>
          <w:w w:val="120"/>
          <w:sz w:val="20"/>
        </w:rPr>
        <w:t> </w:t>
      </w:r>
      <w:r>
        <w:rPr>
          <w:w w:val="120"/>
          <w:sz w:val="20"/>
        </w:rPr>
        <w:t>posited</w:t>
      </w:r>
    </w:p>
    <w:p>
      <w:pPr>
        <w:pStyle w:val="BodyText"/>
        <w:spacing w:line="235" w:lineRule="auto" w:before="4"/>
        <w:ind w:left="1984" w:right="1634"/>
      </w:pPr>
      <w:r>
        <w:rPr>
          <w:w w:val="120"/>
        </w:rPr>
        <w:t>by the Baby Milk Action campaign and the response by Nestlé management . The Methodist Church has already engaged in this type of analysis based on in-depth engagement with the key stakeholders culminating in the release of their statement on Nestlé on the 25</w:t>
      </w:r>
      <w:r>
        <w:rPr>
          <w:w w:val="120"/>
          <w:position w:val="7"/>
          <w:sz w:val="11"/>
        </w:rPr>
        <w:t>th </w:t>
      </w:r>
      <w:r>
        <w:rPr>
          <w:w w:val="120"/>
        </w:rPr>
        <w:t>November 2005 alluded to in point 3 above. The briefing note</w:t>
      </w:r>
    </w:p>
    <w:p>
      <w:pPr>
        <w:pStyle w:val="BodyText"/>
        <w:spacing w:line="235" w:lineRule="auto" w:before="3"/>
        <w:ind w:left="1984" w:right="1120"/>
      </w:pPr>
      <w:r>
        <w:rPr>
          <w:w w:val="120"/>
        </w:rPr>
        <w:t>from the Central Finance Board and reports on this process are well documented on the Methodist Church website by following this link </w:t>
      </w:r>
      <w:hyperlink r:id="rId237">
        <w:r>
          <w:rPr>
            <w:w w:val="120"/>
          </w:rPr>
          <w:t>http://www.methodist.org.uk/index.</w:t>
        </w:r>
      </w:hyperlink>
      <w:r>
        <w:rPr>
          <w:w w:val="120"/>
        </w:rPr>
        <w:t> cfm?fuseaction=opentoworld.content&amp;cmid=1826</w:t>
      </w:r>
    </w:p>
    <w:p>
      <w:pPr>
        <w:pStyle w:val="BodyText"/>
        <w:spacing w:before="5"/>
      </w:pPr>
    </w:p>
    <w:p>
      <w:pPr>
        <w:pStyle w:val="ListParagraph"/>
        <w:numPr>
          <w:ilvl w:val="2"/>
          <w:numId w:val="117"/>
        </w:numPr>
        <w:tabs>
          <w:tab w:pos="2664" w:val="left" w:leader="none"/>
          <w:tab w:pos="2665" w:val="left" w:leader="none"/>
        </w:tabs>
        <w:spacing w:line="225" w:lineRule="auto" w:before="0" w:after="0"/>
        <w:ind w:left="1984" w:right="1144" w:firstLine="0"/>
        <w:jc w:val="left"/>
        <w:rPr>
          <w:rFonts w:ascii="Stone Sans II ITC Std Bk" w:hAnsi="Stone Sans II ITC Std Bk"/>
          <w:b/>
          <w:i/>
          <w:sz w:val="20"/>
        </w:rPr>
      </w:pPr>
      <w:r>
        <w:rPr>
          <w:w w:val="120"/>
          <w:sz w:val="20"/>
        </w:rPr>
        <w:t>Rather, this briefing paper seeks to assess Nestlé’s current marketing practices and compliance to international codes based on the criteria outlined in the revised Ethical Investment</w:t>
      </w:r>
      <w:r>
        <w:rPr>
          <w:spacing w:val="-12"/>
          <w:w w:val="120"/>
          <w:sz w:val="20"/>
        </w:rPr>
        <w:t> </w:t>
      </w:r>
      <w:r>
        <w:rPr>
          <w:w w:val="120"/>
          <w:sz w:val="20"/>
        </w:rPr>
        <w:t>Policy</w:t>
      </w:r>
      <w:r>
        <w:rPr>
          <w:spacing w:val="-13"/>
          <w:w w:val="120"/>
          <w:sz w:val="20"/>
        </w:rPr>
        <w:t> </w:t>
      </w:r>
      <w:r>
        <w:rPr>
          <w:w w:val="120"/>
          <w:sz w:val="20"/>
        </w:rPr>
        <w:t>of</w:t>
      </w:r>
      <w:r>
        <w:rPr>
          <w:spacing w:val="-12"/>
          <w:w w:val="120"/>
          <w:sz w:val="20"/>
        </w:rPr>
        <w:t> </w:t>
      </w:r>
      <w:r>
        <w:rPr>
          <w:w w:val="120"/>
          <w:sz w:val="20"/>
        </w:rPr>
        <w:t>the</w:t>
      </w:r>
      <w:r>
        <w:rPr>
          <w:spacing w:val="-12"/>
          <w:w w:val="120"/>
          <w:sz w:val="20"/>
        </w:rPr>
        <w:t> </w:t>
      </w:r>
      <w:r>
        <w:rPr>
          <w:w w:val="120"/>
          <w:sz w:val="20"/>
        </w:rPr>
        <w:t>URC</w:t>
      </w:r>
      <w:r>
        <w:rPr>
          <w:spacing w:val="-12"/>
          <w:w w:val="120"/>
          <w:sz w:val="20"/>
        </w:rPr>
        <w:t> </w:t>
      </w:r>
      <w:r>
        <w:rPr>
          <w:w w:val="120"/>
          <w:sz w:val="20"/>
        </w:rPr>
        <w:t>–</w:t>
      </w:r>
      <w:r>
        <w:rPr>
          <w:spacing w:val="-12"/>
          <w:w w:val="120"/>
          <w:sz w:val="20"/>
        </w:rPr>
        <w:t> </w:t>
      </w:r>
      <w:r>
        <w:rPr>
          <w:w w:val="120"/>
          <w:sz w:val="20"/>
        </w:rPr>
        <w:t>see</w:t>
      </w:r>
      <w:r>
        <w:rPr>
          <w:spacing w:val="-12"/>
          <w:w w:val="120"/>
          <w:sz w:val="20"/>
        </w:rPr>
        <w:t> </w:t>
      </w:r>
      <w:r>
        <w:rPr>
          <w:rFonts w:ascii="Stone Sans II ITC Std Bk" w:hAnsi="Stone Sans II ITC Std Bk"/>
          <w:b/>
          <w:i/>
          <w:w w:val="120"/>
          <w:sz w:val="20"/>
        </w:rPr>
        <w:t>MC</w:t>
      </w:r>
      <w:r>
        <w:rPr>
          <w:rFonts w:ascii="Stone Sans II ITC Std Bk" w:hAnsi="Stone Sans II ITC Std Bk"/>
          <w:b/>
          <w:i/>
          <w:spacing w:val="-18"/>
          <w:w w:val="120"/>
          <w:sz w:val="20"/>
        </w:rPr>
        <w:t> </w:t>
      </w:r>
      <w:r>
        <w:rPr>
          <w:rFonts w:ascii="Stone Sans II ITC Std Bk" w:hAnsi="Stone Sans II ITC Std Bk"/>
          <w:b/>
          <w:i/>
          <w:w w:val="120"/>
          <w:sz w:val="20"/>
        </w:rPr>
        <w:t>Appendix</w:t>
      </w:r>
      <w:r>
        <w:rPr>
          <w:rFonts w:ascii="Stone Sans II ITC Std Bk" w:hAnsi="Stone Sans II ITC Std Bk"/>
          <w:b/>
          <w:i/>
          <w:spacing w:val="-19"/>
          <w:w w:val="120"/>
          <w:sz w:val="20"/>
        </w:rPr>
        <w:t> </w:t>
      </w:r>
      <w:r>
        <w:rPr>
          <w:rFonts w:ascii="Stone Sans II ITC Std Bk" w:hAnsi="Stone Sans II ITC Std Bk"/>
          <w:b/>
          <w:i/>
          <w:w w:val="120"/>
          <w:sz w:val="20"/>
        </w:rPr>
        <w:t>5,</w:t>
      </w:r>
      <w:r>
        <w:rPr>
          <w:rFonts w:ascii="Stone Sans II ITC Std Bk" w:hAnsi="Stone Sans II ITC Std Bk"/>
          <w:b/>
          <w:i/>
          <w:spacing w:val="-19"/>
          <w:w w:val="120"/>
          <w:sz w:val="20"/>
        </w:rPr>
        <w:t> </w:t>
      </w:r>
      <w:r>
        <w:rPr>
          <w:w w:val="120"/>
          <w:sz w:val="20"/>
        </w:rPr>
        <w:t>the</w:t>
      </w:r>
      <w:r>
        <w:rPr>
          <w:spacing w:val="-12"/>
          <w:w w:val="120"/>
          <w:sz w:val="20"/>
        </w:rPr>
        <w:t> </w:t>
      </w:r>
      <w:r>
        <w:rPr>
          <w:spacing w:val="2"/>
          <w:w w:val="120"/>
          <w:sz w:val="20"/>
        </w:rPr>
        <w:t>draft</w:t>
      </w:r>
      <w:r>
        <w:rPr>
          <w:spacing w:val="-12"/>
          <w:w w:val="120"/>
          <w:sz w:val="20"/>
        </w:rPr>
        <w:t> </w:t>
      </w:r>
      <w:r>
        <w:rPr>
          <w:i/>
          <w:w w:val="120"/>
          <w:sz w:val="20"/>
        </w:rPr>
        <w:t>FTSE4Good</w:t>
      </w:r>
      <w:r>
        <w:rPr>
          <w:i/>
          <w:spacing w:val="-15"/>
          <w:w w:val="120"/>
          <w:sz w:val="20"/>
        </w:rPr>
        <w:t> </w:t>
      </w:r>
      <w:r>
        <w:rPr>
          <w:w w:val="120"/>
          <w:sz w:val="20"/>
        </w:rPr>
        <w:t>inclusion</w:t>
      </w:r>
      <w:r>
        <w:rPr>
          <w:spacing w:val="-12"/>
          <w:w w:val="120"/>
          <w:sz w:val="20"/>
        </w:rPr>
        <w:t> </w:t>
      </w:r>
      <w:r>
        <w:rPr>
          <w:w w:val="120"/>
          <w:sz w:val="20"/>
        </w:rPr>
        <w:t>criteria for marketing of breast-milk substitutes – see </w:t>
      </w:r>
      <w:r>
        <w:rPr>
          <w:rFonts w:ascii="Stone Sans II ITC Std Bk" w:hAnsi="Stone Sans II ITC Std Bk"/>
          <w:b/>
          <w:i/>
          <w:w w:val="120"/>
          <w:sz w:val="20"/>
        </w:rPr>
        <w:t>MC Appendix 8, </w:t>
      </w:r>
      <w:r>
        <w:rPr>
          <w:w w:val="120"/>
          <w:sz w:val="20"/>
        </w:rPr>
        <w:t>and the information provided by the highly respected Ethical Investment Research and Information Service (EIRIS) in their latest company profile on Nestlé on their marketing of breast-milk substitutes – see </w:t>
      </w:r>
      <w:r>
        <w:rPr>
          <w:rFonts w:ascii="Stone Sans II ITC Std Bk" w:hAnsi="Stone Sans II ITC Std Bk"/>
          <w:b/>
          <w:i/>
          <w:w w:val="120"/>
          <w:sz w:val="20"/>
        </w:rPr>
        <w:t>MC Appendix</w:t>
      </w:r>
      <w:r>
        <w:rPr>
          <w:rFonts w:ascii="Stone Sans II ITC Std Bk" w:hAnsi="Stone Sans II ITC Std Bk"/>
          <w:b/>
          <w:i/>
          <w:spacing w:val="-13"/>
          <w:w w:val="120"/>
          <w:sz w:val="20"/>
        </w:rPr>
        <w:t> </w:t>
      </w:r>
      <w:r>
        <w:rPr>
          <w:rFonts w:ascii="Stone Sans II ITC Std Bk" w:hAnsi="Stone Sans II ITC Std Bk"/>
          <w:b/>
          <w:i/>
          <w:spacing w:val="-5"/>
          <w:w w:val="120"/>
          <w:sz w:val="20"/>
        </w:rPr>
        <w:t>9.</w:t>
      </w:r>
    </w:p>
    <w:p>
      <w:pPr>
        <w:numPr>
          <w:ilvl w:val="1"/>
          <w:numId w:val="117"/>
        </w:numPr>
        <w:tabs>
          <w:tab w:pos="2704" w:val="left" w:leader="none"/>
          <w:tab w:pos="2705" w:val="left" w:leader="none"/>
        </w:tabs>
        <w:spacing w:before="206"/>
        <w:ind w:left="2704" w:right="0" w:hanging="721"/>
        <w:jc w:val="left"/>
        <w:rPr>
          <w:rFonts w:ascii="Stone Sans II ITC Std Bk"/>
          <w:b/>
          <w:sz w:val="21"/>
        </w:rPr>
      </w:pPr>
      <w:r>
        <w:rPr>
          <w:rFonts w:ascii="Stone Sans II ITC Std Bk"/>
          <w:b/>
          <w:w w:val="115"/>
          <w:sz w:val="21"/>
        </w:rPr>
        <w:t>Issues considered by Mission</w:t>
      </w:r>
      <w:r>
        <w:rPr>
          <w:rFonts w:ascii="Stone Sans II ITC Std Bk"/>
          <w:b/>
          <w:spacing w:val="-8"/>
          <w:w w:val="115"/>
          <w:sz w:val="21"/>
        </w:rPr>
        <w:t> </w:t>
      </w:r>
      <w:r>
        <w:rPr>
          <w:rFonts w:ascii="Stone Sans II ITC Std Bk"/>
          <w:b/>
          <w:w w:val="115"/>
          <w:sz w:val="21"/>
        </w:rPr>
        <w:t>Council</w:t>
      </w:r>
    </w:p>
    <w:p>
      <w:pPr>
        <w:pStyle w:val="ListParagraph"/>
        <w:numPr>
          <w:ilvl w:val="2"/>
          <w:numId w:val="117"/>
        </w:numPr>
        <w:tabs>
          <w:tab w:pos="2664" w:val="left" w:leader="none"/>
          <w:tab w:pos="2665" w:val="left" w:leader="none"/>
        </w:tabs>
        <w:spacing w:line="235" w:lineRule="auto" w:before="222" w:after="0"/>
        <w:ind w:left="1984" w:right="1143" w:firstLine="0"/>
        <w:jc w:val="left"/>
        <w:rPr>
          <w:sz w:val="20"/>
        </w:rPr>
      </w:pPr>
      <w:r>
        <w:rPr>
          <w:w w:val="120"/>
          <w:sz w:val="20"/>
        </w:rPr>
        <w:t>The following findings and recommendations were considered by Mission Council based on this</w:t>
      </w:r>
      <w:r>
        <w:rPr>
          <w:spacing w:val="5"/>
          <w:w w:val="120"/>
          <w:sz w:val="20"/>
        </w:rPr>
        <w:t> </w:t>
      </w:r>
      <w:r>
        <w:rPr>
          <w:w w:val="120"/>
          <w:sz w:val="20"/>
        </w:rPr>
        <w:t>assessment:</w:t>
      </w:r>
    </w:p>
    <w:p>
      <w:pPr>
        <w:pStyle w:val="BodyText"/>
        <w:rPr>
          <w:sz w:val="22"/>
        </w:rPr>
      </w:pPr>
    </w:p>
    <w:p>
      <w:pPr>
        <w:pStyle w:val="ListParagraph"/>
        <w:numPr>
          <w:ilvl w:val="3"/>
          <w:numId w:val="117"/>
        </w:numPr>
        <w:tabs>
          <w:tab w:pos="2664" w:val="left" w:leader="none"/>
          <w:tab w:pos="2665" w:val="left" w:leader="none"/>
        </w:tabs>
        <w:spacing w:line="201" w:lineRule="auto" w:before="0" w:after="0"/>
        <w:ind w:left="1984" w:right="1538" w:firstLine="0"/>
        <w:jc w:val="left"/>
        <w:rPr>
          <w:sz w:val="20"/>
        </w:rPr>
      </w:pPr>
      <w:r>
        <w:rPr>
          <w:w w:val="120"/>
          <w:sz w:val="20"/>
        </w:rPr>
        <w:t>In terms of the proposed principles for ethical investment for the URC, Nestlé remains in breach of the principle of </w:t>
      </w:r>
      <w:r>
        <w:rPr>
          <w:i/>
          <w:w w:val="120"/>
          <w:sz w:val="20"/>
        </w:rPr>
        <w:t>solidarity</w:t>
      </w:r>
      <w:r>
        <w:rPr>
          <w:w w:val="120"/>
          <w:position w:val="4"/>
          <w:sz w:val="20"/>
        </w:rPr>
        <w:t>1 </w:t>
      </w:r>
      <w:r>
        <w:rPr>
          <w:w w:val="120"/>
          <w:sz w:val="20"/>
        </w:rPr>
        <w:t>based on EIRIS’ recording of a</w:t>
      </w:r>
      <w:r>
        <w:rPr>
          <w:spacing w:val="-32"/>
          <w:w w:val="120"/>
          <w:sz w:val="20"/>
        </w:rPr>
        <w:t> </w:t>
      </w:r>
      <w:r>
        <w:rPr>
          <w:w w:val="120"/>
          <w:sz w:val="20"/>
        </w:rPr>
        <w:t>number</w:t>
      </w:r>
    </w:p>
    <w:p>
      <w:pPr>
        <w:pStyle w:val="BodyText"/>
        <w:spacing w:before="4"/>
        <w:rPr>
          <w:sz w:val="26"/>
        </w:rPr>
      </w:pPr>
      <w:r>
        <w:rPr/>
        <w:pict>
          <v:shape style="position:absolute;margin-left:97.795197pt;margin-top:18.286926pt;width:79.850pt;height:.1pt;mso-position-horizontal-relative:page;mso-position-vertical-relative:paragraph;z-index:-251340800;mso-wrap-distance-left:0;mso-wrap-distance-right:0" coordorigin="1956,366" coordsize="1597,0" path="m1956,366l3552,366e" filled="false" stroked="true" strokeweight=".5pt" strokecolor="#000000">
            <v:path arrowok="t"/>
            <v:stroke dashstyle="solid"/>
            <w10:wrap type="topAndBottom"/>
          </v:shape>
        </w:pict>
      </w:r>
    </w:p>
    <w:p>
      <w:pPr>
        <w:tabs>
          <w:tab w:pos="2409" w:val="left" w:leader="none"/>
        </w:tabs>
        <w:spacing w:before="145"/>
        <w:ind w:left="2409" w:right="1901" w:hanging="454"/>
        <w:jc w:val="left"/>
        <w:rPr>
          <w:sz w:val="18"/>
        </w:rPr>
      </w:pPr>
      <w:r>
        <w:rPr>
          <w:w w:val="120"/>
          <w:sz w:val="18"/>
        </w:rPr>
        <w:t>1</w:t>
        <w:tab/>
        <w:t>Investment decisions on behalf of the URC are to be guided by the biblical principle of solidarity with those who are poor and marginalised and social justice as expressed in Statement 9 of the URC’s </w:t>
      </w:r>
      <w:r>
        <w:rPr>
          <w:i/>
          <w:w w:val="120"/>
          <w:sz w:val="18"/>
        </w:rPr>
        <w:t>vision2020 </w:t>
      </w:r>
      <w:r>
        <w:rPr>
          <w:w w:val="120"/>
          <w:sz w:val="18"/>
        </w:rPr>
        <w:t>Mission</w:t>
      </w:r>
      <w:r>
        <w:rPr>
          <w:spacing w:val="-6"/>
          <w:w w:val="120"/>
          <w:sz w:val="18"/>
        </w:rPr>
        <w:t> </w:t>
      </w:r>
      <w:r>
        <w:rPr>
          <w:w w:val="120"/>
          <w:sz w:val="18"/>
        </w:rPr>
        <w:t>framework.</w:t>
      </w:r>
    </w:p>
    <w:p>
      <w:pPr>
        <w:spacing w:after="0"/>
        <w:jc w:val="left"/>
        <w:rPr>
          <w:sz w:val="18"/>
        </w:rPr>
        <w:sectPr>
          <w:pgSz w:w="11910" w:h="16840"/>
          <w:pgMar w:header="0" w:footer="647" w:top="1060" w:bottom="840" w:left="0" w:right="0"/>
        </w:sectPr>
      </w:pPr>
    </w:p>
    <w:p>
      <w:pPr>
        <w:pStyle w:val="BodyText"/>
        <w:spacing w:line="235" w:lineRule="auto" w:before="107"/>
        <w:ind w:left="1133" w:right="2394"/>
      </w:pPr>
      <w:r>
        <w:rPr/>
        <w:pict>
          <v:rect style="position:absolute;margin-left:12.047pt;margin-top:8.477343pt;width:22.677pt;height:22.677pt;mso-position-horizontal-relative:page;mso-position-vertical-relative:paragraph;z-index:251978752" filled="true" fillcolor="#f9e9c1" stroked="false">
            <v:fill opacity="32768f" type="solid"/>
            <w10:wrap type="none"/>
          </v:rect>
        </w:pict>
      </w:r>
      <w:r>
        <w:rPr>
          <w:w w:val="120"/>
        </w:rPr>
        <w:t>of instances where Nestlé has been found to be in partial compliance with, or total   or</w:t>
      </w:r>
      <w:r>
        <w:rPr>
          <w:spacing w:val="-4"/>
          <w:w w:val="120"/>
        </w:rPr>
        <w:t> </w:t>
      </w:r>
      <w:r>
        <w:rPr>
          <w:w w:val="120"/>
        </w:rPr>
        <w:t>substantial</w:t>
      </w:r>
      <w:r>
        <w:rPr>
          <w:spacing w:val="-4"/>
          <w:w w:val="120"/>
        </w:rPr>
        <w:t> </w:t>
      </w:r>
      <w:r>
        <w:rPr>
          <w:w w:val="120"/>
        </w:rPr>
        <w:t>violation</w:t>
      </w:r>
      <w:r>
        <w:rPr>
          <w:spacing w:val="-4"/>
          <w:w w:val="120"/>
        </w:rPr>
        <w:t> </w:t>
      </w:r>
      <w:r>
        <w:rPr>
          <w:w w:val="120"/>
        </w:rPr>
        <w:t>of</w:t>
      </w:r>
      <w:r>
        <w:rPr>
          <w:spacing w:val="-4"/>
          <w:w w:val="120"/>
        </w:rPr>
        <w:t> </w:t>
      </w:r>
      <w:r>
        <w:rPr>
          <w:w w:val="120"/>
        </w:rPr>
        <w:t>the</w:t>
      </w:r>
      <w:r>
        <w:rPr>
          <w:spacing w:val="-4"/>
          <w:w w:val="120"/>
        </w:rPr>
        <w:t> </w:t>
      </w:r>
      <w:r>
        <w:rPr>
          <w:w w:val="120"/>
        </w:rPr>
        <w:t>International</w:t>
      </w:r>
      <w:r>
        <w:rPr>
          <w:spacing w:val="-4"/>
          <w:w w:val="120"/>
        </w:rPr>
        <w:t> </w:t>
      </w:r>
      <w:r>
        <w:rPr>
          <w:w w:val="120"/>
        </w:rPr>
        <w:t>Code</w:t>
      </w:r>
      <w:r>
        <w:rPr>
          <w:spacing w:val="-4"/>
          <w:w w:val="120"/>
        </w:rPr>
        <w:t> </w:t>
      </w:r>
      <w:r>
        <w:rPr>
          <w:w w:val="120"/>
        </w:rPr>
        <w:t>of</w:t>
      </w:r>
      <w:r>
        <w:rPr>
          <w:spacing w:val="-4"/>
          <w:w w:val="120"/>
        </w:rPr>
        <w:t> </w:t>
      </w:r>
      <w:r>
        <w:rPr>
          <w:w w:val="120"/>
        </w:rPr>
        <w:t>Marketing</w:t>
      </w:r>
      <w:r>
        <w:rPr>
          <w:spacing w:val="-4"/>
          <w:w w:val="120"/>
        </w:rPr>
        <w:t> </w:t>
      </w:r>
      <w:r>
        <w:rPr>
          <w:w w:val="120"/>
        </w:rPr>
        <w:t>Breast-Milk</w:t>
      </w:r>
      <w:r>
        <w:rPr>
          <w:spacing w:val="-4"/>
          <w:w w:val="120"/>
        </w:rPr>
        <w:t> </w:t>
      </w:r>
      <w:r>
        <w:rPr>
          <w:w w:val="120"/>
        </w:rPr>
        <w:t>Substitutes in developing countries – particularly those countries which have a UNDP Human Development Index (HDI) of less than 0.5 The countries concerned are as</w:t>
      </w:r>
      <w:r>
        <w:rPr>
          <w:spacing w:val="10"/>
          <w:w w:val="120"/>
        </w:rPr>
        <w:t> </w:t>
      </w:r>
      <w:r>
        <w:rPr>
          <w:w w:val="120"/>
        </w:rPr>
        <w:t>follows:</w:t>
      </w:r>
    </w:p>
    <w:p>
      <w:pPr>
        <w:pStyle w:val="BodyText"/>
        <w:spacing w:line="235" w:lineRule="auto" w:before="3"/>
        <w:ind w:left="1133" w:right="1997"/>
      </w:pPr>
      <w:r>
        <w:rPr>
          <w:w w:val="120"/>
        </w:rPr>
        <w:t>HDI of less than 0.5 (but more than 0.25) – Angola, Cote d’Ivoire, Guinea, Mozambique, Niger, Nigeria and Senegal.</w:t>
      </w:r>
    </w:p>
    <w:p>
      <w:pPr>
        <w:pStyle w:val="BodyText"/>
        <w:spacing w:before="9"/>
        <w:rPr>
          <w:sz w:val="19"/>
        </w:rPr>
      </w:pPr>
    </w:p>
    <w:p>
      <w:pPr>
        <w:pStyle w:val="ListParagraph"/>
        <w:numPr>
          <w:ilvl w:val="3"/>
          <w:numId w:val="117"/>
        </w:numPr>
        <w:tabs>
          <w:tab w:pos="1814" w:val="left" w:leader="none"/>
          <w:tab w:pos="1815" w:val="left" w:leader="none"/>
        </w:tabs>
        <w:spacing w:line="235" w:lineRule="auto" w:before="1" w:after="0"/>
        <w:ind w:left="1133" w:right="2069" w:firstLine="0"/>
        <w:jc w:val="left"/>
        <w:rPr>
          <w:sz w:val="20"/>
        </w:rPr>
      </w:pPr>
      <w:r>
        <w:rPr>
          <w:w w:val="120"/>
          <w:sz w:val="20"/>
        </w:rPr>
        <w:t>However, EIRIS notes that Nestlé demonstrates systems for investigating and responding in a timely manner to alleged non-compliance reported by governmental bodies, professional groups, institutions, NGOs or other individuals from outside the company – in response to IBFAN’s 2007 Breaking the Rules report, Nestlé has produced  a report: Nestlé Investigation of Reported Non-Compliance with the International Code of</w:t>
      </w:r>
      <w:r>
        <w:rPr>
          <w:spacing w:val="-4"/>
          <w:w w:val="120"/>
          <w:sz w:val="20"/>
        </w:rPr>
        <w:t> </w:t>
      </w:r>
      <w:r>
        <w:rPr>
          <w:w w:val="120"/>
          <w:sz w:val="20"/>
        </w:rPr>
        <w:t>Marketing</w:t>
      </w:r>
      <w:r>
        <w:rPr>
          <w:spacing w:val="-4"/>
          <w:w w:val="120"/>
          <w:sz w:val="20"/>
        </w:rPr>
        <w:t> </w:t>
      </w:r>
      <w:r>
        <w:rPr>
          <w:w w:val="120"/>
          <w:sz w:val="20"/>
        </w:rPr>
        <w:t>of</w:t>
      </w:r>
      <w:r>
        <w:rPr>
          <w:spacing w:val="-3"/>
          <w:w w:val="120"/>
          <w:sz w:val="20"/>
        </w:rPr>
        <w:t> </w:t>
      </w:r>
      <w:r>
        <w:rPr>
          <w:w w:val="120"/>
          <w:sz w:val="20"/>
        </w:rPr>
        <w:t>Breast-milk</w:t>
      </w:r>
      <w:r>
        <w:rPr>
          <w:spacing w:val="-4"/>
          <w:w w:val="120"/>
          <w:sz w:val="20"/>
        </w:rPr>
        <w:t> </w:t>
      </w:r>
      <w:r>
        <w:rPr>
          <w:w w:val="120"/>
          <w:sz w:val="20"/>
        </w:rPr>
        <w:t>Substitutes.</w:t>
      </w:r>
      <w:r>
        <w:rPr>
          <w:spacing w:val="-4"/>
          <w:w w:val="120"/>
          <w:sz w:val="20"/>
        </w:rPr>
        <w:t> </w:t>
      </w:r>
      <w:r>
        <w:rPr>
          <w:w w:val="120"/>
          <w:sz w:val="20"/>
        </w:rPr>
        <w:t>This</w:t>
      </w:r>
      <w:r>
        <w:rPr>
          <w:spacing w:val="-3"/>
          <w:w w:val="120"/>
          <w:sz w:val="20"/>
        </w:rPr>
        <w:t> </w:t>
      </w:r>
      <w:r>
        <w:rPr>
          <w:w w:val="120"/>
          <w:sz w:val="20"/>
        </w:rPr>
        <w:t>lists</w:t>
      </w:r>
      <w:r>
        <w:rPr>
          <w:spacing w:val="-4"/>
          <w:w w:val="120"/>
          <w:sz w:val="20"/>
        </w:rPr>
        <w:t> </w:t>
      </w:r>
      <w:r>
        <w:rPr>
          <w:w w:val="120"/>
          <w:sz w:val="20"/>
        </w:rPr>
        <w:t>the</w:t>
      </w:r>
      <w:r>
        <w:rPr>
          <w:spacing w:val="-4"/>
          <w:w w:val="120"/>
          <w:sz w:val="20"/>
        </w:rPr>
        <w:t> </w:t>
      </w:r>
      <w:r>
        <w:rPr>
          <w:w w:val="120"/>
          <w:sz w:val="20"/>
        </w:rPr>
        <w:t>allegations</w:t>
      </w:r>
      <w:r>
        <w:rPr>
          <w:spacing w:val="-3"/>
          <w:w w:val="120"/>
          <w:sz w:val="20"/>
        </w:rPr>
        <w:t> </w:t>
      </w:r>
      <w:r>
        <w:rPr>
          <w:w w:val="120"/>
          <w:sz w:val="20"/>
        </w:rPr>
        <w:t>and</w:t>
      </w:r>
      <w:r>
        <w:rPr>
          <w:spacing w:val="-4"/>
          <w:w w:val="120"/>
          <w:sz w:val="20"/>
        </w:rPr>
        <w:t> </w:t>
      </w:r>
      <w:r>
        <w:rPr>
          <w:w w:val="120"/>
          <w:sz w:val="20"/>
        </w:rPr>
        <w:t>Nestlé’s</w:t>
      </w:r>
      <w:r>
        <w:rPr>
          <w:spacing w:val="-4"/>
          <w:w w:val="120"/>
          <w:sz w:val="20"/>
        </w:rPr>
        <w:t> </w:t>
      </w:r>
      <w:r>
        <w:rPr>
          <w:w w:val="120"/>
          <w:sz w:val="20"/>
        </w:rPr>
        <w:t>response</w:t>
      </w:r>
      <w:r>
        <w:rPr>
          <w:spacing w:val="-3"/>
          <w:w w:val="120"/>
          <w:sz w:val="20"/>
        </w:rPr>
        <w:t> </w:t>
      </w:r>
      <w:r>
        <w:rPr>
          <w:w w:val="120"/>
          <w:sz w:val="20"/>
        </w:rPr>
        <w:t>to them. In addition, the company has indicated that queries and allegations from NGOs and other external sources are routinely investigated and responded </w:t>
      </w:r>
      <w:r>
        <w:rPr>
          <w:spacing w:val="-3"/>
          <w:w w:val="120"/>
          <w:sz w:val="20"/>
        </w:rPr>
        <w:t>to, </w:t>
      </w:r>
      <w:r>
        <w:rPr>
          <w:w w:val="120"/>
          <w:sz w:val="20"/>
        </w:rPr>
        <w:t>both at country level and at headquarters</w:t>
      </w:r>
      <w:r>
        <w:rPr>
          <w:spacing w:val="7"/>
          <w:w w:val="120"/>
          <w:sz w:val="20"/>
        </w:rPr>
        <w:t> </w:t>
      </w:r>
      <w:r>
        <w:rPr>
          <w:w w:val="120"/>
          <w:sz w:val="20"/>
        </w:rPr>
        <w:t>level.</w:t>
      </w:r>
    </w:p>
    <w:p>
      <w:pPr>
        <w:pStyle w:val="BodyText"/>
        <w:spacing w:before="6"/>
      </w:pPr>
    </w:p>
    <w:p>
      <w:pPr>
        <w:pStyle w:val="ListParagraph"/>
        <w:numPr>
          <w:ilvl w:val="3"/>
          <w:numId w:val="117"/>
        </w:numPr>
        <w:tabs>
          <w:tab w:pos="1814" w:val="left" w:leader="none"/>
          <w:tab w:pos="1815" w:val="left" w:leader="none"/>
        </w:tabs>
        <w:spacing w:line="230" w:lineRule="auto" w:before="0" w:after="0"/>
        <w:ind w:left="1133" w:right="2079" w:firstLine="0"/>
        <w:jc w:val="left"/>
        <w:rPr>
          <w:sz w:val="20"/>
        </w:rPr>
      </w:pPr>
      <w:r>
        <w:rPr>
          <w:w w:val="115"/>
          <w:sz w:val="20"/>
        </w:rPr>
        <w:t>Nestlé is rated as having a high exposure to the issue of marketing of breast-milk substitutes by EIRIS based on estimates that  the  company  derives  </w:t>
      </w:r>
      <w:r>
        <w:rPr>
          <w:spacing w:val="-3"/>
          <w:w w:val="115"/>
          <w:sz w:val="20"/>
        </w:rPr>
        <w:t>£750m  </w:t>
      </w:r>
      <w:r>
        <w:rPr>
          <w:w w:val="115"/>
          <w:sz w:val="20"/>
        </w:rPr>
        <w:t>of  turnover from breast-milk substitutes i.e. </w:t>
      </w:r>
      <w:r>
        <w:rPr>
          <w:spacing w:val="-4"/>
          <w:w w:val="115"/>
          <w:sz w:val="20"/>
        </w:rPr>
        <w:t>2.9  </w:t>
      </w:r>
      <w:r>
        <w:rPr>
          <w:w w:val="115"/>
          <w:sz w:val="20"/>
        </w:rPr>
        <w:t>% of total turnover. It is assessed as </w:t>
      </w:r>
      <w:r>
        <w:rPr>
          <w:rFonts w:ascii="Stone Sans II ITC Std Bk" w:hAnsi="Stone Sans II ITC Std Bk"/>
          <w:b/>
          <w:i/>
          <w:w w:val="115"/>
          <w:sz w:val="20"/>
        </w:rPr>
        <w:t>inter-mediate     </w:t>
      </w:r>
      <w:r>
        <w:rPr>
          <w:w w:val="115"/>
          <w:sz w:val="20"/>
        </w:rPr>
        <w:t>by EIRIS based on the </w:t>
      </w:r>
      <w:r>
        <w:rPr>
          <w:spacing w:val="2"/>
          <w:w w:val="115"/>
          <w:sz w:val="20"/>
        </w:rPr>
        <w:t>fact </w:t>
      </w:r>
      <w:r>
        <w:rPr>
          <w:w w:val="115"/>
          <w:sz w:val="20"/>
        </w:rPr>
        <w:t>that ‘</w:t>
      </w:r>
      <w:r>
        <w:rPr>
          <w:i/>
          <w:w w:val="115"/>
          <w:sz w:val="20"/>
        </w:rPr>
        <w:t>the Company has the policy and management systems </w:t>
      </w:r>
      <w:r>
        <w:rPr>
          <w:i/>
          <w:w w:val="115"/>
          <w:sz w:val="20"/>
        </w:rPr>
        <w:t>elements</w:t>
      </w:r>
      <w:r>
        <w:rPr>
          <w:i/>
          <w:spacing w:val="-20"/>
          <w:w w:val="115"/>
          <w:sz w:val="20"/>
        </w:rPr>
        <w:t> </w:t>
      </w:r>
      <w:r>
        <w:rPr>
          <w:i/>
          <w:w w:val="115"/>
          <w:sz w:val="20"/>
        </w:rPr>
        <w:t>in</w:t>
      </w:r>
      <w:r>
        <w:rPr>
          <w:i/>
          <w:spacing w:val="-20"/>
          <w:w w:val="115"/>
          <w:sz w:val="20"/>
        </w:rPr>
        <w:t> </w:t>
      </w:r>
      <w:r>
        <w:rPr>
          <w:i/>
          <w:w w:val="115"/>
          <w:sz w:val="20"/>
        </w:rPr>
        <w:t>place</w:t>
      </w:r>
      <w:r>
        <w:rPr>
          <w:i/>
          <w:spacing w:val="-19"/>
          <w:w w:val="115"/>
          <w:sz w:val="20"/>
        </w:rPr>
        <w:t> </w:t>
      </w:r>
      <w:r>
        <w:rPr>
          <w:i/>
          <w:w w:val="115"/>
          <w:sz w:val="20"/>
        </w:rPr>
        <w:t>required</w:t>
      </w:r>
      <w:r>
        <w:rPr>
          <w:i/>
          <w:spacing w:val="-20"/>
          <w:w w:val="115"/>
          <w:sz w:val="20"/>
        </w:rPr>
        <w:t> </w:t>
      </w:r>
      <w:r>
        <w:rPr>
          <w:i/>
          <w:w w:val="115"/>
          <w:sz w:val="20"/>
        </w:rPr>
        <w:t>for</w:t>
      </w:r>
      <w:r>
        <w:rPr>
          <w:i/>
          <w:spacing w:val="-20"/>
          <w:w w:val="115"/>
          <w:sz w:val="20"/>
        </w:rPr>
        <w:t> </w:t>
      </w:r>
      <w:r>
        <w:rPr>
          <w:i/>
          <w:w w:val="115"/>
          <w:sz w:val="20"/>
        </w:rPr>
        <w:t>an</w:t>
      </w:r>
      <w:r>
        <w:rPr>
          <w:i/>
          <w:spacing w:val="-19"/>
          <w:w w:val="115"/>
          <w:sz w:val="20"/>
        </w:rPr>
        <w:t> </w:t>
      </w:r>
      <w:r>
        <w:rPr>
          <w:i/>
          <w:w w:val="115"/>
          <w:sz w:val="20"/>
        </w:rPr>
        <w:t>assessment</w:t>
      </w:r>
      <w:r>
        <w:rPr>
          <w:i/>
          <w:spacing w:val="-20"/>
          <w:w w:val="115"/>
          <w:sz w:val="20"/>
        </w:rPr>
        <w:t> </w:t>
      </w:r>
      <w:r>
        <w:rPr>
          <w:i/>
          <w:w w:val="115"/>
          <w:sz w:val="20"/>
        </w:rPr>
        <w:t>of</w:t>
      </w:r>
      <w:r>
        <w:rPr>
          <w:i/>
          <w:spacing w:val="-19"/>
          <w:w w:val="115"/>
          <w:sz w:val="20"/>
        </w:rPr>
        <w:t> </w:t>
      </w:r>
      <w:r>
        <w:rPr>
          <w:i/>
          <w:spacing w:val="-3"/>
          <w:w w:val="115"/>
          <w:sz w:val="20"/>
        </w:rPr>
        <w:t>‘good’</w:t>
      </w:r>
      <w:r>
        <w:rPr>
          <w:i/>
          <w:spacing w:val="-20"/>
          <w:w w:val="115"/>
          <w:sz w:val="20"/>
        </w:rPr>
        <w:t> </w:t>
      </w:r>
      <w:r>
        <w:rPr>
          <w:i/>
          <w:w w:val="115"/>
          <w:sz w:val="20"/>
        </w:rPr>
        <w:t>but</w:t>
      </w:r>
      <w:r>
        <w:rPr>
          <w:i/>
          <w:spacing w:val="-20"/>
          <w:w w:val="115"/>
          <w:sz w:val="20"/>
        </w:rPr>
        <w:t> </w:t>
      </w:r>
      <w:r>
        <w:rPr>
          <w:i/>
          <w:w w:val="115"/>
          <w:sz w:val="20"/>
        </w:rPr>
        <w:t>as</w:t>
      </w:r>
      <w:r>
        <w:rPr>
          <w:i/>
          <w:spacing w:val="-19"/>
          <w:w w:val="115"/>
          <w:sz w:val="20"/>
        </w:rPr>
        <w:t> </w:t>
      </w:r>
      <w:r>
        <w:rPr>
          <w:i/>
          <w:w w:val="115"/>
          <w:sz w:val="20"/>
        </w:rPr>
        <w:t>the</w:t>
      </w:r>
      <w:r>
        <w:rPr>
          <w:i/>
          <w:spacing w:val="-20"/>
          <w:w w:val="115"/>
          <w:sz w:val="20"/>
        </w:rPr>
        <w:t> </w:t>
      </w:r>
      <w:r>
        <w:rPr>
          <w:i/>
          <w:w w:val="115"/>
          <w:sz w:val="20"/>
        </w:rPr>
        <w:t>Nestlé</w:t>
      </w:r>
      <w:r>
        <w:rPr>
          <w:i/>
          <w:spacing w:val="-19"/>
          <w:w w:val="115"/>
          <w:sz w:val="20"/>
        </w:rPr>
        <w:t> </w:t>
      </w:r>
      <w:r>
        <w:rPr>
          <w:i/>
          <w:w w:val="115"/>
          <w:sz w:val="20"/>
        </w:rPr>
        <w:t>Instructions</w:t>
      </w:r>
      <w:r>
        <w:rPr>
          <w:i/>
          <w:spacing w:val="-20"/>
          <w:w w:val="115"/>
          <w:sz w:val="20"/>
        </w:rPr>
        <w:t> </w:t>
      </w:r>
      <w:r>
        <w:rPr>
          <w:i/>
          <w:w w:val="115"/>
          <w:sz w:val="20"/>
        </w:rPr>
        <w:t>re-interpret certain articles of the WHO Code, the Company is not able to achieve an assessment above </w:t>
      </w:r>
      <w:r>
        <w:rPr>
          <w:i/>
          <w:spacing w:val="-3"/>
          <w:w w:val="115"/>
          <w:sz w:val="20"/>
        </w:rPr>
        <w:t>intermediate.’ </w:t>
      </w:r>
      <w:r>
        <w:rPr>
          <w:w w:val="115"/>
          <w:sz w:val="20"/>
        </w:rPr>
        <w:t>The aspects of the </w:t>
      </w:r>
      <w:r>
        <w:rPr>
          <w:spacing w:val="2"/>
          <w:w w:val="115"/>
          <w:sz w:val="20"/>
        </w:rPr>
        <w:t>WHO </w:t>
      </w:r>
      <w:r>
        <w:rPr>
          <w:w w:val="115"/>
          <w:sz w:val="20"/>
        </w:rPr>
        <w:t>Code which Nestlé re-interprets is summarised in   </w:t>
      </w:r>
      <w:r>
        <w:rPr>
          <w:rFonts w:ascii="Stone Sans II ITC Std Bk" w:hAnsi="Stone Sans II ITC Std Bk"/>
          <w:b/>
          <w:i/>
          <w:w w:val="115"/>
          <w:sz w:val="20"/>
        </w:rPr>
        <w:t>MC Appendix 9 </w:t>
      </w:r>
      <w:r>
        <w:rPr>
          <w:spacing w:val="-4"/>
          <w:w w:val="115"/>
          <w:sz w:val="20"/>
        </w:rPr>
        <w:t>(see </w:t>
      </w:r>
      <w:r>
        <w:rPr>
          <w:w w:val="115"/>
          <w:sz w:val="20"/>
        </w:rPr>
        <w:t>pages</w:t>
      </w:r>
      <w:r>
        <w:rPr>
          <w:spacing w:val="5"/>
          <w:w w:val="115"/>
          <w:sz w:val="20"/>
        </w:rPr>
        <w:t> </w:t>
      </w:r>
      <w:r>
        <w:rPr>
          <w:spacing w:val="-8"/>
          <w:w w:val="115"/>
          <w:sz w:val="20"/>
        </w:rPr>
        <w:t>2-3).</w:t>
      </w:r>
    </w:p>
    <w:p>
      <w:pPr>
        <w:pStyle w:val="BodyText"/>
        <w:spacing w:before="10"/>
        <w:rPr>
          <w:sz w:val="18"/>
        </w:rPr>
      </w:pPr>
    </w:p>
    <w:p>
      <w:pPr>
        <w:pStyle w:val="ListParagraph"/>
        <w:numPr>
          <w:ilvl w:val="3"/>
          <w:numId w:val="117"/>
        </w:numPr>
        <w:tabs>
          <w:tab w:pos="1814" w:val="left" w:leader="none"/>
          <w:tab w:pos="1815" w:val="left" w:leader="none"/>
        </w:tabs>
        <w:spacing w:line="235" w:lineRule="auto" w:before="1" w:after="0"/>
        <w:ind w:left="1133" w:right="2045" w:firstLine="0"/>
        <w:jc w:val="left"/>
        <w:rPr>
          <w:sz w:val="20"/>
        </w:rPr>
      </w:pPr>
      <w:r>
        <w:rPr>
          <w:w w:val="120"/>
          <w:sz w:val="20"/>
        </w:rPr>
        <w:t>Nestlé has responded to EIRIS on these points and has provided an explanation of the differences between the Nestlé Instructions and the equivalent articles of the </w:t>
      </w:r>
      <w:r>
        <w:rPr>
          <w:spacing w:val="2"/>
          <w:w w:val="120"/>
          <w:sz w:val="20"/>
        </w:rPr>
        <w:t>WHO </w:t>
      </w:r>
      <w:r>
        <w:rPr>
          <w:w w:val="120"/>
          <w:sz w:val="20"/>
        </w:rPr>
        <w:t>Code and why it believes its policy is aligned with the </w:t>
      </w:r>
      <w:r>
        <w:rPr>
          <w:spacing w:val="2"/>
          <w:w w:val="120"/>
          <w:sz w:val="20"/>
        </w:rPr>
        <w:t>WHO</w:t>
      </w:r>
      <w:r>
        <w:rPr>
          <w:spacing w:val="53"/>
          <w:w w:val="120"/>
          <w:sz w:val="20"/>
        </w:rPr>
        <w:t> </w:t>
      </w:r>
      <w:r>
        <w:rPr>
          <w:w w:val="120"/>
          <w:sz w:val="20"/>
        </w:rPr>
        <w:t>Code.</w:t>
      </w:r>
    </w:p>
    <w:p>
      <w:pPr>
        <w:pStyle w:val="BodyText"/>
        <w:spacing w:before="10"/>
        <w:rPr>
          <w:sz w:val="19"/>
        </w:rPr>
      </w:pPr>
    </w:p>
    <w:p>
      <w:pPr>
        <w:pStyle w:val="ListParagraph"/>
        <w:numPr>
          <w:ilvl w:val="2"/>
          <w:numId w:val="117"/>
        </w:numPr>
        <w:tabs>
          <w:tab w:pos="1814" w:val="left" w:leader="none"/>
          <w:tab w:pos="1815" w:val="left" w:leader="none"/>
        </w:tabs>
        <w:spacing w:line="235" w:lineRule="auto" w:before="0" w:after="0"/>
        <w:ind w:left="1133" w:right="2074" w:firstLine="0"/>
        <w:jc w:val="left"/>
        <w:rPr>
          <w:i/>
          <w:sz w:val="20"/>
        </w:rPr>
      </w:pPr>
      <w:r>
        <w:rPr>
          <w:w w:val="120"/>
          <w:sz w:val="20"/>
        </w:rPr>
        <w:t>Based on this assessment and the reporting and management systems which Nestlé has put in place to monitor and track alleged violations of the International Code, Mission Council now concurs with the November 2005 statement of JACEI which states that</w:t>
      </w:r>
      <w:r>
        <w:rPr>
          <w:spacing w:val="-30"/>
          <w:w w:val="120"/>
          <w:sz w:val="20"/>
        </w:rPr>
        <w:t> </w:t>
      </w:r>
      <w:r>
        <w:rPr>
          <w:i/>
          <w:w w:val="120"/>
          <w:sz w:val="20"/>
        </w:rPr>
        <w:t>‘whilst</w:t>
      </w:r>
      <w:r>
        <w:rPr>
          <w:i/>
          <w:spacing w:val="-30"/>
          <w:w w:val="120"/>
          <w:sz w:val="20"/>
        </w:rPr>
        <w:t> </w:t>
      </w:r>
      <w:r>
        <w:rPr>
          <w:i/>
          <w:w w:val="120"/>
          <w:sz w:val="20"/>
        </w:rPr>
        <w:t>there</w:t>
      </w:r>
      <w:r>
        <w:rPr>
          <w:i/>
          <w:spacing w:val="-31"/>
          <w:w w:val="120"/>
          <w:sz w:val="20"/>
        </w:rPr>
        <w:t> </w:t>
      </w:r>
      <w:r>
        <w:rPr>
          <w:i/>
          <w:w w:val="120"/>
          <w:sz w:val="20"/>
        </w:rPr>
        <w:t>were</w:t>
      </w:r>
      <w:r>
        <w:rPr>
          <w:i/>
          <w:spacing w:val="-30"/>
          <w:w w:val="120"/>
          <w:sz w:val="20"/>
        </w:rPr>
        <w:t> </w:t>
      </w:r>
      <w:r>
        <w:rPr>
          <w:i/>
          <w:w w:val="120"/>
          <w:sz w:val="20"/>
        </w:rPr>
        <w:t>still</w:t>
      </w:r>
      <w:r>
        <w:rPr>
          <w:i/>
          <w:spacing w:val="-31"/>
          <w:w w:val="120"/>
          <w:sz w:val="20"/>
        </w:rPr>
        <w:t> </w:t>
      </w:r>
      <w:r>
        <w:rPr>
          <w:i/>
          <w:w w:val="120"/>
          <w:sz w:val="20"/>
        </w:rPr>
        <w:t>areas</w:t>
      </w:r>
      <w:r>
        <w:rPr>
          <w:i/>
          <w:spacing w:val="-31"/>
          <w:w w:val="120"/>
          <w:sz w:val="20"/>
        </w:rPr>
        <w:t> </w:t>
      </w:r>
      <w:r>
        <w:rPr>
          <w:i/>
          <w:w w:val="120"/>
          <w:sz w:val="20"/>
        </w:rPr>
        <w:t>of</w:t>
      </w:r>
      <w:r>
        <w:rPr>
          <w:i/>
          <w:spacing w:val="-30"/>
          <w:w w:val="120"/>
          <w:sz w:val="20"/>
        </w:rPr>
        <w:t> </w:t>
      </w:r>
      <w:r>
        <w:rPr>
          <w:i/>
          <w:w w:val="120"/>
          <w:sz w:val="20"/>
        </w:rPr>
        <w:t>ethical</w:t>
      </w:r>
      <w:r>
        <w:rPr>
          <w:i/>
          <w:spacing w:val="-31"/>
          <w:w w:val="120"/>
          <w:sz w:val="20"/>
        </w:rPr>
        <w:t> </w:t>
      </w:r>
      <w:r>
        <w:rPr>
          <w:i/>
          <w:w w:val="120"/>
          <w:sz w:val="20"/>
        </w:rPr>
        <w:t>concern</w:t>
      </w:r>
      <w:r>
        <w:rPr>
          <w:i/>
          <w:spacing w:val="-30"/>
          <w:w w:val="120"/>
          <w:sz w:val="20"/>
        </w:rPr>
        <w:t> </w:t>
      </w:r>
      <w:r>
        <w:rPr>
          <w:i/>
          <w:w w:val="120"/>
          <w:sz w:val="20"/>
        </w:rPr>
        <w:t>relating</w:t>
      </w:r>
      <w:r>
        <w:rPr>
          <w:i/>
          <w:spacing w:val="-31"/>
          <w:w w:val="120"/>
          <w:sz w:val="20"/>
        </w:rPr>
        <w:t> </w:t>
      </w:r>
      <w:r>
        <w:rPr>
          <w:i/>
          <w:w w:val="120"/>
          <w:sz w:val="20"/>
        </w:rPr>
        <w:t>to</w:t>
      </w:r>
      <w:r>
        <w:rPr>
          <w:i/>
          <w:spacing w:val="-30"/>
          <w:w w:val="120"/>
          <w:sz w:val="20"/>
        </w:rPr>
        <w:t> </w:t>
      </w:r>
      <w:r>
        <w:rPr>
          <w:i/>
          <w:w w:val="120"/>
          <w:sz w:val="20"/>
        </w:rPr>
        <w:t>the</w:t>
      </w:r>
      <w:r>
        <w:rPr>
          <w:i/>
          <w:spacing w:val="-31"/>
          <w:w w:val="120"/>
          <w:sz w:val="20"/>
        </w:rPr>
        <w:t> </w:t>
      </w:r>
      <w:r>
        <w:rPr>
          <w:i/>
          <w:w w:val="120"/>
          <w:sz w:val="20"/>
        </w:rPr>
        <w:t>marketing</w:t>
      </w:r>
      <w:r>
        <w:rPr>
          <w:i/>
          <w:spacing w:val="-31"/>
          <w:w w:val="120"/>
          <w:sz w:val="20"/>
        </w:rPr>
        <w:t> </w:t>
      </w:r>
      <w:r>
        <w:rPr>
          <w:i/>
          <w:w w:val="120"/>
          <w:sz w:val="20"/>
        </w:rPr>
        <w:t>and</w:t>
      </w:r>
      <w:r>
        <w:rPr>
          <w:i/>
          <w:spacing w:val="-30"/>
          <w:w w:val="120"/>
          <w:sz w:val="20"/>
        </w:rPr>
        <w:t> </w:t>
      </w:r>
      <w:r>
        <w:rPr>
          <w:i/>
          <w:w w:val="120"/>
          <w:sz w:val="20"/>
        </w:rPr>
        <w:t>promotion</w:t>
      </w:r>
    </w:p>
    <w:p>
      <w:pPr>
        <w:spacing w:line="235" w:lineRule="auto" w:before="3"/>
        <w:ind w:left="1133" w:right="1997" w:firstLine="0"/>
        <w:jc w:val="left"/>
        <w:rPr>
          <w:sz w:val="20"/>
        </w:rPr>
      </w:pPr>
      <w:r>
        <w:rPr>
          <w:i/>
          <w:w w:val="110"/>
          <w:sz w:val="20"/>
        </w:rPr>
        <w:t>of breast milk substitutes, there was no suggestion that the nature of Nestlé’s business was </w:t>
      </w:r>
      <w:r>
        <w:rPr>
          <w:i/>
          <w:w w:val="110"/>
          <w:sz w:val="20"/>
        </w:rPr>
        <w:t>inherently unethical, and there were insufficient reasons to avoid investment on ethical grounds’</w:t>
      </w:r>
      <w:r>
        <w:rPr>
          <w:w w:val="110"/>
          <w:sz w:val="20"/>
        </w:rPr>
        <w:t>.</w:t>
      </w:r>
    </w:p>
    <w:p>
      <w:pPr>
        <w:pStyle w:val="BodyText"/>
      </w:pPr>
    </w:p>
    <w:p>
      <w:pPr>
        <w:pStyle w:val="BodyText"/>
      </w:pPr>
    </w:p>
    <w:p>
      <w:pPr>
        <w:pStyle w:val="BodyText"/>
        <w:spacing w:before="9"/>
        <w:rPr>
          <w:sz w:val="21"/>
        </w:rPr>
      </w:pPr>
      <w:r>
        <w:rPr/>
        <w:pict>
          <v:shape style="position:absolute;margin-left:56.692902pt;margin-top:15.622444pt;width:439.4pt;height:.1pt;mso-position-horizontal-relative:page;mso-position-vertical-relative:paragraph;z-index:-251338752;mso-wrap-distance-left:0;mso-wrap-distance-right:0" coordorigin="1134,312" coordsize="8788,0" path="m1134,312l9921,312e" filled="false" stroked="true" strokeweight=".75pt" strokecolor="#ca4f1b">
            <v:path arrowok="t"/>
            <v:stroke dashstyle="solid"/>
            <w10:wrap type="topAndBottom"/>
          </v:shape>
        </w:pict>
      </w:r>
    </w:p>
    <w:p>
      <w:pPr>
        <w:spacing w:after="0"/>
        <w:rPr>
          <w:sz w:val="21"/>
        </w:rPr>
        <w:sectPr>
          <w:pgSz w:w="11910" w:h="16840"/>
          <w:pgMar w:header="0" w:footer="647" w:top="1060" w:bottom="840" w:left="0" w:right="0"/>
        </w:sectPr>
      </w:pPr>
    </w:p>
    <w:p>
      <w:pPr>
        <w:pStyle w:val="Heading2"/>
        <w:spacing w:before="115"/>
      </w:pPr>
      <w:r>
        <w:rPr/>
        <w:pict>
          <v:rect style="position:absolute;margin-left:558.424988pt;margin-top:8.492283pt;width:22.677pt;height:22.677pt;mso-position-horizontal-relative:page;mso-position-vertical-relative:paragraph;z-index:251979776" filled="true" fillcolor="#f9e9c1" stroked="false">
            <v:fill opacity="32768f" type="solid"/>
            <w10:wrap type="none"/>
          </v:rect>
        </w:pict>
      </w:r>
      <w:r>
        <w:rPr>
          <w:color w:val="CA4F1B"/>
          <w:w w:val="110"/>
        </w:rPr>
        <w:t>Annexe 10</w:t>
      </w:r>
    </w:p>
    <w:p>
      <w:pPr>
        <w:pStyle w:val="Heading6"/>
        <w:spacing w:before="97"/>
        <w:ind w:left="1984"/>
      </w:pPr>
      <w:r>
        <w:rPr>
          <w:w w:val="110"/>
        </w:rPr>
        <w:t>Westminster College Development Plan</w:t>
      </w:r>
    </w:p>
    <w:p>
      <w:pPr>
        <w:pStyle w:val="BodyText"/>
        <w:spacing w:before="3"/>
        <w:rPr>
          <w:rFonts w:ascii="Stone Sans II ITC Std Bk"/>
          <w:b/>
          <w:sz w:val="30"/>
        </w:rPr>
      </w:pPr>
    </w:p>
    <w:p>
      <w:pPr>
        <w:numPr>
          <w:ilvl w:val="0"/>
          <w:numId w:val="119"/>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Introduction</w:t>
      </w:r>
    </w:p>
    <w:p>
      <w:pPr>
        <w:pStyle w:val="ListParagraph"/>
        <w:numPr>
          <w:ilvl w:val="1"/>
          <w:numId w:val="119"/>
        </w:numPr>
        <w:tabs>
          <w:tab w:pos="2664" w:val="left" w:leader="none"/>
          <w:tab w:pos="2665" w:val="left" w:leader="none"/>
        </w:tabs>
        <w:spacing w:line="235" w:lineRule="auto" w:before="222" w:after="0"/>
        <w:ind w:left="1984" w:right="1310" w:hanging="1"/>
        <w:jc w:val="left"/>
        <w:rPr>
          <w:sz w:val="20"/>
        </w:rPr>
      </w:pPr>
      <w:r>
        <w:rPr>
          <w:w w:val="120"/>
          <w:sz w:val="20"/>
        </w:rPr>
        <w:t>In</w:t>
      </w:r>
      <w:r>
        <w:rPr>
          <w:spacing w:val="-9"/>
          <w:w w:val="120"/>
          <w:sz w:val="20"/>
        </w:rPr>
        <w:t> </w:t>
      </w:r>
      <w:r>
        <w:rPr>
          <w:w w:val="120"/>
          <w:sz w:val="20"/>
        </w:rPr>
        <w:t>July</w:t>
      </w:r>
      <w:r>
        <w:rPr>
          <w:spacing w:val="-9"/>
          <w:w w:val="120"/>
          <w:sz w:val="20"/>
        </w:rPr>
        <w:t> </w:t>
      </w:r>
      <w:r>
        <w:rPr>
          <w:w w:val="120"/>
          <w:sz w:val="20"/>
        </w:rPr>
        <w:t>2008</w:t>
      </w:r>
      <w:r>
        <w:rPr>
          <w:spacing w:val="-8"/>
          <w:w w:val="120"/>
          <w:sz w:val="20"/>
        </w:rPr>
        <w:t> </w:t>
      </w:r>
      <w:r>
        <w:rPr>
          <w:w w:val="120"/>
          <w:sz w:val="20"/>
        </w:rPr>
        <w:t>the</w:t>
      </w:r>
      <w:r>
        <w:rPr>
          <w:spacing w:val="-9"/>
          <w:w w:val="120"/>
          <w:sz w:val="20"/>
        </w:rPr>
        <w:t> </w:t>
      </w:r>
      <w:r>
        <w:rPr>
          <w:spacing w:val="-3"/>
          <w:w w:val="120"/>
          <w:sz w:val="20"/>
        </w:rPr>
        <w:t>Westminster</w:t>
      </w:r>
      <w:r>
        <w:rPr>
          <w:spacing w:val="-8"/>
          <w:w w:val="120"/>
          <w:sz w:val="20"/>
        </w:rPr>
        <w:t> </w:t>
      </w:r>
      <w:r>
        <w:rPr>
          <w:w w:val="120"/>
          <w:sz w:val="20"/>
        </w:rPr>
        <w:t>Governors</w:t>
      </w:r>
      <w:r>
        <w:rPr>
          <w:spacing w:val="-9"/>
          <w:w w:val="120"/>
          <w:sz w:val="20"/>
        </w:rPr>
        <w:t> </w:t>
      </w:r>
      <w:r>
        <w:rPr>
          <w:w w:val="120"/>
          <w:sz w:val="20"/>
        </w:rPr>
        <w:t>affirmed</w:t>
      </w:r>
      <w:r>
        <w:rPr>
          <w:spacing w:val="-8"/>
          <w:w w:val="120"/>
          <w:sz w:val="20"/>
        </w:rPr>
        <w:t> </w:t>
      </w:r>
      <w:r>
        <w:rPr>
          <w:w w:val="120"/>
          <w:sz w:val="20"/>
        </w:rPr>
        <w:t>a</w:t>
      </w:r>
      <w:r>
        <w:rPr>
          <w:spacing w:val="-9"/>
          <w:w w:val="120"/>
          <w:sz w:val="20"/>
        </w:rPr>
        <w:t> </w:t>
      </w:r>
      <w:r>
        <w:rPr>
          <w:w w:val="120"/>
          <w:sz w:val="20"/>
        </w:rPr>
        <w:t>document</w:t>
      </w:r>
      <w:r>
        <w:rPr>
          <w:spacing w:val="-8"/>
          <w:w w:val="120"/>
          <w:sz w:val="20"/>
        </w:rPr>
        <w:t> </w:t>
      </w:r>
      <w:r>
        <w:rPr>
          <w:w w:val="120"/>
          <w:sz w:val="20"/>
        </w:rPr>
        <w:t>setting</w:t>
      </w:r>
      <w:r>
        <w:rPr>
          <w:spacing w:val="-9"/>
          <w:w w:val="120"/>
          <w:sz w:val="20"/>
        </w:rPr>
        <w:t> </w:t>
      </w:r>
      <w:r>
        <w:rPr>
          <w:w w:val="120"/>
          <w:sz w:val="20"/>
        </w:rPr>
        <w:t>out</w:t>
      </w:r>
      <w:r>
        <w:rPr>
          <w:spacing w:val="-9"/>
          <w:w w:val="120"/>
          <w:sz w:val="20"/>
        </w:rPr>
        <w:t> </w:t>
      </w:r>
      <w:r>
        <w:rPr>
          <w:w w:val="120"/>
          <w:sz w:val="20"/>
        </w:rPr>
        <w:t>strategic objectives</w:t>
      </w:r>
      <w:r>
        <w:rPr>
          <w:spacing w:val="-5"/>
          <w:w w:val="120"/>
          <w:sz w:val="20"/>
        </w:rPr>
        <w:t> </w:t>
      </w:r>
      <w:r>
        <w:rPr>
          <w:w w:val="120"/>
          <w:sz w:val="20"/>
        </w:rPr>
        <w:t>for</w:t>
      </w:r>
      <w:r>
        <w:rPr>
          <w:spacing w:val="-5"/>
          <w:w w:val="120"/>
          <w:sz w:val="20"/>
        </w:rPr>
        <w:t> </w:t>
      </w:r>
      <w:r>
        <w:rPr>
          <w:spacing w:val="-3"/>
          <w:w w:val="120"/>
          <w:sz w:val="20"/>
        </w:rPr>
        <w:t>Westminster</w:t>
      </w:r>
      <w:r>
        <w:rPr>
          <w:spacing w:val="-4"/>
          <w:w w:val="120"/>
          <w:sz w:val="20"/>
        </w:rPr>
        <w:t> </w:t>
      </w:r>
      <w:r>
        <w:rPr>
          <w:w w:val="120"/>
          <w:sz w:val="20"/>
        </w:rPr>
        <w:t>for</w:t>
      </w:r>
      <w:r>
        <w:rPr>
          <w:spacing w:val="-5"/>
          <w:w w:val="120"/>
          <w:sz w:val="20"/>
        </w:rPr>
        <w:t> </w:t>
      </w:r>
      <w:r>
        <w:rPr>
          <w:w w:val="120"/>
          <w:sz w:val="20"/>
        </w:rPr>
        <w:t>the</w:t>
      </w:r>
      <w:r>
        <w:rPr>
          <w:spacing w:val="-5"/>
          <w:w w:val="120"/>
          <w:sz w:val="20"/>
        </w:rPr>
        <w:t> </w:t>
      </w:r>
      <w:r>
        <w:rPr>
          <w:spacing w:val="-3"/>
          <w:w w:val="120"/>
          <w:sz w:val="20"/>
        </w:rPr>
        <w:t>following</w:t>
      </w:r>
      <w:r>
        <w:rPr>
          <w:spacing w:val="-4"/>
          <w:w w:val="120"/>
          <w:sz w:val="20"/>
        </w:rPr>
        <w:t> </w:t>
      </w:r>
      <w:r>
        <w:rPr>
          <w:w w:val="120"/>
          <w:sz w:val="20"/>
        </w:rPr>
        <w:t>four</w:t>
      </w:r>
      <w:r>
        <w:rPr>
          <w:spacing w:val="-5"/>
          <w:w w:val="120"/>
          <w:sz w:val="20"/>
        </w:rPr>
        <w:t> </w:t>
      </w:r>
      <w:r>
        <w:rPr>
          <w:w w:val="120"/>
          <w:sz w:val="20"/>
        </w:rPr>
        <w:t>years.</w:t>
      </w:r>
      <w:r>
        <w:rPr>
          <w:spacing w:val="-5"/>
          <w:w w:val="120"/>
          <w:sz w:val="20"/>
        </w:rPr>
        <w:t> </w:t>
      </w:r>
      <w:r>
        <w:rPr>
          <w:w w:val="120"/>
          <w:sz w:val="20"/>
        </w:rPr>
        <w:t>That</w:t>
      </w:r>
      <w:r>
        <w:rPr>
          <w:spacing w:val="-4"/>
          <w:w w:val="120"/>
          <w:sz w:val="20"/>
        </w:rPr>
        <w:t> </w:t>
      </w:r>
      <w:r>
        <w:rPr>
          <w:w w:val="120"/>
          <w:sz w:val="20"/>
        </w:rPr>
        <w:t>document</w:t>
      </w:r>
      <w:r>
        <w:rPr>
          <w:spacing w:val="-5"/>
          <w:w w:val="120"/>
          <w:sz w:val="20"/>
        </w:rPr>
        <w:t> </w:t>
      </w:r>
      <w:r>
        <w:rPr>
          <w:w w:val="120"/>
          <w:sz w:val="20"/>
        </w:rPr>
        <w:t>began</w:t>
      </w:r>
      <w:r>
        <w:rPr>
          <w:spacing w:val="-5"/>
          <w:w w:val="120"/>
          <w:sz w:val="20"/>
        </w:rPr>
        <w:t> </w:t>
      </w:r>
      <w:r>
        <w:rPr>
          <w:w w:val="120"/>
          <w:sz w:val="20"/>
        </w:rPr>
        <w:t>with</w:t>
      </w:r>
    </w:p>
    <w:p>
      <w:pPr>
        <w:pStyle w:val="BodyText"/>
        <w:spacing w:line="242" w:lineRule="exact"/>
        <w:ind w:left="1984"/>
      </w:pPr>
      <w:r>
        <w:rPr>
          <w:w w:val="120"/>
        </w:rPr>
        <w:t>these words:</w:t>
      </w:r>
    </w:p>
    <w:p>
      <w:pPr>
        <w:pStyle w:val="BodyText"/>
        <w:spacing w:before="8"/>
        <w:rPr>
          <w:sz w:val="19"/>
        </w:rPr>
      </w:pPr>
    </w:p>
    <w:p>
      <w:pPr>
        <w:pStyle w:val="ListParagraph"/>
        <w:numPr>
          <w:ilvl w:val="1"/>
          <w:numId w:val="119"/>
        </w:numPr>
        <w:tabs>
          <w:tab w:pos="2664" w:val="left" w:leader="none"/>
          <w:tab w:pos="2665" w:val="left" w:leader="none"/>
        </w:tabs>
        <w:spacing w:line="235" w:lineRule="auto" w:before="0" w:after="0"/>
        <w:ind w:left="1984" w:right="1689" w:firstLine="0"/>
        <w:jc w:val="left"/>
        <w:rPr>
          <w:sz w:val="20"/>
        </w:rPr>
      </w:pPr>
      <w:r>
        <w:rPr>
          <w:w w:val="120"/>
          <w:sz w:val="20"/>
        </w:rPr>
        <w:t>‘Westminster College is committed to serving the United Reformed Church and to responding to the challenge our denomination has given us to be a resource centre</w:t>
      </w:r>
      <w:r>
        <w:rPr>
          <w:spacing w:val="4"/>
          <w:w w:val="120"/>
          <w:sz w:val="20"/>
        </w:rPr>
        <w:t> </w:t>
      </w:r>
      <w:r>
        <w:rPr>
          <w:w w:val="120"/>
          <w:sz w:val="20"/>
        </w:rPr>
        <w:t>for</w:t>
      </w:r>
      <w:r>
        <w:rPr>
          <w:spacing w:val="5"/>
          <w:w w:val="120"/>
          <w:sz w:val="20"/>
        </w:rPr>
        <w:t> </w:t>
      </w:r>
      <w:r>
        <w:rPr>
          <w:w w:val="120"/>
          <w:sz w:val="20"/>
        </w:rPr>
        <w:t>the</w:t>
      </w:r>
      <w:r>
        <w:rPr>
          <w:spacing w:val="4"/>
          <w:w w:val="120"/>
          <w:sz w:val="20"/>
        </w:rPr>
        <w:t> </w:t>
      </w:r>
      <w:r>
        <w:rPr>
          <w:w w:val="120"/>
          <w:sz w:val="20"/>
        </w:rPr>
        <w:t>learning</w:t>
      </w:r>
      <w:r>
        <w:rPr>
          <w:spacing w:val="5"/>
          <w:w w:val="120"/>
          <w:sz w:val="20"/>
        </w:rPr>
        <w:t> </w:t>
      </w:r>
      <w:r>
        <w:rPr>
          <w:w w:val="120"/>
          <w:sz w:val="20"/>
        </w:rPr>
        <w:t>of</w:t>
      </w:r>
      <w:r>
        <w:rPr>
          <w:spacing w:val="4"/>
          <w:w w:val="120"/>
          <w:sz w:val="20"/>
        </w:rPr>
        <w:t> </w:t>
      </w:r>
      <w:r>
        <w:rPr>
          <w:w w:val="120"/>
          <w:sz w:val="20"/>
        </w:rPr>
        <w:t>the</w:t>
      </w:r>
      <w:r>
        <w:rPr>
          <w:spacing w:val="5"/>
          <w:w w:val="120"/>
          <w:sz w:val="20"/>
        </w:rPr>
        <w:t> </w:t>
      </w:r>
      <w:r>
        <w:rPr>
          <w:w w:val="120"/>
          <w:sz w:val="20"/>
        </w:rPr>
        <w:t>whole</w:t>
      </w:r>
      <w:r>
        <w:rPr>
          <w:spacing w:val="5"/>
          <w:w w:val="120"/>
          <w:sz w:val="20"/>
        </w:rPr>
        <w:t> </w:t>
      </w:r>
      <w:r>
        <w:rPr>
          <w:w w:val="120"/>
          <w:sz w:val="20"/>
        </w:rPr>
        <w:t>people</w:t>
      </w:r>
      <w:r>
        <w:rPr>
          <w:spacing w:val="4"/>
          <w:w w:val="120"/>
          <w:sz w:val="20"/>
        </w:rPr>
        <w:t> </w:t>
      </w:r>
      <w:r>
        <w:rPr>
          <w:w w:val="120"/>
          <w:sz w:val="20"/>
        </w:rPr>
        <w:t>of</w:t>
      </w:r>
      <w:r>
        <w:rPr>
          <w:spacing w:val="5"/>
          <w:w w:val="120"/>
          <w:sz w:val="20"/>
        </w:rPr>
        <w:t> </w:t>
      </w:r>
      <w:r>
        <w:rPr>
          <w:w w:val="120"/>
          <w:sz w:val="20"/>
        </w:rPr>
        <w:t>God.</w:t>
      </w:r>
      <w:r>
        <w:rPr>
          <w:spacing w:val="4"/>
          <w:w w:val="120"/>
          <w:sz w:val="20"/>
        </w:rPr>
        <w:t> </w:t>
      </w:r>
      <w:r>
        <w:rPr>
          <w:w w:val="120"/>
          <w:sz w:val="20"/>
        </w:rPr>
        <w:t>We</w:t>
      </w:r>
      <w:r>
        <w:rPr>
          <w:spacing w:val="5"/>
          <w:w w:val="120"/>
          <w:sz w:val="20"/>
        </w:rPr>
        <w:t> </w:t>
      </w:r>
      <w:r>
        <w:rPr>
          <w:w w:val="120"/>
          <w:sz w:val="20"/>
        </w:rPr>
        <w:t>will</w:t>
      </w:r>
      <w:r>
        <w:rPr>
          <w:spacing w:val="5"/>
          <w:w w:val="120"/>
          <w:sz w:val="20"/>
        </w:rPr>
        <w:t> </w:t>
      </w:r>
      <w:r>
        <w:rPr>
          <w:w w:val="120"/>
          <w:sz w:val="20"/>
        </w:rPr>
        <w:t>need</w:t>
      </w:r>
      <w:r>
        <w:rPr>
          <w:spacing w:val="4"/>
          <w:w w:val="120"/>
          <w:sz w:val="20"/>
        </w:rPr>
        <w:t> </w:t>
      </w:r>
      <w:r>
        <w:rPr>
          <w:w w:val="120"/>
          <w:sz w:val="20"/>
        </w:rPr>
        <w:t>to</w:t>
      </w:r>
      <w:r>
        <w:rPr>
          <w:spacing w:val="5"/>
          <w:w w:val="120"/>
          <w:sz w:val="20"/>
        </w:rPr>
        <w:t> </w:t>
      </w:r>
      <w:r>
        <w:rPr>
          <w:w w:val="120"/>
          <w:sz w:val="20"/>
        </w:rPr>
        <w:t>do</w:t>
      </w:r>
      <w:r>
        <w:rPr>
          <w:spacing w:val="4"/>
          <w:w w:val="120"/>
          <w:sz w:val="20"/>
        </w:rPr>
        <w:t> </w:t>
      </w:r>
      <w:r>
        <w:rPr>
          <w:w w:val="120"/>
          <w:sz w:val="20"/>
        </w:rPr>
        <w:t>this</w:t>
      </w:r>
      <w:r>
        <w:rPr>
          <w:spacing w:val="5"/>
          <w:w w:val="120"/>
          <w:sz w:val="20"/>
        </w:rPr>
        <w:t> </w:t>
      </w:r>
      <w:r>
        <w:rPr>
          <w:w w:val="120"/>
          <w:sz w:val="20"/>
        </w:rPr>
        <w:t>in</w:t>
      </w:r>
      <w:r>
        <w:rPr>
          <w:spacing w:val="5"/>
          <w:w w:val="120"/>
          <w:sz w:val="20"/>
        </w:rPr>
        <w:t> </w:t>
      </w:r>
      <w:r>
        <w:rPr>
          <w:w w:val="120"/>
          <w:sz w:val="20"/>
        </w:rPr>
        <w:t>new</w:t>
      </w:r>
    </w:p>
    <w:p>
      <w:pPr>
        <w:pStyle w:val="BodyText"/>
        <w:spacing w:line="235" w:lineRule="auto" w:before="2"/>
        <w:ind w:left="1984" w:right="1287"/>
      </w:pPr>
      <w:r>
        <w:rPr>
          <w:w w:val="120"/>
        </w:rPr>
        <w:t>ways and we have been given freedom and encouragement to be imaginative. We have many resources already. We are </w:t>
      </w:r>
      <w:r>
        <w:rPr>
          <w:spacing w:val="2"/>
          <w:w w:val="120"/>
        </w:rPr>
        <w:t>part </w:t>
      </w:r>
      <w:r>
        <w:rPr>
          <w:w w:val="120"/>
        </w:rPr>
        <w:t>of an ecumenical partnership in the Cambridge Theological Federation through which we also have a partnership with two universities in Cambridge. We have excellent teaching and support staff. We have a wide and now more dispersed and diverse community of those who learn through Westminster. We belong to several significant networks: denominational, confessional, ecumenical and international. We have a physical site and building with chapel, library, meeting space, accommodation, catering and hospitality, and</w:t>
      </w:r>
      <w:r>
        <w:rPr>
          <w:spacing w:val="15"/>
          <w:w w:val="120"/>
        </w:rPr>
        <w:t> </w:t>
      </w:r>
      <w:r>
        <w:rPr>
          <w:w w:val="120"/>
        </w:rPr>
        <w:t>grounds.</w:t>
      </w:r>
    </w:p>
    <w:p>
      <w:pPr>
        <w:pStyle w:val="BodyText"/>
        <w:spacing w:before="1"/>
      </w:pPr>
    </w:p>
    <w:p>
      <w:pPr>
        <w:pStyle w:val="ListParagraph"/>
        <w:numPr>
          <w:ilvl w:val="1"/>
          <w:numId w:val="119"/>
        </w:numPr>
        <w:tabs>
          <w:tab w:pos="2664" w:val="left" w:leader="none"/>
          <w:tab w:pos="2665" w:val="left" w:leader="none"/>
        </w:tabs>
        <w:spacing w:line="235" w:lineRule="auto" w:before="1" w:after="0"/>
        <w:ind w:left="1984" w:right="1202" w:firstLine="0"/>
        <w:jc w:val="left"/>
        <w:rPr>
          <w:sz w:val="20"/>
        </w:rPr>
      </w:pPr>
      <w:r>
        <w:rPr>
          <w:w w:val="120"/>
          <w:sz w:val="20"/>
        </w:rPr>
        <w:t>‘We need to resist being bound by the building we have inherited and we need   to develop Westminster as an intentionally diverse and dispersed community which has  a meaning beyond these walls. We need to test the practicability of making this building work for a renewed purpose. We must be realistic and business-like about this, and be prepared to be visionary about new possibilities for our late-Victorian</w:t>
      </w:r>
      <w:r>
        <w:rPr>
          <w:spacing w:val="46"/>
          <w:w w:val="120"/>
          <w:sz w:val="20"/>
        </w:rPr>
        <w:t> </w:t>
      </w:r>
      <w:r>
        <w:rPr>
          <w:spacing w:val="-3"/>
          <w:w w:val="120"/>
          <w:sz w:val="20"/>
        </w:rPr>
        <w:t>building’.</w:t>
      </w:r>
    </w:p>
    <w:p>
      <w:pPr>
        <w:pStyle w:val="BodyText"/>
        <w:spacing w:before="11"/>
        <w:rPr>
          <w:sz w:val="19"/>
        </w:rPr>
      </w:pPr>
    </w:p>
    <w:p>
      <w:pPr>
        <w:pStyle w:val="ListParagraph"/>
        <w:numPr>
          <w:ilvl w:val="1"/>
          <w:numId w:val="119"/>
        </w:numPr>
        <w:tabs>
          <w:tab w:pos="2664" w:val="left" w:leader="none"/>
          <w:tab w:pos="2665" w:val="left" w:leader="none"/>
        </w:tabs>
        <w:spacing w:line="235" w:lineRule="auto" w:before="0" w:after="0"/>
        <w:ind w:left="1984" w:right="1519" w:firstLine="0"/>
        <w:jc w:val="left"/>
        <w:rPr>
          <w:sz w:val="20"/>
        </w:rPr>
      </w:pPr>
      <w:r>
        <w:rPr>
          <w:w w:val="120"/>
          <w:sz w:val="20"/>
        </w:rPr>
        <w:t>The Management Committee was given the task of thinking about how the  site</w:t>
      </w:r>
      <w:r>
        <w:rPr>
          <w:spacing w:val="5"/>
          <w:w w:val="120"/>
          <w:sz w:val="20"/>
        </w:rPr>
        <w:t> </w:t>
      </w:r>
      <w:r>
        <w:rPr>
          <w:w w:val="120"/>
          <w:sz w:val="20"/>
        </w:rPr>
        <w:t>and</w:t>
      </w:r>
      <w:r>
        <w:rPr>
          <w:spacing w:val="5"/>
          <w:w w:val="120"/>
          <w:sz w:val="20"/>
        </w:rPr>
        <w:t> </w:t>
      </w:r>
      <w:r>
        <w:rPr>
          <w:w w:val="120"/>
          <w:sz w:val="20"/>
        </w:rPr>
        <w:t>buildings</w:t>
      </w:r>
      <w:r>
        <w:rPr>
          <w:spacing w:val="6"/>
          <w:w w:val="120"/>
          <w:sz w:val="20"/>
        </w:rPr>
        <w:t> </w:t>
      </w:r>
      <w:r>
        <w:rPr>
          <w:w w:val="120"/>
          <w:sz w:val="20"/>
        </w:rPr>
        <w:t>of</w:t>
      </w:r>
      <w:r>
        <w:rPr>
          <w:spacing w:val="5"/>
          <w:w w:val="120"/>
          <w:sz w:val="20"/>
        </w:rPr>
        <w:t> </w:t>
      </w:r>
      <w:r>
        <w:rPr>
          <w:w w:val="120"/>
          <w:sz w:val="20"/>
        </w:rPr>
        <w:t>Westminster</w:t>
      </w:r>
      <w:r>
        <w:rPr>
          <w:spacing w:val="6"/>
          <w:w w:val="120"/>
          <w:sz w:val="20"/>
        </w:rPr>
        <w:t> </w:t>
      </w:r>
      <w:r>
        <w:rPr>
          <w:w w:val="120"/>
          <w:sz w:val="20"/>
        </w:rPr>
        <w:t>might</w:t>
      </w:r>
      <w:r>
        <w:rPr>
          <w:spacing w:val="5"/>
          <w:w w:val="120"/>
          <w:sz w:val="20"/>
        </w:rPr>
        <w:t> </w:t>
      </w:r>
      <w:r>
        <w:rPr>
          <w:w w:val="120"/>
          <w:sz w:val="20"/>
        </w:rPr>
        <w:t>be</w:t>
      </w:r>
      <w:r>
        <w:rPr>
          <w:spacing w:val="6"/>
          <w:w w:val="120"/>
          <w:sz w:val="20"/>
        </w:rPr>
        <w:t> </w:t>
      </w:r>
      <w:r>
        <w:rPr>
          <w:w w:val="120"/>
          <w:sz w:val="20"/>
        </w:rPr>
        <w:t>renewed</w:t>
      </w:r>
      <w:r>
        <w:rPr>
          <w:spacing w:val="5"/>
          <w:w w:val="120"/>
          <w:sz w:val="20"/>
        </w:rPr>
        <w:t> </w:t>
      </w:r>
      <w:r>
        <w:rPr>
          <w:w w:val="120"/>
          <w:sz w:val="20"/>
        </w:rPr>
        <w:t>and</w:t>
      </w:r>
      <w:r>
        <w:rPr>
          <w:spacing w:val="6"/>
          <w:w w:val="120"/>
          <w:sz w:val="20"/>
        </w:rPr>
        <w:t> </w:t>
      </w:r>
      <w:r>
        <w:rPr>
          <w:w w:val="120"/>
          <w:sz w:val="20"/>
        </w:rPr>
        <w:t>redeveloped</w:t>
      </w:r>
      <w:r>
        <w:rPr>
          <w:spacing w:val="5"/>
          <w:w w:val="120"/>
          <w:sz w:val="20"/>
        </w:rPr>
        <w:t> </w:t>
      </w:r>
      <w:r>
        <w:rPr>
          <w:w w:val="120"/>
          <w:sz w:val="20"/>
        </w:rPr>
        <w:t>to</w:t>
      </w:r>
      <w:r>
        <w:rPr>
          <w:spacing w:val="6"/>
          <w:w w:val="120"/>
          <w:sz w:val="20"/>
        </w:rPr>
        <w:t> </w:t>
      </w:r>
      <w:r>
        <w:rPr>
          <w:w w:val="120"/>
          <w:sz w:val="20"/>
        </w:rPr>
        <w:t>serve</w:t>
      </w:r>
      <w:r>
        <w:rPr>
          <w:spacing w:val="5"/>
          <w:w w:val="120"/>
          <w:sz w:val="20"/>
        </w:rPr>
        <w:t> </w:t>
      </w:r>
      <w:r>
        <w:rPr>
          <w:w w:val="120"/>
          <w:sz w:val="20"/>
        </w:rPr>
        <w:t>a</w:t>
      </w:r>
      <w:r>
        <w:rPr>
          <w:spacing w:val="6"/>
          <w:w w:val="120"/>
          <w:sz w:val="20"/>
        </w:rPr>
        <w:t> </w:t>
      </w:r>
      <w:r>
        <w:rPr>
          <w:w w:val="120"/>
          <w:sz w:val="20"/>
        </w:rPr>
        <w:t>new</w:t>
      </w:r>
    </w:p>
    <w:p>
      <w:pPr>
        <w:pStyle w:val="BodyText"/>
        <w:spacing w:line="235" w:lineRule="auto" w:before="2"/>
        <w:ind w:left="1984" w:right="1271"/>
      </w:pPr>
      <w:r>
        <w:rPr>
          <w:w w:val="120"/>
        </w:rPr>
        <w:t>purpose. In November 2008 the committee presented an interim strategic plan for the future of the Westminster buildings. There was wide consultation among governors,   staff and students and a design brief, based on this consultation, was given to our architect. Our plans have also been shared in outline with our partners in the Cambridge Theological Federation, who have given us their support and</w:t>
      </w:r>
      <w:r>
        <w:rPr>
          <w:spacing w:val="51"/>
          <w:w w:val="120"/>
        </w:rPr>
        <w:t> </w:t>
      </w:r>
      <w:r>
        <w:rPr>
          <w:w w:val="120"/>
        </w:rPr>
        <w:t>encouragement.</w:t>
      </w:r>
    </w:p>
    <w:p>
      <w:pPr>
        <w:pStyle w:val="BodyText"/>
        <w:spacing w:before="11"/>
        <w:rPr>
          <w:sz w:val="19"/>
        </w:rPr>
      </w:pPr>
    </w:p>
    <w:p>
      <w:pPr>
        <w:pStyle w:val="ListParagraph"/>
        <w:numPr>
          <w:ilvl w:val="1"/>
          <w:numId w:val="119"/>
        </w:numPr>
        <w:tabs>
          <w:tab w:pos="2664" w:val="left" w:leader="none"/>
          <w:tab w:pos="2665" w:val="left" w:leader="none"/>
        </w:tabs>
        <w:spacing w:line="235" w:lineRule="auto" w:before="0" w:after="0"/>
        <w:ind w:left="1984" w:right="1387" w:firstLine="0"/>
        <w:jc w:val="left"/>
        <w:rPr>
          <w:sz w:val="20"/>
        </w:rPr>
      </w:pPr>
      <w:r>
        <w:rPr>
          <w:w w:val="120"/>
          <w:sz w:val="20"/>
        </w:rPr>
        <w:t>In June 2009 the architect presented his proposals for the development of Westminster (based on the design brief) to the governors and it received their general approval. The plans were then refined in the light of further suggestions by governors and others. In November a full development plan was submitted to the governors, including drawn plans, a quantity surveyors’ </w:t>
      </w:r>
      <w:r>
        <w:rPr>
          <w:spacing w:val="2"/>
          <w:w w:val="120"/>
          <w:sz w:val="20"/>
        </w:rPr>
        <w:t>report </w:t>
      </w:r>
      <w:r>
        <w:rPr>
          <w:w w:val="120"/>
          <w:sz w:val="20"/>
        </w:rPr>
        <w:t>giving an estimated order of cost, and </w:t>
      </w:r>
      <w:r>
        <w:rPr>
          <w:spacing w:val="2"/>
          <w:w w:val="120"/>
          <w:sz w:val="20"/>
        </w:rPr>
        <w:t>reports </w:t>
      </w:r>
      <w:r>
        <w:rPr>
          <w:w w:val="120"/>
          <w:sz w:val="20"/>
        </w:rPr>
        <w:t>by structural and building services</w:t>
      </w:r>
      <w:r>
        <w:rPr>
          <w:spacing w:val="21"/>
          <w:w w:val="120"/>
          <w:sz w:val="20"/>
        </w:rPr>
        <w:t> </w:t>
      </w:r>
      <w:r>
        <w:rPr>
          <w:w w:val="120"/>
          <w:sz w:val="20"/>
        </w:rPr>
        <w:t>engineers.</w:t>
      </w:r>
    </w:p>
    <w:p>
      <w:pPr>
        <w:pStyle w:val="BodyText"/>
      </w:pPr>
    </w:p>
    <w:p>
      <w:pPr>
        <w:pStyle w:val="ListParagraph"/>
        <w:numPr>
          <w:ilvl w:val="1"/>
          <w:numId w:val="119"/>
        </w:numPr>
        <w:tabs>
          <w:tab w:pos="2664" w:val="left" w:leader="none"/>
          <w:tab w:pos="2665" w:val="left" w:leader="none"/>
        </w:tabs>
        <w:spacing w:line="235" w:lineRule="auto" w:before="0" w:after="0"/>
        <w:ind w:left="1984" w:right="1658" w:firstLine="0"/>
        <w:jc w:val="left"/>
        <w:rPr>
          <w:sz w:val="20"/>
        </w:rPr>
      </w:pPr>
      <w:r>
        <w:rPr>
          <w:w w:val="120"/>
          <w:sz w:val="20"/>
        </w:rPr>
        <w:t>The governors approved the development plan and decided that, provided funding could be obtained, it should be implemented as a single project (subject to appropriate</w:t>
      </w:r>
      <w:r>
        <w:rPr>
          <w:spacing w:val="2"/>
          <w:w w:val="120"/>
          <w:sz w:val="20"/>
        </w:rPr>
        <w:t> </w:t>
      </w:r>
      <w:r>
        <w:rPr>
          <w:w w:val="120"/>
          <w:sz w:val="20"/>
        </w:rPr>
        <w:t>phasing).</w:t>
      </w:r>
    </w:p>
    <w:p>
      <w:pPr>
        <w:pStyle w:val="BodyText"/>
        <w:spacing w:before="10"/>
        <w:rPr>
          <w:sz w:val="19"/>
        </w:rPr>
      </w:pPr>
    </w:p>
    <w:p>
      <w:pPr>
        <w:pStyle w:val="ListParagraph"/>
        <w:numPr>
          <w:ilvl w:val="1"/>
          <w:numId w:val="119"/>
        </w:numPr>
        <w:tabs>
          <w:tab w:pos="2664" w:val="left" w:leader="none"/>
          <w:tab w:pos="2665" w:val="left" w:leader="none"/>
        </w:tabs>
        <w:spacing w:line="235" w:lineRule="auto" w:before="1" w:after="0"/>
        <w:ind w:left="1984" w:right="1165" w:firstLine="0"/>
        <w:jc w:val="left"/>
        <w:rPr>
          <w:sz w:val="20"/>
        </w:rPr>
      </w:pPr>
      <w:r>
        <w:rPr>
          <w:w w:val="120"/>
          <w:sz w:val="20"/>
        </w:rPr>
        <w:t>After careful consideration of the advantages and disadvantages of doing so, the governors also decided to instruct the architect to complete and submit the requisite planning application without further </w:t>
      </w:r>
      <w:r>
        <w:rPr>
          <w:spacing w:val="-3"/>
          <w:w w:val="120"/>
          <w:sz w:val="20"/>
        </w:rPr>
        <w:t>delay. </w:t>
      </w:r>
      <w:r>
        <w:rPr>
          <w:w w:val="120"/>
          <w:sz w:val="20"/>
        </w:rPr>
        <w:t>Amongst the reasons for reaching this decision was the view that planning approval would establish the project’s feasibility; we were also advised that an early planning application would reduce exposure to changing planning regulations and consequential cost</w:t>
      </w:r>
      <w:r>
        <w:rPr>
          <w:spacing w:val="12"/>
          <w:w w:val="120"/>
          <w:sz w:val="20"/>
        </w:rPr>
        <w:t> </w:t>
      </w:r>
      <w:r>
        <w:rPr>
          <w:w w:val="120"/>
          <w:sz w:val="20"/>
        </w:rPr>
        <w:t>increases.</w:t>
      </w:r>
    </w:p>
    <w:p>
      <w:pPr>
        <w:pStyle w:val="BodyText"/>
        <w:spacing w:before="8"/>
        <w:rPr>
          <w:sz w:val="19"/>
        </w:rPr>
      </w:pPr>
    </w:p>
    <w:p>
      <w:pPr>
        <w:pStyle w:val="ListParagraph"/>
        <w:numPr>
          <w:ilvl w:val="1"/>
          <w:numId w:val="119"/>
        </w:numPr>
        <w:tabs>
          <w:tab w:pos="2664" w:val="left" w:leader="none"/>
          <w:tab w:pos="2665" w:val="left" w:leader="none"/>
        </w:tabs>
        <w:spacing w:line="228" w:lineRule="exact" w:before="0" w:after="0"/>
        <w:ind w:left="2664" w:right="0" w:hanging="681"/>
        <w:jc w:val="left"/>
        <w:rPr>
          <w:sz w:val="20"/>
        </w:rPr>
      </w:pPr>
      <w:r>
        <w:rPr>
          <w:w w:val="120"/>
          <w:sz w:val="20"/>
        </w:rPr>
        <w:t>This</w:t>
      </w:r>
      <w:r>
        <w:rPr>
          <w:spacing w:val="2"/>
          <w:w w:val="120"/>
          <w:sz w:val="20"/>
        </w:rPr>
        <w:t> </w:t>
      </w:r>
      <w:r>
        <w:rPr>
          <w:w w:val="120"/>
          <w:sz w:val="20"/>
        </w:rPr>
        <w:t>report:</w:t>
      </w:r>
    </w:p>
    <w:p>
      <w:pPr>
        <w:pStyle w:val="ListParagraph"/>
        <w:numPr>
          <w:ilvl w:val="0"/>
          <w:numId w:val="120"/>
        </w:numPr>
        <w:tabs>
          <w:tab w:pos="2664" w:val="left" w:leader="none"/>
          <w:tab w:pos="2665" w:val="left" w:leader="none"/>
        </w:tabs>
        <w:spacing w:line="264" w:lineRule="exact" w:before="0" w:after="0"/>
        <w:ind w:left="2664" w:right="0" w:hanging="681"/>
        <w:jc w:val="left"/>
        <w:rPr>
          <w:sz w:val="20"/>
        </w:rPr>
      </w:pPr>
      <w:r>
        <w:rPr>
          <w:w w:val="120"/>
          <w:sz w:val="20"/>
        </w:rPr>
        <w:t>summarises the strategic aims of the Development</w:t>
      </w:r>
      <w:r>
        <w:rPr>
          <w:spacing w:val="11"/>
          <w:w w:val="120"/>
          <w:sz w:val="20"/>
        </w:rPr>
        <w:t> </w:t>
      </w:r>
      <w:r>
        <w:rPr>
          <w:w w:val="120"/>
          <w:sz w:val="20"/>
        </w:rPr>
        <w:t>Plan;</w:t>
      </w:r>
    </w:p>
    <w:p>
      <w:pPr>
        <w:pStyle w:val="ListParagraph"/>
        <w:numPr>
          <w:ilvl w:val="0"/>
          <w:numId w:val="120"/>
        </w:numPr>
        <w:tabs>
          <w:tab w:pos="2664" w:val="left" w:leader="none"/>
          <w:tab w:pos="2665" w:val="left" w:leader="none"/>
        </w:tabs>
        <w:spacing w:line="240" w:lineRule="exact" w:before="0" w:after="0"/>
        <w:ind w:left="2664" w:right="0" w:hanging="681"/>
        <w:jc w:val="left"/>
        <w:rPr>
          <w:sz w:val="20"/>
        </w:rPr>
      </w:pPr>
      <w:r>
        <w:rPr>
          <w:w w:val="120"/>
          <w:sz w:val="20"/>
        </w:rPr>
        <w:t>sets out the </w:t>
      </w:r>
      <w:r>
        <w:rPr>
          <w:spacing w:val="-3"/>
          <w:w w:val="120"/>
          <w:sz w:val="20"/>
        </w:rPr>
        <w:t>plan’s </w:t>
      </w:r>
      <w:r>
        <w:rPr>
          <w:w w:val="120"/>
          <w:sz w:val="20"/>
        </w:rPr>
        <w:t>key design features and the estimated order of costs;</w:t>
      </w:r>
      <w:r>
        <w:rPr>
          <w:spacing w:val="20"/>
          <w:w w:val="120"/>
          <w:sz w:val="20"/>
        </w:rPr>
        <w:t> </w:t>
      </w:r>
      <w:r>
        <w:rPr>
          <w:w w:val="120"/>
          <w:sz w:val="20"/>
        </w:rPr>
        <w:t>and</w:t>
      </w:r>
    </w:p>
    <w:p>
      <w:pPr>
        <w:pStyle w:val="ListParagraph"/>
        <w:numPr>
          <w:ilvl w:val="0"/>
          <w:numId w:val="120"/>
        </w:numPr>
        <w:tabs>
          <w:tab w:pos="2664" w:val="left" w:leader="none"/>
          <w:tab w:pos="2665" w:val="left" w:leader="none"/>
        </w:tabs>
        <w:spacing w:line="281" w:lineRule="exact" w:before="0" w:after="0"/>
        <w:ind w:left="2664" w:right="0" w:hanging="681"/>
        <w:jc w:val="left"/>
        <w:rPr>
          <w:sz w:val="20"/>
        </w:rPr>
      </w:pPr>
      <w:r>
        <w:rPr>
          <w:w w:val="120"/>
          <w:sz w:val="20"/>
        </w:rPr>
        <w:t>considers the steps that should be taken to seek the necessary capital</w:t>
      </w:r>
      <w:r>
        <w:rPr>
          <w:spacing w:val="24"/>
          <w:w w:val="120"/>
          <w:sz w:val="20"/>
        </w:rPr>
        <w:t> </w:t>
      </w:r>
      <w:r>
        <w:rPr>
          <w:w w:val="120"/>
          <w:sz w:val="20"/>
        </w:rPr>
        <w:t>funding.</w:t>
      </w:r>
    </w:p>
    <w:p>
      <w:pPr>
        <w:spacing w:after="0" w:line="281" w:lineRule="exact"/>
        <w:jc w:val="left"/>
        <w:rPr>
          <w:sz w:val="20"/>
        </w:rPr>
        <w:sectPr>
          <w:pgSz w:w="11910" w:h="16840"/>
          <w:pgMar w:header="0" w:footer="647" w:top="1060" w:bottom="840" w:left="0" w:right="0"/>
        </w:sectPr>
      </w:pPr>
    </w:p>
    <w:p>
      <w:pPr>
        <w:numPr>
          <w:ilvl w:val="0"/>
          <w:numId w:val="119"/>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1980800" filled="true" fillcolor="#f9e9c1" stroked="false">
            <v:fill opacity="32768f" type="solid"/>
            <w10:wrap type="none"/>
          </v:rect>
        </w:pict>
      </w:r>
      <w:r>
        <w:rPr>
          <w:rFonts w:ascii="Stone Sans II ITC Std Bk"/>
          <w:b/>
          <w:w w:val="115"/>
          <w:sz w:val="21"/>
        </w:rPr>
        <w:t>Strategic</w:t>
      </w:r>
      <w:r>
        <w:rPr>
          <w:rFonts w:ascii="Stone Sans II ITC Std Bk"/>
          <w:b/>
          <w:spacing w:val="-2"/>
          <w:w w:val="115"/>
          <w:sz w:val="21"/>
        </w:rPr>
        <w:t> </w:t>
      </w:r>
      <w:r>
        <w:rPr>
          <w:rFonts w:ascii="Stone Sans II ITC Std Bk"/>
          <w:b/>
          <w:w w:val="115"/>
          <w:sz w:val="21"/>
        </w:rPr>
        <w:t>aims</w:t>
      </w:r>
    </w:p>
    <w:p>
      <w:pPr>
        <w:pStyle w:val="ListParagraph"/>
        <w:numPr>
          <w:ilvl w:val="1"/>
          <w:numId w:val="119"/>
        </w:numPr>
        <w:tabs>
          <w:tab w:pos="1814" w:val="left" w:leader="none"/>
          <w:tab w:pos="1815" w:val="left" w:leader="none"/>
        </w:tabs>
        <w:spacing w:line="235" w:lineRule="auto" w:before="223" w:after="0"/>
        <w:ind w:left="1133" w:right="2045" w:firstLine="0"/>
        <w:jc w:val="left"/>
        <w:rPr>
          <w:sz w:val="20"/>
        </w:rPr>
      </w:pPr>
      <w:r>
        <w:rPr>
          <w:w w:val="120"/>
          <w:sz w:val="20"/>
        </w:rPr>
        <w:t>For the future, and in order to fulfil our purpose as a Resource Centre for Learning within the United Reformed Church, we have the following strategic</w:t>
      </w:r>
      <w:r>
        <w:rPr>
          <w:spacing w:val="32"/>
          <w:w w:val="120"/>
          <w:sz w:val="20"/>
        </w:rPr>
        <w:t> </w:t>
      </w:r>
      <w:r>
        <w:rPr>
          <w:w w:val="120"/>
          <w:sz w:val="20"/>
        </w:rPr>
        <w:t>aims.</w:t>
      </w:r>
    </w:p>
    <w:p>
      <w:pPr>
        <w:pStyle w:val="BodyText"/>
        <w:spacing w:before="9"/>
        <w:rPr>
          <w:sz w:val="19"/>
        </w:rPr>
      </w:pPr>
    </w:p>
    <w:p>
      <w:pPr>
        <w:pStyle w:val="ListParagraph"/>
        <w:numPr>
          <w:ilvl w:val="1"/>
          <w:numId w:val="119"/>
        </w:numPr>
        <w:tabs>
          <w:tab w:pos="1814" w:val="left" w:leader="none"/>
          <w:tab w:pos="1815" w:val="left" w:leader="none"/>
        </w:tabs>
        <w:spacing w:line="235" w:lineRule="auto" w:before="0" w:after="0"/>
        <w:ind w:left="1133" w:right="2069" w:firstLine="0"/>
        <w:jc w:val="left"/>
        <w:rPr>
          <w:sz w:val="20"/>
        </w:rPr>
      </w:pPr>
      <w:r>
        <w:rPr>
          <w:w w:val="120"/>
          <w:sz w:val="20"/>
        </w:rPr>
        <w:t>We want to make Westminster a centre for learning, prayer, meeting and hospitality for a wide range of people within the United Reformed Church. This needs    to be done both by Westminster staff going out into the churches and communities where people invite us, but also by providing a welcoming, well-resourced place here in Cambridge for people to come to </w:t>
      </w:r>
      <w:r>
        <w:rPr>
          <w:spacing w:val="-3"/>
          <w:w w:val="120"/>
          <w:sz w:val="20"/>
        </w:rPr>
        <w:t>pray, </w:t>
      </w:r>
      <w:r>
        <w:rPr>
          <w:w w:val="120"/>
          <w:sz w:val="20"/>
        </w:rPr>
        <w:t>to meet, and to</w:t>
      </w:r>
      <w:r>
        <w:rPr>
          <w:spacing w:val="37"/>
          <w:w w:val="120"/>
          <w:sz w:val="20"/>
        </w:rPr>
        <w:t> </w:t>
      </w:r>
      <w:r>
        <w:rPr>
          <w:w w:val="120"/>
          <w:sz w:val="20"/>
        </w:rPr>
        <w:t>learn.</w:t>
      </w:r>
    </w:p>
    <w:p>
      <w:pPr>
        <w:pStyle w:val="BodyText"/>
        <w:spacing w:before="12"/>
        <w:rPr>
          <w:sz w:val="19"/>
        </w:rPr>
      </w:pPr>
    </w:p>
    <w:p>
      <w:pPr>
        <w:pStyle w:val="ListParagraph"/>
        <w:numPr>
          <w:ilvl w:val="1"/>
          <w:numId w:val="119"/>
        </w:numPr>
        <w:tabs>
          <w:tab w:pos="1814" w:val="left" w:leader="none"/>
          <w:tab w:pos="1815" w:val="left" w:leader="none"/>
        </w:tabs>
        <w:spacing w:line="235" w:lineRule="auto" w:before="0" w:after="0"/>
        <w:ind w:left="1133" w:right="2245" w:firstLine="0"/>
        <w:jc w:val="left"/>
        <w:rPr>
          <w:sz w:val="20"/>
        </w:rPr>
      </w:pPr>
      <w:r>
        <w:rPr>
          <w:w w:val="120"/>
          <w:sz w:val="20"/>
        </w:rPr>
        <w:t>We want Westminster to continue to play a full </w:t>
      </w:r>
      <w:r>
        <w:rPr>
          <w:spacing w:val="2"/>
          <w:w w:val="120"/>
          <w:sz w:val="20"/>
        </w:rPr>
        <w:t>part </w:t>
      </w:r>
      <w:r>
        <w:rPr>
          <w:w w:val="120"/>
          <w:sz w:val="20"/>
        </w:rPr>
        <w:t>in the life of the Cambridge Theological Federation, contributing teachers, teaching space and facilities, as we in turn receive these things for our own students from other</w:t>
      </w:r>
      <w:r>
        <w:rPr>
          <w:spacing w:val="17"/>
          <w:w w:val="120"/>
          <w:sz w:val="20"/>
        </w:rPr>
        <w:t> </w:t>
      </w:r>
      <w:r>
        <w:rPr>
          <w:w w:val="120"/>
          <w:sz w:val="20"/>
        </w:rPr>
        <w:t>partners.</w:t>
      </w:r>
    </w:p>
    <w:p>
      <w:pPr>
        <w:pStyle w:val="BodyText"/>
        <w:spacing w:before="10"/>
        <w:rPr>
          <w:sz w:val="19"/>
        </w:rPr>
      </w:pPr>
    </w:p>
    <w:p>
      <w:pPr>
        <w:pStyle w:val="ListParagraph"/>
        <w:numPr>
          <w:ilvl w:val="1"/>
          <w:numId w:val="119"/>
        </w:numPr>
        <w:tabs>
          <w:tab w:pos="1814" w:val="left" w:leader="none"/>
          <w:tab w:pos="1815" w:val="left" w:leader="none"/>
        </w:tabs>
        <w:spacing w:line="235" w:lineRule="auto" w:before="0" w:after="0"/>
        <w:ind w:left="1133" w:right="2773" w:firstLine="0"/>
        <w:jc w:val="left"/>
        <w:rPr>
          <w:sz w:val="20"/>
        </w:rPr>
      </w:pPr>
      <w:r>
        <w:rPr>
          <w:w w:val="120"/>
          <w:sz w:val="20"/>
        </w:rPr>
        <w:t>We </w:t>
      </w:r>
      <w:r>
        <w:rPr>
          <w:spacing w:val="2"/>
          <w:w w:val="120"/>
          <w:sz w:val="20"/>
        </w:rPr>
        <w:t>therefore need </w:t>
      </w:r>
      <w:r>
        <w:rPr>
          <w:w w:val="120"/>
          <w:sz w:val="20"/>
        </w:rPr>
        <w:t>to make the building a place which </w:t>
      </w:r>
      <w:r>
        <w:rPr>
          <w:spacing w:val="2"/>
          <w:w w:val="120"/>
          <w:sz w:val="20"/>
        </w:rPr>
        <w:t>fits </w:t>
      </w:r>
      <w:r>
        <w:rPr>
          <w:w w:val="120"/>
          <w:sz w:val="20"/>
        </w:rPr>
        <w:t>the </w:t>
      </w:r>
      <w:r>
        <w:rPr>
          <w:spacing w:val="2"/>
          <w:w w:val="120"/>
          <w:sz w:val="20"/>
        </w:rPr>
        <w:t>purpose  </w:t>
      </w:r>
      <w:r>
        <w:rPr>
          <w:w w:val="120"/>
          <w:sz w:val="20"/>
        </w:rPr>
        <w:t>we believe it has within our Church and within the </w:t>
      </w:r>
      <w:r>
        <w:rPr>
          <w:spacing w:val="2"/>
          <w:w w:val="120"/>
          <w:sz w:val="20"/>
        </w:rPr>
        <w:t>Federation. </w:t>
      </w:r>
      <w:r>
        <w:rPr>
          <w:w w:val="120"/>
          <w:sz w:val="20"/>
        </w:rPr>
        <w:t>It needs to offer appropriate</w:t>
      </w:r>
      <w:r>
        <w:rPr>
          <w:spacing w:val="22"/>
          <w:w w:val="120"/>
          <w:sz w:val="20"/>
        </w:rPr>
        <w:t> </w:t>
      </w:r>
      <w:r>
        <w:rPr>
          <w:spacing w:val="2"/>
          <w:w w:val="120"/>
          <w:sz w:val="20"/>
        </w:rPr>
        <w:t>meeting</w:t>
      </w:r>
      <w:r>
        <w:rPr>
          <w:spacing w:val="23"/>
          <w:w w:val="120"/>
          <w:sz w:val="20"/>
        </w:rPr>
        <w:t> </w:t>
      </w:r>
      <w:r>
        <w:rPr>
          <w:w w:val="120"/>
          <w:sz w:val="20"/>
        </w:rPr>
        <w:t>and</w:t>
      </w:r>
      <w:r>
        <w:rPr>
          <w:spacing w:val="23"/>
          <w:w w:val="120"/>
          <w:sz w:val="20"/>
        </w:rPr>
        <w:t> </w:t>
      </w:r>
      <w:r>
        <w:rPr>
          <w:w w:val="120"/>
          <w:sz w:val="20"/>
        </w:rPr>
        <w:t>teaching</w:t>
      </w:r>
      <w:r>
        <w:rPr>
          <w:spacing w:val="23"/>
          <w:w w:val="120"/>
          <w:sz w:val="20"/>
        </w:rPr>
        <w:t> </w:t>
      </w:r>
      <w:r>
        <w:rPr>
          <w:w w:val="120"/>
          <w:sz w:val="20"/>
        </w:rPr>
        <w:t>spaces:</w:t>
      </w:r>
      <w:r>
        <w:rPr>
          <w:spacing w:val="23"/>
          <w:w w:val="120"/>
          <w:sz w:val="20"/>
        </w:rPr>
        <w:t> </w:t>
      </w:r>
      <w:r>
        <w:rPr>
          <w:spacing w:val="2"/>
          <w:w w:val="120"/>
          <w:sz w:val="20"/>
        </w:rPr>
        <w:t>beautiful,</w:t>
      </w:r>
      <w:r>
        <w:rPr>
          <w:spacing w:val="23"/>
          <w:w w:val="120"/>
          <w:sz w:val="20"/>
        </w:rPr>
        <w:t> </w:t>
      </w:r>
      <w:r>
        <w:rPr>
          <w:w w:val="120"/>
          <w:sz w:val="20"/>
        </w:rPr>
        <w:t>uncluttered,</w:t>
      </w:r>
      <w:r>
        <w:rPr>
          <w:spacing w:val="23"/>
          <w:w w:val="120"/>
          <w:sz w:val="20"/>
        </w:rPr>
        <w:t> </w:t>
      </w:r>
      <w:r>
        <w:rPr>
          <w:spacing w:val="2"/>
          <w:w w:val="120"/>
          <w:sz w:val="20"/>
        </w:rPr>
        <w:t>appropriately</w:t>
      </w:r>
    </w:p>
    <w:p>
      <w:pPr>
        <w:pStyle w:val="BodyText"/>
        <w:spacing w:line="235" w:lineRule="auto" w:before="2"/>
        <w:ind w:left="1133" w:right="2226"/>
      </w:pPr>
      <w:r>
        <w:rPr>
          <w:spacing w:val="2"/>
          <w:w w:val="120"/>
        </w:rPr>
        <w:t>equipped. </w:t>
      </w:r>
      <w:r>
        <w:rPr>
          <w:w w:val="120"/>
        </w:rPr>
        <w:t>It needs to offer spaces for worship and prayer that </w:t>
      </w:r>
      <w:r>
        <w:rPr>
          <w:spacing w:val="2"/>
          <w:w w:val="120"/>
        </w:rPr>
        <w:t>express </w:t>
      </w:r>
      <w:r>
        <w:rPr>
          <w:w w:val="120"/>
        </w:rPr>
        <w:t>the </w:t>
      </w:r>
      <w:r>
        <w:rPr>
          <w:spacing w:val="3"/>
          <w:w w:val="120"/>
        </w:rPr>
        <w:t>best </w:t>
      </w:r>
      <w:r>
        <w:rPr>
          <w:w w:val="120"/>
        </w:rPr>
        <w:t>of    our </w:t>
      </w:r>
      <w:r>
        <w:rPr>
          <w:spacing w:val="2"/>
          <w:w w:val="120"/>
        </w:rPr>
        <w:t>Reformed tradition </w:t>
      </w:r>
      <w:r>
        <w:rPr>
          <w:w w:val="120"/>
        </w:rPr>
        <w:t>in terms of beauty, simplicity and welcome. It needs to offer appropriate resources for all kinds of learning: days for church groups, space and  </w:t>
      </w:r>
      <w:r>
        <w:rPr>
          <w:spacing w:val="3"/>
          <w:w w:val="120"/>
        </w:rPr>
        <w:t>books </w:t>
      </w:r>
      <w:r>
        <w:rPr>
          <w:w w:val="120"/>
        </w:rPr>
        <w:t>for those doing </w:t>
      </w:r>
      <w:r>
        <w:rPr>
          <w:spacing w:val="4"/>
          <w:w w:val="120"/>
        </w:rPr>
        <w:t>TLS </w:t>
      </w:r>
      <w:r>
        <w:rPr>
          <w:w w:val="120"/>
        </w:rPr>
        <w:t>or </w:t>
      </w:r>
      <w:r>
        <w:rPr>
          <w:spacing w:val="3"/>
          <w:w w:val="120"/>
        </w:rPr>
        <w:t>short </w:t>
      </w:r>
      <w:r>
        <w:rPr>
          <w:w w:val="120"/>
        </w:rPr>
        <w:t>courses, </w:t>
      </w:r>
      <w:r>
        <w:rPr>
          <w:spacing w:val="3"/>
          <w:w w:val="120"/>
        </w:rPr>
        <w:t>library </w:t>
      </w:r>
      <w:r>
        <w:rPr>
          <w:spacing w:val="2"/>
          <w:w w:val="120"/>
        </w:rPr>
        <w:t>collections </w:t>
      </w:r>
      <w:r>
        <w:rPr>
          <w:w w:val="120"/>
        </w:rPr>
        <w:t>for research in our specialisms,</w:t>
      </w:r>
      <w:r>
        <w:rPr>
          <w:spacing w:val="11"/>
          <w:w w:val="120"/>
        </w:rPr>
        <w:t> </w:t>
      </w:r>
      <w:r>
        <w:rPr>
          <w:w w:val="120"/>
        </w:rPr>
        <w:t>a</w:t>
      </w:r>
      <w:r>
        <w:rPr>
          <w:spacing w:val="11"/>
          <w:w w:val="120"/>
        </w:rPr>
        <w:t> </w:t>
      </w:r>
      <w:r>
        <w:rPr>
          <w:spacing w:val="2"/>
          <w:w w:val="120"/>
        </w:rPr>
        <w:t>working</w:t>
      </w:r>
      <w:r>
        <w:rPr>
          <w:spacing w:val="12"/>
          <w:w w:val="120"/>
        </w:rPr>
        <w:t> </w:t>
      </w:r>
      <w:r>
        <w:rPr>
          <w:spacing w:val="3"/>
          <w:w w:val="120"/>
        </w:rPr>
        <w:t>library</w:t>
      </w:r>
      <w:r>
        <w:rPr>
          <w:spacing w:val="11"/>
          <w:w w:val="120"/>
        </w:rPr>
        <w:t> </w:t>
      </w:r>
      <w:r>
        <w:rPr>
          <w:w w:val="120"/>
        </w:rPr>
        <w:t>for</w:t>
      </w:r>
      <w:r>
        <w:rPr>
          <w:spacing w:val="12"/>
          <w:w w:val="120"/>
        </w:rPr>
        <w:t> </w:t>
      </w:r>
      <w:r>
        <w:rPr>
          <w:spacing w:val="2"/>
          <w:w w:val="120"/>
        </w:rPr>
        <w:t>theological</w:t>
      </w:r>
      <w:r>
        <w:rPr>
          <w:spacing w:val="11"/>
          <w:w w:val="120"/>
        </w:rPr>
        <w:t> </w:t>
      </w:r>
      <w:r>
        <w:rPr>
          <w:spacing w:val="2"/>
          <w:w w:val="120"/>
        </w:rPr>
        <w:t>education</w:t>
      </w:r>
      <w:r>
        <w:rPr>
          <w:spacing w:val="12"/>
          <w:w w:val="120"/>
        </w:rPr>
        <w:t> </w:t>
      </w:r>
      <w:r>
        <w:rPr>
          <w:w w:val="120"/>
        </w:rPr>
        <w:t>for</w:t>
      </w:r>
      <w:r>
        <w:rPr>
          <w:spacing w:val="11"/>
          <w:w w:val="120"/>
        </w:rPr>
        <w:t> </w:t>
      </w:r>
      <w:r>
        <w:rPr>
          <w:w w:val="120"/>
        </w:rPr>
        <w:t>ministry,</w:t>
      </w:r>
      <w:r>
        <w:rPr>
          <w:spacing w:val="11"/>
          <w:w w:val="120"/>
        </w:rPr>
        <w:t> </w:t>
      </w:r>
      <w:r>
        <w:rPr>
          <w:w w:val="120"/>
        </w:rPr>
        <w:t>as</w:t>
      </w:r>
      <w:r>
        <w:rPr>
          <w:spacing w:val="12"/>
          <w:w w:val="120"/>
        </w:rPr>
        <w:t> </w:t>
      </w:r>
      <w:r>
        <w:rPr>
          <w:w w:val="120"/>
        </w:rPr>
        <w:t>well</w:t>
      </w:r>
      <w:r>
        <w:rPr>
          <w:spacing w:val="11"/>
          <w:w w:val="120"/>
        </w:rPr>
        <w:t> </w:t>
      </w:r>
      <w:r>
        <w:rPr>
          <w:w w:val="120"/>
        </w:rPr>
        <w:t>as</w:t>
      </w:r>
      <w:r>
        <w:rPr>
          <w:spacing w:val="12"/>
          <w:w w:val="120"/>
        </w:rPr>
        <w:t> </w:t>
      </w:r>
      <w:r>
        <w:rPr>
          <w:w w:val="120"/>
        </w:rPr>
        <w:t>spaces</w:t>
      </w:r>
    </w:p>
    <w:p>
      <w:pPr>
        <w:pStyle w:val="BodyText"/>
        <w:spacing w:line="235" w:lineRule="auto" w:before="4"/>
        <w:ind w:left="1133" w:right="2251"/>
      </w:pPr>
      <w:r>
        <w:rPr>
          <w:w w:val="120"/>
        </w:rPr>
        <w:t>and equipment for those who </w:t>
      </w:r>
      <w:r>
        <w:rPr>
          <w:spacing w:val="2"/>
          <w:w w:val="120"/>
        </w:rPr>
        <w:t>learn </w:t>
      </w:r>
      <w:r>
        <w:rPr>
          <w:w w:val="120"/>
        </w:rPr>
        <w:t>by ‘doing’ or by talking with </w:t>
      </w:r>
      <w:r>
        <w:rPr>
          <w:spacing w:val="2"/>
          <w:w w:val="120"/>
        </w:rPr>
        <w:t>others, </w:t>
      </w:r>
      <w:r>
        <w:rPr>
          <w:w w:val="120"/>
        </w:rPr>
        <w:t>all </w:t>
      </w:r>
      <w:r>
        <w:rPr>
          <w:spacing w:val="2"/>
          <w:w w:val="120"/>
        </w:rPr>
        <w:t>supported   </w:t>
      </w:r>
      <w:r>
        <w:rPr>
          <w:w w:val="120"/>
        </w:rPr>
        <w:t>by excellent and </w:t>
      </w:r>
      <w:r>
        <w:rPr>
          <w:spacing w:val="2"/>
          <w:w w:val="120"/>
        </w:rPr>
        <w:t>contemporary </w:t>
      </w:r>
      <w:r>
        <w:rPr>
          <w:w w:val="120"/>
        </w:rPr>
        <w:t>IT and AV </w:t>
      </w:r>
      <w:r>
        <w:rPr>
          <w:spacing w:val="2"/>
          <w:w w:val="120"/>
        </w:rPr>
        <w:t>facilities. </w:t>
      </w:r>
      <w:r>
        <w:rPr>
          <w:w w:val="120"/>
        </w:rPr>
        <w:t>It needs to offer </w:t>
      </w:r>
      <w:r>
        <w:rPr>
          <w:spacing w:val="3"/>
          <w:w w:val="120"/>
        </w:rPr>
        <w:t>good </w:t>
      </w:r>
      <w:r>
        <w:rPr>
          <w:w w:val="120"/>
        </w:rPr>
        <w:t>hospitality in terms of </w:t>
      </w:r>
      <w:r>
        <w:rPr>
          <w:spacing w:val="2"/>
          <w:w w:val="120"/>
        </w:rPr>
        <w:t>bed </w:t>
      </w:r>
      <w:r>
        <w:rPr>
          <w:w w:val="120"/>
        </w:rPr>
        <w:t>and board, of such </w:t>
      </w:r>
      <w:r>
        <w:rPr>
          <w:spacing w:val="2"/>
          <w:w w:val="120"/>
        </w:rPr>
        <w:t>quality </w:t>
      </w:r>
      <w:r>
        <w:rPr>
          <w:w w:val="120"/>
        </w:rPr>
        <w:t>and welcome that </w:t>
      </w:r>
      <w:r>
        <w:rPr>
          <w:spacing w:val="2"/>
          <w:w w:val="120"/>
        </w:rPr>
        <w:t>people </w:t>
      </w:r>
      <w:r>
        <w:rPr>
          <w:w w:val="120"/>
        </w:rPr>
        <w:t>will want to come again. It needs to be a gateway to the </w:t>
      </w:r>
      <w:r>
        <w:rPr>
          <w:spacing w:val="2"/>
          <w:w w:val="120"/>
        </w:rPr>
        <w:t>opportunities </w:t>
      </w:r>
      <w:r>
        <w:rPr>
          <w:w w:val="120"/>
        </w:rPr>
        <w:t>of </w:t>
      </w:r>
      <w:r>
        <w:rPr>
          <w:spacing w:val="2"/>
          <w:w w:val="120"/>
        </w:rPr>
        <w:t>Cambridge </w:t>
      </w:r>
      <w:r>
        <w:rPr>
          <w:w w:val="120"/>
        </w:rPr>
        <w:t>and to make the    </w:t>
      </w:r>
      <w:r>
        <w:rPr>
          <w:spacing w:val="3"/>
          <w:w w:val="120"/>
        </w:rPr>
        <w:t>best </w:t>
      </w:r>
      <w:r>
        <w:rPr>
          <w:w w:val="120"/>
        </w:rPr>
        <w:t>use of our </w:t>
      </w:r>
      <w:r>
        <w:rPr>
          <w:spacing w:val="2"/>
          <w:w w:val="120"/>
        </w:rPr>
        <w:t>location </w:t>
      </w:r>
      <w:r>
        <w:rPr>
          <w:w w:val="120"/>
        </w:rPr>
        <w:t>and</w:t>
      </w:r>
      <w:r>
        <w:rPr>
          <w:spacing w:val="34"/>
          <w:w w:val="120"/>
        </w:rPr>
        <w:t> </w:t>
      </w:r>
      <w:r>
        <w:rPr>
          <w:w w:val="120"/>
        </w:rPr>
        <w:t>grounds.</w:t>
      </w:r>
    </w:p>
    <w:p>
      <w:pPr>
        <w:pStyle w:val="BodyText"/>
        <w:spacing w:before="11"/>
        <w:rPr>
          <w:sz w:val="19"/>
        </w:rPr>
      </w:pPr>
    </w:p>
    <w:p>
      <w:pPr>
        <w:pStyle w:val="ListParagraph"/>
        <w:numPr>
          <w:ilvl w:val="1"/>
          <w:numId w:val="119"/>
        </w:numPr>
        <w:tabs>
          <w:tab w:pos="1814" w:val="left" w:leader="none"/>
          <w:tab w:pos="1815" w:val="left" w:leader="none"/>
        </w:tabs>
        <w:spacing w:line="235" w:lineRule="auto" w:before="0" w:after="0"/>
        <w:ind w:left="1133" w:right="2140" w:firstLine="0"/>
        <w:jc w:val="left"/>
        <w:rPr>
          <w:sz w:val="20"/>
        </w:rPr>
      </w:pPr>
      <w:r>
        <w:rPr>
          <w:w w:val="120"/>
          <w:sz w:val="20"/>
        </w:rPr>
        <w:t>We also need to house and provide teaching, research and work space for </w:t>
      </w:r>
      <w:r>
        <w:rPr>
          <w:spacing w:val="-7"/>
          <w:w w:val="120"/>
          <w:sz w:val="20"/>
        </w:rPr>
        <w:t>(at </w:t>
      </w:r>
      <w:r>
        <w:rPr>
          <w:w w:val="120"/>
          <w:sz w:val="20"/>
        </w:rPr>
        <w:t>least) five full time theological educators who are actively involved in a wide range of education and learning activities both in Cambridge and out in the three nations of the denomination. They need to work effectively as a team and to have the equipment they need to do their work. We need to provide them with well equipped teaching rooms and</w:t>
      </w:r>
      <w:r>
        <w:rPr>
          <w:spacing w:val="1"/>
          <w:w w:val="120"/>
          <w:sz w:val="20"/>
        </w:rPr>
        <w:t> </w:t>
      </w:r>
      <w:r>
        <w:rPr>
          <w:w w:val="120"/>
          <w:sz w:val="20"/>
        </w:rPr>
        <w:t>offices.</w:t>
      </w:r>
    </w:p>
    <w:p>
      <w:pPr>
        <w:pStyle w:val="BodyText"/>
      </w:pPr>
    </w:p>
    <w:p>
      <w:pPr>
        <w:pStyle w:val="ListParagraph"/>
        <w:numPr>
          <w:ilvl w:val="1"/>
          <w:numId w:val="119"/>
        </w:numPr>
        <w:tabs>
          <w:tab w:pos="1814" w:val="left" w:leader="none"/>
          <w:tab w:pos="1815" w:val="left" w:leader="none"/>
        </w:tabs>
        <w:spacing w:line="235" w:lineRule="auto" w:before="0" w:after="0"/>
        <w:ind w:left="1133" w:right="2213" w:firstLine="0"/>
        <w:jc w:val="left"/>
        <w:rPr>
          <w:sz w:val="20"/>
        </w:rPr>
      </w:pPr>
      <w:r>
        <w:rPr>
          <w:w w:val="120"/>
          <w:sz w:val="20"/>
        </w:rPr>
        <w:t>We need to open up and make truly accessible the treasures of our traditions that are housed at Westminster so that they can be properly appreciated, researched and made available for any who want to know more of our story. This means providing proper</w:t>
      </w:r>
      <w:r>
        <w:rPr>
          <w:spacing w:val="8"/>
          <w:w w:val="120"/>
          <w:sz w:val="20"/>
        </w:rPr>
        <w:t> </w:t>
      </w:r>
      <w:r>
        <w:rPr>
          <w:w w:val="120"/>
          <w:sz w:val="20"/>
        </w:rPr>
        <w:t>care,</w:t>
      </w:r>
      <w:r>
        <w:rPr>
          <w:spacing w:val="8"/>
          <w:w w:val="120"/>
          <w:sz w:val="20"/>
        </w:rPr>
        <w:t> </w:t>
      </w:r>
      <w:r>
        <w:rPr>
          <w:w w:val="120"/>
          <w:sz w:val="20"/>
        </w:rPr>
        <w:t>security</w:t>
      </w:r>
      <w:r>
        <w:rPr>
          <w:spacing w:val="8"/>
          <w:w w:val="120"/>
          <w:sz w:val="20"/>
        </w:rPr>
        <w:t> </w:t>
      </w:r>
      <w:r>
        <w:rPr>
          <w:w w:val="120"/>
          <w:sz w:val="20"/>
        </w:rPr>
        <w:t>and,</w:t>
      </w:r>
      <w:r>
        <w:rPr>
          <w:spacing w:val="8"/>
          <w:w w:val="120"/>
          <w:sz w:val="20"/>
        </w:rPr>
        <w:t> </w:t>
      </w:r>
      <w:r>
        <w:rPr>
          <w:w w:val="120"/>
          <w:sz w:val="20"/>
        </w:rPr>
        <w:t>where</w:t>
      </w:r>
      <w:r>
        <w:rPr>
          <w:spacing w:val="8"/>
          <w:w w:val="120"/>
          <w:sz w:val="20"/>
        </w:rPr>
        <w:t> </w:t>
      </w:r>
      <w:r>
        <w:rPr>
          <w:w w:val="120"/>
          <w:sz w:val="20"/>
        </w:rPr>
        <w:t>appropriate,</w:t>
      </w:r>
      <w:r>
        <w:rPr>
          <w:spacing w:val="8"/>
          <w:w w:val="120"/>
          <w:sz w:val="20"/>
        </w:rPr>
        <w:t> </w:t>
      </w:r>
      <w:r>
        <w:rPr>
          <w:w w:val="120"/>
          <w:sz w:val="20"/>
        </w:rPr>
        <w:t>display</w:t>
      </w:r>
      <w:r>
        <w:rPr>
          <w:spacing w:val="8"/>
          <w:w w:val="120"/>
          <w:sz w:val="20"/>
        </w:rPr>
        <w:t> </w:t>
      </w:r>
      <w:r>
        <w:rPr>
          <w:w w:val="120"/>
          <w:sz w:val="20"/>
        </w:rPr>
        <w:t>for</w:t>
      </w:r>
      <w:r>
        <w:rPr>
          <w:spacing w:val="8"/>
          <w:w w:val="120"/>
          <w:sz w:val="20"/>
        </w:rPr>
        <w:t> </w:t>
      </w:r>
      <w:r>
        <w:rPr>
          <w:w w:val="120"/>
          <w:sz w:val="20"/>
        </w:rPr>
        <w:t>valued</w:t>
      </w:r>
      <w:r>
        <w:rPr>
          <w:spacing w:val="8"/>
          <w:w w:val="120"/>
          <w:sz w:val="20"/>
        </w:rPr>
        <w:t> </w:t>
      </w:r>
      <w:r>
        <w:rPr>
          <w:w w:val="120"/>
          <w:sz w:val="20"/>
        </w:rPr>
        <w:t>documents</w:t>
      </w:r>
      <w:r>
        <w:rPr>
          <w:spacing w:val="8"/>
          <w:w w:val="120"/>
          <w:sz w:val="20"/>
        </w:rPr>
        <w:t> </w:t>
      </w:r>
      <w:r>
        <w:rPr>
          <w:w w:val="120"/>
          <w:sz w:val="20"/>
        </w:rPr>
        <w:t>and</w:t>
      </w:r>
      <w:r>
        <w:rPr>
          <w:spacing w:val="8"/>
          <w:w w:val="120"/>
          <w:sz w:val="20"/>
        </w:rPr>
        <w:t> </w:t>
      </w:r>
      <w:r>
        <w:rPr>
          <w:w w:val="120"/>
          <w:sz w:val="20"/>
        </w:rPr>
        <w:t>books</w:t>
      </w:r>
    </w:p>
    <w:p>
      <w:pPr>
        <w:pStyle w:val="BodyText"/>
        <w:spacing w:line="235" w:lineRule="auto" w:before="3"/>
        <w:ind w:left="1133" w:right="1997"/>
      </w:pPr>
      <w:r>
        <w:rPr>
          <w:w w:val="120"/>
        </w:rPr>
        <w:t>and a good service to help people research and study, whether classic Reformed texts or local church history.</w:t>
      </w:r>
    </w:p>
    <w:p>
      <w:pPr>
        <w:pStyle w:val="BodyText"/>
        <w:spacing w:before="10"/>
        <w:rPr>
          <w:sz w:val="19"/>
        </w:rPr>
      </w:pPr>
    </w:p>
    <w:p>
      <w:pPr>
        <w:pStyle w:val="ListParagraph"/>
        <w:numPr>
          <w:ilvl w:val="1"/>
          <w:numId w:val="119"/>
        </w:numPr>
        <w:tabs>
          <w:tab w:pos="1814" w:val="left" w:leader="none"/>
          <w:tab w:pos="1815" w:val="left" w:leader="none"/>
        </w:tabs>
        <w:spacing w:line="235" w:lineRule="auto" w:before="0" w:after="0"/>
        <w:ind w:left="1133" w:right="2246" w:firstLine="0"/>
        <w:jc w:val="left"/>
        <w:rPr>
          <w:sz w:val="20"/>
        </w:rPr>
      </w:pPr>
      <w:r>
        <w:rPr>
          <w:w w:val="120"/>
          <w:sz w:val="20"/>
        </w:rPr>
        <w:t>The original building dates from </w:t>
      </w:r>
      <w:r>
        <w:rPr>
          <w:spacing w:val="-7"/>
          <w:w w:val="120"/>
          <w:sz w:val="20"/>
        </w:rPr>
        <w:t>1899, </w:t>
      </w:r>
      <w:r>
        <w:rPr>
          <w:w w:val="120"/>
          <w:sz w:val="20"/>
        </w:rPr>
        <w:t>with the chapel added in </w:t>
      </w:r>
      <w:r>
        <w:rPr>
          <w:spacing w:val="-9"/>
          <w:w w:val="120"/>
          <w:sz w:val="20"/>
        </w:rPr>
        <w:t>1921. </w:t>
      </w:r>
      <w:r>
        <w:rPr>
          <w:w w:val="120"/>
          <w:sz w:val="20"/>
        </w:rPr>
        <w:t>The roof was completely replaced in </w:t>
      </w:r>
      <w:r>
        <w:rPr>
          <w:spacing w:val="-5"/>
          <w:w w:val="120"/>
          <w:sz w:val="20"/>
        </w:rPr>
        <w:t>1970-72. </w:t>
      </w:r>
      <w:r>
        <w:rPr>
          <w:w w:val="120"/>
          <w:sz w:val="20"/>
        </w:rPr>
        <w:t>The building is, for its age, in excellent condition, but it now urgently needs this major redevelopment for new times. The residential accommodation needs to be brought up to today’s high standards. The</w:t>
      </w:r>
      <w:r>
        <w:rPr>
          <w:spacing w:val="5"/>
          <w:w w:val="120"/>
          <w:sz w:val="20"/>
        </w:rPr>
        <w:t> </w:t>
      </w:r>
      <w:r>
        <w:rPr>
          <w:w w:val="120"/>
          <w:sz w:val="20"/>
        </w:rPr>
        <w:t>kitchens</w:t>
      </w:r>
    </w:p>
    <w:p>
      <w:pPr>
        <w:pStyle w:val="BodyText"/>
        <w:spacing w:line="235" w:lineRule="auto" w:before="3"/>
        <w:ind w:left="1133" w:right="1997"/>
      </w:pPr>
      <w:r>
        <w:rPr>
          <w:w w:val="120"/>
        </w:rPr>
        <w:t>need to be able to provide good food to a growing and more varied community. The configuration of rooms and uses needs to have a clear rationale, so that the building has more clearly defined areas for accommodation, teaching, worship and hospitality. The whole building needs to be ‘lifted’ in appearance and comfort, so that it can provide the welcome and facilities that people rightly expect today.</w:t>
      </w:r>
    </w:p>
    <w:p>
      <w:pPr>
        <w:pStyle w:val="BodyText"/>
        <w:spacing w:before="11"/>
        <w:rPr>
          <w:sz w:val="19"/>
        </w:rPr>
      </w:pPr>
    </w:p>
    <w:p>
      <w:pPr>
        <w:pStyle w:val="ListParagraph"/>
        <w:numPr>
          <w:ilvl w:val="1"/>
          <w:numId w:val="119"/>
        </w:numPr>
        <w:tabs>
          <w:tab w:pos="1814" w:val="left" w:leader="none"/>
          <w:tab w:pos="1815" w:val="left" w:leader="none"/>
        </w:tabs>
        <w:spacing w:line="235" w:lineRule="auto" w:before="0" w:after="0"/>
        <w:ind w:left="1133" w:right="2574" w:firstLine="0"/>
        <w:jc w:val="left"/>
        <w:rPr>
          <w:sz w:val="20"/>
        </w:rPr>
      </w:pPr>
      <w:r>
        <w:rPr>
          <w:w w:val="120"/>
          <w:sz w:val="20"/>
        </w:rPr>
        <w:t>There are also some structural repairs to do, so that the life of the building is secured for future</w:t>
      </w:r>
      <w:r>
        <w:rPr>
          <w:spacing w:val="5"/>
          <w:w w:val="120"/>
          <w:sz w:val="20"/>
        </w:rPr>
        <w:t> </w:t>
      </w:r>
      <w:r>
        <w:rPr>
          <w:w w:val="120"/>
          <w:sz w:val="20"/>
        </w:rPr>
        <w:t>generations.</w:t>
      </w:r>
    </w:p>
    <w:p>
      <w:pPr>
        <w:spacing w:after="0" w:line="235" w:lineRule="auto"/>
        <w:jc w:val="left"/>
        <w:rPr>
          <w:sz w:val="20"/>
        </w:rPr>
        <w:sectPr>
          <w:pgSz w:w="11910" w:h="16840"/>
          <w:pgMar w:header="0" w:footer="647" w:top="1060" w:bottom="840" w:left="0" w:right="0"/>
        </w:sectPr>
      </w:pPr>
    </w:p>
    <w:p>
      <w:pPr>
        <w:numPr>
          <w:ilvl w:val="0"/>
          <w:numId w:val="119"/>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1981824" filled="true" fillcolor="#f9e9c1" stroked="false">
            <v:fill opacity="32768f" type="solid"/>
            <w10:wrap type="none"/>
          </v:rect>
        </w:pict>
      </w:r>
      <w:r>
        <w:rPr>
          <w:rFonts w:ascii="Stone Sans II ITC Std Bk"/>
          <w:b/>
          <w:spacing w:val="-3"/>
          <w:w w:val="115"/>
          <w:sz w:val="21"/>
        </w:rPr>
        <w:t>Key </w:t>
      </w:r>
      <w:r>
        <w:rPr>
          <w:rFonts w:ascii="Stone Sans II ITC Std Bk"/>
          <w:b/>
          <w:w w:val="115"/>
          <w:sz w:val="21"/>
        </w:rPr>
        <w:t>design</w:t>
      </w:r>
      <w:r>
        <w:rPr>
          <w:rFonts w:ascii="Stone Sans II ITC Std Bk"/>
          <w:b/>
          <w:spacing w:val="-21"/>
          <w:w w:val="115"/>
          <w:sz w:val="21"/>
        </w:rPr>
        <w:t> </w:t>
      </w:r>
      <w:r>
        <w:rPr>
          <w:rFonts w:ascii="Stone Sans II ITC Std Bk"/>
          <w:b/>
          <w:w w:val="115"/>
          <w:sz w:val="21"/>
        </w:rPr>
        <w:t>features</w:t>
      </w:r>
    </w:p>
    <w:p>
      <w:pPr>
        <w:pStyle w:val="BodyText"/>
        <w:spacing w:line="235" w:lineRule="auto" w:before="223"/>
        <w:ind w:left="1984" w:right="1120"/>
      </w:pPr>
      <w:r>
        <w:rPr>
          <w:w w:val="120"/>
        </w:rPr>
        <w:t>Reference to the architect’s </w:t>
      </w:r>
      <w:r>
        <w:rPr>
          <w:spacing w:val="2"/>
          <w:w w:val="120"/>
        </w:rPr>
        <w:t>report </w:t>
      </w:r>
      <w:r>
        <w:rPr>
          <w:w w:val="120"/>
        </w:rPr>
        <w:t>dated October 2009, and the accompanying </w:t>
      </w:r>
      <w:r>
        <w:rPr>
          <w:spacing w:val="2"/>
          <w:w w:val="120"/>
        </w:rPr>
        <w:t>report </w:t>
      </w:r>
      <w:r>
        <w:rPr>
          <w:w w:val="120"/>
        </w:rPr>
        <w:t>of the quantity surveyors may be found helpful at this</w:t>
      </w:r>
      <w:r>
        <w:rPr>
          <w:spacing w:val="18"/>
          <w:w w:val="120"/>
        </w:rPr>
        <w:t> </w:t>
      </w:r>
      <w:r>
        <w:rPr>
          <w:w w:val="120"/>
        </w:rPr>
        <w:t>stage:</w:t>
      </w:r>
    </w:p>
    <w:p>
      <w:pPr>
        <w:numPr>
          <w:ilvl w:val="0"/>
          <w:numId w:val="121"/>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Overview</w:t>
      </w:r>
    </w:p>
    <w:p>
      <w:pPr>
        <w:pStyle w:val="BodyText"/>
        <w:spacing w:line="235" w:lineRule="auto" w:before="223"/>
        <w:ind w:left="1984" w:right="1634"/>
      </w:pPr>
      <w:r>
        <w:rPr>
          <w:w w:val="120"/>
        </w:rPr>
        <w:t>The proposed works will provide attractive, modern accommodation and facilities, well able to meet the needs of the Church in the 21</w:t>
      </w:r>
      <w:r>
        <w:rPr>
          <w:w w:val="120"/>
          <w:position w:val="7"/>
          <w:sz w:val="11"/>
        </w:rPr>
        <w:t>st </w:t>
      </w:r>
      <w:r>
        <w:rPr>
          <w:w w:val="120"/>
        </w:rPr>
        <w:t>century. They will also equip Westminster to generate increased income from conferencing and catering services. The proposals provide for:</w:t>
      </w:r>
    </w:p>
    <w:p>
      <w:pPr>
        <w:pStyle w:val="ListParagraph"/>
        <w:numPr>
          <w:ilvl w:val="2"/>
          <w:numId w:val="119"/>
        </w:numPr>
        <w:tabs>
          <w:tab w:pos="2664" w:val="left" w:leader="none"/>
          <w:tab w:pos="2665" w:val="left" w:leader="none"/>
        </w:tabs>
        <w:spacing w:line="216" w:lineRule="auto" w:before="0" w:after="0"/>
        <w:ind w:left="2664" w:right="1281" w:hanging="681"/>
        <w:jc w:val="left"/>
        <w:rPr>
          <w:sz w:val="20"/>
        </w:rPr>
      </w:pPr>
      <w:r>
        <w:rPr>
          <w:w w:val="120"/>
          <w:sz w:val="20"/>
        </w:rPr>
        <w:t>38 rooms in the residential wing, </w:t>
      </w:r>
      <w:r>
        <w:rPr>
          <w:spacing w:val="2"/>
          <w:w w:val="120"/>
          <w:sz w:val="20"/>
        </w:rPr>
        <w:t>up-graded </w:t>
      </w:r>
      <w:r>
        <w:rPr>
          <w:w w:val="120"/>
          <w:sz w:val="20"/>
        </w:rPr>
        <w:t>to modern standards, including en suite facilities in every unit, and two self-contained suites in the grounds, making a total of 40 rooms available for students, conference delegates and</w:t>
      </w:r>
      <w:r>
        <w:rPr>
          <w:spacing w:val="18"/>
          <w:w w:val="120"/>
          <w:sz w:val="20"/>
        </w:rPr>
        <w:t> </w:t>
      </w:r>
      <w:r>
        <w:rPr>
          <w:w w:val="120"/>
          <w:sz w:val="20"/>
        </w:rPr>
        <w:t>guests;</w:t>
      </w:r>
    </w:p>
    <w:p>
      <w:pPr>
        <w:pStyle w:val="ListParagraph"/>
        <w:numPr>
          <w:ilvl w:val="2"/>
          <w:numId w:val="119"/>
        </w:numPr>
        <w:tabs>
          <w:tab w:pos="2664" w:val="left" w:leader="none"/>
          <w:tab w:pos="2665" w:val="left" w:leader="none"/>
        </w:tabs>
        <w:spacing w:line="250" w:lineRule="exact" w:before="0" w:after="0"/>
        <w:ind w:left="2664" w:right="0" w:hanging="681"/>
        <w:jc w:val="left"/>
        <w:rPr>
          <w:sz w:val="20"/>
        </w:rPr>
      </w:pPr>
      <w:r>
        <w:rPr>
          <w:w w:val="120"/>
          <w:sz w:val="20"/>
        </w:rPr>
        <w:t>two refurbished students’</w:t>
      </w:r>
      <w:r>
        <w:rPr>
          <w:spacing w:val="5"/>
          <w:w w:val="120"/>
          <w:sz w:val="20"/>
        </w:rPr>
        <w:t> </w:t>
      </w:r>
      <w:r>
        <w:rPr>
          <w:w w:val="120"/>
          <w:sz w:val="20"/>
        </w:rPr>
        <w:t>flats;</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increased teaching space with up-to-date audio-visual</w:t>
      </w:r>
      <w:r>
        <w:rPr>
          <w:spacing w:val="17"/>
          <w:w w:val="120"/>
          <w:sz w:val="20"/>
        </w:rPr>
        <w:t> </w:t>
      </w:r>
      <w:r>
        <w:rPr>
          <w:w w:val="120"/>
          <w:sz w:val="20"/>
        </w:rPr>
        <w:t>equipment;</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improved teachers’</w:t>
      </w:r>
      <w:r>
        <w:rPr>
          <w:spacing w:val="3"/>
          <w:w w:val="120"/>
          <w:sz w:val="20"/>
        </w:rPr>
        <w:t> </w:t>
      </w:r>
      <w:r>
        <w:rPr>
          <w:w w:val="120"/>
          <w:sz w:val="20"/>
        </w:rPr>
        <w:t>studies;</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extended and improved library and archive</w:t>
      </w:r>
      <w:r>
        <w:rPr>
          <w:spacing w:val="14"/>
          <w:w w:val="120"/>
          <w:sz w:val="20"/>
        </w:rPr>
        <w:t> </w:t>
      </w:r>
      <w:r>
        <w:rPr>
          <w:w w:val="120"/>
          <w:sz w:val="20"/>
        </w:rPr>
        <w:t>facilities;</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new space for informal discussions and social</w:t>
      </w:r>
      <w:r>
        <w:rPr>
          <w:spacing w:val="11"/>
          <w:w w:val="120"/>
          <w:sz w:val="20"/>
        </w:rPr>
        <w:t> </w:t>
      </w:r>
      <w:r>
        <w:rPr>
          <w:w w:val="120"/>
          <w:sz w:val="20"/>
        </w:rPr>
        <w:t>activities;</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a modern</w:t>
      </w:r>
      <w:r>
        <w:rPr>
          <w:spacing w:val="4"/>
          <w:w w:val="120"/>
          <w:sz w:val="20"/>
        </w:rPr>
        <w:t> </w:t>
      </w:r>
      <w:r>
        <w:rPr>
          <w:w w:val="120"/>
          <w:sz w:val="20"/>
        </w:rPr>
        <w:t>kitchen;</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a light, </w:t>
      </w:r>
      <w:r>
        <w:rPr>
          <w:spacing w:val="2"/>
          <w:w w:val="120"/>
          <w:sz w:val="20"/>
        </w:rPr>
        <w:t>airy </w:t>
      </w:r>
      <w:r>
        <w:rPr>
          <w:w w:val="120"/>
          <w:sz w:val="20"/>
        </w:rPr>
        <w:t>reception</w:t>
      </w:r>
      <w:r>
        <w:rPr>
          <w:spacing w:val="5"/>
          <w:w w:val="120"/>
          <w:sz w:val="20"/>
        </w:rPr>
        <w:t> </w:t>
      </w:r>
      <w:r>
        <w:rPr>
          <w:w w:val="120"/>
          <w:sz w:val="20"/>
        </w:rPr>
        <w:t>area;</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a new prayer chapel and an </w:t>
      </w:r>
      <w:r>
        <w:rPr>
          <w:spacing w:val="3"/>
          <w:w w:val="120"/>
          <w:sz w:val="20"/>
        </w:rPr>
        <w:t>art</w:t>
      </w:r>
      <w:r>
        <w:rPr>
          <w:spacing w:val="13"/>
          <w:w w:val="120"/>
          <w:sz w:val="20"/>
        </w:rPr>
        <w:t> </w:t>
      </w:r>
      <w:r>
        <w:rPr>
          <w:w w:val="120"/>
          <w:sz w:val="20"/>
        </w:rPr>
        <w:t>studio;</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essential structural repairs to below-ground</w:t>
      </w:r>
      <w:r>
        <w:rPr>
          <w:spacing w:val="11"/>
          <w:w w:val="120"/>
          <w:sz w:val="20"/>
        </w:rPr>
        <w:t> </w:t>
      </w:r>
      <w:r>
        <w:rPr>
          <w:w w:val="120"/>
          <w:sz w:val="20"/>
        </w:rPr>
        <w:t>ducts;</w:t>
      </w:r>
    </w:p>
    <w:p>
      <w:pPr>
        <w:pStyle w:val="ListParagraph"/>
        <w:numPr>
          <w:ilvl w:val="2"/>
          <w:numId w:val="119"/>
        </w:numPr>
        <w:tabs>
          <w:tab w:pos="2664" w:val="left" w:leader="none"/>
          <w:tab w:pos="2665" w:val="left" w:leader="none"/>
        </w:tabs>
        <w:spacing w:line="240" w:lineRule="exact" w:before="0" w:after="0"/>
        <w:ind w:left="2664" w:right="0" w:hanging="681"/>
        <w:jc w:val="left"/>
        <w:rPr>
          <w:sz w:val="20"/>
        </w:rPr>
      </w:pPr>
      <w:r>
        <w:rPr>
          <w:w w:val="120"/>
          <w:sz w:val="20"/>
        </w:rPr>
        <w:t>replacement of the ageing heating and electrical</w:t>
      </w:r>
      <w:r>
        <w:rPr>
          <w:spacing w:val="17"/>
          <w:w w:val="120"/>
          <w:sz w:val="20"/>
        </w:rPr>
        <w:t> </w:t>
      </w:r>
      <w:r>
        <w:rPr>
          <w:w w:val="120"/>
          <w:sz w:val="20"/>
        </w:rPr>
        <w:t>systems;</w:t>
      </w:r>
    </w:p>
    <w:p>
      <w:pPr>
        <w:pStyle w:val="ListParagraph"/>
        <w:numPr>
          <w:ilvl w:val="2"/>
          <w:numId w:val="119"/>
        </w:numPr>
        <w:tabs>
          <w:tab w:pos="2664" w:val="left" w:leader="none"/>
          <w:tab w:pos="2665" w:val="left" w:leader="none"/>
        </w:tabs>
        <w:spacing w:line="281" w:lineRule="exact" w:before="0" w:after="0"/>
        <w:ind w:left="2664" w:right="0" w:hanging="681"/>
        <w:jc w:val="left"/>
        <w:rPr>
          <w:sz w:val="20"/>
        </w:rPr>
      </w:pPr>
      <w:r>
        <w:rPr>
          <w:w w:val="120"/>
          <w:sz w:val="20"/>
        </w:rPr>
        <w:t>re-location of the </w:t>
      </w:r>
      <w:r>
        <w:rPr>
          <w:spacing w:val="2"/>
          <w:w w:val="120"/>
          <w:sz w:val="20"/>
        </w:rPr>
        <w:t>Henry Martyn</w:t>
      </w:r>
      <w:r>
        <w:rPr>
          <w:spacing w:val="7"/>
          <w:w w:val="120"/>
          <w:sz w:val="20"/>
        </w:rPr>
        <w:t> </w:t>
      </w:r>
      <w:r>
        <w:rPr>
          <w:w w:val="120"/>
          <w:sz w:val="20"/>
        </w:rPr>
        <w:t>Centre.</w:t>
      </w:r>
    </w:p>
    <w:p>
      <w:pPr>
        <w:numPr>
          <w:ilvl w:val="0"/>
          <w:numId w:val="121"/>
        </w:numPr>
        <w:tabs>
          <w:tab w:pos="2704" w:val="left" w:leader="none"/>
          <w:tab w:pos="2705" w:val="left" w:leader="none"/>
        </w:tabs>
        <w:spacing w:before="156"/>
        <w:ind w:left="2704" w:right="0" w:hanging="721"/>
        <w:jc w:val="left"/>
        <w:rPr>
          <w:rFonts w:ascii="Stone Sans II ITC Std Bk" w:hAnsi="Stone Sans II ITC Std Bk"/>
          <w:b/>
          <w:sz w:val="21"/>
        </w:rPr>
      </w:pPr>
      <w:r>
        <w:rPr>
          <w:rFonts w:ascii="Stone Sans II ITC Std Bk" w:hAnsi="Stone Sans II ITC Std Bk"/>
          <w:b/>
          <w:w w:val="115"/>
          <w:sz w:val="21"/>
        </w:rPr>
        <w:t>The Principal’s</w:t>
      </w:r>
      <w:r>
        <w:rPr>
          <w:rFonts w:ascii="Stone Sans II ITC Std Bk" w:hAnsi="Stone Sans II ITC Std Bk"/>
          <w:b/>
          <w:spacing w:val="-4"/>
          <w:w w:val="115"/>
          <w:sz w:val="21"/>
        </w:rPr>
        <w:t> </w:t>
      </w:r>
      <w:r>
        <w:rPr>
          <w:rFonts w:ascii="Stone Sans II ITC Std Bk" w:hAnsi="Stone Sans II ITC Std Bk"/>
          <w:b/>
          <w:w w:val="115"/>
          <w:sz w:val="21"/>
        </w:rPr>
        <w:t>Lodge</w:t>
      </w:r>
    </w:p>
    <w:p>
      <w:pPr>
        <w:pStyle w:val="BodyText"/>
        <w:spacing w:line="235" w:lineRule="auto" w:before="223"/>
        <w:ind w:left="1984" w:right="1150"/>
      </w:pPr>
      <w:r>
        <w:rPr>
          <w:w w:val="120"/>
        </w:rPr>
        <w:t>An important feature of the proposals is the provision of accommodation for the Principal outside the main building; this will allow the Lodge area to be redeployed for the needs  of the whole Westminster community. All academic staff will be based here, with space for individual conversations and small group meetings, and two new plenary teaching rooms. There is also an archivist’s room and space for archive storage. The ground floor provides meeting and teaching space, and a function room for private dining, serviced from the main kitchen. </w:t>
      </w:r>
      <w:r>
        <w:rPr>
          <w:spacing w:val="-6"/>
          <w:w w:val="120"/>
        </w:rPr>
        <w:t>Two </w:t>
      </w:r>
      <w:r>
        <w:rPr>
          <w:w w:val="120"/>
        </w:rPr>
        <w:t>self-contained flats on the second floor, suitable for long- term students and accessible from within the building, will be refurbished. A lift will   serve ground and first floors, and the unsightly external stairway will be</w:t>
      </w:r>
      <w:r>
        <w:rPr>
          <w:spacing w:val="47"/>
          <w:w w:val="120"/>
        </w:rPr>
        <w:t> </w:t>
      </w:r>
      <w:r>
        <w:rPr>
          <w:w w:val="120"/>
        </w:rPr>
        <w:t>removed.</w:t>
      </w:r>
    </w:p>
    <w:p>
      <w:pPr>
        <w:pStyle w:val="BodyText"/>
        <w:spacing w:before="2"/>
      </w:pPr>
    </w:p>
    <w:p>
      <w:pPr>
        <w:pStyle w:val="BodyText"/>
        <w:spacing w:line="235" w:lineRule="auto"/>
        <w:ind w:left="1984" w:right="1200"/>
      </w:pPr>
      <w:r>
        <w:rPr>
          <w:w w:val="120"/>
        </w:rPr>
        <w:t>Westminster has had, for some years now, a developing relationship with the Henry Martyn Centre, a partner within the Federation, with specialisms in Mission and World Christianity. The Centre has office and library space within our building and the new development gives us an opportunity to create more appropriate accommodation for their present and future needs. Library, archive and office accommodation for the Henry Martyn Centre is provided on the ground floor and basement; at their request, the space is significantly greater than at present. The related capital investment is fully reflected</w:t>
      </w:r>
    </w:p>
    <w:p>
      <w:pPr>
        <w:pStyle w:val="BodyText"/>
        <w:spacing w:line="235" w:lineRule="auto" w:before="6"/>
        <w:ind w:left="1984" w:right="1120"/>
      </w:pPr>
      <w:r>
        <w:rPr>
          <w:w w:val="120"/>
        </w:rPr>
        <w:t>by a rent calculated on fair, commercial terms. Negotiations on the rent and other conditions are proceeding.</w:t>
      </w:r>
    </w:p>
    <w:p>
      <w:pPr>
        <w:numPr>
          <w:ilvl w:val="0"/>
          <w:numId w:val="121"/>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The Central</w:t>
      </w:r>
      <w:r>
        <w:rPr>
          <w:rFonts w:ascii="Stone Sans II ITC Std Bk"/>
          <w:b/>
          <w:spacing w:val="-3"/>
          <w:w w:val="115"/>
          <w:sz w:val="21"/>
        </w:rPr>
        <w:t> </w:t>
      </w:r>
      <w:r>
        <w:rPr>
          <w:rFonts w:ascii="Stone Sans II ITC Std Bk"/>
          <w:b/>
          <w:w w:val="115"/>
          <w:sz w:val="21"/>
        </w:rPr>
        <w:t>Area</w:t>
      </w:r>
    </w:p>
    <w:p>
      <w:pPr>
        <w:pStyle w:val="BodyText"/>
        <w:spacing w:line="235" w:lineRule="auto" w:before="222"/>
        <w:ind w:left="1984" w:right="1200"/>
      </w:pPr>
      <w:r>
        <w:rPr>
          <w:w w:val="120"/>
        </w:rPr>
        <w:t>The kitchen is long overdue for modernisation; the proposals will enable staff to cater flexibly and economically, either for small numbers of our own core students or for up to 200 covers when a large group, or several different groups, are using the college at the same time. Specialist consultants have advised on the equipment required. Transfer of the servery to a separate area will enlarge dining room accommodation, and an external terrace will provide an informal ‘break-out’ area. Offices for administration staff will be moved from the residential wing to the first floor above the kitchen.</w:t>
      </w:r>
    </w:p>
    <w:p>
      <w:pPr>
        <w:spacing w:after="0" w:line="235" w:lineRule="auto"/>
        <w:sectPr>
          <w:pgSz w:w="11910" w:h="16840"/>
          <w:pgMar w:header="0" w:footer="647" w:top="1060" w:bottom="840" w:left="0" w:right="0"/>
        </w:sectPr>
      </w:pPr>
    </w:p>
    <w:p>
      <w:pPr>
        <w:pStyle w:val="BodyText"/>
        <w:spacing w:line="235" w:lineRule="auto" w:before="107"/>
        <w:ind w:left="1133" w:right="2005"/>
      </w:pPr>
      <w:r>
        <w:rPr/>
        <w:pict>
          <v:rect style="position:absolute;margin-left:12.047pt;margin-top:8.477343pt;width:22.677pt;height:22.677pt;mso-position-horizontal-relative:page;mso-position-vertical-relative:paragraph;z-index:251982848" filled="true" fillcolor="#f9e9c1" stroked="false">
            <v:fill opacity="32768f" type="solid"/>
            <w10:wrap type="none"/>
          </v:rect>
        </w:pict>
      </w:r>
      <w:r>
        <w:rPr>
          <w:w w:val="120"/>
        </w:rPr>
        <w:t>The Healey-Elias Room will remain the College’s largest teaching room, but will be enhanced by the removal of the partition and surrounding book-cases. Books (and, where acceptable in conservation terms, bookcases) will also be removed from the Cheshunt Room and Reformed Studies Centre; the former will become a social area (served, when needed, by a mobile bar) and the latter an access library and informal discussion room.</w:t>
      </w:r>
    </w:p>
    <w:p>
      <w:pPr>
        <w:pStyle w:val="BodyText"/>
        <w:spacing w:line="235" w:lineRule="auto" w:before="4"/>
        <w:ind w:left="1133" w:right="2283"/>
      </w:pPr>
      <w:r>
        <w:rPr>
          <w:w w:val="120"/>
        </w:rPr>
        <w:t>The Common Room/Lounge will be refurbished, whilst the small rooms adjacent to the main entrance will be opened up as an attractive and welcoming reception area.</w:t>
      </w:r>
    </w:p>
    <w:p>
      <w:pPr>
        <w:pStyle w:val="BodyText"/>
        <w:spacing w:line="235" w:lineRule="auto" w:before="1"/>
        <w:ind w:left="1133" w:right="2919"/>
      </w:pPr>
      <w:r>
        <w:rPr>
          <w:w w:val="120"/>
        </w:rPr>
        <w:t>New building on the ground floor will provide a Prayer Chapel, a temperature- and humidity-controlled archive store and toilet accommodation.</w:t>
      </w:r>
    </w:p>
    <w:p>
      <w:pPr>
        <w:pStyle w:val="BodyText"/>
        <w:spacing w:before="10"/>
        <w:rPr>
          <w:sz w:val="19"/>
        </w:rPr>
      </w:pPr>
    </w:p>
    <w:p>
      <w:pPr>
        <w:pStyle w:val="BodyText"/>
        <w:spacing w:line="235" w:lineRule="auto"/>
        <w:ind w:left="1133" w:right="2113"/>
      </w:pPr>
      <w:r>
        <w:rPr>
          <w:spacing w:val="-3"/>
          <w:w w:val="120"/>
        </w:rPr>
        <w:t>Displaced </w:t>
      </w:r>
      <w:r>
        <w:rPr>
          <w:w w:val="120"/>
        </w:rPr>
        <w:t>books will be transferred </w:t>
      </w:r>
      <w:r>
        <w:rPr>
          <w:spacing w:val="-3"/>
          <w:w w:val="120"/>
        </w:rPr>
        <w:t>to </w:t>
      </w:r>
      <w:r>
        <w:rPr>
          <w:w w:val="120"/>
        </w:rPr>
        <w:t>the east end of the Library, </w:t>
      </w:r>
      <w:r>
        <w:rPr>
          <w:spacing w:val="-3"/>
          <w:w w:val="120"/>
        </w:rPr>
        <w:t>vacated </w:t>
      </w:r>
      <w:r>
        <w:rPr>
          <w:w w:val="120"/>
        </w:rPr>
        <w:t>by the Henry Martyn </w:t>
      </w:r>
      <w:r>
        <w:rPr>
          <w:spacing w:val="-3"/>
          <w:w w:val="120"/>
        </w:rPr>
        <w:t>Centre, to </w:t>
      </w:r>
      <w:r>
        <w:rPr>
          <w:w w:val="120"/>
        </w:rPr>
        <w:t>which there is disabled </w:t>
      </w:r>
      <w:r>
        <w:rPr>
          <w:spacing w:val="-4"/>
          <w:w w:val="120"/>
        </w:rPr>
        <w:t>access </w:t>
      </w:r>
      <w:r>
        <w:rPr>
          <w:w w:val="120"/>
        </w:rPr>
        <w:t>from the lift in the </w:t>
      </w:r>
      <w:r>
        <w:rPr>
          <w:spacing w:val="-3"/>
          <w:w w:val="120"/>
        </w:rPr>
        <w:t>adjacent residential wing; </w:t>
      </w:r>
      <w:r>
        <w:rPr>
          <w:spacing w:val="-5"/>
          <w:w w:val="120"/>
        </w:rPr>
        <w:t>however, </w:t>
      </w:r>
      <w:r>
        <w:rPr>
          <w:w w:val="120"/>
        </w:rPr>
        <w:t>the door at the west end of the Library will remain the principal </w:t>
      </w:r>
      <w:r>
        <w:rPr>
          <w:spacing w:val="-3"/>
          <w:w w:val="120"/>
        </w:rPr>
        <w:t>entrance. </w:t>
      </w:r>
      <w:r>
        <w:rPr>
          <w:w w:val="120"/>
        </w:rPr>
        <w:t>The </w:t>
      </w:r>
      <w:r>
        <w:rPr>
          <w:spacing w:val="-3"/>
          <w:w w:val="120"/>
        </w:rPr>
        <w:t>Senatus </w:t>
      </w:r>
      <w:r>
        <w:rPr>
          <w:w w:val="120"/>
        </w:rPr>
        <w:t>Room will be re-furnished and </w:t>
      </w:r>
      <w:r>
        <w:rPr>
          <w:spacing w:val="-3"/>
          <w:w w:val="120"/>
        </w:rPr>
        <w:t>sensitively </w:t>
      </w:r>
      <w:r>
        <w:rPr>
          <w:w w:val="120"/>
        </w:rPr>
        <w:t>equipped as a </w:t>
      </w:r>
      <w:r>
        <w:rPr>
          <w:spacing w:val="-3"/>
          <w:w w:val="120"/>
        </w:rPr>
        <w:t>teaching </w:t>
      </w:r>
      <w:r>
        <w:rPr>
          <w:w w:val="120"/>
        </w:rPr>
        <w:t>room.</w:t>
      </w:r>
    </w:p>
    <w:p>
      <w:pPr>
        <w:pStyle w:val="BodyText"/>
        <w:spacing w:before="10"/>
        <w:rPr>
          <w:sz w:val="19"/>
        </w:rPr>
      </w:pPr>
    </w:p>
    <w:p>
      <w:pPr>
        <w:pStyle w:val="BodyText"/>
        <w:spacing w:line="235" w:lineRule="auto" w:before="1"/>
        <w:ind w:left="1133" w:right="2191"/>
      </w:pPr>
      <w:r>
        <w:rPr>
          <w:w w:val="120"/>
        </w:rPr>
        <w:t>We have known for several years that the structure of the service ducts below the ground floor was seriously defective and that it has compromised the integrity of the terrazzo flooring in the main corridor and elsewhere. The proposals provide for the structure to be repaired.</w:t>
      </w:r>
    </w:p>
    <w:p>
      <w:pPr>
        <w:pStyle w:val="BodyText"/>
        <w:spacing w:before="9"/>
        <w:rPr>
          <w:sz w:val="17"/>
        </w:rPr>
      </w:pPr>
    </w:p>
    <w:p>
      <w:pPr>
        <w:numPr>
          <w:ilvl w:val="0"/>
          <w:numId w:val="121"/>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The Residential</w:t>
      </w:r>
      <w:r>
        <w:rPr>
          <w:rFonts w:ascii="Stone Sans II ITC Std Bk"/>
          <w:b/>
          <w:spacing w:val="-3"/>
          <w:w w:val="115"/>
          <w:sz w:val="21"/>
        </w:rPr>
        <w:t> </w:t>
      </w:r>
      <w:r>
        <w:rPr>
          <w:rFonts w:ascii="Stone Sans II ITC Std Bk"/>
          <w:b/>
          <w:w w:val="115"/>
          <w:sz w:val="21"/>
        </w:rPr>
        <w:t>Wing</w:t>
      </w:r>
    </w:p>
    <w:p>
      <w:pPr>
        <w:pStyle w:val="BodyText"/>
        <w:spacing w:line="227" w:lineRule="exact" w:before="219"/>
        <w:ind w:left="1133"/>
      </w:pPr>
      <w:r>
        <w:rPr>
          <w:w w:val="120"/>
        </w:rPr>
        <w:t>There will be 38 accommodation units of four types, all with en-suite facilities:</w:t>
      </w:r>
    </w:p>
    <w:p>
      <w:pPr>
        <w:pStyle w:val="ListParagraph"/>
        <w:numPr>
          <w:ilvl w:val="0"/>
          <w:numId w:val="103"/>
        </w:numPr>
        <w:tabs>
          <w:tab w:pos="1814" w:val="left" w:leader="none"/>
          <w:tab w:pos="1815" w:val="left" w:leader="none"/>
        </w:tabs>
        <w:spacing w:line="264" w:lineRule="exact" w:before="0" w:after="0"/>
        <w:ind w:left="1814" w:right="0" w:hanging="682"/>
        <w:jc w:val="left"/>
        <w:rPr>
          <w:sz w:val="20"/>
        </w:rPr>
      </w:pPr>
      <w:r>
        <w:rPr>
          <w:w w:val="120"/>
          <w:sz w:val="20"/>
        </w:rPr>
        <w:t>2 twin disabled study</w:t>
      </w:r>
      <w:r>
        <w:rPr>
          <w:spacing w:val="8"/>
          <w:w w:val="120"/>
          <w:sz w:val="20"/>
        </w:rPr>
        <w:t> </w:t>
      </w:r>
      <w:r>
        <w:rPr>
          <w:w w:val="120"/>
          <w:sz w:val="20"/>
        </w:rPr>
        <w:t>suites</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w w:val="120"/>
          <w:sz w:val="20"/>
        </w:rPr>
        <w:t>4 double study</w:t>
      </w:r>
      <w:r>
        <w:rPr>
          <w:spacing w:val="23"/>
          <w:w w:val="120"/>
          <w:sz w:val="20"/>
        </w:rPr>
        <w:t> </w:t>
      </w:r>
      <w:r>
        <w:rPr>
          <w:w w:val="120"/>
          <w:sz w:val="20"/>
        </w:rPr>
        <w:t>suites</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spacing w:val="-11"/>
          <w:w w:val="120"/>
          <w:sz w:val="20"/>
        </w:rPr>
        <w:t>11  </w:t>
      </w:r>
      <w:r>
        <w:rPr>
          <w:w w:val="120"/>
          <w:sz w:val="20"/>
        </w:rPr>
        <w:t>single study</w:t>
      </w:r>
      <w:r>
        <w:rPr>
          <w:spacing w:val="-11"/>
          <w:w w:val="120"/>
          <w:sz w:val="20"/>
        </w:rPr>
        <w:t> </w:t>
      </w:r>
      <w:r>
        <w:rPr>
          <w:w w:val="120"/>
          <w:sz w:val="20"/>
        </w:rPr>
        <w:t>suites</w:t>
      </w:r>
    </w:p>
    <w:p>
      <w:pPr>
        <w:pStyle w:val="ListParagraph"/>
        <w:numPr>
          <w:ilvl w:val="0"/>
          <w:numId w:val="103"/>
        </w:numPr>
        <w:tabs>
          <w:tab w:pos="1814" w:val="left" w:leader="none"/>
          <w:tab w:pos="1815" w:val="left" w:leader="none"/>
        </w:tabs>
        <w:spacing w:line="281" w:lineRule="exact" w:before="0" w:after="0"/>
        <w:ind w:left="1814" w:right="0" w:hanging="682"/>
        <w:jc w:val="left"/>
        <w:rPr>
          <w:sz w:val="20"/>
        </w:rPr>
      </w:pPr>
      <w:r>
        <w:rPr>
          <w:spacing w:val="-4"/>
          <w:w w:val="120"/>
          <w:sz w:val="20"/>
        </w:rPr>
        <w:t>21 </w:t>
      </w:r>
      <w:r>
        <w:rPr>
          <w:w w:val="120"/>
          <w:sz w:val="20"/>
        </w:rPr>
        <w:t>single bed-sitting</w:t>
      </w:r>
      <w:r>
        <w:rPr>
          <w:spacing w:val="11"/>
          <w:w w:val="120"/>
          <w:sz w:val="20"/>
        </w:rPr>
        <w:t> </w:t>
      </w:r>
      <w:r>
        <w:rPr>
          <w:w w:val="120"/>
          <w:sz w:val="20"/>
        </w:rPr>
        <w:t>rooms</w:t>
      </w:r>
    </w:p>
    <w:p>
      <w:pPr>
        <w:pStyle w:val="BodyText"/>
        <w:spacing w:line="235" w:lineRule="auto" w:before="192"/>
        <w:ind w:left="1133" w:right="2224"/>
      </w:pPr>
      <w:r>
        <w:rPr>
          <w:w w:val="120"/>
        </w:rPr>
        <w:t>Study suites will also be provided with sufficient kitchen facilities for self-catering, whilst single bed-sitting rooms will have tea- and coffee-making facilities. For students occupying the latter, a shared kitchen on the first floor will offer cooking facilities and a space to eat. The lift will serve ground, first and second</w:t>
      </w:r>
      <w:r>
        <w:rPr>
          <w:spacing w:val="27"/>
          <w:w w:val="120"/>
        </w:rPr>
        <w:t> </w:t>
      </w:r>
      <w:r>
        <w:rPr>
          <w:w w:val="120"/>
        </w:rPr>
        <w:t>floors.</w:t>
      </w:r>
    </w:p>
    <w:p>
      <w:pPr>
        <w:pStyle w:val="BodyText"/>
        <w:spacing w:before="11"/>
        <w:rPr>
          <w:sz w:val="19"/>
        </w:rPr>
      </w:pPr>
    </w:p>
    <w:p>
      <w:pPr>
        <w:pStyle w:val="BodyText"/>
        <w:spacing w:line="235" w:lineRule="auto"/>
        <w:ind w:left="1133" w:right="2110"/>
      </w:pPr>
      <w:r>
        <w:rPr>
          <w:w w:val="120"/>
        </w:rPr>
        <w:t>The loft already contains the Buick Knox archive room, and there will also be provision for a computer server room. There will be room in the south end of the loft for further storage space, although it is unlikely that this will be needed for the time being. The loft is already linked to the second floor by an existing spiral staircase.</w:t>
      </w:r>
    </w:p>
    <w:p>
      <w:pPr>
        <w:pStyle w:val="BodyText"/>
        <w:spacing w:before="9"/>
        <w:rPr>
          <w:sz w:val="17"/>
        </w:rPr>
      </w:pPr>
    </w:p>
    <w:p>
      <w:pPr>
        <w:numPr>
          <w:ilvl w:val="0"/>
          <w:numId w:val="121"/>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Peripheral</w:t>
      </w:r>
      <w:r>
        <w:rPr>
          <w:rFonts w:ascii="Stone Sans II ITC Std Bk"/>
          <w:b/>
          <w:spacing w:val="-2"/>
          <w:w w:val="115"/>
          <w:sz w:val="21"/>
        </w:rPr>
        <w:t> </w:t>
      </w:r>
      <w:r>
        <w:rPr>
          <w:rFonts w:ascii="Stone Sans II ITC Std Bk"/>
          <w:b/>
          <w:w w:val="115"/>
          <w:sz w:val="21"/>
        </w:rPr>
        <w:t>buildings</w:t>
      </w:r>
    </w:p>
    <w:p>
      <w:pPr>
        <w:pStyle w:val="BodyText"/>
        <w:spacing w:line="235" w:lineRule="auto" w:before="223"/>
        <w:ind w:left="1133" w:right="1997"/>
      </w:pPr>
      <w:r>
        <w:rPr>
          <w:w w:val="120"/>
        </w:rPr>
        <w:t>Since the Principal’s present accommodation in the Lodge will be given over to the Henry Martyn Centre and to new teaching facilities, it will be replaced by no.3 The Bounds, a detached house in the College grounds, which is to be re-furbished for the purpose.</w:t>
      </w:r>
    </w:p>
    <w:p>
      <w:pPr>
        <w:pStyle w:val="BodyText"/>
        <w:spacing w:before="10"/>
        <w:rPr>
          <w:sz w:val="19"/>
        </w:rPr>
      </w:pPr>
    </w:p>
    <w:p>
      <w:pPr>
        <w:pStyle w:val="BodyText"/>
        <w:spacing w:line="235" w:lineRule="auto"/>
        <w:ind w:left="1133" w:right="2573"/>
      </w:pPr>
      <w:r>
        <w:rPr>
          <w:w w:val="120"/>
        </w:rPr>
        <w:t>The annexe on the northern boundary has for many years provided two low-quality flats, generally occupied by sabbatical visitors. The annexes are to be insulated and refurbished to a higher standard and retained for the same purpose.</w:t>
      </w:r>
    </w:p>
    <w:p>
      <w:pPr>
        <w:pStyle w:val="BodyText"/>
        <w:spacing w:before="6"/>
        <w:rPr>
          <w:sz w:val="19"/>
        </w:rPr>
      </w:pPr>
    </w:p>
    <w:p>
      <w:pPr>
        <w:pStyle w:val="BodyText"/>
        <w:ind w:left="1133"/>
      </w:pPr>
      <w:r>
        <w:rPr>
          <w:w w:val="120"/>
        </w:rPr>
        <w:t>A new, timber-clad art studio will be built on a suitable site nearby.</w:t>
      </w:r>
    </w:p>
    <w:p>
      <w:pPr>
        <w:numPr>
          <w:ilvl w:val="0"/>
          <w:numId w:val="121"/>
        </w:numPr>
        <w:tabs>
          <w:tab w:pos="1853" w:val="left" w:leader="none"/>
          <w:tab w:pos="1854" w:val="left" w:leader="none"/>
        </w:tabs>
        <w:spacing w:before="213"/>
        <w:ind w:left="1853" w:right="0" w:hanging="721"/>
        <w:jc w:val="left"/>
        <w:rPr>
          <w:rFonts w:ascii="Stone Sans II ITC Std Bk"/>
          <w:b/>
          <w:sz w:val="21"/>
        </w:rPr>
      </w:pPr>
      <w:r>
        <w:rPr>
          <w:rFonts w:ascii="Stone Sans II ITC Std Bk"/>
          <w:b/>
          <w:w w:val="115"/>
          <w:sz w:val="21"/>
        </w:rPr>
        <w:t>Estimated order of</w:t>
      </w:r>
      <w:r>
        <w:rPr>
          <w:rFonts w:ascii="Stone Sans II ITC Std Bk"/>
          <w:b/>
          <w:spacing w:val="-5"/>
          <w:w w:val="115"/>
          <w:sz w:val="21"/>
        </w:rPr>
        <w:t> </w:t>
      </w:r>
      <w:r>
        <w:rPr>
          <w:rFonts w:ascii="Stone Sans II ITC Std Bk"/>
          <w:b/>
          <w:w w:val="115"/>
          <w:sz w:val="21"/>
        </w:rPr>
        <w:t>costs</w:t>
      </w:r>
    </w:p>
    <w:p>
      <w:pPr>
        <w:pStyle w:val="BodyText"/>
        <w:spacing w:line="235" w:lineRule="auto" w:before="223"/>
        <w:ind w:left="1133" w:right="1997"/>
      </w:pPr>
      <w:r>
        <w:rPr>
          <w:w w:val="120"/>
        </w:rPr>
        <w:t>The quantity surveyors’ report gives a comprehensive cost estimate of the works described above. The total of £5.3 million includes:</w:t>
      </w:r>
    </w:p>
    <w:p>
      <w:pPr>
        <w:pStyle w:val="ListParagraph"/>
        <w:numPr>
          <w:ilvl w:val="0"/>
          <w:numId w:val="103"/>
        </w:numPr>
        <w:tabs>
          <w:tab w:pos="1814" w:val="left" w:leader="none"/>
          <w:tab w:pos="1815" w:val="left" w:leader="none"/>
        </w:tabs>
        <w:spacing w:line="248" w:lineRule="exact" w:before="0" w:after="0"/>
        <w:ind w:left="1814" w:right="0" w:hanging="682"/>
        <w:jc w:val="left"/>
        <w:rPr>
          <w:sz w:val="20"/>
        </w:rPr>
      </w:pPr>
      <w:r>
        <w:rPr>
          <w:w w:val="125"/>
          <w:sz w:val="20"/>
        </w:rPr>
        <w:t>building and engineering</w:t>
      </w:r>
      <w:r>
        <w:rPr>
          <w:spacing w:val="-2"/>
          <w:w w:val="125"/>
          <w:sz w:val="20"/>
        </w:rPr>
        <w:t> </w:t>
      </w:r>
      <w:r>
        <w:rPr>
          <w:w w:val="125"/>
          <w:sz w:val="20"/>
        </w:rPr>
        <w:t>costs;</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w w:val="120"/>
          <w:sz w:val="20"/>
        </w:rPr>
        <w:t>furniture, fittings and</w:t>
      </w:r>
      <w:r>
        <w:rPr>
          <w:spacing w:val="6"/>
          <w:w w:val="120"/>
          <w:sz w:val="20"/>
        </w:rPr>
        <w:t> </w:t>
      </w:r>
      <w:r>
        <w:rPr>
          <w:w w:val="120"/>
          <w:sz w:val="20"/>
        </w:rPr>
        <w:t>equipment;</w:t>
      </w:r>
    </w:p>
    <w:p>
      <w:pPr>
        <w:pStyle w:val="ListParagraph"/>
        <w:numPr>
          <w:ilvl w:val="0"/>
          <w:numId w:val="103"/>
        </w:numPr>
        <w:tabs>
          <w:tab w:pos="1814" w:val="left" w:leader="none"/>
          <w:tab w:pos="1815" w:val="left" w:leader="none"/>
        </w:tabs>
        <w:spacing w:line="240" w:lineRule="exact" w:before="0" w:after="0"/>
        <w:ind w:left="1814" w:right="0" w:hanging="682"/>
        <w:jc w:val="left"/>
        <w:rPr>
          <w:sz w:val="20"/>
        </w:rPr>
      </w:pPr>
      <w:r>
        <w:rPr>
          <w:w w:val="115"/>
          <w:sz w:val="20"/>
        </w:rPr>
        <w:t>professional</w:t>
      </w:r>
      <w:r>
        <w:rPr>
          <w:spacing w:val="4"/>
          <w:w w:val="115"/>
          <w:sz w:val="20"/>
        </w:rPr>
        <w:t> </w:t>
      </w:r>
      <w:r>
        <w:rPr>
          <w:w w:val="115"/>
          <w:sz w:val="20"/>
        </w:rPr>
        <w:t>fees;</w:t>
      </w:r>
    </w:p>
    <w:p>
      <w:pPr>
        <w:pStyle w:val="ListParagraph"/>
        <w:numPr>
          <w:ilvl w:val="0"/>
          <w:numId w:val="103"/>
        </w:numPr>
        <w:tabs>
          <w:tab w:pos="1814" w:val="left" w:leader="none"/>
          <w:tab w:pos="1815" w:val="left" w:leader="none"/>
        </w:tabs>
        <w:spacing w:line="281" w:lineRule="exact" w:before="0" w:after="0"/>
        <w:ind w:left="1814" w:right="0" w:hanging="682"/>
        <w:jc w:val="left"/>
        <w:rPr>
          <w:sz w:val="22"/>
        </w:rPr>
      </w:pPr>
      <w:r>
        <w:rPr>
          <w:w w:val="110"/>
          <w:sz w:val="22"/>
        </w:rPr>
        <w:t>an inflation allowance to the end of</w:t>
      </w:r>
      <w:r>
        <w:rPr>
          <w:spacing w:val="11"/>
          <w:w w:val="110"/>
          <w:sz w:val="22"/>
        </w:rPr>
        <w:t> </w:t>
      </w:r>
      <w:r>
        <w:rPr>
          <w:spacing w:val="-11"/>
          <w:w w:val="110"/>
          <w:sz w:val="22"/>
        </w:rPr>
        <w:t>2011.</w:t>
      </w:r>
    </w:p>
    <w:p>
      <w:pPr>
        <w:spacing w:after="0" w:line="281" w:lineRule="exact"/>
        <w:jc w:val="left"/>
        <w:rPr>
          <w:sz w:val="22"/>
        </w:rPr>
        <w:sectPr>
          <w:pgSz w:w="11910" w:h="16840"/>
          <w:pgMar w:header="0" w:footer="647" w:top="1060" w:bottom="840" w:left="0" w:right="0"/>
        </w:sectPr>
      </w:pPr>
    </w:p>
    <w:p>
      <w:pPr>
        <w:pStyle w:val="BodyText"/>
        <w:spacing w:line="235" w:lineRule="auto" w:before="91"/>
        <w:ind w:left="1984" w:right="1120"/>
      </w:pPr>
      <w:r>
        <w:rPr/>
        <w:pict>
          <v:rect style="position:absolute;margin-left:558.424988pt;margin-top:8.503343pt;width:22.677pt;height:22.677pt;mso-position-horizontal-relative:page;mso-position-vertical-relative:paragraph;z-index:251983872" filled="true" fillcolor="#f9e9c1" stroked="false">
            <v:fill opacity="32768f" type="solid"/>
            <w10:wrap type="none"/>
          </v:rect>
        </w:pict>
      </w:r>
      <w:r>
        <w:rPr>
          <w:w w:val="120"/>
        </w:rPr>
        <w:t>In addition, allowances must be made for loss of income during the construction period, and for VAT.</w:t>
      </w:r>
    </w:p>
    <w:p>
      <w:pPr>
        <w:pStyle w:val="BodyText"/>
        <w:spacing w:before="5"/>
        <w:rPr>
          <w:sz w:val="18"/>
        </w:rPr>
      </w:pPr>
    </w:p>
    <w:p>
      <w:pPr>
        <w:numPr>
          <w:ilvl w:val="1"/>
          <w:numId w:val="121"/>
        </w:numPr>
        <w:tabs>
          <w:tab w:pos="3424" w:val="left" w:leader="none"/>
          <w:tab w:pos="3425" w:val="left" w:leader="none"/>
        </w:tabs>
        <w:spacing w:line="261" w:lineRule="exact" w:before="0"/>
        <w:ind w:left="3424" w:right="0" w:hanging="761"/>
        <w:jc w:val="left"/>
        <w:rPr>
          <w:rFonts w:ascii="Stone Sans II ITC Std X Bd"/>
          <w:b/>
          <w:sz w:val="20"/>
        </w:rPr>
      </w:pPr>
      <w:r>
        <w:rPr>
          <w:rFonts w:ascii="Stone Sans II ITC Std X Bd"/>
          <w:b/>
          <w:w w:val="110"/>
          <w:sz w:val="20"/>
        </w:rPr>
        <w:t>Loss of</w:t>
      </w:r>
      <w:r>
        <w:rPr>
          <w:rFonts w:ascii="Stone Sans II ITC Std X Bd"/>
          <w:b/>
          <w:spacing w:val="-1"/>
          <w:w w:val="110"/>
          <w:sz w:val="20"/>
        </w:rPr>
        <w:t> </w:t>
      </w:r>
      <w:r>
        <w:rPr>
          <w:rFonts w:ascii="Stone Sans II ITC Std X Bd"/>
          <w:b/>
          <w:w w:val="110"/>
          <w:sz w:val="20"/>
        </w:rPr>
        <w:t>income</w:t>
      </w:r>
    </w:p>
    <w:p>
      <w:pPr>
        <w:pStyle w:val="BodyText"/>
        <w:spacing w:line="235" w:lineRule="auto"/>
        <w:ind w:left="2664" w:right="1273"/>
      </w:pPr>
      <w:r>
        <w:rPr>
          <w:w w:val="120"/>
        </w:rPr>
        <w:t>The construction work will be phased over a period of up to two years in such a way as to allow the college to function; nevertheless, room rents and conference income will be significantly reduced during that period. We estimate the reduction in net income at £204,000.</w:t>
      </w:r>
    </w:p>
    <w:p>
      <w:pPr>
        <w:pStyle w:val="BodyText"/>
        <w:spacing w:before="2"/>
        <w:rPr>
          <w:sz w:val="19"/>
        </w:rPr>
      </w:pPr>
    </w:p>
    <w:p>
      <w:pPr>
        <w:pStyle w:val="BodyText"/>
        <w:ind w:left="2664"/>
      </w:pPr>
      <w:r>
        <w:rPr>
          <w:w w:val="120"/>
        </w:rPr>
        <w:t>The following is a table of costs excluding VAT:</w:t>
      </w:r>
    </w:p>
    <w:p>
      <w:pPr>
        <w:pStyle w:val="BodyText"/>
      </w:pPr>
    </w:p>
    <w:p>
      <w:pPr>
        <w:pStyle w:val="BodyText"/>
        <w:spacing w:before="10"/>
        <w:rPr>
          <w:sz w:val="15"/>
        </w:rPr>
      </w:pPr>
    </w:p>
    <w:tbl>
      <w:tblPr>
        <w:tblW w:w="0" w:type="auto"/>
        <w:jc w:val="left"/>
        <w:tblInd w:w="26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7"/>
        <w:gridCol w:w="5428"/>
        <w:gridCol w:w="1310"/>
      </w:tblGrid>
      <w:tr>
        <w:trPr>
          <w:trHeight w:val="340" w:hRule="atLeast"/>
        </w:trPr>
        <w:tc>
          <w:tcPr>
            <w:tcW w:w="537" w:type="dxa"/>
            <w:vMerge w:val="restart"/>
          </w:tcPr>
          <w:p>
            <w:pPr>
              <w:pStyle w:val="TableParagraph"/>
              <w:rPr>
                <w:rFonts w:ascii="Times New Roman"/>
                <w:sz w:val="22"/>
              </w:rPr>
            </w:pPr>
          </w:p>
        </w:tc>
        <w:tc>
          <w:tcPr>
            <w:tcW w:w="5428" w:type="dxa"/>
          </w:tcPr>
          <w:p>
            <w:pPr>
              <w:pStyle w:val="TableParagraph"/>
              <w:ind w:left="273"/>
              <w:rPr>
                <w:sz w:val="20"/>
              </w:rPr>
            </w:pPr>
            <w:r>
              <w:rPr>
                <w:w w:val="120"/>
                <w:sz w:val="20"/>
              </w:rPr>
              <w:t>Construction costs</w:t>
            </w:r>
          </w:p>
        </w:tc>
        <w:tc>
          <w:tcPr>
            <w:tcW w:w="1310" w:type="dxa"/>
          </w:tcPr>
          <w:p>
            <w:pPr>
              <w:pStyle w:val="TableParagraph"/>
              <w:ind w:right="77"/>
              <w:jc w:val="right"/>
              <w:rPr>
                <w:sz w:val="20"/>
              </w:rPr>
            </w:pPr>
            <w:r>
              <w:rPr>
                <w:w w:val="125"/>
                <w:sz w:val="20"/>
              </w:rPr>
              <w:t>4,040,000</w:t>
            </w:r>
          </w:p>
        </w:tc>
      </w:tr>
      <w:tr>
        <w:trPr>
          <w:trHeight w:val="440" w:hRule="atLeast"/>
        </w:trPr>
        <w:tc>
          <w:tcPr>
            <w:tcW w:w="537" w:type="dxa"/>
            <w:vMerge/>
            <w:tcBorders>
              <w:top w:val="nil"/>
            </w:tcBorders>
          </w:tcPr>
          <w:p>
            <w:pPr>
              <w:rPr>
                <w:sz w:val="2"/>
                <w:szCs w:val="2"/>
              </w:rPr>
            </w:pPr>
          </w:p>
        </w:tc>
        <w:tc>
          <w:tcPr>
            <w:tcW w:w="5428" w:type="dxa"/>
          </w:tcPr>
          <w:p>
            <w:pPr>
              <w:pStyle w:val="TableParagraph"/>
              <w:spacing w:before="100"/>
              <w:ind w:left="273"/>
              <w:rPr>
                <w:sz w:val="20"/>
              </w:rPr>
            </w:pPr>
            <w:r>
              <w:rPr>
                <w:w w:val="120"/>
                <w:sz w:val="20"/>
              </w:rPr>
              <w:t>Furniture, fittings and equipment</w:t>
            </w:r>
          </w:p>
        </w:tc>
        <w:tc>
          <w:tcPr>
            <w:tcW w:w="1310" w:type="dxa"/>
          </w:tcPr>
          <w:p>
            <w:pPr>
              <w:pStyle w:val="TableParagraph"/>
              <w:spacing w:before="100"/>
              <w:ind w:right="78"/>
              <w:jc w:val="right"/>
              <w:rPr>
                <w:sz w:val="20"/>
              </w:rPr>
            </w:pPr>
            <w:r>
              <w:rPr>
                <w:w w:val="125"/>
                <w:sz w:val="20"/>
              </w:rPr>
              <w:t>481,000</w:t>
            </w:r>
          </w:p>
        </w:tc>
      </w:tr>
      <w:tr>
        <w:trPr>
          <w:trHeight w:val="440" w:hRule="atLeast"/>
        </w:trPr>
        <w:tc>
          <w:tcPr>
            <w:tcW w:w="537" w:type="dxa"/>
            <w:vMerge/>
            <w:tcBorders>
              <w:top w:val="nil"/>
            </w:tcBorders>
          </w:tcPr>
          <w:p>
            <w:pPr>
              <w:rPr>
                <w:sz w:val="2"/>
                <w:szCs w:val="2"/>
              </w:rPr>
            </w:pPr>
          </w:p>
        </w:tc>
        <w:tc>
          <w:tcPr>
            <w:tcW w:w="5428" w:type="dxa"/>
          </w:tcPr>
          <w:p>
            <w:pPr>
              <w:pStyle w:val="TableParagraph"/>
              <w:spacing w:before="100"/>
              <w:ind w:left="273"/>
              <w:rPr>
                <w:sz w:val="20"/>
              </w:rPr>
            </w:pPr>
            <w:r>
              <w:rPr>
                <w:w w:val="115"/>
                <w:sz w:val="20"/>
              </w:rPr>
              <w:t>Professional fees</w:t>
            </w:r>
          </w:p>
        </w:tc>
        <w:tc>
          <w:tcPr>
            <w:tcW w:w="1310" w:type="dxa"/>
          </w:tcPr>
          <w:p>
            <w:pPr>
              <w:pStyle w:val="TableParagraph"/>
              <w:spacing w:before="100"/>
              <w:ind w:right="78"/>
              <w:jc w:val="right"/>
              <w:rPr>
                <w:sz w:val="20"/>
              </w:rPr>
            </w:pPr>
            <w:r>
              <w:rPr>
                <w:w w:val="125"/>
                <w:sz w:val="20"/>
              </w:rPr>
              <w:t>687,000</w:t>
            </w:r>
          </w:p>
        </w:tc>
      </w:tr>
      <w:tr>
        <w:trPr>
          <w:trHeight w:val="365" w:hRule="atLeast"/>
        </w:trPr>
        <w:tc>
          <w:tcPr>
            <w:tcW w:w="537" w:type="dxa"/>
            <w:vMerge/>
            <w:tcBorders>
              <w:top w:val="nil"/>
            </w:tcBorders>
          </w:tcPr>
          <w:p>
            <w:pPr>
              <w:rPr>
                <w:sz w:val="2"/>
                <w:szCs w:val="2"/>
              </w:rPr>
            </w:pPr>
          </w:p>
        </w:tc>
        <w:tc>
          <w:tcPr>
            <w:tcW w:w="5428" w:type="dxa"/>
          </w:tcPr>
          <w:p>
            <w:pPr>
              <w:pStyle w:val="TableParagraph"/>
              <w:spacing w:before="100"/>
              <w:ind w:left="273"/>
              <w:rPr>
                <w:sz w:val="20"/>
              </w:rPr>
            </w:pPr>
            <w:r>
              <w:rPr>
                <w:w w:val="115"/>
                <w:sz w:val="20"/>
              </w:rPr>
              <w:t>Provision for inflation</w:t>
            </w:r>
          </w:p>
        </w:tc>
        <w:tc>
          <w:tcPr>
            <w:tcW w:w="1310" w:type="dxa"/>
            <w:tcBorders>
              <w:bottom w:val="single" w:sz="4" w:space="0" w:color="000000"/>
            </w:tcBorders>
          </w:tcPr>
          <w:p>
            <w:pPr>
              <w:pStyle w:val="TableParagraph"/>
              <w:spacing w:before="100"/>
              <w:ind w:right="78"/>
              <w:jc w:val="right"/>
              <w:rPr>
                <w:sz w:val="20"/>
              </w:rPr>
            </w:pPr>
            <w:r>
              <w:rPr>
                <w:w w:val="125"/>
                <w:sz w:val="20"/>
              </w:rPr>
              <w:t>122,000</w:t>
            </w:r>
          </w:p>
        </w:tc>
      </w:tr>
      <w:tr>
        <w:trPr>
          <w:trHeight w:val="505" w:hRule="atLeast"/>
        </w:trPr>
        <w:tc>
          <w:tcPr>
            <w:tcW w:w="537" w:type="dxa"/>
            <w:vMerge/>
            <w:tcBorders>
              <w:top w:val="nil"/>
            </w:tcBorders>
          </w:tcPr>
          <w:p>
            <w:pPr>
              <w:rPr>
                <w:sz w:val="2"/>
                <w:szCs w:val="2"/>
              </w:rPr>
            </w:pPr>
          </w:p>
        </w:tc>
        <w:tc>
          <w:tcPr>
            <w:tcW w:w="5428" w:type="dxa"/>
          </w:tcPr>
          <w:p>
            <w:pPr>
              <w:pStyle w:val="TableParagraph"/>
              <w:spacing w:before="165"/>
              <w:ind w:left="273"/>
              <w:rPr>
                <w:sz w:val="20"/>
              </w:rPr>
            </w:pPr>
            <w:r>
              <w:rPr>
                <w:w w:val="120"/>
                <w:sz w:val="20"/>
              </w:rPr>
              <w:t>Total</w:t>
            </w:r>
          </w:p>
        </w:tc>
        <w:tc>
          <w:tcPr>
            <w:tcW w:w="1310" w:type="dxa"/>
            <w:tcBorders>
              <w:top w:val="single" w:sz="4" w:space="0" w:color="000000"/>
            </w:tcBorders>
          </w:tcPr>
          <w:p>
            <w:pPr>
              <w:pStyle w:val="TableParagraph"/>
              <w:spacing w:before="165"/>
              <w:ind w:right="78"/>
              <w:jc w:val="right"/>
              <w:rPr>
                <w:sz w:val="20"/>
              </w:rPr>
            </w:pPr>
            <w:r>
              <w:rPr>
                <w:w w:val="125"/>
                <w:sz w:val="20"/>
              </w:rPr>
              <w:t>5,330,000</w:t>
            </w:r>
          </w:p>
        </w:tc>
      </w:tr>
      <w:tr>
        <w:trPr>
          <w:trHeight w:val="361" w:hRule="atLeast"/>
        </w:trPr>
        <w:tc>
          <w:tcPr>
            <w:tcW w:w="537" w:type="dxa"/>
            <w:vMerge/>
            <w:tcBorders>
              <w:top w:val="nil"/>
            </w:tcBorders>
          </w:tcPr>
          <w:p>
            <w:pPr>
              <w:rPr>
                <w:sz w:val="2"/>
                <w:szCs w:val="2"/>
              </w:rPr>
            </w:pPr>
          </w:p>
        </w:tc>
        <w:tc>
          <w:tcPr>
            <w:tcW w:w="5428" w:type="dxa"/>
          </w:tcPr>
          <w:p>
            <w:pPr>
              <w:pStyle w:val="TableParagraph"/>
              <w:spacing w:line="241" w:lineRule="exact" w:before="100"/>
              <w:ind w:left="273"/>
              <w:rPr>
                <w:sz w:val="20"/>
              </w:rPr>
            </w:pPr>
            <w:r>
              <w:rPr>
                <w:w w:val="120"/>
                <w:sz w:val="20"/>
              </w:rPr>
              <w:t>Plus loss of income during construction</w:t>
            </w:r>
          </w:p>
        </w:tc>
        <w:tc>
          <w:tcPr>
            <w:tcW w:w="1310" w:type="dxa"/>
            <w:tcBorders>
              <w:bottom w:val="single" w:sz="8" w:space="0" w:color="000000"/>
            </w:tcBorders>
          </w:tcPr>
          <w:p>
            <w:pPr>
              <w:pStyle w:val="TableParagraph"/>
              <w:spacing w:line="241" w:lineRule="exact" w:before="100"/>
              <w:ind w:right="78"/>
              <w:jc w:val="right"/>
              <w:rPr>
                <w:sz w:val="20"/>
              </w:rPr>
            </w:pPr>
            <w:r>
              <w:rPr>
                <w:w w:val="125"/>
                <w:sz w:val="20"/>
              </w:rPr>
              <w:t>204,000</w:t>
            </w:r>
          </w:p>
        </w:tc>
      </w:tr>
      <w:tr>
        <w:trPr>
          <w:trHeight w:val="423" w:hRule="atLeast"/>
        </w:trPr>
        <w:tc>
          <w:tcPr>
            <w:tcW w:w="537" w:type="dxa"/>
            <w:vMerge/>
            <w:tcBorders>
              <w:top w:val="nil"/>
            </w:tcBorders>
          </w:tcPr>
          <w:p>
            <w:pPr>
              <w:rPr>
                <w:sz w:val="2"/>
                <w:szCs w:val="2"/>
              </w:rPr>
            </w:pPr>
          </w:p>
        </w:tc>
        <w:tc>
          <w:tcPr>
            <w:tcW w:w="5428" w:type="dxa"/>
          </w:tcPr>
          <w:p>
            <w:pPr>
              <w:pStyle w:val="TableParagraph"/>
              <w:spacing w:line="243" w:lineRule="exact" w:before="160"/>
              <w:ind w:left="273"/>
              <w:rPr>
                <w:sz w:val="20"/>
              </w:rPr>
            </w:pPr>
            <w:r>
              <w:rPr>
                <w:w w:val="120"/>
                <w:sz w:val="20"/>
              </w:rPr>
              <w:t>Grand Total</w:t>
            </w:r>
          </w:p>
        </w:tc>
        <w:tc>
          <w:tcPr>
            <w:tcW w:w="1310" w:type="dxa"/>
            <w:tcBorders>
              <w:top w:val="single" w:sz="8" w:space="0" w:color="000000"/>
              <w:bottom w:val="double" w:sz="1" w:space="0" w:color="000000"/>
            </w:tcBorders>
          </w:tcPr>
          <w:p>
            <w:pPr>
              <w:pStyle w:val="TableParagraph"/>
              <w:spacing w:line="243" w:lineRule="exact" w:before="160"/>
              <w:ind w:right="78"/>
              <w:jc w:val="right"/>
              <w:rPr>
                <w:sz w:val="20"/>
              </w:rPr>
            </w:pPr>
            <w:r>
              <w:rPr>
                <w:w w:val="125"/>
                <w:sz w:val="20"/>
              </w:rPr>
              <w:t>£5,534,000</w:t>
            </w:r>
          </w:p>
        </w:tc>
      </w:tr>
      <w:tr>
        <w:trPr>
          <w:trHeight w:val="690" w:hRule="atLeast"/>
        </w:trPr>
        <w:tc>
          <w:tcPr>
            <w:tcW w:w="537" w:type="dxa"/>
          </w:tcPr>
          <w:p>
            <w:pPr>
              <w:pStyle w:val="TableParagraph"/>
              <w:spacing w:before="9"/>
              <w:rPr>
                <w:sz w:val="35"/>
              </w:rPr>
            </w:pPr>
          </w:p>
          <w:p>
            <w:pPr>
              <w:pStyle w:val="TableParagraph"/>
              <w:spacing w:line="234" w:lineRule="exact"/>
              <w:ind w:left="50"/>
              <w:rPr>
                <w:rFonts w:ascii="Stone Sans II ITC Std X Bd"/>
                <w:b/>
                <w:sz w:val="20"/>
              </w:rPr>
            </w:pPr>
            <w:r>
              <w:rPr>
                <w:rFonts w:ascii="Stone Sans II ITC Std X Bd"/>
                <w:b/>
                <w:w w:val="110"/>
                <w:sz w:val="20"/>
              </w:rPr>
              <w:t>ii.</w:t>
            </w:r>
          </w:p>
        </w:tc>
        <w:tc>
          <w:tcPr>
            <w:tcW w:w="5428" w:type="dxa"/>
          </w:tcPr>
          <w:p>
            <w:pPr>
              <w:pStyle w:val="TableParagraph"/>
              <w:spacing w:before="9"/>
              <w:rPr>
                <w:sz w:val="35"/>
              </w:rPr>
            </w:pPr>
          </w:p>
          <w:p>
            <w:pPr>
              <w:pStyle w:val="TableParagraph"/>
              <w:spacing w:line="234" w:lineRule="exact"/>
              <w:ind w:left="272"/>
              <w:rPr>
                <w:rFonts w:ascii="Stone Sans II ITC Std X Bd"/>
                <w:b/>
                <w:sz w:val="20"/>
              </w:rPr>
            </w:pPr>
            <w:r>
              <w:rPr>
                <w:rFonts w:ascii="Stone Sans II ITC Std X Bd"/>
                <w:b/>
                <w:w w:val="110"/>
                <w:sz w:val="20"/>
              </w:rPr>
              <w:t>VAT</w:t>
            </w:r>
          </w:p>
        </w:tc>
        <w:tc>
          <w:tcPr>
            <w:tcW w:w="1310" w:type="dxa"/>
            <w:tcBorders>
              <w:top w:val="double" w:sz="1" w:space="0" w:color="000000"/>
            </w:tcBorders>
          </w:tcPr>
          <w:p>
            <w:pPr>
              <w:pStyle w:val="TableParagraph"/>
              <w:rPr>
                <w:rFonts w:ascii="Times New Roman"/>
                <w:sz w:val="22"/>
              </w:rPr>
            </w:pPr>
          </w:p>
        </w:tc>
      </w:tr>
    </w:tbl>
    <w:p>
      <w:pPr>
        <w:pStyle w:val="BodyText"/>
        <w:spacing w:line="235" w:lineRule="auto" w:before="2"/>
        <w:ind w:left="2664" w:right="1602"/>
      </w:pPr>
      <w:r>
        <w:rPr>
          <w:spacing w:val="-7"/>
          <w:w w:val="120"/>
        </w:rPr>
        <w:t>VAT  </w:t>
      </w:r>
      <w:r>
        <w:rPr>
          <w:w w:val="120"/>
        </w:rPr>
        <w:t>at </w:t>
      </w:r>
      <w:r>
        <w:rPr>
          <w:spacing w:val="-11"/>
          <w:w w:val="120"/>
        </w:rPr>
        <w:t>17.5%  </w:t>
      </w:r>
      <w:r>
        <w:rPr>
          <w:w w:val="120"/>
        </w:rPr>
        <w:t>on expenditure of </w:t>
      </w:r>
      <w:r>
        <w:rPr>
          <w:spacing w:val="-3"/>
          <w:w w:val="120"/>
        </w:rPr>
        <w:t>£5.33m </w:t>
      </w:r>
      <w:r>
        <w:rPr>
          <w:w w:val="120"/>
        </w:rPr>
        <w:t>would amount to </w:t>
      </w:r>
      <w:r>
        <w:rPr>
          <w:spacing w:val="-2"/>
          <w:w w:val="120"/>
        </w:rPr>
        <w:t>£933,000. </w:t>
      </w:r>
      <w:r>
        <w:rPr>
          <w:w w:val="120"/>
        </w:rPr>
        <w:t>Not all the expenditure will attract </w:t>
      </w:r>
      <w:r>
        <w:rPr>
          <w:spacing w:val="-10"/>
          <w:w w:val="120"/>
        </w:rPr>
        <w:t>VAT: </w:t>
      </w:r>
      <w:r>
        <w:rPr>
          <w:w w:val="120"/>
        </w:rPr>
        <w:t>listed buildings and certain work on student accommodation are zero-rated, but the rules are complex and we are taking advice from PricewaterhouseCoopers in order to quantify the cost. We expect to receive their </w:t>
      </w:r>
      <w:r>
        <w:rPr>
          <w:spacing w:val="2"/>
          <w:w w:val="120"/>
        </w:rPr>
        <w:t>report </w:t>
      </w:r>
      <w:r>
        <w:rPr>
          <w:w w:val="120"/>
        </w:rPr>
        <w:t>within two months. In the meantime, and as a</w:t>
      </w:r>
      <w:r>
        <w:rPr>
          <w:spacing w:val="25"/>
          <w:w w:val="120"/>
        </w:rPr>
        <w:t> </w:t>
      </w:r>
      <w:r>
        <w:rPr>
          <w:w w:val="120"/>
        </w:rPr>
        <w:t>working</w:t>
      </w:r>
    </w:p>
    <w:p>
      <w:pPr>
        <w:pStyle w:val="BodyText"/>
        <w:spacing w:line="235" w:lineRule="auto" w:before="3"/>
        <w:ind w:left="2664" w:right="1273"/>
      </w:pPr>
      <w:r>
        <w:rPr>
          <w:w w:val="120"/>
        </w:rPr>
        <w:t>hypothesis, we have taken the VAT exposure at two-thirds (£622,000) suggesting an overall cost for the project of some £6,200,000.</w:t>
      </w:r>
    </w:p>
    <w:p>
      <w:pPr>
        <w:pStyle w:val="BodyText"/>
        <w:spacing w:before="8"/>
        <w:rPr>
          <w:sz w:val="17"/>
        </w:rPr>
      </w:pPr>
    </w:p>
    <w:p>
      <w:pPr>
        <w:pStyle w:val="ListParagraph"/>
        <w:numPr>
          <w:ilvl w:val="0"/>
          <w:numId w:val="119"/>
        </w:numPr>
        <w:tabs>
          <w:tab w:pos="2705" w:val="left" w:leader="none"/>
        </w:tabs>
        <w:spacing w:line="240" w:lineRule="auto" w:before="0" w:after="0"/>
        <w:ind w:left="2704" w:right="0" w:hanging="721"/>
        <w:jc w:val="both"/>
        <w:rPr>
          <w:rFonts w:ascii="Stone Sans II ITC Std Bk"/>
          <w:b/>
          <w:sz w:val="21"/>
        </w:rPr>
      </w:pPr>
      <w:r>
        <w:rPr>
          <w:rFonts w:ascii="Stone Sans II ITC Std Bk"/>
          <w:b/>
          <w:w w:val="115"/>
          <w:sz w:val="21"/>
        </w:rPr>
        <w:t>Implementation of the</w:t>
      </w:r>
      <w:r>
        <w:rPr>
          <w:rFonts w:ascii="Stone Sans II ITC Std Bk"/>
          <w:b/>
          <w:spacing w:val="-5"/>
          <w:w w:val="115"/>
          <w:sz w:val="21"/>
        </w:rPr>
        <w:t> </w:t>
      </w:r>
      <w:r>
        <w:rPr>
          <w:rFonts w:ascii="Stone Sans II ITC Std Bk"/>
          <w:b/>
          <w:w w:val="115"/>
          <w:sz w:val="21"/>
        </w:rPr>
        <w:t>plan</w:t>
      </w:r>
    </w:p>
    <w:p>
      <w:pPr>
        <w:pStyle w:val="ListParagraph"/>
        <w:numPr>
          <w:ilvl w:val="1"/>
          <w:numId w:val="119"/>
        </w:numPr>
        <w:tabs>
          <w:tab w:pos="2665" w:val="left" w:leader="none"/>
        </w:tabs>
        <w:spacing w:line="235" w:lineRule="auto" w:before="223" w:after="0"/>
        <w:ind w:left="1984" w:right="1642" w:firstLine="0"/>
        <w:jc w:val="both"/>
        <w:rPr>
          <w:sz w:val="20"/>
        </w:rPr>
      </w:pPr>
      <w:r>
        <w:rPr>
          <w:w w:val="120"/>
          <w:sz w:val="20"/>
        </w:rPr>
        <w:t>The governors view the plan as a single entity, believing that there is little permanent</w:t>
      </w:r>
      <w:r>
        <w:rPr>
          <w:spacing w:val="6"/>
          <w:w w:val="120"/>
          <w:sz w:val="20"/>
        </w:rPr>
        <w:t> </w:t>
      </w:r>
      <w:r>
        <w:rPr>
          <w:w w:val="120"/>
          <w:sz w:val="20"/>
        </w:rPr>
        <w:t>benefit</w:t>
      </w:r>
      <w:r>
        <w:rPr>
          <w:spacing w:val="6"/>
          <w:w w:val="120"/>
          <w:sz w:val="20"/>
        </w:rPr>
        <w:t> </w:t>
      </w:r>
      <w:r>
        <w:rPr>
          <w:w w:val="120"/>
          <w:sz w:val="20"/>
        </w:rPr>
        <w:t>to</w:t>
      </w:r>
      <w:r>
        <w:rPr>
          <w:spacing w:val="6"/>
          <w:w w:val="120"/>
          <w:sz w:val="20"/>
        </w:rPr>
        <w:t> </w:t>
      </w:r>
      <w:r>
        <w:rPr>
          <w:w w:val="120"/>
          <w:sz w:val="20"/>
        </w:rPr>
        <w:t>be</w:t>
      </w:r>
      <w:r>
        <w:rPr>
          <w:spacing w:val="7"/>
          <w:w w:val="120"/>
          <w:sz w:val="20"/>
        </w:rPr>
        <w:t> </w:t>
      </w:r>
      <w:r>
        <w:rPr>
          <w:w w:val="120"/>
          <w:sz w:val="20"/>
        </w:rPr>
        <w:t>gained</w:t>
      </w:r>
      <w:r>
        <w:rPr>
          <w:spacing w:val="6"/>
          <w:w w:val="120"/>
          <w:sz w:val="20"/>
        </w:rPr>
        <w:t> </w:t>
      </w:r>
      <w:r>
        <w:rPr>
          <w:w w:val="120"/>
          <w:sz w:val="20"/>
        </w:rPr>
        <w:t>by</w:t>
      </w:r>
      <w:r>
        <w:rPr>
          <w:spacing w:val="6"/>
          <w:w w:val="120"/>
          <w:sz w:val="20"/>
        </w:rPr>
        <w:t> </w:t>
      </w:r>
      <w:r>
        <w:rPr>
          <w:w w:val="120"/>
          <w:sz w:val="20"/>
        </w:rPr>
        <w:t>implementing</w:t>
      </w:r>
      <w:r>
        <w:rPr>
          <w:spacing w:val="6"/>
          <w:w w:val="120"/>
          <w:sz w:val="20"/>
        </w:rPr>
        <w:t> </w:t>
      </w:r>
      <w:r>
        <w:rPr>
          <w:w w:val="120"/>
          <w:sz w:val="20"/>
        </w:rPr>
        <w:t>only</w:t>
      </w:r>
      <w:r>
        <w:rPr>
          <w:spacing w:val="7"/>
          <w:w w:val="120"/>
          <w:sz w:val="20"/>
        </w:rPr>
        <w:t> </w:t>
      </w:r>
      <w:r>
        <w:rPr>
          <w:w w:val="120"/>
          <w:sz w:val="20"/>
        </w:rPr>
        <w:t>certain</w:t>
      </w:r>
      <w:r>
        <w:rPr>
          <w:spacing w:val="6"/>
          <w:w w:val="120"/>
          <w:sz w:val="20"/>
        </w:rPr>
        <w:t> </w:t>
      </w:r>
      <w:r>
        <w:rPr>
          <w:spacing w:val="2"/>
          <w:w w:val="120"/>
          <w:sz w:val="20"/>
        </w:rPr>
        <w:t>parts</w:t>
      </w:r>
      <w:r>
        <w:rPr>
          <w:spacing w:val="6"/>
          <w:w w:val="120"/>
          <w:sz w:val="20"/>
        </w:rPr>
        <w:t> </w:t>
      </w:r>
      <w:r>
        <w:rPr>
          <w:w w:val="120"/>
          <w:sz w:val="20"/>
        </w:rPr>
        <w:t>of</w:t>
      </w:r>
      <w:r>
        <w:rPr>
          <w:spacing w:val="6"/>
          <w:w w:val="120"/>
          <w:sz w:val="20"/>
        </w:rPr>
        <w:t> </w:t>
      </w:r>
      <w:r>
        <w:rPr>
          <w:w w:val="120"/>
          <w:sz w:val="20"/>
        </w:rPr>
        <w:t>it;</w:t>
      </w:r>
      <w:r>
        <w:rPr>
          <w:spacing w:val="7"/>
          <w:w w:val="120"/>
          <w:sz w:val="20"/>
        </w:rPr>
        <w:t> </w:t>
      </w:r>
      <w:r>
        <w:rPr>
          <w:w w:val="120"/>
          <w:sz w:val="20"/>
        </w:rPr>
        <w:t>moreover,</w:t>
      </w:r>
    </w:p>
    <w:p>
      <w:pPr>
        <w:pStyle w:val="BodyText"/>
        <w:spacing w:line="235" w:lineRule="auto" w:before="1"/>
        <w:ind w:left="1984" w:right="1245"/>
        <w:jc w:val="both"/>
      </w:pPr>
      <w:r>
        <w:rPr>
          <w:w w:val="120"/>
        </w:rPr>
        <w:t>the overall cost would be considerably greater if it were tackled piecemeal. Accordingly, they have accepted the architect’s recommendation that a decision to proceed with the plan should embrace it in its entirety.</w:t>
      </w:r>
    </w:p>
    <w:p>
      <w:pPr>
        <w:pStyle w:val="BodyText"/>
        <w:spacing w:before="10"/>
        <w:rPr>
          <w:sz w:val="19"/>
        </w:rPr>
      </w:pPr>
    </w:p>
    <w:p>
      <w:pPr>
        <w:pStyle w:val="ListParagraph"/>
        <w:numPr>
          <w:ilvl w:val="1"/>
          <w:numId w:val="119"/>
        </w:numPr>
        <w:tabs>
          <w:tab w:pos="2664" w:val="left" w:leader="none"/>
          <w:tab w:pos="2665" w:val="left" w:leader="none"/>
        </w:tabs>
        <w:spacing w:line="235" w:lineRule="auto" w:before="1" w:after="0"/>
        <w:ind w:left="1984" w:right="1344" w:firstLine="0"/>
        <w:jc w:val="left"/>
        <w:rPr>
          <w:sz w:val="20"/>
        </w:rPr>
      </w:pPr>
      <w:r>
        <w:rPr>
          <w:w w:val="120"/>
          <w:sz w:val="20"/>
        </w:rPr>
        <w:t>In accordance with the governors’ decision to apply for planning permission,   the application will be submitted in early February; since the buildings are listed Grade II, there will also be an application for listed building consent. We are advised that decisions on both may be expected in the first half of</w:t>
      </w:r>
      <w:r>
        <w:rPr>
          <w:spacing w:val="26"/>
          <w:w w:val="120"/>
          <w:sz w:val="20"/>
        </w:rPr>
        <w:t> </w:t>
      </w:r>
      <w:r>
        <w:rPr>
          <w:w w:val="120"/>
          <w:sz w:val="20"/>
        </w:rPr>
        <w:t>April.</w:t>
      </w:r>
    </w:p>
    <w:p>
      <w:pPr>
        <w:pStyle w:val="BodyText"/>
        <w:spacing w:before="8"/>
        <w:rPr>
          <w:sz w:val="17"/>
        </w:rPr>
      </w:pPr>
    </w:p>
    <w:p>
      <w:pPr>
        <w:numPr>
          <w:ilvl w:val="0"/>
          <w:numId w:val="119"/>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Capital</w:t>
      </w:r>
      <w:r>
        <w:rPr>
          <w:rFonts w:ascii="Stone Sans II ITC Std Bk"/>
          <w:b/>
          <w:spacing w:val="-2"/>
          <w:w w:val="115"/>
          <w:sz w:val="21"/>
        </w:rPr>
        <w:t> </w:t>
      </w:r>
      <w:r>
        <w:rPr>
          <w:rFonts w:ascii="Stone Sans II ITC Std Bk"/>
          <w:b/>
          <w:w w:val="115"/>
          <w:sz w:val="21"/>
        </w:rPr>
        <w:t>funding</w:t>
      </w:r>
    </w:p>
    <w:p>
      <w:pPr>
        <w:pStyle w:val="BodyText"/>
        <w:spacing w:line="235" w:lineRule="auto" w:before="222"/>
        <w:ind w:left="1984" w:right="1239"/>
      </w:pPr>
      <w:r>
        <w:rPr>
          <w:w w:val="120"/>
        </w:rPr>
        <w:t>The college has spendable reserves of some £550,000. It also has some realisable assets, which the governors have in principle agreed to sell. The first sale has recently been agreed and will produce £363,000; other sales might bring the total up to £2,000,000. The timing of these sales is uncertain, but we hope it might be possible to complete them within two years. The remainder of the project cost will need to be raised by a fund-raising appeal. The following table shows the pattern of funding</w:t>
      </w:r>
      <w:r>
        <w:rPr>
          <w:spacing w:val="1"/>
          <w:w w:val="120"/>
        </w:rPr>
        <w:t> </w:t>
      </w:r>
      <w:r>
        <w:rPr>
          <w:w w:val="120"/>
        </w:rPr>
        <w:t>required.</w:t>
      </w:r>
    </w:p>
    <w:p>
      <w:pPr>
        <w:spacing w:after="0" w:line="235" w:lineRule="auto"/>
        <w:sectPr>
          <w:pgSz w:w="11910" w:h="16840"/>
          <w:pgMar w:header="0" w:footer="647" w:top="1060" w:bottom="840" w:left="0" w:right="0"/>
        </w:sectPr>
      </w:pPr>
    </w:p>
    <w:p>
      <w:pPr>
        <w:pStyle w:val="BodyText"/>
        <w:spacing w:before="4"/>
        <w:rPr>
          <w:sz w:val="5"/>
        </w:rPr>
      </w:pPr>
      <w:r>
        <w:rPr/>
        <w:pict>
          <v:group style="position:absolute;margin-left:0pt;margin-top:600.508423pt;width:595.3pt;height:241.4pt;mso-position-horizontal-relative:page;mso-position-vertical-relative:page;z-index:-267432960" coordorigin="0,12010" coordsize="11906,4828">
            <v:rect style="position:absolute;left:0;top:13223;width:11906;height:3615" filled="true" fillcolor="#8ba8bd" stroked="false">
              <v:fill type="solid"/>
            </v:rect>
            <v:shape style="position:absolute;left:10421;top:12010;width:1485;height:1242" coordorigin="10421,12010" coordsize="1485,1242" path="m11906,12010l11889,12085,11870,12155,11848,12224,11822,12292,11794,12358,11762,12422,11728,12484,11691,12545,11651,12604,11608,12661,11564,12716,11516,12768,11466,12819,11414,12867,11360,12913,11304,12956,11246,12996,11186,13034,11124,13070,11060,13102,10994,13131,10927,13158,10859,13181,10789,13202,10718,13218,10645,13232,10572,13242,10497,13249,10421,13252,11906,13252,11906,12010xe" filled="true" fillcolor="#8ba8bd" stroked="false">
              <v:path arrowok="t"/>
              <v:fill type="solid"/>
            </v:shape>
            <v:shape style="position:absolute;left:878;top:13980;width:4558;height:2008" type="#_x0000_t75" stroked="false">
              <v:imagedata r:id="rId240" o:title=""/>
            </v:shape>
            <w10:wrap type="none"/>
          </v:group>
        </w:pict>
      </w:r>
    </w:p>
    <w:p>
      <w:pPr>
        <w:pStyle w:val="BodyText"/>
        <w:tabs>
          <w:tab w:pos="1844" w:val="left" w:leader="none"/>
        </w:tabs>
        <w:ind w:left="240"/>
      </w:pPr>
      <w:r>
        <w:rPr>
          <w:position w:val="192"/>
        </w:rPr>
        <w:pict>
          <v:group style="width:22.7pt;height:22.7pt;mso-position-horizontal-relative:char;mso-position-vertical-relative:line" coordorigin="0,0" coordsize="454,454">
            <v:rect style="position:absolute;left:0;top:0;width:454;height:454" filled="true" fillcolor="#f9e9c1" stroked="false">
              <v:fill opacity="32768f" type="solid"/>
            </v:rect>
          </v:group>
        </w:pict>
      </w:r>
      <w:r>
        <w:rPr>
          <w:position w:val="192"/>
        </w:rPr>
      </w:r>
      <w:r>
        <w:rPr>
          <w:position w:val="192"/>
        </w:rPr>
        <w:tab/>
      </w:r>
      <w:r>
        <w:rPr/>
        <w:pict>
          <v:shape style="width:324.5pt;height:123.9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64"/>
                    <w:gridCol w:w="2126"/>
                  </w:tblGrid>
                  <w:tr>
                    <w:trPr>
                      <w:trHeight w:val="781" w:hRule="atLeast"/>
                    </w:trPr>
                    <w:tc>
                      <w:tcPr>
                        <w:tcW w:w="4364" w:type="dxa"/>
                      </w:tcPr>
                      <w:p>
                        <w:pPr>
                          <w:pStyle w:val="TableParagraph"/>
                          <w:rPr>
                            <w:sz w:val="24"/>
                          </w:rPr>
                        </w:pPr>
                      </w:p>
                      <w:p>
                        <w:pPr>
                          <w:pStyle w:val="TableParagraph"/>
                          <w:spacing w:before="148"/>
                          <w:ind w:left="50"/>
                          <w:rPr>
                            <w:sz w:val="20"/>
                          </w:rPr>
                        </w:pPr>
                        <w:r>
                          <w:rPr>
                            <w:w w:val="120"/>
                            <w:sz w:val="20"/>
                          </w:rPr>
                          <w:t>Overall project cost</w:t>
                        </w:r>
                      </w:p>
                    </w:tc>
                    <w:tc>
                      <w:tcPr>
                        <w:tcW w:w="2126" w:type="dxa"/>
                      </w:tcPr>
                      <w:p>
                        <w:pPr>
                          <w:pStyle w:val="TableParagraph"/>
                          <w:ind w:left="1044"/>
                          <w:rPr>
                            <w:sz w:val="20"/>
                          </w:rPr>
                        </w:pPr>
                        <w:r>
                          <w:rPr>
                            <w:w w:val="125"/>
                            <w:sz w:val="20"/>
                          </w:rPr>
                          <w:t>£</w:t>
                        </w:r>
                      </w:p>
                      <w:p>
                        <w:pPr>
                          <w:pStyle w:val="TableParagraph"/>
                          <w:spacing w:before="196"/>
                          <w:ind w:left="1014"/>
                          <w:rPr>
                            <w:sz w:val="20"/>
                          </w:rPr>
                        </w:pPr>
                        <w:r>
                          <w:rPr>
                            <w:w w:val="125"/>
                            <w:sz w:val="20"/>
                          </w:rPr>
                          <w:t>6,200,000</w:t>
                        </w:r>
                      </w:p>
                    </w:tc>
                  </w:tr>
                  <w:tr>
                    <w:trPr>
                      <w:trHeight w:val="365" w:hRule="atLeast"/>
                    </w:trPr>
                    <w:tc>
                      <w:tcPr>
                        <w:tcW w:w="4364" w:type="dxa"/>
                      </w:tcPr>
                      <w:p>
                        <w:pPr>
                          <w:pStyle w:val="TableParagraph"/>
                          <w:spacing w:before="100"/>
                          <w:ind w:left="50"/>
                          <w:rPr>
                            <w:sz w:val="20"/>
                          </w:rPr>
                        </w:pPr>
                        <w:r>
                          <w:rPr>
                            <w:w w:val="120"/>
                            <w:sz w:val="20"/>
                          </w:rPr>
                          <w:t>Less funds immediately available</w:t>
                        </w:r>
                      </w:p>
                    </w:tc>
                    <w:tc>
                      <w:tcPr>
                        <w:tcW w:w="2126" w:type="dxa"/>
                        <w:tcBorders>
                          <w:bottom w:val="single" w:sz="4" w:space="0" w:color="000000"/>
                        </w:tcBorders>
                      </w:tcPr>
                      <w:p>
                        <w:pPr>
                          <w:pStyle w:val="TableParagraph"/>
                          <w:spacing w:before="100"/>
                          <w:ind w:right="78"/>
                          <w:jc w:val="right"/>
                          <w:rPr>
                            <w:sz w:val="20"/>
                          </w:rPr>
                        </w:pPr>
                        <w:r>
                          <w:rPr>
                            <w:w w:val="125"/>
                            <w:sz w:val="20"/>
                          </w:rPr>
                          <w:t>567,000</w:t>
                        </w:r>
                      </w:p>
                    </w:tc>
                  </w:tr>
                  <w:tr>
                    <w:trPr>
                      <w:trHeight w:val="506" w:hRule="atLeast"/>
                    </w:trPr>
                    <w:tc>
                      <w:tcPr>
                        <w:tcW w:w="4364" w:type="dxa"/>
                      </w:tcPr>
                      <w:p>
                        <w:pPr>
                          <w:pStyle w:val="TableParagraph"/>
                          <w:rPr>
                            <w:rFonts w:ascii="Times New Roman"/>
                            <w:sz w:val="20"/>
                          </w:rPr>
                        </w:pPr>
                      </w:p>
                    </w:tc>
                    <w:tc>
                      <w:tcPr>
                        <w:tcW w:w="2126" w:type="dxa"/>
                        <w:tcBorders>
                          <w:top w:val="single" w:sz="4" w:space="0" w:color="000000"/>
                        </w:tcBorders>
                      </w:tcPr>
                      <w:p>
                        <w:pPr>
                          <w:pStyle w:val="TableParagraph"/>
                          <w:spacing w:before="165"/>
                          <w:ind w:right="78"/>
                          <w:jc w:val="right"/>
                          <w:rPr>
                            <w:sz w:val="20"/>
                          </w:rPr>
                        </w:pPr>
                        <w:r>
                          <w:rPr>
                            <w:w w:val="125"/>
                            <w:sz w:val="20"/>
                          </w:rPr>
                          <w:t>5,633,000</w:t>
                        </w:r>
                      </w:p>
                    </w:tc>
                  </w:tr>
                  <w:tr>
                    <w:trPr>
                      <w:trHeight w:val="360" w:hRule="atLeast"/>
                    </w:trPr>
                    <w:tc>
                      <w:tcPr>
                        <w:tcW w:w="4364" w:type="dxa"/>
                      </w:tcPr>
                      <w:p>
                        <w:pPr>
                          <w:pStyle w:val="TableParagraph"/>
                          <w:spacing w:line="241" w:lineRule="exact" w:before="100"/>
                          <w:ind w:left="50"/>
                          <w:rPr>
                            <w:sz w:val="20"/>
                          </w:rPr>
                        </w:pPr>
                        <w:r>
                          <w:rPr>
                            <w:w w:val="120"/>
                            <w:sz w:val="20"/>
                          </w:rPr>
                          <w:t>Less realisable assets (approx)</w:t>
                        </w:r>
                      </w:p>
                    </w:tc>
                    <w:tc>
                      <w:tcPr>
                        <w:tcW w:w="2126" w:type="dxa"/>
                        <w:tcBorders>
                          <w:bottom w:val="single" w:sz="8" w:space="0" w:color="000000"/>
                        </w:tcBorders>
                      </w:tcPr>
                      <w:p>
                        <w:pPr>
                          <w:pStyle w:val="TableParagraph"/>
                          <w:spacing w:line="241" w:lineRule="exact" w:before="100"/>
                          <w:ind w:right="78"/>
                          <w:jc w:val="right"/>
                          <w:rPr>
                            <w:sz w:val="20"/>
                          </w:rPr>
                        </w:pPr>
                        <w:r>
                          <w:rPr>
                            <w:w w:val="125"/>
                            <w:sz w:val="20"/>
                          </w:rPr>
                          <w:t>2,000,000</w:t>
                        </w:r>
                      </w:p>
                    </w:tc>
                  </w:tr>
                  <w:tr>
                    <w:trPr>
                      <w:trHeight w:val="423" w:hRule="atLeast"/>
                    </w:trPr>
                    <w:tc>
                      <w:tcPr>
                        <w:tcW w:w="4364" w:type="dxa"/>
                      </w:tcPr>
                      <w:p>
                        <w:pPr>
                          <w:pStyle w:val="TableParagraph"/>
                          <w:spacing w:line="243" w:lineRule="exact" w:before="160"/>
                          <w:ind w:left="50"/>
                          <w:rPr>
                            <w:sz w:val="20"/>
                          </w:rPr>
                        </w:pPr>
                        <w:r>
                          <w:rPr>
                            <w:w w:val="120"/>
                            <w:sz w:val="20"/>
                          </w:rPr>
                          <w:t>To be raised by appeal</w:t>
                        </w:r>
                      </w:p>
                    </w:tc>
                    <w:tc>
                      <w:tcPr>
                        <w:tcW w:w="2126" w:type="dxa"/>
                        <w:tcBorders>
                          <w:top w:val="single" w:sz="8" w:space="0" w:color="000000"/>
                          <w:bottom w:val="double" w:sz="1" w:space="0" w:color="000000"/>
                        </w:tcBorders>
                      </w:tcPr>
                      <w:p>
                        <w:pPr>
                          <w:pStyle w:val="TableParagraph"/>
                          <w:spacing w:line="243" w:lineRule="exact" w:before="160"/>
                          <w:ind w:right="78"/>
                          <w:jc w:val="right"/>
                          <w:rPr>
                            <w:sz w:val="20"/>
                          </w:rPr>
                        </w:pPr>
                        <w:r>
                          <w:rPr>
                            <w:w w:val="125"/>
                            <w:sz w:val="20"/>
                          </w:rPr>
                          <w:t>£3,633,000</w:t>
                        </w:r>
                      </w:p>
                    </w:tc>
                  </w:tr>
                </w:tbl>
                <w:p>
                  <w:pPr>
                    <w:pStyle w:val="BodyText"/>
                  </w:pPr>
                </w:p>
              </w:txbxContent>
            </v:textbox>
          </v:shape>
        </w:pict>
      </w:r>
      <w:r>
        <w:rPr/>
      </w:r>
    </w:p>
    <w:p>
      <w:pPr>
        <w:pStyle w:val="BodyText"/>
        <w:rPr>
          <w:sz w:val="26"/>
        </w:rPr>
      </w:pPr>
    </w:p>
    <w:p>
      <w:pPr>
        <w:pStyle w:val="BodyText"/>
        <w:spacing w:line="235" w:lineRule="auto" w:before="104"/>
        <w:ind w:left="1133" w:right="2254"/>
        <w:jc w:val="both"/>
      </w:pPr>
      <w:r>
        <w:rPr>
          <w:w w:val="120"/>
        </w:rPr>
        <w:t>If the plan is to go ahead the college must inevitably look first to the Church, although we intend also to appeal to grant-making trusts beyond the Church and to individuals. The governors will be asked at their meeting in late February to establish a fundraising committee.</w:t>
      </w:r>
    </w:p>
    <w:p>
      <w:pPr>
        <w:pStyle w:val="BodyText"/>
        <w:spacing w:before="9"/>
        <w:rPr>
          <w:sz w:val="17"/>
        </w:rPr>
      </w:pPr>
    </w:p>
    <w:p>
      <w:pPr>
        <w:numPr>
          <w:ilvl w:val="0"/>
          <w:numId w:val="119"/>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Conclusion</w:t>
      </w:r>
    </w:p>
    <w:p>
      <w:pPr>
        <w:pStyle w:val="ListParagraph"/>
        <w:numPr>
          <w:ilvl w:val="1"/>
          <w:numId w:val="119"/>
        </w:numPr>
        <w:tabs>
          <w:tab w:pos="1814" w:val="left" w:leader="none"/>
          <w:tab w:pos="1815" w:val="left" w:leader="none"/>
        </w:tabs>
        <w:spacing w:line="235" w:lineRule="auto" w:before="222" w:after="0"/>
        <w:ind w:left="1133" w:right="2041" w:firstLine="0"/>
        <w:jc w:val="left"/>
        <w:rPr>
          <w:sz w:val="20"/>
        </w:rPr>
      </w:pPr>
      <w:r>
        <w:rPr>
          <w:w w:val="120"/>
          <w:sz w:val="20"/>
        </w:rPr>
        <w:t>The way in which Westminster of the future will operate, and the attendant financial consequences are set out in the accompanying Business Plan [available from the General Secretary on</w:t>
      </w:r>
      <w:r>
        <w:rPr>
          <w:spacing w:val="6"/>
          <w:w w:val="120"/>
          <w:sz w:val="20"/>
        </w:rPr>
        <w:t> </w:t>
      </w:r>
      <w:r>
        <w:rPr>
          <w:w w:val="120"/>
          <w:sz w:val="20"/>
        </w:rPr>
        <w:t>request].</w:t>
      </w:r>
    </w:p>
    <w:p>
      <w:pPr>
        <w:pStyle w:val="BodyText"/>
        <w:spacing w:before="10"/>
        <w:rPr>
          <w:sz w:val="19"/>
        </w:rPr>
      </w:pPr>
    </w:p>
    <w:p>
      <w:pPr>
        <w:pStyle w:val="ListParagraph"/>
        <w:numPr>
          <w:ilvl w:val="1"/>
          <w:numId w:val="119"/>
        </w:numPr>
        <w:tabs>
          <w:tab w:pos="1814" w:val="left" w:leader="none"/>
          <w:tab w:pos="1815" w:val="left" w:leader="none"/>
        </w:tabs>
        <w:spacing w:line="235" w:lineRule="auto" w:before="1" w:after="0"/>
        <w:ind w:left="1133" w:right="2033" w:firstLine="0"/>
        <w:jc w:val="left"/>
        <w:rPr>
          <w:sz w:val="20"/>
        </w:rPr>
      </w:pPr>
      <w:r>
        <w:rPr>
          <w:w w:val="120"/>
          <w:sz w:val="20"/>
        </w:rPr>
        <w:t>The governors have taken great care in defining Westminster’s strategy and in matching the development plan to that strategy. We believe that, if it can be carried through, Westminster life in all its aspects will be revitalised and its future as a major resource for the Church will be secured. On the other hand, if it should prove impossible to </w:t>
      </w:r>
      <w:r>
        <w:rPr>
          <w:spacing w:val="2"/>
          <w:w w:val="120"/>
          <w:sz w:val="20"/>
        </w:rPr>
        <w:t>carry </w:t>
      </w:r>
      <w:r>
        <w:rPr>
          <w:w w:val="120"/>
          <w:sz w:val="20"/>
        </w:rPr>
        <w:t>out the re-development in the way proposed, we fear that Westminster will be increasingly hampered in meeting the </w:t>
      </w:r>
      <w:r>
        <w:rPr>
          <w:spacing w:val="-3"/>
          <w:w w:val="120"/>
          <w:sz w:val="20"/>
        </w:rPr>
        <w:t>Church’s </w:t>
      </w:r>
      <w:r>
        <w:rPr>
          <w:w w:val="120"/>
          <w:sz w:val="20"/>
        </w:rPr>
        <w:t>needs by the limitations of its fabric and by financial constraints. We therefore commend the plan to the Trust with confidence, and with the hope that you will share our vision of what might be</w:t>
      </w:r>
      <w:r>
        <w:rPr>
          <w:spacing w:val="41"/>
          <w:w w:val="120"/>
          <w:sz w:val="20"/>
        </w:rPr>
        <w:t> </w:t>
      </w:r>
      <w:r>
        <w:rPr>
          <w:w w:val="120"/>
          <w:sz w:val="20"/>
        </w:rPr>
        <w:t>achieved.</w:t>
      </w:r>
    </w:p>
    <w:p>
      <w:pPr>
        <w:pStyle w:val="BodyText"/>
        <w:spacing w:before="1"/>
      </w:pPr>
    </w:p>
    <w:p>
      <w:pPr>
        <w:pStyle w:val="ListParagraph"/>
        <w:numPr>
          <w:ilvl w:val="1"/>
          <w:numId w:val="119"/>
        </w:numPr>
        <w:tabs>
          <w:tab w:pos="1814" w:val="left" w:leader="none"/>
          <w:tab w:pos="1815" w:val="left" w:leader="none"/>
        </w:tabs>
        <w:spacing w:line="235" w:lineRule="auto" w:before="0" w:after="0"/>
        <w:ind w:left="1133" w:right="2163" w:firstLine="0"/>
        <w:jc w:val="left"/>
        <w:rPr>
          <w:sz w:val="20"/>
        </w:rPr>
      </w:pPr>
      <w:r>
        <w:rPr>
          <w:w w:val="120"/>
          <w:sz w:val="20"/>
        </w:rPr>
        <w:t>We believe that we have inherited a great gift, and we give thanks to God for  the generosity and vision of our founders and forebears, and in particular to the ‘Sisters of Sinai’ who gave so much to make Westminster possible. The call and challenge now  is to fit Westminster for new times and a faithful Church. It would be vanity to</w:t>
      </w:r>
      <w:r>
        <w:rPr>
          <w:spacing w:val="1"/>
          <w:w w:val="120"/>
          <w:sz w:val="20"/>
        </w:rPr>
        <w:t> </w:t>
      </w:r>
      <w:r>
        <w:rPr>
          <w:w w:val="120"/>
          <w:sz w:val="20"/>
        </w:rPr>
        <w:t>want</w:t>
      </w:r>
    </w:p>
    <w:p>
      <w:pPr>
        <w:pStyle w:val="BodyText"/>
        <w:spacing w:line="235" w:lineRule="auto" w:before="3"/>
        <w:ind w:left="1133" w:right="2251"/>
      </w:pPr>
      <w:r>
        <w:rPr>
          <w:w w:val="120"/>
        </w:rPr>
        <w:t>to preserve historic buildings for our own glory or to ‘keep’ the past, but that is not what we want to do. We believe that God is calling us to respond to the challenge of stewarding this gift for the church, for today and for the future. We are open to God’s will and leading and ask you to help us both to seek and to fulfil this vocation.</w:t>
      </w:r>
    </w:p>
    <w:p>
      <w:pPr>
        <w:pStyle w:val="BodyText"/>
        <w:rPr>
          <w:sz w:val="24"/>
        </w:rPr>
      </w:pPr>
    </w:p>
    <w:p>
      <w:pPr>
        <w:spacing w:before="166"/>
        <w:ind w:left="5475" w:right="1982" w:firstLine="1512"/>
        <w:jc w:val="right"/>
        <w:rPr>
          <w:sz w:val="18"/>
        </w:rPr>
      </w:pPr>
      <w:r>
        <w:rPr>
          <w:color w:val="8BA8BD"/>
          <w:w w:val="110"/>
          <w:sz w:val="18"/>
        </w:rPr>
        <w:t>The Revd Dr Susan</w:t>
      </w:r>
      <w:r>
        <w:rPr>
          <w:color w:val="8BA8BD"/>
          <w:spacing w:val="18"/>
          <w:w w:val="110"/>
          <w:sz w:val="18"/>
        </w:rPr>
        <w:t> </w:t>
      </w:r>
      <w:r>
        <w:rPr>
          <w:color w:val="8BA8BD"/>
          <w:w w:val="110"/>
          <w:sz w:val="18"/>
        </w:rPr>
        <w:t>Durber,</w:t>
      </w:r>
      <w:r>
        <w:rPr>
          <w:color w:val="8BA8BD"/>
          <w:spacing w:val="5"/>
          <w:w w:val="110"/>
          <w:sz w:val="18"/>
        </w:rPr>
        <w:t> </w:t>
      </w:r>
      <w:r>
        <w:rPr>
          <w:color w:val="8BA8BD"/>
          <w:w w:val="110"/>
          <w:sz w:val="18"/>
        </w:rPr>
        <w:t>Principal</w:t>
      </w:r>
      <w:r>
        <w:rPr>
          <w:color w:val="8BA8BD"/>
          <w:w w:val="111"/>
          <w:sz w:val="18"/>
        </w:rPr>
        <w:t> </w:t>
      </w:r>
      <w:r>
        <w:rPr>
          <w:color w:val="8BA8BD"/>
          <w:w w:val="110"/>
          <w:sz w:val="18"/>
        </w:rPr>
        <w:t>Professor Sir Anthony Bottoms, Convener of</w:t>
      </w:r>
      <w:r>
        <w:rPr>
          <w:color w:val="8BA8BD"/>
          <w:spacing w:val="-15"/>
          <w:w w:val="110"/>
          <w:sz w:val="18"/>
        </w:rPr>
        <w:t> </w:t>
      </w:r>
      <w:r>
        <w:rPr>
          <w:color w:val="8BA8BD"/>
          <w:w w:val="110"/>
          <w:sz w:val="18"/>
        </w:rPr>
        <w:t>Governors</w:t>
      </w:r>
    </w:p>
    <w:p>
      <w:pPr>
        <w:spacing w:before="0"/>
        <w:ind w:left="0" w:right="1982" w:firstLine="0"/>
        <w:jc w:val="right"/>
        <w:rPr>
          <w:sz w:val="18"/>
        </w:rPr>
      </w:pPr>
      <w:r>
        <w:rPr>
          <w:color w:val="8BA8BD"/>
          <w:w w:val="110"/>
          <w:sz w:val="18"/>
        </w:rPr>
        <w:t>Canon Brian Long MBE, Convener of the Management</w:t>
      </w:r>
      <w:r>
        <w:rPr>
          <w:color w:val="8BA8BD"/>
          <w:spacing w:val="42"/>
          <w:w w:val="110"/>
          <w:sz w:val="18"/>
        </w:rPr>
        <w:t> </w:t>
      </w:r>
      <w:r>
        <w:rPr>
          <w:color w:val="8BA8BD"/>
          <w:w w:val="110"/>
          <w:sz w:val="18"/>
        </w:rPr>
        <w:t>Committee</w:t>
      </w:r>
    </w:p>
    <w:p>
      <w:pPr>
        <w:pStyle w:val="BodyText"/>
      </w:pPr>
    </w:p>
    <w:p>
      <w:pPr>
        <w:pStyle w:val="BodyText"/>
        <w:spacing w:before="2"/>
        <w:rPr>
          <w:sz w:val="22"/>
        </w:rPr>
      </w:pPr>
      <w:r>
        <w:rPr/>
        <w:pict>
          <v:shape style="position:absolute;margin-left:56.692902pt;margin-top:21.834581pt;width:183.85pt;height:.1pt;mso-position-horizontal-relative:page;mso-position-vertical-relative:paragraph;z-index:-251330560;mso-wrap-distance-left:0;mso-wrap-distance-right:0" coordorigin="1134,437" coordsize="3677,0" path="m1134,437l4811,437e" filled="false" stroked="true" strokeweight=".5pt" strokecolor="#8ba8bd">
            <v:path arrowok="t"/>
            <v:stroke dashstyle="solid"/>
            <w10:wrap type="topAndBottom"/>
          </v:shape>
        </w:pict>
      </w:r>
      <w:r>
        <w:rPr/>
        <w:pict>
          <v:rect style="position:absolute;margin-left:250.865997pt;margin-top:15.512477pt;width:13.721pt;height:13.721pt;mso-position-horizontal-relative:page;mso-position-vertical-relative:paragraph;z-index:-251329536;mso-wrap-distance-left:0;mso-wrap-distance-right:0" filled="true" fillcolor="#8ba8bd" stroked="false">
            <v:fill type="solid"/>
            <w10:wrap type="topAndBottom"/>
          </v:rect>
        </w:pict>
      </w:r>
      <w:r>
        <w:rPr/>
        <w:pict>
          <v:rect style="position:absolute;margin-left:269.303009pt;margin-top:15.512477pt;width:13.721pt;height:13.721pt;mso-position-horizontal-relative:page;mso-position-vertical-relative:paragraph;z-index:-251328512;mso-wrap-distance-left:0;mso-wrap-distance-right:0" filled="true" fillcolor="#c2d2df" stroked="false">
            <v:fill type="solid"/>
            <w10:wrap type="topAndBottom"/>
          </v:rect>
        </w:pict>
      </w:r>
      <w:r>
        <w:rPr/>
        <w:pict>
          <v:rect style="position:absolute;margin-left:288.169006pt;margin-top:15.512477pt;width:13.721pt;height:13.721pt;mso-position-horizontal-relative:page;mso-position-vertical-relative:paragraph;z-index:-251327488;mso-wrap-distance-left:0;mso-wrap-distance-right:0" filled="true" fillcolor="#dae4ec" stroked="false">
            <v:fill opacity="32768f" type="solid"/>
            <w10:wrap type="topAndBottom"/>
          </v:rect>
        </w:pict>
      </w:r>
      <w:r>
        <w:rPr/>
        <w:pict>
          <v:shape style="position:absolute;margin-left:311.716003pt;margin-top:21.834581pt;width:184.35pt;height:.1pt;mso-position-horizontal-relative:page;mso-position-vertical-relative:paragraph;z-index:-251326464;mso-wrap-distance-left:0;mso-wrap-distance-right:0" coordorigin="6234,437" coordsize="3687,0" path="m6234,437l9921,437e" filled="false" stroked="true" strokeweight=".5pt" strokecolor="#8ba8bd">
            <v:path arrowok="t"/>
            <v:stroke dashstyle="solid"/>
            <w10:wrap type="topAndBottom"/>
          </v:shape>
        </w:pict>
      </w:r>
    </w:p>
    <w:p>
      <w:pPr>
        <w:spacing w:after="0"/>
        <w:rPr>
          <w:sz w:val="22"/>
        </w:rPr>
        <w:sectPr>
          <w:headerReference w:type="even" r:id="rId238"/>
          <w:footerReference w:type="even" r:id="rId239"/>
          <w:pgSz w:w="11910" w:h="16840"/>
          <w:pgMar w:header="0" w:footer="0" w:top="1060" w:bottom="0" w:left="0" w:right="0"/>
        </w:sectPr>
      </w:pPr>
    </w:p>
    <w:p>
      <w:pPr>
        <w:spacing w:line="232" w:lineRule="exact" w:before="79"/>
        <w:ind w:left="2381" w:right="0" w:firstLine="0"/>
        <w:jc w:val="left"/>
        <w:rPr>
          <w:sz w:val="18"/>
        </w:rPr>
      </w:pPr>
      <w:r>
        <w:rPr/>
        <w:pict>
          <v:rect style="position:absolute;margin-left:0pt;margin-top:.000015pt;width:595.275pt;height:841.89pt;mso-position-horizontal-relative:page;mso-position-vertical-relative:page;z-index:-267431936" filled="true" fillcolor="#8ba8bd" stroked="false">
            <v:fill type="solid"/>
            <w10:wrap type="none"/>
          </v:rect>
        </w:pict>
      </w:r>
      <w:r>
        <w:rPr/>
        <w:pict>
          <v:group style="position:absolute;margin-left:75.826797pt;margin-top:.000015pt;width:519.4500pt;height:790.9pt;mso-position-horizontal-relative:page;mso-position-vertical-relative:page;z-index:-267430912"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4361;top:5339;width:367;height:286" type="#_x0000_t75" stroked="false">
              <v:imagedata r:id="rId243" o:title=""/>
            </v:shape>
            <v:shape style="position:absolute;left:1984;top:14838;width:8788;height:2" coordorigin="1984,14838" coordsize="8788,0" path="m7085,14838l10772,14838m1984,14838l5661,14838e" filled="false" stroked="true" strokeweight=".5pt" strokecolor="#8ba8bd">
              <v:path arrowok="t"/>
              <v:stroke dashstyle="solid"/>
            </v:shape>
            <v:rect style="position:absolute;left:5661;top:14693;width:1424;height:226" filled="true" fillcolor="#ffffff" stroked="false">
              <v:fill type="solid"/>
            </v:rect>
            <v:rect style="position:absolute;left:5867;top:14711;width:275;height:275" filled="true" fillcolor="#8ba8bd" stroked="false">
              <v:fill type="solid"/>
            </v:rect>
            <v:rect style="position:absolute;left:6236;top:14711;width:275;height:275" filled="true" fillcolor="#c2d2df" stroked="false">
              <v:fill type="solid"/>
            </v:rect>
            <v:rect style="position:absolute;left:6613;top:14711;width:275;height:275" filled="true" fillcolor="#dae4ec" stroked="false">
              <v:fill opacity="32768f" type="solid"/>
            </v:rect>
            <v:shape style="position:absolute;left:2014;top:1145;width:8049;height:1724" coordorigin="2014,1145" coordsize="8049,1724" path="m2254,1145l2251,1284,2224,1355,2153,1381,2014,1385,2014,2628,2153,2632,2224,2658,2251,2730,2254,2868,9823,2868,9827,2730,9853,2658,9924,2632,10063,2628,10063,1385,9924,1381,9853,1355,9827,1284,9823,1145,2254,1145xe" filled="false" stroked="true" strokeweight="1pt" strokecolor="#8ba8bd">
              <v:path arrowok="t"/>
              <v:stroke dashstyle="solid"/>
            </v:shape>
            <w10:wrap type="none"/>
          </v:group>
        </w:pict>
      </w:r>
      <w:r>
        <w:rPr/>
        <w:pict>
          <v:shape style="position:absolute;margin-left:512.587891pt;margin-top:55.692715pt;width:47.4pt;height:485.5pt;mso-position-horizontal-relative:page;mso-position-vertical-relative:page;z-index:-26742886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6"/>
                      <w:w w:val="110"/>
                      <w:sz w:val="72"/>
                    </w:rPr>
                    <w:t>Assembly</w:t>
                  </w:r>
                  <w:r>
                    <w:rPr>
                      <w:rFonts w:ascii="Stone Sans II ITC Std X Bd"/>
                      <w:b/>
                      <w:spacing w:val="98"/>
                      <w:w w:val="110"/>
                      <w:sz w:val="72"/>
                    </w:rPr>
                    <w:t> </w:t>
                  </w:r>
                  <w:r>
                    <w:rPr>
                      <w:rFonts w:ascii="Stone Sans II ITC Std X Bd"/>
                      <w:b/>
                      <w:spacing w:val="-7"/>
                      <w:w w:val="110"/>
                      <w:sz w:val="72"/>
                    </w:rPr>
                    <w:t>Arrangements</w:t>
                  </w:r>
                </w:p>
              </w:txbxContent>
            </v:textbox>
            <w10:wrap type="none"/>
          </v:shape>
        </w:pict>
      </w:r>
      <w:r>
        <w:rPr>
          <w:rFonts w:ascii="Stone Sans II ITC Std Sm"/>
          <w:b/>
          <w:w w:val="120"/>
          <w:sz w:val="18"/>
        </w:rPr>
        <w:t>Convener: </w:t>
      </w:r>
      <w:r>
        <w:rPr>
          <w:w w:val="120"/>
          <w:sz w:val="18"/>
        </w:rPr>
        <w:t>David Robinson</w:t>
      </w:r>
    </w:p>
    <w:p>
      <w:pPr>
        <w:spacing w:line="220" w:lineRule="exact" w:before="0"/>
        <w:ind w:left="2381" w:right="0" w:firstLine="0"/>
        <w:jc w:val="left"/>
        <w:rPr>
          <w:sz w:val="18"/>
        </w:rPr>
      </w:pPr>
      <w:r>
        <w:rPr>
          <w:rFonts w:ascii="Stone Sans II ITC Std Sm"/>
          <w:b/>
          <w:w w:val="115"/>
          <w:sz w:val="18"/>
        </w:rPr>
        <w:t>Secretary: </w:t>
      </w:r>
      <w:r>
        <w:rPr>
          <w:w w:val="115"/>
          <w:sz w:val="18"/>
        </w:rPr>
        <w:t>Ann Barton</w:t>
      </w:r>
    </w:p>
    <w:p>
      <w:pPr>
        <w:spacing w:line="228" w:lineRule="auto" w:before="0"/>
        <w:ind w:left="2381" w:right="2919" w:firstLine="0"/>
        <w:jc w:val="left"/>
        <w:rPr>
          <w:sz w:val="18"/>
        </w:rPr>
      </w:pPr>
      <w:r>
        <w:rPr>
          <w:rFonts w:ascii="Stone Sans II ITC Std Sm"/>
          <w:b/>
          <w:w w:val="120"/>
          <w:sz w:val="18"/>
        </w:rPr>
        <w:t>Committee members: </w:t>
      </w:r>
      <w:r>
        <w:rPr>
          <w:w w:val="120"/>
          <w:sz w:val="18"/>
        </w:rPr>
        <w:t>Moderator, Moderators-elect, General Secretary, Clerk to Assembly, Convener of Local Arrangements Committee</w:t>
      </w:r>
    </w:p>
    <w:p>
      <w:pPr>
        <w:pStyle w:val="BodyText"/>
        <w:rPr>
          <w:sz w:val="22"/>
        </w:rPr>
      </w:pPr>
    </w:p>
    <w:p>
      <w:pPr>
        <w:pStyle w:val="BodyText"/>
        <w:rPr>
          <w:sz w:val="22"/>
        </w:rPr>
      </w:pPr>
    </w:p>
    <w:p>
      <w:pPr>
        <w:pStyle w:val="BodyText"/>
        <w:rPr>
          <w:sz w:val="22"/>
        </w:rPr>
      </w:pPr>
    </w:p>
    <w:p>
      <w:pPr>
        <w:numPr>
          <w:ilvl w:val="0"/>
          <w:numId w:val="122"/>
        </w:numPr>
        <w:tabs>
          <w:tab w:pos="2704" w:val="left" w:leader="none"/>
          <w:tab w:pos="2705" w:val="left" w:leader="none"/>
        </w:tabs>
        <w:spacing w:before="172"/>
        <w:ind w:left="2704" w:right="0" w:hanging="721"/>
        <w:jc w:val="left"/>
        <w:rPr>
          <w:rFonts w:ascii="Stone Sans II ITC Std Bk"/>
          <w:b/>
          <w:sz w:val="21"/>
        </w:rPr>
      </w:pPr>
      <w:r>
        <w:rPr>
          <w:rFonts w:ascii="Stone Sans II ITC Std Bk"/>
          <w:b/>
          <w:w w:val="115"/>
          <w:sz w:val="21"/>
        </w:rPr>
        <w:t>The change to biennial</w:t>
      </w:r>
      <w:r>
        <w:rPr>
          <w:rFonts w:ascii="Stone Sans II ITC Std Bk"/>
          <w:b/>
          <w:spacing w:val="-7"/>
          <w:w w:val="115"/>
          <w:sz w:val="21"/>
        </w:rPr>
        <w:t> </w:t>
      </w:r>
      <w:r>
        <w:rPr>
          <w:rFonts w:ascii="Stone Sans II ITC Std Bk"/>
          <w:b/>
          <w:w w:val="115"/>
          <w:sz w:val="21"/>
        </w:rPr>
        <w:t>assemblies</w:t>
      </w:r>
    </w:p>
    <w:p>
      <w:pPr>
        <w:pStyle w:val="BodyText"/>
        <w:spacing w:line="235" w:lineRule="auto" w:before="223"/>
        <w:ind w:left="1984" w:right="1823"/>
      </w:pPr>
      <w:r>
        <w:rPr>
          <w:w w:val="120"/>
        </w:rPr>
        <w:t>The 2010 meeting of General Assembly at the University of Loughborough is the first biennial meeting of General Assembly. We have therefore reviewed how best to organise business on that basis. We hope you will find many familiar features</w:t>
      </w:r>
    </w:p>
    <w:p>
      <w:pPr>
        <w:pStyle w:val="BodyText"/>
        <w:spacing w:line="235" w:lineRule="auto" w:before="2"/>
        <w:ind w:left="1984" w:right="1901"/>
      </w:pPr>
      <w:r>
        <w:rPr>
          <w:w w:val="120"/>
        </w:rPr>
        <w:t>at this year’s meeting, but of necessity we have not attempted to cram two years of business into the customary four day meeting. We have sought to reduce the</w:t>
      </w:r>
    </w:p>
    <w:p>
      <w:pPr>
        <w:pStyle w:val="BodyText"/>
        <w:spacing w:line="194" w:lineRule="auto" w:before="34"/>
        <w:ind w:left="1984" w:right="1634"/>
      </w:pPr>
      <w:r>
        <w:rPr>
          <w:w w:val="120"/>
        </w:rPr>
        <w:t>number of formal resolutions brought to Assembly so that we can concentrate on four</w:t>
      </w:r>
      <w:r>
        <w:rPr>
          <w:spacing w:val="-29"/>
          <w:w w:val="120"/>
        </w:rPr>
        <w:t> </w:t>
      </w:r>
      <w:r>
        <w:rPr>
          <w:w w:val="120"/>
        </w:rPr>
        <w:t>main</w:t>
      </w:r>
      <w:r>
        <w:rPr>
          <w:spacing w:val="-29"/>
          <w:w w:val="120"/>
        </w:rPr>
        <w:t> </w:t>
      </w:r>
      <w:r>
        <w:rPr>
          <w:w w:val="120"/>
        </w:rPr>
        <w:t>themes:</w:t>
      </w:r>
      <w:r>
        <w:rPr>
          <w:spacing w:val="-28"/>
          <w:w w:val="120"/>
        </w:rPr>
        <w:t> </w:t>
      </w:r>
      <w:r>
        <w:rPr>
          <w:rFonts w:ascii="Arial Rounded MT Bold"/>
          <w:sz w:val="21"/>
        </w:rPr>
        <w:t>Vision4</w:t>
      </w:r>
      <w:r>
        <w:rPr>
          <w:rFonts w:ascii="Bradley Hand ITC"/>
          <w:color w:val="C20D19"/>
          <w:sz w:val="28"/>
        </w:rPr>
        <w:t>Life</w:t>
      </w:r>
      <w:r>
        <w:rPr>
          <w:rFonts w:ascii="Bradley Hand ITC"/>
          <w:color w:val="C20D19"/>
          <w:spacing w:val="-49"/>
          <w:sz w:val="28"/>
        </w:rPr>
        <w:t> </w:t>
      </w:r>
      <w:r>
        <w:rPr>
          <w:w w:val="120"/>
        </w:rPr>
        <w:t>and</w:t>
      </w:r>
      <w:r>
        <w:rPr>
          <w:spacing w:val="-29"/>
          <w:w w:val="120"/>
        </w:rPr>
        <w:t> </w:t>
      </w:r>
      <w:r>
        <w:rPr>
          <w:w w:val="120"/>
        </w:rPr>
        <w:t>the</w:t>
      </w:r>
      <w:r>
        <w:rPr>
          <w:spacing w:val="-28"/>
          <w:w w:val="120"/>
        </w:rPr>
        <w:t> </w:t>
      </w:r>
      <w:r>
        <w:rPr>
          <w:i/>
          <w:w w:val="120"/>
        </w:rPr>
        <w:t>Marketing</w:t>
      </w:r>
      <w:r>
        <w:rPr>
          <w:i/>
          <w:spacing w:val="-30"/>
          <w:w w:val="120"/>
        </w:rPr>
        <w:t> </w:t>
      </w:r>
      <w:r>
        <w:rPr>
          <w:i/>
          <w:w w:val="120"/>
        </w:rPr>
        <w:t>Campaign</w:t>
      </w:r>
      <w:r>
        <w:rPr>
          <w:w w:val="120"/>
        </w:rPr>
        <w:t>;</w:t>
      </w:r>
      <w:r>
        <w:rPr>
          <w:spacing w:val="-29"/>
          <w:w w:val="120"/>
        </w:rPr>
        <w:t> </w:t>
      </w:r>
      <w:r>
        <w:rPr>
          <w:w w:val="120"/>
        </w:rPr>
        <w:t>mission</w:t>
      </w:r>
      <w:r>
        <w:rPr>
          <w:spacing w:val="-28"/>
          <w:w w:val="120"/>
        </w:rPr>
        <w:t> </w:t>
      </w:r>
      <w:r>
        <w:rPr>
          <w:w w:val="120"/>
        </w:rPr>
        <w:t>and</w:t>
      </w:r>
      <w:r>
        <w:rPr>
          <w:spacing w:val="-29"/>
          <w:w w:val="120"/>
        </w:rPr>
        <w:t> </w:t>
      </w:r>
      <w:r>
        <w:rPr>
          <w:w w:val="120"/>
        </w:rPr>
        <w:t>strategy; equipping</w:t>
      </w:r>
      <w:r>
        <w:rPr>
          <w:spacing w:val="7"/>
          <w:w w:val="120"/>
        </w:rPr>
        <w:t> </w:t>
      </w:r>
      <w:r>
        <w:rPr>
          <w:w w:val="120"/>
        </w:rPr>
        <w:t>people</w:t>
      </w:r>
      <w:r>
        <w:rPr>
          <w:spacing w:val="7"/>
          <w:w w:val="120"/>
        </w:rPr>
        <w:t> </w:t>
      </w:r>
      <w:r>
        <w:rPr>
          <w:w w:val="120"/>
        </w:rPr>
        <w:t>for</w:t>
      </w:r>
      <w:r>
        <w:rPr>
          <w:spacing w:val="7"/>
          <w:w w:val="120"/>
        </w:rPr>
        <w:t> </w:t>
      </w:r>
      <w:r>
        <w:rPr>
          <w:w w:val="120"/>
        </w:rPr>
        <w:t>service;</w:t>
      </w:r>
      <w:r>
        <w:rPr>
          <w:spacing w:val="7"/>
          <w:w w:val="120"/>
        </w:rPr>
        <w:t> </w:t>
      </w:r>
      <w:r>
        <w:rPr>
          <w:w w:val="120"/>
        </w:rPr>
        <w:t>and</w:t>
      </w:r>
      <w:r>
        <w:rPr>
          <w:spacing w:val="7"/>
          <w:w w:val="120"/>
        </w:rPr>
        <w:t> </w:t>
      </w:r>
      <w:r>
        <w:rPr>
          <w:w w:val="120"/>
        </w:rPr>
        <w:t>general</w:t>
      </w:r>
      <w:r>
        <w:rPr>
          <w:spacing w:val="7"/>
          <w:w w:val="120"/>
        </w:rPr>
        <w:t> </w:t>
      </w:r>
      <w:r>
        <w:rPr>
          <w:w w:val="120"/>
        </w:rPr>
        <w:t>business.</w:t>
      </w:r>
      <w:r>
        <w:rPr>
          <w:spacing w:val="7"/>
          <w:w w:val="120"/>
        </w:rPr>
        <w:t> </w:t>
      </w:r>
      <w:r>
        <w:rPr>
          <w:w w:val="120"/>
        </w:rPr>
        <w:t>The</w:t>
      </w:r>
      <w:r>
        <w:rPr>
          <w:spacing w:val="8"/>
          <w:w w:val="120"/>
        </w:rPr>
        <w:t> </w:t>
      </w:r>
      <w:r>
        <w:rPr>
          <w:w w:val="120"/>
        </w:rPr>
        <w:t>Book</w:t>
      </w:r>
      <w:r>
        <w:rPr>
          <w:spacing w:val="7"/>
          <w:w w:val="120"/>
        </w:rPr>
        <w:t> </w:t>
      </w:r>
      <w:r>
        <w:rPr>
          <w:w w:val="120"/>
        </w:rPr>
        <w:t>of</w:t>
      </w:r>
      <w:r>
        <w:rPr>
          <w:spacing w:val="7"/>
          <w:w w:val="120"/>
        </w:rPr>
        <w:t> </w:t>
      </w:r>
      <w:r>
        <w:rPr>
          <w:spacing w:val="2"/>
          <w:w w:val="120"/>
        </w:rPr>
        <w:t>Reports</w:t>
      </w:r>
      <w:r>
        <w:rPr>
          <w:spacing w:val="7"/>
          <w:w w:val="120"/>
        </w:rPr>
        <w:t> </w:t>
      </w:r>
      <w:r>
        <w:rPr>
          <w:w w:val="120"/>
        </w:rPr>
        <w:t>looks</w:t>
      </w:r>
    </w:p>
    <w:p>
      <w:pPr>
        <w:pStyle w:val="BodyText"/>
        <w:spacing w:line="235" w:lineRule="auto" w:before="9"/>
        <w:ind w:left="1984" w:right="1959"/>
      </w:pPr>
      <w:r>
        <w:rPr>
          <w:w w:val="120"/>
        </w:rPr>
        <w:t>very much as it always has done with separate </w:t>
      </w:r>
      <w:r>
        <w:rPr>
          <w:spacing w:val="2"/>
          <w:w w:val="120"/>
        </w:rPr>
        <w:t>reports </w:t>
      </w:r>
      <w:r>
        <w:rPr>
          <w:w w:val="120"/>
        </w:rPr>
        <w:t>from each committee, resource centre for learning and URC-related school plus the synod moderators’ </w:t>
      </w:r>
      <w:r>
        <w:rPr>
          <w:spacing w:val="2"/>
          <w:w w:val="120"/>
        </w:rPr>
        <w:t>report </w:t>
      </w:r>
      <w:r>
        <w:rPr>
          <w:w w:val="120"/>
        </w:rPr>
        <w:t>and such synod resolutions as have been received. There will be no  written synod </w:t>
      </w:r>
      <w:r>
        <w:rPr>
          <w:spacing w:val="2"/>
          <w:w w:val="120"/>
        </w:rPr>
        <w:t>reports </w:t>
      </w:r>
      <w:r>
        <w:rPr>
          <w:w w:val="120"/>
        </w:rPr>
        <w:t>this </w:t>
      </w:r>
      <w:r>
        <w:rPr>
          <w:spacing w:val="-4"/>
          <w:w w:val="120"/>
        </w:rPr>
        <w:t>year. </w:t>
      </w:r>
      <w:r>
        <w:rPr>
          <w:w w:val="120"/>
        </w:rPr>
        <w:t>Instead synods have been invited to share stories alongside the presentations of the major pieces of work brought by the Assembly committees within the four main themes outlined above. There will also be an opportunity within the Assembly timetable for questions and comments on each section of the Book of</w:t>
      </w:r>
      <w:r>
        <w:rPr>
          <w:spacing w:val="9"/>
          <w:w w:val="120"/>
        </w:rPr>
        <w:t> </w:t>
      </w:r>
      <w:r>
        <w:rPr>
          <w:spacing w:val="2"/>
          <w:w w:val="120"/>
        </w:rPr>
        <w:t>Reports.</w:t>
      </w:r>
    </w:p>
    <w:p>
      <w:pPr>
        <w:pStyle w:val="BodyText"/>
        <w:rPr>
          <w:sz w:val="18"/>
        </w:rPr>
      </w:pPr>
    </w:p>
    <w:p>
      <w:pPr>
        <w:numPr>
          <w:ilvl w:val="0"/>
          <w:numId w:val="122"/>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Thanks</w:t>
      </w:r>
    </w:p>
    <w:p>
      <w:pPr>
        <w:pStyle w:val="BodyText"/>
        <w:spacing w:line="235" w:lineRule="auto" w:before="222"/>
        <w:ind w:left="1984" w:right="1989"/>
      </w:pPr>
      <w:r>
        <w:rPr>
          <w:w w:val="120"/>
        </w:rPr>
        <w:t>Assembly Arrangements really is a team effort. Warm thanks are due to </w:t>
      </w:r>
      <w:r>
        <w:rPr>
          <w:spacing w:val="-4"/>
          <w:w w:val="120"/>
        </w:rPr>
        <w:t>many, </w:t>
      </w:r>
      <w:r>
        <w:rPr>
          <w:w w:val="120"/>
        </w:rPr>
        <w:t>and in particular to the moderators-elect and the general secretary for reshaping the Assembly agenda, to Richard Mortimer for helping to define the remits of General Assembly and Mission Council, to Ann Barton for her huge contribution to making sure that all the pieces are in place so that Assembly works on the </w:t>
      </w:r>
      <w:r>
        <w:rPr>
          <w:spacing w:val="-4"/>
          <w:w w:val="120"/>
        </w:rPr>
        <w:t>day, </w:t>
      </w:r>
      <w:r>
        <w:rPr>
          <w:w w:val="120"/>
        </w:rPr>
        <w:t>to the local Assembly </w:t>
      </w:r>
      <w:r>
        <w:rPr>
          <w:spacing w:val="-4"/>
          <w:w w:val="120"/>
        </w:rPr>
        <w:t>Team </w:t>
      </w:r>
      <w:r>
        <w:rPr>
          <w:w w:val="120"/>
        </w:rPr>
        <w:t>who will contribute enormously to our enjoyment of and involvement in this year’s meeting, to Michael Davies for all that he does in helping to make the arrangements for Assembly, and for this year in particular  for his </w:t>
      </w:r>
      <w:r>
        <w:rPr>
          <w:spacing w:val="2"/>
          <w:w w:val="120"/>
        </w:rPr>
        <w:t>efforts </w:t>
      </w:r>
      <w:r>
        <w:rPr>
          <w:w w:val="120"/>
        </w:rPr>
        <w:t>to make our forward financial budgeting for Assembly more</w:t>
      </w:r>
      <w:r>
        <w:rPr>
          <w:spacing w:val="11"/>
          <w:w w:val="120"/>
        </w:rPr>
        <w:t> </w:t>
      </w:r>
      <w:r>
        <w:rPr>
          <w:w w:val="120"/>
        </w:rPr>
        <w:t>of</w:t>
      </w:r>
    </w:p>
    <w:p>
      <w:pPr>
        <w:pStyle w:val="BodyText"/>
        <w:spacing w:line="235" w:lineRule="auto" w:before="7"/>
        <w:ind w:left="1984" w:right="2191"/>
      </w:pPr>
      <w:r>
        <w:rPr>
          <w:w w:val="120"/>
        </w:rPr>
        <w:t>a reality, to Martin Hazell for all his contributions, and in particular for all he does to ensure we benefit from the whole range of multi-media opportunities</w:t>
      </w:r>
    </w:p>
    <w:p>
      <w:pPr>
        <w:pStyle w:val="BodyText"/>
        <w:spacing w:line="235" w:lineRule="auto" w:before="1"/>
        <w:ind w:left="1984" w:right="1823"/>
      </w:pPr>
      <w:r>
        <w:rPr/>
        <w:pict>
          <v:shape style="position:absolute;margin-left:.0pt;margin-top:30.040958pt;width:1.45pt;height:77pt;mso-position-horizontal-relative:page;mso-position-vertical-relative:paragraph;z-index:251994112" coordorigin="0,601" coordsize="29,1540" path="m28,604l26,680,21,755,12,829,0,899,0,2140,28,2140,28,604xm28,601l28,601,28,603,28,601xe" filled="true" fillcolor="#8ba8bd" stroked="false">
            <v:path arrowok="t"/>
            <v:fill type="solid"/>
            <w10:wrap type="none"/>
          </v:shape>
        </w:pict>
      </w:r>
      <w:r>
        <w:rPr>
          <w:w w:val="120"/>
        </w:rPr>
        <w:t>throughout Assembly, and to both Martin Hazell and Michael Hopkins for advising on possible future venues for Assembly meetings and for ensuring effective stage management when Assembly meets.</w:t>
      </w:r>
    </w:p>
    <w:p>
      <w:pPr>
        <w:pStyle w:val="BodyText"/>
        <w:spacing w:before="8"/>
        <w:rPr>
          <w:sz w:val="17"/>
        </w:rPr>
      </w:pPr>
    </w:p>
    <w:p>
      <w:pPr>
        <w:numPr>
          <w:ilvl w:val="0"/>
          <w:numId w:val="122"/>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General Assembly</w:t>
      </w:r>
      <w:r>
        <w:rPr>
          <w:rFonts w:ascii="Stone Sans II ITC Std Bk"/>
          <w:b/>
          <w:spacing w:val="-3"/>
          <w:w w:val="115"/>
          <w:sz w:val="21"/>
        </w:rPr>
        <w:t> </w:t>
      </w:r>
      <w:r>
        <w:rPr>
          <w:rFonts w:ascii="Stone Sans II ITC Std Bk"/>
          <w:b/>
          <w:spacing w:val="-8"/>
          <w:w w:val="115"/>
          <w:sz w:val="21"/>
        </w:rPr>
        <w:t>2012</w:t>
      </w:r>
    </w:p>
    <w:p>
      <w:pPr>
        <w:pStyle w:val="BodyText"/>
        <w:spacing w:line="235" w:lineRule="auto" w:before="222"/>
        <w:ind w:left="1984" w:right="1801"/>
      </w:pPr>
      <w:r>
        <w:rPr>
          <w:w w:val="120"/>
        </w:rPr>
        <w:t>At the time of writing this </w:t>
      </w:r>
      <w:r>
        <w:rPr>
          <w:spacing w:val="2"/>
          <w:w w:val="120"/>
        </w:rPr>
        <w:t>report </w:t>
      </w:r>
      <w:r>
        <w:rPr>
          <w:w w:val="120"/>
        </w:rPr>
        <w:t>the Assembly Arrangements Committee is still reviewing options in terms of the timing and venue for the meeting of Assembly   in </w:t>
      </w:r>
      <w:r>
        <w:rPr>
          <w:spacing w:val="-6"/>
          <w:w w:val="120"/>
        </w:rPr>
        <w:t>2012. </w:t>
      </w:r>
      <w:r>
        <w:rPr>
          <w:w w:val="120"/>
        </w:rPr>
        <w:t>We hope to bring forward our recommendations for consideration at the </w:t>
      </w:r>
      <w:r>
        <w:rPr>
          <w:spacing w:val="-6"/>
          <w:w w:val="120"/>
        </w:rPr>
        <w:t>2010 </w:t>
      </w:r>
      <w:r>
        <w:rPr>
          <w:w w:val="120"/>
        </w:rPr>
        <w:t>Assembly. </w:t>
      </w:r>
      <w:r>
        <w:rPr>
          <w:spacing w:val="3"/>
          <w:w w:val="120"/>
        </w:rPr>
        <w:t>As </w:t>
      </w:r>
      <w:r>
        <w:rPr>
          <w:spacing w:val="-4"/>
          <w:w w:val="120"/>
        </w:rPr>
        <w:t>ever, </w:t>
      </w:r>
      <w:r>
        <w:rPr>
          <w:w w:val="120"/>
        </w:rPr>
        <w:t>it will be our intention to make Assembly a worthy vehicle for the United Reformed Church and if you have suggestions that might assist that process please contact David Robinson or Ann</w:t>
      </w:r>
      <w:r>
        <w:rPr>
          <w:spacing w:val="17"/>
          <w:w w:val="120"/>
        </w:rPr>
        <w:t> </w:t>
      </w:r>
      <w:r>
        <w:rPr>
          <w:w w:val="120"/>
        </w:rPr>
        <w:t>Barton.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5"/>
        </w:rPr>
      </w:pPr>
    </w:p>
    <w:p>
      <w:pPr>
        <w:tabs>
          <w:tab w:pos="10630" w:val="left" w:leader="none"/>
        </w:tabs>
        <w:spacing w:before="97"/>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107</w:t>
      </w:r>
    </w:p>
    <w:p>
      <w:pPr>
        <w:spacing w:after="0"/>
        <w:jc w:val="left"/>
        <w:rPr>
          <w:rFonts w:ascii="Stone Sans II ITC Std X Bd" w:hAnsi="Stone Sans II ITC Std X Bd"/>
          <w:sz w:val="24"/>
        </w:rPr>
        <w:sectPr>
          <w:headerReference w:type="default" r:id="rId241"/>
          <w:footerReference w:type="default" r:id="rId242"/>
          <w:pgSz w:w="11910" w:h="16840"/>
          <w:pgMar w:header="0" w:footer="0" w:top="1440" w:bottom="280" w:left="0" w:right="0"/>
        </w:sect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spacing w:after="0"/>
        <w:rPr>
          <w:rFonts w:ascii="Stone Sans II ITC Std X Bd"/>
        </w:rPr>
        <w:sectPr>
          <w:headerReference w:type="even" r:id="rId244"/>
          <w:footerReference w:type="even" r:id="rId245"/>
          <w:pgSz w:w="11910" w:h="16840"/>
          <w:pgMar w:header="0" w:footer="0" w:top="1580" w:bottom="280" w:left="0" w:right="0"/>
        </w:sectPr>
      </w:pPr>
    </w:p>
    <w:p>
      <w:pPr>
        <w:spacing w:line="230" w:lineRule="auto" w:before="249"/>
        <w:ind w:left="1379" w:right="0" w:firstLine="0"/>
        <w:jc w:val="left"/>
        <w:rPr>
          <w:sz w:val="29"/>
        </w:rPr>
      </w:pPr>
      <w:r>
        <w:rPr>
          <w:color w:val="A1BF37"/>
          <w:w w:val="120"/>
          <w:sz w:val="29"/>
        </w:rPr>
        <w:t>Come and visit us and enjoy a free coffee whilst you browse</w:t>
      </w:r>
    </w:p>
    <w:p>
      <w:pPr>
        <w:spacing w:before="66"/>
        <w:ind w:left="1379" w:right="0" w:firstLine="0"/>
        <w:jc w:val="left"/>
        <w:rPr>
          <w:rFonts w:ascii="Stone Sans II ITC Std Bk"/>
          <w:b/>
          <w:sz w:val="21"/>
        </w:rPr>
      </w:pPr>
      <w:r>
        <w:rPr>
          <w:rFonts w:ascii="Stone Sans II ITC Std Bk"/>
          <w:b/>
          <w:w w:val="115"/>
          <w:sz w:val="21"/>
        </w:rPr>
        <w:t>Open Monday to Friday, 9am - 4.30pm</w:t>
      </w:r>
    </w:p>
    <w:p>
      <w:pPr>
        <w:pStyle w:val="BodyText"/>
        <w:spacing w:before="5"/>
        <w:rPr>
          <w:rFonts w:ascii="Stone Sans II ITC Std Bk"/>
          <w:b/>
          <w:sz w:val="18"/>
        </w:rPr>
      </w:pPr>
    </w:p>
    <w:p>
      <w:pPr>
        <w:spacing w:before="0"/>
        <w:ind w:left="1379" w:right="0" w:firstLine="0"/>
        <w:jc w:val="left"/>
        <w:rPr>
          <w:sz w:val="21"/>
        </w:rPr>
      </w:pPr>
      <w:r>
        <w:rPr>
          <w:w w:val="125"/>
          <w:sz w:val="21"/>
        </w:rPr>
        <w:t>URC Bookshop</w:t>
      </w:r>
    </w:p>
    <w:p>
      <w:pPr>
        <w:spacing w:line="261" w:lineRule="auto" w:before="24"/>
        <w:ind w:left="1379" w:right="2287" w:firstLine="0"/>
        <w:jc w:val="left"/>
        <w:rPr>
          <w:sz w:val="21"/>
        </w:rPr>
      </w:pPr>
      <w:r>
        <w:rPr>
          <w:w w:val="125"/>
          <w:sz w:val="21"/>
        </w:rPr>
        <w:t>86 Tavistock Place London</w:t>
      </w:r>
    </w:p>
    <w:p>
      <w:pPr>
        <w:spacing w:before="1"/>
        <w:ind w:left="1379" w:right="0" w:firstLine="0"/>
        <w:jc w:val="left"/>
        <w:rPr>
          <w:sz w:val="21"/>
        </w:rPr>
      </w:pPr>
      <w:r>
        <w:rPr>
          <w:w w:val="125"/>
          <w:sz w:val="21"/>
        </w:rPr>
        <w:t>WC1H 9RT</w:t>
      </w:r>
    </w:p>
    <w:p>
      <w:pPr>
        <w:pStyle w:val="BodyText"/>
        <w:spacing w:before="1"/>
        <w:rPr>
          <w:sz w:val="34"/>
        </w:rPr>
      </w:pPr>
    </w:p>
    <w:p>
      <w:pPr>
        <w:spacing w:line="351" w:lineRule="exact" w:before="1"/>
        <w:ind w:left="1379" w:right="0" w:firstLine="0"/>
        <w:jc w:val="left"/>
        <w:rPr>
          <w:rFonts w:ascii="Stone Sans II ITC Std X Bd"/>
          <w:b/>
          <w:sz w:val="27"/>
        </w:rPr>
      </w:pPr>
      <w:r>
        <w:rPr>
          <w:rFonts w:ascii="Stone Sans II ITC Std X Bd"/>
          <w:b/>
          <w:color w:val="FFFFFF"/>
          <w:w w:val="110"/>
          <w:sz w:val="27"/>
        </w:rPr>
        <w:t>020 7916 8629</w:t>
      </w:r>
    </w:p>
    <w:p>
      <w:pPr>
        <w:spacing w:line="337" w:lineRule="exact" w:before="0"/>
        <w:ind w:left="1379" w:right="0" w:firstLine="0"/>
        <w:jc w:val="left"/>
        <w:rPr>
          <w:rFonts w:ascii="Stone Sans II ITC Std X Bd"/>
          <w:b/>
          <w:sz w:val="27"/>
        </w:rPr>
      </w:pPr>
      <w:hyperlink r:id="rId246">
        <w:r>
          <w:rPr>
            <w:rFonts w:ascii="Stone Sans II ITC Std X Bd"/>
            <w:b/>
            <w:color w:val="FFFFFF"/>
            <w:w w:val="110"/>
            <w:sz w:val="27"/>
          </w:rPr>
          <w:t>bookshop@urc.org.uk</w:t>
        </w:r>
      </w:hyperlink>
    </w:p>
    <w:p>
      <w:pPr>
        <w:spacing w:line="351" w:lineRule="exact" w:before="0"/>
        <w:ind w:left="1379" w:right="0" w:firstLine="0"/>
        <w:jc w:val="left"/>
        <w:rPr>
          <w:rFonts w:ascii="Stone Sans II ITC Std X Bd"/>
          <w:b/>
          <w:sz w:val="27"/>
        </w:rPr>
      </w:pPr>
      <w:r>
        <w:rPr>
          <w:rFonts w:ascii="Stone Sans II ITC Std Lt"/>
          <w:b w:val="0"/>
          <w:color w:val="FFFFFF"/>
          <w:w w:val="110"/>
          <w:sz w:val="20"/>
        </w:rPr>
        <w:t>Web: </w:t>
      </w:r>
      <w:hyperlink r:id="rId247">
        <w:r>
          <w:rPr>
            <w:rFonts w:ascii="Stone Sans II ITC Std X Bd"/>
            <w:b/>
            <w:color w:val="FFFFFF"/>
            <w:w w:val="110"/>
            <w:sz w:val="27"/>
          </w:rPr>
          <w:t>http://books.urc.org.uk</w:t>
        </w:r>
      </w:hyperlink>
    </w:p>
    <w:p>
      <w:pPr>
        <w:pStyle w:val="BodyText"/>
        <w:rPr>
          <w:rFonts w:ascii="Stone Sans II ITC Std X Bd"/>
          <w:b/>
          <w:sz w:val="34"/>
        </w:rPr>
      </w:pPr>
    </w:p>
    <w:p>
      <w:pPr>
        <w:pStyle w:val="BodyText"/>
        <w:rPr>
          <w:rFonts w:ascii="Stone Sans II ITC Std X Bd"/>
          <w:b/>
          <w:sz w:val="34"/>
        </w:rPr>
      </w:pPr>
    </w:p>
    <w:p>
      <w:pPr>
        <w:pStyle w:val="BodyText"/>
        <w:rPr>
          <w:rFonts w:ascii="Stone Sans II ITC Std X Bd"/>
          <w:b/>
          <w:sz w:val="34"/>
        </w:rPr>
      </w:pPr>
    </w:p>
    <w:p>
      <w:pPr>
        <w:pStyle w:val="BodyText"/>
        <w:rPr>
          <w:rFonts w:ascii="Stone Sans II ITC Std X Bd"/>
          <w:b/>
          <w:sz w:val="34"/>
        </w:rPr>
      </w:pPr>
    </w:p>
    <w:p>
      <w:pPr>
        <w:pStyle w:val="BodyText"/>
        <w:spacing w:before="12"/>
        <w:rPr>
          <w:rFonts w:ascii="Stone Sans II ITC Std X Bd"/>
          <w:b/>
          <w:sz w:val="32"/>
        </w:rPr>
      </w:pPr>
    </w:p>
    <w:p>
      <w:pPr>
        <w:spacing w:line="254" w:lineRule="exact" w:before="0"/>
        <w:ind w:left="2822" w:right="2585" w:firstLine="0"/>
        <w:jc w:val="center"/>
        <w:rPr>
          <w:rFonts w:ascii="Stone Sans II ITC Std Bk"/>
          <w:b/>
          <w:sz w:val="20"/>
        </w:rPr>
      </w:pPr>
      <w:r>
        <w:rPr>
          <w:rFonts w:ascii="Stone Sans II ITC Std Bk"/>
          <w:b/>
          <w:w w:val="110"/>
          <w:sz w:val="20"/>
        </w:rPr>
        <w:t>Students</w:t>
      </w:r>
    </w:p>
    <w:p>
      <w:pPr>
        <w:pStyle w:val="BodyText"/>
        <w:rPr>
          <w:rFonts w:ascii="Stone Sans II ITC Std Bk"/>
          <w:b/>
          <w:sz w:val="24"/>
        </w:rPr>
      </w:pPr>
      <w:r>
        <w:rPr/>
        <w:br w:type="column"/>
      </w:r>
      <w:r>
        <w:rPr>
          <w:rFonts w:ascii="Stone Sans II ITC Std Bk"/>
          <w:b/>
          <w:sz w:val="24"/>
        </w:rPr>
      </w:r>
    </w:p>
    <w:p>
      <w:pPr>
        <w:pStyle w:val="BodyText"/>
        <w:rPr>
          <w:rFonts w:ascii="Stone Sans II ITC Std Bk"/>
          <w:b/>
          <w:sz w:val="24"/>
        </w:rPr>
      </w:pPr>
    </w:p>
    <w:p>
      <w:pPr>
        <w:pStyle w:val="BodyText"/>
        <w:rPr>
          <w:rFonts w:ascii="Stone Sans II ITC Std Bk"/>
          <w:b/>
          <w:sz w:val="17"/>
        </w:rPr>
      </w:pPr>
    </w:p>
    <w:p>
      <w:pPr>
        <w:pStyle w:val="BodyText"/>
        <w:spacing w:line="254" w:lineRule="auto"/>
        <w:ind w:left="607" w:right="1428"/>
      </w:pPr>
      <w:r>
        <w:rPr>
          <w:w w:val="115"/>
        </w:rPr>
        <w:t>We stock a wide range of Bibles/Bible guides and books ranging on general theology, worship/prayer and spirituality, hymns (old and new) and world religion, plus much more!</w:t>
      </w:r>
    </w:p>
    <w:p>
      <w:pPr>
        <w:pStyle w:val="BodyText"/>
        <w:spacing w:before="11"/>
        <w:rPr>
          <w:sz w:val="18"/>
        </w:rPr>
      </w:pPr>
    </w:p>
    <w:p>
      <w:pPr>
        <w:pStyle w:val="ListParagraph"/>
        <w:numPr>
          <w:ilvl w:val="0"/>
          <w:numId w:val="123"/>
        </w:numPr>
        <w:tabs>
          <w:tab w:pos="949" w:val="left" w:leader="none"/>
        </w:tabs>
        <w:spacing w:line="235" w:lineRule="auto" w:before="1" w:after="0"/>
        <w:ind w:left="948" w:right="2163" w:hanging="341"/>
        <w:jc w:val="left"/>
        <w:rPr>
          <w:sz w:val="20"/>
        </w:rPr>
      </w:pPr>
      <w:r>
        <w:rPr>
          <w:spacing w:val="4"/>
          <w:w w:val="120"/>
          <w:sz w:val="20"/>
        </w:rPr>
        <w:t>order URC publications </w:t>
      </w:r>
      <w:r>
        <w:rPr>
          <w:spacing w:val="5"/>
          <w:w w:val="120"/>
          <w:sz w:val="20"/>
        </w:rPr>
        <w:t>direct;</w:t>
      </w:r>
    </w:p>
    <w:p>
      <w:pPr>
        <w:pStyle w:val="ListParagraph"/>
        <w:numPr>
          <w:ilvl w:val="0"/>
          <w:numId w:val="123"/>
        </w:numPr>
        <w:tabs>
          <w:tab w:pos="949" w:val="left" w:leader="none"/>
        </w:tabs>
        <w:spacing w:line="235" w:lineRule="auto" w:before="1" w:after="0"/>
        <w:ind w:left="948" w:right="2522" w:hanging="341"/>
        <w:jc w:val="left"/>
        <w:rPr>
          <w:sz w:val="20"/>
        </w:rPr>
      </w:pPr>
      <w:r>
        <w:rPr>
          <w:spacing w:val="4"/>
          <w:w w:val="120"/>
          <w:sz w:val="20"/>
        </w:rPr>
        <w:t>buy </w:t>
      </w:r>
      <w:r>
        <w:rPr>
          <w:spacing w:val="6"/>
          <w:w w:val="120"/>
          <w:sz w:val="20"/>
        </w:rPr>
        <w:t>gifts, </w:t>
      </w:r>
      <w:r>
        <w:rPr>
          <w:spacing w:val="4"/>
          <w:w w:val="120"/>
          <w:sz w:val="20"/>
        </w:rPr>
        <w:t>cards </w:t>
      </w:r>
      <w:r>
        <w:rPr>
          <w:spacing w:val="3"/>
          <w:w w:val="120"/>
          <w:sz w:val="20"/>
        </w:rPr>
        <w:t>and </w:t>
      </w:r>
      <w:r>
        <w:rPr>
          <w:spacing w:val="5"/>
          <w:w w:val="120"/>
          <w:sz w:val="20"/>
        </w:rPr>
        <w:t>book</w:t>
      </w:r>
      <w:r>
        <w:rPr>
          <w:spacing w:val="11"/>
          <w:w w:val="120"/>
          <w:sz w:val="20"/>
        </w:rPr>
        <w:t> </w:t>
      </w:r>
      <w:r>
        <w:rPr>
          <w:spacing w:val="3"/>
          <w:w w:val="120"/>
          <w:sz w:val="20"/>
        </w:rPr>
        <w:t>tokens;</w:t>
      </w:r>
    </w:p>
    <w:p>
      <w:pPr>
        <w:pStyle w:val="ListParagraph"/>
        <w:numPr>
          <w:ilvl w:val="0"/>
          <w:numId w:val="123"/>
        </w:numPr>
        <w:tabs>
          <w:tab w:pos="949" w:val="left" w:leader="none"/>
        </w:tabs>
        <w:spacing w:line="235" w:lineRule="auto" w:before="1" w:after="0"/>
        <w:ind w:left="948" w:right="1858" w:hanging="341"/>
        <w:jc w:val="left"/>
        <w:rPr>
          <w:sz w:val="20"/>
        </w:rPr>
      </w:pPr>
      <w:r>
        <w:rPr>
          <w:spacing w:val="4"/>
          <w:w w:val="115"/>
          <w:sz w:val="20"/>
        </w:rPr>
        <w:t>special </w:t>
      </w:r>
      <w:r>
        <w:rPr>
          <w:spacing w:val="3"/>
          <w:w w:val="115"/>
          <w:sz w:val="20"/>
        </w:rPr>
        <w:t>discounts </w:t>
      </w:r>
      <w:r>
        <w:rPr>
          <w:spacing w:val="4"/>
          <w:w w:val="115"/>
          <w:sz w:val="20"/>
        </w:rPr>
        <w:t>available </w:t>
      </w:r>
      <w:r>
        <w:rPr>
          <w:spacing w:val="3"/>
          <w:w w:val="115"/>
          <w:sz w:val="20"/>
        </w:rPr>
        <w:t>for</w:t>
      </w:r>
      <w:r>
        <w:rPr>
          <w:spacing w:val="15"/>
          <w:w w:val="115"/>
          <w:sz w:val="20"/>
        </w:rPr>
        <w:t> </w:t>
      </w:r>
      <w:r>
        <w:rPr>
          <w:spacing w:val="4"/>
          <w:w w:val="115"/>
          <w:sz w:val="20"/>
        </w:rPr>
        <w:t>ministers;</w:t>
      </w:r>
    </w:p>
    <w:p>
      <w:pPr>
        <w:pStyle w:val="ListParagraph"/>
        <w:numPr>
          <w:ilvl w:val="0"/>
          <w:numId w:val="123"/>
        </w:numPr>
        <w:tabs>
          <w:tab w:pos="949" w:val="left" w:leader="none"/>
        </w:tabs>
        <w:spacing w:line="235" w:lineRule="auto" w:before="2" w:after="0"/>
        <w:ind w:left="948" w:right="2301" w:hanging="341"/>
        <w:jc w:val="left"/>
        <w:rPr>
          <w:sz w:val="20"/>
        </w:rPr>
      </w:pPr>
      <w:r>
        <w:rPr>
          <w:spacing w:val="5"/>
          <w:w w:val="115"/>
          <w:sz w:val="20"/>
        </w:rPr>
        <w:t>worldwide postage </w:t>
      </w:r>
      <w:r>
        <w:rPr>
          <w:spacing w:val="-4"/>
          <w:w w:val="115"/>
          <w:sz w:val="20"/>
        </w:rPr>
        <w:t>at </w:t>
      </w:r>
      <w:r>
        <w:rPr>
          <w:spacing w:val="4"/>
          <w:w w:val="115"/>
          <w:sz w:val="20"/>
        </w:rPr>
        <w:t>reasonable</w:t>
      </w:r>
      <w:r>
        <w:rPr>
          <w:spacing w:val="20"/>
          <w:w w:val="115"/>
          <w:sz w:val="20"/>
        </w:rPr>
        <w:t> </w:t>
      </w:r>
      <w:r>
        <w:rPr>
          <w:spacing w:val="4"/>
          <w:w w:val="115"/>
          <w:sz w:val="20"/>
        </w:rPr>
        <w:t>prices;</w:t>
      </w:r>
    </w:p>
    <w:p>
      <w:pPr>
        <w:pStyle w:val="ListParagraph"/>
        <w:numPr>
          <w:ilvl w:val="0"/>
          <w:numId w:val="123"/>
        </w:numPr>
        <w:tabs>
          <w:tab w:pos="949" w:val="left" w:leader="none"/>
        </w:tabs>
        <w:spacing w:line="240" w:lineRule="exact" w:before="0" w:after="0"/>
        <w:ind w:left="948" w:right="0" w:hanging="341"/>
        <w:jc w:val="left"/>
        <w:rPr>
          <w:sz w:val="20"/>
        </w:rPr>
      </w:pPr>
      <w:r>
        <w:rPr>
          <w:spacing w:val="4"/>
          <w:w w:val="115"/>
          <w:sz w:val="20"/>
        </w:rPr>
        <w:t>excellent customer</w:t>
      </w:r>
      <w:r>
        <w:rPr>
          <w:spacing w:val="30"/>
          <w:w w:val="115"/>
          <w:sz w:val="20"/>
        </w:rPr>
        <w:t> </w:t>
      </w:r>
      <w:r>
        <w:rPr>
          <w:spacing w:val="5"/>
          <w:w w:val="115"/>
          <w:sz w:val="20"/>
        </w:rPr>
        <w:t>service;</w:t>
      </w:r>
    </w:p>
    <w:p>
      <w:pPr>
        <w:pStyle w:val="ListParagraph"/>
        <w:numPr>
          <w:ilvl w:val="0"/>
          <w:numId w:val="123"/>
        </w:numPr>
        <w:tabs>
          <w:tab w:pos="949" w:val="left" w:leader="none"/>
        </w:tabs>
        <w:spacing w:line="235" w:lineRule="auto" w:before="2" w:after="0"/>
        <w:ind w:left="948" w:right="2073" w:hanging="341"/>
        <w:jc w:val="left"/>
        <w:rPr>
          <w:sz w:val="20"/>
        </w:rPr>
      </w:pPr>
      <w:r>
        <w:rPr>
          <w:spacing w:val="4"/>
          <w:w w:val="115"/>
          <w:sz w:val="20"/>
        </w:rPr>
        <w:t>connect </w:t>
      </w:r>
      <w:r>
        <w:rPr>
          <w:spacing w:val="5"/>
          <w:w w:val="115"/>
          <w:sz w:val="20"/>
        </w:rPr>
        <w:t>directly </w:t>
      </w:r>
      <w:r>
        <w:rPr>
          <w:spacing w:val="4"/>
          <w:w w:val="115"/>
          <w:sz w:val="20"/>
        </w:rPr>
        <w:t>with </w:t>
      </w:r>
      <w:r>
        <w:rPr>
          <w:w w:val="115"/>
          <w:sz w:val="20"/>
        </w:rPr>
        <w:t>us </w:t>
      </w:r>
      <w:r>
        <w:rPr>
          <w:spacing w:val="3"/>
          <w:w w:val="115"/>
          <w:sz w:val="20"/>
        </w:rPr>
        <w:t>via </w:t>
      </w:r>
      <w:r>
        <w:rPr>
          <w:spacing w:val="5"/>
          <w:w w:val="115"/>
          <w:sz w:val="20"/>
        </w:rPr>
        <w:t>facebook </w:t>
      </w:r>
      <w:r>
        <w:rPr>
          <w:spacing w:val="3"/>
          <w:w w:val="115"/>
          <w:sz w:val="20"/>
        </w:rPr>
        <w:t>and our </w:t>
      </w:r>
      <w:r>
        <w:rPr>
          <w:spacing w:val="4"/>
          <w:w w:val="115"/>
          <w:sz w:val="20"/>
        </w:rPr>
        <w:t>mailing</w:t>
      </w:r>
      <w:r>
        <w:rPr>
          <w:spacing w:val="15"/>
          <w:w w:val="115"/>
          <w:sz w:val="20"/>
        </w:rPr>
        <w:t> </w:t>
      </w:r>
      <w:r>
        <w:rPr>
          <w:spacing w:val="2"/>
          <w:w w:val="115"/>
          <w:sz w:val="20"/>
        </w:rPr>
        <w:t>list</w:t>
      </w:r>
      <w:r>
        <w:rPr>
          <w:color w:val="C73575"/>
          <w:spacing w:val="2"/>
          <w:w w:val="115"/>
          <w:sz w:val="20"/>
        </w:rPr>
        <w:t>*</w:t>
      </w:r>
      <w:r>
        <w:rPr>
          <w:spacing w:val="2"/>
          <w:w w:val="115"/>
          <w:sz w:val="20"/>
        </w:rPr>
        <w:t>.</w:t>
      </w:r>
    </w:p>
    <w:p>
      <w:pPr>
        <w:spacing w:line="254" w:lineRule="auto" w:before="192"/>
        <w:ind w:left="1746" w:right="1428" w:hanging="220"/>
        <w:jc w:val="left"/>
        <w:rPr>
          <w:sz w:val="16"/>
        </w:rPr>
      </w:pPr>
      <w:r>
        <w:rPr>
          <w:color w:val="C73575"/>
          <w:w w:val="115"/>
          <w:sz w:val="20"/>
        </w:rPr>
        <w:t>* </w:t>
      </w:r>
      <w:r>
        <w:rPr>
          <w:color w:val="C73575"/>
          <w:w w:val="115"/>
          <w:sz w:val="16"/>
        </w:rPr>
        <w:t>To be added please email</w:t>
      </w:r>
      <w:hyperlink r:id="rId246">
        <w:r>
          <w:rPr>
            <w:color w:val="C73575"/>
            <w:w w:val="115"/>
            <w:sz w:val="16"/>
          </w:rPr>
          <w:t> bookshop@urc.org.uk</w:t>
        </w:r>
      </w:hyperlink>
    </w:p>
    <w:p>
      <w:pPr>
        <w:spacing w:after="0" w:line="254" w:lineRule="auto"/>
        <w:jc w:val="left"/>
        <w:rPr>
          <w:sz w:val="16"/>
        </w:rPr>
        <w:sectPr>
          <w:type w:val="continuous"/>
          <w:pgSz w:w="11910" w:h="16840"/>
          <w:pgMar w:top="860" w:bottom="280" w:left="0" w:right="0"/>
          <w:cols w:num="2" w:equalWidth="0">
            <w:col w:w="6387" w:space="40"/>
            <w:col w:w="5483"/>
          </w:cols>
        </w:sectPr>
      </w:pPr>
    </w:p>
    <w:p>
      <w:pPr>
        <w:pStyle w:val="BodyText"/>
        <w:spacing w:line="235" w:lineRule="auto" w:before="3"/>
        <w:ind w:left="2820" w:right="3166"/>
      </w:pPr>
      <w:r>
        <w:rPr/>
        <w:pict>
          <v:group style="position:absolute;margin-left:-.5pt;margin-top:.000015pt;width:595.8pt;height:841.9pt;mso-position-horizontal-relative:page;mso-position-vertical-relative:page;z-index:-267427840" coordorigin="-10,0" coordsize="11916,16838">
            <v:shape style="position:absolute;left:0;top:0;width:11906;height:16838" type="#_x0000_t75" stroked="false">
              <v:imagedata r:id="rId248" o:title=""/>
            </v:shape>
            <v:rect style="position:absolute;left:961;top:6544;width:9777;height:9484" filled="true" fillcolor="#ffffff" stroked="false">
              <v:fill type="solid"/>
            </v:rect>
            <v:line style="position:absolute" from="10698,6544" to="10698,12907" stroked="true" strokeweight="4pt" strokecolor="#000000">
              <v:stroke dashstyle="solid"/>
            </v:line>
            <v:rect style="position:absolute;left:0;top:0;width:11376;height:6545" filled="true" fillcolor="#000000" stroked="false">
              <v:fill opacity="33423f" type="solid"/>
            </v:rect>
            <v:shape style="position:absolute;left:0;top:0;width:10998;height:6169" type="#_x0000_t75" stroked="false">
              <v:imagedata r:id="rId249" o:title=""/>
            </v:shape>
            <v:rect style="position:absolute;left:0;top:0;width:11011;height:6187" filled="true" fillcolor="#000000" stroked="false">
              <v:fill opacity="49152f" type="solid"/>
            </v:rect>
            <v:shape style="position:absolute;left:1188;top:12892;width:1353;height:1330" coordorigin="1189,12893" coordsize="1353,1330" path="m2542,12893l1191,12893,1267,12895,1342,12901,1416,12911,1488,12926,1559,12944,1628,12965,1696,12990,1762,13019,1826,13051,1888,13086,1948,13124,2005,13166,2061,13210,2114,13257,2164,13307,2212,13359,2257,13414,2299,13471,2338,13530,2374,13592,2407,13655,2437,13721,2463,13788,2485,13857,2504,13927,2520,13999,2531,14072,2538,14147,2542,14222,2542,12893xm1190,12893l1189,12893,1189,12893,1190,12893,1190,12893xe" filled="true" fillcolor="#ffffff" stroked="false">
              <v:path arrowok="t"/>
              <v:fill type="solid"/>
            </v:shape>
            <v:line style="position:absolute" from="2381,15987" to="9250,15987" stroked="true" strokeweight="4pt" strokecolor="#000000">
              <v:stroke dashstyle="solid"/>
            </v:line>
            <v:shape style="position:absolute;left:9250;top:14504;width:1513;height:1540" coordorigin="9250,14504" coordsize="1513,1540" path="m10763,14507l10761,14583,10756,14658,10747,14732,10734,14805,10718,14877,10699,14947,10677,15016,10651,15083,10623,15149,10591,15214,10557,15276,10520,15337,10480,15396,10438,15453,10393,15507,10345,15560,10296,15611,10244,15659,10190,15704,10133,15748,10075,15788,10015,15826,9953,15861,9889,15894,9824,15923,9757,15950,9688,15973,9618,15993,9547,16010,9474,16024,9401,16034,9326,16041,9250,16044,10763,16044,10763,14507xm10763,14504l10763,14504,10763,14506,10763,14504xe" filled="true" fillcolor="#c73575" stroked="false">
              <v:path arrowok="t"/>
              <v:fill type="solid"/>
            </v:shape>
            <v:rect style="position:absolute;left:0;top:11329;width:6521;height:2038" filled="true" fillcolor="#000000" stroked="false">
              <v:fill opacity="19660f" type="solid"/>
            </v:rect>
            <v:shape style="position:absolute;left:0;top:11461;width:6137;height:1520" type="#_x0000_t75" stroked="false">
              <v:imagedata r:id="rId250" o:title=""/>
            </v:shape>
            <v:line style="position:absolute" from="-10,11462" to="31,11462" stroked="true" strokeweight="1.028838pt" strokecolor="#a1bf37">
              <v:stroke dashstyle="solid"/>
            </v:line>
            <v:shape style="position:absolute;left:0;top:11461;width:6137;height:1520" coordorigin="0,11462" coordsize="6137,1520" path="m0,12981l21,12981,5627,12981,5922,12973,6073,12917,6129,12766,6137,12471,6137,11972,6129,11677,6073,11526,5922,11470,5627,11462,21,11462e" filled="false" stroked="true" strokeweight="1pt" strokecolor="#a1bf37">
              <v:path arrowok="t"/>
              <v:stroke dashstyle="solid"/>
            </v:shape>
            <v:shape style="position:absolute;left:0;top:12825;width:2569;height:4013" type="#_x0000_t75" stroked="false">
              <v:imagedata r:id="rId251" o:title=""/>
            </v:shape>
            <v:shape style="position:absolute;left:1384;top:7029;width:4390;height:806" coordorigin="1384,7030" coordsize="4390,806" path="m5425,7781l5425,7833,5437,7834,5450,7835,5462,7836,5475,7836,5558,7832,5630,7819,5695,7796,5714,7785,5481,7785,5467,7785,5453,7784,5439,7783,5425,7781xm5487,7054l5406,7060,5332,7077,5264,7105,5203,7143,5152,7189,5110,7244,5079,7306,5059,7374,5052,7448,5059,7520,5078,7588,5109,7649,5151,7704,5202,7750,5262,7787,5331,7815,5331,7753,5265,7715,5209,7663,5166,7599,5139,7524,5129,7440,5136,7369,5157,7303,5189,7246,5232,7196,5284,7157,5344,7127,5410,7109,5482,7102,5718,7102,5717,7101,5649,7074,5571,7059,5487,7054xm5724,7720l5672,7749,5615,7769,5551,7781,5481,7785,5714,7785,5759,7760,5724,7720xm5718,7102l5482,7102,5554,7107,5622,7122,5686,7147,5742,7181,5773,7140,5718,7102xm4810,7497l4735,7497,4939,7836,5006,7805,4810,7497xm4638,7067l4497,7067,4497,7823,4569,7823,4569,7497,4810,7497,4798,7478,4850,7445,4850,7445,4569,7445,4569,7119,4860,7119,4855,7114,4814,7094,4764,7079,4706,7070,4638,7067xm4860,7119l4641,7119,4699,7122,4746,7131,4785,7145,4816,7166,4837,7188,4853,7214,4862,7243,4866,7275,4864,7293,4859,7321,4847,7354,4825,7387,4801,7411,4772,7429,4732,7441,4677,7445,4850,7445,4896,7398,4930,7340,4942,7271,4936,7223,4918,7180,4890,7143,4860,7119xm3749,7067l3677,7067,3677,7495,3678,7567,3684,7625,3695,7669,3714,7706,3760,7761,3823,7802,3900,7827,3992,7836,4073,7830,4142,7811,4198,7783,3992,7783,3936,7777,3882,7762,3834,7737,3796,7703,3773,7668,3758,7624,3751,7567,3751,7563,3749,7495,3749,7067xm4316,7067l4248,7067,4248,7495,4247,7563,4241,7621,4225,7668,4195,7709,4153,7743,4104,7766,4050,7779,3992,7783,4198,7783,4201,7781,4250,7738,4283,7695,4303,7646,4313,7583,4316,7495,4316,7067xm2984,7270l2938,7273,2895,7282,2857,7297,2822,7316,2776,7358,2742,7410,2721,7471,2714,7539,2721,7616,2742,7683,2776,7739,2824,7784,2861,7806,2904,7822,2952,7832,3005,7836,3061,7832,3115,7820,3165,7798,3183,7785,3018,7785,2936,7774,2873,7741,2828,7691,2800,7626,2790,7548,3220,7548,3221,7537,3221,7522,3219,7495,2794,7495,2813,7419,2855,7364,2914,7331,2984,7319,3137,7319,3120,7306,3081,7286,3036,7274,2984,7270xm3179,7728l3144,7750,3102,7768,3059,7781,3018,7785,3183,7785,3209,7767,3179,7728xm3137,7319l2984,7319,3053,7333,3105,7371,3137,7425,3148,7489,3148,7495,3219,7495,3217,7468,3205,7417,3183,7371,3152,7331,3137,7319xm2188,7030l2116,7030,2116,7823,2188,7823,2188,7548,2189,7507,2193,7470,2200,7437,2211,7408,2236,7372,2253,7358,2188,7358,2188,7030xm2524,7322l2356,7322,2407,7327,2447,7343,2476,7366,2496,7393,2505,7416,2510,7445,2513,7482,2514,7529,2514,7823,2586,7823,2585,7507,2585,7475,2584,7438,2580,7410,2572,7386,2545,7339,2524,7322xm2379,7270l2321,7274,2270,7289,2226,7317,2188,7358,2253,7358,2269,7345,2309,7328,2356,7322,2524,7322,2501,7302,2444,7278,2379,7270xm1740,7123l1668,7123,1668,7823,1740,7823,1740,7123xm2023,7067l1384,7067,1384,7123,2023,7123,2023,7067xe" filled="true" fillcolor="#c73575" stroked="false">
              <v:path arrowok="t"/>
              <v:fill type="solid"/>
            </v:shape>
            <v:shape style="position:absolute;left:3328;top:7750;width:4920;height:1063" coordorigin="3328,7750" coordsize="4920,1063" path="m3849,8325l3841,8271,3818,8226,3782,8190,3760,8177,3748,8170,3748,8325,3744,8360,3733,8391,3716,8418,3694,8438,3658,8458,3613,8471,3559,8478,3495,8480,3425,8480,3425,8177,3484,8177,3533,8178,3574,8181,3609,8187,3639,8194,3684,8213,3719,8241,3741,8278,3748,8325,3748,8170,3736,8163,3712,8153,3686,8146,3658,8141,3629,8138,3689,8117,3700,8113,3754,8071,3788,8018,3800,7960,3795,7917,3780,7880,3757,7850,3757,7849,3728,7826,3704,7815,3704,7965,3701,7994,3691,8021,3675,8046,3653,8068,3622,8088,3579,8103,3525,8114,3458,8117,3425,8117,3425,7849,3499,7849,3560,7851,3606,7856,3639,7866,3663,7880,3682,7897,3694,7917,3702,7940,3704,7965,3704,7815,3688,7807,3636,7795,3570,7789,3489,7787,3328,7787,3328,8543,3481,8543,3559,8541,3628,8533,3688,8519,3739,8497,3764,8480,3784,8466,3819,8427,3841,8380,3849,8325m4525,8269l4514,8189,4485,8121,4438,8065,4424,8055,4424,8269,4413,8353,4384,8417,4341,8462,4288,8489,4230,8498,4172,8489,4119,8462,4075,8416,4046,8352,4035,8269,4045,8191,4073,8129,4115,8084,4169,8056,4231,8047,4292,8056,4345,8084,4387,8129,4414,8191,4424,8269,4424,8055,4412,8047,4379,8024,4308,7999,4230,7990,4152,7999,4081,8024,4021,8065,3975,8121,3945,8189,3934,8269,3946,8356,3979,8427,4028,8483,4089,8523,4158,8548,4231,8556,4302,8548,4371,8523,4408,8498,4431,8483,4480,8427,4513,8356,4525,8269m5203,8269l5192,8189,5163,8121,5117,8065,5102,8055,5102,8269,5091,8353,5062,8417,5019,8462,4966,8489,4908,8498,4850,8489,4797,8462,4753,8416,4724,8352,4713,8269,4723,8191,4751,8129,4793,8084,4847,8056,4909,8047,4970,8056,5023,8084,5065,8129,5092,8191,5102,8269,5102,8055,5090,8047,5057,8024,4986,7999,4908,7990,4830,7999,4759,8024,4699,8065,4653,8121,4623,8189,4613,8269,4624,8356,4657,8427,4706,8483,4768,8523,4837,8548,4909,8556,4980,8548,5049,8523,5086,8498,5110,8483,5158,8427,5191,8356,5203,8269m5781,8517l5526,8246,5520,8239,5525,8235,5749,8031,5677,7994,5428,8235,5425,8235,5425,7833,5425,7833,5425,7781,5425,7781,5425,7750,5331,7750,5331,7753,5331,7753,5331,7815,5353,7821,5353,7821,5377,7826,5353,7821,5331,7815,5331,8543,5425,8543,5425,8246,5691,8554,5781,8517m6219,8410l6212,8362,6187,8320,6134,8272,6047,8212,6014,8188,5991,8165,5977,8142,5973,8117,5978,8094,5996,8071,6027,8053,6074,8046,6102,8048,6129,8056,6155,8068,6178,8084,6209,8046,6215,8038,6182,8018,6145,8002,6104,7993,6059,7990,5986,8000,5929,8028,5893,8070,5880,8124,5892,8172,5925,8215,5971,8253,6026,8290,6073,8323,6104,8353,6120,8381,6125,8411,6119,8447,6099,8474,6064,8492,6015,8498,5980,8494,5944,8482,5912,8463,5884,8439,5843,8491,5882,8518,5927,8539,5974,8551,6024,8556,6101,8546,6163,8516,6179,8498,6204,8470,6219,8410m6833,8543l6833,8226,6832,8202,6832,8192,6830,8155,6826,8127,6818,8103,6790,8057,6786,8053,6746,8021,6690,7998,6626,7990,6568,7994,6517,8009,6472,8037,6434,8078,6434,7750,6339,7750,6339,8543,6434,8543,6434,8264,6435,8226,6439,8192,6445,8161,6455,8134,6478,8100,6505,8078,6509,8075,6546,8059,6591,8053,6638,8059,6675,8073,6702,8094,6721,8119,6730,8141,6735,8168,6738,8202,6739,8246,6739,8543,6833,8543m7543,8269l7533,8189,7503,8121,7457,8065,7443,8055,7443,8269,7432,8353,7403,8417,7360,8462,7307,8489,7248,8498,7190,8489,7137,8462,7094,8416,7065,8352,7054,8269,7064,8191,7092,8129,7134,8084,7188,8056,7249,8047,7310,8056,7364,8084,7405,8129,7433,8191,7443,8269,7443,8055,7431,8047,7397,8024,7327,7999,7248,7990,7170,7999,7100,8024,7040,8065,6994,8121,6964,8189,6953,8269,6965,8356,6998,8427,7047,8483,7108,8523,7177,8548,7249,8556,7321,8548,7389,8523,7427,8498,7450,8483,7499,8427,7532,8356,7543,8269m8248,8261l8239,8184,8212,8118,8170,8064,8151,8050,8149,8049,8149,8265,8139,8345,8113,8409,8072,8456,8018,8485,7953,8495,7871,8479,7840,8454,7812,8433,7777,8364,7765,8279,7777,8187,7810,8122,7836,8099,7857,8080,7911,8057,7964,8050,8032,8064,8091,8105,8133,8172,8149,8265,8149,8049,8115,8024,8050,7998,7977,7990,7909,7998,7851,8020,7803,8054,7765,8099,7765,8003,7671,8003,7671,8813,7765,8813,7765,8454,7801,8497,7848,8529,7903,8549,7960,8556,8041,8545,8111,8515,8136,8495,8168,8469,8212,8410,8239,8339,8248,8261e" filled="true" fillcolor="#000000" stroked="false">
              <v:path arrowok="t"/>
              <v:fill type="solid"/>
            </v:shape>
            <v:rect style="position:absolute;left:1234;top:6884;width:7085;height:51" filled="true" fillcolor="#ffffff" stroked="false">
              <v:fill opacity="49152f" type="solid"/>
            </v:rect>
            <v:rect style="position:absolute;left:1263;top:6935;width:7128;height:2024" filled="true" fillcolor="#000000" stroked="false">
              <v:fill opacity="49152f" type="solid"/>
            </v:rect>
            <w10:wrap type="none"/>
          </v:group>
        </w:pict>
      </w:r>
      <w:r>
        <w:rPr>
          <w:w w:val="120"/>
        </w:rPr>
        <w:t>Have you joined our student mailing group yet? It offers special discounts, promotions and events.</w:t>
      </w:r>
    </w:p>
    <w:p>
      <w:pPr>
        <w:spacing w:after="0" w:line="235" w:lineRule="auto"/>
        <w:sectPr>
          <w:type w:val="continuous"/>
          <w:pgSz w:w="11910" w:h="16840"/>
          <w:pgMar w:top="860" w:bottom="280" w:left="0" w:right="0"/>
        </w:sectPr>
      </w:pPr>
    </w:p>
    <w:p>
      <w:pPr>
        <w:spacing w:line="232" w:lineRule="exact" w:before="76"/>
        <w:ind w:left="2381" w:right="0" w:firstLine="0"/>
        <w:jc w:val="left"/>
        <w:rPr>
          <w:sz w:val="18"/>
        </w:rPr>
      </w:pPr>
      <w:r>
        <w:rPr/>
        <w:pict>
          <v:rect style="position:absolute;margin-left:0pt;margin-top:.000015pt;width:595.275pt;height:841.89pt;mso-position-horizontal-relative:page;mso-position-vertical-relative:page;z-index:-267425792" filled="true" fillcolor="#8ba8bd" stroked="false">
            <v:fill type="solid"/>
            <w10:wrap type="none"/>
          </v:rect>
        </w:pict>
      </w:r>
      <w:r>
        <w:rPr/>
        <w:pict>
          <v:group style="position:absolute;margin-left:75.826797pt;margin-top:.000015pt;width:519.4500pt;height:790.9pt;mso-position-horizontal-relative:page;mso-position-vertical-relative:page;z-index:-267424768"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201;width:8049;height:5708" coordorigin="2014,1202" coordsize="8049,5708" path="m2254,1202l2251,1341,2224,1412,2153,1438,2014,1442,2014,6669,2153,6673,2224,6699,2251,6771,2254,6909,9823,6909,9827,6771,9853,6699,9924,6673,10063,6669,10063,1442,9924,1438,9853,1412,9827,1341,9823,1202,2254,1202xe" filled="false" stroked="true" strokeweight="1pt" strokecolor="#8ba8bd">
              <v:path arrowok="t"/>
              <v:stroke dashstyle="solid"/>
            </v:shape>
            <v:rect style="position:absolute;left:1984;top:11883;width:7858;height:3264" filled="true" fillcolor="#fcf4e0" stroked="false">
              <v:fill type="solid"/>
            </v:rect>
            <v:shape style="position:absolute;left:1984;top:11873;width:7858;height:3284" coordorigin="1984,11874" coordsize="7858,3284" path="m9842,15137l1984,15137,1984,15157,9842,15157,9842,15137m9842,11874l1984,11874,1984,11894,9842,11894,9842,11874e" filled="true" fillcolor="#ca4f1b" stroked="false">
              <v:path arrowok="t"/>
              <v:fill type="solid"/>
            </v:shape>
            <v:rect style="position:absolute;left:9297;top:12371;width:355;height:360" filled="true" fillcolor="#e3ac83" stroked="false">
              <v:fill type="solid"/>
            </v:rect>
            <v:rect style="position:absolute;left:9297;top:12866;width:355;height:360" filled="true" fillcolor="#efceb4" stroked="false">
              <v:fill opacity="32768f" type="solid"/>
            </v:rect>
            <v:rect style="position:absolute;left:9297;top:11888;width:355;height:360" filled="true" fillcolor="#ca4f1b" stroked="false">
              <v:fill type="solid"/>
            </v:rect>
            <w10:wrap type="none"/>
          </v:group>
        </w:pict>
      </w:r>
      <w:r>
        <w:rPr/>
        <w:pict>
          <v:shape style="position:absolute;margin-left:512.587891pt;margin-top:55.692715pt;width:47.4pt;height:602.050pt;mso-position-horizontal-relative:page;mso-position-vertical-relative:page;z-index:-26742374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10"/>
                      <w:w w:val="110"/>
                      <w:sz w:val="72"/>
                    </w:rPr>
                    <w:t>Communications </w:t>
                  </w:r>
                  <w:r>
                    <w:rPr>
                      <w:rFonts w:ascii="Stone Sans II ITC Std X Bd"/>
                      <w:b/>
                      <w:spacing w:val="-6"/>
                      <w:w w:val="110"/>
                      <w:sz w:val="72"/>
                    </w:rPr>
                    <w:t>and</w:t>
                  </w:r>
                  <w:r>
                    <w:rPr>
                      <w:rFonts w:ascii="Stone Sans II ITC Std X Bd"/>
                      <w:b/>
                      <w:spacing w:val="-69"/>
                      <w:w w:val="110"/>
                      <w:sz w:val="72"/>
                    </w:rPr>
                    <w:t> </w:t>
                  </w:r>
                  <w:r>
                    <w:rPr>
                      <w:rFonts w:ascii="Stone Sans II ITC Std X Bd"/>
                      <w:b/>
                      <w:spacing w:val="-10"/>
                      <w:w w:val="110"/>
                      <w:sz w:val="72"/>
                    </w:rPr>
                    <w:t>Editorial</w:t>
                  </w:r>
                </w:p>
              </w:txbxContent>
            </v:textbox>
            <w10:wrap type="none"/>
          </v:shape>
        </w:pict>
      </w:r>
      <w:r>
        <w:rPr>
          <w:rFonts w:ascii="Stone Sans II ITC Std Sm"/>
          <w:b/>
          <w:w w:val="120"/>
          <w:sz w:val="18"/>
        </w:rPr>
        <w:t>Convener: </w:t>
      </w:r>
      <w:r>
        <w:rPr>
          <w:w w:val="120"/>
          <w:sz w:val="18"/>
        </w:rPr>
        <w:t>Revd Dr Kirsty Thorpe</w:t>
      </w:r>
    </w:p>
    <w:p>
      <w:pPr>
        <w:spacing w:line="232" w:lineRule="exact" w:before="0"/>
        <w:ind w:left="2381" w:right="0" w:firstLine="0"/>
        <w:jc w:val="left"/>
        <w:rPr>
          <w:sz w:val="18"/>
        </w:rPr>
      </w:pPr>
      <w:r>
        <w:rPr>
          <w:rFonts w:ascii="Stone Sans II ITC Std Sm"/>
          <w:b/>
          <w:w w:val="115"/>
          <w:sz w:val="18"/>
        </w:rPr>
        <w:t>Director of Communications: </w:t>
      </w:r>
      <w:r>
        <w:rPr>
          <w:w w:val="115"/>
          <w:sz w:val="18"/>
        </w:rPr>
        <w:t>Revd Martin Hazell</w:t>
      </w:r>
    </w:p>
    <w:p>
      <w:pPr>
        <w:spacing w:line="237" w:lineRule="exact" w:before="197"/>
        <w:ind w:left="2381" w:right="0" w:firstLine="0"/>
        <w:jc w:val="left"/>
        <w:rPr>
          <w:rFonts w:ascii="Stone Sans II ITC Std Sm"/>
          <w:b/>
          <w:sz w:val="18"/>
        </w:rPr>
      </w:pPr>
      <w:r>
        <w:rPr>
          <w:rFonts w:ascii="Stone Sans II ITC Std Sm"/>
          <w:b/>
          <w:w w:val="110"/>
          <w:sz w:val="18"/>
        </w:rPr>
        <w:t>Committee members for the period 2008-10</w:t>
      </w:r>
    </w:p>
    <w:p>
      <w:pPr>
        <w:spacing w:line="240" w:lineRule="auto" w:before="0"/>
        <w:ind w:left="2381" w:right="2735" w:firstLine="0"/>
        <w:jc w:val="left"/>
        <w:rPr>
          <w:sz w:val="18"/>
        </w:rPr>
      </w:pPr>
      <w:r>
        <w:rPr>
          <w:w w:val="120"/>
          <w:sz w:val="18"/>
        </w:rPr>
        <w:t>Ms  Lucy Berry, Mr  Justin Brierley, Mrs Valerie Jenkins (until  2009), Mr Stanley Hazell, Mrs Helen Jones, Mr Richard Lathaen (until 2009),</w:t>
      </w:r>
    </w:p>
    <w:p>
      <w:pPr>
        <w:spacing w:before="0"/>
        <w:ind w:left="2381" w:right="2573" w:firstLine="0"/>
        <w:jc w:val="left"/>
        <w:rPr>
          <w:sz w:val="18"/>
        </w:rPr>
      </w:pPr>
      <w:r>
        <w:rPr>
          <w:w w:val="120"/>
          <w:sz w:val="18"/>
        </w:rPr>
        <w:t>Ms Catherine Lewis-Smith (until 2009), Mr Andrew Littlejohns, Revd Peter Lyth (from 2009), Mr Peter Ranscombe (from 2009), Mrs Esther Searle,</w:t>
      </w:r>
    </w:p>
    <w:p>
      <w:pPr>
        <w:spacing w:before="0"/>
        <w:ind w:left="2381" w:right="0" w:firstLine="0"/>
        <w:jc w:val="left"/>
        <w:rPr>
          <w:sz w:val="18"/>
        </w:rPr>
      </w:pPr>
      <w:r>
        <w:rPr>
          <w:w w:val="120"/>
          <w:sz w:val="18"/>
        </w:rPr>
        <w:t>Mr Orin Stephens (from 2009) and Mr Ron Sweeney (until 2009).</w:t>
      </w:r>
    </w:p>
    <w:p>
      <w:pPr>
        <w:pStyle w:val="BodyText"/>
        <w:spacing w:before="8"/>
        <w:rPr>
          <w:sz w:val="16"/>
        </w:rPr>
      </w:pPr>
    </w:p>
    <w:p>
      <w:pPr>
        <w:spacing w:line="237" w:lineRule="exact" w:before="0"/>
        <w:ind w:left="2381" w:right="0" w:firstLine="0"/>
        <w:jc w:val="left"/>
        <w:rPr>
          <w:rFonts w:ascii="Stone Sans II ITC Std Sm"/>
          <w:b/>
          <w:sz w:val="18"/>
        </w:rPr>
      </w:pPr>
      <w:r>
        <w:rPr>
          <w:rFonts w:ascii="Stone Sans II ITC Std Sm"/>
          <w:b/>
          <w:w w:val="110"/>
          <w:sz w:val="18"/>
        </w:rPr>
        <w:t>Staff team as at 31</w:t>
      </w:r>
      <w:r>
        <w:rPr>
          <w:rFonts w:ascii="Stone Sans II ITC Std Sm"/>
          <w:b/>
          <w:w w:val="110"/>
          <w:position w:val="6"/>
          <w:sz w:val="10"/>
        </w:rPr>
        <w:t>st </w:t>
      </w:r>
      <w:r>
        <w:rPr>
          <w:rFonts w:ascii="Stone Sans II ITC Std Sm"/>
          <w:b/>
          <w:w w:val="110"/>
          <w:sz w:val="18"/>
        </w:rPr>
        <w:t>March 2010</w:t>
      </w:r>
    </w:p>
    <w:p>
      <w:pPr>
        <w:spacing w:line="240" w:lineRule="auto" w:before="0"/>
        <w:ind w:left="2381" w:right="5540" w:firstLine="0"/>
        <w:jc w:val="both"/>
        <w:rPr>
          <w:sz w:val="18"/>
        </w:rPr>
      </w:pPr>
      <w:r>
        <w:rPr>
          <w:w w:val="120"/>
          <w:sz w:val="18"/>
        </w:rPr>
        <w:t>Martin Hazell – Director of Communications Genevieve Gbesorgbor – PA to the Director Kay Parris – Editor of Reform</w:t>
      </w:r>
    </w:p>
    <w:p>
      <w:pPr>
        <w:spacing w:before="0"/>
        <w:ind w:left="2381" w:right="3751" w:firstLine="0"/>
        <w:jc w:val="left"/>
        <w:rPr>
          <w:sz w:val="18"/>
        </w:rPr>
      </w:pPr>
      <w:r>
        <w:rPr>
          <w:w w:val="125"/>
          <w:sz w:val="18"/>
        </w:rPr>
        <w:t>Charissa King – Production and Marketing Coordinator, Reform Chris Andrews – Graphic Designer, Reform</w:t>
      </w:r>
    </w:p>
    <w:p>
      <w:pPr>
        <w:spacing w:before="0"/>
        <w:ind w:left="2381" w:right="0" w:firstLine="0"/>
        <w:jc w:val="left"/>
        <w:rPr>
          <w:sz w:val="18"/>
        </w:rPr>
      </w:pPr>
      <w:r>
        <w:rPr>
          <w:w w:val="125"/>
          <w:sz w:val="18"/>
        </w:rPr>
        <w:t>Sara Foyle – Senior Graphic Designer</w:t>
      </w:r>
    </w:p>
    <w:p>
      <w:pPr>
        <w:spacing w:before="0"/>
        <w:ind w:left="2381" w:right="4859" w:firstLine="0"/>
        <w:jc w:val="left"/>
        <w:rPr>
          <w:sz w:val="18"/>
        </w:rPr>
      </w:pPr>
      <w:r>
        <w:rPr>
          <w:w w:val="125"/>
          <w:sz w:val="18"/>
        </w:rPr>
        <w:t>Tina Yardley – Assistant to Senior Graphic Designer Michael Bluett – Web and Database Coordinator Gill Nichol – Press and Media Officer</w:t>
      </w:r>
    </w:p>
    <w:p>
      <w:pPr>
        <w:spacing w:before="0"/>
        <w:ind w:left="2381" w:right="5349" w:firstLine="0"/>
        <w:jc w:val="left"/>
        <w:rPr>
          <w:sz w:val="18"/>
        </w:rPr>
      </w:pPr>
      <w:r>
        <w:rPr>
          <w:w w:val="125"/>
          <w:sz w:val="18"/>
        </w:rPr>
        <w:t>Caroline (Caz) Binstead – Bookshop Manager Robert Wadey – Distribution and Packing</w:t>
      </w:r>
    </w:p>
    <w:p>
      <w:pPr>
        <w:spacing w:before="0"/>
        <w:ind w:left="2381" w:right="0" w:firstLine="0"/>
        <w:jc w:val="left"/>
        <w:rPr>
          <w:sz w:val="18"/>
        </w:rPr>
      </w:pPr>
      <w:r>
        <w:rPr>
          <w:w w:val="120"/>
          <w:sz w:val="18"/>
        </w:rPr>
        <w:t>Pat Duncan – Bookshop Assistant</w:t>
      </w:r>
    </w:p>
    <w:p>
      <w:pPr>
        <w:pStyle w:val="BodyText"/>
        <w:rPr>
          <w:sz w:val="22"/>
        </w:rPr>
      </w:pPr>
    </w:p>
    <w:p>
      <w:pPr>
        <w:pStyle w:val="BodyText"/>
        <w:rPr>
          <w:sz w:val="22"/>
        </w:rPr>
      </w:pPr>
    </w:p>
    <w:p>
      <w:pPr>
        <w:pStyle w:val="BodyText"/>
        <w:rPr>
          <w:sz w:val="22"/>
        </w:rPr>
      </w:pPr>
    </w:p>
    <w:p>
      <w:pPr>
        <w:pStyle w:val="ListParagraph"/>
        <w:numPr>
          <w:ilvl w:val="0"/>
          <w:numId w:val="124"/>
        </w:numPr>
        <w:tabs>
          <w:tab w:pos="2664" w:val="left" w:leader="none"/>
          <w:tab w:pos="2665" w:val="left" w:leader="none"/>
        </w:tabs>
        <w:spacing w:line="242" w:lineRule="exact" w:before="153" w:after="0"/>
        <w:ind w:left="2664" w:right="0" w:hanging="681"/>
        <w:jc w:val="left"/>
        <w:rPr>
          <w:sz w:val="20"/>
        </w:rPr>
      </w:pPr>
      <w:r>
        <w:rPr>
          <w:spacing w:val="3"/>
          <w:w w:val="120"/>
          <w:sz w:val="20"/>
        </w:rPr>
        <w:t>Good </w:t>
      </w:r>
      <w:r>
        <w:rPr>
          <w:w w:val="120"/>
          <w:sz w:val="20"/>
        </w:rPr>
        <w:t>communication is at the core of </w:t>
      </w:r>
      <w:r>
        <w:rPr>
          <w:spacing w:val="3"/>
          <w:w w:val="120"/>
          <w:sz w:val="20"/>
        </w:rPr>
        <w:t>every </w:t>
      </w:r>
      <w:r>
        <w:rPr>
          <w:w w:val="120"/>
          <w:sz w:val="20"/>
        </w:rPr>
        <w:t>successful</w:t>
      </w:r>
      <w:r>
        <w:rPr>
          <w:spacing w:val="10"/>
          <w:w w:val="120"/>
          <w:sz w:val="20"/>
        </w:rPr>
        <w:t> </w:t>
      </w:r>
      <w:r>
        <w:rPr>
          <w:w w:val="120"/>
          <w:sz w:val="20"/>
        </w:rPr>
        <w:t>organisation.</w:t>
      </w:r>
    </w:p>
    <w:p>
      <w:pPr>
        <w:pStyle w:val="BodyText"/>
        <w:spacing w:line="235" w:lineRule="auto" w:before="2"/>
        <w:ind w:left="1984" w:right="2305"/>
      </w:pPr>
      <w:r>
        <w:rPr>
          <w:w w:val="120"/>
        </w:rPr>
        <w:t>It must and should be at the centre of all the Church </w:t>
      </w:r>
      <w:r>
        <w:rPr>
          <w:spacing w:val="2"/>
          <w:w w:val="120"/>
        </w:rPr>
        <w:t>does, from </w:t>
      </w:r>
      <w:r>
        <w:rPr>
          <w:w w:val="120"/>
        </w:rPr>
        <w:t>how we give </w:t>
      </w:r>
      <w:r>
        <w:rPr>
          <w:spacing w:val="2"/>
          <w:w w:val="120"/>
        </w:rPr>
        <w:t>information </w:t>
      </w:r>
      <w:r>
        <w:rPr>
          <w:w w:val="120"/>
        </w:rPr>
        <w:t>to one another within a </w:t>
      </w:r>
      <w:r>
        <w:rPr>
          <w:spacing w:val="2"/>
          <w:w w:val="120"/>
        </w:rPr>
        <w:t>congregation </w:t>
      </w:r>
      <w:r>
        <w:rPr>
          <w:w w:val="120"/>
        </w:rPr>
        <w:t>to how we converse with the wider </w:t>
      </w:r>
      <w:r>
        <w:rPr>
          <w:spacing w:val="2"/>
          <w:w w:val="120"/>
        </w:rPr>
        <w:t>world, </w:t>
      </w:r>
      <w:r>
        <w:rPr>
          <w:w w:val="120"/>
        </w:rPr>
        <w:t>and is </w:t>
      </w:r>
      <w:r>
        <w:rPr>
          <w:spacing w:val="2"/>
          <w:w w:val="120"/>
        </w:rPr>
        <w:t>necessary </w:t>
      </w:r>
      <w:r>
        <w:rPr>
          <w:w w:val="120"/>
        </w:rPr>
        <w:t>for </w:t>
      </w:r>
      <w:r>
        <w:rPr>
          <w:spacing w:val="3"/>
          <w:w w:val="120"/>
        </w:rPr>
        <w:t>every aspect </w:t>
      </w:r>
      <w:r>
        <w:rPr>
          <w:w w:val="120"/>
        </w:rPr>
        <w:t>of church life and </w:t>
      </w:r>
      <w:r>
        <w:rPr>
          <w:spacing w:val="3"/>
          <w:w w:val="120"/>
        </w:rPr>
        <w:t>activity  </w:t>
      </w:r>
      <w:r>
        <w:rPr>
          <w:w w:val="120"/>
        </w:rPr>
        <w:t>in </w:t>
      </w:r>
      <w:r>
        <w:rPr>
          <w:spacing w:val="2"/>
          <w:w w:val="120"/>
        </w:rPr>
        <w:t>between. </w:t>
      </w:r>
      <w:r>
        <w:rPr>
          <w:w w:val="120"/>
        </w:rPr>
        <w:t>At </w:t>
      </w:r>
      <w:r>
        <w:rPr>
          <w:spacing w:val="2"/>
          <w:w w:val="120"/>
        </w:rPr>
        <w:t>its </w:t>
      </w:r>
      <w:r>
        <w:rPr>
          <w:spacing w:val="3"/>
          <w:w w:val="120"/>
        </w:rPr>
        <w:t>best, </w:t>
      </w:r>
      <w:r>
        <w:rPr>
          <w:w w:val="120"/>
        </w:rPr>
        <w:t>communication can </w:t>
      </w:r>
      <w:r>
        <w:rPr>
          <w:spacing w:val="3"/>
          <w:w w:val="120"/>
        </w:rPr>
        <w:t>transform </w:t>
      </w:r>
      <w:r>
        <w:rPr>
          <w:w w:val="120"/>
        </w:rPr>
        <w:t>the Church into the living </w:t>
      </w:r>
      <w:r>
        <w:rPr>
          <w:spacing w:val="2"/>
          <w:w w:val="120"/>
        </w:rPr>
        <w:t>reality Christ </w:t>
      </w:r>
      <w:r>
        <w:rPr>
          <w:w w:val="120"/>
        </w:rPr>
        <w:t>calls us all to</w:t>
      </w:r>
      <w:r>
        <w:rPr>
          <w:spacing w:val="42"/>
          <w:w w:val="120"/>
        </w:rPr>
        <w:t> </w:t>
      </w:r>
      <w:r>
        <w:rPr>
          <w:w w:val="120"/>
        </w:rPr>
        <w:t>be.</w:t>
      </w:r>
    </w:p>
    <w:p>
      <w:pPr>
        <w:pStyle w:val="BodyText"/>
        <w:spacing w:before="11"/>
        <w:rPr>
          <w:sz w:val="19"/>
        </w:rPr>
      </w:pPr>
    </w:p>
    <w:p>
      <w:pPr>
        <w:pStyle w:val="ListParagraph"/>
        <w:numPr>
          <w:ilvl w:val="0"/>
          <w:numId w:val="124"/>
        </w:numPr>
        <w:tabs>
          <w:tab w:pos="2664" w:val="left" w:leader="none"/>
          <w:tab w:pos="2665" w:val="left" w:leader="none"/>
        </w:tabs>
        <w:spacing w:line="235" w:lineRule="auto" w:before="0" w:after="0"/>
        <w:ind w:left="1984" w:right="2253" w:firstLine="0"/>
        <w:jc w:val="left"/>
        <w:rPr>
          <w:sz w:val="20"/>
        </w:rPr>
      </w:pPr>
      <w:r>
        <w:rPr>
          <w:w w:val="120"/>
          <w:sz w:val="20"/>
        </w:rPr>
        <w:t>This </w:t>
      </w:r>
      <w:r>
        <w:rPr>
          <w:spacing w:val="3"/>
          <w:w w:val="120"/>
          <w:sz w:val="20"/>
        </w:rPr>
        <w:t>report </w:t>
      </w:r>
      <w:r>
        <w:rPr>
          <w:w w:val="120"/>
          <w:sz w:val="20"/>
        </w:rPr>
        <w:t>covers the </w:t>
      </w:r>
      <w:r>
        <w:rPr>
          <w:spacing w:val="2"/>
          <w:w w:val="120"/>
          <w:sz w:val="20"/>
        </w:rPr>
        <w:t>past two </w:t>
      </w:r>
      <w:r>
        <w:rPr>
          <w:w w:val="120"/>
          <w:sz w:val="20"/>
        </w:rPr>
        <w:t>years during which great changes   have </w:t>
      </w:r>
      <w:r>
        <w:rPr>
          <w:spacing w:val="2"/>
          <w:w w:val="120"/>
          <w:sz w:val="20"/>
        </w:rPr>
        <w:t>been </w:t>
      </w:r>
      <w:r>
        <w:rPr>
          <w:w w:val="120"/>
          <w:sz w:val="20"/>
        </w:rPr>
        <w:t>made to build a </w:t>
      </w:r>
      <w:r>
        <w:rPr>
          <w:spacing w:val="2"/>
          <w:w w:val="120"/>
          <w:sz w:val="20"/>
        </w:rPr>
        <w:t>vibrant </w:t>
      </w:r>
      <w:r>
        <w:rPr>
          <w:w w:val="120"/>
          <w:sz w:val="20"/>
        </w:rPr>
        <w:t>and </w:t>
      </w:r>
      <w:r>
        <w:rPr>
          <w:spacing w:val="2"/>
          <w:w w:val="120"/>
          <w:sz w:val="20"/>
        </w:rPr>
        <w:t>professional </w:t>
      </w:r>
      <w:r>
        <w:rPr>
          <w:w w:val="120"/>
          <w:sz w:val="20"/>
        </w:rPr>
        <w:t>communications team. </w:t>
      </w:r>
      <w:r>
        <w:rPr>
          <w:spacing w:val="2"/>
          <w:w w:val="120"/>
          <w:sz w:val="20"/>
        </w:rPr>
        <w:t>The </w:t>
      </w:r>
      <w:r>
        <w:rPr>
          <w:w w:val="120"/>
          <w:sz w:val="20"/>
        </w:rPr>
        <w:t>committee is delighted to </w:t>
      </w:r>
      <w:r>
        <w:rPr>
          <w:spacing w:val="2"/>
          <w:w w:val="120"/>
          <w:sz w:val="20"/>
        </w:rPr>
        <w:t>see </w:t>
      </w:r>
      <w:r>
        <w:rPr>
          <w:w w:val="120"/>
          <w:sz w:val="20"/>
        </w:rPr>
        <w:t>such an </w:t>
      </w:r>
      <w:r>
        <w:rPr>
          <w:spacing w:val="2"/>
          <w:w w:val="120"/>
          <w:sz w:val="20"/>
        </w:rPr>
        <w:t>energetic </w:t>
      </w:r>
      <w:r>
        <w:rPr>
          <w:w w:val="120"/>
          <w:sz w:val="20"/>
        </w:rPr>
        <w:t>and enthused group of </w:t>
      </w:r>
      <w:r>
        <w:rPr>
          <w:spacing w:val="2"/>
          <w:w w:val="120"/>
          <w:sz w:val="20"/>
        </w:rPr>
        <w:t>people working </w:t>
      </w:r>
      <w:r>
        <w:rPr>
          <w:w w:val="120"/>
          <w:sz w:val="20"/>
        </w:rPr>
        <w:t>together to produce work of a high </w:t>
      </w:r>
      <w:r>
        <w:rPr>
          <w:spacing w:val="2"/>
          <w:w w:val="120"/>
          <w:sz w:val="20"/>
        </w:rPr>
        <w:t>standard </w:t>
      </w:r>
      <w:r>
        <w:rPr>
          <w:w w:val="120"/>
          <w:sz w:val="20"/>
        </w:rPr>
        <w:t>for the </w:t>
      </w:r>
      <w:r>
        <w:rPr>
          <w:spacing w:val="2"/>
          <w:w w:val="120"/>
          <w:sz w:val="20"/>
        </w:rPr>
        <w:t>benefit </w:t>
      </w:r>
      <w:r>
        <w:rPr>
          <w:w w:val="120"/>
          <w:sz w:val="20"/>
        </w:rPr>
        <w:t>of the </w:t>
      </w:r>
      <w:r>
        <w:rPr>
          <w:spacing w:val="2"/>
          <w:w w:val="120"/>
          <w:sz w:val="20"/>
        </w:rPr>
        <w:t>whole</w:t>
      </w:r>
      <w:r>
        <w:rPr>
          <w:spacing w:val="19"/>
          <w:w w:val="120"/>
          <w:sz w:val="20"/>
        </w:rPr>
        <w:t> </w:t>
      </w:r>
      <w:r>
        <w:rPr>
          <w:w w:val="120"/>
          <w:sz w:val="20"/>
        </w:rPr>
        <w:t>Church.</w:t>
      </w:r>
    </w:p>
    <w:p>
      <w:pPr>
        <w:pStyle w:val="BodyText"/>
        <w:spacing w:before="10"/>
        <w:rPr>
          <w:sz w:val="17"/>
        </w:rPr>
      </w:pPr>
    </w:p>
    <w:p>
      <w:pPr>
        <w:numPr>
          <w:ilvl w:val="0"/>
          <w:numId w:val="12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Developing a</w:t>
      </w:r>
      <w:r>
        <w:rPr>
          <w:rFonts w:ascii="Stone Sans II ITC Std Bk"/>
          <w:b/>
          <w:spacing w:val="-4"/>
          <w:w w:val="115"/>
          <w:sz w:val="21"/>
        </w:rPr>
        <w:t> </w:t>
      </w:r>
      <w:r>
        <w:rPr>
          <w:rFonts w:ascii="Stone Sans II ITC Std Bk"/>
          <w:b/>
          <w:w w:val="115"/>
          <w:sz w:val="21"/>
        </w:rPr>
        <w:t>vision</w:t>
      </w:r>
    </w:p>
    <w:p>
      <w:pPr>
        <w:pStyle w:val="BodyText"/>
        <w:spacing w:line="235" w:lineRule="auto" w:before="223"/>
        <w:ind w:left="1984" w:right="2573"/>
      </w:pPr>
      <w:r>
        <w:rPr>
          <w:w w:val="120"/>
        </w:rPr>
        <w:t>The department is currently formulating its vision; the statement below is work in progress.</w:t>
      </w:r>
    </w:p>
    <w:p>
      <w:pPr>
        <w:pStyle w:val="BodyText"/>
        <w:spacing w:before="9"/>
        <w:rPr>
          <w:sz w:val="19"/>
        </w:rPr>
      </w:pPr>
      <w:r>
        <w:rPr/>
        <w:pict>
          <v:shape style="position:absolute;margin-left:99.212997pt;margin-top:13.26432pt;width:392.9pt;height:162.2pt;mso-position-horizontal-relative:page;mso-position-vertical-relative:paragraph;z-index:-251319296;mso-wrap-distance-left:0;mso-wrap-distance-right:0" type="#_x0000_t202" filled="false" stroked="false">
            <v:textbox inset="0,0,0,0">
              <w:txbxContent>
                <w:p>
                  <w:pPr>
                    <w:pStyle w:val="BodyText"/>
                    <w:spacing w:before="10"/>
                    <w:rPr>
                      <w:sz w:val="28"/>
                    </w:rPr>
                  </w:pPr>
                </w:p>
                <w:p>
                  <w:pPr>
                    <w:pStyle w:val="BodyText"/>
                    <w:spacing w:line="276" w:lineRule="auto"/>
                    <w:ind w:left="396" w:right="341"/>
                  </w:pPr>
                  <w:r>
                    <w:rPr>
                      <w:w w:val="120"/>
                    </w:rPr>
                    <w:t>‘The Communications department aims to ensure there is effective communication in all the Church does, at every level, which is automatically built into the planning process.</w:t>
                  </w:r>
                </w:p>
                <w:p>
                  <w:pPr>
                    <w:pStyle w:val="BodyText"/>
                    <w:spacing w:line="276" w:lineRule="auto"/>
                    <w:ind w:left="396" w:right="341"/>
                  </w:pPr>
                  <w:r>
                    <w:rPr>
                      <w:spacing w:val="-7"/>
                      <w:w w:val="120"/>
                    </w:rPr>
                    <w:t>To </w:t>
                  </w:r>
                  <w:r>
                    <w:rPr>
                      <w:w w:val="120"/>
                    </w:rPr>
                    <w:t>encourage everyone to think how best information can be communicated in ways that inspire, challenge and build up the Church. </w:t>
                  </w:r>
                  <w:r>
                    <w:rPr>
                      <w:spacing w:val="-7"/>
                      <w:w w:val="120"/>
                    </w:rPr>
                    <w:t>To </w:t>
                  </w:r>
                  <w:r>
                    <w:rPr>
                      <w:w w:val="120"/>
                    </w:rPr>
                    <w:t>provide material that o</w:t>
                  </w:r>
                  <w:r>
                    <w:rPr>
                      <w:i/>
                      <w:w w:val="120"/>
                    </w:rPr>
                    <w:t>pens </w:t>
                  </w:r>
                  <w:r>
                    <w:rPr>
                      <w:w w:val="120"/>
                    </w:rPr>
                    <w:t>up discussions of important life matters. </w:t>
                  </w:r>
                  <w:r>
                    <w:rPr>
                      <w:spacing w:val="-9"/>
                      <w:w w:val="120"/>
                    </w:rPr>
                    <w:t>To </w:t>
                  </w:r>
                  <w:r>
                    <w:rPr>
                      <w:w w:val="120"/>
                    </w:rPr>
                    <w:t>widen </w:t>
                  </w:r>
                  <w:r>
                    <w:rPr>
                      <w:spacing w:val="-4"/>
                      <w:w w:val="120"/>
                    </w:rPr>
                    <w:t>people’s </w:t>
                  </w:r>
                  <w:r>
                    <w:rPr>
                      <w:spacing w:val="-3"/>
                      <w:w w:val="120"/>
                    </w:rPr>
                    <w:t>horizons, </w:t>
                  </w:r>
                  <w:r>
                    <w:rPr>
                      <w:w w:val="120"/>
                    </w:rPr>
                    <w:t>challenge </w:t>
                  </w:r>
                  <w:r>
                    <w:rPr>
                      <w:spacing w:val="-3"/>
                      <w:w w:val="120"/>
                    </w:rPr>
                    <w:t>perceptions </w:t>
                  </w:r>
                  <w:r>
                    <w:rPr>
                      <w:w w:val="120"/>
                    </w:rPr>
                    <w:t>and prepare members to serve responsibly, in the best traditions of Christian discipleship.</w:t>
                  </w:r>
                </w:p>
                <w:p>
                  <w:pPr>
                    <w:pStyle w:val="BodyText"/>
                    <w:spacing w:line="240" w:lineRule="exact"/>
                    <w:ind w:left="396"/>
                  </w:pPr>
                  <w:r>
                    <w:rPr>
                      <w:w w:val="120"/>
                    </w:rPr>
                    <w:t>To help build a church of healthy relationships’.</w:t>
                  </w:r>
                </w:p>
              </w:txbxContent>
            </v:textbox>
            <w10:wrap type="topAndBottom"/>
          </v:shape>
        </w:pict>
      </w:r>
    </w:p>
    <w:p>
      <w:pPr>
        <w:pStyle w:val="BodyText"/>
      </w:pPr>
    </w:p>
    <w:p>
      <w:pPr>
        <w:pStyle w:val="BodyText"/>
      </w:pPr>
    </w:p>
    <w:p>
      <w:pPr>
        <w:pStyle w:val="BodyText"/>
        <w:spacing w:before="6"/>
      </w:pPr>
    </w:p>
    <w:p>
      <w:pPr>
        <w:spacing w:before="96"/>
        <w:ind w:left="474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 2010 </w:t>
      </w:r>
      <w:r>
        <w:rPr>
          <w:rFonts w:ascii="Symbol" w:hAnsi="Symbol"/>
          <w:color w:val="FFFFFF"/>
          <w:w w:val="110"/>
          <w:sz w:val="23"/>
        </w:rPr>
        <w:t></w:t>
      </w:r>
      <w:r>
        <w:rPr>
          <w:rFonts w:ascii="Times New Roman" w:hAnsi="Times New Roman"/>
          <w:color w:val="FFFFFF"/>
          <w:w w:val="110"/>
          <w:sz w:val="23"/>
        </w:rPr>
        <w:t> </w:t>
      </w:r>
      <w:r>
        <w:rPr>
          <w:rFonts w:ascii="Stone Sans II ITC Std X Bd" w:hAnsi="Stone Sans II ITC Std X Bd"/>
          <w:b/>
          <w:color w:val="FFFFFF"/>
          <w:w w:val="110"/>
          <w:sz w:val="24"/>
        </w:rPr>
        <w:t>109</w:t>
      </w:r>
    </w:p>
    <w:p>
      <w:pPr>
        <w:spacing w:after="0"/>
        <w:jc w:val="left"/>
        <w:rPr>
          <w:rFonts w:ascii="Stone Sans II ITC Std X Bd" w:hAnsi="Stone Sans II ITC Std X Bd"/>
          <w:sz w:val="24"/>
        </w:rPr>
        <w:sectPr>
          <w:headerReference w:type="default" r:id="rId252"/>
          <w:headerReference w:type="even" r:id="rId253"/>
          <w:footerReference w:type="default" r:id="rId254"/>
          <w:pgSz w:w="11910" w:h="16840"/>
          <w:pgMar w:header="0" w:footer="0" w:top="1420" w:bottom="280" w:left="0" w:right="0"/>
        </w:sectPr>
      </w:pPr>
    </w:p>
    <w:p>
      <w:pPr>
        <w:numPr>
          <w:ilvl w:val="0"/>
          <w:numId w:val="124"/>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2001280" filled="true" fillcolor="#dae4ec" stroked="false">
            <v:fill opacity="32768f" type="solid"/>
            <w10:wrap type="none"/>
          </v:rect>
        </w:pict>
      </w:r>
      <w:r>
        <w:rPr/>
        <w:pict>
          <v:group style="position:absolute;margin-left:290.904999pt;margin-top:13.115773pt;width:218.9pt;height:256.7pt;mso-position-horizontal-relative:page;mso-position-vertical-relative:paragraph;z-index:252002304" coordorigin="5818,262" coordsize="4378,5134">
            <v:rect style="position:absolute;left:5818;top:262;width:4378;height:5134" filled="true" fillcolor="#000000" stroked="false">
              <v:fill opacity="26870f" type="solid"/>
            </v:rect>
            <v:shape style="position:absolute;left:5943;top:383;width:3905;height:4658" type="#_x0000_t75" stroked="false">
              <v:imagedata r:id="rId259" o:title=""/>
            </v:shape>
            <w10:wrap type="none"/>
          </v:group>
        </w:pict>
      </w:r>
      <w:r>
        <w:rPr>
          <w:rFonts w:ascii="Stone Sans II ITC Std Bk"/>
          <w:b/>
          <w:w w:val="115"/>
          <w:sz w:val="21"/>
        </w:rPr>
        <w:t>Delivering the</w:t>
      </w:r>
      <w:r>
        <w:rPr>
          <w:rFonts w:ascii="Stone Sans II ITC Std Bk"/>
          <w:b/>
          <w:spacing w:val="-4"/>
          <w:w w:val="115"/>
          <w:sz w:val="21"/>
        </w:rPr>
        <w:t> </w:t>
      </w:r>
      <w:r>
        <w:rPr>
          <w:rFonts w:ascii="Stone Sans II ITC Std Bk"/>
          <w:b/>
          <w:w w:val="115"/>
          <w:sz w:val="21"/>
        </w:rPr>
        <w:t>mission</w:t>
      </w:r>
    </w:p>
    <w:p>
      <w:pPr>
        <w:numPr>
          <w:ilvl w:val="1"/>
          <w:numId w:val="124"/>
        </w:numPr>
        <w:tabs>
          <w:tab w:pos="1814" w:val="left" w:leader="none"/>
          <w:tab w:pos="1815" w:val="left" w:leader="none"/>
        </w:tabs>
        <w:spacing w:before="206"/>
        <w:ind w:left="1814" w:right="0" w:hanging="682"/>
        <w:jc w:val="left"/>
        <w:rPr>
          <w:rFonts w:ascii="Stone Sans II ITC Std Bk"/>
          <w:b/>
          <w:sz w:val="20"/>
        </w:rPr>
      </w:pPr>
      <w:r>
        <w:rPr>
          <w:rFonts w:ascii="Stone Sans II ITC Std Bk"/>
          <w:b/>
          <w:w w:val="110"/>
          <w:sz w:val="20"/>
        </w:rPr>
        <w:t>Reform</w:t>
      </w:r>
    </w:p>
    <w:p>
      <w:pPr>
        <w:pStyle w:val="BodyText"/>
        <w:spacing w:before="10"/>
        <w:rPr>
          <w:rFonts w:ascii="Stone Sans II ITC Std Bk"/>
          <w:b/>
          <w:sz w:val="16"/>
        </w:rPr>
      </w:pPr>
    </w:p>
    <w:p>
      <w:pPr>
        <w:pStyle w:val="ListParagraph"/>
        <w:numPr>
          <w:ilvl w:val="2"/>
          <w:numId w:val="124"/>
        </w:numPr>
        <w:tabs>
          <w:tab w:pos="1814" w:val="left" w:leader="none"/>
          <w:tab w:pos="1815" w:val="left" w:leader="none"/>
        </w:tabs>
        <w:spacing w:line="235" w:lineRule="auto" w:before="0" w:after="0"/>
        <w:ind w:left="1133" w:right="6698" w:firstLine="0"/>
        <w:jc w:val="left"/>
        <w:rPr>
          <w:sz w:val="20"/>
        </w:rPr>
      </w:pPr>
      <w:r>
        <w:rPr>
          <w:w w:val="120"/>
          <w:sz w:val="20"/>
        </w:rPr>
        <w:t>The new look Reform has been running for almost two years, and every week the team, Kay Parris </w:t>
      </w:r>
      <w:r>
        <w:rPr>
          <w:spacing w:val="-5"/>
          <w:w w:val="120"/>
          <w:sz w:val="20"/>
        </w:rPr>
        <w:t>(editor), </w:t>
      </w:r>
      <w:r>
        <w:rPr>
          <w:w w:val="120"/>
          <w:sz w:val="20"/>
        </w:rPr>
        <w:t>Charissa King (production and marketing coordinator) and Chris Andrews (graphic designer), receive compliments</w:t>
      </w:r>
      <w:r>
        <w:rPr>
          <w:spacing w:val="18"/>
          <w:w w:val="120"/>
          <w:sz w:val="20"/>
        </w:rPr>
        <w:t> </w:t>
      </w:r>
      <w:r>
        <w:rPr>
          <w:w w:val="120"/>
          <w:sz w:val="20"/>
        </w:rPr>
        <w:t>about</w:t>
      </w:r>
    </w:p>
    <w:p>
      <w:pPr>
        <w:pStyle w:val="BodyText"/>
        <w:spacing w:line="235" w:lineRule="auto" w:before="4"/>
        <w:ind w:left="1133" w:right="6670"/>
      </w:pPr>
      <w:r>
        <w:rPr>
          <w:w w:val="120"/>
        </w:rPr>
        <w:t>its contents and presentation, both from within our own membership and across the denominations. A very few of the</w:t>
      </w:r>
    </w:p>
    <w:p>
      <w:pPr>
        <w:pStyle w:val="BodyText"/>
        <w:spacing w:line="240" w:lineRule="exact"/>
        <w:ind w:left="1133"/>
      </w:pPr>
      <w:r>
        <w:rPr>
          <w:w w:val="120"/>
        </w:rPr>
        <w:t>many comments are: ‘Thank you for Reform</w:t>
      </w:r>
    </w:p>
    <w:p>
      <w:pPr>
        <w:pStyle w:val="BodyText"/>
        <w:spacing w:line="235" w:lineRule="auto" w:before="2"/>
        <w:ind w:left="1133" w:right="6332"/>
      </w:pPr>
      <w:r>
        <w:rPr>
          <w:w w:val="120"/>
        </w:rPr>
        <w:t>– it is so good to read.’ ‘Thank you for what has become an excellent channel of Christian life and thinking and inspiration.’ ‘essential, vibrant reading’ and spotted in one local church newsletter: ‘Reform has developed into a truly exciting publication, full of articles, which inspire, which inform and which sometimes infuriate!’</w:t>
      </w:r>
    </w:p>
    <w:p>
      <w:pPr>
        <w:pStyle w:val="BodyText"/>
        <w:spacing w:before="1"/>
      </w:pPr>
    </w:p>
    <w:p>
      <w:pPr>
        <w:pStyle w:val="ListParagraph"/>
        <w:numPr>
          <w:ilvl w:val="2"/>
          <w:numId w:val="124"/>
        </w:numPr>
        <w:tabs>
          <w:tab w:pos="1814" w:val="left" w:leader="none"/>
          <w:tab w:pos="1815" w:val="left" w:leader="none"/>
        </w:tabs>
        <w:spacing w:line="235" w:lineRule="auto" w:before="0" w:after="0"/>
        <w:ind w:left="1133" w:right="2174" w:firstLine="0"/>
        <w:jc w:val="left"/>
        <w:rPr>
          <w:i/>
          <w:sz w:val="20"/>
        </w:rPr>
      </w:pPr>
      <w:r>
        <w:rPr>
          <w:w w:val="120"/>
          <w:sz w:val="20"/>
        </w:rPr>
        <w:t>John Humphrys, Jeremy Vine, Christine Ohurugo, Ann Widdecombe and   Stephen Timms have all been interviewed in Reform’s pages; alongside articles on </w:t>
      </w:r>
      <w:r>
        <w:rPr>
          <w:i/>
          <w:w w:val="120"/>
          <w:sz w:val="20"/>
        </w:rPr>
        <w:t>Fresh</w:t>
      </w:r>
    </w:p>
    <w:p>
      <w:pPr>
        <w:pStyle w:val="BodyText"/>
        <w:spacing w:line="235" w:lineRule="auto" w:before="2"/>
        <w:ind w:left="1133" w:right="2061"/>
      </w:pPr>
      <w:r>
        <w:rPr>
          <w:i/>
          <w:w w:val="120"/>
        </w:rPr>
        <w:t>Expressions</w:t>
      </w:r>
      <w:r>
        <w:rPr>
          <w:w w:val="120"/>
        </w:rPr>
        <w:t>,</w:t>
      </w:r>
      <w:r>
        <w:rPr>
          <w:spacing w:val="-6"/>
          <w:w w:val="120"/>
        </w:rPr>
        <w:t> </w:t>
      </w:r>
      <w:r>
        <w:rPr>
          <w:w w:val="120"/>
        </w:rPr>
        <w:t>science</w:t>
      </w:r>
      <w:r>
        <w:rPr>
          <w:spacing w:val="-6"/>
          <w:w w:val="120"/>
        </w:rPr>
        <w:t> </w:t>
      </w:r>
      <w:r>
        <w:rPr>
          <w:w w:val="120"/>
        </w:rPr>
        <w:t>and</w:t>
      </w:r>
      <w:r>
        <w:rPr>
          <w:spacing w:val="-6"/>
          <w:w w:val="120"/>
        </w:rPr>
        <w:t> </w:t>
      </w:r>
      <w:r>
        <w:rPr>
          <w:w w:val="120"/>
        </w:rPr>
        <w:t>faith,</w:t>
      </w:r>
      <w:r>
        <w:rPr>
          <w:spacing w:val="-6"/>
          <w:w w:val="120"/>
        </w:rPr>
        <w:t> </w:t>
      </w:r>
      <w:r>
        <w:rPr>
          <w:w w:val="120"/>
        </w:rPr>
        <w:t>and</w:t>
      </w:r>
      <w:r>
        <w:rPr>
          <w:spacing w:val="-5"/>
          <w:w w:val="120"/>
        </w:rPr>
        <w:t> </w:t>
      </w:r>
      <w:r>
        <w:rPr>
          <w:w w:val="120"/>
        </w:rPr>
        <w:t>social</w:t>
      </w:r>
      <w:r>
        <w:rPr>
          <w:spacing w:val="-6"/>
          <w:w w:val="120"/>
        </w:rPr>
        <w:t> </w:t>
      </w:r>
      <w:r>
        <w:rPr>
          <w:w w:val="120"/>
        </w:rPr>
        <w:t>concerns;</w:t>
      </w:r>
      <w:r>
        <w:rPr>
          <w:spacing w:val="-6"/>
          <w:w w:val="120"/>
        </w:rPr>
        <w:t> </w:t>
      </w:r>
      <w:r>
        <w:rPr>
          <w:w w:val="120"/>
        </w:rPr>
        <w:t>there</w:t>
      </w:r>
      <w:r>
        <w:rPr>
          <w:spacing w:val="-6"/>
          <w:w w:val="120"/>
        </w:rPr>
        <w:t> </w:t>
      </w:r>
      <w:r>
        <w:rPr>
          <w:w w:val="120"/>
        </w:rPr>
        <w:t>has</w:t>
      </w:r>
      <w:r>
        <w:rPr>
          <w:spacing w:val="-5"/>
          <w:w w:val="120"/>
        </w:rPr>
        <w:t> </w:t>
      </w:r>
      <w:r>
        <w:rPr>
          <w:w w:val="120"/>
        </w:rPr>
        <w:t>also</w:t>
      </w:r>
      <w:r>
        <w:rPr>
          <w:spacing w:val="-6"/>
          <w:w w:val="120"/>
        </w:rPr>
        <w:t> </w:t>
      </w:r>
      <w:r>
        <w:rPr>
          <w:w w:val="120"/>
        </w:rPr>
        <w:t>been</w:t>
      </w:r>
      <w:r>
        <w:rPr>
          <w:spacing w:val="-6"/>
          <w:w w:val="120"/>
        </w:rPr>
        <w:t> </w:t>
      </w:r>
      <w:r>
        <w:rPr>
          <w:w w:val="120"/>
        </w:rPr>
        <w:t>biblical</w:t>
      </w:r>
      <w:r>
        <w:rPr>
          <w:spacing w:val="-6"/>
          <w:w w:val="120"/>
        </w:rPr>
        <w:t> </w:t>
      </w:r>
      <w:r>
        <w:rPr>
          <w:w w:val="120"/>
        </w:rPr>
        <w:t>analysis</w:t>
      </w:r>
      <w:r>
        <w:rPr>
          <w:spacing w:val="-5"/>
          <w:w w:val="120"/>
        </w:rPr>
        <w:t> </w:t>
      </w:r>
      <w:r>
        <w:rPr>
          <w:w w:val="120"/>
        </w:rPr>
        <w:t>by Walter Brueggemann and theological exploration by Keith Ward. </w:t>
      </w:r>
      <w:r>
        <w:rPr>
          <w:spacing w:val="-3"/>
          <w:w w:val="120"/>
        </w:rPr>
        <w:t>It’s </w:t>
      </w:r>
      <w:r>
        <w:rPr>
          <w:w w:val="120"/>
        </w:rPr>
        <w:t>a </w:t>
      </w:r>
      <w:r>
        <w:rPr>
          <w:spacing w:val="-3"/>
          <w:w w:val="120"/>
        </w:rPr>
        <w:t>lively, </w:t>
      </w:r>
      <w:r>
        <w:rPr>
          <w:w w:val="120"/>
        </w:rPr>
        <w:t>informative read, and is being widely recognised as such. Reform exists to promote discussion and raise issues, so when articles challenge and cause debate that is good news. Sometimes controversial topics provoke letters which can be aggressive, rude or defamatory; this  has necessitated the introduction of an editorial policy which helps to ensure potentially offensive letters are not</w:t>
      </w:r>
      <w:r>
        <w:rPr>
          <w:spacing w:val="6"/>
          <w:w w:val="120"/>
        </w:rPr>
        <w:t> </w:t>
      </w:r>
      <w:r>
        <w:rPr>
          <w:w w:val="120"/>
        </w:rPr>
        <w:t>published.</w:t>
      </w:r>
    </w:p>
    <w:p>
      <w:pPr>
        <w:pStyle w:val="BodyText"/>
        <w:spacing w:before="1"/>
      </w:pPr>
    </w:p>
    <w:p>
      <w:pPr>
        <w:pStyle w:val="ListParagraph"/>
        <w:numPr>
          <w:ilvl w:val="2"/>
          <w:numId w:val="124"/>
        </w:numPr>
        <w:tabs>
          <w:tab w:pos="1814" w:val="left" w:leader="none"/>
          <w:tab w:pos="1815" w:val="left" w:leader="none"/>
        </w:tabs>
        <w:spacing w:line="235" w:lineRule="auto" w:before="0" w:after="0"/>
        <w:ind w:left="1133" w:right="2022" w:firstLine="0"/>
        <w:jc w:val="left"/>
        <w:rPr>
          <w:sz w:val="20"/>
        </w:rPr>
      </w:pPr>
      <w:r>
        <w:rPr>
          <w:w w:val="120"/>
          <w:sz w:val="20"/>
        </w:rPr>
        <w:t>Readers may have noticed a change in emphasis: Reform is now less an internal noticeboard for URC events and more a forum for contemporary ideas and discussions. The greater aim is to see Reform as a mission-led magazine, reaching out to communities and</w:t>
      </w:r>
      <w:r>
        <w:rPr>
          <w:spacing w:val="8"/>
          <w:w w:val="120"/>
          <w:sz w:val="20"/>
        </w:rPr>
        <w:t> </w:t>
      </w:r>
      <w:r>
        <w:rPr>
          <w:w w:val="120"/>
          <w:sz w:val="20"/>
        </w:rPr>
        <w:t>exploring</w:t>
      </w:r>
      <w:r>
        <w:rPr>
          <w:spacing w:val="8"/>
          <w:w w:val="120"/>
          <w:sz w:val="20"/>
        </w:rPr>
        <w:t> </w:t>
      </w:r>
      <w:r>
        <w:rPr>
          <w:w w:val="120"/>
          <w:sz w:val="20"/>
        </w:rPr>
        <w:t>issues</w:t>
      </w:r>
      <w:r>
        <w:rPr>
          <w:spacing w:val="9"/>
          <w:w w:val="120"/>
          <w:sz w:val="20"/>
        </w:rPr>
        <w:t> </w:t>
      </w:r>
      <w:r>
        <w:rPr>
          <w:w w:val="120"/>
          <w:sz w:val="20"/>
        </w:rPr>
        <w:t>from</w:t>
      </w:r>
      <w:r>
        <w:rPr>
          <w:spacing w:val="8"/>
          <w:w w:val="120"/>
          <w:sz w:val="20"/>
        </w:rPr>
        <w:t> </w:t>
      </w:r>
      <w:r>
        <w:rPr>
          <w:w w:val="120"/>
          <w:sz w:val="20"/>
        </w:rPr>
        <w:t>a</w:t>
      </w:r>
      <w:r>
        <w:rPr>
          <w:spacing w:val="9"/>
          <w:w w:val="120"/>
          <w:sz w:val="20"/>
        </w:rPr>
        <w:t> </w:t>
      </w:r>
      <w:r>
        <w:rPr>
          <w:w w:val="120"/>
          <w:sz w:val="20"/>
        </w:rPr>
        <w:t>Reformed</w:t>
      </w:r>
      <w:r>
        <w:rPr>
          <w:spacing w:val="8"/>
          <w:w w:val="120"/>
          <w:sz w:val="20"/>
        </w:rPr>
        <w:t> </w:t>
      </w:r>
      <w:r>
        <w:rPr>
          <w:w w:val="120"/>
          <w:sz w:val="20"/>
        </w:rPr>
        <w:t>perspective.</w:t>
      </w:r>
      <w:r>
        <w:rPr>
          <w:spacing w:val="8"/>
          <w:w w:val="120"/>
          <w:sz w:val="20"/>
        </w:rPr>
        <w:t> </w:t>
      </w:r>
      <w:r>
        <w:rPr>
          <w:w w:val="120"/>
          <w:sz w:val="20"/>
        </w:rPr>
        <w:t>The</w:t>
      </w:r>
      <w:r>
        <w:rPr>
          <w:spacing w:val="9"/>
          <w:w w:val="120"/>
          <w:sz w:val="20"/>
        </w:rPr>
        <w:t> </w:t>
      </w:r>
      <w:r>
        <w:rPr>
          <w:w w:val="120"/>
          <w:sz w:val="20"/>
        </w:rPr>
        <w:t>department</w:t>
      </w:r>
      <w:r>
        <w:rPr>
          <w:spacing w:val="8"/>
          <w:w w:val="120"/>
          <w:sz w:val="20"/>
        </w:rPr>
        <w:t> </w:t>
      </w:r>
      <w:r>
        <w:rPr>
          <w:w w:val="120"/>
          <w:sz w:val="20"/>
        </w:rPr>
        <w:t>intends</w:t>
      </w:r>
      <w:r>
        <w:rPr>
          <w:spacing w:val="9"/>
          <w:w w:val="120"/>
          <w:sz w:val="20"/>
        </w:rPr>
        <w:t> </w:t>
      </w:r>
      <w:r>
        <w:rPr>
          <w:w w:val="120"/>
          <w:sz w:val="20"/>
        </w:rPr>
        <w:t>publishing</w:t>
      </w:r>
    </w:p>
    <w:p>
      <w:pPr>
        <w:pStyle w:val="BodyText"/>
        <w:spacing w:line="235" w:lineRule="auto" w:before="3"/>
        <w:ind w:left="1133" w:right="1997"/>
      </w:pPr>
      <w:r>
        <w:rPr>
          <w:w w:val="120"/>
        </w:rPr>
        <w:t>a regular local news update for inclusion in church newsletters, to help keep churches better informed of URC news.</w:t>
      </w:r>
    </w:p>
    <w:p>
      <w:pPr>
        <w:pStyle w:val="BodyText"/>
        <w:spacing w:before="9"/>
        <w:rPr>
          <w:sz w:val="19"/>
        </w:rPr>
      </w:pPr>
    </w:p>
    <w:p>
      <w:pPr>
        <w:pStyle w:val="ListParagraph"/>
        <w:numPr>
          <w:ilvl w:val="2"/>
          <w:numId w:val="124"/>
        </w:numPr>
        <w:tabs>
          <w:tab w:pos="1814" w:val="left" w:leader="none"/>
          <w:tab w:pos="1815" w:val="left" w:leader="none"/>
        </w:tabs>
        <w:spacing w:line="235" w:lineRule="auto" w:before="0" w:after="0"/>
        <w:ind w:left="1133" w:right="2027" w:firstLine="0"/>
        <w:jc w:val="left"/>
        <w:rPr>
          <w:sz w:val="20"/>
        </w:rPr>
      </w:pPr>
      <w:r>
        <w:rPr>
          <w:w w:val="120"/>
          <w:sz w:val="20"/>
        </w:rPr>
        <w:t>Subscriptions to Reform, particularly by individuals, have increased month on month since the re-launch. There was a drop in subscriptions from church groups during the annual renewals period in November/December 2009, but since then they have continued to grow each month. At the </w:t>
      </w:r>
      <w:r>
        <w:rPr>
          <w:spacing w:val="2"/>
          <w:w w:val="120"/>
          <w:sz w:val="20"/>
        </w:rPr>
        <w:t>start </w:t>
      </w:r>
      <w:r>
        <w:rPr>
          <w:w w:val="120"/>
          <w:sz w:val="20"/>
        </w:rPr>
        <w:t>of </w:t>
      </w:r>
      <w:r>
        <w:rPr>
          <w:spacing w:val="-5"/>
          <w:w w:val="120"/>
          <w:sz w:val="20"/>
        </w:rPr>
        <w:t>2010, </w:t>
      </w:r>
      <w:r>
        <w:rPr>
          <w:w w:val="120"/>
          <w:sz w:val="20"/>
        </w:rPr>
        <w:t>the Reform team became aware of major problems with distribution and have now changed to a different </w:t>
      </w:r>
      <w:r>
        <w:rPr>
          <w:spacing w:val="-3"/>
          <w:w w:val="120"/>
          <w:sz w:val="20"/>
        </w:rPr>
        <w:t>company. </w:t>
      </w:r>
      <w:r>
        <w:rPr>
          <w:w w:val="120"/>
          <w:sz w:val="20"/>
        </w:rPr>
        <w:t>The United Reformed Church can be truly proud of</w:t>
      </w:r>
      <w:r>
        <w:rPr>
          <w:spacing w:val="20"/>
          <w:w w:val="120"/>
          <w:sz w:val="20"/>
        </w:rPr>
        <w:t> </w:t>
      </w:r>
      <w:r>
        <w:rPr>
          <w:w w:val="120"/>
          <w:sz w:val="20"/>
        </w:rPr>
        <w:t>Reform.</w:t>
      </w:r>
    </w:p>
    <w:p>
      <w:pPr>
        <w:pStyle w:val="BodyText"/>
        <w:spacing w:before="8"/>
        <w:rPr>
          <w:sz w:val="18"/>
        </w:rPr>
      </w:pPr>
    </w:p>
    <w:p>
      <w:pPr>
        <w:numPr>
          <w:ilvl w:val="1"/>
          <w:numId w:val="124"/>
        </w:numPr>
        <w:tabs>
          <w:tab w:pos="1814" w:val="left" w:leader="none"/>
          <w:tab w:pos="1815" w:val="left" w:leader="none"/>
        </w:tabs>
        <w:spacing w:before="0"/>
        <w:ind w:left="1814" w:right="0" w:hanging="682"/>
        <w:jc w:val="left"/>
        <w:rPr>
          <w:rFonts w:ascii="Stone Sans II ITC Std Bk"/>
          <w:b/>
          <w:sz w:val="20"/>
        </w:rPr>
      </w:pPr>
      <w:r>
        <w:rPr>
          <w:rFonts w:ascii="Stone Sans II ITC Std Bk"/>
          <w:b/>
          <w:w w:val="110"/>
          <w:sz w:val="20"/>
        </w:rPr>
        <w:t>Bookshop</w:t>
      </w:r>
    </w:p>
    <w:p>
      <w:pPr>
        <w:pStyle w:val="BodyText"/>
        <w:spacing w:before="10"/>
        <w:rPr>
          <w:rFonts w:ascii="Stone Sans II ITC Std Bk"/>
          <w:b/>
          <w:sz w:val="16"/>
        </w:rPr>
      </w:pPr>
    </w:p>
    <w:p>
      <w:pPr>
        <w:pStyle w:val="ListParagraph"/>
        <w:numPr>
          <w:ilvl w:val="2"/>
          <w:numId w:val="124"/>
        </w:numPr>
        <w:tabs>
          <w:tab w:pos="1815" w:val="left" w:leader="none"/>
        </w:tabs>
        <w:spacing w:line="235" w:lineRule="auto" w:before="0" w:after="0"/>
        <w:ind w:left="1133" w:right="1993" w:firstLine="0"/>
        <w:jc w:val="left"/>
        <w:rPr>
          <w:sz w:val="20"/>
        </w:rPr>
      </w:pPr>
      <w:r>
        <w:rPr>
          <w:w w:val="120"/>
          <w:sz w:val="20"/>
        </w:rPr>
        <w:t>The Church House bookshop survives within a much changed environment for religious book selling, where several household names have recently vanished. Following a review conducted by an experienced independent bookseller, a restructuring took  place and two longstanding staff members were made redundant. We thank Jane Hogge and Pat Duncan for their many years of service and care of the</w:t>
      </w:r>
      <w:r>
        <w:rPr>
          <w:spacing w:val="24"/>
          <w:w w:val="120"/>
          <w:sz w:val="20"/>
        </w:rPr>
        <w:t> </w:t>
      </w:r>
      <w:r>
        <w:rPr>
          <w:w w:val="120"/>
          <w:sz w:val="20"/>
        </w:rPr>
        <w:t>bookshop.</w:t>
      </w:r>
    </w:p>
    <w:p>
      <w:pPr>
        <w:pStyle w:val="BodyText"/>
        <w:spacing w:before="11"/>
        <w:rPr>
          <w:sz w:val="19"/>
        </w:rPr>
      </w:pPr>
    </w:p>
    <w:p>
      <w:pPr>
        <w:pStyle w:val="ListParagraph"/>
        <w:numPr>
          <w:ilvl w:val="2"/>
          <w:numId w:val="124"/>
        </w:numPr>
        <w:tabs>
          <w:tab w:pos="1815" w:val="left" w:leader="none"/>
        </w:tabs>
        <w:spacing w:line="235" w:lineRule="auto" w:before="1" w:after="0"/>
        <w:ind w:left="1134" w:right="2024" w:hanging="1"/>
        <w:jc w:val="left"/>
        <w:rPr>
          <w:sz w:val="20"/>
        </w:rPr>
      </w:pPr>
      <w:r>
        <w:rPr>
          <w:w w:val="120"/>
          <w:sz w:val="20"/>
        </w:rPr>
        <w:t>At the beginning of </w:t>
      </w:r>
      <w:r>
        <w:rPr>
          <w:spacing w:val="-7"/>
          <w:w w:val="120"/>
          <w:sz w:val="20"/>
        </w:rPr>
        <w:t>2010, </w:t>
      </w:r>
      <w:r>
        <w:rPr>
          <w:w w:val="120"/>
          <w:sz w:val="20"/>
        </w:rPr>
        <w:t>a new manager </w:t>
      </w:r>
      <w:r>
        <w:rPr>
          <w:spacing w:val="-5"/>
          <w:w w:val="120"/>
          <w:sz w:val="20"/>
        </w:rPr>
        <w:t>(Caz </w:t>
      </w:r>
      <w:r>
        <w:rPr>
          <w:spacing w:val="-3"/>
          <w:w w:val="120"/>
          <w:sz w:val="20"/>
        </w:rPr>
        <w:t>Binstead) </w:t>
      </w:r>
      <w:r>
        <w:rPr>
          <w:w w:val="120"/>
          <w:sz w:val="20"/>
        </w:rPr>
        <w:t>started work and is gradually re-shaping the look and practices of the bookshop. The department is planning </w:t>
      </w:r>
      <w:r>
        <w:rPr>
          <w:spacing w:val="-3"/>
          <w:w w:val="120"/>
          <w:sz w:val="20"/>
        </w:rPr>
        <w:t>to </w:t>
      </w:r>
      <w:r>
        <w:rPr>
          <w:w w:val="120"/>
          <w:sz w:val="20"/>
        </w:rPr>
        <w:t>re-launch it under a new name in the </w:t>
      </w:r>
      <w:r>
        <w:rPr>
          <w:spacing w:val="-3"/>
          <w:w w:val="120"/>
          <w:sz w:val="20"/>
        </w:rPr>
        <w:t>autumn. Stock, </w:t>
      </w:r>
      <w:r>
        <w:rPr>
          <w:w w:val="120"/>
          <w:sz w:val="20"/>
        </w:rPr>
        <w:t>some of which had become stale, has been </w:t>
      </w:r>
      <w:r>
        <w:rPr>
          <w:spacing w:val="-3"/>
          <w:w w:val="120"/>
          <w:sz w:val="20"/>
        </w:rPr>
        <w:t>rejuvenated </w:t>
      </w:r>
      <w:r>
        <w:rPr>
          <w:w w:val="120"/>
          <w:sz w:val="20"/>
        </w:rPr>
        <w:t>and new sections </w:t>
      </w:r>
      <w:r>
        <w:rPr>
          <w:spacing w:val="-3"/>
          <w:w w:val="120"/>
          <w:sz w:val="20"/>
        </w:rPr>
        <w:t>have </w:t>
      </w:r>
      <w:r>
        <w:rPr>
          <w:w w:val="120"/>
          <w:sz w:val="20"/>
        </w:rPr>
        <w:t>been </w:t>
      </w:r>
      <w:r>
        <w:rPr>
          <w:spacing w:val="-3"/>
          <w:w w:val="120"/>
          <w:sz w:val="20"/>
        </w:rPr>
        <w:t>introduced. </w:t>
      </w:r>
      <w:r>
        <w:rPr>
          <w:w w:val="120"/>
          <w:sz w:val="20"/>
        </w:rPr>
        <w:t>The Bookshop online</w:t>
      </w:r>
      <w:r>
        <w:rPr>
          <w:spacing w:val="-34"/>
          <w:w w:val="120"/>
          <w:sz w:val="20"/>
        </w:rPr>
        <w:t> </w:t>
      </w:r>
      <w:r>
        <w:rPr>
          <w:w w:val="120"/>
          <w:sz w:val="20"/>
        </w:rPr>
        <w:t>offers</w:t>
      </w:r>
    </w:p>
    <w:p>
      <w:pPr>
        <w:spacing w:after="0" w:line="235" w:lineRule="auto"/>
        <w:jc w:val="left"/>
        <w:rPr>
          <w:sz w:val="20"/>
        </w:rPr>
        <w:sectPr>
          <w:headerReference w:type="even" r:id="rId255"/>
          <w:headerReference w:type="default" r:id="rId256"/>
          <w:footerReference w:type="even" r:id="rId257"/>
          <w:footerReference w:type="default" r:id="rId258"/>
          <w:pgSz w:w="11910" w:h="16840"/>
          <w:pgMar w:header="0" w:footer="647" w:top="1060" w:bottom="840" w:left="0" w:right="0"/>
          <w:pgNumType w:start="110"/>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2003328" filled="true" fillcolor="#dae4ec" stroked="false">
            <v:fill opacity="32768f" type="solid"/>
            <w10:wrap type="none"/>
          </v:rect>
        </w:pict>
      </w:r>
      <w:r>
        <w:rPr>
          <w:w w:val="120"/>
        </w:rPr>
        <w:t>a very good service and the department is </w:t>
      </w:r>
      <w:r>
        <w:rPr>
          <w:spacing w:val="-3"/>
          <w:w w:val="120"/>
        </w:rPr>
        <w:t>investing </w:t>
      </w:r>
      <w:r>
        <w:rPr>
          <w:w w:val="120"/>
        </w:rPr>
        <w:t>in a new </w:t>
      </w:r>
      <w:r>
        <w:rPr>
          <w:spacing w:val="-3"/>
          <w:w w:val="120"/>
        </w:rPr>
        <w:t>website to improve </w:t>
      </w:r>
      <w:r>
        <w:rPr>
          <w:w w:val="120"/>
        </w:rPr>
        <w:t>the experience of shopping </w:t>
      </w:r>
      <w:r>
        <w:rPr>
          <w:spacing w:val="-3"/>
          <w:w w:val="120"/>
        </w:rPr>
        <w:t>online. </w:t>
      </w:r>
      <w:r>
        <w:rPr>
          <w:w w:val="120"/>
        </w:rPr>
        <w:t>This is a great </w:t>
      </w:r>
      <w:r>
        <w:rPr>
          <w:spacing w:val="-3"/>
          <w:w w:val="120"/>
        </w:rPr>
        <w:t>resource </w:t>
      </w:r>
      <w:r>
        <w:rPr>
          <w:w w:val="120"/>
        </w:rPr>
        <w:t>for both </w:t>
      </w:r>
      <w:r>
        <w:rPr>
          <w:spacing w:val="-3"/>
          <w:w w:val="120"/>
        </w:rPr>
        <w:t>church </w:t>
      </w:r>
      <w:r>
        <w:rPr>
          <w:w w:val="120"/>
        </w:rPr>
        <w:t>members and the wider Christian </w:t>
      </w:r>
      <w:r>
        <w:rPr>
          <w:spacing w:val="-4"/>
          <w:w w:val="120"/>
        </w:rPr>
        <w:t>community. </w:t>
      </w:r>
      <w:r>
        <w:rPr>
          <w:w w:val="120"/>
        </w:rPr>
        <w:t>It is important that the bookshop </w:t>
      </w:r>
      <w:r>
        <w:rPr>
          <w:spacing w:val="-3"/>
          <w:w w:val="120"/>
        </w:rPr>
        <w:t>avoids </w:t>
      </w:r>
      <w:r>
        <w:rPr>
          <w:w w:val="120"/>
        </w:rPr>
        <w:t>the financial deficits of past years and the changes we are making should go some </w:t>
      </w:r>
      <w:r>
        <w:rPr>
          <w:spacing w:val="-2"/>
          <w:w w:val="120"/>
        </w:rPr>
        <w:t>way </w:t>
      </w:r>
      <w:r>
        <w:rPr>
          <w:spacing w:val="-3"/>
          <w:w w:val="120"/>
        </w:rPr>
        <w:t>to achieve this.</w:t>
      </w:r>
    </w:p>
    <w:p>
      <w:pPr>
        <w:pStyle w:val="BodyText"/>
        <w:spacing w:before="6"/>
        <w:rPr>
          <w:sz w:val="18"/>
        </w:rPr>
      </w:pPr>
    </w:p>
    <w:p>
      <w:pPr>
        <w:numPr>
          <w:ilvl w:val="1"/>
          <w:numId w:val="124"/>
        </w:numPr>
        <w:tabs>
          <w:tab w:pos="2664" w:val="left" w:leader="none"/>
          <w:tab w:pos="2665" w:val="left" w:leader="none"/>
        </w:tabs>
        <w:spacing w:before="0"/>
        <w:ind w:left="2664" w:right="0" w:hanging="681"/>
        <w:jc w:val="left"/>
        <w:rPr>
          <w:rFonts w:ascii="Stone Sans II ITC Std Bk"/>
          <w:b/>
          <w:sz w:val="20"/>
        </w:rPr>
      </w:pPr>
      <w:r>
        <w:rPr>
          <w:rFonts w:ascii="Stone Sans II ITC Std Bk"/>
          <w:b/>
          <w:w w:val="110"/>
          <w:sz w:val="20"/>
        </w:rPr>
        <w:t>Press</w:t>
      </w:r>
      <w:r>
        <w:rPr>
          <w:rFonts w:ascii="Stone Sans II ITC Std Bk"/>
          <w:b/>
          <w:spacing w:val="-1"/>
          <w:w w:val="110"/>
          <w:sz w:val="20"/>
        </w:rPr>
        <w:t> </w:t>
      </w:r>
      <w:r>
        <w:rPr>
          <w:rFonts w:ascii="Stone Sans II ITC Std Bk"/>
          <w:b/>
          <w:w w:val="110"/>
          <w:sz w:val="20"/>
        </w:rPr>
        <w:t>Office</w:t>
      </w:r>
    </w:p>
    <w:p>
      <w:pPr>
        <w:pStyle w:val="BodyText"/>
        <w:spacing w:before="10"/>
        <w:rPr>
          <w:rFonts w:ascii="Stone Sans II ITC Std Bk"/>
          <w:b/>
          <w:sz w:val="16"/>
        </w:rPr>
      </w:pPr>
    </w:p>
    <w:p>
      <w:pPr>
        <w:pStyle w:val="ListParagraph"/>
        <w:numPr>
          <w:ilvl w:val="2"/>
          <w:numId w:val="124"/>
        </w:numPr>
        <w:tabs>
          <w:tab w:pos="2664" w:val="left" w:leader="none"/>
          <w:tab w:pos="2665" w:val="left" w:leader="none"/>
        </w:tabs>
        <w:spacing w:line="235" w:lineRule="auto" w:before="0" w:after="0"/>
        <w:ind w:left="1984" w:right="1206" w:firstLine="0"/>
        <w:jc w:val="left"/>
        <w:rPr>
          <w:sz w:val="20"/>
        </w:rPr>
      </w:pPr>
      <w:r>
        <w:rPr>
          <w:w w:val="120"/>
          <w:sz w:val="20"/>
        </w:rPr>
        <w:t>Building the positive profile and name of the United Reformed Church, both locally and nationally, is an enormous task. The press </w:t>
      </w:r>
      <w:r>
        <w:rPr>
          <w:spacing w:val="-3"/>
          <w:w w:val="120"/>
          <w:sz w:val="20"/>
        </w:rPr>
        <w:t>office’s </w:t>
      </w:r>
      <w:r>
        <w:rPr>
          <w:w w:val="120"/>
          <w:sz w:val="20"/>
        </w:rPr>
        <w:t>ambitious aim is to raise the national media profile of the</w:t>
      </w:r>
      <w:r>
        <w:rPr>
          <w:spacing w:val="10"/>
          <w:w w:val="120"/>
          <w:sz w:val="20"/>
        </w:rPr>
        <w:t> </w:t>
      </w:r>
      <w:r>
        <w:rPr>
          <w:w w:val="120"/>
          <w:sz w:val="20"/>
        </w:rPr>
        <w:t>URC.</w:t>
      </w:r>
    </w:p>
    <w:p>
      <w:pPr>
        <w:pStyle w:val="BodyText"/>
        <w:spacing w:before="10"/>
        <w:rPr>
          <w:sz w:val="19"/>
        </w:rPr>
      </w:pPr>
    </w:p>
    <w:p>
      <w:pPr>
        <w:pStyle w:val="ListParagraph"/>
        <w:numPr>
          <w:ilvl w:val="2"/>
          <w:numId w:val="124"/>
        </w:numPr>
        <w:tabs>
          <w:tab w:pos="2665" w:val="left" w:leader="none"/>
        </w:tabs>
        <w:spacing w:line="235" w:lineRule="auto" w:before="0" w:after="0"/>
        <w:ind w:left="1984" w:right="1162" w:firstLine="0"/>
        <w:jc w:val="left"/>
        <w:rPr>
          <w:sz w:val="20"/>
        </w:rPr>
      </w:pPr>
      <w:r>
        <w:rPr>
          <w:w w:val="120"/>
          <w:sz w:val="20"/>
        </w:rPr>
        <w:t>Our press office provides confidential, behind-the-scenes help when negative stories could break and threaten the reputation of a local congregation. It also gives encouragement and assistance to those who want to publicise the good things that are happening in their church. We have now appointed Gill Nichol as full time press officer   to build on the work done by Stuart Dew until his retirement in 2009. Initially, Gill and Alex Klaushofer both worked part-time, until Alex </w:t>
      </w:r>
      <w:r>
        <w:rPr>
          <w:spacing w:val="2"/>
          <w:w w:val="120"/>
          <w:sz w:val="20"/>
        </w:rPr>
        <w:t>left </w:t>
      </w:r>
      <w:r>
        <w:rPr>
          <w:w w:val="120"/>
          <w:sz w:val="20"/>
        </w:rPr>
        <w:t>us earlier this </w:t>
      </w:r>
      <w:r>
        <w:rPr>
          <w:spacing w:val="-4"/>
          <w:w w:val="120"/>
          <w:sz w:val="20"/>
        </w:rPr>
        <w:t>year. </w:t>
      </w:r>
      <w:r>
        <w:rPr>
          <w:w w:val="120"/>
          <w:sz w:val="20"/>
        </w:rPr>
        <w:t>The office has successfully placed stories and obituaries in leading newspapers, kept a regular supply of stories for the website and encouraged local press officers with updates and</w:t>
      </w:r>
      <w:r>
        <w:rPr>
          <w:spacing w:val="31"/>
          <w:w w:val="120"/>
          <w:sz w:val="20"/>
        </w:rPr>
        <w:t> </w:t>
      </w:r>
      <w:r>
        <w:rPr>
          <w:w w:val="120"/>
          <w:sz w:val="20"/>
        </w:rPr>
        <w:t>training.</w:t>
      </w:r>
    </w:p>
    <w:p>
      <w:pPr>
        <w:pStyle w:val="BodyText"/>
        <w:spacing w:before="10"/>
        <w:rPr>
          <w:sz w:val="18"/>
        </w:rPr>
      </w:pPr>
    </w:p>
    <w:p>
      <w:pPr>
        <w:numPr>
          <w:ilvl w:val="1"/>
          <w:numId w:val="124"/>
        </w:numPr>
        <w:tabs>
          <w:tab w:pos="2664" w:val="left" w:leader="none"/>
          <w:tab w:pos="2665" w:val="left" w:leader="none"/>
        </w:tabs>
        <w:spacing w:before="0"/>
        <w:ind w:left="2664" w:right="0" w:hanging="681"/>
        <w:jc w:val="left"/>
        <w:rPr>
          <w:rFonts w:ascii="Stone Sans II ITC Std Bk"/>
          <w:b/>
          <w:sz w:val="20"/>
        </w:rPr>
      </w:pPr>
      <w:r>
        <w:rPr>
          <w:rFonts w:ascii="Stone Sans II ITC Std Bk"/>
          <w:b/>
          <w:w w:val="110"/>
          <w:sz w:val="20"/>
        </w:rPr>
        <w:t>Website</w:t>
      </w:r>
    </w:p>
    <w:p>
      <w:pPr>
        <w:pStyle w:val="BodyText"/>
        <w:spacing w:before="9"/>
        <w:rPr>
          <w:rFonts w:ascii="Stone Sans II ITC Std Bk"/>
          <w:b/>
          <w:sz w:val="16"/>
        </w:rPr>
      </w:pPr>
    </w:p>
    <w:p>
      <w:pPr>
        <w:pStyle w:val="BodyText"/>
        <w:spacing w:line="235" w:lineRule="auto"/>
        <w:ind w:left="1984" w:right="1438"/>
      </w:pPr>
      <w:r>
        <w:rPr>
          <w:w w:val="120"/>
        </w:rPr>
        <w:t>The committee is delighted with the new website although it recognises the need for  it</w:t>
      </w:r>
      <w:r>
        <w:rPr>
          <w:spacing w:val="6"/>
          <w:w w:val="120"/>
        </w:rPr>
        <w:t> </w:t>
      </w:r>
      <w:r>
        <w:rPr>
          <w:w w:val="120"/>
        </w:rPr>
        <w:t>to</w:t>
      </w:r>
      <w:r>
        <w:rPr>
          <w:spacing w:val="7"/>
          <w:w w:val="120"/>
        </w:rPr>
        <w:t> </w:t>
      </w:r>
      <w:r>
        <w:rPr>
          <w:w w:val="120"/>
        </w:rPr>
        <w:t>continue</w:t>
      </w:r>
      <w:r>
        <w:rPr>
          <w:spacing w:val="7"/>
          <w:w w:val="120"/>
        </w:rPr>
        <w:t> </w:t>
      </w:r>
      <w:r>
        <w:rPr>
          <w:w w:val="120"/>
        </w:rPr>
        <w:t>to</w:t>
      </w:r>
      <w:r>
        <w:rPr>
          <w:spacing w:val="7"/>
          <w:w w:val="120"/>
        </w:rPr>
        <w:t> </w:t>
      </w:r>
      <w:r>
        <w:rPr>
          <w:w w:val="120"/>
        </w:rPr>
        <w:t>develop</w:t>
      </w:r>
      <w:r>
        <w:rPr>
          <w:spacing w:val="7"/>
          <w:w w:val="120"/>
        </w:rPr>
        <w:t> </w:t>
      </w:r>
      <w:r>
        <w:rPr>
          <w:w w:val="120"/>
        </w:rPr>
        <w:t>and</w:t>
      </w:r>
      <w:r>
        <w:rPr>
          <w:spacing w:val="6"/>
          <w:w w:val="120"/>
        </w:rPr>
        <w:t> </w:t>
      </w:r>
      <w:r>
        <w:rPr>
          <w:w w:val="120"/>
        </w:rPr>
        <w:t>change</w:t>
      </w:r>
      <w:r>
        <w:rPr>
          <w:spacing w:val="7"/>
          <w:w w:val="120"/>
        </w:rPr>
        <w:t> </w:t>
      </w:r>
      <w:r>
        <w:rPr>
          <w:w w:val="120"/>
        </w:rPr>
        <w:t>as</w:t>
      </w:r>
      <w:r>
        <w:rPr>
          <w:spacing w:val="7"/>
          <w:w w:val="120"/>
        </w:rPr>
        <w:t> </w:t>
      </w:r>
      <w:r>
        <w:rPr>
          <w:w w:val="120"/>
        </w:rPr>
        <w:t>the</w:t>
      </w:r>
      <w:r>
        <w:rPr>
          <w:spacing w:val="7"/>
          <w:w w:val="120"/>
        </w:rPr>
        <w:t> </w:t>
      </w:r>
      <w:r>
        <w:rPr>
          <w:w w:val="120"/>
        </w:rPr>
        <w:t>needs</w:t>
      </w:r>
      <w:r>
        <w:rPr>
          <w:spacing w:val="7"/>
          <w:w w:val="120"/>
        </w:rPr>
        <w:t> </w:t>
      </w:r>
      <w:r>
        <w:rPr>
          <w:w w:val="120"/>
        </w:rPr>
        <w:t>of</w:t>
      </w:r>
      <w:r>
        <w:rPr>
          <w:spacing w:val="6"/>
          <w:w w:val="120"/>
        </w:rPr>
        <w:t> </w:t>
      </w:r>
      <w:r>
        <w:rPr>
          <w:w w:val="120"/>
        </w:rPr>
        <w:t>the</w:t>
      </w:r>
      <w:r>
        <w:rPr>
          <w:spacing w:val="7"/>
          <w:w w:val="120"/>
        </w:rPr>
        <w:t> </w:t>
      </w:r>
      <w:r>
        <w:rPr>
          <w:w w:val="120"/>
        </w:rPr>
        <w:t>Church</w:t>
      </w:r>
      <w:r>
        <w:rPr>
          <w:spacing w:val="7"/>
          <w:w w:val="120"/>
        </w:rPr>
        <w:t> </w:t>
      </w:r>
      <w:r>
        <w:rPr>
          <w:w w:val="120"/>
        </w:rPr>
        <w:t>change</w:t>
      </w:r>
      <w:r>
        <w:rPr>
          <w:spacing w:val="7"/>
          <w:w w:val="120"/>
        </w:rPr>
        <w:t> </w:t>
      </w:r>
      <w:r>
        <w:rPr>
          <w:w w:val="120"/>
        </w:rPr>
        <w:t>and</w:t>
      </w:r>
      <w:r>
        <w:rPr>
          <w:spacing w:val="7"/>
          <w:w w:val="120"/>
        </w:rPr>
        <w:t> </w:t>
      </w:r>
      <w:r>
        <w:rPr>
          <w:w w:val="120"/>
        </w:rPr>
        <w:t>available</w:t>
      </w:r>
    </w:p>
    <w:p>
      <w:pPr>
        <w:pStyle w:val="BodyText"/>
        <w:spacing w:line="235" w:lineRule="auto" w:before="2"/>
        <w:ind w:left="1984" w:right="1120"/>
      </w:pPr>
      <w:r>
        <w:rPr>
          <w:w w:val="120"/>
        </w:rPr>
        <w:t>technology improves. We are delighted to have achieved our original aim of providing a contemporary, attractive window to the world which also offers resources for the whole Church and increased opportunities for interaction. The regular updating of news stories keeps the front pages interesting. A recent correspondant has said: ‘It is so refreshing</w:t>
      </w:r>
    </w:p>
    <w:p>
      <w:pPr>
        <w:pStyle w:val="BodyText"/>
        <w:spacing w:line="235" w:lineRule="auto" w:before="3"/>
        <w:ind w:left="1984" w:right="1120"/>
      </w:pPr>
      <w:r>
        <w:rPr>
          <w:w w:val="120"/>
        </w:rPr>
        <w:t>to visit a website where the news on the front page is updated every few days. Many organisations seem to set up websites and then forget all about them. Well done the United Reformed Church!’ The committee wants to encourage more use of discussion forums. Michael Bluett oversees the website. Some of the pages still leave scope for development but we are delighted that the people responsible for specific areas of the Church’s work can now present their material in their own way. As this engagement expands, new ways of using the website are opening up.</w:t>
      </w:r>
    </w:p>
    <w:p>
      <w:pPr>
        <w:pStyle w:val="BodyText"/>
        <w:spacing w:before="9"/>
        <w:rPr>
          <w:sz w:val="18"/>
        </w:rPr>
      </w:pPr>
    </w:p>
    <w:p>
      <w:pPr>
        <w:numPr>
          <w:ilvl w:val="1"/>
          <w:numId w:val="124"/>
        </w:numPr>
        <w:tabs>
          <w:tab w:pos="2664" w:val="left" w:leader="none"/>
          <w:tab w:pos="2665" w:val="left" w:leader="none"/>
        </w:tabs>
        <w:spacing w:before="0"/>
        <w:ind w:left="2664" w:right="0" w:hanging="681"/>
        <w:jc w:val="left"/>
        <w:rPr>
          <w:rFonts w:ascii="Stone Sans II ITC Std Bk"/>
          <w:b/>
          <w:sz w:val="20"/>
        </w:rPr>
      </w:pPr>
      <w:r>
        <w:rPr>
          <w:rFonts w:ascii="Stone Sans II ITC Std Bk"/>
          <w:b/>
          <w:w w:val="110"/>
          <w:sz w:val="20"/>
        </w:rPr>
        <w:t>Graphics</w:t>
      </w:r>
    </w:p>
    <w:p>
      <w:pPr>
        <w:pStyle w:val="BodyText"/>
        <w:spacing w:before="9"/>
        <w:rPr>
          <w:rFonts w:ascii="Stone Sans II ITC Std Bk"/>
          <w:b/>
          <w:sz w:val="16"/>
        </w:rPr>
      </w:pPr>
    </w:p>
    <w:p>
      <w:pPr>
        <w:pStyle w:val="ListParagraph"/>
        <w:numPr>
          <w:ilvl w:val="2"/>
          <w:numId w:val="124"/>
        </w:numPr>
        <w:tabs>
          <w:tab w:pos="2664" w:val="left" w:leader="none"/>
          <w:tab w:pos="2665" w:val="left" w:leader="none"/>
        </w:tabs>
        <w:spacing w:line="235" w:lineRule="auto" w:before="0" w:after="0"/>
        <w:ind w:left="1984" w:right="1311" w:firstLine="0"/>
        <w:jc w:val="left"/>
        <w:rPr>
          <w:sz w:val="20"/>
        </w:rPr>
      </w:pPr>
      <w:r>
        <w:rPr>
          <w:w w:val="120"/>
          <w:sz w:val="20"/>
        </w:rPr>
        <w:t>Our graphics office </w:t>
      </w:r>
      <w:r>
        <w:rPr>
          <w:spacing w:val="-3"/>
          <w:w w:val="120"/>
          <w:sz w:val="20"/>
        </w:rPr>
        <w:t>continues to </w:t>
      </w:r>
      <w:r>
        <w:rPr>
          <w:w w:val="120"/>
          <w:sz w:val="20"/>
        </w:rPr>
        <w:t>produce a wide range of attractive and </w:t>
      </w:r>
      <w:r>
        <w:rPr>
          <w:spacing w:val="-3"/>
          <w:w w:val="120"/>
          <w:sz w:val="20"/>
        </w:rPr>
        <w:t>accessible </w:t>
      </w:r>
      <w:r>
        <w:rPr>
          <w:w w:val="120"/>
          <w:sz w:val="20"/>
        </w:rPr>
        <w:t>documents and </w:t>
      </w:r>
      <w:r>
        <w:rPr>
          <w:spacing w:val="-3"/>
          <w:w w:val="120"/>
          <w:sz w:val="20"/>
        </w:rPr>
        <w:t>publications </w:t>
      </w:r>
      <w:r>
        <w:rPr>
          <w:w w:val="120"/>
          <w:sz w:val="20"/>
        </w:rPr>
        <w:t>in-house, promoting a </w:t>
      </w:r>
      <w:r>
        <w:rPr>
          <w:spacing w:val="-3"/>
          <w:w w:val="120"/>
          <w:sz w:val="20"/>
        </w:rPr>
        <w:t>positive </w:t>
      </w:r>
      <w:r>
        <w:rPr>
          <w:w w:val="120"/>
          <w:sz w:val="20"/>
        </w:rPr>
        <w:t>impression and</w:t>
      </w:r>
      <w:r>
        <w:rPr>
          <w:spacing w:val="8"/>
          <w:w w:val="120"/>
          <w:sz w:val="20"/>
        </w:rPr>
        <w:t> </w:t>
      </w:r>
      <w:r>
        <w:rPr>
          <w:w w:val="120"/>
          <w:sz w:val="20"/>
        </w:rPr>
        <w:t>helping</w:t>
      </w:r>
    </w:p>
    <w:p>
      <w:pPr>
        <w:pStyle w:val="BodyText"/>
        <w:spacing w:line="235" w:lineRule="auto" w:before="2"/>
        <w:ind w:left="1984" w:right="1120"/>
      </w:pPr>
      <w:r>
        <w:rPr>
          <w:spacing w:val="-3"/>
          <w:w w:val="120"/>
        </w:rPr>
        <w:t>to </w:t>
      </w:r>
      <w:r>
        <w:rPr>
          <w:w w:val="120"/>
        </w:rPr>
        <w:t>keep </w:t>
      </w:r>
      <w:r>
        <w:rPr>
          <w:spacing w:val="-3"/>
          <w:w w:val="120"/>
        </w:rPr>
        <w:t>within </w:t>
      </w:r>
      <w:r>
        <w:rPr>
          <w:w w:val="120"/>
        </w:rPr>
        <w:t>budget. </w:t>
      </w:r>
      <w:r>
        <w:rPr>
          <w:spacing w:val="-3"/>
          <w:w w:val="120"/>
        </w:rPr>
        <w:t>Recent </w:t>
      </w:r>
      <w:r>
        <w:rPr>
          <w:w w:val="120"/>
        </w:rPr>
        <w:t>titles </w:t>
      </w:r>
      <w:r>
        <w:rPr>
          <w:spacing w:val="-3"/>
          <w:w w:val="120"/>
        </w:rPr>
        <w:t>include </w:t>
      </w:r>
      <w:r>
        <w:rPr>
          <w:w w:val="120"/>
        </w:rPr>
        <w:t>the popular Prayer Handbook and our </w:t>
      </w:r>
      <w:r>
        <w:rPr>
          <w:spacing w:val="-3"/>
          <w:w w:val="120"/>
        </w:rPr>
        <w:t>denominational</w:t>
      </w:r>
      <w:r>
        <w:rPr>
          <w:spacing w:val="-7"/>
          <w:w w:val="120"/>
        </w:rPr>
        <w:t> </w:t>
      </w:r>
      <w:r>
        <w:rPr>
          <w:spacing w:val="-5"/>
          <w:w w:val="120"/>
        </w:rPr>
        <w:t>Year</w:t>
      </w:r>
      <w:r>
        <w:rPr>
          <w:spacing w:val="-7"/>
          <w:w w:val="120"/>
        </w:rPr>
        <w:t> </w:t>
      </w:r>
      <w:r>
        <w:rPr>
          <w:w w:val="120"/>
        </w:rPr>
        <w:t>Book.</w:t>
      </w:r>
      <w:r>
        <w:rPr>
          <w:spacing w:val="-7"/>
          <w:w w:val="120"/>
        </w:rPr>
        <w:t> </w:t>
      </w:r>
      <w:r>
        <w:rPr>
          <w:w w:val="120"/>
        </w:rPr>
        <w:t>For</w:t>
      </w:r>
      <w:r>
        <w:rPr>
          <w:spacing w:val="-7"/>
          <w:w w:val="120"/>
        </w:rPr>
        <w:t> </w:t>
      </w:r>
      <w:r>
        <w:rPr>
          <w:w w:val="120"/>
        </w:rPr>
        <w:t>the</w:t>
      </w:r>
      <w:r>
        <w:rPr>
          <w:spacing w:val="-7"/>
          <w:w w:val="120"/>
        </w:rPr>
        <w:t> </w:t>
      </w:r>
      <w:r>
        <w:rPr>
          <w:w w:val="120"/>
        </w:rPr>
        <w:t>first</w:t>
      </w:r>
      <w:r>
        <w:rPr>
          <w:spacing w:val="-7"/>
          <w:w w:val="120"/>
        </w:rPr>
        <w:t> </w:t>
      </w:r>
      <w:r>
        <w:rPr>
          <w:w w:val="120"/>
        </w:rPr>
        <w:t>time</w:t>
      </w:r>
      <w:r>
        <w:rPr>
          <w:spacing w:val="-7"/>
          <w:w w:val="120"/>
        </w:rPr>
        <w:t> </w:t>
      </w:r>
      <w:r>
        <w:rPr>
          <w:spacing w:val="-3"/>
          <w:w w:val="120"/>
        </w:rPr>
        <w:t>this</w:t>
      </w:r>
      <w:r>
        <w:rPr>
          <w:spacing w:val="-7"/>
          <w:w w:val="120"/>
        </w:rPr>
        <w:t> </w:t>
      </w:r>
      <w:r>
        <w:rPr>
          <w:spacing w:val="-5"/>
          <w:w w:val="120"/>
        </w:rPr>
        <w:t>year,</w:t>
      </w:r>
      <w:r>
        <w:rPr>
          <w:spacing w:val="-7"/>
          <w:w w:val="120"/>
        </w:rPr>
        <w:t> </w:t>
      </w:r>
      <w:r>
        <w:rPr>
          <w:w w:val="120"/>
        </w:rPr>
        <w:t>the</w:t>
      </w:r>
      <w:r>
        <w:rPr>
          <w:spacing w:val="-7"/>
          <w:w w:val="120"/>
        </w:rPr>
        <w:t> </w:t>
      </w:r>
      <w:r>
        <w:rPr>
          <w:spacing w:val="-5"/>
          <w:w w:val="120"/>
        </w:rPr>
        <w:t>Year</w:t>
      </w:r>
      <w:r>
        <w:rPr>
          <w:spacing w:val="-6"/>
          <w:w w:val="120"/>
        </w:rPr>
        <w:t> </w:t>
      </w:r>
      <w:r>
        <w:rPr>
          <w:w w:val="120"/>
        </w:rPr>
        <w:t>Book</w:t>
      </w:r>
      <w:r>
        <w:rPr>
          <w:spacing w:val="-7"/>
          <w:w w:val="120"/>
        </w:rPr>
        <w:t> </w:t>
      </w:r>
      <w:r>
        <w:rPr>
          <w:w w:val="120"/>
        </w:rPr>
        <w:t>has</w:t>
      </w:r>
      <w:r>
        <w:rPr>
          <w:spacing w:val="-7"/>
          <w:w w:val="120"/>
        </w:rPr>
        <w:t> </w:t>
      </w:r>
      <w:r>
        <w:rPr>
          <w:w w:val="120"/>
        </w:rPr>
        <w:t>been</w:t>
      </w:r>
      <w:r>
        <w:rPr>
          <w:spacing w:val="-7"/>
          <w:w w:val="120"/>
        </w:rPr>
        <w:t> </w:t>
      </w:r>
      <w:r>
        <w:rPr>
          <w:spacing w:val="-3"/>
          <w:w w:val="120"/>
        </w:rPr>
        <w:t>accompanied </w:t>
      </w:r>
      <w:r>
        <w:rPr>
          <w:w w:val="120"/>
        </w:rPr>
        <w:t>by a supplement of </w:t>
      </w:r>
      <w:r>
        <w:rPr>
          <w:spacing w:val="-3"/>
          <w:w w:val="120"/>
        </w:rPr>
        <w:t>ministerial </w:t>
      </w:r>
      <w:r>
        <w:rPr>
          <w:w w:val="120"/>
        </w:rPr>
        <w:t>obituaries in a new format, which has been much appreciated</w:t>
      </w:r>
      <w:r>
        <w:rPr>
          <w:spacing w:val="-6"/>
          <w:w w:val="120"/>
        </w:rPr>
        <w:t> </w:t>
      </w:r>
      <w:r>
        <w:rPr>
          <w:w w:val="120"/>
        </w:rPr>
        <w:t>as</w:t>
      </w:r>
      <w:r>
        <w:rPr>
          <w:spacing w:val="-6"/>
          <w:w w:val="120"/>
        </w:rPr>
        <w:t> </w:t>
      </w:r>
      <w:r>
        <w:rPr>
          <w:w w:val="120"/>
        </w:rPr>
        <w:t>a</w:t>
      </w:r>
      <w:r>
        <w:rPr>
          <w:spacing w:val="-6"/>
          <w:w w:val="120"/>
        </w:rPr>
        <w:t> </w:t>
      </w:r>
      <w:r>
        <w:rPr>
          <w:spacing w:val="-2"/>
          <w:w w:val="120"/>
        </w:rPr>
        <w:t>way</w:t>
      </w:r>
      <w:r>
        <w:rPr>
          <w:spacing w:val="-6"/>
          <w:w w:val="120"/>
        </w:rPr>
        <w:t> </w:t>
      </w:r>
      <w:r>
        <w:rPr>
          <w:w w:val="120"/>
        </w:rPr>
        <w:t>of</w:t>
      </w:r>
      <w:r>
        <w:rPr>
          <w:spacing w:val="-6"/>
          <w:w w:val="120"/>
        </w:rPr>
        <w:t> </w:t>
      </w:r>
      <w:r>
        <w:rPr>
          <w:spacing w:val="-3"/>
          <w:w w:val="120"/>
        </w:rPr>
        <w:t>recording</w:t>
      </w:r>
      <w:r>
        <w:rPr>
          <w:spacing w:val="-6"/>
          <w:w w:val="120"/>
        </w:rPr>
        <w:t> </w:t>
      </w:r>
      <w:r>
        <w:rPr>
          <w:w w:val="120"/>
        </w:rPr>
        <w:t>the</w:t>
      </w:r>
      <w:r>
        <w:rPr>
          <w:spacing w:val="-6"/>
          <w:w w:val="120"/>
        </w:rPr>
        <w:t> </w:t>
      </w:r>
      <w:r>
        <w:rPr>
          <w:w w:val="120"/>
        </w:rPr>
        <w:t>stories</w:t>
      </w:r>
      <w:r>
        <w:rPr>
          <w:spacing w:val="-6"/>
          <w:w w:val="120"/>
        </w:rPr>
        <w:t> </w:t>
      </w:r>
      <w:r>
        <w:rPr>
          <w:w w:val="120"/>
        </w:rPr>
        <w:t>of</w:t>
      </w:r>
      <w:r>
        <w:rPr>
          <w:spacing w:val="-6"/>
          <w:w w:val="120"/>
        </w:rPr>
        <w:t> </w:t>
      </w:r>
      <w:r>
        <w:rPr>
          <w:w w:val="120"/>
        </w:rPr>
        <w:t>some</w:t>
      </w:r>
      <w:r>
        <w:rPr>
          <w:spacing w:val="-6"/>
          <w:w w:val="120"/>
        </w:rPr>
        <w:t> </w:t>
      </w:r>
      <w:r>
        <w:rPr>
          <w:w w:val="120"/>
        </w:rPr>
        <w:t>faithful</w:t>
      </w:r>
      <w:r>
        <w:rPr>
          <w:spacing w:val="-6"/>
          <w:w w:val="120"/>
        </w:rPr>
        <w:t> </w:t>
      </w:r>
      <w:r>
        <w:rPr>
          <w:w w:val="120"/>
        </w:rPr>
        <w:t>servants</w:t>
      </w:r>
      <w:r>
        <w:rPr>
          <w:spacing w:val="-6"/>
          <w:w w:val="120"/>
        </w:rPr>
        <w:t> </w:t>
      </w:r>
      <w:r>
        <w:rPr>
          <w:w w:val="120"/>
        </w:rPr>
        <w:t>of</w:t>
      </w:r>
      <w:r>
        <w:rPr>
          <w:spacing w:val="-6"/>
          <w:w w:val="120"/>
        </w:rPr>
        <w:t> </w:t>
      </w:r>
      <w:r>
        <w:rPr>
          <w:w w:val="120"/>
        </w:rPr>
        <w:t>the</w:t>
      </w:r>
      <w:r>
        <w:rPr>
          <w:spacing w:val="-5"/>
          <w:w w:val="120"/>
        </w:rPr>
        <w:t> </w:t>
      </w:r>
      <w:r>
        <w:rPr>
          <w:w w:val="120"/>
        </w:rPr>
        <w:t>gospel.</w:t>
      </w:r>
    </w:p>
    <w:p>
      <w:pPr>
        <w:pStyle w:val="BodyText"/>
        <w:spacing w:before="10"/>
        <w:rPr>
          <w:sz w:val="19"/>
        </w:rPr>
      </w:pPr>
    </w:p>
    <w:p>
      <w:pPr>
        <w:pStyle w:val="ListParagraph"/>
        <w:numPr>
          <w:ilvl w:val="2"/>
          <w:numId w:val="124"/>
        </w:numPr>
        <w:tabs>
          <w:tab w:pos="2665" w:val="left" w:leader="none"/>
        </w:tabs>
        <w:spacing w:line="235" w:lineRule="auto" w:before="1" w:after="0"/>
        <w:ind w:left="1984" w:right="1572" w:firstLine="0"/>
        <w:jc w:val="left"/>
        <w:rPr>
          <w:sz w:val="20"/>
        </w:rPr>
      </w:pPr>
      <w:r>
        <w:rPr>
          <w:w w:val="120"/>
          <w:sz w:val="20"/>
        </w:rPr>
        <w:t>Graphics also designs and publishes materials other people originate and develops initiatives from other departments. The list includes </w:t>
      </w:r>
      <w:r>
        <w:rPr>
          <w:spacing w:val="2"/>
          <w:w w:val="120"/>
          <w:sz w:val="20"/>
        </w:rPr>
        <w:t>TLS </w:t>
      </w:r>
      <w:r>
        <w:rPr>
          <w:w w:val="120"/>
          <w:sz w:val="20"/>
        </w:rPr>
        <w:t>material</w:t>
      </w:r>
      <w:r>
        <w:rPr>
          <w:spacing w:val="3"/>
          <w:w w:val="120"/>
          <w:sz w:val="20"/>
        </w:rPr>
        <w:t> </w:t>
      </w:r>
      <w:r>
        <w:rPr>
          <w:w w:val="120"/>
          <w:sz w:val="20"/>
        </w:rPr>
        <w:t>(designed</w:t>
      </w:r>
    </w:p>
    <w:p>
      <w:pPr>
        <w:pStyle w:val="BodyText"/>
        <w:spacing w:line="235" w:lineRule="auto" w:before="1"/>
        <w:ind w:left="1984" w:right="1120"/>
      </w:pPr>
      <w:r>
        <w:rPr>
          <w:w w:val="120"/>
        </w:rPr>
        <w:t>and printed in-house); publicity material for Pilots’ Warwick Castle day, Vocations Sunday campaign; material for General Assembly, Children’s Assembly and FURY Assembly; Mission Council material; Year Books and the 2010 Obituaries book; certificates for Ministries (accreditation, ordination) and jubilee ministers; certificates for training weekends, summer school (Education and Learning); finance: pensions newsletter,</w:t>
      </w:r>
    </w:p>
    <w:p>
      <w:pPr>
        <w:pStyle w:val="BodyText"/>
        <w:spacing w:line="244" w:lineRule="exact"/>
        <w:ind w:left="1984"/>
      </w:pPr>
      <w:r>
        <w:rPr>
          <w:w w:val="120"/>
        </w:rPr>
        <w:t>M&amp;M leaflet and training booklets.</w:t>
      </w:r>
    </w:p>
    <w:p>
      <w:pPr>
        <w:pStyle w:val="BodyText"/>
        <w:spacing w:before="3"/>
        <w:rPr>
          <w:sz w:val="22"/>
        </w:rPr>
      </w:pPr>
    </w:p>
    <w:p>
      <w:pPr>
        <w:pStyle w:val="ListParagraph"/>
        <w:numPr>
          <w:ilvl w:val="2"/>
          <w:numId w:val="124"/>
        </w:numPr>
        <w:tabs>
          <w:tab w:pos="2665" w:val="left" w:leader="none"/>
        </w:tabs>
        <w:spacing w:line="194" w:lineRule="auto" w:before="1" w:after="0"/>
        <w:ind w:left="1984" w:right="1446" w:firstLine="0"/>
        <w:jc w:val="left"/>
        <w:rPr>
          <w:sz w:val="20"/>
        </w:rPr>
      </w:pPr>
      <w:r>
        <w:rPr/>
        <w:drawing>
          <wp:anchor distT="0" distB="0" distL="0" distR="0" allowOverlap="1" layoutInCell="1" locked="0" behindDoc="1" simplePos="0" relativeHeight="235896832">
            <wp:simplePos x="0" y="0"/>
            <wp:positionH relativeFrom="page">
              <wp:posOffset>2224722</wp:posOffset>
            </wp:positionH>
            <wp:positionV relativeFrom="paragraph">
              <wp:posOffset>124477</wp:posOffset>
            </wp:positionV>
            <wp:extent cx="232858" cy="181203"/>
            <wp:effectExtent l="0" t="0" r="0" b="0"/>
            <wp:wrapNone/>
            <wp:docPr id="115" name="image115.png"/>
            <wp:cNvGraphicFramePr>
              <a:graphicFrameLocks noChangeAspect="1"/>
            </wp:cNvGraphicFramePr>
            <a:graphic>
              <a:graphicData uri="http://schemas.openxmlformats.org/drawingml/2006/picture">
                <pic:pic>
                  <pic:nvPicPr>
                    <pic:cNvPr id="116" name="image115.png"/>
                    <pic:cNvPicPr/>
                  </pic:nvPicPr>
                  <pic:blipFill>
                    <a:blip r:embed="rId260" cstate="print"/>
                    <a:stretch>
                      <a:fillRect/>
                    </a:stretch>
                  </pic:blipFill>
                  <pic:spPr>
                    <a:xfrm>
                      <a:off x="0" y="0"/>
                      <a:ext cx="232858" cy="181203"/>
                    </a:xfrm>
                    <a:prstGeom prst="rect">
                      <a:avLst/>
                    </a:prstGeom>
                  </pic:spPr>
                </pic:pic>
              </a:graphicData>
            </a:graphic>
          </wp:anchor>
        </w:drawing>
      </w:r>
      <w:r>
        <w:rPr>
          <w:w w:val="120"/>
          <w:sz w:val="20"/>
        </w:rPr>
        <w:t>The design team also worked on some of the vital denominational initiatives, including </w:t>
      </w:r>
      <w:r>
        <w:rPr>
          <w:rFonts w:ascii="Arial Rounded MT Bold"/>
          <w:sz w:val="21"/>
        </w:rPr>
        <w:t>Vision4</w:t>
      </w:r>
      <w:r>
        <w:rPr>
          <w:rFonts w:ascii="Bradley Hand ITC"/>
          <w:color w:val="C20D19"/>
          <w:sz w:val="28"/>
        </w:rPr>
        <w:t>Life</w:t>
      </w:r>
      <w:r>
        <w:rPr>
          <w:sz w:val="20"/>
        </w:rPr>
        <w:t>, </w:t>
      </w:r>
      <w:r>
        <w:rPr>
          <w:w w:val="120"/>
          <w:sz w:val="20"/>
        </w:rPr>
        <w:t>providing design and distribution of materials for the Bible, Prayer and Evangelism years. The department worked with the Mission Committee</w:t>
      </w:r>
      <w:r>
        <w:rPr>
          <w:spacing w:val="37"/>
          <w:w w:val="120"/>
          <w:sz w:val="20"/>
        </w:rPr>
        <w:t> </w:t>
      </w:r>
      <w:r>
        <w:rPr>
          <w:w w:val="120"/>
          <w:sz w:val="20"/>
        </w:rPr>
        <w:t>on</w:t>
      </w:r>
    </w:p>
    <w:p>
      <w:pPr>
        <w:pStyle w:val="BodyText"/>
        <w:spacing w:line="235" w:lineRule="auto" w:before="10"/>
        <w:ind w:left="1984" w:right="1120"/>
      </w:pPr>
      <w:r>
        <w:rPr>
          <w:w w:val="120"/>
        </w:rPr>
        <w:t>establishing artwork and presentational materials for the </w:t>
      </w:r>
      <w:r>
        <w:rPr>
          <w:i/>
          <w:w w:val="120"/>
        </w:rPr>
        <w:t>vision2020 </w:t>
      </w:r>
      <w:r>
        <w:rPr>
          <w:w w:val="120"/>
        </w:rPr>
        <w:t>booklet. Martin Hazell plays a key role overseeing the marketing of the URC to the wider world in terms planning and strategising.</w:t>
      </w:r>
    </w:p>
    <w:p>
      <w:pPr>
        <w:spacing w:after="0" w:line="235" w:lineRule="auto"/>
        <w:sectPr>
          <w:pgSz w:w="11910" w:h="16840"/>
          <w:pgMar w:header="0" w:footer="647" w:top="1060" w:bottom="840" w:left="0" w:right="0"/>
        </w:sectPr>
      </w:pPr>
    </w:p>
    <w:p>
      <w:pPr>
        <w:numPr>
          <w:ilvl w:val="1"/>
          <w:numId w:val="124"/>
        </w:numPr>
        <w:tabs>
          <w:tab w:pos="1814" w:val="left" w:leader="none"/>
          <w:tab w:pos="1815" w:val="left" w:leader="none"/>
        </w:tabs>
        <w:spacing w:before="91"/>
        <w:ind w:left="1814" w:right="0" w:hanging="682"/>
        <w:jc w:val="left"/>
        <w:rPr>
          <w:rFonts w:ascii="Stone Sans II ITC Std Bk"/>
          <w:b/>
          <w:sz w:val="20"/>
        </w:rPr>
      </w:pPr>
      <w:r>
        <w:rPr/>
        <w:pict>
          <v:rect style="position:absolute;margin-left:12.047pt;margin-top:8.496287pt;width:22.677pt;height:22.677pt;mso-position-horizontal-relative:page;mso-position-vertical-relative:paragraph;z-index:252005376" filled="true" fillcolor="#dae4ec" stroked="false">
            <v:fill opacity="32768f" type="solid"/>
            <w10:wrap type="none"/>
          </v:rect>
        </w:pict>
      </w:r>
      <w:r>
        <w:rPr>
          <w:rFonts w:ascii="Stone Sans II ITC Std Bk"/>
          <w:b/>
          <w:w w:val="110"/>
          <w:sz w:val="20"/>
        </w:rPr>
        <w:t>Prices and</w:t>
      </w:r>
      <w:r>
        <w:rPr>
          <w:rFonts w:ascii="Stone Sans II ITC Std Bk"/>
          <w:b/>
          <w:spacing w:val="-1"/>
          <w:w w:val="110"/>
          <w:sz w:val="20"/>
        </w:rPr>
        <w:t> </w:t>
      </w:r>
      <w:r>
        <w:rPr>
          <w:rFonts w:ascii="Stone Sans II ITC Std Bk"/>
          <w:b/>
          <w:w w:val="110"/>
          <w:sz w:val="20"/>
        </w:rPr>
        <w:t>costs</w:t>
      </w:r>
    </w:p>
    <w:p>
      <w:pPr>
        <w:pStyle w:val="BodyText"/>
        <w:spacing w:before="9"/>
        <w:rPr>
          <w:rFonts w:ascii="Stone Sans II ITC Std Bk"/>
          <w:b/>
          <w:sz w:val="16"/>
        </w:rPr>
      </w:pPr>
    </w:p>
    <w:p>
      <w:pPr>
        <w:pStyle w:val="ListParagraph"/>
        <w:numPr>
          <w:ilvl w:val="2"/>
          <w:numId w:val="124"/>
        </w:numPr>
        <w:tabs>
          <w:tab w:pos="1815" w:val="left" w:leader="none"/>
        </w:tabs>
        <w:spacing w:line="235" w:lineRule="auto" w:before="0" w:after="0"/>
        <w:ind w:left="1133" w:right="2040" w:firstLine="0"/>
        <w:jc w:val="left"/>
        <w:rPr>
          <w:sz w:val="20"/>
        </w:rPr>
      </w:pPr>
      <w:r>
        <w:rPr>
          <w:w w:val="120"/>
          <w:sz w:val="20"/>
        </w:rPr>
        <w:t>We are often challenged about the price of the annual Prayer Handbook. The department attempts to keep prices as low as possible: the Handbook is currently priced below five pounds. Both 2009 and </w:t>
      </w:r>
      <w:r>
        <w:rPr>
          <w:spacing w:val="-6"/>
          <w:w w:val="120"/>
          <w:sz w:val="20"/>
        </w:rPr>
        <w:t>2010 </w:t>
      </w:r>
      <w:r>
        <w:rPr>
          <w:w w:val="120"/>
          <w:sz w:val="20"/>
        </w:rPr>
        <w:t>books cost about £26K to produce; this year’s  has been particularly popular and a small profit of about </w:t>
      </w:r>
      <w:r>
        <w:rPr>
          <w:spacing w:val="-3"/>
          <w:w w:val="120"/>
          <w:sz w:val="20"/>
        </w:rPr>
        <w:t>£4K </w:t>
      </w:r>
      <w:r>
        <w:rPr>
          <w:w w:val="120"/>
          <w:sz w:val="20"/>
        </w:rPr>
        <w:t>has been made. About  6500</w:t>
      </w:r>
      <w:r>
        <w:rPr>
          <w:spacing w:val="3"/>
          <w:w w:val="120"/>
          <w:sz w:val="20"/>
        </w:rPr>
        <w:t> </w:t>
      </w:r>
      <w:r>
        <w:rPr>
          <w:w w:val="120"/>
          <w:sz w:val="20"/>
        </w:rPr>
        <w:t>copies</w:t>
      </w:r>
      <w:r>
        <w:rPr>
          <w:spacing w:val="4"/>
          <w:w w:val="120"/>
          <w:sz w:val="20"/>
        </w:rPr>
        <w:t> </w:t>
      </w:r>
      <w:r>
        <w:rPr>
          <w:w w:val="120"/>
          <w:sz w:val="20"/>
        </w:rPr>
        <w:t>were</w:t>
      </w:r>
      <w:r>
        <w:rPr>
          <w:spacing w:val="4"/>
          <w:w w:val="120"/>
          <w:sz w:val="20"/>
        </w:rPr>
        <w:t> </w:t>
      </w:r>
      <w:r>
        <w:rPr>
          <w:w w:val="120"/>
          <w:sz w:val="20"/>
        </w:rPr>
        <w:t>sold</w:t>
      </w:r>
      <w:r>
        <w:rPr>
          <w:spacing w:val="4"/>
          <w:w w:val="120"/>
          <w:sz w:val="20"/>
        </w:rPr>
        <w:t> </w:t>
      </w:r>
      <w:r>
        <w:rPr>
          <w:w w:val="120"/>
          <w:sz w:val="20"/>
        </w:rPr>
        <w:t>this</w:t>
      </w:r>
      <w:r>
        <w:rPr>
          <w:spacing w:val="4"/>
          <w:w w:val="120"/>
          <w:sz w:val="20"/>
        </w:rPr>
        <w:t> </w:t>
      </w:r>
      <w:r>
        <w:rPr>
          <w:w w:val="120"/>
          <w:sz w:val="20"/>
        </w:rPr>
        <w:t>year</w:t>
      </w:r>
      <w:r>
        <w:rPr>
          <w:spacing w:val="4"/>
          <w:w w:val="120"/>
          <w:sz w:val="20"/>
        </w:rPr>
        <w:t> </w:t>
      </w:r>
      <w:r>
        <w:rPr>
          <w:spacing w:val="-6"/>
          <w:w w:val="120"/>
          <w:sz w:val="20"/>
        </w:rPr>
        <w:t>(as</w:t>
      </w:r>
      <w:r>
        <w:rPr>
          <w:spacing w:val="4"/>
          <w:w w:val="120"/>
          <w:sz w:val="20"/>
        </w:rPr>
        <w:t> </w:t>
      </w:r>
      <w:r>
        <w:rPr>
          <w:w w:val="120"/>
          <w:sz w:val="20"/>
        </w:rPr>
        <w:t>at</w:t>
      </w:r>
      <w:r>
        <w:rPr>
          <w:spacing w:val="4"/>
          <w:w w:val="120"/>
          <w:sz w:val="20"/>
        </w:rPr>
        <w:t> </w:t>
      </w:r>
      <w:r>
        <w:rPr>
          <w:w w:val="120"/>
          <w:sz w:val="20"/>
        </w:rPr>
        <w:t>the</w:t>
      </w:r>
      <w:r>
        <w:rPr>
          <w:spacing w:val="4"/>
          <w:w w:val="120"/>
          <w:sz w:val="20"/>
        </w:rPr>
        <w:t> </w:t>
      </w:r>
      <w:r>
        <w:rPr>
          <w:w w:val="120"/>
          <w:sz w:val="20"/>
        </w:rPr>
        <w:t>end</w:t>
      </w:r>
      <w:r>
        <w:rPr>
          <w:spacing w:val="4"/>
          <w:w w:val="120"/>
          <w:sz w:val="20"/>
        </w:rPr>
        <w:t> </w:t>
      </w:r>
      <w:r>
        <w:rPr>
          <w:w w:val="120"/>
          <w:sz w:val="20"/>
        </w:rPr>
        <w:t>of</w:t>
      </w:r>
      <w:r>
        <w:rPr>
          <w:spacing w:val="4"/>
          <w:w w:val="120"/>
          <w:sz w:val="20"/>
        </w:rPr>
        <w:t> </w:t>
      </w:r>
      <w:r>
        <w:rPr>
          <w:spacing w:val="-3"/>
          <w:w w:val="120"/>
          <w:sz w:val="20"/>
        </w:rPr>
        <w:t>March)</w:t>
      </w:r>
      <w:r>
        <w:rPr>
          <w:spacing w:val="4"/>
          <w:w w:val="120"/>
          <w:sz w:val="20"/>
        </w:rPr>
        <w:t> </w:t>
      </w:r>
      <w:r>
        <w:rPr>
          <w:w w:val="120"/>
          <w:sz w:val="20"/>
        </w:rPr>
        <w:t>which</w:t>
      </w:r>
      <w:r>
        <w:rPr>
          <w:spacing w:val="4"/>
          <w:w w:val="120"/>
          <w:sz w:val="20"/>
        </w:rPr>
        <w:t> </w:t>
      </w:r>
      <w:r>
        <w:rPr>
          <w:w w:val="120"/>
          <w:sz w:val="20"/>
        </w:rPr>
        <w:t>is</w:t>
      </w:r>
      <w:r>
        <w:rPr>
          <w:spacing w:val="4"/>
          <w:w w:val="120"/>
          <w:sz w:val="20"/>
        </w:rPr>
        <w:t> </w:t>
      </w:r>
      <w:r>
        <w:rPr>
          <w:w w:val="120"/>
          <w:sz w:val="20"/>
        </w:rPr>
        <w:t>the</w:t>
      </w:r>
      <w:r>
        <w:rPr>
          <w:spacing w:val="4"/>
          <w:w w:val="120"/>
          <w:sz w:val="20"/>
        </w:rPr>
        <w:t> </w:t>
      </w:r>
      <w:r>
        <w:rPr>
          <w:w w:val="120"/>
          <w:sz w:val="20"/>
        </w:rPr>
        <w:t>highest</w:t>
      </w:r>
      <w:r>
        <w:rPr>
          <w:spacing w:val="4"/>
          <w:w w:val="120"/>
          <w:sz w:val="20"/>
        </w:rPr>
        <w:t> </w:t>
      </w:r>
      <w:r>
        <w:rPr>
          <w:w w:val="120"/>
          <w:sz w:val="20"/>
        </w:rPr>
        <w:t>number</w:t>
      </w:r>
    </w:p>
    <w:p>
      <w:pPr>
        <w:pStyle w:val="BodyText"/>
        <w:spacing w:line="235" w:lineRule="auto" w:before="4"/>
        <w:ind w:left="1133" w:right="1997"/>
      </w:pPr>
      <w:r>
        <w:rPr>
          <w:w w:val="120"/>
        </w:rPr>
        <w:t>for many years. The committee thanks the editors Geoffrey Duncan (2009) and Susan Durber (2010) for all the work they put into compiling the books. The Prayer Handbook goes from strength to strength.</w:t>
      </w:r>
    </w:p>
    <w:p>
      <w:pPr>
        <w:pStyle w:val="BodyText"/>
        <w:spacing w:before="10"/>
        <w:rPr>
          <w:sz w:val="19"/>
        </w:rPr>
      </w:pPr>
    </w:p>
    <w:p>
      <w:pPr>
        <w:pStyle w:val="ListParagraph"/>
        <w:numPr>
          <w:ilvl w:val="2"/>
          <w:numId w:val="124"/>
        </w:numPr>
        <w:tabs>
          <w:tab w:pos="1815" w:val="left" w:leader="none"/>
        </w:tabs>
        <w:spacing w:line="235" w:lineRule="auto" w:before="0" w:after="0"/>
        <w:ind w:left="1133" w:right="2292" w:firstLine="0"/>
        <w:jc w:val="left"/>
        <w:rPr>
          <w:sz w:val="20"/>
        </w:rPr>
      </w:pPr>
      <w:r>
        <w:rPr>
          <w:w w:val="120"/>
          <w:sz w:val="20"/>
        </w:rPr>
        <w:t>Each </w:t>
      </w:r>
      <w:r>
        <w:rPr>
          <w:spacing w:val="-4"/>
          <w:w w:val="120"/>
          <w:sz w:val="20"/>
        </w:rPr>
        <w:t>year, </w:t>
      </w:r>
      <w:r>
        <w:rPr>
          <w:w w:val="120"/>
          <w:sz w:val="20"/>
        </w:rPr>
        <w:t>Communications struggles to produce an accurate </w:t>
      </w:r>
      <w:r>
        <w:rPr>
          <w:spacing w:val="-4"/>
          <w:w w:val="120"/>
          <w:sz w:val="20"/>
        </w:rPr>
        <w:t>Year </w:t>
      </w:r>
      <w:r>
        <w:rPr>
          <w:w w:val="120"/>
          <w:sz w:val="20"/>
        </w:rPr>
        <w:t>Book; we would like to explain some of the issues involved. It is a massive undertaking and </w:t>
      </w:r>
      <w:r>
        <w:rPr>
          <w:spacing w:val="-6"/>
          <w:w w:val="120"/>
          <w:sz w:val="20"/>
        </w:rPr>
        <w:t>2010 </w:t>
      </w:r>
      <w:r>
        <w:rPr>
          <w:w w:val="120"/>
          <w:sz w:val="20"/>
        </w:rPr>
        <w:t>was a particularly difficult </w:t>
      </w:r>
      <w:r>
        <w:rPr>
          <w:spacing w:val="-4"/>
          <w:w w:val="120"/>
          <w:sz w:val="20"/>
        </w:rPr>
        <w:t>year. </w:t>
      </w:r>
      <w:r>
        <w:rPr>
          <w:w w:val="120"/>
          <w:sz w:val="20"/>
        </w:rPr>
        <w:t>Following the demise of districts some synods prefer  to group churches together under area name while others prefer listing</w:t>
      </w:r>
      <w:r>
        <w:rPr>
          <w:spacing w:val="43"/>
          <w:w w:val="120"/>
          <w:sz w:val="20"/>
        </w:rPr>
        <w:t> </w:t>
      </w:r>
      <w:r>
        <w:rPr>
          <w:w w:val="120"/>
          <w:sz w:val="20"/>
        </w:rPr>
        <w:t>churches</w:t>
      </w:r>
    </w:p>
    <w:p>
      <w:pPr>
        <w:pStyle w:val="BodyText"/>
        <w:spacing w:line="235" w:lineRule="auto" w:before="3"/>
        <w:ind w:left="1133" w:right="2076"/>
      </w:pPr>
      <w:r>
        <w:rPr>
          <w:w w:val="120"/>
        </w:rPr>
        <w:t>alphabetically; this is increasingly confusing to users of the lists. The logistics of ensuring correct entries is always a time-consuming and detailed piece of work and the team who worked on this last year was not only new to the process but was doing so while having other responsiblities. Once the deadline was missed it proved impossible to publish by the advertised date. To reach a standard that members want would mean employing</w:t>
      </w:r>
    </w:p>
    <w:p>
      <w:pPr>
        <w:pStyle w:val="BodyText"/>
        <w:spacing w:line="235" w:lineRule="auto" w:before="4"/>
        <w:ind w:left="1133" w:right="1997"/>
      </w:pPr>
      <w:r>
        <w:rPr>
          <w:w w:val="120"/>
        </w:rPr>
        <w:t>a professional proof-reader. At the moment we use in-house and busy staff to keep the costs down; even so, each book costs about £26 to produce and we sell it at £13. If we were to outsource the work to a professional editor the Year Book would have to be sold at a price more like £80 a copy which is simply not viable.</w:t>
      </w:r>
    </w:p>
    <w:p>
      <w:pPr>
        <w:pStyle w:val="BodyText"/>
        <w:spacing w:before="6"/>
        <w:rPr>
          <w:sz w:val="18"/>
        </w:rPr>
      </w:pPr>
    </w:p>
    <w:p>
      <w:pPr>
        <w:numPr>
          <w:ilvl w:val="1"/>
          <w:numId w:val="124"/>
        </w:numPr>
        <w:tabs>
          <w:tab w:pos="1814" w:val="left" w:leader="none"/>
          <w:tab w:pos="1815" w:val="left" w:leader="none"/>
        </w:tabs>
        <w:spacing w:before="0"/>
        <w:ind w:left="1814" w:right="0" w:hanging="682"/>
        <w:jc w:val="left"/>
        <w:rPr>
          <w:rFonts w:ascii="Stone Sans II ITC Std Bk"/>
          <w:b/>
          <w:sz w:val="20"/>
        </w:rPr>
      </w:pPr>
      <w:r>
        <w:rPr>
          <w:rFonts w:ascii="Stone Sans II ITC Std Bk"/>
          <w:b/>
          <w:w w:val="110"/>
          <w:sz w:val="20"/>
        </w:rPr>
        <w:t>Database</w:t>
      </w:r>
    </w:p>
    <w:p>
      <w:pPr>
        <w:pStyle w:val="BodyText"/>
        <w:spacing w:before="10"/>
        <w:rPr>
          <w:rFonts w:ascii="Stone Sans II ITC Std Bk"/>
          <w:b/>
          <w:sz w:val="16"/>
        </w:rPr>
      </w:pPr>
    </w:p>
    <w:p>
      <w:pPr>
        <w:pStyle w:val="BodyText"/>
        <w:spacing w:line="235" w:lineRule="auto"/>
        <w:ind w:left="1133" w:right="2116"/>
      </w:pPr>
      <w:r>
        <w:rPr>
          <w:w w:val="120"/>
        </w:rPr>
        <w:t>General Assembly 2005 agreed that the URC should use a database to contact individual members directly. For this to happen, Communications has overseen the development  of a totally new database which will offer a more sophisticated facility. However, the migration of information, liaising with other departments, has put pressure on a number of</w:t>
      </w:r>
      <w:r>
        <w:rPr>
          <w:spacing w:val="4"/>
          <w:w w:val="120"/>
        </w:rPr>
        <w:t> </w:t>
      </w:r>
      <w:r>
        <w:rPr>
          <w:w w:val="120"/>
        </w:rPr>
        <w:t>people</w:t>
      </w:r>
      <w:r>
        <w:rPr>
          <w:spacing w:val="5"/>
          <w:w w:val="120"/>
        </w:rPr>
        <w:t> </w:t>
      </w:r>
      <w:r>
        <w:rPr>
          <w:w w:val="120"/>
        </w:rPr>
        <w:t>in</w:t>
      </w:r>
      <w:r>
        <w:rPr>
          <w:spacing w:val="4"/>
          <w:w w:val="120"/>
        </w:rPr>
        <w:t> </w:t>
      </w:r>
      <w:r>
        <w:rPr>
          <w:w w:val="120"/>
        </w:rPr>
        <w:t>Church</w:t>
      </w:r>
      <w:r>
        <w:rPr>
          <w:spacing w:val="5"/>
          <w:w w:val="120"/>
        </w:rPr>
        <w:t> </w:t>
      </w:r>
      <w:r>
        <w:rPr>
          <w:w w:val="120"/>
        </w:rPr>
        <w:t>House</w:t>
      </w:r>
      <w:r>
        <w:rPr>
          <w:spacing w:val="4"/>
          <w:w w:val="120"/>
        </w:rPr>
        <w:t> </w:t>
      </w:r>
      <w:r>
        <w:rPr>
          <w:w w:val="120"/>
        </w:rPr>
        <w:t>who</w:t>
      </w:r>
      <w:r>
        <w:rPr>
          <w:spacing w:val="5"/>
          <w:w w:val="120"/>
        </w:rPr>
        <w:t> </w:t>
      </w:r>
      <w:r>
        <w:rPr>
          <w:w w:val="120"/>
        </w:rPr>
        <w:t>have</w:t>
      </w:r>
      <w:r>
        <w:rPr>
          <w:spacing w:val="4"/>
          <w:w w:val="120"/>
        </w:rPr>
        <w:t> </w:t>
      </w:r>
      <w:r>
        <w:rPr>
          <w:w w:val="120"/>
        </w:rPr>
        <w:t>busy</w:t>
      </w:r>
      <w:r>
        <w:rPr>
          <w:spacing w:val="5"/>
          <w:w w:val="120"/>
        </w:rPr>
        <w:t> </w:t>
      </w:r>
      <w:r>
        <w:rPr>
          <w:w w:val="120"/>
        </w:rPr>
        <w:t>workplans</w:t>
      </w:r>
      <w:r>
        <w:rPr>
          <w:spacing w:val="4"/>
          <w:w w:val="120"/>
        </w:rPr>
        <w:t> </w:t>
      </w:r>
      <w:r>
        <w:rPr>
          <w:w w:val="120"/>
        </w:rPr>
        <w:t>of</w:t>
      </w:r>
      <w:r>
        <w:rPr>
          <w:spacing w:val="5"/>
          <w:w w:val="120"/>
        </w:rPr>
        <w:t> </w:t>
      </w:r>
      <w:r>
        <w:rPr>
          <w:w w:val="120"/>
        </w:rPr>
        <w:t>their</w:t>
      </w:r>
      <w:r>
        <w:rPr>
          <w:spacing w:val="5"/>
          <w:w w:val="120"/>
        </w:rPr>
        <w:t> </w:t>
      </w:r>
      <w:r>
        <w:rPr>
          <w:w w:val="120"/>
        </w:rPr>
        <w:t>own.</w:t>
      </w:r>
      <w:r>
        <w:rPr>
          <w:spacing w:val="4"/>
          <w:w w:val="120"/>
        </w:rPr>
        <w:t> </w:t>
      </w:r>
      <w:r>
        <w:rPr>
          <w:w w:val="120"/>
        </w:rPr>
        <w:t>Easter</w:t>
      </w:r>
      <w:r>
        <w:rPr>
          <w:spacing w:val="5"/>
          <w:w w:val="120"/>
        </w:rPr>
        <w:t> </w:t>
      </w:r>
      <w:r>
        <w:rPr>
          <w:spacing w:val="-6"/>
          <w:w w:val="120"/>
        </w:rPr>
        <w:t>2010</w:t>
      </w:r>
      <w:r>
        <w:rPr>
          <w:spacing w:val="4"/>
          <w:w w:val="120"/>
        </w:rPr>
        <w:t> </w:t>
      </w:r>
      <w:r>
        <w:rPr>
          <w:w w:val="120"/>
        </w:rPr>
        <w:t>was</w:t>
      </w:r>
    </w:p>
    <w:p>
      <w:pPr>
        <w:pStyle w:val="BodyText"/>
        <w:spacing w:line="235" w:lineRule="auto" w:before="4"/>
        <w:ind w:left="1133" w:right="1997"/>
      </w:pPr>
      <w:r>
        <w:rPr>
          <w:w w:val="120"/>
        </w:rPr>
        <w:t>the great switchover and everyone in Church House is now using the new database. Despite early fears about its implications for working individuals, staff members have pulled together and shown how different parts of the Church can come together and enable true ‘joined-up thinking’. Communications thanks Gillian Jones, from Ministries, and Penny Hannon from Education and Learning, together with Michael Bluett from our department for their hard work and many hours put into making this enormous project successful. It is not a glamorous part of the work but an essential ingredient of successful internal communications for the Church.</w:t>
      </w:r>
    </w:p>
    <w:p>
      <w:pPr>
        <w:pStyle w:val="BodyText"/>
        <w:spacing w:before="9"/>
        <w:rPr>
          <w:sz w:val="18"/>
        </w:rPr>
      </w:pPr>
    </w:p>
    <w:p>
      <w:pPr>
        <w:numPr>
          <w:ilvl w:val="1"/>
          <w:numId w:val="124"/>
        </w:numPr>
        <w:tabs>
          <w:tab w:pos="1814" w:val="left" w:leader="none"/>
          <w:tab w:pos="1815" w:val="left" w:leader="none"/>
        </w:tabs>
        <w:spacing w:before="0"/>
        <w:ind w:left="1814" w:right="0" w:hanging="682"/>
        <w:jc w:val="left"/>
        <w:rPr>
          <w:rFonts w:ascii="Stone Sans II ITC Std Bk"/>
          <w:b/>
          <w:sz w:val="20"/>
        </w:rPr>
      </w:pPr>
      <w:r>
        <w:rPr>
          <w:rFonts w:ascii="Stone Sans II ITC Std Bk"/>
          <w:b/>
          <w:w w:val="110"/>
          <w:sz w:val="20"/>
        </w:rPr>
        <w:t>Church</w:t>
      </w:r>
      <w:r>
        <w:rPr>
          <w:rFonts w:ascii="Stone Sans II ITC Std Bk"/>
          <w:b/>
          <w:spacing w:val="-1"/>
          <w:w w:val="110"/>
          <w:sz w:val="20"/>
        </w:rPr>
        <w:t> </w:t>
      </w:r>
      <w:r>
        <w:rPr>
          <w:rFonts w:ascii="Stone Sans II ITC Std Bk"/>
          <w:b/>
          <w:w w:val="110"/>
          <w:sz w:val="20"/>
        </w:rPr>
        <w:t>Returns</w:t>
      </w:r>
    </w:p>
    <w:p>
      <w:pPr>
        <w:pStyle w:val="BodyText"/>
        <w:spacing w:before="10"/>
        <w:rPr>
          <w:rFonts w:ascii="Stone Sans II ITC Std Bk"/>
          <w:b/>
          <w:sz w:val="16"/>
        </w:rPr>
      </w:pPr>
    </w:p>
    <w:p>
      <w:pPr>
        <w:pStyle w:val="BodyText"/>
        <w:spacing w:line="235" w:lineRule="auto"/>
        <w:ind w:left="1133" w:right="2485"/>
      </w:pPr>
      <w:r>
        <w:rPr>
          <w:w w:val="120"/>
        </w:rPr>
        <w:t>For a number of years the annual church returns have been dealt with by Communications. Traditionally, as </w:t>
      </w:r>
      <w:r>
        <w:rPr>
          <w:spacing w:val="2"/>
          <w:w w:val="120"/>
        </w:rPr>
        <w:t>part </w:t>
      </w:r>
      <w:r>
        <w:rPr>
          <w:w w:val="120"/>
        </w:rPr>
        <w:t>of the information gathering, the back page of the form has been given over to various other requests for information: e.g.</w:t>
      </w:r>
      <w:r>
        <w:rPr>
          <w:spacing w:val="11"/>
          <w:w w:val="120"/>
        </w:rPr>
        <w:t> </w:t>
      </w:r>
      <w:r>
        <w:rPr>
          <w:w w:val="120"/>
        </w:rPr>
        <w:t>Equal</w:t>
      </w:r>
    </w:p>
    <w:p>
      <w:pPr>
        <w:pStyle w:val="BodyText"/>
        <w:spacing w:line="235" w:lineRule="auto" w:before="2"/>
        <w:ind w:left="1133" w:right="1997"/>
      </w:pPr>
      <w:r>
        <w:rPr>
          <w:w w:val="120"/>
        </w:rPr>
        <w:t>Opportunities, Multicultural Ministries, and the Musicians Guild. There has never been much of a pattern as to what is asked for each year. Communications is developing a standard questionnaire that will go out to churches every year which will contain all such additional requests for information. The department hopes to offer this electronically</w:t>
      </w:r>
    </w:p>
    <w:p>
      <w:pPr>
        <w:pStyle w:val="BodyText"/>
        <w:spacing w:line="235" w:lineRule="auto" w:before="3"/>
        <w:ind w:left="1133" w:right="1997"/>
      </w:pPr>
      <w:r>
        <w:rPr>
          <w:w w:val="120"/>
        </w:rPr>
        <w:t>to those who would like to receive the forms in this way. It is regretted that the questionnaire for Equal Opportunities due last winter was omitted; this was due to a mix up in Communications for which we apologise to General Asssembly.</w:t>
      </w:r>
    </w:p>
    <w:p>
      <w:pPr>
        <w:pStyle w:val="BodyText"/>
        <w:spacing w:before="9"/>
        <w:rPr>
          <w:sz w:val="17"/>
        </w:rPr>
      </w:pPr>
    </w:p>
    <w:p>
      <w:pPr>
        <w:numPr>
          <w:ilvl w:val="0"/>
          <w:numId w:val="124"/>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Engaging with outside</w:t>
      </w:r>
      <w:r>
        <w:rPr>
          <w:rFonts w:ascii="Stone Sans II ITC Std Bk"/>
          <w:b/>
          <w:spacing w:val="-5"/>
          <w:w w:val="115"/>
          <w:sz w:val="21"/>
        </w:rPr>
        <w:t> </w:t>
      </w:r>
      <w:r>
        <w:rPr>
          <w:rFonts w:ascii="Stone Sans II ITC Std Bk"/>
          <w:b/>
          <w:w w:val="115"/>
          <w:sz w:val="21"/>
        </w:rPr>
        <w:t>organisations</w:t>
      </w:r>
    </w:p>
    <w:p>
      <w:pPr>
        <w:pStyle w:val="BodyText"/>
        <w:spacing w:line="235" w:lineRule="auto" w:before="223"/>
        <w:ind w:left="1133" w:right="2215"/>
      </w:pPr>
      <w:r>
        <w:rPr>
          <w:w w:val="120"/>
        </w:rPr>
        <w:t>We value our involvement with other  </w:t>
      </w:r>
      <w:r>
        <w:rPr>
          <w:spacing w:val="2"/>
          <w:w w:val="120"/>
        </w:rPr>
        <w:t>Christian </w:t>
      </w:r>
      <w:r>
        <w:rPr>
          <w:w w:val="120"/>
        </w:rPr>
        <w:t>communicators  both  </w:t>
      </w:r>
      <w:r>
        <w:rPr>
          <w:spacing w:val="2"/>
          <w:w w:val="120"/>
        </w:rPr>
        <w:t>through </w:t>
      </w:r>
      <w:r>
        <w:rPr>
          <w:w w:val="120"/>
        </w:rPr>
        <w:t>the work of the Joint Public Issues team, the </w:t>
      </w:r>
      <w:r>
        <w:rPr>
          <w:spacing w:val="2"/>
          <w:w w:val="120"/>
        </w:rPr>
        <w:t>Methodists </w:t>
      </w:r>
      <w:r>
        <w:rPr>
          <w:w w:val="120"/>
        </w:rPr>
        <w:t>and </w:t>
      </w:r>
      <w:r>
        <w:rPr>
          <w:spacing w:val="3"/>
          <w:w w:val="120"/>
        </w:rPr>
        <w:t>Baptists </w:t>
      </w:r>
      <w:r>
        <w:rPr>
          <w:w w:val="120"/>
        </w:rPr>
        <w:t>communications </w:t>
      </w:r>
      <w:r>
        <w:rPr>
          <w:spacing w:val="3"/>
          <w:w w:val="120"/>
        </w:rPr>
        <w:t>departments, </w:t>
      </w:r>
      <w:r>
        <w:rPr>
          <w:w w:val="120"/>
        </w:rPr>
        <w:t>as well as </w:t>
      </w:r>
      <w:r>
        <w:rPr>
          <w:spacing w:val="2"/>
          <w:w w:val="120"/>
        </w:rPr>
        <w:t>through </w:t>
      </w:r>
      <w:r>
        <w:rPr>
          <w:w w:val="120"/>
        </w:rPr>
        <w:t>the </w:t>
      </w:r>
      <w:r>
        <w:rPr>
          <w:spacing w:val="3"/>
          <w:w w:val="120"/>
        </w:rPr>
        <w:t>re-named </w:t>
      </w:r>
      <w:r>
        <w:rPr>
          <w:w w:val="120"/>
        </w:rPr>
        <w:t>Church and Media </w:t>
      </w:r>
      <w:r>
        <w:rPr>
          <w:spacing w:val="3"/>
          <w:w w:val="120"/>
        </w:rPr>
        <w:t>Network, </w:t>
      </w:r>
      <w:r>
        <w:rPr>
          <w:w w:val="120"/>
        </w:rPr>
        <w:t>whose </w:t>
      </w:r>
      <w:r>
        <w:rPr>
          <w:spacing w:val="2"/>
          <w:w w:val="120"/>
        </w:rPr>
        <w:t>activities</w:t>
      </w:r>
      <w:r>
        <w:rPr>
          <w:spacing w:val="10"/>
          <w:w w:val="120"/>
        </w:rPr>
        <w:t> </w:t>
      </w:r>
      <w:r>
        <w:rPr>
          <w:w w:val="120"/>
        </w:rPr>
        <w:t>help</w:t>
      </w:r>
      <w:r>
        <w:rPr>
          <w:spacing w:val="11"/>
          <w:w w:val="120"/>
        </w:rPr>
        <w:t> </w:t>
      </w:r>
      <w:r>
        <w:rPr>
          <w:w w:val="120"/>
        </w:rPr>
        <w:t>us</w:t>
      </w:r>
      <w:r>
        <w:rPr>
          <w:spacing w:val="10"/>
          <w:w w:val="120"/>
        </w:rPr>
        <w:t> </w:t>
      </w:r>
      <w:r>
        <w:rPr>
          <w:w w:val="120"/>
        </w:rPr>
        <w:t>to</w:t>
      </w:r>
      <w:r>
        <w:rPr>
          <w:spacing w:val="11"/>
          <w:w w:val="120"/>
        </w:rPr>
        <w:t> </w:t>
      </w:r>
      <w:r>
        <w:rPr>
          <w:w w:val="120"/>
        </w:rPr>
        <w:t>keep</w:t>
      </w:r>
      <w:r>
        <w:rPr>
          <w:spacing w:val="11"/>
          <w:w w:val="120"/>
        </w:rPr>
        <w:t> </w:t>
      </w:r>
      <w:r>
        <w:rPr>
          <w:spacing w:val="2"/>
          <w:w w:val="120"/>
        </w:rPr>
        <w:t>informed</w:t>
      </w:r>
      <w:r>
        <w:rPr>
          <w:spacing w:val="10"/>
          <w:w w:val="120"/>
        </w:rPr>
        <w:t> </w:t>
      </w:r>
      <w:r>
        <w:rPr>
          <w:w w:val="120"/>
        </w:rPr>
        <w:t>of</w:t>
      </w:r>
      <w:r>
        <w:rPr>
          <w:spacing w:val="11"/>
          <w:w w:val="120"/>
        </w:rPr>
        <w:t> </w:t>
      </w:r>
      <w:r>
        <w:rPr>
          <w:spacing w:val="2"/>
          <w:w w:val="120"/>
        </w:rPr>
        <w:t>developments</w:t>
      </w:r>
      <w:r>
        <w:rPr>
          <w:spacing w:val="11"/>
          <w:w w:val="120"/>
        </w:rPr>
        <w:t> </w:t>
      </w:r>
      <w:r>
        <w:rPr>
          <w:w w:val="120"/>
        </w:rPr>
        <w:t>in</w:t>
      </w:r>
      <w:r>
        <w:rPr>
          <w:spacing w:val="10"/>
          <w:w w:val="120"/>
        </w:rPr>
        <w:t> </w:t>
      </w:r>
      <w:r>
        <w:rPr>
          <w:w w:val="120"/>
        </w:rPr>
        <w:t>this</w:t>
      </w:r>
      <w:r>
        <w:rPr>
          <w:spacing w:val="11"/>
          <w:w w:val="120"/>
        </w:rPr>
        <w:t> </w:t>
      </w:r>
      <w:r>
        <w:rPr>
          <w:w w:val="120"/>
        </w:rPr>
        <w:t>field.</w:t>
      </w:r>
      <w:r>
        <w:rPr>
          <w:spacing w:val="11"/>
          <w:w w:val="120"/>
        </w:rPr>
        <w:t> </w:t>
      </w:r>
      <w:r>
        <w:rPr>
          <w:w w:val="120"/>
        </w:rPr>
        <w:t>It</w:t>
      </w:r>
      <w:r>
        <w:rPr>
          <w:spacing w:val="10"/>
          <w:w w:val="120"/>
        </w:rPr>
        <w:t> </w:t>
      </w:r>
      <w:r>
        <w:rPr>
          <w:w w:val="120"/>
        </w:rPr>
        <w:t>is</w:t>
      </w:r>
      <w:r>
        <w:rPr>
          <w:spacing w:val="11"/>
          <w:w w:val="120"/>
        </w:rPr>
        <w:t> </w:t>
      </w:r>
      <w:r>
        <w:rPr>
          <w:w w:val="120"/>
        </w:rPr>
        <w:t>also</w:t>
      </w:r>
      <w:r>
        <w:rPr>
          <w:spacing w:val="10"/>
          <w:w w:val="120"/>
        </w:rPr>
        <w:t> </w:t>
      </w:r>
      <w:r>
        <w:rPr>
          <w:w w:val="120"/>
        </w:rPr>
        <w:t>appropriate</w:t>
      </w:r>
    </w:p>
    <w:p>
      <w:pPr>
        <w:spacing w:after="0" w:line="235" w:lineRule="auto"/>
        <w:sectPr>
          <w:pgSz w:w="11910" w:h="16840"/>
          <w:pgMar w:header="0" w:footer="647" w:top="1060" w:bottom="840" w:left="0" w:right="0"/>
        </w:sectPr>
      </w:pPr>
    </w:p>
    <w:p>
      <w:pPr>
        <w:pStyle w:val="BodyText"/>
        <w:spacing w:line="235" w:lineRule="auto" w:before="91"/>
        <w:ind w:left="1984" w:right="1425"/>
      </w:pPr>
      <w:r>
        <w:rPr/>
        <w:pict>
          <v:rect style="position:absolute;margin-left:558.424988pt;margin-top:8.503343pt;width:22.677pt;height:22.677pt;mso-position-horizontal-relative:page;mso-position-vertical-relative:paragraph;z-index:252013568" filled="true" fillcolor="#dae4ec" stroked="false">
            <v:fill opacity="32768f" type="solid"/>
            <w10:wrap type="none"/>
          </v:rect>
        </w:pict>
      </w:r>
      <w:r>
        <w:rPr>
          <w:w w:val="120"/>
        </w:rPr>
        <w:t>to commend the Roots for Churches magazines and website, as our Director of Communications, Martin Hazell, stands down from his role as a trustee on the board of this joint Christian education venture.</w:t>
      </w:r>
    </w:p>
    <w:p>
      <w:pPr>
        <w:numPr>
          <w:ilvl w:val="0"/>
          <w:numId w:val="124"/>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The Communications staff team in Church</w:t>
      </w:r>
      <w:r>
        <w:rPr>
          <w:rFonts w:ascii="Stone Sans II ITC Std Bk"/>
          <w:b/>
          <w:spacing w:val="-14"/>
          <w:w w:val="115"/>
          <w:sz w:val="21"/>
        </w:rPr>
        <w:t> </w:t>
      </w:r>
      <w:r>
        <w:rPr>
          <w:rFonts w:ascii="Stone Sans II ITC Std Bk"/>
          <w:b/>
          <w:w w:val="115"/>
          <w:sz w:val="21"/>
        </w:rPr>
        <w:t>House</w:t>
      </w:r>
    </w:p>
    <w:p>
      <w:pPr>
        <w:pStyle w:val="ListParagraph"/>
        <w:numPr>
          <w:ilvl w:val="1"/>
          <w:numId w:val="124"/>
        </w:numPr>
        <w:tabs>
          <w:tab w:pos="2664" w:val="left" w:leader="none"/>
          <w:tab w:pos="2665" w:val="left" w:leader="none"/>
        </w:tabs>
        <w:spacing w:line="235" w:lineRule="auto" w:before="223" w:after="0"/>
        <w:ind w:left="1984" w:right="1385" w:firstLine="0"/>
        <w:jc w:val="left"/>
        <w:rPr>
          <w:sz w:val="20"/>
        </w:rPr>
      </w:pPr>
      <w:r>
        <w:rPr>
          <w:w w:val="120"/>
          <w:sz w:val="20"/>
        </w:rPr>
        <w:t>Since Communications last reported, we have been glad to welcome new staff: Michael Bluett, Charissa King, Caroline </w:t>
      </w:r>
      <w:r>
        <w:rPr>
          <w:spacing w:val="-5"/>
          <w:w w:val="120"/>
          <w:sz w:val="20"/>
        </w:rPr>
        <w:t>(Caz) </w:t>
      </w:r>
      <w:r>
        <w:rPr>
          <w:w w:val="120"/>
          <w:sz w:val="20"/>
        </w:rPr>
        <w:t>Binstead, Alex Klaushofer, Gill Nichols, Genevieve Gbesorgbor and Jennifer Varela to our staff team. We record our thanks to those who have </w:t>
      </w:r>
      <w:r>
        <w:rPr>
          <w:spacing w:val="2"/>
          <w:w w:val="120"/>
          <w:sz w:val="20"/>
        </w:rPr>
        <w:t>left </w:t>
      </w:r>
      <w:r>
        <w:rPr>
          <w:w w:val="120"/>
          <w:sz w:val="20"/>
        </w:rPr>
        <w:t>us in the period since the last Assembly: Stuart </w:t>
      </w:r>
      <w:r>
        <w:rPr>
          <w:spacing w:val="-3"/>
          <w:w w:val="120"/>
          <w:sz w:val="20"/>
        </w:rPr>
        <w:t>Dew, </w:t>
      </w:r>
      <w:r>
        <w:rPr>
          <w:w w:val="120"/>
          <w:sz w:val="20"/>
        </w:rPr>
        <w:t>Pat Duncan, Stephanie Honey, Genevieve Gbesorgbor, Jane Hogge, Alex Klaushofer, James </w:t>
      </w:r>
      <w:r>
        <w:rPr>
          <w:spacing w:val="2"/>
          <w:w w:val="120"/>
          <w:sz w:val="20"/>
        </w:rPr>
        <w:t>Roberts </w:t>
      </w:r>
      <w:r>
        <w:rPr>
          <w:w w:val="120"/>
          <w:sz w:val="20"/>
        </w:rPr>
        <w:t>and Jennifer Varela. We remember the 20 years service of Brenda Guest who died after a short illness in November</w:t>
      </w:r>
      <w:r>
        <w:rPr>
          <w:spacing w:val="11"/>
          <w:w w:val="120"/>
          <w:sz w:val="20"/>
        </w:rPr>
        <w:t> </w:t>
      </w:r>
      <w:r>
        <w:rPr>
          <w:w w:val="120"/>
          <w:sz w:val="20"/>
        </w:rPr>
        <w:t>2008.</w:t>
      </w:r>
    </w:p>
    <w:p>
      <w:pPr>
        <w:pStyle w:val="BodyText"/>
        <w:spacing w:before="1"/>
      </w:pPr>
    </w:p>
    <w:p>
      <w:pPr>
        <w:pStyle w:val="ListParagraph"/>
        <w:numPr>
          <w:ilvl w:val="1"/>
          <w:numId w:val="124"/>
        </w:numPr>
        <w:tabs>
          <w:tab w:pos="2664" w:val="left" w:leader="none"/>
          <w:tab w:pos="2665" w:val="left" w:leader="none"/>
        </w:tabs>
        <w:spacing w:line="235" w:lineRule="auto" w:before="0" w:after="0"/>
        <w:ind w:left="1984" w:right="1387" w:firstLine="0"/>
        <w:jc w:val="left"/>
        <w:rPr>
          <w:sz w:val="20"/>
        </w:rPr>
      </w:pPr>
      <w:r>
        <w:rPr>
          <w:w w:val="120"/>
          <w:sz w:val="20"/>
        </w:rPr>
        <w:t>The committee has also benefitted from the membership and contributions of Valerie Jenkins, Richard Lathaen, Catherine Lewis-Smith and Ron </w:t>
      </w:r>
      <w:r>
        <w:rPr>
          <w:spacing w:val="-3"/>
          <w:w w:val="120"/>
          <w:sz w:val="20"/>
        </w:rPr>
        <w:t>Sweeney. </w:t>
      </w:r>
      <w:r>
        <w:rPr>
          <w:w w:val="120"/>
          <w:sz w:val="20"/>
        </w:rPr>
        <w:t>We are glad to have a committed membership, who together bring a range of specialist skills and interests to our varied and stimulating field of</w:t>
      </w:r>
      <w:r>
        <w:rPr>
          <w:spacing w:val="16"/>
          <w:w w:val="120"/>
          <w:sz w:val="20"/>
        </w:rPr>
        <w:t> </w:t>
      </w:r>
      <w:r>
        <w:rPr>
          <w:w w:val="120"/>
          <w:sz w:val="20"/>
        </w:rPr>
        <w:t>work.</w:t>
      </w:r>
    </w:p>
    <w:p>
      <w:pPr>
        <w:pStyle w:val="BodyText"/>
        <w:spacing w:before="9"/>
        <w:rPr>
          <w:sz w:val="17"/>
        </w:rPr>
      </w:pPr>
    </w:p>
    <w:p>
      <w:pPr>
        <w:numPr>
          <w:ilvl w:val="0"/>
          <w:numId w:val="124"/>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Olympics</w:t>
      </w:r>
      <w:r>
        <w:rPr>
          <w:rFonts w:ascii="Stone Sans II ITC Std Bk"/>
          <w:b/>
          <w:spacing w:val="-2"/>
          <w:w w:val="115"/>
          <w:sz w:val="21"/>
        </w:rPr>
        <w:t> </w:t>
      </w:r>
      <w:r>
        <w:rPr>
          <w:rFonts w:ascii="Stone Sans II ITC Std Bk"/>
          <w:b/>
          <w:spacing w:val="-8"/>
          <w:w w:val="115"/>
          <w:sz w:val="21"/>
        </w:rPr>
        <w:t>2012</w:t>
      </w:r>
    </w:p>
    <w:p>
      <w:pPr>
        <w:pStyle w:val="BodyText"/>
        <w:spacing w:line="235" w:lineRule="auto" w:before="223"/>
        <w:ind w:left="1984" w:right="1358"/>
      </w:pPr>
      <w:r>
        <w:rPr>
          <w:spacing w:val="-7"/>
          <w:w w:val="120"/>
        </w:rPr>
        <w:t>2012 </w:t>
      </w:r>
      <w:r>
        <w:rPr>
          <w:w w:val="120"/>
        </w:rPr>
        <w:t>will be an extraordinary year for people living in the </w:t>
      </w:r>
      <w:r>
        <w:rPr>
          <w:spacing w:val="2"/>
          <w:w w:val="120"/>
        </w:rPr>
        <w:t>UK. </w:t>
      </w:r>
      <w:r>
        <w:rPr>
          <w:w w:val="120"/>
        </w:rPr>
        <w:t>It will see the Diamond Jubilee of the Queen, the Olympics and Paralympics. It will be a year to treasure and remember, not least since it also marks the 350</w:t>
      </w:r>
      <w:r>
        <w:rPr>
          <w:w w:val="120"/>
          <w:position w:val="7"/>
          <w:sz w:val="11"/>
        </w:rPr>
        <w:t>th </w:t>
      </w:r>
      <w:r>
        <w:rPr>
          <w:w w:val="120"/>
        </w:rPr>
        <w:t>anniversaries of some of our churches. Communications and Mission teams have been working together to plan the </w:t>
      </w:r>
      <w:r>
        <w:rPr>
          <w:spacing w:val="-3"/>
          <w:w w:val="120"/>
        </w:rPr>
        <w:t>URC’s </w:t>
      </w:r>
      <w:r>
        <w:rPr>
          <w:w w:val="120"/>
        </w:rPr>
        <w:t>response to all these once-in-a-lifetime events. The year will include the torch relay  that will be seen by millions; the ceremonial and religious celebrations of the</w:t>
      </w:r>
      <w:r>
        <w:rPr>
          <w:spacing w:val="47"/>
          <w:w w:val="120"/>
        </w:rPr>
        <w:t> </w:t>
      </w:r>
      <w:r>
        <w:rPr>
          <w:spacing w:val="-3"/>
          <w:w w:val="120"/>
        </w:rPr>
        <w:t>Queen’s</w:t>
      </w:r>
    </w:p>
    <w:p>
      <w:pPr>
        <w:pStyle w:val="BodyText"/>
        <w:spacing w:line="235" w:lineRule="auto" w:before="4"/>
        <w:ind w:left="1984" w:right="1191"/>
      </w:pPr>
      <w:r>
        <w:rPr>
          <w:w w:val="120"/>
        </w:rPr>
        <w:t>anniversary with a long Bank Holiday weekend at the beginning of June; leading into the weeks of sporting activity, with training camps and/or competitive events taking place   in each of our thirteen synods. Members of the URC will be encouraged to hold events through the year in their community spaces, building on the enthusaism of people to gather to watch. Working with </w:t>
      </w:r>
      <w:r>
        <w:rPr>
          <w:i/>
          <w:w w:val="120"/>
        </w:rPr>
        <w:t>More Than Gold </w:t>
      </w:r>
      <w:r>
        <w:rPr>
          <w:spacing w:val="-9"/>
          <w:w w:val="120"/>
        </w:rPr>
        <w:t>(a </w:t>
      </w:r>
      <w:r>
        <w:rPr>
          <w:w w:val="120"/>
        </w:rPr>
        <w:t>Christian organisation planning events around the </w:t>
      </w:r>
      <w:r>
        <w:rPr>
          <w:spacing w:val="-3"/>
          <w:w w:val="120"/>
        </w:rPr>
        <w:t>Games) </w:t>
      </w:r>
      <w:r>
        <w:rPr>
          <w:w w:val="120"/>
        </w:rPr>
        <w:t>the URC will encourage church members to open their doors to the friends and families of athletes who will need local hospitatility. The URC, in common with other denominations and faiths, will be giving a welcome to the world. It will be a marvellous opportunity for mission and</w:t>
      </w:r>
      <w:r>
        <w:rPr>
          <w:spacing w:val="11"/>
          <w:w w:val="120"/>
        </w:rPr>
        <w:t> </w:t>
      </w:r>
      <w:r>
        <w:rPr>
          <w:w w:val="120"/>
        </w:rPr>
        <w:t>service.</w:t>
      </w:r>
    </w:p>
    <w:p>
      <w:pPr>
        <w:pStyle w:val="BodyText"/>
        <w:rPr>
          <w:sz w:val="24"/>
        </w:rPr>
      </w:pPr>
    </w:p>
    <w:p>
      <w:pPr>
        <w:pStyle w:val="BodyText"/>
        <w:spacing w:before="6"/>
        <w:rPr>
          <w:sz w:val="27"/>
        </w:rPr>
      </w:pPr>
    </w:p>
    <w:p>
      <w:pPr>
        <w:spacing w:line="244" w:lineRule="auto" w:before="0"/>
        <w:ind w:left="1984" w:right="2573" w:firstLine="0"/>
        <w:jc w:val="left"/>
        <w:rPr>
          <w:sz w:val="32"/>
        </w:rPr>
      </w:pPr>
      <w:r>
        <w:rPr/>
        <w:pict>
          <v:group style="position:absolute;margin-left:85.039398pt;margin-top:44.575462pt;width:470.6pt;height:160.35pt;mso-position-horizontal-relative:page;mso-position-vertical-relative:paragraph;z-index:-251309056;mso-wrap-distance-left:0;mso-wrap-distance-right:0" coordorigin="1701,892" coordsize="9412,3207">
            <v:rect style="position:absolute;left:1987;top:986;width:3806;height:643" filled="true" fillcolor="#9662a1" stroked="false">
              <v:fill opacity="45875f" type="solid"/>
            </v:rect>
            <v:rect style="position:absolute;left:1987;top:986;width:3806;height:643" filled="false" stroked="true" strokeweight="1.0pt" strokecolor="#9662a1">
              <v:stroke dashstyle="solid"/>
            </v:rect>
            <v:shape style="position:absolute;left:1730;top:964;width:9352;height:3104" coordorigin="1731,964" coordsize="9352,3104" path="m1731,3828l1735,3967,1761,4038,1832,4064,1971,4068,10842,4068,10981,4064,11052,4038,11078,3967,11082,3828,11082,1204,11078,1066,11052,994,10981,968,10842,964,1971,964,1832,968,1761,994,1735,1066,1731,1204,1731,3828xe" filled="false" stroked="true" strokeweight="3pt" strokecolor="#000000">
              <v:path arrowok="t"/>
              <v:stroke dashstyle="solid"/>
            </v:shape>
            <v:shape style="position:absolute;left:1700;top:891;width:9412;height:3207" type="#_x0000_t202" filled="false" stroked="false">
              <v:textbox inset="0,0,0,0">
                <w:txbxContent>
                  <w:p>
                    <w:pPr>
                      <w:spacing w:line="192" w:lineRule="auto" w:before="59"/>
                      <w:ind w:left="410" w:right="0" w:firstLine="0"/>
                      <w:jc w:val="left"/>
                      <w:rPr>
                        <w:rFonts w:ascii="Stone Sans II ITC Std X Bd"/>
                        <w:b/>
                        <w:sz w:val="57"/>
                      </w:rPr>
                    </w:pPr>
                    <w:r>
                      <w:rPr>
                        <w:rFonts w:ascii="Stone Sans II ITC Std X Bd"/>
                        <w:b/>
                        <w:color w:val="FFFFFF"/>
                        <w:w w:val="110"/>
                        <w:sz w:val="47"/>
                      </w:rPr>
                      <w:t>Resolution</w:t>
                    </w:r>
                    <w:r>
                      <w:rPr>
                        <w:rFonts w:ascii="Stone Sans II ITC Std X Bd"/>
                        <w:b/>
                        <w:w w:val="110"/>
                        <w:position w:val="-21"/>
                        <w:sz w:val="57"/>
                      </w:rPr>
                      <w:t>32</w:t>
                    </w:r>
                  </w:p>
                  <w:p>
                    <w:pPr>
                      <w:spacing w:line="235" w:lineRule="auto" w:before="291"/>
                      <w:ind w:left="283" w:right="430" w:firstLine="0"/>
                      <w:jc w:val="left"/>
                      <w:rPr>
                        <w:sz w:val="20"/>
                      </w:rPr>
                    </w:pPr>
                    <w:r>
                      <w:rPr>
                        <w:spacing w:val="5"/>
                        <w:w w:val="120"/>
                        <w:sz w:val="20"/>
                      </w:rPr>
                      <w:t>General Assembly </w:t>
                    </w:r>
                    <w:r>
                      <w:rPr>
                        <w:spacing w:val="4"/>
                        <w:w w:val="120"/>
                        <w:sz w:val="20"/>
                      </w:rPr>
                      <w:t>welcomes the work being done </w:t>
                    </w:r>
                    <w:r>
                      <w:rPr>
                        <w:w w:val="120"/>
                        <w:sz w:val="20"/>
                      </w:rPr>
                      <w:t>by </w:t>
                    </w:r>
                    <w:r>
                      <w:rPr>
                        <w:spacing w:val="4"/>
                        <w:w w:val="120"/>
                        <w:sz w:val="20"/>
                      </w:rPr>
                      <w:t>the Mission and Communications and Editorial Committees </w:t>
                    </w:r>
                    <w:r>
                      <w:rPr>
                        <w:spacing w:val="2"/>
                        <w:w w:val="120"/>
                        <w:sz w:val="20"/>
                      </w:rPr>
                      <w:t>in </w:t>
                    </w:r>
                    <w:r>
                      <w:rPr>
                        <w:spacing w:val="5"/>
                        <w:w w:val="120"/>
                        <w:sz w:val="20"/>
                      </w:rPr>
                      <w:t>preparation </w:t>
                    </w:r>
                    <w:r>
                      <w:rPr>
                        <w:spacing w:val="3"/>
                        <w:w w:val="120"/>
                        <w:sz w:val="20"/>
                      </w:rPr>
                      <w:t>for </w:t>
                    </w:r>
                    <w:r>
                      <w:rPr>
                        <w:spacing w:val="4"/>
                        <w:w w:val="120"/>
                        <w:sz w:val="20"/>
                      </w:rPr>
                      <w:t>the </w:t>
                    </w:r>
                    <w:r>
                      <w:rPr>
                        <w:spacing w:val="2"/>
                        <w:w w:val="120"/>
                        <w:sz w:val="20"/>
                      </w:rPr>
                      <w:t>Church’s </w:t>
                    </w:r>
                    <w:r>
                      <w:rPr>
                        <w:spacing w:val="4"/>
                        <w:w w:val="120"/>
                        <w:sz w:val="20"/>
                      </w:rPr>
                      <w:t>involvement </w:t>
                    </w:r>
                    <w:r>
                      <w:rPr>
                        <w:spacing w:val="2"/>
                        <w:w w:val="120"/>
                        <w:sz w:val="20"/>
                      </w:rPr>
                      <w:t>in </w:t>
                    </w:r>
                    <w:r>
                      <w:rPr>
                        <w:spacing w:val="4"/>
                        <w:w w:val="120"/>
                        <w:sz w:val="20"/>
                      </w:rPr>
                      <w:t>the </w:t>
                    </w:r>
                    <w:r>
                      <w:rPr>
                        <w:spacing w:val="2"/>
                        <w:w w:val="120"/>
                        <w:sz w:val="20"/>
                      </w:rPr>
                      <w:t>Queen’s </w:t>
                    </w:r>
                    <w:r>
                      <w:rPr>
                        <w:spacing w:val="5"/>
                        <w:w w:val="120"/>
                        <w:sz w:val="20"/>
                      </w:rPr>
                      <w:t>Jubilee celebrations </w:t>
                    </w:r>
                    <w:r>
                      <w:rPr>
                        <w:spacing w:val="4"/>
                        <w:w w:val="120"/>
                        <w:sz w:val="20"/>
                      </w:rPr>
                      <w:t>and </w:t>
                    </w:r>
                    <w:r>
                      <w:rPr>
                        <w:spacing w:val="2"/>
                        <w:w w:val="120"/>
                        <w:sz w:val="20"/>
                      </w:rPr>
                      <w:t>in </w:t>
                    </w:r>
                    <w:r>
                      <w:rPr>
                        <w:spacing w:val="4"/>
                        <w:w w:val="120"/>
                        <w:sz w:val="20"/>
                      </w:rPr>
                      <w:t>events </w:t>
                    </w:r>
                    <w:r>
                      <w:rPr>
                        <w:spacing w:val="5"/>
                        <w:w w:val="120"/>
                        <w:sz w:val="20"/>
                      </w:rPr>
                      <w:t>surrounding </w:t>
                    </w:r>
                    <w:r>
                      <w:rPr>
                        <w:spacing w:val="4"/>
                        <w:w w:val="120"/>
                        <w:sz w:val="20"/>
                      </w:rPr>
                      <w:t>the </w:t>
                    </w:r>
                    <w:r>
                      <w:rPr>
                        <w:spacing w:val="5"/>
                        <w:w w:val="120"/>
                        <w:sz w:val="20"/>
                      </w:rPr>
                      <w:t>Olympic Games </w:t>
                    </w:r>
                    <w:r>
                      <w:rPr>
                        <w:spacing w:val="2"/>
                        <w:w w:val="120"/>
                        <w:sz w:val="20"/>
                      </w:rPr>
                      <w:t>in </w:t>
                    </w:r>
                    <w:r>
                      <w:rPr>
                        <w:w w:val="120"/>
                        <w:sz w:val="20"/>
                      </w:rPr>
                      <w:t>2012. </w:t>
                    </w:r>
                    <w:r>
                      <w:rPr>
                        <w:spacing w:val="3"/>
                        <w:w w:val="120"/>
                        <w:sz w:val="20"/>
                      </w:rPr>
                      <w:t>It </w:t>
                    </w:r>
                    <w:r>
                      <w:rPr>
                        <w:spacing w:val="5"/>
                        <w:w w:val="120"/>
                        <w:sz w:val="20"/>
                      </w:rPr>
                      <w:t>encourages </w:t>
                    </w:r>
                    <w:r>
                      <w:rPr>
                        <w:spacing w:val="4"/>
                        <w:w w:val="120"/>
                        <w:sz w:val="20"/>
                      </w:rPr>
                      <w:t>churches </w:t>
                    </w:r>
                    <w:r>
                      <w:rPr>
                        <w:w w:val="120"/>
                        <w:sz w:val="20"/>
                      </w:rPr>
                      <w:t>to </w:t>
                    </w:r>
                    <w:r>
                      <w:rPr>
                        <w:spacing w:val="5"/>
                        <w:w w:val="120"/>
                        <w:sz w:val="20"/>
                      </w:rPr>
                      <w:t>engage </w:t>
                    </w:r>
                    <w:r>
                      <w:rPr>
                        <w:spacing w:val="2"/>
                        <w:w w:val="120"/>
                        <w:sz w:val="20"/>
                      </w:rPr>
                      <w:t>in </w:t>
                    </w:r>
                    <w:r>
                      <w:rPr>
                        <w:spacing w:val="4"/>
                        <w:w w:val="120"/>
                        <w:sz w:val="20"/>
                      </w:rPr>
                      <w:t>the </w:t>
                    </w:r>
                    <w:r>
                      <w:rPr>
                        <w:spacing w:val="5"/>
                        <w:w w:val="120"/>
                        <w:sz w:val="20"/>
                      </w:rPr>
                      <w:t>celebrations </w:t>
                    </w:r>
                    <w:r>
                      <w:rPr>
                        <w:spacing w:val="4"/>
                        <w:w w:val="120"/>
                        <w:sz w:val="20"/>
                      </w:rPr>
                      <w:t>and events that will take </w:t>
                    </w:r>
                    <w:r>
                      <w:rPr>
                        <w:spacing w:val="3"/>
                        <w:w w:val="120"/>
                        <w:sz w:val="20"/>
                      </w:rPr>
                      <w:t>place </w:t>
                    </w:r>
                    <w:r>
                      <w:rPr>
                        <w:spacing w:val="5"/>
                        <w:w w:val="120"/>
                        <w:sz w:val="20"/>
                      </w:rPr>
                      <w:t>throughout </w:t>
                    </w:r>
                    <w:r>
                      <w:rPr>
                        <w:spacing w:val="4"/>
                        <w:w w:val="120"/>
                        <w:sz w:val="20"/>
                      </w:rPr>
                      <w:t>the </w:t>
                    </w:r>
                    <w:r>
                      <w:rPr>
                        <w:spacing w:val="3"/>
                        <w:w w:val="120"/>
                        <w:sz w:val="20"/>
                      </w:rPr>
                      <w:t>year </w:t>
                    </w:r>
                    <w:r>
                      <w:rPr>
                        <w:spacing w:val="2"/>
                        <w:w w:val="120"/>
                        <w:sz w:val="20"/>
                      </w:rPr>
                      <w:t>as </w:t>
                    </w:r>
                    <w:r>
                      <w:rPr>
                        <w:spacing w:val="3"/>
                        <w:w w:val="120"/>
                        <w:sz w:val="20"/>
                      </w:rPr>
                      <w:t>an </w:t>
                    </w:r>
                    <w:r>
                      <w:rPr>
                        <w:spacing w:val="6"/>
                        <w:w w:val="120"/>
                        <w:sz w:val="20"/>
                      </w:rPr>
                      <w:t>opportunity </w:t>
                    </w:r>
                    <w:r>
                      <w:rPr>
                        <w:spacing w:val="3"/>
                        <w:w w:val="120"/>
                        <w:sz w:val="20"/>
                      </w:rPr>
                      <w:t>for </w:t>
                    </w:r>
                    <w:r>
                      <w:rPr>
                        <w:spacing w:val="5"/>
                        <w:w w:val="120"/>
                        <w:sz w:val="20"/>
                      </w:rPr>
                      <w:t>witness </w:t>
                    </w:r>
                    <w:r>
                      <w:rPr>
                        <w:spacing w:val="4"/>
                        <w:w w:val="120"/>
                        <w:sz w:val="20"/>
                      </w:rPr>
                      <w:t>and </w:t>
                    </w:r>
                    <w:r>
                      <w:rPr>
                        <w:spacing w:val="5"/>
                        <w:w w:val="120"/>
                        <w:sz w:val="20"/>
                      </w:rPr>
                      <w:t>service, </w:t>
                    </w:r>
                    <w:r>
                      <w:rPr>
                        <w:spacing w:val="4"/>
                        <w:w w:val="120"/>
                        <w:sz w:val="20"/>
                      </w:rPr>
                      <w:t>doing </w:t>
                    </w:r>
                    <w:r>
                      <w:rPr>
                        <w:spacing w:val="3"/>
                        <w:w w:val="120"/>
                        <w:sz w:val="20"/>
                      </w:rPr>
                      <w:t>so </w:t>
                    </w:r>
                    <w:r>
                      <w:rPr>
                        <w:spacing w:val="4"/>
                        <w:w w:val="120"/>
                        <w:sz w:val="20"/>
                      </w:rPr>
                      <w:t>wherever </w:t>
                    </w:r>
                    <w:r>
                      <w:rPr>
                        <w:spacing w:val="3"/>
                        <w:w w:val="120"/>
                        <w:sz w:val="20"/>
                      </w:rPr>
                      <w:t>this </w:t>
                    </w:r>
                    <w:r>
                      <w:rPr>
                        <w:w w:val="120"/>
                        <w:sz w:val="20"/>
                      </w:rPr>
                      <w:t>is </w:t>
                    </w:r>
                    <w:r>
                      <w:rPr>
                        <w:spacing w:val="4"/>
                        <w:w w:val="120"/>
                        <w:sz w:val="20"/>
                      </w:rPr>
                      <w:t>possible with </w:t>
                    </w:r>
                    <w:r>
                      <w:rPr>
                        <w:spacing w:val="6"/>
                        <w:w w:val="120"/>
                        <w:sz w:val="20"/>
                      </w:rPr>
                      <w:t>partners </w:t>
                    </w:r>
                    <w:r>
                      <w:rPr>
                        <w:spacing w:val="4"/>
                        <w:w w:val="120"/>
                        <w:sz w:val="20"/>
                      </w:rPr>
                      <w:t>from their </w:t>
                    </w:r>
                    <w:r>
                      <w:rPr>
                        <w:spacing w:val="3"/>
                        <w:w w:val="120"/>
                        <w:sz w:val="20"/>
                      </w:rPr>
                      <w:t>community, </w:t>
                    </w:r>
                    <w:r>
                      <w:rPr>
                        <w:spacing w:val="4"/>
                        <w:w w:val="120"/>
                        <w:sz w:val="20"/>
                      </w:rPr>
                      <w:t>including </w:t>
                    </w:r>
                    <w:r>
                      <w:rPr>
                        <w:spacing w:val="5"/>
                        <w:w w:val="120"/>
                        <w:sz w:val="20"/>
                      </w:rPr>
                      <w:t>members </w:t>
                    </w:r>
                    <w:r>
                      <w:rPr>
                        <w:spacing w:val="3"/>
                        <w:w w:val="120"/>
                        <w:sz w:val="20"/>
                      </w:rPr>
                      <w:t>of </w:t>
                    </w:r>
                    <w:r>
                      <w:rPr>
                        <w:spacing w:val="4"/>
                        <w:w w:val="120"/>
                        <w:sz w:val="20"/>
                      </w:rPr>
                      <w:t>other churches and</w:t>
                    </w:r>
                    <w:r>
                      <w:rPr>
                        <w:spacing w:val="62"/>
                        <w:w w:val="120"/>
                        <w:sz w:val="20"/>
                      </w:rPr>
                      <w:t> </w:t>
                    </w:r>
                    <w:r>
                      <w:rPr>
                        <w:spacing w:val="5"/>
                        <w:w w:val="120"/>
                        <w:sz w:val="20"/>
                      </w:rPr>
                      <w:t>faiths.</w:t>
                    </w:r>
                  </w:p>
                </w:txbxContent>
              </v:textbox>
              <w10:wrap type="none"/>
            </v:shape>
            <w10:wrap type="topAndBottom"/>
          </v:group>
        </w:pict>
      </w:r>
      <w:r>
        <w:rPr>
          <w:color w:val="9662A1"/>
          <w:w w:val="120"/>
          <w:sz w:val="32"/>
        </w:rPr>
        <w:t>Communications and Editorial Committee: 2012 Olympics and Queen’s Jubilee</w:t>
      </w:r>
    </w:p>
    <w:p>
      <w:pPr>
        <w:pStyle w:val="BodyText"/>
      </w:pPr>
    </w:p>
    <w:p>
      <w:pPr>
        <w:pStyle w:val="BodyText"/>
      </w:pPr>
    </w:p>
    <w:p>
      <w:pPr>
        <w:pStyle w:val="BodyText"/>
        <w:spacing w:before="11"/>
        <w:rPr>
          <w:sz w:val="17"/>
        </w:rPr>
      </w:pPr>
      <w:r>
        <w:rPr/>
        <w:pict>
          <v:shape style="position:absolute;margin-left:99.212601pt;margin-top:19.242428pt;width:183.85pt;height:.1pt;mso-position-horizontal-relative:page;mso-position-vertical-relative:paragraph;z-index:-251308032;mso-wrap-distance-left:0;mso-wrap-distance-right:0" coordorigin="1984,385" coordsize="3677,0" path="m1984,385l5661,385e" filled="false" stroked="true" strokeweight=".5pt" strokecolor="#8ba8bd">
            <v:path arrowok="t"/>
            <v:stroke dashstyle="solid"/>
            <w10:wrap type="topAndBottom"/>
          </v:shape>
        </w:pict>
      </w:r>
      <w:r>
        <w:rPr/>
        <w:pict>
          <v:rect style="position:absolute;margin-left:293.385986pt;margin-top:12.920436pt;width:13.721pt;height:13.721pt;mso-position-horizontal-relative:page;mso-position-vertical-relative:paragraph;z-index:-251307008;mso-wrap-distance-left:0;mso-wrap-distance-right:0" filled="true" fillcolor="#8ba8bd" stroked="false">
            <v:fill type="solid"/>
            <w10:wrap type="topAndBottom"/>
          </v:rect>
        </w:pict>
      </w:r>
      <w:r>
        <w:rPr/>
        <w:pict>
          <v:rect style="position:absolute;margin-left:311.822998pt;margin-top:12.920436pt;width:13.721pt;height:13.721pt;mso-position-horizontal-relative:page;mso-position-vertical-relative:paragraph;z-index:-251305984;mso-wrap-distance-left:0;mso-wrap-distance-right:0" filled="true" fillcolor="#c2d2df" stroked="false">
            <v:fill type="solid"/>
            <w10:wrap type="topAndBottom"/>
          </v:rect>
        </w:pict>
      </w:r>
      <w:r>
        <w:rPr/>
        <w:pict>
          <v:rect style="position:absolute;margin-left:330.688995pt;margin-top:12.920436pt;width:13.721pt;height:13.721pt;mso-position-horizontal-relative:page;mso-position-vertical-relative:paragraph;z-index:-251304960;mso-wrap-distance-left:0;mso-wrap-distance-right:0" filled="true" fillcolor="#dae4ec" stroked="false">
            <v:fill opacity="32768f" type="solid"/>
            <w10:wrap type="topAndBottom"/>
          </v:rect>
        </w:pict>
      </w:r>
      <w:r>
        <w:rPr/>
        <w:pict>
          <v:shape style="position:absolute;margin-left:354.235992pt;margin-top:19.242428pt;width:184.35pt;height:.1pt;mso-position-horizontal-relative:page;mso-position-vertical-relative:paragraph;z-index:-251303936;mso-wrap-distance-left:0;mso-wrap-distance-right:0" coordorigin="7085,385" coordsize="3687,0" path="m7085,385l10772,385e" filled="false" stroked="true" strokeweight=".5pt" strokecolor="#8ba8bd">
            <v:path arrowok="t"/>
            <v:stroke dashstyle="solid"/>
            <w10:wrap type="topAndBottom"/>
          </v:shape>
        </w:pict>
      </w:r>
    </w:p>
    <w:p>
      <w:pPr>
        <w:spacing w:after="0"/>
        <w:rPr>
          <w:sz w:val="17"/>
        </w:rPr>
        <w:sectPr>
          <w:pgSz w:w="11910" w:h="16840"/>
          <w:pgMar w:header="0" w:footer="647" w:top="1060" w:bottom="840" w:left="0" w:right="0"/>
        </w:sectPr>
      </w:pPr>
    </w:p>
    <w:p>
      <w:pPr>
        <w:pStyle w:val="BodyText"/>
      </w:pPr>
      <w:r>
        <w:rPr/>
        <w:pict>
          <v:group style="position:absolute;margin-left:-.00001pt;margin-top:29.263014pt;width:595.3pt;height:812.65pt;mso-position-horizontal-relative:page;mso-position-vertical-relative:page;z-index:-267409408" coordorigin="0,585" coordsize="11906,16253">
            <v:shape style="position:absolute;left:0;top:595;width:11906;height:15265" type="#_x0000_t75" stroked="false">
              <v:imagedata r:id="rId263" o:title=""/>
            </v:shape>
            <v:rect style="position:absolute;left:0;top:585;width:11906;height:20" filled="true" fillcolor="#000000" stroked="false">
              <v:fill type="solid"/>
            </v:rect>
            <v:shape style="position:absolute;left:0;top:11295;width:11906;height:3361" coordorigin="0,11295" coordsize="11906,3361" path="m11900,13117l0,13117,0,13137,11900,13137,11900,13117m11900,12965l0,12965,0,12985,11900,12985,11900,12965m11900,12510l0,12510,0,12530,11900,12530,11900,12510m11900,12358l0,12358,0,12378,11900,12378,11900,12358m11903,14332l0,14332,0,14352,11903,14352,11903,14332m11903,14180l0,14180,0,14200,11903,14200,11903,14180m11903,13725l0,13725,0,13745,11903,13745,11903,13725m11903,13573l0,13573,0,13593,11903,13593,11903,13573m11903,13421l0,13421,0,13441,11903,13441,11903,13421m11903,13269l0,13269,0,13289,11903,13289,11903,13269m11903,12814l0,12814,0,12834,11903,12834,11903,12814m11903,12662l0,12662,0,12682,11903,12682,11903,12662m11903,11903l0,11903,0,11923,11903,11923,11903,11903m11903,11751l0,11751,0,11771,11903,11771,11903,11751m11903,11295l0,11295,0,11315,11903,11315,11903,11295m11906,14636l0,14636,0,14656,11906,14656,11906,14636m11906,14484l0,14484,0,14504,11906,14504,11906,14484m11906,14028l0,14028,0,14048,11906,14048,11906,14028m11906,13876l0,13876,0,13896,11906,13896,11906,13876m11906,12206l0,12206,0,12226,11906,12226,11906,12206m11906,12054l0,12054,0,12074,11906,12074,11906,12054m11906,11599l0,11599,0,11619,11906,11619,11906,11599m11906,11447l0,11447,0,11467,11906,11467,11906,11447e" filled="true" fillcolor="#ffffff" stroked="false">
              <v:path arrowok="t"/>
              <v:fill type="solid"/>
            </v:shape>
            <v:shape style="position:absolute;left:0;top:6449;width:11906;height:4705" coordorigin="0,6449" coordsize="11906,4705" path="m8793,11153l11903,11153m0,11153l2471,11153m8793,11002l11903,11002m0,11002l2471,11002m8793,10850l11903,10850m0,10850l2471,10850m8793,10698l11900,10698m0,10698l2471,10698m8793,10546l11900,10546m0,10546l2471,10546m8793,10394l11903,10394m0,10394l2471,10394m8793,10242l11903,10242m0,10242l2471,10242m8793,10090l11900,10090m0,10090l2471,10090m8793,9939l11900,9939m0,9939l2471,9939m8793,9787l11906,9787m0,9787l2471,9787m8793,9635l11906,9635m0,9635l2471,9635m8793,9483l11903,9483m0,9483l2471,9483m8793,9331l11903,9331m0,9331l2471,9331m8793,9180l11906,9180m0,9180l2471,9180m8793,9028l11906,9028m0,9028l2471,9028m8793,8876l11903,8876m0,8876l2471,8876m8793,8724l11903,8724m0,8724l2471,8724m8793,8572l11903,8572m0,8572l2471,8572m8793,8420l11903,8420m0,8420l2471,8420m8793,8269l11900,8269m0,8269l2471,8269m8793,8117l11900,8117m0,8117l2471,8117m8793,7965l11903,7965m0,7965l2471,7965m8793,7813l11903,7813m0,7813l2471,7813m8793,7661l11900,7661m0,7661l2471,7661m8793,7509l11900,7509m0,7509l2471,7509m8793,7360l11906,7360m0,7360l2471,7360m8793,7208l11906,7208m0,7208l2471,7208m8793,7056l11906,7056m0,7056l2471,7056m8793,6905l11906,6905m0,6905l2471,6905m8793,6753l11906,6753m0,6753l2471,6753m8793,6601l11906,6601m0,6601l2471,6601m8793,6449l11906,6449m0,6449l2471,6449e" filled="false" stroked="true" strokeweight="1pt" strokecolor="#ffffff">
              <v:path arrowok="t"/>
              <v:stroke dashstyle="solid"/>
            </v:shape>
            <v:shape style="position:absolute;left:0;top:5072;width:11906;height:1235" coordorigin="0,5072" coordsize="11906,1235" path="m11906,6287l0,6287,0,6307,11906,6307,11906,6287m11906,6135l0,6135,0,6155,11906,6155,11906,6135m11906,5984l0,5984,0,6004,11906,6004,11906,5984m11906,5832l0,5832,0,5852,11906,5852,11906,5832m11906,5680l0,5680,0,5700,11906,5700,11906,5680m11906,5528l0,5528,0,5548,11906,5548,11906,5528m11906,5376l0,5376,0,5396,11906,5396,11906,5376m11906,5224l0,5224,0,5244,11906,5244,11906,5224m11906,5072l0,5072,0,5092,11906,5092,11906,5072e" filled="true" fillcolor="#ffffff" stroked="false">
              <v:path arrowok="t"/>
              <v:fill type="solid"/>
            </v:shape>
            <v:shape style="position:absolute;left:1133;top:1141;width:9141;height:14847" coordorigin="1134,1141" coordsize="9141,14847" path="m1374,1141l1370,1280,1344,1351,1273,1378,1134,1381,1134,15747,1273,15751,1344,15777,1370,15849,1374,15987,10035,15987,10039,15849,10065,15777,10136,15751,10275,15747,10275,1381,10136,1378,10065,1351,10039,1280,10035,1141,1374,1141xe" filled="false" stroked="true" strokeweight="1pt" strokecolor="#ca4f1b">
              <v:path arrowok="t"/>
              <v:stroke dashstyle="solid"/>
            </v:shape>
            <v:rect style="position:absolute;left:0;top:14787;width:11906;height:2051" filled="true" fillcolor="#ca4f1b" stroked="false">
              <v:fill type="solid"/>
            </v:rect>
            <v:rect style="position:absolute;left:2506;top:1306;width:7395;height:1548" filled="true" fillcolor="#eab817" stroked="false">
              <v:fill opacity="48496f" type="solid"/>
            </v:rect>
            <v:shape style="position:absolute;left:431;top:2222;width:4209;height:2276" coordorigin="431,2222" coordsize="4209,2276" path="m4639,4008l1422,4008,1422,4498,4639,4498,4639,4008m4639,2223l1212,2223,1212,2690,1039,2690,1039,2222,431,2222,431,2690,431,4008,431,4498,969,4498,969,4008,4639,4008,4639,2691,4639,2690,4639,2223e" filled="true" fillcolor="#ffffff" stroked="false">
              <v:path arrowok="t"/>
              <v:fill type="solid"/>
            </v:shape>
            <v:shape style="position:absolute;left:431;top:2223;width:4209;height:2276" type="#_x0000_t75" stroked="false">
              <v:imagedata r:id="rId264" o:title=""/>
            </v:shape>
            <v:rect style="position:absolute;left:2471;top:6350;width:6322;height:4824" filled="true" fillcolor="#000000" stroked="false">
              <v:fill opacity="49152f" type="solid"/>
            </v:rect>
            <v:shape style="position:absolute;left:2621;top:6501;width:5812;height:4319" type="#_x0000_t75" stroked="false">
              <v:imagedata r:id="rId265" o:title=""/>
            </v:shape>
            <v:shape style="position:absolute;left:3219;top:7798;width:410;height:405" coordorigin="3219,7799" coordsize="410,405" path="m3457,7799l3438,7854,3235,7917,3219,7967,3274,8000,3360,8150,3384,8196,3399,8204,3421,8182,3487,8119,3555,8113,3629,8055,3608,8037,3499,7807,3457,7799xe" filled="true" fillcolor="#ffffff" stroked="false">
              <v:path arrowok="t"/>
              <v:fill type="solid"/>
            </v:shape>
            <v:shape style="position:absolute;left:2989;top:7660;width:813;height:551" type="#_x0000_t75" stroked="false">
              <v:imagedata r:id="rId266" o:title=""/>
            </v:shape>
            <w10:wrap type="none"/>
          </v:group>
        </w:pict>
      </w:r>
      <w:r>
        <w:rPr/>
        <w:pict>
          <v:shape style="position:absolute;margin-left:286.137543pt;margin-top:345.455109pt;width:93.15pt;height:10.8pt;mso-position-horizontal-relative:page;mso-position-vertical-relative:page;z-index:252016640;rotation:346" type="#_x0000_t136" fillcolor="#000000" stroked="f">
            <o:extrusion v:ext="view" autorotationcenter="t"/>
            <v:textpath style="font-family:&quot;Monaco&quot;;font-size:10pt;v-text-kern:t;mso-text-shadow:auto" string="Photo number:"/>
            <w10:wrap type="none"/>
          </v:shape>
        </w:pict>
      </w:r>
      <w:r>
        <w:rPr/>
        <w:pict>
          <v:shape style="position:absolute;margin-left:323.106323pt;margin-top:355.651978pt;width:56.9pt;height:10.8pt;mso-position-horizontal-relative:page;mso-position-vertical-relative:page;z-index:252017664;rotation:346" type="#_x0000_t136" fillcolor="#868685" stroked="f">
            <o:extrusion v:ext="view" autorotationcenter="t"/>
            <v:textpath style="font-family:&quot;Monaco&quot;;font-size:10pt;v-text-kern:t;mso-text-shadow:auto" string="TLS 3951"/>
            <w10:wrap type="none"/>
          </v:shape>
        </w:pict>
      </w:r>
      <w:r>
        <w:rPr/>
        <w:pict>
          <v:shape style="position:absolute;margin-left:156.391998pt;margin-top:422.233368pt;width:34.35pt;height:10.8pt;mso-position-horizontal-relative:page;mso-position-vertical-relative:page;z-index:252018688;rotation:346" type="#_x0000_t136" fillcolor="#000000" stroked="f">
            <o:extrusion v:ext="view" autorotationcenter="t"/>
            <v:textpath style="font-family:&quot;Monaco&quot;;font-size:10pt;v-text-kern:t;mso-text-shadow:auto" string="Type:"/>
            <w10:wrap type="none"/>
          </v:shape>
        </w:pict>
      </w:r>
      <w:r>
        <w:rPr/>
        <w:pict>
          <v:shape style="position:absolute;margin-left:237.953598pt;margin-top:396.604797pt;width:76.8pt;height:10.8pt;mso-position-horizontal-relative:page;mso-position-vertical-relative:page;z-index:252019712;rotation:346" type="#_x0000_t136" fillcolor="#000000" stroked="f">
            <o:extrusion v:ext="view" autorotationcenter="t"/>
            <v:textpath style="font-family:&quot;Monaco&quot;;font-size:10pt;v-text-kern:t;mso-text-shadow:auto" string="Start Date:"/>
            <w10:wrap type="none"/>
          </v:shape>
        </w:pict>
      </w:r>
      <w:r>
        <w:rPr/>
        <w:pict>
          <v:shape style="position:absolute;margin-left:340.908661pt;margin-top:375.352661pt;width:41.35pt;height:10.8pt;mso-position-horizontal-relative:page;mso-position-vertical-relative:page;z-index:252020736;rotation:346" type="#_x0000_t136" fillcolor="#000000" stroked="f">
            <o:extrusion v:ext="view" autorotationcenter="t"/>
            <v:textpath style="font-family:&quot;Monaco&quot;;font-size:10pt;v-text-kern:t;mso-text-shadow:auto" string="Price:"/>
            <w10:wrap type="none"/>
          </v:shape>
        </w:pict>
      </w:r>
      <w:r>
        <w:rPr/>
        <w:pict>
          <v:shape style="position:absolute;margin-left:159.517731pt;margin-top:434.182007pt;width:43.55pt;height:10.8pt;mso-position-horizontal-relative:page;mso-position-vertical-relative:page;z-index:252021760;rotation:346" type="#_x0000_t136" fillcolor="#868685" stroked="f">
            <o:extrusion v:ext="view" autorotationcenter="t"/>
            <v:textpath style="font-family:&quot;Monaco&quot;;font-size:10pt;v-text-kern:t;mso-text-shadow:auto" string="Annual"/>
            <w10:wrap type="none"/>
          </v:shape>
        </w:pict>
      </w:r>
      <w:r>
        <w:rPr/>
        <w:pict>
          <v:shape style="position:absolute;margin-left:234.894409pt;margin-top:403.040405pt;width:142.6pt;height:10.8pt;mso-position-horizontal-relative:page;mso-position-vertical-relative:page;z-index:252022784;rotation:346" type="#_x0000_t136" fillcolor="#868685" stroked="f">
            <o:extrusion v:ext="view" autorotationcenter="t"/>
            <v:textpath style="font-family:&quot;Monaco&quot;;font-size:10pt;v-text-kern:t;mso-text-shadow:auto" string="September 2010 ---"/>
            <w10:wrap type="none"/>
          </v:shape>
        </w:pict>
      </w:r>
      <w:r>
        <w:rPr/>
        <w:pict>
          <v:shape style="position:absolute;margin-left:161.834732pt;margin-top:443.051086pt;width:50.45pt;height:10.8pt;mso-position-horizontal-relative:page;mso-position-vertical-relative:page;z-index:252023808;rotation:346" type="#_x0000_t136" fillcolor="#868685" stroked="f">
            <o:extrusion v:ext="view" autorotationcenter="t"/>
            <v:textpath style="font-family:&quot;Monaco&quot;;font-size:10pt;v-text-kern:t;mso-text-shadow:auto" string="renewal"/>
            <w10:wrap type="none"/>
          </v:shape>
        </w:pict>
      </w:r>
      <w:r>
        <w:rPr/>
        <w:pict>
          <v:shape style="position:absolute;margin-left:168.371643pt;margin-top:469.794037pt;width:42.25pt;height:10.8pt;mso-position-horizontal-relative:page;mso-position-vertical-relative:page;z-index:252024832;rotation:346" type="#_x0000_t136" fillcolor="#000000" stroked="f">
            <o:extrusion v:ext="view" autorotationcenter="t"/>
            <v:textpath style="font-family:&quot;Monaco&quot;;font-size:10pt;v-text-kern:t;mso-text-shadow:auto" string="Route:"/>
            <w10:wrap type="none"/>
          </v:shape>
        </w:pict>
      </w:r>
      <w:r>
        <w:rPr/>
        <w:pict>
          <v:shape style="position:absolute;margin-left:171.79924pt;margin-top:482.707947pt;width:55.8pt;height:10.8pt;mso-position-horizontal-relative:page;mso-position-vertical-relative:page;z-index:252025856;rotation:346" type="#_x0000_t136" fillcolor="#868685" stroked="f">
            <o:extrusion v:ext="view" autorotationcenter="t"/>
            <v:textpath style="font-family:&quot;Monaco&quot;;font-size:10pt;v-text-kern:t;mso-text-shadow:auto" string="Training"/>
            <w10:wrap type="none"/>
          </v:shape>
        </w:pict>
      </w:r>
      <w:r>
        <w:rPr/>
        <w:pict>
          <v:shape style="position:absolute;margin-left:231.205917pt;margin-top:453.440338pt;width:171.8pt;height:10.8pt;mso-position-horizontal-relative:page;mso-position-vertical-relative:page;z-index:252026880;rotation:346" type="#_x0000_t136" fillcolor="#868685" stroked="f">
            <o:extrusion v:ext="view" autorotationcenter="t"/>
            <v:textpath style="font-family:&quot;Monaco&quot;;font-size:10pt;v-text-kern:t;mso-text-shadow:auto" string="for Learning and Serving"/>
            <w10:wrap type="none"/>
          </v:shape>
        </w:pict>
      </w:r>
      <w:r>
        <w:rPr/>
        <w:pict>
          <v:shape style="position:absolute;margin-left:275.626007pt;margin-top:480.0737pt;width:115.05pt;height:16.2pt;mso-position-horizontal-relative:page;mso-position-vertical-relative:page;z-index:252027904;rotation:346" type="#_x0000_t136" fillcolor="#000000" stroked="f">
            <o:extrusion v:ext="view" autorotationcenter="t"/>
            <v:textpath style="font-family:&quot;Stone Sans II ITC Std Sm&quot;;font-size:16pt;v-text-kern:t;mso-text-shadow:auto" string="GOLD CARD"/>
            <w10:wrap type="none"/>
          </v:shape>
        </w:pict>
      </w:r>
      <w:r>
        <w:rPr/>
        <w:pict>
          <v:shape style="position:absolute;margin-left:214.761078pt;margin-top:483.020691pt;width:129.25pt;height:21.6pt;mso-position-horizontal-relative:page;mso-position-vertical-relative:page;z-index:252028928;rotation:347" type="#_x0000_t136" fillcolor="#ffffff" stroked="f">
            <o:extrusion v:ext="view" autorotationcenter="t"/>
            <v:textpath style="font-family:&quot;Stone Sans II ITC Std X Bd&quot;;font-size:21pt;v-text-kern:t;mso-text-shadow:auto;font-weight:bold" string="LIFELONG"/>
            <w10:wrap type="none"/>
          </v:shape>
        </w:pict>
      </w:r>
    </w:p>
    <w:p>
      <w:pPr>
        <w:pStyle w:val="BodyText"/>
      </w:pPr>
    </w:p>
    <w:p>
      <w:pPr>
        <w:pStyle w:val="BodyText"/>
      </w:pPr>
    </w:p>
    <w:p>
      <w:pPr>
        <w:pStyle w:val="BodyText"/>
      </w:pPr>
    </w:p>
    <w:p>
      <w:pPr>
        <w:pStyle w:val="BodyText"/>
      </w:pPr>
    </w:p>
    <w:p>
      <w:pPr>
        <w:spacing w:before="247"/>
        <w:ind w:left="1710" w:right="2280" w:firstLine="0"/>
        <w:jc w:val="center"/>
        <w:rPr>
          <w:rFonts w:ascii="Franklin Gothic Medium"/>
          <w:sz w:val="46"/>
        </w:rPr>
      </w:pPr>
      <w:r>
        <w:rPr>
          <w:rFonts w:ascii="Franklin Gothic Medium"/>
          <w:color w:val="CA4F1B"/>
          <w:w w:val="110"/>
          <w:sz w:val="46"/>
        </w:rPr>
        <w:t>Not so much a programme</w:t>
      </w:r>
    </w:p>
    <w:p>
      <w:pPr>
        <w:spacing w:before="54"/>
        <w:ind w:left="5290" w:right="2280" w:firstLine="0"/>
        <w:jc w:val="center"/>
        <w:rPr>
          <w:rFonts w:ascii="Franklin Gothic Medium"/>
          <w:sz w:val="46"/>
        </w:rPr>
      </w:pPr>
      <w:r>
        <w:rPr>
          <w:rFonts w:ascii="Franklin Gothic Medium"/>
          <w:color w:val="CA4F1B"/>
          <w:w w:val="110"/>
          <w:sz w:val="46"/>
        </w:rPr>
        <w:t>more an experience</w:t>
      </w: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rPr>
          <w:rFonts w:ascii="Franklin Gothic Medium"/>
        </w:rPr>
      </w:pPr>
    </w:p>
    <w:p>
      <w:pPr>
        <w:pStyle w:val="BodyText"/>
        <w:spacing w:before="4"/>
        <w:rPr>
          <w:rFonts w:ascii="Franklin Gothic Medium"/>
          <w:sz w:val="19"/>
        </w:rPr>
      </w:pPr>
    </w:p>
    <w:p>
      <w:pPr>
        <w:spacing w:before="100"/>
        <w:ind w:left="968" w:right="0" w:firstLine="0"/>
        <w:jc w:val="left"/>
        <w:rPr>
          <w:rFonts w:ascii="Franklin Gothic Heavy"/>
          <w:b/>
          <w:sz w:val="74"/>
        </w:rPr>
      </w:pPr>
      <w:r>
        <w:rPr/>
        <w:pict>
          <v:shape style="position:absolute;margin-left:128.3190pt;margin-top:41.043644pt;width:325.45pt;height:28.8pt;mso-position-horizontal-relative:page;mso-position-vertical-relative:paragraph;z-index:-267408384" type="#_x0000_t202" filled="true" fillcolor="#ffffff" stroked="false">
            <v:textbox inset="0,0,0,0">
              <w:txbxContent>
                <w:p>
                  <w:pPr>
                    <w:spacing w:before="49"/>
                    <w:ind w:left="135" w:right="0" w:firstLine="0"/>
                    <w:jc w:val="left"/>
                    <w:rPr>
                      <w:rFonts w:ascii="Franklin Gothic Medium"/>
                      <w:sz w:val="38"/>
                    </w:rPr>
                  </w:pPr>
                  <w:r>
                    <w:rPr>
                      <w:rFonts w:ascii="Franklin Gothic Medium"/>
                      <w:w w:val="110"/>
                      <w:sz w:val="38"/>
                    </w:rPr>
                    <w:t>Training for Learning and Serving</w:t>
                  </w:r>
                </w:p>
              </w:txbxContent>
            </v:textbox>
            <v:fill opacity="15728f" type="solid"/>
            <w10:wrap type="none"/>
          </v:shape>
        </w:pict>
      </w:r>
      <w:r>
        <w:rPr>
          <w:rFonts w:ascii="Franklin Gothic Heavy"/>
          <w:b/>
          <w:color w:val="FFFFFF"/>
          <w:sz w:val="74"/>
        </w:rPr>
        <w:t>www.urc.org.uk/tls</w:t>
      </w:r>
    </w:p>
    <w:p>
      <w:pPr>
        <w:spacing w:after="0"/>
        <w:jc w:val="left"/>
        <w:rPr>
          <w:rFonts w:ascii="Franklin Gothic Heavy"/>
          <w:sz w:val="74"/>
        </w:rPr>
        <w:sectPr>
          <w:headerReference w:type="even" r:id="rId261"/>
          <w:footerReference w:type="even" r:id="rId262"/>
          <w:pgSz w:w="11910" w:h="16840"/>
          <w:pgMar w:header="0" w:footer="0" w:top="0" w:bottom="280" w:left="0" w:right="0"/>
        </w:sectPr>
      </w:pPr>
    </w:p>
    <w:p>
      <w:pPr>
        <w:pStyle w:val="BodyText"/>
        <w:rPr>
          <w:rFonts w:ascii="Franklin Gothic Heavy"/>
          <w:b/>
        </w:rPr>
      </w:pPr>
      <w:r>
        <w:rPr/>
        <w:pict>
          <v:group style="position:absolute;margin-left:-.5pt;margin-top:29.263014pt;width:2.5pt;height:764.25pt;mso-position-horizontal-relative:page;mso-position-vertical-relative:page;z-index:252029952" coordorigin="-10,585" coordsize="50,15285">
            <v:shape style="position:absolute;left:0;top:595;width:40;height:15265" type="#_x0000_t75" stroked="false">
              <v:imagedata r:id="rId270" o:title=""/>
            </v:shape>
            <v:line style="position:absolute" from="-5,585" to="-5,15870" stroked="true" strokeweight=".5pt" strokecolor="#000000">
              <v:stroke dashstyle="solid"/>
            </v:line>
            <w10:wrap type="none"/>
          </v:group>
        </w:pict>
      </w:r>
      <w:r>
        <w:rPr/>
        <w:pict>
          <v:rect style="position:absolute;margin-left:0pt;margin-top:.000015pt;width:595.275pt;height:841.89pt;mso-position-horizontal-relative:page;mso-position-vertical-relative:page;z-index:-267393024" filled="true" fillcolor="#8ba8bd" stroked="false">
            <v:fill type="solid"/>
            <w10:wrap type="none"/>
          </v:rect>
        </w:pict>
      </w:r>
      <w:r>
        <w:rPr/>
        <w:pict>
          <v:group style="position:absolute;margin-left:75.826797pt;margin-top:.000015pt;width:519.4500pt;height:790.9pt;mso-position-horizontal-relative:page;mso-position-vertical-relative:page;z-index:-267392000"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200;width:8049;height:6755" coordorigin="2014,1201" coordsize="8049,6755" path="m2254,1201l2251,1339,2224,1411,2153,1437,2014,1441,2014,7715,2153,7719,2224,7745,2251,7817,2254,7955,9823,7955,9827,7817,9853,7745,9924,7719,10063,7715,10063,1441,9924,1437,9853,1411,9827,1339,9823,1201,2254,1201xe" filled="false" stroked="true" strokeweight="1pt" strokecolor="#8ba8bd">
              <v:path arrowok="t"/>
              <v:stroke dashstyle="solid"/>
            </v:shape>
            <w10:wrap type="none"/>
          </v:group>
        </w:pict>
      </w:r>
    </w:p>
    <w:p>
      <w:pPr>
        <w:pStyle w:val="BodyText"/>
        <w:rPr>
          <w:rFonts w:ascii="Franklin Gothic Heavy"/>
          <w:b/>
        </w:rPr>
      </w:pPr>
    </w:p>
    <w:p>
      <w:pPr>
        <w:pStyle w:val="BodyText"/>
        <w:spacing w:before="8"/>
        <w:rPr>
          <w:rFonts w:ascii="Franklin Gothic Heavy"/>
          <w:b/>
          <w:sz w:val="28"/>
        </w:rPr>
      </w:pPr>
    </w:p>
    <w:p>
      <w:pPr>
        <w:spacing w:line="216" w:lineRule="auto" w:before="111"/>
        <w:ind w:left="2381" w:right="2238" w:firstLine="0"/>
        <w:jc w:val="left"/>
        <w:rPr>
          <w:rFonts w:ascii="Stone Sans II ITC Std Sm" w:hAnsi="Stone Sans II ITC Std Sm"/>
          <w:b/>
          <w:sz w:val="18"/>
        </w:rPr>
      </w:pPr>
      <w:r>
        <w:rPr/>
        <w:pict>
          <v:shape style="position:absolute;margin-left:512.587891pt;margin-top:-12.180927pt;width:47.4pt;height:474.75pt;mso-position-horizontal-relative:page;mso-position-vertical-relative:paragraph;z-index:-267390976"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9"/>
                      <w:w w:val="110"/>
                      <w:sz w:val="72"/>
                    </w:rPr>
                    <w:t>Education </w:t>
                  </w:r>
                  <w:r>
                    <w:rPr>
                      <w:rFonts w:ascii="Stone Sans II ITC Std X Bd"/>
                      <w:b/>
                      <w:spacing w:val="-6"/>
                      <w:w w:val="110"/>
                      <w:sz w:val="72"/>
                    </w:rPr>
                    <w:t>and</w:t>
                  </w:r>
                  <w:r>
                    <w:rPr>
                      <w:rFonts w:ascii="Stone Sans II ITC Std X Bd"/>
                      <w:b/>
                      <w:spacing w:val="104"/>
                      <w:w w:val="110"/>
                      <w:sz w:val="72"/>
                    </w:rPr>
                    <w:t> </w:t>
                  </w:r>
                  <w:r>
                    <w:rPr>
                      <w:rFonts w:ascii="Stone Sans II ITC Std X Bd"/>
                      <w:b/>
                      <w:spacing w:val="-7"/>
                      <w:w w:val="110"/>
                      <w:sz w:val="72"/>
                    </w:rPr>
                    <w:t>Learning</w:t>
                  </w:r>
                </w:p>
              </w:txbxContent>
            </v:textbox>
            <w10:wrap type="none"/>
          </v:shape>
        </w:pict>
      </w:r>
      <w:r>
        <w:rPr>
          <w:rFonts w:ascii="Stone Sans II ITC Std Sm" w:hAnsi="Stone Sans II ITC Std Sm"/>
          <w:b/>
          <w:w w:val="110"/>
          <w:sz w:val="18"/>
        </w:rPr>
        <w:t>The key goal of the Education and Learning Committee, as endorsed at  General Assembly 2005, is to equip the whole people of God for mission.  There are necessarily two clarifications which are attached to this statement, because when we speak of the whole people of God we tend to focus our </w:t>
      </w:r>
      <w:r>
        <w:rPr>
          <w:rFonts w:ascii="Stone Sans II ITC Std Sm" w:hAnsi="Stone Sans II ITC Std Sm"/>
          <w:b/>
          <w:spacing w:val="2"/>
          <w:w w:val="110"/>
          <w:sz w:val="18"/>
        </w:rPr>
        <w:t>efforts </w:t>
      </w:r>
      <w:r>
        <w:rPr>
          <w:rFonts w:ascii="Stone Sans II ITC Std Sm" w:hAnsi="Stone Sans II ITC Std Sm"/>
          <w:b/>
          <w:w w:val="110"/>
          <w:sz w:val="18"/>
        </w:rPr>
        <w:t>on those of God’s people who are </w:t>
      </w:r>
      <w:r>
        <w:rPr>
          <w:rFonts w:ascii="Stone Sans II ITC Std Sm" w:hAnsi="Stone Sans II ITC Std Sm"/>
          <w:b/>
          <w:spacing w:val="2"/>
          <w:w w:val="110"/>
          <w:sz w:val="18"/>
        </w:rPr>
        <w:t>part </w:t>
      </w:r>
      <w:r>
        <w:rPr>
          <w:rFonts w:ascii="Stone Sans II ITC Std Sm" w:hAnsi="Stone Sans II ITC Std Sm"/>
          <w:b/>
          <w:w w:val="110"/>
          <w:sz w:val="18"/>
        </w:rPr>
        <w:t>of, or associated with, the  United Reformed Church. Furthermore we remind ourselves that this is God’s mission to the world that we are getting involved with, rather than the United Reformed Church’s mission to which God is being recruited. This </w:t>
      </w:r>
      <w:r>
        <w:rPr>
          <w:rFonts w:ascii="Stone Sans II ITC Std Sm" w:hAnsi="Stone Sans II ITC Std Sm"/>
          <w:b/>
          <w:spacing w:val="2"/>
          <w:w w:val="110"/>
          <w:sz w:val="18"/>
        </w:rPr>
        <w:t>report </w:t>
      </w:r>
      <w:r>
        <w:rPr>
          <w:rFonts w:ascii="Stone Sans II ITC Std Sm" w:hAnsi="Stone Sans II ITC Std Sm"/>
          <w:b/>
          <w:w w:val="110"/>
          <w:sz w:val="18"/>
        </w:rPr>
        <w:t>will give a reminder of what has brought us to where we are, so that the story so  far is told, and will also give a glimpse of the chapters which may lie before us. That is the story yet to be spoken, shaped, and</w:t>
      </w:r>
      <w:r>
        <w:rPr>
          <w:rFonts w:ascii="Stone Sans II ITC Std Sm" w:hAnsi="Stone Sans II ITC Std Sm"/>
          <w:b/>
          <w:spacing w:val="14"/>
          <w:w w:val="110"/>
          <w:sz w:val="18"/>
        </w:rPr>
        <w:t> </w:t>
      </w:r>
      <w:r>
        <w:rPr>
          <w:rFonts w:ascii="Stone Sans II ITC Std Sm" w:hAnsi="Stone Sans II ITC Std Sm"/>
          <w:b/>
          <w:w w:val="110"/>
          <w:sz w:val="18"/>
        </w:rPr>
        <w:t>lived.</w:t>
      </w:r>
    </w:p>
    <w:p>
      <w:pPr>
        <w:pStyle w:val="BodyText"/>
        <w:spacing w:before="9"/>
        <w:rPr>
          <w:rFonts w:ascii="Stone Sans II ITC Std Sm"/>
          <w:b/>
          <w:sz w:val="15"/>
        </w:rPr>
      </w:pPr>
    </w:p>
    <w:p>
      <w:pPr>
        <w:spacing w:line="232" w:lineRule="exact" w:before="1"/>
        <w:ind w:left="2381" w:right="0" w:firstLine="0"/>
        <w:jc w:val="left"/>
        <w:rPr>
          <w:sz w:val="18"/>
        </w:rPr>
      </w:pPr>
      <w:r>
        <w:rPr>
          <w:rFonts w:ascii="Stone Sans II ITC Std Bk"/>
          <w:b/>
          <w:w w:val="115"/>
          <w:sz w:val="18"/>
        </w:rPr>
        <w:t>Convener: </w:t>
      </w:r>
      <w:r>
        <w:rPr>
          <w:w w:val="115"/>
          <w:sz w:val="18"/>
        </w:rPr>
        <w:t>Malcolm Johnson</w:t>
      </w:r>
    </w:p>
    <w:p>
      <w:pPr>
        <w:spacing w:line="220" w:lineRule="exact" w:before="0"/>
        <w:ind w:left="2381" w:right="0" w:firstLine="0"/>
        <w:jc w:val="left"/>
        <w:rPr>
          <w:sz w:val="18"/>
        </w:rPr>
      </w:pPr>
      <w:r>
        <w:rPr>
          <w:rFonts w:ascii="Stone Sans II ITC Std Bk"/>
          <w:b/>
          <w:w w:val="115"/>
          <w:sz w:val="18"/>
        </w:rPr>
        <w:t>Secretary: </w:t>
      </w:r>
      <w:r>
        <w:rPr>
          <w:w w:val="115"/>
          <w:sz w:val="18"/>
        </w:rPr>
        <w:t>Fiona Thomas</w:t>
      </w:r>
    </w:p>
    <w:p>
      <w:pPr>
        <w:spacing w:line="228" w:lineRule="auto" w:before="0"/>
        <w:ind w:left="2381" w:right="3289" w:firstLine="0"/>
        <w:jc w:val="left"/>
        <w:rPr>
          <w:sz w:val="18"/>
        </w:rPr>
      </w:pPr>
      <w:r>
        <w:rPr>
          <w:rFonts w:ascii="Stone Sans II ITC Std Bk"/>
          <w:b/>
          <w:w w:val="120"/>
          <w:sz w:val="18"/>
        </w:rPr>
        <w:t>Committee members</w:t>
      </w:r>
      <w:r>
        <w:rPr>
          <w:rFonts w:ascii="Stone Sans II ITC Std Bk"/>
          <w:b/>
          <w:i/>
          <w:w w:val="120"/>
          <w:sz w:val="18"/>
        </w:rPr>
        <w:t>: </w:t>
      </w:r>
      <w:r>
        <w:rPr>
          <w:w w:val="120"/>
          <w:sz w:val="18"/>
        </w:rPr>
        <w:t>Susan Durber, James Coleman, Robert Pope, Fiona Weighton-Smith, John Smith, Jenny Snashall, David Whiting</w:t>
      </w:r>
    </w:p>
    <w:p>
      <w:pPr>
        <w:spacing w:line="223" w:lineRule="exact" w:before="0"/>
        <w:ind w:left="2381" w:right="0" w:firstLine="0"/>
        <w:jc w:val="left"/>
        <w:rPr>
          <w:sz w:val="18"/>
        </w:rPr>
      </w:pPr>
      <w:r>
        <w:rPr>
          <w:rFonts w:ascii="Stone Sans II ITC Std Bk"/>
          <w:b/>
          <w:w w:val="120"/>
          <w:sz w:val="18"/>
        </w:rPr>
        <w:t>Ex officio: </w:t>
      </w:r>
      <w:r>
        <w:rPr>
          <w:w w:val="120"/>
          <w:sz w:val="18"/>
        </w:rPr>
        <w:t>Moderators of Assembly, General Secretary, Deputy General Secretary</w:t>
      </w:r>
    </w:p>
    <w:p>
      <w:pPr>
        <w:spacing w:line="226" w:lineRule="exact" w:before="0"/>
        <w:ind w:left="2381" w:right="0" w:firstLine="0"/>
        <w:jc w:val="left"/>
        <w:rPr>
          <w:sz w:val="18"/>
        </w:rPr>
      </w:pPr>
      <w:r>
        <w:rPr>
          <w:rFonts w:ascii="Stone Sans II ITC Std Bk"/>
          <w:b/>
          <w:w w:val="120"/>
          <w:sz w:val="18"/>
        </w:rPr>
        <w:t>Coopted: </w:t>
      </w:r>
      <w:r>
        <w:rPr>
          <w:w w:val="120"/>
          <w:sz w:val="18"/>
        </w:rPr>
        <w:t>(Student Representative: currently vacant); (Methodist Church</w:t>
      </w:r>
    </w:p>
    <w:p>
      <w:pPr>
        <w:spacing w:line="240" w:lineRule="auto" w:before="0"/>
        <w:ind w:left="2381" w:right="2573" w:firstLine="0"/>
        <w:jc w:val="left"/>
        <w:rPr>
          <w:sz w:val="18"/>
        </w:rPr>
      </w:pPr>
      <w:r>
        <w:rPr>
          <w:w w:val="120"/>
          <w:sz w:val="18"/>
        </w:rPr>
        <w:t>– currently vacant) Ruth White (Youth and Children’s Work Training and Development Officer Representative)</w:t>
      </w:r>
    </w:p>
    <w:p>
      <w:pPr>
        <w:spacing w:line="228" w:lineRule="auto" w:before="0"/>
        <w:ind w:left="2381" w:right="1997" w:firstLine="0"/>
        <w:jc w:val="left"/>
        <w:rPr>
          <w:sz w:val="18"/>
        </w:rPr>
      </w:pPr>
      <w:r>
        <w:rPr>
          <w:rFonts w:ascii="Stone Sans II ITC Std Bk"/>
          <w:b/>
          <w:w w:val="120"/>
          <w:sz w:val="18"/>
        </w:rPr>
        <w:t>Staff in attendance: </w:t>
      </w:r>
      <w:r>
        <w:rPr>
          <w:w w:val="120"/>
          <w:sz w:val="18"/>
        </w:rPr>
        <w:t>Craig Bowman (Secretary for Ministries), Philippa Linton (Minutes Secretary)</w:t>
      </w:r>
    </w:p>
    <w:p>
      <w:pPr>
        <w:spacing w:line="237" w:lineRule="auto" w:before="0"/>
        <w:ind w:left="2381" w:right="1997" w:firstLine="0"/>
        <w:jc w:val="left"/>
        <w:rPr>
          <w:sz w:val="18"/>
        </w:rPr>
      </w:pPr>
      <w:r>
        <w:rPr>
          <w:rFonts w:ascii="Stone Sans II ITC Std Bk"/>
          <w:b/>
          <w:w w:val="125"/>
          <w:sz w:val="18"/>
        </w:rPr>
        <w:t>By</w:t>
      </w:r>
      <w:r>
        <w:rPr>
          <w:rFonts w:ascii="Stone Sans II ITC Std Bk"/>
          <w:b/>
          <w:spacing w:val="-26"/>
          <w:w w:val="125"/>
          <w:sz w:val="18"/>
        </w:rPr>
        <w:t> </w:t>
      </w:r>
      <w:r>
        <w:rPr>
          <w:rFonts w:ascii="Stone Sans II ITC Std Bk"/>
          <w:b/>
          <w:w w:val="125"/>
          <w:sz w:val="18"/>
        </w:rPr>
        <w:t>invitation</w:t>
      </w:r>
      <w:r>
        <w:rPr>
          <w:rFonts w:ascii="Stone Sans II ITC Std Bk"/>
          <w:b/>
          <w:i/>
          <w:w w:val="125"/>
          <w:sz w:val="18"/>
        </w:rPr>
        <w:t>:</w:t>
      </w:r>
      <w:r>
        <w:rPr>
          <w:rFonts w:ascii="Stone Sans II ITC Std Bk"/>
          <w:b/>
          <w:i/>
          <w:spacing w:val="-25"/>
          <w:w w:val="125"/>
          <w:sz w:val="18"/>
        </w:rPr>
        <w:t> </w:t>
      </w:r>
      <w:r>
        <w:rPr>
          <w:w w:val="125"/>
          <w:sz w:val="18"/>
        </w:rPr>
        <w:t>John</w:t>
      </w:r>
      <w:r>
        <w:rPr>
          <w:spacing w:val="-18"/>
          <w:w w:val="125"/>
          <w:sz w:val="18"/>
        </w:rPr>
        <w:t> </w:t>
      </w:r>
      <w:r>
        <w:rPr>
          <w:w w:val="125"/>
          <w:sz w:val="18"/>
        </w:rPr>
        <w:t>Campbell,</w:t>
      </w:r>
      <w:r>
        <w:rPr>
          <w:spacing w:val="-19"/>
          <w:w w:val="125"/>
          <w:sz w:val="18"/>
        </w:rPr>
        <w:t> </w:t>
      </w:r>
      <w:r>
        <w:rPr>
          <w:w w:val="125"/>
          <w:sz w:val="18"/>
        </w:rPr>
        <w:t>(Principal</w:t>
      </w:r>
      <w:r>
        <w:rPr>
          <w:spacing w:val="-18"/>
          <w:w w:val="125"/>
          <w:sz w:val="18"/>
        </w:rPr>
        <w:t> </w:t>
      </w:r>
      <w:r>
        <w:rPr>
          <w:w w:val="125"/>
          <w:sz w:val="18"/>
        </w:rPr>
        <w:t>of</w:t>
      </w:r>
      <w:r>
        <w:rPr>
          <w:spacing w:val="-19"/>
          <w:w w:val="125"/>
          <w:sz w:val="18"/>
        </w:rPr>
        <w:t> </w:t>
      </w:r>
      <w:r>
        <w:rPr>
          <w:spacing w:val="2"/>
          <w:w w:val="125"/>
          <w:sz w:val="18"/>
        </w:rPr>
        <w:t>Northern</w:t>
      </w:r>
      <w:r>
        <w:rPr>
          <w:spacing w:val="-18"/>
          <w:w w:val="125"/>
          <w:sz w:val="18"/>
        </w:rPr>
        <w:t> </w:t>
      </w:r>
      <w:r>
        <w:rPr>
          <w:w w:val="125"/>
          <w:sz w:val="18"/>
        </w:rPr>
        <w:t>College);</w:t>
      </w:r>
      <w:r>
        <w:rPr>
          <w:spacing w:val="-19"/>
          <w:w w:val="125"/>
          <w:sz w:val="18"/>
        </w:rPr>
        <w:t> </w:t>
      </w:r>
      <w:r>
        <w:rPr>
          <w:w w:val="125"/>
          <w:sz w:val="18"/>
        </w:rPr>
        <w:t>Jack</w:t>
      </w:r>
      <w:r>
        <w:rPr>
          <w:spacing w:val="-18"/>
          <w:w w:val="125"/>
          <w:sz w:val="18"/>
        </w:rPr>
        <w:t> </w:t>
      </w:r>
      <w:r>
        <w:rPr>
          <w:w w:val="125"/>
          <w:sz w:val="18"/>
        </w:rPr>
        <w:t>Dyce</w:t>
      </w:r>
      <w:r>
        <w:rPr>
          <w:spacing w:val="-19"/>
          <w:w w:val="125"/>
          <w:sz w:val="18"/>
        </w:rPr>
        <w:t> </w:t>
      </w:r>
      <w:r>
        <w:rPr>
          <w:w w:val="125"/>
          <w:sz w:val="18"/>
        </w:rPr>
        <w:t>(Principal of the Scottish College); Lawrence Moore (Director of the Windermere </w:t>
      </w:r>
      <w:r>
        <w:rPr>
          <w:spacing w:val="-3"/>
          <w:w w:val="125"/>
          <w:sz w:val="18"/>
        </w:rPr>
        <w:t>Centre); </w:t>
      </w:r>
      <w:r>
        <w:rPr>
          <w:w w:val="125"/>
          <w:sz w:val="18"/>
        </w:rPr>
        <w:t>Howard Sharp, </w:t>
      </w:r>
      <w:r>
        <w:rPr>
          <w:spacing w:val="-3"/>
          <w:w w:val="125"/>
          <w:sz w:val="18"/>
        </w:rPr>
        <w:t>(Convener, </w:t>
      </w:r>
      <w:r>
        <w:rPr>
          <w:w w:val="125"/>
          <w:sz w:val="18"/>
        </w:rPr>
        <w:t>Windermere Management committee); Mike Downing </w:t>
      </w:r>
      <w:r>
        <w:rPr>
          <w:spacing w:val="-3"/>
          <w:w w:val="125"/>
          <w:sz w:val="18"/>
        </w:rPr>
        <w:t>(Convener, </w:t>
      </w:r>
      <w:r>
        <w:rPr>
          <w:w w:val="125"/>
          <w:sz w:val="18"/>
        </w:rPr>
        <w:t>E&amp;L Finance sub-committee); Andrew Grimwade (Chief Accountant); David Jenkins </w:t>
      </w:r>
      <w:r>
        <w:rPr>
          <w:spacing w:val="-3"/>
          <w:w w:val="125"/>
          <w:sz w:val="18"/>
        </w:rPr>
        <w:t>(Convener, </w:t>
      </w:r>
      <w:r>
        <w:rPr>
          <w:w w:val="125"/>
          <w:sz w:val="18"/>
        </w:rPr>
        <w:t>Training for Learning and </w:t>
      </w:r>
      <w:r>
        <w:rPr>
          <w:spacing w:val="2"/>
          <w:w w:val="125"/>
          <w:sz w:val="18"/>
        </w:rPr>
        <w:t>Serving </w:t>
      </w:r>
      <w:r>
        <w:rPr>
          <w:w w:val="125"/>
          <w:sz w:val="18"/>
        </w:rPr>
        <w:t>Management Group); Ian</w:t>
      </w:r>
      <w:r>
        <w:rPr>
          <w:spacing w:val="-5"/>
          <w:w w:val="125"/>
          <w:sz w:val="18"/>
        </w:rPr>
        <w:t> </w:t>
      </w:r>
      <w:r>
        <w:rPr>
          <w:w w:val="125"/>
          <w:sz w:val="18"/>
        </w:rPr>
        <w:t>Morrison</w:t>
      </w:r>
      <w:r>
        <w:rPr>
          <w:spacing w:val="-5"/>
          <w:w w:val="125"/>
          <w:sz w:val="18"/>
        </w:rPr>
        <w:t> </w:t>
      </w:r>
      <w:r>
        <w:rPr>
          <w:w w:val="125"/>
          <w:sz w:val="18"/>
        </w:rPr>
        <w:t>(Convener</w:t>
      </w:r>
      <w:r>
        <w:rPr>
          <w:spacing w:val="-4"/>
          <w:w w:val="125"/>
          <w:sz w:val="18"/>
        </w:rPr>
        <w:t> </w:t>
      </w:r>
      <w:r>
        <w:rPr>
          <w:w w:val="125"/>
          <w:sz w:val="18"/>
        </w:rPr>
        <w:t>of</w:t>
      </w:r>
      <w:r>
        <w:rPr>
          <w:spacing w:val="-5"/>
          <w:w w:val="125"/>
          <w:sz w:val="18"/>
        </w:rPr>
        <w:t> </w:t>
      </w:r>
      <w:r>
        <w:rPr>
          <w:w w:val="125"/>
          <w:sz w:val="18"/>
        </w:rPr>
        <w:t>the</w:t>
      </w:r>
      <w:r>
        <w:rPr>
          <w:spacing w:val="-5"/>
          <w:w w:val="125"/>
          <w:sz w:val="18"/>
        </w:rPr>
        <w:t> </w:t>
      </w:r>
      <w:r>
        <w:rPr>
          <w:w w:val="125"/>
          <w:sz w:val="18"/>
        </w:rPr>
        <w:t>Education</w:t>
      </w:r>
      <w:r>
        <w:rPr>
          <w:spacing w:val="-4"/>
          <w:w w:val="125"/>
          <w:sz w:val="18"/>
        </w:rPr>
        <w:t> </w:t>
      </w:r>
      <w:r>
        <w:rPr>
          <w:w w:val="125"/>
          <w:sz w:val="18"/>
        </w:rPr>
        <w:t>for</w:t>
      </w:r>
      <w:r>
        <w:rPr>
          <w:spacing w:val="-5"/>
          <w:w w:val="125"/>
          <w:sz w:val="18"/>
        </w:rPr>
        <w:t> </w:t>
      </w:r>
      <w:r>
        <w:rPr>
          <w:w w:val="125"/>
          <w:sz w:val="18"/>
        </w:rPr>
        <w:t>Ministry</w:t>
      </w:r>
      <w:r>
        <w:rPr>
          <w:spacing w:val="-5"/>
          <w:w w:val="125"/>
          <w:sz w:val="18"/>
        </w:rPr>
        <w:t> </w:t>
      </w:r>
      <w:r>
        <w:rPr>
          <w:w w:val="125"/>
          <w:sz w:val="18"/>
        </w:rPr>
        <w:t>2/3</w:t>
      </w:r>
      <w:r>
        <w:rPr>
          <w:spacing w:val="-4"/>
          <w:w w:val="125"/>
          <w:sz w:val="18"/>
        </w:rPr>
        <w:t> </w:t>
      </w:r>
      <w:r>
        <w:rPr>
          <w:w w:val="125"/>
          <w:sz w:val="18"/>
        </w:rPr>
        <w:t>committee)</w:t>
      </w:r>
    </w:p>
    <w:p>
      <w:pPr>
        <w:pStyle w:val="BodyText"/>
        <w:rPr>
          <w:sz w:val="22"/>
        </w:rPr>
      </w:pPr>
    </w:p>
    <w:p>
      <w:pPr>
        <w:pStyle w:val="BodyText"/>
        <w:rPr>
          <w:sz w:val="22"/>
        </w:rPr>
      </w:pPr>
    </w:p>
    <w:p>
      <w:pPr>
        <w:pStyle w:val="Heading7"/>
        <w:spacing w:line="244" w:lineRule="auto" w:before="162"/>
        <w:ind w:left="2599" w:right="1997" w:firstLine="212"/>
      </w:pPr>
      <w:r>
        <w:rPr>
          <w:i/>
          <w:color w:val="CA4F1B"/>
          <w:w w:val="110"/>
        </w:rPr>
        <w:t>The Lord God has given me the tongue of a teacher, </w:t>
      </w:r>
      <w:r>
        <w:rPr>
          <w:color w:val="CA4F1B"/>
          <w:w w:val="110"/>
        </w:rPr>
        <w:t>that I may know how to sustain the weary with a word.</w:t>
      </w:r>
    </w:p>
    <w:p>
      <w:pPr>
        <w:spacing w:line="244" w:lineRule="auto" w:before="0"/>
        <w:ind w:left="3025" w:right="2573" w:firstLine="968"/>
        <w:jc w:val="left"/>
        <w:rPr>
          <w:i/>
          <w:sz w:val="29"/>
        </w:rPr>
      </w:pPr>
      <w:r>
        <w:rPr>
          <w:i/>
          <w:color w:val="CA4F1B"/>
          <w:spacing w:val="-3"/>
          <w:w w:val="110"/>
          <w:sz w:val="29"/>
        </w:rPr>
        <w:t>Morning by morning  he  </w:t>
      </w:r>
      <w:r>
        <w:rPr>
          <w:i/>
          <w:color w:val="CA4F1B"/>
          <w:spacing w:val="-5"/>
          <w:w w:val="110"/>
          <w:sz w:val="29"/>
        </w:rPr>
        <w:t>wakens  </w:t>
      </w:r>
      <w:r>
        <w:rPr>
          <w:i/>
          <w:color w:val="CA4F1B"/>
          <w:w w:val="110"/>
          <w:sz w:val="29"/>
        </w:rPr>
        <w:t>– </w:t>
      </w:r>
      <w:r>
        <w:rPr>
          <w:i/>
          <w:color w:val="CA4F1B"/>
          <w:spacing w:val="-5"/>
          <w:w w:val="110"/>
          <w:sz w:val="29"/>
        </w:rPr>
        <w:t>wakens </w:t>
      </w:r>
      <w:r>
        <w:rPr>
          <w:i/>
          <w:color w:val="CA4F1B"/>
          <w:spacing w:val="-4"/>
          <w:w w:val="110"/>
          <w:sz w:val="29"/>
        </w:rPr>
        <w:t>my </w:t>
      </w:r>
      <w:r>
        <w:rPr>
          <w:i/>
          <w:color w:val="CA4F1B"/>
          <w:spacing w:val="-3"/>
          <w:w w:val="110"/>
          <w:sz w:val="29"/>
        </w:rPr>
        <w:t>ear to </w:t>
      </w:r>
      <w:r>
        <w:rPr>
          <w:i/>
          <w:color w:val="CA4F1B"/>
          <w:spacing w:val="-4"/>
          <w:w w:val="110"/>
          <w:sz w:val="29"/>
        </w:rPr>
        <w:t>listen </w:t>
      </w:r>
      <w:r>
        <w:rPr>
          <w:i/>
          <w:color w:val="CA4F1B"/>
          <w:spacing w:val="-3"/>
          <w:w w:val="110"/>
          <w:sz w:val="29"/>
        </w:rPr>
        <w:t>as </w:t>
      </w:r>
      <w:r>
        <w:rPr>
          <w:i/>
          <w:color w:val="CA4F1B"/>
          <w:spacing w:val="-4"/>
          <w:w w:val="110"/>
          <w:sz w:val="29"/>
        </w:rPr>
        <w:t>those </w:t>
      </w:r>
      <w:r>
        <w:rPr>
          <w:i/>
          <w:color w:val="CA4F1B"/>
          <w:spacing w:val="-3"/>
          <w:w w:val="110"/>
          <w:sz w:val="29"/>
        </w:rPr>
        <w:t>who are</w:t>
      </w:r>
      <w:r>
        <w:rPr>
          <w:i/>
          <w:color w:val="CA4F1B"/>
          <w:spacing w:val="30"/>
          <w:w w:val="110"/>
          <w:sz w:val="29"/>
        </w:rPr>
        <w:t> </w:t>
      </w:r>
      <w:r>
        <w:rPr>
          <w:i/>
          <w:color w:val="CA4F1B"/>
          <w:spacing w:val="-4"/>
          <w:w w:val="110"/>
          <w:sz w:val="29"/>
        </w:rPr>
        <w:t>taught.</w:t>
      </w:r>
    </w:p>
    <w:p>
      <w:pPr>
        <w:spacing w:before="39"/>
        <w:ind w:left="0" w:right="1772" w:firstLine="0"/>
        <w:jc w:val="right"/>
        <w:rPr>
          <w:sz w:val="16"/>
        </w:rPr>
      </w:pPr>
      <w:r>
        <w:rPr>
          <w:w w:val="125"/>
          <w:sz w:val="16"/>
        </w:rPr>
        <w:t>(Isaiah 50:4 NRSV)</w:t>
      </w:r>
    </w:p>
    <w:p>
      <w:pPr>
        <w:pStyle w:val="BodyText"/>
        <w:spacing w:before="8"/>
        <w:rPr>
          <w:sz w:val="9"/>
        </w:rPr>
      </w:pPr>
    </w:p>
    <w:p>
      <w:pPr>
        <w:numPr>
          <w:ilvl w:val="0"/>
          <w:numId w:val="125"/>
        </w:numPr>
        <w:tabs>
          <w:tab w:pos="2709" w:val="left" w:leader="none"/>
          <w:tab w:pos="2710" w:val="left" w:leader="none"/>
        </w:tabs>
        <w:spacing w:before="100"/>
        <w:ind w:left="2709"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were</w:t>
      </w:r>
    </w:p>
    <w:p>
      <w:pPr>
        <w:pStyle w:val="ListParagraph"/>
        <w:numPr>
          <w:ilvl w:val="1"/>
          <w:numId w:val="125"/>
        </w:numPr>
        <w:tabs>
          <w:tab w:pos="2670" w:val="left" w:leader="none"/>
          <w:tab w:pos="2671" w:val="left" w:leader="none"/>
        </w:tabs>
        <w:spacing w:line="235" w:lineRule="auto" w:before="223" w:after="0"/>
        <w:ind w:left="1989" w:right="1298" w:firstLine="0"/>
        <w:jc w:val="left"/>
        <w:rPr>
          <w:sz w:val="20"/>
        </w:rPr>
      </w:pPr>
      <w:r>
        <w:rPr>
          <w:w w:val="120"/>
          <w:sz w:val="20"/>
        </w:rPr>
        <w:t>In the days of the Training Committee, there was a major review completed of the training that the United Reformed Church had been supporting and undertaking. The findings resulted in some hard decisions being taken by General Assembly in 2006. Our human and financial resources were being spread thin and wide, and there was   not enough emphasis on opportunities for people beyond those in formal programmes of formation for public ministry. The recommendations of the training review, along with</w:t>
      </w:r>
      <w:r>
        <w:rPr>
          <w:spacing w:val="-14"/>
          <w:w w:val="120"/>
          <w:sz w:val="20"/>
        </w:rPr>
        <w:t> </w:t>
      </w:r>
      <w:r>
        <w:rPr>
          <w:w w:val="120"/>
          <w:sz w:val="20"/>
        </w:rPr>
        <w:t>earlier</w:t>
      </w:r>
      <w:r>
        <w:rPr>
          <w:spacing w:val="-14"/>
          <w:w w:val="120"/>
          <w:sz w:val="20"/>
        </w:rPr>
        <w:t> </w:t>
      </w:r>
      <w:r>
        <w:rPr>
          <w:w w:val="120"/>
          <w:sz w:val="20"/>
        </w:rPr>
        <w:t>work</w:t>
      </w:r>
      <w:r>
        <w:rPr>
          <w:spacing w:val="-14"/>
          <w:w w:val="120"/>
          <w:sz w:val="20"/>
        </w:rPr>
        <w:t> </w:t>
      </w:r>
      <w:r>
        <w:rPr>
          <w:w w:val="120"/>
          <w:sz w:val="20"/>
        </w:rPr>
        <w:t>from</w:t>
      </w:r>
      <w:r>
        <w:rPr>
          <w:spacing w:val="-14"/>
          <w:w w:val="120"/>
          <w:sz w:val="20"/>
        </w:rPr>
        <w:t> </w:t>
      </w:r>
      <w:r>
        <w:rPr>
          <w:i/>
          <w:w w:val="120"/>
          <w:sz w:val="20"/>
        </w:rPr>
        <w:t>Catch</w:t>
      </w:r>
      <w:r>
        <w:rPr>
          <w:i/>
          <w:spacing w:val="-16"/>
          <w:w w:val="120"/>
          <w:sz w:val="20"/>
        </w:rPr>
        <w:t> </w:t>
      </w:r>
      <w:r>
        <w:rPr>
          <w:i/>
          <w:w w:val="120"/>
          <w:sz w:val="20"/>
        </w:rPr>
        <w:t>the</w:t>
      </w:r>
      <w:r>
        <w:rPr>
          <w:i/>
          <w:spacing w:val="-17"/>
          <w:w w:val="120"/>
          <w:sz w:val="20"/>
        </w:rPr>
        <w:t> </w:t>
      </w:r>
      <w:r>
        <w:rPr>
          <w:i/>
          <w:w w:val="120"/>
          <w:sz w:val="20"/>
        </w:rPr>
        <w:t>Vision</w:t>
      </w:r>
      <w:r>
        <w:rPr>
          <w:i/>
          <w:spacing w:val="-14"/>
          <w:w w:val="120"/>
          <w:sz w:val="20"/>
        </w:rPr>
        <w:t> </w:t>
      </w:r>
      <w:r>
        <w:rPr>
          <w:w w:val="120"/>
          <w:sz w:val="20"/>
        </w:rPr>
        <w:t>and</w:t>
      </w:r>
      <w:r>
        <w:rPr>
          <w:spacing w:val="-14"/>
          <w:w w:val="120"/>
          <w:sz w:val="20"/>
        </w:rPr>
        <w:t> </w:t>
      </w:r>
      <w:r>
        <w:rPr>
          <w:i/>
          <w:w w:val="120"/>
          <w:sz w:val="20"/>
        </w:rPr>
        <w:t>Equipping</w:t>
      </w:r>
      <w:r>
        <w:rPr>
          <w:i/>
          <w:spacing w:val="-16"/>
          <w:w w:val="120"/>
          <w:sz w:val="20"/>
        </w:rPr>
        <w:t> </w:t>
      </w:r>
      <w:r>
        <w:rPr>
          <w:i/>
          <w:w w:val="120"/>
          <w:sz w:val="20"/>
        </w:rPr>
        <w:t>the</w:t>
      </w:r>
      <w:r>
        <w:rPr>
          <w:i/>
          <w:spacing w:val="-16"/>
          <w:w w:val="120"/>
          <w:sz w:val="20"/>
        </w:rPr>
        <w:t> </w:t>
      </w:r>
      <w:r>
        <w:rPr>
          <w:i/>
          <w:w w:val="120"/>
          <w:sz w:val="20"/>
        </w:rPr>
        <w:t>Saints</w:t>
      </w:r>
      <w:r>
        <w:rPr>
          <w:w w:val="120"/>
          <w:sz w:val="20"/>
        </w:rPr>
        <w:t>,</w:t>
      </w:r>
      <w:r>
        <w:rPr>
          <w:spacing w:val="-14"/>
          <w:w w:val="120"/>
          <w:sz w:val="20"/>
        </w:rPr>
        <w:t> </w:t>
      </w:r>
      <w:r>
        <w:rPr>
          <w:w w:val="120"/>
          <w:sz w:val="20"/>
        </w:rPr>
        <w:t>resulted</w:t>
      </w:r>
      <w:r>
        <w:rPr>
          <w:spacing w:val="-14"/>
          <w:w w:val="120"/>
          <w:sz w:val="20"/>
        </w:rPr>
        <w:t> </w:t>
      </w:r>
      <w:r>
        <w:rPr>
          <w:w w:val="120"/>
          <w:sz w:val="20"/>
        </w:rPr>
        <w:t>in</w:t>
      </w:r>
      <w:r>
        <w:rPr>
          <w:spacing w:val="-14"/>
          <w:w w:val="120"/>
          <w:sz w:val="20"/>
        </w:rPr>
        <w:t> </w:t>
      </w:r>
      <w:r>
        <w:rPr>
          <w:w w:val="120"/>
          <w:sz w:val="20"/>
        </w:rPr>
        <w:t>the</w:t>
      </w:r>
      <w:r>
        <w:rPr>
          <w:spacing w:val="-14"/>
          <w:w w:val="120"/>
          <w:sz w:val="20"/>
        </w:rPr>
        <w:t> </w:t>
      </w:r>
      <w:r>
        <w:rPr>
          <w:w w:val="120"/>
          <w:sz w:val="20"/>
        </w:rPr>
        <w:t>Assembly</w:t>
      </w:r>
    </w:p>
    <w:p>
      <w:pPr>
        <w:pStyle w:val="BodyText"/>
        <w:spacing w:line="235" w:lineRule="auto" w:before="5"/>
        <w:ind w:left="1989" w:right="1120"/>
      </w:pPr>
      <w:r>
        <w:rPr>
          <w:w w:val="120"/>
        </w:rPr>
        <w:t>focusing its resources on a small number of resource centres for learning and committing itself to nurturing people for discipleship within a learning Church. One of the signals of this new emphasis was a change in name – from 2007 the Assembly has had an Education and Learning Committee, serviced by a Secretary for Education and Learning.</w:t>
      </w:r>
    </w:p>
    <w:p>
      <w:pPr>
        <w:pStyle w:val="BodyText"/>
        <w:spacing w:before="11"/>
        <w:rPr>
          <w:sz w:val="19"/>
        </w:rPr>
      </w:pPr>
    </w:p>
    <w:p>
      <w:pPr>
        <w:pStyle w:val="ListParagraph"/>
        <w:numPr>
          <w:ilvl w:val="1"/>
          <w:numId w:val="125"/>
        </w:numPr>
        <w:tabs>
          <w:tab w:pos="2670" w:val="left" w:leader="none"/>
          <w:tab w:pos="2671" w:val="left" w:leader="none"/>
        </w:tabs>
        <w:spacing w:line="235" w:lineRule="auto" w:before="0" w:after="0"/>
        <w:ind w:left="1989" w:right="1197" w:firstLine="0"/>
        <w:jc w:val="left"/>
        <w:rPr>
          <w:sz w:val="20"/>
        </w:rPr>
      </w:pPr>
      <w:r>
        <w:rPr>
          <w:w w:val="120"/>
          <w:sz w:val="20"/>
        </w:rPr>
        <w:t>Since 2007 there have been accumulated changes of personnel. Revd Roy Lowes moved on from being Secretary for Education and Learning in 2008, and was replaced   by Revd Fiona Thomas. Major restructurings of the departments at Church House, and the cyclical renewal of office holders have developed new relationships between the  staff working in Education and Learning, Ministries, and Mission. This is having a positive effect on the degree to which the programmes of the Assembly are owned across the committees and task</w:t>
      </w:r>
      <w:r>
        <w:rPr>
          <w:spacing w:val="6"/>
          <w:w w:val="120"/>
          <w:sz w:val="20"/>
        </w:rPr>
        <w:t> </w:t>
      </w:r>
      <w:r>
        <w:rPr>
          <w:w w:val="120"/>
          <w:sz w:val="20"/>
        </w:rPr>
        <w:t>groups.</w:t>
      </w:r>
    </w:p>
    <w:p>
      <w:pPr>
        <w:pStyle w:val="BodyText"/>
      </w:pPr>
    </w:p>
    <w:p>
      <w:pPr>
        <w:pStyle w:val="BodyText"/>
        <w:spacing w:before="10"/>
        <w:rPr>
          <w:sz w:val="28"/>
        </w:rPr>
      </w:pPr>
    </w:p>
    <w:p>
      <w:pPr>
        <w:tabs>
          <w:tab w:pos="10630" w:val="left" w:leader="none"/>
        </w:tabs>
        <w:spacing w:before="97"/>
        <w:ind w:left="468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115</w:t>
      </w:r>
    </w:p>
    <w:p>
      <w:pPr>
        <w:spacing w:after="0"/>
        <w:jc w:val="left"/>
        <w:rPr>
          <w:rFonts w:ascii="Stone Sans II ITC Std X Bd" w:hAnsi="Stone Sans II ITC Std X Bd"/>
          <w:sz w:val="24"/>
        </w:rPr>
        <w:sectPr>
          <w:headerReference w:type="default" r:id="rId267"/>
          <w:headerReference w:type="even" r:id="rId268"/>
          <w:footerReference w:type="default" r:id="rId269"/>
          <w:pgSz w:w="11910" w:h="16840"/>
          <w:pgMar w:header="0" w:footer="0" w:top="560" w:bottom="280" w:left="0" w:right="0"/>
        </w:sectPr>
      </w:pPr>
    </w:p>
    <w:p>
      <w:pPr>
        <w:numPr>
          <w:ilvl w:val="0"/>
          <w:numId w:val="125"/>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2034048" filled="true" fillcolor="#dae4ec" stroked="false">
            <v:fill opacity="32768f" type="solid"/>
            <w10:wrap type="none"/>
          </v:rect>
        </w:pict>
      </w:r>
      <w:r>
        <w:rPr>
          <w:rFonts w:ascii="Stone Sans II ITC Std Bk"/>
          <w:b/>
          <w:w w:val="115"/>
          <w:sz w:val="21"/>
        </w:rPr>
        <w:t>Where we</w:t>
      </w:r>
      <w:r>
        <w:rPr>
          <w:rFonts w:ascii="Stone Sans II ITC Std Bk"/>
          <w:b/>
          <w:spacing w:val="-3"/>
          <w:w w:val="115"/>
          <w:sz w:val="21"/>
        </w:rPr>
        <w:t> </w:t>
      </w:r>
      <w:r>
        <w:rPr>
          <w:rFonts w:ascii="Stone Sans II ITC Std Bk"/>
          <w:b/>
          <w:w w:val="115"/>
          <w:sz w:val="21"/>
        </w:rPr>
        <w:t>are</w:t>
      </w:r>
    </w:p>
    <w:p>
      <w:pPr>
        <w:pStyle w:val="ListParagraph"/>
        <w:numPr>
          <w:ilvl w:val="1"/>
          <w:numId w:val="125"/>
        </w:numPr>
        <w:tabs>
          <w:tab w:pos="1814" w:val="left" w:leader="none"/>
          <w:tab w:pos="1815" w:val="left" w:leader="none"/>
        </w:tabs>
        <w:spacing w:line="240" w:lineRule="auto" w:before="179" w:after="0"/>
        <w:ind w:left="1814" w:right="0" w:hanging="682"/>
        <w:jc w:val="left"/>
        <w:rPr>
          <w:sz w:val="20"/>
        </w:rPr>
      </w:pPr>
      <w:r>
        <w:rPr>
          <w:w w:val="120"/>
          <w:sz w:val="20"/>
        </w:rPr>
        <w:t>Resource Centres for</w:t>
      </w:r>
      <w:r>
        <w:rPr>
          <w:spacing w:val="5"/>
          <w:w w:val="120"/>
          <w:sz w:val="20"/>
        </w:rPr>
        <w:t> </w:t>
      </w:r>
      <w:r>
        <w:rPr>
          <w:w w:val="120"/>
          <w:sz w:val="20"/>
        </w:rPr>
        <w:t>Learning</w:t>
      </w:r>
    </w:p>
    <w:p>
      <w:pPr>
        <w:pStyle w:val="BodyText"/>
        <w:spacing w:before="10"/>
        <w:rPr>
          <w:sz w:val="17"/>
        </w:rPr>
      </w:pPr>
    </w:p>
    <w:p>
      <w:pPr>
        <w:pStyle w:val="ListParagraph"/>
        <w:numPr>
          <w:ilvl w:val="2"/>
          <w:numId w:val="125"/>
        </w:numPr>
        <w:tabs>
          <w:tab w:pos="1814" w:val="left" w:leader="none"/>
          <w:tab w:pos="1815" w:val="left" w:leader="none"/>
        </w:tabs>
        <w:spacing w:line="232" w:lineRule="auto" w:before="0" w:after="0"/>
        <w:ind w:left="1133" w:right="1671" w:firstLine="0"/>
        <w:jc w:val="left"/>
        <w:rPr>
          <w:sz w:val="20"/>
        </w:rPr>
      </w:pPr>
      <w:r>
        <w:rPr>
          <w:w w:val="120"/>
          <w:sz w:val="20"/>
        </w:rPr>
        <w:t>The 2006 Training Review designated three colleges (The Scottish College, </w:t>
      </w:r>
      <w:r>
        <w:rPr>
          <w:spacing w:val="2"/>
          <w:w w:val="120"/>
          <w:sz w:val="20"/>
        </w:rPr>
        <w:t>Northern </w:t>
      </w:r>
      <w:r>
        <w:rPr>
          <w:w w:val="120"/>
          <w:sz w:val="20"/>
        </w:rPr>
        <w:t>College, Westminster </w:t>
      </w:r>
      <w:r>
        <w:rPr>
          <w:spacing w:val="-3"/>
          <w:w w:val="120"/>
          <w:sz w:val="20"/>
        </w:rPr>
        <w:t>College) </w:t>
      </w:r>
      <w:r>
        <w:rPr>
          <w:w w:val="120"/>
          <w:sz w:val="20"/>
        </w:rPr>
        <w:t>as Resource Centres for Learning </w:t>
      </w:r>
      <w:r>
        <w:rPr>
          <w:spacing w:val="-4"/>
          <w:w w:val="120"/>
          <w:sz w:val="20"/>
        </w:rPr>
        <w:t>(RCLs).  </w:t>
      </w:r>
      <w:r>
        <w:rPr>
          <w:w w:val="120"/>
          <w:sz w:val="20"/>
        </w:rPr>
        <w:t>Restructuring  brought the Windermere Centre under the wing of the Education and Learning Committee, and a five yearly review of the centre resulted in the Windermere Centre becoming recognised by Mission Council as the fourth resource centre for learning in November 2008. It is the role of the Education and Learning Committee to ensure that the work programmes of the four RCLs are both shaped </w:t>
      </w:r>
      <w:r>
        <w:rPr>
          <w:spacing w:val="-6"/>
          <w:w w:val="120"/>
          <w:sz w:val="20"/>
        </w:rPr>
        <w:t>by, </w:t>
      </w:r>
      <w:r>
        <w:rPr>
          <w:w w:val="120"/>
          <w:sz w:val="20"/>
        </w:rPr>
        <w:t>and inform, the education and learning priorities of the United Reformed</w:t>
      </w:r>
      <w:r>
        <w:rPr>
          <w:spacing w:val="4"/>
          <w:w w:val="120"/>
          <w:sz w:val="20"/>
        </w:rPr>
        <w:t> </w:t>
      </w:r>
      <w:r>
        <w:rPr>
          <w:w w:val="120"/>
          <w:sz w:val="20"/>
        </w:rPr>
        <w:t>Church.</w:t>
      </w:r>
    </w:p>
    <w:p>
      <w:pPr>
        <w:pStyle w:val="BodyText"/>
        <w:spacing w:before="10"/>
        <w:rPr>
          <w:sz w:val="18"/>
        </w:rPr>
      </w:pPr>
    </w:p>
    <w:p>
      <w:pPr>
        <w:pStyle w:val="ListParagraph"/>
        <w:numPr>
          <w:ilvl w:val="2"/>
          <w:numId w:val="125"/>
        </w:numPr>
        <w:tabs>
          <w:tab w:pos="1814" w:val="left" w:leader="none"/>
          <w:tab w:pos="1815" w:val="left" w:leader="none"/>
        </w:tabs>
        <w:spacing w:line="232" w:lineRule="auto" w:before="0" w:after="0"/>
        <w:ind w:left="1133" w:right="1984" w:firstLine="0"/>
        <w:jc w:val="left"/>
        <w:rPr>
          <w:sz w:val="20"/>
        </w:rPr>
      </w:pPr>
      <w:r>
        <w:rPr>
          <w:w w:val="120"/>
          <w:sz w:val="20"/>
        </w:rPr>
        <w:t>During </w:t>
      </w:r>
      <w:r>
        <w:rPr>
          <w:spacing w:val="-4"/>
          <w:w w:val="120"/>
          <w:sz w:val="20"/>
        </w:rPr>
        <w:t>2009, </w:t>
      </w:r>
      <w:r>
        <w:rPr>
          <w:w w:val="120"/>
          <w:sz w:val="20"/>
        </w:rPr>
        <w:t>the </w:t>
      </w:r>
      <w:r>
        <w:rPr>
          <w:spacing w:val="-3"/>
          <w:w w:val="120"/>
          <w:sz w:val="20"/>
        </w:rPr>
        <w:t>Committee  </w:t>
      </w:r>
      <w:r>
        <w:rPr>
          <w:w w:val="120"/>
          <w:sz w:val="20"/>
        </w:rPr>
        <w:t>engaged in extensive </w:t>
      </w:r>
      <w:r>
        <w:rPr>
          <w:spacing w:val="-3"/>
          <w:w w:val="120"/>
          <w:sz w:val="20"/>
        </w:rPr>
        <w:t>conversations</w:t>
      </w:r>
      <w:r>
        <w:rPr>
          <w:spacing w:val="48"/>
          <w:w w:val="120"/>
          <w:sz w:val="20"/>
        </w:rPr>
        <w:t> </w:t>
      </w:r>
      <w:r>
        <w:rPr>
          <w:w w:val="120"/>
          <w:sz w:val="20"/>
        </w:rPr>
        <w:t>with the RCLs, </w:t>
      </w:r>
      <w:r>
        <w:rPr>
          <w:spacing w:val="-3"/>
          <w:w w:val="120"/>
          <w:sz w:val="20"/>
        </w:rPr>
        <w:t>key </w:t>
      </w:r>
      <w:r>
        <w:rPr>
          <w:w w:val="120"/>
          <w:sz w:val="20"/>
        </w:rPr>
        <w:t>people </w:t>
      </w:r>
      <w:r>
        <w:rPr>
          <w:spacing w:val="-3"/>
          <w:w w:val="120"/>
          <w:sz w:val="20"/>
        </w:rPr>
        <w:t>related to </w:t>
      </w:r>
      <w:r>
        <w:rPr>
          <w:w w:val="120"/>
          <w:sz w:val="20"/>
        </w:rPr>
        <w:t>training </w:t>
      </w:r>
      <w:r>
        <w:rPr>
          <w:spacing w:val="-3"/>
          <w:w w:val="120"/>
          <w:sz w:val="20"/>
        </w:rPr>
        <w:t>within </w:t>
      </w:r>
      <w:r>
        <w:rPr>
          <w:w w:val="120"/>
          <w:sz w:val="20"/>
        </w:rPr>
        <w:t>synods, and other assembly </w:t>
      </w:r>
      <w:r>
        <w:rPr>
          <w:spacing w:val="-3"/>
          <w:w w:val="120"/>
          <w:sz w:val="20"/>
        </w:rPr>
        <w:t>committees. </w:t>
      </w:r>
      <w:r>
        <w:rPr>
          <w:w w:val="120"/>
          <w:sz w:val="20"/>
        </w:rPr>
        <w:t>This </w:t>
      </w:r>
      <w:r>
        <w:rPr>
          <w:spacing w:val="-3"/>
          <w:w w:val="120"/>
          <w:sz w:val="20"/>
        </w:rPr>
        <w:t>resulted </w:t>
      </w:r>
      <w:r>
        <w:rPr>
          <w:w w:val="120"/>
          <w:sz w:val="20"/>
        </w:rPr>
        <w:t>in the </w:t>
      </w:r>
      <w:r>
        <w:rPr>
          <w:spacing w:val="-3"/>
          <w:w w:val="120"/>
          <w:sz w:val="20"/>
        </w:rPr>
        <w:t>committee </w:t>
      </w:r>
      <w:r>
        <w:rPr>
          <w:w w:val="120"/>
          <w:sz w:val="20"/>
        </w:rPr>
        <w:t>endorsing a paper in September 2009 which sets out a </w:t>
      </w:r>
      <w:r>
        <w:rPr>
          <w:spacing w:val="-2"/>
          <w:w w:val="120"/>
          <w:sz w:val="20"/>
        </w:rPr>
        <w:t>way </w:t>
      </w:r>
      <w:r>
        <w:rPr>
          <w:w w:val="120"/>
          <w:sz w:val="20"/>
        </w:rPr>
        <w:t>of</w:t>
      </w:r>
      <w:r>
        <w:rPr>
          <w:spacing w:val="-39"/>
          <w:w w:val="120"/>
          <w:sz w:val="20"/>
        </w:rPr>
        <w:t> </w:t>
      </w:r>
      <w:r>
        <w:rPr>
          <w:w w:val="120"/>
          <w:sz w:val="20"/>
        </w:rPr>
        <w:t>relating</w:t>
      </w:r>
    </w:p>
    <w:p>
      <w:pPr>
        <w:pStyle w:val="BodyText"/>
        <w:spacing w:line="232" w:lineRule="auto"/>
        <w:ind w:left="1133" w:right="1750"/>
      </w:pPr>
      <w:r>
        <w:rPr>
          <w:w w:val="120"/>
        </w:rPr>
        <w:t>to the resource centres for learning founded on the three essential tenets of parity of esteem, comparability of finance, and equivalence of representation. In concrete terms this means that the real and obvious differences between the RCLs in size, ownership or non- ownership of buildings, staffing levels, governance structures and styles of working can be used constructively within the education and learning programmes of the URC. Specific developments which have resulted from working by these three tenets include more regular</w:t>
      </w:r>
    </w:p>
    <w:p>
      <w:pPr>
        <w:pStyle w:val="BodyText"/>
        <w:spacing w:line="232" w:lineRule="auto"/>
        <w:ind w:left="1133" w:right="1598"/>
      </w:pPr>
      <w:r>
        <w:rPr>
          <w:w w:val="120"/>
        </w:rPr>
        <w:t>communication between the Secretary for Education and Learning and the Principals/Director of the RCLs, increasing involvement by RCLs with each other’s educational programmes, sharing of best practice in common work, the participation of all four Principals/Director</w:t>
      </w:r>
    </w:p>
    <w:p>
      <w:pPr>
        <w:pStyle w:val="BodyText"/>
        <w:spacing w:line="232" w:lineRule="auto"/>
        <w:ind w:left="1133" w:right="1755"/>
      </w:pPr>
      <w:r>
        <w:rPr>
          <w:w w:val="120"/>
        </w:rPr>
        <w:t>at the meetings of the </w:t>
      </w:r>
      <w:r>
        <w:rPr>
          <w:spacing w:val="-3"/>
          <w:w w:val="120"/>
        </w:rPr>
        <w:t>Education </w:t>
      </w:r>
      <w:r>
        <w:rPr>
          <w:w w:val="120"/>
        </w:rPr>
        <w:t>and Learning </w:t>
      </w:r>
      <w:r>
        <w:rPr>
          <w:spacing w:val="-3"/>
          <w:w w:val="120"/>
        </w:rPr>
        <w:t>Committee, </w:t>
      </w:r>
      <w:r>
        <w:rPr>
          <w:w w:val="120"/>
        </w:rPr>
        <w:t>and the formulation of a new funding model which properly </w:t>
      </w:r>
      <w:r>
        <w:rPr>
          <w:spacing w:val="-3"/>
          <w:w w:val="120"/>
        </w:rPr>
        <w:t>recognizes </w:t>
      </w:r>
      <w:r>
        <w:rPr>
          <w:w w:val="120"/>
        </w:rPr>
        <w:t>the </w:t>
      </w:r>
      <w:r>
        <w:rPr>
          <w:spacing w:val="-3"/>
          <w:w w:val="120"/>
        </w:rPr>
        <w:t>investment </w:t>
      </w:r>
      <w:r>
        <w:rPr>
          <w:w w:val="120"/>
        </w:rPr>
        <w:t>of time and </w:t>
      </w:r>
      <w:r>
        <w:rPr>
          <w:spacing w:val="-3"/>
          <w:w w:val="120"/>
        </w:rPr>
        <w:t>teaching </w:t>
      </w:r>
      <w:r>
        <w:rPr>
          <w:w w:val="120"/>
        </w:rPr>
        <w:t>that the staff of the three </w:t>
      </w:r>
      <w:r>
        <w:rPr>
          <w:spacing w:val="-3"/>
          <w:w w:val="120"/>
        </w:rPr>
        <w:t>Colleges have always </w:t>
      </w:r>
      <w:r>
        <w:rPr>
          <w:w w:val="120"/>
        </w:rPr>
        <w:t>undertaken for the whole </w:t>
      </w:r>
      <w:r>
        <w:rPr>
          <w:spacing w:val="-3"/>
          <w:w w:val="120"/>
        </w:rPr>
        <w:t>Church </w:t>
      </w:r>
      <w:r>
        <w:rPr>
          <w:w w:val="120"/>
        </w:rPr>
        <w:t>alongside their </w:t>
      </w:r>
      <w:r>
        <w:rPr>
          <w:spacing w:val="-3"/>
          <w:w w:val="120"/>
        </w:rPr>
        <w:t>core </w:t>
      </w:r>
      <w:r>
        <w:rPr>
          <w:w w:val="120"/>
        </w:rPr>
        <w:t>work in </w:t>
      </w:r>
      <w:r>
        <w:rPr>
          <w:spacing w:val="-3"/>
          <w:w w:val="120"/>
        </w:rPr>
        <w:t>Education </w:t>
      </w:r>
      <w:r>
        <w:rPr>
          <w:w w:val="120"/>
        </w:rPr>
        <w:t>for Ministry Phase </w:t>
      </w:r>
      <w:r>
        <w:rPr>
          <w:spacing w:val="-8"/>
          <w:w w:val="120"/>
        </w:rPr>
        <w:t>1. </w:t>
      </w:r>
      <w:r>
        <w:rPr>
          <w:w w:val="120"/>
        </w:rPr>
        <w:t>The September 2009 paper suggested what is expected</w:t>
      </w:r>
    </w:p>
    <w:p>
      <w:pPr>
        <w:pStyle w:val="BodyText"/>
        <w:spacing w:line="232" w:lineRule="auto"/>
        <w:ind w:left="1133" w:right="1634"/>
      </w:pPr>
      <w:r>
        <w:rPr>
          <w:w w:val="120"/>
        </w:rPr>
        <w:t>of every RCL by the </w:t>
      </w:r>
      <w:r>
        <w:rPr>
          <w:spacing w:val="-3"/>
          <w:w w:val="120"/>
        </w:rPr>
        <w:t>Education </w:t>
      </w:r>
      <w:r>
        <w:rPr>
          <w:w w:val="120"/>
        </w:rPr>
        <w:t>and Learning </w:t>
      </w:r>
      <w:r>
        <w:rPr>
          <w:spacing w:val="-3"/>
          <w:w w:val="120"/>
        </w:rPr>
        <w:t>Committee </w:t>
      </w:r>
      <w:r>
        <w:rPr>
          <w:w w:val="120"/>
        </w:rPr>
        <w:t>on behalf of the </w:t>
      </w:r>
      <w:r>
        <w:rPr>
          <w:spacing w:val="-3"/>
          <w:w w:val="120"/>
        </w:rPr>
        <w:t>United </w:t>
      </w:r>
      <w:r>
        <w:rPr>
          <w:w w:val="120"/>
        </w:rPr>
        <w:t>Reformed </w:t>
      </w:r>
      <w:r>
        <w:rPr>
          <w:spacing w:val="-3"/>
          <w:w w:val="120"/>
        </w:rPr>
        <w:t>Church, </w:t>
      </w:r>
      <w:r>
        <w:rPr>
          <w:w w:val="120"/>
        </w:rPr>
        <w:t>and what the RCLs can expect from the </w:t>
      </w:r>
      <w:r>
        <w:rPr>
          <w:spacing w:val="-3"/>
          <w:w w:val="120"/>
        </w:rPr>
        <w:t>Education </w:t>
      </w:r>
      <w:r>
        <w:rPr>
          <w:w w:val="120"/>
        </w:rPr>
        <w:t>and Learning </w:t>
      </w:r>
      <w:r>
        <w:rPr>
          <w:spacing w:val="-3"/>
          <w:w w:val="120"/>
        </w:rPr>
        <w:t>Committee </w:t>
      </w:r>
      <w:r>
        <w:rPr>
          <w:w w:val="120"/>
        </w:rPr>
        <w:t>while acknowledging that </w:t>
      </w:r>
      <w:r>
        <w:rPr>
          <w:spacing w:val="-3"/>
          <w:w w:val="120"/>
        </w:rPr>
        <w:t>lively relationships </w:t>
      </w:r>
      <w:r>
        <w:rPr>
          <w:w w:val="120"/>
        </w:rPr>
        <w:t>tend </w:t>
      </w:r>
      <w:r>
        <w:rPr>
          <w:spacing w:val="-3"/>
          <w:w w:val="120"/>
        </w:rPr>
        <w:t>to </w:t>
      </w:r>
      <w:r>
        <w:rPr>
          <w:w w:val="120"/>
        </w:rPr>
        <w:t>work best when expectations are </w:t>
      </w:r>
      <w:r>
        <w:rPr>
          <w:spacing w:val="-3"/>
          <w:w w:val="120"/>
        </w:rPr>
        <w:t>revisited </w:t>
      </w:r>
      <w:r>
        <w:rPr>
          <w:w w:val="120"/>
        </w:rPr>
        <w:t>and revised from time </w:t>
      </w:r>
      <w:r>
        <w:rPr>
          <w:spacing w:val="-3"/>
          <w:w w:val="120"/>
        </w:rPr>
        <w:t>to </w:t>
      </w:r>
      <w:r>
        <w:rPr>
          <w:w w:val="120"/>
        </w:rPr>
        <w:t>time.</w:t>
      </w:r>
    </w:p>
    <w:p>
      <w:pPr>
        <w:pStyle w:val="ListParagraph"/>
        <w:numPr>
          <w:ilvl w:val="1"/>
          <w:numId w:val="125"/>
        </w:numPr>
        <w:tabs>
          <w:tab w:pos="1813" w:val="left" w:leader="none"/>
          <w:tab w:pos="1814" w:val="left" w:leader="none"/>
        </w:tabs>
        <w:spacing w:line="240" w:lineRule="auto" w:before="182" w:after="0"/>
        <w:ind w:left="1813" w:right="0" w:hanging="681"/>
        <w:jc w:val="left"/>
        <w:rPr>
          <w:sz w:val="20"/>
        </w:rPr>
      </w:pPr>
      <w:r>
        <w:rPr>
          <w:w w:val="120"/>
          <w:sz w:val="20"/>
        </w:rPr>
        <w:t>Training for Learning and</w:t>
      </w:r>
      <w:r>
        <w:rPr>
          <w:spacing w:val="9"/>
          <w:w w:val="120"/>
          <w:sz w:val="20"/>
        </w:rPr>
        <w:t> </w:t>
      </w:r>
      <w:r>
        <w:rPr>
          <w:w w:val="120"/>
          <w:sz w:val="20"/>
        </w:rPr>
        <w:t>Serving</w:t>
      </w:r>
    </w:p>
    <w:p>
      <w:pPr>
        <w:pStyle w:val="BodyText"/>
        <w:spacing w:before="10"/>
        <w:rPr>
          <w:sz w:val="17"/>
        </w:rPr>
      </w:pPr>
    </w:p>
    <w:p>
      <w:pPr>
        <w:pStyle w:val="ListParagraph"/>
        <w:numPr>
          <w:ilvl w:val="2"/>
          <w:numId w:val="125"/>
        </w:numPr>
        <w:tabs>
          <w:tab w:pos="1814" w:val="left" w:leader="none"/>
        </w:tabs>
        <w:spacing w:line="232" w:lineRule="auto" w:before="0" w:after="0"/>
        <w:ind w:left="1133" w:right="1729" w:firstLine="0"/>
        <w:jc w:val="left"/>
        <w:rPr>
          <w:sz w:val="20"/>
        </w:rPr>
      </w:pPr>
      <w:r>
        <w:rPr>
          <w:spacing w:val="2"/>
          <w:w w:val="120"/>
          <w:sz w:val="20"/>
        </w:rPr>
        <w:t>TLS </w:t>
      </w:r>
      <w:r>
        <w:rPr>
          <w:w w:val="120"/>
          <w:sz w:val="20"/>
        </w:rPr>
        <w:t>has sustained its strengthened position achieved over recent years with continuing healthy enrolment figures, while developments in courses and in partnerships in the past two years will equip it for further, future</w:t>
      </w:r>
      <w:r>
        <w:rPr>
          <w:spacing w:val="18"/>
          <w:w w:val="120"/>
          <w:sz w:val="20"/>
        </w:rPr>
        <w:t> </w:t>
      </w:r>
      <w:r>
        <w:rPr>
          <w:w w:val="120"/>
          <w:sz w:val="20"/>
        </w:rPr>
        <w:t>growth.</w:t>
      </w:r>
    </w:p>
    <w:p>
      <w:pPr>
        <w:pStyle w:val="BodyText"/>
        <w:spacing w:before="4"/>
        <w:rPr>
          <w:sz w:val="18"/>
        </w:rPr>
      </w:pPr>
    </w:p>
    <w:p>
      <w:pPr>
        <w:pStyle w:val="ListParagraph"/>
        <w:numPr>
          <w:ilvl w:val="2"/>
          <w:numId w:val="125"/>
        </w:numPr>
        <w:tabs>
          <w:tab w:pos="1814" w:val="left" w:leader="none"/>
        </w:tabs>
        <w:spacing w:line="230" w:lineRule="auto" w:before="0" w:after="0"/>
        <w:ind w:left="1133" w:right="1823" w:firstLine="0"/>
        <w:jc w:val="left"/>
        <w:rPr>
          <w:sz w:val="20"/>
        </w:rPr>
      </w:pPr>
      <w:r>
        <w:rPr>
          <w:rFonts w:ascii="Stone Sans II ITC Std Bk" w:hAnsi="Stone Sans II ITC Std Bk"/>
          <w:b/>
          <w:spacing w:val="3"/>
          <w:w w:val="120"/>
          <w:sz w:val="20"/>
        </w:rPr>
        <w:t>TLS </w:t>
      </w:r>
      <w:r>
        <w:rPr>
          <w:rFonts w:ascii="Stone Sans II ITC Std Bk" w:hAnsi="Stone Sans II ITC Std Bk"/>
          <w:b/>
          <w:w w:val="120"/>
          <w:sz w:val="20"/>
        </w:rPr>
        <w:t>Classic: </w:t>
      </w:r>
      <w:r>
        <w:rPr>
          <w:w w:val="120"/>
          <w:sz w:val="20"/>
        </w:rPr>
        <w:t>In the current academic year </w:t>
      </w:r>
      <w:r>
        <w:rPr>
          <w:spacing w:val="-6"/>
          <w:w w:val="120"/>
          <w:sz w:val="20"/>
        </w:rPr>
        <w:t>122 </w:t>
      </w:r>
      <w:r>
        <w:rPr>
          <w:w w:val="120"/>
          <w:sz w:val="20"/>
        </w:rPr>
        <w:t>students enrolled on all </w:t>
      </w:r>
      <w:r>
        <w:rPr>
          <w:spacing w:val="2"/>
          <w:w w:val="120"/>
          <w:sz w:val="20"/>
        </w:rPr>
        <w:t>TLS </w:t>
      </w:r>
      <w:r>
        <w:rPr>
          <w:w w:val="120"/>
          <w:sz w:val="20"/>
        </w:rPr>
        <w:t>classic courses </w:t>
      </w:r>
      <w:r>
        <w:rPr>
          <w:spacing w:val="-4"/>
          <w:w w:val="120"/>
          <w:sz w:val="20"/>
        </w:rPr>
        <w:t>(84 </w:t>
      </w:r>
      <w:r>
        <w:rPr>
          <w:w w:val="120"/>
          <w:sz w:val="20"/>
        </w:rPr>
        <w:t>on the Foundation Course, 38 on one-year </w:t>
      </w:r>
      <w:r>
        <w:rPr>
          <w:spacing w:val="-3"/>
          <w:w w:val="120"/>
          <w:sz w:val="20"/>
        </w:rPr>
        <w:t>courses) </w:t>
      </w:r>
      <w:r>
        <w:rPr>
          <w:w w:val="120"/>
          <w:sz w:val="20"/>
        </w:rPr>
        <w:t>compared to 2008-9 when there were </w:t>
      </w:r>
      <w:r>
        <w:rPr>
          <w:spacing w:val="-8"/>
          <w:w w:val="120"/>
          <w:sz w:val="20"/>
        </w:rPr>
        <w:t>126 </w:t>
      </w:r>
      <w:r>
        <w:rPr>
          <w:w w:val="120"/>
          <w:sz w:val="20"/>
        </w:rPr>
        <w:t>enrolments </w:t>
      </w:r>
      <w:r>
        <w:rPr>
          <w:spacing w:val="-4"/>
          <w:w w:val="120"/>
          <w:sz w:val="20"/>
        </w:rPr>
        <w:t>(84 </w:t>
      </w:r>
      <w:r>
        <w:rPr>
          <w:w w:val="120"/>
          <w:sz w:val="20"/>
        </w:rPr>
        <w:t>– Foundation, </w:t>
      </w:r>
      <w:r>
        <w:rPr>
          <w:spacing w:val="-5"/>
          <w:w w:val="120"/>
          <w:sz w:val="20"/>
        </w:rPr>
        <w:t>42 </w:t>
      </w:r>
      <w:r>
        <w:rPr>
          <w:w w:val="120"/>
          <w:sz w:val="20"/>
        </w:rPr>
        <w:t>– one-year </w:t>
      </w:r>
      <w:r>
        <w:rPr>
          <w:spacing w:val="-3"/>
          <w:w w:val="120"/>
          <w:sz w:val="20"/>
        </w:rPr>
        <w:t>courses). </w:t>
      </w:r>
      <w:r>
        <w:rPr>
          <w:w w:val="120"/>
          <w:sz w:val="20"/>
        </w:rPr>
        <w:t>This slight fall does not take into consideration those who applied for courses for which there were not viable numbers of applicants and the figures maintain the growth since a low point of </w:t>
      </w:r>
      <w:r>
        <w:rPr>
          <w:spacing w:val="2"/>
          <w:w w:val="120"/>
          <w:sz w:val="20"/>
        </w:rPr>
        <w:t>2004-5 </w:t>
      </w:r>
      <w:r>
        <w:rPr>
          <w:w w:val="120"/>
          <w:sz w:val="20"/>
        </w:rPr>
        <w:t>when there were 100 people on all</w:t>
      </w:r>
      <w:r>
        <w:rPr>
          <w:spacing w:val="15"/>
          <w:w w:val="120"/>
          <w:sz w:val="20"/>
        </w:rPr>
        <w:t> </w:t>
      </w:r>
      <w:r>
        <w:rPr>
          <w:w w:val="120"/>
          <w:sz w:val="20"/>
        </w:rPr>
        <w:t>courses.</w:t>
      </w:r>
    </w:p>
    <w:p>
      <w:pPr>
        <w:pStyle w:val="BodyText"/>
        <w:spacing w:before="11"/>
        <w:rPr>
          <w:sz w:val="18"/>
        </w:rPr>
      </w:pPr>
    </w:p>
    <w:p>
      <w:pPr>
        <w:pStyle w:val="ListParagraph"/>
        <w:numPr>
          <w:ilvl w:val="2"/>
          <w:numId w:val="125"/>
        </w:numPr>
        <w:tabs>
          <w:tab w:pos="1814" w:val="left" w:leader="none"/>
        </w:tabs>
        <w:spacing w:line="232" w:lineRule="auto" w:before="0" w:after="0"/>
        <w:ind w:left="1133" w:right="1632" w:firstLine="0"/>
        <w:jc w:val="left"/>
        <w:rPr>
          <w:sz w:val="20"/>
        </w:rPr>
      </w:pPr>
      <w:r>
        <w:rPr>
          <w:w w:val="120"/>
          <w:sz w:val="20"/>
        </w:rPr>
        <w:t>In 2008-9, </w:t>
      </w:r>
      <w:r>
        <w:rPr>
          <w:spacing w:val="2"/>
          <w:w w:val="120"/>
          <w:sz w:val="20"/>
        </w:rPr>
        <w:t>TLS </w:t>
      </w:r>
      <w:r>
        <w:rPr>
          <w:w w:val="120"/>
          <w:sz w:val="20"/>
        </w:rPr>
        <w:t>piloted two new courses, Gateways into Evangelism and Developing Community Experiences which were well received by participants. Time has been taken during this subsequent year to further revise and develop materials to present them as fresh opportunities for September </w:t>
      </w:r>
      <w:r>
        <w:rPr>
          <w:spacing w:val="-5"/>
          <w:w w:val="120"/>
          <w:sz w:val="20"/>
        </w:rPr>
        <w:t>2010. </w:t>
      </w:r>
      <w:r>
        <w:rPr>
          <w:w w:val="120"/>
          <w:sz w:val="20"/>
        </w:rPr>
        <w:t>Developing Community Experiences was designed and is offered in partnership with the CRCW team. This is the first time </w:t>
      </w:r>
      <w:r>
        <w:rPr>
          <w:spacing w:val="2"/>
          <w:w w:val="120"/>
          <w:sz w:val="20"/>
        </w:rPr>
        <w:t>TLS </w:t>
      </w:r>
      <w:r>
        <w:rPr>
          <w:w w:val="120"/>
          <w:sz w:val="20"/>
        </w:rPr>
        <w:t>has engaged in such a collaborative</w:t>
      </w:r>
      <w:r>
        <w:rPr>
          <w:spacing w:val="1"/>
          <w:w w:val="120"/>
          <w:sz w:val="20"/>
        </w:rPr>
        <w:t> </w:t>
      </w:r>
      <w:r>
        <w:rPr>
          <w:w w:val="120"/>
          <w:sz w:val="20"/>
        </w:rPr>
        <w:t>venture.</w:t>
      </w:r>
    </w:p>
    <w:p>
      <w:pPr>
        <w:pStyle w:val="BodyText"/>
        <w:spacing w:before="11"/>
        <w:rPr>
          <w:sz w:val="18"/>
        </w:rPr>
      </w:pPr>
    </w:p>
    <w:p>
      <w:pPr>
        <w:pStyle w:val="ListParagraph"/>
        <w:numPr>
          <w:ilvl w:val="2"/>
          <w:numId w:val="125"/>
        </w:numPr>
        <w:tabs>
          <w:tab w:pos="1815" w:val="left" w:leader="none"/>
        </w:tabs>
        <w:spacing w:line="232" w:lineRule="auto" w:before="0" w:after="0"/>
        <w:ind w:left="1133" w:right="1755" w:hanging="1"/>
        <w:jc w:val="left"/>
        <w:rPr>
          <w:sz w:val="20"/>
        </w:rPr>
      </w:pPr>
      <w:r>
        <w:rPr>
          <w:w w:val="120"/>
          <w:sz w:val="20"/>
        </w:rPr>
        <w:t>In 2008, TLS reported the ending of its partnership with Bangor </w:t>
      </w:r>
      <w:r>
        <w:rPr>
          <w:spacing w:val="-3"/>
          <w:w w:val="120"/>
          <w:sz w:val="20"/>
        </w:rPr>
        <w:t>University. </w:t>
      </w:r>
      <w:r>
        <w:rPr>
          <w:w w:val="120"/>
          <w:sz w:val="20"/>
        </w:rPr>
        <w:t>The </w:t>
      </w:r>
      <w:r>
        <w:rPr>
          <w:spacing w:val="-3"/>
          <w:w w:val="120"/>
          <w:sz w:val="20"/>
        </w:rPr>
        <w:t>termination </w:t>
      </w:r>
      <w:r>
        <w:rPr>
          <w:w w:val="120"/>
          <w:sz w:val="20"/>
        </w:rPr>
        <w:t>has been amicably </w:t>
      </w:r>
      <w:r>
        <w:rPr>
          <w:spacing w:val="-3"/>
          <w:w w:val="120"/>
          <w:sz w:val="20"/>
        </w:rPr>
        <w:t>concluded </w:t>
      </w:r>
      <w:r>
        <w:rPr>
          <w:w w:val="120"/>
          <w:sz w:val="20"/>
        </w:rPr>
        <w:t>and transition </w:t>
      </w:r>
      <w:r>
        <w:rPr>
          <w:spacing w:val="-3"/>
          <w:w w:val="120"/>
          <w:sz w:val="20"/>
        </w:rPr>
        <w:t>to </w:t>
      </w:r>
      <w:r>
        <w:rPr>
          <w:w w:val="120"/>
          <w:sz w:val="20"/>
        </w:rPr>
        <w:t>a new validation partner has been arranged. In September </w:t>
      </w:r>
      <w:r>
        <w:rPr>
          <w:spacing w:val="-4"/>
          <w:w w:val="120"/>
          <w:sz w:val="20"/>
        </w:rPr>
        <w:t>2009, </w:t>
      </w:r>
      <w:r>
        <w:rPr>
          <w:w w:val="120"/>
          <w:sz w:val="20"/>
        </w:rPr>
        <w:t>TLS launched its new Foundation Degree in </w:t>
      </w:r>
      <w:r>
        <w:rPr>
          <w:spacing w:val="-3"/>
          <w:w w:val="120"/>
          <w:sz w:val="20"/>
        </w:rPr>
        <w:t>Contextual Theology, </w:t>
      </w:r>
      <w:r>
        <w:rPr>
          <w:w w:val="120"/>
          <w:sz w:val="20"/>
        </w:rPr>
        <w:t>offered in partnership with the University of </w:t>
      </w:r>
      <w:r>
        <w:rPr>
          <w:spacing w:val="-4"/>
          <w:w w:val="120"/>
          <w:sz w:val="20"/>
        </w:rPr>
        <w:t>Chester, </w:t>
      </w:r>
      <w:r>
        <w:rPr>
          <w:w w:val="120"/>
          <w:sz w:val="20"/>
        </w:rPr>
        <w:t>with </w:t>
      </w:r>
      <w:r>
        <w:rPr>
          <w:spacing w:val="-5"/>
          <w:w w:val="120"/>
          <w:sz w:val="20"/>
        </w:rPr>
        <w:t>27 </w:t>
      </w:r>
      <w:r>
        <w:rPr>
          <w:w w:val="120"/>
          <w:sz w:val="20"/>
        </w:rPr>
        <w:t>students embarking upon </w:t>
      </w:r>
      <w:r>
        <w:rPr>
          <w:spacing w:val="-3"/>
          <w:w w:val="120"/>
          <w:sz w:val="20"/>
        </w:rPr>
        <w:t>this </w:t>
      </w:r>
      <w:r>
        <w:rPr>
          <w:w w:val="120"/>
          <w:sz w:val="20"/>
        </w:rPr>
        <w:t>programme. At the same </w:t>
      </w:r>
      <w:r>
        <w:rPr>
          <w:spacing w:val="-3"/>
          <w:w w:val="120"/>
          <w:sz w:val="20"/>
        </w:rPr>
        <w:t>time, </w:t>
      </w:r>
      <w:r>
        <w:rPr>
          <w:w w:val="120"/>
          <w:sz w:val="20"/>
        </w:rPr>
        <w:t>TLS re-affirmed its </w:t>
      </w:r>
      <w:r>
        <w:rPr>
          <w:spacing w:val="-3"/>
          <w:w w:val="120"/>
          <w:sz w:val="20"/>
        </w:rPr>
        <w:t>commitment to </w:t>
      </w:r>
      <w:r>
        <w:rPr>
          <w:w w:val="120"/>
          <w:sz w:val="20"/>
        </w:rPr>
        <w:t>an open </w:t>
      </w:r>
      <w:r>
        <w:rPr>
          <w:spacing w:val="-4"/>
          <w:w w:val="120"/>
          <w:sz w:val="20"/>
        </w:rPr>
        <w:t>access </w:t>
      </w:r>
      <w:r>
        <w:rPr>
          <w:w w:val="120"/>
          <w:sz w:val="20"/>
        </w:rPr>
        <w:t>policy and </w:t>
      </w:r>
      <w:r>
        <w:rPr>
          <w:spacing w:val="-3"/>
          <w:w w:val="120"/>
          <w:sz w:val="20"/>
        </w:rPr>
        <w:t>to </w:t>
      </w:r>
      <w:r>
        <w:rPr>
          <w:w w:val="120"/>
          <w:sz w:val="20"/>
        </w:rPr>
        <w:t>seeking appropriate </w:t>
      </w:r>
      <w:r>
        <w:rPr>
          <w:spacing w:val="-3"/>
          <w:w w:val="120"/>
          <w:sz w:val="20"/>
        </w:rPr>
        <w:t>levels </w:t>
      </w:r>
      <w:r>
        <w:rPr>
          <w:w w:val="120"/>
          <w:sz w:val="20"/>
        </w:rPr>
        <w:t>of study for </w:t>
      </w:r>
      <w:r>
        <w:rPr>
          <w:spacing w:val="-3"/>
          <w:w w:val="120"/>
          <w:sz w:val="20"/>
        </w:rPr>
        <w:t>course </w:t>
      </w:r>
      <w:r>
        <w:rPr>
          <w:w w:val="120"/>
          <w:sz w:val="20"/>
        </w:rPr>
        <w:t>members by re-defining study opportunities</w:t>
      </w:r>
      <w:r>
        <w:rPr>
          <w:spacing w:val="-6"/>
          <w:w w:val="120"/>
          <w:sz w:val="20"/>
        </w:rPr>
        <w:t> </w:t>
      </w:r>
      <w:r>
        <w:rPr>
          <w:w w:val="120"/>
          <w:sz w:val="20"/>
        </w:rPr>
        <w:t>in</w:t>
      </w:r>
      <w:r>
        <w:rPr>
          <w:spacing w:val="-6"/>
          <w:w w:val="120"/>
          <w:sz w:val="20"/>
        </w:rPr>
        <w:t> </w:t>
      </w:r>
      <w:r>
        <w:rPr>
          <w:w w:val="120"/>
          <w:sz w:val="20"/>
        </w:rPr>
        <w:t>the</w:t>
      </w:r>
      <w:r>
        <w:rPr>
          <w:spacing w:val="-5"/>
          <w:w w:val="120"/>
          <w:sz w:val="20"/>
        </w:rPr>
        <w:t> </w:t>
      </w:r>
      <w:r>
        <w:rPr>
          <w:w w:val="120"/>
          <w:sz w:val="20"/>
        </w:rPr>
        <w:t>shape</w:t>
      </w:r>
      <w:r>
        <w:rPr>
          <w:spacing w:val="-6"/>
          <w:w w:val="120"/>
          <w:sz w:val="20"/>
        </w:rPr>
        <w:t> </w:t>
      </w:r>
      <w:r>
        <w:rPr>
          <w:w w:val="120"/>
          <w:sz w:val="20"/>
        </w:rPr>
        <w:t>of</w:t>
      </w:r>
      <w:r>
        <w:rPr>
          <w:spacing w:val="-5"/>
          <w:w w:val="120"/>
          <w:sz w:val="20"/>
        </w:rPr>
        <w:t> </w:t>
      </w:r>
      <w:r>
        <w:rPr>
          <w:w w:val="120"/>
          <w:sz w:val="20"/>
        </w:rPr>
        <w:t>three</w:t>
      </w:r>
      <w:r>
        <w:rPr>
          <w:spacing w:val="-6"/>
          <w:w w:val="120"/>
          <w:sz w:val="20"/>
        </w:rPr>
        <w:t> </w:t>
      </w:r>
      <w:r>
        <w:rPr>
          <w:spacing w:val="-3"/>
          <w:w w:val="120"/>
          <w:sz w:val="20"/>
        </w:rPr>
        <w:t>Pathways</w:t>
      </w:r>
      <w:r>
        <w:rPr>
          <w:spacing w:val="-5"/>
          <w:w w:val="120"/>
          <w:sz w:val="20"/>
        </w:rPr>
        <w:t> </w:t>
      </w:r>
      <w:r>
        <w:rPr>
          <w:w w:val="120"/>
          <w:sz w:val="20"/>
        </w:rPr>
        <w:t>ranging</w:t>
      </w:r>
      <w:r>
        <w:rPr>
          <w:spacing w:val="-6"/>
          <w:w w:val="120"/>
          <w:sz w:val="20"/>
        </w:rPr>
        <w:t> </w:t>
      </w:r>
      <w:r>
        <w:rPr>
          <w:w w:val="120"/>
          <w:sz w:val="20"/>
        </w:rPr>
        <w:t>from</w:t>
      </w:r>
      <w:r>
        <w:rPr>
          <w:spacing w:val="-5"/>
          <w:w w:val="120"/>
          <w:sz w:val="20"/>
        </w:rPr>
        <w:t> </w:t>
      </w:r>
      <w:r>
        <w:rPr>
          <w:w w:val="120"/>
          <w:sz w:val="20"/>
        </w:rPr>
        <w:t>engagement</w:t>
      </w:r>
      <w:r>
        <w:rPr>
          <w:spacing w:val="-6"/>
          <w:w w:val="120"/>
          <w:sz w:val="20"/>
        </w:rPr>
        <w:t> </w:t>
      </w:r>
      <w:r>
        <w:rPr>
          <w:w w:val="120"/>
          <w:sz w:val="20"/>
        </w:rPr>
        <w:t>at</w:t>
      </w:r>
      <w:r>
        <w:rPr>
          <w:spacing w:val="-5"/>
          <w:w w:val="120"/>
          <w:sz w:val="20"/>
        </w:rPr>
        <w:t> </w:t>
      </w:r>
      <w:r>
        <w:rPr>
          <w:w w:val="120"/>
          <w:sz w:val="20"/>
        </w:rPr>
        <w:t>a</w:t>
      </w:r>
      <w:r>
        <w:rPr>
          <w:spacing w:val="-6"/>
          <w:w w:val="120"/>
          <w:sz w:val="20"/>
        </w:rPr>
        <w:t> </w:t>
      </w:r>
      <w:r>
        <w:rPr>
          <w:w w:val="120"/>
          <w:sz w:val="20"/>
        </w:rPr>
        <w:t>basic</w:t>
      </w:r>
      <w:r>
        <w:rPr>
          <w:spacing w:val="-6"/>
          <w:w w:val="120"/>
          <w:sz w:val="20"/>
        </w:rPr>
        <w:t> </w:t>
      </w:r>
      <w:r>
        <w:rPr>
          <w:spacing w:val="-3"/>
          <w:w w:val="120"/>
          <w:sz w:val="20"/>
        </w:rPr>
        <w:t>level</w:t>
      </w:r>
      <w:r>
        <w:rPr>
          <w:spacing w:val="-5"/>
          <w:w w:val="120"/>
          <w:sz w:val="20"/>
        </w:rPr>
        <w:t> </w:t>
      </w:r>
      <w:r>
        <w:rPr>
          <w:spacing w:val="-3"/>
          <w:w w:val="120"/>
          <w:sz w:val="20"/>
        </w:rPr>
        <w:t>to</w:t>
      </w:r>
      <w:r>
        <w:rPr>
          <w:spacing w:val="-6"/>
          <w:w w:val="120"/>
          <w:sz w:val="20"/>
        </w:rPr>
        <w:t> </w:t>
      </w:r>
      <w:r>
        <w:rPr>
          <w:w w:val="120"/>
          <w:sz w:val="20"/>
        </w:rPr>
        <w:t>the Higher </w:t>
      </w:r>
      <w:r>
        <w:rPr>
          <w:spacing w:val="-3"/>
          <w:w w:val="120"/>
          <w:sz w:val="20"/>
        </w:rPr>
        <w:t>Education</w:t>
      </w:r>
      <w:r>
        <w:rPr>
          <w:spacing w:val="-4"/>
          <w:w w:val="120"/>
          <w:sz w:val="20"/>
        </w:rPr>
        <w:t> </w:t>
      </w:r>
      <w:r>
        <w:rPr>
          <w:spacing w:val="-3"/>
          <w:w w:val="120"/>
          <w:sz w:val="20"/>
        </w:rPr>
        <w:t>possibilities.</w:t>
      </w:r>
    </w:p>
    <w:p>
      <w:pPr>
        <w:spacing w:after="0" w:line="232" w:lineRule="auto"/>
        <w:jc w:val="left"/>
        <w:rPr>
          <w:sz w:val="20"/>
        </w:rPr>
        <w:sectPr>
          <w:headerReference w:type="even" r:id="rId271"/>
          <w:headerReference w:type="default" r:id="rId272"/>
          <w:footerReference w:type="even" r:id="rId273"/>
          <w:footerReference w:type="default" r:id="rId274"/>
          <w:pgSz w:w="11910" w:h="16840"/>
          <w:pgMar w:header="0" w:footer="647" w:top="1060" w:bottom="840" w:left="0" w:right="0"/>
          <w:pgNumType w:start="116"/>
        </w:sectPr>
      </w:pPr>
    </w:p>
    <w:p>
      <w:pPr>
        <w:pStyle w:val="ListParagraph"/>
        <w:numPr>
          <w:ilvl w:val="2"/>
          <w:numId w:val="125"/>
        </w:numPr>
        <w:tabs>
          <w:tab w:pos="2665" w:val="left" w:leader="none"/>
        </w:tabs>
        <w:spacing w:line="228" w:lineRule="auto" w:before="84" w:after="0"/>
        <w:ind w:left="1984" w:right="1175" w:firstLine="0"/>
        <w:jc w:val="left"/>
        <w:rPr>
          <w:sz w:val="20"/>
        </w:rPr>
      </w:pPr>
      <w:r>
        <w:rPr/>
        <w:pict>
          <v:rect style="position:absolute;margin-left:558.424988pt;margin-top:8.464787pt;width:22.677pt;height:22.677pt;mso-position-horizontal-relative:page;mso-position-vertical-relative:paragraph;z-index:252035072" filled="true" fillcolor="#dae4ec" stroked="false">
            <v:fill opacity="32768f" type="solid"/>
            <w10:wrap type="none"/>
          </v:rect>
        </w:pict>
      </w:r>
      <w:r>
        <w:rPr>
          <w:rFonts w:ascii="Stone Sans II ITC Std Bk"/>
          <w:b/>
          <w:spacing w:val="3"/>
          <w:w w:val="120"/>
          <w:sz w:val="20"/>
        </w:rPr>
        <w:t>TLS </w:t>
      </w:r>
      <w:r>
        <w:rPr>
          <w:rFonts w:ascii="Stone Sans II ITC Std Bk"/>
          <w:b/>
          <w:w w:val="120"/>
          <w:sz w:val="20"/>
        </w:rPr>
        <w:t>Local Introductory Training Experiences (LITE): </w:t>
      </w:r>
      <w:r>
        <w:rPr>
          <w:w w:val="120"/>
          <w:sz w:val="20"/>
        </w:rPr>
        <w:t>Having decided previously to release central control of this resource, with the exception of the content of materials, the primary indicator of LITE strength is through bookshop sales. These show consistent</w:t>
      </w:r>
      <w:r>
        <w:rPr>
          <w:spacing w:val="5"/>
          <w:w w:val="120"/>
          <w:sz w:val="20"/>
        </w:rPr>
        <w:t> </w:t>
      </w:r>
      <w:r>
        <w:rPr>
          <w:w w:val="120"/>
          <w:sz w:val="20"/>
        </w:rPr>
        <w:t>interest</w:t>
      </w:r>
      <w:r>
        <w:rPr>
          <w:spacing w:val="5"/>
          <w:w w:val="120"/>
          <w:sz w:val="20"/>
        </w:rPr>
        <w:t> </w:t>
      </w:r>
      <w:r>
        <w:rPr>
          <w:w w:val="120"/>
          <w:sz w:val="20"/>
        </w:rPr>
        <w:t>and</w:t>
      </w:r>
      <w:r>
        <w:rPr>
          <w:spacing w:val="6"/>
          <w:w w:val="120"/>
          <w:sz w:val="20"/>
        </w:rPr>
        <w:t> </w:t>
      </w:r>
      <w:r>
        <w:rPr>
          <w:w w:val="120"/>
          <w:sz w:val="20"/>
        </w:rPr>
        <w:t>usage</w:t>
      </w:r>
      <w:r>
        <w:rPr>
          <w:spacing w:val="5"/>
          <w:w w:val="120"/>
          <w:sz w:val="20"/>
        </w:rPr>
        <w:t> </w:t>
      </w:r>
      <w:r>
        <w:rPr>
          <w:w w:val="120"/>
          <w:sz w:val="20"/>
        </w:rPr>
        <w:t>with</w:t>
      </w:r>
      <w:r>
        <w:rPr>
          <w:spacing w:val="6"/>
          <w:w w:val="120"/>
          <w:sz w:val="20"/>
        </w:rPr>
        <w:t> </w:t>
      </w:r>
      <w:r>
        <w:rPr>
          <w:w w:val="120"/>
          <w:sz w:val="20"/>
        </w:rPr>
        <w:t>equivalent</w:t>
      </w:r>
      <w:r>
        <w:rPr>
          <w:spacing w:val="5"/>
          <w:w w:val="120"/>
          <w:sz w:val="20"/>
        </w:rPr>
        <w:t> </w:t>
      </w:r>
      <w:r>
        <w:rPr>
          <w:w w:val="120"/>
          <w:sz w:val="20"/>
        </w:rPr>
        <w:t>numbers</w:t>
      </w:r>
      <w:r>
        <w:rPr>
          <w:spacing w:val="6"/>
          <w:w w:val="120"/>
          <w:sz w:val="20"/>
        </w:rPr>
        <w:t> </w:t>
      </w:r>
      <w:r>
        <w:rPr>
          <w:w w:val="120"/>
          <w:sz w:val="20"/>
        </w:rPr>
        <w:t>of</w:t>
      </w:r>
      <w:r>
        <w:rPr>
          <w:spacing w:val="5"/>
          <w:w w:val="120"/>
          <w:sz w:val="20"/>
        </w:rPr>
        <w:t> </w:t>
      </w:r>
      <w:r>
        <w:rPr>
          <w:w w:val="120"/>
          <w:sz w:val="20"/>
        </w:rPr>
        <w:t>units</w:t>
      </w:r>
      <w:r>
        <w:rPr>
          <w:spacing w:val="6"/>
          <w:w w:val="120"/>
          <w:sz w:val="20"/>
        </w:rPr>
        <w:t> </w:t>
      </w:r>
      <w:r>
        <w:rPr>
          <w:w w:val="120"/>
          <w:sz w:val="20"/>
        </w:rPr>
        <w:t>sold</w:t>
      </w:r>
      <w:r>
        <w:rPr>
          <w:spacing w:val="5"/>
          <w:w w:val="120"/>
          <w:sz w:val="20"/>
        </w:rPr>
        <w:t> </w:t>
      </w:r>
      <w:r>
        <w:rPr>
          <w:w w:val="120"/>
          <w:sz w:val="20"/>
        </w:rPr>
        <w:t>in</w:t>
      </w:r>
      <w:r>
        <w:rPr>
          <w:spacing w:val="5"/>
          <w:w w:val="120"/>
          <w:sz w:val="20"/>
        </w:rPr>
        <w:t> </w:t>
      </w:r>
      <w:r>
        <w:rPr>
          <w:w w:val="120"/>
          <w:sz w:val="20"/>
        </w:rPr>
        <w:t>2008</w:t>
      </w:r>
      <w:r>
        <w:rPr>
          <w:spacing w:val="6"/>
          <w:w w:val="120"/>
          <w:sz w:val="20"/>
        </w:rPr>
        <w:t> </w:t>
      </w:r>
      <w:r>
        <w:rPr>
          <w:w w:val="120"/>
          <w:sz w:val="20"/>
        </w:rPr>
        <w:t>and</w:t>
      </w:r>
      <w:r>
        <w:rPr>
          <w:spacing w:val="5"/>
          <w:w w:val="120"/>
          <w:sz w:val="20"/>
        </w:rPr>
        <w:t> </w:t>
      </w:r>
      <w:r>
        <w:rPr>
          <w:w w:val="120"/>
          <w:sz w:val="20"/>
        </w:rPr>
        <w:t>2009</w:t>
      </w:r>
    </w:p>
    <w:p>
      <w:pPr>
        <w:pStyle w:val="BodyText"/>
        <w:spacing w:line="232" w:lineRule="auto" w:before="4"/>
        <w:ind w:left="1984" w:right="1273"/>
      </w:pPr>
      <w:r>
        <w:rPr>
          <w:w w:val="120"/>
        </w:rPr>
        <w:t>– 500 of all modules. The general healthiness of the programme is further confirmed by increasing numbers of people who follow-up engagement in LITE groups by enrolling on </w:t>
      </w:r>
      <w:r>
        <w:rPr>
          <w:spacing w:val="2"/>
          <w:w w:val="120"/>
        </w:rPr>
        <w:t>TLS </w:t>
      </w:r>
      <w:r>
        <w:rPr>
          <w:w w:val="120"/>
        </w:rPr>
        <w:t>Classic courses. Work is continuing on the revision of LITE module materials under  the</w:t>
      </w:r>
      <w:r>
        <w:rPr>
          <w:spacing w:val="5"/>
          <w:w w:val="120"/>
        </w:rPr>
        <w:t> </w:t>
      </w:r>
      <w:r>
        <w:rPr>
          <w:w w:val="120"/>
        </w:rPr>
        <w:t>leadership</w:t>
      </w:r>
      <w:r>
        <w:rPr>
          <w:spacing w:val="6"/>
          <w:w w:val="120"/>
        </w:rPr>
        <w:t> </w:t>
      </w:r>
      <w:r>
        <w:rPr>
          <w:w w:val="120"/>
        </w:rPr>
        <w:t>of</w:t>
      </w:r>
      <w:r>
        <w:rPr>
          <w:spacing w:val="5"/>
          <w:w w:val="120"/>
        </w:rPr>
        <w:t> </w:t>
      </w:r>
      <w:r>
        <w:rPr>
          <w:w w:val="120"/>
        </w:rPr>
        <w:t>Sue</w:t>
      </w:r>
      <w:r>
        <w:rPr>
          <w:spacing w:val="6"/>
          <w:w w:val="120"/>
        </w:rPr>
        <w:t> </w:t>
      </w:r>
      <w:r>
        <w:rPr>
          <w:w w:val="120"/>
        </w:rPr>
        <w:t>Liddell</w:t>
      </w:r>
      <w:r>
        <w:rPr>
          <w:spacing w:val="5"/>
          <w:w w:val="120"/>
        </w:rPr>
        <w:t> </w:t>
      </w:r>
      <w:r>
        <w:rPr>
          <w:w w:val="120"/>
        </w:rPr>
        <w:t>who</w:t>
      </w:r>
      <w:r>
        <w:rPr>
          <w:spacing w:val="6"/>
          <w:w w:val="120"/>
        </w:rPr>
        <w:t> </w:t>
      </w:r>
      <w:r>
        <w:rPr>
          <w:w w:val="120"/>
        </w:rPr>
        <w:t>was</w:t>
      </w:r>
      <w:r>
        <w:rPr>
          <w:spacing w:val="5"/>
          <w:w w:val="120"/>
        </w:rPr>
        <w:t> </w:t>
      </w:r>
      <w:r>
        <w:rPr>
          <w:w w:val="120"/>
        </w:rPr>
        <w:t>appointed</w:t>
      </w:r>
      <w:r>
        <w:rPr>
          <w:spacing w:val="6"/>
          <w:w w:val="120"/>
        </w:rPr>
        <w:t> </w:t>
      </w:r>
      <w:r>
        <w:rPr>
          <w:w w:val="120"/>
        </w:rPr>
        <w:t>as</w:t>
      </w:r>
      <w:r>
        <w:rPr>
          <w:spacing w:val="5"/>
          <w:w w:val="120"/>
        </w:rPr>
        <w:t> </w:t>
      </w:r>
      <w:r>
        <w:rPr>
          <w:w w:val="120"/>
        </w:rPr>
        <w:t>LITE</w:t>
      </w:r>
      <w:r>
        <w:rPr>
          <w:spacing w:val="6"/>
          <w:w w:val="120"/>
        </w:rPr>
        <w:t> </w:t>
      </w:r>
      <w:r>
        <w:rPr>
          <w:w w:val="120"/>
        </w:rPr>
        <w:t>Course</w:t>
      </w:r>
      <w:r>
        <w:rPr>
          <w:spacing w:val="5"/>
          <w:w w:val="120"/>
        </w:rPr>
        <w:t> </w:t>
      </w:r>
      <w:r>
        <w:rPr>
          <w:w w:val="120"/>
        </w:rPr>
        <w:t>Manager</w:t>
      </w:r>
      <w:r>
        <w:rPr>
          <w:spacing w:val="6"/>
          <w:w w:val="120"/>
        </w:rPr>
        <w:t> </w:t>
      </w:r>
      <w:r>
        <w:rPr>
          <w:w w:val="120"/>
        </w:rPr>
        <w:t>in</w:t>
      </w:r>
      <w:r>
        <w:rPr>
          <w:spacing w:val="5"/>
          <w:w w:val="120"/>
        </w:rPr>
        <w:t> </w:t>
      </w:r>
      <w:r>
        <w:rPr>
          <w:w w:val="120"/>
        </w:rPr>
        <w:t>2008.</w:t>
      </w:r>
    </w:p>
    <w:p>
      <w:pPr>
        <w:pStyle w:val="BodyText"/>
        <w:spacing w:before="1"/>
        <w:rPr>
          <w:sz w:val="19"/>
        </w:rPr>
      </w:pPr>
    </w:p>
    <w:p>
      <w:pPr>
        <w:pStyle w:val="ListParagraph"/>
        <w:numPr>
          <w:ilvl w:val="2"/>
          <w:numId w:val="125"/>
        </w:numPr>
        <w:tabs>
          <w:tab w:pos="2665" w:val="left" w:leader="none"/>
        </w:tabs>
        <w:spacing w:line="232" w:lineRule="auto" w:before="0" w:after="0"/>
        <w:ind w:left="1984" w:right="1141" w:hanging="1"/>
        <w:jc w:val="left"/>
        <w:rPr>
          <w:sz w:val="20"/>
        </w:rPr>
      </w:pPr>
      <w:r>
        <w:rPr>
          <w:w w:val="120"/>
          <w:sz w:val="20"/>
        </w:rPr>
        <w:t>The benefits of TLS </w:t>
      </w:r>
      <w:r>
        <w:rPr>
          <w:spacing w:val="-3"/>
          <w:w w:val="120"/>
          <w:sz w:val="20"/>
        </w:rPr>
        <w:t>to </w:t>
      </w:r>
      <w:r>
        <w:rPr>
          <w:w w:val="120"/>
          <w:sz w:val="20"/>
        </w:rPr>
        <w:t>the </w:t>
      </w:r>
      <w:r>
        <w:rPr>
          <w:spacing w:val="-3"/>
          <w:w w:val="120"/>
          <w:sz w:val="20"/>
        </w:rPr>
        <w:t>Church </w:t>
      </w:r>
      <w:r>
        <w:rPr>
          <w:w w:val="120"/>
          <w:sz w:val="20"/>
        </w:rPr>
        <w:t>sometimes go </w:t>
      </w:r>
      <w:r>
        <w:rPr>
          <w:spacing w:val="-3"/>
          <w:w w:val="120"/>
          <w:sz w:val="20"/>
        </w:rPr>
        <w:t>unnoticed </w:t>
      </w:r>
      <w:r>
        <w:rPr>
          <w:w w:val="120"/>
          <w:sz w:val="20"/>
        </w:rPr>
        <w:t>because </w:t>
      </w:r>
      <w:r>
        <w:rPr>
          <w:spacing w:val="-3"/>
          <w:w w:val="120"/>
          <w:sz w:val="20"/>
        </w:rPr>
        <w:t>many course </w:t>
      </w:r>
      <w:r>
        <w:rPr>
          <w:w w:val="120"/>
          <w:sz w:val="20"/>
        </w:rPr>
        <w:t>members simply return </w:t>
      </w:r>
      <w:r>
        <w:rPr>
          <w:spacing w:val="-3"/>
          <w:w w:val="120"/>
          <w:sz w:val="20"/>
        </w:rPr>
        <w:t>to </w:t>
      </w:r>
      <w:r>
        <w:rPr>
          <w:w w:val="120"/>
          <w:sz w:val="20"/>
        </w:rPr>
        <w:t>their local </w:t>
      </w:r>
      <w:r>
        <w:rPr>
          <w:spacing w:val="-3"/>
          <w:w w:val="120"/>
          <w:sz w:val="20"/>
        </w:rPr>
        <w:t>congregations to </w:t>
      </w:r>
      <w:r>
        <w:rPr>
          <w:w w:val="120"/>
          <w:sz w:val="20"/>
        </w:rPr>
        <w:t>engage in ministry and </w:t>
      </w:r>
      <w:r>
        <w:rPr>
          <w:spacing w:val="-3"/>
          <w:w w:val="120"/>
          <w:sz w:val="20"/>
        </w:rPr>
        <w:t>mission, </w:t>
      </w:r>
      <w:r>
        <w:rPr>
          <w:w w:val="120"/>
          <w:sz w:val="20"/>
        </w:rPr>
        <w:t>hopefully more effectively through their learning and training. Just </w:t>
      </w:r>
      <w:r>
        <w:rPr>
          <w:spacing w:val="-3"/>
          <w:w w:val="120"/>
          <w:sz w:val="20"/>
        </w:rPr>
        <w:t>occasionally however </w:t>
      </w:r>
      <w:r>
        <w:rPr>
          <w:w w:val="120"/>
          <w:sz w:val="20"/>
        </w:rPr>
        <w:t>something</w:t>
      </w:r>
      <w:r>
        <w:rPr>
          <w:spacing w:val="-5"/>
          <w:w w:val="120"/>
          <w:sz w:val="20"/>
        </w:rPr>
        <w:t> </w:t>
      </w:r>
      <w:r>
        <w:rPr>
          <w:w w:val="120"/>
          <w:sz w:val="20"/>
        </w:rPr>
        <w:t>happens</w:t>
      </w:r>
      <w:r>
        <w:rPr>
          <w:spacing w:val="-5"/>
          <w:w w:val="120"/>
          <w:sz w:val="20"/>
        </w:rPr>
        <w:t> </w:t>
      </w:r>
      <w:r>
        <w:rPr>
          <w:spacing w:val="-3"/>
          <w:w w:val="120"/>
          <w:sz w:val="20"/>
        </w:rPr>
        <w:t>to</w:t>
      </w:r>
      <w:r>
        <w:rPr>
          <w:spacing w:val="-5"/>
          <w:w w:val="120"/>
          <w:sz w:val="20"/>
        </w:rPr>
        <w:t> </w:t>
      </w:r>
      <w:r>
        <w:rPr>
          <w:w w:val="120"/>
          <w:sz w:val="20"/>
        </w:rPr>
        <w:t>herald</w:t>
      </w:r>
      <w:r>
        <w:rPr>
          <w:spacing w:val="-5"/>
          <w:w w:val="120"/>
          <w:sz w:val="20"/>
        </w:rPr>
        <w:t> </w:t>
      </w:r>
      <w:r>
        <w:rPr>
          <w:w w:val="120"/>
          <w:sz w:val="20"/>
        </w:rPr>
        <w:t>the</w:t>
      </w:r>
      <w:r>
        <w:rPr>
          <w:spacing w:val="-5"/>
          <w:w w:val="120"/>
          <w:sz w:val="20"/>
        </w:rPr>
        <w:t> </w:t>
      </w:r>
      <w:r>
        <w:rPr>
          <w:w w:val="120"/>
          <w:sz w:val="20"/>
        </w:rPr>
        <w:t>impact</w:t>
      </w:r>
      <w:r>
        <w:rPr>
          <w:spacing w:val="-5"/>
          <w:w w:val="120"/>
          <w:sz w:val="20"/>
        </w:rPr>
        <w:t> </w:t>
      </w:r>
      <w:r>
        <w:rPr>
          <w:w w:val="120"/>
          <w:sz w:val="20"/>
        </w:rPr>
        <w:t>that</w:t>
      </w:r>
      <w:r>
        <w:rPr>
          <w:spacing w:val="-5"/>
          <w:w w:val="120"/>
          <w:sz w:val="20"/>
        </w:rPr>
        <w:t> </w:t>
      </w:r>
      <w:r>
        <w:rPr>
          <w:w w:val="120"/>
          <w:sz w:val="20"/>
        </w:rPr>
        <w:t>the</w:t>
      </w:r>
      <w:r>
        <w:rPr>
          <w:spacing w:val="-5"/>
          <w:w w:val="120"/>
          <w:sz w:val="20"/>
        </w:rPr>
        <w:t> </w:t>
      </w:r>
      <w:r>
        <w:rPr>
          <w:w w:val="120"/>
          <w:sz w:val="20"/>
        </w:rPr>
        <w:t>experience</w:t>
      </w:r>
      <w:r>
        <w:rPr>
          <w:spacing w:val="-5"/>
          <w:w w:val="120"/>
          <w:sz w:val="20"/>
        </w:rPr>
        <w:t> </w:t>
      </w:r>
      <w:r>
        <w:rPr>
          <w:spacing w:val="-3"/>
          <w:w w:val="120"/>
          <w:sz w:val="20"/>
        </w:rPr>
        <w:t>makes</w:t>
      </w:r>
      <w:r>
        <w:rPr>
          <w:spacing w:val="-5"/>
          <w:w w:val="120"/>
          <w:sz w:val="20"/>
        </w:rPr>
        <w:t> </w:t>
      </w:r>
      <w:r>
        <w:rPr>
          <w:w w:val="120"/>
          <w:sz w:val="20"/>
        </w:rPr>
        <w:t>and</w:t>
      </w:r>
      <w:r>
        <w:rPr>
          <w:spacing w:val="-5"/>
          <w:w w:val="120"/>
          <w:sz w:val="20"/>
        </w:rPr>
        <w:t> </w:t>
      </w:r>
      <w:r>
        <w:rPr>
          <w:w w:val="120"/>
          <w:sz w:val="20"/>
        </w:rPr>
        <w:t>TLS</w:t>
      </w:r>
      <w:r>
        <w:rPr>
          <w:spacing w:val="-5"/>
          <w:w w:val="120"/>
          <w:sz w:val="20"/>
        </w:rPr>
        <w:t> </w:t>
      </w:r>
      <w:r>
        <w:rPr>
          <w:spacing w:val="-3"/>
          <w:w w:val="120"/>
          <w:sz w:val="20"/>
        </w:rPr>
        <w:t>celebrates</w:t>
      </w:r>
      <w:r>
        <w:rPr>
          <w:spacing w:val="-5"/>
          <w:w w:val="120"/>
          <w:sz w:val="20"/>
        </w:rPr>
        <w:t> </w:t>
      </w:r>
      <w:r>
        <w:rPr>
          <w:w w:val="120"/>
          <w:sz w:val="20"/>
        </w:rPr>
        <w:t>the fact</w:t>
      </w:r>
      <w:r>
        <w:rPr>
          <w:spacing w:val="-6"/>
          <w:w w:val="120"/>
          <w:sz w:val="20"/>
        </w:rPr>
        <w:t> </w:t>
      </w:r>
      <w:r>
        <w:rPr>
          <w:w w:val="120"/>
          <w:sz w:val="20"/>
        </w:rPr>
        <w:t>that</w:t>
      </w:r>
      <w:r>
        <w:rPr>
          <w:spacing w:val="-6"/>
          <w:w w:val="120"/>
          <w:sz w:val="20"/>
        </w:rPr>
        <w:t> </w:t>
      </w:r>
      <w:r>
        <w:rPr>
          <w:spacing w:val="-3"/>
          <w:w w:val="120"/>
          <w:sz w:val="20"/>
        </w:rPr>
        <w:t>this</w:t>
      </w:r>
      <w:r>
        <w:rPr>
          <w:spacing w:val="-6"/>
          <w:w w:val="120"/>
          <w:sz w:val="20"/>
        </w:rPr>
        <w:t> </w:t>
      </w:r>
      <w:r>
        <w:rPr>
          <w:spacing w:val="-3"/>
          <w:w w:val="120"/>
          <w:sz w:val="20"/>
        </w:rPr>
        <w:t>year</w:t>
      </w:r>
      <w:r>
        <w:rPr>
          <w:spacing w:val="-6"/>
          <w:w w:val="120"/>
          <w:sz w:val="20"/>
        </w:rPr>
        <w:t> </w:t>
      </w:r>
      <w:r>
        <w:rPr>
          <w:w w:val="120"/>
          <w:sz w:val="20"/>
        </w:rPr>
        <w:t>four</w:t>
      </w:r>
      <w:r>
        <w:rPr>
          <w:spacing w:val="-6"/>
          <w:w w:val="120"/>
          <w:sz w:val="20"/>
        </w:rPr>
        <w:t> </w:t>
      </w:r>
      <w:r>
        <w:rPr>
          <w:w w:val="120"/>
          <w:sz w:val="20"/>
        </w:rPr>
        <w:t>of</w:t>
      </w:r>
      <w:r>
        <w:rPr>
          <w:spacing w:val="-6"/>
          <w:w w:val="120"/>
          <w:sz w:val="20"/>
        </w:rPr>
        <w:t> </w:t>
      </w:r>
      <w:r>
        <w:rPr>
          <w:w w:val="120"/>
          <w:sz w:val="20"/>
        </w:rPr>
        <w:t>its</w:t>
      </w:r>
      <w:r>
        <w:rPr>
          <w:spacing w:val="-6"/>
          <w:w w:val="120"/>
          <w:sz w:val="20"/>
        </w:rPr>
        <w:t> </w:t>
      </w:r>
      <w:r>
        <w:rPr>
          <w:w w:val="120"/>
          <w:sz w:val="20"/>
        </w:rPr>
        <w:t>current</w:t>
      </w:r>
      <w:r>
        <w:rPr>
          <w:spacing w:val="-6"/>
          <w:w w:val="120"/>
          <w:sz w:val="20"/>
        </w:rPr>
        <w:t> </w:t>
      </w:r>
      <w:r>
        <w:rPr>
          <w:w w:val="120"/>
          <w:sz w:val="20"/>
        </w:rPr>
        <w:t>students</w:t>
      </w:r>
      <w:r>
        <w:rPr>
          <w:spacing w:val="-6"/>
          <w:w w:val="120"/>
          <w:sz w:val="20"/>
        </w:rPr>
        <w:t> </w:t>
      </w:r>
      <w:r>
        <w:rPr>
          <w:spacing w:val="-3"/>
          <w:w w:val="120"/>
          <w:sz w:val="20"/>
        </w:rPr>
        <w:t>have</w:t>
      </w:r>
      <w:r>
        <w:rPr>
          <w:spacing w:val="-6"/>
          <w:w w:val="120"/>
          <w:sz w:val="20"/>
        </w:rPr>
        <w:t> </w:t>
      </w:r>
      <w:r>
        <w:rPr>
          <w:w w:val="120"/>
          <w:sz w:val="20"/>
        </w:rPr>
        <w:t>been</w:t>
      </w:r>
      <w:r>
        <w:rPr>
          <w:spacing w:val="-6"/>
          <w:w w:val="120"/>
          <w:sz w:val="20"/>
        </w:rPr>
        <w:t> </w:t>
      </w:r>
      <w:r>
        <w:rPr>
          <w:spacing w:val="-4"/>
          <w:w w:val="120"/>
          <w:sz w:val="20"/>
        </w:rPr>
        <w:t>accepted</w:t>
      </w:r>
      <w:r>
        <w:rPr>
          <w:spacing w:val="-6"/>
          <w:w w:val="120"/>
          <w:sz w:val="20"/>
        </w:rPr>
        <w:t> </w:t>
      </w:r>
      <w:r>
        <w:rPr>
          <w:w w:val="120"/>
          <w:sz w:val="20"/>
        </w:rPr>
        <w:t>for</w:t>
      </w:r>
      <w:r>
        <w:rPr>
          <w:spacing w:val="-5"/>
          <w:w w:val="120"/>
          <w:sz w:val="20"/>
        </w:rPr>
        <w:t> </w:t>
      </w:r>
      <w:r>
        <w:rPr>
          <w:spacing w:val="-3"/>
          <w:w w:val="120"/>
          <w:sz w:val="20"/>
        </w:rPr>
        <w:t>ordination</w:t>
      </w:r>
      <w:r>
        <w:rPr>
          <w:spacing w:val="-6"/>
          <w:w w:val="120"/>
          <w:sz w:val="20"/>
        </w:rPr>
        <w:t> </w:t>
      </w:r>
      <w:r>
        <w:rPr>
          <w:w w:val="120"/>
          <w:sz w:val="20"/>
        </w:rPr>
        <w:t>training.</w:t>
      </w:r>
    </w:p>
    <w:p>
      <w:pPr>
        <w:pStyle w:val="ListParagraph"/>
        <w:numPr>
          <w:ilvl w:val="1"/>
          <w:numId w:val="125"/>
        </w:numPr>
        <w:tabs>
          <w:tab w:pos="2664" w:val="left" w:leader="none"/>
          <w:tab w:pos="2665" w:val="left" w:leader="none"/>
        </w:tabs>
        <w:spacing w:line="240" w:lineRule="auto" w:before="154" w:after="0"/>
        <w:ind w:left="2664" w:right="0" w:hanging="681"/>
        <w:jc w:val="left"/>
        <w:rPr>
          <w:sz w:val="20"/>
        </w:rPr>
      </w:pPr>
      <w:r>
        <w:rPr>
          <w:w w:val="120"/>
          <w:sz w:val="20"/>
        </w:rPr>
        <w:t>Relationships beyond the</w:t>
      </w:r>
      <w:r>
        <w:rPr>
          <w:spacing w:val="6"/>
          <w:w w:val="120"/>
          <w:sz w:val="20"/>
        </w:rPr>
        <w:t> </w:t>
      </w:r>
      <w:r>
        <w:rPr>
          <w:w w:val="120"/>
          <w:sz w:val="20"/>
        </w:rPr>
        <w:t>RCLs</w:t>
      </w:r>
    </w:p>
    <w:p>
      <w:pPr>
        <w:pStyle w:val="ListParagraph"/>
        <w:numPr>
          <w:ilvl w:val="2"/>
          <w:numId w:val="125"/>
        </w:numPr>
        <w:tabs>
          <w:tab w:pos="2665" w:val="left" w:leader="none"/>
        </w:tabs>
        <w:spacing w:line="232" w:lineRule="auto" w:before="198" w:after="0"/>
        <w:ind w:left="1984" w:right="1234" w:firstLine="0"/>
        <w:jc w:val="left"/>
        <w:rPr>
          <w:sz w:val="20"/>
        </w:rPr>
      </w:pPr>
      <w:r>
        <w:rPr>
          <w:w w:val="120"/>
          <w:sz w:val="20"/>
        </w:rPr>
        <w:t>The 2006 General Assembly made difficult decisions about no longer pursuing </w:t>
      </w:r>
      <w:r>
        <w:rPr>
          <w:spacing w:val="-3"/>
          <w:w w:val="120"/>
          <w:sz w:val="20"/>
        </w:rPr>
        <w:t>EM1 </w:t>
      </w:r>
      <w:r>
        <w:rPr>
          <w:w w:val="120"/>
          <w:sz w:val="20"/>
        </w:rPr>
        <w:t>through Mansfield College, Queens College and various regional ecumenical courses. The final ministerial student completed training at Mansfield College in June 2009, and the leavers’ service was an opportunity for a full </w:t>
      </w:r>
      <w:r>
        <w:rPr>
          <w:spacing w:val="-3"/>
          <w:w w:val="120"/>
          <w:sz w:val="20"/>
        </w:rPr>
        <w:t>day’s </w:t>
      </w:r>
      <w:r>
        <w:rPr>
          <w:w w:val="120"/>
          <w:sz w:val="20"/>
        </w:rPr>
        <w:t>programme which properly marked the considerable mutual contribution which the URC and Mansfield College have made to each other over the years. The final URC student at Queens College is expected to have completed training by the time of this General Assembly,  and the last students from SEITE, NEOC, and </w:t>
      </w:r>
      <w:r>
        <w:rPr>
          <w:spacing w:val="2"/>
          <w:w w:val="120"/>
          <w:sz w:val="20"/>
        </w:rPr>
        <w:t>STETS </w:t>
      </w:r>
      <w:r>
        <w:rPr>
          <w:w w:val="120"/>
          <w:sz w:val="20"/>
        </w:rPr>
        <w:t>have all been called and ordained or are in their period of final placement supervised by their</w:t>
      </w:r>
      <w:r>
        <w:rPr>
          <w:spacing w:val="24"/>
          <w:w w:val="120"/>
          <w:sz w:val="20"/>
        </w:rPr>
        <w:t> </w:t>
      </w:r>
      <w:r>
        <w:rPr>
          <w:w w:val="120"/>
          <w:sz w:val="20"/>
        </w:rPr>
        <w:t>synods.</w:t>
      </w:r>
    </w:p>
    <w:p>
      <w:pPr>
        <w:pStyle w:val="BodyText"/>
        <w:spacing w:before="9"/>
        <w:rPr>
          <w:sz w:val="18"/>
        </w:rPr>
      </w:pPr>
    </w:p>
    <w:p>
      <w:pPr>
        <w:pStyle w:val="ListParagraph"/>
        <w:numPr>
          <w:ilvl w:val="2"/>
          <w:numId w:val="125"/>
        </w:numPr>
        <w:tabs>
          <w:tab w:pos="2665" w:val="left" w:leader="none"/>
        </w:tabs>
        <w:spacing w:line="232" w:lineRule="auto" w:before="0" w:after="0"/>
        <w:ind w:left="1984" w:right="1148" w:firstLine="0"/>
        <w:jc w:val="left"/>
        <w:rPr>
          <w:sz w:val="20"/>
        </w:rPr>
      </w:pPr>
      <w:r>
        <w:rPr>
          <w:w w:val="120"/>
          <w:sz w:val="20"/>
        </w:rPr>
        <w:t>The 2006 General Assembly charged the Education and Learning Committee with continuing to explore relationships with Mansfield College and Queens College which    are not focused on initial ministerial education. In the case of Mansfield this has taken the form of an ongoing conversation about ways of drawing on the theological resources of the college. This conversation includes the college’s chaplain-fellow and a representative of the Congregational Federation. Future joint work with Queens College is likely</w:t>
      </w:r>
      <w:r>
        <w:rPr>
          <w:spacing w:val="6"/>
          <w:w w:val="120"/>
          <w:sz w:val="20"/>
        </w:rPr>
        <w:t> </w:t>
      </w:r>
      <w:r>
        <w:rPr>
          <w:w w:val="120"/>
          <w:sz w:val="20"/>
        </w:rPr>
        <w:t>to</w:t>
      </w:r>
    </w:p>
    <w:p>
      <w:pPr>
        <w:pStyle w:val="BodyText"/>
        <w:spacing w:line="232" w:lineRule="auto"/>
        <w:ind w:left="1984" w:right="1120"/>
      </w:pPr>
      <w:r>
        <w:rPr>
          <w:w w:val="120"/>
        </w:rPr>
        <w:t>be shaped by the need identified by the URC to help those ministers who come from Churches outside the UK to understand the cultures in which they are expecting to minister. This is work which is best carried out ecumenically, and Queen’s College is well- placed to assist in this.</w:t>
      </w:r>
    </w:p>
    <w:p>
      <w:pPr>
        <w:pStyle w:val="BodyText"/>
        <w:spacing w:before="8"/>
        <w:rPr>
          <w:sz w:val="18"/>
        </w:rPr>
      </w:pPr>
    </w:p>
    <w:p>
      <w:pPr>
        <w:pStyle w:val="BodyText"/>
        <w:spacing w:line="232" w:lineRule="auto"/>
        <w:ind w:left="1984" w:right="1729"/>
      </w:pPr>
      <w:r>
        <w:rPr>
          <w:spacing w:val="-4"/>
          <w:w w:val="120"/>
        </w:rPr>
        <w:t>2.3.4  </w:t>
      </w:r>
      <w:r>
        <w:rPr>
          <w:w w:val="120"/>
        </w:rPr>
        <w:t>The deliberations which the URC made in 2006 in the Training Review did   not take place in a static external setting, and this fluidity has continued. The shape of Regional Training Partnerships has continued to change, with apparently</w:t>
      </w:r>
      <w:r>
        <w:rPr>
          <w:spacing w:val="46"/>
          <w:w w:val="120"/>
        </w:rPr>
        <w:t> </w:t>
      </w:r>
      <w:r>
        <w:rPr>
          <w:w w:val="120"/>
        </w:rPr>
        <w:t>well-</w:t>
      </w:r>
    </w:p>
    <w:p>
      <w:pPr>
        <w:pStyle w:val="BodyText"/>
        <w:spacing w:line="232" w:lineRule="auto"/>
        <w:ind w:left="1984" w:right="1452"/>
      </w:pPr>
      <w:r>
        <w:rPr>
          <w:w w:val="120"/>
        </w:rPr>
        <w:t>established ecumenical courses coming to an end and new ones being formed. </w:t>
      </w:r>
      <w:r>
        <w:rPr>
          <w:spacing w:val="2"/>
          <w:w w:val="120"/>
        </w:rPr>
        <w:t>Shifts </w:t>
      </w:r>
      <w:r>
        <w:rPr>
          <w:w w:val="120"/>
        </w:rPr>
        <w:t>in</w:t>
      </w:r>
      <w:r>
        <w:rPr>
          <w:spacing w:val="17"/>
          <w:w w:val="120"/>
        </w:rPr>
        <w:t> </w:t>
      </w:r>
      <w:r>
        <w:rPr>
          <w:w w:val="120"/>
        </w:rPr>
        <w:t>higher</w:t>
      </w:r>
      <w:r>
        <w:rPr>
          <w:spacing w:val="18"/>
          <w:w w:val="120"/>
        </w:rPr>
        <w:t> </w:t>
      </w:r>
      <w:r>
        <w:rPr>
          <w:w w:val="120"/>
        </w:rPr>
        <w:t>education</w:t>
      </w:r>
      <w:r>
        <w:rPr>
          <w:spacing w:val="17"/>
          <w:w w:val="120"/>
        </w:rPr>
        <w:t> </w:t>
      </w:r>
      <w:r>
        <w:rPr>
          <w:w w:val="120"/>
        </w:rPr>
        <w:t>funding,</w:t>
      </w:r>
      <w:r>
        <w:rPr>
          <w:spacing w:val="18"/>
          <w:w w:val="120"/>
        </w:rPr>
        <w:t> </w:t>
      </w:r>
      <w:r>
        <w:rPr>
          <w:w w:val="120"/>
        </w:rPr>
        <w:t>changing</w:t>
      </w:r>
      <w:r>
        <w:rPr>
          <w:spacing w:val="17"/>
          <w:w w:val="120"/>
        </w:rPr>
        <w:t> </w:t>
      </w:r>
      <w:r>
        <w:rPr>
          <w:w w:val="120"/>
        </w:rPr>
        <w:t>denominational</w:t>
      </w:r>
      <w:r>
        <w:rPr>
          <w:spacing w:val="18"/>
          <w:w w:val="120"/>
        </w:rPr>
        <w:t> </w:t>
      </w:r>
      <w:r>
        <w:rPr>
          <w:w w:val="120"/>
        </w:rPr>
        <w:t>and</w:t>
      </w:r>
      <w:r>
        <w:rPr>
          <w:spacing w:val="17"/>
          <w:w w:val="120"/>
        </w:rPr>
        <w:t> </w:t>
      </w:r>
      <w:r>
        <w:rPr>
          <w:w w:val="120"/>
        </w:rPr>
        <w:t>ecumenical</w:t>
      </w:r>
      <w:r>
        <w:rPr>
          <w:spacing w:val="18"/>
          <w:w w:val="120"/>
        </w:rPr>
        <w:t> </w:t>
      </w:r>
      <w:r>
        <w:rPr>
          <w:w w:val="120"/>
        </w:rPr>
        <w:t>priorities,</w:t>
      </w:r>
      <w:r>
        <w:rPr>
          <w:spacing w:val="18"/>
          <w:w w:val="120"/>
        </w:rPr>
        <w:t> </w:t>
      </w:r>
      <w:r>
        <w:rPr>
          <w:w w:val="120"/>
        </w:rPr>
        <w:t>and</w:t>
      </w:r>
    </w:p>
    <w:p>
      <w:pPr>
        <w:pStyle w:val="BodyText"/>
        <w:spacing w:line="232" w:lineRule="auto"/>
        <w:ind w:left="1984" w:right="1273"/>
      </w:pPr>
      <w:r>
        <w:rPr>
          <w:w w:val="120"/>
        </w:rPr>
        <w:t>society’s view of the place of theology and religious faith are all part of the environment in which the URC’s education and learning policy is formed.</w:t>
      </w:r>
    </w:p>
    <w:p>
      <w:pPr>
        <w:pStyle w:val="ListParagraph"/>
        <w:numPr>
          <w:ilvl w:val="1"/>
          <w:numId w:val="125"/>
        </w:numPr>
        <w:tabs>
          <w:tab w:pos="2664" w:val="left" w:leader="none"/>
          <w:tab w:pos="2665" w:val="left" w:leader="none"/>
        </w:tabs>
        <w:spacing w:line="240" w:lineRule="auto" w:before="153" w:after="0"/>
        <w:ind w:left="2664" w:right="0" w:hanging="681"/>
        <w:jc w:val="left"/>
        <w:rPr>
          <w:sz w:val="20"/>
        </w:rPr>
      </w:pPr>
      <w:r>
        <w:rPr>
          <w:w w:val="120"/>
          <w:sz w:val="20"/>
        </w:rPr>
        <w:t>The wider coalition of education providers within the United Reformed</w:t>
      </w:r>
      <w:r>
        <w:rPr>
          <w:spacing w:val="38"/>
          <w:w w:val="120"/>
          <w:sz w:val="20"/>
        </w:rPr>
        <w:t> </w:t>
      </w:r>
      <w:r>
        <w:rPr>
          <w:w w:val="120"/>
          <w:sz w:val="20"/>
        </w:rPr>
        <w:t>Church</w:t>
      </w:r>
    </w:p>
    <w:p>
      <w:pPr>
        <w:pStyle w:val="ListParagraph"/>
        <w:numPr>
          <w:ilvl w:val="2"/>
          <w:numId w:val="125"/>
        </w:numPr>
        <w:tabs>
          <w:tab w:pos="2664" w:val="left" w:leader="none"/>
          <w:tab w:pos="2665" w:val="left" w:leader="none"/>
        </w:tabs>
        <w:spacing w:line="232" w:lineRule="auto" w:before="197" w:after="0"/>
        <w:ind w:left="1984" w:right="1308" w:firstLine="0"/>
        <w:jc w:val="left"/>
        <w:rPr>
          <w:sz w:val="20"/>
        </w:rPr>
      </w:pPr>
      <w:r>
        <w:rPr>
          <w:w w:val="120"/>
          <w:sz w:val="20"/>
        </w:rPr>
        <w:t>One of the advantages to the URC of being a large ‘small organisation’ is that we can easily identify and be in contact with those people who have a designated training function throughout the organisation, whether they are employed by the Assembly or   a synod. This offers potential for active networking and sharing of ideas and resources across the boundaries of departments and disciplines. December 2009 saw the first of what is likely to become an annual event when an Education and Learning conference was held at Luther King House in Manchester. This brought together 50 people – relevant assembly officers, RCL teaching staff, Education and Learning Committee members, children and youth development officers, synod training and development officers, and synod mission enablers. Working relationships were renewed and we learned together about using ‘appreciative inquiry’ in our various</w:t>
      </w:r>
      <w:r>
        <w:rPr>
          <w:spacing w:val="36"/>
          <w:w w:val="120"/>
          <w:sz w:val="20"/>
        </w:rPr>
        <w:t> </w:t>
      </w:r>
      <w:r>
        <w:rPr>
          <w:w w:val="120"/>
          <w:sz w:val="20"/>
        </w:rPr>
        <w:t>contexts.</w:t>
      </w:r>
    </w:p>
    <w:p>
      <w:pPr>
        <w:pStyle w:val="BodyText"/>
        <w:spacing w:before="9"/>
        <w:rPr>
          <w:sz w:val="19"/>
        </w:rPr>
      </w:pPr>
    </w:p>
    <w:p>
      <w:pPr>
        <w:pStyle w:val="ListParagraph"/>
        <w:numPr>
          <w:ilvl w:val="2"/>
          <w:numId w:val="125"/>
        </w:numPr>
        <w:tabs>
          <w:tab w:pos="2665" w:val="left" w:leader="none"/>
        </w:tabs>
        <w:spacing w:line="235" w:lineRule="auto" w:before="0" w:after="0"/>
        <w:ind w:left="1984" w:right="1445" w:firstLine="0"/>
        <w:jc w:val="both"/>
        <w:rPr>
          <w:sz w:val="20"/>
        </w:rPr>
      </w:pPr>
      <w:r>
        <w:rPr>
          <w:spacing w:val="-3"/>
          <w:w w:val="120"/>
          <w:sz w:val="20"/>
        </w:rPr>
        <w:t>Physical </w:t>
      </w:r>
      <w:r>
        <w:rPr>
          <w:w w:val="120"/>
          <w:sz w:val="20"/>
        </w:rPr>
        <w:t>meetings are important, but virtual gatherings for sharing are </w:t>
      </w:r>
      <w:r>
        <w:rPr>
          <w:spacing w:val="-3"/>
          <w:w w:val="120"/>
          <w:sz w:val="20"/>
        </w:rPr>
        <w:t>becoming increasingly common </w:t>
      </w:r>
      <w:r>
        <w:rPr>
          <w:w w:val="120"/>
          <w:sz w:val="20"/>
        </w:rPr>
        <w:t>in the world outside the </w:t>
      </w:r>
      <w:r>
        <w:rPr>
          <w:spacing w:val="-3"/>
          <w:w w:val="120"/>
          <w:sz w:val="20"/>
        </w:rPr>
        <w:t>Church, </w:t>
      </w:r>
      <w:r>
        <w:rPr>
          <w:w w:val="120"/>
          <w:sz w:val="20"/>
        </w:rPr>
        <w:t>and the URC has begun </w:t>
      </w:r>
      <w:r>
        <w:rPr>
          <w:spacing w:val="-3"/>
          <w:w w:val="120"/>
          <w:sz w:val="20"/>
        </w:rPr>
        <w:t>to make </w:t>
      </w:r>
      <w:r>
        <w:rPr>
          <w:w w:val="120"/>
          <w:sz w:val="20"/>
        </w:rPr>
        <w:t>steps</w:t>
      </w:r>
      <w:r>
        <w:rPr>
          <w:spacing w:val="-6"/>
          <w:w w:val="120"/>
          <w:sz w:val="20"/>
        </w:rPr>
        <w:t> </w:t>
      </w:r>
      <w:r>
        <w:rPr>
          <w:spacing w:val="-3"/>
          <w:w w:val="120"/>
          <w:sz w:val="20"/>
        </w:rPr>
        <w:t>towards</w:t>
      </w:r>
      <w:r>
        <w:rPr>
          <w:spacing w:val="-5"/>
          <w:w w:val="120"/>
          <w:sz w:val="20"/>
        </w:rPr>
        <w:t> </w:t>
      </w:r>
      <w:r>
        <w:rPr>
          <w:spacing w:val="-3"/>
          <w:w w:val="120"/>
          <w:sz w:val="20"/>
        </w:rPr>
        <w:t>this</w:t>
      </w:r>
      <w:r>
        <w:rPr>
          <w:spacing w:val="-6"/>
          <w:w w:val="120"/>
          <w:sz w:val="20"/>
        </w:rPr>
        <w:t> </w:t>
      </w:r>
      <w:r>
        <w:rPr>
          <w:spacing w:val="-3"/>
          <w:w w:val="120"/>
          <w:sz w:val="20"/>
        </w:rPr>
        <w:t>too.</w:t>
      </w:r>
      <w:r>
        <w:rPr>
          <w:spacing w:val="-5"/>
          <w:w w:val="120"/>
          <w:sz w:val="20"/>
        </w:rPr>
        <w:t> </w:t>
      </w:r>
      <w:r>
        <w:rPr>
          <w:spacing w:val="-4"/>
          <w:w w:val="120"/>
          <w:sz w:val="20"/>
        </w:rPr>
        <w:t>Face</w:t>
      </w:r>
      <w:r>
        <w:rPr>
          <w:spacing w:val="-5"/>
          <w:w w:val="120"/>
          <w:sz w:val="20"/>
        </w:rPr>
        <w:t> </w:t>
      </w:r>
      <w:r>
        <w:rPr>
          <w:spacing w:val="-3"/>
          <w:w w:val="120"/>
          <w:sz w:val="20"/>
        </w:rPr>
        <w:t>to</w:t>
      </w:r>
      <w:r>
        <w:rPr>
          <w:spacing w:val="-6"/>
          <w:w w:val="120"/>
          <w:sz w:val="20"/>
        </w:rPr>
        <w:t> </w:t>
      </w:r>
      <w:r>
        <w:rPr>
          <w:w w:val="120"/>
          <w:sz w:val="20"/>
        </w:rPr>
        <w:t>face</w:t>
      </w:r>
      <w:r>
        <w:rPr>
          <w:spacing w:val="-5"/>
          <w:w w:val="120"/>
          <w:sz w:val="20"/>
        </w:rPr>
        <w:t> </w:t>
      </w:r>
      <w:r>
        <w:rPr>
          <w:spacing w:val="-3"/>
          <w:w w:val="120"/>
          <w:sz w:val="20"/>
        </w:rPr>
        <w:t>conversations</w:t>
      </w:r>
      <w:r>
        <w:rPr>
          <w:spacing w:val="-5"/>
          <w:w w:val="120"/>
          <w:sz w:val="20"/>
        </w:rPr>
        <w:t> </w:t>
      </w:r>
      <w:r>
        <w:rPr>
          <w:w w:val="120"/>
          <w:sz w:val="20"/>
        </w:rPr>
        <w:t>are</w:t>
      </w:r>
      <w:r>
        <w:rPr>
          <w:spacing w:val="-6"/>
          <w:w w:val="120"/>
          <w:sz w:val="20"/>
        </w:rPr>
        <w:t> </w:t>
      </w:r>
      <w:r>
        <w:rPr>
          <w:spacing w:val="-3"/>
          <w:w w:val="120"/>
          <w:sz w:val="20"/>
        </w:rPr>
        <w:t>likely</w:t>
      </w:r>
      <w:r>
        <w:rPr>
          <w:spacing w:val="-5"/>
          <w:w w:val="120"/>
          <w:sz w:val="20"/>
        </w:rPr>
        <w:t> </w:t>
      </w:r>
      <w:r>
        <w:rPr>
          <w:spacing w:val="-3"/>
          <w:w w:val="120"/>
          <w:sz w:val="20"/>
        </w:rPr>
        <w:t>always</w:t>
      </w:r>
      <w:r>
        <w:rPr>
          <w:spacing w:val="-5"/>
          <w:w w:val="120"/>
          <w:sz w:val="20"/>
        </w:rPr>
        <w:t> </w:t>
      </w:r>
      <w:r>
        <w:rPr>
          <w:spacing w:val="-3"/>
          <w:w w:val="120"/>
          <w:sz w:val="20"/>
        </w:rPr>
        <w:t>to</w:t>
      </w:r>
      <w:r>
        <w:rPr>
          <w:spacing w:val="-6"/>
          <w:w w:val="120"/>
          <w:sz w:val="20"/>
        </w:rPr>
        <w:t> </w:t>
      </w:r>
      <w:r>
        <w:rPr>
          <w:w w:val="120"/>
          <w:sz w:val="20"/>
        </w:rPr>
        <w:t>be</w:t>
      </w:r>
      <w:r>
        <w:rPr>
          <w:spacing w:val="-5"/>
          <w:w w:val="120"/>
          <w:sz w:val="20"/>
        </w:rPr>
        <w:t> </w:t>
      </w:r>
      <w:r>
        <w:rPr>
          <w:w w:val="120"/>
          <w:sz w:val="20"/>
        </w:rPr>
        <w:t>important,</w:t>
      </w:r>
      <w:r>
        <w:rPr>
          <w:spacing w:val="-5"/>
          <w:w w:val="120"/>
          <w:sz w:val="20"/>
        </w:rPr>
        <w:t> </w:t>
      </w:r>
      <w:r>
        <w:rPr>
          <w:w w:val="120"/>
          <w:sz w:val="20"/>
        </w:rPr>
        <w:t>but</w:t>
      </w:r>
    </w:p>
    <w:p>
      <w:pPr>
        <w:spacing w:after="0" w:line="235" w:lineRule="auto"/>
        <w:jc w:val="both"/>
        <w:rPr>
          <w:sz w:val="20"/>
        </w:rPr>
        <w:sectPr>
          <w:pgSz w:w="11910" w:h="16840"/>
          <w:pgMar w:header="0" w:footer="647" w:top="1060" w:bottom="840" w:left="0" w:right="0"/>
        </w:sectPr>
      </w:pPr>
    </w:p>
    <w:p>
      <w:pPr>
        <w:pStyle w:val="BodyText"/>
        <w:spacing w:line="235" w:lineRule="auto" w:before="107"/>
        <w:ind w:left="1133" w:right="1901"/>
      </w:pPr>
      <w:r>
        <w:rPr/>
        <w:pict>
          <v:rect style="position:absolute;margin-left:12.047pt;margin-top:8.477343pt;width:22.677pt;height:22.677pt;mso-position-horizontal-relative:page;mso-position-vertical-relative:paragraph;z-index:252036096" filled="true" fillcolor="#dae4ec" stroked="false">
            <v:fill opacity="32768f" type="solid"/>
            <w10:wrap type="none"/>
          </v:rect>
        </w:pict>
      </w:r>
      <w:r>
        <w:rPr>
          <w:w w:val="120"/>
        </w:rPr>
        <w:t>we </w:t>
      </w:r>
      <w:r>
        <w:rPr>
          <w:spacing w:val="-3"/>
          <w:w w:val="120"/>
        </w:rPr>
        <w:t>have </w:t>
      </w:r>
      <w:r>
        <w:rPr>
          <w:w w:val="120"/>
        </w:rPr>
        <w:t>started </w:t>
      </w:r>
      <w:r>
        <w:rPr>
          <w:spacing w:val="-3"/>
          <w:w w:val="120"/>
        </w:rPr>
        <w:t>to </w:t>
      </w:r>
      <w:r>
        <w:rPr>
          <w:w w:val="120"/>
        </w:rPr>
        <w:t>explore the possibility of establishing a Virtual Office and Learning </w:t>
      </w:r>
      <w:r>
        <w:rPr>
          <w:spacing w:val="-3"/>
          <w:w w:val="120"/>
        </w:rPr>
        <w:t>Environment </w:t>
      </w:r>
      <w:r>
        <w:rPr>
          <w:w w:val="120"/>
        </w:rPr>
        <w:t>(VOLE) for the </w:t>
      </w:r>
      <w:r>
        <w:rPr>
          <w:spacing w:val="-3"/>
          <w:w w:val="120"/>
        </w:rPr>
        <w:t>United </w:t>
      </w:r>
      <w:r>
        <w:rPr>
          <w:w w:val="120"/>
        </w:rPr>
        <w:t>Reformed </w:t>
      </w:r>
      <w:r>
        <w:rPr>
          <w:spacing w:val="-3"/>
          <w:w w:val="120"/>
        </w:rPr>
        <w:t>Church. </w:t>
      </w:r>
      <w:r>
        <w:rPr>
          <w:w w:val="120"/>
        </w:rPr>
        <w:t>With assistance from the National </w:t>
      </w:r>
      <w:r>
        <w:rPr>
          <w:spacing w:val="-3"/>
          <w:w w:val="120"/>
        </w:rPr>
        <w:t>Institute </w:t>
      </w:r>
      <w:r>
        <w:rPr>
          <w:w w:val="120"/>
        </w:rPr>
        <w:t>for Adult </w:t>
      </w:r>
      <w:r>
        <w:rPr>
          <w:spacing w:val="-3"/>
          <w:w w:val="120"/>
        </w:rPr>
        <w:t>Continuing Education </w:t>
      </w:r>
      <w:r>
        <w:rPr>
          <w:w w:val="120"/>
        </w:rPr>
        <w:t>we offered training in online learning for 30 people from the wider education and learning network during </w:t>
      </w:r>
      <w:r>
        <w:rPr>
          <w:spacing w:val="-3"/>
          <w:w w:val="120"/>
        </w:rPr>
        <w:t>Autumn </w:t>
      </w:r>
      <w:r>
        <w:rPr>
          <w:spacing w:val="-4"/>
          <w:w w:val="120"/>
        </w:rPr>
        <w:t>2009, </w:t>
      </w:r>
      <w:r>
        <w:rPr>
          <w:w w:val="120"/>
        </w:rPr>
        <w:t>with the </w:t>
      </w:r>
      <w:r>
        <w:rPr>
          <w:spacing w:val="-3"/>
          <w:w w:val="120"/>
        </w:rPr>
        <w:t>intention </w:t>
      </w:r>
      <w:r>
        <w:rPr>
          <w:w w:val="120"/>
        </w:rPr>
        <w:t>that some of them </w:t>
      </w:r>
      <w:r>
        <w:rPr>
          <w:spacing w:val="-3"/>
          <w:w w:val="120"/>
        </w:rPr>
        <w:t>would </w:t>
      </w:r>
      <w:r>
        <w:rPr>
          <w:w w:val="120"/>
        </w:rPr>
        <w:t>become </w:t>
      </w:r>
      <w:r>
        <w:rPr>
          <w:spacing w:val="-3"/>
          <w:w w:val="120"/>
        </w:rPr>
        <w:t>involved </w:t>
      </w:r>
      <w:r>
        <w:rPr>
          <w:w w:val="120"/>
        </w:rPr>
        <w:t>in </w:t>
      </w:r>
      <w:r>
        <w:rPr>
          <w:spacing w:val="-3"/>
          <w:w w:val="120"/>
        </w:rPr>
        <w:t>creating </w:t>
      </w:r>
      <w:r>
        <w:rPr>
          <w:w w:val="120"/>
        </w:rPr>
        <w:t>the VOLE in due </w:t>
      </w:r>
      <w:r>
        <w:rPr>
          <w:spacing w:val="-3"/>
          <w:w w:val="120"/>
        </w:rPr>
        <w:t>course. </w:t>
      </w:r>
      <w:r>
        <w:rPr>
          <w:w w:val="120"/>
        </w:rPr>
        <w:t>There is much work </w:t>
      </w:r>
      <w:r>
        <w:rPr>
          <w:spacing w:val="-3"/>
          <w:w w:val="120"/>
        </w:rPr>
        <w:t>to </w:t>
      </w:r>
      <w:r>
        <w:rPr>
          <w:w w:val="120"/>
        </w:rPr>
        <w:t>be done on </w:t>
      </w:r>
      <w:r>
        <w:rPr>
          <w:spacing w:val="-3"/>
          <w:w w:val="120"/>
        </w:rPr>
        <w:t>this, </w:t>
      </w:r>
      <w:r>
        <w:rPr>
          <w:w w:val="120"/>
        </w:rPr>
        <w:t>and it will require </w:t>
      </w:r>
      <w:r>
        <w:rPr>
          <w:spacing w:val="-3"/>
          <w:w w:val="120"/>
        </w:rPr>
        <w:t>collaboration </w:t>
      </w:r>
      <w:r>
        <w:rPr>
          <w:w w:val="120"/>
        </w:rPr>
        <w:t>with the </w:t>
      </w:r>
      <w:r>
        <w:rPr>
          <w:spacing w:val="-3"/>
          <w:w w:val="120"/>
        </w:rPr>
        <w:t>communications </w:t>
      </w:r>
      <w:r>
        <w:rPr>
          <w:w w:val="120"/>
        </w:rPr>
        <w:t>and IT </w:t>
      </w:r>
      <w:r>
        <w:rPr>
          <w:spacing w:val="-3"/>
          <w:w w:val="120"/>
        </w:rPr>
        <w:t>teams </w:t>
      </w:r>
      <w:r>
        <w:rPr>
          <w:w w:val="120"/>
        </w:rPr>
        <w:t>at </w:t>
      </w:r>
      <w:r>
        <w:rPr>
          <w:spacing w:val="-3"/>
          <w:w w:val="120"/>
        </w:rPr>
        <w:t>Church </w:t>
      </w:r>
      <w:r>
        <w:rPr>
          <w:w w:val="120"/>
        </w:rPr>
        <w:t>House as </w:t>
      </w:r>
      <w:r>
        <w:rPr>
          <w:spacing w:val="-3"/>
          <w:w w:val="120"/>
        </w:rPr>
        <w:t>well </w:t>
      </w:r>
      <w:r>
        <w:rPr>
          <w:w w:val="120"/>
        </w:rPr>
        <w:t>as </w:t>
      </w:r>
      <w:r>
        <w:rPr>
          <w:spacing w:val="-3"/>
          <w:w w:val="120"/>
        </w:rPr>
        <w:t>continued involvement </w:t>
      </w:r>
      <w:r>
        <w:rPr>
          <w:w w:val="120"/>
        </w:rPr>
        <w:t>with synod </w:t>
      </w:r>
      <w:r>
        <w:rPr>
          <w:spacing w:val="-3"/>
          <w:w w:val="120"/>
        </w:rPr>
        <w:t>colleagues </w:t>
      </w:r>
      <w:r>
        <w:rPr>
          <w:w w:val="120"/>
        </w:rPr>
        <w:t>if we are </w:t>
      </w:r>
      <w:r>
        <w:rPr>
          <w:spacing w:val="-3"/>
          <w:w w:val="120"/>
        </w:rPr>
        <w:t>to develop </w:t>
      </w:r>
      <w:r>
        <w:rPr>
          <w:w w:val="120"/>
        </w:rPr>
        <w:t>a robust and </w:t>
      </w:r>
      <w:r>
        <w:rPr>
          <w:spacing w:val="-3"/>
          <w:w w:val="120"/>
        </w:rPr>
        <w:t>accessible </w:t>
      </w:r>
      <w:r>
        <w:rPr>
          <w:w w:val="120"/>
        </w:rPr>
        <w:t>system that aids learning at </w:t>
      </w:r>
      <w:r>
        <w:rPr>
          <w:spacing w:val="-3"/>
          <w:w w:val="120"/>
        </w:rPr>
        <w:t>many levels.</w:t>
      </w:r>
    </w:p>
    <w:p>
      <w:pPr>
        <w:pStyle w:val="BodyText"/>
        <w:spacing w:before="2"/>
      </w:pPr>
    </w:p>
    <w:p>
      <w:pPr>
        <w:pStyle w:val="ListParagraph"/>
        <w:numPr>
          <w:ilvl w:val="2"/>
          <w:numId w:val="125"/>
        </w:numPr>
        <w:tabs>
          <w:tab w:pos="1815" w:val="left" w:leader="none"/>
        </w:tabs>
        <w:spacing w:line="235" w:lineRule="auto" w:before="0" w:after="0"/>
        <w:ind w:left="1133" w:right="1928" w:firstLine="0"/>
        <w:jc w:val="left"/>
        <w:rPr>
          <w:sz w:val="20"/>
        </w:rPr>
      </w:pPr>
      <w:r>
        <w:rPr>
          <w:spacing w:val="2"/>
          <w:w w:val="120"/>
          <w:sz w:val="20"/>
        </w:rPr>
        <w:t>Collaboration between </w:t>
      </w:r>
      <w:r>
        <w:rPr>
          <w:w w:val="120"/>
          <w:sz w:val="20"/>
        </w:rPr>
        <w:t>Church House </w:t>
      </w:r>
      <w:r>
        <w:rPr>
          <w:spacing w:val="3"/>
          <w:w w:val="120"/>
          <w:sz w:val="20"/>
        </w:rPr>
        <w:t>departments </w:t>
      </w:r>
      <w:r>
        <w:rPr>
          <w:w w:val="120"/>
          <w:sz w:val="20"/>
        </w:rPr>
        <w:t>has also </w:t>
      </w:r>
      <w:r>
        <w:rPr>
          <w:spacing w:val="2"/>
          <w:w w:val="120"/>
          <w:sz w:val="20"/>
        </w:rPr>
        <w:t>been </w:t>
      </w:r>
      <w:r>
        <w:rPr>
          <w:w w:val="120"/>
          <w:sz w:val="20"/>
        </w:rPr>
        <w:t>evident in the involvement of the United </w:t>
      </w:r>
      <w:r>
        <w:rPr>
          <w:spacing w:val="2"/>
          <w:w w:val="120"/>
          <w:sz w:val="20"/>
        </w:rPr>
        <w:t>Reformed </w:t>
      </w:r>
      <w:r>
        <w:rPr>
          <w:w w:val="120"/>
          <w:sz w:val="20"/>
        </w:rPr>
        <w:t>Church in </w:t>
      </w:r>
      <w:r>
        <w:rPr>
          <w:i/>
          <w:w w:val="120"/>
          <w:sz w:val="20"/>
        </w:rPr>
        <w:t>Fresh Expressions</w:t>
      </w:r>
      <w:r>
        <w:rPr>
          <w:w w:val="120"/>
          <w:sz w:val="20"/>
        </w:rPr>
        <w:t>. This has </w:t>
      </w:r>
      <w:r>
        <w:rPr>
          <w:spacing w:val="2"/>
          <w:w w:val="120"/>
          <w:sz w:val="20"/>
        </w:rPr>
        <w:t>necessarily </w:t>
      </w:r>
      <w:r>
        <w:rPr>
          <w:w w:val="120"/>
          <w:sz w:val="20"/>
        </w:rPr>
        <w:t>included a focus on </w:t>
      </w:r>
      <w:r>
        <w:rPr>
          <w:spacing w:val="2"/>
          <w:w w:val="120"/>
          <w:sz w:val="20"/>
        </w:rPr>
        <w:t>training, </w:t>
      </w:r>
      <w:r>
        <w:rPr>
          <w:w w:val="120"/>
          <w:sz w:val="20"/>
        </w:rPr>
        <w:t>given that the </w:t>
      </w:r>
      <w:r>
        <w:rPr>
          <w:i/>
          <w:w w:val="120"/>
          <w:sz w:val="20"/>
        </w:rPr>
        <w:t>Fresh Expressions </w:t>
      </w:r>
      <w:r>
        <w:rPr>
          <w:w w:val="120"/>
          <w:sz w:val="20"/>
        </w:rPr>
        <w:t>organisation has </w:t>
      </w:r>
      <w:r>
        <w:rPr>
          <w:spacing w:val="2"/>
          <w:w w:val="120"/>
          <w:sz w:val="20"/>
        </w:rPr>
        <w:t>developed </w:t>
      </w:r>
      <w:r>
        <w:rPr>
          <w:w w:val="120"/>
          <w:sz w:val="20"/>
        </w:rPr>
        <w:t>courses of </w:t>
      </w:r>
      <w:r>
        <w:rPr>
          <w:spacing w:val="3"/>
          <w:w w:val="120"/>
          <w:sz w:val="20"/>
        </w:rPr>
        <w:t>varying </w:t>
      </w:r>
      <w:r>
        <w:rPr>
          <w:w w:val="120"/>
          <w:sz w:val="20"/>
        </w:rPr>
        <w:t>lengths which are </w:t>
      </w:r>
      <w:r>
        <w:rPr>
          <w:spacing w:val="2"/>
          <w:w w:val="120"/>
          <w:sz w:val="20"/>
        </w:rPr>
        <w:t>offered </w:t>
      </w:r>
      <w:r>
        <w:rPr>
          <w:w w:val="120"/>
          <w:sz w:val="20"/>
        </w:rPr>
        <w:t>ecumenically in Scotland, Wales and  England. </w:t>
      </w:r>
      <w:r>
        <w:rPr>
          <w:spacing w:val="2"/>
          <w:w w:val="120"/>
          <w:sz w:val="20"/>
        </w:rPr>
        <w:t>The </w:t>
      </w:r>
      <w:r>
        <w:rPr>
          <w:w w:val="120"/>
          <w:sz w:val="20"/>
        </w:rPr>
        <w:t>Mission </w:t>
      </w:r>
      <w:r>
        <w:rPr>
          <w:spacing w:val="-3"/>
          <w:w w:val="120"/>
          <w:sz w:val="20"/>
        </w:rPr>
        <w:t>Team </w:t>
      </w:r>
      <w:r>
        <w:rPr>
          <w:w w:val="120"/>
          <w:sz w:val="20"/>
        </w:rPr>
        <w:t>and the Education and </w:t>
      </w:r>
      <w:r>
        <w:rPr>
          <w:spacing w:val="2"/>
          <w:w w:val="120"/>
          <w:sz w:val="20"/>
        </w:rPr>
        <w:t>Learning </w:t>
      </w:r>
      <w:r>
        <w:rPr>
          <w:w w:val="120"/>
          <w:sz w:val="20"/>
        </w:rPr>
        <w:t>Office </w:t>
      </w:r>
      <w:r>
        <w:rPr>
          <w:spacing w:val="2"/>
          <w:w w:val="120"/>
          <w:sz w:val="20"/>
        </w:rPr>
        <w:t>co-hosted </w:t>
      </w:r>
      <w:r>
        <w:rPr>
          <w:w w:val="120"/>
          <w:sz w:val="20"/>
        </w:rPr>
        <w:t>a day conference in </w:t>
      </w:r>
      <w:r>
        <w:rPr>
          <w:spacing w:val="4"/>
          <w:w w:val="120"/>
          <w:sz w:val="20"/>
        </w:rPr>
        <w:t>February </w:t>
      </w:r>
      <w:r>
        <w:rPr>
          <w:spacing w:val="-4"/>
          <w:w w:val="120"/>
          <w:sz w:val="20"/>
        </w:rPr>
        <w:t>2010 </w:t>
      </w:r>
      <w:r>
        <w:rPr>
          <w:w w:val="120"/>
          <w:sz w:val="20"/>
        </w:rPr>
        <w:t>on </w:t>
      </w:r>
      <w:r>
        <w:rPr>
          <w:i/>
          <w:w w:val="120"/>
          <w:sz w:val="20"/>
        </w:rPr>
        <w:t>Fresh Expressions</w:t>
      </w:r>
      <w:r>
        <w:rPr>
          <w:w w:val="120"/>
          <w:sz w:val="20"/>
        </w:rPr>
        <w:t>, which brought together </w:t>
      </w:r>
      <w:r>
        <w:rPr>
          <w:spacing w:val="2"/>
          <w:w w:val="120"/>
          <w:sz w:val="20"/>
        </w:rPr>
        <w:t>trainers </w:t>
      </w:r>
      <w:r>
        <w:rPr>
          <w:w w:val="120"/>
          <w:sz w:val="20"/>
        </w:rPr>
        <w:t>and </w:t>
      </w:r>
      <w:r>
        <w:rPr>
          <w:spacing w:val="3"/>
          <w:w w:val="120"/>
          <w:sz w:val="20"/>
        </w:rPr>
        <w:t>practitioners </w:t>
      </w:r>
      <w:r>
        <w:rPr>
          <w:spacing w:val="2"/>
          <w:w w:val="120"/>
          <w:sz w:val="20"/>
        </w:rPr>
        <w:t>from </w:t>
      </w:r>
      <w:r>
        <w:rPr>
          <w:w w:val="120"/>
          <w:sz w:val="20"/>
        </w:rPr>
        <w:t>across the United </w:t>
      </w:r>
      <w:r>
        <w:rPr>
          <w:spacing w:val="2"/>
          <w:w w:val="120"/>
          <w:sz w:val="20"/>
        </w:rPr>
        <w:t>Reformed </w:t>
      </w:r>
      <w:r>
        <w:rPr>
          <w:w w:val="120"/>
          <w:sz w:val="20"/>
        </w:rPr>
        <w:t>Church with </w:t>
      </w:r>
      <w:r>
        <w:rPr>
          <w:spacing w:val="2"/>
          <w:w w:val="120"/>
          <w:sz w:val="20"/>
        </w:rPr>
        <w:t>members </w:t>
      </w:r>
      <w:r>
        <w:rPr>
          <w:w w:val="120"/>
          <w:sz w:val="20"/>
        </w:rPr>
        <w:t>of the </w:t>
      </w:r>
      <w:r>
        <w:rPr>
          <w:spacing w:val="2"/>
          <w:w w:val="120"/>
          <w:sz w:val="20"/>
        </w:rPr>
        <w:t>external </w:t>
      </w:r>
      <w:r>
        <w:rPr>
          <w:i/>
          <w:w w:val="120"/>
          <w:sz w:val="20"/>
        </w:rPr>
        <w:t>Fresh Expressions</w:t>
      </w:r>
      <w:r>
        <w:rPr>
          <w:i/>
          <w:spacing w:val="6"/>
          <w:w w:val="120"/>
          <w:sz w:val="20"/>
        </w:rPr>
        <w:t> </w:t>
      </w:r>
      <w:r>
        <w:rPr>
          <w:w w:val="120"/>
          <w:sz w:val="20"/>
        </w:rPr>
        <w:t>team.</w:t>
      </w:r>
    </w:p>
    <w:p>
      <w:pPr>
        <w:pStyle w:val="ListParagraph"/>
        <w:numPr>
          <w:ilvl w:val="1"/>
          <w:numId w:val="125"/>
        </w:numPr>
        <w:tabs>
          <w:tab w:pos="1813" w:val="left" w:leader="none"/>
          <w:tab w:pos="1814" w:val="left" w:leader="none"/>
        </w:tabs>
        <w:spacing w:line="240" w:lineRule="auto" w:before="162" w:after="0"/>
        <w:ind w:left="1813" w:right="0" w:hanging="681"/>
        <w:jc w:val="left"/>
        <w:rPr>
          <w:sz w:val="20"/>
        </w:rPr>
      </w:pPr>
      <w:r>
        <w:rPr>
          <w:w w:val="125"/>
          <w:sz w:val="20"/>
        </w:rPr>
        <w:t>Supporting people in public</w:t>
      </w:r>
      <w:r>
        <w:rPr>
          <w:spacing w:val="-3"/>
          <w:w w:val="125"/>
          <w:sz w:val="20"/>
        </w:rPr>
        <w:t> </w:t>
      </w:r>
      <w:r>
        <w:rPr>
          <w:w w:val="125"/>
          <w:sz w:val="20"/>
        </w:rPr>
        <w:t>ministry</w:t>
      </w:r>
    </w:p>
    <w:p>
      <w:pPr>
        <w:pStyle w:val="ListParagraph"/>
        <w:numPr>
          <w:ilvl w:val="2"/>
          <w:numId w:val="125"/>
        </w:numPr>
        <w:tabs>
          <w:tab w:pos="1814" w:val="left" w:leader="none"/>
        </w:tabs>
        <w:spacing w:line="235" w:lineRule="auto" w:before="199" w:after="0"/>
        <w:ind w:left="1133" w:right="2283" w:firstLine="0"/>
        <w:jc w:val="left"/>
        <w:rPr>
          <w:sz w:val="20"/>
        </w:rPr>
      </w:pPr>
      <w:r>
        <w:rPr>
          <w:w w:val="120"/>
          <w:sz w:val="20"/>
        </w:rPr>
        <w:t>Education for Ministry (EM) enables people to engage in the ministry of Word and Sacrament and Church Related Community Work in the United Reformed Church. The whole of Education for Ministry is divided into three phases: phase 1 </w:t>
      </w:r>
      <w:r>
        <w:rPr>
          <w:spacing w:val="-7"/>
          <w:w w:val="120"/>
          <w:sz w:val="20"/>
        </w:rPr>
        <w:t>(EM1) </w:t>
      </w:r>
      <w:r>
        <w:rPr>
          <w:w w:val="120"/>
          <w:sz w:val="20"/>
        </w:rPr>
        <w:t>is the initial</w:t>
      </w:r>
      <w:r>
        <w:rPr>
          <w:spacing w:val="7"/>
          <w:w w:val="120"/>
          <w:sz w:val="20"/>
        </w:rPr>
        <w:t> </w:t>
      </w:r>
      <w:r>
        <w:rPr>
          <w:w w:val="120"/>
          <w:sz w:val="20"/>
        </w:rPr>
        <w:t>phase</w:t>
      </w:r>
      <w:r>
        <w:rPr>
          <w:spacing w:val="7"/>
          <w:w w:val="120"/>
          <w:sz w:val="20"/>
        </w:rPr>
        <w:t> </w:t>
      </w:r>
      <w:r>
        <w:rPr>
          <w:w w:val="120"/>
          <w:sz w:val="20"/>
        </w:rPr>
        <w:t>of</w:t>
      </w:r>
      <w:r>
        <w:rPr>
          <w:spacing w:val="7"/>
          <w:w w:val="120"/>
          <w:sz w:val="20"/>
        </w:rPr>
        <w:t> </w:t>
      </w:r>
      <w:r>
        <w:rPr>
          <w:w w:val="120"/>
          <w:sz w:val="20"/>
        </w:rPr>
        <w:t>training;</w:t>
      </w:r>
      <w:r>
        <w:rPr>
          <w:spacing w:val="7"/>
          <w:w w:val="120"/>
          <w:sz w:val="20"/>
        </w:rPr>
        <w:t> </w:t>
      </w:r>
      <w:r>
        <w:rPr>
          <w:w w:val="120"/>
          <w:sz w:val="20"/>
        </w:rPr>
        <w:t>phase</w:t>
      </w:r>
      <w:r>
        <w:rPr>
          <w:spacing w:val="8"/>
          <w:w w:val="120"/>
          <w:sz w:val="20"/>
        </w:rPr>
        <w:t> </w:t>
      </w:r>
      <w:r>
        <w:rPr>
          <w:w w:val="120"/>
          <w:sz w:val="20"/>
        </w:rPr>
        <w:t>2</w:t>
      </w:r>
      <w:r>
        <w:rPr>
          <w:spacing w:val="7"/>
          <w:w w:val="120"/>
          <w:sz w:val="20"/>
        </w:rPr>
        <w:t> </w:t>
      </w:r>
      <w:r>
        <w:rPr>
          <w:spacing w:val="-4"/>
          <w:w w:val="120"/>
          <w:sz w:val="20"/>
        </w:rPr>
        <w:t>(EM2)</w:t>
      </w:r>
      <w:r>
        <w:rPr>
          <w:spacing w:val="7"/>
          <w:w w:val="120"/>
          <w:sz w:val="20"/>
        </w:rPr>
        <w:t> </w:t>
      </w:r>
      <w:r>
        <w:rPr>
          <w:w w:val="120"/>
          <w:sz w:val="20"/>
        </w:rPr>
        <w:t>is</w:t>
      </w:r>
      <w:r>
        <w:rPr>
          <w:spacing w:val="7"/>
          <w:w w:val="120"/>
          <w:sz w:val="20"/>
        </w:rPr>
        <w:t> </w:t>
      </w:r>
      <w:r>
        <w:rPr>
          <w:w w:val="120"/>
          <w:sz w:val="20"/>
        </w:rPr>
        <w:t>the</w:t>
      </w:r>
      <w:r>
        <w:rPr>
          <w:spacing w:val="8"/>
          <w:w w:val="120"/>
          <w:sz w:val="20"/>
        </w:rPr>
        <w:t> </w:t>
      </w:r>
      <w:r>
        <w:rPr>
          <w:w w:val="120"/>
          <w:sz w:val="20"/>
        </w:rPr>
        <w:t>post</w:t>
      </w:r>
      <w:r>
        <w:rPr>
          <w:spacing w:val="7"/>
          <w:w w:val="120"/>
          <w:sz w:val="20"/>
        </w:rPr>
        <w:t> </w:t>
      </w:r>
      <w:r>
        <w:rPr>
          <w:w w:val="120"/>
          <w:sz w:val="20"/>
        </w:rPr>
        <w:t>ordination</w:t>
      </w:r>
      <w:r>
        <w:rPr>
          <w:spacing w:val="7"/>
          <w:w w:val="120"/>
          <w:sz w:val="20"/>
        </w:rPr>
        <w:t> </w:t>
      </w:r>
      <w:r>
        <w:rPr>
          <w:w w:val="120"/>
          <w:sz w:val="20"/>
        </w:rPr>
        <w:t>or</w:t>
      </w:r>
      <w:r>
        <w:rPr>
          <w:spacing w:val="7"/>
          <w:w w:val="120"/>
          <w:sz w:val="20"/>
        </w:rPr>
        <w:t> </w:t>
      </w:r>
      <w:r>
        <w:rPr>
          <w:w w:val="120"/>
          <w:sz w:val="20"/>
        </w:rPr>
        <w:t>commissioning</w:t>
      </w:r>
      <w:r>
        <w:rPr>
          <w:spacing w:val="8"/>
          <w:w w:val="120"/>
          <w:sz w:val="20"/>
        </w:rPr>
        <w:t> </w:t>
      </w:r>
      <w:r>
        <w:rPr>
          <w:w w:val="120"/>
          <w:sz w:val="20"/>
        </w:rPr>
        <w:t>period</w:t>
      </w:r>
    </w:p>
    <w:p>
      <w:pPr>
        <w:pStyle w:val="BodyText"/>
        <w:spacing w:line="235" w:lineRule="auto" w:before="3"/>
        <w:ind w:left="1133" w:right="1970"/>
      </w:pPr>
      <w:r>
        <w:rPr>
          <w:w w:val="120"/>
        </w:rPr>
        <w:t>lasting normally three years and formerly called the POET (Post Ordination Education and Training) period; phase 3 (EM3) covers the remaining time of a person’s active ministry, including active service in retirement. EM3 was previously called CME, Continuing Ministerial Education. That the names of these learning periods have changed reflects a growing understanding that ministerial development is an ongoing process, with different phases requiring different learning, but not neatly separated from what has gone before.</w:t>
      </w:r>
    </w:p>
    <w:p>
      <w:pPr>
        <w:pStyle w:val="BodyText"/>
      </w:pPr>
    </w:p>
    <w:p>
      <w:pPr>
        <w:pStyle w:val="ListParagraph"/>
        <w:numPr>
          <w:ilvl w:val="3"/>
          <w:numId w:val="125"/>
        </w:numPr>
        <w:tabs>
          <w:tab w:pos="2040" w:val="left" w:leader="none"/>
          <w:tab w:pos="2041" w:val="left" w:leader="none"/>
        </w:tabs>
        <w:spacing w:line="235" w:lineRule="auto" w:before="0" w:after="0"/>
        <w:ind w:left="1133" w:right="1860" w:firstLine="0"/>
        <w:jc w:val="left"/>
        <w:rPr>
          <w:sz w:val="20"/>
        </w:rPr>
      </w:pPr>
      <w:r>
        <w:rPr>
          <w:spacing w:val="-3"/>
          <w:w w:val="120"/>
          <w:sz w:val="20"/>
        </w:rPr>
        <w:t>EM1 </w:t>
      </w:r>
      <w:r>
        <w:rPr>
          <w:i/>
          <w:w w:val="120"/>
          <w:sz w:val="20"/>
        </w:rPr>
        <w:t>– </w:t>
      </w:r>
      <w:r>
        <w:rPr>
          <w:w w:val="120"/>
          <w:sz w:val="20"/>
        </w:rPr>
        <w:t>Equipping the whole people of God for mission includes paying attention to the formation of people involved in public ministry for the United Reformed Church,  and this is tackled by all four Resource Centres for Learning, although the three colleges have responsibility for the majority of the initial ministerial education offered. The table  on page </w:t>
      </w:r>
      <w:r>
        <w:rPr>
          <w:spacing w:val="-10"/>
          <w:w w:val="120"/>
          <w:sz w:val="20"/>
        </w:rPr>
        <w:t>213 </w:t>
      </w:r>
      <w:r>
        <w:rPr>
          <w:w w:val="120"/>
          <w:sz w:val="20"/>
        </w:rPr>
        <w:t>gives further statistics for </w:t>
      </w:r>
      <w:r>
        <w:rPr>
          <w:spacing w:val="-6"/>
          <w:w w:val="120"/>
          <w:sz w:val="20"/>
        </w:rPr>
        <w:t>EM1. </w:t>
      </w:r>
      <w:r>
        <w:rPr>
          <w:w w:val="120"/>
          <w:sz w:val="20"/>
        </w:rPr>
        <w:t>One specific role that the Windermere Centre has in </w:t>
      </w:r>
      <w:r>
        <w:rPr>
          <w:spacing w:val="-3"/>
          <w:w w:val="120"/>
          <w:sz w:val="20"/>
        </w:rPr>
        <w:t>EM1 </w:t>
      </w:r>
      <w:r>
        <w:rPr>
          <w:w w:val="120"/>
          <w:sz w:val="20"/>
        </w:rPr>
        <w:t>is to host an annual Summer School for </w:t>
      </w:r>
      <w:r>
        <w:rPr>
          <w:spacing w:val="-3"/>
          <w:w w:val="120"/>
          <w:sz w:val="20"/>
        </w:rPr>
        <w:t>EM1 </w:t>
      </w:r>
      <w:r>
        <w:rPr>
          <w:w w:val="120"/>
          <w:sz w:val="20"/>
        </w:rPr>
        <w:t>participants and their families, and </w:t>
      </w:r>
      <w:r>
        <w:rPr>
          <w:i/>
          <w:w w:val="120"/>
          <w:sz w:val="20"/>
        </w:rPr>
        <w:t>Fresh Expressions </w:t>
      </w:r>
      <w:r>
        <w:rPr>
          <w:w w:val="120"/>
          <w:sz w:val="20"/>
        </w:rPr>
        <w:t>will be the theme of this year’s</w:t>
      </w:r>
      <w:r>
        <w:rPr>
          <w:spacing w:val="-8"/>
          <w:w w:val="120"/>
          <w:sz w:val="20"/>
        </w:rPr>
        <w:t> </w:t>
      </w:r>
      <w:r>
        <w:rPr>
          <w:w w:val="120"/>
          <w:sz w:val="20"/>
        </w:rPr>
        <w:t>event.</w:t>
      </w:r>
    </w:p>
    <w:p>
      <w:pPr>
        <w:pStyle w:val="BodyText"/>
        <w:spacing w:before="1"/>
      </w:pPr>
    </w:p>
    <w:p>
      <w:pPr>
        <w:pStyle w:val="ListParagraph"/>
        <w:numPr>
          <w:ilvl w:val="3"/>
          <w:numId w:val="125"/>
        </w:numPr>
        <w:tabs>
          <w:tab w:pos="2040" w:val="left" w:leader="none"/>
          <w:tab w:pos="2041" w:val="left" w:leader="none"/>
        </w:tabs>
        <w:spacing w:line="235" w:lineRule="auto" w:before="0" w:after="0"/>
        <w:ind w:left="1133" w:right="2410" w:firstLine="0"/>
        <w:jc w:val="left"/>
        <w:rPr>
          <w:sz w:val="20"/>
        </w:rPr>
      </w:pPr>
      <w:r>
        <w:rPr>
          <w:spacing w:val="-3"/>
          <w:w w:val="120"/>
          <w:sz w:val="20"/>
        </w:rPr>
        <w:t>EM2 </w:t>
      </w:r>
      <w:r>
        <w:rPr>
          <w:i/>
          <w:w w:val="120"/>
          <w:sz w:val="20"/>
        </w:rPr>
        <w:t>– </w:t>
      </w:r>
      <w:r>
        <w:rPr>
          <w:w w:val="120"/>
          <w:sz w:val="20"/>
        </w:rPr>
        <w:t>The </w:t>
      </w:r>
      <w:r>
        <w:rPr>
          <w:spacing w:val="-3"/>
          <w:w w:val="120"/>
          <w:sz w:val="20"/>
        </w:rPr>
        <w:t>EM2 </w:t>
      </w:r>
      <w:r>
        <w:rPr>
          <w:w w:val="120"/>
          <w:sz w:val="20"/>
        </w:rPr>
        <w:t>phase normally begins at </w:t>
      </w:r>
      <w:r>
        <w:rPr>
          <w:spacing w:val="-3"/>
          <w:w w:val="120"/>
          <w:sz w:val="20"/>
        </w:rPr>
        <w:t>ordination to </w:t>
      </w:r>
      <w:r>
        <w:rPr>
          <w:w w:val="120"/>
          <w:sz w:val="20"/>
        </w:rPr>
        <w:t>the ministry of </w:t>
      </w:r>
      <w:r>
        <w:rPr>
          <w:spacing w:val="-3"/>
          <w:w w:val="120"/>
          <w:sz w:val="20"/>
        </w:rPr>
        <w:t>Word </w:t>
      </w:r>
      <w:r>
        <w:rPr>
          <w:w w:val="120"/>
          <w:sz w:val="20"/>
        </w:rPr>
        <w:t>and Sacrament or </w:t>
      </w:r>
      <w:r>
        <w:rPr>
          <w:spacing w:val="-3"/>
          <w:w w:val="120"/>
          <w:sz w:val="20"/>
        </w:rPr>
        <w:t>commissioning to Church Related </w:t>
      </w:r>
      <w:r>
        <w:rPr>
          <w:w w:val="120"/>
          <w:sz w:val="20"/>
        </w:rPr>
        <w:t>Community Work and ends with</w:t>
      </w:r>
      <w:r>
        <w:rPr>
          <w:spacing w:val="9"/>
          <w:w w:val="120"/>
          <w:sz w:val="20"/>
        </w:rPr>
        <w:t> </w:t>
      </w:r>
      <w:r>
        <w:rPr>
          <w:w w:val="120"/>
          <w:sz w:val="20"/>
        </w:rPr>
        <w:t>a</w:t>
      </w:r>
    </w:p>
    <w:p>
      <w:pPr>
        <w:pStyle w:val="BodyText"/>
        <w:spacing w:line="235" w:lineRule="auto" w:before="2"/>
        <w:ind w:left="1133" w:right="1762"/>
      </w:pPr>
      <w:r>
        <w:rPr>
          <w:w w:val="120"/>
        </w:rPr>
        <w:t>certificate of </w:t>
      </w:r>
      <w:r>
        <w:rPr>
          <w:spacing w:val="-3"/>
          <w:w w:val="120"/>
        </w:rPr>
        <w:t>completion </w:t>
      </w:r>
      <w:r>
        <w:rPr>
          <w:w w:val="120"/>
        </w:rPr>
        <w:t>of </w:t>
      </w:r>
      <w:r>
        <w:rPr>
          <w:spacing w:val="-3"/>
          <w:w w:val="120"/>
        </w:rPr>
        <w:t>EM2. </w:t>
      </w:r>
      <w:r>
        <w:rPr>
          <w:w w:val="120"/>
        </w:rPr>
        <w:t>Learning is </w:t>
      </w:r>
      <w:r>
        <w:rPr>
          <w:spacing w:val="-3"/>
          <w:w w:val="120"/>
        </w:rPr>
        <w:t>always </w:t>
      </w:r>
      <w:r>
        <w:rPr>
          <w:w w:val="120"/>
        </w:rPr>
        <w:t>the responsibility of the </w:t>
      </w:r>
      <w:r>
        <w:rPr>
          <w:spacing w:val="-3"/>
          <w:w w:val="120"/>
        </w:rPr>
        <w:t>individual, </w:t>
      </w:r>
      <w:r>
        <w:rPr>
          <w:w w:val="120"/>
        </w:rPr>
        <w:t>but the transition </w:t>
      </w:r>
      <w:r>
        <w:rPr>
          <w:spacing w:val="-3"/>
          <w:w w:val="120"/>
        </w:rPr>
        <w:t>to EM2 includes </w:t>
      </w:r>
      <w:r>
        <w:rPr>
          <w:w w:val="120"/>
        </w:rPr>
        <w:t>a </w:t>
      </w:r>
      <w:r>
        <w:rPr>
          <w:spacing w:val="-3"/>
          <w:w w:val="120"/>
        </w:rPr>
        <w:t>move </w:t>
      </w:r>
      <w:r>
        <w:rPr>
          <w:w w:val="120"/>
        </w:rPr>
        <w:t>from the educational structures which are designed </w:t>
      </w:r>
      <w:r>
        <w:rPr>
          <w:spacing w:val="-3"/>
          <w:w w:val="120"/>
        </w:rPr>
        <w:t>to </w:t>
      </w:r>
      <w:r>
        <w:rPr>
          <w:w w:val="120"/>
        </w:rPr>
        <w:t>provide support and stimulation during </w:t>
      </w:r>
      <w:r>
        <w:rPr>
          <w:spacing w:val="-8"/>
          <w:w w:val="120"/>
        </w:rPr>
        <w:t>EM1. </w:t>
      </w:r>
      <w:r>
        <w:rPr>
          <w:w w:val="120"/>
        </w:rPr>
        <w:t>Early public ministry can be a time of </w:t>
      </w:r>
      <w:r>
        <w:rPr>
          <w:spacing w:val="-3"/>
          <w:w w:val="120"/>
        </w:rPr>
        <w:t>isolation, </w:t>
      </w:r>
      <w:r>
        <w:rPr>
          <w:w w:val="120"/>
        </w:rPr>
        <w:t>with little line management, few </w:t>
      </w:r>
      <w:r>
        <w:rPr>
          <w:spacing w:val="-3"/>
          <w:w w:val="120"/>
        </w:rPr>
        <w:t>colleagues </w:t>
      </w:r>
      <w:r>
        <w:rPr>
          <w:w w:val="120"/>
        </w:rPr>
        <w:t>and </w:t>
      </w:r>
      <w:r>
        <w:rPr>
          <w:spacing w:val="-5"/>
          <w:w w:val="120"/>
        </w:rPr>
        <w:t>few, </w:t>
      </w:r>
      <w:r>
        <w:rPr>
          <w:w w:val="120"/>
        </w:rPr>
        <w:t>mostly </w:t>
      </w:r>
      <w:r>
        <w:rPr>
          <w:spacing w:val="-3"/>
          <w:w w:val="120"/>
        </w:rPr>
        <w:t>volunteer </w:t>
      </w:r>
      <w:r>
        <w:rPr>
          <w:w w:val="120"/>
        </w:rPr>
        <w:t>staff and, for </w:t>
      </w:r>
      <w:r>
        <w:rPr>
          <w:spacing w:val="-6"/>
          <w:w w:val="120"/>
        </w:rPr>
        <w:t>many, </w:t>
      </w:r>
      <w:r>
        <w:rPr>
          <w:w w:val="120"/>
        </w:rPr>
        <w:t>a significant change from a prior employment experience. The </w:t>
      </w:r>
      <w:r>
        <w:rPr>
          <w:spacing w:val="-3"/>
          <w:w w:val="120"/>
        </w:rPr>
        <w:t>EM2 </w:t>
      </w:r>
      <w:r>
        <w:rPr>
          <w:w w:val="120"/>
        </w:rPr>
        <w:t>period is a time </w:t>
      </w:r>
      <w:r>
        <w:rPr>
          <w:spacing w:val="-3"/>
          <w:w w:val="120"/>
        </w:rPr>
        <w:t>to </w:t>
      </w:r>
      <w:r>
        <w:rPr>
          <w:w w:val="120"/>
        </w:rPr>
        <w:t>learn </w:t>
      </w:r>
      <w:r>
        <w:rPr>
          <w:spacing w:val="-2"/>
          <w:w w:val="120"/>
        </w:rPr>
        <w:t>how </w:t>
      </w:r>
      <w:r>
        <w:rPr>
          <w:spacing w:val="-3"/>
          <w:w w:val="120"/>
        </w:rPr>
        <w:t>to </w:t>
      </w:r>
      <w:r>
        <w:rPr>
          <w:w w:val="120"/>
        </w:rPr>
        <w:t>work in new </w:t>
      </w:r>
      <w:r>
        <w:rPr>
          <w:spacing w:val="-3"/>
          <w:w w:val="120"/>
        </w:rPr>
        <w:t>circumstances </w:t>
      </w:r>
      <w:r>
        <w:rPr>
          <w:w w:val="120"/>
        </w:rPr>
        <w:t>and </w:t>
      </w:r>
      <w:r>
        <w:rPr>
          <w:spacing w:val="-3"/>
          <w:w w:val="120"/>
        </w:rPr>
        <w:t>to </w:t>
      </w:r>
      <w:r>
        <w:rPr>
          <w:w w:val="120"/>
        </w:rPr>
        <w:t>share that learning with others. The </w:t>
      </w:r>
      <w:r>
        <w:rPr>
          <w:spacing w:val="-3"/>
          <w:w w:val="120"/>
        </w:rPr>
        <w:t>EM2 </w:t>
      </w:r>
      <w:r>
        <w:rPr>
          <w:w w:val="120"/>
        </w:rPr>
        <w:t>period sits alongside </w:t>
      </w:r>
      <w:r>
        <w:rPr>
          <w:spacing w:val="-3"/>
          <w:w w:val="120"/>
        </w:rPr>
        <w:t>similar </w:t>
      </w:r>
      <w:r>
        <w:rPr>
          <w:w w:val="120"/>
        </w:rPr>
        <w:t>periods in other </w:t>
      </w:r>
      <w:r>
        <w:rPr>
          <w:spacing w:val="-3"/>
          <w:w w:val="120"/>
        </w:rPr>
        <w:t>denominations, yet </w:t>
      </w:r>
      <w:r>
        <w:rPr>
          <w:w w:val="120"/>
        </w:rPr>
        <w:t>is </w:t>
      </w:r>
      <w:r>
        <w:rPr>
          <w:spacing w:val="-3"/>
          <w:w w:val="120"/>
        </w:rPr>
        <w:t>quite </w:t>
      </w:r>
      <w:r>
        <w:rPr>
          <w:w w:val="120"/>
        </w:rPr>
        <w:t>distinct. </w:t>
      </w:r>
      <w:r>
        <w:rPr>
          <w:spacing w:val="-3"/>
          <w:w w:val="120"/>
        </w:rPr>
        <w:t>EM2 ministers</w:t>
      </w:r>
    </w:p>
    <w:p>
      <w:pPr>
        <w:pStyle w:val="BodyText"/>
        <w:spacing w:line="235" w:lineRule="auto" w:before="5"/>
        <w:ind w:left="1133" w:right="2111"/>
      </w:pPr>
      <w:r>
        <w:rPr>
          <w:w w:val="120"/>
        </w:rPr>
        <w:t>are people in recognised posts of responsibility, with no further required recognitions. In growing ecumenical training relationships, however, it may be that some training in this period is shared, yet the expectations of EM2 remain unique.</w:t>
      </w:r>
    </w:p>
    <w:p>
      <w:pPr>
        <w:pStyle w:val="BodyText"/>
        <w:spacing w:before="10"/>
        <w:rPr>
          <w:sz w:val="19"/>
        </w:rPr>
      </w:pPr>
    </w:p>
    <w:p>
      <w:pPr>
        <w:pStyle w:val="ListParagraph"/>
        <w:numPr>
          <w:ilvl w:val="3"/>
          <w:numId w:val="125"/>
        </w:numPr>
        <w:tabs>
          <w:tab w:pos="2040" w:val="left" w:leader="none"/>
          <w:tab w:pos="2041" w:val="left" w:leader="none"/>
        </w:tabs>
        <w:spacing w:line="235" w:lineRule="auto" w:before="0" w:after="0"/>
        <w:ind w:left="1133" w:right="2210" w:firstLine="0"/>
        <w:jc w:val="left"/>
        <w:rPr>
          <w:sz w:val="20"/>
        </w:rPr>
      </w:pPr>
      <w:r>
        <w:rPr>
          <w:w w:val="120"/>
          <w:sz w:val="20"/>
        </w:rPr>
        <w:t>EM2 is a partnership framework in which the EM2er is supported by a range of</w:t>
      </w:r>
      <w:r>
        <w:rPr>
          <w:spacing w:val="8"/>
          <w:w w:val="120"/>
          <w:sz w:val="20"/>
        </w:rPr>
        <w:t> </w:t>
      </w:r>
      <w:r>
        <w:rPr>
          <w:w w:val="120"/>
          <w:sz w:val="20"/>
        </w:rPr>
        <w:t>people</w:t>
      </w:r>
      <w:r>
        <w:rPr>
          <w:spacing w:val="8"/>
          <w:w w:val="120"/>
          <w:sz w:val="20"/>
        </w:rPr>
        <w:t> </w:t>
      </w:r>
      <w:r>
        <w:rPr>
          <w:w w:val="120"/>
          <w:sz w:val="20"/>
        </w:rPr>
        <w:t>and</w:t>
      </w:r>
      <w:r>
        <w:rPr>
          <w:spacing w:val="9"/>
          <w:w w:val="120"/>
          <w:sz w:val="20"/>
        </w:rPr>
        <w:t> </w:t>
      </w:r>
      <w:r>
        <w:rPr>
          <w:w w:val="120"/>
          <w:sz w:val="20"/>
        </w:rPr>
        <w:t>funding.</w:t>
      </w:r>
      <w:r>
        <w:rPr>
          <w:spacing w:val="8"/>
          <w:w w:val="120"/>
          <w:sz w:val="20"/>
        </w:rPr>
        <w:t> </w:t>
      </w:r>
      <w:r>
        <w:rPr>
          <w:w w:val="120"/>
          <w:sz w:val="20"/>
        </w:rPr>
        <w:t>There</w:t>
      </w:r>
      <w:r>
        <w:rPr>
          <w:spacing w:val="9"/>
          <w:w w:val="120"/>
          <w:sz w:val="20"/>
        </w:rPr>
        <w:t> </w:t>
      </w:r>
      <w:r>
        <w:rPr>
          <w:w w:val="120"/>
          <w:sz w:val="20"/>
        </w:rPr>
        <w:t>are</w:t>
      </w:r>
      <w:r>
        <w:rPr>
          <w:spacing w:val="8"/>
          <w:w w:val="120"/>
          <w:sz w:val="20"/>
        </w:rPr>
        <w:t> </w:t>
      </w:r>
      <w:r>
        <w:rPr>
          <w:w w:val="120"/>
          <w:sz w:val="20"/>
        </w:rPr>
        <w:t>residential</w:t>
      </w:r>
      <w:r>
        <w:rPr>
          <w:spacing w:val="8"/>
          <w:w w:val="120"/>
          <w:sz w:val="20"/>
        </w:rPr>
        <w:t> </w:t>
      </w:r>
      <w:r>
        <w:rPr>
          <w:w w:val="120"/>
          <w:sz w:val="20"/>
        </w:rPr>
        <w:t>learning</w:t>
      </w:r>
      <w:r>
        <w:rPr>
          <w:spacing w:val="9"/>
          <w:w w:val="120"/>
          <w:sz w:val="20"/>
        </w:rPr>
        <w:t> </w:t>
      </w:r>
      <w:r>
        <w:rPr>
          <w:w w:val="120"/>
          <w:sz w:val="20"/>
        </w:rPr>
        <w:t>events</w:t>
      </w:r>
      <w:r>
        <w:rPr>
          <w:spacing w:val="8"/>
          <w:w w:val="120"/>
          <w:sz w:val="20"/>
        </w:rPr>
        <w:t> </w:t>
      </w:r>
      <w:r>
        <w:rPr>
          <w:w w:val="120"/>
          <w:sz w:val="20"/>
        </w:rPr>
        <w:t>arranged</w:t>
      </w:r>
      <w:r>
        <w:rPr>
          <w:spacing w:val="9"/>
          <w:w w:val="120"/>
          <w:sz w:val="20"/>
        </w:rPr>
        <w:t> </w:t>
      </w:r>
      <w:r>
        <w:rPr>
          <w:w w:val="120"/>
          <w:sz w:val="20"/>
        </w:rPr>
        <w:t>by</w:t>
      </w:r>
      <w:r>
        <w:rPr>
          <w:spacing w:val="8"/>
          <w:w w:val="120"/>
          <w:sz w:val="20"/>
        </w:rPr>
        <w:t> </w:t>
      </w:r>
      <w:r>
        <w:rPr>
          <w:w w:val="120"/>
          <w:sz w:val="20"/>
        </w:rPr>
        <w:t>the</w:t>
      </w:r>
      <w:r>
        <w:rPr>
          <w:spacing w:val="9"/>
          <w:w w:val="120"/>
          <w:sz w:val="20"/>
        </w:rPr>
        <w:t> </w:t>
      </w:r>
      <w:r>
        <w:rPr>
          <w:w w:val="120"/>
          <w:sz w:val="20"/>
        </w:rPr>
        <w:t>Assembly</w:t>
      </w:r>
    </w:p>
    <w:p>
      <w:pPr>
        <w:pStyle w:val="BodyText"/>
        <w:spacing w:line="235" w:lineRule="auto" w:before="1"/>
        <w:ind w:left="1133" w:right="1997"/>
      </w:pPr>
      <w:r>
        <w:rPr>
          <w:w w:val="120"/>
        </w:rPr>
        <w:t>EM2/3 officer with two fixed events required in year one, and at least one training event in each of years two and three of EM2. These events are a combination of learning input, practice and reflection, designed to help the EM2er go forward in their ministry more equipped to approach areas of work or personal development. EM2 study sessions are organised in each synod, and EM2ers are encouraged to attend Synod Spring/Summer Schools. Some EM2ers participate in EM2 alongside undertaking further degrees. With additional budget to take up other kinds of learning related to their context of ministry,</w:t>
      </w:r>
    </w:p>
    <w:p>
      <w:pPr>
        <w:spacing w:after="0" w:line="235" w:lineRule="auto"/>
        <w:sectPr>
          <w:pgSz w:w="11910" w:h="16840"/>
          <w:pgMar w:header="0" w:footer="647" w:top="1060" w:bottom="840" w:left="0" w:right="0"/>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2037120" filled="true" fillcolor="#dae4ec" stroked="false">
            <v:fill opacity="32768f" type="solid"/>
            <w10:wrap type="none"/>
          </v:rect>
        </w:pict>
      </w:r>
      <w:r>
        <w:rPr>
          <w:w w:val="120"/>
        </w:rPr>
        <w:t>and increased flexibility in developing individual programmes, EM2ers are better able than in the past to shape their own learning, within the context of assembly and synod expectations. Each EM2er is supported by an EM2 pastoral adviser appointed at the beginning of EM2 and who variously assists in theological reflection, offers pastoral support and acts as a critical friend and sounding board.</w:t>
      </w:r>
    </w:p>
    <w:p>
      <w:pPr>
        <w:pStyle w:val="BodyText"/>
        <w:spacing w:before="11"/>
        <w:rPr>
          <w:sz w:val="19"/>
        </w:rPr>
      </w:pPr>
    </w:p>
    <w:p>
      <w:pPr>
        <w:pStyle w:val="ListParagraph"/>
        <w:numPr>
          <w:ilvl w:val="3"/>
          <w:numId w:val="126"/>
        </w:numPr>
        <w:tabs>
          <w:tab w:pos="2891" w:val="left" w:leader="none"/>
          <w:tab w:pos="2892" w:val="left" w:leader="none"/>
        </w:tabs>
        <w:spacing w:line="235" w:lineRule="auto" w:before="0" w:after="0"/>
        <w:ind w:left="1984" w:right="1131" w:firstLine="0"/>
        <w:jc w:val="left"/>
        <w:rPr>
          <w:sz w:val="20"/>
        </w:rPr>
      </w:pPr>
      <w:r>
        <w:rPr>
          <w:w w:val="120"/>
          <w:sz w:val="20"/>
        </w:rPr>
        <w:t>The </w:t>
      </w:r>
      <w:r>
        <w:rPr>
          <w:spacing w:val="-3"/>
          <w:w w:val="120"/>
          <w:sz w:val="20"/>
        </w:rPr>
        <w:t>EM2 </w:t>
      </w:r>
      <w:r>
        <w:rPr>
          <w:w w:val="120"/>
          <w:sz w:val="20"/>
        </w:rPr>
        <w:t>cohort has reduced in </w:t>
      </w:r>
      <w:r>
        <w:rPr>
          <w:spacing w:val="-3"/>
          <w:w w:val="120"/>
          <w:sz w:val="20"/>
        </w:rPr>
        <w:t>recent </w:t>
      </w:r>
      <w:r>
        <w:rPr>
          <w:w w:val="120"/>
          <w:sz w:val="20"/>
        </w:rPr>
        <w:t>years, from </w:t>
      </w:r>
      <w:r>
        <w:rPr>
          <w:spacing w:val="-6"/>
          <w:w w:val="120"/>
          <w:sz w:val="20"/>
        </w:rPr>
        <w:t>87 </w:t>
      </w:r>
      <w:r>
        <w:rPr>
          <w:w w:val="120"/>
          <w:sz w:val="20"/>
        </w:rPr>
        <w:t>in </w:t>
      </w:r>
      <w:r>
        <w:rPr>
          <w:spacing w:val="-6"/>
          <w:w w:val="120"/>
          <w:sz w:val="20"/>
        </w:rPr>
        <w:t>2007/08 </w:t>
      </w:r>
      <w:r>
        <w:rPr>
          <w:spacing w:val="-3"/>
          <w:w w:val="120"/>
          <w:sz w:val="20"/>
        </w:rPr>
        <w:t>to 82 </w:t>
      </w:r>
      <w:r>
        <w:rPr>
          <w:w w:val="120"/>
          <w:sz w:val="20"/>
        </w:rPr>
        <w:t>in 2008/08 and 73 in </w:t>
      </w:r>
      <w:r>
        <w:rPr>
          <w:spacing w:val="-6"/>
          <w:w w:val="120"/>
          <w:sz w:val="20"/>
        </w:rPr>
        <w:t>2009/2010. </w:t>
      </w:r>
      <w:r>
        <w:rPr>
          <w:spacing w:val="-3"/>
          <w:w w:val="120"/>
          <w:sz w:val="20"/>
        </w:rPr>
        <w:t>EM2 weekends </w:t>
      </w:r>
      <w:r>
        <w:rPr>
          <w:w w:val="120"/>
          <w:sz w:val="20"/>
        </w:rPr>
        <w:t>used </w:t>
      </w:r>
      <w:r>
        <w:rPr>
          <w:spacing w:val="-3"/>
          <w:w w:val="120"/>
          <w:sz w:val="20"/>
        </w:rPr>
        <w:t>to have </w:t>
      </w:r>
      <w:r>
        <w:rPr>
          <w:w w:val="120"/>
          <w:sz w:val="20"/>
        </w:rPr>
        <w:t>a regular participant number of between </w:t>
      </w:r>
      <w:r>
        <w:rPr>
          <w:spacing w:val="-10"/>
          <w:w w:val="120"/>
          <w:sz w:val="20"/>
        </w:rPr>
        <w:t>15 </w:t>
      </w:r>
      <w:r>
        <w:rPr>
          <w:w w:val="120"/>
          <w:sz w:val="20"/>
        </w:rPr>
        <w:t>and </w:t>
      </w:r>
      <w:r>
        <w:rPr>
          <w:spacing w:val="-3"/>
          <w:w w:val="120"/>
          <w:sz w:val="20"/>
        </w:rPr>
        <w:t>20, </w:t>
      </w:r>
      <w:r>
        <w:rPr>
          <w:w w:val="120"/>
          <w:sz w:val="20"/>
        </w:rPr>
        <w:t>but the numbers, allied </w:t>
      </w:r>
      <w:r>
        <w:rPr>
          <w:spacing w:val="-3"/>
          <w:w w:val="120"/>
          <w:sz w:val="20"/>
        </w:rPr>
        <w:t>to </w:t>
      </w:r>
      <w:r>
        <w:rPr>
          <w:w w:val="120"/>
          <w:sz w:val="20"/>
        </w:rPr>
        <w:t>the numbers going forward for </w:t>
      </w:r>
      <w:r>
        <w:rPr>
          <w:spacing w:val="-3"/>
          <w:w w:val="120"/>
          <w:sz w:val="20"/>
        </w:rPr>
        <w:t>ordination </w:t>
      </w:r>
      <w:r>
        <w:rPr>
          <w:w w:val="120"/>
          <w:sz w:val="20"/>
        </w:rPr>
        <w:t>or </w:t>
      </w:r>
      <w:r>
        <w:rPr>
          <w:spacing w:val="-3"/>
          <w:w w:val="120"/>
          <w:sz w:val="20"/>
        </w:rPr>
        <w:t>commissioning, </w:t>
      </w:r>
      <w:r>
        <w:rPr>
          <w:w w:val="120"/>
          <w:sz w:val="20"/>
        </w:rPr>
        <w:t>are reducing </w:t>
      </w:r>
      <w:r>
        <w:rPr>
          <w:spacing w:val="-3"/>
          <w:w w:val="120"/>
          <w:sz w:val="20"/>
        </w:rPr>
        <w:t>to </w:t>
      </w:r>
      <w:r>
        <w:rPr>
          <w:w w:val="120"/>
          <w:sz w:val="20"/>
        </w:rPr>
        <w:t>a </w:t>
      </w:r>
      <w:r>
        <w:rPr>
          <w:spacing w:val="-3"/>
          <w:w w:val="120"/>
          <w:sz w:val="20"/>
        </w:rPr>
        <w:t>usual attendance </w:t>
      </w:r>
      <w:r>
        <w:rPr>
          <w:w w:val="120"/>
          <w:sz w:val="20"/>
        </w:rPr>
        <w:t>of between 7 and</w:t>
      </w:r>
      <w:r>
        <w:rPr>
          <w:spacing w:val="1"/>
          <w:w w:val="120"/>
          <w:sz w:val="20"/>
        </w:rPr>
        <w:t> </w:t>
      </w:r>
      <w:r>
        <w:rPr>
          <w:spacing w:val="-9"/>
          <w:w w:val="120"/>
          <w:sz w:val="20"/>
        </w:rPr>
        <w:t>15.</w:t>
      </w:r>
    </w:p>
    <w:p>
      <w:pPr>
        <w:pStyle w:val="BodyText"/>
        <w:spacing w:before="11"/>
        <w:rPr>
          <w:sz w:val="19"/>
        </w:rPr>
      </w:pPr>
    </w:p>
    <w:p>
      <w:pPr>
        <w:pStyle w:val="ListParagraph"/>
        <w:numPr>
          <w:ilvl w:val="3"/>
          <w:numId w:val="126"/>
        </w:numPr>
        <w:tabs>
          <w:tab w:pos="2891" w:val="left" w:leader="none"/>
          <w:tab w:pos="2892" w:val="left" w:leader="none"/>
        </w:tabs>
        <w:spacing w:line="235" w:lineRule="auto" w:before="0" w:after="0"/>
        <w:ind w:left="1984" w:right="1139" w:hanging="1"/>
        <w:jc w:val="left"/>
        <w:rPr>
          <w:sz w:val="20"/>
        </w:rPr>
      </w:pPr>
      <w:r>
        <w:rPr>
          <w:spacing w:val="-4"/>
          <w:w w:val="120"/>
          <w:sz w:val="20"/>
        </w:rPr>
        <w:t>EM3 </w:t>
      </w:r>
      <w:r>
        <w:rPr>
          <w:i/>
          <w:w w:val="120"/>
          <w:sz w:val="20"/>
        </w:rPr>
        <w:t>– </w:t>
      </w:r>
      <w:r>
        <w:rPr>
          <w:w w:val="120"/>
          <w:sz w:val="20"/>
        </w:rPr>
        <w:t>The purpose of </w:t>
      </w:r>
      <w:r>
        <w:rPr>
          <w:spacing w:val="-4"/>
          <w:w w:val="120"/>
          <w:sz w:val="20"/>
        </w:rPr>
        <w:t>EM3 </w:t>
      </w:r>
      <w:r>
        <w:rPr>
          <w:w w:val="120"/>
          <w:sz w:val="20"/>
        </w:rPr>
        <w:t>is </w:t>
      </w:r>
      <w:r>
        <w:rPr>
          <w:spacing w:val="-3"/>
          <w:w w:val="120"/>
          <w:sz w:val="20"/>
        </w:rPr>
        <w:t>to </w:t>
      </w:r>
      <w:r>
        <w:rPr>
          <w:w w:val="120"/>
          <w:sz w:val="20"/>
        </w:rPr>
        <w:t>deepen knowledge and </w:t>
      </w:r>
      <w:r>
        <w:rPr>
          <w:spacing w:val="-3"/>
          <w:w w:val="120"/>
          <w:sz w:val="20"/>
        </w:rPr>
        <w:t>develop </w:t>
      </w:r>
      <w:r>
        <w:rPr>
          <w:w w:val="120"/>
          <w:sz w:val="20"/>
        </w:rPr>
        <w:t>professional practice, and it </w:t>
      </w:r>
      <w:r>
        <w:rPr>
          <w:spacing w:val="-3"/>
          <w:w w:val="120"/>
          <w:sz w:val="20"/>
        </w:rPr>
        <w:t>continues </w:t>
      </w:r>
      <w:r>
        <w:rPr>
          <w:w w:val="120"/>
          <w:sz w:val="20"/>
        </w:rPr>
        <w:t>throughout the whole of a </w:t>
      </w:r>
      <w:r>
        <w:rPr>
          <w:spacing w:val="-4"/>
          <w:w w:val="120"/>
          <w:sz w:val="20"/>
        </w:rPr>
        <w:t>person’s </w:t>
      </w:r>
      <w:r>
        <w:rPr>
          <w:w w:val="120"/>
          <w:sz w:val="20"/>
        </w:rPr>
        <w:t>active </w:t>
      </w:r>
      <w:r>
        <w:rPr>
          <w:spacing w:val="-3"/>
          <w:w w:val="120"/>
          <w:sz w:val="20"/>
        </w:rPr>
        <w:t>ministry. </w:t>
      </w:r>
      <w:r>
        <w:rPr>
          <w:w w:val="120"/>
          <w:sz w:val="20"/>
        </w:rPr>
        <w:t>The  </w:t>
      </w:r>
      <w:r>
        <w:rPr>
          <w:spacing w:val="-3"/>
          <w:w w:val="120"/>
          <w:sz w:val="20"/>
        </w:rPr>
        <w:t>emphasis </w:t>
      </w:r>
      <w:r>
        <w:rPr>
          <w:w w:val="120"/>
          <w:sz w:val="20"/>
        </w:rPr>
        <w:t>in </w:t>
      </w:r>
      <w:r>
        <w:rPr>
          <w:spacing w:val="-4"/>
          <w:w w:val="120"/>
          <w:sz w:val="20"/>
        </w:rPr>
        <w:t>EM3 </w:t>
      </w:r>
      <w:r>
        <w:rPr>
          <w:w w:val="120"/>
          <w:sz w:val="20"/>
        </w:rPr>
        <w:t>on </w:t>
      </w:r>
      <w:r>
        <w:rPr>
          <w:spacing w:val="-3"/>
          <w:w w:val="120"/>
          <w:sz w:val="20"/>
        </w:rPr>
        <w:t>continuing </w:t>
      </w:r>
      <w:r>
        <w:rPr>
          <w:w w:val="120"/>
          <w:sz w:val="20"/>
        </w:rPr>
        <w:t>development </w:t>
      </w:r>
      <w:r>
        <w:rPr>
          <w:spacing w:val="-3"/>
          <w:w w:val="120"/>
          <w:sz w:val="20"/>
        </w:rPr>
        <w:t>may include </w:t>
      </w:r>
      <w:r>
        <w:rPr>
          <w:w w:val="120"/>
          <w:sz w:val="20"/>
        </w:rPr>
        <w:t>taking up new learning opportunities with each change of ministry and context. </w:t>
      </w:r>
      <w:r>
        <w:rPr>
          <w:spacing w:val="-3"/>
          <w:w w:val="120"/>
          <w:sz w:val="20"/>
        </w:rPr>
        <w:t>EM3ers may </w:t>
      </w:r>
      <w:r>
        <w:rPr>
          <w:w w:val="120"/>
          <w:sz w:val="20"/>
        </w:rPr>
        <w:t>work with mentors, spiritual</w:t>
      </w:r>
      <w:r>
        <w:rPr>
          <w:spacing w:val="-9"/>
          <w:w w:val="120"/>
          <w:sz w:val="20"/>
        </w:rPr>
        <w:t> </w:t>
      </w:r>
      <w:r>
        <w:rPr>
          <w:w w:val="120"/>
          <w:sz w:val="20"/>
        </w:rPr>
        <w:t>directors</w:t>
      </w:r>
      <w:r>
        <w:rPr>
          <w:spacing w:val="-8"/>
          <w:w w:val="120"/>
          <w:sz w:val="20"/>
        </w:rPr>
        <w:t> </w:t>
      </w:r>
      <w:r>
        <w:rPr>
          <w:w w:val="120"/>
          <w:sz w:val="20"/>
        </w:rPr>
        <w:t>and</w:t>
      </w:r>
      <w:r>
        <w:rPr>
          <w:spacing w:val="-8"/>
          <w:w w:val="120"/>
          <w:sz w:val="20"/>
        </w:rPr>
        <w:t> </w:t>
      </w:r>
      <w:r>
        <w:rPr>
          <w:w w:val="120"/>
          <w:sz w:val="20"/>
        </w:rPr>
        <w:t>other</w:t>
      </w:r>
      <w:r>
        <w:rPr>
          <w:spacing w:val="-8"/>
          <w:w w:val="120"/>
          <w:sz w:val="20"/>
        </w:rPr>
        <w:t> </w:t>
      </w:r>
      <w:r>
        <w:rPr>
          <w:spacing w:val="-3"/>
          <w:w w:val="120"/>
          <w:sz w:val="20"/>
        </w:rPr>
        <w:t>key</w:t>
      </w:r>
      <w:r>
        <w:rPr>
          <w:spacing w:val="-8"/>
          <w:w w:val="120"/>
          <w:sz w:val="20"/>
        </w:rPr>
        <w:t> </w:t>
      </w:r>
      <w:r>
        <w:rPr>
          <w:spacing w:val="-3"/>
          <w:w w:val="120"/>
          <w:sz w:val="20"/>
        </w:rPr>
        <w:t>accompaniers</w:t>
      </w:r>
      <w:r>
        <w:rPr>
          <w:spacing w:val="-8"/>
          <w:w w:val="120"/>
          <w:sz w:val="20"/>
        </w:rPr>
        <w:t> </w:t>
      </w:r>
      <w:r>
        <w:rPr>
          <w:w w:val="120"/>
          <w:sz w:val="20"/>
        </w:rPr>
        <w:t>as</w:t>
      </w:r>
      <w:r>
        <w:rPr>
          <w:spacing w:val="-8"/>
          <w:w w:val="120"/>
          <w:sz w:val="20"/>
        </w:rPr>
        <w:t> </w:t>
      </w:r>
      <w:r>
        <w:rPr>
          <w:w w:val="120"/>
          <w:sz w:val="20"/>
        </w:rPr>
        <w:t>they</w:t>
      </w:r>
      <w:r>
        <w:rPr>
          <w:spacing w:val="-8"/>
          <w:w w:val="120"/>
          <w:sz w:val="20"/>
        </w:rPr>
        <w:t> </w:t>
      </w:r>
      <w:r>
        <w:rPr>
          <w:spacing w:val="-3"/>
          <w:w w:val="120"/>
          <w:sz w:val="20"/>
        </w:rPr>
        <w:t>choose,</w:t>
      </w:r>
      <w:r>
        <w:rPr>
          <w:spacing w:val="-8"/>
          <w:w w:val="120"/>
          <w:sz w:val="20"/>
        </w:rPr>
        <w:t> </w:t>
      </w:r>
      <w:r>
        <w:rPr>
          <w:w w:val="120"/>
          <w:sz w:val="20"/>
        </w:rPr>
        <w:t>with</w:t>
      </w:r>
      <w:r>
        <w:rPr>
          <w:spacing w:val="-8"/>
          <w:w w:val="120"/>
          <w:sz w:val="20"/>
        </w:rPr>
        <w:t> </w:t>
      </w:r>
      <w:r>
        <w:rPr>
          <w:w w:val="120"/>
          <w:sz w:val="20"/>
        </w:rPr>
        <w:t>roles</w:t>
      </w:r>
      <w:r>
        <w:rPr>
          <w:spacing w:val="-8"/>
          <w:w w:val="120"/>
          <w:sz w:val="20"/>
        </w:rPr>
        <w:t> </w:t>
      </w:r>
      <w:r>
        <w:rPr>
          <w:w w:val="120"/>
          <w:sz w:val="20"/>
        </w:rPr>
        <w:t>akin</w:t>
      </w:r>
      <w:r>
        <w:rPr>
          <w:spacing w:val="-8"/>
          <w:w w:val="120"/>
          <w:sz w:val="20"/>
        </w:rPr>
        <w:t> </w:t>
      </w:r>
      <w:r>
        <w:rPr>
          <w:w w:val="120"/>
          <w:sz w:val="20"/>
        </w:rPr>
        <w:t>in</w:t>
      </w:r>
      <w:r>
        <w:rPr>
          <w:spacing w:val="-9"/>
          <w:w w:val="120"/>
          <w:sz w:val="20"/>
        </w:rPr>
        <w:t> </w:t>
      </w:r>
      <w:r>
        <w:rPr>
          <w:w w:val="120"/>
          <w:sz w:val="20"/>
        </w:rPr>
        <w:t>some</w:t>
      </w:r>
      <w:r>
        <w:rPr>
          <w:spacing w:val="-8"/>
          <w:w w:val="120"/>
          <w:sz w:val="20"/>
        </w:rPr>
        <w:t> </w:t>
      </w:r>
      <w:r>
        <w:rPr>
          <w:spacing w:val="-3"/>
          <w:w w:val="120"/>
          <w:sz w:val="20"/>
        </w:rPr>
        <w:t>ways to </w:t>
      </w:r>
      <w:r>
        <w:rPr>
          <w:w w:val="120"/>
          <w:sz w:val="20"/>
        </w:rPr>
        <w:t>the pastoral advisers of </w:t>
      </w:r>
      <w:r>
        <w:rPr>
          <w:spacing w:val="-3"/>
          <w:w w:val="120"/>
          <w:sz w:val="20"/>
        </w:rPr>
        <w:t>EM2. Synod </w:t>
      </w:r>
      <w:r>
        <w:rPr>
          <w:w w:val="120"/>
          <w:sz w:val="20"/>
        </w:rPr>
        <w:t>training officers provide </w:t>
      </w:r>
      <w:r>
        <w:rPr>
          <w:spacing w:val="-3"/>
          <w:w w:val="120"/>
          <w:sz w:val="20"/>
        </w:rPr>
        <w:t>advice </w:t>
      </w:r>
      <w:r>
        <w:rPr>
          <w:w w:val="120"/>
          <w:sz w:val="20"/>
        </w:rPr>
        <w:t>and </w:t>
      </w:r>
      <w:r>
        <w:rPr>
          <w:spacing w:val="-3"/>
          <w:w w:val="120"/>
          <w:sz w:val="20"/>
        </w:rPr>
        <w:t>guidance, </w:t>
      </w:r>
      <w:r>
        <w:rPr>
          <w:w w:val="120"/>
          <w:sz w:val="20"/>
        </w:rPr>
        <w:t>and </w:t>
      </w:r>
      <w:r>
        <w:rPr>
          <w:spacing w:val="-3"/>
          <w:w w:val="120"/>
          <w:sz w:val="20"/>
        </w:rPr>
        <w:t>EM3ers </w:t>
      </w:r>
      <w:r>
        <w:rPr>
          <w:w w:val="120"/>
          <w:sz w:val="20"/>
        </w:rPr>
        <w:t>are expected </w:t>
      </w:r>
      <w:r>
        <w:rPr>
          <w:spacing w:val="-3"/>
          <w:w w:val="120"/>
          <w:sz w:val="20"/>
        </w:rPr>
        <w:t>to </w:t>
      </w:r>
      <w:r>
        <w:rPr>
          <w:w w:val="120"/>
          <w:sz w:val="20"/>
        </w:rPr>
        <w:t>be in active dialogue with them about both their learning needs and the </w:t>
      </w:r>
      <w:r>
        <w:rPr>
          <w:spacing w:val="-3"/>
          <w:w w:val="120"/>
          <w:sz w:val="20"/>
        </w:rPr>
        <w:t>skills </w:t>
      </w:r>
      <w:r>
        <w:rPr>
          <w:w w:val="120"/>
          <w:sz w:val="20"/>
        </w:rPr>
        <w:t>and insights which the </w:t>
      </w:r>
      <w:r>
        <w:rPr>
          <w:spacing w:val="-4"/>
          <w:w w:val="120"/>
          <w:sz w:val="20"/>
        </w:rPr>
        <w:t>EM3er </w:t>
      </w:r>
      <w:r>
        <w:rPr>
          <w:spacing w:val="-3"/>
          <w:w w:val="120"/>
          <w:sz w:val="20"/>
        </w:rPr>
        <w:t>may </w:t>
      </w:r>
      <w:r>
        <w:rPr>
          <w:w w:val="120"/>
          <w:sz w:val="20"/>
        </w:rPr>
        <w:t>offer </w:t>
      </w:r>
      <w:r>
        <w:rPr>
          <w:spacing w:val="-3"/>
          <w:w w:val="120"/>
          <w:sz w:val="20"/>
        </w:rPr>
        <w:t>to </w:t>
      </w:r>
      <w:r>
        <w:rPr>
          <w:w w:val="120"/>
          <w:sz w:val="20"/>
        </w:rPr>
        <w:t>the wider </w:t>
      </w:r>
      <w:r>
        <w:rPr>
          <w:spacing w:val="-3"/>
          <w:w w:val="120"/>
          <w:sz w:val="20"/>
        </w:rPr>
        <w:t>Church. </w:t>
      </w:r>
      <w:r>
        <w:rPr>
          <w:w w:val="120"/>
          <w:sz w:val="20"/>
        </w:rPr>
        <w:t>The Ministerial </w:t>
      </w:r>
      <w:r>
        <w:rPr>
          <w:spacing w:val="-3"/>
          <w:w w:val="120"/>
          <w:sz w:val="20"/>
        </w:rPr>
        <w:t>Accompanied </w:t>
      </w:r>
      <w:r>
        <w:rPr>
          <w:w w:val="120"/>
          <w:sz w:val="20"/>
        </w:rPr>
        <w:t>Self Appraisal process begins in </w:t>
      </w:r>
      <w:r>
        <w:rPr>
          <w:spacing w:val="-4"/>
          <w:w w:val="120"/>
          <w:sz w:val="20"/>
        </w:rPr>
        <w:t>EM3 </w:t>
      </w:r>
      <w:r>
        <w:rPr>
          <w:w w:val="120"/>
          <w:sz w:val="20"/>
        </w:rPr>
        <w:t>and </w:t>
      </w:r>
      <w:r>
        <w:rPr>
          <w:spacing w:val="-3"/>
          <w:w w:val="120"/>
          <w:sz w:val="20"/>
        </w:rPr>
        <w:t>may well indicate </w:t>
      </w:r>
      <w:r>
        <w:rPr>
          <w:w w:val="120"/>
          <w:sz w:val="20"/>
        </w:rPr>
        <w:t>learning needs </w:t>
      </w:r>
      <w:r>
        <w:rPr>
          <w:spacing w:val="-3"/>
          <w:w w:val="120"/>
          <w:sz w:val="20"/>
        </w:rPr>
        <w:t>to </w:t>
      </w:r>
      <w:r>
        <w:rPr>
          <w:w w:val="120"/>
          <w:sz w:val="20"/>
        </w:rPr>
        <w:t>be met </w:t>
      </w:r>
      <w:r>
        <w:rPr>
          <w:spacing w:val="-3"/>
          <w:w w:val="120"/>
          <w:sz w:val="20"/>
        </w:rPr>
        <w:t>within </w:t>
      </w:r>
      <w:r>
        <w:rPr>
          <w:spacing w:val="-5"/>
          <w:w w:val="120"/>
          <w:sz w:val="20"/>
        </w:rPr>
        <w:t>EM3, </w:t>
      </w:r>
      <w:r>
        <w:rPr>
          <w:w w:val="120"/>
          <w:sz w:val="20"/>
        </w:rPr>
        <w:t>whether funded by the URC or from other</w:t>
      </w:r>
      <w:r>
        <w:rPr>
          <w:spacing w:val="-21"/>
          <w:w w:val="120"/>
          <w:sz w:val="20"/>
        </w:rPr>
        <w:t> </w:t>
      </w:r>
      <w:r>
        <w:rPr>
          <w:spacing w:val="-3"/>
          <w:w w:val="120"/>
          <w:sz w:val="20"/>
        </w:rPr>
        <w:t>sources.</w:t>
      </w:r>
    </w:p>
    <w:p>
      <w:pPr>
        <w:pStyle w:val="BodyText"/>
        <w:spacing w:before="4"/>
      </w:pPr>
    </w:p>
    <w:p>
      <w:pPr>
        <w:pStyle w:val="ListParagraph"/>
        <w:numPr>
          <w:ilvl w:val="3"/>
          <w:numId w:val="126"/>
        </w:numPr>
        <w:tabs>
          <w:tab w:pos="2891" w:val="left" w:leader="none"/>
          <w:tab w:pos="2892" w:val="left" w:leader="none"/>
        </w:tabs>
        <w:spacing w:line="235" w:lineRule="auto" w:before="0" w:after="0"/>
        <w:ind w:left="1984" w:right="1270" w:firstLine="0"/>
        <w:jc w:val="left"/>
        <w:rPr>
          <w:sz w:val="20"/>
        </w:rPr>
      </w:pPr>
      <w:r>
        <w:rPr>
          <w:w w:val="120"/>
          <w:sz w:val="20"/>
        </w:rPr>
        <w:t>There is an annual grants scheme </w:t>
      </w:r>
      <w:r>
        <w:rPr>
          <w:spacing w:val="-3"/>
          <w:w w:val="120"/>
          <w:sz w:val="20"/>
        </w:rPr>
        <w:t>to </w:t>
      </w:r>
      <w:r>
        <w:rPr>
          <w:w w:val="120"/>
          <w:sz w:val="20"/>
        </w:rPr>
        <w:t>support planned learning and there are grants</w:t>
      </w:r>
      <w:r>
        <w:rPr>
          <w:spacing w:val="-16"/>
          <w:w w:val="120"/>
          <w:sz w:val="20"/>
        </w:rPr>
        <w:t> </w:t>
      </w:r>
      <w:r>
        <w:rPr>
          <w:spacing w:val="-3"/>
          <w:w w:val="120"/>
          <w:sz w:val="20"/>
        </w:rPr>
        <w:t>available</w:t>
      </w:r>
      <w:r>
        <w:rPr>
          <w:spacing w:val="-16"/>
          <w:w w:val="120"/>
          <w:sz w:val="20"/>
        </w:rPr>
        <w:t> </w:t>
      </w:r>
      <w:r>
        <w:rPr>
          <w:w w:val="120"/>
          <w:sz w:val="20"/>
        </w:rPr>
        <w:t>for</w:t>
      </w:r>
      <w:r>
        <w:rPr>
          <w:spacing w:val="-16"/>
          <w:w w:val="120"/>
          <w:sz w:val="20"/>
        </w:rPr>
        <w:t> </w:t>
      </w:r>
      <w:r>
        <w:rPr>
          <w:w w:val="120"/>
          <w:sz w:val="20"/>
        </w:rPr>
        <w:t>sabbatical</w:t>
      </w:r>
      <w:r>
        <w:rPr>
          <w:spacing w:val="-16"/>
          <w:w w:val="120"/>
          <w:sz w:val="20"/>
        </w:rPr>
        <w:t> </w:t>
      </w:r>
      <w:r>
        <w:rPr>
          <w:w w:val="120"/>
          <w:sz w:val="20"/>
        </w:rPr>
        <w:t>learning</w:t>
      </w:r>
      <w:r>
        <w:rPr>
          <w:spacing w:val="-16"/>
          <w:w w:val="120"/>
          <w:sz w:val="20"/>
        </w:rPr>
        <w:t> </w:t>
      </w:r>
      <w:r>
        <w:rPr>
          <w:w w:val="120"/>
          <w:sz w:val="20"/>
        </w:rPr>
        <w:t>programmes</w:t>
      </w:r>
      <w:r>
        <w:rPr>
          <w:spacing w:val="-16"/>
          <w:w w:val="120"/>
          <w:sz w:val="20"/>
        </w:rPr>
        <w:t> </w:t>
      </w:r>
      <w:r>
        <w:rPr>
          <w:spacing w:val="-6"/>
          <w:w w:val="120"/>
          <w:sz w:val="20"/>
        </w:rPr>
        <w:t>(ten</w:t>
      </w:r>
      <w:r>
        <w:rPr>
          <w:spacing w:val="-15"/>
          <w:w w:val="120"/>
          <w:sz w:val="20"/>
        </w:rPr>
        <w:t> </w:t>
      </w:r>
      <w:r>
        <w:rPr>
          <w:w w:val="120"/>
          <w:sz w:val="20"/>
        </w:rPr>
        <w:t>yearly</w:t>
      </w:r>
      <w:r>
        <w:rPr>
          <w:spacing w:val="-16"/>
          <w:w w:val="120"/>
          <w:sz w:val="20"/>
        </w:rPr>
        <w:t> </w:t>
      </w:r>
      <w:r>
        <w:rPr>
          <w:spacing w:val="-4"/>
          <w:w w:val="120"/>
          <w:sz w:val="20"/>
        </w:rPr>
        <w:t>intervals)</w:t>
      </w:r>
      <w:r>
        <w:rPr>
          <w:spacing w:val="-16"/>
          <w:w w:val="120"/>
          <w:sz w:val="20"/>
        </w:rPr>
        <w:t> </w:t>
      </w:r>
      <w:r>
        <w:rPr>
          <w:w w:val="120"/>
          <w:sz w:val="20"/>
        </w:rPr>
        <w:t>and</w:t>
      </w:r>
      <w:r>
        <w:rPr>
          <w:spacing w:val="-16"/>
          <w:w w:val="120"/>
          <w:sz w:val="20"/>
        </w:rPr>
        <w:t> </w:t>
      </w:r>
      <w:r>
        <w:rPr>
          <w:w w:val="120"/>
          <w:sz w:val="20"/>
        </w:rPr>
        <w:t>for</w:t>
      </w:r>
      <w:r>
        <w:rPr>
          <w:spacing w:val="-15"/>
          <w:w w:val="120"/>
          <w:sz w:val="20"/>
        </w:rPr>
        <w:t> </w:t>
      </w:r>
      <w:r>
        <w:rPr>
          <w:i/>
          <w:spacing w:val="-3"/>
          <w:w w:val="120"/>
          <w:sz w:val="20"/>
        </w:rPr>
        <w:t>Belonging </w:t>
      </w:r>
      <w:r>
        <w:rPr>
          <w:i/>
          <w:w w:val="120"/>
          <w:sz w:val="20"/>
        </w:rPr>
        <w:t>to</w:t>
      </w:r>
      <w:r>
        <w:rPr>
          <w:i/>
          <w:spacing w:val="-24"/>
          <w:w w:val="120"/>
          <w:sz w:val="20"/>
        </w:rPr>
        <w:t> </w:t>
      </w:r>
      <w:r>
        <w:rPr>
          <w:i/>
          <w:w w:val="120"/>
          <w:sz w:val="20"/>
        </w:rPr>
        <w:t>the</w:t>
      </w:r>
      <w:r>
        <w:rPr>
          <w:i/>
          <w:spacing w:val="-23"/>
          <w:w w:val="120"/>
          <w:sz w:val="20"/>
        </w:rPr>
        <w:t> </w:t>
      </w:r>
      <w:r>
        <w:rPr>
          <w:i/>
          <w:spacing w:val="-3"/>
          <w:w w:val="120"/>
          <w:sz w:val="20"/>
        </w:rPr>
        <w:t>World</w:t>
      </w:r>
      <w:r>
        <w:rPr>
          <w:i/>
          <w:spacing w:val="-23"/>
          <w:w w:val="120"/>
          <w:sz w:val="20"/>
        </w:rPr>
        <w:t> </w:t>
      </w:r>
      <w:r>
        <w:rPr>
          <w:i/>
          <w:spacing w:val="-3"/>
          <w:w w:val="120"/>
          <w:sz w:val="20"/>
        </w:rPr>
        <w:t>Church</w:t>
      </w:r>
      <w:r>
        <w:rPr>
          <w:i/>
          <w:spacing w:val="-21"/>
          <w:w w:val="120"/>
          <w:sz w:val="20"/>
        </w:rPr>
        <w:t> </w:t>
      </w:r>
      <w:r>
        <w:rPr>
          <w:w w:val="120"/>
          <w:sz w:val="20"/>
        </w:rPr>
        <w:t>visits</w:t>
      </w:r>
      <w:r>
        <w:rPr>
          <w:spacing w:val="-22"/>
          <w:w w:val="120"/>
          <w:sz w:val="20"/>
        </w:rPr>
        <w:t> </w:t>
      </w:r>
      <w:r>
        <w:rPr>
          <w:spacing w:val="-3"/>
          <w:w w:val="120"/>
          <w:sz w:val="20"/>
        </w:rPr>
        <w:t>(five</w:t>
      </w:r>
      <w:r>
        <w:rPr>
          <w:spacing w:val="-21"/>
          <w:w w:val="120"/>
          <w:sz w:val="20"/>
        </w:rPr>
        <w:t> </w:t>
      </w:r>
      <w:r>
        <w:rPr>
          <w:spacing w:val="-4"/>
          <w:w w:val="120"/>
          <w:sz w:val="20"/>
        </w:rPr>
        <w:t>yearly).</w:t>
      </w:r>
      <w:r>
        <w:rPr>
          <w:spacing w:val="-21"/>
          <w:w w:val="120"/>
          <w:sz w:val="20"/>
        </w:rPr>
        <w:t> </w:t>
      </w:r>
      <w:r>
        <w:rPr>
          <w:w w:val="120"/>
          <w:sz w:val="20"/>
        </w:rPr>
        <w:t>Some</w:t>
      </w:r>
      <w:r>
        <w:rPr>
          <w:spacing w:val="-22"/>
          <w:w w:val="120"/>
          <w:sz w:val="20"/>
        </w:rPr>
        <w:t> </w:t>
      </w:r>
      <w:r>
        <w:rPr>
          <w:spacing w:val="-3"/>
          <w:w w:val="120"/>
          <w:sz w:val="20"/>
        </w:rPr>
        <w:t>EM3ers</w:t>
      </w:r>
      <w:r>
        <w:rPr>
          <w:spacing w:val="-21"/>
          <w:w w:val="120"/>
          <w:sz w:val="20"/>
        </w:rPr>
        <w:t> </w:t>
      </w:r>
      <w:r>
        <w:rPr>
          <w:w w:val="120"/>
          <w:sz w:val="20"/>
        </w:rPr>
        <w:t>undertake</w:t>
      </w:r>
      <w:r>
        <w:rPr>
          <w:spacing w:val="-21"/>
          <w:w w:val="120"/>
          <w:sz w:val="20"/>
        </w:rPr>
        <w:t> </w:t>
      </w:r>
      <w:r>
        <w:rPr>
          <w:w w:val="120"/>
          <w:sz w:val="20"/>
        </w:rPr>
        <w:t>further</w:t>
      </w:r>
      <w:r>
        <w:rPr>
          <w:spacing w:val="-21"/>
          <w:w w:val="120"/>
          <w:sz w:val="20"/>
        </w:rPr>
        <w:t> </w:t>
      </w:r>
      <w:r>
        <w:rPr>
          <w:w w:val="120"/>
          <w:sz w:val="20"/>
        </w:rPr>
        <w:t>degrees.</w:t>
      </w:r>
      <w:r>
        <w:rPr>
          <w:spacing w:val="-22"/>
          <w:w w:val="120"/>
          <w:sz w:val="20"/>
        </w:rPr>
        <w:t> </w:t>
      </w:r>
      <w:r>
        <w:rPr>
          <w:w w:val="120"/>
          <w:sz w:val="20"/>
        </w:rPr>
        <w:t>Each</w:t>
      </w:r>
      <w:r>
        <w:rPr>
          <w:spacing w:val="-21"/>
          <w:w w:val="120"/>
          <w:sz w:val="20"/>
        </w:rPr>
        <w:t> </w:t>
      </w:r>
      <w:r>
        <w:rPr>
          <w:w w:val="120"/>
          <w:sz w:val="20"/>
        </w:rPr>
        <w:t>synod has its </w:t>
      </w:r>
      <w:r>
        <w:rPr>
          <w:spacing w:val="-2"/>
          <w:w w:val="120"/>
          <w:sz w:val="20"/>
        </w:rPr>
        <w:t>own </w:t>
      </w:r>
      <w:r>
        <w:rPr>
          <w:w w:val="120"/>
          <w:sz w:val="20"/>
        </w:rPr>
        <w:t>programme of learning events, with </w:t>
      </w:r>
      <w:r>
        <w:rPr>
          <w:spacing w:val="-3"/>
          <w:w w:val="120"/>
          <w:sz w:val="20"/>
        </w:rPr>
        <w:t>usually </w:t>
      </w:r>
      <w:r>
        <w:rPr>
          <w:w w:val="120"/>
          <w:sz w:val="20"/>
        </w:rPr>
        <w:t>a synod </w:t>
      </w:r>
      <w:r>
        <w:rPr>
          <w:spacing w:val="-3"/>
          <w:w w:val="120"/>
          <w:sz w:val="20"/>
        </w:rPr>
        <w:t>conference </w:t>
      </w:r>
      <w:r>
        <w:rPr>
          <w:w w:val="120"/>
          <w:sz w:val="20"/>
        </w:rPr>
        <w:t>or school for all </w:t>
      </w:r>
      <w:r>
        <w:rPr>
          <w:spacing w:val="-3"/>
          <w:w w:val="120"/>
          <w:sz w:val="20"/>
        </w:rPr>
        <w:t>ministers </w:t>
      </w:r>
      <w:r>
        <w:rPr>
          <w:w w:val="120"/>
          <w:sz w:val="20"/>
        </w:rPr>
        <w:t>in active service as a </w:t>
      </w:r>
      <w:r>
        <w:rPr>
          <w:spacing w:val="-3"/>
          <w:w w:val="120"/>
          <w:sz w:val="20"/>
        </w:rPr>
        <w:t>core </w:t>
      </w:r>
      <w:r>
        <w:rPr>
          <w:w w:val="120"/>
          <w:sz w:val="20"/>
        </w:rPr>
        <w:t>element. There are assembly-wide and assembly- funded</w:t>
      </w:r>
      <w:r>
        <w:rPr>
          <w:spacing w:val="-16"/>
          <w:w w:val="120"/>
          <w:sz w:val="20"/>
        </w:rPr>
        <w:t> </w:t>
      </w:r>
      <w:r>
        <w:rPr>
          <w:w w:val="120"/>
          <w:sz w:val="20"/>
        </w:rPr>
        <w:t>refresher</w:t>
      </w:r>
      <w:r>
        <w:rPr>
          <w:spacing w:val="-16"/>
          <w:w w:val="120"/>
          <w:sz w:val="20"/>
        </w:rPr>
        <w:t> </w:t>
      </w:r>
      <w:r>
        <w:rPr>
          <w:spacing w:val="-3"/>
          <w:w w:val="120"/>
          <w:sz w:val="20"/>
        </w:rPr>
        <w:t>courses</w:t>
      </w:r>
      <w:r>
        <w:rPr>
          <w:spacing w:val="-16"/>
          <w:w w:val="120"/>
          <w:sz w:val="20"/>
        </w:rPr>
        <w:t> </w:t>
      </w:r>
      <w:r>
        <w:rPr>
          <w:w w:val="120"/>
          <w:sz w:val="20"/>
        </w:rPr>
        <w:t>for</w:t>
      </w:r>
      <w:r>
        <w:rPr>
          <w:spacing w:val="-16"/>
          <w:w w:val="120"/>
          <w:sz w:val="20"/>
        </w:rPr>
        <w:t> </w:t>
      </w:r>
      <w:r>
        <w:rPr>
          <w:spacing w:val="-3"/>
          <w:w w:val="120"/>
          <w:sz w:val="20"/>
        </w:rPr>
        <w:t>ministers</w:t>
      </w:r>
      <w:r>
        <w:rPr>
          <w:spacing w:val="-16"/>
          <w:w w:val="120"/>
          <w:sz w:val="20"/>
        </w:rPr>
        <w:t> </w:t>
      </w:r>
      <w:r>
        <w:rPr>
          <w:w w:val="120"/>
          <w:sz w:val="20"/>
        </w:rPr>
        <w:t>attaining</w:t>
      </w:r>
      <w:r>
        <w:rPr>
          <w:spacing w:val="-16"/>
          <w:w w:val="120"/>
          <w:sz w:val="20"/>
        </w:rPr>
        <w:t> </w:t>
      </w:r>
      <w:r>
        <w:rPr>
          <w:w w:val="120"/>
          <w:sz w:val="20"/>
        </w:rPr>
        <w:t>years</w:t>
      </w:r>
      <w:r>
        <w:rPr>
          <w:spacing w:val="-15"/>
          <w:w w:val="120"/>
          <w:sz w:val="20"/>
        </w:rPr>
        <w:t> </w:t>
      </w:r>
      <w:r>
        <w:rPr>
          <w:w w:val="120"/>
          <w:sz w:val="20"/>
        </w:rPr>
        <w:t>of</w:t>
      </w:r>
      <w:r>
        <w:rPr>
          <w:spacing w:val="-16"/>
          <w:w w:val="120"/>
          <w:sz w:val="20"/>
        </w:rPr>
        <w:t> </w:t>
      </w:r>
      <w:r>
        <w:rPr>
          <w:w w:val="120"/>
          <w:sz w:val="20"/>
        </w:rPr>
        <w:t>service</w:t>
      </w:r>
      <w:r>
        <w:rPr>
          <w:spacing w:val="-16"/>
          <w:w w:val="120"/>
          <w:sz w:val="20"/>
        </w:rPr>
        <w:t> </w:t>
      </w:r>
      <w:r>
        <w:rPr>
          <w:w w:val="120"/>
          <w:sz w:val="20"/>
        </w:rPr>
        <w:t>of</w:t>
      </w:r>
      <w:r>
        <w:rPr>
          <w:spacing w:val="-16"/>
          <w:w w:val="120"/>
          <w:sz w:val="20"/>
        </w:rPr>
        <w:t> </w:t>
      </w:r>
      <w:r>
        <w:rPr>
          <w:spacing w:val="-3"/>
          <w:w w:val="120"/>
          <w:sz w:val="20"/>
        </w:rPr>
        <w:t>multiples</w:t>
      </w:r>
      <w:r>
        <w:rPr>
          <w:spacing w:val="-16"/>
          <w:w w:val="120"/>
          <w:sz w:val="20"/>
        </w:rPr>
        <w:t> </w:t>
      </w:r>
      <w:r>
        <w:rPr>
          <w:w w:val="120"/>
          <w:sz w:val="20"/>
        </w:rPr>
        <w:t>of</w:t>
      </w:r>
      <w:r>
        <w:rPr>
          <w:spacing w:val="-16"/>
          <w:w w:val="120"/>
          <w:sz w:val="20"/>
        </w:rPr>
        <w:t> </w:t>
      </w:r>
      <w:r>
        <w:rPr>
          <w:spacing w:val="-3"/>
          <w:w w:val="120"/>
          <w:sz w:val="20"/>
        </w:rPr>
        <w:t>seven,</w:t>
      </w:r>
      <w:r>
        <w:rPr>
          <w:spacing w:val="-16"/>
          <w:w w:val="120"/>
          <w:sz w:val="20"/>
        </w:rPr>
        <w:t> </w:t>
      </w:r>
      <w:r>
        <w:rPr>
          <w:w w:val="120"/>
          <w:sz w:val="20"/>
        </w:rPr>
        <w:t>with three</w:t>
      </w:r>
      <w:r>
        <w:rPr>
          <w:spacing w:val="-11"/>
          <w:w w:val="120"/>
          <w:sz w:val="20"/>
        </w:rPr>
        <w:t> </w:t>
      </w:r>
      <w:r>
        <w:rPr>
          <w:w w:val="120"/>
          <w:sz w:val="20"/>
        </w:rPr>
        <w:t>of</w:t>
      </w:r>
      <w:r>
        <w:rPr>
          <w:spacing w:val="-11"/>
          <w:w w:val="120"/>
          <w:sz w:val="20"/>
        </w:rPr>
        <w:t> </w:t>
      </w:r>
      <w:r>
        <w:rPr>
          <w:w w:val="120"/>
          <w:sz w:val="20"/>
        </w:rPr>
        <w:t>these</w:t>
      </w:r>
      <w:r>
        <w:rPr>
          <w:spacing w:val="-11"/>
          <w:w w:val="120"/>
          <w:sz w:val="20"/>
        </w:rPr>
        <w:t> </w:t>
      </w:r>
      <w:r>
        <w:rPr>
          <w:w w:val="120"/>
          <w:sz w:val="20"/>
        </w:rPr>
        <w:t>being</w:t>
      </w:r>
      <w:r>
        <w:rPr>
          <w:spacing w:val="-11"/>
          <w:w w:val="120"/>
          <w:sz w:val="20"/>
        </w:rPr>
        <w:t> </w:t>
      </w:r>
      <w:r>
        <w:rPr>
          <w:w w:val="120"/>
          <w:sz w:val="20"/>
        </w:rPr>
        <w:t>held</w:t>
      </w:r>
      <w:r>
        <w:rPr>
          <w:spacing w:val="-11"/>
          <w:w w:val="120"/>
          <w:sz w:val="20"/>
        </w:rPr>
        <w:t> </w:t>
      </w:r>
      <w:r>
        <w:rPr>
          <w:w w:val="120"/>
          <w:sz w:val="20"/>
        </w:rPr>
        <w:t>each</w:t>
      </w:r>
      <w:r>
        <w:rPr>
          <w:spacing w:val="-11"/>
          <w:w w:val="120"/>
          <w:sz w:val="20"/>
        </w:rPr>
        <w:t> </w:t>
      </w:r>
      <w:r>
        <w:rPr>
          <w:spacing w:val="-5"/>
          <w:w w:val="120"/>
          <w:sz w:val="20"/>
        </w:rPr>
        <w:t>year.</w:t>
      </w:r>
      <w:r>
        <w:rPr>
          <w:spacing w:val="-11"/>
          <w:w w:val="120"/>
          <w:sz w:val="20"/>
        </w:rPr>
        <w:t> </w:t>
      </w:r>
      <w:r>
        <w:rPr>
          <w:w w:val="120"/>
          <w:sz w:val="20"/>
        </w:rPr>
        <w:t>These</w:t>
      </w:r>
      <w:r>
        <w:rPr>
          <w:spacing w:val="-11"/>
          <w:w w:val="120"/>
          <w:sz w:val="20"/>
        </w:rPr>
        <w:t> </w:t>
      </w:r>
      <w:r>
        <w:rPr>
          <w:w w:val="120"/>
          <w:sz w:val="20"/>
        </w:rPr>
        <w:t>are</w:t>
      </w:r>
      <w:r>
        <w:rPr>
          <w:spacing w:val="-11"/>
          <w:w w:val="120"/>
          <w:sz w:val="20"/>
        </w:rPr>
        <w:t> </w:t>
      </w:r>
      <w:r>
        <w:rPr>
          <w:w w:val="120"/>
          <w:sz w:val="20"/>
        </w:rPr>
        <w:t>designed</w:t>
      </w:r>
      <w:r>
        <w:rPr>
          <w:spacing w:val="-11"/>
          <w:w w:val="120"/>
          <w:sz w:val="20"/>
        </w:rPr>
        <w:t> </w:t>
      </w:r>
      <w:r>
        <w:rPr>
          <w:w w:val="120"/>
          <w:sz w:val="20"/>
        </w:rPr>
        <w:t>as</w:t>
      </w:r>
      <w:r>
        <w:rPr>
          <w:spacing w:val="-11"/>
          <w:w w:val="120"/>
          <w:sz w:val="20"/>
        </w:rPr>
        <w:t> </w:t>
      </w:r>
      <w:r>
        <w:rPr>
          <w:w w:val="120"/>
          <w:sz w:val="20"/>
        </w:rPr>
        <w:t>a</w:t>
      </w:r>
      <w:r>
        <w:rPr>
          <w:spacing w:val="-11"/>
          <w:w w:val="120"/>
          <w:sz w:val="20"/>
        </w:rPr>
        <w:t> </w:t>
      </w:r>
      <w:r>
        <w:rPr>
          <w:w w:val="120"/>
          <w:sz w:val="20"/>
        </w:rPr>
        <w:t>‘thank</w:t>
      </w:r>
      <w:r>
        <w:rPr>
          <w:spacing w:val="-11"/>
          <w:w w:val="120"/>
          <w:sz w:val="20"/>
        </w:rPr>
        <w:t> </w:t>
      </w:r>
      <w:r>
        <w:rPr>
          <w:spacing w:val="-4"/>
          <w:w w:val="120"/>
          <w:sz w:val="20"/>
        </w:rPr>
        <w:t>you!’</w:t>
      </w:r>
      <w:r>
        <w:rPr>
          <w:spacing w:val="-11"/>
          <w:w w:val="120"/>
          <w:sz w:val="20"/>
        </w:rPr>
        <w:t> </w:t>
      </w:r>
      <w:r>
        <w:rPr>
          <w:w w:val="120"/>
          <w:sz w:val="20"/>
        </w:rPr>
        <w:t>from</w:t>
      </w:r>
      <w:r>
        <w:rPr>
          <w:spacing w:val="-11"/>
          <w:w w:val="120"/>
          <w:sz w:val="20"/>
        </w:rPr>
        <w:t> </w:t>
      </w:r>
      <w:r>
        <w:rPr>
          <w:w w:val="120"/>
          <w:sz w:val="20"/>
        </w:rPr>
        <w:t>the</w:t>
      </w:r>
      <w:r>
        <w:rPr>
          <w:spacing w:val="-11"/>
          <w:w w:val="120"/>
          <w:sz w:val="20"/>
        </w:rPr>
        <w:t> </w:t>
      </w:r>
      <w:r>
        <w:rPr>
          <w:w w:val="120"/>
          <w:sz w:val="20"/>
        </w:rPr>
        <w:t>URC</w:t>
      </w:r>
      <w:r>
        <w:rPr>
          <w:spacing w:val="-11"/>
          <w:w w:val="120"/>
          <w:sz w:val="20"/>
        </w:rPr>
        <w:t> </w:t>
      </w:r>
      <w:r>
        <w:rPr>
          <w:w w:val="120"/>
          <w:sz w:val="20"/>
        </w:rPr>
        <w:t>as </w:t>
      </w:r>
      <w:r>
        <w:rPr>
          <w:spacing w:val="-3"/>
          <w:w w:val="120"/>
          <w:sz w:val="20"/>
        </w:rPr>
        <w:t>well </w:t>
      </w:r>
      <w:r>
        <w:rPr>
          <w:w w:val="120"/>
          <w:sz w:val="20"/>
        </w:rPr>
        <w:t>as a time of </w:t>
      </w:r>
      <w:r>
        <w:rPr>
          <w:spacing w:val="-4"/>
          <w:w w:val="120"/>
          <w:sz w:val="20"/>
        </w:rPr>
        <w:t>collegiality, </w:t>
      </w:r>
      <w:r>
        <w:rPr>
          <w:spacing w:val="-3"/>
          <w:w w:val="120"/>
          <w:sz w:val="20"/>
        </w:rPr>
        <w:t>friendship, </w:t>
      </w:r>
      <w:r>
        <w:rPr>
          <w:w w:val="120"/>
          <w:sz w:val="20"/>
        </w:rPr>
        <w:t>and learning for </w:t>
      </w:r>
      <w:r>
        <w:rPr>
          <w:spacing w:val="-3"/>
          <w:w w:val="120"/>
          <w:sz w:val="20"/>
        </w:rPr>
        <w:t>ministers </w:t>
      </w:r>
      <w:r>
        <w:rPr>
          <w:w w:val="120"/>
          <w:sz w:val="20"/>
        </w:rPr>
        <w:t>who attend. </w:t>
      </w:r>
      <w:r>
        <w:rPr>
          <w:spacing w:val="-7"/>
          <w:w w:val="120"/>
          <w:sz w:val="20"/>
        </w:rPr>
        <w:t>Two </w:t>
      </w:r>
      <w:r>
        <w:rPr>
          <w:w w:val="120"/>
          <w:sz w:val="20"/>
        </w:rPr>
        <w:t>RCLs, </w:t>
      </w:r>
      <w:r>
        <w:rPr>
          <w:spacing w:val="-3"/>
          <w:w w:val="120"/>
          <w:sz w:val="20"/>
        </w:rPr>
        <w:t>Westminster College </w:t>
      </w:r>
      <w:r>
        <w:rPr>
          <w:w w:val="120"/>
          <w:sz w:val="20"/>
        </w:rPr>
        <w:t>and the Windermere </w:t>
      </w:r>
      <w:r>
        <w:rPr>
          <w:spacing w:val="-3"/>
          <w:w w:val="120"/>
          <w:sz w:val="20"/>
        </w:rPr>
        <w:t>Centre, </w:t>
      </w:r>
      <w:r>
        <w:rPr>
          <w:w w:val="120"/>
          <w:sz w:val="20"/>
        </w:rPr>
        <w:t>are permanent </w:t>
      </w:r>
      <w:r>
        <w:rPr>
          <w:spacing w:val="-3"/>
          <w:w w:val="120"/>
          <w:sz w:val="20"/>
        </w:rPr>
        <w:t>venues </w:t>
      </w:r>
      <w:r>
        <w:rPr>
          <w:w w:val="120"/>
          <w:sz w:val="20"/>
        </w:rPr>
        <w:t>and one </w:t>
      </w:r>
      <w:r>
        <w:rPr>
          <w:spacing w:val="-3"/>
          <w:w w:val="120"/>
          <w:sz w:val="20"/>
        </w:rPr>
        <w:t>course </w:t>
      </w:r>
      <w:r>
        <w:rPr>
          <w:w w:val="120"/>
          <w:sz w:val="20"/>
        </w:rPr>
        <w:t>each </w:t>
      </w:r>
      <w:r>
        <w:rPr>
          <w:spacing w:val="-3"/>
          <w:w w:val="120"/>
          <w:sz w:val="20"/>
        </w:rPr>
        <w:t>year </w:t>
      </w:r>
      <w:r>
        <w:rPr>
          <w:w w:val="120"/>
          <w:sz w:val="20"/>
        </w:rPr>
        <w:t>is currently held in either </w:t>
      </w:r>
      <w:r>
        <w:rPr>
          <w:spacing w:val="-3"/>
          <w:w w:val="120"/>
          <w:sz w:val="20"/>
        </w:rPr>
        <w:t>Scotland </w:t>
      </w:r>
      <w:r>
        <w:rPr>
          <w:w w:val="120"/>
          <w:sz w:val="20"/>
        </w:rPr>
        <w:t>or </w:t>
      </w:r>
      <w:r>
        <w:rPr>
          <w:spacing w:val="-3"/>
          <w:w w:val="120"/>
          <w:sz w:val="20"/>
        </w:rPr>
        <w:t>Wales. </w:t>
      </w:r>
      <w:r>
        <w:rPr>
          <w:w w:val="120"/>
          <w:sz w:val="20"/>
        </w:rPr>
        <w:t>In </w:t>
      </w:r>
      <w:r>
        <w:rPr>
          <w:spacing w:val="-5"/>
          <w:w w:val="120"/>
          <w:sz w:val="20"/>
        </w:rPr>
        <w:t>2007-09, </w:t>
      </w:r>
      <w:r>
        <w:rPr>
          <w:spacing w:val="-3"/>
          <w:w w:val="120"/>
          <w:sz w:val="20"/>
        </w:rPr>
        <w:t>84% to </w:t>
      </w:r>
      <w:r>
        <w:rPr>
          <w:spacing w:val="-4"/>
          <w:w w:val="120"/>
          <w:sz w:val="20"/>
        </w:rPr>
        <w:t>92% </w:t>
      </w:r>
      <w:r>
        <w:rPr>
          <w:w w:val="120"/>
          <w:sz w:val="20"/>
        </w:rPr>
        <w:t>of those </w:t>
      </w:r>
      <w:r>
        <w:rPr>
          <w:spacing w:val="-3"/>
          <w:w w:val="120"/>
          <w:sz w:val="20"/>
        </w:rPr>
        <w:t>invited </w:t>
      </w:r>
      <w:r>
        <w:rPr>
          <w:w w:val="120"/>
          <w:sz w:val="20"/>
        </w:rPr>
        <w:t>respond </w:t>
      </w:r>
      <w:r>
        <w:rPr>
          <w:spacing w:val="-4"/>
          <w:w w:val="120"/>
          <w:sz w:val="20"/>
        </w:rPr>
        <w:t>positively, </w:t>
      </w:r>
      <w:r>
        <w:rPr>
          <w:w w:val="120"/>
          <w:sz w:val="20"/>
        </w:rPr>
        <w:t>with yearly </w:t>
      </w:r>
      <w:r>
        <w:rPr>
          <w:spacing w:val="-3"/>
          <w:w w:val="120"/>
          <w:sz w:val="20"/>
        </w:rPr>
        <w:t>attendances over </w:t>
      </w:r>
      <w:r>
        <w:rPr>
          <w:w w:val="120"/>
          <w:sz w:val="20"/>
        </w:rPr>
        <w:t>the three </w:t>
      </w:r>
      <w:r>
        <w:rPr>
          <w:spacing w:val="-3"/>
          <w:w w:val="120"/>
          <w:sz w:val="20"/>
        </w:rPr>
        <w:t>courses </w:t>
      </w:r>
      <w:r>
        <w:rPr>
          <w:w w:val="120"/>
          <w:sz w:val="20"/>
        </w:rPr>
        <w:t>of between </w:t>
      </w:r>
      <w:r>
        <w:rPr>
          <w:spacing w:val="-11"/>
          <w:w w:val="120"/>
          <w:sz w:val="20"/>
        </w:rPr>
        <w:t>124 </w:t>
      </w:r>
      <w:r>
        <w:rPr>
          <w:w w:val="120"/>
          <w:sz w:val="20"/>
        </w:rPr>
        <w:t>and </w:t>
      </w:r>
      <w:r>
        <w:rPr>
          <w:spacing w:val="-11"/>
          <w:w w:val="120"/>
          <w:sz w:val="20"/>
        </w:rPr>
        <w:t>135 </w:t>
      </w:r>
      <w:r>
        <w:rPr>
          <w:w w:val="120"/>
          <w:sz w:val="20"/>
        </w:rPr>
        <w:t>people. Feedback from the </w:t>
      </w:r>
      <w:r>
        <w:rPr>
          <w:spacing w:val="-3"/>
          <w:w w:val="120"/>
          <w:sz w:val="20"/>
        </w:rPr>
        <w:t>courses </w:t>
      </w:r>
      <w:r>
        <w:rPr>
          <w:w w:val="120"/>
          <w:sz w:val="20"/>
        </w:rPr>
        <w:t>is very </w:t>
      </w:r>
      <w:r>
        <w:rPr>
          <w:spacing w:val="-3"/>
          <w:w w:val="120"/>
          <w:sz w:val="20"/>
        </w:rPr>
        <w:t>positive, </w:t>
      </w:r>
      <w:r>
        <w:rPr>
          <w:w w:val="120"/>
          <w:sz w:val="20"/>
        </w:rPr>
        <w:t>although one </w:t>
      </w:r>
      <w:r>
        <w:rPr>
          <w:spacing w:val="-3"/>
          <w:w w:val="120"/>
          <w:sz w:val="20"/>
        </w:rPr>
        <w:t>issue </w:t>
      </w:r>
      <w:r>
        <w:rPr>
          <w:w w:val="120"/>
          <w:sz w:val="20"/>
        </w:rPr>
        <w:t>that has been identified is the participation of </w:t>
      </w:r>
      <w:r>
        <w:rPr>
          <w:spacing w:val="-3"/>
          <w:w w:val="120"/>
          <w:sz w:val="20"/>
        </w:rPr>
        <w:t>ministers </w:t>
      </w:r>
      <w:r>
        <w:rPr>
          <w:w w:val="120"/>
          <w:sz w:val="20"/>
        </w:rPr>
        <w:t>in non-stipendiary service who find the time</w:t>
      </w:r>
      <w:r>
        <w:rPr>
          <w:spacing w:val="-8"/>
          <w:w w:val="120"/>
          <w:sz w:val="20"/>
        </w:rPr>
        <w:t> </w:t>
      </w:r>
      <w:r>
        <w:rPr>
          <w:w w:val="120"/>
          <w:sz w:val="20"/>
        </w:rPr>
        <w:t>requirement</w:t>
      </w:r>
      <w:r>
        <w:rPr>
          <w:spacing w:val="-8"/>
          <w:w w:val="120"/>
          <w:sz w:val="20"/>
        </w:rPr>
        <w:t> </w:t>
      </w:r>
      <w:r>
        <w:rPr>
          <w:w w:val="120"/>
          <w:sz w:val="20"/>
        </w:rPr>
        <w:t>during</w:t>
      </w:r>
      <w:r>
        <w:rPr>
          <w:spacing w:val="-8"/>
          <w:w w:val="120"/>
          <w:sz w:val="20"/>
        </w:rPr>
        <w:t> </w:t>
      </w:r>
      <w:r>
        <w:rPr>
          <w:w w:val="120"/>
          <w:sz w:val="20"/>
        </w:rPr>
        <w:t>the</w:t>
      </w:r>
      <w:r>
        <w:rPr>
          <w:spacing w:val="-8"/>
          <w:w w:val="120"/>
          <w:sz w:val="20"/>
        </w:rPr>
        <w:t> </w:t>
      </w:r>
      <w:r>
        <w:rPr>
          <w:w w:val="120"/>
          <w:sz w:val="20"/>
        </w:rPr>
        <w:t>week</w:t>
      </w:r>
      <w:r>
        <w:rPr>
          <w:spacing w:val="-8"/>
          <w:w w:val="120"/>
          <w:sz w:val="20"/>
        </w:rPr>
        <w:t> </w:t>
      </w:r>
      <w:r>
        <w:rPr>
          <w:spacing w:val="-3"/>
          <w:w w:val="120"/>
          <w:sz w:val="20"/>
        </w:rPr>
        <w:t>to</w:t>
      </w:r>
      <w:r>
        <w:rPr>
          <w:spacing w:val="-8"/>
          <w:w w:val="120"/>
          <w:sz w:val="20"/>
        </w:rPr>
        <w:t> </w:t>
      </w:r>
      <w:r>
        <w:rPr>
          <w:w w:val="120"/>
          <w:sz w:val="20"/>
        </w:rPr>
        <w:t>be</w:t>
      </w:r>
      <w:r>
        <w:rPr>
          <w:spacing w:val="-8"/>
          <w:w w:val="120"/>
          <w:sz w:val="20"/>
        </w:rPr>
        <w:t> </w:t>
      </w:r>
      <w:r>
        <w:rPr>
          <w:w w:val="120"/>
          <w:sz w:val="20"/>
        </w:rPr>
        <w:t>difficult.</w:t>
      </w:r>
      <w:r>
        <w:rPr>
          <w:spacing w:val="-8"/>
          <w:w w:val="120"/>
          <w:sz w:val="20"/>
        </w:rPr>
        <w:t> </w:t>
      </w:r>
      <w:r>
        <w:rPr>
          <w:spacing w:val="-7"/>
          <w:w w:val="120"/>
          <w:sz w:val="20"/>
        </w:rPr>
        <w:t>2010</w:t>
      </w:r>
      <w:r>
        <w:rPr>
          <w:spacing w:val="-8"/>
          <w:w w:val="120"/>
          <w:sz w:val="20"/>
        </w:rPr>
        <w:t> </w:t>
      </w:r>
      <w:r>
        <w:rPr>
          <w:w w:val="120"/>
          <w:sz w:val="20"/>
        </w:rPr>
        <w:t>will</w:t>
      </w:r>
      <w:r>
        <w:rPr>
          <w:spacing w:val="-7"/>
          <w:w w:val="120"/>
          <w:sz w:val="20"/>
        </w:rPr>
        <w:t> </w:t>
      </w:r>
      <w:r>
        <w:rPr>
          <w:spacing w:val="-3"/>
          <w:w w:val="120"/>
          <w:sz w:val="20"/>
        </w:rPr>
        <w:t>have</w:t>
      </w:r>
      <w:r>
        <w:rPr>
          <w:spacing w:val="-8"/>
          <w:w w:val="120"/>
          <w:sz w:val="20"/>
        </w:rPr>
        <w:t> </w:t>
      </w:r>
      <w:r>
        <w:rPr>
          <w:w w:val="120"/>
          <w:sz w:val="20"/>
        </w:rPr>
        <w:t>a</w:t>
      </w:r>
      <w:r>
        <w:rPr>
          <w:spacing w:val="-8"/>
          <w:w w:val="120"/>
          <w:sz w:val="20"/>
        </w:rPr>
        <w:t> </w:t>
      </w:r>
      <w:r>
        <w:rPr>
          <w:spacing w:val="-3"/>
          <w:w w:val="120"/>
          <w:sz w:val="20"/>
        </w:rPr>
        <w:t>course</w:t>
      </w:r>
      <w:r>
        <w:rPr>
          <w:spacing w:val="-8"/>
          <w:w w:val="120"/>
          <w:sz w:val="20"/>
        </w:rPr>
        <w:t> </w:t>
      </w:r>
      <w:r>
        <w:rPr>
          <w:w w:val="120"/>
          <w:sz w:val="20"/>
        </w:rPr>
        <w:t>which</w:t>
      </w:r>
      <w:r>
        <w:rPr>
          <w:spacing w:val="-8"/>
          <w:w w:val="120"/>
          <w:sz w:val="20"/>
        </w:rPr>
        <w:t> </w:t>
      </w:r>
      <w:r>
        <w:rPr>
          <w:spacing w:val="-3"/>
          <w:w w:val="120"/>
          <w:sz w:val="20"/>
        </w:rPr>
        <w:t>includes</w:t>
      </w:r>
      <w:r>
        <w:rPr>
          <w:spacing w:val="-8"/>
          <w:w w:val="120"/>
          <w:sz w:val="20"/>
        </w:rPr>
        <w:t> </w:t>
      </w:r>
      <w:r>
        <w:rPr>
          <w:w w:val="120"/>
          <w:sz w:val="20"/>
        </w:rPr>
        <w:t>a </w:t>
      </w:r>
      <w:r>
        <w:rPr>
          <w:spacing w:val="-3"/>
          <w:w w:val="120"/>
          <w:sz w:val="20"/>
        </w:rPr>
        <w:t>weekend</w:t>
      </w:r>
      <w:r>
        <w:rPr>
          <w:spacing w:val="-6"/>
          <w:w w:val="120"/>
          <w:sz w:val="20"/>
        </w:rPr>
        <w:t> </w:t>
      </w:r>
      <w:r>
        <w:rPr>
          <w:spacing w:val="-3"/>
          <w:w w:val="120"/>
          <w:sz w:val="20"/>
        </w:rPr>
        <w:t>to</w:t>
      </w:r>
      <w:r>
        <w:rPr>
          <w:spacing w:val="-5"/>
          <w:w w:val="120"/>
          <w:sz w:val="20"/>
        </w:rPr>
        <w:t> </w:t>
      </w:r>
      <w:r>
        <w:rPr>
          <w:w w:val="120"/>
          <w:sz w:val="20"/>
        </w:rPr>
        <w:t>assess</w:t>
      </w:r>
      <w:r>
        <w:rPr>
          <w:spacing w:val="-5"/>
          <w:w w:val="120"/>
          <w:sz w:val="20"/>
        </w:rPr>
        <w:t> </w:t>
      </w:r>
      <w:r>
        <w:rPr>
          <w:w w:val="120"/>
          <w:sz w:val="20"/>
        </w:rPr>
        <w:t>if</w:t>
      </w:r>
      <w:r>
        <w:rPr>
          <w:spacing w:val="-5"/>
          <w:w w:val="120"/>
          <w:sz w:val="20"/>
        </w:rPr>
        <w:t> </w:t>
      </w:r>
      <w:r>
        <w:rPr>
          <w:spacing w:val="-3"/>
          <w:w w:val="120"/>
          <w:sz w:val="20"/>
        </w:rPr>
        <w:t>this</w:t>
      </w:r>
      <w:r>
        <w:rPr>
          <w:spacing w:val="-5"/>
          <w:w w:val="120"/>
          <w:sz w:val="20"/>
        </w:rPr>
        <w:t> </w:t>
      </w:r>
      <w:r>
        <w:rPr>
          <w:spacing w:val="-3"/>
          <w:w w:val="120"/>
          <w:sz w:val="20"/>
        </w:rPr>
        <w:t>makes</w:t>
      </w:r>
      <w:r>
        <w:rPr>
          <w:spacing w:val="-5"/>
          <w:w w:val="120"/>
          <w:sz w:val="20"/>
        </w:rPr>
        <w:t> </w:t>
      </w:r>
      <w:r>
        <w:rPr>
          <w:w w:val="120"/>
          <w:sz w:val="20"/>
        </w:rPr>
        <w:t>a</w:t>
      </w:r>
      <w:r>
        <w:rPr>
          <w:spacing w:val="-6"/>
          <w:w w:val="120"/>
          <w:sz w:val="20"/>
        </w:rPr>
        <w:t> </w:t>
      </w:r>
      <w:r>
        <w:rPr>
          <w:spacing w:val="-3"/>
          <w:w w:val="120"/>
          <w:sz w:val="20"/>
        </w:rPr>
        <w:t>positive</w:t>
      </w:r>
      <w:r>
        <w:rPr>
          <w:spacing w:val="-5"/>
          <w:w w:val="120"/>
          <w:sz w:val="20"/>
        </w:rPr>
        <w:t> </w:t>
      </w:r>
      <w:r>
        <w:rPr>
          <w:w w:val="120"/>
          <w:sz w:val="20"/>
        </w:rPr>
        <w:t>impact</w:t>
      </w:r>
      <w:r>
        <w:rPr>
          <w:spacing w:val="-5"/>
          <w:w w:val="120"/>
          <w:sz w:val="20"/>
        </w:rPr>
        <w:t> </w:t>
      </w:r>
      <w:r>
        <w:rPr>
          <w:w w:val="120"/>
          <w:sz w:val="20"/>
        </w:rPr>
        <w:t>on</w:t>
      </w:r>
      <w:r>
        <w:rPr>
          <w:spacing w:val="-5"/>
          <w:w w:val="120"/>
          <w:sz w:val="20"/>
        </w:rPr>
        <w:t> </w:t>
      </w:r>
      <w:r>
        <w:rPr>
          <w:w w:val="120"/>
          <w:sz w:val="20"/>
        </w:rPr>
        <w:t>their</w:t>
      </w:r>
      <w:r>
        <w:rPr>
          <w:spacing w:val="-5"/>
          <w:w w:val="120"/>
          <w:sz w:val="20"/>
        </w:rPr>
        <w:t> </w:t>
      </w:r>
      <w:r>
        <w:rPr>
          <w:spacing w:val="-3"/>
          <w:w w:val="120"/>
          <w:sz w:val="20"/>
        </w:rPr>
        <w:t>attendance.</w:t>
      </w:r>
    </w:p>
    <w:p>
      <w:pPr>
        <w:pStyle w:val="BodyText"/>
        <w:spacing w:before="7"/>
      </w:pPr>
    </w:p>
    <w:p>
      <w:pPr>
        <w:pStyle w:val="ListParagraph"/>
        <w:numPr>
          <w:ilvl w:val="3"/>
          <w:numId w:val="126"/>
        </w:numPr>
        <w:tabs>
          <w:tab w:pos="2892" w:val="left" w:leader="none"/>
        </w:tabs>
        <w:spacing w:line="235" w:lineRule="auto" w:before="0" w:after="0"/>
        <w:ind w:left="1984" w:right="1270" w:hanging="1"/>
        <w:jc w:val="both"/>
        <w:rPr>
          <w:sz w:val="20"/>
        </w:rPr>
      </w:pPr>
      <w:r>
        <w:rPr>
          <w:w w:val="120"/>
          <w:sz w:val="20"/>
        </w:rPr>
        <w:t>As</w:t>
      </w:r>
      <w:r>
        <w:rPr>
          <w:spacing w:val="-8"/>
          <w:w w:val="120"/>
          <w:sz w:val="20"/>
        </w:rPr>
        <w:t> </w:t>
      </w:r>
      <w:r>
        <w:rPr>
          <w:w w:val="120"/>
          <w:sz w:val="20"/>
        </w:rPr>
        <w:t>in</w:t>
      </w:r>
      <w:r>
        <w:rPr>
          <w:spacing w:val="-8"/>
          <w:w w:val="120"/>
          <w:sz w:val="20"/>
        </w:rPr>
        <w:t> </w:t>
      </w:r>
      <w:r>
        <w:rPr>
          <w:spacing w:val="-4"/>
          <w:w w:val="120"/>
          <w:sz w:val="20"/>
        </w:rPr>
        <w:t>EM2,</w:t>
      </w:r>
      <w:r>
        <w:rPr>
          <w:spacing w:val="-7"/>
          <w:w w:val="120"/>
          <w:sz w:val="20"/>
        </w:rPr>
        <w:t> </w:t>
      </w:r>
      <w:r>
        <w:rPr>
          <w:w w:val="120"/>
          <w:sz w:val="20"/>
        </w:rPr>
        <w:t>the</w:t>
      </w:r>
      <w:r>
        <w:rPr>
          <w:spacing w:val="-8"/>
          <w:w w:val="120"/>
          <w:sz w:val="20"/>
        </w:rPr>
        <w:t> </w:t>
      </w:r>
      <w:r>
        <w:rPr>
          <w:w w:val="120"/>
          <w:sz w:val="20"/>
        </w:rPr>
        <w:t>assembly</w:t>
      </w:r>
      <w:r>
        <w:rPr>
          <w:spacing w:val="-7"/>
          <w:w w:val="120"/>
          <w:sz w:val="20"/>
        </w:rPr>
        <w:t> </w:t>
      </w:r>
      <w:r>
        <w:rPr>
          <w:spacing w:val="-3"/>
          <w:w w:val="120"/>
          <w:sz w:val="20"/>
        </w:rPr>
        <w:t>EM2/3</w:t>
      </w:r>
      <w:r>
        <w:rPr>
          <w:spacing w:val="-8"/>
          <w:w w:val="120"/>
          <w:sz w:val="20"/>
        </w:rPr>
        <w:t> </w:t>
      </w:r>
      <w:r>
        <w:rPr>
          <w:w w:val="120"/>
          <w:sz w:val="20"/>
        </w:rPr>
        <w:t>officer</w:t>
      </w:r>
      <w:r>
        <w:rPr>
          <w:spacing w:val="-8"/>
          <w:w w:val="120"/>
          <w:sz w:val="20"/>
        </w:rPr>
        <w:t> </w:t>
      </w:r>
      <w:r>
        <w:rPr>
          <w:w w:val="120"/>
          <w:sz w:val="20"/>
        </w:rPr>
        <w:t>is</w:t>
      </w:r>
      <w:r>
        <w:rPr>
          <w:spacing w:val="-7"/>
          <w:w w:val="120"/>
          <w:sz w:val="20"/>
        </w:rPr>
        <w:t> </w:t>
      </w:r>
      <w:r>
        <w:rPr>
          <w:spacing w:val="-3"/>
          <w:w w:val="120"/>
          <w:sz w:val="20"/>
        </w:rPr>
        <w:t>accountable</w:t>
      </w:r>
      <w:r>
        <w:rPr>
          <w:spacing w:val="-8"/>
          <w:w w:val="120"/>
          <w:sz w:val="20"/>
        </w:rPr>
        <w:t> </w:t>
      </w:r>
      <w:r>
        <w:rPr>
          <w:spacing w:val="-3"/>
          <w:w w:val="120"/>
          <w:sz w:val="20"/>
        </w:rPr>
        <w:t>to</w:t>
      </w:r>
      <w:r>
        <w:rPr>
          <w:spacing w:val="-7"/>
          <w:w w:val="120"/>
          <w:sz w:val="20"/>
        </w:rPr>
        <w:t> </w:t>
      </w:r>
      <w:r>
        <w:rPr>
          <w:w w:val="120"/>
          <w:sz w:val="20"/>
        </w:rPr>
        <w:t>the</w:t>
      </w:r>
      <w:r>
        <w:rPr>
          <w:spacing w:val="-8"/>
          <w:w w:val="120"/>
          <w:sz w:val="20"/>
        </w:rPr>
        <w:t> </w:t>
      </w:r>
      <w:r>
        <w:rPr>
          <w:spacing w:val="-3"/>
          <w:w w:val="120"/>
          <w:sz w:val="20"/>
        </w:rPr>
        <w:t>EM2/3</w:t>
      </w:r>
      <w:r>
        <w:rPr>
          <w:spacing w:val="-7"/>
          <w:w w:val="120"/>
          <w:sz w:val="20"/>
        </w:rPr>
        <w:t> </w:t>
      </w:r>
      <w:r>
        <w:rPr>
          <w:spacing w:val="-3"/>
          <w:w w:val="120"/>
          <w:sz w:val="20"/>
        </w:rPr>
        <w:t>committee,</w:t>
      </w:r>
      <w:r>
        <w:rPr>
          <w:spacing w:val="-8"/>
          <w:w w:val="120"/>
          <w:sz w:val="20"/>
        </w:rPr>
        <w:t> </w:t>
      </w:r>
      <w:r>
        <w:rPr>
          <w:w w:val="120"/>
          <w:sz w:val="20"/>
        </w:rPr>
        <w:t>a sub-committee of the </w:t>
      </w:r>
      <w:r>
        <w:rPr>
          <w:spacing w:val="-3"/>
          <w:w w:val="120"/>
          <w:sz w:val="20"/>
        </w:rPr>
        <w:t>Education </w:t>
      </w:r>
      <w:r>
        <w:rPr>
          <w:w w:val="120"/>
          <w:sz w:val="20"/>
        </w:rPr>
        <w:t>and Learning </w:t>
      </w:r>
      <w:r>
        <w:rPr>
          <w:spacing w:val="-3"/>
          <w:w w:val="120"/>
          <w:sz w:val="20"/>
        </w:rPr>
        <w:t>Committee. </w:t>
      </w:r>
      <w:r>
        <w:rPr>
          <w:w w:val="120"/>
          <w:sz w:val="20"/>
        </w:rPr>
        <w:t>The work relies on networking and building </w:t>
      </w:r>
      <w:r>
        <w:rPr>
          <w:spacing w:val="-3"/>
          <w:w w:val="120"/>
          <w:sz w:val="20"/>
        </w:rPr>
        <w:t>relationships, </w:t>
      </w:r>
      <w:r>
        <w:rPr>
          <w:w w:val="120"/>
          <w:sz w:val="20"/>
        </w:rPr>
        <w:t>with the officer </w:t>
      </w:r>
      <w:r>
        <w:rPr>
          <w:spacing w:val="-3"/>
          <w:w w:val="120"/>
          <w:sz w:val="20"/>
        </w:rPr>
        <w:t>liaising </w:t>
      </w:r>
      <w:r>
        <w:rPr>
          <w:w w:val="120"/>
          <w:sz w:val="20"/>
        </w:rPr>
        <w:t>more with synod training</w:t>
      </w:r>
      <w:r>
        <w:rPr>
          <w:spacing w:val="-25"/>
          <w:w w:val="120"/>
          <w:sz w:val="20"/>
        </w:rPr>
        <w:t> </w:t>
      </w:r>
      <w:r>
        <w:rPr>
          <w:w w:val="120"/>
          <w:sz w:val="20"/>
        </w:rPr>
        <w:t>officers</w:t>
      </w:r>
    </w:p>
    <w:p>
      <w:pPr>
        <w:pStyle w:val="BodyText"/>
        <w:spacing w:line="235" w:lineRule="auto" w:before="2"/>
        <w:ind w:left="1984" w:right="1244"/>
      </w:pPr>
      <w:r>
        <w:rPr>
          <w:w w:val="120"/>
        </w:rPr>
        <w:t>than directly with EM3 ministers and CRCWs. This is a role which has been developing since 2008, and currently includes consideration of those areas of training which General Assembly, Mission Council or synods have asked to be made assembly-wide in EM3</w:t>
      </w:r>
    </w:p>
    <w:p>
      <w:pPr>
        <w:pStyle w:val="BodyText"/>
        <w:spacing w:line="235" w:lineRule="auto" w:before="2"/>
        <w:ind w:left="1984" w:right="1200"/>
      </w:pPr>
      <w:r>
        <w:rPr>
          <w:w w:val="120"/>
        </w:rPr>
        <w:t>(e.g. sexual ethics training, child protection, Local Mission and Ministry Reviews) and participating in working groups to develop such training. Increasingly, the Education and Learning office is actively working across the URC in order to integrate different elements of training and development, auditing what is in place, understanding what more may be required and participating in design of new training content and processes.</w:t>
      </w:r>
    </w:p>
    <w:p>
      <w:pPr>
        <w:pStyle w:val="ListParagraph"/>
        <w:numPr>
          <w:ilvl w:val="1"/>
          <w:numId w:val="125"/>
        </w:numPr>
        <w:tabs>
          <w:tab w:pos="2665" w:val="left" w:leader="none"/>
        </w:tabs>
        <w:spacing w:line="240" w:lineRule="auto" w:before="160" w:after="0"/>
        <w:ind w:left="2664" w:right="0" w:hanging="681"/>
        <w:jc w:val="both"/>
        <w:rPr>
          <w:sz w:val="20"/>
        </w:rPr>
      </w:pPr>
      <w:r>
        <w:rPr>
          <w:w w:val="120"/>
          <w:sz w:val="20"/>
        </w:rPr>
        <w:t>Lay</w:t>
      </w:r>
      <w:r>
        <w:rPr>
          <w:spacing w:val="1"/>
          <w:w w:val="120"/>
          <w:sz w:val="20"/>
        </w:rPr>
        <w:t> </w:t>
      </w:r>
      <w:r>
        <w:rPr>
          <w:w w:val="120"/>
          <w:sz w:val="20"/>
        </w:rPr>
        <w:t>Preachers</w:t>
      </w:r>
    </w:p>
    <w:p>
      <w:pPr>
        <w:pStyle w:val="ListParagraph"/>
        <w:numPr>
          <w:ilvl w:val="2"/>
          <w:numId w:val="125"/>
        </w:numPr>
        <w:tabs>
          <w:tab w:pos="2665" w:val="left" w:leader="none"/>
        </w:tabs>
        <w:spacing w:line="235" w:lineRule="auto" w:before="199" w:after="0"/>
        <w:ind w:left="1984" w:right="1261" w:firstLine="0"/>
        <w:jc w:val="left"/>
        <w:rPr>
          <w:sz w:val="20"/>
        </w:rPr>
      </w:pPr>
      <w:r>
        <w:rPr>
          <w:w w:val="120"/>
          <w:sz w:val="20"/>
        </w:rPr>
        <w:t>The General Assembly of 2008 was informed of a new scheme which would offer assembly-accredited lay preachers consistent funding support for their development, and this was introduced in the Autumn of 2008. It offers an educational allowance</w:t>
      </w:r>
      <w:r>
        <w:rPr>
          <w:spacing w:val="27"/>
          <w:w w:val="120"/>
          <w:sz w:val="20"/>
        </w:rPr>
        <w:t> </w:t>
      </w:r>
      <w:r>
        <w:rPr>
          <w:w w:val="120"/>
          <w:sz w:val="20"/>
        </w:rPr>
        <w:t>of</w:t>
      </w:r>
    </w:p>
    <w:p>
      <w:pPr>
        <w:pStyle w:val="BodyText"/>
        <w:spacing w:line="235" w:lineRule="auto" w:before="3"/>
        <w:ind w:left="1984" w:right="1120"/>
      </w:pPr>
      <w:r>
        <w:rPr>
          <w:w w:val="120"/>
        </w:rPr>
        <w:t>£200 which can be put towards courses offered by the Resource Centres for Learning or TLS. Up to half of the allowance may be used on books purchased through the United Reformed Church bookshop. Uptake of this allowance is gradually increasing, and the secretary for education and learning has been working with the RCLs and synods to encourage lay preachers to use it to its full potential.</w:t>
      </w:r>
    </w:p>
    <w:p>
      <w:pPr>
        <w:spacing w:after="0" w:line="235" w:lineRule="auto"/>
        <w:sectPr>
          <w:pgSz w:w="11910" w:h="16840"/>
          <w:pgMar w:header="0" w:footer="647" w:top="1060" w:bottom="840" w:left="0" w:right="0"/>
        </w:sectPr>
      </w:pPr>
    </w:p>
    <w:p>
      <w:pPr>
        <w:numPr>
          <w:ilvl w:val="0"/>
          <w:numId w:val="125"/>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2038144" filled="true" fillcolor="#dae4ec" stroked="false">
            <v:fill opacity="32768f" type="solid"/>
            <w10:wrap type="none"/>
          </v:rect>
        </w:pict>
      </w:r>
      <w:r>
        <w:rPr>
          <w:rFonts w:ascii="Stone Sans II ITC Std Bk"/>
          <w:b/>
          <w:w w:val="115"/>
          <w:sz w:val="21"/>
        </w:rPr>
        <w:t>Statistics</w:t>
      </w:r>
    </w:p>
    <w:p>
      <w:pPr>
        <w:pStyle w:val="BodyText"/>
        <w:spacing w:line="235" w:lineRule="auto" w:before="223"/>
        <w:ind w:left="1133" w:right="2394"/>
      </w:pPr>
      <w:r>
        <w:rPr>
          <w:w w:val="120"/>
        </w:rPr>
        <w:t>Whilst some areas of the work of the Education and Learning Committee have access to continuous and consistent data, particularly TLS, it has been difficult to generate statistics concerning uptake and effectiveness of some of the various training programmes of the URC, particularly in EM3. A review of EM3 in 2006 indicated that each synod keeps records in different systems with varying fields of information, and that the Education and Learning Committee records at Church House were likewise</w:t>
      </w:r>
    </w:p>
    <w:p>
      <w:pPr>
        <w:pStyle w:val="BodyText"/>
        <w:spacing w:line="235" w:lineRule="auto" w:before="4"/>
        <w:ind w:left="1133" w:right="1997"/>
      </w:pPr>
      <w:r>
        <w:rPr>
          <w:w w:val="120"/>
        </w:rPr>
        <w:t>varied and sometimes lacked internal coherence. A significant amount of work has been completed since the 2006 report to assess what is needed, by whom, how to access any accumulated evidence, and the roles that various types of technologies should fulfill. A new Church House database is now beginning to be used and future reports from the Education and Learning Committee should be able to give better statistical evidence to inform and illustrate the narrative.</w:t>
      </w:r>
    </w:p>
    <w:p>
      <w:pPr>
        <w:pStyle w:val="BodyText"/>
        <w:spacing w:before="10"/>
        <w:rPr>
          <w:sz w:val="17"/>
        </w:rPr>
      </w:pPr>
    </w:p>
    <w:p>
      <w:pPr>
        <w:numPr>
          <w:ilvl w:val="0"/>
          <w:numId w:val="125"/>
        </w:numPr>
        <w:tabs>
          <w:tab w:pos="1853" w:val="left" w:leader="none"/>
          <w:tab w:pos="1854" w:val="left" w:leader="none"/>
        </w:tabs>
        <w:spacing w:before="0"/>
        <w:ind w:left="1853" w:right="0" w:hanging="721"/>
        <w:jc w:val="left"/>
        <w:rPr>
          <w:rFonts w:ascii="Stone Sans II ITC Std Bk" w:hAnsi="Stone Sans II ITC Std Bk"/>
          <w:b/>
          <w:sz w:val="21"/>
        </w:rPr>
      </w:pPr>
      <w:r>
        <w:rPr>
          <w:rFonts w:ascii="Stone Sans II ITC Std Bk" w:hAnsi="Stone Sans II ITC Std Bk"/>
          <w:b/>
          <w:w w:val="115"/>
          <w:sz w:val="21"/>
        </w:rPr>
        <w:t>Where </w:t>
      </w:r>
      <w:r>
        <w:rPr>
          <w:rFonts w:ascii="Stone Sans II ITC Std Bk" w:hAnsi="Stone Sans II ITC Std Bk"/>
          <w:b/>
          <w:spacing w:val="-5"/>
          <w:w w:val="115"/>
          <w:sz w:val="21"/>
        </w:rPr>
        <w:t>we’re</w:t>
      </w:r>
      <w:r>
        <w:rPr>
          <w:rFonts w:ascii="Stone Sans II ITC Std Bk" w:hAnsi="Stone Sans II ITC Std Bk"/>
          <w:b/>
          <w:spacing w:val="-3"/>
          <w:w w:val="115"/>
          <w:sz w:val="21"/>
        </w:rPr>
        <w:t> </w:t>
      </w:r>
      <w:r>
        <w:rPr>
          <w:rFonts w:ascii="Stone Sans II ITC Std Bk" w:hAnsi="Stone Sans II ITC Std Bk"/>
          <w:b/>
          <w:w w:val="115"/>
          <w:sz w:val="21"/>
        </w:rPr>
        <w:t>going</w:t>
      </w:r>
    </w:p>
    <w:p>
      <w:pPr>
        <w:pStyle w:val="BodyText"/>
        <w:spacing w:line="235" w:lineRule="auto" w:before="223"/>
        <w:ind w:left="1133" w:right="1997"/>
      </w:pPr>
      <w:r>
        <w:rPr>
          <w:w w:val="120"/>
        </w:rPr>
        <w:t>This is the story so far, and there is space here to give just a few glimpses of the chapters that are yet to be written.</w:t>
      </w:r>
    </w:p>
    <w:p>
      <w:pPr>
        <w:pStyle w:val="BodyText"/>
        <w:spacing w:before="9"/>
        <w:rPr>
          <w:sz w:val="19"/>
        </w:rPr>
      </w:pPr>
    </w:p>
    <w:p>
      <w:pPr>
        <w:pStyle w:val="ListParagraph"/>
        <w:numPr>
          <w:ilvl w:val="1"/>
          <w:numId w:val="125"/>
        </w:numPr>
        <w:tabs>
          <w:tab w:pos="1814" w:val="left" w:leader="none"/>
          <w:tab w:pos="1815" w:val="left" w:leader="none"/>
        </w:tabs>
        <w:spacing w:line="235" w:lineRule="auto" w:before="1" w:after="0"/>
        <w:ind w:left="1133" w:right="2353" w:firstLine="0"/>
        <w:jc w:val="left"/>
        <w:rPr>
          <w:sz w:val="20"/>
        </w:rPr>
      </w:pPr>
      <w:r>
        <w:rPr>
          <w:w w:val="120"/>
          <w:sz w:val="20"/>
        </w:rPr>
        <w:t>The Education and Learning Committee will continue to take seriously the   way in which </w:t>
      </w:r>
      <w:r>
        <w:rPr>
          <w:i/>
          <w:w w:val="120"/>
          <w:sz w:val="20"/>
        </w:rPr>
        <w:t>vision2020 </w:t>
      </w:r>
      <w:r>
        <w:rPr>
          <w:w w:val="120"/>
          <w:sz w:val="20"/>
        </w:rPr>
        <w:t>offers a general framework through which the RCLs, TLS,</w:t>
      </w:r>
      <w:r>
        <w:rPr>
          <w:spacing w:val="28"/>
          <w:w w:val="120"/>
          <w:sz w:val="20"/>
        </w:rPr>
        <w:t> </w:t>
      </w:r>
      <w:r>
        <w:rPr>
          <w:w w:val="120"/>
          <w:sz w:val="20"/>
        </w:rPr>
        <w:t>and</w:t>
      </w:r>
    </w:p>
    <w:p>
      <w:pPr>
        <w:pStyle w:val="BodyText"/>
        <w:spacing w:line="235" w:lineRule="auto" w:before="1"/>
        <w:ind w:left="1133" w:right="1997"/>
      </w:pPr>
      <w:r>
        <w:rPr>
          <w:w w:val="120"/>
        </w:rPr>
        <w:t>specific programmes that are linked through the committee can assist the whole United Reformed Church in effective discipleship and mission.</w:t>
      </w:r>
    </w:p>
    <w:p>
      <w:pPr>
        <w:pStyle w:val="BodyText"/>
        <w:spacing w:before="9"/>
        <w:rPr>
          <w:sz w:val="19"/>
        </w:rPr>
      </w:pPr>
    </w:p>
    <w:p>
      <w:pPr>
        <w:pStyle w:val="ListParagraph"/>
        <w:numPr>
          <w:ilvl w:val="1"/>
          <w:numId w:val="125"/>
        </w:numPr>
        <w:tabs>
          <w:tab w:pos="1814" w:val="left" w:leader="none"/>
          <w:tab w:pos="1815" w:val="left" w:leader="none"/>
        </w:tabs>
        <w:spacing w:line="235" w:lineRule="auto" w:before="0" w:after="0"/>
        <w:ind w:left="1133" w:right="2353" w:firstLine="0"/>
        <w:jc w:val="left"/>
        <w:rPr>
          <w:sz w:val="20"/>
        </w:rPr>
      </w:pPr>
      <w:r>
        <w:rPr>
          <w:w w:val="120"/>
          <w:sz w:val="20"/>
        </w:rPr>
        <w:t>We look forward to involvement in the training aspects of any marketing campaign, so that congregations are confidently prepared to extend radical welcome and gospel</w:t>
      </w:r>
      <w:r>
        <w:rPr>
          <w:spacing w:val="4"/>
          <w:w w:val="120"/>
          <w:sz w:val="20"/>
        </w:rPr>
        <w:t> </w:t>
      </w:r>
      <w:r>
        <w:rPr>
          <w:w w:val="120"/>
          <w:sz w:val="20"/>
        </w:rPr>
        <w:t>hospitality.</w:t>
      </w:r>
    </w:p>
    <w:p>
      <w:pPr>
        <w:pStyle w:val="BodyText"/>
        <w:spacing w:before="11"/>
        <w:rPr>
          <w:sz w:val="19"/>
        </w:rPr>
      </w:pPr>
    </w:p>
    <w:p>
      <w:pPr>
        <w:pStyle w:val="ListParagraph"/>
        <w:numPr>
          <w:ilvl w:val="1"/>
          <w:numId w:val="125"/>
        </w:numPr>
        <w:tabs>
          <w:tab w:pos="1814" w:val="left" w:leader="none"/>
          <w:tab w:pos="1815" w:val="left" w:leader="none"/>
        </w:tabs>
        <w:spacing w:line="235" w:lineRule="auto" w:before="0" w:after="0"/>
        <w:ind w:left="1133" w:right="2042" w:firstLine="0"/>
        <w:jc w:val="left"/>
        <w:rPr>
          <w:sz w:val="20"/>
        </w:rPr>
      </w:pPr>
      <w:r>
        <w:rPr>
          <w:w w:val="120"/>
          <w:sz w:val="20"/>
        </w:rPr>
        <w:t>There is scope, in creative collaboration between the Education and Learning and Ministries committees, for the long-running conversations about new kinds of assembly- accredited lay ministries which have surfaced most recently in </w:t>
      </w:r>
      <w:r>
        <w:rPr>
          <w:i/>
          <w:w w:val="120"/>
          <w:sz w:val="20"/>
        </w:rPr>
        <w:t>Equipping the Saints </w:t>
      </w:r>
      <w:r>
        <w:rPr>
          <w:w w:val="120"/>
          <w:sz w:val="20"/>
        </w:rPr>
        <w:t>and </w:t>
      </w:r>
      <w:r>
        <w:rPr>
          <w:i/>
          <w:w w:val="120"/>
          <w:sz w:val="20"/>
        </w:rPr>
        <w:t>Challenge to the Church </w:t>
      </w:r>
      <w:r>
        <w:rPr>
          <w:w w:val="120"/>
          <w:sz w:val="20"/>
        </w:rPr>
        <w:t>to combine with the potential of </w:t>
      </w:r>
      <w:r>
        <w:rPr>
          <w:spacing w:val="2"/>
          <w:w w:val="120"/>
          <w:sz w:val="20"/>
        </w:rPr>
        <w:t>TLS</w:t>
      </w:r>
      <w:r>
        <w:rPr>
          <w:spacing w:val="-11"/>
          <w:w w:val="120"/>
          <w:sz w:val="20"/>
        </w:rPr>
        <w:t> </w:t>
      </w:r>
      <w:r>
        <w:rPr>
          <w:w w:val="120"/>
          <w:sz w:val="20"/>
        </w:rPr>
        <w:t>pathways.</w:t>
      </w:r>
    </w:p>
    <w:p>
      <w:pPr>
        <w:pStyle w:val="BodyText"/>
        <w:spacing w:before="10"/>
        <w:rPr>
          <w:sz w:val="19"/>
        </w:rPr>
      </w:pPr>
    </w:p>
    <w:p>
      <w:pPr>
        <w:pStyle w:val="ListParagraph"/>
        <w:numPr>
          <w:ilvl w:val="1"/>
          <w:numId w:val="125"/>
        </w:numPr>
        <w:tabs>
          <w:tab w:pos="1814" w:val="left" w:leader="none"/>
          <w:tab w:pos="1815" w:val="left" w:leader="none"/>
        </w:tabs>
        <w:spacing w:line="235" w:lineRule="auto" w:before="1" w:after="0"/>
        <w:ind w:left="1133" w:right="1983" w:firstLine="0"/>
        <w:jc w:val="left"/>
        <w:rPr>
          <w:sz w:val="20"/>
        </w:rPr>
      </w:pPr>
      <w:r>
        <w:rPr>
          <w:w w:val="120"/>
          <w:sz w:val="20"/>
        </w:rPr>
        <w:t>An emphasis on blended learning for flexibility and accessibility will see the VOLE up and running in its preliminary form by the next General Assembly in </w:t>
      </w:r>
      <w:r>
        <w:rPr>
          <w:spacing w:val="-6"/>
          <w:w w:val="120"/>
          <w:sz w:val="20"/>
        </w:rPr>
        <w:t>2012. </w:t>
      </w:r>
      <w:r>
        <w:rPr>
          <w:w w:val="120"/>
          <w:sz w:val="20"/>
        </w:rPr>
        <w:t>An obvious and early use for this would be in the provision of refreshed and renewed</w:t>
      </w:r>
      <w:r>
        <w:rPr>
          <w:spacing w:val="21"/>
          <w:w w:val="120"/>
          <w:sz w:val="20"/>
        </w:rPr>
        <w:t> </w:t>
      </w:r>
      <w:r>
        <w:rPr>
          <w:w w:val="120"/>
          <w:sz w:val="20"/>
        </w:rPr>
        <w:t>resources</w:t>
      </w:r>
    </w:p>
    <w:p>
      <w:pPr>
        <w:pStyle w:val="BodyText"/>
        <w:spacing w:line="235" w:lineRule="auto" w:before="2"/>
        <w:ind w:left="1133" w:right="1997"/>
      </w:pPr>
      <w:r>
        <w:rPr/>
        <w:drawing>
          <wp:anchor distT="0" distB="0" distL="0" distR="0" allowOverlap="1" layoutInCell="1" locked="0" behindDoc="1" simplePos="0" relativeHeight="235931648">
            <wp:simplePos x="0" y="0"/>
            <wp:positionH relativeFrom="page">
              <wp:posOffset>3664468</wp:posOffset>
            </wp:positionH>
            <wp:positionV relativeFrom="paragraph">
              <wp:posOffset>449952</wp:posOffset>
            </wp:positionV>
            <wp:extent cx="232857" cy="181203"/>
            <wp:effectExtent l="0" t="0" r="0" b="0"/>
            <wp:wrapNone/>
            <wp:docPr id="117" name="image121.png"/>
            <wp:cNvGraphicFramePr>
              <a:graphicFrameLocks noChangeAspect="1"/>
            </wp:cNvGraphicFramePr>
            <a:graphic>
              <a:graphicData uri="http://schemas.openxmlformats.org/drawingml/2006/picture">
                <pic:pic>
                  <pic:nvPicPr>
                    <pic:cNvPr id="118" name="image121.png"/>
                    <pic:cNvPicPr/>
                  </pic:nvPicPr>
                  <pic:blipFill>
                    <a:blip r:embed="rId279" cstate="print"/>
                    <a:stretch>
                      <a:fillRect/>
                    </a:stretch>
                  </pic:blipFill>
                  <pic:spPr>
                    <a:xfrm>
                      <a:off x="0" y="0"/>
                      <a:ext cx="232857" cy="181203"/>
                    </a:xfrm>
                    <a:prstGeom prst="rect">
                      <a:avLst/>
                    </a:prstGeom>
                  </pic:spPr>
                </pic:pic>
              </a:graphicData>
            </a:graphic>
          </wp:anchor>
        </w:drawing>
      </w:r>
      <w:r>
        <w:rPr>
          <w:w w:val="120"/>
        </w:rPr>
        <w:t>for leadership in the local church, drawing on existing work being done by the </w:t>
      </w:r>
      <w:r>
        <w:rPr>
          <w:i/>
          <w:w w:val="120"/>
        </w:rPr>
        <w:t>Church </w:t>
      </w:r>
      <w:r>
        <w:rPr>
          <w:i/>
          <w:w w:val="120"/>
        </w:rPr>
        <w:t>Leadership Programme </w:t>
      </w:r>
      <w:r>
        <w:rPr>
          <w:w w:val="120"/>
        </w:rPr>
        <w:t>at the Windermere Centre, an updated ‘Course for Elders’ and members’ material which draws on the styles of presentation and accessibility which</w:t>
      </w:r>
    </w:p>
    <w:p>
      <w:pPr>
        <w:spacing w:line="301" w:lineRule="exact" w:before="0"/>
        <w:ind w:left="1133" w:right="0" w:firstLine="0"/>
        <w:jc w:val="left"/>
        <w:rPr>
          <w:sz w:val="20"/>
        </w:rPr>
      </w:pPr>
      <w:r>
        <w:rPr>
          <w:w w:val="115"/>
          <w:sz w:val="20"/>
        </w:rPr>
        <w:t>were employed to such positive effect by </w:t>
      </w:r>
      <w:r>
        <w:rPr>
          <w:rFonts w:ascii="Arial Rounded MT Bold"/>
          <w:sz w:val="21"/>
        </w:rPr>
        <w:t>Vision4</w:t>
      </w:r>
      <w:r>
        <w:rPr>
          <w:rFonts w:ascii="Bradley Hand ITC"/>
          <w:color w:val="C20D19"/>
          <w:sz w:val="28"/>
        </w:rPr>
        <w:t>Life</w:t>
      </w:r>
      <w:r>
        <w:rPr>
          <w:sz w:val="20"/>
        </w:rPr>
        <w:t>.</w:t>
      </w:r>
    </w:p>
    <w:p>
      <w:pPr>
        <w:pStyle w:val="ListParagraph"/>
        <w:numPr>
          <w:ilvl w:val="1"/>
          <w:numId w:val="125"/>
        </w:numPr>
        <w:tabs>
          <w:tab w:pos="1813" w:val="left" w:leader="none"/>
          <w:tab w:pos="1815" w:val="left" w:leader="none"/>
        </w:tabs>
        <w:spacing w:line="235" w:lineRule="auto" w:before="182" w:after="0"/>
        <w:ind w:left="1133" w:right="2623" w:firstLine="0"/>
        <w:jc w:val="left"/>
        <w:rPr>
          <w:sz w:val="20"/>
        </w:rPr>
      </w:pPr>
      <w:r>
        <w:rPr>
          <w:w w:val="120"/>
          <w:sz w:val="20"/>
        </w:rPr>
        <w:t>A theological research network which has long been an aspiration will be experienced in concrete ways, combined with a better understanding of how local theology and theology in the academy can nourish one</w:t>
      </w:r>
      <w:r>
        <w:rPr>
          <w:spacing w:val="31"/>
          <w:w w:val="120"/>
          <w:sz w:val="20"/>
        </w:rPr>
        <w:t> </w:t>
      </w:r>
      <w:r>
        <w:rPr>
          <w:w w:val="120"/>
          <w:sz w:val="20"/>
        </w:rPr>
        <w:t>another.</w:t>
      </w:r>
    </w:p>
    <w:p>
      <w:pPr>
        <w:pStyle w:val="BodyText"/>
        <w:spacing w:before="10"/>
        <w:rPr>
          <w:sz w:val="19"/>
        </w:rPr>
      </w:pPr>
    </w:p>
    <w:p>
      <w:pPr>
        <w:pStyle w:val="ListParagraph"/>
        <w:numPr>
          <w:ilvl w:val="1"/>
          <w:numId w:val="125"/>
        </w:numPr>
        <w:tabs>
          <w:tab w:pos="1813" w:val="left" w:leader="none"/>
          <w:tab w:pos="1815" w:val="left" w:leader="none"/>
        </w:tabs>
        <w:spacing w:line="235" w:lineRule="auto" w:before="0" w:after="0"/>
        <w:ind w:left="1133" w:right="2009" w:firstLine="0"/>
        <w:jc w:val="left"/>
        <w:rPr>
          <w:sz w:val="20"/>
        </w:rPr>
      </w:pPr>
      <w:r>
        <w:rPr>
          <w:w w:val="120"/>
          <w:sz w:val="20"/>
        </w:rPr>
        <w:t>The extent to which this comes into being in a successful way will depend in great </w:t>
      </w:r>
      <w:r>
        <w:rPr>
          <w:spacing w:val="2"/>
          <w:w w:val="120"/>
          <w:sz w:val="20"/>
        </w:rPr>
        <w:t>part </w:t>
      </w:r>
      <w:r>
        <w:rPr>
          <w:w w:val="120"/>
          <w:sz w:val="20"/>
        </w:rPr>
        <w:t>on the depth of relationships which continue to develop in the wider network of trainers, developers and educationalists whose vocation it is to serve God through the United Reformed</w:t>
      </w:r>
      <w:r>
        <w:rPr>
          <w:spacing w:val="4"/>
          <w:w w:val="120"/>
          <w:sz w:val="20"/>
        </w:rPr>
        <w:t> </w:t>
      </w:r>
      <w:r>
        <w:rPr>
          <w:w w:val="120"/>
          <w:sz w:val="20"/>
        </w:rPr>
        <w:t>Church.</w:t>
      </w:r>
    </w:p>
    <w:p>
      <w:pPr>
        <w:pStyle w:val="BodyText"/>
        <w:rPr>
          <w:sz w:val="24"/>
        </w:rPr>
      </w:pPr>
    </w:p>
    <w:p>
      <w:pPr>
        <w:pStyle w:val="Heading7"/>
        <w:spacing w:line="244" w:lineRule="auto" w:before="151"/>
        <w:ind w:right="2228" w:firstLine="79"/>
        <w:jc w:val="both"/>
      </w:pPr>
      <w:r>
        <w:rPr>
          <w:i/>
          <w:color w:val="CA4F1B"/>
          <w:w w:val="110"/>
        </w:rPr>
        <w:t>‘Before </w:t>
      </w:r>
      <w:r>
        <w:rPr>
          <w:i/>
          <w:color w:val="CA4F1B"/>
          <w:spacing w:val="-3"/>
          <w:w w:val="110"/>
        </w:rPr>
        <w:t>you </w:t>
      </w:r>
      <w:r>
        <w:rPr>
          <w:i/>
          <w:color w:val="CA4F1B"/>
          <w:spacing w:val="-4"/>
          <w:w w:val="110"/>
        </w:rPr>
        <w:t>become </w:t>
      </w:r>
      <w:r>
        <w:rPr>
          <w:i/>
          <w:color w:val="CA4F1B"/>
          <w:spacing w:val="-3"/>
          <w:w w:val="110"/>
        </w:rPr>
        <w:t>too </w:t>
      </w:r>
      <w:r>
        <w:rPr>
          <w:i/>
          <w:color w:val="CA4F1B"/>
          <w:spacing w:val="-4"/>
          <w:w w:val="110"/>
        </w:rPr>
        <w:t>entranced </w:t>
      </w:r>
      <w:r>
        <w:rPr>
          <w:i/>
          <w:color w:val="CA4F1B"/>
          <w:w w:val="110"/>
        </w:rPr>
        <w:t>with </w:t>
      </w:r>
      <w:r>
        <w:rPr>
          <w:i/>
          <w:color w:val="CA4F1B"/>
          <w:spacing w:val="-4"/>
          <w:w w:val="110"/>
        </w:rPr>
        <w:t>gorgeous </w:t>
      </w:r>
      <w:r>
        <w:rPr>
          <w:i/>
          <w:color w:val="CA4F1B"/>
          <w:w w:val="110"/>
        </w:rPr>
        <w:t>gadgets </w:t>
      </w:r>
      <w:r>
        <w:rPr>
          <w:i/>
          <w:color w:val="CA4F1B"/>
          <w:spacing w:val="-3"/>
          <w:w w:val="110"/>
        </w:rPr>
        <w:t>and </w:t>
      </w:r>
      <w:r>
        <w:rPr>
          <w:color w:val="CA4F1B"/>
          <w:spacing w:val="-4"/>
          <w:w w:val="110"/>
        </w:rPr>
        <w:t>mesmerising </w:t>
      </w:r>
      <w:r>
        <w:rPr>
          <w:color w:val="CA4F1B"/>
          <w:spacing w:val="-3"/>
          <w:w w:val="110"/>
        </w:rPr>
        <w:t>video </w:t>
      </w:r>
      <w:r>
        <w:rPr>
          <w:color w:val="CA4F1B"/>
          <w:spacing w:val="-4"/>
          <w:w w:val="110"/>
        </w:rPr>
        <w:t>displays, </w:t>
      </w:r>
      <w:r>
        <w:rPr>
          <w:color w:val="CA4F1B"/>
          <w:w w:val="110"/>
        </w:rPr>
        <w:t>let me </w:t>
      </w:r>
      <w:r>
        <w:rPr>
          <w:color w:val="CA4F1B"/>
          <w:spacing w:val="-4"/>
          <w:w w:val="110"/>
        </w:rPr>
        <w:t>remind  </w:t>
      </w:r>
      <w:r>
        <w:rPr>
          <w:color w:val="CA4F1B"/>
          <w:spacing w:val="-3"/>
          <w:w w:val="110"/>
        </w:rPr>
        <w:t>you </w:t>
      </w:r>
      <w:r>
        <w:rPr>
          <w:color w:val="CA4F1B"/>
          <w:w w:val="110"/>
        </w:rPr>
        <w:t>that </w:t>
      </w:r>
      <w:r>
        <w:rPr>
          <w:color w:val="CA4F1B"/>
          <w:spacing w:val="-3"/>
          <w:w w:val="110"/>
        </w:rPr>
        <w:t>information </w:t>
      </w:r>
      <w:r>
        <w:rPr>
          <w:color w:val="CA4F1B"/>
          <w:spacing w:val="-4"/>
          <w:w w:val="110"/>
        </w:rPr>
        <w:t>is </w:t>
      </w:r>
      <w:r>
        <w:rPr>
          <w:color w:val="CA4F1B"/>
          <w:w w:val="110"/>
        </w:rPr>
        <w:t>not </w:t>
      </w:r>
      <w:r>
        <w:rPr>
          <w:color w:val="CA4F1B"/>
          <w:spacing w:val="-4"/>
          <w:w w:val="110"/>
        </w:rPr>
        <w:t>knowledge, </w:t>
      </w:r>
      <w:r>
        <w:rPr>
          <w:color w:val="CA4F1B"/>
          <w:spacing w:val="-3"/>
          <w:w w:val="110"/>
        </w:rPr>
        <w:t>knowledge </w:t>
      </w:r>
      <w:r>
        <w:rPr>
          <w:color w:val="CA4F1B"/>
          <w:spacing w:val="-4"/>
          <w:w w:val="110"/>
        </w:rPr>
        <w:t>is </w:t>
      </w:r>
      <w:r>
        <w:rPr>
          <w:color w:val="CA4F1B"/>
          <w:w w:val="110"/>
        </w:rPr>
        <w:t>not </w:t>
      </w:r>
      <w:r>
        <w:rPr>
          <w:color w:val="CA4F1B"/>
          <w:spacing w:val="-5"/>
          <w:w w:val="110"/>
        </w:rPr>
        <w:t>wisdom, </w:t>
      </w:r>
      <w:r>
        <w:rPr>
          <w:color w:val="CA4F1B"/>
          <w:spacing w:val="-3"/>
          <w:w w:val="110"/>
        </w:rPr>
        <w:t>and </w:t>
      </w:r>
      <w:r>
        <w:rPr>
          <w:color w:val="CA4F1B"/>
          <w:spacing w:val="-4"/>
          <w:w w:val="110"/>
        </w:rPr>
        <w:t>wisdom is </w:t>
      </w:r>
      <w:r>
        <w:rPr>
          <w:color w:val="CA4F1B"/>
          <w:w w:val="110"/>
        </w:rPr>
        <w:t>not </w:t>
      </w:r>
      <w:r>
        <w:rPr>
          <w:color w:val="CA4F1B"/>
          <w:spacing w:val="-4"/>
          <w:w w:val="110"/>
        </w:rPr>
        <w:t>foresight.</w:t>
      </w:r>
      <w:r>
        <w:rPr>
          <w:color w:val="CA4F1B"/>
          <w:spacing w:val="15"/>
          <w:w w:val="110"/>
        </w:rPr>
        <w:t> </w:t>
      </w:r>
      <w:r>
        <w:rPr>
          <w:color w:val="CA4F1B"/>
          <w:spacing w:val="-3"/>
          <w:w w:val="110"/>
        </w:rPr>
        <w:t>Each</w:t>
      </w:r>
      <w:r>
        <w:rPr>
          <w:color w:val="CA4F1B"/>
          <w:spacing w:val="15"/>
          <w:w w:val="110"/>
        </w:rPr>
        <w:t> </w:t>
      </w:r>
      <w:r>
        <w:rPr>
          <w:color w:val="CA4F1B"/>
          <w:spacing w:val="-3"/>
          <w:w w:val="110"/>
        </w:rPr>
        <w:t>grows</w:t>
      </w:r>
      <w:r>
        <w:rPr>
          <w:color w:val="CA4F1B"/>
          <w:spacing w:val="15"/>
          <w:w w:val="110"/>
        </w:rPr>
        <w:t> </w:t>
      </w:r>
      <w:r>
        <w:rPr>
          <w:color w:val="CA4F1B"/>
          <w:w w:val="110"/>
        </w:rPr>
        <w:t>out</w:t>
      </w:r>
      <w:r>
        <w:rPr>
          <w:color w:val="CA4F1B"/>
          <w:spacing w:val="15"/>
          <w:w w:val="110"/>
        </w:rPr>
        <w:t> </w:t>
      </w:r>
      <w:r>
        <w:rPr>
          <w:color w:val="CA4F1B"/>
          <w:w w:val="110"/>
        </w:rPr>
        <w:t>of</w:t>
      </w:r>
      <w:r>
        <w:rPr>
          <w:color w:val="CA4F1B"/>
          <w:spacing w:val="15"/>
          <w:w w:val="110"/>
        </w:rPr>
        <w:t> </w:t>
      </w:r>
      <w:r>
        <w:rPr>
          <w:color w:val="CA4F1B"/>
          <w:w w:val="110"/>
        </w:rPr>
        <w:t>the</w:t>
      </w:r>
      <w:r>
        <w:rPr>
          <w:color w:val="CA4F1B"/>
          <w:spacing w:val="15"/>
          <w:w w:val="110"/>
        </w:rPr>
        <w:t> </w:t>
      </w:r>
      <w:r>
        <w:rPr>
          <w:color w:val="CA4F1B"/>
          <w:spacing w:val="-6"/>
          <w:w w:val="110"/>
        </w:rPr>
        <w:t>other,</w:t>
      </w:r>
      <w:r>
        <w:rPr>
          <w:color w:val="CA4F1B"/>
          <w:spacing w:val="15"/>
          <w:w w:val="110"/>
        </w:rPr>
        <w:t> </w:t>
      </w:r>
      <w:r>
        <w:rPr>
          <w:color w:val="CA4F1B"/>
          <w:spacing w:val="-3"/>
          <w:w w:val="110"/>
        </w:rPr>
        <w:t>and</w:t>
      </w:r>
      <w:r>
        <w:rPr>
          <w:color w:val="CA4F1B"/>
          <w:spacing w:val="15"/>
          <w:w w:val="110"/>
        </w:rPr>
        <w:t> </w:t>
      </w:r>
      <w:r>
        <w:rPr>
          <w:color w:val="CA4F1B"/>
          <w:spacing w:val="-4"/>
          <w:w w:val="110"/>
        </w:rPr>
        <w:t>we</w:t>
      </w:r>
      <w:r>
        <w:rPr>
          <w:color w:val="CA4F1B"/>
          <w:spacing w:val="15"/>
          <w:w w:val="110"/>
        </w:rPr>
        <w:t> </w:t>
      </w:r>
      <w:r>
        <w:rPr>
          <w:color w:val="CA4F1B"/>
          <w:spacing w:val="-3"/>
          <w:w w:val="110"/>
        </w:rPr>
        <w:t>need</w:t>
      </w:r>
      <w:r>
        <w:rPr>
          <w:color w:val="CA4F1B"/>
          <w:spacing w:val="15"/>
          <w:w w:val="110"/>
        </w:rPr>
        <w:t> </w:t>
      </w:r>
      <w:r>
        <w:rPr>
          <w:color w:val="CA4F1B"/>
          <w:spacing w:val="-3"/>
          <w:w w:val="110"/>
        </w:rPr>
        <w:t>them</w:t>
      </w:r>
      <w:r>
        <w:rPr>
          <w:color w:val="CA4F1B"/>
          <w:spacing w:val="15"/>
          <w:w w:val="110"/>
        </w:rPr>
        <w:t> </w:t>
      </w:r>
      <w:r>
        <w:rPr>
          <w:color w:val="CA4F1B"/>
          <w:spacing w:val="-10"/>
          <w:w w:val="110"/>
        </w:rPr>
        <w:t>all.’</w:t>
      </w:r>
    </w:p>
    <w:p>
      <w:pPr>
        <w:pStyle w:val="BodyText"/>
        <w:spacing w:before="2"/>
        <w:rPr>
          <w:i/>
          <w:sz w:val="26"/>
        </w:rPr>
      </w:pPr>
    </w:p>
    <w:p>
      <w:pPr>
        <w:spacing w:before="1"/>
        <w:ind w:left="4853" w:right="0" w:firstLine="0"/>
        <w:jc w:val="left"/>
        <w:rPr>
          <w:sz w:val="18"/>
        </w:rPr>
      </w:pPr>
      <w:r>
        <w:rPr>
          <w:color w:val="8BA8BD"/>
          <w:w w:val="110"/>
          <w:sz w:val="18"/>
        </w:rPr>
        <w:t>Arthur C Clarke, </w:t>
      </w:r>
      <w:r>
        <w:rPr>
          <w:i/>
          <w:color w:val="8BA8BD"/>
          <w:w w:val="110"/>
          <w:sz w:val="18"/>
        </w:rPr>
        <w:t>Greetings, Carbon-based Bipeds! </w:t>
      </w:r>
      <w:r>
        <w:rPr>
          <w:color w:val="8BA8BD"/>
          <w:w w:val="110"/>
          <w:sz w:val="18"/>
        </w:rPr>
        <w:t>Voyager, 1999.</w:t>
      </w:r>
    </w:p>
    <w:p>
      <w:pPr>
        <w:spacing w:after="0"/>
        <w:jc w:val="left"/>
        <w:rPr>
          <w:sz w:val="18"/>
        </w:rPr>
        <w:sectPr>
          <w:headerReference w:type="even" r:id="rId275"/>
          <w:headerReference w:type="default" r:id="rId276"/>
          <w:footerReference w:type="even" r:id="rId277"/>
          <w:footerReference w:type="default" r:id="rId278"/>
          <w:pgSz w:w="11910" w:h="16840"/>
          <w:pgMar w:header="0" w:footer="647" w:top="1060" w:bottom="840" w:left="0" w:right="0"/>
        </w:sectPr>
      </w:pPr>
    </w:p>
    <w:p>
      <w:pPr>
        <w:spacing w:before="22"/>
        <w:ind w:left="2074" w:right="0" w:firstLine="0"/>
        <w:jc w:val="left"/>
        <w:rPr>
          <w:rFonts w:ascii="Stone Sans II ITC Std Bk"/>
          <w:b/>
          <w:sz w:val="48"/>
        </w:rPr>
      </w:pPr>
      <w:r>
        <w:rPr/>
        <w:pict>
          <v:rect style="position:absolute;margin-left:558.424988pt;margin-top:8.496594pt;width:22.677pt;height:22.677pt;mso-position-horizontal-relative:page;mso-position-vertical-relative:paragraph;z-index:252040192" filled="true" fillcolor="#dae4ec" stroked="false">
            <v:fill opacity="32768f" type="solid"/>
            <w10:wrap type="none"/>
          </v:rect>
        </w:pict>
      </w:r>
      <w:r>
        <w:rPr>
          <w:rFonts w:ascii="Stone Sans II ITC Std Bk"/>
          <w:b/>
          <w:spacing w:val="-5"/>
          <w:w w:val="115"/>
          <w:sz w:val="48"/>
        </w:rPr>
        <w:t>The </w:t>
      </w:r>
      <w:r>
        <w:rPr>
          <w:rFonts w:ascii="Stone Sans II ITC Std Bk"/>
          <w:b/>
          <w:spacing w:val="-11"/>
          <w:w w:val="115"/>
          <w:sz w:val="48"/>
        </w:rPr>
        <w:t>Resource Centres </w:t>
      </w:r>
      <w:r>
        <w:rPr>
          <w:rFonts w:ascii="Stone Sans II ITC Std Bk"/>
          <w:b/>
          <w:spacing w:val="-6"/>
          <w:w w:val="115"/>
          <w:sz w:val="48"/>
        </w:rPr>
        <w:t>for</w:t>
      </w:r>
      <w:r>
        <w:rPr>
          <w:rFonts w:ascii="Stone Sans II ITC Std Bk"/>
          <w:b/>
          <w:spacing w:val="-84"/>
          <w:w w:val="115"/>
          <w:sz w:val="48"/>
        </w:rPr>
        <w:t> </w:t>
      </w:r>
      <w:r>
        <w:rPr>
          <w:rFonts w:ascii="Stone Sans II ITC Std Bk"/>
          <w:b/>
          <w:spacing w:val="-9"/>
          <w:w w:val="115"/>
          <w:sz w:val="48"/>
        </w:rPr>
        <w:t>Learning</w:t>
      </w:r>
    </w:p>
    <w:p>
      <w:pPr>
        <w:spacing w:line="184" w:lineRule="auto" w:before="437"/>
        <w:ind w:left="1984" w:right="1997" w:hanging="1"/>
        <w:jc w:val="left"/>
        <w:rPr>
          <w:rFonts w:ascii="Stone Sans II ITC Std Bk"/>
          <w:b/>
          <w:sz w:val="29"/>
        </w:rPr>
      </w:pPr>
      <w:r>
        <w:rPr>
          <w:rFonts w:ascii="Stone Sans II ITC Std Bk"/>
          <w:b/>
          <w:color w:val="CA4F1B"/>
          <w:spacing w:val="7"/>
          <w:w w:val="110"/>
          <w:sz w:val="36"/>
        </w:rPr>
        <w:t>Northern </w:t>
      </w:r>
      <w:r>
        <w:rPr>
          <w:rFonts w:ascii="Stone Sans II ITC Std Bk"/>
          <w:b/>
          <w:color w:val="CA4F1B"/>
          <w:spacing w:val="4"/>
          <w:w w:val="110"/>
          <w:sz w:val="36"/>
        </w:rPr>
        <w:t>College </w:t>
      </w:r>
      <w:r>
        <w:rPr>
          <w:rFonts w:ascii="Stone Sans II ITC Std Bk"/>
          <w:b/>
          <w:color w:val="CA4F1B"/>
          <w:spacing w:val="2"/>
          <w:w w:val="110"/>
          <w:sz w:val="29"/>
        </w:rPr>
        <w:t>(United </w:t>
      </w:r>
      <w:r>
        <w:rPr>
          <w:rFonts w:ascii="Stone Sans II ITC Std Bk"/>
          <w:b/>
          <w:color w:val="CA4F1B"/>
          <w:spacing w:val="4"/>
          <w:w w:val="110"/>
          <w:sz w:val="29"/>
        </w:rPr>
        <w:t>Reformed </w:t>
      </w:r>
      <w:r>
        <w:rPr>
          <w:rFonts w:ascii="Stone Sans II ITC Std Bk"/>
          <w:b/>
          <w:color w:val="CA4F1B"/>
          <w:spacing w:val="3"/>
          <w:w w:val="110"/>
          <w:sz w:val="29"/>
        </w:rPr>
        <w:t>and </w:t>
      </w:r>
      <w:r>
        <w:rPr>
          <w:rFonts w:ascii="Stone Sans II ITC Std Bk"/>
          <w:b/>
          <w:color w:val="CA4F1B"/>
          <w:spacing w:val="2"/>
          <w:w w:val="110"/>
          <w:sz w:val="29"/>
        </w:rPr>
        <w:t>Congregational), </w:t>
      </w:r>
      <w:r>
        <w:rPr>
          <w:rFonts w:ascii="Stone Sans II ITC Std Bk"/>
          <w:b/>
          <w:color w:val="CA4F1B"/>
          <w:spacing w:val="4"/>
          <w:w w:val="110"/>
          <w:sz w:val="29"/>
        </w:rPr>
        <w:t>Luther </w:t>
      </w:r>
      <w:r>
        <w:rPr>
          <w:rFonts w:ascii="Stone Sans II ITC Std Bk"/>
          <w:b/>
          <w:color w:val="CA4F1B"/>
          <w:spacing w:val="3"/>
          <w:w w:val="110"/>
          <w:sz w:val="29"/>
        </w:rPr>
        <w:t>King House,</w:t>
      </w:r>
      <w:r>
        <w:rPr>
          <w:rFonts w:ascii="Stone Sans II ITC Std Bk"/>
          <w:b/>
          <w:color w:val="CA4F1B"/>
          <w:spacing w:val="80"/>
          <w:w w:val="110"/>
          <w:sz w:val="29"/>
        </w:rPr>
        <w:t> </w:t>
      </w:r>
      <w:r>
        <w:rPr>
          <w:rFonts w:ascii="Stone Sans II ITC Std Bk"/>
          <w:b/>
          <w:color w:val="CA4F1B"/>
          <w:spacing w:val="3"/>
          <w:w w:val="110"/>
          <w:sz w:val="29"/>
        </w:rPr>
        <w:t>Manchester</w:t>
      </w:r>
    </w:p>
    <w:p>
      <w:pPr>
        <w:pStyle w:val="BodyText"/>
        <w:spacing w:before="12"/>
        <w:rPr>
          <w:rFonts w:ascii="Stone Sans II ITC Std Bk"/>
          <w:b/>
          <w:sz w:val="31"/>
        </w:rPr>
      </w:pPr>
    </w:p>
    <w:p>
      <w:pPr>
        <w:numPr>
          <w:ilvl w:val="0"/>
          <w:numId w:val="127"/>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were</w:t>
      </w:r>
    </w:p>
    <w:p>
      <w:pPr>
        <w:pStyle w:val="ListParagraph"/>
        <w:numPr>
          <w:ilvl w:val="1"/>
          <w:numId w:val="127"/>
        </w:numPr>
        <w:tabs>
          <w:tab w:pos="2664" w:val="left" w:leader="none"/>
          <w:tab w:pos="2665" w:val="left" w:leader="none"/>
        </w:tabs>
        <w:spacing w:line="235" w:lineRule="auto" w:before="223" w:after="0"/>
        <w:ind w:left="1984" w:right="1263" w:firstLine="0"/>
        <w:jc w:val="left"/>
        <w:rPr>
          <w:sz w:val="20"/>
        </w:rPr>
      </w:pPr>
      <w:r>
        <w:rPr>
          <w:spacing w:val="2"/>
          <w:w w:val="120"/>
          <w:sz w:val="20"/>
        </w:rPr>
        <w:t>Northern </w:t>
      </w:r>
      <w:r>
        <w:rPr>
          <w:w w:val="120"/>
          <w:sz w:val="20"/>
        </w:rPr>
        <w:t>College is the lineal descendant of a number of independent congregational colleges rooted in various </w:t>
      </w:r>
      <w:r>
        <w:rPr>
          <w:spacing w:val="2"/>
          <w:w w:val="120"/>
          <w:sz w:val="20"/>
        </w:rPr>
        <w:t>parts </w:t>
      </w:r>
      <w:r>
        <w:rPr>
          <w:w w:val="120"/>
          <w:sz w:val="20"/>
        </w:rPr>
        <w:t>of the </w:t>
      </w:r>
      <w:r>
        <w:rPr>
          <w:spacing w:val="2"/>
          <w:w w:val="120"/>
          <w:sz w:val="20"/>
        </w:rPr>
        <w:t>north </w:t>
      </w:r>
      <w:r>
        <w:rPr>
          <w:w w:val="120"/>
          <w:sz w:val="20"/>
        </w:rPr>
        <w:t>and south-west of England. Since </w:t>
      </w:r>
      <w:r>
        <w:rPr>
          <w:spacing w:val="-5"/>
          <w:w w:val="120"/>
          <w:sz w:val="20"/>
        </w:rPr>
        <w:t>1985 </w:t>
      </w:r>
      <w:r>
        <w:rPr>
          <w:w w:val="120"/>
          <w:sz w:val="20"/>
        </w:rPr>
        <w:t>we have operated as an integrated </w:t>
      </w:r>
      <w:r>
        <w:rPr>
          <w:spacing w:val="2"/>
          <w:w w:val="120"/>
          <w:sz w:val="20"/>
        </w:rPr>
        <w:t>part </w:t>
      </w:r>
      <w:r>
        <w:rPr>
          <w:w w:val="120"/>
          <w:sz w:val="20"/>
        </w:rPr>
        <w:t>of Luther King House, a shared ecumenical resource centre for learning in south Manchester. Here we have been living and working alongside Baptists, Methodists, Unitarians and Anglicans and an ‘Open College’ cohort of students from a variety of other church backgrounds that in recent years has included a significant number of locally-resident African students. Since the mid </w:t>
      </w:r>
      <w:r>
        <w:rPr>
          <w:spacing w:val="-3"/>
          <w:w w:val="120"/>
          <w:sz w:val="20"/>
        </w:rPr>
        <w:t>1990s </w:t>
      </w:r>
      <w:r>
        <w:rPr>
          <w:w w:val="120"/>
          <w:sz w:val="20"/>
        </w:rPr>
        <w:t>we have shared in running an in-house ecumenical course known as </w:t>
      </w:r>
      <w:r>
        <w:rPr>
          <w:i/>
          <w:w w:val="120"/>
          <w:sz w:val="20"/>
        </w:rPr>
        <w:t>Faith in </w:t>
      </w:r>
      <w:r>
        <w:rPr>
          <w:i/>
          <w:w w:val="120"/>
          <w:sz w:val="20"/>
        </w:rPr>
        <w:t>Living </w:t>
      </w:r>
      <w:r>
        <w:rPr>
          <w:w w:val="120"/>
          <w:sz w:val="20"/>
        </w:rPr>
        <w:t>that was validated by the University of</w:t>
      </w:r>
      <w:r>
        <w:rPr>
          <w:spacing w:val="5"/>
          <w:w w:val="120"/>
          <w:sz w:val="20"/>
        </w:rPr>
        <w:t> </w:t>
      </w:r>
      <w:r>
        <w:rPr>
          <w:w w:val="120"/>
          <w:sz w:val="20"/>
        </w:rPr>
        <w:t>Manchester.</w:t>
      </w:r>
    </w:p>
    <w:p>
      <w:pPr>
        <w:pStyle w:val="BodyText"/>
        <w:spacing w:before="2"/>
      </w:pPr>
    </w:p>
    <w:p>
      <w:pPr>
        <w:pStyle w:val="ListParagraph"/>
        <w:numPr>
          <w:ilvl w:val="1"/>
          <w:numId w:val="127"/>
        </w:numPr>
        <w:tabs>
          <w:tab w:pos="2664" w:val="left" w:leader="none"/>
          <w:tab w:pos="2665" w:val="left" w:leader="none"/>
        </w:tabs>
        <w:spacing w:line="235" w:lineRule="auto" w:before="0" w:after="0"/>
        <w:ind w:left="1984" w:right="1285" w:firstLine="0"/>
        <w:jc w:val="left"/>
        <w:rPr>
          <w:sz w:val="20"/>
        </w:rPr>
      </w:pPr>
      <w:r>
        <w:rPr>
          <w:w w:val="120"/>
          <w:sz w:val="20"/>
        </w:rPr>
        <w:t>In </w:t>
      </w:r>
      <w:r>
        <w:rPr>
          <w:spacing w:val="-5"/>
          <w:w w:val="120"/>
          <w:sz w:val="20"/>
        </w:rPr>
        <w:t>1997 </w:t>
      </w:r>
      <w:r>
        <w:rPr>
          <w:w w:val="120"/>
          <w:sz w:val="20"/>
        </w:rPr>
        <w:t>the initial </w:t>
      </w:r>
      <w:r>
        <w:rPr>
          <w:spacing w:val="2"/>
          <w:w w:val="120"/>
          <w:sz w:val="20"/>
        </w:rPr>
        <w:t>education programme </w:t>
      </w:r>
      <w:r>
        <w:rPr>
          <w:w w:val="120"/>
          <w:sz w:val="20"/>
        </w:rPr>
        <w:t>for our denomination’s church related community </w:t>
      </w:r>
      <w:r>
        <w:rPr>
          <w:spacing w:val="2"/>
          <w:w w:val="120"/>
          <w:sz w:val="20"/>
        </w:rPr>
        <w:t>workers </w:t>
      </w:r>
      <w:r>
        <w:rPr>
          <w:w w:val="120"/>
          <w:sz w:val="20"/>
        </w:rPr>
        <w:t>moved </w:t>
      </w:r>
      <w:r>
        <w:rPr>
          <w:spacing w:val="2"/>
          <w:w w:val="120"/>
          <w:sz w:val="20"/>
        </w:rPr>
        <w:t>from Salford Urban </w:t>
      </w:r>
      <w:r>
        <w:rPr>
          <w:w w:val="120"/>
          <w:sz w:val="20"/>
        </w:rPr>
        <w:t>Mission and </w:t>
      </w:r>
      <w:r>
        <w:rPr>
          <w:spacing w:val="2"/>
          <w:w w:val="120"/>
          <w:sz w:val="20"/>
        </w:rPr>
        <w:t>became </w:t>
      </w:r>
      <w:r>
        <w:rPr>
          <w:w w:val="120"/>
          <w:sz w:val="20"/>
        </w:rPr>
        <w:t>at once a vital   and </w:t>
      </w:r>
      <w:r>
        <w:rPr>
          <w:spacing w:val="2"/>
          <w:w w:val="120"/>
          <w:sz w:val="20"/>
        </w:rPr>
        <w:t>vibrant </w:t>
      </w:r>
      <w:r>
        <w:rPr>
          <w:spacing w:val="3"/>
          <w:w w:val="120"/>
          <w:sz w:val="20"/>
        </w:rPr>
        <w:t>part </w:t>
      </w:r>
      <w:r>
        <w:rPr>
          <w:w w:val="120"/>
          <w:sz w:val="20"/>
        </w:rPr>
        <w:t>of </w:t>
      </w:r>
      <w:r>
        <w:rPr>
          <w:spacing w:val="4"/>
          <w:w w:val="120"/>
          <w:sz w:val="20"/>
        </w:rPr>
        <w:t>Northern </w:t>
      </w:r>
      <w:r>
        <w:rPr>
          <w:w w:val="120"/>
          <w:sz w:val="20"/>
        </w:rPr>
        <w:t>College and a creative </w:t>
      </w:r>
      <w:r>
        <w:rPr>
          <w:spacing w:val="2"/>
          <w:w w:val="120"/>
          <w:sz w:val="20"/>
        </w:rPr>
        <w:t>extension </w:t>
      </w:r>
      <w:r>
        <w:rPr>
          <w:w w:val="120"/>
          <w:sz w:val="20"/>
        </w:rPr>
        <w:t>of the shared </w:t>
      </w:r>
      <w:r>
        <w:rPr>
          <w:i/>
          <w:w w:val="120"/>
          <w:sz w:val="20"/>
        </w:rPr>
        <w:t>Faith in </w:t>
      </w:r>
      <w:r>
        <w:rPr>
          <w:i/>
          <w:w w:val="120"/>
          <w:sz w:val="20"/>
        </w:rPr>
        <w:t>Living</w:t>
      </w:r>
      <w:r>
        <w:rPr>
          <w:i/>
          <w:spacing w:val="7"/>
          <w:w w:val="120"/>
          <w:sz w:val="20"/>
        </w:rPr>
        <w:t> </w:t>
      </w:r>
      <w:r>
        <w:rPr>
          <w:spacing w:val="2"/>
          <w:w w:val="120"/>
          <w:sz w:val="20"/>
        </w:rPr>
        <w:t>programme.</w:t>
      </w:r>
    </w:p>
    <w:p>
      <w:pPr>
        <w:pStyle w:val="BodyText"/>
        <w:spacing w:before="11"/>
        <w:rPr>
          <w:sz w:val="19"/>
        </w:rPr>
      </w:pPr>
    </w:p>
    <w:p>
      <w:pPr>
        <w:pStyle w:val="ListParagraph"/>
        <w:numPr>
          <w:ilvl w:val="1"/>
          <w:numId w:val="127"/>
        </w:numPr>
        <w:tabs>
          <w:tab w:pos="2664" w:val="left" w:leader="none"/>
          <w:tab w:pos="2665" w:val="left" w:leader="none"/>
        </w:tabs>
        <w:spacing w:line="235" w:lineRule="auto" w:before="0" w:after="0"/>
        <w:ind w:left="1984" w:right="1287" w:firstLine="0"/>
        <w:jc w:val="left"/>
        <w:rPr>
          <w:sz w:val="20"/>
        </w:rPr>
      </w:pPr>
      <w:r>
        <w:rPr>
          <w:w w:val="120"/>
          <w:sz w:val="20"/>
        </w:rPr>
        <w:t>In 2007 we began introducing a new ecumenical course, developed in partnership with the three Anglican dioceses of Liverpool, Manchester and Chester.  This is taught at Luther King House for full-time students and in six centres all across the region for part-time students, one of these centres being Luther King House. This new course, called </w:t>
      </w:r>
      <w:r>
        <w:rPr>
          <w:i/>
          <w:w w:val="120"/>
          <w:sz w:val="20"/>
        </w:rPr>
        <w:t>Learning for Mission and Ministry </w:t>
      </w:r>
      <w:r>
        <w:rPr>
          <w:w w:val="120"/>
          <w:sz w:val="20"/>
        </w:rPr>
        <w:t>(LMM)</w:t>
      </w:r>
      <w:r>
        <w:rPr>
          <w:i/>
          <w:w w:val="120"/>
          <w:sz w:val="20"/>
        </w:rPr>
        <w:t>, </w:t>
      </w:r>
      <w:r>
        <w:rPr>
          <w:w w:val="120"/>
          <w:sz w:val="20"/>
        </w:rPr>
        <w:t>leads to a Foundation Degree validated by the University of Chester and Liverpool Hope University. Developing this course was the central </w:t>
      </w:r>
      <w:r>
        <w:rPr>
          <w:spacing w:val="2"/>
          <w:w w:val="120"/>
          <w:sz w:val="20"/>
        </w:rPr>
        <w:t>part </w:t>
      </w:r>
      <w:r>
        <w:rPr>
          <w:w w:val="120"/>
          <w:sz w:val="20"/>
        </w:rPr>
        <w:t>of our response to decisions by Methodist Conference and the United Reformed Church General Assembly that wherever possible (in England) church learning opportunities should be developed within the Anglican-inspired ecumenical ‘Regional Training Partnerships’. The LMM Course is the first fruit of the  new Southern </w:t>
      </w:r>
      <w:r>
        <w:rPr>
          <w:spacing w:val="2"/>
          <w:w w:val="120"/>
          <w:sz w:val="20"/>
        </w:rPr>
        <w:t>North </w:t>
      </w:r>
      <w:r>
        <w:rPr>
          <w:w w:val="120"/>
          <w:sz w:val="20"/>
        </w:rPr>
        <w:t>West Training Partnership, in which we now share.</w:t>
      </w:r>
      <w:r>
        <w:rPr>
          <w:spacing w:val="21"/>
          <w:w w:val="120"/>
          <w:sz w:val="20"/>
        </w:rPr>
        <w:t> </w:t>
      </w:r>
      <w:r>
        <w:rPr>
          <w:w w:val="120"/>
          <w:sz w:val="20"/>
        </w:rPr>
        <w:t>Meanwhile</w:t>
      </w:r>
    </w:p>
    <w:p>
      <w:pPr>
        <w:pStyle w:val="BodyText"/>
        <w:spacing w:line="235" w:lineRule="auto" w:before="8"/>
        <w:ind w:left="1984" w:right="1120"/>
      </w:pPr>
      <w:r>
        <w:rPr>
          <w:w w:val="120"/>
        </w:rPr>
        <w:t>the Luther King House Masters Degree in Contextual Theology and Research Degree programme continue to be validated by the University of Manchester.</w:t>
      </w:r>
    </w:p>
    <w:p>
      <w:pPr>
        <w:pStyle w:val="BodyText"/>
        <w:spacing w:before="9"/>
        <w:rPr>
          <w:sz w:val="19"/>
        </w:rPr>
      </w:pPr>
    </w:p>
    <w:p>
      <w:pPr>
        <w:pStyle w:val="ListParagraph"/>
        <w:numPr>
          <w:ilvl w:val="1"/>
          <w:numId w:val="127"/>
        </w:numPr>
        <w:tabs>
          <w:tab w:pos="2664" w:val="left" w:leader="none"/>
          <w:tab w:pos="2665" w:val="left" w:leader="none"/>
        </w:tabs>
        <w:spacing w:line="235" w:lineRule="auto" w:before="0" w:after="0"/>
        <w:ind w:left="1984" w:right="1390" w:firstLine="0"/>
        <w:jc w:val="left"/>
        <w:rPr>
          <w:sz w:val="20"/>
        </w:rPr>
      </w:pPr>
      <w:r>
        <w:rPr>
          <w:w w:val="120"/>
          <w:sz w:val="20"/>
        </w:rPr>
        <w:t>The premises of Luther King House are owned by an educational trust, of which both </w:t>
      </w:r>
      <w:r>
        <w:rPr>
          <w:spacing w:val="2"/>
          <w:w w:val="120"/>
          <w:sz w:val="20"/>
        </w:rPr>
        <w:t>Northern </w:t>
      </w:r>
      <w:r>
        <w:rPr>
          <w:w w:val="120"/>
          <w:sz w:val="20"/>
        </w:rPr>
        <w:t>College and the United Reformed Church are foundation members. Over the years, this trust has developed a business model that means we run</w:t>
      </w:r>
      <w:r>
        <w:rPr>
          <w:spacing w:val="19"/>
          <w:w w:val="120"/>
          <w:sz w:val="20"/>
        </w:rPr>
        <w:t> </w:t>
      </w:r>
      <w:r>
        <w:rPr>
          <w:w w:val="120"/>
          <w:sz w:val="20"/>
        </w:rPr>
        <w:t>Luther</w:t>
      </w:r>
    </w:p>
    <w:p>
      <w:pPr>
        <w:pStyle w:val="BodyText"/>
        <w:spacing w:line="235" w:lineRule="auto" w:before="2"/>
        <w:ind w:left="1984" w:right="1194"/>
      </w:pPr>
      <w:r>
        <w:rPr>
          <w:w w:val="120"/>
        </w:rPr>
        <w:t>King House as a residential conference centre with </w:t>
      </w:r>
      <w:r>
        <w:rPr>
          <w:i/>
          <w:w w:val="120"/>
        </w:rPr>
        <w:t>en suite </w:t>
      </w:r>
      <w:r>
        <w:rPr>
          <w:w w:val="120"/>
        </w:rPr>
        <w:t>bedrooms and hotel-standard facilities and catering, selling conference space and bed and breakfast whenever we have an available room that is not needed for teaching or for student accommodation. Thus   far the hotel and conference business has helped to make a significant contribution to  the costs of maintaining the facilities we use. In 2007 we carried out major renovations   to re-design the shared library and reading room facilities, remodel access to the chapel and create a new lounge area at the heart of Luther King House. All the constituent colleges helped enable these improvements as they were able. We now have a rolling programme of renewals and improvements to keep the premises attractive and fit for purpose, funded from</w:t>
      </w:r>
      <w:r>
        <w:rPr>
          <w:spacing w:val="6"/>
          <w:w w:val="120"/>
        </w:rPr>
        <w:t> </w:t>
      </w:r>
      <w:r>
        <w:rPr>
          <w:w w:val="120"/>
        </w:rPr>
        <w:t>revenue.</w:t>
      </w:r>
    </w:p>
    <w:p>
      <w:pPr>
        <w:pStyle w:val="BodyText"/>
        <w:spacing w:before="2"/>
        <w:rPr>
          <w:sz w:val="18"/>
        </w:rPr>
      </w:pPr>
    </w:p>
    <w:p>
      <w:pPr>
        <w:numPr>
          <w:ilvl w:val="0"/>
          <w:numId w:val="127"/>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are</w:t>
      </w:r>
    </w:p>
    <w:p>
      <w:pPr>
        <w:pStyle w:val="ListParagraph"/>
        <w:numPr>
          <w:ilvl w:val="1"/>
          <w:numId w:val="127"/>
        </w:numPr>
        <w:tabs>
          <w:tab w:pos="2664" w:val="left" w:leader="none"/>
          <w:tab w:pos="2665" w:val="left" w:leader="none"/>
        </w:tabs>
        <w:spacing w:line="235" w:lineRule="auto" w:before="223" w:after="0"/>
        <w:ind w:left="1984" w:right="1304" w:firstLine="0"/>
        <w:jc w:val="left"/>
        <w:rPr>
          <w:sz w:val="20"/>
        </w:rPr>
      </w:pPr>
      <w:r>
        <w:rPr>
          <w:spacing w:val="-3"/>
          <w:w w:val="120"/>
          <w:sz w:val="20"/>
        </w:rPr>
        <w:t>2009-10 </w:t>
      </w:r>
      <w:r>
        <w:rPr>
          <w:w w:val="120"/>
          <w:sz w:val="20"/>
        </w:rPr>
        <w:t>is the third year of teaching the new LMM programme that is becoming the initial learning provision for most </w:t>
      </w:r>
      <w:r>
        <w:rPr>
          <w:spacing w:val="2"/>
          <w:w w:val="120"/>
          <w:sz w:val="20"/>
        </w:rPr>
        <w:t>Northern </w:t>
      </w:r>
      <w:r>
        <w:rPr>
          <w:w w:val="120"/>
          <w:sz w:val="20"/>
        </w:rPr>
        <w:t>College students preparing for ordination and all church related community work students preparing for ministry in  the</w:t>
      </w:r>
      <w:r>
        <w:rPr>
          <w:spacing w:val="5"/>
          <w:w w:val="120"/>
          <w:sz w:val="20"/>
        </w:rPr>
        <w:t> </w:t>
      </w:r>
      <w:r>
        <w:rPr>
          <w:w w:val="120"/>
          <w:sz w:val="20"/>
        </w:rPr>
        <w:t>United</w:t>
      </w:r>
      <w:r>
        <w:rPr>
          <w:spacing w:val="5"/>
          <w:w w:val="120"/>
          <w:sz w:val="20"/>
        </w:rPr>
        <w:t> </w:t>
      </w:r>
      <w:r>
        <w:rPr>
          <w:w w:val="120"/>
          <w:sz w:val="20"/>
        </w:rPr>
        <w:t>Reformed</w:t>
      </w:r>
      <w:r>
        <w:rPr>
          <w:spacing w:val="5"/>
          <w:w w:val="120"/>
          <w:sz w:val="20"/>
        </w:rPr>
        <w:t> </w:t>
      </w:r>
      <w:r>
        <w:rPr>
          <w:w w:val="120"/>
          <w:sz w:val="20"/>
        </w:rPr>
        <w:t>Church.</w:t>
      </w:r>
      <w:r>
        <w:rPr>
          <w:spacing w:val="5"/>
          <w:w w:val="120"/>
          <w:sz w:val="20"/>
        </w:rPr>
        <w:t> </w:t>
      </w:r>
      <w:r>
        <w:rPr>
          <w:w w:val="120"/>
          <w:sz w:val="20"/>
        </w:rPr>
        <w:t>The</w:t>
      </w:r>
      <w:r>
        <w:rPr>
          <w:spacing w:val="5"/>
          <w:w w:val="120"/>
          <w:sz w:val="20"/>
        </w:rPr>
        <w:t> </w:t>
      </w:r>
      <w:r>
        <w:rPr>
          <w:w w:val="120"/>
          <w:sz w:val="20"/>
        </w:rPr>
        <w:t>new</w:t>
      </w:r>
      <w:r>
        <w:rPr>
          <w:spacing w:val="5"/>
          <w:w w:val="120"/>
          <w:sz w:val="20"/>
        </w:rPr>
        <w:t> </w:t>
      </w:r>
      <w:r>
        <w:rPr>
          <w:w w:val="120"/>
          <w:sz w:val="20"/>
        </w:rPr>
        <w:t>course</w:t>
      </w:r>
      <w:r>
        <w:rPr>
          <w:spacing w:val="5"/>
          <w:w w:val="120"/>
          <w:sz w:val="20"/>
        </w:rPr>
        <w:t> </w:t>
      </w:r>
      <w:r>
        <w:rPr>
          <w:w w:val="120"/>
          <w:sz w:val="20"/>
        </w:rPr>
        <w:t>is</w:t>
      </w:r>
      <w:r>
        <w:rPr>
          <w:spacing w:val="5"/>
          <w:w w:val="120"/>
          <w:sz w:val="20"/>
        </w:rPr>
        <w:t> </w:t>
      </w:r>
      <w:r>
        <w:rPr>
          <w:w w:val="120"/>
          <w:sz w:val="20"/>
        </w:rPr>
        <w:t>rich</w:t>
      </w:r>
      <w:r>
        <w:rPr>
          <w:spacing w:val="5"/>
          <w:w w:val="120"/>
          <w:sz w:val="20"/>
        </w:rPr>
        <w:t> </w:t>
      </w:r>
      <w:r>
        <w:rPr>
          <w:w w:val="120"/>
          <w:sz w:val="20"/>
        </w:rPr>
        <w:t>in</w:t>
      </w:r>
      <w:r>
        <w:rPr>
          <w:spacing w:val="5"/>
          <w:w w:val="120"/>
          <w:sz w:val="20"/>
        </w:rPr>
        <w:t> </w:t>
      </w:r>
      <w:r>
        <w:rPr>
          <w:w w:val="120"/>
          <w:sz w:val="20"/>
        </w:rPr>
        <w:t>online</w:t>
      </w:r>
      <w:r>
        <w:rPr>
          <w:spacing w:val="5"/>
          <w:w w:val="120"/>
          <w:sz w:val="20"/>
        </w:rPr>
        <w:t> </w:t>
      </w:r>
      <w:r>
        <w:rPr>
          <w:w w:val="120"/>
          <w:sz w:val="20"/>
        </w:rPr>
        <w:t>learning</w:t>
      </w:r>
      <w:r>
        <w:rPr>
          <w:spacing w:val="5"/>
          <w:w w:val="120"/>
          <w:sz w:val="20"/>
        </w:rPr>
        <w:t> </w:t>
      </w:r>
      <w:r>
        <w:rPr>
          <w:w w:val="120"/>
          <w:sz w:val="20"/>
        </w:rPr>
        <w:t>resources</w:t>
      </w:r>
      <w:r>
        <w:rPr>
          <w:spacing w:val="5"/>
          <w:w w:val="120"/>
          <w:sz w:val="20"/>
        </w:rPr>
        <w:t> </w:t>
      </w:r>
      <w:r>
        <w:rPr>
          <w:w w:val="120"/>
          <w:sz w:val="20"/>
        </w:rPr>
        <w:t>and</w:t>
      </w:r>
    </w:p>
    <w:p>
      <w:pPr>
        <w:spacing w:after="0" w:line="235" w:lineRule="auto"/>
        <w:jc w:val="left"/>
        <w:rPr>
          <w:sz w:val="20"/>
        </w:rPr>
        <w:sectPr>
          <w:pgSz w:w="11910" w:h="16840"/>
          <w:pgMar w:header="0" w:footer="647" w:top="1060" w:bottom="840" w:left="0" w:right="0"/>
        </w:sectPr>
      </w:pPr>
    </w:p>
    <w:p>
      <w:pPr>
        <w:pStyle w:val="BodyText"/>
        <w:spacing w:line="235" w:lineRule="auto" w:before="107"/>
        <w:ind w:left="1133" w:right="2463"/>
      </w:pPr>
      <w:r>
        <w:rPr/>
        <w:pict>
          <v:rect style="position:absolute;margin-left:12.047pt;margin-top:8.477343pt;width:22.677pt;height:22.677pt;mso-position-horizontal-relative:page;mso-position-vertical-relative:paragraph;z-index:252041216" filled="true" fillcolor="#dae4ec" stroked="false">
            <v:fill opacity="32768f" type="solid"/>
            <w10:wrap type="none"/>
          </v:rect>
        </w:pict>
      </w:r>
      <w:r>
        <w:rPr>
          <w:w w:val="120"/>
        </w:rPr>
        <w:t>is delivered in three different formats – for full-time Luther King House students; for part-time students across the Southern North West region; and for United Reformed</w:t>
      </w:r>
    </w:p>
    <w:p>
      <w:pPr>
        <w:pStyle w:val="BodyText"/>
        <w:spacing w:line="235" w:lineRule="auto" w:before="2"/>
        <w:ind w:left="1133" w:right="2066"/>
      </w:pPr>
      <w:r>
        <w:rPr>
          <w:w w:val="120"/>
        </w:rPr>
        <w:t>Church distance learning students from a much wider catchment area </w:t>
      </w:r>
      <w:r>
        <w:rPr>
          <w:spacing w:val="-6"/>
          <w:w w:val="120"/>
        </w:rPr>
        <w:t>(as </w:t>
      </w:r>
      <w:r>
        <w:rPr>
          <w:w w:val="120"/>
        </w:rPr>
        <w:t>far afield as the south coast of England). Making it happen, identifying glitches and devising short-term and longer term improvements to this complex of educational opportunities has been challenging as well as exciting for all the staff involved. Sometimes we have had to rely  on the forbearance of pioneer students to an extent that we would not have wished, for we ourselves have been engaged in a learning experience that feels as challenging and unpredictable as white water rafting – and equally exhilarating, some of the</w:t>
      </w:r>
      <w:r>
        <w:rPr>
          <w:spacing w:val="41"/>
          <w:w w:val="120"/>
        </w:rPr>
        <w:t> </w:t>
      </w:r>
      <w:r>
        <w:rPr>
          <w:w w:val="120"/>
        </w:rPr>
        <w:t>time.</w:t>
      </w:r>
    </w:p>
    <w:p>
      <w:pPr>
        <w:pStyle w:val="BodyText"/>
      </w:pPr>
    </w:p>
    <w:p>
      <w:pPr>
        <w:pStyle w:val="ListParagraph"/>
        <w:numPr>
          <w:ilvl w:val="1"/>
          <w:numId w:val="127"/>
        </w:numPr>
        <w:tabs>
          <w:tab w:pos="1814" w:val="left" w:leader="none"/>
          <w:tab w:pos="1815" w:val="left" w:leader="none"/>
        </w:tabs>
        <w:spacing w:line="235" w:lineRule="auto" w:before="1" w:after="0"/>
        <w:ind w:left="1133" w:right="2398" w:firstLine="0"/>
        <w:jc w:val="left"/>
        <w:rPr>
          <w:sz w:val="20"/>
        </w:rPr>
      </w:pPr>
      <w:r>
        <w:rPr>
          <w:w w:val="120"/>
          <w:sz w:val="20"/>
        </w:rPr>
        <w:t>Alongside the development of the three versions of the new LMM course, and preparing a new University of Chester honours level BA programme to connect with it, which we will </w:t>
      </w:r>
      <w:r>
        <w:rPr>
          <w:spacing w:val="2"/>
          <w:w w:val="120"/>
          <w:sz w:val="20"/>
        </w:rPr>
        <w:t>start </w:t>
      </w:r>
      <w:r>
        <w:rPr>
          <w:w w:val="120"/>
          <w:sz w:val="20"/>
        </w:rPr>
        <w:t>teaching during </w:t>
      </w:r>
      <w:r>
        <w:rPr>
          <w:spacing w:val="-8"/>
          <w:w w:val="120"/>
          <w:sz w:val="20"/>
        </w:rPr>
        <w:t>2010-11, </w:t>
      </w:r>
      <w:r>
        <w:rPr>
          <w:w w:val="120"/>
          <w:sz w:val="20"/>
        </w:rPr>
        <w:t>we have continued to offer a</w:t>
      </w:r>
      <w:r>
        <w:rPr>
          <w:spacing w:val="6"/>
          <w:w w:val="120"/>
          <w:sz w:val="20"/>
        </w:rPr>
        <w:t> </w:t>
      </w:r>
      <w:r>
        <w:rPr>
          <w:w w:val="120"/>
          <w:sz w:val="20"/>
        </w:rPr>
        <w:t>Masters</w:t>
      </w:r>
    </w:p>
    <w:p>
      <w:pPr>
        <w:pStyle w:val="BodyText"/>
        <w:spacing w:line="235" w:lineRule="auto" w:before="2"/>
        <w:ind w:left="1133" w:right="2076"/>
      </w:pPr>
      <w:r>
        <w:rPr>
          <w:w w:val="120"/>
        </w:rPr>
        <w:t>programme that is used both by some ministry students and as a part-time programme for continuing education by ministers. From September of this year we hope to be offering two new modules as part of the MA programme which will consider the application of adult education principles in church contexts. This should be of interest to all who teach or tutor or enable learning in church, course or college contexts. We also have a growing number of research students, including serving ministers, working on professional doctorates and other theses related to church life and mission.</w:t>
      </w:r>
    </w:p>
    <w:p>
      <w:pPr>
        <w:pStyle w:val="BodyText"/>
      </w:pPr>
    </w:p>
    <w:p>
      <w:pPr>
        <w:pStyle w:val="ListParagraph"/>
        <w:numPr>
          <w:ilvl w:val="1"/>
          <w:numId w:val="127"/>
        </w:numPr>
        <w:tabs>
          <w:tab w:pos="1814" w:val="left" w:leader="none"/>
          <w:tab w:pos="1815" w:val="left" w:leader="none"/>
        </w:tabs>
        <w:spacing w:line="235" w:lineRule="auto" w:before="1" w:after="0"/>
        <w:ind w:left="1133" w:right="1982" w:firstLine="0"/>
        <w:jc w:val="left"/>
        <w:rPr>
          <w:sz w:val="20"/>
        </w:rPr>
      </w:pPr>
      <w:r>
        <w:rPr/>
        <w:drawing>
          <wp:anchor distT="0" distB="0" distL="0" distR="0" allowOverlap="1" layoutInCell="1" locked="0" behindDoc="1" simplePos="0" relativeHeight="235934720">
            <wp:simplePos x="0" y="0"/>
            <wp:positionH relativeFrom="page">
              <wp:posOffset>2171112</wp:posOffset>
            </wp:positionH>
            <wp:positionV relativeFrom="paragraph">
              <wp:posOffset>754131</wp:posOffset>
            </wp:positionV>
            <wp:extent cx="232857" cy="181203"/>
            <wp:effectExtent l="0" t="0" r="0" b="0"/>
            <wp:wrapNone/>
            <wp:docPr id="119" name="image122.png"/>
            <wp:cNvGraphicFramePr>
              <a:graphicFrameLocks noChangeAspect="1"/>
            </wp:cNvGraphicFramePr>
            <a:graphic>
              <a:graphicData uri="http://schemas.openxmlformats.org/drawingml/2006/picture">
                <pic:pic>
                  <pic:nvPicPr>
                    <pic:cNvPr id="120" name="image122.png"/>
                    <pic:cNvPicPr/>
                  </pic:nvPicPr>
                  <pic:blipFill>
                    <a:blip r:embed="rId284" cstate="print"/>
                    <a:stretch>
                      <a:fillRect/>
                    </a:stretch>
                  </pic:blipFill>
                  <pic:spPr>
                    <a:xfrm>
                      <a:off x="0" y="0"/>
                      <a:ext cx="232857" cy="181203"/>
                    </a:xfrm>
                    <a:prstGeom prst="rect">
                      <a:avLst/>
                    </a:prstGeom>
                  </pic:spPr>
                </pic:pic>
              </a:graphicData>
            </a:graphic>
          </wp:anchor>
        </w:drawing>
      </w:r>
      <w:r>
        <w:rPr>
          <w:w w:val="120"/>
          <w:sz w:val="20"/>
        </w:rPr>
        <w:t>Being willing participants in the evolving Education and Learning Committee commitment to ‘whole-church learning’ and to our emerging role as one of four   Resource Centres for Learning for the United Reformed Church, our staff have continued to engage in the development of a range of learning materials and learning events. Some of these are in response to synod invitations, whilst others contribute to</w:t>
      </w:r>
      <w:r>
        <w:rPr>
          <w:spacing w:val="27"/>
          <w:w w:val="120"/>
          <w:sz w:val="20"/>
        </w:rPr>
        <w:t> </w:t>
      </w:r>
      <w:r>
        <w:rPr>
          <w:w w:val="120"/>
          <w:sz w:val="20"/>
        </w:rPr>
        <w:t>whole-church</w:t>
      </w:r>
    </w:p>
    <w:p>
      <w:pPr>
        <w:pStyle w:val="BodyText"/>
        <w:spacing w:line="192" w:lineRule="auto"/>
        <w:ind w:left="1133" w:right="1997"/>
      </w:pPr>
      <w:r>
        <w:rPr>
          <w:w w:val="120"/>
        </w:rPr>
        <w:t>initiatives such as </w:t>
      </w:r>
      <w:r>
        <w:rPr>
          <w:rFonts w:ascii="Arial Rounded MT Bold"/>
          <w:sz w:val="21"/>
        </w:rPr>
        <w:t>Vision4</w:t>
      </w:r>
      <w:r>
        <w:rPr>
          <w:rFonts w:ascii="Bradley Hand ITC"/>
          <w:color w:val="C20D19"/>
          <w:sz w:val="28"/>
        </w:rPr>
        <w:t>Life</w:t>
      </w:r>
      <w:r>
        <w:rPr/>
        <w:t>. </w:t>
      </w:r>
      <w:r>
        <w:rPr>
          <w:w w:val="120"/>
        </w:rPr>
        <w:t>This has included the exploratory development of new materials and events in cooperation with synod training and development officers as well</w:t>
      </w:r>
    </w:p>
    <w:p>
      <w:pPr>
        <w:pStyle w:val="BodyText"/>
        <w:spacing w:line="235" w:lineRule="auto" w:before="9"/>
        <w:ind w:left="1133" w:right="1997"/>
      </w:pPr>
      <w:r>
        <w:rPr>
          <w:w w:val="120"/>
        </w:rPr>
        <w:t>as responding to invitations to share in a variety of learning events. Our staff members have also enjoyed sharing in the preparation of </w:t>
      </w:r>
      <w:r>
        <w:rPr>
          <w:spacing w:val="2"/>
          <w:w w:val="120"/>
        </w:rPr>
        <w:t>TLS </w:t>
      </w:r>
      <w:r>
        <w:rPr>
          <w:w w:val="120"/>
        </w:rPr>
        <w:t>materials, working with groups of students at </w:t>
      </w:r>
      <w:r>
        <w:rPr>
          <w:spacing w:val="2"/>
          <w:w w:val="120"/>
        </w:rPr>
        <w:t>TLS </w:t>
      </w:r>
      <w:r>
        <w:rPr>
          <w:w w:val="120"/>
        </w:rPr>
        <w:t>weekends and contributing to short courses at the Windermere</w:t>
      </w:r>
      <w:r>
        <w:rPr>
          <w:spacing w:val="51"/>
          <w:w w:val="120"/>
        </w:rPr>
        <w:t> </w:t>
      </w:r>
      <w:r>
        <w:rPr>
          <w:w w:val="120"/>
        </w:rPr>
        <w:t>Centre.</w:t>
      </w:r>
    </w:p>
    <w:p>
      <w:pPr>
        <w:pStyle w:val="BodyText"/>
        <w:spacing w:before="10"/>
        <w:rPr>
          <w:sz w:val="19"/>
        </w:rPr>
      </w:pPr>
    </w:p>
    <w:p>
      <w:pPr>
        <w:pStyle w:val="ListParagraph"/>
        <w:numPr>
          <w:ilvl w:val="1"/>
          <w:numId w:val="127"/>
        </w:numPr>
        <w:tabs>
          <w:tab w:pos="1814" w:val="left" w:leader="none"/>
          <w:tab w:pos="1815" w:val="left" w:leader="none"/>
        </w:tabs>
        <w:spacing w:line="235" w:lineRule="auto" w:before="0" w:after="0"/>
        <w:ind w:left="1133" w:right="1983" w:firstLine="0"/>
        <w:jc w:val="left"/>
        <w:rPr>
          <w:sz w:val="20"/>
        </w:rPr>
      </w:pPr>
      <w:r>
        <w:rPr>
          <w:w w:val="120"/>
          <w:sz w:val="20"/>
        </w:rPr>
        <w:t>The low level of new vocations to ministry has been a concern (there were no new church related community work students in </w:t>
      </w:r>
      <w:r>
        <w:rPr>
          <w:spacing w:val="-3"/>
          <w:w w:val="120"/>
          <w:sz w:val="20"/>
        </w:rPr>
        <w:t>2009-10 </w:t>
      </w:r>
      <w:r>
        <w:rPr>
          <w:w w:val="120"/>
          <w:sz w:val="20"/>
        </w:rPr>
        <w:t>and none due to </w:t>
      </w:r>
      <w:r>
        <w:rPr>
          <w:spacing w:val="2"/>
          <w:w w:val="120"/>
          <w:sz w:val="20"/>
        </w:rPr>
        <w:t>start </w:t>
      </w:r>
      <w:r>
        <w:rPr>
          <w:w w:val="120"/>
          <w:sz w:val="20"/>
        </w:rPr>
        <w:t>in </w:t>
      </w:r>
      <w:r>
        <w:rPr>
          <w:spacing w:val="-9"/>
          <w:w w:val="120"/>
          <w:sz w:val="20"/>
        </w:rPr>
        <w:t>2010-11), </w:t>
      </w:r>
      <w:r>
        <w:rPr>
          <w:w w:val="120"/>
          <w:sz w:val="20"/>
        </w:rPr>
        <w:t>but we continue to enjoy the privilege of working with those preparing for ministry. In  our learning format, students spend significant amounts of time on practical placements in</w:t>
      </w:r>
      <w:r>
        <w:rPr>
          <w:spacing w:val="7"/>
          <w:w w:val="120"/>
          <w:sz w:val="20"/>
        </w:rPr>
        <w:t> </w:t>
      </w:r>
      <w:r>
        <w:rPr>
          <w:w w:val="120"/>
          <w:sz w:val="20"/>
        </w:rPr>
        <w:t>churches</w:t>
      </w:r>
      <w:r>
        <w:rPr>
          <w:spacing w:val="7"/>
          <w:w w:val="120"/>
          <w:sz w:val="20"/>
        </w:rPr>
        <w:t> </w:t>
      </w:r>
      <w:r>
        <w:rPr>
          <w:w w:val="120"/>
          <w:sz w:val="20"/>
        </w:rPr>
        <w:t>and</w:t>
      </w:r>
      <w:r>
        <w:rPr>
          <w:spacing w:val="7"/>
          <w:w w:val="120"/>
          <w:sz w:val="20"/>
        </w:rPr>
        <w:t> </w:t>
      </w:r>
      <w:r>
        <w:rPr>
          <w:w w:val="120"/>
          <w:sz w:val="20"/>
        </w:rPr>
        <w:t>in</w:t>
      </w:r>
      <w:r>
        <w:rPr>
          <w:spacing w:val="7"/>
          <w:w w:val="120"/>
          <w:sz w:val="20"/>
        </w:rPr>
        <w:t> </w:t>
      </w:r>
      <w:r>
        <w:rPr>
          <w:w w:val="120"/>
          <w:sz w:val="20"/>
        </w:rPr>
        <w:t>wider</w:t>
      </w:r>
      <w:r>
        <w:rPr>
          <w:spacing w:val="7"/>
          <w:w w:val="120"/>
          <w:sz w:val="20"/>
        </w:rPr>
        <w:t> </w:t>
      </w:r>
      <w:r>
        <w:rPr>
          <w:w w:val="120"/>
          <w:sz w:val="20"/>
        </w:rPr>
        <w:t>community</w:t>
      </w:r>
      <w:r>
        <w:rPr>
          <w:spacing w:val="7"/>
          <w:w w:val="120"/>
          <w:sz w:val="20"/>
        </w:rPr>
        <w:t> </w:t>
      </w:r>
      <w:r>
        <w:rPr>
          <w:w w:val="120"/>
          <w:sz w:val="20"/>
        </w:rPr>
        <w:t>contexts</w:t>
      </w:r>
      <w:r>
        <w:rPr>
          <w:spacing w:val="7"/>
          <w:w w:val="120"/>
          <w:sz w:val="20"/>
        </w:rPr>
        <w:t> </w:t>
      </w:r>
      <w:r>
        <w:rPr>
          <w:w w:val="120"/>
          <w:sz w:val="20"/>
        </w:rPr>
        <w:t>all</w:t>
      </w:r>
      <w:r>
        <w:rPr>
          <w:spacing w:val="7"/>
          <w:w w:val="120"/>
          <w:sz w:val="20"/>
        </w:rPr>
        <w:t> </w:t>
      </w:r>
      <w:r>
        <w:rPr>
          <w:w w:val="120"/>
          <w:sz w:val="20"/>
        </w:rPr>
        <w:t>through</w:t>
      </w:r>
      <w:r>
        <w:rPr>
          <w:spacing w:val="7"/>
          <w:w w:val="120"/>
          <w:sz w:val="20"/>
        </w:rPr>
        <w:t> </w:t>
      </w:r>
      <w:r>
        <w:rPr>
          <w:w w:val="120"/>
          <w:sz w:val="20"/>
        </w:rPr>
        <w:t>their</w:t>
      </w:r>
      <w:r>
        <w:rPr>
          <w:spacing w:val="7"/>
          <w:w w:val="120"/>
          <w:sz w:val="20"/>
        </w:rPr>
        <w:t> </w:t>
      </w:r>
      <w:r>
        <w:rPr>
          <w:w w:val="120"/>
          <w:sz w:val="20"/>
        </w:rPr>
        <w:t>learning</w:t>
      </w:r>
      <w:r>
        <w:rPr>
          <w:spacing w:val="7"/>
          <w:w w:val="120"/>
          <w:sz w:val="20"/>
        </w:rPr>
        <w:t> </w:t>
      </w:r>
      <w:r>
        <w:rPr>
          <w:w w:val="120"/>
          <w:sz w:val="20"/>
        </w:rPr>
        <w:t>programme.</w:t>
      </w:r>
    </w:p>
    <w:p>
      <w:pPr>
        <w:pStyle w:val="BodyText"/>
        <w:spacing w:line="235" w:lineRule="auto" w:before="4"/>
        <w:ind w:left="1133" w:right="1997"/>
      </w:pPr>
      <w:r>
        <w:rPr>
          <w:w w:val="120"/>
        </w:rPr>
        <w:t>Our staff members take particular pleasure in watching students engage in learning in placement settings and within the modules which we teach and in helping them to make connections between the two.</w:t>
      </w:r>
    </w:p>
    <w:p>
      <w:pPr>
        <w:pStyle w:val="BodyText"/>
        <w:spacing w:before="10"/>
        <w:rPr>
          <w:sz w:val="19"/>
        </w:rPr>
      </w:pPr>
    </w:p>
    <w:p>
      <w:pPr>
        <w:pStyle w:val="ListParagraph"/>
        <w:numPr>
          <w:ilvl w:val="1"/>
          <w:numId w:val="127"/>
        </w:numPr>
        <w:tabs>
          <w:tab w:pos="1814" w:val="left" w:leader="none"/>
          <w:tab w:pos="1815" w:val="left" w:leader="none"/>
        </w:tabs>
        <w:spacing w:line="235" w:lineRule="auto" w:before="0" w:after="0"/>
        <w:ind w:left="1133" w:right="2201" w:firstLine="0"/>
        <w:jc w:val="left"/>
        <w:rPr>
          <w:sz w:val="20"/>
        </w:rPr>
      </w:pPr>
      <w:r>
        <w:rPr>
          <w:spacing w:val="3"/>
          <w:w w:val="120"/>
          <w:sz w:val="20"/>
        </w:rPr>
        <w:t>As </w:t>
      </w:r>
      <w:r>
        <w:rPr>
          <w:w w:val="120"/>
          <w:sz w:val="20"/>
        </w:rPr>
        <w:t>an expression of our wider remit, it has been good to have a new student  join us in </w:t>
      </w:r>
      <w:r>
        <w:rPr>
          <w:spacing w:val="-3"/>
          <w:w w:val="120"/>
          <w:sz w:val="20"/>
        </w:rPr>
        <w:t>2009-10 </w:t>
      </w:r>
      <w:r>
        <w:rPr>
          <w:w w:val="120"/>
          <w:sz w:val="20"/>
        </w:rPr>
        <w:t>who is preparing for the ministry of the Moravian Church and a non- ministerial student who is a member of a Congregational Federation</w:t>
      </w:r>
      <w:r>
        <w:rPr>
          <w:spacing w:val="33"/>
          <w:w w:val="120"/>
          <w:sz w:val="20"/>
        </w:rPr>
        <w:t> </w:t>
      </w:r>
      <w:r>
        <w:rPr>
          <w:w w:val="120"/>
          <w:sz w:val="20"/>
        </w:rPr>
        <w:t>church.</w:t>
      </w:r>
    </w:p>
    <w:p>
      <w:pPr>
        <w:pStyle w:val="BodyText"/>
        <w:spacing w:before="8"/>
        <w:rPr>
          <w:sz w:val="17"/>
        </w:rPr>
      </w:pPr>
    </w:p>
    <w:p>
      <w:pPr>
        <w:numPr>
          <w:ilvl w:val="0"/>
          <w:numId w:val="127"/>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Where we are</w:t>
      </w:r>
      <w:r>
        <w:rPr>
          <w:rFonts w:ascii="Stone Sans II ITC Std Bk"/>
          <w:b/>
          <w:spacing w:val="-5"/>
          <w:w w:val="115"/>
          <w:sz w:val="21"/>
        </w:rPr>
        <w:t> </w:t>
      </w:r>
      <w:r>
        <w:rPr>
          <w:rFonts w:ascii="Stone Sans II ITC Std Bk"/>
          <w:b/>
          <w:w w:val="115"/>
          <w:sz w:val="21"/>
        </w:rPr>
        <w:t>going</w:t>
      </w:r>
    </w:p>
    <w:p>
      <w:pPr>
        <w:pStyle w:val="ListParagraph"/>
        <w:numPr>
          <w:ilvl w:val="1"/>
          <w:numId w:val="127"/>
        </w:numPr>
        <w:tabs>
          <w:tab w:pos="1814" w:val="left" w:leader="none"/>
          <w:tab w:pos="1815" w:val="left" w:leader="none"/>
        </w:tabs>
        <w:spacing w:line="235" w:lineRule="auto" w:before="222" w:after="0"/>
        <w:ind w:left="1133" w:right="2233" w:firstLine="0"/>
        <w:jc w:val="left"/>
        <w:rPr>
          <w:sz w:val="20"/>
        </w:rPr>
      </w:pPr>
      <w:r>
        <w:rPr>
          <w:w w:val="120"/>
          <w:sz w:val="20"/>
        </w:rPr>
        <w:t>Currently, we are engaged in negotiations with our ecumenical partners to   alter the format of our part-time courses to enable a richer and more supportive programme for United Reformed students from all across England and Wales. We are hoping to develop a blending of computer-supported home learning (e-learning) with six full weekends of face-to-face learning on site in Manchester. At the same time we will be building on our experience of developing e-learning materials so that they can be used creatively both in support of university level courses and to enable learning opportunities in individual churches or local clusters</w:t>
      </w:r>
      <w:r>
        <w:rPr>
          <w:spacing w:val="21"/>
          <w:w w:val="120"/>
          <w:sz w:val="20"/>
        </w:rPr>
        <w:t> </w:t>
      </w:r>
      <w:r>
        <w:rPr>
          <w:w w:val="120"/>
          <w:sz w:val="20"/>
        </w:rPr>
        <w:t>anywhere.</w:t>
      </w:r>
    </w:p>
    <w:p>
      <w:pPr>
        <w:pStyle w:val="BodyText"/>
        <w:spacing w:before="2"/>
      </w:pPr>
    </w:p>
    <w:p>
      <w:pPr>
        <w:pStyle w:val="ListParagraph"/>
        <w:numPr>
          <w:ilvl w:val="1"/>
          <w:numId w:val="127"/>
        </w:numPr>
        <w:tabs>
          <w:tab w:pos="1814" w:val="left" w:leader="none"/>
          <w:tab w:pos="1815" w:val="left" w:leader="none"/>
        </w:tabs>
        <w:spacing w:line="235" w:lineRule="auto" w:before="0" w:after="0"/>
        <w:ind w:left="1133" w:right="2171" w:firstLine="0"/>
        <w:jc w:val="left"/>
        <w:rPr>
          <w:sz w:val="20"/>
        </w:rPr>
      </w:pPr>
      <w:r>
        <w:rPr>
          <w:w w:val="120"/>
          <w:sz w:val="20"/>
        </w:rPr>
        <w:t>Alongside the staff of the other resource centres for learning, the learning- enabling staff of synods and the ministers and others who enable learning in local church situations, we are excited by the potential of the developing Education and Learning</w:t>
      </w:r>
      <w:r>
        <w:rPr>
          <w:spacing w:val="5"/>
          <w:w w:val="120"/>
          <w:sz w:val="20"/>
        </w:rPr>
        <w:t> </w:t>
      </w:r>
      <w:r>
        <w:rPr>
          <w:w w:val="120"/>
          <w:sz w:val="20"/>
        </w:rPr>
        <w:t>agenda</w:t>
      </w:r>
      <w:r>
        <w:rPr>
          <w:spacing w:val="5"/>
          <w:w w:val="120"/>
          <w:sz w:val="20"/>
        </w:rPr>
        <w:t> </w:t>
      </w:r>
      <w:r>
        <w:rPr>
          <w:w w:val="120"/>
          <w:sz w:val="20"/>
        </w:rPr>
        <w:t>within</w:t>
      </w:r>
      <w:r>
        <w:rPr>
          <w:spacing w:val="6"/>
          <w:w w:val="120"/>
          <w:sz w:val="20"/>
        </w:rPr>
        <w:t> </w:t>
      </w:r>
      <w:r>
        <w:rPr>
          <w:w w:val="120"/>
          <w:sz w:val="20"/>
        </w:rPr>
        <w:t>the</w:t>
      </w:r>
      <w:r>
        <w:rPr>
          <w:spacing w:val="5"/>
          <w:w w:val="120"/>
          <w:sz w:val="20"/>
        </w:rPr>
        <w:t> </w:t>
      </w:r>
      <w:r>
        <w:rPr>
          <w:w w:val="120"/>
          <w:sz w:val="20"/>
        </w:rPr>
        <w:t>United</w:t>
      </w:r>
      <w:r>
        <w:rPr>
          <w:spacing w:val="5"/>
          <w:w w:val="120"/>
          <w:sz w:val="20"/>
        </w:rPr>
        <w:t> </w:t>
      </w:r>
      <w:r>
        <w:rPr>
          <w:w w:val="120"/>
          <w:sz w:val="20"/>
        </w:rPr>
        <w:t>Reformed</w:t>
      </w:r>
      <w:r>
        <w:rPr>
          <w:spacing w:val="6"/>
          <w:w w:val="120"/>
          <w:sz w:val="20"/>
        </w:rPr>
        <w:t> </w:t>
      </w:r>
      <w:r>
        <w:rPr>
          <w:w w:val="120"/>
          <w:sz w:val="20"/>
        </w:rPr>
        <w:t>Church.</w:t>
      </w:r>
      <w:r>
        <w:rPr>
          <w:spacing w:val="5"/>
          <w:w w:val="120"/>
          <w:sz w:val="20"/>
        </w:rPr>
        <w:t> </w:t>
      </w:r>
      <w:r>
        <w:rPr>
          <w:spacing w:val="3"/>
          <w:w w:val="120"/>
          <w:sz w:val="20"/>
        </w:rPr>
        <w:t>As</w:t>
      </w:r>
      <w:r>
        <w:rPr>
          <w:spacing w:val="5"/>
          <w:w w:val="120"/>
          <w:sz w:val="20"/>
        </w:rPr>
        <w:t> </w:t>
      </w:r>
      <w:r>
        <w:rPr>
          <w:w w:val="120"/>
          <w:sz w:val="20"/>
        </w:rPr>
        <w:t>we</w:t>
      </w:r>
      <w:r>
        <w:rPr>
          <w:spacing w:val="6"/>
          <w:w w:val="120"/>
          <w:sz w:val="20"/>
        </w:rPr>
        <w:t> </w:t>
      </w:r>
      <w:r>
        <w:rPr>
          <w:w w:val="120"/>
          <w:sz w:val="20"/>
        </w:rPr>
        <w:t>are</w:t>
      </w:r>
      <w:r>
        <w:rPr>
          <w:spacing w:val="5"/>
          <w:w w:val="120"/>
          <w:sz w:val="20"/>
        </w:rPr>
        <w:t> </w:t>
      </w:r>
      <w:r>
        <w:rPr>
          <w:w w:val="120"/>
          <w:sz w:val="20"/>
        </w:rPr>
        <w:t>all</w:t>
      </w:r>
      <w:r>
        <w:rPr>
          <w:spacing w:val="5"/>
          <w:w w:val="120"/>
          <w:sz w:val="20"/>
        </w:rPr>
        <w:t> </w:t>
      </w:r>
      <w:r>
        <w:rPr>
          <w:w w:val="120"/>
          <w:sz w:val="20"/>
        </w:rPr>
        <w:t>on</w:t>
      </w:r>
      <w:r>
        <w:rPr>
          <w:spacing w:val="6"/>
          <w:w w:val="120"/>
          <w:sz w:val="20"/>
        </w:rPr>
        <w:t> </w:t>
      </w:r>
      <w:r>
        <w:rPr>
          <w:w w:val="120"/>
          <w:sz w:val="20"/>
        </w:rPr>
        <w:t>a</w:t>
      </w:r>
      <w:r>
        <w:rPr>
          <w:spacing w:val="5"/>
          <w:w w:val="120"/>
          <w:sz w:val="20"/>
        </w:rPr>
        <w:t> </w:t>
      </w:r>
      <w:r>
        <w:rPr>
          <w:w w:val="120"/>
          <w:sz w:val="20"/>
        </w:rPr>
        <w:t>shared</w:t>
      </w:r>
      <w:r>
        <w:rPr>
          <w:spacing w:val="5"/>
          <w:w w:val="120"/>
          <w:sz w:val="20"/>
        </w:rPr>
        <w:t> </w:t>
      </w:r>
      <w:r>
        <w:rPr>
          <w:w w:val="120"/>
          <w:sz w:val="20"/>
        </w:rPr>
        <w:t>journey</w:t>
      </w:r>
    </w:p>
    <w:p>
      <w:pPr>
        <w:spacing w:after="0" w:line="235" w:lineRule="auto"/>
        <w:jc w:val="left"/>
        <w:rPr>
          <w:sz w:val="20"/>
        </w:rPr>
        <w:sectPr>
          <w:headerReference w:type="even" r:id="rId280"/>
          <w:headerReference w:type="default" r:id="rId281"/>
          <w:footerReference w:type="even" r:id="rId282"/>
          <w:footerReference w:type="default" r:id="rId283"/>
          <w:pgSz w:w="11910" w:h="16840"/>
          <w:pgMar w:header="0" w:footer="647" w:top="1060" w:bottom="840" w:left="0" w:right="0"/>
          <w:pgNumType w:start="122"/>
        </w:sectPr>
      </w:pPr>
    </w:p>
    <w:p>
      <w:pPr>
        <w:pStyle w:val="BodyText"/>
        <w:spacing w:line="235" w:lineRule="auto" w:before="91"/>
        <w:ind w:left="1984" w:right="1120"/>
      </w:pPr>
      <w:r>
        <w:rPr/>
        <w:pict>
          <v:rect style="position:absolute;margin-left:558.424988pt;margin-top:8.503343pt;width:22.677pt;height:22.677pt;mso-position-horizontal-relative:page;mso-position-vertical-relative:paragraph;z-index:252043264" filled="true" fillcolor="#dae4ec" stroked="false">
            <v:fill opacity="32768f" type="solid"/>
            <w10:wrap type="none"/>
          </v:rect>
        </w:pict>
      </w:r>
      <w:r>
        <w:rPr>
          <w:w w:val="120"/>
        </w:rPr>
        <w:t>of discovery it is not easy to say definitively where we are all going, but the staff and governors of Northern College are eager to contribute as best we can to the creative development of an array of local churches excited and enabled by their ongoing engagement with learning. Our ministry is to help enable your ministry.</w:t>
      </w:r>
    </w:p>
    <w:p>
      <w:pPr>
        <w:pStyle w:val="BodyText"/>
        <w:spacing w:before="8"/>
        <w:rPr>
          <w:sz w:val="17"/>
        </w:rPr>
      </w:pPr>
    </w:p>
    <w:p>
      <w:pPr>
        <w:numPr>
          <w:ilvl w:val="0"/>
          <w:numId w:val="127"/>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People</w:t>
      </w:r>
    </w:p>
    <w:p>
      <w:pPr>
        <w:pStyle w:val="ListParagraph"/>
        <w:numPr>
          <w:ilvl w:val="1"/>
          <w:numId w:val="127"/>
        </w:numPr>
        <w:tabs>
          <w:tab w:pos="2664" w:val="left" w:leader="none"/>
          <w:tab w:pos="2665" w:val="left" w:leader="none"/>
        </w:tabs>
        <w:spacing w:line="235" w:lineRule="auto" w:before="222" w:after="0"/>
        <w:ind w:left="1984" w:right="1226" w:firstLine="0"/>
        <w:jc w:val="left"/>
        <w:rPr>
          <w:sz w:val="20"/>
        </w:rPr>
      </w:pPr>
      <w:r>
        <w:rPr>
          <w:spacing w:val="3"/>
          <w:w w:val="120"/>
          <w:sz w:val="20"/>
        </w:rPr>
        <w:t>As </w:t>
      </w:r>
      <w:r>
        <w:rPr>
          <w:w w:val="120"/>
          <w:sz w:val="20"/>
        </w:rPr>
        <w:t>we approach the new academic year </w:t>
      </w:r>
      <w:r>
        <w:rPr>
          <w:spacing w:val="-9"/>
          <w:w w:val="120"/>
          <w:sz w:val="20"/>
        </w:rPr>
        <w:t>(2010-11) </w:t>
      </w:r>
      <w:r>
        <w:rPr>
          <w:w w:val="120"/>
          <w:sz w:val="20"/>
        </w:rPr>
        <w:t>we  will  be  welcoming  two new staff members and saying farewell and thanks to Revd Dr Lesley Husselbee, who  has been the lynchpin of the community work programme. Lesley retires this summer. The two new staff members are Revd Dr Kathy White who joins us as a tutor in Old Testament/Hebrew</w:t>
      </w:r>
      <w:r>
        <w:rPr>
          <w:spacing w:val="7"/>
          <w:w w:val="120"/>
          <w:sz w:val="20"/>
        </w:rPr>
        <w:t> </w:t>
      </w:r>
      <w:r>
        <w:rPr>
          <w:w w:val="120"/>
          <w:sz w:val="20"/>
        </w:rPr>
        <w:t>Bible</w:t>
      </w:r>
      <w:r>
        <w:rPr>
          <w:spacing w:val="7"/>
          <w:w w:val="120"/>
          <w:sz w:val="20"/>
        </w:rPr>
        <w:t> </w:t>
      </w:r>
      <w:r>
        <w:rPr>
          <w:w w:val="120"/>
          <w:sz w:val="20"/>
        </w:rPr>
        <w:t>and</w:t>
      </w:r>
      <w:r>
        <w:rPr>
          <w:spacing w:val="7"/>
          <w:w w:val="120"/>
          <w:sz w:val="20"/>
        </w:rPr>
        <w:t> </w:t>
      </w:r>
      <w:r>
        <w:rPr>
          <w:w w:val="120"/>
          <w:sz w:val="20"/>
        </w:rPr>
        <w:t>Revd</w:t>
      </w:r>
      <w:r>
        <w:rPr>
          <w:spacing w:val="7"/>
          <w:w w:val="120"/>
          <w:sz w:val="20"/>
        </w:rPr>
        <w:t> </w:t>
      </w:r>
      <w:r>
        <w:rPr>
          <w:w w:val="120"/>
          <w:sz w:val="20"/>
        </w:rPr>
        <w:t>Dr</w:t>
      </w:r>
      <w:r>
        <w:rPr>
          <w:spacing w:val="7"/>
          <w:w w:val="120"/>
          <w:sz w:val="20"/>
        </w:rPr>
        <w:t> </w:t>
      </w:r>
      <w:r>
        <w:rPr>
          <w:w w:val="120"/>
          <w:sz w:val="20"/>
        </w:rPr>
        <w:t>Christine</w:t>
      </w:r>
      <w:r>
        <w:rPr>
          <w:spacing w:val="7"/>
          <w:w w:val="120"/>
          <w:sz w:val="20"/>
        </w:rPr>
        <w:t> </w:t>
      </w:r>
      <w:r>
        <w:rPr>
          <w:w w:val="120"/>
          <w:sz w:val="20"/>
        </w:rPr>
        <w:t>Jones</w:t>
      </w:r>
      <w:r>
        <w:rPr>
          <w:spacing w:val="7"/>
          <w:w w:val="120"/>
          <w:sz w:val="20"/>
        </w:rPr>
        <w:t> </w:t>
      </w:r>
      <w:r>
        <w:rPr>
          <w:w w:val="120"/>
          <w:sz w:val="20"/>
        </w:rPr>
        <w:t>who</w:t>
      </w:r>
      <w:r>
        <w:rPr>
          <w:spacing w:val="7"/>
          <w:w w:val="120"/>
          <w:sz w:val="20"/>
        </w:rPr>
        <w:t> </w:t>
      </w:r>
      <w:r>
        <w:rPr>
          <w:w w:val="120"/>
          <w:sz w:val="20"/>
        </w:rPr>
        <w:t>will</w:t>
      </w:r>
      <w:r>
        <w:rPr>
          <w:spacing w:val="7"/>
          <w:w w:val="120"/>
          <w:sz w:val="20"/>
        </w:rPr>
        <w:t> </w:t>
      </w:r>
      <w:r>
        <w:rPr>
          <w:w w:val="120"/>
          <w:sz w:val="20"/>
        </w:rPr>
        <w:t>succeed</w:t>
      </w:r>
      <w:r>
        <w:rPr>
          <w:spacing w:val="7"/>
          <w:w w:val="120"/>
          <w:sz w:val="20"/>
        </w:rPr>
        <w:t> </w:t>
      </w:r>
      <w:r>
        <w:rPr>
          <w:w w:val="120"/>
          <w:sz w:val="20"/>
        </w:rPr>
        <w:t>Lesley</w:t>
      </w:r>
      <w:r>
        <w:rPr>
          <w:spacing w:val="7"/>
          <w:w w:val="120"/>
          <w:sz w:val="20"/>
        </w:rPr>
        <w:t> </w:t>
      </w:r>
      <w:r>
        <w:rPr>
          <w:w w:val="120"/>
          <w:sz w:val="20"/>
        </w:rPr>
        <w:t>in</w:t>
      </w:r>
      <w:r>
        <w:rPr>
          <w:spacing w:val="7"/>
          <w:w w:val="120"/>
          <w:sz w:val="20"/>
        </w:rPr>
        <w:t> </w:t>
      </w:r>
      <w:r>
        <w:rPr>
          <w:w w:val="120"/>
          <w:sz w:val="20"/>
        </w:rPr>
        <w:t>leading</w:t>
      </w:r>
    </w:p>
    <w:p>
      <w:pPr>
        <w:pStyle w:val="BodyText"/>
        <w:spacing w:line="235" w:lineRule="auto" w:before="4"/>
        <w:ind w:left="1984" w:right="1247"/>
      </w:pPr>
      <w:r>
        <w:rPr>
          <w:w w:val="120"/>
        </w:rPr>
        <w:t>the Community Development Work teaching programme. Kathy is an indirect </w:t>
      </w:r>
      <w:r>
        <w:rPr>
          <w:spacing w:val="-3"/>
          <w:w w:val="120"/>
        </w:rPr>
        <w:t>successor, </w:t>
      </w:r>
      <w:r>
        <w:rPr>
          <w:w w:val="120"/>
        </w:rPr>
        <w:t>with a different speciality, for the Revd Dr Jan </w:t>
      </w:r>
      <w:r>
        <w:rPr>
          <w:spacing w:val="3"/>
          <w:w w:val="120"/>
        </w:rPr>
        <w:t>Berry </w:t>
      </w:r>
      <w:r>
        <w:rPr>
          <w:w w:val="120"/>
        </w:rPr>
        <w:t>who </w:t>
      </w:r>
      <w:r>
        <w:rPr>
          <w:spacing w:val="2"/>
          <w:w w:val="120"/>
        </w:rPr>
        <w:t>left </w:t>
      </w:r>
      <w:r>
        <w:rPr>
          <w:w w:val="120"/>
        </w:rPr>
        <w:t>the staff of </w:t>
      </w:r>
      <w:r>
        <w:rPr>
          <w:spacing w:val="2"/>
          <w:w w:val="120"/>
        </w:rPr>
        <w:t>Northern </w:t>
      </w:r>
      <w:r>
        <w:rPr>
          <w:w w:val="120"/>
        </w:rPr>
        <w:t>College in the summer of 2009. We still see a lot of Jan because she now works half-time for Luther King House, co-ordinating the Masters programme, as well as pioneering a new half-time role as theologian at Holy Rood House in</w:t>
      </w:r>
      <w:r>
        <w:rPr>
          <w:spacing w:val="24"/>
          <w:w w:val="120"/>
        </w:rPr>
        <w:t> </w:t>
      </w:r>
      <w:r>
        <w:rPr>
          <w:w w:val="120"/>
        </w:rPr>
        <w:t>Thirsk.</w:t>
      </w:r>
    </w:p>
    <w:p>
      <w:pPr>
        <w:pStyle w:val="BodyText"/>
        <w:spacing w:before="11"/>
        <w:rPr>
          <w:sz w:val="19"/>
        </w:rPr>
      </w:pPr>
    </w:p>
    <w:p>
      <w:pPr>
        <w:pStyle w:val="ListParagraph"/>
        <w:numPr>
          <w:ilvl w:val="1"/>
          <w:numId w:val="127"/>
        </w:numPr>
        <w:tabs>
          <w:tab w:pos="2664" w:val="left" w:leader="none"/>
          <w:tab w:pos="2665" w:val="left" w:leader="none"/>
        </w:tabs>
        <w:spacing w:line="235" w:lineRule="auto" w:before="0" w:after="0"/>
        <w:ind w:left="1984" w:right="1565" w:firstLine="0"/>
        <w:jc w:val="left"/>
        <w:rPr>
          <w:sz w:val="20"/>
        </w:rPr>
      </w:pPr>
      <w:r>
        <w:rPr>
          <w:w w:val="120"/>
          <w:sz w:val="20"/>
        </w:rPr>
        <w:t>We would also wish to record our hopes, prayers and good wishes for those students who have completed </w:t>
      </w:r>
      <w:r>
        <w:rPr>
          <w:spacing w:val="-3"/>
          <w:w w:val="120"/>
          <w:sz w:val="20"/>
        </w:rPr>
        <w:t>EM1 </w:t>
      </w:r>
      <w:r>
        <w:rPr>
          <w:w w:val="120"/>
          <w:sz w:val="20"/>
        </w:rPr>
        <w:t>with us and moved on into ministry since the last meeting of the General</w:t>
      </w:r>
      <w:r>
        <w:rPr>
          <w:spacing w:val="8"/>
          <w:w w:val="120"/>
          <w:sz w:val="20"/>
        </w:rPr>
        <w:t> </w:t>
      </w:r>
      <w:r>
        <w:rPr>
          <w:w w:val="120"/>
          <w:sz w:val="20"/>
        </w:rPr>
        <w:t>Assembly.</w:t>
      </w:r>
    </w:p>
    <w:p>
      <w:pPr>
        <w:pStyle w:val="BodyText"/>
        <w:rPr>
          <w:sz w:val="24"/>
        </w:rPr>
      </w:pPr>
    </w:p>
    <w:p>
      <w:pPr>
        <w:spacing w:line="216" w:lineRule="auto" w:before="208"/>
        <w:ind w:left="1984" w:right="1997" w:firstLine="0"/>
        <w:jc w:val="left"/>
        <w:rPr>
          <w:rFonts w:ascii="Stone Sans II ITC Std Bk"/>
          <w:b/>
          <w:sz w:val="36"/>
        </w:rPr>
      </w:pPr>
      <w:r>
        <w:rPr>
          <w:rFonts w:ascii="Stone Sans II ITC Std Bk"/>
          <w:b/>
          <w:color w:val="CA4F1B"/>
          <w:w w:val="110"/>
          <w:sz w:val="36"/>
        </w:rPr>
        <w:t>Scottish United Reformed and Congregational College</w:t>
      </w:r>
    </w:p>
    <w:p>
      <w:pPr>
        <w:numPr>
          <w:ilvl w:val="0"/>
          <w:numId w:val="128"/>
        </w:numPr>
        <w:tabs>
          <w:tab w:pos="2704" w:val="left" w:leader="none"/>
          <w:tab w:pos="2705" w:val="left" w:leader="none"/>
        </w:tabs>
        <w:spacing w:before="339"/>
        <w:ind w:left="2704"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were</w:t>
      </w:r>
    </w:p>
    <w:p>
      <w:pPr>
        <w:pStyle w:val="BodyText"/>
        <w:spacing w:before="9"/>
        <w:rPr>
          <w:rFonts w:ascii="Stone Sans II ITC Std Bk"/>
          <w:b/>
        </w:rPr>
      </w:pPr>
    </w:p>
    <w:p>
      <w:pPr>
        <w:spacing w:after="0"/>
        <w:rPr>
          <w:rFonts w:ascii="Stone Sans II ITC Std Bk"/>
        </w:rPr>
        <w:sectPr>
          <w:pgSz w:w="11910" w:h="16840"/>
          <w:pgMar w:header="0" w:footer="647" w:top="1060" w:bottom="840" w:left="0" w:right="0"/>
        </w:sectPr>
      </w:pPr>
    </w:p>
    <w:p>
      <w:pPr>
        <w:spacing w:before="103"/>
        <w:ind w:left="4410" w:right="0" w:firstLine="0"/>
        <w:jc w:val="left"/>
        <w:rPr>
          <w:i/>
          <w:sz w:val="29"/>
        </w:rPr>
      </w:pPr>
      <w:r>
        <w:rPr/>
        <w:pict>
          <v:shape style="position:absolute;margin-left:-12pt;margin-top:417.54425pt;width:386.95pt;height:47.05pt;mso-position-horizontal-relative:page;mso-position-vertical-relative:paragraph;z-index:252044288" coordorigin="-240,8351" coordsize="7739,941" path="m4407,-89l4268,-85,4197,-59,4171,12,4167,151,4167,612,4171,750,4197,822,4268,848,4407,852,11906,852m11906,-89l4407,-89e" filled="false" stroked="true" strokeweight="3pt" strokecolor="#000000">
            <v:path arrowok="t"/>
            <v:stroke dashstyle="solid"/>
            <w10:wrap type="none"/>
          </v:shape>
        </w:pict>
      </w:r>
      <w:r>
        <w:rPr>
          <w:i/>
          <w:color w:val="CA4F1B"/>
          <w:spacing w:val="-3"/>
          <w:w w:val="110"/>
          <w:sz w:val="29"/>
        </w:rPr>
        <w:t>Birds learn to swim, </w:t>
      </w:r>
      <w:r>
        <w:rPr>
          <w:i/>
          <w:color w:val="CA4F1B"/>
          <w:spacing w:val="-6"/>
          <w:w w:val="110"/>
          <w:sz w:val="29"/>
        </w:rPr>
        <w:t>Fish </w:t>
      </w:r>
      <w:r>
        <w:rPr>
          <w:i/>
          <w:color w:val="CA4F1B"/>
          <w:spacing w:val="-3"/>
          <w:w w:val="110"/>
          <w:sz w:val="29"/>
        </w:rPr>
        <w:t>learn to </w:t>
      </w:r>
      <w:r>
        <w:rPr>
          <w:i/>
          <w:color w:val="CA4F1B"/>
          <w:w w:val="110"/>
          <w:sz w:val="29"/>
        </w:rPr>
        <w:t>fly</w:t>
      </w:r>
    </w:p>
    <w:p>
      <w:pPr>
        <w:pStyle w:val="BodyText"/>
        <w:rPr>
          <w:i/>
          <w:sz w:val="22"/>
        </w:rPr>
      </w:pPr>
      <w:r>
        <w:rPr/>
        <w:br w:type="column"/>
      </w:r>
      <w:r>
        <w:rPr>
          <w:i/>
          <w:sz w:val="22"/>
        </w:rPr>
      </w:r>
    </w:p>
    <w:p>
      <w:pPr>
        <w:pStyle w:val="BodyText"/>
        <w:spacing w:before="4"/>
        <w:rPr>
          <w:i/>
          <w:sz w:val="16"/>
        </w:rPr>
      </w:pPr>
    </w:p>
    <w:p>
      <w:pPr>
        <w:spacing w:before="0"/>
        <w:ind w:left="482" w:right="0" w:firstLine="0"/>
        <w:jc w:val="left"/>
        <w:rPr>
          <w:i/>
          <w:sz w:val="18"/>
        </w:rPr>
      </w:pPr>
      <w:r>
        <w:rPr>
          <w:i/>
          <w:color w:val="8BA8BD"/>
          <w:sz w:val="18"/>
        </w:rPr>
        <w:t>Edicio de la Torre</w:t>
      </w:r>
    </w:p>
    <w:p>
      <w:pPr>
        <w:spacing w:after="0"/>
        <w:jc w:val="left"/>
        <w:rPr>
          <w:sz w:val="18"/>
        </w:rPr>
        <w:sectPr>
          <w:type w:val="continuous"/>
          <w:pgSz w:w="11910" w:h="16840"/>
          <w:pgMar w:top="860" w:bottom="280" w:left="0" w:right="0"/>
          <w:cols w:num="2" w:equalWidth="0">
            <w:col w:w="8998" w:space="40"/>
            <w:col w:w="2872"/>
          </w:cols>
        </w:sectPr>
      </w:pPr>
    </w:p>
    <w:p>
      <w:pPr>
        <w:pStyle w:val="BodyText"/>
        <w:spacing w:before="10"/>
        <w:rPr>
          <w:i/>
          <w:sz w:val="28"/>
        </w:rPr>
      </w:pPr>
    </w:p>
    <w:p>
      <w:pPr>
        <w:pStyle w:val="ListParagraph"/>
        <w:numPr>
          <w:ilvl w:val="1"/>
          <w:numId w:val="128"/>
        </w:numPr>
        <w:tabs>
          <w:tab w:pos="2664" w:val="left" w:leader="none"/>
          <w:tab w:pos="2665" w:val="left" w:leader="none"/>
        </w:tabs>
        <w:spacing w:line="235" w:lineRule="auto" w:before="104" w:after="0"/>
        <w:ind w:left="1984" w:right="1154" w:firstLine="0"/>
        <w:jc w:val="left"/>
        <w:rPr>
          <w:sz w:val="20"/>
        </w:rPr>
      </w:pPr>
      <w:r>
        <w:rPr>
          <w:w w:val="120"/>
          <w:sz w:val="20"/>
        </w:rPr>
        <w:t>Founded 200 years ago (next </w:t>
      </w:r>
      <w:r>
        <w:rPr>
          <w:spacing w:val="-4"/>
          <w:w w:val="120"/>
          <w:sz w:val="20"/>
        </w:rPr>
        <w:t>year), </w:t>
      </w:r>
      <w:r>
        <w:rPr>
          <w:w w:val="120"/>
          <w:sz w:val="20"/>
        </w:rPr>
        <w:t>the historical perspective is one that is returning to our collective minds. Our roots lie in a widespread recognition amongst   early Scottish Congregationalists that learning, not least learning for recognised ministry, was a priority of the churches – so much so that they founded the ‘theological hall’ several years before they created the ‘Congregational Union of </w:t>
      </w:r>
      <w:r>
        <w:rPr>
          <w:spacing w:val="-3"/>
          <w:w w:val="120"/>
          <w:sz w:val="20"/>
        </w:rPr>
        <w:t>Scotland’. </w:t>
      </w:r>
      <w:r>
        <w:rPr>
          <w:w w:val="120"/>
          <w:sz w:val="20"/>
        </w:rPr>
        <w:t>Keeping the learning dimension at the vital heart of the church in Scotland has been a major role for the college throughout its</w:t>
      </w:r>
      <w:r>
        <w:rPr>
          <w:spacing w:val="9"/>
          <w:w w:val="120"/>
          <w:sz w:val="20"/>
        </w:rPr>
        <w:t> </w:t>
      </w:r>
      <w:r>
        <w:rPr>
          <w:w w:val="120"/>
          <w:sz w:val="20"/>
        </w:rPr>
        <w:t>life.</w:t>
      </w:r>
    </w:p>
    <w:p>
      <w:pPr>
        <w:pStyle w:val="BodyText"/>
        <w:spacing w:before="1"/>
      </w:pPr>
    </w:p>
    <w:p>
      <w:pPr>
        <w:pStyle w:val="ListParagraph"/>
        <w:numPr>
          <w:ilvl w:val="1"/>
          <w:numId w:val="128"/>
        </w:numPr>
        <w:tabs>
          <w:tab w:pos="2664" w:val="left" w:leader="none"/>
          <w:tab w:pos="2665" w:val="left" w:leader="none"/>
        </w:tabs>
        <w:spacing w:line="235" w:lineRule="auto" w:before="0" w:after="0"/>
        <w:ind w:left="1984" w:right="1176" w:firstLine="0"/>
        <w:jc w:val="left"/>
        <w:rPr>
          <w:sz w:val="20"/>
        </w:rPr>
      </w:pPr>
      <w:r>
        <w:rPr>
          <w:w w:val="120"/>
          <w:sz w:val="20"/>
        </w:rPr>
        <w:t>The two centuries since then have been an ecumenical journey. In various  periods, we have undertaken our theological education in partnership with the United Free Church of Scotland and the Scottish Episcopal Church. We trained people for overseas missionary service – most notably perhaps Eric Liddell. We were active partners in the Scottish Churches’ Open College and were deeply saddened at its demise. </w:t>
      </w:r>
      <w:r>
        <w:rPr>
          <w:spacing w:val="-3"/>
          <w:w w:val="120"/>
          <w:sz w:val="20"/>
        </w:rPr>
        <w:t>Now,  </w:t>
      </w:r>
      <w:r>
        <w:rPr>
          <w:w w:val="120"/>
          <w:sz w:val="20"/>
        </w:rPr>
        <w:t>the focus for us is on the collaboration between the Scottish Episcopal,</w:t>
      </w:r>
      <w:r>
        <w:rPr>
          <w:spacing w:val="22"/>
          <w:w w:val="120"/>
          <w:sz w:val="20"/>
        </w:rPr>
        <w:t> </w:t>
      </w:r>
      <w:r>
        <w:rPr>
          <w:w w:val="120"/>
          <w:sz w:val="20"/>
        </w:rPr>
        <w:t>Methodist</w:t>
      </w:r>
    </w:p>
    <w:p>
      <w:pPr>
        <w:pStyle w:val="BodyText"/>
        <w:spacing w:line="235" w:lineRule="auto" w:before="4"/>
        <w:ind w:left="1984" w:right="1120"/>
      </w:pPr>
      <w:r>
        <w:rPr>
          <w:w w:val="120"/>
        </w:rPr>
        <w:t>and United Reformed churches (EMU) where education is recognised as being in the forefront of ecumenical co-operation and development.</w:t>
      </w:r>
    </w:p>
    <w:p>
      <w:pPr>
        <w:pStyle w:val="BodyText"/>
        <w:spacing w:before="10"/>
        <w:rPr>
          <w:sz w:val="19"/>
        </w:rPr>
      </w:pPr>
    </w:p>
    <w:p>
      <w:pPr>
        <w:pStyle w:val="ListParagraph"/>
        <w:numPr>
          <w:ilvl w:val="1"/>
          <w:numId w:val="128"/>
        </w:numPr>
        <w:tabs>
          <w:tab w:pos="2664" w:val="left" w:leader="none"/>
          <w:tab w:pos="2665" w:val="left" w:leader="none"/>
        </w:tabs>
        <w:spacing w:line="235" w:lineRule="auto" w:before="0" w:after="0"/>
        <w:ind w:left="1984" w:right="1686" w:firstLine="0"/>
        <w:jc w:val="left"/>
        <w:rPr>
          <w:sz w:val="20"/>
        </w:rPr>
      </w:pPr>
      <w:r>
        <w:rPr>
          <w:w w:val="120"/>
          <w:sz w:val="20"/>
        </w:rPr>
        <w:t>Another important partnership has been with the universities in Scotland  and in particular their faculties of Divinity. We continue to work together with them in Education for Ministry 1 and also in </w:t>
      </w:r>
      <w:r>
        <w:rPr>
          <w:spacing w:val="-3"/>
          <w:w w:val="120"/>
          <w:sz w:val="20"/>
        </w:rPr>
        <w:t>EM3 </w:t>
      </w:r>
      <w:r>
        <w:rPr>
          <w:w w:val="120"/>
          <w:sz w:val="20"/>
        </w:rPr>
        <w:t>continuing education. We remain</w:t>
      </w:r>
      <w:r>
        <w:rPr>
          <w:spacing w:val="41"/>
          <w:w w:val="120"/>
          <w:sz w:val="20"/>
        </w:rPr>
        <w:t> </w:t>
      </w:r>
      <w:r>
        <w:rPr>
          <w:w w:val="120"/>
          <w:sz w:val="20"/>
        </w:rPr>
        <w:t>in</w:t>
      </w:r>
    </w:p>
    <w:p>
      <w:pPr>
        <w:pStyle w:val="BodyText"/>
        <w:spacing w:line="235" w:lineRule="auto" w:before="2"/>
        <w:ind w:left="1984" w:right="1287"/>
      </w:pPr>
      <w:r>
        <w:rPr>
          <w:w w:val="120"/>
        </w:rPr>
        <w:t>conversation with them, directly and ecumenically, around the role, ethos and practice of the academy in theological education. Historically, of course, the Scottish universities have developed in theological education distinctively from their English counterparts. Nonetheless, there is some degree of parallel in the degree to which theology and indeed religious studies have developed as disciplines. Our college has served in a</w:t>
      </w:r>
    </w:p>
    <w:p>
      <w:pPr>
        <w:spacing w:after="0" w:line="235" w:lineRule="auto"/>
        <w:sectPr>
          <w:type w:val="continuous"/>
          <w:pgSz w:w="11910" w:h="16840"/>
          <w:pgMar w:top="860" w:bottom="280" w:left="0" w:right="0"/>
        </w:sectPr>
      </w:pPr>
    </w:p>
    <w:p>
      <w:pPr>
        <w:pStyle w:val="BodyText"/>
        <w:spacing w:line="235" w:lineRule="auto" w:before="107"/>
        <w:ind w:left="1133" w:right="2110"/>
      </w:pPr>
      <w:r>
        <w:rPr/>
        <w:pict>
          <v:rect style="position:absolute;margin-left:12.047pt;margin-top:8.477343pt;width:22.677pt;height:22.677pt;mso-position-horizontal-relative:page;mso-position-vertical-relative:paragraph;z-index:252045312" filled="true" fillcolor="#dae4ec" stroked="false">
            <v:fill opacity="32768f" type="solid"/>
            <w10:wrap type="none"/>
          </v:rect>
        </w:pict>
      </w:r>
      <w:r>
        <w:rPr>
          <w:w w:val="120"/>
        </w:rPr>
        <w:t>complementary role to the university provision but perhaps we are now more conscious of (alongside the ‘complementary’) having a responsibility to be ‘other’ – to be concerned for ‘ordinary theology’ and other grassroots developments in thinking, to integrate theological perspectives with those of other disciplines and approaches, to question and challenge ‘academic’ perspectives and their</w:t>
      </w:r>
      <w:r>
        <w:rPr>
          <w:spacing w:val="23"/>
          <w:w w:val="120"/>
        </w:rPr>
        <w:t> </w:t>
      </w:r>
      <w:r>
        <w:rPr>
          <w:w w:val="120"/>
        </w:rPr>
        <w:t>limitations.</w:t>
      </w:r>
    </w:p>
    <w:p>
      <w:pPr>
        <w:pStyle w:val="BodyText"/>
        <w:spacing w:before="12"/>
        <w:rPr>
          <w:sz w:val="19"/>
        </w:rPr>
      </w:pPr>
    </w:p>
    <w:p>
      <w:pPr>
        <w:pStyle w:val="ListParagraph"/>
        <w:numPr>
          <w:ilvl w:val="1"/>
          <w:numId w:val="128"/>
        </w:numPr>
        <w:tabs>
          <w:tab w:pos="1814" w:val="left" w:leader="none"/>
          <w:tab w:pos="1815" w:val="left" w:leader="none"/>
        </w:tabs>
        <w:spacing w:line="235" w:lineRule="auto" w:before="0" w:after="0"/>
        <w:ind w:left="1133" w:right="2189" w:firstLine="0"/>
        <w:jc w:val="left"/>
        <w:rPr>
          <w:sz w:val="20"/>
        </w:rPr>
      </w:pPr>
      <w:r>
        <w:rPr>
          <w:w w:val="120"/>
          <w:sz w:val="20"/>
        </w:rPr>
        <w:t>Alongside our founding for the promotion of learning for ministry, early Scottish Congregationalists were concerned for the learning of ordinary folk – for example, through preaching, through political education and through the adult Sunday School movement. In the last two decades in particular, there has been a major focus</w:t>
      </w:r>
      <w:r>
        <w:rPr>
          <w:spacing w:val="19"/>
          <w:w w:val="120"/>
          <w:sz w:val="20"/>
        </w:rPr>
        <w:t> </w:t>
      </w:r>
      <w:r>
        <w:rPr>
          <w:w w:val="120"/>
          <w:sz w:val="20"/>
        </w:rPr>
        <w:t>on</w:t>
      </w:r>
    </w:p>
    <w:p>
      <w:pPr>
        <w:pStyle w:val="BodyText"/>
        <w:spacing w:line="235" w:lineRule="auto" w:before="3"/>
        <w:ind w:left="1133" w:right="2191"/>
      </w:pPr>
      <w:r>
        <w:rPr>
          <w:w w:val="120"/>
        </w:rPr>
        <w:t>adult learning within the life of the college. Most of our provision is undertaken on an integrated adult learning model with an interaction of participants and perspectives across the life of the Church.</w:t>
      </w:r>
    </w:p>
    <w:p>
      <w:pPr>
        <w:pStyle w:val="BodyText"/>
        <w:spacing w:before="10"/>
        <w:rPr>
          <w:sz w:val="19"/>
        </w:rPr>
      </w:pPr>
    </w:p>
    <w:p>
      <w:pPr>
        <w:pStyle w:val="ListParagraph"/>
        <w:numPr>
          <w:ilvl w:val="1"/>
          <w:numId w:val="128"/>
        </w:numPr>
        <w:tabs>
          <w:tab w:pos="1814" w:val="left" w:leader="none"/>
          <w:tab w:pos="1815" w:val="left" w:leader="none"/>
        </w:tabs>
        <w:spacing w:line="235" w:lineRule="auto" w:before="0" w:after="0"/>
        <w:ind w:left="1133" w:right="2081" w:firstLine="0"/>
        <w:jc w:val="left"/>
        <w:rPr>
          <w:sz w:val="20"/>
        </w:rPr>
      </w:pPr>
      <w:r>
        <w:rPr>
          <w:w w:val="120"/>
          <w:sz w:val="20"/>
        </w:rPr>
        <w:t>Our major partnership of course has been with the then Congregational Union of Scotland and subsequent to the unification of the CUS and the URCUK with the synod    of Scotland of the United Reformed Church. In constitution and governance distinct, there has been the strongest collaboration. The Principal </w:t>
      </w:r>
      <w:r>
        <w:rPr>
          <w:spacing w:val="2"/>
          <w:w w:val="120"/>
          <w:sz w:val="20"/>
        </w:rPr>
        <w:t>acts </w:t>
      </w:r>
      <w:r>
        <w:rPr>
          <w:w w:val="120"/>
          <w:sz w:val="20"/>
        </w:rPr>
        <w:t>as synod training officer and synod learning-related staff serve now as associate academic staff of the college. A high level of shared life means that the college is able to respond quickly and sensitively to learning needs that arise in the synod and its churches. The two bodies continue to keep under active review the operation of the reciprocal agreement which underpins  the resourcing and functioning of the relationship. We are challenged by our reciprocal agreement to play a prophetic as well as a service role. Alongside this, as a resource centre for learning recognised by the General Assembly of the URC, we are moving forward in developing our activities on a wider front – with the neighbouring synod (Northern), with the work of the Education and Learning committee and with our colleagues in other</w:t>
      </w:r>
      <w:r>
        <w:rPr>
          <w:spacing w:val="6"/>
          <w:w w:val="120"/>
          <w:sz w:val="20"/>
        </w:rPr>
        <w:t> </w:t>
      </w:r>
      <w:r>
        <w:rPr>
          <w:w w:val="120"/>
          <w:sz w:val="20"/>
        </w:rPr>
        <w:t>RCLs.</w:t>
      </w:r>
    </w:p>
    <w:p>
      <w:pPr>
        <w:pStyle w:val="BodyText"/>
        <w:spacing w:before="4"/>
        <w:rPr>
          <w:sz w:val="18"/>
        </w:rPr>
      </w:pPr>
    </w:p>
    <w:p>
      <w:pPr>
        <w:numPr>
          <w:ilvl w:val="0"/>
          <w:numId w:val="128"/>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are</w:t>
      </w:r>
    </w:p>
    <w:p>
      <w:pPr>
        <w:pStyle w:val="ListParagraph"/>
        <w:numPr>
          <w:ilvl w:val="1"/>
          <w:numId w:val="128"/>
        </w:numPr>
        <w:tabs>
          <w:tab w:pos="1814" w:val="left" w:leader="none"/>
          <w:tab w:pos="1815" w:val="left" w:leader="none"/>
        </w:tabs>
        <w:spacing w:line="235" w:lineRule="auto" w:before="223" w:after="0"/>
        <w:ind w:left="1133" w:right="2210" w:firstLine="0"/>
        <w:jc w:val="left"/>
        <w:rPr>
          <w:sz w:val="20"/>
        </w:rPr>
      </w:pPr>
      <w:r>
        <w:rPr>
          <w:w w:val="120"/>
          <w:sz w:val="20"/>
        </w:rPr>
        <w:t>A major aspect of our life and work recently has been an inspection carried out on behalf of the Education and Learning committee. Following the initial visit, we were encouraged and felt significantly affirmed by the inspectors’ </w:t>
      </w:r>
      <w:r>
        <w:rPr>
          <w:spacing w:val="2"/>
          <w:w w:val="120"/>
          <w:sz w:val="20"/>
        </w:rPr>
        <w:t>report </w:t>
      </w:r>
      <w:r>
        <w:rPr>
          <w:w w:val="120"/>
          <w:sz w:val="20"/>
        </w:rPr>
        <w:t>and many of the recommendations were in line with policy commitments and planned action of the college. We welcomed the inspectors back very recently and we note with satisfaction their comment now that: ‘It is with great pleasure that the inspectors record the excellent response to the Inspectors’ recommendations in 2009. The college has taken seriously the issues which were raised and have endeavoured to change their practice.’ Nonetheless, this satisfaction does not </w:t>
      </w:r>
      <w:r>
        <w:rPr>
          <w:spacing w:val="2"/>
          <w:w w:val="120"/>
          <w:sz w:val="20"/>
        </w:rPr>
        <w:t>carry </w:t>
      </w:r>
      <w:r>
        <w:rPr>
          <w:w w:val="120"/>
          <w:sz w:val="20"/>
        </w:rPr>
        <w:t>the sense of feeling that we have finished the work and we will continue actively to pursue developments in the fields that were identified in the inspectors’ review of our life and</w:t>
      </w:r>
      <w:r>
        <w:rPr>
          <w:spacing w:val="19"/>
          <w:w w:val="120"/>
          <w:sz w:val="20"/>
        </w:rPr>
        <w:t> </w:t>
      </w:r>
      <w:r>
        <w:rPr>
          <w:w w:val="120"/>
          <w:sz w:val="20"/>
        </w:rPr>
        <w:t>work.</w:t>
      </w:r>
    </w:p>
    <w:p>
      <w:pPr>
        <w:pStyle w:val="BodyText"/>
        <w:spacing w:before="4"/>
      </w:pPr>
    </w:p>
    <w:p>
      <w:pPr>
        <w:pStyle w:val="ListParagraph"/>
        <w:numPr>
          <w:ilvl w:val="1"/>
          <w:numId w:val="128"/>
        </w:numPr>
        <w:tabs>
          <w:tab w:pos="1814" w:val="left" w:leader="none"/>
          <w:tab w:pos="1815" w:val="left" w:leader="none"/>
        </w:tabs>
        <w:spacing w:line="235" w:lineRule="auto" w:before="0" w:after="0"/>
        <w:ind w:left="1133" w:right="2129" w:firstLine="0"/>
        <w:jc w:val="left"/>
        <w:rPr>
          <w:sz w:val="20"/>
        </w:rPr>
      </w:pPr>
      <w:r>
        <w:rPr>
          <w:w w:val="120"/>
          <w:sz w:val="20"/>
        </w:rPr>
        <w:t>For the wider URC, there are recommendations by the inspectors that are rooted in the continuing exploration of what was meant when in </w:t>
      </w:r>
      <w:r>
        <w:rPr>
          <w:spacing w:val="2"/>
          <w:w w:val="120"/>
          <w:sz w:val="20"/>
        </w:rPr>
        <w:t>2000 </w:t>
      </w:r>
      <w:r>
        <w:rPr>
          <w:w w:val="120"/>
          <w:sz w:val="20"/>
        </w:rPr>
        <w:t>the denominational partners created a </w:t>
      </w:r>
      <w:r>
        <w:rPr>
          <w:spacing w:val="-2"/>
          <w:w w:val="120"/>
          <w:sz w:val="20"/>
        </w:rPr>
        <w:t>‘church </w:t>
      </w:r>
      <w:r>
        <w:rPr>
          <w:w w:val="120"/>
          <w:sz w:val="20"/>
        </w:rPr>
        <w:t>in three </w:t>
      </w:r>
      <w:r>
        <w:rPr>
          <w:spacing w:val="-3"/>
          <w:w w:val="120"/>
          <w:sz w:val="20"/>
        </w:rPr>
        <w:t>nations’, </w:t>
      </w:r>
      <w:r>
        <w:rPr>
          <w:w w:val="120"/>
          <w:sz w:val="20"/>
        </w:rPr>
        <w:t>not merely as an observation of politico- geographical </w:t>
      </w:r>
      <w:r>
        <w:rPr>
          <w:spacing w:val="2"/>
          <w:w w:val="120"/>
          <w:sz w:val="20"/>
        </w:rPr>
        <w:t>fact </w:t>
      </w:r>
      <w:r>
        <w:rPr>
          <w:w w:val="120"/>
          <w:sz w:val="20"/>
        </w:rPr>
        <w:t>but as a challenge to live our common life in ways that respected and drew strength from national </w:t>
      </w:r>
      <w:r>
        <w:rPr>
          <w:spacing w:val="-5"/>
          <w:w w:val="120"/>
          <w:sz w:val="20"/>
        </w:rPr>
        <w:t>(and </w:t>
      </w:r>
      <w:r>
        <w:rPr>
          <w:w w:val="120"/>
          <w:sz w:val="20"/>
        </w:rPr>
        <w:t>other)</w:t>
      </w:r>
      <w:r>
        <w:rPr>
          <w:spacing w:val="18"/>
          <w:w w:val="120"/>
          <w:sz w:val="20"/>
        </w:rPr>
        <w:t> </w:t>
      </w:r>
      <w:r>
        <w:rPr>
          <w:w w:val="120"/>
          <w:sz w:val="20"/>
        </w:rPr>
        <w:t>diversity.</w:t>
      </w:r>
    </w:p>
    <w:p>
      <w:pPr>
        <w:pStyle w:val="BodyText"/>
        <w:spacing w:before="11"/>
        <w:rPr>
          <w:sz w:val="19"/>
        </w:rPr>
      </w:pPr>
    </w:p>
    <w:p>
      <w:pPr>
        <w:pStyle w:val="ListParagraph"/>
        <w:numPr>
          <w:ilvl w:val="1"/>
          <w:numId w:val="128"/>
        </w:numPr>
        <w:tabs>
          <w:tab w:pos="1814" w:val="left" w:leader="none"/>
          <w:tab w:pos="1815" w:val="left" w:leader="none"/>
        </w:tabs>
        <w:spacing w:line="235" w:lineRule="auto" w:before="0" w:after="0"/>
        <w:ind w:left="1133" w:right="2010" w:firstLine="0"/>
        <w:jc w:val="left"/>
        <w:rPr>
          <w:sz w:val="20"/>
        </w:rPr>
      </w:pPr>
      <w:r>
        <w:rPr>
          <w:w w:val="120"/>
          <w:sz w:val="20"/>
        </w:rPr>
        <w:t>The URC Synod of Scotland together with the Methodist Church in Scotland and the Scottish Episcopal Church has committed to developing shared life in mission and ministry. This was paralleled by conversations already underway between education staff in the three denominations around improving educational collaboration </w:t>
      </w:r>
      <w:r>
        <w:rPr>
          <w:spacing w:val="-3"/>
          <w:w w:val="120"/>
          <w:sz w:val="20"/>
        </w:rPr>
        <w:t>(the </w:t>
      </w:r>
      <w:r>
        <w:rPr>
          <w:w w:val="120"/>
          <w:sz w:val="20"/>
        </w:rPr>
        <w:t>College acting on its own behalf and for the URC synod of Scotland). We believe that there   would be very significant benefits of such partnership,</w:t>
      </w:r>
      <w:r>
        <w:rPr>
          <w:spacing w:val="29"/>
          <w:w w:val="120"/>
          <w:sz w:val="20"/>
        </w:rPr>
        <w:t> </w:t>
      </w:r>
      <w:r>
        <w:rPr>
          <w:w w:val="120"/>
          <w:sz w:val="20"/>
        </w:rPr>
        <w:t>including:</w:t>
      </w:r>
    </w:p>
    <w:p>
      <w:pPr>
        <w:pStyle w:val="ListParagraph"/>
        <w:numPr>
          <w:ilvl w:val="0"/>
          <w:numId w:val="129"/>
        </w:numPr>
        <w:tabs>
          <w:tab w:pos="1814" w:val="left" w:leader="none"/>
          <w:tab w:pos="1815" w:val="left" w:leader="none"/>
        </w:tabs>
        <w:spacing w:line="235" w:lineRule="auto" w:before="5" w:after="0"/>
        <w:ind w:left="1814" w:right="2359" w:hanging="681"/>
        <w:jc w:val="left"/>
        <w:rPr>
          <w:sz w:val="20"/>
        </w:rPr>
      </w:pPr>
      <w:r>
        <w:rPr>
          <w:w w:val="120"/>
          <w:sz w:val="20"/>
        </w:rPr>
        <w:t>sharing of educational programmes to provide a broader range of learning opportunities across the denominations together with lessening inappropriate duplication and potentially creating more often viable learning</w:t>
      </w:r>
      <w:r>
        <w:rPr>
          <w:spacing w:val="44"/>
          <w:w w:val="120"/>
          <w:sz w:val="20"/>
        </w:rPr>
        <w:t> </w:t>
      </w:r>
      <w:r>
        <w:rPr>
          <w:w w:val="120"/>
          <w:sz w:val="20"/>
        </w:rPr>
        <w:t>cohorts;</w:t>
      </w:r>
    </w:p>
    <w:p>
      <w:pPr>
        <w:pStyle w:val="ListParagraph"/>
        <w:numPr>
          <w:ilvl w:val="0"/>
          <w:numId w:val="129"/>
        </w:numPr>
        <w:tabs>
          <w:tab w:pos="1814" w:val="left" w:leader="none"/>
          <w:tab w:pos="1815" w:val="left" w:leader="none"/>
        </w:tabs>
        <w:spacing w:line="240" w:lineRule="exact" w:before="0" w:after="0"/>
        <w:ind w:left="1814" w:right="0" w:hanging="682"/>
        <w:jc w:val="left"/>
        <w:rPr>
          <w:sz w:val="20"/>
        </w:rPr>
      </w:pPr>
      <w:r>
        <w:rPr>
          <w:w w:val="120"/>
          <w:sz w:val="20"/>
        </w:rPr>
        <w:t>drawing on the distinctive strengths and experience of the provider</w:t>
      </w:r>
      <w:r>
        <w:rPr>
          <w:spacing w:val="32"/>
          <w:w w:val="120"/>
          <w:sz w:val="20"/>
        </w:rPr>
        <w:t> </w:t>
      </w:r>
      <w:r>
        <w:rPr>
          <w:w w:val="120"/>
          <w:sz w:val="20"/>
        </w:rPr>
        <w:t>institutions;</w:t>
      </w:r>
    </w:p>
    <w:p>
      <w:pPr>
        <w:pStyle w:val="ListParagraph"/>
        <w:numPr>
          <w:ilvl w:val="0"/>
          <w:numId w:val="129"/>
        </w:numPr>
        <w:tabs>
          <w:tab w:pos="1814" w:val="left" w:leader="none"/>
          <w:tab w:pos="1815" w:val="left" w:leader="none"/>
        </w:tabs>
        <w:spacing w:line="235" w:lineRule="auto" w:before="1" w:after="0"/>
        <w:ind w:left="1814" w:right="2407" w:hanging="681"/>
        <w:jc w:val="left"/>
        <w:rPr>
          <w:sz w:val="20"/>
        </w:rPr>
      </w:pPr>
      <w:r>
        <w:rPr>
          <w:w w:val="120"/>
          <w:sz w:val="20"/>
        </w:rPr>
        <w:t>utilising more effectively the knowledge and experience of staff members and facilitating improved staff</w:t>
      </w:r>
      <w:r>
        <w:rPr>
          <w:spacing w:val="6"/>
          <w:w w:val="120"/>
          <w:sz w:val="20"/>
        </w:rPr>
        <w:t> </w:t>
      </w:r>
      <w:r>
        <w:rPr>
          <w:w w:val="120"/>
          <w:sz w:val="20"/>
        </w:rPr>
        <w:t>development;</w:t>
      </w:r>
    </w:p>
    <w:p>
      <w:pPr>
        <w:spacing w:after="0" w:line="235" w:lineRule="auto"/>
        <w:jc w:val="left"/>
        <w:rPr>
          <w:sz w:val="20"/>
        </w:rPr>
        <w:sectPr>
          <w:pgSz w:w="11910" w:h="16840"/>
          <w:pgMar w:header="0" w:footer="647" w:top="1060" w:bottom="840" w:left="0" w:right="0"/>
        </w:sectPr>
      </w:pPr>
    </w:p>
    <w:p>
      <w:pPr>
        <w:pStyle w:val="ListParagraph"/>
        <w:numPr>
          <w:ilvl w:val="0"/>
          <w:numId w:val="129"/>
        </w:numPr>
        <w:tabs>
          <w:tab w:pos="2664" w:val="left" w:leader="none"/>
          <w:tab w:pos="2665" w:val="left" w:leader="none"/>
        </w:tabs>
        <w:spacing w:line="242" w:lineRule="exact" w:before="87" w:after="0"/>
        <w:ind w:left="2664" w:right="0" w:hanging="681"/>
        <w:jc w:val="left"/>
        <w:rPr>
          <w:sz w:val="20"/>
        </w:rPr>
      </w:pPr>
      <w:r>
        <w:rPr/>
        <w:pict>
          <v:rect style="position:absolute;margin-left:558.424988pt;margin-top:8.493772pt;width:22.677pt;height:22.677pt;mso-position-horizontal-relative:page;mso-position-vertical-relative:paragraph;z-index:252046336" filled="true" fillcolor="#dae4ec" stroked="false">
            <v:fill opacity="32768f" type="solid"/>
            <w10:wrap type="none"/>
          </v:rect>
        </w:pict>
      </w:r>
      <w:r>
        <w:rPr>
          <w:w w:val="120"/>
          <w:sz w:val="20"/>
        </w:rPr>
        <w:t>better marketing;</w:t>
      </w:r>
      <w:r>
        <w:rPr>
          <w:spacing w:val="4"/>
          <w:w w:val="120"/>
          <w:sz w:val="20"/>
        </w:rPr>
        <w:t> </w:t>
      </w:r>
      <w:r>
        <w:rPr>
          <w:w w:val="120"/>
          <w:sz w:val="20"/>
        </w:rPr>
        <w:t>and</w:t>
      </w:r>
    </w:p>
    <w:p>
      <w:pPr>
        <w:pStyle w:val="ListParagraph"/>
        <w:numPr>
          <w:ilvl w:val="0"/>
          <w:numId w:val="129"/>
        </w:numPr>
        <w:tabs>
          <w:tab w:pos="2664" w:val="left" w:leader="none"/>
          <w:tab w:pos="2665" w:val="left" w:leader="none"/>
        </w:tabs>
        <w:spacing w:line="242" w:lineRule="exact" w:before="0" w:after="0"/>
        <w:ind w:left="2664" w:right="0" w:hanging="681"/>
        <w:jc w:val="left"/>
        <w:rPr>
          <w:sz w:val="20"/>
        </w:rPr>
      </w:pPr>
      <w:r>
        <w:rPr>
          <w:w w:val="120"/>
          <w:sz w:val="20"/>
        </w:rPr>
        <w:t>improved capacity to meet challenges creatively and</w:t>
      </w:r>
      <w:r>
        <w:rPr>
          <w:spacing w:val="15"/>
          <w:w w:val="120"/>
          <w:sz w:val="20"/>
        </w:rPr>
        <w:t> </w:t>
      </w:r>
      <w:r>
        <w:rPr>
          <w:w w:val="120"/>
          <w:sz w:val="20"/>
        </w:rPr>
        <w:t>effectively.</w:t>
      </w:r>
    </w:p>
    <w:p>
      <w:pPr>
        <w:numPr>
          <w:ilvl w:val="0"/>
          <w:numId w:val="128"/>
        </w:numPr>
        <w:tabs>
          <w:tab w:pos="2704" w:val="left" w:leader="none"/>
          <w:tab w:pos="2705" w:val="left" w:leader="none"/>
        </w:tabs>
        <w:spacing w:before="213"/>
        <w:ind w:left="2704" w:right="0" w:hanging="721"/>
        <w:jc w:val="left"/>
        <w:rPr>
          <w:rFonts w:ascii="Stone Sans II ITC Std Bk"/>
          <w:b/>
          <w:sz w:val="21"/>
        </w:rPr>
      </w:pPr>
      <w:r>
        <w:rPr>
          <w:rFonts w:ascii="Stone Sans II ITC Std Bk"/>
          <w:b/>
          <w:w w:val="115"/>
          <w:sz w:val="21"/>
        </w:rPr>
        <w:t>Where we are</w:t>
      </w:r>
      <w:r>
        <w:rPr>
          <w:rFonts w:ascii="Stone Sans II ITC Std Bk"/>
          <w:b/>
          <w:spacing w:val="-5"/>
          <w:w w:val="115"/>
          <w:sz w:val="21"/>
        </w:rPr>
        <w:t> </w:t>
      </w:r>
      <w:r>
        <w:rPr>
          <w:rFonts w:ascii="Stone Sans II ITC Std Bk"/>
          <w:b/>
          <w:w w:val="115"/>
          <w:sz w:val="21"/>
        </w:rPr>
        <w:t>going</w:t>
      </w:r>
    </w:p>
    <w:p>
      <w:pPr>
        <w:pStyle w:val="ListParagraph"/>
        <w:numPr>
          <w:ilvl w:val="1"/>
          <w:numId w:val="128"/>
        </w:numPr>
        <w:tabs>
          <w:tab w:pos="2664" w:val="left" w:leader="none"/>
          <w:tab w:pos="2665" w:val="left" w:leader="none"/>
        </w:tabs>
        <w:spacing w:line="235" w:lineRule="auto" w:before="223" w:after="0"/>
        <w:ind w:left="1984" w:right="1505" w:firstLine="0"/>
        <w:jc w:val="left"/>
        <w:rPr>
          <w:sz w:val="20"/>
        </w:rPr>
      </w:pPr>
      <w:r>
        <w:rPr>
          <w:w w:val="120"/>
          <w:sz w:val="20"/>
        </w:rPr>
        <w:t>Sections 1 and 2 have already suggested some of the areas for development in the life of the college and more widely. Here are some further thoughts</w:t>
      </w:r>
      <w:r>
        <w:rPr>
          <w:spacing w:val="38"/>
          <w:w w:val="120"/>
          <w:sz w:val="20"/>
        </w:rPr>
        <w:t> </w:t>
      </w:r>
      <w:r>
        <w:rPr>
          <w:w w:val="120"/>
          <w:sz w:val="20"/>
        </w:rPr>
        <w:t>–</w:t>
      </w:r>
    </w:p>
    <w:p>
      <w:pPr>
        <w:pStyle w:val="BodyText"/>
        <w:spacing w:before="5"/>
        <w:rPr>
          <w:sz w:val="19"/>
        </w:rPr>
      </w:pPr>
    </w:p>
    <w:p>
      <w:pPr>
        <w:pStyle w:val="ListParagraph"/>
        <w:numPr>
          <w:ilvl w:val="1"/>
          <w:numId w:val="128"/>
        </w:numPr>
        <w:tabs>
          <w:tab w:pos="2664" w:val="left" w:leader="none"/>
          <w:tab w:pos="2665" w:val="left" w:leader="none"/>
        </w:tabs>
        <w:spacing w:line="240" w:lineRule="auto" w:before="0" w:after="0"/>
        <w:ind w:left="2664" w:right="0" w:hanging="681"/>
        <w:jc w:val="left"/>
        <w:rPr>
          <w:i/>
          <w:sz w:val="20"/>
        </w:rPr>
      </w:pPr>
      <w:r>
        <w:rPr>
          <w:i/>
          <w:w w:val="110"/>
          <w:sz w:val="20"/>
        </w:rPr>
        <w:t>Staffing</w:t>
      </w:r>
    </w:p>
    <w:p>
      <w:pPr>
        <w:pStyle w:val="BodyText"/>
        <w:spacing w:before="4"/>
        <w:rPr>
          <w:i/>
          <w:sz w:val="19"/>
        </w:rPr>
      </w:pPr>
    </w:p>
    <w:p>
      <w:pPr>
        <w:pStyle w:val="ListParagraph"/>
        <w:numPr>
          <w:ilvl w:val="2"/>
          <w:numId w:val="128"/>
        </w:numPr>
        <w:tabs>
          <w:tab w:pos="2665" w:val="left" w:leader="none"/>
        </w:tabs>
        <w:spacing w:line="242" w:lineRule="exact" w:before="0" w:after="0"/>
        <w:ind w:left="2664" w:right="0" w:hanging="681"/>
        <w:jc w:val="left"/>
        <w:rPr>
          <w:sz w:val="20"/>
        </w:rPr>
      </w:pPr>
      <w:r>
        <w:rPr>
          <w:w w:val="120"/>
          <w:sz w:val="20"/>
        </w:rPr>
        <w:t>We have extended our part-time and </w:t>
      </w:r>
      <w:r>
        <w:rPr>
          <w:spacing w:val="2"/>
          <w:w w:val="120"/>
          <w:sz w:val="20"/>
        </w:rPr>
        <w:t>honorary </w:t>
      </w:r>
      <w:r>
        <w:rPr>
          <w:w w:val="120"/>
          <w:sz w:val="20"/>
        </w:rPr>
        <w:t>staff</w:t>
      </w:r>
      <w:r>
        <w:rPr>
          <w:spacing w:val="11"/>
          <w:w w:val="120"/>
          <w:sz w:val="20"/>
        </w:rPr>
        <w:t> </w:t>
      </w:r>
      <w:r>
        <w:rPr>
          <w:w w:val="120"/>
          <w:sz w:val="20"/>
        </w:rPr>
        <w:t>through:</w:t>
      </w:r>
    </w:p>
    <w:p>
      <w:pPr>
        <w:pStyle w:val="ListParagraph"/>
        <w:numPr>
          <w:ilvl w:val="0"/>
          <w:numId w:val="130"/>
        </w:numPr>
        <w:tabs>
          <w:tab w:pos="2664" w:val="left" w:leader="none"/>
          <w:tab w:pos="2665" w:val="left" w:leader="none"/>
        </w:tabs>
        <w:spacing w:line="235" w:lineRule="auto" w:before="2" w:after="0"/>
        <w:ind w:left="2664" w:right="1181" w:hanging="681"/>
        <w:jc w:val="left"/>
        <w:rPr>
          <w:sz w:val="20"/>
        </w:rPr>
      </w:pPr>
      <w:r>
        <w:rPr>
          <w:w w:val="120"/>
          <w:sz w:val="20"/>
        </w:rPr>
        <w:t>the appointment of a special category minister together with Morningside United Church focused on ministry with older</w:t>
      </w:r>
      <w:r>
        <w:rPr>
          <w:spacing w:val="17"/>
          <w:w w:val="120"/>
          <w:sz w:val="20"/>
        </w:rPr>
        <w:t> </w:t>
      </w:r>
      <w:r>
        <w:rPr>
          <w:w w:val="120"/>
          <w:sz w:val="20"/>
        </w:rPr>
        <w:t>people;</w:t>
      </w:r>
    </w:p>
    <w:p>
      <w:pPr>
        <w:pStyle w:val="ListParagraph"/>
        <w:numPr>
          <w:ilvl w:val="0"/>
          <w:numId w:val="130"/>
        </w:numPr>
        <w:tabs>
          <w:tab w:pos="2664" w:val="left" w:leader="none"/>
          <w:tab w:pos="2665" w:val="left" w:leader="none"/>
        </w:tabs>
        <w:spacing w:line="240" w:lineRule="exact" w:before="0" w:after="0"/>
        <w:ind w:left="2664" w:right="0" w:hanging="681"/>
        <w:jc w:val="left"/>
        <w:rPr>
          <w:sz w:val="20"/>
        </w:rPr>
      </w:pPr>
      <w:r>
        <w:rPr>
          <w:w w:val="120"/>
          <w:sz w:val="20"/>
        </w:rPr>
        <w:t>the filling of a vacancy for a part-time academic</w:t>
      </w:r>
      <w:r>
        <w:rPr>
          <w:spacing w:val="17"/>
          <w:w w:val="120"/>
          <w:sz w:val="20"/>
        </w:rPr>
        <w:t> </w:t>
      </w:r>
      <w:r>
        <w:rPr>
          <w:w w:val="120"/>
          <w:sz w:val="20"/>
        </w:rPr>
        <w:t>tutor;</w:t>
      </w:r>
    </w:p>
    <w:p>
      <w:pPr>
        <w:pStyle w:val="ListParagraph"/>
        <w:numPr>
          <w:ilvl w:val="0"/>
          <w:numId w:val="130"/>
        </w:numPr>
        <w:tabs>
          <w:tab w:pos="2664" w:val="left" w:leader="none"/>
          <w:tab w:pos="2665" w:val="left" w:leader="none"/>
        </w:tabs>
        <w:spacing w:line="235" w:lineRule="auto" w:before="2" w:after="0"/>
        <w:ind w:left="2664" w:right="1224" w:hanging="681"/>
        <w:jc w:val="left"/>
        <w:rPr>
          <w:sz w:val="20"/>
        </w:rPr>
      </w:pPr>
      <w:r>
        <w:rPr>
          <w:w w:val="120"/>
          <w:sz w:val="20"/>
        </w:rPr>
        <w:t>the appointment of a college chaplain with responsibility for college worship and pastoral</w:t>
      </w:r>
      <w:r>
        <w:rPr>
          <w:spacing w:val="2"/>
          <w:w w:val="120"/>
          <w:sz w:val="20"/>
        </w:rPr>
        <w:t> </w:t>
      </w:r>
      <w:r>
        <w:rPr>
          <w:w w:val="120"/>
          <w:sz w:val="20"/>
        </w:rPr>
        <w:t>support;</w:t>
      </w:r>
    </w:p>
    <w:p>
      <w:pPr>
        <w:pStyle w:val="ListParagraph"/>
        <w:numPr>
          <w:ilvl w:val="0"/>
          <w:numId w:val="130"/>
        </w:numPr>
        <w:tabs>
          <w:tab w:pos="2664" w:val="left" w:leader="none"/>
          <w:tab w:pos="2665" w:val="left" w:leader="none"/>
        </w:tabs>
        <w:spacing w:line="235" w:lineRule="auto" w:before="1" w:after="0"/>
        <w:ind w:left="2664" w:right="1410" w:hanging="681"/>
        <w:jc w:val="left"/>
        <w:rPr>
          <w:sz w:val="20"/>
        </w:rPr>
      </w:pPr>
      <w:r>
        <w:rPr>
          <w:w w:val="120"/>
          <w:sz w:val="20"/>
        </w:rPr>
        <w:t>the inclusion of the synod children and youth development officer and the field officer for local mission and development as associate</w:t>
      </w:r>
      <w:r>
        <w:rPr>
          <w:spacing w:val="2"/>
          <w:w w:val="120"/>
          <w:sz w:val="20"/>
        </w:rPr>
        <w:t> </w:t>
      </w:r>
      <w:r>
        <w:rPr>
          <w:w w:val="120"/>
          <w:sz w:val="20"/>
        </w:rPr>
        <w:t>staff.</w:t>
      </w:r>
    </w:p>
    <w:p>
      <w:pPr>
        <w:pStyle w:val="BodyText"/>
        <w:spacing w:before="6"/>
        <w:rPr>
          <w:sz w:val="19"/>
        </w:rPr>
      </w:pPr>
    </w:p>
    <w:p>
      <w:pPr>
        <w:pStyle w:val="ListParagraph"/>
        <w:numPr>
          <w:ilvl w:val="2"/>
          <w:numId w:val="128"/>
        </w:numPr>
        <w:tabs>
          <w:tab w:pos="2704" w:val="left" w:leader="none"/>
          <w:tab w:pos="2705" w:val="left" w:leader="none"/>
        </w:tabs>
        <w:spacing w:line="242" w:lineRule="exact" w:before="0" w:after="0"/>
        <w:ind w:left="2704" w:right="0" w:hanging="721"/>
        <w:jc w:val="left"/>
        <w:rPr>
          <w:sz w:val="20"/>
        </w:rPr>
      </w:pPr>
      <w:r>
        <w:rPr>
          <w:w w:val="120"/>
          <w:sz w:val="20"/>
        </w:rPr>
        <w:t>We recognise further challenges</w:t>
      </w:r>
      <w:r>
        <w:rPr>
          <w:spacing w:val="8"/>
          <w:w w:val="120"/>
          <w:sz w:val="20"/>
        </w:rPr>
        <w:t> </w:t>
      </w:r>
      <w:r>
        <w:rPr>
          <w:w w:val="120"/>
          <w:sz w:val="20"/>
        </w:rPr>
        <w:t>in:</w:t>
      </w:r>
    </w:p>
    <w:p>
      <w:pPr>
        <w:pStyle w:val="BodyText"/>
        <w:tabs>
          <w:tab w:pos="3458" w:val="left" w:leader="none"/>
        </w:tabs>
        <w:spacing w:line="240" w:lineRule="exact"/>
        <w:ind w:left="2664"/>
      </w:pPr>
      <w:r>
        <w:rPr>
          <w:rFonts w:ascii="Wingdings" w:hAnsi="Wingdings"/>
          <w:w w:val="120"/>
        </w:rPr>
        <w:t></w:t>
      </w:r>
      <w:r>
        <w:rPr>
          <w:rFonts w:ascii="Times New Roman" w:hAnsi="Times New Roman"/>
          <w:w w:val="120"/>
        </w:rPr>
        <w:tab/>
      </w:r>
      <w:r>
        <w:rPr>
          <w:w w:val="120"/>
        </w:rPr>
        <w:t>bringing together this staff group more</w:t>
      </w:r>
      <w:r>
        <w:rPr>
          <w:spacing w:val="15"/>
          <w:w w:val="120"/>
        </w:rPr>
        <w:t> </w:t>
      </w:r>
      <w:r>
        <w:rPr>
          <w:w w:val="120"/>
        </w:rPr>
        <w:t>effectively;</w:t>
      </w:r>
    </w:p>
    <w:p>
      <w:pPr>
        <w:pStyle w:val="BodyText"/>
        <w:tabs>
          <w:tab w:pos="3458" w:val="left" w:leader="none"/>
        </w:tabs>
        <w:spacing w:line="235" w:lineRule="auto" w:before="2"/>
        <w:ind w:left="3458" w:right="1634" w:hanging="794"/>
      </w:pPr>
      <w:r>
        <w:rPr>
          <w:rFonts w:ascii="Wingdings" w:hAnsi="Wingdings"/>
          <w:w w:val="120"/>
        </w:rPr>
        <w:t></w:t>
      </w:r>
      <w:r>
        <w:rPr>
          <w:rFonts w:ascii="Times New Roman" w:hAnsi="Times New Roman"/>
          <w:w w:val="120"/>
        </w:rPr>
        <w:tab/>
      </w:r>
      <w:r>
        <w:rPr>
          <w:w w:val="120"/>
        </w:rPr>
        <w:t>utilising the range of skills and experience they bring, including those which are personal rather than linked strictly to their</w:t>
      </w:r>
      <w:r>
        <w:rPr>
          <w:spacing w:val="14"/>
          <w:w w:val="120"/>
        </w:rPr>
        <w:t> </w:t>
      </w:r>
      <w:r>
        <w:rPr>
          <w:w w:val="120"/>
        </w:rPr>
        <w:t>posts;</w:t>
      </w:r>
    </w:p>
    <w:p>
      <w:pPr>
        <w:pStyle w:val="BodyText"/>
        <w:tabs>
          <w:tab w:pos="3458" w:val="left" w:leader="none"/>
        </w:tabs>
        <w:spacing w:line="240" w:lineRule="exact"/>
        <w:ind w:left="2664"/>
      </w:pPr>
      <w:r>
        <w:rPr>
          <w:rFonts w:ascii="Wingdings" w:hAnsi="Wingdings"/>
          <w:w w:val="120"/>
        </w:rPr>
        <w:t></w:t>
      </w:r>
      <w:r>
        <w:rPr>
          <w:rFonts w:ascii="Times New Roman" w:hAnsi="Times New Roman"/>
          <w:w w:val="120"/>
        </w:rPr>
        <w:tab/>
      </w:r>
      <w:r>
        <w:rPr>
          <w:w w:val="120"/>
        </w:rPr>
        <w:t>maintaining the underpinning</w:t>
      </w:r>
      <w:r>
        <w:rPr>
          <w:spacing w:val="7"/>
          <w:w w:val="120"/>
        </w:rPr>
        <w:t> </w:t>
      </w:r>
      <w:r>
        <w:rPr>
          <w:w w:val="120"/>
        </w:rPr>
        <w:t>resources;</w:t>
      </w:r>
    </w:p>
    <w:p>
      <w:pPr>
        <w:pStyle w:val="BodyText"/>
        <w:tabs>
          <w:tab w:pos="3458" w:val="left" w:leader="none"/>
        </w:tabs>
        <w:spacing w:line="240" w:lineRule="exact"/>
        <w:ind w:left="2664"/>
      </w:pPr>
      <w:r>
        <w:rPr>
          <w:rFonts w:ascii="Wingdings" w:hAnsi="Wingdings"/>
          <w:w w:val="115"/>
        </w:rPr>
        <w:t></w:t>
      </w:r>
      <w:r>
        <w:rPr>
          <w:rFonts w:ascii="Times New Roman" w:hAnsi="Times New Roman"/>
          <w:w w:val="115"/>
        </w:rPr>
        <w:tab/>
      </w:r>
      <w:r>
        <w:rPr>
          <w:w w:val="115"/>
        </w:rPr>
        <w:t>staff</w:t>
      </w:r>
      <w:r>
        <w:rPr>
          <w:spacing w:val="4"/>
          <w:w w:val="115"/>
        </w:rPr>
        <w:t> </w:t>
      </w:r>
      <w:r>
        <w:rPr>
          <w:w w:val="115"/>
        </w:rPr>
        <w:t>development;</w:t>
      </w:r>
    </w:p>
    <w:p>
      <w:pPr>
        <w:pStyle w:val="BodyText"/>
        <w:tabs>
          <w:tab w:pos="3458" w:val="left" w:leader="none"/>
        </w:tabs>
        <w:spacing w:line="235" w:lineRule="auto" w:before="1"/>
        <w:ind w:left="3458" w:right="1878" w:hanging="794"/>
      </w:pPr>
      <w:r>
        <w:rPr>
          <w:rFonts w:ascii="Wingdings" w:hAnsi="Wingdings"/>
          <w:w w:val="120"/>
        </w:rPr>
        <w:t></w:t>
      </w:r>
      <w:r>
        <w:rPr>
          <w:rFonts w:ascii="Times New Roman" w:hAnsi="Times New Roman"/>
          <w:w w:val="120"/>
        </w:rPr>
        <w:tab/>
      </w:r>
      <w:r>
        <w:rPr>
          <w:w w:val="120"/>
        </w:rPr>
        <w:t>linking to staff in our ecumenical educational partners and in other resource centres for</w:t>
      </w:r>
      <w:r>
        <w:rPr>
          <w:spacing w:val="5"/>
          <w:w w:val="120"/>
        </w:rPr>
        <w:t> </w:t>
      </w:r>
      <w:r>
        <w:rPr>
          <w:w w:val="120"/>
        </w:rPr>
        <w:t>learning.</w:t>
      </w:r>
    </w:p>
    <w:p>
      <w:pPr>
        <w:pStyle w:val="BodyText"/>
        <w:spacing w:before="6"/>
        <w:rPr>
          <w:sz w:val="19"/>
        </w:rPr>
      </w:pPr>
    </w:p>
    <w:p>
      <w:pPr>
        <w:pStyle w:val="ListParagraph"/>
        <w:numPr>
          <w:ilvl w:val="1"/>
          <w:numId w:val="128"/>
        </w:numPr>
        <w:tabs>
          <w:tab w:pos="2664" w:val="left" w:leader="none"/>
          <w:tab w:pos="2665" w:val="left" w:leader="none"/>
        </w:tabs>
        <w:spacing w:line="240" w:lineRule="auto" w:before="0" w:after="0"/>
        <w:ind w:left="2664" w:right="0" w:hanging="681"/>
        <w:jc w:val="left"/>
        <w:rPr>
          <w:i/>
          <w:sz w:val="20"/>
        </w:rPr>
      </w:pPr>
      <w:r>
        <w:rPr>
          <w:i/>
          <w:w w:val="115"/>
          <w:sz w:val="20"/>
        </w:rPr>
        <w:t>Ecumenical</w:t>
      </w:r>
    </w:p>
    <w:p>
      <w:pPr>
        <w:pStyle w:val="BodyText"/>
        <w:spacing w:before="7"/>
        <w:rPr>
          <w:i/>
          <w:sz w:val="19"/>
        </w:rPr>
      </w:pPr>
    </w:p>
    <w:p>
      <w:pPr>
        <w:pStyle w:val="ListParagraph"/>
        <w:numPr>
          <w:ilvl w:val="2"/>
          <w:numId w:val="128"/>
        </w:numPr>
        <w:tabs>
          <w:tab w:pos="2664" w:val="left" w:leader="none"/>
          <w:tab w:pos="2665" w:val="left" w:leader="none"/>
        </w:tabs>
        <w:spacing w:line="235" w:lineRule="auto" w:before="1" w:after="0"/>
        <w:ind w:left="1984" w:right="1289" w:firstLine="0"/>
        <w:jc w:val="left"/>
        <w:rPr>
          <w:sz w:val="20"/>
        </w:rPr>
      </w:pPr>
      <w:r>
        <w:rPr>
          <w:spacing w:val="-3"/>
          <w:w w:val="120"/>
          <w:sz w:val="20"/>
        </w:rPr>
        <w:t>We </w:t>
      </w:r>
      <w:r>
        <w:rPr>
          <w:w w:val="120"/>
          <w:sz w:val="20"/>
        </w:rPr>
        <w:t>are at an early stage in our more focused </w:t>
      </w:r>
      <w:r>
        <w:rPr>
          <w:spacing w:val="-3"/>
          <w:w w:val="120"/>
          <w:sz w:val="20"/>
        </w:rPr>
        <w:t>conversations </w:t>
      </w:r>
      <w:r>
        <w:rPr>
          <w:w w:val="120"/>
          <w:sz w:val="20"/>
        </w:rPr>
        <w:t>with </w:t>
      </w:r>
      <w:r>
        <w:rPr>
          <w:spacing w:val="-3"/>
          <w:w w:val="120"/>
          <w:sz w:val="20"/>
        </w:rPr>
        <w:t>colleagues </w:t>
      </w:r>
      <w:r>
        <w:rPr>
          <w:w w:val="120"/>
          <w:sz w:val="20"/>
        </w:rPr>
        <w:t>in the Methodist and </w:t>
      </w:r>
      <w:r>
        <w:rPr>
          <w:spacing w:val="-3"/>
          <w:w w:val="120"/>
          <w:sz w:val="20"/>
        </w:rPr>
        <w:t>Scottish Episcopal Churches. </w:t>
      </w:r>
      <w:r>
        <w:rPr>
          <w:w w:val="120"/>
          <w:sz w:val="20"/>
        </w:rPr>
        <w:t>One URC ordinand in </w:t>
      </w:r>
      <w:r>
        <w:rPr>
          <w:spacing w:val="-3"/>
          <w:w w:val="120"/>
          <w:sz w:val="20"/>
        </w:rPr>
        <w:t>Scotland </w:t>
      </w:r>
      <w:r>
        <w:rPr>
          <w:w w:val="120"/>
          <w:sz w:val="20"/>
        </w:rPr>
        <w:t>in the </w:t>
      </w:r>
      <w:r>
        <w:rPr>
          <w:spacing w:val="-3"/>
          <w:w w:val="120"/>
          <w:sz w:val="20"/>
        </w:rPr>
        <w:t>coming </w:t>
      </w:r>
      <w:r>
        <w:rPr>
          <w:w w:val="120"/>
          <w:sz w:val="20"/>
        </w:rPr>
        <w:t>academic </w:t>
      </w:r>
      <w:r>
        <w:rPr>
          <w:spacing w:val="-3"/>
          <w:w w:val="120"/>
          <w:sz w:val="20"/>
        </w:rPr>
        <w:t>year </w:t>
      </w:r>
      <w:r>
        <w:rPr>
          <w:w w:val="120"/>
          <w:sz w:val="20"/>
        </w:rPr>
        <w:t>will be studying alongside </w:t>
      </w:r>
      <w:r>
        <w:rPr>
          <w:spacing w:val="-3"/>
          <w:w w:val="120"/>
          <w:sz w:val="20"/>
        </w:rPr>
        <w:t>Episcopal </w:t>
      </w:r>
      <w:r>
        <w:rPr>
          <w:w w:val="120"/>
          <w:sz w:val="20"/>
        </w:rPr>
        <w:t>and </w:t>
      </w:r>
      <w:r>
        <w:rPr>
          <w:spacing w:val="-3"/>
          <w:w w:val="120"/>
          <w:sz w:val="20"/>
        </w:rPr>
        <w:t>potentially </w:t>
      </w:r>
      <w:r>
        <w:rPr>
          <w:w w:val="120"/>
          <w:sz w:val="20"/>
        </w:rPr>
        <w:t>Methodist</w:t>
      </w:r>
      <w:r>
        <w:rPr>
          <w:spacing w:val="26"/>
          <w:w w:val="120"/>
          <w:sz w:val="20"/>
        </w:rPr>
        <w:t> </w:t>
      </w:r>
      <w:r>
        <w:rPr>
          <w:spacing w:val="-3"/>
          <w:w w:val="120"/>
          <w:sz w:val="20"/>
        </w:rPr>
        <w:t>ordinands.</w:t>
      </w:r>
    </w:p>
    <w:p>
      <w:pPr>
        <w:pStyle w:val="BodyText"/>
        <w:spacing w:before="6"/>
        <w:rPr>
          <w:sz w:val="19"/>
        </w:rPr>
      </w:pPr>
    </w:p>
    <w:p>
      <w:pPr>
        <w:pStyle w:val="ListParagraph"/>
        <w:numPr>
          <w:ilvl w:val="2"/>
          <w:numId w:val="128"/>
        </w:numPr>
        <w:tabs>
          <w:tab w:pos="2665" w:val="left" w:leader="none"/>
        </w:tabs>
        <w:spacing w:line="242" w:lineRule="exact" w:before="0" w:after="0"/>
        <w:ind w:left="2664" w:right="0" w:hanging="681"/>
        <w:jc w:val="left"/>
        <w:rPr>
          <w:sz w:val="20"/>
        </w:rPr>
      </w:pPr>
      <w:r>
        <w:rPr>
          <w:w w:val="120"/>
          <w:sz w:val="20"/>
        </w:rPr>
        <w:t>We recognise further challenges</w:t>
      </w:r>
      <w:r>
        <w:rPr>
          <w:spacing w:val="8"/>
          <w:w w:val="120"/>
          <w:sz w:val="20"/>
        </w:rPr>
        <w:t> </w:t>
      </w:r>
      <w:r>
        <w:rPr>
          <w:w w:val="120"/>
          <w:sz w:val="20"/>
        </w:rPr>
        <w:t>in:</w:t>
      </w:r>
    </w:p>
    <w:p>
      <w:pPr>
        <w:pStyle w:val="BodyText"/>
        <w:tabs>
          <w:tab w:pos="3458" w:val="left" w:leader="none"/>
        </w:tabs>
        <w:spacing w:line="235" w:lineRule="auto" w:before="2"/>
        <w:ind w:left="3458" w:right="2251" w:hanging="794"/>
      </w:pPr>
      <w:r>
        <w:rPr>
          <w:rFonts w:ascii="Wingdings" w:hAnsi="Wingdings"/>
          <w:w w:val="120"/>
        </w:rPr>
        <w:t></w:t>
      </w:r>
      <w:r>
        <w:rPr>
          <w:rFonts w:ascii="Times New Roman" w:hAnsi="Times New Roman"/>
          <w:w w:val="120"/>
        </w:rPr>
        <w:tab/>
      </w:r>
      <w:r>
        <w:rPr>
          <w:w w:val="120"/>
        </w:rPr>
        <w:t>the organisational and change management issues in forming a structured framework for</w:t>
      </w:r>
      <w:r>
        <w:rPr>
          <w:spacing w:val="5"/>
          <w:w w:val="120"/>
        </w:rPr>
        <w:t> </w:t>
      </w:r>
      <w:r>
        <w:rPr>
          <w:w w:val="120"/>
        </w:rPr>
        <w:t>collaboration;</w:t>
      </w:r>
    </w:p>
    <w:p>
      <w:pPr>
        <w:pStyle w:val="BodyText"/>
        <w:tabs>
          <w:tab w:pos="3458" w:val="left" w:leader="none"/>
        </w:tabs>
        <w:spacing w:line="235" w:lineRule="auto" w:before="1"/>
        <w:ind w:left="3458" w:right="1357" w:hanging="794"/>
      </w:pPr>
      <w:r>
        <w:rPr>
          <w:rFonts w:ascii="Wingdings" w:hAnsi="Wingdings"/>
          <w:w w:val="120"/>
        </w:rPr>
        <w:t></w:t>
      </w:r>
      <w:r>
        <w:rPr>
          <w:rFonts w:ascii="Times New Roman" w:hAnsi="Times New Roman"/>
          <w:w w:val="120"/>
        </w:rPr>
        <w:tab/>
      </w:r>
      <w:r>
        <w:rPr>
          <w:w w:val="120"/>
        </w:rPr>
        <w:t>ensuring that </w:t>
      </w:r>
      <w:r>
        <w:rPr>
          <w:spacing w:val="2"/>
          <w:w w:val="120"/>
        </w:rPr>
        <w:t>informal </w:t>
      </w:r>
      <w:r>
        <w:rPr>
          <w:w w:val="120"/>
        </w:rPr>
        <w:t>community based adult </w:t>
      </w:r>
      <w:r>
        <w:rPr>
          <w:spacing w:val="2"/>
          <w:w w:val="120"/>
        </w:rPr>
        <w:t>learning activities </w:t>
      </w:r>
      <w:r>
        <w:rPr>
          <w:w w:val="120"/>
        </w:rPr>
        <w:t>and </w:t>
      </w:r>
      <w:r>
        <w:rPr>
          <w:spacing w:val="2"/>
          <w:w w:val="120"/>
        </w:rPr>
        <w:t>perspectives </w:t>
      </w:r>
      <w:r>
        <w:rPr>
          <w:w w:val="120"/>
        </w:rPr>
        <w:t>are at the </w:t>
      </w:r>
      <w:r>
        <w:rPr>
          <w:spacing w:val="3"/>
          <w:w w:val="120"/>
        </w:rPr>
        <w:t>heart </w:t>
      </w:r>
      <w:r>
        <w:rPr>
          <w:w w:val="120"/>
        </w:rPr>
        <w:t>of the </w:t>
      </w:r>
      <w:r>
        <w:rPr>
          <w:spacing w:val="2"/>
          <w:w w:val="120"/>
        </w:rPr>
        <w:t>partnership alongside more formal </w:t>
      </w:r>
      <w:r>
        <w:rPr>
          <w:w w:val="120"/>
        </w:rPr>
        <w:t>accredited course</w:t>
      </w:r>
      <w:r>
        <w:rPr>
          <w:spacing w:val="13"/>
          <w:w w:val="120"/>
        </w:rPr>
        <w:t> </w:t>
      </w:r>
      <w:r>
        <w:rPr>
          <w:w w:val="120"/>
        </w:rPr>
        <w:t>provision.</w:t>
      </w:r>
    </w:p>
    <w:p>
      <w:pPr>
        <w:pStyle w:val="BodyText"/>
        <w:spacing w:before="6"/>
        <w:rPr>
          <w:sz w:val="19"/>
        </w:rPr>
      </w:pPr>
    </w:p>
    <w:p>
      <w:pPr>
        <w:pStyle w:val="ListParagraph"/>
        <w:numPr>
          <w:ilvl w:val="1"/>
          <w:numId w:val="128"/>
        </w:numPr>
        <w:tabs>
          <w:tab w:pos="2664" w:val="left" w:leader="none"/>
          <w:tab w:pos="2665" w:val="left" w:leader="none"/>
        </w:tabs>
        <w:spacing w:line="240" w:lineRule="auto" w:before="1" w:after="0"/>
        <w:ind w:left="2664" w:right="0" w:hanging="681"/>
        <w:jc w:val="left"/>
        <w:rPr>
          <w:i/>
          <w:sz w:val="20"/>
        </w:rPr>
      </w:pPr>
      <w:r>
        <w:rPr>
          <w:i/>
          <w:w w:val="115"/>
          <w:sz w:val="20"/>
        </w:rPr>
        <w:t>Online and mixed learning</w:t>
      </w:r>
      <w:r>
        <w:rPr>
          <w:i/>
          <w:spacing w:val="4"/>
          <w:w w:val="115"/>
          <w:sz w:val="20"/>
        </w:rPr>
        <w:t> </w:t>
      </w:r>
      <w:r>
        <w:rPr>
          <w:i/>
          <w:w w:val="115"/>
          <w:sz w:val="20"/>
        </w:rPr>
        <w:t>modes</w:t>
      </w:r>
    </w:p>
    <w:p>
      <w:pPr>
        <w:pStyle w:val="BodyText"/>
        <w:spacing w:before="7"/>
        <w:rPr>
          <w:i/>
          <w:sz w:val="19"/>
        </w:rPr>
      </w:pPr>
    </w:p>
    <w:p>
      <w:pPr>
        <w:pStyle w:val="ListParagraph"/>
        <w:numPr>
          <w:ilvl w:val="2"/>
          <w:numId w:val="128"/>
        </w:numPr>
        <w:tabs>
          <w:tab w:pos="2664" w:val="left" w:leader="none"/>
          <w:tab w:pos="2665" w:val="left" w:leader="none"/>
        </w:tabs>
        <w:spacing w:line="235" w:lineRule="auto" w:before="0" w:after="0"/>
        <w:ind w:left="1984" w:right="1161" w:firstLine="0"/>
        <w:jc w:val="left"/>
        <w:rPr>
          <w:sz w:val="20"/>
        </w:rPr>
      </w:pPr>
      <w:r>
        <w:rPr>
          <w:w w:val="120"/>
          <w:sz w:val="20"/>
        </w:rPr>
        <w:t>Relating particularly to a synod that is around </w:t>
      </w:r>
      <w:r>
        <w:rPr>
          <w:spacing w:val="2"/>
          <w:w w:val="120"/>
          <w:sz w:val="20"/>
        </w:rPr>
        <w:t>400 </w:t>
      </w:r>
      <w:r>
        <w:rPr>
          <w:w w:val="120"/>
          <w:sz w:val="20"/>
        </w:rPr>
        <w:t>miles in length, we have always been conscious of the challenges of distance learning, but we are aware too that there are other dimensions to the possibilities that online learning brings to the educational mix in our learning provision. We were grateful to the Education and Learning   committee for its work to support RCLs and other education providers in exploring   online</w:t>
      </w:r>
      <w:r>
        <w:rPr>
          <w:spacing w:val="2"/>
          <w:w w:val="120"/>
          <w:sz w:val="20"/>
        </w:rPr>
        <w:t> </w:t>
      </w:r>
      <w:r>
        <w:rPr>
          <w:w w:val="120"/>
          <w:sz w:val="20"/>
        </w:rPr>
        <w:t>learning.</w:t>
      </w:r>
    </w:p>
    <w:p>
      <w:pPr>
        <w:pStyle w:val="BodyText"/>
        <w:spacing w:before="9"/>
        <w:rPr>
          <w:sz w:val="19"/>
        </w:rPr>
      </w:pPr>
    </w:p>
    <w:p>
      <w:pPr>
        <w:pStyle w:val="ListParagraph"/>
        <w:numPr>
          <w:ilvl w:val="2"/>
          <w:numId w:val="128"/>
        </w:numPr>
        <w:tabs>
          <w:tab w:pos="2665" w:val="left" w:leader="none"/>
        </w:tabs>
        <w:spacing w:line="242" w:lineRule="exact" w:before="0" w:after="0"/>
        <w:ind w:left="2664" w:right="0" w:hanging="681"/>
        <w:jc w:val="left"/>
        <w:rPr>
          <w:sz w:val="20"/>
        </w:rPr>
      </w:pPr>
      <w:r>
        <w:rPr>
          <w:w w:val="120"/>
          <w:sz w:val="20"/>
        </w:rPr>
        <w:t>We recognise further challenges</w:t>
      </w:r>
      <w:r>
        <w:rPr>
          <w:spacing w:val="8"/>
          <w:w w:val="120"/>
          <w:sz w:val="20"/>
        </w:rPr>
        <w:t> </w:t>
      </w:r>
      <w:r>
        <w:rPr>
          <w:w w:val="120"/>
          <w:sz w:val="20"/>
        </w:rPr>
        <w:t>in:</w:t>
      </w:r>
    </w:p>
    <w:p>
      <w:pPr>
        <w:pStyle w:val="BodyText"/>
        <w:tabs>
          <w:tab w:pos="3458" w:val="left" w:leader="none"/>
        </w:tabs>
        <w:spacing w:line="235" w:lineRule="auto" w:before="1"/>
        <w:ind w:left="3458" w:right="1970" w:hanging="794"/>
      </w:pPr>
      <w:r>
        <w:rPr>
          <w:rFonts w:ascii="Wingdings" w:hAnsi="Wingdings"/>
          <w:w w:val="120"/>
        </w:rPr>
        <w:t></w:t>
      </w:r>
      <w:r>
        <w:rPr>
          <w:rFonts w:ascii="Times New Roman" w:hAnsi="Times New Roman"/>
          <w:w w:val="120"/>
        </w:rPr>
        <w:tab/>
      </w:r>
      <w:r>
        <w:rPr>
          <w:w w:val="120"/>
        </w:rPr>
        <w:t>creating an online learning environment that is appropriate to our learners and flexible enough to respond to a variety of needs and situations;</w:t>
      </w:r>
    </w:p>
    <w:p>
      <w:pPr>
        <w:pStyle w:val="BodyText"/>
        <w:tabs>
          <w:tab w:pos="3458" w:val="left" w:leader="none"/>
        </w:tabs>
        <w:spacing w:line="235" w:lineRule="auto" w:before="3"/>
        <w:ind w:left="3458" w:right="1357" w:hanging="794"/>
      </w:pPr>
      <w:r>
        <w:rPr>
          <w:rFonts w:ascii="Wingdings" w:hAnsi="Wingdings"/>
          <w:w w:val="120"/>
        </w:rPr>
        <w:t></w:t>
      </w:r>
      <w:r>
        <w:rPr>
          <w:rFonts w:ascii="Times New Roman" w:hAnsi="Times New Roman"/>
          <w:w w:val="120"/>
        </w:rPr>
        <w:tab/>
      </w:r>
      <w:r>
        <w:rPr>
          <w:w w:val="120"/>
        </w:rPr>
        <w:t>ensuring that our IT development is consistent with those of ecumenical and other educational</w:t>
      </w:r>
      <w:r>
        <w:rPr>
          <w:spacing w:val="6"/>
          <w:w w:val="120"/>
        </w:rPr>
        <w:t> </w:t>
      </w:r>
      <w:r>
        <w:rPr>
          <w:w w:val="120"/>
        </w:rPr>
        <w:t>partners;</w:t>
      </w:r>
    </w:p>
    <w:p>
      <w:pPr>
        <w:pStyle w:val="BodyText"/>
        <w:tabs>
          <w:tab w:pos="3458" w:val="left" w:leader="none"/>
        </w:tabs>
        <w:spacing w:line="235" w:lineRule="auto" w:before="2"/>
        <w:ind w:left="3458" w:right="1952" w:hanging="794"/>
      </w:pPr>
      <w:r>
        <w:rPr>
          <w:rFonts w:ascii="Wingdings" w:hAnsi="Wingdings"/>
          <w:w w:val="120"/>
        </w:rPr>
        <w:t></w:t>
      </w:r>
      <w:r>
        <w:rPr>
          <w:rFonts w:ascii="Times New Roman" w:hAnsi="Times New Roman"/>
          <w:w w:val="120"/>
        </w:rPr>
        <w:tab/>
      </w:r>
      <w:r>
        <w:rPr>
          <w:w w:val="120"/>
        </w:rPr>
        <w:t>facilitating</w:t>
      </w:r>
      <w:r>
        <w:rPr>
          <w:spacing w:val="-14"/>
          <w:w w:val="120"/>
        </w:rPr>
        <w:t> </w:t>
      </w:r>
      <w:r>
        <w:rPr>
          <w:w w:val="120"/>
        </w:rPr>
        <w:t>and</w:t>
      </w:r>
      <w:r>
        <w:rPr>
          <w:spacing w:val="-13"/>
          <w:w w:val="120"/>
        </w:rPr>
        <w:t> </w:t>
      </w:r>
      <w:r>
        <w:rPr>
          <w:spacing w:val="-3"/>
          <w:w w:val="120"/>
        </w:rPr>
        <w:t>accessing</w:t>
      </w:r>
      <w:r>
        <w:rPr>
          <w:spacing w:val="-13"/>
          <w:w w:val="120"/>
        </w:rPr>
        <w:t> </w:t>
      </w:r>
      <w:r>
        <w:rPr>
          <w:w w:val="120"/>
        </w:rPr>
        <w:t>staff</w:t>
      </w:r>
      <w:r>
        <w:rPr>
          <w:spacing w:val="-13"/>
          <w:w w:val="120"/>
        </w:rPr>
        <w:t> </w:t>
      </w:r>
      <w:r>
        <w:rPr>
          <w:w w:val="120"/>
        </w:rPr>
        <w:t>learning</w:t>
      </w:r>
      <w:r>
        <w:rPr>
          <w:spacing w:val="-13"/>
          <w:w w:val="120"/>
        </w:rPr>
        <w:t> </w:t>
      </w:r>
      <w:r>
        <w:rPr>
          <w:w w:val="120"/>
        </w:rPr>
        <w:t>and</w:t>
      </w:r>
      <w:r>
        <w:rPr>
          <w:spacing w:val="-13"/>
          <w:w w:val="120"/>
        </w:rPr>
        <w:t> </w:t>
      </w:r>
      <w:r>
        <w:rPr>
          <w:w w:val="120"/>
        </w:rPr>
        <w:t>development</w:t>
      </w:r>
      <w:r>
        <w:rPr>
          <w:spacing w:val="-13"/>
          <w:w w:val="120"/>
        </w:rPr>
        <w:t> </w:t>
      </w:r>
      <w:r>
        <w:rPr>
          <w:spacing w:val="-3"/>
          <w:w w:val="120"/>
        </w:rPr>
        <w:t>to</w:t>
      </w:r>
      <w:r>
        <w:rPr>
          <w:spacing w:val="-13"/>
          <w:w w:val="120"/>
        </w:rPr>
        <w:t> </w:t>
      </w:r>
      <w:r>
        <w:rPr>
          <w:w w:val="120"/>
        </w:rPr>
        <w:t>support the</w:t>
      </w:r>
      <w:r>
        <w:rPr>
          <w:spacing w:val="-3"/>
          <w:w w:val="120"/>
        </w:rPr>
        <w:t> changes;</w:t>
      </w:r>
    </w:p>
    <w:p>
      <w:pPr>
        <w:pStyle w:val="BodyText"/>
        <w:tabs>
          <w:tab w:pos="3458" w:val="left" w:leader="none"/>
        </w:tabs>
        <w:spacing w:line="242" w:lineRule="exact"/>
        <w:ind w:left="2664"/>
      </w:pPr>
      <w:r>
        <w:rPr>
          <w:rFonts w:ascii="Wingdings" w:hAnsi="Wingdings"/>
          <w:w w:val="120"/>
        </w:rPr>
        <w:t></w:t>
      </w:r>
      <w:r>
        <w:rPr>
          <w:rFonts w:ascii="Times New Roman" w:hAnsi="Times New Roman"/>
          <w:w w:val="120"/>
        </w:rPr>
        <w:tab/>
      </w:r>
      <w:r>
        <w:rPr>
          <w:w w:val="120"/>
        </w:rPr>
        <w:t>exploring the curricular design implications of technological</w:t>
      </w:r>
      <w:r>
        <w:rPr>
          <w:spacing w:val="38"/>
          <w:w w:val="120"/>
        </w:rPr>
        <w:t> </w:t>
      </w:r>
      <w:r>
        <w:rPr>
          <w:w w:val="120"/>
        </w:rPr>
        <w:t>changes.</w:t>
      </w:r>
    </w:p>
    <w:p>
      <w:pPr>
        <w:spacing w:after="0" w:line="242" w:lineRule="exact"/>
        <w:sectPr>
          <w:pgSz w:w="11910" w:h="16840"/>
          <w:pgMar w:header="0" w:footer="647" w:top="1060" w:bottom="840" w:left="0" w:right="0"/>
        </w:sectPr>
      </w:pPr>
    </w:p>
    <w:p>
      <w:pPr>
        <w:pStyle w:val="ListParagraph"/>
        <w:numPr>
          <w:ilvl w:val="1"/>
          <w:numId w:val="128"/>
        </w:numPr>
        <w:tabs>
          <w:tab w:pos="1814" w:val="left" w:leader="none"/>
          <w:tab w:pos="1815" w:val="left" w:leader="none"/>
        </w:tabs>
        <w:spacing w:line="240" w:lineRule="auto" w:before="103" w:after="0"/>
        <w:ind w:left="1814" w:right="0" w:hanging="682"/>
        <w:jc w:val="left"/>
        <w:rPr>
          <w:i/>
          <w:sz w:val="20"/>
        </w:rPr>
      </w:pPr>
      <w:r>
        <w:rPr/>
        <w:pict>
          <v:shape style="position:absolute;margin-left:39.685001pt;margin-top:799.537903pt;width:321.8pt;height:15.15pt;mso-position-horizontal-relative:page;mso-position-vertical-relative:page;z-index:-267376640" type="#_x0000_t202" filled="false" stroked="false">
            <v:textbox inset="0,0,0,0">
              <w:txbxContent>
                <w:p>
                  <w:pPr>
                    <w:tabs>
                      <w:tab w:pos="736" w:val="left" w:leader="none"/>
                    </w:tabs>
                    <w:spacing w:line="302" w:lineRule="exact" w:before="0"/>
                    <w:ind w:left="0" w:right="0" w:firstLine="0"/>
                    <w:jc w:val="left"/>
                    <w:rPr>
                      <w:sz w:val="23"/>
                    </w:rPr>
                  </w:pPr>
                  <w:r>
                    <w:rPr>
                      <w:rFonts w:ascii="Stone Sans II ITC Std X Bd" w:hAnsi="Stone Sans II ITC Std X Bd"/>
                      <w:b/>
                      <w:w w:val="110"/>
                      <w:sz w:val="24"/>
                    </w:rPr>
                    <w:t>126</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38"/>
                      <w:w w:val="110"/>
                      <w:sz w:val="23"/>
                    </w:rPr>
                    <w:t> </w:t>
                  </w:r>
                  <w:r>
                    <w:rPr>
                      <w:color w:val="8BA8BD"/>
                      <w:spacing w:val="-68"/>
                      <w:w w:val="110"/>
                      <w:sz w:val="23"/>
                    </w:rPr>
                    <w:t>2010</w:t>
                  </w:r>
                </w:p>
              </w:txbxContent>
            </v:textbox>
            <w10:wrap type="none"/>
          </v:shape>
        </w:pict>
      </w:r>
      <w:r>
        <w:rPr/>
        <w:pict>
          <v:rect style="position:absolute;margin-left:12.047pt;margin-top:8.467772pt;width:22.677pt;height:22.677pt;mso-position-horizontal-relative:page;mso-position-vertical-relative:paragraph;z-index:252048384" filled="true" fillcolor="#dae4ec" stroked="false">
            <v:fill opacity="32768f" type="solid"/>
            <w10:wrap type="none"/>
          </v:rect>
        </w:pict>
      </w:r>
      <w:r>
        <w:rPr/>
        <w:pict>
          <v:group style="position:absolute;margin-left:0pt;margin-top:519.775024pt;width:595.3pt;height:322.150pt;mso-position-horizontal-relative:page;mso-position-vertical-relative:page;z-index:252049408" coordorigin="0,10396" coordsize="11906,6443">
            <v:rect style="position:absolute;left:0;top:12608;width:11906;height:4230" filled="true" fillcolor="#8ba8bd" stroked="false">
              <v:fill type="solid"/>
            </v:rect>
            <v:shape style="position:absolute;left:0;top:10395;width:8349;height:6443" type="#_x0000_t75" stroked="false">
              <v:imagedata r:id="rId287" o:title=""/>
            </v:shape>
            <v:shape style="position:absolute;left:9921;top:10672;width:1985;height:1950" coordorigin="9921,10673" coordsize="1985,1950" path="m9922,12622l9921,12622,9921,12623,9924,12623,9922,12622xm11906,10673l11903,10748,11898,10822,11889,10896,11879,10968,11865,11040,11850,11111,11831,11181,11810,11250,11787,11317,11762,11384,11734,11449,11704,11514,11671,11576,11637,11638,11600,11698,11562,11757,11521,11814,11479,11870,11434,11924,11388,11977,11340,12028,11290,12077,11238,12124,11185,12170,11130,12214,11074,12255,11016,12295,10957,12333,10896,12369,10834,12402,10770,12434,10706,12463,10640,12490,10573,12514,10504,12537,10435,12556,10365,12574,10294,12588,10222,12601,10149,12610,10075,12617,10000,12621,9925,12623,11906,12623,11906,10673xe" filled="true" fillcolor="#8ba8bd" stroked="false">
              <v:path arrowok="t"/>
              <v:fill type="solid"/>
            </v:shape>
            <w10:wrap type="none"/>
          </v:group>
        </w:pict>
      </w:r>
      <w:r>
        <w:rPr>
          <w:i/>
          <w:w w:val="110"/>
          <w:sz w:val="20"/>
        </w:rPr>
        <w:t>Patterns of ministry and</w:t>
      </w:r>
      <w:r>
        <w:rPr>
          <w:i/>
          <w:spacing w:val="14"/>
          <w:w w:val="110"/>
          <w:sz w:val="20"/>
        </w:rPr>
        <w:t> </w:t>
      </w:r>
      <w:r>
        <w:rPr>
          <w:i/>
          <w:w w:val="110"/>
          <w:sz w:val="20"/>
        </w:rPr>
        <w:t>leadership</w:t>
      </w:r>
    </w:p>
    <w:p>
      <w:pPr>
        <w:pStyle w:val="BodyText"/>
        <w:spacing w:before="8"/>
        <w:rPr>
          <w:i/>
          <w:sz w:val="19"/>
        </w:rPr>
      </w:pPr>
    </w:p>
    <w:p>
      <w:pPr>
        <w:pStyle w:val="ListParagraph"/>
        <w:numPr>
          <w:ilvl w:val="2"/>
          <w:numId w:val="128"/>
        </w:numPr>
        <w:tabs>
          <w:tab w:pos="1815" w:val="left" w:leader="none"/>
        </w:tabs>
        <w:spacing w:line="235" w:lineRule="auto" w:before="0" w:after="0"/>
        <w:ind w:left="1133" w:right="1788" w:firstLine="0"/>
        <w:jc w:val="left"/>
        <w:rPr>
          <w:sz w:val="20"/>
        </w:rPr>
      </w:pPr>
      <w:r>
        <w:rPr>
          <w:w w:val="120"/>
          <w:sz w:val="20"/>
        </w:rPr>
        <w:t>We are very conscious of the need within the Church to continue to explore and develop its patterns of leadership and service and of the implications these have for education and learning. Indeed, we are sure that learning activities themselves support the imagination and thinking to develop new</w:t>
      </w:r>
      <w:r>
        <w:rPr>
          <w:spacing w:val="15"/>
          <w:w w:val="120"/>
          <w:sz w:val="20"/>
        </w:rPr>
        <w:t> </w:t>
      </w:r>
      <w:r>
        <w:rPr>
          <w:w w:val="120"/>
          <w:sz w:val="20"/>
        </w:rPr>
        <w:t>forms.</w:t>
      </w:r>
    </w:p>
    <w:p>
      <w:pPr>
        <w:pStyle w:val="BodyText"/>
        <w:spacing w:before="11"/>
        <w:rPr>
          <w:sz w:val="19"/>
        </w:rPr>
      </w:pPr>
    </w:p>
    <w:p>
      <w:pPr>
        <w:pStyle w:val="ListParagraph"/>
        <w:numPr>
          <w:ilvl w:val="2"/>
          <w:numId w:val="128"/>
        </w:numPr>
        <w:tabs>
          <w:tab w:pos="1815" w:val="left" w:leader="none"/>
        </w:tabs>
        <w:spacing w:line="235" w:lineRule="auto" w:before="0" w:after="0"/>
        <w:ind w:left="1133" w:right="1746" w:firstLine="0"/>
        <w:jc w:val="left"/>
        <w:rPr>
          <w:sz w:val="20"/>
        </w:rPr>
      </w:pPr>
      <w:r>
        <w:rPr>
          <w:w w:val="120"/>
          <w:sz w:val="20"/>
        </w:rPr>
        <w:t>We are aware too that the Synod of Scotland has not been as successful as it would wish to be in fostering lay preaching and leadership, in the development of CRCW projects, in the recruitment and deployment of ministers other than in stipendiary service and in the more creative and effective use of team ministry of different</w:t>
      </w:r>
      <w:r>
        <w:rPr>
          <w:spacing w:val="8"/>
          <w:w w:val="120"/>
          <w:sz w:val="20"/>
        </w:rPr>
        <w:t> </w:t>
      </w:r>
      <w:r>
        <w:rPr>
          <w:w w:val="120"/>
          <w:sz w:val="20"/>
        </w:rPr>
        <w:t>kinds.</w:t>
      </w:r>
    </w:p>
    <w:p>
      <w:pPr>
        <w:pStyle w:val="BodyText"/>
        <w:spacing w:before="7"/>
        <w:rPr>
          <w:sz w:val="19"/>
        </w:rPr>
      </w:pPr>
    </w:p>
    <w:p>
      <w:pPr>
        <w:pStyle w:val="ListParagraph"/>
        <w:numPr>
          <w:ilvl w:val="2"/>
          <w:numId w:val="128"/>
        </w:numPr>
        <w:tabs>
          <w:tab w:pos="1815" w:val="left" w:leader="none"/>
        </w:tabs>
        <w:spacing w:line="242" w:lineRule="exact" w:before="0" w:after="0"/>
        <w:ind w:left="1814" w:right="0" w:hanging="682"/>
        <w:jc w:val="left"/>
        <w:rPr>
          <w:sz w:val="20"/>
        </w:rPr>
      </w:pPr>
      <w:r>
        <w:rPr>
          <w:w w:val="120"/>
          <w:sz w:val="20"/>
        </w:rPr>
        <w:t>We recognise further challenges</w:t>
      </w:r>
      <w:r>
        <w:rPr>
          <w:spacing w:val="8"/>
          <w:w w:val="120"/>
          <w:sz w:val="20"/>
        </w:rPr>
        <w:t> </w:t>
      </w:r>
      <w:r>
        <w:rPr>
          <w:w w:val="120"/>
          <w:sz w:val="20"/>
        </w:rPr>
        <w:t>in:</w:t>
      </w:r>
    </w:p>
    <w:p>
      <w:pPr>
        <w:pStyle w:val="BodyText"/>
        <w:tabs>
          <w:tab w:pos="2607" w:val="left" w:leader="none"/>
        </w:tabs>
        <w:spacing w:line="235" w:lineRule="auto" w:before="2"/>
        <w:ind w:left="2607" w:right="1634" w:hanging="794"/>
      </w:pPr>
      <w:r>
        <w:rPr>
          <w:rFonts w:ascii="Wingdings" w:hAnsi="Wingdings"/>
          <w:w w:val="120"/>
        </w:rPr>
        <w:t></w:t>
      </w:r>
      <w:r>
        <w:rPr>
          <w:rFonts w:ascii="Times New Roman" w:hAnsi="Times New Roman"/>
          <w:w w:val="120"/>
        </w:rPr>
        <w:tab/>
      </w:r>
      <w:r>
        <w:rPr>
          <w:w w:val="120"/>
        </w:rPr>
        <w:t>the nurturing of </w:t>
      </w:r>
      <w:r>
        <w:rPr>
          <w:spacing w:val="2"/>
          <w:w w:val="120"/>
        </w:rPr>
        <w:t>gifts </w:t>
      </w:r>
      <w:r>
        <w:rPr>
          <w:w w:val="120"/>
        </w:rPr>
        <w:t>more deeply in the congregations and supporting those who can be growers of people’s</w:t>
      </w:r>
      <w:r>
        <w:rPr>
          <w:spacing w:val="15"/>
          <w:w w:val="120"/>
        </w:rPr>
        <w:t> </w:t>
      </w:r>
      <w:r>
        <w:rPr>
          <w:w w:val="120"/>
        </w:rPr>
        <w:t>gifts;</w:t>
      </w:r>
    </w:p>
    <w:p>
      <w:pPr>
        <w:pStyle w:val="BodyText"/>
        <w:tabs>
          <w:tab w:pos="2607" w:val="left" w:leader="none"/>
        </w:tabs>
        <w:spacing w:line="235" w:lineRule="auto" w:before="1"/>
        <w:ind w:left="2607" w:right="2191" w:hanging="794"/>
      </w:pPr>
      <w:r>
        <w:rPr>
          <w:rFonts w:ascii="Wingdings" w:hAnsi="Wingdings"/>
          <w:w w:val="120"/>
        </w:rPr>
        <w:t></w:t>
      </w:r>
      <w:r>
        <w:rPr>
          <w:rFonts w:ascii="Times New Roman" w:hAnsi="Times New Roman"/>
          <w:w w:val="120"/>
        </w:rPr>
        <w:tab/>
      </w:r>
      <w:r>
        <w:rPr>
          <w:w w:val="120"/>
        </w:rPr>
        <w:t>the marketing of </w:t>
      </w:r>
      <w:r>
        <w:rPr>
          <w:spacing w:val="2"/>
          <w:w w:val="120"/>
        </w:rPr>
        <w:t>TLS </w:t>
      </w:r>
      <w:r>
        <w:rPr>
          <w:w w:val="120"/>
        </w:rPr>
        <w:t>in Scotland and/or the sharing of an ecumenical lay learning</w:t>
      </w:r>
      <w:r>
        <w:rPr>
          <w:spacing w:val="2"/>
          <w:w w:val="120"/>
        </w:rPr>
        <w:t> </w:t>
      </w:r>
      <w:r>
        <w:rPr>
          <w:w w:val="120"/>
        </w:rPr>
        <w:t>programme;</w:t>
      </w:r>
    </w:p>
    <w:p>
      <w:pPr>
        <w:pStyle w:val="BodyText"/>
        <w:tabs>
          <w:tab w:pos="2607" w:val="left" w:leader="none"/>
        </w:tabs>
        <w:spacing w:line="240" w:lineRule="exact"/>
        <w:ind w:left="1814"/>
      </w:pPr>
      <w:r>
        <w:rPr>
          <w:rFonts w:ascii="Wingdings" w:hAnsi="Wingdings"/>
          <w:w w:val="120"/>
        </w:rPr>
        <w:t></w:t>
      </w:r>
      <w:r>
        <w:rPr>
          <w:rFonts w:ascii="Times New Roman" w:hAnsi="Times New Roman"/>
          <w:w w:val="120"/>
        </w:rPr>
        <w:tab/>
      </w:r>
      <w:r>
        <w:rPr>
          <w:w w:val="120"/>
        </w:rPr>
        <w:t>the promotion of</w:t>
      </w:r>
      <w:r>
        <w:rPr>
          <w:spacing w:val="6"/>
          <w:w w:val="120"/>
        </w:rPr>
        <w:t> </w:t>
      </w:r>
      <w:r>
        <w:rPr>
          <w:w w:val="120"/>
        </w:rPr>
        <w:t>vocations;</w:t>
      </w:r>
    </w:p>
    <w:p>
      <w:pPr>
        <w:pStyle w:val="BodyText"/>
        <w:tabs>
          <w:tab w:pos="2607" w:val="left" w:leader="none"/>
        </w:tabs>
        <w:spacing w:line="242" w:lineRule="exact"/>
        <w:ind w:left="1814"/>
      </w:pPr>
      <w:r>
        <w:rPr>
          <w:rFonts w:ascii="Wingdings" w:hAnsi="Wingdings"/>
          <w:w w:val="120"/>
        </w:rPr>
        <w:t></w:t>
      </w:r>
      <w:r>
        <w:rPr>
          <w:rFonts w:ascii="Times New Roman" w:hAnsi="Times New Roman"/>
          <w:w w:val="120"/>
        </w:rPr>
        <w:tab/>
      </w:r>
      <w:r>
        <w:rPr>
          <w:w w:val="120"/>
        </w:rPr>
        <w:t>the development of changing patterns of ministry and</w:t>
      </w:r>
      <w:r>
        <w:rPr>
          <w:spacing w:val="23"/>
          <w:w w:val="120"/>
        </w:rPr>
        <w:t> </w:t>
      </w:r>
      <w:r>
        <w:rPr>
          <w:w w:val="120"/>
        </w:rPr>
        <w:t>leadership.</w:t>
      </w:r>
    </w:p>
    <w:p>
      <w:pPr>
        <w:pStyle w:val="BodyText"/>
        <w:spacing w:before="4"/>
        <w:rPr>
          <w:sz w:val="19"/>
        </w:rPr>
      </w:pPr>
    </w:p>
    <w:p>
      <w:pPr>
        <w:pStyle w:val="ListParagraph"/>
        <w:numPr>
          <w:ilvl w:val="1"/>
          <w:numId w:val="128"/>
        </w:numPr>
        <w:tabs>
          <w:tab w:pos="1814" w:val="left" w:leader="none"/>
          <w:tab w:pos="1815" w:val="left" w:leader="none"/>
        </w:tabs>
        <w:spacing w:line="240" w:lineRule="auto" w:before="0" w:after="0"/>
        <w:ind w:left="1814" w:right="0" w:hanging="682"/>
        <w:jc w:val="left"/>
        <w:rPr>
          <w:sz w:val="20"/>
        </w:rPr>
      </w:pPr>
      <w:r>
        <w:rPr>
          <w:w w:val="120"/>
          <w:sz w:val="20"/>
        </w:rPr>
        <w:t>Celebration</w:t>
      </w:r>
    </w:p>
    <w:p>
      <w:pPr>
        <w:pStyle w:val="BodyText"/>
        <w:spacing w:before="8"/>
        <w:rPr>
          <w:sz w:val="19"/>
        </w:rPr>
      </w:pPr>
    </w:p>
    <w:p>
      <w:pPr>
        <w:pStyle w:val="BodyText"/>
        <w:spacing w:line="235" w:lineRule="auto"/>
        <w:ind w:left="1133" w:right="2165" w:hanging="1"/>
      </w:pPr>
      <w:r>
        <w:rPr>
          <w:w w:val="120"/>
        </w:rPr>
        <w:t>With a 200</w:t>
      </w:r>
      <w:r>
        <w:rPr>
          <w:w w:val="120"/>
          <w:position w:val="7"/>
          <w:sz w:val="11"/>
        </w:rPr>
        <w:t>th </w:t>
      </w:r>
      <w:r>
        <w:rPr>
          <w:w w:val="120"/>
        </w:rPr>
        <w:t>birthday </w:t>
      </w:r>
      <w:r>
        <w:rPr>
          <w:spacing w:val="-3"/>
          <w:w w:val="120"/>
        </w:rPr>
        <w:t>coming </w:t>
      </w:r>
      <w:r>
        <w:rPr>
          <w:spacing w:val="-4"/>
          <w:w w:val="120"/>
        </w:rPr>
        <w:t>up, </w:t>
      </w:r>
      <w:r>
        <w:rPr>
          <w:w w:val="120"/>
        </w:rPr>
        <w:t>we will be looking </w:t>
      </w:r>
      <w:r>
        <w:rPr>
          <w:spacing w:val="-2"/>
          <w:w w:val="120"/>
        </w:rPr>
        <w:t>not </w:t>
      </w:r>
      <w:r>
        <w:rPr>
          <w:w w:val="120"/>
        </w:rPr>
        <w:t>only </w:t>
      </w:r>
      <w:r>
        <w:rPr>
          <w:spacing w:val="-3"/>
          <w:w w:val="120"/>
        </w:rPr>
        <w:t>to celebrate </w:t>
      </w:r>
      <w:r>
        <w:rPr>
          <w:w w:val="120"/>
        </w:rPr>
        <w:t>our past and present but planning for a future of </w:t>
      </w:r>
      <w:r>
        <w:rPr>
          <w:spacing w:val="-3"/>
          <w:w w:val="120"/>
        </w:rPr>
        <w:t>continuing </w:t>
      </w:r>
      <w:r>
        <w:rPr>
          <w:w w:val="120"/>
        </w:rPr>
        <w:t>educational </w:t>
      </w:r>
      <w:r>
        <w:rPr>
          <w:spacing w:val="-3"/>
          <w:w w:val="120"/>
        </w:rPr>
        <w:t>innovation </w:t>
      </w:r>
      <w:r>
        <w:rPr>
          <w:w w:val="120"/>
        </w:rPr>
        <w:t>and </w:t>
      </w:r>
      <w:r>
        <w:rPr>
          <w:spacing w:val="-2"/>
          <w:w w:val="120"/>
        </w:rPr>
        <w:t>development,</w:t>
      </w:r>
    </w:p>
    <w:p>
      <w:pPr>
        <w:pStyle w:val="BodyText"/>
        <w:spacing w:line="235" w:lineRule="auto" w:before="2"/>
        <w:ind w:left="1133" w:right="1120"/>
      </w:pPr>
      <w:r>
        <w:rPr>
          <w:spacing w:val="-3"/>
          <w:w w:val="120"/>
        </w:rPr>
        <w:t>envisaging</w:t>
      </w:r>
      <w:r>
        <w:rPr>
          <w:spacing w:val="-11"/>
          <w:w w:val="120"/>
        </w:rPr>
        <w:t> </w:t>
      </w:r>
      <w:r>
        <w:rPr>
          <w:w w:val="120"/>
        </w:rPr>
        <w:t>fresh</w:t>
      </w:r>
      <w:r>
        <w:rPr>
          <w:spacing w:val="-11"/>
          <w:w w:val="120"/>
        </w:rPr>
        <w:t> </w:t>
      </w:r>
      <w:r>
        <w:rPr>
          <w:w w:val="120"/>
        </w:rPr>
        <w:t>patterns</w:t>
      </w:r>
      <w:r>
        <w:rPr>
          <w:spacing w:val="-11"/>
          <w:w w:val="120"/>
        </w:rPr>
        <w:t> </w:t>
      </w:r>
      <w:r>
        <w:rPr>
          <w:w w:val="120"/>
        </w:rPr>
        <w:t>of</w:t>
      </w:r>
      <w:r>
        <w:rPr>
          <w:spacing w:val="-11"/>
          <w:w w:val="120"/>
        </w:rPr>
        <w:t> </w:t>
      </w:r>
      <w:r>
        <w:rPr>
          <w:w w:val="120"/>
        </w:rPr>
        <w:t>theological</w:t>
      </w:r>
      <w:r>
        <w:rPr>
          <w:spacing w:val="-10"/>
          <w:w w:val="120"/>
        </w:rPr>
        <w:t> </w:t>
      </w:r>
      <w:r>
        <w:rPr>
          <w:w w:val="120"/>
        </w:rPr>
        <w:t>learning</w:t>
      </w:r>
      <w:r>
        <w:rPr>
          <w:spacing w:val="-11"/>
          <w:w w:val="120"/>
        </w:rPr>
        <w:t> </w:t>
      </w:r>
      <w:r>
        <w:rPr>
          <w:w w:val="120"/>
        </w:rPr>
        <w:t>for</w:t>
      </w:r>
      <w:r>
        <w:rPr>
          <w:spacing w:val="-11"/>
          <w:w w:val="120"/>
        </w:rPr>
        <w:t> </w:t>
      </w:r>
      <w:r>
        <w:rPr>
          <w:spacing w:val="-3"/>
          <w:w w:val="120"/>
        </w:rPr>
        <w:t>all,</w:t>
      </w:r>
      <w:r>
        <w:rPr>
          <w:spacing w:val="-11"/>
          <w:w w:val="120"/>
        </w:rPr>
        <w:t> </w:t>
      </w:r>
      <w:r>
        <w:rPr>
          <w:w w:val="120"/>
        </w:rPr>
        <w:t>sharing</w:t>
      </w:r>
      <w:r>
        <w:rPr>
          <w:spacing w:val="-11"/>
          <w:w w:val="120"/>
        </w:rPr>
        <w:t> </w:t>
      </w:r>
      <w:r>
        <w:rPr>
          <w:w w:val="120"/>
        </w:rPr>
        <w:t>our</w:t>
      </w:r>
      <w:r>
        <w:rPr>
          <w:spacing w:val="-10"/>
          <w:w w:val="120"/>
        </w:rPr>
        <w:t> </w:t>
      </w:r>
      <w:r>
        <w:rPr>
          <w:w w:val="120"/>
        </w:rPr>
        <w:t>strengths,</w:t>
      </w:r>
      <w:r>
        <w:rPr>
          <w:spacing w:val="-11"/>
          <w:w w:val="120"/>
        </w:rPr>
        <w:t> </w:t>
      </w:r>
      <w:r>
        <w:rPr>
          <w:w w:val="120"/>
        </w:rPr>
        <w:t>insights</w:t>
      </w:r>
      <w:r>
        <w:rPr>
          <w:spacing w:val="-11"/>
          <w:w w:val="120"/>
        </w:rPr>
        <w:t> </w:t>
      </w:r>
      <w:r>
        <w:rPr>
          <w:w w:val="120"/>
        </w:rPr>
        <w:t>and</w:t>
      </w:r>
      <w:r>
        <w:rPr>
          <w:spacing w:val="-11"/>
          <w:w w:val="120"/>
        </w:rPr>
        <w:t> </w:t>
      </w:r>
      <w:r>
        <w:rPr>
          <w:w w:val="120"/>
        </w:rPr>
        <w:t>gifts, </w:t>
      </w:r>
      <w:r>
        <w:rPr>
          <w:spacing w:val="-3"/>
          <w:w w:val="120"/>
        </w:rPr>
        <w:t>committing</w:t>
      </w:r>
      <w:r>
        <w:rPr>
          <w:spacing w:val="-8"/>
          <w:w w:val="120"/>
        </w:rPr>
        <w:t> </w:t>
      </w:r>
      <w:r>
        <w:rPr>
          <w:w w:val="120"/>
        </w:rPr>
        <w:t>ourselves</w:t>
      </w:r>
      <w:r>
        <w:rPr>
          <w:spacing w:val="-7"/>
          <w:w w:val="120"/>
        </w:rPr>
        <w:t> </w:t>
      </w:r>
      <w:r>
        <w:rPr>
          <w:spacing w:val="-3"/>
          <w:w w:val="120"/>
        </w:rPr>
        <w:t>to</w:t>
      </w:r>
      <w:r>
        <w:rPr>
          <w:spacing w:val="-8"/>
          <w:w w:val="120"/>
        </w:rPr>
        <w:t> </w:t>
      </w:r>
      <w:r>
        <w:rPr>
          <w:w w:val="120"/>
        </w:rPr>
        <w:t>partnership</w:t>
      </w:r>
      <w:r>
        <w:rPr>
          <w:spacing w:val="-7"/>
          <w:w w:val="120"/>
        </w:rPr>
        <w:t> </w:t>
      </w:r>
      <w:r>
        <w:rPr>
          <w:w w:val="120"/>
        </w:rPr>
        <w:t>and</w:t>
      </w:r>
      <w:r>
        <w:rPr>
          <w:spacing w:val="-7"/>
          <w:w w:val="120"/>
        </w:rPr>
        <w:t> </w:t>
      </w:r>
      <w:r>
        <w:rPr>
          <w:spacing w:val="-3"/>
          <w:w w:val="120"/>
        </w:rPr>
        <w:t>collaboration,</w:t>
      </w:r>
      <w:r>
        <w:rPr>
          <w:spacing w:val="-8"/>
          <w:w w:val="120"/>
        </w:rPr>
        <w:t> </w:t>
      </w:r>
      <w:r>
        <w:rPr>
          <w:w w:val="120"/>
        </w:rPr>
        <w:t>and</w:t>
      </w:r>
      <w:r>
        <w:rPr>
          <w:spacing w:val="-7"/>
          <w:w w:val="120"/>
        </w:rPr>
        <w:t> </w:t>
      </w:r>
      <w:r>
        <w:rPr>
          <w:w w:val="120"/>
        </w:rPr>
        <w:t>gaining</w:t>
      </w:r>
      <w:r>
        <w:rPr>
          <w:spacing w:val="-7"/>
          <w:w w:val="120"/>
        </w:rPr>
        <w:t> </w:t>
      </w:r>
      <w:r>
        <w:rPr>
          <w:w w:val="120"/>
        </w:rPr>
        <w:t>more</w:t>
      </w:r>
      <w:r>
        <w:rPr>
          <w:spacing w:val="-8"/>
          <w:w w:val="120"/>
        </w:rPr>
        <w:t> </w:t>
      </w:r>
      <w:r>
        <w:rPr>
          <w:w w:val="120"/>
        </w:rPr>
        <w:t>security</w:t>
      </w:r>
      <w:r>
        <w:rPr>
          <w:spacing w:val="-7"/>
          <w:w w:val="120"/>
        </w:rPr>
        <w:t> </w:t>
      </w:r>
      <w:r>
        <w:rPr>
          <w:w w:val="120"/>
        </w:rPr>
        <w:t>in</w:t>
      </w:r>
      <w:r>
        <w:rPr>
          <w:spacing w:val="-8"/>
          <w:w w:val="120"/>
        </w:rPr>
        <w:t> </w:t>
      </w:r>
      <w:r>
        <w:rPr>
          <w:spacing w:val="-3"/>
          <w:w w:val="120"/>
        </w:rPr>
        <w:t>resources.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8"/>
        </w:rPr>
      </w:pPr>
    </w:p>
    <w:p>
      <w:pPr>
        <w:spacing w:before="101"/>
        <w:ind w:left="1119" w:right="0" w:firstLine="0"/>
        <w:jc w:val="left"/>
        <w:rPr>
          <w:sz w:val="18"/>
        </w:rPr>
      </w:pPr>
      <w:r>
        <w:rPr>
          <w:color w:val="8BA8BD"/>
          <w:w w:val="110"/>
          <w:sz w:val="18"/>
        </w:rPr>
        <w:t>Westminster Confession</w:t>
      </w:r>
    </w:p>
    <w:p>
      <w:pPr>
        <w:spacing w:before="1"/>
        <w:ind w:left="1119" w:right="0" w:firstLine="0"/>
        <w:jc w:val="left"/>
        <w:rPr>
          <w:sz w:val="18"/>
        </w:rPr>
      </w:pPr>
      <w:r>
        <w:rPr>
          <w:color w:val="8BA8BD"/>
          <w:w w:val="110"/>
          <w:sz w:val="18"/>
        </w:rPr>
        <w:t>‘a Methodist scholar looks at the Westminister Confession’</w:t>
      </w:r>
    </w:p>
    <w:p>
      <w:pPr>
        <w:spacing w:after="0"/>
        <w:jc w:val="left"/>
        <w:rPr>
          <w:sz w:val="18"/>
        </w:rPr>
        <w:sectPr>
          <w:headerReference w:type="even" r:id="rId285"/>
          <w:footerReference w:type="even" r:id="rId286"/>
          <w:pgSz w:w="11910" w:h="16840"/>
          <w:pgMar w:header="0" w:footer="0" w:top="1060" w:bottom="0" w:left="0" w:right="0"/>
        </w:sectPr>
      </w:pPr>
    </w:p>
    <w:p>
      <w:pPr>
        <w:pStyle w:val="BodyText"/>
      </w:pPr>
      <w:r>
        <w:rPr/>
        <w:pict>
          <v:shape style="position:absolute;margin-left:403.046692pt;margin-top:31.272114pt;width:145.5pt;height:16.05pt;mso-position-horizontal-relative:page;mso-position-vertical-relative:page;z-index:-267373568" type="#_x0000_t202" filled="false" stroked="false">
            <v:textbox inset="0,0,0,0">
              <w:txbxContent>
                <w:p>
                  <w:pPr>
                    <w:spacing w:line="314" w:lineRule="exact" w:before="6"/>
                    <w:ind w:left="0" w:right="0" w:firstLine="0"/>
                    <w:jc w:val="left"/>
                    <w:rPr>
                      <w:sz w:val="26"/>
                    </w:rPr>
                  </w:pPr>
                  <w:r>
                    <w:rPr>
                      <w:color w:val="8BA8BD"/>
                      <w:w w:val="115"/>
                      <w:sz w:val="26"/>
                    </w:rPr>
                    <w:t>Education and Learning</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3"/>
        </w:rPr>
      </w:pPr>
    </w:p>
    <w:p>
      <w:pPr>
        <w:spacing w:before="102"/>
        <w:ind w:left="7822" w:right="0" w:firstLine="0"/>
        <w:jc w:val="left"/>
        <w:rPr>
          <w:sz w:val="18"/>
        </w:rPr>
      </w:pPr>
      <w:r>
        <w:rPr/>
        <w:pict>
          <v:group style="position:absolute;margin-left:0pt;margin-top:-393.537964pt;width:595.3pt;height:395.95pt;mso-position-horizontal-relative:page;mso-position-vertical-relative:paragraph;z-index:252051456" coordorigin="0,-7871" coordsize="11906,7919">
            <v:rect style="position:absolute;left:11168;top:-7871;width:454;height:471" filled="true" fillcolor="#8ba8bd" stroked="false">
              <v:fill type="solid"/>
            </v:rect>
            <v:rect style="position:absolute;left:11168;top:-7245;width:454;height:454" filled="true" fillcolor="#c2d2df" stroked="false">
              <v:fill type="solid"/>
            </v:rect>
            <v:rect style="position:absolute;left:11168;top:-6622;width:454;height:454" filled="true" fillcolor="#dae4ec" stroked="false">
              <v:fill opacity="32768f" type="solid"/>
            </v:rect>
            <v:shape style="position:absolute;left:0;top:-7871;width:11906;height:7905" type="#_x0000_t75" stroked="false">
              <v:imagedata r:id="rId291" o:title=""/>
            </v:shape>
            <v:shape style="position:absolute;left:0;top:-1937;width:1950;height:1985" coordorigin="0,-1936" coordsize="1950,1985" path="m0,-1932l0,48,1950,48,1875,46,1801,40,1727,32,1654,21,1583,8,1512,-8,1442,-26,1373,-47,1305,-70,1239,-96,1173,-123,1109,-154,1046,-186,985,-220,924,-257,866,-295,808,-336,753,-379,698,-423,646,-469,595,-518,546,-567,498,-619,453,-672,409,-727,367,-784,327,-841,290,-901,254,-962,220,-1024,189,-1087,160,-1152,133,-1218,108,-1285,86,-1353,66,-1422,49,-1492,34,-1564,22,-1636,12,-1709,6,-1783,1,-1857,0,-1932xm0,-1936l0,-1936,0,-1934,0,-1936xe" filled="true" fillcolor="#ffffff" stroked="false">
              <v:path arrowok="t"/>
              <v:fill type="solid"/>
            </v:shape>
            <w10:wrap type="none"/>
          </v:group>
        </w:pict>
      </w:r>
      <w:r>
        <w:rPr>
          <w:color w:val="8BA8BD"/>
          <w:w w:val="110"/>
          <w:sz w:val="18"/>
        </w:rPr>
        <w:t>Ministerial students learn banner making</w:t>
      </w:r>
    </w:p>
    <w:p>
      <w:pPr>
        <w:pStyle w:val="BodyText"/>
        <w:spacing w:before="10"/>
        <w:rPr>
          <w:sz w:val="21"/>
        </w:rPr>
      </w:pPr>
    </w:p>
    <w:p>
      <w:pPr>
        <w:spacing w:line="451" w:lineRule="exact" w:before="0"/>
        <w:ind w:left="1984" w:right="0" w:firstLine="0"/>
        <w:jc w:val="left"/>
        <w:rPr>
          <w:rFonts w:ascii="Stone Sans II ITC Std Bk" w:hAnsi="Stone Sans II ITC Std Bk"/>
          <w:b/>
          <w:sz w:val="29"/>
        </w:rPr>
      </w:pPr>
      <w:r>
        <w:rPr>
          <w:rFonts w:ascii="Stone Sans II ITC Std Bk" w:hAnsi="Stone Sans II ITC Std Bk"/>
          <w:b/>
          <w:color w:val="CA4F1B"/>
          <w:spacing w:val="3"/>
          <w:w w:val="110"/>
          <w:sz w:val="36"/>
        </w:rPr>
        <w:t>Westminster </w:t>
      </w:r>
      <w:r>
        <w:rPr>
          <w:rFonts w:ascii="Stone Sans II ITC Std Bk" w:hAnsi="Stone Sans II ITC Std Bk"/>
          <w:b/>
          <w:color w:val="CA4F1B"/>
          <w:w w:val="110"/>
          <w:sz w:val="29"/>
        </w:rPr>
        <w:t>– a </w:t>
      </w:r>
      <w:r>
        <w:rPr>
          <w:rFonts w:ascii="Stone Sans II ITC Std Bk" w:hAnsi="Stone Sans II ITC Std Bk"/>
          <w:b/>
          <w:color w:val="CA4F1B"/>
          <w:spacing w:val="3"/>
          <w:w w:val="110"/>
          <w:sz w:val="29"/>
        </w:rPr>
        <w:t>resource </w:t>
      </w:r>
      <w:r>
        <w:rPr>
          <w:rFonts w:ascii="Stone Sans II ITC Std Bk" w:hAnsi="Stone Sans II ITC Std Bk"/>
          <w:b/>
          <w:color w:val="CA4F1B"/>
          <w:spacing w:val="2"/>
          <w:w w:val="110"/>
          <w:sz w:val="29"/>
        </w:rPr>
        <w:t>centre </w:t>
      </w:r>
      <w:r>
        <w:rPr>
          <w:rFonts w:ascii="Stone Sans II ITC Std Bk" w:hAnsi="Stone Sans II ITC Std Bk"/>
          <w:b/>
          <w:color w:val="CA4F1B"/>
          <w:spacing w:val="3"/>
          <w:w w:val="110"/>
          <w:sz w:val="29"/>
        </w:rPr>
        <w:t>for</w:t>
      </w:r>
      <w:r>
        <w:rPr>
          <w:rFonts w:ascii="Stone Sans II ITC Std Bk" w:hAnsi="Stone Sans II ITC Std Bk"/>
          <w:b/>
          <w:color w:val="CA4F1B"/>
          <w:spacing w:val="58"/>
          <w:w w:val="110"/>
          <w:sz w:val="29"/>
        </w:rPr>
        <w:t> </w:t>
      </w:r>
      <w:r>
        <w:rPr>
          <w:rFonts w:ascii="Stone Sans II ITC Std Bk" w:hAnsi="Stone Sans II ITC Std Bk"/>
          <w:b/>
          <w:color w:val="CA4F1B"/>
          <w:spacing w:val="3"/>
          <w:w w:val="110"/>
          <w:sz w:val="29"/>
        </w:rPr>
        <w:t>learning</w:t>
      </w:r>
    </w:p>
    <w:p>
      <w:pPr>
        <w:spacing w:line="208" w:lineRule="exact" w:before="0"/>
        <w:ind w:left="1984" w:right="0" w:firstLine="0"/>
        <w:jc w:val="left"/>
        <w:rPr>
          <w:i/>
          <w:sz w:val="20"/>
        </w:rPr>
      </w:pPr>
      <w:r>
        <w:rPr>
          <w:i/>
          <w:w w:val="110"/>
          <w:sz w:val="20"/>
        </w:rPr>
        <w:t>Serving the United Reformed Church</w:t>
      </w:r>
    </w:p>
    <w:p>
      <w:pPr>
        <w:pStyle w:val="BodyText"/>
        <w:rPr>
          <w:i/>
          <w:sz w:val="24"/>
        </w:rPr>
      </w:pPr>
    </w:p>
    <w:p>
      <w:pPr>
        <w:numPr>
          <w:ilvl w:val="0"/>
          <w:numId w:val="131"/>
        </w:numPr>
        <w:tabs>
          <w:tab w:pos="2704" w:val="left" w:leader="none"/>
          <w:tab w:pos="2705" w:val="left" w:leader="none"/>
        </w:tabs>
        <w:spacing w:before="160"/>
        <w:ind w:left="2704"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were</w:t>
      </w:r>
    </w:p>
    <w:p>
      <w:pPr>
        <w:pStyle w:val="ListParagraph"/>
        <w:numPr>
          <w:ilvl w:val="1"/>
          <w:numId w:val="131"/>
        </w:numPr>
        <w:tabs>
          <w:tab w:pos="2721" w:val="left" w:leader="none"/>
          <w:tab w:pos="2722" w:val="left" w:leader="none"/>
        </w:tabs>
        <w:spacing w:line="235" w:lineRule="auto" w:before="223" w:after="0"/>
        <w:ind w:left="1984" w:right="1233" w:firstLine="0"/>
        <w:jc w:val="left"/>
        <w:rPr>
          <w:sz w:val="20"/>
        </w:rPr>
      </w:pPr>
      <w:r>
        <w:rPr>
          <w:w w:val="120"/>
          <w:sz w:val="20"/>
        </w:rPr>
        <w:t>Westminster has given much time, energy and thought over the past two years to the implications of what it means for us to be a resource centre for learning for all the people of the United Reformed Church, while also working ever more closely with other URC resource centres and with our ecumenical</w:t>
      </w:r>
      <w:r>
        <w:rPr>
          <w:spacing w:val="15"/>
          <w:w w:val="120"/>
          <w:sz w:val="20"/>
        </w:rPr>
        <w:t> </w:t>
      </w:r>
      <w:r>
        <w:rPr>
          <w:w w:val="120"/>
          <w:sz w:val="20"/>
        </w:rPr>
        <w:t>partners.</w:t>
      </w:r>
    </w:p>
    <w:p>
      <w:pPr>
        <w:pStyle w:val="BodyText"/>
        <w:spacing w:before="11"/>
        <w:rPr>
          <w:sz w:val="19"/>
        </w:rPr>
      </w:pPr>
    </w:p>
    <w:p>
      <w:pPr>
        <w:pStyle w:val="ListParagraph"/>
        <w:numPr>
          <w:ilvl w:val="1"/>
          <w:numId w:val="131"/>
        </w:numPr>
        <w:tabs>
          <w:tab w:pos="2664" w:val="left" w:leader="none"/>
          <w:tab w:pos="2665" w:val="left" w:leader="none"/>
        </w:tabs>
        <w:spacing w:line="235" w:lineRule="auto" w:before="0" w:after="0"/>
        <w:ind w:left="1984" w:right="1260" w:firstLine="0"/>
        <w:jc w:val="left"/>
        <w:rPr>
          <w:sz w:val="20"/>
        </w:rPr>
      </w:pPr>
      <w:r>
        <w:rPr>
          <w:w w:val="120"/>
          <w:sz w:val="20"/>
        </w:rPr>
        <w:t>We have a good inheritance: of skilled and experienced theological educators, of a magnificent location at the heart of Cambridge, of a longstanding partnership within the Cambridge Theological Federation, of library and archive, of access to the resources of two universities, of a place of prayer, hospitality and welcome. The question before  us has been how best to make these resources more accessible and available to all the people of the United Reformed Church, both at our centre in Cambridge and more widely throughout the Church and</w:t>
      </w:r>
      <w:r>
        <w:rPr>
          <w:spacing w:val="13"/>
          <w:w w:val="120"/>
          <w:sz w:val="20"/>
        </w:rPr>
        <w:t> </w:t>
      </w:r>
      <w:r>
        <w:rPr>
          <w:w w:val="120"/>
          <w:sz w:val="20"/>
        </w:rPr>
        <w:t>nations.</w:t>
      </w:r>
    </w:p>
    <w:p>
      <w:pPr>
        <w:pStyle w:val="BodyText"/>
        <w:spacing w:before="11"/>
        <w:rPr>
          <w:sz w:val="17"/>
        </w:rPr>
      </w:pPr>
    </w:p>
    <w:p>
      <w:pPr>
        <w:numPr>
          <w:ilvl w:val="0"/>
          <w:numId w:val="131"/>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are</w:t>
      </w:r>
    </w:p>
    <w:p>
      <w:pPr>
        <w:pStyle w:val="ListParagraph"/>
        <w:numPr>
          <w:ilvl w:val="1"/>
          <w:numId w:val="131"/>
        </w:numPr>
        <w:tabs>
          <w:tab w:pos="2664" w:val="left" w:leader="none"/>
          <w:tab w:pos="2665" w:val="left" w:leader="none"/>
        </w:tabs>
        <w:spacing w:line="235" w:lineRule="auto" w:before="223" w:after="0"/>
        <w:ind w:left="1984" w:right="1374" w:firstLine="0"/>
        <w:jc w:val="left"/>
        <w:rPr>
          <w:sz w:val="20"/>
        </w:rPr>
      </w:pPr>
      <w:r>
        <w:rPr>
          <w:w w:val="120"/>
          <w:sz w:val="20"/>
        </w:rPr>
        <w:t>Westminster has long had a particular role as a place where men and women are prepared for ministry of Word and Sacrament. That work continues, but now</w:t>
      </w:r>
      <w:r>
        <w:rPr>
          <w:spacing w:val="46"/>
          <w:w w:val="120"/>
          <w:sz w:val="20"/>
        </w:rPr>
        <w:t> </w:t>
      </w:r>
      <w:r>
        <w:rPr>
          <w:w w:val="120"/>
          <w:sz w:val="20"/>
        </w:rPr>
        <w:t>much</w:t>
      </w:r>
    </w:p>
    <w:p>
      <w:pPr>
        <w:pStyle w:val="BodyText"/>
        <w:spacing w:line="235" w:lineRule="auto" w:before="1"/>
        <w:ind w:left="1984" w:right="1120"/>
      </w:pPr>
      <w:r>
        <w:rPr>
          <w:w w:val="120"/>
        </w:rPr>
        <w:t>more intentionally within the context of a broader landscape of learning, and even more deliberately in partnership with others.</w:t>
      </w:r>
    </w:p>
    <w:p>
      <w:pPr>
        <w:pStyle w:val="BodyText"/>
        <w:spacing w:before="9"/>
        <w:rPr>
          <w:sz w:val="19"/>
        </w:rPr>
      </w:pPr>
    </w:p>
    <w:p>
      <w:pPr>
        <w:pStyle w:val="ListParagraph"/>
        <w:numPr>
          <w:ilvl w:val="1"/>
          <w:numId w:val="131"/>
        </w:numPr>
        <w:tabs>
          <w:tab w:pos="2664" w:val="left" w:leader="none"/>
          <w:tab w:pos="2665" w:val="left" w:leader="none"/>
        </w:tabs>
        <w:spacing w:line="235" w:lineRule="auto" w:before="1" w:after="0"/>
        <w:ind w:left="1984" w:right="1266" w:firstLine="0"/>
        <w:jc w:val="left"/>
        <w:rPr>
          <w:sz w:val="20"/>
        </w:rPr>
      </w:pPr>
      <w:r>
        <w:rPr>
          <w:w w:val="120"/>
          <w:sz w:val="20"/>
        </w:rPr>
        <w:t>At Westminster, we are gradually moving towards a pattern of whole church learning. We already hold regular conferences for lay preachers. We host and welcome  a variety of events for people in the Church and this aspect of our life is developing</w:t>
      </w:r>
      <w:r>
        <w:rPr>
          <w:spacing w:val="7"/>
          <w:w w:val="120"/>
          <w:sz w:val="20"/>
        </w:rPr>
        <w:t> </w:t>
      </w:r>
      <w:r>
        <w:rPr>
          <w:w w:val="120"/>
          <w:sz w:val="20"/>
        </w:rPr>
        <w:t>fast.</w:t>
      </w:r>
    </w:p>
    <w:p>
      <w:pPr>
        <w:spacing w:after="0" w:line="235" w:lineRule="auto"/>
        <w:jc w:val="left"/>
        <w:rPr>
          <w:sz w:val="20"/>
        </w:rPr>
        <w:sectPr>
          <w:headerReference w:type="default" r:id="rId288"/>
          <w:footerReference w:type="default" r:id="rId289"/>
          <w:footerReference w:type="even" r:id="rId290"/>
          <w:pgSz w:w="11910" w:h="16840"/>
          <w:pgMar w:header="0" w:footer="647" w:top="0" w:bottom="840" w:left="0" w:right="0"/>
          <w:pgNumType w:start="127"/>
        </w:sectPr>
      </w:pPr>
    </w:p>
    <w:p>
      <w:pPr>
        <w:pStyle w:val="BodyText"/>
        <w:spacing w:line="216" w:lineRule="auto" w:before="122"/>
        <w:ind w:left="1133" w:right="1997"/>
        <w:rPr>
          <w:rFonts w:ascii="Bradley Hand ITC"/>
          <w:sz w:val="28"/>
        </w:rPr>
      </w:pPr>
      <w:r>
        <w:rPr/>
        <w:pict>
          <v:rect style="position:absolute;margin-left:12.047pt;margin-top:8.465624pt;width:22.677pt;height:22.677pt;mso-position-horizontal-relative:page;mso-position-vertical-relative:paragraph;z-index:252052480" filled="true" fillcolor="#dae4ec" stroked="false">
            <v:fill opacity="32768f" type="solid"/>
            <w10:wrap type="none"/>
          </v:rect>
        </w:pict>
      </w:r>
      <w:r>
        <w:rPr/>
        <w:drawing>
          <wp:anchor distT="0" distB="0" distL="0" distR="0" allowOverlap="1" layoutInCell="1" locked="0" behindDoc="1" simplePos="0" relativeHeight="235945984">
            <wp:simplePos x="0" y="0"/>
            <wp:positionH relativeFrom="page">
              <wp:posOffset>5800001</wp:posOffset>
            </wp:positionH>
            <wp:positionV relativeFrom="paragraph">
              <wp:posOffset>363772</wp:posOffset>
            </wp:positionV>
            <wp:extent cx="232857" cy="181203"/>
            <wp:effectExtent l="0" t="0" r="0" b="0"/>
            <wp:wrapNone/>
            <wp:docPr id="121" name="image125.png"/>
            <wp:cNvGraphicFramePr>
              <a:graphicFrameLocks noChangeAspect="1"/>
            </wp:cNvGraphicFramePr>
            <a:graphic>
              <a:graphicData uri="http://schemas.openxmlformats.org/drawingml/2006/picture">
                <pic:pic>
                  <pic:nvPicPr>
                    <pic:cNvPr id="122" name="image125.png"/>
                    <pic:cNvPicPr/>
                  </pic:nvPicPr>
                  <pic:blipFill>
                    <a:blip r:embed="rId294" cstate="print"/>
                    <a:stretch>
                      <a:fillRect/>
                    </a:stretch>
                  </pic:blipFill>
                  <pic:spPr>
                    <a:xfrm>
                      <a:off x="0" y="0"/>
                      <a:ext cx="232857" cy="181203"/>
                    </a:xfrm>
                    <a:prstGeom prst="rect">
                      <a:avLst/>
                    </a:prstGeom>
                  </pic:spPr>
                </pic:pic>
              </a:graphicData>
            </a:graphic>
          </wp:anchor>
        </w:drawing>
      </w:r>
      <w:r>
        <w:rPr>
          <w:w w:val="120"/>
        </w:rPr>
        <w:t>The Westminster teaching staff spend much of their time in the wider Church, often outside Cambridge, leading events, days and weekends. We contribute as writers, teachers</w:t>
      </w:r>
      <w:r>
        <w:rPr>
          <w:spacing w:val="-24"/>
          <w:w w:val="120"/>
        </w:rPr>
        <w:t> </w:t>
      </w:r>
      <w:r>
        <w:rPr>
          <w:w w:val="120"/>
        </w:rPr>
        <w:t>and</w:t>
      </w:r>
      <w:r>
        <w:rPr>
          <w:spacing w:val="-23"/>
          <w:w w:val="120"/>
        </w:rPr>
        <w:t> </w:t>
      </w:r>
      <w:r>
        <w:rPr>
          <w:w w:val="120"/>
        </w:rPr>
        <w:t>planners</w:t>
      </w:r>
      <w:r>
        <w:rPr>
          <w:spacing w:val="-23"/>
          <w:w w:val="120"/>
        </w:rPr>
        <w:t> </w:t>
      </w:r>
      <w:r>
        <w:rPr>
          <w:w w:val="120"/>
        </w:rPr>
        <w:t>to</w:t>
      </w:r>
      <w:r>
        <w:rPr>
          <w:spacing w:val="-24"/>
          <w:w w:val="120"/>
        </w:rPr>
        <w:t> </w:t>
      </w:r>
      <w:r>
        <w:rPr>
          <w:w w:val="120"/>
        </w:rPr>
        <w:t>the</w:t>
      </w:r>
      <w:r>
        <w:rPr>
          <w:spacing w:val="-23"/>
          <w:w w:val="120"/>
        </w:rPr>
        <w:t> </w:t>
      </w:r>
      <w:r>
        <w:rPr>
          <w:spacing w:val="2"/>
          <w:w w:val="120"/>
        </w:rPr>
        <w:t>TLS</w:t>
      </w:r>
      <w:r>
        <w:rPr>
          <w:spacing w:val="-23"/>
          <w:w w:val="120"/>
        </w:rPr>
        <w:t> </w:t>
      </w:r>
      <w:r>
        <w:rPr>
          <w:w w:val="120"/>
        </w:rPr>
        <w:t>course.</w:t>
      </w:r>
      <w:r>
        <w:rPr>
          <w:spacing w:val="-24"/>
          <w:w w:val="120"/>
        </w:rPr>
        <w:t> </w:t>
      </w:r>
      <w:r>
        <w:rPr>
          <w:w w:val="120"/>
        </w:rPr>
        <w:t>We</w:t>
      </w:r>
      <w:r>
        <w:rPr>
          <w:spacing w:val="-23"/>
          <w:w w:val="120"/>
        </w:rPr>
        <w:t> </w:t>
      </w:r>
      <w:r>
        <w:rPr>
          <w:w w:val="120"/>
        </w:rPr>
        <w:t>have</w:t>
      </w:r>
      <w:r>
        <w:rPr>
          <w:spacing w:val="-23"/>
          <w:w w:val="120"/>
        </w:rPr>
        <w:t> </w:t>
      </w:r>
      <w:r>
        <w:rPr>
          <w:w w:val="120"/>
        </w:rPr>
        <w:t>also</w:t>
      </w:r>
      <w:r>
        <w:rPr>
          <w:spacing w:val="-24"/>
          <w:w w:val="120"/>
        </w:rPr>
        <w:t> </w:t>
      </w:r>
      <w:r>
        <w:rPr>
          <w:w w:val="120"/>
        </w:rPr>
        <w:t>been</w:t>
      </w:r>
      <w:r>
        <w:rPr>
          <w:spacing w:val="-23"/>
          <w:w w:val="120"/>
        </w:rPr>
        <w:t> </w:t>
      </w:r>
      <w:r>
        <w:rPr>
          <w:w w:val="120"/>
        </w:rPr>
        <w:t>contributors</w:t>
      </w:r>
      <w:r>
        <w:rPr>
          <w:spacing w:val="-23"/>
          <w:w w:val="120"/>
        </w:rPr>
        <w:t> </w:t>
      </w:r>
      <w:r>
        <w:rPr>
          <w:w w:val="120"/>
        </w:rPr>
        <w:t>to</w:t>
      </w:r>
      <w:r>
        <w:rPr>
          <w:spacing w:val="-23"/>
          <w:w w:val="120"/>
        </w:rPr>
        <w:t> </w:t>
      </w:r>
      <w:r>
        <w:rPr>
          <w:rFonts w:ascii="Arial Rounded MT Bold"/>
          <w:sz w:val="21"/>
        </w:rPr>
        <w:t>Vision4</w:t>
      </w:r>
      <w:r>
        <w:rPr>
          <w:rFonts w:ascii="Bradley Hand ITC"/>
          <w:color w:val="C20D19"/>
          <w:sz w:val="28"/>
        </w:rPr>
        <w:t>Life</w:t>
      </w:r>
    </w:p>
    <w:p>
      <w:pPr>
        <w:pStyle w:val="BodyText"/>
        <w:spacing w:line="189" w:lineRule="exact"/>
        <w:ind w:left="1133"/>
      </w:pPr>
      <w:r>
        <w:rPr>
          <w:w w:val="120"/>
        </w:rPr>
        <w:t>material and are supporting churches, ministers and groups in engaging with it</w:t>
      </w:r>
    </w:p>
    <w:p>
      <w:pPr>
        <w:pStyle w:val="BodyText"/>
        <w:spacing w:line="235" w:lineRule="auto" w:before="2"/>
        <w:ind w:left="1133" w:right="1996"/>
        <w:jc w:val="both"/>
      </w:pPr>
      <w:r>
        <w:rPr>
          <w:w w:val="120"/>
        </w:rPr>
        <w:t>positively. We are also glad to support ministers on sabbatical and on EM3 (whether for a short stay for study leave or through studying for a degree or particular project), both by welcoming people to Cambridge, by staffing events and by one-to-one conversation.</w:t>
      </w:r>
    </w:p>
    <w:p>
      <w:pPr>
        <w:pStyle w:val="BodyText"/>
        <w:spacing w:before="10"/>
        <w:rPr>
          <w:sz w:val="19"/>
        </w:rPr>
      </w:pPr>
    </w:p>
    <w:p>
      <w:pPr>
        <w:pStyle w:val="ListParagraph"/>
        <w:numPr>
          <w:ilvl w:val="1"/>
          <w:numId w:val="131"/>
        </w:numPr>
        <w:tabs>
          <w:tab w:pos="1813" w:val="left" w:leader="none"/>
          <w:tab w:pos="1815" w:val="left" w:leader="none"/>
        </w:tabs>
        <w:spacing w:line="235" w:lineRule="auto" w:before="0" w:after="0"/>
        <w:ind w:left="1133" w:right="2249" w:firstLine="0"/>
        <w:jc w:val="left"/>
        <w:rPr>
          <w:sz w:val="20"/>
        </w:rPr>
      </w:pPr>
      <w:r>
        <w:rPr>
          <w:w w:val="120"/>
          <w:sz w:val="20"/>
        </w:rPr>
        <w:t>We are often to be seen at other resource centres too, including Windermere, contributing to the learning of the Church. Increasingly we exchange ideas, time, policies and vision with other RCL staff, and, encouraged and supported by the secretary for education and learning, we are developing collaboration amongst those in theological education and training across the URC. We are contributing towards the joining up of the </w:t>
      </w:r>
      <w:r>
        <w:rPr>
          <w:spacing w:val="-3"/>
          <w:w w:val="120"/>
          <w:sz w:val="20"/>
        </w:rPr>
        <w:t>URC’s </w:t>
      </w:r>
      <w:r>
        <w:rPr>
          <w:w w:val="120"/>
          <w:sz w:val="20"/>
        </w:rPr>
        <w:t>centres, the work of the synods and Assembly initiatives and were glad to be </w:t>
      </w:r>
      <w:r>
        <w:rPr>
          <w:spacing w:val="2"/>
          <w:w w:val="120"/>
          <w:sz w:val="20"/>
        </w:rPr>
        <w:t>part </w:t>
      </w:r>
      <w:r>
        <w:rPr>
          <w:w w:val="120"/>
          <w:sz w:val="20"/>
        </w:rPr>
        <w:t>of the first annual Education and Learning</w:t>
      </w:r>
      <w:r>
        <w:rPr>
          <w:spacing w:val="31"/>
          <w:w w:val="120"/>
          <w:sz w:val="20"/>
        </w:rPr>
        <w:t> </w:t>
      </w:r>
      <w:r>
        <w:rPr>
          <w:w w:val="120"/>
          <w:sz w:val="20"/>
        </w:rPr>
        <w:t>conference.</w:t>
      </w:r>
    </w:p>
    <w:p>
      <w:pPr>
        <w:pStyle w:val="BodyText"/>
        <w:spacing w:before="1"/>
      </w:pPr>
    </w:p>
    <w:p>
      <w:pPr>
        <w:pStyle w:val="ListParagraph"/>
        <w:numPr>
          <w:ilvl w:val="1"/>
          <w:numId w:val="131"/>
        </w:numPr>
        <w:tabs>
          <w:tab w:pos="1813" w:val="left" w:leader="none"/>
          <w:tab w:pos="1815" w:val="left" w:leader="none"/>
        </w:tabs>
        <w:spacing w:line="235" w:lineRule="auto" w:before="0" w:after="0"/>
        <w:ind w:left="1133" w:right="2707" w:firstLine="0"/>
        <w:jc w:val="left"/>
        <w:rPr>
          <w:sz w:val="20"/>
        </w:rPr>
      </w:pPr>
      <w:r>
        <w:rPr>
          <w:w w:val="120"/>
          <w:sz w:val="20"/>
        </w:rPr>
        <w:t>Education for Ministry 1 </w:t>
      </w:r>
      <w:r>
        <w:rPr>
          <w:spacing w:val="-3"/>
          <w:w w:val="120"/>
          <w:sz w:val="20"/>
        </w:rPr>
        <w:t>(the </w:t>
      </w:r>
      <w:r>
        <w:rPr>
          <w:w w:val="120"/>
          <w:sz w:val="20"/>
        </w:rPr>
        <w:t>first stage of ministerial education) is a large and important </w:t>
      </w:r>
      <w:r>
        <w:rPr>
          <w:spacing w:val="2"/>
          <w:w w:val="120"/>
          <w:sz w:val="20"/>
        </w:rPr>
        <w:t>part </w:t>
      </w:r>
      <w:r>
        <w:rPr>
          <w:w w:val="120"/>
          <w:sz w:val="20"/>
        </w:rPr>
        <w:t>of our work and we do it within the ecumenical context of</w:t>
      </w:r>
      <w:r>
        <w:rPr>
          <w:spacing w:val="4"/>
          <w:w w:val="120"/>
          <w:sz w:val="20"/>
        </w:rPr>
        <w:t> </w:t>
      </w:r>
      <w:r>
        <w:rPr>
          <w:w w:val="120"/>
          <w:sz w:val="20"/>
        </w:rPr>
        <w:t>the</w:t>
      </w:r>
    </w:p>
    <w:p>
      <w:pPr>
        <w:pStyle w:val="BodyText"/>
        <w:spacing w:line="235" w:lineRule="auto" w:before="2"/>
        <w:ind w:left="1133" w:right="2394"/>
      </w:pPr>
      <w:r>
        <w:rPr>
          <w:w w:val="120"/>
        </w:rPr>
        <w:t>Cambridge Theological Federation. We give a high priority to finding the right course for each student and the right style and method of delivery. With two universities</w:t>
      </w:r>
    </w:p>
    <w:p>
      <w:pPr>
        <w:pStyle w:val="BodyText"/>
        <w:spacing w:line="235" w:lineRule="auto" w:before="1"/>
        <w:ind w:left="1133" w:right="2194"/>
      </w:pPr>
      <w:r>
        <w:rPr>
          <w:w w:val="120"/>
        </w:rPr>
        <w:t>to work with, and with a richly diverse Federation, we can offer a huge range of resources, all to high quality. We always seek to set good reflection on practice within the context of theological learning. All our students have Church connections and placements while they are learning and preparing for ministry. And we are finding,    and increasingly developing, ways in which learning can be delivered to a varied and dispersed community, while also continuing to offer the particular opportunities of close community life (for worship, living and studying). We are all learning fast about the latest educational technologies, which we always seek to combine with in-depth face-to-face</w:t>
      </w:r>
      <w:r>
        <w:rPr>
          <w:spacing w:val="-4"/>
          <w:w w:val="120"/>
        </w:rPr>
        <w:t> </w:t>
      </w:r>
      <w:r>
        <w:rPr>
          <w:w w:val="120"/>
        </w:rPr>
        <w:t>contact.</w:t>
      </w:r>
      <w:r>
        <w:rPr>
          <w:spacing w:val="-3"/>
          <w:w w:val="120"/>
        </w:rPr>
        <w:t> </w:t>
      </w:r>
      <w:r>
        <w:rPr>
          <w:w w:val="120"/>
        </w:rPr>
        <w:t>We</w:t>
      </w:r>
      <w:r>
        <w:rPr>
          <w:spacing w:val="-4"/>
          <w:w w:val="120"/>
        </w:rPr>
        <w:t> </w:t>
      </w:r>
      <w:r>
        <w:rPr>
          <w:w w:val="120"/>
        </w:rPr>
        <w:t>are</w:t>
      </w:r>
      <w:r>
        <w:rPr>
          <w:spacing w:val="-4"/>
          <w:w w:val="120"/>
        </w:rPr>
        <w:t> </w:t>
      </w:r>
      <w:r>
        <w:rPr>
          <w:w w:val="120"/>
        </w:rPr>
        <w:t>increasingly</w:t>
      </w:r>
      <w:r>
        <w:rPr>
          <w:spacing w:val="-3"/>
          <w:w w:val="120"/>
        </w:rPr>
        <w:t> </w:t>
      </w:r>
      <w:r>
        <w:rPr>
          <w:w w:val="120"/>
        </w:rPr>
        <w:t>aware</w:t>
      </w:r>
      <w:r>
        <w:rPr>
          <w:spacing w:val="-4"/>
          <w:w w:val="120"/>
        </w:rPr>
        <w:t> </w:t>
      </w:r>
      <w:r>
        <w:rPr>
          <w:w w:val="120"/>
        </w:rPr>
        <w:t>that</w:t>
      </w:r>
      <w:r>
        <w:rPr>
          <w:spacing w:val="-3"/>
          <w:w w:val="120"/>
        </w:rPr>
        <w:t> </w:t>
      </w:r>
      <w:r>
        <w:rPr>
          <w:w w:val="120"/>
        </w:rPr>
        <w:t>today’s</w:t>
      </w:r>
      <w:r>
        <w:rPr>
          <w:spacing w:val="-4"/>
          <w:w w:val="120"/>
        </w:rPr>
        <w:t> </w:t>
      </w:r>
      <w:r>
        <w:rPr>
          <w:w w:val="120"/>
        </w:rPr>
        <w:t>future</w:t>
      </w:r>
      <w:r>
        <w:rPr>
          <w:spacing w:val="-3"/>
          <w:w w:val="120"/>
        </w:rPr>
        <w:t> </w:t>
      </w:r>
      <w:r>
        <w:rPr>
          <w:w w:val="120"/>
        </w:rPr>
        <w:t>ministers</w:t>
      </w:r>
      <w:r>
        <w:rPr>
          <w:spacing w:val="-4"/>
          <w:w w:val="120"/>
        </w:rPr>
        <w:t> </w:t>
      </w:r>
      <w:r>
        <w:rPr>
          <w:w w:val="120"/>
        </w:rPr>
        <w:t>need</w:t>
      </w:r>
      <w:r>
        <w:rPr>
          <w:spacing w:val="-3"/>
          <w:w w:val="120"/>
        </w:rPr>
        <w:t> </w:t>
      </w:r>
      <w:r>
        <w:rPr>
          <w:w w:val="120"/>
        </w:rPr>
        <w:t>to</w:t>
      </w:r>
      <w:r>
        <w:rPr>
          <w:spacing w:val="-4"/>
          <w:w w:val="120"/>
        </w:rPr>
        <w:t> </w:t>
      </w:r>
      <w:r>
        <w:rPr>
          <w:w w:val="120"/>
        </w:rPr>
        <w:t>be</w:t>
      </w:r>
    </w:p>
    <w:p>
      <w:pPr>
        <w:pStyle w:val="BodyText"/>
        <w:spacing w:line="235" w:lineRule="auto" w:before="7"/>
        <w:ind w:left="1133" w:right="1997"/>
      </w:pPr>
      <w:r>
        <w:rPr/>
        <w:pict>
          <v:group style="position:absolute;margin-left:289.817993pt;margin-top:28.366753pt;width:272.2pt;height:353.2pt;mso-position-horizontal-relative:page;mso-position-vertical-relative:paragraph;z-index:-267369472" coordorigin="5796,567" coordsize="5444,7064">
            <v:rect style="position:absolute;left:5796;top:567;width:5444;height:7064" filled="true" fillcolor="#000000" stroked="false">
              <v:fill opacity="22937f" type="solid"/>
            </v:rect>
            <v:shape style="position:absolute;left:6054;top:825;width:4689;height:6307" type="#_x0000_t75" stroked="false">
              <v:imagedata r:id="rId295" o:title=""/>
            </v:shape>
            <w10:wrap type="none"/>
          </v:group>
        </w:pict>
      </w:r>
      <w:r>
        <w:rPr>
          <w:w w:val="120"/>
        </w:rPr>
        <w:t>prepared for a fast changing, and very challenging, scene. They need to be equipped to interpret the world and Church they inhabit, to give an account of the Gospel that will answer today’s questions and challenges,</w:t>
      </w:r>
    </w:p>
    <w:p>
      <w:pPr>
        <w:pStyle w:val="BodyText"/>
        <w:spacing w:line="235" w:lineRule="auto" w:before="2"/>
        <w:ind w:left="1133" w:right="6670"/>
      </w:pPr>
      <w:r>
        <w:rPr>
          <w:w w:val="120"/>
        </w:rPr>
        <w:t>and be spiritually resilient and rooted so that they can serve the Church of today and tomorrow. Preparation for ministry today is about deepening faith, learning interpretive skills and acquiring the deepest kind of wisdom.</w:t>
      </w:r>
    </w:p>
    <w:p>
      <w:pPr>
        <w:pStyle w:val="BodyText"/>
        <w:spacing w:before="11"/>
        <w:rPr>
          <w:sz w:val="17"/>
        </w:rPr>
      </w:pPr>
    </w:p>
    <w:p>
      <w:pPr>
        <w:numPr>
          <w:ilvl w:val="0"/>
          <w:numId w:val="131"/>
        </w:numPr>
        <w:tabs>
          <w:tab w:pos="1853" w:val="left" w:leader="none"/>
          <w:tab w:pos="1854" w:val="left" w:leader="none"/>
        </w:tabs>
        <w:spacing w:before="0"/>
        <w:ind w:left="1853" w:right="0" w:hanging="721"/>
        <w:jc w:val="left"/>
        <w:rPr>
          <w:rFonts w:ascii="Stone Sans II ITC Std Bk" w:hAnsi="Stone Sans II ITC Std Bk"/>
          <w:b/>
          <w:sz w:val="21"/>
        </w:rPr>
      </w:pPr>
      <w:r>
        <w:rPr>
          <w:rFonts w:ascii="Stone Sans II ITC Std Bk" w:hAnsi="Stone Sans II ITC Std Bk"/>
          <w:b/>
          <w:w w:val="115"/>
          <w:sz w:val="21"/>
        </w:rPr>
        <w:t>Where </w:t>
      </w:r>
      <w:r>
        <w:rPr>
          <w:rFonts w:ascii="Stone Sans II ITC Std Bk" w:hAnsi="Stone Sans II ITC Std Bk"/>
          <w:b/>
          <w:spacing w:val="-5"/>
          <w:w w:val="115"/>
          <w:sz w:val="21"/>
        </w:rPr>
        <w:t>we’re</w:t>
      </w:r>
      <w:r>
        <w:rPr>
          <w:rFonts w:ascii="Stone Sans II ITC Std Bk" w:hAnsi="Stone Sans II ITC Std Bk"/>
          <w:b/>
          <w:spacing w:val="-3"/>
          <w:w w:val="115"/>
          <w:sz w:val="21"/>
        </w:rPr>
        <w:t> </w:t>
      </w:r>
      <w:r>
        <w:rPr>
          <w:rFonts w:ascii="Stone Sans II ITC Std Bk" w:hAnsi="Stone Sans II ITC Std Bk"/>
          <w:b/>
          <w:w w:val="115"/>
          <w:sz w:val="21"/>
        </w:rPr>
        <w:t>going</w:t>
      </w:r>
    </w:p>
    <w:p>
      <w:pPr>
        <w:pStyle w:val="ListParagraph"/>
        <w:numPr>
          <w:ilvl w:val="1"/>
          <w:numId w:val="131"/>
        </w:numPr>
        <w:tabs>
          <w:tab w:pos="1814" w:val="left" w:leader="none"/>
          <w:tab w:pos="1815" w:val="left" w:leader="none"/>
        </w:tabs>
        <w:spacing w:line="235" w:lineRule="auto" w:before="222" w:after="0"/>
        <w:ind w:left="1133" w:right="7016" w:firstLine="0"/>
        <w:jc w:val="left"/>
        <w:rPr>
          <w:sz w:val="20"/>
        </w:rPr>
      </w:pPr>
      <w:r>
        <w:rPr>
          <w:spacing w:val="-4"/>
          <w:w w:val="120"/>
          <w:sz w:val="20"/>
        </w:rPr>
        <w:t>We’re </w:t>
      </w:r>
      <w:r>
        <w:rPr>
          <w:w w:val="120"/>
          <w:sz w:val="20"/>
        </w:rPr>
        <w:t>planning to hold more church events and conferences, and to continue to serve the Church in</w:t>
      </w:r>
      <w:r>
        <w:rPr>
          <w:spacing w:val="35"/>
          <w:w w:val="120"/>
          <w:sz w:val="20"/>
        </w:rPr>
        <w:t> </w:t>
      </w:r>
      <w:r>
        <w:rPr>
          <w:w w:val="120"/>
          <w:sz w:val="20"/>
        </w:rPr>
        <w:t>the</w:t>
      </w:r>
    </w:p>
    <w:p>
      <w:pPr>
        <w:pStyle w:val="BodyText"/>
        <w:spacing w:line="235" w:lineRule="auto" w:before="3"/>
        <w:ind w:left="1133" w:right="6811"/>
      </w:pPr>
      <w:r>
        <w:rPr>
          <w:w w:val="120"/>
        </w:rPr>
        <w:t>places where people are. We’re hosting a conference on Reformed Theology</w:t>
      </w:r>
    </w:p>
    <w:p>
      <w:pPr>
        <w:pStyle w:val="BodyText"/>
        <w:spacing w:line="235" w:lineRule="auto" w:before="1"/>
        <w:ind w:left="1133" w:right="6670"/>
      </w:pPr>
      <w:r>
        <w:rPr>
          <w:w w:val="120"/>
        </w:rPr>
        <w:t>in </w:t>
      </w:r>
      <w:r>
        <w:rPr>
          <w:spacing w:val="-5"/>
          <w:w w:val="120"/>
        </w:rPr>
        <w:t>2010. </w:t>
      </w:r>
      <w:r>
        <w:rPr>
          <w:w w:val="120"/>
        </w:rPr>
        <w:t>And </w:t>
      </w:r>
      <w:r>
        <w:rPr>
          <w:spacing w:val="-4"/>
          <w:w w:val="120"/>
        </w:rPr>
        <w:t>we’re </w:t>
      </w:r>
      <w:r>
        <w:rPr>
          <w:w w:val="120"/>
        </w:rPr>
        <w:t>planning a large celebration of preaching in </w:t>
      </w:r>
      <w:r>
        <w:rPr>
          <w:spacing w:val="-10"/>
          <w:w w:val="120"/>
        </w:rPr>
        <w:t>2011, </w:t>
      </w:r>
      <w:r>
        <w:rPr>
          <w:w w:val="120"/>
        </w:rPr>
        <w:t>with internationally renowned speakers. </w:t>
      </w:r>
      <w:r>
        <w:rPr>
          <w:spacing w:val="-4"/>
          <w:w w:val="120"/>
        </w:rPr>
        <w:t>We’re </w:t>
      </w:r>
      <w:r>
        <w:rPr>
          <w:w w:val="120"/>
        </w:rPr>
        <w:t>also planning our teaching work in the wider Church carefully, collaboratively and intentionally.</w:t>
      </w:r>
    </w:p>
    <w:p>
      <w:pPr>
        <w:pStyle w:val="BodyText"/>
      </w:pPr>
    </w:p>
    <w:p>
      <w:pPr>
        <w:pStyle w:val="ListParagraph"/>
        <w:numPr>
          <w:ilvl w:val="1"/>
          <w:numId w:val="131"/>
        </w:numPr>
        <w:tabs>
          <w:tab w:pos="1814" w:val="left" w:leader="none"/>
          <w:tab w:pos="1815" w:val="left" w:leader="none"/>
        </w:tabs>
        <w:spacing w:line="235" w:lineRule="auto" w:before="0" w:after="0"/>
        <w:ind w:left="1133" w:right="6738" w:firstLine="0"/>
        <w:jc w:val="left"/>
        <w:rPr>
          <w:sz w:val="20"/>
        </w:rPr>
      </w:pPr>
      <w:r>
        <w:rPr>
          <w:spacing w:val="-4"/>
          <w:w w:val="120"/>
          <w:sz w:val="20"/>
        </w:rPr>
        <w:t>We’re </w:t>
      </w:r>
      <w:r>
        <w:rPr>
          <w:w w:val="120"/>
          <w:sz w:val="20"/>
        </w:rPr>
        <w:t>working more closely with other resource centres within the URC, as we exchange good practice and good ideas with each </w:t>
      </w:r>
      <w:r>
        <w:rPr>
          <w:spacing w:val="-3"/>
          <w:w w:val="120"/>
          <w:sz w:val="20"/>
        </w:rPr>
        <w:t>other, </w:t>
      </w:r>
      <w:r>
        <w:rPr>
          <w:w w:val="120"/>
          <w:sz w:val="20"/>
        </w:rPr>
        <w:t>sharing excellence and modelling</w:t>
      </w:r>
      <w:r>
        <w:rPr>
          <w:spacing w:val="6"/>
          <w:w w:val="120"/>
          <w:sz w:val="20"/>
        </w:rPr>
        <w:t> </w:t>
      </w:r>
      <w:r>
        <w:rPr>
          <w:w w:val="120"/>
          <w:sz w:val="20"/>
        </w:rPr>
        <w:t>consistency.</w:t>
      </w:r>
    </w:p>
    <w:p>
      <w:pPr>
        <w:pStyle w:val="BodyText"/>
        <w:rPr>
          <w:sz w:val="34"/>
        </w:rPr>
      </w:pPr>
    </w:p>
    <w:p>
      <w:pPr>
        <w:spacing w:before="0"/>
        <w:ind w:left="0" w:right="1126" w:firstLine="0"/>
        <w:jc w:val="right"/>
        <w:rPr>
          <w:sz w:val="18"/>
        </w:rPr>
      </w:pPr>
      <w:r>
        <w:rPr>
          <w:color w:val="8BA8BD"/>
          <w:w w:val="110"/>
          <w:sz w:val="18"/>
        </w:rPr>
        <w:t>Baby and adult hand: ‘joining</w:t>
      </w:r>
      <w:r>
        <w:rPr>
          <w:color w:val="8BA8BD"/>
          <w:spacing w:val="31"/>
          <w:w w:val="110"/>
          <w:sz w:val="18"/>
        </w:rPr>
        <w:t> </w:t>
      </w:r>
      <w:r>
        <w:rPr>
          <w:color w:val="8BA8BD"/>
          <w:w w:val="110"/>
          <w:sz w:val="18"/>
        </w:rPr>
        <w:t>hands</w:t>
      </w:r>
    </w:p>
    <w:p>
      <w:pPr>
        <w:spacing w:before="1"/>
        <w:ind w:left="0" w:right="1127" w:firstLine="0"/>
        <w:jc w:val="right"/>
        <w:rPr>
          <w:sz w:val="18"/>
        </w:rPr>
      </w:pPr>
      <w:r>
        <w:rPr>
          <w:color w:val="8BA8BD"/>
          <w:w w:val="110"/>
          <w:sz w:val="18"/>
        </w:rPr>
        <w:t>- a sketch by Neil</w:t>
      </w:r>
      <w:r>
        <w:rPr>
          <w:color w:val="8BA8BD"/>
          <w:spacing w:val="42"/>
          <w:w w:val="110"/>
          <w:sz w:val="18"/>
        </w:rPr>
        <w:t> </w:t>
      </w:r>
      <w:r>
        <w:rPr>
          <w:color w:val="8BA8BD"/>
          <w:w w:val="110"/>
          <w:sz w:val="18"/>
        </w:rPr>
        <w:t>Thorogood’</w:t>
      </w:r>
    </w:p>
    <w:p>
      <w:pPr>
        <w:spacing w:after="0"/>
        <w:jc w:val="right"/>
        <w:rPr>
          <w:sz w:val="18"/>
        </w:rPr>
        <w:sectPr>
          <w:headerReference w:type="even" r:id="rId292"/>
          <w:headerReference w:type="default" r:id="rId293"/>
          <w:pgSz w:w="11910" w:h="16840"/>
          <w:pgMar w:header="0" w:footer="620" w:top="1060" w:bottom="800" w:left="0" w:right="0"/>
        </w:sectPr>
      </w:pPr>
    </w:p>
    <w:p>
      <w:pPr>
        <w:pStyle w:val="ListParagraph"/>
        <w:numPr>
          <w:ilvl w:val="1"/>
          <w:numId w:val="131"/>
        </w:numPr>
        <w:tabs>
          <w:tab w:pos="2664" w:val="left" w:leader="none"/>
          <w:tab w:pos="2665" w:val="left" w:leader="none"/>
        </w:tabs>
        <w:spacing w:line="235" w:lineRule="auto" w:before="91" w:after="0"/>
        <w:ind w:left="1984" w:right="1410" w:firstLine="0"/>
        <w:jc w:val="left"/>
        <w:rPr>
          <w:sz w:val="20"/>
        </w:rPr>
      </w:pPr>
      <w:r>
        <w:rPr/>
        <w:pict>
          <v:rect style="position:absolute;margin-left:558.424988pt;margin-top:8.503343pt;width:22.677pt;height:22.677pt;mso-position-horizontal-relative:page;mso-position-vertical-relative:paragraph;z-index:252056576" filled="true" fillcolor="#dae4ec" stroked="false">
            <v:fill opacity="32768f" type="solid"/>
            <w10:wrap type="none"/>
          </v:rect>
        </w:pict>
      </w:r>
      <w:r>
        <w:rPr/>
        <w:pict>
          <v:group style="position:absolute;margin-left:0pt;margin-top:402.221405pt;width:595.3pt;height:439.7pt;mso-position-horizontal-relative:page;mso-position-vertical-relative:page;z-index:-267366400" coordorigin="0,8044" coordsize="11906,8794">
            <v:shape style="position:absolute;left:0;top:13732;width:11906;height:3106" coordorigin="0,13732" coordsize="11906,3106" path="m11906,15231l1329,15231,1312,15228,1239,15216,1167,15200,1097,15181,1028,15158,960,15133,894,15104,830,15073,768,15039,707,15002,648,14962,591,14919,536,14874,484,14827,433,14777,385,14725,339,14671,296,14615,256,14557,218,14496,182,14434,150,14371,121,14305,94,14238,71,14170,50,14100,34,14029,20,13956,10,13882,3,13808,0,13732,0,15231,0,15245,0,16838,11906,16838,11906,15231e" filled="true" fillcolor="#8ba8bd" stroked="false">
              <v:path arrowok="t"/>
              <v:fill type="solid"/>
            </v:shape>
            <v:shape style="position:absolute;left:6145;top:8067;width:5761;height:8771" type="#_x0000_t75" stroked="false">
              <v:imagedata r:id="rId299" o:title=""/>
            </v:shape>
            <v:shape style="position:absolute;left:6116;top:8044;width:1985;height:1950" coordorigin="6117,8044" coordsize="1985,1950" path="m8097,8044l6117,8044,6117,9994,6120,9919,6125,9845,6133,9771,6144,9699,6157,9627,6173,9556,6191,9486,6212,9418,6235,9350,6261,9283,6289,9218,6319,9154,6351,9091,6385,9029,6422,8969,6461,8910,6501,8853,6544,8797,6588,8743,6635,8690,6683,8639,6733,8590,6784,8543,6837,8497,6892,8453,6949,8412,7006,8372,7066,8334,7127,8298,7189,8265,7252,8233,7317,8204,7383,8177,7450,8153,7518,8131,7587,8111,7658,8093,7729,8079,7801,8066,7874,8057,7948,8050,8022,8046,8097,8044xm8101,8044l8099,8044,8100,8045,8101,8045,8101,8044xe" filled="true" fillcolor="#ffffff" stroked="false">
              <v:path arrowok="t"/>
              <v:fill type="solid"/>
            </v:shape>
            <w10:wrap type="none"/>
          </v:group>
        </w:pict>
      </w:r>
      <w:r>
        <w:rPr>
          <w:spacing w:val="-4"/>
          <w:w w:val="120"/>
          <w:sz w:val="20"/>
        </w:rPr>
        <w:t>We’re </w:t>
      </w:r>
      <w:r>
        <w:rPr>
          <w:w w:val="120"/>
          <w:sz w:val="20"/>
        </w:rPr>
        <w:t>contributing to a strategic renewal of the Cambridge Theological Federation with ecumenical partners who are also seeking to be more focussed on the mission of the Church, on the life-long learning of the Church and on the international context in which we all live and</w:t>
      </w:r>
      <w:r>
        <w:rPr>
          <w:spacing w:val="15"/>
          <w:w w:val="120"/>
          <w:sz w:val="20"/>
        </w:rPr>
        <w:t> </w:t>
      </w:r>
      <w:r>
        <w:rPr>
          <w:w w:val="120"/>
          <w:sz w:val="20"/>
        </w:rPr>
        <w:t>learn.</w:t>
      </w:r>
    </w:p>
    <w:p>
      <w:pPr>
        <w:pStyle w:val="BodyText"/>
        <w:spacing w:before="10"/>
        <w:rPr>
          <w:sz w:val="19"/>
        </w:rPr>
      </w:pPr>
    </w:p>
    <w:p>
      <w:pPr>
        <w:pStyle w:val="ListParagraph"/>
        <w:numPr>
          <w:ilvl w:val="1"/>
          <w:numId w:val="131"/>
        </w:numPr>
        <w:tabs>
          <w:tab w:pos="2664" w:val="left" w:leader="none"/>
          <w:tab w:pos="2665" w:val="left" w:leader="none"/>
        </w:tabs>
        <w:spacing w:line="235" w:lineRule="auto" w:before="1" w:after="0"/>
        <w:ind w:left="1984" w:right="1170" w:firstLine="0"/>
        <w:jc w:val="left"/>
        <w:rPr>
          <w:sz w:val="20"/>
        </w:rPr>
      </w:pPr>
      <w:r>
        <w:rPr>
          <w:spacing w:val="-4"/>
          <w:w w:val="120"/>
          <w:sz w:val="20"/>
        </w:rPr>
        <w:t>We’re </w:t>
      </w:r>
      <w:r>
        <w:rPr>
          <w:w w:val="120"/>
          <w:sz w:val="20"/>
        </w:rPr>
        <w:t>planning to make our building ready for the new purpose of being a resource centre. The building is only one of the places in which we all work and serve   the Church. But it is an important one. We want to take the best opportunities the building offers and make it work for the Church in new ways. More about our plans will be evident at Assembly, but the key idea is to equip the building to serve its present purpose: to improve the accommodation for guests, to develop places for worship and prayer, to modernise and equip the meeting and teaching rooms, to provide good space for celebrating faith through music and </w:t>
      </w:r>
      <w:r>
        <w:rPr>
          <w:spacing w:val="2"/>
          <w:w w:val="120"/>
          <w:sz w:val="20"/>
        </w:rPr>
        <w:t>art, </w:t>
      </w:r>
      <w:r>
        <w:rPr>
          <w:w w:val="120"/>
          <w:sz w:val="20"/>
        </w:rPr>
        <w:t>to provide facilities to keep and to open up our precious historical resources and archives, to make the most of our grounds,</w:t>
      </w:r>
      <w:r>
        <w:rPr>
          <w:spacing w:val="26"/>
          <w:w w:val="120"/>
          <w:sz w:val="20"/>
        </w:rPr>
        <w:t> </w:t>
      </w:r>
      <w:r>
        <w:rPr>
          <w:w w:val="120"/>
          <w:sz w:val="20"/>
        </w:rPr>
        <w:t>and</w:t>
      </w:r>
    </w:p>
    <w:p>
      <w:pPr>
        <w:pStyle w:val="BodyText"/>
        <w:spacing w:line="235" w:lineRule="auto" w:before="6"/>
        <w:ind w:left="1984" w:right="1273"/>
      </w:pPr>
      <w:r>
        <w:rPr>
          <w:w w:val="120"/>
        </w:rPr>
        <w:t>to let in some fresh air to what could be consistently a beautiful place. We are working with a wonderful architect and a highly motivated and supportive board of governors to transform Westminster. We are exploring ways of funding this development, including the sale of those of Westminster’s historic assets with which we can reasonably part.</w:t>
      </w:r>
    </w:p>
    <w:p>
      <w:pPr>
        <w:pStyle w:val="BodyText"/>
        <w:spacing w:before="9"/>
        <w:rPr>
          <w:sz w:val="17"/>
        </w:rPr>
      </w:pPr>
    </w:p>
    <w:p>
      <w:pPr>
        <w:numPr>
          <w:ilvl w:val="0"/>
          <w:numId w:val="131"/>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People</w:t>
      </w:r>
    </w:p>
    <w:p>
      <w:pPr>
        <w:pStyle w:val="ListParagraph"/>
        <w:numPr>
          <w:ilvl w:val="1"/>
          <w:numId w:val="131"/>
        </w:numPr>
        <w:tabs>
          <w:tab w:pos="2664" w:val="left" w:leader="none"/>
          <w:tab w:pos="2665" w:val="left" w:leader="none"/>
        </w:tabs>
        <w:spacing w:line="235" w:lineRule="auto" w:before="223" w:after="0"/>
        <w:ind w:left="1984" w:right="1244" w:firstLine="0"/>
        <w:jc w:val="left"/>
        <w:rPr>
          <w:sz w:val="20"/>
        </w:rPr>
      </w:pPr>
      <w:r>
        <w:rPr>
          <w:w w:val="120"/>
          <w:sz w:val="20"/>
        </w:rPr>
        <w:t>Within the last two years we have prayed for God’s blessing on our leaving ministerial students and on those who have completed an award as </w:t>
      </w:r>
      <w:r>
        <w:rPr>
          <w:spacing w:val="2"/>
          <w:w w:val="120"/>
          <w:sz w:val="20"/>
        </w:rPr>
        <w:t>part </w:t>
      </w:r>
      <w:r>
        <w:rPr>
          <w:w w:val="120"/>
          <w:sz w:val="20"/>
        </w:rPr>
        <w:t>of </w:t>
      </w:r>
      <w:r>
        <w:rPr>
          <w:spacing w:val="-3"/>
          <w:w w:val="120"/>
          <w:sz w:val="20"/>
        </w:rPr>
        <w:t>EM3. </w:t>
      </w:r>
      <w:r>
        <w:rPr>
          <w:w w:val="120"/>
          <w:sz w:val="20"/>
        </w:rPr>
        <w:t>It is our privilege to be a community in which ministers are prepared, resourced and</w:t>
      </w:r>
      <w:r>
        <w:rPr>
          <w:spacing w:val="8"/>
          <w:w w:val="120"/>
          <w:sz w:val="20"/>
        </w:rPr>
        <w:t> </w:t>
      </w:r>
      <w:r>
        <w:rPr>
          <w:w w:val="120"/>
          <w:sz w:val="20"/>
        </w:rPr>
        <w:t>refreshed.</w:t>
      </w:r>
    </w:p>
    <w:p>
      <w:pPr>
        <w:pStyle w:val="BodyText"/>
        <w:spacing w:before="10"/>
        <w:rPr>
          <w:sz w:val="19"/>
        </w:rPr>
      </w:pPr>
    </w:p>
    <w:p>
      <w:pPr>
        <w:pStyle w:val="ListParagraph"/>
        <w:numPr>
          <w:ilvl w:val="1"/>
          <w:numId w:val="131"/>
        </w:numPr>
        <w:tabs>
          <w:tab w:pos="2664" w:val="left" w:leader="none"/>
          <w:tab w:pos="2665" w:val="left" w:leader="none"/>
        </w:tabs>
        <w:spacing w:line="235" w:lineRule="auto" w:before="0" w:after="0"/>
        <w:ind w:left="1984" w:right="1248" w:firstLine="0"/>
        <w:jc w:val="left"/>
        <w:rPr>
          <w:sz w:val="20"/>
        </w:rPr>
      </w:pPr>
      <w:r>
        <w:rPr>
          <w:w w:val="120"/>
          <w:sz w:val="20"/>
        </w:rPr>
        <w:t>We have thanked God for Margaret Thompson and for her work here as researcher, archivist and Principal’s PA. We hope soon to appoint a new archivist to succeed her and to develop work with our historical resources for local churches and for specialist</w:t>
      </w:r>
      <w:r>
        <w:rPr>
          <w:spacing w:val="1"/>
          <w:w w:val="120"/>
          <w:sz w:val="20"/>
        </w:rPr>
        <w:t> </w:t>
      </w:r>
      <w:r>
        <w:rPr>
          <w:w w:val="120"/>
          <w:sz w:val="20"/>
        </w:rPr>
        <w:t>scholars.</w:t>
      </w:r>
    </w:p>
    <w:p>
      <w:pPr>
        <w:pStyle w:val="BodyText"/>
        <w:spacing w:before="11"/>
        <w:rPr>
          <w:sz w:val="19"/>
        </w:rPr>
      </w:pPr>
    </w:p>
    <w:p>
      <w:pPr>
        <w:pStyle w:val="ListParagraph"/>
        <w:numPr>
          <w:ilvl w:val="1"/>
          <w:numId w:val="131"/>
        </w:numPr>
        <w:tabs>
          <w:tab w:pos="2664" w:val="left" w:leader="none"/>
          <w:tab w:pos="2665" w:val="left" w:leader="none"/>
        </w:tabs>
        <w:spacing w:line="235" w:lineRule="auto" w:before="0" w:after="0"/>
        <w:ind w:left="1984" w:right="6059" w:firstLine="0"/>
        <w:jc w:val="left"/>
        <w:rPr>
          <w:sz w:val="20"/>
        </w:rPr>
      </w:pPr>
      <w:r>
        <w:rPr>
          <w:w w:val="120"/>
          <w:sz w:val="20"/>
        </w:rPr>
        <w:t>We have also appointed new support staff, Peter Dawes, Sophie O’Reilly and Emma Daniels, so that Westminster can be efficiently run and imaginatively developed for the</w:t>
      </w:r>
      <w:r>
        <w:rPr>
          <w:spacing w:val="20"/>
          <w:w w:val="120"/>
          <w:sz w:val="20"/>
        </w:rPr>
        <w:t> </w:t>
      </w:r>
      <w:r>
        <w:rPr>
          <w:w w:val="120"/>
          <w:sz w:val="20"/>
        </w:rPr>
        <w:t>future.</w:t>
      </w:r>
    </w:p>
    <w:p>
      <w:pPr>
        <w:pStyle w:val="BodyText"/>
        <w:spacing w:before="12"/>
        <w:rPr>
          <w:sz w:val="19"/>
        </w:rPr>
      </w:pPr>
    </w:p>
    <w:p>
      <w:pPr>
        <w:pStyle w:val="ListParagraph"/>
        <w:numPr>
          <w:ilvl w:val="1"/>
          <w:numId w:val="131"/>
        </w:numPr>
        <w:tabs>
          <w:tab w:pos="2664" w:val="left" w:leader="none"/>
          <w:tab w:pos="2665" w:val="left" w:leader="none"/>
        </w:tabs>
        <w:spacing w:line="235" w:lineRule="auto" w:before="0" w:after="0"/>
        <w:ind w:left="1984" w:right="6006" w:firstLine="0"/>
        <w:jc w:val="left"/>
        <w:rPr>
          <w:sz w:val="20"/>
        </w:rPr>
      </w:pPr>
      <w:r>
        <w:rPr>
          <w:w w:val="120"/>
          <w:sz w:val="20"/>
        </w:rPr>
        <w:t>We have welcomed </w:t>
      </w:r>
      <w:r>
        <w:rPr>
          <w:spacing w:val="-4"/>
          <w:w w:val="120"/>
          <w:sz w:val="20"/>
        </w:rPr>
        <w:t>Tony </w:t>
      </w:r>
      <w:r>
        <w:rPr>
          <w:w w:val="120"/>
          <w:sz w:val="20"/>
        </w:rPr>
        <w:t>Bottoms as our new convener of governors and have rejoiced in his magnificent contribution to college</w:t>
      </w:r>
      <w:r>
        <w:rPr>
          <w:spacing w:val="44"/>
          <w:w w:val="120"/>
          <w:sz w:val="20"/>
        </w:rPr>
        <w:t> </w:t>
      </w:r>
      <w:r>
        <w:rPr>
          <w:w w:val="120"/>
          <w:sz w:val="20"/>
        </w:rPr>
        <w:t>life.</w:t>
      </w:r>
    </w:p>
    <w:p>
      <w:pPr>
        <w:pStyle w:val="BodyText"/>
        <w:spacing w:before="10"/>
        <w:rPr>
          <w:sz w:val="19"/>
        </w:rPr>
      </w:pPr>
    </w:p>
    <w:p>
      <w:pPr>
        <w:pStyle w:val="ListParagraph"/>
        <w:numPr>
          <w:ilvl w:val="1"/>
          <w:numId w:val="131"/>
        </w:numPr>
        <w:tabs>
          <w:tab w:pos="2664" w:val="left" w:leader="none"/>
          <w:tab w:pos="2665" w:val="left" w:leader="none"/>
        </w:tabs>
        <w:spacing w:line="235" w:lineRule="auto" w:before="1" w:after="0"/>
        <w:ind w:left="1984" w:right="6260" w:firstLine="0"/>
        <w:jc w:val="left"/>
        <w:rPr>
          <w:sz w:val="20"/>
        </w:rPr>
      </w:pPr>
      <w:r>
        <w:rPr>
          <w:w w:val="120"/>
          <w:sz w:val="20"/>
        </w:rPr>
        <w:t>This summer, the conveners of our two main working committees both reach the end of their</w:t>
      </w:r>
      <w:r>
        <w:rPr>
          <w:spacing w:val="6"/>
          <w:w w:val="120"/>
          <w:sz w:val="20"/>
        </w:rPr>
        <w:t> </w:t>
      </w:r>
      <w:r>
        <w:rPr>
          <w:w w:val="120"/>
          <w:sz w:val="20"/>
        </w:rPr>
        <w:t>terms</w:t>
      </w:r>
    </w:p>
    <w:p>
      <w:pPr>
        <w:pStyle w:val="BodyText"/>
        <w:spacing w:line="235" w:lineRule="auto" w:before="2"/>
        <w:ind w:left="1984" w:right="6125"/>
      </w:pPr>
      <w:r>
        <w:rPr>
          <w:w w:val="120"/>
        </w:rPr>
        <w:t>of office. We are deeply grateful to Fleur Houston (Board of Studies) and Brian Long (Management Committee) who have each served Westminster wonderfully well.</w:t>
      </w:r>
    </w:p>
    <w:p>
      <w:pPr>
        <w:pStyle w:val="BodyText"/>
        <w:spacing w:before="11"/>
        <w:rPr>
          <w:sz w:val="19"/>
        </w:rPr>
      </w:pPr>
    </w:p>
    <w:p>
      <w:pPr>
        <w:pStyle w:val="ListParagraph"/>
        <w:numPr>
          <w:ilvl w:val="1"/>
          <w:numId w:val="131"/>
        </w:numPr>
        <w:tabs>
          <w:tab w:pos="2664" w:val="left" w:leader="none"/>
          <w:tab w:pos="2665" w:val="left" w:leader="none"/>
        </w:tabs>
        <w:spacing w:line="235" w:lineRule="auto" w:before="0" w:after="0"/>
        <w:ind w:left="1984" w:right="6212" w:firstLine="0"/>
        <w:jc w:val="left"/>
        <w:rPr>
          <w:sz w:val="20"/>
        </w:rPr>
      </w:pPr>
      <w:r>
        <w:rPr>
          <w:w w:val="120"/>
          <w:sz w:val="20"/>
        </w:rPr>
        <w:t>Westminster is a community</w:t>
      </w:r>
      <w:r>
        <w:rPr>
          <w:spacing w:val="-29"/>
          <w:w w:val="120"/>
          <w:sz w:val="20"/>
        </w:rPr>
        <w:t> </w:t>
      </w:r>
      <w:r>
        <w:rPr>
          <w:w w:val="120"/>
          <w:sz w:val="20"/>
        </w:rPr>
        <w:t>of people, who, in good </w:t>
      </w:r>
      <w:r>
        <w:rPr>
          <w:spacing w:val="-3"/>
          <w:w w:val="120"/>
          <w:sz w:val="20"/>
        </w:rPr>
        <w:t>company, </w:t>
      </w:r>
      <w:r>
        <w:rPr>
          <w:w w:val="120"/>
          <w:sz w:val="20"/>
        </w:rPr>
        <w:t>are serving the United Reformed</w:t>
      </w:r>
      <w:r>
        <w:rPr>
          <w:spacing w:val="1"/>
          <w:w w:val="120"/>
          <w:sz w:val="20"/>
        </w:rPr>
        <w:t> </w:t>
      </w:r>
      <w:r>
        <w:rPr>
          <w:w w:val="120"/>
          <w:sz w:val="20"/>
        </w:rPr>
        <w:t>Church.</w:t>
      </w:r>
    </w:p>
    <w:p>
      <w:pPr>
        <w:pStyle w:val="BodyText"/>
      </w:pPr>
    </w:p>
    <w:p>
      <w:pPr>
        <w:pStyle w:val="BodyText"/>
      </w:pPr>
    </w:p>
    <w:p>
      <w:pPr>
        <w:pStyle w:val="BodyText"/>
      </w:pPr>
    </w:p>
    <w:p>
      <w:pPr>
        <w:pStyle w:val="BodyText"/>
      </w:pPr>
    </w:p>
    <w:p>
      <w:pPr>
        <w:pStyle w:val="BodyText"/>
      </w:pPr>
    </w:p>
    <w:p>
      <w:pPr>
        <w:pStyle w:val="BodyText"/>
        <w:rPr>
          <w:sz w:val="25"/>
        </w:rPr>
      </w:pPr>
    </w:p>
    <w:p>
      <w:pPr>
        <w:spacing w:before="102"/>
        <w:ind w:left="4532" w:right="5549" w:firstLine="162"/>
        <w:jc w:val="left"/>
        <w:rPr>
          <w:sz w:val="18"/>
        </w:rPr>
      </w:pPr>
      <w:r>
        <w:rPr/>
        <w:pict>
          <v:shape style="position:absolute;margin-left:232.237106pt;margin-top:28.698135pt;width:323.4pt;height:15.35pt;mso-position-horizontal-relative:page;mso-position-vertical-relative:paragraph;z-index:-267368448" type="#_x0000_t202" filled="false" stroked="false">
            <v:textbox inset="0,0,0,0">
              <w:txbxContent>
                <w:p>
                  <w:pPr>
                    <w:tabs>
                      <w:tab w:pos="5986" w:val="left" w:leader="none"/>
                    </w:tabs>
                    <w:spacing w:line="306" w:lineRule="exact" w:before="0"/>
                    <w:ind w:left="0" w:right="0" w:firstLine="0"/>
                    <w:jc w:val="left"/>
                    <w:rPr>
                      <w:rFonts w:ascii="Stone Sans II ITC Std X Bd" w:hAnsi="Stone Sans II ITC Std X Bd"/>
                      <w:b/>
                      <w:sz w:val="24"/>
                    </w:rPr>
                  </w:pPr>
                  <w:r>
                    <w:rPr>
                      <w:color w:val="FFFFFF"/>
                      <w:spacing w:val="-58"/>
                      <w:w w:val="104"/>
                      <w:position w:val="7"/>
                      <w:sz w:val="18"/>
                    </w:rPr>
                    <w:t>P</w:t>
                  </w:r>
                  <w:r>
                    <w:rPr>
                      <w:color w:val="8BA8BD"/>
                      <w:spacing w:val="-107"/>
                      <w:w w:val="111"/>
                      <w:sz w:val="23"/>
                    </w:rPr>
                    <w:t>U</w:t>
                  </w:r>
                  <w:r>
                    <w:rPr>
                      <w:color w:val="FFFFFF"/>
                      <w:spacing w:val="1"/>
                      <w:w w:val="103"/>
                      <w:position w:val="7"/>
                      <w:sz w:val="18"/>
                    </w:rPr>
                    <w:t>a</w:t>
                  </w:r>
                  <w:r>
                    <w:rPr>
                      <w:color w:val="FFFFFF"/>
                      <w:spacing w:val="-56"/>
                      <w:w w:val="103"/>
                      <w:position w:val="7"/>
                      <w:sz w:val="18"/>
                    </w:rPr>
                    <w:t>s</w:t>
                  </w:r>
                  <w:r>
                    <w:rPr>
                      <w:color w:val="8BA8BD"/>
                      <w:w w:val="110"/>
                      <w:sz w:val="23"/>
                    </w:rPr>
                    <w:t>ni</w:t>
                  </w:r>
                  <w:r>
                    <w:rPr>
                      <w:color w:val="8BA8BD"/>
                      <w:spacing w:val="-219"/>
                      <w:w w:val="110"/>
                      <w:sz w:val="23"/>
                    </w:rPr>
                    <w:t>t</w:t>
                  </w:r>
                  <w:r>
                    <w:rPr>
                      <w:color w:val="FFFFFF"/>
                      <w:spacing w:val="-2"/>
                      <w:w w:val="104"/>
                      <w:position w:val="7"/>
                      <w:sz w:val="18"/>
                    </w:rPr>
                    <w:t>t</w:t>
                  </w:r>
                  <w:r>
                    <w:rPr>
                      <w:color w:val="FFFFFF"/>
                      <w:spacing w:val="1"/>
                      <w:w w:val="110"/>
                      <w:position w:val="7"/>
                      <w:sz w:val="18"/>
                    </w:rPr>
                    <w:t>o</w:t>
                  </w:r>
                  <w:r>
                    <w:rPr>
                      <w:color w:val="FFFFFF"/>
                      <w:spacing w:val="-18"/>
                      <w:w w:val="103"/>
                      <w:position w:val="7"/>
                      <w:sz w:val="18"/>
                    </w:rPr>
                    <w:t>r</w:t>
                  </w:r>
                  <w:r>
                    <w:rPr>
                      <w:color w:val="8BA8BD"/>
                      <w:w w:val="115"/>
                      <w:sz w:val="23"/>
                    </w:rPr>
                    <w:t>e</w:t>
                  </w:r>
                  <w:r>
                    <w:rPr>
                      <w:color w:val="8BA8BD"/>
                      <w:spacing w:val="-251"/>
                      <w:w w:val="115"/>
                      <w:sz w:val="23"/>
                    </w:rPr>
                    <w:t>d</w:t>
                  </w:r>
                  <w:r>
                    <w:rPr>
                      <w:color w:val="FFFFFF"/>
                      <w:spacing w:val="1"/>
                      <w:w w:val="103"/>
                      <w:position w:val="7"/>
                      <w:sz w:val="18"/>
                    </w:rPr>
                    <w:t>a</w:t>
                  </w:r>
                  <w:r>
                    <w:rPr>
                      <w:color w:val="FFFFFF"/>
                      <w:w w:val="111"/>
                      <w:position w:val="7"/>
                      <w:sz w:val="18"/>
                    </w:rPr>
                    <w:t>l</w:t>
                  </w:r>
                  <w:r>
                    <w:rPr>
                      <w:color w:val="FFFFFF"/>
                      <w:spacing w:val="5"/>
                      <w:position w:val="7"/>
                      <w:sz w:val="18"/>
                    </w:rPr>
                    <w:t> </w:t>
                  </w:r>
                  <w:r>
                    <w:rPr>
                      <w:color w:val="FFFFFF"/>
                      <w:spacing w:val="-2"/>
                      <w:w w:val="111"/>
                      <w:position w:val="7"/>
                      <w:sz w:val="18"/>
                    </w:rPr>
                    <w:t>S</w:t>
                  </w:r>
                  <w:r>
                    <w:rPr>
                      <w:color w:val="FFFFFF"/>
                      <w:spacing w:val="-25"/>
                      <w:w w:val="104"/>
                      <w:position w:val="7"/>
                      <w:sz w:val="18"/>
                    </w:rPr>
                    <w:t>t</w:t>
                  </w:r>
                  <w:r>
                    <w:rPr>
                      <w:color w:val="8BA8BD"/>
                      <w:spacing w:val="-108"/>
                      <w:w w:val="105"/>
                      <w:sz w:val="23"/>
                    </w:rPr>
                    <w:t>R</w:t>
                  </w:r>
                  <w:r>
                    <w:rPr>
                      <w:color w:val="FFFFFF"/>
                      <w:spacing w:val="1"/>
                      <w:w w:val="110"/>
                      <w:position w:val="7"/>
                      <w:sz w:val="18"/>
                    </w:rPr>
                    <w:t>u</w:t>
                  </w:r>
                  <w:r>
                    <w:rPr>
                      <w:color w:val="FFFFFF"/>
                      <w:spacing w:val="-111"/>
                      <w:w w:val="117"/>
                      <w:position w:val="7"/>
                      <w:sz w:val="18"/>
                    </w:rPr>
                    <w:t>d</w:t>
                  </w:r>
                  <w:r>
                    <w:rPr>
                      <w:color w:val="8BA8BD"/>
                      <w:w w:val="104"/>
                      <w:sz w:val="23"/>
                    </w:rPr>
                    <w:t>e</w:t>
                  </w:r>
                  <w:r>
                    <w:rPr>
                      <w:color w:val="8BA8BD"/>
                      <w:spacing w:val="-82"/>
                      <w:w w:val="104"/>
                      <w:sz w:val="23"/>
                    </w:rPr>
                    <w:t>f</w:t>
                  </w:r>
                  <w:r>
                    <w:rPr>
                      <w:color w:val="FFFFFF"/>
                      <w:spacing w:val="1"/>
                      <w:w w:val="111"/>
                      <w:position w:val="7"/>
                      <w:sz w:val="18"/>
                    </w:rPr>
                    <w:t>i</w:t>
                  </w:r>
                  <w:r>
                    <w:rPr>
                      <w:color w:val="FFFFFF"/>
                      <w:spacing w:val="-64"/>
                      <w:w w:val="107"/>
                      <w:position w:val="7"/>
                      <w:sz w:val="18"/>
                    </w:rPr>
                    <w:t>e</w:t>
                  </w:r>
                  <w:r>
                    <w:rPr>
                      <w:color w:val="8BA8BD"/>
                      <w:w w:val="110"/>
                      <w:sz w:val="23"/>
                    </w:rPr>
                    <w:t>o</w:t>
                  </w:r>
                  <w:r>
                    <w:rPr>
                      <w:color w:val="8BA8BD"/>
                      <w:spacing w:val="-157"/>
                      <w:w w:val="110"/>
                      <w:sz w:val="23"/>
                    </w:rPr>
                    <w:t>r</w:t>
                  </w:r>
                  <w:r>
                    <w:rPr>
                      <w:color w:val="FFFFFF"/>
                      <w:w w:val="103"/>
                      <w:position w:val="7"/>
                      <w:sz w:val="18"/>
                    </w:rPr>
                    <w:t>s</w:t>
                  </w:r>
                  <w:r>
                    <w:rPr>
                      <w:color w:val="FFFFFF"/>
                      <w:position w:val="7"/>
                      <w:sz w:val="18"/>
                    </w:rPr>
                    <w:t> </w:t>
                  </w:r>
                  <w:r>
                    <w:rPr>
                      <w:color w:val="FFFFFF"/>
                      <w:spacing w:val="4"/>
                      <w:position w:val="7"/>
                      <w:sz w:val="18"/>
                    </w:rPr>
                    <w:t> </w:t>
                  </w:r>
                  <w:r>
                    <w:rPr>
                      <w:color w:val="8BA8BD"/>
                      <w:w w:val="114"/>
                      <w:sz w:val="23"/>
                    </w:rPr>
                    <w:t>med</w:t>
                  </w:r>
                  <w:r>
                    <w:rPr>
                      <w:color w:val="8BA8BD"/>
                      <w:spacing w:val="9"/>
                      <w:sz w:val="23"/>
                    </w:rPr>
                    <w:t> </w:t>
                  </w:r>
                  <w:r>
                    <w:rPr>
                      <w:color w:val="8BA8BD"/>
                      <w:w w:val="117"/>
                      <w:sz w:val="23"/>
                    </w:rPr>
                    <w:t>Chu</w:t>
                  </w:r>
                  <w:r>
                    <w:rPr>
                      <w:color w:val="8BA8BD"/>
                      <w:spacing w:val="-3"/>
                      <w:w w:val="117"/>
                      <w:sz w:val="23"/>
                    </w:rPr>
                    <w:t>r</w:t>
                  </w:r>
                  <w:r>
                    <w:rPr>
                      <w:color w:val="8BA8BD"/>
                      <w:w w:val="120"/>
                      <w:sz w:val="23"/>
                    </w:rPr>
                    <w:t>c</w:t>
                  </w:r>
                  <w:r>
                    <w:rPr>
                      <w:color w:val="8BA8BD"/>
                      <w:w w:val="113"/>
                      <w:sz w:val="23"/>
                    </w:rPr>
                    <w:t>h</w:t>
                  </w:r>
                  <w:r>
                    <w:rPr>
                      <w:color w:val="8BA8BD"/>
                      <w:sz w:val="23"/>
                    </w:rPr>
                    <w:t> </w:t>
                  </w:r>
                  <w:r>
                    <w:rPr>
                      <w:color w:val="8BA8BD"/>
                      <w:spacing w:val="23"/>
                      <w:sz w:val="23"/>
                    </w:rPr>
                    <w:t> </w:t>
                  </w:r>
                  <w:r>
                    <w:rPr>
                      <w:rFonts w:ascii="Symbol" w:hAnsi="Symbol"/>
                      <w:color w:val="8BA8BD"/>
                      <w:w w:val="104"/>
                      <w:sz w:val="23"/>
                    </w:rPr>
                    <w:t>•</w:t>
                  </w:r>
                  <w:r>
                    <w:rPr>
                      <w:rFonts w:ascii="Times New Roman" w:hAnsi="Times New Roman"/>
                      <w:color w:val="8BA8BD"/>
                      <w:sz w:val="23"/>
                    </w:rPr>
                    <w:t> </w:t>
                  </w:r>
                  <w:r>
                    <w:rPr>
                      <w:rFonts w:ascii="Times New Roman" w:hAnsi="Times New Roman"/>
                      <w:color w:val="8BA8BD"/>
                      <w:spacing w:val="5"/>
                      <w:sz w:val="23"/>
                    </w:rPr>
                    <w:t> </w:t>
                  </w:r>
                  <w:r>
                    <w:rPr>
                      <w:color w:val="8BA8BD"/>
                      <w:w w:val="113"/>
                      <w:sz w:val="23"/>
                    </w:rPr>
                    <w:t>Gene</w:t>
                  </w:r>
                  <w:r>
                    <w:rPr>
                      <w:color w:val="8BA8BD"/>
                      <w:spacing w:val="-3"/>
                      <w:w w:val="113"/>
                      <w:sz w:val="23"/>
                    </w:rPr>
                    <w:t>r</w:t>
                  </w:r>
                  <w:r>
                    <w:rPr>
                      <w:color w:val="8BA8BD"/>
                      <w:w w:val="106"/>
                      <w:sz w:val="23"/>
                    </w:rPr>
                    <w:t>al</w:t>
                  </w:r>
                  <w:r>
                    <w:rPr>
                      <w:color w:val="8BA8BD"/>
                      <w:spacing w:val="9"/>
                      <w:sz w:val="23"/>
                    </w:rPr>
                    <w:t> </w:t>
                  </w:r>
                  <w:r>
                    <w:rPr>
                      <w:color w:val="8BA8BD"/>
                      <w:w w:val="111"/>
                      <w:sz w:val="23"/>
                    </w:rPr>
                    <w:t>Assemb</w:t>
                  </w:r>
                  <w:r>
                    <w:rPr>
                      <w:color w:val="8BA8BD"/>
                      <w:spacing w:val="-1"/>
                      <w:w w:val="111"/>
                      <w:sz w:val="23"/>
                    </w:rPr>
                    <w:t>l</w:t>
                  </w:r>
                  <w:r>
                    <w:rPr>
                      <w:color w:val="8BA8BD"/>
                      <w:w w:val="114"/>
                      <w:sz w:val="23"/>
                    </w:rPr>
                    <w:t>y</w:t>
                  </w:r>
                  <w:r>
                    <w:rPr>
                      <w:color w:val="8BA8BD"/>
                      <w:spacing w:val="9"/>
                      <w:sz w:val="23"/>
                    </w:rPr>
                    <w:t> </w:t>
                  </w:r>
                  <w:r>
                    <w:rPr>
                      <w:color w:val="8BA8BD"/>
                      <w:w w:val="115"/>
                      <w:sz w:val="23"/>
                    </w:rPr>
                    <w:t>2010</w:t>
                  </w:r>
                  <w:r>
                    <w:rPr>
                      <w:color w:val="8BA8BD"/>
                      <w:sz w:val="23"/>
                    </w:rPr>
                    <w:t> </w:t>
                  </w:r>
                  <w:r>
                    <w:rPr>
                      <w:color w:val="8BA8BD"/>
                      <w:spacing w:val="23"/>
                      <w:sz w:val="23"/>
                    </w:rPr>
                    <w:t> </w:t>
                  </w:r>
                  <w:r>
                    <w:rPr>
                      <w:rFonts w:ascii="Symbol" w:hAnsi="Symbol"/>
                      <w:color w:val="8BA8BD"/>
                      <w:w w:val="104"/>
                      <w:sz w:val="23"/>
                    </w:rPr>
                    <w:t>•</w:t>
                  </w:r>
                  <w:r>
                    <w:rPr>
                      <w:rFonts w:ascii="Times New Roman" w:hAnsi="Times New Roman"/>
                      <w:color w:val="8BA8BD"/>
                      <w:sz w:val="23"/>
                    </w:rPr>
                    <w:tab/>
                  </w:r>
                  <w:r>
                    <w:rPr>
                      <w:rFonts w:ascii="Stone Sans II ITC Std X Bd" w:hAnsi="Stone Sans II ITC Std X Bd"/>
                      <w:b/>
                      <w:spacing w:val="-7"/>
                      <w:sz w:val="24"/>
                    </w:rPr>
                    <w:t>129</w:t>
                  </w:r>
                </w:p>
              </w:txbxContent>
            </v:textbox>
            <w10:wrap type="none"/>
          </v:shape>
        </w:pict>
      </w:r>
      <w:r>
        <w:rPr>
          <w:color w:val="FFFFFF"/>
          <w:w w:val="110"/>
          <w:sz w:val="18"/>
        </w:rPr>
        <w:t>Kim Plumpton - practical learning</w:t>
      </w:r>
    </w:p>
    <w:p>
      <w:pPr>
        <w:spacing w:after="0"/>
        <w:jc w:val="left"/>
        <w:rPr>
          <w:sz w:val="18"/>
        </w:rPr>
        <w:sectPr>
          <w:headerReference w:type="default" r:id="rId296"/>
          <w:headerReference w:type="even" r:id="rId297"/>
          <w:footerReference w:type="default" r:id="rId298"/>
          <w:pgSz w:w="11910" w:h="16840"/>
          <w:pgMar w:header="0" w:footer="0" w:top="1060" w:bottom="0" w:left="0" w:right="0"/>
        </w:sectPr>
      </w:pPr>
    </w:p>
    <w:p>
      <w:pPr>
        <w:pStyle w:val="Heading3"/>
        <w:spacing w:before="111"/>
      </w:pPr>
      <w:r>
        <w:rPr/>
        <w:pict>
          <v:rect style="position:absolute;margin-left:12.047pt;margin-top:8.481277pt;width:22.677pt;height:22.677pt;mso-position-horizontal-relative:page;mso-position-vertical-relative:paragraph;z-index:252058624" filled="true" fillcolor="#dae4ec" stroked="false">
            <v:fill opacity="32768f" type="solid"/>
            <w10:wrap type="none"/>
          </v:rect>
        </w:pict>
      </w:r>
      <w:r>
        <w:rPr>
          <w:color w:val="CA4F1B"/>
          <w:w w:val="110"/>
        </w:rPr>
        <w:t>Windermere Centre</w:t>
      </w:r>
    </w:p>
    <w:p>
      <w:pPr>
        <w:numPr>
          <w:ilvl w:val="0"/>
          <w:numId w:val="132"/>
        </w:numPr>
        <w:tabs>
          <w:tab w:pos="1853" w:val="left" w:leader="none"/>
          <w:tab w:pos="1854" w:val="left" w:leader="none"/>
        </w:tabs>
        <w:spacing w:before="386"/>
        <w:ind w:left="1853"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were</w:t>
      </w:r>
    </w:p>
    <w:p>
      <w:pPr>
        <w:pStyle w:val="ListParagraph"/>
        <w:numPr>
          <w:ilvl w:val="1"/>
          <w:numId w:val="132"/>
        </w:numPr>
        <w:tabs>
          <w:tab w:pos="1853" w:val="left" w:leader="none"/>
          <w:tab w:pos="1854" w:val="left" w:leader="none"/>
        </w:tabs>
        <w:spacing w:line="240" w:lineRule="auto" w:before="219" w:after="0"/>
        <w:ind w:left="1853" w:right="0" w:hanging="721"/>
        <w:jc w:val="left"/>
        <w:rPr>
          <w:sz w:val="20"/>
        </w:rPr>
      </w:pPr>
      <w:r>
        <w:rPr>
          <w:w w:val="120"/>
          <w:sz w:val="20"/>
        </w:rPr>
        <w:t>From Life and Witness to Education and</w:t>
      </w:r>
      <w:r>
        <w:rPr>
          <w:spacing w:val="14"/>
          <w:w w:val="120"/>
          <w:sz w:val="20"/>
        </w:rPr>
        <w:t> </w:t>
      </w:r>
      <w:r>
        <w:rPr>
          <w:w w:val="120"/>
          <w:sz w:val="20"/>
        </w:rPr>
        <w:t>Learning</w:t>
      </w:r>
    </w:p>
    <w:p>
      <w:pPr>
        <w:pStyle w:val="BodyText"/>
        <w:spacing w:before="7"/>
        <w:rPr>
          <w:sz w:val="19"/>
        </w:rPr>
      </w:pPr>
    </w:p>
    <w:p>
      <w:pPr>
        <w:pStyle w:val="ListParagraph"/>
        <w:numPr>
          <w:ilvl w:val="2"/>
          <w:numId w:val="132"/>
        </w:numPr>
        <w:tabs>
          <w:tab w:pos="1814" w:val="left" w:leader="none"/>
          <w:tab w:pos="1815" w:val="left" w:leader="none"/>
        </w:tabs>
        <w:spacing w:line="235" w:lineRule="auto" w:before="0" w:after="0"/>
        <w:ind w:left="1133" w:right="2218" w:firstLine="0"/>
        <w:jc w:val="left"/>
        <w:rPr>
          <w:sz w:val="20"/>
        </w:rPr>
      </w:pPr>
      <w:r>
        <w:rPr>
          <w:w w:val="120"/>
          <w:sz w:val="20"/>
        </w:rPr>
        <w:t>The Windermere Centre has historically been accountable to General Assembly through the Life and Witness Committee, although, as a residential training centre, has always fallen between the two stools of mission and education/training – a creative tension that has been reflected in its programme. Since the appointment of Lawrence Moore as the present Director in 2002, the programme has been designed specifically to equip the Church for all aspects of</w:t>
      </w:r>
      <w:r>
        <w:rPr>
          <w:spacing w:val="17"/>
          <w:w w:val="120"/>
          <w:sz w:val="20"/>
        </w:rPr>
        <w:t> </w:t>
      </w:r>
      <w:r>
        <w:rPr>
          <w:w w:val="120"/>
          <w:sz w:val="20"/>
        </w:rPr>
        <w:t>life-in-mission.</w:t>
      </w:r>
    </w:p>
    <w:p>
      <w:pPr>
        <w:pStyle w:val="BodyText"/>
      </w:pPr>
    </w:p>
    <w:p>
      <w:pPr>
        <w:pStyle w:val="ListParagraph"/>
        <w:numPr>
          <w:ilvl w:val="2"/>
          <w:numId w:val="132"/>
        </w:numPr>
        <w:tabs>
          <w:tab w:pos="1814" w:val="left" w:leader="none"/>
          <w:tab w:pos="1815" w:val="left" w:leader="none"/>
        </w:tabs>
        <w:spacing w:line="235" w:lineRule="auto" w:before="0" w:after="0"/>
        <w:ind w:left="1133" w:right="2139" w:firstLine="0"/>
        <w:jc w:val="left"/>
        <w:rPr>
          <w:sz w:val="20"/>
        </w:rPr>
      </w:pPr>
      <w:r>
        <w:rPr>
          <w:w w:val="120"/>
          <w:sz w:val="20"/>
        </w:rPr>
        <w:t>With the new </w:t>
      </w:r>
      <w:r>
        <w:rPr>
          <w:spacing w:val="-3"/>
          <w:w w:val="120"/>
          <w:sz w:val="20"/>
        </w:rPr>
        <w:t>committee </w:t>
      </w:r>
      <w:r>
        <w:rPr>
          <w:w w:val="120"/>
          <w:sz w:val="20"/>
        </w:rPr>
        <w:t>structure, the </w:t>
      </w:r>
      <w:r>
        <w:rPr>
          <w:spacing w:val="-3"/>
          <w:w w:val="120"/>
          <w:sz w:val="20"/>
        </w:rPr>
        <w:t>Centre </w:t>
      </w:r>
      <w:r>
        <w:rPr>
          <w:w w:val="120"/>
          <w:sz w:val="20"/>
        </w:rPr>
        <w:t>has </w:t>
      </w:r>
      <w:r>
        <w:rPr>
          <w:spacing w:val="-3"/>
          <w:w w:val="120"/>
          <w:sz w:val="20"/>
        </w:rPr>
        <w:t>moved to Education </w:t>
      </w:r>
      <w:r>
        <w:rPr>
          <w:w w:val="120"/>
          <w:sz w:val="20"/>
        </w:rPr>
        <w:t>and Learning and become one of the </w:t>
      </w:r>
      <w:r>
        <w:rPr>
          <w:spacing w:val="-5"/>
          <w:w w:val="120"/>
          <w:sz w:val="20"/>
        </w:rPr>
        <w:t>Church’s </w:t>
      </w:r>
      <w:r>
        <w:rPr>
          <w:w w:val="120"/>
          <w:sz w:val="20"/>
        </w:rPr>
        <w:t>four </w:t>
      </w:r>
      <w:r>
        <w:rPr>
          <w:spacing w:val="-3"/>
          <w:w w:val="120"/>
          <w:sz w:val="20"/>
        </w:rPr>
        <w:t>Resource Centres </w:t>
      </w:r>
      <w:r>
        <w:rPr>
          <w:w w:val="120"/>
          <w:sz w:val="20"/>
        </w:rPr>
        <w:t>for Learning. In practical terms, </w:t>
      </w:r>
      <w:r>
        <w:rPr>
          <w:spacing w:val="-3"/>
          <w:w w:val="120"/>
          <w:sz w:val="20"/>
        </w:rPr>
        <w:t>this </w:t>
      </w:r>
      <w:r>
        <w:rPr>
          <w:w w:val="120"/>
          <w:sz w:val="20"/>
        </w:rPr>
        <w:t>has meant more of a change in which the </w:t>
      </w:r>
      <w:r>
        <w:rPr>
          <w:spacing w:val="-3"/>
          <w:w w:val="120"/>
          <w:sz w:val="20"/>
        </w:rPr>
        <w:t>Centre </w:t>
      </w:r>
      <w:r>
        <w:rPr>
          <w:w w:val="120"/>
          <w:sz w:val="20"/>
        </w:rPr>
        <w:t>is </w:t>
      </w:r>
      <w:r>
        <w:rPr>
          <w:spacing w:val="-2"/>
          <w:w w:val="120"/>
          <w:sz w:val="20"/>
        </w:rPr>
        <w:t>viewed </w:t>
      </w:r>
      <w:r>
        <w:rPr>
          <w:spacing w:val="-3"/>
          <w:w w:val="120"/>
          <w:sz w:val="20"/>
        </w:rPr>
        <w:t>within </w:t>
      </w:r>
      <w:r>
        <w:rPr>
          <w:w w:val="120"/>
          <w:sz w:val="20"/>
        </w:rPr>
        <w:t>the </w:t>
      </w:r>
      <w:r>
        <w:rPr>
          <w:spacing w:val="-3"/>
          <w:w w:val="120"/>
          <w:sz w:val="20"/>
        </w:rPr>
        <w:t>Church </w:t>
      </w:r>
      <w:r>
        <w:rPr>
          <w:w w:val="120"/>
          <w:sz w:val="20"/>
        </w:rPr>
        <w:t>and</w:t>
      </w:r>
      <w:r>
        <w:rPr>
          <w:spacing w:val="-4"/>
          <w:w w:val="120"/>
          <w:sz w:val="20"/>
        </w:rPr>
        <w:t> </w:t>
      </w:r>
      <w:r>
        <w:rPr>
          <w:w w:val="120"/>
          <w:sz w:val="20"/>
        </w:rPr>
        <w:t>funded</w:t>
      </w:r>
      <w:r>
        <w:rPr>
          <w:spacing w:val="-4"/>
          <w:w w:val="120"/>
          <w:sz w:val="20"/>
        </w:rPr>
        <w:t> </w:t>
      </w:r>
      <w:r>
        <w:rPr>
          <w:w w:val="120"/>
          <w:sz w:val="20"/>
        </w:rPr>
        <w:t>and</w:t>
      </w:r>
      <w:r>
        <w:rPr>
          <w:spacing w:val="-3"/>
          <w:w w:val="120"/>
          <w:sz w:val="20"/>
        </w:rPr>
        <w:t> </w:t>
      </w:r>
      <w:r>
        <w:rPr>
          <w:w w:val="120"/>
          <w:sz w:val="20"/>
        </w:rPr>
        <w:t>managed</w:t>
      </w:r>
      <w:r>
        <w:rPr>
          <w:spacing w:val="-4"/>
          <w:w w:val="120"/>
          <w:sz w:val="20"/>
        </w:rPr>
        <w:t> </w:t>
      </w:r>
      <w:r>
        <w:rPr>
          <w:w w:val="120"/>
          <w:sz w:val="20"/>
        </w:rPr>
        <w:t>than</w:t>
      </w:r>
      <w:r>
        <w:rPr>
          <w:spacing w:val="-4"/>
          <w:w w:val="120"/>
          <w:sz w:val="20"/>
        </w:rPr>
        <w:t> </w:t>
      </w:r>
      <w:r>
        <w:rPr>
          <w:w w:val="120"/>
          <w:sz w:val="20"/>
        </w:rPr>
        <w:t>in</w:t>
      </w:r>
      <w:r>
        <w:rPr>
          <w:spacing w:val="-3"/>
          <w:w w:val="120"/>
          <w:sz w:val="20"/>
        </w:rPr>
        <w:t> </w:t>
      </w:r>
      <w:r>
        <w:rPr>
          <w:w w:val="120"/>
          <w:sz w:val="20"/>
        </w:rPr>
        <w:t>the</w:t>
      </w:r>
      <w:r>
        <w:rPr>
          <w:spacing w:val="-4"/>
          <w:w w:val="120"/>
          <w:sz w:val="20"/>
        </w:rPr>
        <w:t> </w:t>
      </w:r>
      <w:r>
        <w:rPr>
          <w:spacing w:val="-2"/>
          <w:w w:val="120"/>
          <w:sz w:val="20"/>
        </w:rPr>
        <w:t>way</w:t>
      </w:r>
      <w:r>
        <w:rPr>
          <w:spacing w:val="-4"/>
          <w:w w:val="120"/>
          <w:sz w:val="20"/>
        </w:rPr>
        <w:t> </w:t>
      </w:r>
      <w:r>
        <w:rPr>
          <w:w w:val="120"/>
          <w:sz w:val="20"/>
        </w:rPr>
        <w:t>the</w:t>
      </w:r>
      <w:r>
        <w:rPr>
          <w:spacing w:val="-3"/>
          <w:w w:val="120"/>
          <w:sz w:val="20"/>
        </w:rPr>
        <w:t> Centre</w:t>
      </w:r>
      <w:r>
        <w:rPr>
          <w:spacing w:val="-4"/>
          <w:w w:val="120"/>
          <w:sz w:val="20"/>
        </w:rPr>
        <w:t> </w:t>
      </w:r>
      <w:r>
        <w:rPr>
          <w:w w:val="120"/>
          <w:sz w:val="20"/>
        </w:rPr>
        <w:t>views</w:t>
      </w:r>
      <w:r>
        <w:rPr>
          <w:spacing w:val="-4"/>
          <w:w w:val="120"/>
          <w:sz w:val="20"/>
        </w:rPr>
        <w:t> </w:t>
      </w:r>
      <w:r>
        <w:rPr>
          <w:w w:val="120"/>
          <w:sz w:val="20"/>
        </w:rPr>
        <w:t>itself</w:t>
      </w:r>
      <w:r>
        <w:rPr>
          <w:spacing w:val="-3"/>
          <w:w w:val="120"/>
          <w:sz w:val="20"/>
        </w:rPr>
        <w:t> </w:t>
      </w:r>
      <w:r>
        <w:rPr>
          <w:w w:val="120"/>
          <w:sz w:val="20"/>
        </w:rPr>
        <w:t>and</w:t>
      </w:r>
      <w:r>
        <w:rPr>
          <w:spacing w:val="-4"/>
          <w:w w:val="120"/>
          <w:sz w:val="20"/>
        </w:rPr>
        <w:t> </w:t>
      </w:r>
      <w:r>
        <w:rPr>
          <w:w w:val="120"/>
          <w:sz w:val="20"/>
        </w:rPr>
        <w:t>its</w:t>
      </w:r>
      <w:r>
        <w:rPr>
          <w:spacing w:val="-4"/>
          <w:w w:val="120"/>
          <w:sz w:val="20"/>
        </w:rPr>
        <w:t> </w:t>
      </w:r>
      <w:r>
        <w:rPr>
          <w:w w:val="120"/>
          <w:sz w:val="20"/>
        </w:rPr>
        <w:t>priorities.</w:t>
      </w:r>
    </w:p>
    <w:p>
      <w:pPr>
        <w:pStyle w:val="BodyText"/>
        <w:spacing w:before="11"/>
        <w:rPr>
          <w:sz w:val="19"/>
        </w:rPr>
      </w:pPr>
    </w:p>
    <w:p>
      <w:pPr>
        <w:pStyle w:val="ListParagraph"/>
        <w:numPr>
          <w:ilvl w:val="2"/>
          <w:numId w:val="132"/>
        </w:numPr>
        <w:tabs>
          <w:tab w:pos="1814" w:val="left" w:leader="none"/>
          <w:tab w:pos="1815" w:val="left" w:leader="none"/>
        </w:tabs>
        <w:spacing w:line="235" w:lineRule="auto" w:before="0" w:after="0"/>
        <w:ind w:left="1133" w:right="2887" w:firstLine="0"/>
        <w:jc w:val="left"/>
        <w:rPr>
          <w:sz w:val="20"/>
        </w:rPr>
      </w:pPr>
      <w:r>
        <w:rPr>
          <w:w w:val="120"/>
          <w:sz w:val="20"/>
        </w:rPr>
        <w:t>The Windermere Centre Review </w:t>
      </w:r>
      <w:r>
        <w:rPr>
          <w:spacing w:val="-3"/>
          <w:w w:val="120"/>
          <w:sz w:val="20"/>
        </w:rPr>
        <w:t>(2008)  </w:t>
      </w:r>
      <w:r>
        <w:rPr>
          <w:w w:val="120"/>
          <w:sz w:val="20"/>
        </w:rPr>
        <w:t>recommended a rationalization  of the </w:t>
      </w:r>
      <w:r>
        <w:rPr>
          <w:spacing w:val="-3"/>
          <w:w w:val="120"/>
          <w:sz w:val="20"/>
        </w:rPr>
        <w:t>Centre’s </w:t>
      </w:r>
      <w:r>
        <w:rPr>
          <w:w w:val="120"/>
          <w:sz w:val="20"/>
        </w:rPr>
        <w:t>management structure. The functions of the former</w:t>
      </w:r>
      <w:r>
        <w:rPr>
          <w:spacing w:val="31"/>
          <w:w w:val="120"/>
          <w:sz w:val="20"/>
        </w:rPr>
        <w:t> </w:t>
      </w:r>
      <w:r>
        <w:rPr>
          <w:w w:val="120"/>
          <w:sz w:val="20"/>
        </w:rPr>
        <w:t>Windermere</w:t>
      </w:r>
    </w:p>
    <w:p>
      <w:pPr>
        <w:pStyle w:val="BodyText"/>
        <w:spacing w:line="235" w:lineRule="auto" w:before="2"/>
        <w:ind w:left="1133" w:right="1997"/>
      </w:pPr>
      <w:r>
        <w:rPr>
          <w:w w:val="120"/>
        </w:rPr>
        <w:t>Advisory Group </w:t>
      </w:r>
      <w:r>
        <w:rPr>
          <w:spacing w:val="-3"/>
          <w:w w:val="120"/>
        </w:rPr>
        <w:t>(strategic) </w:t>
      </w:r>
      <w:r>
        <w:rPr>
          <w:w w:val="120"/>
        </w:rPr>
        <w:t>and Windermere Local Management Committee (practical management) were amalgamated in the new Windermere Management Committee under the convenership of the Revd Howard Sharp. Its first priority from the Review has been to appoint a Centre Manager; to this end, a major review of the staffing structure of the Centre is</w:t>
      </w:r>
      <w:r>
        <w:rPr>
          <w:spacing w:val="6"/>
          <w:w w:val="120"/>
        </w:rPr>
        <w:t> </w:t>
      </w:r>
      <w:r>
        <w:rPr>
          <w:w w:val="120"/>
        </w:rPr>
        <w:t>underway.</w:t>
      </w:r>
    </w:p>
    <w:p>
      <w:pPr>
        <w:pStyle w:val="BodyText"/>
        <w:spacing w:before="7"/>
        <w:rPr>
          <w:sz w:val="19"/>
        </w:rPr>
      </w:pPr>
    </w:p>
    <w:p>
      <w:pPr>
        <w:pStyle w:val="ListParagraph"/>
        <w:numPr>
          <w:ilvl w:val="1"/>
          <w:numId w:val="132"/>
        </w:numPr>
        <w:tabs>
          <w:tab w:pos="1853" w:val="left" w:leader="none"/>
          <w:tab w:pos="1854" w:val="left" w:leader="none"/>
        </w:tabs>
        <w:spacing w:line="240" w:lineRule="auto" w:before="1" w:after="0"/>
        <w:ind w:left="1853" w:right="0" w:hanging="721"/>
        <w:jc w:val="left"/>
        <w:rPr>
          <w:sz w:val="20"/>
        </w:rPr>
      </w:pPr>
      <w:r>
        <w:rPr>
          <w:w w:val="120"/>
          <w:sz w:val="20"/>
        </w:rPr>
        <w:t>Recent</w:t>
      </w:r>
      <w:r>
        <w:rPr>
          <w:spacing w:val="2"/>
          <w:w w:val="120"/>
          <w:sz w:val="20"/>
        </w:rPr>
        <w:t> </w:t>
      </w:r>
      <w:r>
        <w:rPr>
          <w:w w:val="120"/>
          <w:sz w:val="20"/>
        </w:rPr>
        <w:t>developments</w:t>
      </w:r>
    </w:p>
    <w:p>
      <w:pPr>
        <w:pStyle w:val="BodyText"/>
        <w:spacing w:before="3"/>
        <w:rPr>
          <w:sz w:val="19"/>
        </w:rPr>
      </w:pPr>
    </w:p>
    <w:p>
      <w:pPr>
        <w:pStyle w:val="ListParagraph"/>
        <w:numPr>
          <w:ilvl w:val="2"/>
          <w:numId w:val="132"/>
        </w:numPr>
        <w:tabs>
          <w:tab w:pos="1814" w:val="left" w:leader="none"/>
          <w:tab w:pos="1815" w:val="left" w:leader="none"/>
        </w:tabs>
        <w:spacing w:line="242" w:lineRule="exact" w:before="0" w:after="0"/>
        <w:ind w:left="1814" w:right="0" w:hanging="682"/>
        <w:jc w:val="left"/>
        <w:rPr>
          <w:sz w:val="20"/>
        </w:rPr>
      </w:pPr>
      <w:r>
        <w:rPr>
          <w:w w:val="120"/>
          <w:sz w:val="20"/>
        </w:rPr>
        <w:t>Card Payment</w:t>
      </w:r>
      <w:r>
        <w:rPr>
          <w:spacing w:val="3"/>
          <w:w w:val="120"/>
          <w:sz w:val="20"/>
        </w:rPr>
        <w:t> </w:t>
      </w:r>
      <w:r>
        <w:rPr>
          <w:w w:val="120"/>
          <w:sz w:val="20"/>
        </w:rPr>
        <w:t>facilities</w:t>
      </w:r>
    </w:p>
    <w:p>
      <w:pPr>
        <w:pStyle w:val="BodyText"/>
        <w:spacing w:line="235" w:lineRule="auto" w:before="2"/>
        <w:ind w:left="1133" w:right="2092"/>
      </w:pPr>
      <w:r>
        <w:rPr>
          <w:w w:val="120"/>
        </w:rPr>
        <w:t>The Windermere Centre is now able to take payments by debit and credit cards. Payment can be made over the phone or in person. Guests are asked to ensure that they submit a £30 deposit with personal booking forms for courses and ideally to pay the balance on</w:t>
      </w:r>
      <w:r>
        <w:rPr>
          <w:spacing w:val="3"/>
          <w:w w:val="120"/>
        </w:rPr>
        <w:t> </w:t>
      </w:r>
      <w:r>
        <w:rPr>
          <w:w w:val="120"/>
        </w:rPr>
        <w:t>arrival.</w:t>
      </w:r>
    </w:p>
    <w:p>
      <w:pPr>
        <w:pStyle w:val="BodyText"/>
        <w:spacing w:before="7"/>
        <w:rPr>
          <w:sz w:val="19"/>
        </w:rPr>
      </w:pPr>
    </w:p>
    <w:p>
      <w:pPr>
        <w:pStyle w:val="ListParagraph"/>
        <w:numPr>
          <w:ilvl w:val="2"/>
          <w:numId w:val="132"/>
        </w:numPr>
        <w:tabs>
          <w:tab w:pos="1815" w:val="left" w:leader="none"/>
        </w:tabs>
        <w:spacing w:line="242" w:lineRule="exact" w:before="0" w:after="0"/>
        <w:ind w:left="1814" w:right="0" w:hanging="682"/>
        <w:jc w:val="left"/>
        <w:rPr>
          <w:sz w:val="20"/>
        </w:rPr>
      </w:pPr>
      <w:r>
        <w:rPr>
          <w:w w:val="120"/>
          <w:sz w:val="20"/>
        </w:rPr>
        <w:t>The Hannah</w:t>
      </w:r>
      <w:r>
        <w:rPr>
          <w:spacing w:val="4"/>
          <w:w w:val="120"/>
          <w:sz w:val="20"/>
        </w:rPr>
        <w:t> </w:t>
      </w:r>
      <w:r>
        <w:rPr>
          <w:w w:val="120"/>
          <w:sz w:val="20"/>
        </w:rPr>
        <w:t>Wing</w:t>
      </w:r>
    </w:p>
    <w:p>
      <w:pPr>
        <w:pStyle w:val="BodyText"/>
        <w:spacing w:line="235" w:lineRule="auto" w:before="2"/>
        <w:ind w:left="1133" w:right="1997"/>
      </w:pPr>
      <w:r>
        <w:rPr>
          <w:w w:val="120"/>
        </w:rPr>
        <w:t>In 2008 the four ground floor rooms for wheelchair users and the communal bathroom were re-ordered to provide two en-suite rooms for wheelchair users and one standard room for a course leader or carer. This means that wheelchair users and guests with disabilities and mobility issues now have up-to-the-minute accommodation facilities.</w:t>
      </w:r>
    </w:p>
    <w:p>
      <w:pPr>
        <w:pStyle w:val="BodyText"/>
        <w:spacing w:line="235" w:lineRule="auto" w:before="3"/>
        <w:ind w:left="1133" w:right="1997"/>
      </w:pPr>
      <w:r>
        <w:rPr>
          <w:w w:val="120"/>
        </w:rPr>
        <w:t>It means too that all Centre accommodation is en-suite. The improvements were made possible by a generous grant from the Hannah Fund.</w:t>
      </w:r>
    </w:p>
    <w:p>
      <w:pPr>
        <w:pStyle w:val="BodyText"/>
        <w:spacing w:before="5"/>
        <w:rPr>
          <w:sz w:val="19"/>
        </w:rPr>
      </w:pPr>
    </w:p>
    <w:p>
      <w:pPr>
        <w:pStyle w:val="ListParagraph"/>
        <w:numPr>
          <w:ilvl w:val="2"/>
          <w:numId w:val="132"/>
        </w:numPr>
        <w:tabs>
          <w:tab w:pos="1870" w:val="left" w:leader="none"/>
          <w:tab w:pos="1871" w:val="left" w:leader="none"/>
        </w:tabs>
        <w:spacing w:line="242" w:lineRule="exact" w:before="0" w:after="0"/>
        <w:ind w:left="1870" w:right="0" w:hanging="738"/>
        <w:jc w:val="left"/>
        <w:rPr>
          <w:sz w:val="20"/>
        </w:rPr>
      </w:pPr>
      <w:r>
        <w:rPr>
          <w:w w:val="120"/>
          <w:sz w:val="20"/>
        </w:rPr>
        <w:t>WiFi</w:t>
      </w:r>
      <w:r>
        <w:rPr>
          <w:spacing w:val="2"/>
          <w:w w:val="120"/>
          <w:sz w:val="20"/>
        </w:rPr>
        <w:t> </w:t>
      </w:r>
      <w:r>
        <w:rPr>
          <w:w w:val="120"/>
          <w:sz w:val="20"/>
        </w:rPr>
        <w:t>Connection</w:t>
      </w:r>
    </w:p>
    <w:p>
      <w:pPr>
        <w:pStyle w:val="BodyText"/>
        <w:spacing w:line="235" w:lineRule="auto" w:before="2"/>
        <w:ind w:left="1133" w:right="1997"/>
      </w:pPr>
      <w:r>
        <w:rPr>
          <w:w w:val="120"/>
        </w:rPr>
        <w:t>The Centre is served by two secure wireless internet connections that ensure guests have fast, secure broadband internet access throughout the building.</w:t>
      </w:r>
    </w:p>
    <w:p>
      <w:pPr>
        <w:pStyle w:val="BodyText"/>
        <w:spacing w:before="8"/>
        <w:rPr>
          <w:sz w:val="17"/>
        </w:rPr>
      </w:pPr>
    </w:p>
    <w:p>
      <w:pPr>
        <w:numPr>
          <w:ilvl w:val="0"/>
          <w:numId w:val="132"/>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Where we</w:t>
      </w:r>
      <w:r>
        <w:rPr>
          <w:rFonts w:ascii="Stone Sans II ITC Std Bk"/>
          <w:b/>
          <w:spacing w:val="-3"/>
          <w:w w:val="115"/>
          <w:sz w:val="21"/>
        </w:rPr>
        <w:t> </w:t>
      </w:r>
      <w:r>
        <w:rPr>
          <w:rFonts w:ascii="Stone Sans II ITC Std Bk"/>
          <w:b/>
          <w:w w:val="115"/>
          <w:sz w:val="21"/>
        </w:rPr>
        <w:t>are</w:t>
      </w:r>
    </w:p>
    <w:p>
      <w:pPr>
        <w:pStyle w:val="ListParagraph"/>
        <w:numPr>
          <w:ilvl w:val="1"/>
          <w:numId w:val="132"/>
        </w:numPr>
        <w:tabs>
          <w:tab w:pos="1814" w:val="left" w:leader="none"/>
          <w:tab w:pos="1815" w:val="left" w:leader="none"/>
        </w:tabs>
        <w:spacing w:line="240" w:lineRule="auto" w:before="218" w:after="0"/>
        <w:ind w:left="1814" w:right="0" w:hanging="682"/>
        <w:jc w:val="left"/>
        <w:rPr>
          <w:sz w:val="20"/>
        </w:rPr>
      </w:pPr>
      <w:r>
        <w:rPr>
          <w:w w:val="120"/>
          <w:sz w:val="20"/>
        </w:rPr>
        <w:t>A resource centre for</w:t>
      </w:r>
      <w:r>
        <w:rPr>
          <w:spacing w:val="7"/>
          <w:w w:val="120"/>
          <w:sz w:val="20"/>
        </w:rPr>
        <w:t> </w:t>
      </w:r>
      <w:r>
        <w:rPr>
          <w:w w:val="120"/>
          <w:sz w:val="20"/>
        </w:rPr>
        <w:t>learning</w:t>
      </w:r>
    </w:p>
    <w:p>
      <w:pPr>
        <w:pStyle w:val="BodyText"/>
        <w:spacing w:before="8"/>
        <w:rPr>
          <w:sz w:val="19"/>
        </w:rPr>
      </w:pPr>
    </w:p>
    <w:p>
      <w:pPr>
        <w:pStyle w:val="ListParagraph"/>
        <w:numPr>
          <w:ilvl w:val="2"/>
          <w:numId w:val="132"/>
        </w:numPr>
        <w:tabs>
          <w:tab w:pos="1814" w:val="left" w:leader="none"/>
          <w:tab w:pos="1815" w:val="left" w:leader="none"/>
        </w:tabs>
        <w:spacing w:line="235" w:lineRule="auto" w:before="0" w:after="0"/>
        <w:ind w:left="1133" w:right="2175" w:firstLine="0"/>
        <w:jc w:val="left"/>
        <w:rPr>
          <w:sz w:val="20"/>
        </w:rPr>
      </w:pPr>
      <w:r>
        <w:rPr>
          <w:w w:val="120"/>
          <w:sz w:val="20"/>
        </w:rPr>
        <w:t>Established originally as a lay training centre, the Centre has, for some years, run a core programme aimed at both lay and ordained members of the Church, as well as hosting church weekends, residential committee meetings and network</w:t>
      </w:r>
      <w:r>
        <w:rPr>
          <w:spacing w:val="4"/>
          <w:w w:val="120"/>
          <w:sz w:val="20"/>
        </w:rPr>
        <w:t> </w:t>
      </w:r>
      <w:r>
        <w:rPr>
          <w:w w:val="120"/>
          <w:sz w:val="20"/>
        </w:rPr>
        <w:t>gatherings.</w:t>
      </w:r>
    </w:p>
    <w:p>
      <w:pPr>
        <w:pStyle w:val="BodyText"/>
        <w:spacing w:before="6"/>
        <w:rPr>
          <w:sz w:val="19"/>
        </w:rPr>
      </w:pPr>
    </w:p>
    <w:p>
      <w:pPr>
        <w:pStyle w:val="ListParagraph"/>
        <w:numPr>
          <w:ilvl w:val="2"/>
          <w:numId w:val="132"/>
        </w:numPr>
        <w:tabs>
          <w:tab w:pos="1814" w:val="left" w:leader="none"/>
          <w:tab w:pos="1815" w:val="left" w:leader="none"/>
        </w:tabs>
        <w:spacing w:line="227" w:lineRule="exact" w:before="0" w:after="0"/>
        <w:ind w:left="1814" w:right="0" w:hanging="682"/>
        <w:jc w:val="left"/>
        <w:rPr>
          <w:sz w:val="20"/>
        </w:rPr>
      </w:pPr>
      <w:r>
        <w:rPr>
          <w:w w:val="120"/>
          <w:sz w:val="20"/>
        </w:rPr>
        <w:t>The core programme has been designed to incorporate the following</w:t>
      </w:r>
      <w:r>
        <w:rPr>
          <w:spacing w:val="36"/>
          <w:w w:val="120"/>
          <w:sz w:val="20"/>
        </w:rPr>
        <w:t> </w:t>
      </w:r>
      <w:r>
        <w:rPr>
          <w:w w:val="120"/>
          <w:sz w:val="20"/>
        </w:rPr>
        <w:t>elements:</w:t>
      </w:r>
    </w:p>
    <w:p>
      <w:pPr>
        <w:pStyle w:val="ListParagraph"/>
        <w:numPr>
          <w:ilvl w:val="1"/>
          <w:numId w:val="123"/>
        </w:numPr>
        <w:tabs>
          <w:tab w:pos="1814" w:val="left" w:leader="none"/>
          <w:tab w:pos="1815" w:val="left" w:leader="none"/>
        </w:tabs>
        <w:spacing w:line="264" w:lineRule="exact" w:before="0" w:after="0"/>
        <w:ind w:left="1814" w:right="0" w:hanging="682"/>
        <w:jc w:val="left"/>
        <w:rPr>
          <w:sz w:val="20"/>
        </w:rPr>
      </w:pPr>
      <w:r>
        <w:rPr>
          <w:w w:val="120"/>
          <w:sz w:val="20"/>
        </w:rPr>
        <w:t>Bible and</w:t>
      </w:r>
      <w:r>
        <w:rPr>
          <w:spacing w:val="4"/>
          <w:w w:val="120"/>
          <w:sz w:val="20"/>
        </w:rPr>
        <w:t> </w:t>
      </w:r>
      <w:r>
        <w:rPr>
          <w:w w:val="120"/>
          <w:sz w:val="20"/>
        </w:rPr>
        <w:t>theology</w:t>
      </w:r>
    </w:p>
    <w:p>
      <w:pPr>
        <w:pStyle w:val="ListParagraph"/>
        <w:numPr>
          <w:ilvl w:val="1"/>
          <w:numId w:val="123"/>
        </w:numPr>
        <w:tabs>
          <w:tab w:pos="1814" w:val="left" w:leader="none"/>
          <w:tab w:pos="1815" w:val="left" w:leader="none"/>
        </w:tabs>
        <w:spacing w:line="240" w:lineRule="exact" w:before="0" w:after="0"/>
        <w:ind w:left="1814" w:right="0" w:hanging="682"/>
        <w:jc w:val="left"/>
        <w:rPr>
          <w:sz w:val="20"/>
        </w:rPr>
      </w:pPr>
      <w:r>
        <w:rPr>
          <w:w w:val="120"/>
          <w:sz w:val="20"/>
        </w:rPr>
        <w:t>Worship and</w:t>
      </w:r>
      <w:r>
        <w:rPr>
          <w:spacing w:val="4"/>
          <w:w w:val="120"/>
          <w:sz w:val="20"/>
        </w:rPr>
        <w:t> </w:t>
      </w:r>
      <w:r>
        <w:rPr>
          <w:w w:val="120"/>
          <w:sz w:val="20"/>
        </w:rPr>
        <w:t>preaching</w:t>
      </w:r>
    </w:p>
    <w:p>
      <w:pPr>
        <w:pStyle w:val="ListParagraph"/>
        <w:numPr>
          <w:ilvl w:val="1"/>
          <w:numId w:val="123"/>
        </w:numPr>
        <w:tabs>
          <w:tab w:pos="1814" w:val="left" w:leader="none"/>
          <w:tab w:pos="1815" w:val="left" w:leader="none"/>
        </w:tabs>
        <w:spacing w:line="240" w:lineRule="exact" w:before="0" w:after="0"/>
        <w:ind w:left="1814" w:right="0" w:hanging="682"/>
        <w:jc w:val="left"/>
        <w:rPr>
          <w:sz w:val="20"/>
        </w:rPr>
      </w:pPr>
      <w:r>
        <w:rPr>
          <w:w w:val="120"/>
          <w:sz w:val="20"/>
        </w:rPr>
        <w:t>Missiology and contemporary</w:t>
      </w:r>
      <w:r>
        <w:rPr>
          <w:spacing w:val="6"/>
          <w:w w:val="120"/>
          <w:sz w:val="20"/>
        </w:rPr>
        <w:t> </w:t>
      </w:r>
      <w:r>
        <w:rPr>
          <w:w w:val="120"/>
          <w:sz w:val="20"/>
        </w:rPr>
        <w:t>culture</w:t>
      </w:r>
    </w:p>
    <w:p>
      <w:pPr>
        <w:pStyle w:val="ListParagraph"/>
        <w:numPr>
          <w:ilvl w:val="1"/>
          <w:numId w:val="123"/>
        </w:numPr>
        <w:tabs>
          <w:tab w:pos="1814" w:val="left" w:leader="none"/>
          <w:tab w:pos="1815" w:val="left" w:leader="none"/>
        </w:tabs>
        <w:spacing w:line="281" w:lineRule="exact" w:before="0" w:after="0"/>
        <w:ind w:left="1814" w:right="0" w:hanging="682"/>
        <w:jc w:val="left"/>
        <w:rPr>
          <w:sz w:val="20"/>
        </w:rPr>
      </w:pPr>
      <w:r>
        <w:rPr>
          <w:w w:val="120"/>
          <w:sz w:val="20"/>
        </w:rPr>
        <w:t>Personal faith and</w:t>
      </w:r>
      <w:r>
        <w:rPr>
          <w:spacing w:val="5"/>
          <w:w w:val="120"/>
          <w:sz w:val="20"/>
        </w:rPr>
        <w:t> </w:t>
      </w:r>
      <w:r>
        <w:rPr>
          <w:w w:val="120"/>
          <w:sz w:val="20"/>
        </w:rPr>
        <w:t>spirituality</w:t>
      </w:r>
    </w:p>
    <w:p>
      <w:pPr>
        <w:spacing w:after="0" w:line="281" w:lineRule="exact"/>
        <w:jc w:val="left"/>
        <w:rPr>
          <w:sz w:val="20"/>
        </w:rPr>
        <w:sectPr>
          <w:headerReference w:type="even" r:id="rId300"/>
          <w:headerReference w:type="default" r:id="rId301"/>
          <w:footerReference w:type="even" r:id="rId302"/>
          <w:pgSz w:w="11910" w:h="16840"/>
          <w:pgMar w:header="0" w:footer="647" w:top="1060" w:bottom="840" w:left="0" w:right="0"/>
        </w:sectPr>
      </w:pPr>
    </w:p>
    <w:p>
      <w:pPr>
        <w:pStyle w:val="ListParagraph"/>
        <w:numPr>
          <w:ilvl w:val="2"/>
          <w:numId w:val="123"/>
        </w:numPr>
        <w:tabs>
          <w:tab w:pos="2664" w:val="left" w:leader="none"/>
          <w:tab w:pos="2665" w:val="left" w:leader="none"/>
        </w:tabs>
        <w:spacing w:line="281" w:lineRule="exact" w:before="80" w:after="0"/>
        <w:ind w:left="2664" w:right="0" w:hanging="681"/>
        <w:jc w:val="left"/>
        <w:rPr>
          <w:sz w:val="20"/>
        </w:rPr>
      </w:pPr>
      <w:r>
        <w:rPr/>
        <w:pict>
          <v:rect style="position:absolute;margin-left:558.424988pt;margin-top:8.485752pt;width:22.677pt;height:22.677pt;mso-position-horizontal-relative:page;mso-position-vertical-relative:paragraph;z-index:252059648" filled="true" fillcolor="#dae4ec" stroked="false">
            <v:fill opacity="32768f" type="solid"/>
            <w10:wrap type="none"/>
          </v:rect>
        </w:pict>
      </w:r>
      <w:r>
        <w:rPr>
          <w:w w:val="120"/>
          <w:sz w:val="20"/>
        </w:rPr>
        <w:t>Ecumenical</w:t>
      </w:r>
    </w:p>
    <w:p>
      <w:pPr>
        <w:pStyle w:val="ListParagraph"/>
        <w:numPr>
          <w:ilvl w:val="2"/>
          <w:numId w:val="123"/>
        </w:numPr>
        <w:tabs>
          <w:tab w:pos="2664" w:val="left" w:leader="none"/>
          <w:tab w:pos="2665" w:val="left" w:leader="none"/>
        </w:tabs>
        <w:spacing w:line="281" w:lineRule="exact" w:before="0" w:after="0"/>
        <w:ind w:left="2664" w:right="0" w:hanging="681"/>
        <w:jc w:val="left"/>
        <w:rPr>
          <w:sz w:val="20"/>
        </w:rPr>
      </w:pPr>
      <w:r>
        <w:rPr>
          <w:w w:val="120"/>
          <w:sz w:val="20"/>
        </w:rPr>
        <w:t>Administration and other</w:t>
      </w:r>
      <w:r>
        <w:rPr>
          <w:spacing w:val="5"/>
          <w:w w:val="120"/>
          <w:sz w:val="20"/>
        </w:rPr>
        <w:t> </w:t>
      </w:r>
      <w:r>
        <w:rPr>
          <w:w w:val="120"/>
          <w:sz w:val="20"/>
        </w:rPr>
        <w:t>skills</w:t>
      </w:r>
    </w:p>
    <w:p>
      <w:pPr>
        <w:pStyle w:val="ListParagraph"/>
        <w:numPr>
          <w:ilvl w:val="2"/>
          <w:numId w:val="132"/>
        </w:numPr>
        <w:tabs>
          <w:tab w:pos="2704" w:val="left" w:leader="none"/>
          <w:tab w:pos="2705" w:val="left" w:leader="none"/>
        </w:tabs>
        <w:spacing w:line="192" w:lineRule="auto" w:before="189" w:after="0"/>
        <w:ind w:left="1984" w:right="1212" w:firstLine="0"/>
        <w:jc w:val="left"/>
        <w:rPr>
          <w:sz w:val="20"/>
        </w:rPr>
      </w:pPr>
      <w:r>
        <w:rPr/>
        <w:drawing>
          <wp:anchor distT="0" distB="0" distL="0" distR="0" allowOverlap="1" layoutInCell="1" locked="0" behindDoc="1" simplePos="0" relativeHeight="235953152">
            <wp:simplePos x="0" y="0"/>
            <wp:positionH relativeFrom="page">
              <wp:posOffset>6069676</wp:posOffset>
            </wp:positionH>
            <wp:positionV relativeFrom="paragraph">
              <wp:posOffset>113496</wp:posOffset>
            </wp:positionV>
            <wp:extent cx="232857" cy="181203"/>
            <wp:effectExtent l="0" t="0" r="0" b="0"/>
            <wp:wrapNone/>
            <wp:docPr id="123" name="image128.png"/>
            <wp:cNvGraphicFramePr>
              <a:graphicFrameLocks noChangeAspect="1"/>
            </wp:cNvGraphicFramePr>
            <a:graphic>
              <a:graphicData uri="http://schemas.openxmlformats.org/drawingml/2006/picture">
                <pic:pic>
                  <pic:nvPicPr>
                    <pic:cNvPr id="124" name="image128.png"/>
                    <pic:cNvPicPr/>
                  </pic:nvPicPr>
                  <pic:blipFill>
                    <a:blip r:embed="rId304" cstate="print"/>
                    <a:stretch>
                      <a:fillRect/>
                    </a:stretch>
                  </pic:blipFill>
                  <pic:spPr>
                    <a:xfrm>
                      <a:off x="0" y="0"/>
                      <a:ext cx="232857" cy="181203"/>
                    </a:xfrm>
                    <a:prstGeom prst="rect">
                      <a:avLst/>
                    </a:prstGeom>
                  </pic:spPr>
                </pic:pic>
              </a:graphicData>
            </a:graphic>
          </wp:anchor>
        </w:drawing>
      </w:r>
      <w:r>
        <w:rPr>
          <w:w w:val="120"/>
          <w:sz w:val="20"/>
        </w:rPr>
        <w:t>Since 2008, the </w:t>
      </w:r>
      <w:r>
        <w:rPr>
          <w:spacing w:val="-3"/>
          <w:w w:val="120"/>
          <w:sz w:val="20"/>
        </w:rPr>
        <w:t>Centre’s </w:t>
      </w:r>
      <w:r>
        <w:rPr>
          <w:w w:val="120"/>
          <w:sz w:val="20"/>
        </w:rPr>
        <w:t>programme has been focussed around </w:t>
      </w:r>
      <w:r>
        <w:rPr>
          <w:rFonts w:ascii="Arial Rounded MT Bold" w:hAnsi="Arial Rounded MT Bold"/>
          <w:sz w:val="21"/>
        </w:rPr>
        <w:t>Vision4</w:t>
      </w:r>
      <w:r>
        <w:rPr>
          <w:rFonts w:ascii="Bradley Hand ITC" w:hAnsi="Bradley Hand ITC"/>
          <w:color w:val="C20D19"/>
          <w:sz w:val="28"/>
        </w:rPr>
        <w:t>Life</w:t>
      </w:r>
      <w:r>
        <w:rPr>
          <w:sz w:val="20"/>
        </w:rPr>
        <w:t>, </w:t>
      </w:r>
      <w:r>
        <w:rPr>
          <w:w w:val="120"/>
          <w:sz w:val="20"/>
        </w:rPr>
        <w:t>supplementing</w:t>
      </w:r>
      <w:r>
        <w:rPr>
          <w:spacing w:val="7"/>
          <w:w w:val="120"/>
          <w:sz w:val="20"/>
        </w:rPr>
        <w:t> </w:t>
      </w:r>
      <w:r>
        <w:rPr>
          <w:w w:val="120"/>
          <w:sz w:val="20"/>
        </w:rPr>
        <w:t>and</w:t>
      </w:r>
      <w:r>
        <w:rPr>
          <w:spacing w:val="7"/>
          <w:w w:val="120"/>
          <w:sz w:val="20"/>
        </w:rPr>
        <w:t> </w:t>
      </w:r>
      <w:r>
        <w:rPr>
          <w:w w:val="120"/>
          <w:sz w:val="20"/>
        </w:rPr>
        <w:t>expanding</w:t>
      </w:r>
      <w:r>
        <w:rPr>
          <w:spacing w:val="8"/>
          <w:w w:val="120"/>
          <w:sz w:val="20"/>
        </w:rPr>
        <w:t> </w:t>
      </w:r>
      <w:r>
        <w:rPr>
          <w:w w:val="120"/>
          <w:sz w:val="20"/>
        </w:rPr>
        <w:t>the</w:t>
      </w:r>
      <w:r>
        <w:rPr>
          <w:spacing w:val="7"/>
          <w:w w:val="120"/>
          <w:sz w:val="20"/>
        </w:rPr>
        <w:t> </w:t>
      </w:r>
      <w:r>
        <w:rPr>
          <w:w w:val="120"/>
          <w:sz w:val="20"/>
        </w:rPr>
        <w:t>range</w:t>
      </w:r>
      <w:r>
        <w:rPr>
          <w:spacing w:val="7"/>
          <w:w w:val="120"/>
          <w:sz w:val="20"/>
        </w:rPr>
        <w:t> </w:t>
      </w:r>
      <w:r>
        <w:rPr>
          <w:w w:val="120"/>
          <w:sz w:val="20"/>
        </w:rPr>
        <w:t>of</w:t>
      </w:r>
      <w:r>
        <w:rPr>
          <w:spacing w:val="8"/>
          <w:w w:val="120"/>
          <w:sz w:val="20"/>
        </w:rPr>
        <w:t> </w:t>
      </w:r>
      <w:r>
        <w:rPr>
          <w:w w:val="120"/>
          <w:sz w:val="20"/>
        </w:rPr>
        <w:t>materials</w:t>
      </w:r>
      <w:r>
        <w:rPr>
          <w:spacing w:val="7"/>
          <w:w w:val="120"/>
          <w:sz w:val="20"/>
        </w:rPr>
        <w:t> </w:t>
      </w:r>
      <w:r>
        <w:rPr>
          <w:w w:val="120"/>
          <w:sz w:val="20"/>
        </w:rPr>
        <w:t>offered</w:t>
      </w:r>
      <w:r>
        <w:rPr>
          <w:spacing w:val="7"/>
          <w:w w:val="120"/>
          <w:sz w:val="20"/>
        </w:rPr>
        <w:t> </w:t>
      </w:r>
      <w:r>
        <w:rPr>
          <w:w w:val="120"/>
          <w:sz w:val="20"/>
        </w:rPr>
        <w:t>through</w:t>
      </w:r>
      <w:r>
        <w:rPr>
          <w:spacing w:val="8"/>
          <w:w w:val="120"/>
          <w:sz w:val="20"/>
        </w:rPr>
        <w:t> </w:t>
      </w:r>
      <w:r>
        <w:rPr>
          <w:w w:val="120"/>
          <w:sz w:val="20"/>
        </w:rPr>
        <w:t>the</w:t>
      </w:r>
      <w:r>
        <w:rPr>
          <w:spacing w:val="7"/>
          <w:w w:val="120"/>
          <w:sz w:val="20"/>
        </w:rPr>
        <w:t> </w:t>
      </w:r>
      <w:r>
        <w:rPr>
          <w:spacing w:val="-4"/>
          <w:w w:val="120"/>
          <w:sz w:val="20"/>
        </w:rPr>
        <w:t>V4L</w:t>
      </w:r>
      <w:r>
        <w:rPr>
          <w:spacing w:val="4"/>
          <w:w w:val="120"/>
          <w:sz w:val="20"/>
        </w:rPr>
        <w:t> </w:t>
      </w:r>
      <w:r>
        <w:rPr>
          <w:w w:val="120"/>
          <w:sz w:val="20"/>
        </w:rPr>
        <w:t>website.</w:t>
      </w:r>
    </w:p>
    <w:p>
      <w:pPr>
        <w:pStyle w:val="BodyText"/>
        <w:spacing w:line="235" w:lineRule="auto" w:before="9"/>
        <w:ind w:left="1984" w:right="1120"/>
      </w:pPr>
      <w:r>
        <w:rPr>
          <w:w w:val="120"/>
        </w:rPr>
        <w:t>The courses have been aimed particularly at equipping ministers and leaders in the local churches to help members engage creatively with Bible study, prayer and evangelism.</w:t>
      </w:r>
    </w:p>
    <w:p>
      <w:pPr>
        <w:pStyle w:val="BodyText"/>
        <w:spacing w:before="9"/>
        <w:rPr>
          <w:sz w:val="19"/>
        </w:rPr>
      </w:pPr>
    </w:p>
    <w:p>
      <w:pPr>
        <w:pStyle w:val="ListParagraph"/>
        <w:numPr>
          <w:ilvl w:val="2"/>
          <w:numId w:val="132"/>
        </w:numPr>
        <w:tabs>
          <w:tab w:pos="2704" w:val="left" w:leader="none"/>
          <w:tab w:pos="2705" w:val="left" w:leader="none"/>
        </w:tabs>
        <w:spacing w:line="235" w:lineRule="auto" w:before="0" w:after="0"/>
        <w:ind w:left="1984" w:right="1219" w:firstLine="0"/>
        <w:jc w:val="left"/>
        <w:rPr>
          <w:sz w:val="20"/>
        </w:rPr>
      </w:pPr>
      <w:r>
        <w:rPr>
          <w:w w:val="120"/>
          <w:sz w:val="20"/>
        </w:rPr>
        <w:t>The Windermere Centre has its own distinctive character among the </w:t>
      </w:r>
      <w:r>
        <w:rPr>
          <w:spacing w:val="-3"/>
          <w:w w:val="120"/>
          <w:sz w:val="20"/>
        </w:rPr>
        <w:t>Church’s </w:t>
      </w:r>
      <w:r>
        <w:rPr>
          <w:w w:val="120"/>
          <w:sz w:val="20"/>
        </w:rPr>
        <w:t>Resource Centres for Learning, operating as it does within an educational free market, and dependent on effective marketing and publicity to attract participants. Alongside this, there are a number of programmes, residential committee meetings and networks to which the Centre plays regular host: TLS, Ministers’ Pre-Retirement courses, Refresher Courses, Women in Ministries Network, Moderators’ Meeting, Assessment Conference training, Synod Ministers’ schools, Education and Learning</w:t>
      </w:r>
      <w:r>
        <w:rPr>
          <w:spacing w:val="26"/>
          <w:w w:val="120"/>
          <w:sz w:val="20"/>
        </w:rPr>
        <w:t> </w:t>
      </w:r>
      <w:r>
        <w:rPr>
          <w:w w:val="120"/>
          <w:sz w:val="20"/>
        </w:rPr>
        <w:t>Committee.</w:t>
      </w:r>
    </w:p>
    <w:p>
      <w:pPr>
        <w:pStyle w:val="BodyText"/>
        <w:spacing w:before="4"/>
        <w:rPr>
          <w:sz w:val="21"/>
        </w:rPr>
      </w:pPr>
    </w:p>
    <w:p>
      <w:pPr>
        <w:pStyle w:val="ListParagraph"/>
        <w:numPr>
          <w:ilvl w:val="1"/>
          <w:numId w:val="132"/>
        </w:numPr>
        <w:tabs>
          <w:tab w:pos="2664" w:val="left" w:leader="none"/>
          <w:tab w:pos="2665" w:val="left" w:leader="none"/>
        </w:tabs>
        <w:spacing w:line="216" w:lineRule="auto" w:before="0" w:after="0"/>
        <w:ind w:left="1984" w:right="1374" w:hanging="1"/>
        <w:jc w:val="left"/>
        <w:rPr>
          <w:i/>
          <w:sz w:val="20"/>
        </w:rPr>
      </w:pPr>
      <w:r>
        <w:rPr/>
        <w:drawing>
          <wp:anchor distT="0" distB="0" distL="0" distR="0" allowOverlap="1" layoutInCell="1" locked="0" behindDoc="1" simplePos="0" relativeHeight="235954176">
            <wp:simplePos x="0" y="0"/>
            <wp:positionH relativeFrom="page">
              <wp:posOffset>3556511</wp:posOffset>
            </wp:positionH>
            <wp:positionV relativeFrom="paragraph">
              <wp:posOffset>286500</wp:posOffset>
            </wp:positionV>
            <wp:extent cx="232857" cy="181203"/>
            <wp:effectExtent l="0" t="0" r="0" b="0"/>
            <wp:wrapNone/>
            <wp:docPr id="125" name="image129.png"/>
            <wp:cNvGraphicFramePr>
              <a:graphicFrameLocks noChangeAspect="1"/>
            </wp:cNvGraphicFramePr>
            <a:graphic>
              <a:graphicData uri="http://schemas.openxmlformats.org/drawingml/2006/picture">
                <pic:pic>
                  <pic:nvPicPr>
                    <pic:cNvPr id="126" name="image129.png"/>
                    <pic:cNvPicPr/>
                  </pic:nvPicPr>
                  <pic:blipFill>
                    <a:blip r:embed="rId305" cstate="print"/>
                    <a:stretch>
                      <a:fillRect/>
                    </a:stretch>
                  </pic:blipFill>
                  <pic:spPr>
                    <a:xfrm>
                      <a:off x="0" y="0"/>
                      <a:ext cx="232857" cy="181203"/>
                    </a:xfrm>
                    <a:prstGeom prst="rect">
                      <a:avLst/>
                    </a:prstGeom>
                  </pic:spPr>
                </pic:pic>
              </a:graphicData>
            </a:graphic>
          </wp:anchor>
        </w:drawing>
      </w:r>
      <w:r>
        <w:rPr>
          <w:w w:val="120"/>
          <w:sz w:val="20"/>
        </w:rPr>
        <w:t>The Director plays a role within the wider Church as </w:t>
      </w:r>
      <w:r>
        <w:rPr>
          <w:spacing w:val="2"/>
          <w:w w:val="120"/>
          <w:sz w:val="20"/>
        </w:rPr>
        <w:t>part </w:t>
      </w:r>
      <w:r>
        <w:rPr>
          <w:w w:val="120"/>
          <w:sz w:val="20"/>
        </w:rPr>
        <w:t>of the URC coalition of education providers. </w:t>
      </w:r>
      <w:r>
        <w:rPr>
          <w:spacing w:val="3"/>
          <w:w w:val="120"/>
          <w:sz w:val="20"/>
        </w:rPr>
        <w:t>As </w:t>
      </w:r>
      <w:r>
        <w:rPr>
          <w:w w:val="120"/>
          <w:sz w:val="20"/>
        </w:rPr>
        <w:t>well as speaking at synods, ministers’ schools and other  events,</w:t>
      </w:r>
      <w:r>
        <w:rPr>
          <w:spacing w:val="-20"/>
          <w:w w:val="120"/>
          <w:sz w:val="20"/>
        </w:rPr>
        <w:t> </w:t>
      </w:r>
      <w:r>
        <w:rPr>
          <w:w w:val="120"/>
          <w:sz w:val="20"/>
        </w:rPr>
        <w:t>the</w:t>
      </w:r>
      <w:r>
        <w:rPr>
          <w:spacing w:val="-19"/>
          <w:w w:val="120"/>
          <w:sz w:val="20"/>
        </w:rPr>
        <w:t> </w:t>
      </w:r>
      <w:r>
        <w:rPr>
          <w:w w:val="120"/>
          <w:sz w:val="20"/>
        </w:rPr>
        <w:t>Director</w:t>
      </w:r>
      <w:r>
        <w:rPr>
          <w:spacing w:val="-19"/>
          <w:w w:val="120"/>
          <w:sz w:val="20"/>
        </w:rPr>
        <w:t> </w:t>
      </w:r>
      <w:r>
        <w:rPr>
          <w:w w:val="120"/>
          <w:sz w:val="20"/>
        </w:rPr>
        <w:t>sits</w:t>
      </w:r>
      <w:r>
        <w:rPr>
          <w:spacing w:val="-19"/>
          <w:w w:val="120"/>
          <w:sz w:val="20"/>
        </w:rPr>
        <w:t> </w:t>
      </w:r>
      <w:r>
        <w:rPr>
          <w:w w:val="120"/>
          <w:sz w:val="20"/>
        </w:rPr>
        <w:t>on</w:t>
      </w:r>
      <w:r>
        <w:rPr>
          <w:spacing w:val="-20"/>
          <w:w w:val="120"/>
          <w:sz w:val="20"/>
        </w:rPr>
        <w:t> </w:t>
      </w:r>
      <w:r>
        <w:rPr>
          <w:w w:val="120"/>
          <w:sz w:val="20"/>
        </w:rPr>
        <w:t>the</w:t>
      </w:r>
      <w:r>
        <w:rPr>
          <w:spacing w:val="-18"/>
          <w:w w:val="120"/>
          <w:sz w:val="20"/>
        </w:rPr>
        <w:t> </w:t>
      </w:r>
      <w:r>
        <w:rPr>
          <w:rFonts w:ascii="Arial Rounded MT Bold" w:hAnsi="Arial Rounded MT Bold"/>
          <w:sz w:val="21"/>
        </w:rPr>
        <w:t>Vision4</w:t>
      </w:r>
      <w:r>
        <w:rPr>
          <w:rFonts w:ascii="Bradley Hand ITC" w:hAnsi="Bradley Hand ITC"/>
          <w:color w:val="C20D19"/>
          <w:sz w:val="28"/>
        </w:rPr>
        <w:t>Life</w:t>
      </w:r>
      <w:r>
        <w:rPr>
          <w:rFonts w:ascii="Bradley Hand ITC" w:hAnsi="Bradley Hand ITC"/>
          <w:color w:val="C20D19"/>
          <w:spacing w:val="-42"/>
          <w:sz w:val="28"/>
        </w:rPr>
        <w:t> </w:t>
      </w:r>
      <w:r>
        <w:rPr>
          <w:w w:val="120"/>
          <w:sz w:val="20"/>
        </w:rPr>
        <w:t>Steering</w:t>
      </w:r>
      <w:r>
        <w:rPr>
          <w:spacing w:val="-19"/>
          <w:w w:val="120"/>
          <w:sz w:val="20"/>
        </w:rPr>
        <w:t> </w:t>
      </w:r>
      <w:r>
        <w:rPr>
          <w:w w:val="120"/>
          <w:sz w:val="20"/>
        </w:rPr>
        <w:t>Group</w:t>
      </w:r>
      <w:r>
        <w:rPr>
          <w:spacing w:val="-19"/>
          <w:w w:val="120"/>
          <w:sz w:val="20"/>
        </w:rPr>
        <w:t> </w:t>
      </w:r>
      <w:r>
        <w:rPr>
          <w:w w:val="120"/>
          <w:sz w:val="20"/>
        </w:rPr>
        <w:t>and</w:t>
      </w:r>
      <w:r>
        <w:rPr>
          <w:spacing w:val="-19"/>
          <w:w w:val="120"/>
          <w:sz w:val="20"/>
        </w:rPr>
        <w:t> </w:t>
      </w:r>
      <w:r>
        <w:rPr>
          <w:w w:val="120"/>
          <w:sz w:val="20"/>
        </w:rPr>
        <w:t>co-chairs</w:t>
      </w:r>
      <w:r>
        <w:rPr>
          <w:spacing w:val="-20"/>
          <w:w w:val="120"/>
          <w:sz w:val="20"/>
        </w:rPr>
        <w:t> </w:t>
      </w:r>
      <w:r>
        <w:rPr>
          <w:w w:val="120"/>
          <w:sz w:val="20"/>
        </w:rPr>
        <w:t>the</w:t>
      </w:r>
      <w:r>
        <w:rPr>
          <w:spacing w:val="-19"/>
          <w:w w:val="120"/>
          <w:sz w:val="20"/>
        </w:rPr>
        <w:t> </w:t>
      </w:r>
      <w:r>
        <w:rPr>
          <w:i/>
          <w:w w:val="120"/>
          <w:sz w:val="20"/>
        </w:rPr>
        <w:t>Marketing</w:t>
      </w:r>
    </w:p>
    <w:p>
      <w:pPr>
        <w:pStyle w:val="BodyText"/>
        <w:spacing w:line="192" w:lineRule="exact"/>
        <w:ind w:left="1984"/>
      </w:pPr>
      <w:r>
        <w:rPr>
          <w:i/>
          <w:w w:val="120"/>
        </w:rPr>
        <w:t>Campaign </w:t>
      </w:r>
      <w:r>
        <w:rPr>
          <w:w w:val="120"/>
        </w:rPr>
        <w:t>Steering Group with the General Secretary.</w:t>
      </w:r>
    </w:p>
    <w:p>
      <w:pPr>
        <w:pStyle w:val="BodyText"/>
        <w:spacing w:before="4"/>
        <w:rPr>
          <w:sz w:val="19"/>
        </w:rPr>
      </w:pPr>
    </w:p>
    <w:p>
      <w:pPr>
        <w:pStyle w:val="ListParagraph"/>
        <w:numPr>
          <w:ilvl w:val="1"/>
          <w:numId w:val="132"/>
        </w:numPr>
        <w:tabs>
          <w:tab w:pos="2664" w:val="left" w:leader="none"/>
          <w:tab w:pos="2665" w:val="left" w:leader="none"/>
        </w:tabs>
        <w:spacing w:line="227" w:lineRule="exact" w:before="0" w:after="0"/>
        <w:ind w:left="2664" w:right="0" w:hanging="681"/>
        <w:jc w:val="left"/>
        <w:rPr>
          <w:sz w:val="20"/>
        </w:rPr>
      </w:pPr>
      <w:r>
        <w:rPr>
          <w:w w:val="125"/>
          <w:sz w:val="20"/>
        </w:rPr>
        <w:t>Supporting people in public</w:t>
      </w:r>
      <w:r>
        <w:rPr>
          <w:spacing w:val="-3"/>
          <w:w w:val="125"/>
          <w:sz w:val="20"/>
        </w:rPr>
        <w:t> </w:t>
      </w:r>
      <w:r>
        <w:rPr>
          <w:w w:val="125"/>
          <w:sz w:val="20"/>
        </w:rPr>
        <w:t>ministry</w:t>
      </w:r>
    </w:p>
    <w:p>
      <w:pPr>
        <w:pStyle w:val="ListParagraph"/>
        <w:numPr>
          <w:ilvl w:val="0"/>
          <w:numId w:val="133"/>
        </w:numPr>
        <w:tabs>
          <w:tab w:pos="2664" w:val="left" w:leader="none"/>
          <w:tab w:pos="2665" w:val="left" w:leader="none"/>
        </w:tabs>
        <w:spacing w:line="216" w:lineRule="auto" w:before="5" w:after="0"/>
        <w:ind w:left="2664" w:right="1541" w:hanging="681"/>
        <w:jc w:val="left"/>
        <w:rPr>
          <w:sz w:val="20"/>
        </w:rPr>
      </w:pPr>
      <w:r>
        <w:rPr>
          <w:w w:val="120"/>
          <w:sz w:val="20"/>
        </w:rPr>
        <w:t>The Director runs a weekly blog </w:t>
      </w:r>
      <w:r>
        <w:rPr>
          <w:spacing w:val="-3"/>
          <w:w w:val="120"/>
          <w:sz w:val="20"/>
        </w:rPr>
        <w:t>(</w:t>
      </w:r>
      <w:r>
        <w:rPr>
          <w:i/>
          <w:spacing w:val="-3"/>
          <w:w w:val="120"/>
          <w:sz w:val="20"/>
        </w:rPr>
        <w:t>disclosing </w:t>
      </w:r>
      <w:r>
        <w:rPr>
          <w:i/>
          <w:w w:val="120"/>
          <w:sz w:val="20"/>
        </w:rPr>
        <w:t>new </w:t>
      </w:r>
      <w:r>
        <w:rPr>
          <w:i/>
          <w:spacing w:val="-3"/>
          <w:w w:val="120"/>
          <w:sz w:val="20"/>
        </w:rPr>
        <w:t>worlds</w:t>
      </w:r>
      <w:r>
        <w:rPr>
          <w:spacing w:val="-3"/>
          <w:w w:val="120"/>
          <w:sz w:val="20"/>
        </w:rPr>
        <w:t>) </w:t>
      </w:r>
      <w:r>
        <w:rPr>
          <w:w w:val="120"/>
          <w:sz w:val="20"/>
        </w:rPr>
        <w:t>with comments on the weekly Revised Common Lectionary texts and sermons from United Reformed Church preachers. This is accessed by a large number of ministers and</w:t>
      </w:r>
      <w:r>
        <w:rPr>
          <w:spacing w:val="36"/>
          <w:w w:val="120"/>
          <w:sz w:val="20"/>
        </w:rPr>
        <w:t> </w:t>
      </w:r>
      <w:r>
        <w:rPr>
          <w:w w:val="120"/>
          <w:sz w:val="20"/>
        </w:rPr>
        <w:t>lay</w:t>
      </w:r>
    </w:p>
    <w:p>
      <w:pPr>
        <w:pStyle w:val="BodyText"/>
        <w:spacing w:line="226" w:lineRule="exact"/>
        <w:ind w:left="2664"/>
      </w:pPr>
      <w:r>
        <w:rPr>
          <w:w w:val="120"/>
        </w:rPr>
        <w:t>preachers as a regular resource for sermon and Bible study preparation.</w:t>
      </w:r>
    </w:p>
    <w:p>
      <w:pPr>
        <w:pStyle w:val="ListParagraph"/>
        <w:numPr>
          <w:ilvl w:val="0"/>
          <w:numId w:val="133"/>
        </w:numPr>
        <w:tabs>
          <w:tab w:pos="2664" w:val="left" w:leader="none"/>
          <w:tab w:pos="2665" w:val="left" w:leader="none"/>
        </w:tabs>
        <w:spacing w:line="196" w:lineRule="auto" w:before="22" w:after="0"/>
        <w:ind w:left="2664" w:right="1132" w:hanging="681"/>
        <w:jc w:val="left"/>
        <w:rPr>
          <w:sz w:val="20"/>
        </w:rPr>
      </w:pPr>
      <w:r>
        <w:rPr>
          <w:w w:val="120"/>
          <w:sz w:val="20"/>
        </w:rPr>
        <w:t>All Centre courses are designed to be eligible for </w:t>
      </w:r>
      <w:r>
        <w:rPr>
          <w:spacing w:val="-3"/>
          <w:w w:val="120"/>
          <w:sz w:val="20"/>
        </w:rPr>
        <w:t>EM3 </w:t>
      </w:r>
      <w:r>
        <w:rPr>
          <w:w w:val="120"/>
          <w:sz w:val="20"/>
        </w:rPr>
        <w:t>grants, so that ministers can attend Centre courses as </w:t>
      </w:r>
      <w:r>
        <w:rPr>
          <w:spacing w:val="2"/>
          <w:w w:val="120"/>
          <w:sz w:val="20"/>
        </w:rPr>
        <w:t>part </w:t>
      </w:r>
      <w:r>
        <w:rPr>
          <w:w w:val="120"/>
          <w:sz w:val="20"/>
        </w:rPr>
        <w:t>of their </w:t>
      </w:r>
      <w:r>
        <w:rPr>
          <w:spacing w:val="-3"/>
          <w:w w:val="120"/>
          <w:sz w:val="20"/>
        </w:rPr>
        <w:t>EM3</w:t>
      </w:r>
      <w:r>
        <w:rPr>
          <w:spacing w:val="12"/>
          <w:w w:val="120"/>
          <w:sz w:val="20"/>
        </w:rPr>
        <w:t> </w:t>
      </w:r>
      <w:r>
        <w:rPr>
          <w:w w:val="120"/>
          <w:sz w:val="20"/>
        </w:rPr>
        <w:t>programme.</w:t>
      </w:r>
    </w:p>
    <w:p>
      <w:pPr>
        <w:pStyle w:val="ListParagraph"/>
        <w:numPr>
          <w:ilvl w:val="0"/>
          <w:numId w:val="133"/>
        </w:numPr>
        <w:tabs>
          <w:tab w:pos="2665" w:val="left" w:leader="none"/>
        </w:tabs>
        <w:spacing w:line="216" w:lineRule="auto" w:before="0" w:after="0"/>
        <w:ind w:left="2664" w:right="1391" w:hanging="681"/>
        <w:jc w:val="both"/>
        <w:rPr>
          <w:sz w:val="20"/>
        </w:rPr>
      </w:pPr>
      <w:r>
        <w:rPr>
          <w:w w:val="120"/>
          <w:sz w:val="20"/>
        </w:rPr>
        <w:t>The</w:t>
      </w:r>
      <w:r>
        <w:rPr>
          <w:spacing w:val="-8"/>
          <w:w w:val="120"/>
          <w:sz w:val="20"/>
        </w:rPr>
        <w:t> </w:t>
      </w:r>
      <w:r>
        <w:rPr>
          <w:w w:val="120"/>
          <w:sz w:val="20"/>
        </w:rPr>
        <w:t>Centre</w:t>
      </w:r>
      <w:r>
        <w:rPr>
          <w:spacing w:val="-8"/>
          <w:w w:val="120"/>
          <w:sz w:val="20"/>
        </w:rPr>
        <w:t> </w:t>
      </w:r>
      <w:r>
        <w:rPr>
          <w:w w:val="120"/>
          <w:sz w:val="20"/>
        </w:rPr>
        <w:t>runs</w:t>
      </w:r>
      <w:r>
        <w:rPr>
          <w:spacing w:val="-8"/>
          <w:w w:val="120"/>
          <w:sz w:val="20"/>
        </w:rPr>
        <w:t> </w:t>
      </w:r>
      <w:r>
        <w:rPr>
          <w:w w:val="120"/>
          <w:sz w:val="20"/>
        </w:rPr>
        <w:t>the</w:t>
      </w:r>
      <w:r>
        <w:rPr>
          <w:spacing w:val="-7"/>
          <w:w w:val="120"/>
          <w:sz w:val="20"/>
        </w:rPr>
        <w:t> </w:t>
      </w:r>
      <w:r>
        <w:rPr>
          <w:i/>
          <w:w w:val="120"/>
          <w:sz w:val="20"/>
        </w:rPr>
        <w:t>Church</w:t>
      </w:r>
      <w:r>
        <w:rPr>
          <w:i/>
          <w:spacing w:val="-10"/>
          <w:w w:val="120"/>
          <w:sz w:val="20"/>
        </w:rPr>
        <w:t> </w:t>
      </w:r>
      <w:r>
        <w:rPr>
          <w:i/>
          <w:w w:val="120"/>
          <w:sz w:val="20"/>
        </w:rPr>
        <w:t>Leadership</w:t>
      </w:r>
      <w:r>
        <w:rPr>
          <w:i/>
          <w:spacing w:val="-11"/>
          <w:w w:val="120"/>
          <w:sz w:val="20"/>
        </w:rPr>
        <w:t> </w:t>
      </w:r>
      <w:r>
        <w:rPr>
          <w:i/>
          <w:w w:val="120"/>
          <w:sz w:val="20"/>
        </w:rPr>
        <w:t>Programme</w:t>
      </w:r>
      <w:r>
        <w:rPr>
          <w:i/>
          <w:spacing w:val="-10"/>
          <w:w w:val="120"/>
          <w:sz w:val="20"/>
        </w:rPr>
        <w:t> </w:t>
      </w:r>
      <w:r>
        <w:rPr>
          <w:w w:val="120"/>
          <w:sz w:val="20"/>
        </w:rPr>
        <w:t>in</w:t>
      </w:r>
      <w:r>
        <w:rPr>
          <w:spacing w:val="-7"/>
          <w:w w:val="120"/>
          <w:sz w:val="20"/>
        </w:rPr>
        <w:t> </w:t>
      </w:r>
      <w:r>
        <w:rPr>
          <w:w w:val="120"/>
          <w:sz w:val="20"/>
        </w:rPr>
        <w:t>conjunction</w:t>
      </w:r>
      <w:r>
        <w:rPr>
          <w:spacing w:val="-8"/>
          <w:w w:val="120"/>
          <w:sz w:val="20"/>
        </w:rPr>
        <w:t> </w:t>
      </w:r>
      <w:r>
        <w:rPr>
          <w:w w:val="120"/>
          <w:sz w:val="20"/>
        </w:rPr>
        <w:t>with</w:t>
      </w:r>
      <w:r>
        <w:rPr>
          <w:spacing w:val="-8"/>
          <w:w w:val="120"/>
          <w:sz w:val="20"/>
        </w:rPr>
        <w:t> </w:t>
      </w:r>
      <w:r>
        <w:rPr>
          <w:w w:val="120"/>
          <w:sz w:val="20"/>
        </w:rPr>
        <w:t>a</w:t>
      </w:r>
      <w:r>
        <w:rPr>
          <w:spacing w:val="-7"/>
          <w:w w:val="120"/>
          <w:sz w:val="20"/>
        </w:rPr>
        <w:t> </w:t>
      </w:r>
      <w:r>
        <w:rPr>
          <w:w w:val="120"/>
          <w:sz w:val="20"/>
        </w:rPr>
        <w:t>delivery team from the East Midlands Synod. This is a programme that links Benedictine spirituality with effective insights from the world of business and</w:t>
      </w:r>
      <w:r>
        <w:rPr>
          <w:spacing w:val="23"/>
          <w:w w:val="120"/>
          <w:sz w:val="20"/>
        </w:rPr>
        <w:t> </w:t>
      </w:r>
      <w:r>
        <w:rPr>
          <w:w w:val="120"/>
          <w:sz w:val="20"/>
        </w:rPr>
        <w:t>organisation</w:t>
      </w:r>
    </w:p>
    <w:p>
      <w:pPr>
        <w:pStyle w:val="BodyText"/>
        <w:spacing w:line="235" w:lineRule="auto" w:before="1"/>
        <w:ind w:left="2664" w:right="1120"/>
      </w:pPr>
      <w:r>
        <w:rPr>
          <w:w w:val="120"/>
        </w:rPr>
        <w:t>in order to enable ministers of some experience to develop further their own patterns of spirituality, effective ministry and leadership. Participants are nominated within and sponsored by the synods.</w:t>
      </w:r>
    </w:p>
    <w:p>
      <w:pPr>
        <w:pStyle w:val="ListParagraph"/>
        <w:numPr>
          <w:ilvl w:val="0"/>
          <w:numId w:val="133"/>
        </w:numPr>
        <w:tabs>
          <w:tab w:pos="2664" w:val="left" w:leader="none"/>
          <w:tab w:pos="2665" w:val="left" w:leader="none"/>
        </w:tabs>
        <w:spacing w:line="196" w:lineRule="auto" w:before="8" w:after="0"/>
        <w:ind w:left="2664" w:right="1248" w:hanging="681"/>
        <w:jc w:val="left"/>
        <w:rPr>
          <w:sz w:val="20"/>
        </w:rPr>
      </w:pPr>
      <w:r>
        <w:rPr>
          <w:spacing w:val="-3"/>
          <w:w w:val="120"/>
          <w:sz w:val="20"/>
        </w:rPr>
        <w:t>Courses </w:t>
      </w:r>
      <w:r>
        <w:rPr>
          <w:w w:val="120"/>
          <w:sz w:val="20"/>
        </w:rPr>
        <w:t>are designed each </w:t>
      </w:r>
      <w:r>
        <w:rPr>
          <w:spacing w:val="-3"/>
          <w:w w:val="120"/>
          <w:sz w:val="20"/>
        </w:rPr>
        <w:t>year </w:t>
      </w:r>
      <w:r>
        <w:rPr>
          <w:w w:val="120"/>
          <w:sz w:val="20"/>
        </w:rPr>
        <w:t>particularly with a view </w:t>
      </w:r>
      <w:r>
        <w:rPr>
          <w:spacing w:val="-3"/>
          <w:w w:val="120"/>
          <w:sz w:val="20"/>
        </w:rPr>
        <w:t>to </w:t>
      </w:r>
      <w:r>
        <w:rPr>
          <w:w w:val="120"/>
          <w:sz w:val="20"/>
        </w:rPr>
        <w:t>equipping </w:t>
      </w:r>
      <w:r>
        <w:rPr>
          <w:spacing w:val="-2"/>
          <w:w w:val="120"/>
          <w:sz w:val="20"/>
        </w:rPr>
        <w:t>lay </w:t>
      </w:r>
      <w:r>
        <w:rPr>
          <w:w w:val="120"/>
          <w:sz w:val="20"/>
        </w:rPr>
        <w:t>preachers and helping them to develop their ministries. This is the ‘Weekend’</w:t>
      </w:r>
      <w:r>
        <w:rPr>
          <w:spacing w:val="30"/>
          <w:w w:val="120"/>
          <w:sz w:val="20"/>
        </w:rPr>
        <w:t> </w:t>
      </w:r>
      <w:r>
        <w:rPr>
          <w:w w:val="120"/>
          <w:sz w:val="20"/>
        </w:rPr>
        <w:t>series:</w:t>
      </w:r>
    </w:p>
    <w:p>
      <w:pPr>
        <w:spacing w:line="235" w:lineRule="auto" w:before="10"/>
        <w:ind w:left="2664" w:right="1357" w:firstLine="0"/>
        <w:jc w:val="left"/>
        <w:rPr>
          <w:sz w:val="20"/>
        </w:rPr>
      </w:pPr>
      <w:r>
        <w:rPr>
          <w:i/>
          <w:w w:val="110"/>
          <w:sz w:val="20"/>
        </w:rPr>
        <w:t>Luke in a Weekend, Gospels in a Weekend, The Old Testament in a Weekend, The Creed </w:t>
      </w:r>
      <w:r>
        <w:rPr>
          <w:i/>
          <w:w w:val="110"/>
          <w:sz w:val="20"/>
        </w:rPr>
        <w:t>in a Weekend </w:t>
      </w:r>
      <w:r>
        <w:rPr>
          <w:w w:val="110"/>
          <w:sz w:val="20"/>
        </w:rPr>
        <w:t>for example.</w:t>
      </w:r>
    </w:p>
    <w:p>
      <w:pPr>
        <w:pStyle w:val="ListParagraph"/>
        <w:numPr>
          <w:ilvl w:val="0"/>
          <w:numId w:val="133"/>
        </w:numPr>
        <w:tabs>
          <w:tab w:pos="2664" w:val="left" w:leader="none"/>
          <w:tab w:pos="2665" w:val="left" w:leader="none"/>
        </w:tabs>
        <w:spacing w:line="196" w:lineRule="auto" w:before="8" w:after="0"/>
        <w:ind w:left="2664" w:right="1634" w:hanging="681"/>
        <w:jc w:val="left"/>
        <w:rPr>
          <w:sz w:val="20"/>
        </w:rPr>
      </w:pPr>
      <w:r>
        <w:rPr>
          <w:w w:val="120"/>
          <w:sz w:val="20"/>
        </w:rPr>
        <w:t>The Centre has a rolling programme of courses for local church officeholders: secretaries, treasurers, elders and local</w:t>
      </w:r>
      <w:r>
        <w:rPr>
          <w:spacing w:val="6"/>
          <w:w w:val="120"/>
          <w:sz w:val="20"/>
        </w:rPr>
        <w:t> </w:t>
      </w:r>
      <w:r>
        <w:rPr>
          <w:w w:val="120"/>
          <w:sz w:val="20"/>
        </w:rPr>
        <w:t>leaders.</w:t>
      </w:r>
    </w:p>
    <w:p>
      <w:pPr>
        <w:pStyle w:val="BodyText"/>
        <w:spacing w:before="2"/>
      </w:pPr>
    </w:p>
    <w:p>
      <w:pPr>
        <w:pStyle w:val="ListParagraph"/>
        <w:numPr>
          <w:ilvl w:val="1"/>
          <w:numId w:val="132"/>
        </w:numPr>
        <w:tabs>
          <w:tab w:pos="2664" w:val="left" w:leader="none"/>
          <w:tab w:pos="2665" w:val="left" w:leader="none"/>
        </w:tabs>
        <w:spacing w:line="242" w:lineRule="exact" w:before="0" w:after="0"/>
        <w:ind w:left="2664" w:right="0" w:hanging="681"/>
        <w:jc w:val="left"/>
        <w:rPr>
          <w:sz w:val="20"/>
        </w:rPr>
      </w:pPr>
      <w:r>
        <w:rPr>
          <w:w w:val="120"/>
          <w:sz w:val="20"/>
        </w:rPr>
        <w:t>IT</w:t>
      </w:r>
      <w:r>
        <w:rPr>
          <w:spacing w:val="2"/>
          <w:w w:val="120"/>
          <w:sz w:val="20"/>
        </w:rPr>
        <w:t> </w:t>
      </w:r>
      <w:r>
        <w:rPr>
          <w:w w:val="120"/>
          <w:sz w:val="20"/>
        </w:rPr>
        <w:t>developments</w:t>
      </w:r>
    </w:p>
    <w:p>
      <w:pPr>
        <w:pStyle w:val="BodyText"/>
        <w:spacing w:line="235" w:lineRule="auto" w:before="2"/>
        <w:ind w:left="1984" w:right="1247"/>
      </w:pPr>
      <w:r>
        <w:rPr>
          <w:w w:val="120"/>
        </w:rPr>
        <w:t>The Windermere Centre is actively exploring ways of maximizing the opportunities afforded by IT developments to support efficient and effective communication within  and beyond the Church. The Director is committed to ensuring as broad and effective a web presence by local churches as possible, and to roll out non-residential IT training via webinars </w:t>
      </w:r>
      <w:r>
        <w:rPr>
          <w:spacing w:val="-3"/>
          <w:w w:val="120"/>
        </w:rPr>
        <w:t>(online</w:t>
      </w:r>
      <w:r>
        <w:rPr>
          <w:spacing w:val="4"/>
          <w:w w:val="120"/>
        </w:rPr>
        <w:t> </w:t>
      </w:r>
      <w:r>
        <w:rPr>
          <w:spacing w:val="-3"/>
          <w:w w:val="120"/>
        </w:rPr>
        <w:t>seminars).</w:t>
      </w:r>
    </w:p>
    <w:p>
      <w:pPr>
        <w:pStyle w:val="BodyText"/>
        <w:spacing w:before="7"/>
        <w:rPr>
          <w:sz w:val="19"/>
        </w:rPr>
      </w:pPr>
    </w:p>
    <w:p>
      <w:pPr>
        <w:pStyle w:val="ListParagraph"/>
        <w:numPr>
          <w:ilvl w:val="2"/>
          <w:numId w:val="132"/>
        </w:numPr>
        <w:tabs>
          <w:tab w:pos="2664" w:val="left" w:leader="none"/>
          <w:tab w:pos="2665" w:val="left" w:leader="none"/>
        </w:tabs>
        <w:spacing w:line="242" w:lineRule="exact" w:before="0" w:after="0"/>
        <w:ind w:left="2664" w:right="0" w:hanging="681"/>
        <w:jc w:val="left"/>
        <w:rPr>
          <w:sz w:val="20"/>
        </w:rPr>
      </w:pPr>
      <w:r>
        <w:rPr>
          <w:i/>
          <w:w w:val="115"/>
          <w:sz w:val="20"/>
        </w:rPr>
        <w:t>iChurch</w:t>
      </w:r>
      <w:r>
        <w:rPr>
          <w:i/>
          <w:spacing w:val="4"/>
          <w:w w:val="115"/>
          <w:sz w:val="20"/>
        </w:rPr>
        <w:t> </w:t>
      </w:r>
      <w:r>
        <w:rPr>
          <w:w w:val="115"/>
          <w:sz w:val="20"/>
        </w:rPr>
        <w:t>Websites</w:t>
      </w:r>
    </w:p>
    <w:p>
      <w:pPr>
        <w:pStyle w:val="BodyText"/>
        <w:spacing w:line="235" w:lineRule="auto" w:before="2"/>
        <w:ind w:left="1984" w:right="1568"/>
      </w:pPr>
      <w:r>
        <w:rPr>
          <w:w w:val="120"/>
        </w:rPr>
        <w:t>The Director has developed a URC local Church ‘website in a </w:t>
      </w:r>
      <w:r>
        <w:rPr>
          <w:spacing w:val="-5"/>
          <w:w w:val="120"/>
        </w:rPr>
        <w:t>box’. </w:t>
      </w:r>
      <w:r>
        <w:rPr>
          <w:w w:val="120"/>
        </w:rPr>
        <w:t>It is aimed at local churches who are not web-technology literate but who would run a website if it  were simple to operate and could easily and effectively be kept up to date. Based on Wordpress</w:t>
      </w:r>
      <w:r>
        <w:rPr>
          <w:spacing w:val="11"/>
          <w:w w:val="120"/>
        </w:rPr>
        <w:t> </w:t>
      </w:r>
      <w:r>
        <w:rPr>
          <w:spacing w:val="-6"/>
          <w:w w:val="120"/>
        </w:rPr>
        <w:t>(an</w:t>
      </w:r>
      <w:r>
        <w:rPr>
          <w:spacing w:val="11"/>
          <w:w w:val="120"/>
        </w:rPr>
        <w:t> </w:t>
      </w:r>
      <w:r>
        <w:rPr>
          <w:w w:val="120"/>
        </w:rPr>
        <w:t>Open</w:t>
      </w:r>
      <w:r>
        <w:rPr>
          <w:spacing w:val="11"/>
          <w:w w:val="120"/>
        </w:rPr>
        <w:t> </w:t>
      </w:r>
      <w:r>
        <w:rPr>
          <w:w w:val="120"/>
        </w:rPr>
        <w:t>Source</w:t>
      </w:r>
      <w:r>
        <w:rPr>
          <w:spacing w:val="11"/>
          <w:w w:val="120"/>
        </w:rPr>
        <w:t> </w:t>
      </w:r>
      <w:r>
        <w:rPr>
          <w:w w:val="120"/>
        </w:rPr>
        <w:t>blogging</w:t>
      </w:r>
      <w:r>
        <w:rPr>
          <w:spacing w:val="11"/>
          <w:w w:val="120"/>
        </w:rPr>
        <w:t> </w:t>
      </w:r>
      <w:r>
        <w:rPr>
          <w:w w:val="120"/>
        </w:rPr>
        <w:t>software</w:t>
      </w:r>
      <w:r>
        <w:rPr>
          <w:spacing w:val="11"/>
          <w:w w:val="120"/>
        </w:rPr>
        <w:t> </w:t>
      </w:r>
      <w:r>
        <w:rPr>
          <w:w w:val="120"/>
        </w:rPr>
        <w:t>that</w:t>
      </w:r>
      <w:r>
        <w:rPr>
          <w:spacing w:val="11"/>
          <w:w w:val="120"/>
        </w:rPr>
        <w:t> </w:t>
      </w:r>
      <w:r>
        <w:rPr>
          <w:w w:val="120"/>
        </w:rPr>
        <w:t>is</w:t>
      </w:r>
      <w:r>
        <w:rPr>
          <w:spacing w:val="11"/>
          <w:w w:val="120"/>
        </w:rPr>
        <w:t> </w:t>
      </w:r>
      <w:r>
        <w:rPr>
          <w:w w:val="120"/>
        </w:rPr>
        <w:t>ideal</w:t>
      </w:r>
      <w:r>
        <w:rPr>
          <w:spacing w:val="11"/>
          <w:w w:val="120"/>
        </w:rPr>
        <w:t> </w:t>
      </w:r>
      <w:r>
        <w:rPr>
          <w:w w:val="120"/>
        </w:rPr>
        <w:t>for</w:t>
      </w:r>
      <w:r>
        <w:rPr>
          <w:spacing w:val="11"/>
          <w:w w:val="120"/>
        </w:rPr>
        <w:t> </w:t>
      </w:r>
      <w:r>
        <w:rPr>
          <w:w w:val="120"/>
        </w:rPr>
        <w:t>running</w:t>
      </w:r>
      <w:r>
        <w:rPr>
          <w:spacing w:val="11"/>
          <w:w w:val="120"/>
        </w:rPr>
        <w:t> </w:t>
      </w:r>
      <w:r>
        <w:rPr>
          <w:w w:val="120"/>
        </w:rPr>
        <w:t>personal</w:t>
      </w:r>
      <w:r>
        <w:rPr>
          <w:spacing w:val="11"/>
          <w:w w:val="120"/>
        </w:rPr>
        <w:t> </w:t>
      </w:r>
      <w:r>
        <w:rPr>
          <w:w w:val="120"/>
        </w:rPr>
        <w:t>and</w:t>
      </w:r>
    </w:p>
    <w:p>
      <w:pPr>
        <w:pStyle w:val="BodyText"/>
        <w:spacing w:line="235" w:lineRule="auto" w:before="3"/>
        <w:ind w:left="1984" w:right="1120"/>
      </w:pPr>
      <w:r>
        <w:rPr>
          <w:w w:val="120"/>
        </w:rPr>
        <w:t>small business websites), </w:t>
      </w:r>
      <w:r>
        <w:rPr>
          <w:i/>
          <w:w w:val="120"/>
        </w:rPr>
        <w:t>iChurch </w:t>
      </w:r>
      <w:r>
        <w:rPr>
          <w:w w:val="120"/>
        </w:rPr>
        <w:t>costs £100 and includes a domain set up on the URC server with a yourname.urc.org.uk address, Wordpress software, your site theme, access to video tutorials, initial customization, unlimited bandwidth and free hosting for the life of your site. In addition, there are regular </w:t>
      </w:r>
      <w:r>
        <w:rPr>
          <w:i/>
          <w:w w:val="120"/>
        </w:rPr>
        <w:t>iChurch </w:t>
      </w:r>
      <w:r>
        <w:rPr>
          <w:w w:val="120"/>
        </w:rPr>
        <w:t>webinars for continuing training. For further details, go to </w:t>
      </w:r>
      <w:hyperlink r:id="rId306">
        <w:r>
          <w:rPr>
            <w:w w:val="120"/>
          </w:rPr>
          <w:t>http://ichurch.urc.org.uk</w:t>
        </w:r>
      </w:hyperlink>
    </w:p>
    <w:p>
      <w:pPr>
        <w:pStyle w:val="BodyText"/>
      </w:pPr>
    </w:p>
    <w:p>
      <w:pPr>
        <w:pStyle w:val="BodyText"/>
      </w:pPr>
    </w:p>
    <w:p>
      <w:pPr>
        <w:pStyle w:val="BodyText"/>
        <w:spacing w:before="12"/>
        <w:rPr>
          <w:sz w:val="23"/>
        </w:rPr>
      </w:pPr>
    </w:p>
    <w:p>
      <w:pPr>
        <w:tabs>
          <w:tab w:pos="10630" w:val="left" w:leader="none"/>
        </w:tabs>
        <w:spacing w:before="96"/>
        <w:ind w:left="4684"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10"/>
          <w:sz w:val="24"/>
        </w:rPr>
        <w:t>131</w:t>
      </w:r>
    </w:p>
    <w:p>
      <w:pPr>
        <w:spacing w:after="0"/>
        <w:jc w:val="left"/>
        <w:rPr>
          <w:rFonts w:ascii="Stone Sans II ITC Std X Bd" w:hAnsi="Stone Sans II ITC Std X Bd"/>
          <w:sz w:val="24"/>
        </w:rPr>
        <w:sectPr>
          <w:footerReference w:type="default" r:id="rId303"/>
          <w:pgSz w:w="11910" w:h="16840"/>
          <w:pgMar w:footer="0" w:header="0" w:top="1060" w:bottom="280" w:left="0" w:right="0"/>
        </w:sectPr>
      </w:pPr>
    </w:p>
    <w:p>
      <w:pPr>
        <w:pStyle w:val="ListParagraph"/>
        <w:numPr>
          <w:ilvl w:val="2"/>
          <w:numId w:val="132"/>
        </w:numPr>
        <w:tabs>
          <w:tab w:pos="1815" w:val="left" w:leader="none"/>
        </w:tabs>
        <w:spacing w:line="242" w:lineRule="exact" w:before="103" w:after="0"/>
        <w:ind w:left="1814" w:right="0" w:hanging="682"/>
        <w:jc w:val="left"/>
        <w:rPr>
          <w:sz w:val="20"/>
        </w:rPr>
      </w:pPr>
      <w:r>
        <w:rPr/>
        <w:pict>
          <v:rect style="position:absolute;margin-left:12.047pt;margin-top:8.467772pt;width:22.677pt;height:22.677pt;mso-position-horizontal-relative:page;mso-position-vertical-relative:paragraph;z-index:252067840" filled="true" fillcolor="#dae4ec" stroked="false">
            <v:fill opacity="32768f" type="solid"/>
            <w10:wrap type="none"/>
          </v:rect>
        </w:pict>
      </w:r>
      <w:r>
        <w:rPr>
          <w:w w:val="120"/>
          <w:sz w:val="20"/>
        </w:rPr>
        <w:t>Webinar</w:t>
      </w:r>
      <w:r>
        <w:rPr>
          <w:spacing w:val="1"/>
          <w:w w:val="120"/>
          <w:sz w:val="20"/>
        </w:rPr>
        <w:t> </w:t>
      </w:r>
      <w:r>
        <w:rPr>
          <w:w w:val="120"/>
          <w:sz w:val="20"/>
        </w:rPr>
        <w:t>Training</w:t>
      </w:r>
    </w:p>
    <w:p>
      <w:pPr>
        <w:pStyle w:val="BodyText"/>
        <w:spacing w:line="235" w:lineRule="auto" w:before="2"/>
        <w:ind w:left="1133" w:right="2191"/>
      </w:pPr>
      <w:r>
        <w:rPr>
          <w:w w:val="120"/>
        </w:rPr>
        <w:t>The Centre is in the process of developing an </w:t>
      </w:r>
      <w:r>
        <w:rPr>
          <w:i/>
          <w:w w:val="120"/>
        </w:rPr>
        <w:t>IT for churches </w:t>
      </w:r>
      <w:r>
        <w:rPr>
          <w:w w:val="120"/>
        </w:rPr>
        <w:t>course that will be delivered to participants in their homes via webinars. As well as sharing the instructor’s desktop, the instructor is able to allow participants to share their desktops in order</w:t>
      </w:r>
    </w:p>
    <w:p>
      <w:pPr>
        <w:pStyle w:val="BodyText"/>
        <w:spacing w:line="235" w:lineRule="auto" w:before="2"/>
        <w:ind w:left="1133" w:right="1997"/>
      </w:pPr>
      <w:r>
        <w:rPr>
          <w:w w:val="120"/>
        </w:rPr>
        <w:t>to troubleshoot effectively. The course will teach participants to use and develop the standard Microsoft Office suite (Word, Excel, PowerPoint, Publisher and email) for communications, the production of materials and resources, and online</w:t>
      </w:r>
      <w:r>
        <w:rPr>
          <w:spacing w:val="52"/>
          <w:w w:val="120"/>
        </w:rPr>
        <w:t> </w:t>
      </w:r>
      <w:r>
        <w:rPr>
          <w:w w:val="120"/>
        </w:rPr>
        <w:t>communication.</w:t>
      </w:r>
    </w:p>
    <w:p>
      <w:pPr>
        <w:pStyle w:val="BodyText"/>
        <w:spacing w:before="8"/>
        <w:rPr>
          <w:sz w:val="17"/>
        </w:rPr>
      </w:pPr>
    </w:p>
    <w:p>
      <w:pPr>
        <w:numPr>
          <w:ilvl w:val="0"/>
          <w:numId w:val="132"/>
        </w:numPr>
        <w:tabs>
          <w:tab w:pos="1853" w:val="left" w:leader="none"/>
          <w:tab w:pos="1854" w:val="left" w:leader="none"/>
        </w:tabs>
        <w:spacing w:before="1"/>
        <w:ind w:left="1853" w:right="0" w:hanging="721"/>
        <w:jc w:val="left"/>
        <w:rPr>
          <w:rFonts w:ascii="Stone Sans II ITC Std Bk" w:hAnsi="Stone Sans II ITC Std Bk"/>
          <w:b/>
          <w:sz w:val="21"/>
        </w:rPr>
      </w:pPr>
      <w:r>
        <w:rPr>
          <w:rFonts w:ascii="Stone Sans II ITC Std Bk" w:hAnsi="Stone Sans II ITC Std Bk"/>
          <w:b/>
          <w:w w:val="115"/>
          <w:sz w:val="21"/>
        </w:rPr>
        <w:t>Where </w:t>
      </w:r>
      <w:r>
        <w:rPr>
          <w:rFonts w:ascii="Stone Sans II ITC Std Bk" w:hAnsi="Stone Sans II ITC Std Bk"/>
          <w:b/>
          <w:spacing w:val="-5"/>
          <w:w w:val="115"/>
          <w:sz w:val="21"/>
        </w:rPr>
        <w:t>we’re</w:t>
      </w:r>
      <w:r>
        <w:rPr>
          <w:rFonts w:ascii="Stone Sans II ITC Std Bk" w:hAnsi="Stone Sans II ITC Std Bk"/>
          <w:b/>
          <w:spacing w:val="-3"/>
          <w:w w:val="115"/>
          <w:sz w:val="21"/>
        </w:rPr>
        <w:t> </w:t>
      </w:r>
      <w:r>
        <w:rPr>
          <w:rFonts w:ascii="Stone Sans II ITC Std Bk" w:hAnsi="Stone Sans II ITC Std Bk"/>
          <w:b/>
          <w:w w:val="115"/>
          <w:sz w:val="21"/>
        </w:rPr>
        <w:t>going</w:t>
      </w:r>
    </w:p>
    <w:p>
      <w:pPr>
        <w:pStyle w:val="ListParagraph"/>
        <w:numPr>
          <w:ilvl w:val="1"/>
          <w:numId w:val="132"/>
        </w:numPr>
        <w:tabs>
          <w:tab w:pos="1814" w:val="left" w:leader="none"/>
          <w:tab w:pos="1815" w:val="left" w:leader="none"/>
        </w:tabs>
        <w:spacing w:line="240" w:lineRule="auto" w:before="158" w:after="0"/>
        <w:ind w:left="1814" w:right="0" w:hanging="682"/>
        <w:jc w:val="left"/>
        <w:rPr>
          <w:sz w:val="20"/>
        </w:rPr>
      </w:pPr>
      <w:r>
        <w:rPr>
          <w:w w:val="125"/>
          <w:sz w:val="20"/>
        </w:rPr>
        <w:t>Building</w:t>
      </w:r>
      <w:r>
        <w:rPr>
          <w:spacing w:val="-1"/>
          <w:w w:val="125"/>
          <w:sz w:val="20"/>
        </w:rPr>
        <w:t> </w:t>
      </w:r>
      <w:r>
        <w:rPr>
          <w:w w:val="125"/>
          <w:sz w:val="20"/>
        </w:rPr>
        <w:t>development</w:t>
      </w:r>
    </w:p>
    <w:p>
      <w:pPr>
        <w:pStyle w:val="BodyText"/>
        <w:spacing w:before="8"/>
        <w:rPr>
          <w:sz w:val="19"/>
        </w:rPr>
      </w:pPr>
    </w:p>
    <w:p>
      <w:pPr>
        <w:pStyle w:val="ListParagraph"/>
        <w:numPr>
          <w:ilvl w:val="2"/>
          <w:numId w:val="132"/>
        </w:numPr>
        <w:tabs>
          <w:tab w:pos="1853" w:val="left" w:leader="none"/>
          <w:tab w:pos="1854" w:val="left" w:leader="none"/>
        </w:tabs>
        <w:spacing w:line="235" w:lineRule="auto" w:before="0" w:after="0"/>
        <w:ind w:left="1133" w:right="2022" w:firstLine="0"/>
        <w:jc w:val="left"/>
        <w:rPr>
          <w:sz w:val="20"/>
        </w:rPr>
      </w:pPr>
      <w:r>
        <w:rPr>
          <w:w w:val="120"/>
          <w:sz w:val="20"/>
        </w:rPr>
        <w:t>The work of a number of years is coming to fruition in the construction of a link building between Carver church and the church halls in order to provide an integrated conference suite of buildings for use by the Centre. This represents an imaginative and exceptional partnership between the United Reformed Church and a local URC. In practice, it completes and extends the partnership begun with the establishment of the Centre in the former Carver Church manse. The project has been made possible through the hard work of the Finance Committee and the personal offices of the </w:t>
      </w:r>
      <w:r>
        <w:rPr>
          <w:spacing w:val="-3"/>
          <w:w w:val="120"/>
          <w:sz w:val="20"/>
        </w:rPr>
        <w:t>Treasurer, </w:t>
      </w:r>
      <w:r>
        <w:rPr>
          <w:w w:val="120"/>
          <w:sz w:val="20"/>
        </w:rPr>
        <w:t>John Ellis. The negotiations – financial, legal and pastoral – have happened through the committed interest of the URC Trust, the </w:t>
      </w:r>
      <w:r>
        <w:rPr>
          <w:spacing w:val="2"/>
          <w:w w:val="120"/>
          <w:sz w:val="20"/>
        </w:rPr>
        <w:t>North </w:t>
      </w:r>
      <w:r>
        <w:rPr>
          <w:w w:val="120"/>
          <w:sz w:val="20"/>
        </w:rPr>
        <w:t>Western Synod, Carver Church, the Windermere Centre and the Finance Committee. The work is due to be completed in September</w:t>
      </w:r>
      <w:r>
        <w:rPr>
          <w:spacing w:val="2"/>
          <w:w w:val="120"/>
          <w:sz w:val="20"/>
        </w:rPr>
        <w:t> </w:t>
      </w:r>
      <w:r>
        <w:rPr>
          <w:spacing w:val="-5"/>
          <w:w w:val="120"/>
          <w:sz w:val="20"/>
        </w:rPr>
        <w:t>2010.</w:t>
      </w:r>
    </w:p>
    <w:p>
      <w:pPr>
        <w:pStyle w:val="BodyText"/>
        <w:spacing w:before="4"/>
      </w:pPr>
    </w:p>
    <w:p>
      <w:pPr>
        <w:pStyle w:val="ListParagraph"/>
        <w:numPr>
          <w:ilvl w:val="2"/>
          <w:numId w:val="132"/>
        </w:numPr>
        <w:tabs>
          <w:tab w:pos="1853" w:val="left" w:leader="none"/>
          <w:tab w:pos="1854" w:val="left" w:leader="none"/>
        </w:tabs>
        <w:spacing w:line="235" w:lineRule="auto" w:before="0" w:after="0"/>
        <w:ind w:left="1133" w:right="2002" w:firstLine="0"/>
        <w:jc w:val="left"/>
        <w:rPr>
          <w:sz w:val="20"/>
        </w:rPr>
      </w:pPr>
      <w:r>
        <w:rPr>
          <w:w w:val="120"/>
          <w:sz w:val="20"/>
        </w:rPr>
        <w:t>In addition, a </w:t>
      </w:r>
      <w:r>
        <w:rPr>
          <w:spacing w:val="3"/>
          <w:w w:val="120"/>
          <w:sz w:val="20"/>
        </w:rPr>
        <w:t>staffroom </w:t>
      </w:r>
      <w:r>
        <w:rPr>
          <w:spacing w:val="2"/>
          <w:w w:val="120"/>
          <w:sz w:val="20"/>
        </w:rPr>
        <w:t>extension </w:t>
      </w:r>
      <w:r>
        <w:rPr>
          <w:w w:val="120"/>
          <w:sz w:val="20"/>
        </w:rPr>
        <w:t>is </w:t>
      </w:r>
      <w:r>
        <w:rPr>
          <w:spacing w:val="2"/>
          <w:w w:val="120"/>
          <w:sz w:val="20"/>
        </w:rPr>
        <w:t>currently </w:t>
      </w:r>
      <w:r>
        <w:rPr>
          <w:w w:val="120"/>
          <w:sz w:val="20"/>
        </w:rPr>
        <w:t>awaiting  final  planning permission. </w:t>
      </w:r>
      <w:r>
        <w:rPr>
          <w:spacing w:val="2"/>
          <w:w w:val="120"/>
          <w:sz w:val="20"/>
        </w:rPr>
        <w:t>The staff room </w:t>
      </w:r>
      <w:r>
        <w:rPr>
          <w:w w:val="120"/>
          <w:sz w:val="20"/>
        </w:rPr>
        <w:t>will provide seating and meal accommodation for staff, who </w:t>
      </w:r>
      <w:r>
        <w:rPr>
          <w:spacing w:val="2"/>
          <w:w w:val="120"/>
          <w:sz w:val="20"/>
        </w:rPr>
        <w:t>presently </w:t>
      </w:r>
      <w:r>
        <w:rPr>
          <w:w w:val="120"/>
          <w:sz w:val="20"/>
        </w:rPr>
        <w:t>huddle into whatever small spaces are available in the kitchen. </w:t>
      </w:r>
      <w:r>
        <w:rPr>
          <w:spacing w:val="2"/>
          <w:w w:val="120"/>
          <w:sz w:val="20"/>
        </w:rPr>
        <w:t>Construction    </w:t>
      </w:r>
      <w:r>
        <w:rPr>
          <w:w w:val="120"/>
          <w:sz w:val="20"/>
        </w:rPr>
        <w:t>is </w:t>
      </w:r>
      <w:r>
        <w:rPr>
          <w:spacing w:val="3"/>
          <w:w w:val="120"/>
          <w:sz w:val="20"/>
        </w:rPr>
        <w:t>expected </w:t>
      </w:r>
      <w:r>
        <w:rPr>
          <w:w w:val="120"/>
          <w:sz w:val="20"/>
        </w:rPr>
        <w:t>to commence in </w:t>
      </w:r>
      <w:r>
        <w:rPr>
          <w:spacing w:val="2"/>
          <w:w w:val="120"/>
          <w:sz w:val="20"/>
        </w:rPr>
        <w:t>early </w:t>
      </w:r>
      <w:r>
        <w:rPr>
          <w:w w:val="120"/>
          <w:sz w:val="20"/>
        </w:rPr>
        <w:t>July </w:t>
      </w:r>
      <w:r>
        <w:rPr>
          <w:spacing w:val="-4"/>
          <w:w w:val="120"/>
          <w:sz w:val="20"/>
        </w:rPr>
        <w:t>2010 </w:t>
      </w:r>
      <w:r>
        <w:rPr>
          <w:w w:val="120"/>
          <w:sz w:val="20"/>
        </w:rPr>
        <w:t>and to be completed at the same time as   the link</w:t>
      </w:r>
      <w:r>
        <w:rPr>
          <w:spacing w:val="13"/>
          <w:w w:val="120"/>
          <w:sz w:val="20"/>
        </w:rPr>
        <w:t> </w:t>
      </w:r>
      <w:r>
        <w:rPr>
          <w:w w:val="120"/>
          <w:sz w:val="20"/>
        </w:rPr>
        <w:t>building.</w:t>
      </w:r>
    </w:p>
    <w:p>
      <w:pPr>
        <w:pStyle w:val="BodyText"/>
        <w:spacing w:before="7"/>
        <w:rPr>
          <w:sz w:val="19"/>
        </w:rPr>
      </w:pPr>
    </w:p>
    <w:p>
      <w:pPr>
        <w:pStyle w:val="ListParagraph"/>
        <w:numPr>
          <w:ilvl w:val="1"/>
          <w:numId w:val="132"/>
        </w:numPr>
        <w:tabs>
          <w:tab w:pos="1814" w:val="left" w:leader="none"/>
          <w:tab w:pos="1815" w:val="left" w:leader="none"/>
        </w:tabs>
        <w:spacing w:line="240" w:lineRule="auto" w:before="1" w:after="0"/>
        <w:ind w:left="1814" w:right="0" w:hanging="682"/>
        <w:jc w:val="left"/>
        <w:rPr>
          <w:sz w:val="20"/>
        </w:rPr>
      </w:pPr>
      <w:r>
        <w:rPr>
          <w:w w:val="120"/>
          <w:sz w:val="20"/>
        </w:rPr>
        <w:t>Other</w:t>
      </w:r>
      <w:r>
        <w:rPr>
          <w:spacing w:val="2"/>
          <w:w w:val="120"/>
          <w:sz w:val="20"/>
        </w:rPr>
        <w:t> </w:t>
      </w:r>
      <w:r>
        <w:rPr>
          <w:w w:val="120"/>
          <w:sz w:val="20"/>
        </w:rPr>
        <w:t>developments</w:t>
      </w:r>
    </w:p>
    <w:p>
      <w:pPr>
        <w:pStyle w:val="BodyText"/>
        <w:spacing w:before="4"/>
        <w:rPr>
          <w:sz w:val="19"/>
        </w:rPr>
      </w:pPr>
    </w:p>
    <w:p>
      <w:pPr>
        <w:pStyle w:val="ListParagraph"/>
        <w:numPr>
          <w:ilvl w:val="2"/>
          <w:numId w:val="132"/>
        </w:numPr>
        <w:tabs>
          <w:tab w:pos="1815" w:val="left" w:leader="none"/>
        </w:tabs>
        <w:spacing w:line="242" w:lineRule="exact" w:before="0" w:after="0"/>
        <w:ind w:left="1814" w:right="0" w:hanging="682"/>
        <w:jc w:val="both"/>
        <w:rPr>
          <w:i/>
          <w:sz w:val="20"/>
        </w:rPr>
      </w:pPr>
      <w:r>
        <w:rPr>
          <w:i/>
          <w:w w:val="125"/>
          <w:sz w:val="20"/>
        </w:rPr>
        <w:t>vision2020</w:t>
      </w:r>
    </w:p>
    <w:p>
      <w:pPr>
        <w:pStyle w:val="BodyText"/>
        <w:spacing w:line="235" w:lineRule="auto" w:before="2"/>
        <w:ind w:left="1133" w:right="2138" w:hanging="1"/>
        <w:jc w:val="both"/>
      </w:pPr>
      <w:r>
        <w:rPr>
          <w:i/>
          <w:w w:val="120"/>
        </w:rPr>
        <w:t>vision2020 </w:t>
      </w:r>
      <w:r>
        <w:rPr>
          <w:w w:val="120"/>
        </w:rPr>
        <w:t>is the general framework within which, if adopted by General Assembly, the whole United Reformed Church will operate to integrate mission, church life, education and learning. The Centre has pioneered a weekend format for local churches and wider groups to engage with the </w:t>
      </w:r>
      <w:r>
        <w:rPr>
          <w:i/>
          <w:w w:val="120"/>
        </w:rPr>
        <w:t>vision2020 </w:t>
      </w:r>
      <w:r>
        <w:rPr>
          <w:w w:val="120"/>
        </w:rPr>
        <w:t>process. It is planned to roll this out more widely.</w:t>
      </w:r>
    </w:p>
    <w:p>
      <w:pPr>
        <w:pStyle w:val="BodyText"/>
        <w:spacing w:before="7"/>
        <w:rPr>
          <w:sz w:val="19"/>
        </w:rPr>
      </w:pPr>
    </w:p>
    <w:p>
      <w:pPr>
        <w:pStyle w:val="ListParagraph"/>
        <w:numPr>
          <w:ilvl w:val="2"/>
          <w:numId w:val="132"/>
        </w:numPr>
        <w:tabs>
          <w:tab w:pos="1815" w:val="left" w:leader="none"/>
        </w:tabs>
        <w:spacing w:line="242" w:lineRule="exact" w:before="0" w:after="0"/>
        <w:ind w:left="1814" w:right="0" w:hanging="682"/>
        <w:jc w:val="left"/>
        <w:rPr>
          <w:sz w:val="20"/>
        </w:rPr>
      </w:pPr>
      <w:r>
        <w:rPr>
          <w:w w:val="120"/>
          <w:sz w:val="20"/>
        </w:rPr>
        <w:t>Marketing and identity</w:t>
      </w:r>
      <w:r>
        <w:rPr>
          <w:spacing w:val="6"/>
          <w:w w:val="120"/>
          <w:sz w:val="20"/>
        </w:rPr>
        <w:t> </w:t>
      </w:r>
      <w:r>
        <w:rPr>
          <w:w w:val="120"/>
          <w:sz w:val="20"/>
        </w:rPr>
        <w:t>campaign</w:t>
      </w:r>
    </w:p>
    <w:p>
      <w:pPr>
        <w:pStyle w:val="BodyText"/>
        <w:spacing w:line="235" w:lineRule="auto" w:before="2"/>
        <w:ind w:left="1133" w:right="2545"/>
      </w:pPr>
      <w:r>
        <w:rPr>
          <w:w w:val="120"/>
        </w:rPr>
        <w:t>The Centre will act as a focal point for training and equipping churches to take </w:t>
      </w:r>
      <w:r>
        <w:rPr>
          <w:spacing w:val="2"/>
          <w:w w:val="120"/>
        </w:rPr>
        <w:t>part </w:t>
      </w:r>
      <w:r>
        <w:rPr>
          <w:w w:val="120"/>
        </w:rPr>
        <w:t>in the campaign. It will be the venue for residential committee meetings and for the Research and Development churches to meet, plan and develop</w:t>
      </w:r>
      <w:r>
        <w:rPr>
          <w:spacing w:val="29"/>
          <w:w w:val="120"/>
        </w:rPr>
        <w:t> </w:t>
      </w:r>
      <w:r>
        <w:rPr>
          <w:w w:val="120"/>
        </w:rPr>
        <w:t>resources.</w:t>
      </w:r>
    </w:p>
    <w:p>
      <w:pPr>
        <w:pStyle w:val="BodyText"/>
        <w:spacing w:before="6"/>
        <w:rPr>
          <w:sz w:val="19"/>
        </w:rPr>
      </w:pPr>
    </w:p>
    <w:p>
      <w:pPr>
        <w:pStyle w:val="ListParagraph"/>
        <w:numPr>
          <w:ilvl w:val="2"/>
          <w:numId w:val="132"/>
        </w:numPr>
        <w:tabs>
          <w:tab w:pos="1815" w:val="left" w:leader="none"/>
        </w:tabs>
        <w:spacing w:line="242" w:lineRule="exact" w:before="0" w:after="0"/>
        <w:ind w:left="1814" w:right="0" w:hanging="682"/>
        <w:jc w:val="left"/>
        <w:rPr>
          <w:sz w:val="20"/>
        </w:rPr>
      </w:pPr>
      <w:r>
        <w:rPr>
          <w:w w:val="120"/>
          <w:sz w:val="20"/>
        </w:rPr>
        <w:t>Learning Networks via</w:t>
      </w:r>
      <w:r>
        <w:rPr>
          <w:spacing w:val="6"/>
          <w:w w:val="120"/>
          <w:sz w:val="20"/>
        </w:rPr>
        <w:t> </w:t>
      </w:r>
      <w:r>
        <w:rPr>
          <w:w w:val="120"/>
          <w:sz w:val="20"/>
        </w:rPr>
        <w:t>IT</w:t>
      </w:r>
    </w:p>
    <w:p>
      <w:pPr>
        <w:pStyle w:val="BodyText"/>
        <w:spacing w:line="235" w:lineRule="auto" w:before="2"/>
        <w:ind w:left="1133" w:right="2376"/>
      </w:pPr>
      <w:r>
        <w:rPr>
          <w:spacing w:val="2"/>
          <w:w w:val="120"/>
        </w:rPr>
        <w:t>The </w:t>
      </w:r>
      <w:r>
        <w:rPr>
          <w:w w:val="120"/>
        </w:rPr>
        <w:t>Centre is planning to create </w:t>
      </w:r>
      <w:r>
        <w:rPr>
          <w:spacing w:val="2"/>
          <w:w w:val="120"/>
        </w:rPr>
        <w:t>active, ongoing </w:t>
      </w:r>
      <w:r>
        <w:rPr>
          <w:spacing w:val="3"/>
          <w:w w:val="120"/>
        </w:rPr>
        <w:t>networks </w:t>
      </w:r>
      <w:r>
        <w:rPr>
          <w:w w:val="120"/>
        </w:rPr>
        <w:t>of </w:t>
      </w:r>
      <w:r>
        <w:rPr>
          <w:spacing w:val="2"/>
          <w:w w:val="120"/>
        </w:rPr>
        <w:t>learners </w:t>
      </w:r>
      <w:r>
        <w:rPr>
          <w:w w:val="120"/>
        </w:rPr>
        <w:t>via </w:t>
      </w:r>
      <w:r>
        <w:rPr>
          <w:spacing w:val="-3"/>
          <w:w w:val="120"/>
        </w:rPr>
        <w:t>IT,    </w:t>
      </w:r>
      <w:r>
        <w:rPr>
          <w:spacing w:val="2"/>
          <w:w w:val="120"/>
        </w:rPr>
        <w:t>delivering training </w:t>
      </w:r>
      <w:r>
        <w:rPr>
          <w:w w:val="120"/>
        </w:rPr>
        <w:t>and development in </w:t>
      </w:r>
      <w:r>
        <w:rPr>
          <w:spacing w:val="2"/>
          <w:w w:val="120"/>
        </w:rPr>
        <w:t>these </w:t>
      </w:r>
      <w:r>
        <w:rPr>
          <w:w w:val="120"/>
        </w:rPr>
        <w:t>skills via </w:t>
      </w:r>
      <w:r>
        <w:rPr>
          <w:spacing w:val="2"/>
          <w:w w:val="120"/>
        </w:rPr>
        <w:t>regular Windermere </w:t>
      </w:r>
      <w:r>
        <w:rPr>
          <w:w w:val="120"/>
        </w:rPr>
        <w:t>webinars. This will provide an </w:t>
      </w:r>
      <w:r>
        <w:rPr>
          <w:spacing w:val="3"/>
          <w:w w:val="120"/>
        </w:rPr>
        <w:t>important </w:t>
      </w:r>
      <w:r>
        <w:rPr>
          <w:w w:val="120"/>
        </w:rPr>
        <w:t>component within the  URC’s  </w:t>
      </w:r>
      <w:r>
        <w:rPr>
          <w:spacing w:val="2"/>
          <w:w w:val="120"/>
        </w:rPr>
        <w:t>virtual  </w:t>
      </w:r>
      <w:r>
        <w:rPr>
          <w:w w:val="120"/>
        </w:rPr>
        <w:t>office  and </w:t>
      </w:r>
      <w:r>
        <w:rPr>
          <w:spacing w:val="2"/>
          <w:w w:val="120"/>
        </w:rPr>
        <w:t>learning</w:t>
      </w:r>
      <w:r>
        <w:rPr>
          <w:spacing w:val="6"/>
          <w:w w:val="120"/>
        </w:rPr>
        <w:t> </w:t>
      </w:r>
      <w:r>
        <w:rPr>
          <w:w w:val="120"/>
        </w:rPr>
        <w:t>environment.</w:t>
      </w:r>
    </w:p>
    <w:p>
      <w:pPr>
        <w:pStyle w:val="BodyText"/>
        <w:spacing w:before="7"/>
        <w:rPr>
          <w:sz w:val="19"/>
        </w:rPr>
      </w:pPr>
    </w:p>
    <w:p>
      <w:pPr>
        <w:pStyle w:val="ListParagraph"/>
        <w:numPr>
          <w:ilvl w:val="2"/>
          <w:numId w:val="132"/>
        </w:numPr>
        <w:tabs>
          <w:tab w:pos="1815" w:val="left" w:leader="none"/>
        </w:tabs>
        <w:spacing w:line="242" w:lineRule="exact" w:before="0" w:after="0"/>
        <w:ind w:left="1814" w:right="0" w:hanging="682"/>
        <w:jc w:val="left"/>
        <w:rPr>
          <w:sz w:val="20"/>
        </w:rPr>
      </w:pPr>
      <w:r>
        <w:rPr>
          <w:w w:val="125"/>
          <w:sz w:val="20"/>
        </w:rPr>
        <w:t>‘On the</w:t>
      </w:r>
      <w:r>
        <w:rPr>
          <w:spacing w:val="-1"/>
          <w:w w:val="125"/>
          <w:sz w:val="20"/>
        </w:rPr>
        <w:t> </w:t>
      </w:r>
      <w:r>
        <w:rPr>
          <w:w w:val="125"/>
          <w:sz w:val="20"/>
        </w:rPr>
        <w:t>Edge’</w:t>
      </w:r>
    </w:p>
    <w:p>
      <w:pPr>
        <w:pStyle w:val="BodyText"/>
        <w:spacing w:line="235" w:lineRule="auto" w:before="2"/>
        <w:ind w:left="1133" w:right="2140"/>
      </w:pPr>
      <w:r>
        <w:rPr>
          <w:w w:val="120"/>
        </w:rPr>
        <w:t>Windermere has always been </w:t>
      </w:r>
      <w:r>
        <w:rPr>
          <w:spacing w:val="-4"/>
          <w:w w:val="120"/>
        </w:rPr>
        <w:t>‘on  </w:t>
      </w:r>
      <w:r>
        <w:rPr>
          <w:w w:val="120"/>
        </w:rPr>
        <w:t>the edge’ – geographically, and in terms of pushing   at boundaries. It has ever been the intention to ensure that visitors to the Centre are excited by their learning experiences, encouraged in their faith and empowered to minister more effectively and to pass on what they have gained in order to be resources to the wider Church. This is an aim to be pursued and</w:t>
      </w:r>
      <w:r>
        <w:rPr>
          <w:spacing w:val="42"/>
          <w:w w:val="120"/>
        </w:rPr>
        <w:t> </w:t>
      </w:r>
      <w:r>
        <w:rPr>
          <w:w w:val="120"/>
        </w:rPr>
        <w:t>developed.</w:t>
      </w:r>
    </w:p>
    <w:p>
      <w:pPr>
        <w:pStyle w:val="BodyText"/>
      </w:pPr>
    </w:p>
    <w:p>
      <w:pPr>
        <w:pStyle w:val="BodyText"/>
        <w:spacing w:before="1"/>
        <w:rPr>
          <w:sz w:val="22"/>
        </w:rPr>
      </w:pPr>
      <w:r>
        <w:rPr/>
        <w:pict>
          <v:shape style="position:absolute;margin-left:56.692902pt;margin-top:21.753813pt;width:183.85pt;height:.1pt;mso-position-horizontal-relative:page;mso-position-vertical-relative:paragraph;z-index:-251253760;mso-wrap-distance-left:0;mso-wrap-distance-right:0" coordorigin="1134,435" coordsize="3677,0" path="m1134,435l4811,435e" filled="false" stroked="true" strokeweight=".5pt" strokecolor="#8ba8bd">
            <v:path arrowok="t"/>
            <v:stroke dashstyle="solid"/>
            <w10:wrap type="topAndBottom"/>
          </v:shape>
        </w:pict>
      </w:r>
      <w:r>
        <w:rPr/>
        <w:pict>
          <v:rect style="position:absolute;margin-left:250.865997pt;margin-top:15.432412pt;width:13.721pt;height:13.721pt;mso-position-horizontal-relative:page;mso-position-vertical-relative:paragraph;z-index:-251252736;mso-wrap-distance-left:0;mso-wrap-distance-right:0" filled="true" fillcolor="#8ba8bd" stroked="false">
            <v:fill type="solid"/>
            <w10:wrap type="topAndBottom"/>
          </v:rect>
        </w:pict>
      </w:r>
      <w:r>
        <w:rPr/>
        <w:pict>
          <v:rect style="position:absolute;margin-left:269.303009pt;margin-top:15.432412pt;width:13.721pt;height:13.721pt;mso-position-horizontal-relative:page;mso-position-vertical-relative:paragraph;z-index:-251251712;mso-wrap-distance-left:0;mso-wrap-distance-right:0" filled="true" fillcolor="#c2d2df" stroked="false">
            <v:fill type="solid"/>
            <w10:wrap type="topAndBottom"/>
          </v:rect>
        </w:pict>
      </w:r>
      <w:r>
        <w:rPr/>
        <w:pict>
          <v:rect style="position:absolute;margin-left:288.169006pt;margin-top:15.432412pt;width:13.721pt;height:13.721pt;mso-position-horizontal-relative:page;mso-position-vertical-relative:paragraph;z-index:-251250688;mso-wrap-distance-left:0;mso-wrap-distance-right:0" filled="true" fillcolor="#dae4ec" stroked="false">
            <v:fill opacity="32768f" type="solid"/>
            <w10:wrap type="topAndBottom"/>
          </v:rect>
        </w:pict>
      </w:r>
      <w:r>
        <w:rPr/>
        <w:pict>
          <v:shape style="position:absolute;margin-left:311.716003pt;margin-top:21.753813pt;width:184.35pt;height:.1pt;mso-position-horizontal-relative:page;mso-position-vertical-relative:paragraph;z-index:-251249664;mso-wrap-distance-left:0;mso-wrap-distance-right:0" coordorigin="6234,435" coordsize="3687,0" path="m6234,435l9921,435e" filled="false" stroked="true" strokeweight=".5pt" strokecolor="#8ba8bd">
            <v:path arrowok="t"/>
            <v:stroke dashstyle="solid"/>
            <w10:wrap type="topAndBottom"/>
          </v:shape>
        </w:pict>
      </w:r>
    </w:p>
    <w:p>
      <w:pPr>
        <w:spacing w:after="0"/>
        <w:rPr>
          <w:sz w:val="22"/>
        </w:rPr>
        <w:sectPr>
          <w:headerReference w:type="even" r:id="rId307"/>
          <w:footerReference w:type="even" r:id="rId308"/>
          <w:pgSz w:w="11910" w:h="16840"/>
          <w:pgMar w:header="0" w:footer="647" w:top="1060" w:bottom="840" w:left="0" w:right="0"/>
        </w:sectPr>
      </w:pPr>
    </w:p>
    <w:p>
      <w:pPr>
        <w:spacing w:line="237" w:lineRule="exact" w:before="69"/>
        <w:ind w:left="2381" w:right="0" w:firstLine="0"/>
        <w:jc w:val="left"/>
        <w:rPr>
          <w:rFonts w:ascii="Stone Sans II ITC Std Sm"/>
          <w:b/>
          <w:sz w:val="18"/>
        </w:rPr>
      </w:pPr>
      <w:r>
        <w:rPr/>
        <w:pict>
          <v:rect style="position:absolute;margin-left:0pt;margin-top:.000015pt;width:595.275pt;height:841.89pt;mso-position-horizontal-relative:page;mso-position-vertical-relative:page;z-index:-267355136" filled="true" fillcolor="#8ba8bd" stroked="false">
            <v:fill type="solid"/>
            <w10:wrap type="none"/>
          </v:rect>
        </w:pict>
      </w:r>
      <w:r>
        <w:rPr/>
        <w:pict>
          <v:group style="position:absolute;margin-left:75.826797pt;margin-top:.000015pt;width:519.4500pt;height:790.9pt;mso-position-horizontal-relative:page;mso-position-vertical-relative:page;z-index:-267354112"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017;width:8049;height:2034" coordorigin="2014,1018" coordsize="8049,2034" path="m2254,1018l2251,1156,2224,1228,2153,1254,2014,1258,2014,2811,2153,2815,2224,2841,2251,2913,2254,3051,9823,3051,9827,2913,9853,2841,9924,2815,10063,2811,10063,1258,9924,1254,9853,1228,9827,1156,9823,1018,2254,1018xe" filled="false" stroked="true" strokeweight="1pt" strokecolor="#8ba8bd">
              <v:path arrowok="t"/>
              <v:stroke dashstyle="solid"/>
            </v:shape>
            <w10:wrap type="none"/>
          </v:group>
        </w:pict>
      </w:r>
      <w:r>
        <w:rPr/>
        <w:pict>
          <v:shape style="position:absolute;margin-left:512.587891pt;margin-top:-4.234187pt;width:47.4pt;height:402.6pt;mso-position-horizontal-relative:page;mso-position-vertical-relative:paragraph;z-index:-267353088"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7"/>
                      <w:w w:val="110"/>
                      <w:sz w:val="72"/>
                    </w:rPr>
                    <w:t>Equal</w:t>
                  </w:r>
                  <w:r>
                    <w:rPr>
                      <w:rFonts w:ascii="Stone Sans II ITC Std X Bd"/>
                      <w:b/>
                      <w:spacing w:val="83"/>
                      <w:w w:val="110"/>
                      <w:sz w:val="72"/>
                    </w:rPr>
                    <w:t> </w:t>
                  </w:r>
                  <w:r>
                    <w:rPr>
                      <w:rFonts w:ascii="Stone Sans II ITC Std X Bd"/>
                      <w:b/>
                      <w:spacing w:val="-7"/>
                      <w:w w:val="110"/>
                      <w:sz w:val="72"/>
                    </w:rPr>
                    <w:t>Opportunities</w:t>
                  </w:r>
                </w:p>
              </w:txbxContent>
            </v:textbox>
            <w10:wrap type="none"/>
          </v:shape>
        </w:pict>
      </w:r>
      <w:r>
        <w:rPr>
          <w:rFonts w:ascii="Stone Sans II ITC Std Sm"/>
          <w:b/>
          <w:w w:val="110"/>
          <w:sz w:val="18"/>
        </w:rPr>
        <w:t>Committee members:</w:t>
      </w:r>
    </w:p>
    <w:p>
      <w:pPr>
        <w:spacing w:line="244" w:lineRule="auto" w:before="0"/>
        <w:ind w:left="2381" w:right="2191" w:firstLine="0"/>
        <w:jc w:val="left"/>
        <w:rPr>
          <w:sz w:val="18"/>
        </w:rPr>
      </w:pPr>
      <w:r>
        <w:rPr>
          <w:spacing w:val="-4"/>
          <w:w w:val="125"/>
          <w:sz w:val="18"/>
        </w:rPr>
        <w:t>Tom </w:t>
      </w:r>
      <w:r>
        <w:rPr>
          <w:w w:val="125"/>
          <w:sz w:val="18"/>
        </w:rPr>
        <w:t>Arthur, Tina Ashitey, David Coleman (resigned as Secretary March 2009), John</w:t>
      </w:r>
      <w:r>
        <w:rPr>
          <w:spacing w:val="-13"/>
          <w:w w:val="125"/>
          <w:sz w:val="18"/>
        </w:rPr>
        <w:t> </w:t>
      </w:r>
      <w:r>
        <w:rPr>
          <w:w w:val="125"/>
          <w:sz w:val="18"/>
        </w:rPr>
        <w:t>Danso</w:t>
      </w:r>
      <w:r>
        <w:rPr>
          <w:spacing w:val="-13"/>
          <w:w w:val="125"/>
          <w:sz w:val="18"/>
        </w:rPr>
        <w:t> </w:t>
      </w:r>
      <w:r>
        <w:rPr>
          <w:w w:val="125"/>
          <w:sz w:val="18"/>
        </w:rPr>
        <w:t>(co-opted</w:t>
      </w:r>
      <w:r>
        <w:rPr>
          <w:spacing w:val="-13"/>
          <w:w w:val="125"/>
          <w:sz w:val="18"/>
        </w:rPr>
        <w:t> </w:t>
      </w:r>
      <w:r>
        <w:rPr>
          <w:w w:val="125"/>
          <w:sz w:val="18"/>
        </w:rPr>
        <w:t>until</w:t>
      </w:r>
      <w:r>
        <w:rPr>
          <w:spacing w:val="-13"/>
          <w:w w:val="125"/>
          <w:sz w:val="18"/>
        </w:rPr>
        <w:t> </w:t>
      </w:r>
      <w:r>
        <w:rPr>
          <w:w w:val="125"/>
          <w:sz w:val="18"/>
        </w:rPr>
        <w:t>July</w:t>
      </w:r>
      <w:r>
        <w:rPr>
          <w:spacing w:val="-13"/>
          <w:w w:val="125"/>
          <w:sz w:val="18"/>
        </w:rPr>
        <w:t> </w:t>
      </w:r>
      <w:r>
        <w:rPr>
          <w:w w:val="125"/>
          <w:sz w:val="18"/>
        </w:rPr>
        <w:t>2009),</w:t>
      </w:r>
      <w:r>
        <w:rPr>
          <w:spacing w:val="-13"/>
          <w:w w:val="125"/>
          <w:sz w:val="18"/>
        </w:rPr>
        <w:t> </w:t>
      </w:r>
      <w:r>
        <w:rPr>
          <w:w w:val="125"/>
          <w:sz w:val="18"/>
        </w:rPr>
        <w:t>Barbara</w:t>
      </w:r>
      <w:r>
        <w:rPr>
          <w:spacing w:val="-13"/>
          <w:w w:val="125"/>
          <w:sz w:val="18"/>
        </w:rPr>
        <w:t> </w:t>
      </w:r>
      <w:r>
        <w:rPr>
          <w:w w:val="125"/>
          <w:sz w:val="18"/>
        </w:rPr>
        <w:t>Exley,</w:t>
      </w:r>
      <w:r>
        <w:rPr>
          <w:spacing w:val="-13"/>
          <w:w w:val="125"/>
          <w:sz w:val="18"/>
        </w:rPr>
        <w:t> </w:t>
      </w:r>
      <w:r>
        <w:rPr>
          <w:w w:val="125"/>
          <w:sz w:val="18"/>
        </w:rPr>
        <w:t>Kate</w:t>
      </w:r>
      <w:r>
        <w:rPr>
          <w:spacing w:val="-13"/>
          <w:w w:val="125"/>
          <w:sz w:val="18"/>
        </w:rPr>
        <w:t> </w:t>
      </w:r>
      <w:r>
        <w:rPr>
          <w:spacing w:val="2"/>
          <w:w w:val="125"/>
          <w:sz w:val="18"/>
        </w:rPr>
        <w:t>Gartside</w:t>
      </w:r>
      <w:r>
        <w:rPr>
          <w:spacing w:val="-12"/>
          <w:w w:val="125"/>
          <w:sz w:val="18"/>
        </w:rPr>
        <w:t> </w:t>
      </w:r>
      <w:r>
        <w:rPr>
          <w:w w:val="125"/>
          <w:sz w:val="18"/>
        </w:rPr>
        <w:t>(completed term July 2009), James Hurst </w:t>
      </w:r>
      <w:r>
        <w:rPr>
          <w:spacing w:val="-3"/>
          <w:w w:val="125"/>
          <w:sz w:val="18"/>
        </w:rPr>
        <w:t>(until </w:t>
      </w:r>
      <w:r>
        <w:rPr>
          <w:w w:val="125"/>
          <w:sz w:val="18"/>
        </w:rPr>
        <w:t>July </w:t>
      </w:r>
      <w:r>
        <w:rPr>
          <w:spacing w:val="-5"/>
          <w:w w:val="125"/>
          <w:sz w:val="18"/>
        </w:rPr>
        <w:t>2010), </w:t>
      </w:r>
      <w:r>
        <w:rPr>
          <w:w w:val="125"/>
          <w:sz w:val="18"/>
        </w:rPr>
        <w:t>Andrew Jack (Secretary), </w:t>
      </w:r>
      <w:r>
        <w:rPr>
          <w:spacing w:val="3"/>
          <w:w w:val="125"/>
          <w:sz w:val="18"/>
        </w:rPr>
        <w:t>Mary </w:t>
      </w:r>
      <w:r>
        <w:rPr>
          <w:w w:val="125"/>
          <w:sz w:val="18"/>
        </w:rPr>
        <w:t>Jeremiah, Morag McLintock </w:t>
      </w:r>
      <w:r>
        <w:rPr>
          <w:spacing w:val="-3"/>
          <w:w w:val="125"/>
          <w:sz w:val="18"/>
        </w:rPr>
        <w:t>(Convener, </w:t>
      </w:r>
      <w:r>
        <w:rPr>
          <w:w w:val="125"/>
          <w:sz w:val="18"/>
        </w:rPr>
        <w:t>until July </w:t>
      </w:r>
      <w:r>
        <w:rPr>
          <w:spacing w:val="-5"/>
          <w:w w:val="125"/>
          <w:sz w:val="18"/>
        </w:rPr>
        <w:t>2010), </w:t>
      </w:r>
      <w:r>
        <w:rPr>
          <w:w w:val="125"/>
          <w:sz w:val="18"/>
        </w:rPr>
        <w:t>Michelle Marcano, (Church House staff), Elizabeth Nash (Convener Elect), Gwynneth Tilley and Pamela Ward (resigned </w:t>
      </w:r>
      <w:r>
        <w:rPr>
          <w:spacing w:val="2"/>
          <w:w w:val="125"/>
          <w:sz w:val="18"/>
        </w:rPr>
        <w:t>January</w:t>
      </w:r>
      <w:r>
        <w:rPr>
          <w:spacing w:val="-6"/>
          <w:w w:val="125"/>
          <w:sz w:val="18"/>
        </w:rPr>
        <w:t> </w:t>
      </w:r>
      <w:r>
        <w:rPr>
          <w:w w:val="125"/>
          <w:sz w:val="18"/>
        </w:rPr>
        <w:t>2009)</w:t>
      </w:r>
    </w:p>
    <w:p>
      <w:pPr>
        <w:pStyle w:val="BodyText"/>
        <w:rPr>
          <w:sz w:val="22"/>
        </w:rPr>
      </w:pPr>
    </w:p>
    <w:p>
      <w:pPr>
        <w:pStyle w:val="BodyText"/>
        <w:spacing w:before="6"/>
        <w:rPr>
          <w:sz w:val="25"/>
        </w:rPr>
      </w:pPr>
    </w:p>
    <w:p>
      <w:pPr>
        <w:numPr>
          <w:ilvl w:val="3"/>
          <w:numId w:val="132"/>
        </w:numPr>
        <w:tabs>
          <w:tab w:pos="2704" w:val="left" w:leader="none"/>
          <w:tab w:pos="2705" w:val="left" w:leader="none"/>
        </w:tabs>
        <w:spacing w:before="0"/>
        <w:ind w:left="2704" w:right="0" w:hanging="721"/>
        <w:jc w:val="left"/>
        <w:rPr>
          <w:sz w:val="21"/>
        </w:rPr>
      </w:pPr>
      <w:r>
        <w:rPr>
          <w:rFonts w:ascii="Stone Sans II ITC Std X Bd"/>
          <w:b/>
          <w:spacing w:val="3"/>
          <w:w w:val="125"/>
          <w:sz w:val="21"/>
        </w:rPr>
        <w:t>E</w:t>
      </w:r>
      <w:r>
        <w:rPr>
          <w:spacing w:val="3"/>
          <w:w w:val="125"/>
          <w:sz w:val="21"/>
        </w:rPr>
        <w:t>ncouraging</w:t>
      </w:r>
      <w:r>
        <w:rPr>
          <w:spacing w:val="11"/>
          <w:w w:val="125"/>
          <w:sz w:val="21"/>
        </w:rPr>
        <w:t> </w:t>
      </w:r>
      <w:r>
        <w:rPr>
          <w:rFonts w:ascii="Stone Sans II ITC Std X Bd"/>
          <w:b/>
          <w:spacing w:val="4"/>
          <w:w w:val="125"/>
          <w:sz w:val="21"/>
        </w:rPr>
        <w:t>O</w:t>
      </w:r>
      <w:r>
        <w:rPr>
          <w:spacing w:val="4"/>
          <w:w w:val="125"/>
          <w:sz w:val="21"/>
        </w:rPr>
        <w:t>thers</w:t>
      </w:r>
    </w:p>
    <w:p>
      <w:pPr>
        <w:pStyle w:val="ListParagraph"/>
        <w:numPr>
          <w:ilvl w:val="4"/>
          <w:numId w:val="132"/>
        </w:numPr>
        <w:tabs>
          <w:tab w:pos="2664" w:val="left" w:leader="none"/>
          <w:tab w:pos="2665" w:val="left" w:leader="none"/>
        </w:tabs>
        <w:spacing w:line="232" w:lineRule="auto" w:before="181" w:after="0"/>
        <w:ind w:left="1984" w:right="2096" w:hanging="1"/>
        <w:jc w:val="left"/>
        <w:rPr>
          <w:sz w:val="20"/>
        </w:rPr>
      </w:pPr>
      <w:r>
        <w:rPr>
          <w:w w:val="120"/>
          <w:sz w:val="20"/>
        </w:rPr>
        <w:t>Be </w:t>
      </w:r>
      <w:r>
        <w:rPr>
          <w:spacing w:val="-3"/>
          <w:w w:val="120"/>
          <w:sz w:val="20"/>
        </w:rPr>
        <w:t>you </w:t>
      </w:r>
      <w:r>
        <w:rPr>
          <w:w w:val="120"/>
          <w:sz w:val="20"/>
        </w:rPr>
        <w:t>a </w:t>
      </w:r>
      <w:r>
        <w:rPr>
          <w:spacing w:val="-3"/>
          <w:w w:val="120"/>
          <w:sz w:val="20"/>
        </w:rPr>
        <w:t>committee, church </w:t>
      </w:r>
      <w:r>
        <w:rPr>
          <w:w w:val="120"/>
          <w:sz w:val="20"/>
        </w:rPr>
        <w:t>or synod, we hope </w:t>
      </w:r>
      <w:r>
        <w:rPr>
          <w:spacing w:val="-5"/>
          <w:w w:val="120"/>
          <w:sz w:val="20"/>
        </w:rPr>
        <w:t>you’ve </w:t>
      </w:r>
      <w:r>
        <w:rPr>
          <w:w w:val="120"/>
          <w:sz w:val="20"/>
        </w:rPr>
        <w:t>all had fun </w:t>
      </w:r>
      <w:r>
        <w:rPr>
          <w:spacing w:val="-3"/>
          <w:w w:val="120"/>
          <w:sz w:val="20"/>
        </w:rPr>
        <w:t>since </w:t>
      </w:r>
      <w:r>
        <w:rPr>
          <w:w w:val="120"/>
          <w:sz w:val="20"/>
        </w:rPr>
        <w:t>July 2008 embracing the General Assembly updated Equal Opportunities Policy and</w:t>
      </w:r>
      <w:r>
        <w:rPr>
          <w:spacing w:val="-10"/>
          <w:w w:val="120"/>
          <w:sz w:val="20"/>
        </w:rPr>
        <w:t> </w:t>
      </w:r>
      <w:r>
        <w:rPr>
          <w:w w:val="120"/>
          <w:sz w:val="20"/>
        </w:rPr>
        <w:t>implementing</w:t>
      </w:r>
      <w:r>
        <w:rPr>
          <w:spacing w:val="-9"/>
          <w:w w:val="120"/>
          <w:sz w:val="20"/>
        </w:rPr>
        <w:t> </w:t>
      </w:r>
      <w:r>
        <w:rPr>
          <w:w w:val="120"/>
          <w:sz w:val="20"/>
        </w:rPr>
        <w:t>it</w:t>
      </w:r>
      <w:r>
        <w:rPr>
          <w:spacing w:val="-9"/>
          <w:w w:val="120"/>
          <w:sz w:val="20"/>
        </w:rPr>
        <w:t> </w:t>
      </w:r>
      <w:r>
        <w:rPr>
          <w:w w:val="120"/>
          <w:sz w:val="20"/>
        </w:rPr>
        <w:t>as</w:t>
      </w:r>
      <w:r>
        <w:rPr>
          <w:spacing w:val="-9"/>
          <w:w w:val="120"/>
          <w:sz w:val="20"/>
        </w:rPr>
        <w:t> </w:t>
      </w:r>
      <w:r>
        <w:rPr>
          <w:w w:val="120"/>
          <w:sz w:val="20"/>
        </w:rPr>
        <w:t>per</w:t>
      </w:r>
      <w:r>
        <w:rPr>
          <w:spacing w:val="-9"/>
          <w:w w:val="120"/>
          <w:sz w:val="20"/>
        </w:rPr>
        <w:t> </w:t>
      </w:r>
      <w:r>
        <w:rPr>
          <w:w w:val="120"/>
          <w:sz w:val="20"/>
        </w:rPr>
        <w:t>resolution</w:t>
      </w:r>
      <w:r>
        <w:rPr>
          <w:spacing w:val="-9"/>
          <w:w w:val="120"/>
          <w:sz w:val="20"/>
        </w:rPr>
        <w:t> 19 </w:t>
      </w:r>
      <w:r>
        <w:rPr>
          <w:w w:val="120"/>
          <w:sz w:val="20"/>
        </w:rPr>
        <w:t>from</w:t>
      </w:r>
      <w:r>
        <w:rPr>
          <w:spacing w:val="-9"/>
          <w:w w:val="120"/>
          <w:sz w:val="20"/>
        </w:rPr>
        <w:t> </w:t>
      </w:r>
      <w:r>
        <w:rPr>
          <w:w w:val="120"/>
          <w:sz w:val="20"/>
        </w:rPr>
        <w:t>GA</w:t>
      </w:r>
      <w:r>
        <w:rPr>
          <w:spacing w:val="-9"/>
          <w:w w:val="120"/>
          <w:sz w:val="20"/>
        </w:rPr>
        <w:t> </w:t>
      </w:r>
      <w:r>
        <w:rPr>
          <w:w w:val="120"/>
          <w:sz w:val="20"/>
        </w:rPr>
        <w:t>2008.</w:t>
      </w:r>
      <w:r>
        <w:rPr>
          <w:spacing w:val="-9"/>
          <w:w w:val="120"/>
          <w:sz w:val="20"/>
        </w:rPr>
        <w:t> </w:t>
      </w:r>
      <w:r>
        <w:rPr>
          <w:w w:val="120"/>
          <w:sz w:val="20"/>
        </w:rPr>
        <w:t>The</w:t>
      </w:r>
      <w:r>
        <w:rPr>
          <w:spacing w:val="-8"/>
          <w:w w:val="120"/>
          <w:sz w:val="20"/>
        </w:rPr>
        <w:t> </w:t>
      </w:r>
      <w:r>
        <w:rPr>
          <w:i/>
          <w:spacing w:val="-2"/>
          <w:w w:val="120"/>
          <w:sz w:val="20"/>
        </w:rPr>
        <w:t>Marketing</w:t>
      </w:r>
      <w:r>
        <w:rPr>
          <w:i/>
          <w:spacing w:val="-12"/>
          <w:w w:val="120"/>
          <w:sz w:val="20"/>
        </w:rPr>
        <w:t> </w:t>
      </w:r>
      <w:r>
        <w:rPr>
          <w:i/>
          <w:spacing w:val="-3"/>
          <w:w w:val="120"/>
          <w:sz w:val="20"/>
        </w:rPr>
        <w:t>Campaign </w:t>
      </w:r>
      <w:r>
        <w:rPr>
          <w:w w:val="120"/>
          <w:sz w:val="20"/>
        </w:rPr>
        <w:t>requires us </w:t>
      </w:r>
      <w:r>
        <w:rPr>
          <w:spacing w:val="-3"/>
          <w:w w:val="120"/>
          <w:sz w:val="20"/>
        </w:rPr>
        <w:t>to </w:t>
      </w:r>
      <w:r>
        <w:rPr>
          <w:w w:val="120"/>
          <w:sz w:val="20"/>
        </w:rPr>
        <w:t>be a </w:t>
      </w:r>
      <w:r>
        <w:rPr>
          <w:spacing w:val="-3"/>
          <w:w w:val="120"/>
          <w:sz w:val="20"/>
        </w:rPr>
        <w:t>welcoming inclusive church </w:t>
      </w:r>
      <w:r>
        <w:rPr>
          <w:w w:val="120"/>
          <w:sz w:val="20"/>
        </w:rPr>
        <w:t>and so a practical and</w:t>
      </w:r>
      <w:r>
        <w:rPr>
          <w:spacing w:val="13"/>
          <w:w w:val="120"/>
          <w:sz w:val="20"/>
        </w:rPr>
        <w:t> </w:t>
      </w:r>
      <w:r>
        <w:rPr>
          <w:w w:val="120"/>
          <w:sz w:val="20"/>
        </w:rPr>
        <w:t>meaningful</w:t>
      </w:r>
    </w:p>
    <w:p>
      <w:pPr>
        <w:pStyle w:val="BodyText"/>
        <w:spacing w:line="232" w:lineRule="auto"/>
        <w:ind w:left="1984" w:right="1772"/>
      </w:pPr>
      <w:r>
        <w:rPr>
          <w:w w:val="120"/>
        </w:rPr>
        <w:t>personal adoption of the Equal Opportunities Policy is essential. We were delighted to be involved in assisting Mersey Synod’s Church and Society committee explore what Equal Opportunities meant to them and how they could advance the policy and guidelines within their synod. Please let us know how you’ve done this, what assistance you’d find useful and share your experience with others to assist them.</w:t>
      </w:r>
    </w:p>
    <w:p>
      <w:pPr>
        <w:pStyle w:val="ListParagraph"/>
        <w:numPr>
          <w:ilvl w:val="4"/>
          <w:numId w:val="132"/>
        </w:numPr>
        <w:tabs>
          <w:tab w:pos="2664" w:val="left" w:leader="none"/>
          <w:tab w:pos="2665" w:val="left" w:leader="none"/>
        </w:tabs>
        <w:spacing w:line="232" w:lineRule="auto" w:before="193" w:after="0"/>
        <w:ind w:left="1984" w:right="2055" w:firstLine="0"/>
        <w:jc w:val="left"/>
        <w:rPr>
          <w:sz w:val="20"/>
        </w:rPr>
      </w:pPr>
      <w:r>
        <w:rPr>
          <w:spacing w:val="3"/>
          <w:w w:val="120"/>
          <w:sz w:val="20"/>
        </w:rPr>
        <w:t>As </w:t>
      </w:r>
      <w:r>
        <w:rPr>
          <w:w w:val="120"/>
          <w:sz w:val="20"/>
        </w:rPr>
        <w:t>well as trying to raise awareness, encourage discussion and implementation, our recent work has focussed on developing resources and trying to establish how best to communicate, encourage and support churches. </w:t>
      </w:r>
      <w:r>
        <w:rPr>
          <w:spacing w:val="-3"/>
          <w:w w:val="120"/>
          <w:sz w:val="20"/>
        </w:rPr>
        <w:t>We’ve </w:t>
      </w:r>
      <w:r>
        <w:rPr>
          <w:w w:val="120"/>
          <w:sz w:val="20"/>
        </w:rPr>
        <w:t>also been working with training officers to tap into Interim Moderators resources. </w:t>
      </w:r>
      <w:r>
        <w:rPr>
          <w:spacing w:val="-3"/>
          <w:w w:val="120"/>
          <w:sz w:val="20"/>
        </w:rPr>
        <w:t>It’s </w:t>
      </w:r>
      <w:r>
        <w:rPr>
          <w:w w:val="120"/>
          <w:sz w:val="20"/>
        </w:rPr>
        <w:t>fair to say its all Work in Progress! Watch this</w:t>
      </w:r>
      <w:r>
        <w:rPr>
          <w:spacing w:val="-14"/>
          <w:w w:val="120"/>
          <w:sz w:val="20"/>
        </w:rPr>
        <w:t> </w:t>
      </w:r>
      <w:r>
        <w:rPr>
          <w:w w:val="120"/>
          <w:sz w:val="20"/>
        </w:rPr>
        <w:t>space!</w:t>
      </w:r>
    </w:p>
    <w:p>
      <w:pPr>
        <w:pStyle w:val="ListParagraph"/>
        <w:numPr>
          <w:ilvl w:val="4"/>
          <w:numId w:val="132"/>
        </w:numPr>
        <w:tabs>
          <w:tab w:pos="2664" w:val="left" w:leader="none"/>
          <w:tab w:pos="2665" w:val="left" w:leader="none"/>
        </w:tabs>
        <w:spacing w:line="232" w:lineRule="auto" w:before="195" w:after="0"/>
        <w:ind w:left="1984" w:right="1684" w:firstLine="0"/>
        <w:jc w:val="left"/>
        <w:rPr>
          <w:sz w:val="20"/>
        </w:rPr>
      </w:pPr>
      <w:r>
        <w:rPr>
          <w:spacing w:val="-3"/>
          <w:w w:val="120"/>
          <w:sz w:val="20"/>
        </w:rPr>
        <w:t>We</w:t>
      </w:r>
      <w:r>
        <w:rPr>
          <w:spacing w:val="-7"/>
          <w:w w:val="120"/>
          <w:sz w:val="20"/>
        </w:rPr>
        <w:t> </w:t>
      </w:r>
      <w:r>
        <w:rPr>
          <w:spacing w:val="-3"/>
          <w:w w:val="120"/>
          <w:sz w:val="20"/>
        </w:rPr>
        <w:t>continue</w:t>
      </w:r>
      <w:r>
        <w:rPr>
          <w:spacing w:val="-6"/>
          <w:w w:val="120"/>
          <w:sz w:val="20"/>
        </w:rPr>
        <w:t> </w:t>
      </w:r>
      <w:r>
        <w:rPr>
          <w:spacing w:val="-3"/>
          <w:w w:val="120"/>
          <w:sz w:val="20"/>
        </w:rPr>
        <w:t>to</w:t>
      </w:r>
      <w:r>
        <w:rPr>
          <w:spacing w:val="-6"/>
          <w:w w:val="120"/>
          <w:sz w:val="20"/>
        </w:rPr>
        <w:t> </w:t>
      </w:r>
      <w:r>
        <w:rPr>
          <w:w w:val="120"/>
          <w:sz w:val="20"/>
        </w:rPr>
        <w:t>act</w:t>
      </w:r>
      <w:r>
        <w:rPr>
          <w:spacing w:val="-6"/>
          <w:w w:val="120"/>
          <w:sz w:val="20"/>
        </w:rPr>
        <w:t> </w:t>
      </w:r>
      <w:r>
        <w:rPr>
          <w:w w:val="120"/>
          <w:sz w:val="20"/>
        </w:rPr>
        <w:t>as</w:t>
      </w:r>
      <w:r>
        <w:rPr>
          <w:spacing w:val="-6"/>
          <w:w w:val="120"/>
          <w:sz w:val="20"/>
        </w:rPr>
        <w:t> </w:t>
      </w:r>
      <w:r>
        <w:rPr>
          <w:w w:val="120"/>
          <w:sz w:val="20"/>
        </w:rPr>
        <w:t>observers</w:t>
      </w:r>
      <w:r>
        <w:rPr>
          <w:spacing w:val="-6"/>
          <w:w w:val="120"/>
          <w:sz w:val="20"/>
        </w:rPr>
        <w:t> </w:t>
      </w:r>
      <w:r>
        <w:rPr>
          <w:w w:val="120"/>
          <w:sz w:val="20"/>
        </w:rPr>
        <w:t>on</w:t>
      </w:r>
      <w:r>
        <w:rPr>
          <w:spacing w:val="-6"/>
          <w:w w:val="120"/>
          <w:sz w:val="20"/>
        </w:rPr>
        <w:t> </w:t>
      </w:r>
      <w:r>
        <w:rPr>
          <w:w w:val="120"/>
          <w:sz w:val="20"/>
        </w:rPr>
        <w:t>some</w:t>
      </w:r>
      <w:r>
        <w:rPr>
          <w:spacing w:val="-7"/>
          <w:w w:val="120"/>
          <w:sz w:val="20"/>
        </w:rPr>
        <w:t> </w:t>
      </w:r>
      <w:r>
        <w:rPr>
          <w:w w:val="120"/>
          <w:sz w:val="20"/>
        </w:rPr>
        <w:t>other</w:t>
      </w:r>
      <w:r>
        <w:rPr>
          <w:spacing w:val="-6"/>
          <w:w w:val="120"/>
          <w:sz w:val="20"/>
        </w:rPr>
        <w:t> </w:t>
      </w:r>
      <w:r>
        <w:rPr>
          <w:w w:val="120"/>
          <w:sz w:val="20"/>
        </w:rPr>
        <w:t>General</w:t>
      </w:r>
      <w:r>
        <w:rPr>
          <w:spacing w:val="-6"/>
          <w:w w:val="120"/>
          <w:sz w:val="20"/>
        </w:rPr>
        <w:t> </w:t>
      </w:r>
      <w:r>
        <w:rPr>
          <w:w w:val="120"/>
          <w:sz w:val="20"/>
        </w:rPr>
        <w:t>Assembly</w:t>
      </w:r>
      <w:r>
        <w:rPr>
          <w:spacing w:val="-6"/>
          <w:w w:val="120"/>
          <w:sz w:val="20"/>
        </w:rPr>
        <w:t> </w:t>
      </w:r>
      <w:r>
        <w:rPr>
          <w:spacing w:val="-3"/>
          <w:w w:val="120"/>
          <w:sz w:val="20"/>
        </w:rPr>
        <w:t>Committees to </w:t>
      </w:r>
      <w:r>
        <w:rPr>
          <w:w w:val="120"/>
          <w:sz w:val="20"/>
        </w:rPr>
        <w:t>provide an </w:t>
      </w:r>
      <w:r>
        <w:rPr>
          <w:spacing w:val="-3"/>
          <w:w w:val="120"/>
          <w:sz w:val="20"/>
        </w:rPr>
        <w:t>EO </w:t>
      </w:r>
      <w:r>
        <w:rPr>
          <w:w w:val="120"/>
          <w:sz w:val="20"/>
        </w:rPr>
        <w:t>view and </w:t>
      </w:r>
      <w:r>
        <w:rPr>
          <w:spacing w:val="-3"/>
          <w:w w:val="120"/>
          <w:sz w:val="20"/>
        </w:rPr>
        <w:t>highlight </w:t>
      </w:r>
      <w:r>
        <w:rPr>
          <w:w w:val="120"/>
          <w:sz w:val="20"/>
        </w:rPr>
        <w:t>that we </w:t>
      </w:r>
      <w:r>
        <w:rPr>
          <w:spacing w:val="-4"/>
          <w:w w:val="120"/>
          <w:sz w:val="20"/>
        </w:rPr>
        <w:t>aren’t </w:t>
      </w:r>
      <w:r>
        <w:rPr>
          <w:w w:val="120"/>
          <w:sz w:val="20"/>
        </w:rPr>
        <w:t>a wee administration </w:t>
      </w:r>
      <w:r>
        <w:rPr>
          <w:spacing w:val="-4"/>
          <w:w w:val="120"/>
          <w:sz w:val="20"/>
        </w:rPr>
        <w:t>concept </w:t>
      </w:r>
      <w:r>
        <w:rPr>
          <w:w w:val="120"/>
          <w:sz w:val="20"/>
        </w:rPr>
        <w:t>in </w:t>
      </w:r>
      <w:r>
        <w:rPr>
          <w:spacing w:val="-3"/>
          <w:w w:val="120"/>
          <w:sz w:val="20"/>
        </w:rPr>
        <w:t>isolation! We </w:t>
      </w:r>
      <w:r>
        <w:rPr>
          <w:w w:val="120"/>
          <w:sz w:val="20"/>
        </w:rPr>
        <w:t>thank them for their </w:t>
      </w:r>
      <w:r>
        <w:rPr>
          <w:spacing w:val="-3"/>
          <w:w w:val="120"/>
          <w:sz w:val="20"/>
        </w:rPr>
        <w:t>welcome </w:t>
      </w:r>
      <w:r>
        <w:rPr>
          <w:w w:val="120"/>
          <w:sz w:val="20"/>
        </w:rPr>
        <w:t>and </w:t>
      </w:r>
      <w:r>
        <w:rPr>
          <w:spacing w:val="-2"/>
          <w:w w:val="120"/>
          <w:sz w:val="20"/>
        </w:rPr>
        <w:t>willingness </w:t>
      </w:r>
      <w:r>
        <w:rPr>
          <w:spacing w:val="-3"/>
          <w:w w:val="120"/>
          <w:sz w:val="20"/>
        </w:rPr>
        <w:t>to remember, listen to </w:t>
      </w:r>
      <w:r>
        <w:rPr>
          <w:w w:val="120"/>
          <w:sz w:val="20"/>
        </w:rPr>
        <w:t>and work with</w:t>
      </w:r>
      <w:r>
        <w:rPr>
          <w:spacing w:val="-7"/>
          <w:w w:val="120"/>
          <w:sz w:val="20"/>
        </w:rPr>
        <w:t> </w:t>
      </w:r>
      <w:r>
        <w:rPr>
          <w:spacing w:val="-3"/>
          <w:w w:val="120"/>
          <w:sz w:val="20"/>
        </w:rPr>
        <w:t>us!</w:t>
      </w:r>
    </w:p>
    <w:p>
      <w:pPr>
        <w:numPr>
          <w:ilvl w:val="3"/>
          <w:numId w:val="132"/>
        </w:numPr>
        <w:tabs>
          <w:tab w:pos="2698" w:val="left" w:leader="none"/>
          <w:tab w:pos="2699" w:val="left" w:leader="none"/>
        </w:tabs>
        <w:spacing w:before="183"/>
        <w:ind w:left="2698" w:right="0" w:hanging="721"/>
        <w:jc w:val="left"/>
        <w:rPr>
          <w:sz w:val="21"/>
        </w:rPr>
      </w:pPr>
      <w:r>
        <w:rPr>
          <w:rFonts w:ascii="Stone Sans II ITC Std X Bd"/>
          <w:b/>
          <w:w w:val="125"/>
          <w:sz w:val="21"/>
        </w:rPr>
        <w:t>E</w:t>
      </w:r>
      <w:r>
        <w:rPr>
          <w:w w:val="125"/>
          <w:sz w:val="21"/>
        </w:rPr>
        <w:t>xploring</w:t>
      </w:r>
      <w:r>
        <w:rPr>
          <w:spacing w:val="-3"/>
          <w:w w:val="125"/>
          <w:sz w:val="21"/>
        </w:rPr>
        <w:t> </w:t>
      </w:r>
      <w:r>
        <w:rPr>
          <w:rFonts w:ascii="Stone Sans II ITC Std X Bd"/>
          <w:b/>
          <w:spacing w:val="-3"/>
          <w:w w:val="125"/>
          <w:sz w:val="21"/>
        </w:rPr>
        <w:t>O</w:t>
      </w:r>
      <w:r>
        <w:rPr>
          <w:spacing w:val="-3"/>
          <w:w w:val="125"/>
          <w:sz w:val="21"/>
        </w:rPr>
        <w:t>urselves</w:t>
      </w:r>
    </w:p>
    <w:p>
      <w:pPr>
        <w:pStyle w:val="ListParagraph"/>
        <w:numPr>
          <w:ilvl w:val="4"/>
          <w:numId w:val="132"/>
        </w:numPr>
        <w:tabs>
          <w:tab w:pos="2658" w:val="left" w:leader="none"/>
          <w:tab w:pos="2659" w:val="left" w:leader="none"/>
        </w:tabs>
        <w:spacing w:line="232" w:lineRule="auto" w:before="180" w:after="0"/>
        <w:ind w:left="1978" w:right="1553" w:firstLine="0"/>
        <w:jc w:val="left"/>
        <w:rPr>
          <w:sz w:val="20"/>
        </w:rPr>
      </w:pPr>
      <w:r>
        <w:rPr>
          <w:spacing w:val="-3"/>
          <w:w w:val="120"/>
          <w:sz w:val="20"/>
        </w:rPr>
        <w:t>We’ve  </w:t>
      </w:r>
      <w:r>
        <w:rPr>
          <w:w w:val="120"/>
          <w:sz w:val="20"/>
        </w:rPr>
        <w:t>spent lots of time, thinking and dreaming </w:t>
      </w:r>
      <w:r>
        <w:rPr>
          <w:spacing w:val="-5"/>
          <w:w w:val="120"/>
          <w:sz w:val="20"/>
        </w:rPr>
        <w:t>(all  </w:t>
      </w:r>
      <w:r>
        <w:rPr>
          <w:w w:val="120"/>
          <w:sz w:val="20"/>
        </w:rPr>
        <w:t>throughout many changes in committee membership) on what our role is and how we should progress in a relevant and effective</w:t>
      </w:r>
      <w:r>
        <w:rPr>
          <w:spacing w:val="8"/>
          <w:w w:val="120"/>
          <w:sz w:val="20"/>
        </w:rPr>
        <w:t> </w:t>
      </w:r>
      <w:r>
        <w:rPr>
          <w:spacing w:val="-4"/>
          <w:w w:val="120"/>
          <w:sz w:val="20"/>
        </w:rPr>
        <w:t>way.</w:t>
      </w:r>
    </w:p>
    <w:p>
      <w:pPr>
        <w:pStyle w:val="ListParagraph"/>
        <w:numPr>
          <w:ilvl w:val="4"/>
          <w:numId w:val="132"/>
        </w:numPr>
        <w:tabs>
          <w:tab w:pos="2658" w:val="left" w:leader="none"/>
          <w:tab w:pos="2659" w:val="left" w:leader="none"/>
        </w:tabs>
        <w:spacing w:line="232" w:lineRule="auto" w:before="198" w:after="0"/>
        <w:ind w:left="1978" w:right="1348" w:firstLine="0"/>
        <w:jc w:val="left"/>
        <w:rPr>
          <w:sz w:val="20"/>
        </w:rPr>
      </w:pPr>
      <w:r>
        <w:rPr>
          <w:spacing w:val="-4"/>
          <w:w w:val="120"/>
          <w:sz w:val="20"/>
        </w:rPr>
        <w:t>We’re </w:t>
      </w:r>
      <w:r>
        <w:rPr>
          <w:w w:val="120"/>
          <w:sz w:val="20"/>
        </w:rPr>
        <w:t>delighted that Michael Jagesser and Sandra Ackroyd led us in exploration of multiculturism during a recent training session which developed us greatly and gave us plenty of food for</w:t>
      </w:r>
      <w:r>
        <w:rPr>
          <w:spacing w:val="11"/>
          <w:w w:val="120"/>
          <w:sz w:val="20"/>
        </w:rPr>
        <w:t> </w:t>
      </w:r>
      <w:r>
        <w:rPr>
          <w:w w:val="120"/>
          <w:sz w:val="20"/>
        </w:rPr>
        <w:t>thought.</w:t>
      </w:r>
    </w:p>
    <w:p>
      <w:pPr>
        <w:numPr>
          <w:ilvl w:val="3"/>
          <w:numId w:val="132"/>
        </w:numPr>
        <w:tabs>
          <w:tab w:pos="2698" w:val="left" w:leader="none"/>
          <w:tab w:pos="2699" w:val="left" w:leader="none"/>
        </w:tabs>
        <w:spacing w:before="205"/>
        <w:ind w:left="2698" w:right="0" w:hanging="721"/>
        <w:jc w:val="left"/>
        <w:rPr>
          <w:sz w:val="21"/>
        </w:rPr>
      </w:pPr>
      <w:r>
        <w:rPr>
          <w:rFonts w:ascii="Stone Sans II ITC Std X Bd"/>
          <w:b/>
          <w:spacing w:val="-3"/>
          <w:w w:val="125"/>
          <w:sz w:val="21"/>
        </w:rPr>
        <w:t>E</w:t>
      </w:r>
      <w:r>
        <w:rPr>
          <w:spacing w:val="-3"/>
          <w:w w:val="125"/>
          <w:sz w:val="21"/>
        </w:rPr>
        <w:t>xamining </w:t>
      </w:r>
      <w:r>
        <w:rPr>
          <w:rFonts w:ascii="Stone Sans II ITC Std X Bd"/>
          <w:b/>
          <w:w w:val="125"/>
          <w:sz w:val="21"/>
        </w:rPr>
        <w:t>O</w:t>
      </w:r>
      <w:r>
        <w:rPr>
          <w:w w:val="125"/>
          <w:sz w:val="21"/>
        </w:rPr>
        <w:t>bserving</w:t>
      </w:r>
    </w:p>
    <w:p>
      <w:pPr>
        <w:pStyle w:val="ListParagraph"/>
        <w:numPr>
          <w:ilvl w:val="4"/>
          <w:numId w:val="132"/>
        </w:numPr>
        <w:tabs>
          <w:tab w:pos="2658" w:val="left" w:leader="none"/>
          <w:tab w:pos="2659" w:val="left" w:leader="none"/>
        </w:tabs>
        <w:spacing w:line="232" w:lineRule="auto" w:before="140" w:after="0"/>
        <w:ind w:left="1978" w:right="1389" w:firstLine="0"/>
        <w:jc w:val="left"/>
        <w:rPr>
          <w:sz w:val="20"/>
        </w:rPr>
      </w:pPr>
      <w:r>
        <w:rPr>
          <w:w w:val="120"/>
          <w:sz w:val="20"/>
        </w:rPr>
        <w:t>Due </w:t>
      </w:r>
      <w:r>
        <w:rPr>
          <w:spacing w:val="-3"/>
          <w:w w:val="120"/>
          <w:sz w:val="20"/>
        </w:rPr>
        <w:t>to </w:t>
      </w:r>
      <w:r>
        <w:rPr>
          <w:w w:val="120"/>
          <w:sz w:val="20"/>
        </w:rPr>
        <w:t>a </w:t>
      </w:r>
      <w:r>
        <w:rPr>
          <w:spacing w:val="-3"/>
          <w:w w:val="120"/>
          <w:sz w:val="20"/>
        </w:rPr>
        <w:t>communication </w:t>
      </w:r>
      <w:r>
        <w:rPr>
          <w:w w:val="120"/>
          <w:sz w:val="20"/>
        </w:rPr>
        <w:t>mix up </w:t>
      </w:r>
      <w:r>
        <w:rPr>
          <w:spacing w:val="-2"/>
          <w:w w:val="120"/>
          <w:sz w:val="20"/>
        </w:rPr>
        <w:t>beyond </w:t>
      </w:r>
      <w:r>
        <w:rPr>
          <w:w w:val="120"/>
          <w:sz w:val="20"/>
        </w:rPr>
        <w:t>our </w:t>
      </w:r>
      <w:r>
        <w:rPr>
          <w:spacing w:val="-3"/>
          <w:w w:val="120"/>
          <w:sz w:val="20"/>
        </w:rPr>
        <w:t>control, this </w:t>
      </w:r>
      <w:r>
        <w:rPr>
          <w:spacing w:val="-4"/>
          <w:w w:val="120"/>
          <w:sz w:val="20"/>
        </w:rPr>
        <w:t>year’s </w:t>
      </w:r>
      <w:r>
        <w:rPr>
          <w:spacing w:val="-3"/>
          <w:w w:val="120"/>
          <w:sz w:val="20"/>
        </w:rPr>
        <w:t>Church </w:t>
      </w:r>
      <w:r>
        <w:rPr>
          <w:w w:val="120"/>
          <w:sz w:val="20"/>
        </w:rPr>
        <w:t>Return  did </w:t>
      </w:r>
      <w:r>
        <w:rPr>
          <w:spacing w:val="-2"/>
          <w:w w:val="120"/>
          <w:sz w:val="20"/>
        </w:rPr>
        <w:t>not </w:t>
      </w:r>
      <w:r>
        <w:rPr>
          <w:spacing w:val="-3"/>
          <w:w w:val="120"/>
          <w:sz w:val="20"/>
        </w:rPr>
        <w:t>contain </w:t>
      </w:r>
      <w:r>
        <w:rPr>
          <w:w w:val="120"/>
          <w:sz w:val="20"/>
        </w:rPr>
        <w:t>the questions that </w:t>
      </w:r>
      <w:r>
        <w:rPr>
          <w:spacing w:val="-3"/>
          <w:w w:val="120"/>
          <w:sz w:val="20"/>
        </w:rPr>
        <w:t>populate </w:t>
      </w:r>
      <w:r>
        <w:rPr>
          <w:w w:val="120"/>
          <w:sz w:val="20"/>
        </w:rPr>
        <w:t>the back page every 4 years </w:t>
      </w:r>
      <w:r>
        <w:rPr>
          <w:spacing w:val="-3"/>
          <w:w w:val="120"/>
          <w:sz w:val="20"/>
        </w:rPr>
        <w:t>to </w:t>
      </w:r>
      <w:r>
        <w:rPr>
          <w:w w:val="120"/>
          <w:sz w:val="20"/>
        </w:rPr>
        <w:t>enable the </w:t>
      </w:r>
      <w:r>
        <w:rPr>
          <w:spacing w:val="-3"/>
          <w:w w:val="120"/>
          <w:sz w:val="20"/>
        </w:rPr>
        <w:t>committee to </w:t>
      </w:r>
      <w:r>
        <w:rPr>
          <w:w w:val="120"/>
          <w:sz w:val="20"/>
        </w:rPr>
        <w:t>carry out its main monitoring </w:t>
      </w:r>
      <w:r>
        <w:rPr>
          <w:spacing w:val="-3"/>
          <w:w w:val="120"/>
          <w:sz w:val="20"/>
        </w:rPr>
        <w:t>exercise. </w:t>
      </w:r>
      <w:r>
        <w:rPr>
          <w:w w:val="120"/>
          <w:sz w:val="20"/>
        </w:rPr>
        <w:t>The questions should be </w:t>
      </w:r>
      <w:r>
        <w:rPr>
          <w:spacing w:val="-3"/>
          <w:w w:val="120"/>
          <w:sz w:val="20"/>
        </w:rPr>
        <w:t>coming to </w:t>
      </w:r>
      <w:r>
        <w:rPr>
          <w:w w:val="120"/>
          <w:sz w:val="20"/>
        </w:rPr>
        <w:t>a </w:t>
      </w:r>
      <w:r>
        <w:rPr>
          <w:spacing w:val="-3"/>
          <w:w w:val="120"/>
          <w:sz w:val="20"/>
        </w:rPr>
        <w:t>church </w:t>
      </w:r>
      <w:r>
        <w:rPr>
          <w:w w:val="120"/>
          <w:sz w:val="20"/>
        </w:rPr>
        <w:t>return near </w:t>
      </w:r>
      <w:r>
        <w:rPr>
          <w:spacing w:val="-3"/>
          <w:w w:val="120"/>
          <w:sz w:val="20"/>
        </w:rPr>
        <w:t>you </w:t>
      </w:r>
      <w:r>
        <w:rPr>
          <w:w w:val="120"/>
          <w:sz w:val="20"/>
        </w:rPr>
        <w:t>in the </w:t>
      </w:r>
      <w:r>
        <w:rPr>
          <w:spacing w:val="-3"/>
          <w:w w:val="120"/>
          <w:sz w:val="20"/>
        </w:rPr>
        <w:t>future…please</w:t>
      </w:r>
      <w:r>
        <w:rPr>
          <w:spacing w:val="-12"/>
          <w:w w:val="120"/>
          <w:sz w:val="20"/>
        </w:rPr>
        <w:t> </w:t>
      </w:r>
      <w:r>
        <w:rPr>
          <w:spacing w:val="-3"/>
          <w:w w:val="120"/>
          <w:sz w:val="20"/>
        </w:rPr>
        <w:t>complete!</w:t>
      </w:r>
    </w:p>
    <w:p>
      <w:pPr>
        <w:pStyle w:val="ListParagraph"/>
        <w:numPr>
          <w:ilvl w:val="4"/>
          <w:numId w:val="132"/>
        </w:numPr>
        <w:tabs>
          <w:tab w:pos="2658" w:val="left" w:leader="none"/>
          <w:tab w:pos="2660" w:val="left" w:leader="none"/>
        </w:tabs>
        <w:spacing w:line="232" w:lineRule="auto" w:before="197" w:after="0"/>
        <w:ind w:left="1978" w:right="1411" w:firstLine="0"/>
        <w:jc w:val="left"/>
        <w:rPr>
          <w:sz w:val="20"/>
        </w:rPr>
      </w:pPr>
      <w:r>
        <w:rPr>
          <w:spacing w:val="-3"/>
          <w:w w:val="120"/>
          <w:sz w:val="20"/>
        </w:rPr>
        <w:t>We</w:t>
      </w:r>
      <w:r>
        <w:rPr>
          <w:spacing w:val="-6"/>
          <w:w w:val="120"/>
          <w:sz w:val="20"/>
        </w:rPr>
        <w:t> </w:t>
      </w:r>
      <w:r>
        <w:rPr>
          <w:w w:val="120"/>
          <w:sz w:val="20"/>
        </w:rPr>
        <w:t>are</w:t>
      </w:r>
      <w:r>
        <w:rPr>
          <w:spacing w:val="-6"/>
          <w:w w:val="120"/>
          <w:sz w:val="20"/>
        </w:rPr>
        <w:t> </w:t>
      </w:r>
      <w:r>
        <w:rPr>
          <w:w w:val="120"/>
          <w:sz w:val="20"/>
        </w:rPr>
        <w:t>grateful</w:t>
      </w:r>
      <w:r>
        <w:rPr>
          <w:spacing w:val="-5"/>
          <w:w w:val="120"/>
          <w:sz w:val="20"/>
        </w:rPr>
        <w:t> </w:t>
      </w:r>
      <w:r>
        <w:rPr>
          <w:w w:val="120"/>
          <w:sz w:val="20"/>
        </w:rPr>
        <w:t>for</w:t>
      </w:r>
      <w:r>
        <w:rPr>
          <w:spacing w:val="-6"/>
          <w:w w:val="120"/>
          <w:sz w:val="20"/>
        </w:rPr>
        <w:t> </w:t>
      </w:r>
      <w:r>
        <w:rPr>
          <w:w w:val="120"/>
          <w:sz w:val="20"/>
        </w:rPr>
        <w:t>the</w:t>
      </w:r>
      <w:r>
        <w:rPr>
          <w:spacing w:val="-6"/>
          <w:w w:val="120"/>
          <w:sz w:val="20"/>
        </w:rPr>
        <w:t> </w:t>
      </w:r>
      <w:r>
        <w:rPr>
          <w:w w:val="120"/>
          <w:sz w:val="20"/>
        </w:rPr>
        <w:t>work</w:t>
      </w:r>
      <w:r>
        <w:rPr>
          <w:spacing w:val="-5"/>
          <w:w w:val="120"/>
          <w:sz w:val="20"/>
        </w:rPr>
        <w:t> </w:t>
      </w:r>
      <w:r>
        <w:rPr>
          <w:w w:val="120"/>
          <w:sz w:val="20"/>
        </w:rPr>
        <w:t>of</w:t>
      </w:r>
      <w:r>
        <w:rPr>
          <w:spacing w:val="-6"/>
          <w:w w:val="120"/>
          <w:sz w:val="20"/>
        </w:rPr>
        <w:t> </w:t>
      </w:r>
      <w:r>
        <w:rPr>
          <w:w w:val="120"/>
          <w:sz w:val="20"/>
        </w:rPr>
        <w:t>the</w:t>
      </w:r>
      <w:r>
        <w:rPr>
          <w:spacing w:val="-6"/>
          <w:w w:val="120"/>
          <w:sz w:val="20"/>
        </w:rPr>
        <w:t> </w:t>
      </w:r>
      <w:r>
        <w:rPr>
          <w:spacing w:val="-3"/>
          <w:w w:val="120"/>
          <w:sz w:val="20"/>
        </w:rPr>
        <w:t>Nominations</w:t>
      </w:r>
      <w:r>
        <w:rPr>
          <w:spacing w:val="-5"/>
          <w:w w:val="120"/>
          <w:sz w:val="20"/>
        </w:rPr>
        <w:t> </w:t>
      </w:r>
      <w:r>
        <w:rPr>
          <w:spacing w:val="-3"/>
          <w:w w:val="120"/>
          <w:sz w:val="20"/>
        </w:rPr>
        <w:t>Committee,</w:t>
      </w:r>
      <w:r>
        <w:rPr>
          <w:spacing w:val="-6"/>
          <w:w w:val="120"/>
          <w:sz w:val="20"/>
        </w:rPr>
        <w:t> </w:t>
      </w:r>
      <w:r>
        <w:rPr>
          <w:w w:val="120"/>
          <w:sz w:val="20"/>
        </w:rPr>
        <w:t>with</w:t>
      </w:r>
      <w:r>
        <w:rPr>
          <w:spacing w:val="-6"/>
          <w:w w:val="120"/>
          <w:sz w:val="20"/>
        </w:rPr>
        <w:t> </w:t>
      </w:r>
      <w:r>
        <w:rPr>
          <w:w w:val="120"/>
          <w:sz w:val="20"/>
        </w:rPr>
        <w:t>whom</w:t>
      </w:r>
      <w:r>
        <w:rPr>
          <w:spacing w:val="-5"/>
          <w:w w:val="120"/>
          <w:sz w:val="20"/>
        </w:rPr>
        <w:t> </w:t>
      </w:r>
      <w:r>
        <w:rPr>
          <w:w w:val="120"/>
          <w:sz w:val="20"/>
        </w:rPr>
        <w:t>we</w:t>
      </w:r>
      <w:r>
        <w:rPr>
          <w:spacing w:val="-6"/>
          <w:w w:val="120"/>
          <w:sz w:val="20"/>
        </w:rPr>
        <w:t> </w:t>
      </w:r>
      <w:r>
        <w:rPr>
          <w:spacing w:val="-3"/>
          <w:w w:val="120"/>
          <w:sz w:val="20"/>
        </w:rPr>
        <w:t>have </w:t>
      </w:r>
      <w:r>
        <w:rPr>
          <w:w w:val="120"/>
          <w:sz w:val="20"/>
        </w:rPr>
        <w:t>carried out some monitoring and learning </w:t>
      </w:r>
      <w:r>
        <w:rPr>
          <w:spacing w:val="-3"/>
          <w:w w:val="120"/>
          <w:sz w:val="20"/>
        </w:rPr>
        <w:t>exercises, </w:t>
      </w:r>
      <w:r>
        <w:rPr>
          <w:w w:val="120"/>
          <w:sz w:val="20"/>
        </w:rPr>
        <w:t>for their ongoing active role in ensuring, where </w:t>
      </w:r>
      <w:r>
        <w:rPr>
          <w:spacing w:val="-3"/>
          <w:w w:val="120"/>
          <w:sz w:val="20"/>
        </w:rPr>
        <w:t>possible, </w:t>
      </w:r>
      <w:r>
        <w:rPr>
          <w:w w:val="120"/>
          <w:sz w:val="20"/>
        </w:rPr>
        <w:t>diversity </w:t>
      </w:r>
      <w:r>
        <w:rPr>
          <w:spacing w:val="-3"/>
          <w:w w:val="120"/>
          <w:sz w:val="20"/>
        </w:rPr>
        <w:t>within </w:t>
      </w:r>
      <w:r>
        <w:rPr>
          <w:w w:val="120"/>
          <w:sz w:val="20"/>
        </w:rPr>
        <w:t>their </w:t>
      </w:r>
      <w:r>
        <w:rPr>
          <w:spacing w:val="-3"/>
          <w:w w:val="120"/>
          <w:sz w:val="20"/>
        </w:rPr>
        <w:t>nominations </w:t>
      </w:r>
      <w:r>
        <w:rPr>
          <w:w w:val="120"/>
          <w:sz w:val="20"/>
        </w:rPr>
        <w:t>and work done </w:t>
      </w:r>
      <w:r>
        <w:rPr>
          <w:spacing w:val="-3"/>
          <w:w w:val="120"/>
          <w:sz w:val="20"/>
        </w:rPr>
        <w:t>to </w:t>
      </w:r>
      <w:r>
        <w:rPr>
          <w:spacing w:val="2"/>
          <w:w w:val="120"/>
          <w:sz w:val="20"/>
        </w:rPr>
        <w:t>try </w:t>
      </w:r>
      <w:r>
        <w:rPr>
          <w:w w:val="120"/>
          <w:sz w:val="20"/>
        </w:rPr>
        <w:t>and redress </w:t>
      </w:r>
      <w:r>
        <w:rPr>
          <w:spacing w:val="-3"/>
          <w:w w:val="120"/>
          <w:sz w:val="20"/>
        </w:rPr>
        <w:t>balances! </w:t>
      </w:r>
      <w:r>
        <w:rPr>
          <w:w w:val="120"/>
          <w:sz w:val="20"/>
        </w:rPr>
        <w:t>Long </w:t>
      </w:r>
      <w:r>
        <w:rPr>
          <w:spacing w:val="-3"/>
          <w:w w:val="120"/>
          <w:sz w:val="20"/>
        </w:rPr>
        <w:t>may </w:t>
      </w:r>
      <w:r>
        <w:rPr>
          <w:w w:val="120"/>
          <w:sz w:val="20"/>
        </w:rPr>
        <w:t>that </w:t>
      </w:r>
      <w:r>
        <w:rPr>
          <w:spacing w:val="-3"/>
          <w:w w:val="120"/>
          <w:sz w:val="20"/>
        </w:rPr>
        <w:t>continue</w:t>
      </w:r>
      <w:r>
        <w:rPr>
          <w:spacing w:val="-9"/>
          <w:w w:val="120"/>
          <w:sz w:val="20"/>
        </w:rPr>
        <w:t> </w:t>
      </w:r>
      <w:r>
        <w:rPr>
          <w:w w:val="120"/>
          <w:sz w:val="20"/>
        </w:rPr>
        <w:t>throughout!</w:t>
      </w:r>
    </w:p>
    <w:p>
      <w:pPr>
        <w:numPr>
          <w:ilvl w:val="3"/>
          <w:numId w:val="132"/>
        </w:numPr>
        <w:tabs>
          <w:tab w:pos="2698" w:val="left" w:leader="none"/>
          <w:tab w:pos="2699" w:val="left" w:leader="none"/>
        </w:tabs>
        <w:spacing w:before="204"/>
        <w:ind w:left="2698" w:right="0" w:hanging="721"/>
        <w:jc w:val="left"/>
        <w:rPr>
          <w:sz w:val="21"/>
        </w:rPr>
      </w:pPr>
      <w:r>
        <w:rPr>
          <w:rFonts w:ascii="Stone Sans II ITC Std X Bd"/>
          <w:b/>
          <w:w w:val="125"/>
          <w:sz w:val="21"/>
        </w:rPr>
        <w:t>E</w:t>
      </w:r>
      <w:r>
        <w:rPr>
          <w:w w:val="125"/>
          <w:sz w:val="21"/>
        </w:rPr>
        <w:t>xpectations</w:t>
      </w:r>
      <w:r>
        <w:rPr>
          <w:spacing w:val="-3"/>
          <w:w w:val="125"/>
          <w:sz w:val="21"/>
        </w:rPr>
        <w:t> </w:t>
      </w:r>
      <w:r>
        <w:rPr>
          <w:rFonts w:ascii="Stone Sans II ITC Std X Bd"/>
          <w:b/>
          <w:spacing w:val="-3"/>
          <w:w w:val="125"/>
          <w:sz w:val="21"/>
        </w:rPr>
        <w:t>O</w:t>
      </w:r>
      <w:r>
        <w:rPr>
          <w:spacing w:val="-3"/>
          <w:w w:val="125"/>
          <w:sz w:val="21"/>
        </w:rPr>
        <w:t>bjectives</w:t>
      </w:r>
    </w:p>
    <w:p>
      <w:pPr>
        <w:pStyle w:val="BodyText"/>
        <w:spacing w:line="232" w:lineRule="auto" w:before="181"/>
        <w:ind w:left="1978" w:right="1120"/>
      </w:pPr>
      <w:r>
        <w:rPr>
          <w:w w:val="120"/>
        </w:rPr>
        <w:t>As to our future ….we look forward to raising further awareness, continuing to provide support, resources and assistance, working closely with all, advancing our work with the Methodist Church, further establishing our role and involvement with URC programmes and committees, continuing with our monitoring role, learning from and addressing the results and receiving from law...to love.</w:t>
      </w:r>
    </w:p>
    <w:p>
      <w:pPr>
        <w:pStyle w:val="BodyText"/>
      </w:pPr>
    </w:p>
    <w:p>
      <w:pPr>
        <w:pStyle w:val="BodyText"/>
        <w:spacing w:before="6"/>
        <w:rPr>
          <w:sz w:val="21"/>
        </w:rPr>
      </w:pPr>
    </w:p>
    <w:p>
      <w:pPr>
        <w:tabs>
          <w:tab w:pos="10630" w:val="left" w:leader="none"/>
        </w:tabs>
        <w:spacing w:before="97"/>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133</w:t>
      </w:r>
    </w:p>
    <w:p>
      <w:pPr>
        <w:spacing w:after="0"/>
        <w:jc w:val="left"/>
        <w:rPr>
          <w:rFonts w:ascii="Stone Sans II ITC Std X Bd" w:hAnsi="Stone Sans II ITC Std X Bd"/>
          <w:sz w:val="24"/>
        </w:rPr>
        <w:sectPr>
          <w:headerReference w:type="default" r:id="rId309"/>
          <w:footerReference w:type="default" r:id="rId310"/>
          <w:pgSz w:w="11910" w:h="16840"/>
          <w:pgMar w:header="0" w:footer="0" w:top="1180" w:bottom="280" w:left="0" w:right="0"/>
        </w:sectPr>
      </w:pPr>
    </w:p>
    <w:p>
      <w:pPr>
        <w:pStyle w:val="BodyText"/>
        <w:rPr>
          <w:rFonts w:ascii="Stone Sans II ITC Std X Bd"/>
          <w:b/>
        </w:rPr>
      </w:pPr>
      <w:r>
        <w:rPr/>
        <w:pict>
          <v:group style="position:absolute;margin-left:43.275215pt;margin-top:52.858356pt;width:492.4pt;height:725.65pt;mso-position-horizontal-relative:page;mso-position-vertical-relative:page;z-index:-267352064" coordorigin="866,1057" coordsize="9848,14513">
            <v:shape style="position:absolute;left:1327;top:3921;width:8252;height:11245" type="#_x0000_t75" stroked="false">
              <v:imagedata r:id="rId313" o:title=""/>
            </v:shape>
            <v:line style="position:absolute" from="1370,3921" to="1370,1557" stroked="true" strokeweight=".961671pt" strokecolor="#000000">
              <v:stroke dashstyle="solid"/>
            </v:line>
            <v:line style="position:absolute" from="890,15569" to="890,1057" stroked="true" strokeweight="1.202089pt" strokecolor="#000000">
              <v:stroke dashstyle="solid"/>
            </v:line>
            <v:line style="position:absolute" from="10684,15569" to="10684,1057" stroked="true" strokeweight="1.442507pt" strokecolor="#000000">
              <v:stroke dashstyle="solid"/>
            </v:line>
            <v:line style="position:absolute" from="866,1076" to="10713,1076" stroked="true" strokeweight="1.681856pt" strokecolor="#000000">
              <v:stroke dashstyle="solid"/>
            </v:line>
            <v:line style="position:absolute" from="1346,1461" to="10290,1461" stroked="true" strokeweight="1.441591pt" strokecolor="#000000">
              <v:stroke dashstyle="solid"/>
            </v:line>
            <v:line style="position:absolute" from="10266,15012" to="10266,1557" stroked="true" strokeweight=".240418pt" strokecolor="#000000">
              <v:stroke dashstyle="solid"/>
            </v:line>
            <v:shape style="position:absolute;left:1344;top:1861;width:8928;height:13412" coordorigin="1344,1862" coordsize="8928,13412" path="m1346,1567l10290,1567m9578,14993l10290,14993e" filled="false" stroked="true" strokeweight=".480683pt" strokecolor="#000000">
              <v:path arrowok="t"/>
              <v:stroke dashstyle="solid"/>
            </v:shape>
            <v:line style="position:absolute" from="9578,15113" to="10290,15113" stroked="true" strokeweight="1.922122pt" strokecolor="#000000">
              <v:stroke dashstyle="solid"/>
            </v:line>
            <v:line style="position:absolute" from="866,15540" to="10713,15540" stroked="true" strokeweight="1.681856pt" strokecolor="#000000">
              <v:stroke dashstyle="solid"/>
            </v:line>
            <w10:wrap type="none"/>
          </v:group>
        </w:pict>
      </w:r>
    </w:p>
    <w:p>
      <w:pPr>
        <w:pStyle w:val="BodyText"/>
        <w:rPr>
          <w:rFonts w:ascii="Stone Sans II ITC Std X Bd"/>
          <w:b/>
        </w:rPr>
      </w:pPr>
    </w:p>
    <w:p>
      <w:pPr>
        <w:pStyle w:val="BodyText"/>
        <w:spacing w:before="3"/>
        <w:rPr>
          <w:rFonts w:ascii="Stone Sans II ITC Std X Bd"/>
          <w:b/>
          <w:sz w:val="23"/>
        </w:rPr>
      </w:pPr>
    </w:p>
    <w:p>
      <w:pPr>
        <w:spacing w:before="84" w:after="19"/>
        <w:ind w:left="6179" w:right="0" w:firstLine="0"/>
        <w:jc w:val="left"/>
        <w:rPr>
          <w:rFonts w:ascii="Arial"/>
          <w:sz w:val="52"/>
        </w:rPr>
      </w:pPr>
      <w:r>
        <w:rPr>
          <w:rFonts w:ascii="Arial"/>
          <w:color w:val="0C0F0A"/>
          <w:w w:val="90"/>
          <w:sz w:val="52"/>
        </w:rPr>
        <w:t>An introduction</w:t>
      </w:r>
      <w:r>
        <w:rPr>
          <w:rFonts w:ascii="Arial"/>
          <w:color w:val="0C0F0A"/>
          <w:spacing w:val="-101"/>
          <w:w w:val="90"/>
          <w:sz w:val="52"/>
        </w:rPr>
        <w:t> </w:t>
      </w:r>
      <w:r>
        <w:rPr>
          <w:rFonts w:ascii="Arial"/>
          <w:color w:val="0C0F0A"/>
          <w:w w:val="90"/>
          <w:sz w:val="52"/>
        </w:rPr>
        <w:t>to</w:t>
      </w:r>
    </w:p>
    <w:p>
      <w:pPr>
        <w:pStyle w:val="BodyText"/>
        <w:tabs>
          <w:tab w:pos="9232" w:val="left" w:leader="none"/>
        </w:tabs>
        <w:ind w:left="2038"/>
        <w:rPr>
          <w:rFonts w:ascii="Arial"/>
        </w:rPr>
      </w:pPr>
      <w:r>
        <w:rPr>
          <w:rFonts w:ascii="Arial"/>
          <w:position w:val="19"/>
        </w:rPr>
        <w:drawing>
          <wp:inline distT="0" distB="0" distL="0" distR="0">
            <wp:extent cx="2317952" cy="463296"/>
            <wp:effectExtent l="0" t="0" r="0" b="0"/>
            <wp:docPr id="127" name="image131.jpeg"/>
            <wp:cNvGraphicFramePr>
              <a:graphicFrameLocks noChangeAspect="1"/>
            </wp:cNvGraphicFramePr>
            <a:graphic>
              <a:graphicData uri="http://schemas.openxmlformats.org/drawingml/2006/picture">
                <pic:pic>
                  <pic:nvPicPr>
                    <pic:cNvPr id="128" name="image131.jpeg"/>
                    <pic:cNvPicPr/>
                  </pic:nvPicPr>
                  <pic:blipFill>
                    <a:blip r:embed="rId314" cstate="print"/>
                    <a:stretch>
                      <a:fillRect/>
                    </a:stretch>
                  </pic:blipFill>
                  <pic:spPr>
                    <a:xfrm>
                      <a:off x="0" y="0"/>
                      <a:ext cx="2317952" cy="463296"/>
                    </a:xfrm>
                    <a:prstGeom prst="rect">
                      <a:avLst/>
                    </a:prstGeom>
                  </pic:spPr>
                </pic:pic>
              </a:graphicData>
            </a:graphic>
          </wp:inline>
        </w:drawing>
      </w:r>
      <w:r>
        <w:rPr>
          <w:rFonts w:ascii="Arial"/>
          <w:position w:val="19"/>
        </w:rPr>
      </w:r>
      <w:r>
        <w:rPr>
          <w:rFonts w:ascii="Times New Roman"/>
          <w:spacing w:val="127"/>
          <w:position w:val="19"/>
        </w:rPr>
        <w:t> </w:t>
      </w:r>
      <w:r>
        <w:rPr>
          <w:rFonts w:ascii="Arial"/>
          <w:spacing w:val="127"/>
          <w:position w:val="19"/>
        </w:rPr>
        <w:drawing>
          <wp:inline distT="0" distB="0" distL="0" distR="0">
            <wp:extent cx="1293172" cy="463296"/>
            <wp:effectExtent l="0" t="0" r="0" b="0"/>
            <wp:docPr id="129" name="image132.jpeg"/>
            <wp:cNvGraphicFramePr>
              <a:graphicFrameLocks noChangeAspect="1"/>
            </wp:cNvGraphicFramePr>
            <a:graphic>
              <a:graphicData uri="http://schemas.openxmlformats.org/drawingml/2006/picture">
                <pic:pic>
                  <pic:nvPicPr>
                    <pic:cNvPr id="130" name="image132.jpeg"/>
                    <pic:cNvPicPr/>
                  </pic:nvPicPr>
                  <pic:blipFill>
                    <a:blip r:embed="rId315" cstate="print"/>
                    <a:stretch>
                      <a:fillRect/>
                    </a:stretch>
                  </pic:blipFill>
                  <pic:spPr>
                    <a:xfrm>
                      <a:off x="0" y="0"/>
                      <a:ext cx="1293172" cy="463296"/>
                    </a:xfrm>
                    <a:prstGeom prst="rect">
                      <a:avLst/>
                    </a:prstGeom>
                  </pic:spPr>
                </pic:pic>
              </a:graphicData>
            </a:graphic>
          </wp:inline>
        </w:drawing>
      </w:r>
      <w:r>
        <w:rPr>
          <w:rFonts w:ascii="Arial"/>
          <w:spacing w:val="127"/>
          <w:position w:val="19"/>
        </w:rPr>
      </w:r>
      <w:r>
        <w:rPr>
          <w:rFonts w:ascii="Arial"/>
          <w:spacing w:val="127"/>
          <w:position w:val="19"/>
        </w:rPr>
        <w:tab/>
      </w:r>
      <w:r>
        <w:rPr>
          <w:rFonts w:ascii="Arial"/>
          <w:spacing w:val="127"/>
        </w:rPr>
        <w:drawing>
          <wp:inline distT="0" distB="0" distL="0" distR="0">
            <wp:extent cx="317193" cy="451103"/>
            <wp:effectExtent l="0" t="0" r="0" b="0"/>
            <wp:docPr id="131" name="image133.jpeg"/>
            <wp:cNvGraphicFramePr>
              <a:graphicFrameLocks noChangeAspect="1"/>
            </wp:cNvGraphicFramePr>
            <a:graphic>
              <a:graphicData uri="http://schemas.openxmlformats.org/drawingml/2006/picture">
                <pic:pic>
                  <pic:nvPicPr>
                    <pic:cNvPr id="132" name="image133.jpeg"/>
                    <pic:cNvPicPr/>
                  </pic:nvPicPr>
                  <pic:blipFill>
                    <a:blip r:embed="rId316" cstate="print"/>
                    <a:stretch>
                      <a:fillRect/>
                    </a:stretch>
                  </pic:blipFill>
                  <pic:spPr>
                    <a:xfrm>
                      <a:off x="0" y="0"/>
                      <a:ext cx="317193" cy="451103"/>
                    </a:xfrm>
                    <a:prstGeom prst="rect">
                      <a:avLst/>
                    </a:prstGeom>
                  </pic:spPr>
                </pic:pic>
              </a:graphicData>
            </a:graphic>
          </wp:inline>
        </w:drawing>
      </w:r>
      <w:r>
        <w:rPr>
          <w:rFonts w:ascii="Arial"/>
          <w:spacing w:val="127"/>
        </w:rPr>
      </w:r>
    </w:p>
    <w:p>
      <w:pPr>
        <w:spacing w:after="0"/>
        <w:rPr>
          <w:rFonts w:ascii="Arial"/>
        </w:rPr>
        <w:sectPr>
          <w:headerReference w:type="even" r:id="rId311"/>
          <w:footerReference w:type="even" r:id="rId312"/>
          <w:pgSz w:w="11910" w:h="16840"/>
          <w:pgMar w:header="0" w:footer="0" w:top="1040" w:bottom="280" w:left="0" w:right="0"/>
        </w:sectPr>
      </w:pPr>
    </w:p>
    <w:p>
      <w:pPr>
        <w:spacing w:line="216" w:lineRule="auto" w:before="90"/>
        <w:ind w:left="2381" w:right="2191" w:firstLine="0"/>
        <w:jc w:val="left"/>
        <w:rPr>
          <w:rFonts w:ascii="Stone Sans II ITC Std Sm"/>
          <w:b/>
          <w:sz w:val="18"/>
        </w:rPr>
      </w:pPr>
      <w:r>
        <w:rPr/>
        <w:pict>
          <v:rect style="position:absolute;margin-left:0pt;margin-top:.000015pt;width:595.275pt;height:841.89pt;mso-position-horizontal-relative:page;mso-position-vertical-relative:page;z-index:-267351040" filled="true" fillcolor="#8ba8bd" stroked="false">
            <v:fill type="solid"/>
            <w10:wrap type="none"/>
          </v:rect>
        </w:pict>
      </w:r>
      <w:r>
        <w:rPr/>
        <w:pict>
          <v:group style="position:absolute;margin-left:74.4095pt;margin-top:.000015pt;width:520.9pt;height:791.6pt;mso-position-horizontal-relative:page;mso-position-vertical-relative:page;z-index:-267350016" coordorigin="1488,0" coordsize="10418,15832">
            <v:rect style="position:absolute;left:1516;top:0;width:10389;height:15704" filled="true" fillcolor="#ffffff" stroked="false">
              <v:fill type="solid"/>
            </v:rect>
            <v:shape style="position:absolute;left:1488;top:0;width:10134;height:15832" coordorigin="1488,0" coordsize="10134,15832" path="m3025,15832l2949,15830,2874,15824,2800,15815,2727,15803,2655,15787,2585,15768,2516,15745,2449,15720,2383,15691,2318,15660,2256,15625,2195,15588,2136,15549,2079,15506,2024,15461,1972,15414,1921,15364,1873,15312,1828,15258,1784,15202,1744,15143,1706,15083,1671,15021,1638,14957,1609,14892,1582,14825,1559,14756,1539,14687,1522,14615,1508,14543,1498,14469,1491,14395,1488,14319,1488,15832,3025,15832m3028,15831l3027,15831,3026,15832,3028,15832,3028,15831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017;width:8049;height:4846" coordorigin="2014,1018" coordsize="8049,4846" path="m2254,1018l2251,1156,2224,1228,2153,1254,2014,1258,2014,5623,2153,5627,2224,5653,2251,5725,2254,5863,9823,5863,9827,5725,9853,5653,9924,5627,10063,5623,10063,1258,9924,1254,9853,1228,9827,1156,9823,1018,2254,1018xe" filled="false" stroked="true" strokeweight="1pt" strokecolor="#8ba8bd">
              <v:path arrowok="t"/>
              <v:stroke dashstyle="solid"/>
            </v:shape>
            <w10:wrap type="none"/>
          </v:group>
        </w:pict>
      </w:r>
      <w:r>
        <w:rPr/>
        <w:pict>
          <v:shape style="position:absolute;margin-left:512.587891pt;margin-top:-6.223786pt;width:47.4pt;height:153pt;mso-position-horizontal-relative:page;mso-position-vertical-relative:paragraph;z-index:-26734899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10"/>
                      <w:w w:val="110"/>
                      <w:sz w:val="72"/>
                    </w:rPr>
                    <w:t>Finance</w:t>
                  </w:r>
                </w:p>
              </w:txbxContent>
            </v:textbox>
            <w10:wrap type="none"/>
          </v:shape>
        </w:pict>
      </w:r>
      <w:r>
        <w:rPr>
          <w:rFonts w:ascii="Stone Sans II ITC Std Sm"/>
          <w:b/>
          <w:w w:val="110"/>
          <w:sz w:val="18"/>
        </w:rPr>
        <w:t>The Finance Committee is responsible for the general financial oversight of funds administered for the benefit of the United Reformed Church, its long- term financial planning, and the preparation and control of its budget under the authority of Mission Council and the Trustees.</w:t>
      </w:r>
    </w:p>
    <w:p>
      <w:pPr>
        <w:pStyle w:val="BodyText"/>
        <w:spacing w:before="1"/>
        <w:rPr>
          <w:rFonts w:ascii="Stone Sans II ITC Std Sm"/>
          <w:b/>
          <w:sz w:val="18"/>
        </w:rPr>
      </w:pPr>
    </w:p>
    <w:p>
      <w:pPr>
        <w:spacing w:line="216" w:lineRule="auto" w:before="0"/>
        <w:ind w:left="2381" w:right="1997" w:firstLine="0"/>
        <w:jc w:val="left"/>
        <w:rPr>
          <w:rFonts w:ascii="Stone Sans II ITC Std Sm"/>
          <w:b/>
          <w:sz w:val="18"/>
        </w:rPr>
      </w:pPr>
      <w:r>
        <w:rPr>
          <w:rFonts w:ascii="Stone Sans II ITC Std Sm"/>
          <w:b/>
          <w:w w:val="110"/>
          <w:sz w:val="18"/>
        </w:rPr>
        <w:t>The Committee will ensure that proper procedures are in place for the maintenance of accounting records, controlling and monitoring the budgetary process, and the preparation of financial statements in compliance with applicable United Kingdom law and accounting standards. To this end the Committee should expect to liaise with auditors at least once per annum.</w:t>
      </w:r>
    </w:p>
    <w:p>
      <w:pPr>
        <w:pStyle w:val="BodyText"/>
        <w:spacing w:before="1"/>
        <w:rPr>
          <w:rFonts w:ascii="Stone Sans II ITC Std Sm"/>
          <w:b/>
          <w:sz w:val="18"/>
        </w:rPr>
      </w:pPr>
    </w:p>
    <w:p>
      <w:pPr>
        <w:spacing w:line="216" w:lineRule="auto" w:before="0"/>
        <w:ind w:left="2381" w:right="2573" w:firstLine="0"/>
        <w:jc w:val="left"/>
        <w:rPr>
          <w:rFonts w:ascii="Stone Sans II ITC Std Sm"/>
          <w:b/>
          <w:sz w:val="18"/>
        </w:rPr>
      </w:pPr>
      <w:r>
        <w:rPr>
          <w:rFonts w:ascii="Stone Sans II ITC Std Sm"/>
          <w:b/>
          <w:w w:val="110"/>
          <w:sz w:val="18"/>
        </w:rPr>
        <w:t>The Committee may take such decisions with regard to the finances of the Church as are necessary within the policies set by General Assembly.</w:t>
      </w:r>
    </w:p>
    <w:p>
      <w:pPr>
        <w:pStyle w:val="BodyText"/>
        <w:spacing w:before="7"/>
        <w:rPr>
          <w:rFonts w:ascii="Stone Sans II ITC Std Sm"/>
          <w:b/>
          <w:sz w:val="16"/>
        </w:rPr>
      </w:pPr>
    </w:p>
    <w:p>
      <w:pPr>
        <w:spacing w:line="232" w:lineRule="exact" w:before="1"/>
        <w:ind w:left="2381" w:right="0" w:firstLine="0"/>
        <w:jc w:val="left"/>
        <w:rPr>
          <w:rFonts w:ascii="Stone Sans II ITC Std Sm"/>
          <w:b/>
          <w:sz w:val="18"/>
        </w:rPr>
      </w:pPr>
      <w:r>
        <w:rPr>
          <w:rFonts w:ascii="Stone Sans II ITC Std Sm"/>
          <w:b/>
          <w:w w:val="110"/>
          <w:sz w:val="18"/>
        </w:rPr>
        <w:t>Committee members:</w:t>
      </w:r>
    </w:p>
    <w:p>
      <w:pPr>
        <w:spacing w:line="226" w:lineRule="exact" w:before="0"/>
        <w:ind w:left="2381" w:right="0" w:firstLine="0"/>
        <w:jc w:val="left"/>
        <w:rPr>
          <w:i/>
          <w:sz w:val="18"/>
        </w:rPr>
      </w:pPr>
      <w:r>
        <w:rPr>
          <w:rFonts w:ascii="Stone Sans II ITC Std Bk"/>
          <w:b/>
          <w:i/>
          <w:w w:val="110"/>
          <w:sz w:val="18"/>
        </w:rPr>
        <w:t>Convener: </w:t>
      </w:r>
      <w:r>
        <w:rPr>
          <w:i/>
          <w:w w:val="110"/>
          <w:sz w:val="18"/>
        </w:rPr>
        <w:t>John Ellis (Honorary Treasurer)</w:t>
      </w:r>
    </w:p>
    <w:p>
      <w:pPr>
        <w:spacing w:line="240" w:lineRule="auto" w:before="0"/>
        <w:ind w:left="2381" w:right="1997" w:firstLine="0"/>
        <w:jc w:val="left"/>
        <w:rPr>
          <w:i/>
          <w:sz w:val="18"/>
        </w:rPr>
      </w:pPr>
      <w:r>
        <w:rPr>
          <w:i/>
          <w:w w:val="115"/>
          <w:sz w:val="18"/>
        </w:rPr>
        <w:t>David</w:t>
      </w:r>
      <w:r>
        <w:rPr>
          <w:i/>
          <w:spacing w:val="-12"/>
          <w:w w:val="115"/>
          <w:sz w:val="18"/>
        </w:rPr>
        <w:t> </w:t>
      </w:r>
      <w:r>
        <w:rPr>
          <w:i/>
          <w:w w:val="115"/>
          <w:sz w:val="18"/>
        </w:rPr>
        <w:t>Aplin,</w:t>
      </w:r>
      <w:r>
        <w:rPr>
          <w:i/>
          <w:spacing w:val="-11"/>
          <w:w w:val="115"/>
          <w:sz w:val="18"/>
        </w:rPr>
        <w:t> </w:t>
      </w:r>
      <w:r>
        <w:rPr>
          <w:i/>
          <w:w w:val="115"/>
          <w:sz w:val="18"/>
        </w:rPr>
        <w:t>Richard</w:t>
      </w:r>
      <w:r>
        <w:rPr>
          <w:i/>
          <w:spacing w:val="-11"/>
          <w:w w:val="115"/>
          <w:sz w:val="18"/>
        </w:rPr>
        <w:t> </w:t>
      </w:r>
      <w:r>
        <w:rPr>
          <w:i/>
          <w:w w:val="115"/>
          <w:sz w:val="18"/>
        </w:rPr>
        <w:t>Dewar,</w:t>
      </w:r>
      <w:r>
        <w:rPr>
          <w:i/>
          <w:spacing w:val="-11"/>
          <w:w w:val="115"/>
          <w:sz w:val="18"/>
        </w:rPr>
        <w:t> </w:t>
      </w:r>
      <w:r>
        <w:rPr>
          <w:i/>
          <w:w w:val="115"/>
          <w:sz w:val="18"/>
        </w:rPr>
        <w:t>Brian</w:t>
      </w:r>
      <w:r>
        <w:rPr>
          <w:i/>
          <w:spacing w:val="-11"/>
          <w:w w:val="115"/>
          <w:sz w:val="18"/>
        </w:rPr>
        <w:t> </w:t>
      </w:r>
      <w:r>
        <w:rPr>
          <w:i/>
          <w:w w:val="115"/>
          <w:sz w:val="18"/>
        </w:rPr>
        <w:t>Hosier,</w:t>
      </w:r>
      <w:r>
        <w:rPr>
          <w:i/>
          <w:spacing w:val="-11"/>
          <w:w w:val="115"/>
          <w:sz w:val="18"/>
        </w:rPr>
        <w:t> </w:t>
      </w:r>
      <w:r>
        <w:rPr>
          <w:i/>
          <w:w w:val="115"/>
          <w:sz w:val="18"/>
        </w:rPr>
        <w:t>Jane</w:t>
      </w:r>
      <w:r>
        <w:rPr>
          <w:i/>
          <w:spacing w:val="-11"/>
          <w:w w:val="115"/>
          <w:sz w:val="18"/>
        </w:rPr>
        <w:t> </w:t>
      </w:r>
      <w:r>
        <w:rPr>
          <w:i/>
          <w:w w:val="115"/>
          <w:sz w:val="18"/>
        </w:rPr>
        <w:t>Humphreys,</w:t>
      </w:r>
      <w:r>
        <w:rPr>
          <w:i/>
          <w:spacing w:val="-11"/>
          <w:w w:val="115"/>
          <w:sz w:val="18"/>
        </w:rPr>
        <w:t> </w:t>
      </w:r>
      <w:r>
        <w:rPr>
          <w:i/>
          <w:w w:val="115"/>
          <w:sz w:val="18"/>
        </w:rPr>
        <w:t>Angus</w:t>
      </w:r>
      <w:r>
        <w:rPr>
          <w:i/>
          <w:spacing w:val="-11"/>
          <w:w w:val="115"/>
          <w:sz w:val="18"/>
        </w:rPr>
        <w:t> </w:t>
      </w:r>
      <w:r>
        <w:rPr>
          <w:i/>
          <w:w w:val="115"/>
          <w:sz w:val="18"/>
        </w:rPr>
        <w:t>Massie,</w:t>
      </w:r>
      <w:r>
        <w:rPr>
          <w:i/>
          <w:spacing w:val="-12"/>
          <w:w w:val="115"/>
          <w:sz w:val="18"/>
        </w:rPr>
        <w:t> </w:t>
      </w:r>
      <w:r>
        <w:rPr>
          <w:i/>
          <w:spacing w:val="2"/>
          <w:w w:val="115"/>
          <w:sz w:val="18"/>
        </w:rPr>
        <w:t>Harry</w:t>
      </w:r>
      <w:r>
        <w:rPr>
          <w:i/>
          <w:spacing w:val="-11"/>
          <w:w w:val="115"/>
          <w:sz w:val="18"/>
        </w:rPr>
        <w:t> </w:t>
      </w:r>
      <w:r>
        <w:rPr>
          <w:i/>
          <w:w w:val="115"/>
          <w:sz w:val="18"/>
        </w:rPr>
        <w:t>Potter, </w:t>
      </w:r>
      <w:r>
        <w:rPr>
          <w:i/>
          <w:w w:val="115"/>
          <w:sz w:val="18"/>
        </w:rPr>
        <w:t>Kathryn </w:t>
      </w:r>
      <w:r>
        <w:rPr>
          <w:i/>
          <w:spacing w:val="-3"/>
          <w:w w:val="115"/>
          <w:sz w:val="18"/>
        </w:rPr>
        <w:t>Taylor, </w:t>
      </w:r>
      <w:r>
        <w:rPr>
          <w:i/>
          <w:w w:val="115"/>
          <w:sz w:val="18"/>
        </w:rPr>
        <w:t>David Walton, Alan Small (Chairman of the URC</w:t>
      </w:r>
      <w:r>
        <w:rPr>
          <w:i/>
          <w:spacing w:val="-5"/>
          <w:w w:val="115"/>
          <w:sz w:val="18"/>
        </w:rPr>
        <w:t> </w:t>
      </w:r>
      <w:r>
        <w:rPr>
          <w:i/>
          <w:w w:val="115"/>
          <w:sz w:val="18"/>
        </w:rPr>
        <w:t>Trustees)</w:t>
      </w:r>
    </w:p>
    <w:p>
      <w:pPr>
        <w:spacing w:line="233" w:lineRule="exact" w:before="0"/>
        <w:ind w:left="2381" w:right="0" w:firstLine="0"/>
        <w:jc w:val="left"/>
        <w:rPr>
          <w:i/>
          <w:sz w:val="18"/>
        </w:rPr>
      </w:pPr>
      <w:r>
        <w:rPr>
          <w:rFonts w:ascii="Stone Sans II ITC Std Bk"/>
          <w:b/>
          <w:i/>
          <w:w w:val="115"/>
          <w:sz w:val="18"/>
        </w:rPr>
        <w:t>Chief Finance Officer: </w:t>
      </w:r>
      <w:r>
        <w:rPr>
          <w:i/>
          <w:w w:val="115"/>
          <w:sz w:val="18"/>
        </w:rPr>
        <w:t>Andrew Grimwade</w:t>
      </w:r>
    </w:p>
    <w:p>
      <w:pPr>
        <w:pStyle w:val="BodyText"/>
        <w:rPr>
          <w:i/>
        </w:rPr>
      </w:pPr>
    </w:p>
    <w:p>
      <w:pPr>
        <w:pStyle w:val="BodyText"/>
        <w:rPr>
          <w:i/>
        </w:rPr>
      </w:pPr>
    </w:p>
    <w:p>
      <w:pPr>
        <w:pStyle w:val="BodyText"/>
        <w:spacing w:before="3"/>
        <w:rPr>
          <w:i/>
          <w:sz w:val="25"/>
        </w:rPr>
      </w:pPr>
    </w:p>
    <w:p>
      <w:pPr>
        <w:numPr>
          <w:ilvl w:val="0"/>
          <w:numId w:val="134"/>
        </w:numPr>
        <w:tabs>
          <w:tab w:pos="2724" w:val="left" w:leader="none"/>
          <w:tab w:pos="2725" w:val="left" w:leader="none"/>
        </w:tabs>
        <w:spacing w:before="101"/>
        <w:ind w:left="2724" w:right="0" w:hanging="721"/>
        <w:jc w:val="left"/>
        <w:rPr>
          <w:rFonts w:ascii="Stone Sans II ITC Std Bk"/>
          <w:b/>
          <w:sz w:val="21"/>
        </w:rPr>
      </w:pPr>
      <w:r>
        <w:rPr>
          <w:rFonts w:ascii="Stone Sans II ITC Std Bk"/>
          <w:b/>
          <w:spacing w:val="-3"/>
          <w:w w:val="115"/>
          <w:sz w:val="21"/>
        </w:rPr>
        <w:t>Telling </w:t>
      </w:r>
      <w:r>
        <w:rPr>
          <w:rFonts w:ascii="Stone Sans II ITC Std Bk"/>
          <w:b/>
          <w:w w:val="115"/>
          <w:sz w:val="21"/>
        </w:rPr>
        <w:t>the Financial</w:t>
      </w:r>
      <w:r>
        <w:rPr>
          <w:rFonts w:ascii="Stone Sans II ITC Std Bk"/>
          <w:b/>
          <w:spacing w:val="-2"/>
          <w:w w:val="115"/>
          <w:sz w:val="21"/>
        </w:rPr>
        <w:t> </w:t>
      </w:r>
      <w:r>
        <w:rPr>
          <w:rFonts w:ascii="Stone Sans II ITC Std Bk"/>
          <w:b/>
          <w:w w:val="115"/>
          <w:sz w:val="21"/>
        </w:rPr>
        <w:t>Story</w:t>
      </w:r>
    </w:p>
    <w:p>
      <w:pPr>
        <w:pStyle w:val="ListParagraph"/>
        <w:numPr>
          <w:ilvl w:val="1"/>
          <w:numId w:val="134"/>
        </w:numPr>
        <w:tabs>
          <w:tab w:pos="2684" w:val="left" w:leader="none"/>
          <w:tab w:pos="2685" w:val="left" w:leader="none"/>
        </w:tabs>
        <w:spacing w:line="235" w:lineRule="auto" w:before="222" w:after="0"/>
        <w:ind w:left="2004" w:right="1161" w:firstLine="0"/>
        <w:jc w:val="left"/>
        <w:rPr>
          <w:sz w:val="20"/>
        </w:rPr>
      </w:pPr>
      <w:r>
        <w:rPr>
          <w:w w:val="120"/>
          <w:sz w:val="20"/>
        </w:rPr>
        <w:t>At the time of the last Assembly, almost everyone thought the economy was strong, our money was safe in our High Street banks, our investments would always earn plenty of interest – and some even believed that governments had abolished boom and bust. So much for putting </w:t>
      </w:r>
      <w:r>
        <w:rPr>
          <w:spacing w:val="-3"/>
          <w:w w:val="120"/>
          <w:sz w:val="20"/>
        </w:rPr>
        <w:t>one’s </w:t>
      </w:r>
      <w:r>
        <w:rPr>
          <w:w w:val="120"/>
          <w:sz w:val="20"/>
        </w:rPr>
        <w:t>faith in</w:t>
      </w:r>
      <w:r>
        <w:rPr>
          <w:spacing w:val="22"/>
          <w:w w:val="120"/>
          <w:sz w:val="20"/>
        </w:rPr>
        <w:t> </w:t>
      </w:r>
      <w:r>
        <w:rPr>
          <w:w w:val="120"/>
          <w:sz w:val="20"/>
        </w:rPr>
        <w:t>Mammon.</w:t>
      </w:r>
    </w:p>
    <w:p>
      <w:pPr>
        <w:pStyle w:val="BodyText"/>
        <w:spacing w:before="11"/>
        <w:rPr>
          <w:sz w:val="19"/>
        </w:rPr>
      </w:pPr>
    </w:p>
    <w:p>
      <w:pPr>
        <w:pStyle w:val="ListParagraph"/>
        <w:numPr>
          <w:ilvl w:val="1"/>
          <w:numId w:val="134"/>
        </w:numPr>
        <w:tabs>
          <w:tab w:pos="2684" w:val="left" w:leader="none"/>
          <w:tab w:pos="2685" w:val="left" w:leader="none"/>
        </w:tabs>
        <w:spacing w:line="235" w:lineRule="auto" w:before="0" w:after="0"/>
        <w:ind w:left="2004" w:right="1500" w:firstLine="0"/>
        <w:jc w:val="left"/>
        <w:rPr>
          <w:sz w:val="20"/>
        </w:rPr>
      </w:pPr>
      <w:r>
        <w:rPr>
          <w:w w:val="120"/>
          <w:sz w:val="20"/>
        </w:rPr>
        <w:t>The financial challenges of the last two years have been legion. The central resources and programmes of the United Reformed Church have been less damaged than those of many other charities because we rely much more for our income on the giving of our members through the Ministry and Mission Fund than on investment income. Giving has remained remarkably stable despite the recession. We were also helped by some prudent investment decisions shortly before the stock market crash. Nonetheless we have not been immune from the</w:t>
      </w:r>
      <w:r>
        <w:rPr>
          <w:spacing w:val="20"/>
          <w:w w:val="120"/>
          <w:sz w:val="20"/>
        </w:rPr>
        <w:t> </w:t>
      </w:r>
      <w:r>
        <w:rPr>
          <w:w w:val="120"/>
          <w:sz w:val="20"/>
        </w:rPr>
        <w:t>unexpected.</w:t>
      </w:r>
    </w:p>
    <w:p>
      <w:pPr>
        <w:pStyle w:val="BodyText"/>
        <w:spacing w:before="11"/>
        <w:rPr>
          <w:sz w:val="17"/>
        </w:rPr>
      </w:pPr>
    </w:p>
    <w:p>
      <w:pPr>
        <w:numPr>
          <w:ilvl w:val="0"/>
          <w:numId w:val="134"/>
        </w:numPr>
        <w:tabs>
          <w:tab w:pos="2724" w:val="left" w:leader="none"/>
          <w:tab w:pos="2725" w:val="left" w:leader="none"/>
        </w:tabs>
        <w:spacing w:before="0"/>
        <w:ind w:left="2724" w:right="0" w:hanging="721"/>
        <w:jc w:val="left"/>
        <w:rPr>
          <w:rFonts w:ascii="Stone Sans II ITC Std Bk"/>
          <w:b/>
          <w:sz w:val="21"/>
        </w:rPr>
      </w:pPr>
      <w:r>
        <w:rPr>
          <w:rFonts w:ascii="Stone Sans II ITC Std Bk"/>
          <w:b/>
          <w:w w:val="115"/>
          <w:sz w:val="21"/>
        </w:rPr>
        <w:t>The Pensions</w:t>
      </w:r>
      <w:r>
        <w:rPr>
          <w:rFonts w:ascii="Stone Sans II ITC Std Bk"/>
          <w:b/>
          <w:spacing w:val="-3"/>
          <w:w w:val="115"/>
          <w:sz w:val="21"/>
        </w:rPr>
        <w:t> </w:t>
      </w:r>
      <w:r>
        <w:rPr>
          <w:rFonts w:ascii="Stone Sans II ITC Std Bk"/>
          <w:b/>
          <w:w w:val="115"/>
          <w:sz w:val="21"/>
        </w:rPr>
        <w:t>Story</w:t>
      </w:r>
    </w:p>
    <w:p>
      <w:pPr>
        <w:pStyle w:val="ListParagraph"/>
        <w:numPr>
          <w:ilvl w:val="1"/>
          <w:numId w:val="134"/>
        </w:numPr>
        <w:tabs>
          <w:tab w:pos="2684" w:val="left" w:leader="none"/>
          <w:tab w:pos="2685" w:val="left" w:leader="none"/>
        </w:tabs>
        <w:spacing w:line="235" w:lineRule="auto" w:before="223" w:after="0"/>
        <w:ind w:left="2004" w:right="1399" w:firstLine="0"/>
        <w:jc w:val="left"/>
        <w:rPr>
          <w:sz w:val="20"/>
        </w:rPr>
      </w:pPr>
      <w:r>
        <w:rPr>
          <w:spacing w:val="2"/>
          <w:w w:val="120"/>
          <w:sz w:val="20"/>
        </w:rPr>
        <w:t>The </w:t>
      </w:r>
      <w:r>
        <w:rPr>
          <w:w w:val="120"/>
          <w:sz w:val="20"/>
        </w:rPr>
        <w:t>Ministers’ Pension Fund was due for </w:t>
      </w:r>
      <w:r>
        <w:rPr>
          <w:spacing w:val="2"/>
          <w:w w:val="120"/>
          <w:sz w:val="20"/>
        </w:rPr>
        <w:t>its triennial </w:t>
      </w:r>
      <w:r>
        <w:rPr>
          <w:w w:val="120"/>
          <w:sz w:val="20"/>
        </w:rPr>
        <w:t>valuation at the end of </w:t>
      </w:r>
      <w:r>
        <w:rPr>
          <w:spacing w:val="3"/>
          <w:w w:val="120"/>
          <w:sz w:val="20"/>
        </w:rPr>
        <w:t>2008. </w:t>
      </w:r>
      <w:r>
        <w:rPr>
          <w:w w:val="120"/>
          <w:sz w:val="20"/>
        </w:rPr>
        <w:t>Legislation </w:t>
      </w:r>
      <w:r>
        <w:rPr>
          <w:spacing w:val="2"/>
          <w:w w:val="120"/>
          <w:sz w:val="20"/>
        </w:rPr>
        <w:t>requires </w:t>
      </w:r>
      <w:r>
        <w:rPr>
          <w:w w:val="120"/>
          <w:sz w:val="20"/>
        </w:rPr>
        <w:t>us to value </w:t>
      </w:r>
      <w:r>
        <w:rPr>
          <w:spacing w:val="2"/>
          <w:w w:val="120"/>
          <w:sz w:val="20"/>
        </w:rPr>
        <w:t>its assets </w:t>
      </w:r>
      <w:r>
        <w:rPr>
          <w:w w:val="120"/>
          <w:sz w:val="20"/>
        </w:rPr>
        <w:t>based on a snapshot on a single day and </w:t>
      </w:r>
      <w:r>
        <w:rPr>
          <w:spacing w:val="2"/>
          <w:w w:val="120"/>
          <w:sz w:val="20"/>
        </w:rPr>
        <w:t>unfortunately </w:t>
      </w:r>
      <w:r>
        <w:rPr>
          <w:w w:val="120"/>
          <w:sz w:val="20"/>
        </w:rPr>
        <w:t>that day was when the stock market was close to </w:t>
      </w:r>
      <w:r>
        <w:rPr>
          <w:spacing w:val="2"/>
          <w:w w:val="120"/>
          <w:sz w:val="20"/>
        </w:rPr>
        <w:t>its lowest </w:t>
      </w:r>
      <w:r>
        <w:rPr>
          <w:w w:val="120"/>
          <w:sz w:val="20"/>
        </w:rPr>
        <w:t>point, making the market value of our </w:t>
      </w:r>
      <w:r>
        <w:rPr>
          <w:spacing w:val="2"/>
          <w:w w:val="120"/>
          <w:sz w:val="20"/>
        </w:rPr>
        <w:t>investments </w:t>
      </w:r>
      <w:r>
        <w:rPr>
          <w:w w:val="120"/>
          <w:sz w:val="20"/>
        </w:rPr>
        <w:t>appear </w:t>
      </w:r>
      <w:r>
        <w:rPr>
          <w:spacing w:val="2"/>
          <w:w w:val="120"/>
          <w:sz w:val="20"/>
        </w:rPr>
        <w:t>abnormally </w:t>
      </w:r>
      <w:r>
        <w:rPr>
          <w:w w:val="120"/>
          <w:sz w:val="20"/>
        </w:rPr>
        <w:t>low. They have since recovered</w:t>
      </w:r>
      <w:r>
        <w:rPr>
          <w:spacing w:val="8"/>
          <w:w w:val="120"/>
          <w:sz w:val="20"/>
        </w:rPr>
        <w:t> </w:t>
      </w:r>
      <w:r>
        <w:rPr>
          <w:w w:val="120"/>
          <w:sz w:val="20"/>
        </w:rPr>
        <w:t>but</w:t>
      </w:r>
      <w:r>
        <w:rPr>
          <w:spacing w:val="8"/>
          <w:w w:val="120"/>
          <w:sz w:val="20"/>
        </w:rPr>
        <w:t> </w:t>
      </w:r>
      <w:r>
        <w:rPr>
          <w:w w:val="120"/>
          <w:sz w:val="20"/>
        </w:rPr>
        <w:t>we</w:t>
      </w:r>
      <w:r>
        <w:rPr>
          <w:spacing w:val="8"/>
          <w:w w:val="120"/>
          <w:sz w:val="20"/>
        </w:rPr>
        <w:t> </w:t>
      </w:r>
      <w:r>
        <w:rPr>
          <w:w w:val="120"/>
          <w:sz w:val="20"/>
        </w:rPr>
        <w:t>are</w:t>
      </w:r>
      <w:r>
        <w:rPr>
          <w:spacing w:val="8"/>
          <w:w w:val="120"/>
          <w:sz w:val="20"/>
        </w:rPr>
        <w:t> </w:t>
      </w:r>
      <w:r>
        <w:rPr>
          <w:spacing w:val="4"/>
          <w:w w:val="120"/>
          <w:sz w:val="20"/>
        </w:rPr>
        <w:t>left</w:t>
      </w:r>
      <w:r>
        <w:rPr>
          <w:spacing w:val="8"/>
          <w:w w:val="120"/>
          <w:sz w:val="20"/>
        </w:rPr>
        <w:t> </w:t>
      </w:r>
      <w:r>
        <w:rPr>
          <w:w w:val="120"/>
          <w:sz w:val="20"/>
        </w:rPr>
        <w:t>with</w:t>
      </w:r>
      <w:r>
        <w:rPr>
          <w:spacing w:val="8"/>
          <w:w w:val="120"/>
          <w:sz w:val="20"/>
        </w:rPr>
        <w:t> </w:t>
      </w:r>
      <w:r>
        <w:rPr>
          <w:w w:val="120"/>
          <w:sz w:val="20"/>
        </w:rPr>
        <w:t>a</w:t>
      </w:r>
      <w:r>
        <w:rPr>
          <w:spacing w:val="8"/>
          <w:w w:val="120"/>
          <w:sz w:val="20"/>
        </w:rPr>
        <w:t> </w:t>
      </w:r>
      <w:r>
        <w:rPr>
          <w:spacing w:val="2"/>
          <w:w w:val="120"/>
          <w:sz w:val="20"/>
        </w:rPr>
        <w:t>theoretical</w:t>
      </w:r>
      <w:r>
        <w:rPr>
          <w:spacing w:val="8"/>
          <w:w w:val="120"/>
          <w:sz w:val="20"/>
        </w:rPr>
        <w:t> </w:t>
      </w:r>
      <w:r>
        <w:rPr>
          <w:w w:val="120"/>
          <w:sz w:val="20"/>
        </w:rPr>
        <w:t>deficit</w:t>
      </w:r>
      <w:r>
        <w:rPr>
          <w:spacing w:val="8"/>
          <w:w w:val="120"/>
          <w:sz w:val="20"/>
        </w:rPr>
        <w:t> </w:t>
      </w:r>
      <w:r>
        <w:rPr>
          <w:w w:val="120"/>
          <w:sz w:val="20"/>
        </w:rPr>
        <w:t>in</w:t>
      </w:r>
      <w:r>
        <w:rPr>
          <w:spacing w:val="8"/>
          <w:w w:val="120"/>
          <w:sz w:val="20"/>
        </w:rPr>
        <w:t> </w:t>
      </w:r>
      <w:r>
        <w:rPr>
          <w:w w:val="120"/>
          <w:sz w:val="20"/>
        </w:rPr>
        <w:t>the</w:t>
      </w:r>
      <w:r>
        <w:rPr>
          <w:spacing w:val="8"/>
          <w:w w:val="120"/>
          <w:sz w:val="20"/>
        </w:rPr>
        <w:t> </w:t>
      </w:r>
      <w:r>
        <w:rPr>
          <w:w w:val="120"/>
          <w:sz w:val="20"/>
        </w:rPr>
        <w:t>Pension</w:t>
      </w:r>
      <w:r>
        <w:rPr>
          <w:spacing w:val="8"/>
          <w:w w:val="120"/>
          <w:sz w:val="20"/>
        </w:rPr>
        <w:t> </w:t>
      </w:r>
      <w:r>
        <w:rPr>
          <w:w w:val="120"/>
          <w:sz w:val="20"/>
        </w:rPr>
        <w:t>Fund</w:t>
      </w:r>
      <w:r>
        <w:rPr>
          <w:spacing w:val="8"/>
          <w:w w:val="120"/>
          <w:sz w:val="20"/>
        </w:rPr>
        <w:t> </w:t>
      </w:r>
      <w:r>
        <w:rPr>
          <w:w w:val="120"/>
          <w:sz w:val="20"/>
        </w:rPr>
        <w:t>of</w:t>
      </w:r>
      <w:r>
        <w:rPr>
          <w:spacing w:val="8"/>
          <w:w w:val="120"/>
          <w:sz w:val="20"/>
        </w:rPr>
        <w:t> </w:t>
      </w:r>
      <w:r>
        <w:rPr>
          <w:w w:val="120"/>
          <w:sz w:val="20"/>
        </w:rPr>
        <w:t>almost</w:t>
      </w:r>
    </w:p>
    <w:p>
      <w:pPr>
        <w:pStyle w:val="BodyText"/>
        <w:spacing w:line="235" w:lineRule="auto" w:before="4"/>
        <w:ind w:left="2004" w:right="1634"/>
      </w:pPr>
      <w:r>
        <w:rPr>
          <w:w w:val="120"/>
        </w:rPr>
        <w:t>£23m. Even without the stock market problem we would have had a deficit, albeit much smaller, due to the increased longevity of our retired ministers.</w:t>
      </w:r>
    </w:p>
    <w:p>
      <w:pPr>
        <w:pStyle w:val="BodyText"/>
        <w:spacing w:before="9"/>
        <w:rPr>
          <w:sz w:val="19"/>
        </w:rPr>
      </w:pPr>
    </w:p>
    <w:p>
      <w:pPr>
        <w:pStyle w:val="ListParagraph"/>
        <w:numPr>
          <w:ilvl w:val="1"/>
          <w:numId w:val="134"/>
        </w:numPr>
        <w:tabs>
          <w:tab w:pos="2684" w:val="left" w:leader="none"/>
          <w:tab w:pos="2685" w:val="left" w:leader="none"/>
        </w:tabs>
        <w:spacing w:line="235" w:lineRule="auto" w:before="0" w:after="0"/>
        <w:ind w:left="2004" w:right="1247" w:hanging="1"/>
        <w:jc w:val="left"/>
        <w:rPr>
          <w:sz w:val="20"/>
        </w:rPr>
      </w:pPr>
      <w:r>
        <w:rPr>
          <w:w w:val="120"/>
          <w:sz w:val="20"/>
        </w:rPr>
        <w:t>A great deal of work has followed to </w:t>
      </w:r>
      <w:r>
        <w:rPr>
          <w:spacing w:val="2"/>
          <w:w w:val="120"/>
          <w:sz w:val="20"/>
        </w:rPr>
        <w:t>explore </w:t>
      </w:r>
      <w:r>
        <w:rPr>
          <w:w w:val="120"/>
          <w:sz w:val="20"/>
        </w:rPr>
        <w:t>how </w:t>
      </w:r>
      <w:r>
        <w:rPr>
          <w:spacing w:val="3"/>
          <w:w w:val="120"/>
          <w:sz w:val="20"/>
        </w:rPr>
        <w:t>best </w:t>
      </w:r>
      <w:r>
        <w:rPr>
          <w:w w:val="120"/>
          <w:sz w:val="20"/>
        </w:rPr>
        <w:t>we handle this deficit.   We are </w:t>
      </w:r>
      <w:r>
        <w:rPr>
          <w:spacing w:val="3"/>
          <w:w w:val="120"/>
          <w:sz w:val="20"/>
        </w:rPr>
        <w:t>very </w:t>
      </w:r>
      <w:r>
        <w:rPr>
          <w:spacing w:val="2"/>
          <w:w w:val="120"/>
          <w:sz w:val="20"/>
        </w:rPr>
        <w:t>grateful </w:t>
      </w:r>
      <w:r>
        <w:rPr>
          <w:w w:val="120"/>
          <w:sz w:val="20"/>
        </w:rPr>
        <w:t>to the </w:t>
      </w:r>
      <w:r>
        <w:rPr>
          <w:spacing w:val="2"/>
          <w:w w:val="120"/>
          <w:sz w:val="20"/>
        </w:rPr>
        <w:t>synods </w:t>
      </w:r>
      <w:r>
        <w:rPr>
          <w:w w:val="120"/>
          <w:sz w:val="20"/>
        </w:rPr>
        <w:t>and their constituent churches, who have risen to the challenge of providing </w:t>
      </w:r>
      <w:r>
        <w:rPr>
          <w:spacing w:val="4"/>
          <w:w w:val="120"/>
          <w:sz w:val="20"/>
        </w:rPr>
        <w:t>extra </w:t>
      </w:r>
      <w:r>
        <w:rPr>
          <w:w w:val="120"/>
          <w:sz w:val="20"/>
        </w:rPr>
        <w:t>pensions </w:t>
      </w:r>
      <w:r>
        <w:rPr>
          <w:spacing w:val="3"/>
          <w:w w:val="120"/>
          <w:sz w:val="20"/>
        </w:rPr>
        <w:t>support </w:t>
      </w:r>
      <w:r>
        <w:rPr>
          <w:w w:val="120"/>
          <w:sz w:val="20"/>
        </w:rPr>
        <w:t>so we can provide the </w:t>
      </w:r>
      <w:r>
        <w:rPr>
          <w:spacing w:val="4"/>
          <w:w w:val="120"/>
          <w:sz w:val="20"/>
        </w:rPr>
        <w:t>extra </w:t>
      </w:r>
      <w:r>
        <w:rPr>
          <w:w w:val="120"/>
          <w:sz w:val="20"/>
        </w:rPr>
        <w:t>money that needs to be put in the Fund during </w:t>
      </w:r>
      <w:r>
        <w:rPr>
          <w:spacing w:val="-4"/>
          <w:w w:val="120"/>
          <w:sz w:val="20"/>
        </w:rPr>
        <w:t>2010-12. </w:t>
      </w:r>
      <w:r>
        <w:rPr>
          <w:w w:val="120"/>
          <w:sz w:val="20"/>
        </w:rPr>
        <w:t>We are also </w:t>
      </w:r>
      <w:r>
        <w:rPr>
          <w:spacing w:val="2"/>
          <w:w w:val="120"/>
          <w:sz w:val="20"/>
        </w:rPr>
        <w:t>reviewing </w:t>
      </w:r>
      <w:r>
        <w:rPr>
          <w:w w:val="120"/>
          <w:sz w:val="20"/>
        </w:rPr>
        <w:t>the level of </w:t>
      </w:r>
      <w:r>
        <w:rPr>
          <w:spacing w:val="2"/>
          <w:w w:val="120"/>
          <w:sz w:val="20"/>
        </w:rPr>
        <w:t>benefits</w:t>
      </w:r>
      <w:r>
        <w:rPr>
          <w:spacing w:val="7"/>
          <w:w w:val="120"/>
          <w:sz w:val="20"/>
        </w:rPr>
        <w:t> </w:t>
      </w:r>
      <w:r>
        <w:rPr>
          <w:w w:val="120"/>
          <w:sz w:val="20"/>
        </w:rPr>
        <w:t>the</w:t>
      </w:r>
      <w:r>
        <w:rPr>
          <w:spacing w:val="8"/>
          <w:w w:val="120"/>
          <w:sz w:val="20"/>
        </w:rPr>
        <w:t> </w:t>
      </w:r>
      <w:r>
        <w:rPr>
          <w:w w:val="120"/>
          <w:sz w:val="20"/>
        </w:rPr>
        <w:t>Fund</w:t>
      </w:r>
      <w:r>
        <w:rPr>
          <w:spacing w:val="8"/>
          <w:w w:val="120"/>
          <w:sz w:val="20"/>
        </w:rPr>
        <w:t> </w:t>
      </w:r>
      <w:r>
        <w:rPr>
          <w:w w:val="120"/>
          <w:sz w:val="20"/>
        </w:rPr>
        <w:t>provides</w:t>
      </w:r>
      <w:r>
        <w:rPr>
          <w:spacing w:val="8"/>
          <w:w w:val="120"/>
          <w:sz w:val="20"/>
        </w:rPr>
        <w:t> </w:t>
      </w:r>
      <w:r>
        <w:rPr>
          <w:w w:val="120"/>
          <w:sz w:val="20"/>
        </w:rPr>
        <w:t>in</w:t>
      </w:r>
      <w:r>
        <w:rPr>
          <w:spacing w:val="8"/>
          <w:w w:val="120"/>
          <w:sz w:val="20"/>
        </w:rPr>
        <w:t> </w:t>
      </w:r>
      <w:r>
        <w:rPr>
          <w:w w:val="120"/>
          <w:sz w:val="20"/>
        </w:rPr>
        <w:t>the</w:t>
      </w:r>
      <w:r>
        <w:rPr>
          <w:spacing w:val="8"/>
          <w:w w:val="120"/>
          <w:sz w:val="20"/>
        </w:rPr>
        <w:t> </w:t>
      </w:r>
      <w:r>
        <w:rPr>
          <w:w w:val="120"/>
          <w:sz w:val="20"/>
        </w:rPr>
        <w:t>light</w:t>
      </w:r>
      <w:r>
        <w:rPr>
          <w:spacing w:val="8"/>
          <w:w w:val="120"/>
          <w:sz w:val="20"/>
        </w:rPr>
        <w:t> </w:t>
      </w:r>
      <w:r>
        <w:rPr>
          <w:w w:val="120"/>
          <w:sz w:val="20"/>
        </w:rPr>
        <w:t>of</w:t>
      </w:r>
      <w:r>
        <w:rPr>
          <w:spacing w:val="8"/>
          <w:w w:val="120"/>
          <w:sz w:val="20"/>
        </w:rPr>
        <w:t> </w:t>
      </w:r>
      <w:r>
        <w:rPr>
          <w:spacing w:val="2"/>
          <w:w w:val="120"/>
          <w:sz w:val="20"/>
        </w:rPr>
        <w:t>longer</w:t>
      </w:r>
      <w:r>
        <w:rPr>
          <w:spacing w:val="8"/>
          <w:w w:val="120"/>
          <w:sz w:val="20"/>
        </w:rPr>
        <w:t> </w:t>
      </w:r>
      <w:r>
        <w:rPr>
          <w:w w:val="120"/>
          <w:sz w:val="20"/>
        </w:rPr>
        <w:t>term</w:t>
      </w:r>
      <w:r>
        <w:rPr>
          <w:spacing w:val="8"/>
          <w:w w:val="120"/>
          <w:sz w:val="20"/>
        </w:rPr>
        <w:t> </w:t>
      </w:r>
      <w:r>
        <w:rPr>
          <w:w w:val="120"/>
          <w:sz w:val="20"/>
        </w:rPr>
        <w:t>trends.</w:t>
      </w:r>
    </w:p>
    <w:p>
      <w:pPr>
        <w:pStyle w:val="BodyText"/>
        <w:spacing w:before="11"/>
        <w:rPr>
          <w:sz w:val="19"/>
        </w:rPr>
      </w:pPr>
    </w:p>
    <w:p>
      <w:pPr>
        <w:pStyle w:val="ListParagraph"/>
        <w:numPr>
          <w:ilvl w:val="1"/>
          <w:numId w:val="134"/>
        </w:numPr>
        <w:tabs>
          <w:tab w:pos="2684" w:val="left" w:leader="none"/>
          <w:tab w:pos="2685" w:val="left" w:leader="none"/>
        </w:tabs>
        <w:spacing w:line="235" w:lineRule="auto" w:before="1" w:after="0"/>
        <w:ind w:left="2004" w:right="1253" w:hanging="1"/>
        <w:jc w:val="left"/>
        <w:rPr>
          <w:sz w:val="20"/>
        </w:rPr>
      </w:pPr>
      <w:r>
        <w:rPr>
          <w:spacing w:val="-4"/>
          <w:w w:val="120"/>
          <w:sz w:val="20"/>
        </w:rPr>
        <w:t>However, </w:t>
      </w:r>
      <w:r>
        <w:rPr>
          <w:w w:val="120"/>
          <w:sz w:val="20"/>
        </w:rPr>
        <w:t>much the most </w:t>
      </w:r>
      <w:r>
        <w:rPr>
          <w:spacing w:val="-3"/>
          <w:w w:val="120"/>
          <w:sz w:val="20"/>
        </w:rPr>
        <w:t>complex </w:t>
      </w:r>
      <w:r>
        <w:rPr>
          <w:w w:val="120"/>
          <w:sz w:val="20"/>
        </w:rPr>
        <w:t>area has been finding a </w:t>
      </w:r>
      <w:r>
        <w:rPr>
          <w:spacing w:val="-2"/>
          <w:w w:val="120"/>
          <w:sz w:val="20"/>
        </w:rPr>
        <w:t>way </w:t>
      </w:r>
      <w:r>
        <w:rPr>
          <w:w w:val="120"/>
          <w:sz w:val="20"/>
        </w:rPr>
        <w:t>in which the </w:t>
      </w:r>
      <w:r>
        <w:rPr>
          <w:spacing w:val="-3"/>
          <w:w w:val="120"/>
          <w:sz w:val="20"/>
        </w:rPr>
        <w:t>Pensions Regulator’s </w:t>
      </w:r>
      <w:r>
        <w:rPr>
          <w:w w:val="120"/>
          <w:sz w:val="20"/>
        </w:rPr>
        <w:t>demands can be </w:t>
      </w:r>
      <w:r>
        <w:rPr>
          <w:spacing w:val="-3"/>
          <w:w w:val="120"/>
          <w:sz w:val="20"/>
        </w:rPr>
        <w:t>matched </w:t>
      </w:r>
      <w:r>
        <w:rPr>
          <w:w w:val="120"/>
          <w:sz w:val="20"/>
        </w:rPr>
        <w:t>with the </w:t>
      </w:r>
      <w:r>
        <w:rPr>
          <w:spacing w:val="-3"/>
          <w:w w:val="120"/>
          <w:sz w:val="20"/>
        </w:rPr>
        <w:t>ethos </w:t>
      </w:r>
      <w:r>
        <w:rPr>
          <w:w w:val="120"/>
          <w:sz w:val="20"/>
        </w:rPr>
        <w:t>and structure of the</w:t>
      </w:r>
      <w:r>
        <w:rPr>
          <w:spacing w:val="-36"/>
          <w:w w:val="120"/>
          <w:sz w:val="20"/>
        </w:rPr>
        <w:t> </w:t>
      </w:r>
      <w:r>
        <w:rPr>
          <w:spacing w:val="-3"/>
          <w:w w:val="120"/>
          <w:sz w:val="20"/>
        </w:rPr>
        <w:t>United </w:t>
      </w:r>
      <w:r>
        <w:rPr>
          <w:w w:val="120"/>
          <w:sz w:val="20"/>
        </w:rPr>
        <w:t>Reformed </w:t>
      </w:r>
      <w:r>
        <w:rPr>
          <w:spacing w:val="-3"/>
          <w:w w:val="120"/>
          <w:sz w:val="20"/>
        </w:rPr>
        <w:t>Church </w:t>
      </w:r>
      <w:r>
        <w:rPr>
          <w:w w:val="120"/>
          <w:sz w:val="20"/>
        </w:rPr>
        <w:t>and the various </w:t>
      </w:r>
      <w:r>
        <w:rPr>
          <w:spacing w:val="-3"/>
          <w:w w:val="120"/>
          <w:sz w:val="20"/>
        </w:rPr>
        <w:t>pieces </w:t>
      </w:r>
      <w:r>
        <w:rPr>
          <w:w w:val="120"/>
          <w:sz w:val="20"/>
        </w:rPr>
        <w:t>of legislation that </w:t>
      </w:r>
      <w:r>
        <w:rPr>
          <w:spacing w:val="-3"/>
          <w:w w:val="120"/>
          <w:sz w:val="20"/>
        </w:rPr>
        <w:t>relate to </w:t>
      </w:r>
      <w:r>
        <w:rPr>
          <w:w w:val="120"/>
          <w:sz w:val="20"/>
        </w:rPr>
        <w:t>charities, on the one hand, and </w:t>
      </w:r>
      <w:r>
        <w:rPr>
          <w:spacing w:val="-3"/>
          <w:w w:val="120"/>
          <w:sz w:val="20"/>
        </w:rPr>
        <w:t>to </w:t>
      </w:r>
      <w:r>
        <w:rPr>
          <w:w w:val="120"/>
          <w:sz w:val="20"/>
        </w:rPr>
        <w:t>pension funds on the </w:t>
      </w:r>
      <w:r>
        <w:rPr>
          <w:spacing w:val="-5"/>
          <w:w w:val="120"/>
          <w:sz w:val="20"/>
        </w:rPr>
        <w:t>other. </w:t>
      </w:r>
      <w:r>
        <w:rPr>
          <w:spacing w:val="-3"/>
          <w:w w:val="120"/>
          <w:sz w:val="20"/>
        </w:rPr>
        <w:t>We </w:t>
      </w:r>
      <w:r>
        <w:rPr>
          <w:w w:val="120"/>
          <w:sz w:val="20"/>
        </w:rPr>
        <w:t>hope </w:t>
      </w:r>
      <w:r>
        <w:rPr>
          <w:spacing w:val="-3"/>
          <w:w w:val="120"/>
          <w:sz w:val="20"/>
        </w:rPr>
        <w:t>to </w:t>
      </w:r>
      <w:r>
        <w:rPr>
          <w:w w:val="120"/>
          <w:sz w:val="20"/>
        </w:rPr>
        <w:t>be able </w:t>
      </w:r>
      <w:r>
        <w:rPr>
          <w:spacing w:val="-3"/>
          <w:w w:val="120"/>
          <w:sz w:val="20"/>
        </w:rPr>
        <w:t>to </w:t>
      </w:r>
      <w:r>
        <w:rPr>
          <w:w w:val="120"/>
          <w:sz w:val="20"/>
        </w:rPr>
        <w:t>present an enabling resolution </w:t>
      </w:r>
      <w:r>
        <w:rPr>
          <w:spacing w:val="-3"/>
          <w:w w:val="120"/>
          <w:sz w:val="20"/>
        </w:rPr>
        <w:t>to </w:t>
      </w:r>
      <w:r>
        <w:rPr>
          <w:w w:val="120"/>
          <w:sz w:val="20"/>
        </w:rPr>
        <w:t>Assembly as part of a </w:t>
      </w:r>
      <w:r>
        <w:rPr>
          <w:spacing w:val="-3"/>
          <w:w w:val="120"/>
          <w:sz w:val="20"/>
        </w:rPr>
        <w:t>mutually acceptable </w:t>
      </w:r>
      <w:r>
        <w:rPr>
          <w:w w:val="120"/>
          <w:sz w:val="20"/>
        </w:rPr>
        <w:t>solution </w:t>
      </w:r>
      <w:r>
        <w:rPr>
          <w:spacing w:val="-3"/>
          <w:w w:val="120"/>
          <w:sz w:val="20"/>
        </w:rPr>
        <w:t>to this</w:t>
      </w:r>
      <w:r>
        <w:rPr>
          <w:spacing w:val="-32"/>
          <w:w w:val="120"/>
          <w:sz w:val="20"/>
        </w:rPr>
        <w:t> </w:t>
      </w:r>
      <w:r>
        <w:rPr>
          <w:w w:val="120"/>
          <w:sz w:val="20"/>
        </w:rPr>
        <w:t>problem.</w:t>
      </w:r>
    </w:p>
    <w:p>
      <w:pPr>
        <w:pStyle w:val="BodyText"/>
      </w:pPr>
    </w:p>
    <w:p>
      <w:pPr>
        <w:pStyle w:val="BodyText"/>
      </w:pPr>
    </w:p>
    <w:p>
      <w:pPr>
        <w:pStyle w:val="BodyText"/>
        <w:spacing w:before="6"/>
        <w:rPr>
          <w:sz w:val="21"/>
        </w:rPr>
      </w:pPr>
    </w:p>
    <w:p>
      <w:pPr>
        <w:spacing w:before="97"/>
        <w:ind w:left="474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 2010 </w:t>
      </w:r>
      <w:r>
        <w:rPr>
          <w:rFonts w:ascii="Symbol" w:hAnsi="Symbol"/>
          <w:color w:val="FFFFFF"/>
          <w:w w:val="110"/>
          <w:sz w:val="23"/>
        </w:rPr>
        <w:t></w:t>
      </w:r>
      <w:r>
        <w:rPr>
          <w:rFonts w:ascii="Times New Roman" w:hAnsi="Times New Roman"/>
          <w:color w:val="FFFFFF"/>
          <w:w w:val="110"/>
          <w:sz w:val="23"/>
        </w:rPr>
        <w:t> </w:t>
      </w:r>
      <w:r>
        <w:rPr>
          <w:rFonts w:ascii="Stone Sans II ITC Std X Bd" w:hAnsi="Stone Sans II ITC Std X Bd"/>
          <w:b/>
          <w:color w:val="FFFFFF"/>
          <w:w w:val="110"/>
          <w:sz w:val="24"/>
        </w:rPr>
        <w:t>135</w:t>
      </w:r>
    </w:p>
    <w:p>
      <w:pPr>
        <w:spacing w:after="0"/>
        <w:jc w:val="left"/>
        <w:rPr>
          <w:rFonts w:ascii="Stone Sans II ITC Std X Bd" w:hAnsi="Stone Sans II ITC Std X Bd"/>
          <w:sz w:val="24"/>
        </w:rPr>
        <w:sectPr>
          <w:headerReference w:type="default" r:id="rId317"/>
          <w:footerReference w:type="default" r:id="rId318"/>
          <w:pgSz w:w="11910" w:h="16840"/>
          <w:pgMar w:header="0" w:footer="0" w:top="1220" w:bottom="280" w:left="0" w:right="0"/>
        </w:sectPr>
      </w:pP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8ba8bd"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077056" filled="true" fillcolor="#c2d2df" stroked="false">
            <v:fill type="solid"/>
            <w10:wrap type="none"/>
          </v:rect>
        </w:pict>
      </w:r>
      <w:r>
        <w:rPr>
          <w:color w:val="8BA8BD"/>
          <w:w w:val="115"/>
          <w:sz w:val="26"/>
        </w:rPr>
        <w:t>Finance</w:t>
      </w:r>
    </w:p>
    <w:p>
      <w:pPr>
        <w:pStyle w:val="ListParagraph"/>
        <w:numPr>
          <w:ilvl w:val="1"/>
          <w:numId w:val="134"/>
        </w:numPr>
        <w:tabs>
          <w:tab w:pos="1814" w:val="left" w:leader="none"/>
          <w:tab w:pos="1815" w:val="left" w:leader="none"/>
        </w:tabs>
        <w:spacing w:line="235" w:lineRule="auto" w:before="221" w:after="0"/>
        <w:ind w:left="1133" w:right="2078" w:firstLine="0"/>
        <w:jc w:val="left"/>
        <w:rPr>
          <w:sz w:val="20"/>
        </w:rPr>
      </w:pPr>
      <w:r>
        <w:rPr/>
        <w:pict>
          <v:rect style="position:absolute;margin-left:12.047pt;margin-top:14.177342pt;width:22.677pt;height:22.677pt;mso-position-horizontal-relative:page;mso-position-vertical-relative:paragraph;z-index:252078080" filled="true" fillcolor="#dae4ec" stroked="false">
            <v:fill opacity="32768f" type="solid"/>
            <w10:wrap type="none"/>
          </v:rect>
        </w:pict>
      </w:r>
      <w:r>
        <w:rPr>
          <w:w w:val="120"/>
          <w:sz w:val="20"/>
        </w:rPr>
        <w:t>Behind all this technical work, it is worth stressing that there is no actual problem in the Pension Fund and no pension currently in payment, or expected to become payable in the near future, is under any threat</w:t>
      </w:r>
      <w:r>
        <w:rPr>
          <w:spacing w:val="9"/>
          <w:w w:val="120"/>
          <w:sz w:val="20"/>
        </w:rPr>
        <w:t> </w:t>
      </w:r>
      <w:r>
        <w:rPr>
          <w:w w:val="120"/>
          <w:sz w:val="20"/>
        </w:rPr>
        <w:t>whatsoever.</w:t>
      </w:r>
    </w:p>
    <w:p>
      <w:pPr>
        <w:pStyle w:val="BodyText"/>
        <w:spacing w:before="8"/>
        <w:rPr>
          <w:sz w:val="17"/>
        </w:rPr>
      </w:pPr>
    </w:p>
    <w:p>
      <w:pPr>
        <w:numPr>
          <w:ilvl w:val="0"/>
          <w:numId w:val="134"/>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The Investment</w:t>
      </w:r>
      <w:r>
        <w:rPr>
          <w:rFonts w:ascii="Stone Sans II ITC Std Bk"/>
          <w:b/>
          <w:spacing w:val="-3"/>
          <w:w w:val="115"/>
          <w:sz w:val="21"/>
        </w:rPr>
        <w:t> </w:t>
      </w:r>
      <w:r>
        <w:rPr>
          <w:rFonts w:ascii="Stone Sans II ITC Std Bk"/>
          <w:b/>
          <w:w w:val="115"/>
          <w:sz w:val="21"/>
        </w:rPr>
        <w:t>Story</w:t>
      </w:r>
    </w:p>
    <w:p>
      <w:pPr>
        <w:pStyle w:val="BodyText"/>
        <w:spacing w:line="235" w:lineRule="auto" w:before="223"/>
        <w:ind w:left="1133" w:right="2440"/>
      </w:pPr>
      <w:r>
        <w:rPr>
          <w:w w:val="120"/>
        </w:rPr>
        <w:t>In the Pension Fund and elsewhere we want our money to work as hard as possible for us within the ethical investment guidelines set by Assembly. </w:t>
      </w:r>
      <w:r>
        <w:rPr>
          <w:spacing w:val="-7"/>
          <w:w w:val="120"/>
        </w:rPr>
        <w:t>To </w:t>
      </w:r>
      <w:r>
        <w:rPr>
          <w:w w:val="120"/>
        </w:rPr>
        <w:t>help this we have strengthened and streamlined the processes for monitoring our investments</w:t>
      </w:r>
      <w:r>
        <w:rPr>
          <w:spacing w:val="34"/>
          <w:w w:val="120"/>
        </w:rPr>
        <w:t> </w:t>
      </w:r>
      <w:r>
        <w:rPr>
          <w:w w:val="120"/>
        </w:rPr>
        <w:t>and</w:t>
      </w:r>
    </w:p>
    <w:p>
      <w:pPr>
        <w:pStyle w:val="BodyText"/>
        <w:spacing w:line="235" w:lineRule="auto" w:before="2"/>
        <w:ind w:left="1133" w:right="1997"/>
      </w:pPr>
      <w:r>
        <w:rPr>
          <w:w w:val="120"/>
        </w:rPr>
        <w:t>recommending investment policy. A single Investment Committee, with Richard Nunn as </w:t>
      </w:r>
      <w:r>
        <w:rPr>
          <w:spacing w:val="-3"/>
          <w:w w:val="120"/>
        </w:rPr>
        <w:t>Convener, </w:t>
      </w:r>
      <w:r>
        <w:rPr>
          <w:w w:val="120"/>
        </w:rPr>
        <w:t>now serves all the central structures of the Church in this area of</w:t>
      </w:r>
      <w:r>
        <w:rPr>
          <w:spacing w:val="34"/>
          <w:w w:val="120"/>
        </w:rPr>
        <w:t> </w:t>
      </w:r>
      <w:r>
        <w:rPr>
          <w:w w:val="120"/>
        </w:rPr>
        <w:t>work.</w:t>
      </w:r>
    </w:p>
    <w:p>
      <w:pPr>
        <w:numPr>
          <w:ilvl w:val="0"/>
          <w:numId w:val="134"/>
        </w:numPr>
        <w:tabs>
          <w:tab w:pos="1853" w:val="left" w:leader="none"/>
          <w:tab w:pos="1854" w:val="left" w:leader="none"/>
        </w:tabs>
        <w:spacing w:before="215"/>
        <w:ind w:left="1853" w:right="0" w:hanging="721"/>
        <w:jc w:val="left"/>
        <w:rPr>
          <w:rFonts w:ascii="Stone Sans II ITC Std Bk"/>
          <w:b/>
          <w:sz w:val="21"/>
        </w:rPr>
      </w:pPr>
      <w:r>
        <w:rPr>
          <w:rFonts w:ascii="Stone Sans II ITC Std Bk"/>
          <w:b/>
          <w:w w:val="115"/>
          <w:sz w:val="21"/>
        </w:rPr>
        <w:t>The Charity Law</w:t>
      </w:r>
      <w:r>
        <w:rPr>
          <w:rFonts w:ascii="Stone Sans II ITC Std Bk"/>
          <w:b/>
          <w:spacing w:val="-5"/>
          <w:w w:val="115"/>
          <w:sz w:val="21"/>
        </w:rPr>
        <w:t> </w:t>
      </w:r>
      <w:r>
        <w:rPr>
          <w:rFonts w:ascii="Stone Sans II ITC Std Bk"/>
          <w:b/>
          <w:w w:val="115"/>
          <w:sz w:val="21"/>
        </w:rPr>
        <w:t>Story</w:t>
      </w:r>
    </w:p>
    <w:p>
      <w:pPr>
        <w:pStyle w:val="ListParagraph"/>
        <w:numPr>
          <w:ilvl w:val="1"/>
          <w:numId w:val="134"/>
        </w:numPr>
        <w:tabs>
          <w:tab w:pos="1814" w:val="left" w:leader="none"/>
          <w:tab w:pos="1815" w:val="left" w:leader="none"/>
        </w:tabs>
        <w:spacing w:line="235" w:lineRule="auto" w:before="223" w:after="0"/>
        <w:ind w:left="1133" w:right="2172" w:firstLine="0"/>
        <w:jc w:val="left"/>
        <w:rPr>
          <w:sz w:val="20"/>
        </w:rPr>
      </w:pPr>
      <w:r>
        <w:rPr>
          <w:w w:val="120"/>
          <w:sz w:val="20"/>
        </w:rPr>
        <w:t>Our </w:t>
      </w:r>
      <w:r>
        <w:rPr>
          <w:spacing w:val="-3"/>
          <w:w w:val="120"/>
          <w:sz w:val="20"/>
        </w:rPr>
        <w:t>Church’s </w:t>
      </w:r>
      <w:r>
        <w:rPr>
          <w:w w:val="120"/>
          <w:sz w:val="20"/>
        </w:rPr>
        <w:t>investment options are affected by our charitable status and over the last two years the impact of the Charities Act 2006 on the Church has had to be worked through in detail. One result of this is that at the end of 2009 the URC Trust has agreed a new Memorandum and Articles of Association and will in future be the legal vehicle which holds the central assets of the</w:t>
      </w:r>
      <w:r>
        <w:rPr>
          <w:spacing w:val="16"/>
          <w:w w:val="120"/>
          <w:sz w:val="20"/>
        </w:rPr>
        <w:t> </w:t>
      </w:r>
      <w:r>
        <w:rPr>
          <w:w w:val="120"/>
          <w:sz w:val="20"/>
        </w:rPr>
        <w:t>denomination.</w:t>
      </w:r>
    </w:p>
    <w:p>
      <w:pPr>
        <w:pStyle w:val="BodyText"/>
        <w:spacing w:before="11"/>
        <w:rPr>
          <w:sz w:val="19"/>
        </w:rPr>
      </w:pPr>
    </w:p>
    <w:p>
      <w:pPr>
        <w:pStyle w:val="ListParagraph"/>
        <w:numPr>
          <w:ilvl w:val="1"/>
          <w:numId w:val="134"/>
        </w:numPr>
        <w:tabs>
          <w:tab w:pos="1814" w:val="left" w:leader="none"/>
          <w:tab w:pos="1815" w:val="left" w:leader="none"/>
        </w:tabs>
        <w:spacing w:line="235" w:lineRule="auto" w:before="0" w:after="0"/>
        <w:ind w:left="1133" w:right="2728" w:firstLine="0"/>
        <w:jc w:val="left"/>
        <w:rPr>
          <w:sz w:val="20"/>
        </w:rPr>
      </w:pPr>
      <w:r>
        <w:rPr>
          <w:w w:val="120"/>
          <w:sz w:val="20"/>
        </w:rPr>
        <w:t>In parallel, we have been able to give advice and support to local churches needing to register as charities with the Charity</w:t>
      </w:r>
      <w:r>
        <w:rPr>
          <w:spacing w:val="24"/>
          <w:w w:val="120"/>
          <w:sz w:val="20"/>
        </w:rPr>
        <w:t> </w:t>
      </w:r>
      <w:r>
        <w:rPr>
          <w:w w:val="120"/>
          <w:sz w:val="20"/>
        </w:rPr>
        <w:t>Commission.</w:t>
      </w:r>
    </w:p>
    <w:p>
      <w:pPr>
        <w:numPr>
          <w:ilvl w:val="0"/>
          <w:numId w:val="134"/>
        </w:numPr>
        <w:tabs>
          <w:tab w:pos="1853" w:val="left" w:leader="none"/>
          <w:tab w:pos="1854" w:val="left" w:leader="none"/>
        </w:tabs>
        <w:spacing w:before="215"/>
        <w:ind w:left="1853" w:right="0" w:hanging="721"/>
        <w:jc w:val="left"/>
        <w:rPr>
          <w:rFonts w:ascii="Stone Sans II ITC Std Bk"/>
          <w:b/>
          <w:sz w:val="21"/>
        </w:rPr>
      </w:pPr>
      <w:r>
        <w:rPr>
          <w:rFonts w:ascii="Stone Sans II ITC Std Bk"/>
          <w:b/>
          <w:w w:val="115"/>
          <w:sz w:val="21"/>
        </w:rPr>
        <w:t>Our Risk</w:t>
      </w:r>
      <w:r>
        <w:rPr>
          <w:rFonts w:ascii="Stone Sans II ITC Std Bk"/>
          <w:b/>
          <w:spacing w:val="-3"/>
          <w:w w:val="115"/>
          <w:sz w:val="21"/>
        </w:rPr>
        <w:t> </w:t>
      </w:r>
      <w:r>
        <w:rPr>
          <w:rFonts w:ascii="Stone Sans II ITC Std Bk"/>
          <w:b/>
          <w:w w:val="115"/>
          <w:sz w:val="21"/>
        </w:rPr>
        <w:t>Register</w:t>
      </w:r>
    </w:p>
    <w:p>
      <w:pPr>
        <w:pStyle w:val="BodyText"/>
        <w:spacing w:line="235" w:lineRule="auto" w:before="223"/>
        <w:ind w:left="1133" w:right="2384"/>
      </w:pPr>
      <w:r>
        <w:rPr>
          <w:w w:val="120"/>
        </w:rPr>
        <w:t>Whether or not we were formally a charity, it would be good practice to think about our risks. As Christians we know we are called to take risks for the sake of mission and we must not let any Act of Parliament cloud that principle. Nevertheless, we are also called to be good stewards of God’s gifts to us and should take account of what risks we are running. As we have studied this question, we have refined the Risk Register for risks the Church needs to monitor centrally, but have recognised that many of the</w:t>
      </w:r>
    </w:p>
    <w:p>
      <w:pPr>
        <w:pStyle w:val="BodyText"/>
        <w:spacing w:line="235" w:lineRule="auto" w:before="4"/>
        <w:ind w:left="1133" w:right="1997"/>
      </w:pPr>
      <w:r>
        <w:rPr>
          <w:w w:val="120"/>
        </w:rPr>
        <w:t>risks with the greatest impact are local ones for elders and others to keep in mind. Help with identifying the key questions to ask will be placed on the Church’s website to supplement the material on the Charity Commission’s website.</w:t>
      </w:r>
    </w:p>
    <w:p>
      <w:pPr>
        <w:pStyle w:val="BodyText"/>
        <w:spacing w:before="8"/>
        <w:rPr>
          <w:sz w:val="17"/>
        </w:rPr>
      </w:pPr>
    </w:p>
    <w:p>
      <w:pPr>
        <w:numPr>
          <w:ilvl w:val="0"/>
          <w:numId w:val="134"/>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Our Church</w:t>
      </w:r>
      <w:r>
        <w:rPr>
          <w:rFonts w:ascii="Stone Sans II ITC Std Bk"/>
          <w:b/>
          <w:spacing w:val="-3"/>
          <w:w w:val="115"/>
          <w:sz w:val="21"/>
        </w:rPr>
        <w:t> Treasurers</w:t>
      </w:r>
    </w:p>
    <w:p>
      <w:pPr>
        <w:pStyle w:val="BodyText"/>
        <w:spacing w:line="235" w:lineRule="auto" w:before="222"/>
        <w:ind w:left="1133" w:right="1997"/>
      </w:pPr>
      <w:r>
        <w:rPr>
          <w:w w:val="120"/>
        </w:rPr>
        <w:t>We are very aware that in the local church it is often the treasurer who is expected to keep up with unfolding and complicated legislation affecting accounts, charity law, employment law, risks and insurance questions. To assist this vital and faithful group of volunteers, we negotiated in 2008 a special group membership of the Association of Church Accountants and Treasurers. Every Church Treasurer should now have a copy of their valuable handbook and be receiving the regular updates they circulate.</w:t>
      </w:r>
    </w:p>
    <w:p>
      <w:pPr>
        <w:pStyle w:val="BodyText"/>
        <w:spacing w:before="10"/>
        <w:rPr>
          <w:sz w:val="17"/>
        </w:rPr>
      </w:pPr>
    </w:p>
    <w:p>
      <w:pPr>
        <w:numPr>
          <w:ilvl w:val="0"/>
          <w:numId w:val="134"/>
        </w:numPr>
        <w:tabs>
          <w:tab w:pos="1853" w:val="left" w:leader="none"/>
          <w:tab w:pos="1854" w:val="left" w:leader="none"/>
        </w:tabs>
        <w:spacing w:before="1"/>
        <w:ind w:left="1853" w:right="0" w:hanging="721"/>
        <w:jc w:val="left"/>
        <w:rPr>
          <w:rFonts w:ascii="Stone Sans II ITC Std Bk"/>
          <w:b/>
          <w:sz w:val="21"/>
        </w:rPr>
      </w:pPr>
      <w:r>
        <w:rPr>
          <w:rFonts w:ascii="Stone Sans II ITC Std Bk"/>
          <w:b/>
          <w:w w:val="115"/>
          <w:sz w:val="21"/>
        </w:rPr>
        <w:t>The Westminster</w:t>
      </w:r>
      <w:r>
        <w:rPr>
          <w:rFonts w:ascii="Stone Sans II ITC Std Bk"/>
          <w:b/>
          <w:spacing w:val="-4"/>
          <w:w w:val="115"/>
          <w:sz w:val="21"/>
        </w:rPr>
        <w:t> </w:t>
      </w:r>
      <w:r>
        <w:rPr>
          <w:rFonts w:ascii="Stone Sans II ITC Std Bk"/>
          <w:b/>
          <w:w w:val="115"/>
          <w:sz w:val="21"/>
        </w:rPr>
        <w:t>Story</w:t>
      </w:r>
    </w:p>
    <w:p>
      <w:pPr>
        <w:pStyle w:val="BodyText"/>
        <w:spacing w:line="235" w:lineRule="auto" w:before="222"/>
        <w:ind w:left="1133" w:right="2030"/>
      </w:pPr>
      <w:r>
        <w:rPr>
          <w:spacing w:val="2"/>
          <w:w w:val="120"/>
        </w:rPr>
        <w:t>Although </w:t>
      </w:r>
      <w:r>
        <w:rPr>
          <w:w w:val="120"/>
        </w:rPr>
        <w:t>much of our work is unglamorous, we are glad to be </w:t>
      </w:r>
      <w:r>
        <w:rPr>
          <w:spacing w:val="2"/>
          <w:w w:val="120"/>
        </w:rPr>
        <w:t>engaged </w:t>
      </w:r>
      <w:r>
        <w:rPr>
          <w:w w:val="120"/>
        </w:rPr>
        <w:t>with a </w:t>
      </w:r>
      <w:r>
        <w:rPr>
          <w:spacing w:val="3"/>
          <w:w w:val="120"/>
        </w:rPr>
        <w:t>variety    </w:t>
      </w:r>
      <w:r>
        <w:rPr>
          <w:w w:val="120"/>
        </w:rPr>
        <w:t>of exciting </w:t>
      </w:r>
      <w:r>
        <w:rPr>
          <w:spacing w:val="3"/>
          <w:w w:val="120"/>
        </w:rPr>
        <w:t>projects </w:t>
      </w:r>
      <w:r>
        <w:rPr>
          <w:w w:val="120"/>
        </w:rPr>
        <w:t>in the life of the Church as well. Many of </w:t>
      </w:r>
      <w:r>
        <w:rPr>
          <w:spacing w:val="2"/>
          <w:w w:val="120"/>
        </w:rPr>
        <w:t>these </w:t>
      </w:r>
      <w:r>
        <w:rPr>
          <w:w w:val="120"/>
        </w:rPr>
        <w:t>will come to  </w:t>
      </w:r>
      <w:r>
        <w:rPr>
          <w:spacing w:val="2"/>
          <w:w w:val="120"/>
        </w:rPr>
        <w:t>Assembly </w:t>
      </w:r>
      <w:r>
        <w:rPr>
          <w:w w:val="120"/>
        </w:rPr>
        <w:t>via other routes than this </w:t>
      </w:r>
      <w:r>
        <w:rPr>
          <w:spacing w:val="3"/>
          <w:w w:val="120"/>
        </w:rPr>
        <w:t>report. </w:t>
      </w:r>
      <w:r>
        <w:rPr>
          <w:w w:val="120"/>
        </w:rPr>
        <w:t>Few are larger than the </w:t>
      </w:r>
      <w:r>
        <w:rPr>
          <w:spacing w:val="2"/>
          <w:w w:val="120"/>
        </w:rPr>
        <w:t>Development </w:t>
      </w:r>
      <w:r>
        <w:rPr>
          <w:w w:val="120"/>
        </w:rPr>
        <w:t>Plan for Westminster College, at a potential cost of £6.2m. </w:t>
      </w:r>
      <w:r>
        <w:rPr>
          <w:spacing w:val="3"/>
          <w:w w:val="120"/>
        </w:rPr>
        <w:t>Shortly </w:t>
      </w:r>
      <w:r>
        <w:rPr>
          <w:spacing w:val="2"/>
          <w:w w:val="120"/>
        </w:rPr>
        <w:t>before Assembly </w:t>
      </w:r>
      <w:r>
        <w:rPr>
          <w:w w:val="120"/>
        </w:rPr>
        <w:t>the Finance Committee will </w:t>
      </w:r>
      <w:r>
        <w:rPr>
          <w:spacing w:val="2"/>
          <w:w w:val="120"/>
        </w:rPr>
        <w:t>fulfil its brief </w:t>
      </w:r>
      <w:r>
        <w:rPr>
          <w:w w:val="120"/>
        </w:rPr>
        <w:t>to </w:t>
      </w:r>
      <w:r>
        <w:rPr>
          <w:spacing w:val="2"/>
          <w:w w:val="120"/>
        </w:rPr>
        <w:t>undertake </w:t>
      </w:r>
      <w:r>
        <w:rPr>
          <w:w w:val="120"/>
        </w:rPr>
        <w:t>a financial scrutiny of this </w:t>
      </w:r>
      <w:r>
        <w:rPr>
          <w:spacing w:val="2"/>
          <w:w w:val="120"/>
        </w:rPr>
        <w:t>project   </w:t>
      </w:r>
      <w:r>
        <w:rPr>
          <w:w w:val="120"/>
        </w:rPr>
        <w:t>and will consider the </w:t>
      </w:r>
      <w:r>
        <w:rPr>
          <w:spacing w:val="3"/>
          <w:w w:val="120"/>
        </w:rPr>
        <w:t>request </w:t>
      </w:r>
      <w:r>
        <w:rPr>
          <w:w w:val="120"/>
        </w:rPr>
        <w:t>of Mission Council to </w:t>
      </w:r>
      <w:r>
        <w:rPr>
          <w:spacing w:val="2"/>
          <w:w w:val="120"/>
        </w:rPr>
        <w:t>table resolutions </w:t>
      </w:r>
      <w:r>
        <w:rPr>
          <w:w w:val="120"/>
        </w:rPr>
        <w:t>at </w:t>
      </w:r>
      <w:r>
        <w:rPr>
          <w:spacing w:val="2"/>
          <w:w w:val="120"/>
        </w:rPr>
        <w:t>Assembly about </w:t>
      </w:r>
      <w:r>
        <w:rPr>
          <w:w w:val="120"/>
        </w:rPr>
        <w:t>funding</w:t>
      </w:r>
      <w:r>
        <w:rPr>
          <w:spacing w:val="6"/>
          <w:w w:val="120"/>
        </w:rPr>
        <w:t> </w:t>
      </w:r>
      <w:r>
        <w:rPr>
          <w:w w:val="120"/>
        </w:rPr>
        <w:t>options.</w:t>
      </w:r>
    </w:p>
    <w:p>
      <w:pPr>
        <w:spacing w:after="0" w:line="235" w:lineRule="auto"/>
        <w:sectPr>
          <w:headerReference w:type="even" r:id="rId319"/>
          <w:footerReference w:type="even" r:id="rId320"/>
          <w:pgSz w:w="11910" w:h="16840"/>
          <w:pgMar w:header="0" w:footer="647" w:top="0" w:bottom="840" w:left="0" w:right="0"/>
        </w:sectPr>
      </w:pPr>
    </w:p>
    <w:p>
      <w:pPr>
        <w:pStyle w:val="BodyText"/>
        <w:ind w:left="11168"/>
      </w:pPr>
      <w:r>
        <w:rPr/>
        <w:pict>
          <v:group style="width:22.7pt;height:23.55pt;mso-position-horizontal-relative:char;mso-position-vertical-relative:line" coordorigin="0,0" coordsize="454,471">
            <v:rect style="position:absolute;left:0;top:0;width:454;height:471" filled="true" fillcolor="#8ba8bd" stroked="false">
              <v:fill type="solid"/>
            </v:rect>
          </v:group>
        </w:pict>
      </w:r>
      <w:r>
        <w:rPr/>
      </w:r>
    </w:p>
    <w:p>
      <w:pPr>
        <w:pStyle w:val="BodyText"/>
        <w:spacing w:before="8"/>
        <w:rPr>
          <w:sz w:val="5"/>
        </w:rPr>
      </w:pPr>
    </w:p>
    <w:p>
      <w:pPr>
        <w:spacing w:after="0"/>
        <w:rPr>
          <w:sz w:val="5"/>
        </w:rPr>
        <w:sectPr>
          <w:headerReference w:type="default" r:id="rId321"/>
          <w:footerReference w:type="default" r:id="rId322"/>
          <w:pgSz w:w="11910" w:h="16840"/>
          <w:pgMar w:header="0" w:footer="0" w:top="0" w:bottom="280" w:left="0" w:right="0"/>
        </w:sectPr>
      </w:pPr>
    </w:p>
    <w:p>
      <w:pPr>
        <w:pStyle w:val="BodyText"/>
        <w:rPr>
          <w:sz w:val="26"/>
        </w:rPr>
      </w:pPr>
    </w:p>
    <w:p>
      <w:pPr>
        <w:pStyle w:val="BodyText"/>
        <w:spacing w:before="10"/>
      </w:pPr>
    </w:p>
    <w:p>
      <w:pPr>
        <w:numPr>
          <w:ilvl w:val="0"/>
          <w:numId w:val="134"/>
        </w:numPr>
        <w:tabs>
          <w:tab w:pos="2704" w:val="left" w:leader="none"/>
          <w:tab w:pos="2705" w:val="left" w:leader="none"/>
        </w:tabs>
        <w:spacing w:before="1"/>
        <w:ind w:left="2704" w:right="0" w:hanging="721"/>
        <w:jc w:val="left"/>
        <w:rPr>
          <w:rFonts w:ascii="Stone Sans II ITC Std Bk"/>
          <w:b/>
          <w:sz w:val="21"/>
        </w:rPr>
      </w:pPr>
      <w:r>
        <w:rPr/>
        <w:pict>
          <v:rect style="position:absolute;margin-left:558.424988pt;margin-top:-26.866226pt;width:22.677pt;height:22.677pt;mso-position-horizontal-relative:page;mso-position-vertical-relative:paragraph;z-index:252085248" filled="true" fillcolor="#c2d2df" stroked="false">
            <v:fill type="solid"/>
            <w10:wrap type="none"/>
          </v:rect>
        </w:pict>
      </w:r>
      <w:r>
        <w:rPr>
          <w:rFonts w:ascii="Stone Sans II ITC Std Bk"/>
          <w:b/>
          <w:w w:val="115"/>
          <w:sz w:val="21"/>
        </w:rPr>
        <w:t>The Stewardship</w:t>
      </w:r>
      <w:r>
        <w:rPr>
          <w:rFonts w:ascii="Stone Sans II ITC Std Bk"/>
          <w:b/>
          <w:spacing w:val="-25"/>
          <w:w w:val="115"/>
          <w:sz w:val="21"/>
        </w:rPr>
        <w:t> </w:t>
      </w:r>
      <w:r>
        <w:rPr>
          <w:rFonts w:ascii="Stone Sans II ITC Std Bk"/>
          <w:b/>
          <w:w w:val="115"/>
          <w:sz w:val="21"/>
        </w:rPr>
        <w:t>Story</w:t>
      </w:r>
    </w:p>
    <w:p>
      <w:pPr>
        <w:spacing w:before="40"/>
        <w:ind w:left="1984" w:right="0" w:firstLine="0"/>
        <w:jc w:val="left"/>
        <w:rPr>
          <w:sz w:val="26"/>
        </w:rPr>
      </w:pPr>
      <w:r>
        <w:rPr/>
        <w:br w:type="column"/>
      </w:r>
      <w:r>
        <w:rPr>
          <w:color w:val="8BA8BD"/>
          <w:w w:val="115"/>
          <w:sz w:val="26"/>
        </w:rPr>
        <w:t>Finance</w:t>
      </w:r>
    </w:p>
    <w:p>
      <w:pPr>
        <w:spacing w:after="0"/>
        <w:jc w:val="left"/>
        <w:rPr>
          <w:sz w:val="26"/>
        </w:rPr>
        <w:sectPr>
          <w:type w:val="continuous"/>
          <w:pgSz w:w="11910" w:h="16840"/>
          <w:pgMar w:top="860" w:bottom="280" w:left="0" w:right="0"/>
          <w:cols w:num="2" w:equalWidth="0">
            <w:col w:w="5344" w:space="2710"/>
            <w:col w:w="3856"/>
          </w:cols>
        </w:sectPr>
      </w:pPr>
    </w:p>
    <w:p>
      <w:pPr>
        <w:pStyle w:val="BodyText"/>
        <w:spacing w:before="9"/>
        <w:rPr>
          <w:sz w:val="9"/>
        </w:rPr>
      </w:pPr>
    </w:p>
    <w:p>
      <w:pPr>
        <w:pStyle w:val="ListParagraph"/>
        <w:numPr>
          <w:ilvl w:val="1"/>
          <w:numId w:val="134"/>
        </w:numPr>
        <w:tabs>
          <w:tab w:pos="2664" w:val="left" w:leader="none"/>
          <w:tab w:pos="2665" w:val="left" w:leader="none"/>
        </w:tabs>
        <w:spacing w:line="235" w:lineRule="auto" w:before="103" w:after="0"/>
        <w:ind w:left="1984" w:right="1193" w:firstLine="0"/>
        <w:jc w:val="left"/>
        <w:rPr>
          <w:sz w:val="20"/>
        </w:rPr>
      </w:pPr>
      <w:r>
        <w:rPr/>
        <w:pict>
          <v:rect style="position:absolute;margin-left:558.424988pt;margin-top:-15.911673pt;width:22.677pt;height:22.677pt;mso-position-horizontal-relative:page;mso-position-vertical-relative:paragraph;z-index:252086272" filled="true" fillcolor="#dae4ec" stroked="false">
            <v:fill opacity="32768f" type="solid"/>
            <w10:wrap type="none"/>
          </v:rect>
        </w:pict>
      </w:r>
      <w:r>
        <w:rPr>
          <w:w w:val="120"/>
          <w:sz w:val="20"/>
        </w:rPr>
        <w:t>In addition to a busy programme of immediate issues, the Finance Committee has given time over the last two years to consider what some of the longer term trends in  the United Reformed Church are saying to us. One outcome, as foreshadowed at the last Assembly, was to set up a new Stewardship</w:t>
      </w:r>
      <w:r>
        <w:rPr>
          <w:spacing w:val="14"/>
          <w:w w:val="120"/>
          <w:sz w:val="20"/>
        </w:rPr>
        <w:t> </w:t>
      </w:r>
      <w:r>
        <w:rPr>
          <w:w w:val="120"/>
          <w:sz w:val="20"/>
        </w:rPr>
        <w:t>sub-committee.</w:t>
      </w:r>
    </w:p>
    <w:p>
      <w:pPr>
        <w:pStyle w:val="BodyText"/>
        <w:spacing w:before="5"/>
        <w:rPr>
          <w:sz w:val="19"/>
        </w:rPr>
      </w:pPr>
    </w:p>
    <w:p>
      <w:pPr>
        <w:pStyle w:val="ListParagraph"/>
        <w:numPr>
          <w:ilvl w:val="1"/>
          <w:numId w:val="134"/>
        </w:numPr>
        <w:tabs>
          <w:tab w:pos="2664" w:val="left" w:leader="none"/>
          <w:tab w:pos="2665" w:val="left" w:leader="none"/>
        </w:tabs>
        <w:spacing w:line="220" w:lineRule="auto" w:before="0" w:after="0"/>
        <w:ind w:left="1984" w:right="1141" w:firstLine="0"/>
        <w:jc w:val="left"/>
        <w:rPr>
          <w:sz w:val="20"/>
        </w:rPr>
      </w:pPr>
      <w:r>
        <w:rPr>
          <w:w w:val="110"/>
          <w:sz w:val="20"/>
        </w:rPr>
        <w:t>The working ethos of the sub-committee is  the  belief  that  </w:t>
      </w:r>
      <w:r>
        <w:rPr>
          <w:i/>
          <w:spacing w:val="-3"/>
          <w:w w:val="110"/>
          <w:sz w:val="22"/>
        </w:rPr>
        <w:t>Stewardship  </w:t>
      </w:r>
      <w:r>
        <w:rPr>
          <w:i/>
          <w:w w:val="110"/>
          <w:sz w:val="22"/>
        </w:rPr>
        <w:t>is  the </w:t>
      </w:r>
      <w:r>
        <w:rPr>
          <w:i/>
          <w:w w:val="110"/>
          <w:sz w:val="22"/>
        </w:rPr>
        <w:t>response</w:t>
      </w:r>
      <w:r>
        <w:rPr>
          <w:i/>
          <w:spacing w:val="-34"/>
          <w:w w:val="110"/>
          <w:sz w:val="22"/>
        </w:rPr>
        <w:t> </w:t>
      </w:r>
      <w:r>
        <w:rPr>
          <w:i/>
          <w:w w:val="110"/>
          <w:sz w:val="22"/>
        </w:rPr>
        <w:t>to</w:t>
      </w:r>
      <w:r>
        <w:rPr>
          <w:i/>
          <w:spacing w:val="-34"/>
          <w:w w:val="110"/>
          <w:sz w:val="22"/>
        </w:rPr>
        <w:t> </w:t>
      </w:r>
      <w:r>
        <w:rPr>
          <w:i/>
          <w:w w:val="110"/>
          <w:sz w:val="22"/>
        </w:rPr>
        <w:t>the</w:t>
      </w:r>
      <w:r>
        <w:rPr>
          <w:i/>
          <w:spacing w:val="-34"/>
          <w:w w:val="110"/>
          <w:sz w:val="22"/>
        </w:rPr>
        <w:t> </w:t>
      </w:r>
      <w:r>
        <w:rPr>
          <w:i/>
          <w:w w:val="110"/>
          <w:sz w:val="22"/>
        </w:rPr>
        <w:t>grace</w:t>
      </w:r>
      <w:r>
        <w:rPr>
          <w:i/>
          <w:spacing w:val="-33"/>
          <w:w w:val="110"/>
          <w:sz w:val="22"/>
        </w:rPr>
        <w:t> </w:t>
      </w:r>
      <w:r>
        <w:rPr>
          <w:i/>
          <w:w w:val="110"/>
          <w:sz w:val="22"/>
        </w:rPr>
        <w:t>of</w:t>
      </w:r>
      <w:r>
        <w:rPr>
          <w:i/>
          <w:spacing w:val="-34"/>
          <w:w w:val="110"/>
          <w:sz w:val="22"/>
        </w:rPr>
        <w:t> </w:t>
      </w:r>
      <w:r>
        <w:rPr>
          <w:i/>
          <w:w w:val="110"/>
          <w:sz w:val="22"/>
        </w:rPr>
        <w:t>God</w:t>
      </w:r>
      <w:r>
        <w:rPr>
          <w:i/>
          <w:spacing w:val="-34"/>
          <w:w w:val="110"/>
          <w:sz w:val="22"/>
        </w:rPr>
        <w:t> </w:t>
      </w:r>
      <w:r>
        <w:rPr>
          <w:i/>
          <w:w w:val="110"/>
          <w:sz w:val="22"/>
        </w:rPr>
        <w:t>in</w:t>
      </w:r>
      <w:r>
        <w:rPr>
          <w:i/>
          <w:spacing w:val="-33"/>
          <w:w w:val="110"/>
          <w:sz w:val="22"/>
        </w:rPr>
        <w:t> </w:t>
      </w:r>
      <w:r>
        <w:rPr>
          <w:i/>
          <w:w w:val="110"/>
          <w:sz w:val="22"/>
        </w:rPr>
        <w:t>Jesus</w:t>
      </w:r>
      <w:r>
        <w:rPr>
          <w:i/>
          <w:spacing w:val="-34"/>
          <w:w w:val="110"/>
          <w:sz w:val="22"/>
        </w:rPr>
        <w:t> </w:t>
      </w:r>
      <w:r>
        <w:rPr>
          <w:i/>
          <w:w w:val="110"/>
          <w:sz w:val="22"/>
        </w:rPr>
        <w:t>Christ.</w:t>
      </w:r>
      <w:r>
        <w:rPr>
          <w:i/>
          <w:spacing w:val="-34"/>
          <w:w w:val="110"/>
          <w:sz w:val="22"/>
        </w:rPr>
        <w:t> </w:t>
      </w:r>
      <w:r>
        <w:rPr>
          <w:i/>
          <w:w w:val="110"/>
          <w:sz w:val="22"/>
        </w:rPr>
        <w:t>It</w:t>
      </w:r>
      <w:r>
        <w:rPr>
          <w:i/>
          <w:spacing w:val="-34"/>
          <w:w w:val="110"/>
          <w:sz w:val="22"/>
        </w:rPr>
        <w:t> </w:t>
      </w:r>
      <w:r>
        <w:rPr>
          <w:i/>
          <w:w w:val="110"/>
          <w:sz w:val="22"/>
        </w:rPr>
        <w:t>is</w:t>
      </w:r>
      <w:r>
        <w:rPr>
          <w:i/>
          <w:spacing w:val="-33"/>
          <w:w w:val="110"/>
          <w:sz w:val="22"/>
        </w:rPr>
        <w:t> </w:t>
      </w:r>
      <w:r>
        <w:rPr>
          <w:i/>
          <w:w w:val="110"/>
          <w:sz w:val="22"/>
        </w:rPr>
        <w:t>about</w:t>
      </w:r>
      <w:r>
        <w:rPr>
          <w:i/>
          <w:spacing w:val="-34"/>
          <w:w w:val="110"/>
          <w:sz w:val="22"/>
        </w:rPr>
        <w:t> </w:t>
      </w:r>
      <w:r>
        <w:rPr>
          <w:i/>
          <w:w w:val="110"/>
          <w:sz w:val="22"/>
        </w:rPr>
        <w:t>giving,</w:t>
      </w:r>
      <w:r>
        <w:rPr>
          <w:i/>
          <w:spacing w:val="-34"/>
          <w:w w:val="110"/>
          <w:sz w:val="22"/>
        </w:rPr>
        <w:t> </w:t>
      </w:r>
      <w:r>
        <w:rPr>
          <w:i/>
          <w:w w:val="110"/>
          <w:sz w:val="22"/>
        </w:rPr>
        <w:t>about</w:t>
      </w:r>
      <w:r>
        <w:rPr>
          <w:i/>
          <w:spacing w:val="-33"/>
          <w:w w:val="110"/>
          <w:sz w:val="22"/>
        </w:rPr>
        <w:t> </w:t>
      </w:r>
      <w:r>
        <w:rPr>
          <w:i/>
          <w:w w:val="110"/>
          <w:sz w:val="22"/>
        </w:rPr>
        <w:t>giving</w:t>
      </w:r>
      <w:r>
        <w:rPr>
          <w:i/>
          <w:spacing w:val="-34"/>
          <w:w w:val="110"/>
          <w:sz w:val="22"/>
        </w:rPr>
        <w:t> </w:t>
      </w:r>
      <w:r>
        <w:rPr>
          <w:i/>
          <w:w w:val="110"/>
          <w:sz w:val="22"/>
        </w:rPr>
        <w:t>ourselves,</w:t>
      </w:r>
      <w:r>
        <w:rPr>
          <w:i/>
          <w:spacing w:val="-34"/>
          <w:w w:val="110"/>
          <w:sz w:val="22"/>
        </w:rPr>
        <w:t> </w:t>
      </w:r>
      <w:r>
        <w:rPr>
          <w:i/>
          <w:w w:val="110"/>
          <w:sz w:val="22"/>
        </w:rPr>
        <w:t>without reserve, to achieve </w:t>
      </w:r>
      <w:r>
        <w:rPr>
          <w:i/>
          <w:spacing w:val="-3"/>
          <w:w w:val="110"/>
          <w:sz w:val="22"/>
        </w:rPr>
        <w:t>God’s </w:t>
      </w:r>
      <w:r>
        <w:rPr>
          <w:i/>
          <w:w w:val="110"/>
          <w:sz w:val="22"/>
        </w:rPr>
        <w:t>purposes of </w:t>
      </w:r>
      <w:r>
        <w:rPr>
          <w:i/>
          <w:spacing w:val="-3"/>
          <w:w w:val="110"/>
          <w:sz w:val="22"/>
        </w:rPr>
        <w:t>love. </w:t>
      </w:r>
      <w:r>
        <w:rPr>
          <w:spacing w:val="3"/>
          <w:w w:val="110"/>
          <w:sz w:val="20"/>
        </w:rPr>
        <w:t>As </w:t>
      </w:r>
      <w:r>
        <w:rPr>
          <w:w w:val="110"/>
          <w:sz w:val="20"/>
        </w:rPr>
        <w:t>such, stewardship embraces our response to all that</w:t>
      </w:r>
      <w:r>
        <w:rPr>
          <w:spacing w:val="16"/>
          <w:w w:val="110"/>
          <w:sz w:val="20"/>
        </w:rPr>
        <w:t> </w:t>
      </w:r>
      <w:r>
        <w:rPr>
          <w:w w:val="110"/>
          <w:sz w:val="20"/>
        </w:rPr>
        <w:t>we</w:t>
      </w:r>
      <w:r>
        <w:rPr>
          <w:spacing w:val="16"/>
          <w:w w:val="110"/>
          <w:sz w:val="20"/>
        </w:rPr>
        <w:t> </w:t>
      </w:r>
      <w:r>
        <w:rPr>
          <w:w w:val="110"/>
          <w:sz w:val="20"/>
        </w:rPr>
        <w:t>receive</w:t>
      </w:r>
      <w:r>
        <w:rPr>
          <w:spacing w:val="16"/>
          <w:w w:val="110"/>
          <w:sz w:val="20"/>
        </w:rPr>
        <w:t> </w:t>
      </w:r>
      <w:r>
        <w:rPr>
          <w:w w:val="110"/>
          <w:sz w:val="20"/>
        </w:rPr>
        <w:t>from</w:t>
      </w:r>
      <w:r>
        <w:rPr>
          <w:spacing w:val="16"/>
          <w:w w:val="110"/>
          <w:sz w:val="20"/>
        </w:rPr>
        <w:t> </w:t>
      </w:r>
      <w:r>
        <w:rPr>
          <w:w w:val="110"/>
          <w:sz w:val="20"/>
        </w:rPr>
        <w:t>God:</w:t>
      </w:r>
      <w:r>
        <w:rPr>
          <w:spacing w:val="16"/>
          <w:w w:val="110"/>
          <w:sz w:val="20"/>
        </w:rPr>
        <w:t> </w:t>
      </w:r>
      <w:r>
        <w:rPr>
          <w:w w:val="110"/>
          <w:sz w:val="20"/>
        </w:rPr>
        <w:t>the</w:t>
      </w:r>
      <w:r>
        <w:rPr>
          <w:spacing w:val="16"/>
          <w:w w:val="110"/>
          <w:sz w:val="20"/>
        </w:rPr>
        <w:t> </w:t>
      </w:r>
      <w:r>
        <w:rPr>
          <w:w w:val="110"/>
          <w:sz w:val="20"/>
        </w:rPr>
        <w:t>gospel,</w:t>
      </w:r>
      <w:r>
        <w:rPr>
          <w:spacing w:val="16"/>
          <w:w w:val="110"/>
          <w:sz w:val="20"/>
        </w:rPr>
        <w:t> </w:t>
      </w:r>
      <w:r>
        <w:rPr>
          <w:w w:val="110"/>
          <w:sz w:val="20"/>
        </w:rPr>
        <w:t>time,</w:t>
      </w:r>
      <w:r>
        <w:rPr>
          <w:spacing w:val="16"/>
          <w:w w:val="110"/>
          <w:sz w:val="20"/>
        </w:rPr>
        <w:t> </w:t>
      </w:r>
      <w:r>
        <w:rPr>
          <w:w w:val="110"/>
          <w:sz w:val="20"/>
        </w:rPr>
        <w:t>creation,</w:t>
      </w:r>
      <w:r>
        <w:rPr>
          <w:spacing w:val="16"/>
          <w:w w:val="110"/>
          <w:sz w:val="20"/>
        </w:rPr>
        <w:t> </w:t>
      </w:r>
      <w:r>
        <w:rPr>
          <w:w w:val="110"/>
          <w:sz w:val="20"/>
        </w:rPr>
        <w:t>money,</w:t>
      </w:r>
      <w:r>
        <w:rPr>
          <w:spacing w:val="16"/>
          <w:w w:val="110"/>
          <w:sz w:val="20"/>
        </w:rPr>
        <w:t> </w:t>
      </w:r>
      <w:r>
        <w:rPr>
          <w:w w:val="110"/>
          <w:sz w:val="20"/>
        </w:rPr>
        <w:t>etc.</w:t>
      </w:r>
    </w:p>
    <w:p>
      <w:pPr>
        <w:pStyle w:val="BodyText"/>
        <w:spacing w:before="8"/>
        <w:rPr>
          <w:sz w:val="19"/>
        </w:rPr>
      </w:pPr>
    </w:p>
    <w:p>
      <w:pPr>
        <w:pStyle w:val="ListParagraph"/>
        <w:numPr>
          <w:ilvl w:val="1"/>
          <w:numId w:val="134"/>
        </w:numPr>
        <w:tabs>
          <w:tab w:pos="2704" w:val="left" w:leader="none"/>
          <w:tab w:pos="2705" w:val="left" w:leader="none"/>
        </w:tabs>
        <w:spacing w:line="235" w:lineRule="auto" w:before="1" w:after="0"/>
        <w:ind w:left="1984" w:right="1136" w:firstLine="0"/>
        <w:jc w:val="left"/>
        <w:rPr>
          <w:sz w:val="20"/>
        </w:rPr>
      </w:pPr>
      <w:r>
        <w:rPr>
          <w:w w:val="120"/>
          <w:sz w:val="20"/>
        </w:rPr>
        <w:t>The Stewardship sub-committee aims to explore and develop various resources through which it can support and facilitate individuals and churches in the way that they understand stewardship and hence respond to God. It sees its role as helping churches   to achieve their goals, whilst imparting the message that appropriate stewardship of everything, not just money, should be at the core of church activity. It is not promoting a programme that churches sign up </w:t>
      </w:r>
      <w:r>
        <w:rPr>
          <w:spacing w:val="-3"/>
          <w:w w:val="120"/>
          <w:sz w:val="20"/>
        </w:rPr>
        <w:t>to, </w:t>
      </w:r>
      <w:r>
        <w:rPr>
          <w:w w:val="120"/>
          <w:sz w:val="20"/>
        </w:rPr>
        <w:t>but rather a support network to underpin the work that churches are already doing or would like to do. Resources will be disseminated via electronic means wherever</w:t>
      </w:r>
      <w:r>
        <w:rPr>
          <w:spacing w:val="6"/>
          <w:w w:val="120"/>
          <w:sz w:val="20"/>
        </w:rPr>
        <w:t> </w:t>
      </w:r>
      <w:r>
        <w:rPr>
          <w:w w:val="120"/>
          <w:sz w:val="20"/>
        </w:rPr>
        <w:t>possible.</w:t>
      </w:r>
    </w:p>
    <w:p>
      <w:pPr>
        <w:pStyle w:val="BodyText"/>
        <w:spacing w:before="11"/>
        <w:rPr>
          <w:sz w:val="17"/>
        </w:rPr>
      </w:pPr>
    </w:p>
    <w:p>
      <w:pPr>
        <w:numPr>
          <w:ilvl w:val="0"/>
          <w:numId w:val="134"/>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The Future</w:t>
      </w:r>
      <w:r>
        <w:rPr>
          <w:rFonts w:ascii="Stone Sans II ITC Std Bk"/>
          <w:b/>
          <w:spacing w:val="-3"/>
          <w:w w:val="115"/>
          <w:sz w:val="21"/>
        </w:rPr>
        <w:t> </w:t>
      </w:r>
      <w:r>
        <w:rPr>
          <w:rFonts w:ascii="Stone Sans II ITC Std Bk"/>
          <w:b/>
          <w:w w:val="115"/>
          <w:sz w:val="21"/>
        </w:rPr>
        <w:t>Story</w:t>
      </w:r>
    </w:p>
    <w:p>
      <w:pPr>
        <w:pStyle w:val="BodyText"/>
        <w:spacing w:line="235" w:lineRule="auto" w:before="222"/>
        <w:ind w:left="1984" w:right="1555"/>
      </w:pPr>
      <w:r>
        <w:rPr>
          <w:w w:val="120"/>
        </w:rPr>
        <w:t>The Finance Committee also sees a clear need for some wider thinking about the way the Church uses its resources over the medium to long term. Not all current trends are sustainable, but our total assets remain very large, especially if we include</w:t>
      </w:r>
      <w:r>
        <w:rPr>
          <w:spacing w:val="13"/>
          <w:w w:val="120"/>
        </w:rPr>
        <w:t> </w:t>
      </w:r>
      <w:r>
        <w:rPr>
          <w:w w:val="120"/>
        </w:rPr>
        <w:t>our</w:t>
      </w:r>
    </w:p>
    <w:p>
      <w:pPr>
        <w:pStyle w:val="BodyText"/>
        <w:spacing w:line="235" w:lineRule="auto" w:before="2"/>
        <w:ind w:left="1984" w:right="1273"/>
      </w:pPr>
      <w:r>
        <w:rPr>
          <w:w w:val="120"/>
        </w:rPr>
        <w:t>investment in buildings. The Committee therefore very much welcomes the initiative of the two incoming Moderators of Assembly to set up a Think Tank to explore creatively and positively these issues.</w:t>
      </w:r>
    </w:p>
    <w:p>
      <w:pPr>
        <w:pStyle w:val="BodyText"/>
      </w:pPr>
    </w:p>
    <w:p>
      <w:pPr>
        <w:pStyle w:val="BodyText"/>
      </w:pPr>
    </w:p>
    <w:p>
      <w:pPr>
        <w:pStyle w:val="BodyText"/>
      </w:pPr>
    </w:p>
    <w:p>
      <w:pPr>
        <w:pStyle w:val="BodyText"/>
      </w:pPr>
    </w:p>
    <w:p>
      <w:pPr>
        <w:pStyle w:val="BodyText"/>
        <w:spacing w:before="12"/>
      </w:pPr>
      <w:r>
        <w:rPr/>
        <w:pict>
          <v:shape style="position:absolute;margin-left:99.212601pt;margin-top:21.078798pt;width:183.85pt;height:.1pt;mso-position-horizontal-relative:page;mso-position-vertical-relative:paragraph;z-index:-251236352;mso-wrap-distance-left:0;mso-wrap-distance-right:0" coordorigin="1984,422" coordsize="3677,0" path="m1984,422l5661,422e" filled="false" stroked="true" strokeweight=".5pt" strokecolor="#8ba8bd">
            <v:path arrowok="t"/>
            <v:stroke dashstyle="solid"/>
            <w10:wrap type="topAndBottom"/>
          </v:shape>
        </w:pict>
      </w:r>
      <w:r>
        <w:rPr/>
        <w:pict>
          <v:rect style="position:absolute;margin-left:293.385986pt;margin-top:14.757399pt;width:13.721pt;height:13.721pt;mso-position-horizontal-relative:page;mso-position-vertical-relative:paragraph;z-index:-251235328;mso-wrap-distance-left:0;mso-wrap-distance-right:0" filled="true" fillcolor="#8ba8bd" stroked="false">
            <v:fill type="solid"/>
            <w10:wrap type="topAndBottom"/>
          </v:rect>
        </w:pict>
      </w:r>
      <w:r>
        <w:rPr/>
        <w:pict>
          <v:rect style="position:absolute;margin-left:311.822998pt;margin-top:14.757399pt;width:13.721pt;height:13.721pt;mso-position-horizontal-relative:page;mso-position-vertical-relative:paragraph;z-index:-251234304;mso-wrap-distance-left:0;mso-wrap-distance-right:0" filled="true" fillcolor="#c2d2df" stroked="false">
            <v:fill type="solid"/>
            <w10:wrap type="topAndBottom"/>
          </v:rect>
        </w:pict>
      </w:r>
      <w:r>
        <w:rPr/>
        <w:pict>
          <v:rect style="position:absolute;margin-left:330.688995pt;margin-top:14.757399pt;width:13.721pt;height:13.721pt;mso-position-horizontal-relative:page;mso-position-vertical-relative:paragraph;z-index:-251233280;mso-wrap-distance-left:0;mso-wrap-distance-right:0" filled="true" fillcolor="#dae4ec" stroked="false">
            <v:fill opacity="32768f" type="solid"/>
            <w10:wrap type="topAndBottom"/>
          </v:rect>
        </w:pict>
      </w:r>
      <w:r>
        <w:rPr/>
        <w:pict>
          <v:shape style="position:absolute;margin-left:354.235992pt;margin-top:21.078798pt;width:184.35pt;height:.1pt;mso-position-horizontal-relative:page;mso-position-vertical-relative:paragraph;z-index:-251232256;mso-wrap-distance-left:0;mso-wrap-distance-right:0" coordorigin="7085,422" coordsize="3687,0" path="m7085,422l10772,422e" filled="false" stroked="true" strokeweight=".5pt" strokecolor="#8ba8bd">
            <v:path arrowok="t"/>
            <v:stroke dashstyle="solid"/>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5"/>
        </w:rPr>
      </w:pPr>
    </w:p>
    <w:p>
      <w:pPr>
        <w:tabs>
          <w:tab w:pos="10630" w:val="left" w:leader="none"/>
        </w:tabs>
        <w:spacing w:before="97"/>
        <w:ind w:left="4684"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10"/>
          <w:sz w:val="24"/>
        </w:rPr>
        <w:t>137</w:t>
      </w:r>
    </w:p>
    <w:p>
      <w:pPr>
        <w:spacing w:after="0"/>
        <w:jc w:val="left"/>
        <w:rPr>
          <w:rFonts w:ascii="Stone Sans II ITC Std X Bd" w:hAnsi="Stone Sans II ITC Std X Bd"/>
          <w:sz w:val="24"/>
        </w:rPr>
        <w:sectPr>
          <w:type w:val="continuous"/>
          <w:pgSz w:w="11910" w:h="16840"/>
          <w:pgMar w:top="860" w:bottom="280" w:left="0" w:right="0"/>
        </w:sectPr>
      </w:pPr>
    </w:p>
    <w:p>
      <w:pPr>
        <w:pStyle w:val="BodyText"/>
        <w:rPr>
          <w:rFonts w:ascii="Stone Sans II ITC Std X Bd"/>
          <w:b/>
        </w:rPr>
      </w:pPr>
      <w:r>
        <w:rPr/>
        <w:pict>
          <v:group style="position:absolute;margin-left:-.000001pt;margin-top:-.00001pt;width:595.3pt;height:841.9pt;mso-position-horizontal-relative:page;mso-position-vertical-relative:page;z-index:-267336704" coordorigin="0,0" coordsize="11906,16838">
            <v:shape style="position:absolute;left:0;top:0;width:11906;height:16838" type="#_x0000_t75" stroked="false">
              <v:imagedata r:id="rId325" o:title=""/>
            </v:shape>
            <v:shape style="position:absolute;left:880;top:2815;width:9665;height:11758" type="#_x0000_t75" stroked="false">
              <v:imagedata r:id="rId326" o:title=""/>
            </v:shape>
            <v:rect style="position:absolute;left:0;top:0;width:10202;height:4587" filled="true" fillcolor="#000000" stroked="false">
              <v:fill opacity="30801f" type="solid"/>
            </v:rect>
            <v:shape style="position:absolute;left:0;top:0;width:9245;height:4165" coordorigin="0,0" coordsize="9245,4165" path="m9244,0l5566,0,0,2507,0,4164,9244,0xe" filled="true" fillcolor="#c20d19" stroked="false">
              <v:path arrowok="t"/>
              <v:fill type="solid"/>
            </v:shape>
            <v:shape style="position:absolute;left:0;top:0;width:9170;height:4131" coordorigin="0,0" coordsize="9170,4131" path="m9169,0l5470,0,0,2464,0,4130,9169,0xe" filled="true" fillcolor="#ffffff" stroked="false">
              <v:path arrowok="t"/>
              <v:fill opacity="49152f" type="solid"/>
            </v:shape>
            <v:shape style="position:absolute;left:0;top:0;width:9328;height:4202" coordorigin="0,0" coordsize="9328,4202" path="m9327,0l5558,0,0,2504,0,4202,9327,0xe" filled="true" fillcolor="#000000" stroked="false">
              <v:path arrowok="t"/>
              <v:fill opacity="32112f" type="solid"/>
            </v:shape>
            <w10:wrap type="none"/>
          </v:group>
        </w:pict>
      </w:r>
      <w:r>
        <w:rPr/>
        <w:pict>
          <v:shape style="position:absolute;margin-left:53.138977pt;margin-top:69.080322pt;width:207.55pt;height:9.9pt;mso-position-horizontal-relative:page;mso-position-vertical-relative:page;z-index:252088320;rotation:336" type="#_x0000_t136" fillcolor="#ffffff" stroked="f">
            <o:extrusion v:ext="view" autorotationcenter="t"/>
            <v:textpath style="font-family:&quot;Myriad Pro&quot;;font-size:9pt;v-text-kern:t;mso-text-shadow:auto;font-weight:bold" string="Check out the United Reformed Church"/>
            <w10:wrap type="none"/>
          </v:shape>
        </w:pict>
      </w:r>
      <w:r>
        <w:rPr/>
        <w:pict>
          <v:shape style="position:absolute;margin-left:71.893013pt;margin-top:80.015823pt;width:179.95pt;height:9.9pt;mso-position-horizontal-relative:page;mso-position-vertical-relative:page;z-index:252089344;rotation:336" type="#_x0000_t136" fillcolor="#ffffff" stroked="f">
            <o:extrusion v:ext="view" autorotationcenter="t"/>
            <v:textpath style="font-family:&quot;Myriad Pro&quot;;font-size:9pt;v-text-kern:t;mso-text-shadow:auto;font-weight:bold" string="website for the latest information"/>
            <w10:wrap type="none"/>
          </v:shape>
        </w:pict>
      </w:r>
      <w:r>
        <w:rPr/>
        <w:pict>
          <v:shape style="position:absolute;margin-left:60.436356pt;margin-top:91.086349pt;width:220.05pt;height:26.1pt;mso-position-horizontal-relative:page;mso-position-vertical-relative:page;z-index:252090368;rotation:336" type="#_x0000_t136" fillcolor="#ffffff" stroked="f">
            <o:extrusion v:ext="view" autorotationcenter="t"/>
            <v:textpath style="font-family:&quot;Myriad Pro&quot;;font-size:26pt;v-text-kern:t;mso-text-shadow:auto;font-weight:bold" string="www.urc.org.uk"/>
            <w10:wrap type="none"/>
          </v:shape>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sz w:val="14"/>
        </w:rPr>
      </w:pPr>
    </w:p>
    <w:p>
      <w:pPr>
        <w:tabs>
          <w:tab w:pos="1529" w:val="left" w:leader="none"/>
        </w:tabs>
        <w:spacing w:before="97"/>
        <w:ind w:left="793" w:right="0" w:firstLine="0"/>
        <w:jc w:val="left"/>
        <w:rPr>
          <w:sz w:val="23"/>
        </w:rPr>
      </w:pPr>
      <w:r>
        <w:rPr>
          <w:rFonts w:ascii="Stone Sans II ITC Std X Bd" w:hAnsi="Stone Sans II ITC Std X Bd"/>
          <w:b/>
          <w:color w:val="FFFFFF"/>
          <w:w w:val="110"/>
          <w:sz w:val="24"/>
        </w:rPr>
        <w:t>138</w:t>
        <w:tab/>
      </w:r>
      <w:r>
        <w:rPr>
          <w:rFonts w:ascii="Symbol" w:hAnsi="Symbol"/>
          <w:color w:val="FFFFFF"/>
          <w:w w:val="110"/>
          <w:sz w:val="23"/>
        </w:rPr>
        <w:t></w:t>
      </w:r>
      <w:r>
        <w:rPr>
          <w:rFonts w:ascii="Times New Roman" w:hAnsi="Times New Roman"/>
          <w:color w:val="FFFFFF"/>
          <w:w w:val="110"/>
          <w:sz w:val="23"/>
        </w:rPr>
        <w:t> </w:t>
      </w: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5"/>
          <w:w w:val="110"/>
          <w:sz w:val="23"/>
        </w:rPr>
        <w:t> </w:t>
      </w:r>
      <w:r>
        <w:rPr>
          <w:color w:val="FFFFFF"/>
          <w:w w:val="110"/>
          <w:sz w:val="23"/>
        </w:rPr>
        <w:t>2010</w:t>
      </w:r>
    </w:p>
    <w:p>
      <w:pPr>
        <w:spacing w:after="0"/>
        <w:jc w:val="left"/>
        <w:rPr>
          <w:sz w:val="23"/>
        </w:rPr>
        <w:sectPr>
          <w:headerReference w:type="even" r:id="rId323"/>
          <w:footerReference w:type="even" r:id="rId324"/>
          <w:pgSz w:w="11910" w:h="16840"/>
          <w:pgMar w:header="0" w:footer="0" w:top="0" w:bottom="280" w:left="0" w:right="0"/>
        </w:sectPr>
      </w:pPr>
    </w:p>
    <w:p>
      <w:pPr>
        <w:pStyle w:val="BodyText"/>
      </w:pPr>
      <w:r>
        <w:rPr/>
        <w:pict>
          <v:rect style="position:absolute;margin-left:0pt;margin-top:.000015pt;width:595.275pt;height:841.89pt;mso-position-horizontal-relative:page;mso-position-vertical-relative:page;z-index:-267332608" filled="true" fillcolor="#8ba8bd" stroked="false">
            <v:fill type="solid"/>
            <w10:wrap type="none"/>
          </v:rect>
        </w:pict>
      </w:r>
      <w:r>
        <w:rPr/>
        <w:pict>
          <v:group style="position:absolute;margin-left:75.826797pt;margin-top:.000015pt;width:519.4500pt;height:790.9pt;mso-position-horizontal-relative:page;mso-position-vertical-relative:page;z-index:-267331584"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017;width:8049;height:10255" coordorigin="2014,1018" coordsize="8049,10255" path="m2254,1018l2251,1156,2224,1228,2153,1254,2014,1258,2014,11032,2153,11036,2224,11062,2251,11133,2254,11272,9823,11272,9827,11133,9853,11062,9924,11036,10063,11032,10063,1258,9924,1254,9853,1228,9827,1156,9823,1018,2254,1018xe" filled="false" stroked="true" strokeweight="1pt" strokecolor="#8ba8bd">
              <v:path arrowok="t"/>
              <v:stroke dashstyle="solid"/>
            </v:shape>
            <w10:wrap type="none"/>
          </v:group>
        </w:pict>
      </w:r>
      <w:r>
        <w:rPr/>
        <w:drawing>
          <wp:anchor distT="0" distB="0" distL="0" distR="0" allowOverlap="1" layoutInCell="1" locked="0" behindDoc="0" simplePos="0" relativeHeight="252093440">
            <wp:simplePos x="0" y="0"/>
            <wp:positionH relativeFrom="page">
              <wp:posOffset>0</wp:posOffset>
            </wp:positionH>
            <wp:positionV relativeFrom="page">
              <wp:posOffset>0</wp:posOffset>
            </wp:positionV>
            <wp:extent cx="25311" cy="10692002"/>
            <wp:effectExtent l="0" t="0" r="0" b="0"/>
            <wp:wrapNone/>
            <wp:docPr id="133" name="image136.png"/>
            <wp:cNvGraphicFramePr>
              <a:graphicFrameLocks noChangeAspect="1"/>
            </wp:cNvGraphicFramePr>
            <a:graphic>
              <a:graphicData uri="http://schemas.openxmlformats.org/drawingml/2006/picture">
                <pic:pic>
                  <pic:nvPicPr>
                    <pic:cNvPr id="134" name="image136.png"/>
                    <pic:cNvPicPr/>
                  </pic:nvPicPr>
                  <pic:blipFill>
                    <a:blip r:embed="rId330" cstate="print"/>
                    <a:stretch>
                      <a:fillRect/>
                    </a:stretch>
                  </pic:blipFill>
                  <pic:spPr>
                    <a:xfrm>
                      <a:off x="0" y="0"/>
                      <a:ext cx="25311" cy="10692002"/>
                    </a:xfrm>
                    <a:prstGeom prst="rect">
                      <a:avLst/>
                    </a:prstGeom>
                  </pic:spPr>
                </pic:pic>
              </a:graphicData>
            </a:graphic>
          </wp:anchor>
        </w:drawing>
      </w:r>
    </w:p>
    <w:p>
      <w:pPr>
        <w:pStyle w:val="BodyText"/>
      </w:pPr>
    </w:p>
    <w:p>
      <w:pPr>
        <w:pStyle w:val="BodyText"/>
      </w:pPr>
    </w:p>
    <w:p>
      <w:pPr>
        <w:pStyle w:val="BodyText"/>
      </w:pPr>
    </w:p>
    <w:p>
      <w:pPr>
        <w:pStyle w:val="BodyText"/>
        <w:spacing w:before="6"/>
        <w:rPr>
          <w:sz w:val="23"/>
        </w:rPr>
      </w:pPr>
    </w:p>
    <w:p>
      <w:pPr>
        <w:spacing w:line="216" w:lineRule="auto" w:before="111"/>
        <w:ind w:left="2381" w:right="2394" w:firstLine="0"/>
        <w:jc w:val="left"/>
        <w:rPr>
          <w:rFonts w:ascii="Stone Sans II ITC Std Sm" w:hAnsi="Stone Sans II ITC Std Sm"/>
          <w:b/>
          <w:sz w:val="18"/>
        </w:rPr>
      </w:pPr>
      <w:r>
        <w:rPr/>
        <w:pict>
          <v:shape style="position:absolute;margin-left:512.587891pt;margin-top:-8.37862pt;width:47.4pt;height:195.25pt;mso-position-horizontal-relative:page;mso-position-vertical-relative:paragraph;z-index:-267329536"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8"/>
                      <w:w w:val="110"/>
                      <w:sz w:val="72"/>
                    </w:rPr>
                    <w:t>Ministries</w:t>
                  </w:r>
                </w:p>
              </w:txbxContent>
            </v:textbox>
            <w10:wrap type="none"/>
          </v:shape>
        </w:pict>
      </w:r>
      <w:r>
        <w:rPr>
          <w:rFonts w:ascii="Stone Sans II ITC Std Sm" w:hAnsi="Stone Sans II ITC Std Sm"/>
          <w:b/>
          <w:w w:val="110"/>
          <w:sz w:val="18"/>
        </w:rPr>
        <w:t>The Committee is responsible for the Ministry of Word and Sacrament, Church Related Community Work and Lay Preaching. It is concerned with central care and conditions of service, chaplaincies in industry, higher and further education and in the armed forces and ‘special category’ ministry. It has concern for the pastoral support of ministers, church related community workers and lay preachers, including supervision, appraisal, self-evaluation and counselling. It oversees the work of the </w:t>
      </w:r>
      <w:r>
        <w:rPr>
          <w:rFonts w:ascii="Stone Sans II ITC Std Bk" w:hAnsi="Stone Sans II ITC Std Bk"/>
          <w:b/>
          <w:w w:val="110"/>
          <w:sz w:val="18"/>
        </w:rPr>
        <w:t>Assessment Board. </w:t>
      </w:r>
      <w:r>
        <w:rPr>
          <w:rFonts w:ascii="Stone Sans II ITC Std Sm" w:hAnsi="Stone Sans II ITC Std Sm"/>
          <w:b/>
          <w:w w:val="110"/>
          <w:sz w:val="18"/>
        </w:rPr>
        <w:t>It is assisted by five</w:t>
      </w:r>
      <w:r>
        <w:rPr>
          <w:rFonts w:ascii="Stone Sans II ITC Std Sm" w:hAnsi="Stone Sans II ITC Std Sm"/>
          <w:b/>
          <w:spacing w:val="1"/>
          <w:w w:val="110"/>
          <w:sz w:val="18"/>
        </w:rPr>
        <w:t> </w:t>
      </w:r>
      <w:r>
        <w:rPr>
          <w:rFonts w:ascii="Stone Sans II ITC Std Sm" w:hAnsi="Stone Sans II ITC Std Sm"/>
          <w:b/>
          <w:w w:val="110"/>
          <w:sz w:val="18"/>
        </w:rPr>
        <w:t>sub-committees.</w:t>
      </w:r>
    </w:p>
    <w:p>
      <w:pPr>
        <w:pStyle w:val="BodyText"/>
        <w:spacing w:before="13"/>
        <w:rPr>
          <w:rFonts w:ascii="Stone Sans II ITC Std Sm"/>
          <w:b/>
          <w:sz w:val="16"/>
        </w:rPr>
      </w:pPr>
    </w:p>
    <w:p>
      <w:pPr>
        <w:spacing w:line="237" w:lineRule="exact" w:before="0"/>
        <w:ind w:left="2381" w:right="0" w:firstLine="0"/>
        <w:jc w:val="left"/>
        <w:rPr>
          <w:rFonts w:ascii="Stone Sans II ITC Std Bk"/>
          <w:b/>
          <w:sz w:val="18"/>
        </w:rPr>
      </w:pPr>
      <w:r>
        <w:rPr>
          <w:rFonts w:ascii="Stone Sans II ITC Std Bk"/>
          <w:b/>
          <w:w w:val="110"/>
          <w:sz w:val="18"/>
        </w:rPr>
        <w:t>Accreditation sub-committee</w:t>
      </w:r>
    </w:p>
    <w:p>
      <w:pPr>
        <w:spacing w:line="240" w:lineRule="auto" w:before="0"/>
        <w:ind w:left="2381" w:right="2573" w:firstLine="0"/>
        <w:jc w:val="left"/>
        <w:rPr>
          <w:sz w:val="18"/>
        </w:rPr>
      </w:pPr>
      <w:r>
        <w:rPr>
          <w:w w:val="120"/>
          <w:sz w:val="18"/>
        </w:rPr>
        <w:t>Maintaining the roll of ministers, this sub-committee accredits those applying for inclusion after training and those coming from other denominations. It is</w:t>
      </w:r>
    </w:p>
    <w:p>
      <w:pPr>
        <w:spacing w:before="0"/>
        <w:ind w:left="2381" w:right="1997" w:firstLine="0"/>
        <w:jc w:val="left"/>
        <w:rPr>
          <w:sz w:val="18"/>
        </w:rPr>
      </w:pPr>
      <w:r>
        <w:rPr>
          <w:w w:val="120"/>
          <w:sz w:val="18"/>
        </w:rPr>
        <w:t>concerned with numbers and recruitment. It also deals with applications for Special Category Ministries.</w:t>
      </w:r>
    </w:p>
    <w:p>
      <w:pPr>
        <w:pStyle w:val="BodyText"/>
        <w:spacing w:before="8"/>
        <w:rPr>
          <w:sz w:val="16"/>
        </w:rPr>
      </w:pPr>
    </w:p>
    <w:p>
      <w:pPr>
        <w:spacing w:line="237" w:lineRule="exact" w:before="0"/>
        <w:ind w:left="2381" w:right="0" w:firstLine="0"/>
        <w:jc w:val="left"/>
        <w:rPr>
          <w:rFonts w:ascii="Stone Sans II ITC Std Bk"/>
          <w:b/>
          <w:sz w:val="18"/>
        </w:rPr>
      </w:pPr>
      <w:r>
        <w:rPr>
          <w:rFonts w:ascii="Stone Sans II ITC Std Bk"/>
          <w:b/>
          <w:w w:val="110"/>
          <w:sz w:val="18"/>
        </w:rPr>
        <w:t>Church Related Community Work Programme sub-committee</w:t>
      </w:r>
    </w:p>
    <w:p>
      <w:pPr>
        <w:spacing w:line="240" w:lineRule="auto" w:before="0"/>
        <w:ind w:left="2381" w:right="2394" w:firstLine="0"/>
        <w:jc w:val="left"/>
        <w:rPr>
          <w:sz w:val="18"/>
        </w:rPr>
      </w:pPr>
      <w:r>
        <w:rPr>
          <w:w w:val="120"/>
          <w:sz w:val="18"/>
        </w:rPr>
        <w:t>It is responsible for supporting the Church Related  Community  Work  Ministry and Programme under the terms agreed in the Church Related Community Work Covenant. This includes the accreditation of Churches-in-Community</w:t>
      </w:r>
    </w:p>
    <w:p>
      <w:pPr>
        <w:pStyle w:val="BodyText"/>
        <w:spacing w:before="8"/>
        <w:rPr>
          <w:sz w:val="16"/>
        </w:rPr>
      </w:pPr>
    </w:p>
    <w:p>
      <w:pPr>
        <w:spacing w:line="237" w:lineRule="exact" w:before="0"/>
        <w:ind w:left="2381" w:right="0" w:firstLine="0"/>
        <w:jc w:val="left"/>
        <w:rPr>
          <w:rFonts w:ascii="Stone Sans II ITC Std Bk"/>
          <w:b/>
          <w:sz w:val="18"/>
        </w:rPr>
      </w:pPr>
      <w:r>
        <w:rPr>
          <w:rFonts w:ascii="Stone Sans II ITC Std Bk"/>
          <w:b/>
          <w:w w:val="110"/>
          <w:sz w:val="18"/>
        </w:rPr>
        <w:t>Leadership in Worship sub-committee</w:t>
      </w:r>
    </w:p>
    <w:p>
      <w:pPr>
        <w:spacing w:line="240" w:lineRule="auto" w:before="0"/>
        <w:ind w:left="2381" w:right="1997" w:firstLine="0"/>
        <w:jc w:val="left"/>
        <w:rPr>
          <w:sz w:val="18"/>
        </w:rPr>
      </w:pPr>
      <w:r>
        <w:rPr>
          <w:w w:val="120"/>
          <w:sz w:val="18"/>
        </w:rPr>
        <w:t>It is responsible for the advocacy of lay preaching and support of those who lead worship in the United Reformed Church.</w:t>
      </w:r>
    </w:p>
    <w:p>
      <w:pPr>
        <w:pStyle w:val="BodyText"/>
        <w:spacing w:before="8"/>
        <w:rPr>
          <w:sz w:val="16"/>
        </w:rPr>
      </w:pPr>
    </w:p>
    <w:p>
      <w:pPr>
        <w:spacing w:line="237" w:lineRule="exact" w:before="0"/>
        <w:ind w:left="2381" w:right="0" w:firstLine="0"/>
        <w:jc w:val="left"/>
        <w:rPr>
          <w:rFonts w:ascii="Stone Sans II ITC Std Bk"/>
          <w:b/>
          <w:sz w:val="18"/>
        </w:rPr>
      </w:pPr>
      <w:r>
        <w:rPr>
          <w:rFonts w:ascii="Stone Sans II ITC Std Bk"/>
          <w:b/>
          <w:w w:val="110"/>
          <w:sz w:val="18"/>
        </w:rPr>
        <w:t>Maintenance of the Ministry sub-committee</w:t>
      </w:r>
    </w:p>
    <w:p>
      <w:pPr>
        <w:spacing w:line="240" w:lineRule="auto" w:before="0"/>
        <w:ind w:left="2381" w:right="2573" w:firstLine="0"/>
        <w:jc w:val="left"/>
        <w:rPr>
          <w:sz w:val="18"/>
        </w:rPr>
      </w:pPr>
      <w:r>
        <w:rPr>
          <w:w w:val="120"/>
          <w:sz w:val="18"/>
        </w:rPr>
        <w:t>Advises on the level of stipend and ministers’ conditions of service through the Plan for Partnership. It is also concerned for pensions through its associated Pensions Executive.</w:t>
      </w:r>
    </w:p>
    <w:p>
      <w:pPr>
        <w:pStyle w:val="BodyText"/>
        <w:spacing w:before="8"/>
        <w:rPr>
          <w:sz w:val="16"/>
        </w:rPr>
      </w:pPr>
    </w:p>
    <w:p>
      <w:pPr>
        <w:spacing w:line="237" w:lineRule="exact" w:before="0"/>
        <w:ind w:left="2381" w:right="0" w:firstLine="0"/>
        <w:jc w:val="left"/>
        <w:rPr>
          <w:rFonts w:ascii="Stone Sans II ITC Std Bk"/>
          <w:b/>
          <w:sz w:val="18"/>
        </w:rPr>
      </w:pPr>
      <w:r>
        <w:rPr>
          <w:rFonts w:ascii="Stone Sans II ITC Std Bk"/>
          <w:b/>
          <w:w w:val="110"/>
          <w:sz w:val="18"/>
        </w:rPr>
        <w:t>Retired Ministers Housing sub-committee</w:t>
      </w:r>
    </w:p>
    <w:p>
      <w:pPr>
        <w:spacing w:line="261" w:lineRule="auto" w:before="0"/>
        <w:ind w:left="2381" w:right="2573" w:firstLine="0"/>
        <w:jc w:val="left"/>
        <w:rPr>
          <w:sz w:val="18"/>
        </w:rPr>
      </w:pPr>
      <w:r>
        <w:rPr>
          <w:w w:val="120"/>
          <w:sz w:val="18"/>
        </w:rPr>
        <w:t>Works in Association with the United Reformed Church Ministers Housing Society Ltd.</w:t>
      </w:r>
    </w:p>
    <w:p>
      <w:pPr>
        <w:pStyle w:val="BodyText"/>
        <w:rPr>
          <w:sz w:val="22"/>
        </w:rPr>
      </w:pPr>
    </w:p>
    <w:p>
      <w:pPr>
        <w:spacing w:line="232" w:lineRule="exact" w:before="175"/>
        <w:ind w:left="2381" w:right="0" w:firstLine="0"/>
        <w:jc w:val="left"/>
        <w:rPr>
          <w:sz w:val="18"/>
        </w:rPr>
      </w:pPr>
      <w:r>
        <w:rPr>
          <w:rFonts w:ascii="Stone Sans II ITC Std Bk"/>
          <w:b/>
          <w:w w:val="115"/>
          <w:sz w:val="18"/>
        </w:rPr>
        <w:t>Convener: </w:t>
      </w:r>
      <w:r>
        <w:rPr>
          <w:w w:val="115"/>
          <w:sz w:val="18"/>
        </w:rPr>
        <w:t>Peter Poulter</w:t>
      </w:r>
    </w:p>
    <w:p>
      <w:pPr>
        <w:spacing w:line="220" w:lineRule="exact" w:before="0"/>
        <w:ind w:left="2381" w:right="0" w:firstLine="0"/>
        <w:jc w:val="left"/>
        <w:rPr>
          <w:sz w:val="18"/>
        </w:rPr>
      </w:pPr>
      <w:r>
        <w:rPr>
          <w:rFonts w:ascii="Stone Sans II ITC Std Bk"/>
          <w:b/>
          <w:w w:val="120"/>
          <w:sz w:val="18"/>
        </w:rPr>
        <w:t>Secretary: </w:t>
      </w:r>
      <w:r>
        <w:rPr>
          <w:w w:val="120"/>
          <w:sz w:val="18"/>
        </w:rPr>
        <w:t>Craig Bowman</w:t>
      </w:r>
    </w:p>
    <w:p>
      <w:pPr>
        <w:spacing w:line="237" w:lineRule="auto" w:before="0"/>
        <w:ind w:left="2381" w:right="2191" w:firstLine="0"/>
        <w:jc w:val="left"/>
        <w:rPr>
          <w:sz w:val="18"/>
        </w:rPr>
      </w:pPr>
      <w:r>
        <w:rPr>
          <w:rFonts w:ascii="Stone Sans II ITC Std Bk" w:hAnsi="Stone Sans II ITC Std Bk"/>
          <w:b/>
          <w:w w:val="120"/>
          <w:sz w:val="18"/>
        </w:rPr>
        <w:t>Committee members: </w:t>
      </w:r>
      <w:r>
        <w:rPr>
          <w:w w:val="120"/>
          <w:sz w:val="18"/>
        </w:rPr>
        <w:t>Yolande Burns, Brenda Jesse, Helen Renner, David Skitt, Kevin Watson, Ruth Whitehead, David Bedford (Convener of the Retired Ministers’ Housing sub-committee), Graham Campling (Convener of the Assessment Board), Jan Harper (Convener of the Leadership in Worship sub-committee), Tony Haws (Convener of the Maintenance of the Ministry sub-committee), Geoff Townsend (Convener of the Accreditation sub-committee), Paul Whittle (Convener of the CRCW Programme sub-committee)</w:t>
      </w:r>
    </w:p>
    <w:p>
      <w:pPr>
        <w:pStyle w:val="BodyText"/>
      </w:pPr>
    </w:p>
    <w:p>
      <w:pPr>
        <w:pStyle w:val="BodyText"/>
      </w:pPr>
    </w:p>
    <w:p>
      <w:pPr>
        <w:pStyle w:val="BodyText"/>
      </w:pPr>
    </w:p>
    <w:p>
      <w:pPr>
        <w:pStyle w:val="BodyText"/>
      </w:pPr>
    </w:p>
    <w:p>
      <w:pPr>
        <w:numPr>
          <w:ilvl w:val="0"/>
          <w:numId w:val="135"/>
        </w:numPr>
        <w:tabs>
          <w:tab w:pos="3146" w:val="left" w:leader="none"/>
          <w:tab w:pos="3147" w:val="left" w:leader="none"/>
        </w:tabs>
        <w:spacing w:before="222"/>
        <w:ind w:left="3146" w:right="0" w:hanging="721"/>
        <w:jc w:val="left"/>
        <w:rPr>
          <w:rFonts w:ascii="Stone Sans II ITC Std Bk"/>
          <w:b/>
          <w:sz w:val="21"/>
        </w:rPr>
      </w:pPr>
      <w:r>
        <w:rPr>
          <w:rFonts w:ascii="Stone Sans II ITC Std Bk"/>
          <w:b/>
          <w:w w:val="115"/>
          <w:sz w:val="21"/>
        </w:rPr>
        <w:t>Personalia</w:t>
      </w:r>
    </w:p>
    <w:p>
      <w:pPr>
        <w:pStyle w:val="ListParagraph"/>
        <w:numPr>
          <w:ilvl w:val="1"/>
          <w:numId w:val="135"/>
        </w:numPr>
        <w:tabs>
          <w:tab w:pos="3106" w:val="left" w:leader="none"/>
          <w:tab w:pos="3107" w:val="left" w:leader="none"/>
        </w:tabs>
        <w:spacing w:line="235" w:lineRule="auto" w:before="223" w:after="0"/>
        <w:ind w:left="2426" w:right="1301" w:firstLine="0"/>
        <w:jc w:val="left"/>
        <w:rPr>
          <w:sz w:val="20"/>
        </w:rPr>
      </w:pPr>
      <w:r>
        <w:rPr>
          <w:w w:val="120"/>
          <w:sz w:val="20"/>
        </w:rPr>
        <w:t>A considerable number of changes have taken place since the committee reported to the last General Assembly. The Revd Gwen Collins has been succeeded by the Revd Geoff Townsend as convener of the Accreditation</w:t>
      </w:r>
      <w:r>
        <w:rPr>
          <w:spacing w:val="22"/>
          <w:w w:val="120"/>
          <w:sz w:val="20"/>
        </w:rPr>
        <w:t> </w:t>
      </w:r>
      <w:r>
        <w:rPr>
          <w:w w:val="120"/>
          <w:sz w:val="20"/>
        </w:rPr>
        <w:t>sub-committee,</w:t>
      </w:r>
    </w:p>
    <w:p>
      <w:pPr>
        <w:pStyle w:val="BodyText"/>
        <w:spacing w:line="235" w:lineRule="auto" w:before="2"/>
        <w:ind w:left="2426" w:right="1273"/>
      </w:pPr>
      <w:r>
        <w:rPr>
          <w:w w:val="120"/>
        </w:rPr>
        <w:t>Prof David Cutler has been succeeded by Dr Graham Campling as convener of the Assessment Board, the Revd Bob Day has been succeeded by the Revd Paul Whittle as convener of the Church Related Community Work Programme sub-committee, and the Revd Geoffrey Roper has been succeeded by the Revd Dr Anthony Haws</w:t>
      </w:r>
    </w:p>
    <w:p>
      <w:pPr>
        <w:pStyle w:val="BodyText"/>
        <w:spacing w:line="235" w:lineRule="auto" w:before="3"/>
        <w:ind w:left="2426" w:right="1120"/>
      </w:pPr>
      <w:r>
        <w:rPr>
          <w:w w:val="120"/>
        </w:rPr>
        <w:t>as convener of the Maintenance of the Ministry sub-committee. We are extremely grateful to Gwen, David, Bob and Geoffrey for the faithful service they have</w:t>
      </w:r>
      <w:r>
        <w:rPr>
          <w:spacing w:val="54"/>
          <w:w w:val="120"/>
        </w:rPr>
        <w:t> </w:t>
      </w:r>
      <w:r>
        <w:rPr>
          <w:w w:val="120"/>
        </w:rPr>
        <w:t>given.</w:t>
      </w:r>
    </w:p>
    <w:p>
      <w:pPr>
        <w:pStyle w:val="BodyText"/>
      </w:pPr>
    </w:p>
    <w:p>
      <w:pPr>
        <w:pStyle w:val="BodyText"/>
      </w:pPr>
    </w:p>
    <w:p>
      <w:pPr>
        <w:pStyle w:val="BodyText"/>
      </w:pPr>
    </w:p>
    <w:p>
      <w:pPr>
        <w:pStyle w:val="BodyText"/>
        <w:spacing w:before="10"/>
        <w:rPr>
          <w:sz w:val="29"/>
        </w:rPr>
      </w:pPr>
    </w:p>
    <w:p>
      <w:pPr>
        <w:tabs>
          <w:tab w:pos="10630" w:val="left" w:leader="none"/>
        </w:tabs>
        <w:spacing w:before="96"/>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139</w:t>
      </w:r>
    </w:p>
    <w:p>
      <w:pPr>
        <w:spacing w:after="0"/>
        <w:jc w:val="left"/>
        <w:rPr>
          <w:rFonts w:ascii="Stone Sans II ITC Std X Bd" w:hAnsi="Stone Sans II ITC Std X Bd"/>
          <w:sz w:val="24"/>
        </w:rPr>
        <w:sectPr>
          <w:headerReference w:type="default" r:id="rId327"/>
          <w:headerReference w:type="even" r:id="rId328"/>
          <w:footerReference w:type="default" r:id="rId329"/>
          <w:pgSz w:w="11910" w:h="16840"/>
          <w:pgMar w:header="0" w:footer="0" w:top="0" w:bottom="0" w:left="0" w:right="0"/>
        </w:sectPr>
      </w:pPr>
    </w:p>
    <w:p>
      <w:pPr>
        <w:pStyle w:val="ListParagraph"/>
        <w:numPr>
          <w:ilvl w:val="1"/>
          <w:numId w:val="135"/>
        </w:numPr>
        <w:tabs>
          <w:tab w:pos="1814" w:val="left" w:leader="none"/>
          <w:tab w:pos="1815" w:val="left" w:leader="none"/>
        </w:tabs>
        <w:spacing w:line="242" w:lineRule="exact" w:before="103" w:after="0"/>
        <w:ind w:left="1814" w:right="0" w:hanging="682"/>
        <w:jc w:val="left"/>
        <w:rPr>
          <w:sz w:val="20"/>
        </w:rPr>
      </w:pPr>
      <w:r>
        <w:rPr/>
        <w:pict>
          <v:rect style="position:absolute;margin-left:12.047pt;margin-top:8.467772pt;width:22.677pt;height:22.677pt;mso-position-horizontal-relative:page;mso-position-vertical-relative:paragraph;z-index:252095488" filled="true" fillcolor="#dae4ec" stroked="false">
            <v:fill opacity="32768f" type="solid"/>
            <w10:wrap type="none"/>
          </v:rect>
        </w:pict>
      </w:r>
      <w:r>
        <w:rPr>
          <w:w w:val="120"/>
          <w:sz w:val="20"/>
        </w:rPr>
        <w:t>On the main committee we have said goodbye to the Revd Alan</w:t>
      </w:r>
      <w:r>
        <w:rPr>
          <w:spacing w:val="28"/>
          <w:w w:val="120"/>
          <w:sz w:val="20"/>
        </w:rPr>
        <w:t> </w:t>
      </w:r>
      <w:r>
        <w:rPr>
          <w:w w:val="120"/>
          <w:sz w:val="20"/>
        </w:rPr>
        <w:t>Evans,</w:t>
      </w:r>
    </w:p>
    <w:p>
      <w:pPr>
        <w:pStyle w:val="BodyText"/>
        <w:spacing w:line="235" w:lineRule="auto" w:before="2"/>
        <w:ind w:left="1133" w:right="2251"/>
      </w:pPr>
      <w:r>
        <w:rPr>
          <w:w w:val="120"/>
        </w:rPr>
        <w:t>Dr Roger Allen and Mrs Joanna Morling, and we have welcomed Mrs Brenda Jesse and the Revd David Skitt. At General Assembly in 2008 we said thank you and farewell to the Revd Christine Craven at the end of 12 years of service and so we have also seen a new secretary, the Revd Craig Bowman, come into post.</w:t>
      </w:r>
    </w:p>
    <w:p>
      <w:pPr>
        <w:pStyle w:val="BodyText"/>
        <w:spacing w:before="11"/>
        <w:rPr>
          <w:sz w:val="19"/>
        </w:rPr>
      </w:pPr>
    </w:p>
    <w:p>
      <w:pPr>
        <w:pStyle w:val="ListParagraph"/>
        <w:numPr>
          <w:ilvl w:val="1"/>
          <w:numId w:val="135"/>
        </w:numPr>
        <w:tabs>
          <w:tab w:pos="1814" w:val="left" w:leader="none"/>
          <w:tab w:pos="1815" w:val="left" w:leader="none"/>
        </w:tabs>
        <w:spacing w:line="235" w:lineRule="auto" w:before="0" w:after="0"/>
        <w:ind w:left="1133" w:right="2020" w:firstLine="0"/>
        <w:jc w:val="left"/>
        <w:rPr>
          <w:sz w:val="20"/>
        </w:rPr>
      </w:pPr>
      <w:r>
        <w:rPr>
          <w:w w:val="120"/>
          <w:sz w:val="20"/>
        </w:rPr>
        <w:t>At this Assembly we say farewell to the Revd Peter Poulter as he completes his term as convener of the committee. We have been well served by Peter and his extensive knowledge</w:t>
      </w:r>
      <w:r>
        <w:rPr>
          <w:spacing w:val="11"/>
          <w:w w:val="120"/>
          <w:sz w:val="20"/>
        </w:rPr>
        <w:t> </w:t>
      </w:r>
      <w:r>
        <w:rPr>
          <w:w w:val="120"/>
          <w:sz w:val="20"/>
        </w:rPr>
        <w:t>of</w:t>
      </w:r>
      <w:r>
        <w:rPr>
          <w:spacing w:val="11"/>
          <w:w w:val="120"/>
          <w:sz w:val="20"/>
        </w:rPr>
        <w:t> </w:t>
      </w:r>
      <w:r>
        <w:rPr>
          <w:w w:val="120"/>
          <w:sz w:val="20"/>
        </w:rPr>
        <w:t>the</w:t>
      </w:r>
      <w:r>
        <w:rPr>
          <w:spacing w:val="11"/>
          <w:w w:val="120"/>
          <w:sz w:val="20"/>
        </w:rPr>
        <w:t> </w:t>
      </w:r>
      <w:r>
        <w:rPr>
          <w:w w:val="120"/>
          <w:sz w:val="20"/>
        </w:rPr>
        <w:t>Church</w:t>
      </w:r>
      <w:r>
        <w:rPr>
          <w:spacing w:val="11"/>
          <w:w w:val="120"/>
          <w:sz w:val="20"/>
        </w:rPr>
        <w:t> </w:t>
      </w:r>
      <w:r>
        <w:rPr>
          <w:w w:val="120"/>
          <w:sz w:val="20"/>
        </w:rPr>
        <w:t>combined</w:t>
      </w:r>
      <w:r>
        <w:rPr>
          <w:spacing w:val="11"/>
          <w:w w:val="120"/>
          <w:sz w:val="20"/>
        </w:rPr>
        <w:t> </w:t>
      </w:r>
      <w:r>
        <w:rPr>
          <w:w w:val="120"/>
          <w:sz w:val="20"/>
        </w:rPr>
        <w:t>with</w:t>
      </w:r>
      <w:r>
        <w:rPr>
          <w:spacing w:val="11"/>
          <w:w w:val="120"/>
          <w:sz w:val="20"/>
        </w:rPr>
        <w:t> </w:t>
      </w:r>
      <w:r>
        <w:rPr>
          <w:w w:val="120"/>
          <w:sz w:val="20"/>
        </w:rPr>
        <w:t>a</w:t>
      </w:r>
      <w:r>
        <w:rPr>
          <w:spacing w:val="11"/>
          <w:w w:val="120"/>
          <w:sz w:val="20"/>
        </w:rPr>
        <w:t> </w:t>
      </w:r>
      <w:r>
        <w:rPr>
          <w:w w:val="120"/>
          <w:sz w:val="20"/>
        </w:rPr>
        <w:t>gentle</w:t>
      </w:r>
      <w:r>
        <w:rPr>
          <w:spacing w:val="11"/>
          <w:w w:val="120"/>
          <w:sz w:val="20"/>
        </w:rPr>
        <w:t> </w:t>
      </w:r>
      <w:r>
        <w:rPr>
          <w:w w:val="120"/>
          <w:sz w:val="20"/>
        </w:rPr>
        <w:t>but</w:t>
      </w:r>
      <w:r>
        <w:rPr>
          <w:spacing w:val="11"/>
          <w:w w:val="120"/>
          <w:sz w:val="20"/>
        </w:rPr>
        <w:t> </w:t>
      </w:r>
      <w:r>
        <w:rPr>
          <w:w w:val="120"/>
          <w:sz w:val="20"/>
        </w:rPr>
        <w:t>firm</w:t>
      </w:r>
      <w:r>
        <w:rPr>
          <w:spacing w:val="11"/>
          <w:w w:val="120"/>
          <w:sz w:val="20"/>
        </w:rPr>
        <w:t> </w:t>
      </w:r>
      <w:r>
        <w:rPr>
          <w:w w:val="120"/>
          <w:sz w:val="20"/>
        </w:rPr>
        <w:t>guiding</w:t>
      </w:r>
      <w:r>
        <w:rPr>
          <w:spacing w:val="11"/>
          <w:w w:val="120"/>
          <w:sz w:val="20"/>
        </w:rPr>
        <w:t> </w:t>
      </w:r>
      <w:r>
        <w:rPr>
          <w:w w:val="120"/>
          <w:sz w:val="20"/>
        </w:rPr>
        <w:t>hand</w:t>
      </w:r>
      <w:r>
        <w:rPr>
          <w:spacing w:val="11"/>
          <w:w w:val="120"/>
          <w:sz w:val="20"/>
        </w:rPr>
        <w:t> </w:t>
      </w:r>
      <w:r>
        <w:rPr>
          <w:w w:val="120"/>
          <w:sz w:val="20"/>
        </w:rPr>
        <w:t>have</w:t>
      </w:r>
      <w:r>
        <w:rPr>
          <w:spacing w:val="11"/>
          <w:w w:val="120"/>
          <w:sz w:val="20"/>
        </w:rPr>
        <w:t> </w:t>
      </w:r>
      <w:r>
        <w:rPr>
          <w:w w:val="120"/>
          <w:sz w:val="20"/>
        </w:rPr>
        <w:t>helped</w:t>
      </w:r>
    </w:p>
    <w:p>
      <w:pPr>
        <w:pStyle w:val="BodyText"/>
        <w:spacing w:line="235" w:lineRule="auto" w:before="2"/>
        <w:ind w:left="1133" w:right="1997"/>
      </w:pPr>
      <w:r>
        <w:rPr>
          <w:w w:val="120"/>
        </w:rPr>
        <w:t>to ensure continued development in our work at a time of considerable change. We welcome the Revd Ruth Whitehead as the new convener, someone who already knows our work well.</w:t>
      </w:r>
    </w:p>
    <w:p>
      <w:pPr>
        <w:pStyle w:val="BodyText"/>
        <w:rPr>
          <w:sz w:val="24"/>
        </w:rPr>
      </w:pPr>
    </w:p>
    <w:p>
      <w:pPr>
        <w:spacing w:before="162"/>
        <w:ind w:left="1133" w:right="0" w:firstLine="0"/>
        <w:jc w:val="left"/>
        <w:rPr>
          <w:rFonts w:ascii="Stone Sans II ITC Std Bk"/>
          <w:b/>
          <w:sz w:val="29"/>
        </w:rPr>
      </w:pPr>
      <w:r>
        <w:rPr>
          <w:rFonts w:ascii="Stone Sans II ITC Std Bk"/>
          <w:b/>
          <w:w w:val="110"/>
          <w:sz w:val="29"/>
        </w:rPr>
        <w:t>Continuing work</w:t>
      </w:r>
    </w:p>
    <w:p>
      <w:pPr>
        <w:numPr>
          <w:ilvl w:val="0"/>
          <w:numId w:val="135"/>
        </w:numPr>
        <w:tabs>
          <w:tab w:pos="1853" w:val="left" w:leader="none"/>
          <w:tab w:pos="1854" w:val="left" w:leader="none"/>
        </w:tabs>
        <w:spacing w:before="169"/>
        <w:ind w:left="1853" w:right="0" w:hanging="721"/>
        <w:jc w:val="left"/>
        <w:rPr>
          <w:rFonts w:ascii="Stone Sans II ITC Std Bk"/>
          <w:b/>
          <w:sz w:val="21"/>
        </w:rPr>
      </w:pPr>
      <w:r>
        <w:rPr>
          <w:rFonts w:ascii="Stone Sans II ITC Std Bk"/>
          <w:b/>
          <w:w w:val="115"/>
          <w:sz w:val="21"/>
        </w:rPr>
        <w:t>Challenge to the</w:t>
      </w:r>
      <w:r>
        <w:rPr>
          <w:rFonts w:ascii="Stone Sans II ITC Std Bk"/>
          <w:b/>
          <w:spacing w:val="-5"/>
          <w:w w:val="115"/>
          <w:sz w:val="21"/>
        </w:rPr>
        <w:t> </w:t>
      </w:r>
      <w:r>
        <w:rPr>
          <w:rFonts w:ascii="Stone Sans II ITC Std Bk"/>
          <w:b/>
          <w:w w:val="115"/>
          <w:sz w:val="21"/>
        </w:rPr>
        <w:t>Church</w:t>
      </w:r>
    </w:p>
    <w:p>
      <w:pPr>
        <w:pStyle w:val="ListParagraph"/>
        <w:numPr>
          <w:ilvl w:val="1"/>
          <w:numId w:val="135"/>
        </w:numPr>
        <w:tabs>
          <w:tab w:pos="1814" w:val="left" w:leader="none"/>
          <w:tab w:pos="1815" w:val="left" w:leader="none"/>
        </w:tabs>
        <w:spacing w:line="235" w:lineRule="auto" w:before="223" w:after="0"/>
        <w:ind w:left="1133" w:right="2011" w:firstLine="0"/>
        <w:jc w:val="left"/>
        <w:rPr>
          <w:sz w:val="20"/>
        </w:rPr>
      </w:pPr>
      <w:r>
        <w:rPr>
          <w:w w:val="120"/>
          <w:sz w:val="20"/>
        </w:rPr>
        <w:t>A </w:t>
      </w:r>
      <w:r>
        <w:rPr>
          <w:i/>
          <w:w w:val="120"/>
          <w:sz w:val="20"/>
        </w:rPr>
        <w:t>Challenge to the Church </w:t>
      </w:r>
      <w:r>
        <w:rPr>
          <w:w w:val="120"/>
          <w:sz w:val="20"/>
        </w:rPr>
        <w:t>was issued at General Assembly in 2008 in which the need for local leadership was identified and the value of team pastorates affirmed. Following the request of synods to identify the number of stipendiary ministers and the number of local church leaders required, a consultation with representatives from all the synods was held in July 2009. This has proved to be a sobering exercise as it seems clear that in many places it is proving difficult to move beyond what has been a traditional expression of ministry, and the numbers indicated by the synods as necessary reflects this. The work necessary to identify leadership needs and to encourage new thinking has meant a longer time-frame for this process than originally</w:t>
      </w:r>
      <w:r>
        <w:rPr>
          <w:spacing w:val="20"/>
          <w:w w:val="120"/>
          <w:sz w:val="20"/>
        </w:rPr>
        <w:t> </w:t>
      </w:r>
      <w:r>
        <w:rPr>
          <w:w w:val="120"/>
          <w:sz w:val="20"/>
        </w:rPr>
        <w:t>envisaged.</w:t>
      </w:r>
    </w:p>
    <w:p>
      <w:pPr>
        <w:pStyle w:val="BodyText"/>
        <w:spacing w:before="2"/>
      </w:pPr>
    </w:p>
    <w:p>
      <w:pPr>
        <w:pStyle w:val="ListParagraph"/>
        <w:numPr>
          <w:ilvl w:val="1"/>
          <w:numId w:val="135"/>
        </w:numPr>
        <w:tabs>
          <w:tab w:pos="1814" w:val="left" w:leader="none"/>
          <w:tab w:pos="1815" w:val="left" w:leader="none"/>
        </w:tabs>
        <w:spacing w:line="235" w:lineRule="auto" w:before="0" w:after="0"/>
        <w:ind w:left="1133" w:right="2014" w:firstLine="0"/>
        <w:jc w:val="left"/>
        <w:rPr>
          <w:sz w:val="20"/>
        </w:rPr>
      </w:pPr>
      <w:r>
        <w:rPr>
          <w:spacing w:val="3"/>
          <w:w w:val="120"/>
          <w:sz w:val="20"/>
        </w:rPr>
        <w:t>As </w:t>
      </w:r>
      <w:r>
        <w:rPr>
          <w:w w:val="120"/>
          <w:sz w:val="20"/>
        </w:rPr>
        <w:t>in many areas of our </w:t>
      </w:r>
      <w:r>
        <w:rPr>
          <w:spacing w:val="-3"/>
          <w:w w:val="120"/>
          <w:sz w:val="20"/>
        </w:rPr>
        <w:t>church’s </w:t>
      </w:r>
      <w:r>
        <w:rPr>
          <w:w w:val="120"/>
          <w:sz w:val="20"/>
        </w:rPr>
        <w:t>life, the synods are at different points in the process and moving at different speeds. What we heard through the consultation was  the need to allow for synod variations, within the principles agreed by General Assembly in 2008, whilst Ministries provides encouragement and support through the sharing of good practice and</w:t>
      </w:r>
      <w:r>
        <w:rPr>
          <w:spacing w:val="7"/>
          <w:w w:val="120"/>
          <w:sz w:val="20"/>
        </w:rPr>
        <w:t> </w:t>
      </w:r>
      <w:r>
        <w:rPr>
          <w:w w:val="120"/>
          <w:sz w:val="20"/>
        </w:rPr>
        <w:t>ideas.</w:t>
      </w:r>
    </w:p>
    <w:p>
      <w:pPr>
        <w:pStyle w:val="BodyText"/>
        <w:spacing w:before="11"/>
        <w:rPr>
          <w:sz w:val="19"/>
        </w:rPr>
      </w:pPr>
    </w:p>
    <w:p>
      <w:pPr>
        <w:pStyle w:val="ListParagraph"/>
        <w:numPr>
          <w:ilvl w:val="1"/>
          <w:numId w:val="135"/>
        </w:numPr>
        <w:tabs>
          <w:tab w:pos="1815" w:val="left" w:leader="none"/>
        </w:tabs>
        <w:spacing w:line="235" w:lineRule="auto" w:before="1" w:after="0"/>
        <w:ind w:left="1133" w:right="2227" w:firstLine="0"/>
        <w:jc w:val="both"/>
        <w:rPr>
          <w:sz w:val="20"/>
        </w:rPr>
      </w:pPr>
      <w:r>
        <w:rPr>
          <w:w w:val="120"/>
          <w:sz w:val="20"/>
        </w:rPr>
        <w:t>However the consultation was also encouraging as there is very real excitement being expressed about the possibilities and the opportunities granted by collaborative ministry and team</w:t>
      </w:r>
      <w:r>
        <w:rPr>
          <w:spacing w:val="6"/>
          <w:w w:val="120"/>
          <w:sz w:val="20"/>
        </w:rPr>
        <w:t> </w:t>
      </w:r>
      <w:r>
        <w:rPr>
          <w:w w:val="120"/>
          <w:sz w:val="20"/>
        </w:rPr>
        <w:t>working.</w:t>
      </w:r>
    </w:p>
    <w:p>
      <w:pPr>
        <w:pStyle w:val="BodyText"/>
        <w:spacing w:before="8"/>
        <w:rPr>
          <w:sz w:val="17"/>
        </w:rPr>
      </w:pPr>
    </w:p>
    <w:p>
      <w:pPr>
        <w:numPr>
          <w:ilvl w:val="0"/>
          <w:numId w:val="135"/>
        </w:numPr>
        <w:tabs>
          <w:tab w:pos="1854" w:val="left" w:leader="none"/>
        </w:tabs>
        <w:spacing w:before="0"/>
        <w:ind w:left="1853" w:right="0" w:hanging="721"/>
        <w:jc w:val="both"/>
        <w:rPr>
          <w:rFonts w:ascii="Stone Sans II ITC Std Bk"/>
          <w:b/>
          <w:sz w:val="21"/>
        </w:rPr>
      </w:pPr>
      <w:r>
        <w:rPr>
          <w:rFonts w:ascii="Stone Sans II ITC Std Bk"/>
          <w:b/>
          <w:w w:val="115"/>
          <w:sz w:val="21"/>
        </w:rPr>
        <w:t>Local Mission and Ministry</w:t>
      </w:r>
      <w:r>
        <w:rPr>
          <w:rFonts w:ascii="Stone Sans II ITC Std Bk"/>
          <w:b/>
          <w:spacing w:val="-7"/>
          <w:w w:val="115"/>
          <w:sz w:val="21"/>
        </w:rPr>
        <w:t> </w:t>
      </w:r>
      <w:r>
        <w:rPr>
          <w:rFonts w:ascii="Stone Sans II ITC Std Bk"/>
          <w:b/>
          <w:w w:val="115"/>
          <w:sz w:val="21"/>
        </w:rPr>
        <w:t>Review</w:t>
      </w:r>
    </w:p>
    <w:p>
      <w:pPr>
        <w:pStyle w:val="ListParagraph"/>
        <w:numPr>
          <w:ilvl w:val="1"/>
          <w:numId w:val="135"/>
        </w:numPr>
        <w:tabs>
          <w:tab w:pos="1814" w:val="left" w:leader="none"/>
          <w:tab w:pos="1815" w:val="left" w:leader="none"/>
        </w:tabs>
        <w:spacing w:line="235" w:lineRule="auto" w:before="223" w:after="0"/>
        <w:ind w:left="1133" w:right="2394" w:firstLine="0"/>
        <w:jc w:val="left"/>
        <w:rPr>
          <w:sz w:val="20"/>
        </w:rPr>
      </w:pPr>
      <w:r>
        <w:rPr>
          <w:w w:val="120"/>
          <w:sz w:val="20"/>
        </w:rPr>
        <w:t>In 2006 General Assembly agreed in principle to replace the existing scheme for Ministerial Accompanied Self-Appraisal (MASA), asked the Ministries Committee to develop a more comprehensive review scheme, and authorised Mission Council to implement such a</w:t>
      </w:r>
      <w:r>
        <w:rPr>
          <w:spacing w:val="6"/>
          <w:w w:val="120"/>
          <w:sz w:val="20"/>
        </w:rPr>
        <w:t> </w:t>
      </w:r>
      <w:r>
        <w:rPr>
          <w:w w:val="120"/>
          <w:sz w:val="20"/>
        </w:rPr>
        <w:t>scheme.</w:t>
      </w:r>
    </w:p>
    <w:p>
      <w:pPr>
        <w:pStyle w:val="BodyText"/>
        <w:spacing w:before="11"/>
        <w:rPr>
          <w:sz w:val="19"/>
        </w:rPr>
      </w:pPr>
    </w:p>
    <w:p>
      <w:pPr>
        <w:pStyle w:val="ListParagraph"/>
        <w:numPr>
          <w:ilvl w:val="1"/>
          <w:numId w:val="135"/>
        </w:numPr>
        <w:tabs>
          <w:tab w:pos="1814" w:val="left" w:leader="none"/>
          <w:tab w:pos="1815" w:val="left" w:leader="none"/>
        </w:tabs>
        <w:spacing w:line="235" w:lineRule="auto" w:before="0" w:after="0"/>
        <w:ind w:left="1133" w:right="2165" w:firstLine="0"/>
        <w:jc w:val="left"/>
        <w:rPr>
          <w:sz w:val="20"/>
        </w:rPr>
      </w:pPr>
      <w:r>
        <w:rPr>
          <w:w w:val="120"/>
          <w:sz w:val="20"/>
        </w:rPr>
        <w:t>After consultation with the synods and a limited trial, in December 2008 Mission Council agreed to the introduction of the Local Mission and Ministry Review (LMMR).  At the heart of the LMMR process are a number of principles</w:t>
      </w:r>
      <w:r>
        <w:rPr>
          <w:spacing w:val="29"/>
          <w:w w:val="120"/>
          <w:sz w:val="20"/>
        </w:rPr>
        <w:t> </w:t>
      </w:r>
      <w:r>
        <w:rPr>
          <w:w w:val="120"/>
          <w:sz w:val="20"/>
        </w:rPr>
        <w:t>including:</w:t>
      </w:r>
    </w:p>
    <w:p>
      <w:pPr>
        <w:pStyle w:val="ListParagraph"/>
        <w:numPr>
          <w:ilvl w:val="0"/>
          <w:numId w:val="136"/>
        </w:numPr>
        <w:tabs>
          <w:tab w:pos="1643" w:val="left" w:leader="none"/>
          <w:tab w:pos="1644" w:val="left" w:leader="none"/>
        </w:tabs>
        <w:spacing w:line="196" w:lineRule="auto" w:before="8" w:after="0"/>
        <w:ind w:left="1643" w:right="2137" w:hanging="511"/>
        <w:jc w:val="left"/>
        <w:rPr>
          <w:sz w:val="20"/>
        </w:rPr>
      </w:pPr>
      <w:r>
        <w:rPr>
          <w:w w:val="120"/>
          <w:sz w:val="20"/>
        </w:rPr>
        <w:t>the Pastorate Profile as a living document regularly reviewed which would identify the mission priorities for that pastorate or</w:t>
      </w:r>
      <w:r>
        <w:rPr>
          <w:spacing w:val="7"/>
          <w:w w:val="120"/>
          <w:sz w:val="20"/>
        </w:rPr>
        <w:t> </w:t>
      </w:r>
      <w:r>
        <w:rPr>
          <w:w w:val="120"/>
          <w:sz w:val="20"/>
        </w:rPr>
        <w:t>team;</w:t>
      </w:r>
    </w:p>
    <w:p>
      <w:pPr>
        <w:pStyle w:val="ListParagraph"/>
        <w:numPr>
          <w:ilvl w:val="0"/>
          <w:numId w:val="136"/>
        </w:numPr>
        <w:tabs>
          <w:tab w:pos="1643" w:val="left" w:leader="none"/>
          <w:tab w:pos="1644" w:val="left" w:leader="none"/>
        </w:tabs>
        <w:spacing w:line="196" w:lineRule="auto" w:before="16" w:after="0"/>
        <w:ind w:left="1643" w:right="2313" w:hanging="511"/>
        <w:jc w:val="left"/>
        <w:rPr>
          <w:sz w:val="20"/>
        </w:rPr>
      </w:pPr>
      <w:r>
        <w:rPr>
          <w:w w:val="120"/>
          <w:sz w:val="20"/>
        </w:rPr>
        <w:t>the tasks and activity expected of the minister in the light of the above would be clearly</w:t>
      </w:r>
      <w:r>
        <w:rPr>
          <w:spacing w:val="1"/>
          <w:w w:val="120"/>
          <w:sz w:val="20"/>
        </w:rPr>
        <w:t> </w:t>
      </w:r>
      <w:r>
        <w:rPr>
          <w:w w:val="120"/>
          <w:sz w:val="20"/>
        </w:rPr>
        <w:t>stated;</w:t>
      </w:r>
    </w:p>
    <w:p>
      <w:pPr>
        <w:pStyle w:val="ListParagraph"/>
        <w:numPr>
          <w:ilvl w:val="0"/>
          <w:numId w:val="136"/>
        </w:numPr>
        <w:tabs>
          <w:tab w:pos="1643" w:val="left" w:leader="none"/>
          <w:tab w:pos="1644" w:val="left" w:leader="none"/>
        </w:tabs>
        <w:spacing w:line="196" w:lineRule="auto" w:before="15" w:after="0"/>
        <w:ind w:left="1643" w:right="2667" w:hanging="511"/>
        <w:jc w:val="left"/>
        <w:rPr>
          <w:sz w:val="20"/>
        </w:rPr>
      </w:pPr>
      <w:r>
        <w:rPr>
          <w:w w:val="120"/>
          <w:sz w:val="20"/>
        </w:rPr>
        <w:t>the confidentiality of MASA would be maintained as an important </w:t>
      </w:r>
      <w:r>
        <w:rPr>
          <w:spacing w:val="2"/>
          <w:w w:val="120"/>
          <w:sz w:val="20"/>
        </w:rPr>
        <w:t>part </w:t>
      </w:r>
      <w:r>
        <w:rPr>
          <w:w w:val="120"/>
          <w:sz w:val="20"/>
        </w:rPr>
        <w:t>of this process;</w:t>
      </w:r>
    </w:p>
    <w:p>
      <w:pPr>
        <w:pStyle w:val="ListParagraph"/>
        <w:numPr>
          <w:ilvl w:val="0"/>
          <w:numId w:val="136"/>
        </w:numPr>
        <w:tabs>
          <w:tab w:pos="1643" w:val="left" w:leader="none"/>
          <w:tab w:pos="1644" w:val="left" w:leader="none"/>
        </w:tabs>
        <w:spacing w:line="196" w:lineRule="auto" w:before="16" w:after="0"/>
        <w:ind w:left="1643" w:right="2618" w:hanging="511"/>
        <w:jc w:val="left"/>
        <w:rPr>
          <w:sz w:val="20"/>
        </w:rPr>
      </w:pPr>
      <w:r>
        <w:rPr>
          <w:w w:val="120"/>
          <w:sz w:val="20"/>
        </w:rPr>
        <w:t>all Ministers of Word and Sacrament and Church Related Community Workers would eventually be</w:t>
      </w:r>
      <w:r>
        <w:rPr>
          <w:spacing w:val="7"/>
          <w:w w:val="120"/>
          <w:sz w:val="20"/>
        </w:rPr>
        <w:t> </w:t>
      </w:r>
      <w:r>
        <w:rPr>
          <w:w w:val="120"/>
          <w:sz w:val="20"/>
        </w:rPr>
        <w:t>included.</w:t>
      </w:r>
    </w:p>
    <w:p>
      <w:pPr>
        <w:spacing w:after="0" w:line="196" w:lineRule="auto"/>
        <w:jc w:val="left"/>
        <w:rPr>
          <w:sz w:val="20"/>
        </w:rPr>
        <w:sectPr>
          <w:headerReference w:type="even" r:id="rId331"/>
          <w:headerReference w:type="default" r:id="rId332"/>
          <w:footerReference w:type="even" r:id="rId333"/>
          <w:footerReference w:type="default" r:id="rId334"/>
          <w:pgSz w:w="11910" w:h="16840"/>
          <w:pgMar w:header="0" w:footer="647" w:top="1060" w:bottom="840" w:left="0" w:right="0"/>
          <w:pgNumType w:start="140"/>
        </w:sectPr>
      </w:pPr>
    </w:p>
    <w:p>
      <w:pPr>
        <w:pStyle w:val="ListParagraph"/>
        <w:numPr>
          <w:ilvl w:val="1"/>
          <w:numId w:val="135"/>
        </w:numPr>
        <w:tabs>
          <w:tab w:pos="2664" w:val="left" w:leader="none"/>
          <w:tab w:pos="2665" w:val="left" w:leader="none"/>
        </w:tabs>
        <w:spacing w:line="235" w:lineRule="auto" w:before="91" w:after="0"/>
        <w:ind w:left="1984" w:right="1579" w:firstLine="0"/>
        <w:jc w:val="left"/>
        <w:rPr>
          <w:sz w:val="20"/>
        </w:rPr>
      </w:pPr>
      <w:r>
        <w:rPr/>
        <w:pict>
          <v:rect style="position:absolute;margin-left:558.424988pt;margin-top:8.503343pt;width:22.677pt;height:22.677pt;mso-position-horizontal-relative:page;mso-position-vertical-relative:paragraph;z-index:252096512" filled="true" fillcolor="#dae4ec" stroked="false">
            <v:fill opacity="32768f" type="solid"/>
            <w10:wrap type="none"/>
          </v:rect>
        </w:pict>
      </w:r>
      <w:r>
        <w:rPr>
          <w:w w:val="120"/>
          <w:sz w:val="20"/>
        </w:rPr>
        <w:t>With these in mind the synods were asked to develop a scheme for LMMR appropriate to their circumstances, which recognised that the starting point for such a scheme varied across the synods. The Ministries Committee will be monitoring the development of the scheme, seeking to facilitate the sharing of good practice, and encourage the movement towards a commonly operated</w:t>
      </w:r>
      <w:r>
        <w:rPr>
          <w:spacing w:val="18"/>
          <w:w w:val="120"/>
          <w:sz w:val="20"/>
        </w:rPr>
        <w:t> </w:t>
      </w:r>
      <w:r>
        <w:rPr>
          <w:w w:val="120"/>
          <w:sz w:val="20"/>
        </w:rPr>
        <w:t>scheme.</w:t>
      </w:r>
    </w:p>
    <w:p>
      <w:pPr>
        <w:pStyle w:val="BodyText"/>
        <w:spacing w:before="11"/>
        <w:rPr>
          <w:sz w:val="19"/>
        </w:rPr>
      </w:pPr>
    </w:p>
    <w:p>
      <w:pPr>
        <w:pStyle w:val="ListParagraph"/>
        <w:numPr>
          <w:ilvl w:val="1"/>
          <w:numId w:val="135"/>
        </w:numPr>
        <w:tabs>
          <w:tab w:pos="2664" w:val="left" w:leader="none"/>
          <w:tab w:pos="2665" w:val="left" w:leader="none"/>
        </w:tabs>
        <w:spacing w:line="235" w:lineRule="auto" w:before="0" w:after="0"/>
        <w:ind w:left="1984" w:right="1223" w:firstLine="0"/>
        <w:jc w:val="left"/>
        <w:rPr>
          <w:sz w:val="20"/>
        </w:rPr>
      </w:pPr>
      <w:r>
        <w:rPr>
          <w:w w:val="120"/>
          <w:sz w:val="20"/>
        </w:rPr>
        <w:t>The belief that a local </w:t>
      </w:r>
      <w:r>
        <w:rPr>
          <w:spacing w:val="-3"/>
          <w:w w:val="120"/>
          <w:sz w:val="20"/>
        </w:rPr>
        <w:t>church’s </w:t>
      </w:r>
      <w:r>
        <w:rPr>
          <w:w w:val="120"/>
          <w:sz w:val="20"/>
        </w:rPr>
        <w:t>mission priorities should help to direct the resources the wider church provides, including ministry, is one being expressed in other places besides the Ministries Committee. This issue is central to many of the strategies operated by synods as they seek to support local churches, and is found in the Mission Committee’s </w:t>
      </w:r>
      <w:r>
        <w:rPr>
          <w:i/>
          <w:w w:val="120"/>
          <w:sz w:val="20"/>
        </w:rPr>
        <w:t>vision2020 </w:t>
      </w:r>
      <w:r>
        <w:rPr>
          <w:w w:val="120"/>
          <w:sz w:val="20"/>
        </w:rPr>
        <w:t>proposals. We commend LMMR to the church as a way of supporting local churches in their mission, and as a tool in identifying leadership needs  as </w:t>
      </w:r>
      <w:r>
        <w:rPr>
          <w:spacing w:val="2"/>
          <w:w w:val="120"/>
          <w:sz w:val="20"/>
        </w:rPr>
        <w:t>part </w:t>
      </w:r>
      <w:r>
        <w:rPr>
          <w:w w:val="120"/>
          <w:sz w:val="20"/>
        </w:rPr>
        <w:t>of the </w:t>
      </w:r>
      <w:r>
        <w:rPr>
          <w:i/>
          <w:w w:val="120"/>
          <w:sz w:val="20"/>
        </w:rPr>
        <w:t>Challenge to the</w:t>
      </w:r>
      <w:r>
        <w:rPr>
          <w:i/>
          <w:spacing w:val="-7"/>
          <w:w w:val="120"/>
          <w:sz w:val="20"/>
        </w:rPr>
        <w:t> </w:t>
      </w:r>
      <w:r>
        <w:rPr>
          <w:i/>
          <w:w w:val="120"/>
          <w:sz w:val="20"/>
        </w:rPr>
        <w:t>Church</w:t>
      </w:r>
      <w:r>
        <w:rPr>
          <w:w w:val="120"/>
          <w:sz w:val="20"/>
        </w:rPr>
        <w:t>.</w:t>
      </w:r>
    </w:p>
    <w:p>
      <w:pPr>
        <w:pStyle w:val="BodyText"/>
        <w:rPr>
          <w:sz w:val="24"/>
        </w:rPr>
      </w:pPr>
    </w:p>
    <w:p>
      <w:pPr>
        <w:pStyle w:val="Heading6"/>
        <w:spacing w:before="165"/>
        <w:ind w:left="1984"/>
      </w:pPr>
      <w:r>
        <w:rPr>
          <w:w w:val="110"/>
        </w:rPr>
        <w:t>Other Ministry</w:t>
      </w:r>
    </w:p>
    <w:p>
      <w:pPr>
        <w:numPr>
          <w:ilvl w:val="0"/>
          <w:numId w:val="135"/>
        </w:numPr>
        <w:tabs>
          <w:tab w:pos="2704" w:val="left" w:leader="none"/>
          <w:tab w:pos="2705" w:val="left" w:leader="none"/>
        </w:tabs>
        <w:spacing w:line="273" w:lineRule="exact" w:before="169"/>
        <w:ind w:left="2704" w:right="0" w:hanging="721"/>
        <w:jc w:val="left"/>
        <w:rPr>
          <w:rFonts w:ascii="Stone Sans II ITC Std Bk"/>
          <w:b/>
          <w:sz w:val="21"/>
        </w:rPr>
      </w:pPr>
      <w:r>
        <w:rPr>
          <w:rFonts w:ascii="Stone Sans II ITC Std Bk"/>
          <w:b/>
          <w:w w:val="115"/>
          <w:sz w:val="21"/>
        </w:rPr>
        <w:t>Eldership</w:t>
      </w:r>
    </w:p>
    <w:p>
      <w:pPr>
        <w:pStyle w:val="BodyText"/>
        <w:spacing w:line="235" w:lineRule="auto"/>
        <w:ind w:left="1984" w:right="1273"/>
      </w:pPr>
      <w:r>
        <w:rPr>
          <w:w w:val="120"/>
        </w:rPr>
        <w:t>Since late 2007 this has been a new responsibility for the committee and one that we welcome. Following on from the consultation on eldership held in 2006 we are working on the areas identified for more work, particularly on models of good practice in the identification of new elders, their preparation and development, and in the conduct, content and oversight of Elders’ Meetings, alongside the role of ministers and elders together in Christian initiation.</w:t>
      </w:r>
    </w:p>
    <w:p>
      <w:pPr>
        <w:numPr>
          <w:ilvl w:val="0"/>
          <w:numId w:val="135"/>
        </w:numPr>
        <w:tabs>
          <w:tab w:pos="2704" w:val="left" w:leader="none"/>
          <w:tab w:pos="2705" w:val="left" w:leader="none"/>
        </w:tabs>
        <w:spacing w:line="273" w:lineRule="exact" w:before="211"/>
        <w:ind w:left="2704" w:right="0" w:hanging="721"/>
        <w:jc w:val="left"/>
        <w:rPr>
          <w:rFonts w:ascii="Stone Sans II ITC Std Bk"/>
          <w:b/>
          <w:sz w:val="21"/>
        </w:rPr>
      </w:pPr>
      <w:r>
        <w:rPr>
          <w:rFonts w:ascii="Stone Sans II ITC Std Bk"/>
          <w:b/>
          <w:w w:val="115"/>
          <w:sz w:val="21"/>
        </w:rPr>
        <w:t>Ministry of</w:t>
      </w:r>
      <w:r>
        <w:rPr>
          <w:rFonts w:ascii="Stone Sans II ITC Std Bk"/>
          <w:b/>
          <w:spacing w:val="-3"/>
          <w:w w:val="115"/>
          <w:sz w:val="21"/>
        </w:rPr>
        <w:t> </w:t>
      </w:r>
      <w:r>
        <w:rPr>
          <w:rFonts w:ascii="Stone Sans II ITC Std Bk"/>
          <w:b/>
          <w:w w:val="115"/>
          <w:sz w:val="21"/>
        </w:rPr>
        <w:t>Evangelists</w:t>
      </w:r>
    </w:p>
    <w:p>
      <w:pPr>
        <w:pStyle w:val="BodyText"/>
        <w:spacing w:line="235" w:lineRule="auto"/>
        <w:ind w:left="1984" w:right="1538"/>
      </w:pPr>
      <w:r>
        <w:rPr>
          <w:w w:val="120"/>
        </w:rPr>
        <w:t>In 2001 the General Assembly passed a resolution seeking to encourage people to exercise their ministry as evangelists but in the subsequent reorganising of Assembly committees this work stalled. In November 2009 Mission Council agreed with a Ministries Committee proposal to use the Special Category Ministry scheme to enable synods or a grouping of churches to pilot the use of Ministers of Word and Sacrament as evangelists, by dedicating three posts to this particular ministry. The process will   be reviewed by the Ministries Committee and the synods involved after </w:t>
      </w:r>
      <w:r>
        <w:rPr>
          <w:spacing w:val="-7"/>
          <w:w w:val="120"/>
        </w:rPr>
        <w:t>18 </w:t>
      </w:r>
      <w:r>
        <w:rPr>
          <w:w w:val="120"/>
        </w:rPr>
        <w:t>months’ appointment to see what lessons have been learned and to determine whether to move towards creating a process of specific recruitment, assessment and training for evangelists within the United Reformed</w:t>
      </w:r>
      <w:r>
        <w:rPr>
          <w:spacing w:val="12"/>
          <w:w w:val="120"/>
        </w:rPr>
        <w:t> </w:t>
      </w:r>
      <w:r>
        <w:rPr>
          <w:w w:val="120"/>
        </w:rPr>
        <w:t>Church.</w:t>
      </w:r>
    </w:p>
    <w:p>
      <w:pPr>
        <w:numPr>
          <w:ilvl w:val="0"/>
          <w:numId w:val="135"/>
        </w:numPr>
        <w:tabs>
          <w:tab w:pos="2704" w:val="left" w:leader="none"/>
          <w:tab w:pos="2705" w:val="left" w:leader="none"/>
        </w:tabs>
        <w:spacing w:before="214"/>
        <w:ind w:left="2704" w:right="0" w:hanging="721"/>
        <w:jc w:val="left"/>
        <w:rPr>
          <w:rFonts w:ascii="Stone Sans II ITC Std Bk"/>
          <w:b/>
          <w:sz w:val="21"/>
        </w:rPr>
      </w:pPr>
      <w:r>
        <w:rPr>
          <w:rFonts w:ascii="Stone Sans II ITC Std Bk"/>
          <w:b/>
          <w:w w:val="115"/>
          <w:sz w:val="21"/>
        </w:rPr>
        <w:t>Chaplaincy</w:t>
      </w:r>
    </w:p>
    <w:p>
      <w:pPr>
        <w:pStyle w:val="ListParagraph"/>
        <w:numPr>
          <w:ilvl w:val="1"/>
          <w:numId w:val="135"/>
        </w:numPr>
        <w:tabs>
          <w:tab w:pos="2664" w:val="left" w:leader="none"/>
          <w:tab w:pos="2665" w:val="left" w:leader="none"/>
        </w:tabs>
        <w:spacing w:line="235" w:lineRule="auto" w:before="223" w:after="0"/>
        <w:ind w:left="1984" w:right="1551" w:firstLine="0"/>
        <w:jc w:val="left"/>
        <w:rPr>
          <w:sz w:val="20"/>
        </w:rPr>
      </w:pPr>
      <w:r>
        <w:rPr>
          <w:w w:val="120"/>
          <w:sz w:val="20"/>
        </w:rPr>
        <w:t>Numerous United Reformed Church ministers serve as chaplains in a variety  of</w:t>
      </w:r>
      <w:r>
        <w:rPr>
          <w:spacing w:val="7"/>
          <w:w w:val="120"/>
          <w:sz w:val="20"/>
        </w:rPr>
        <w:t> </w:t>
      </w:r>
      <w:r>
        <w:rPr>
          <w:w w:val="120"/>
          <w:sz w:val="20"/>
        </w:rPr>
        <w:t>settings</w:t>
      </w:r>
      <w:r>
        <w:rPr>
          <w:spacing w:val="7"/>
          <w:w w:val="120"/>
          <w:sz w:val="20"/>
        </w:rPr>
        <w:t> </w:t>
      </w:r>
      <w:r>
        <w:rPr>
          <w:w w:val="120"/>
          <w:sz w:val="20"/>
        </w:rPr>
        <w:t>including,</w:t>
      </w:r>
      <w:r>
        <w:rPr>
          <w:spacing w:val="7"/>
          <w:w w:val="120"/>
          <w:sz w:val="20"/>
        </w:rPr>
        <w:t> </w:t>
      </w:r>
      <w:r>
        <w:rPr>
          <w:w w:val="120"/>
          <w:sz w:val="20"/>
        </w:rPr>
        <w:t>but</w:t>
      </w:r>
      <w:r>
        <w:rPr>
          <w:spacing w:val="7"/>
          <w:w w:val="120"/>
          <w:sz w:val="20"/>
        </w:rPr>
        <w:t> </w:t>
      </w:r>
      <w:r>
        <w:rPr>
          <w:w w:val="120"/>
          <w:sz w:val="20"/>
        </w:rPr>
        <w:t>not</w:t>
      </w:r>
      <w:r>
        <w:rPr>
          <w:spacing w:val="7"/>
          <w:w w:val="120"/>
          <w:sz w:val="20"/>
        </w:rPr>
        <w:t> </w:t>
      </w:r>
      <w:r>
        <w:rPr>
          <w:w w:val="120"/>
          <w:sz w:val="20"/>
        </w:rPr>
        <w:t>limited</w:t>
      </w:r>
      <w:r>
        <w:rPr>
          <w:spacing w:val="8"/>
          <w:w w:val="120"/>
          <w:sz w:val="20"/>
        </w:rPr>
        <w:t> </w:t>
      </w:r>
      <w:r>
        <w:rPr>
          <w:w w:val="120"/>
          <w:sz w:val="20"/>
        </w:rPr>
        <w:t>to</w:t>
      </w:r>
      <w:r>
        <w:rPr>
          <w:spacing w:val="7"/>
          <w:w w:val="120"/>
          <w:sz w:val="20"/>
        </w:rPr>
        <w:t> </w:t>
      </w:r>
      <w:r>
        <w:rPr>
          <w:w w:val="120"/>
          <w:sz w:val="20"/>
        </w:rPr>
        <w:t>workplace</w:t>
      </w:r>
      <w:r>
        <w:rPr>
          <w:spacing w:val="7"/>
          <w:w w:val="120"/>
          <w:sz w:val="20"/>
        </w:rPr>
        <w:t> </w:t>
      </w:r>
      <w:r>
        <w:rPr>
          <w:w w:val="120"/>
          <w:sz w:val="20"/>
        </w:rPr>
        <w:t>and</w:t>
      </w:r>
      <w:r>
        <w:rPr>
          <w:spacing w:val="7"/>
          <w:w w:val="120"/>
          <w:sz w:val="20"/>
        </w:rPr>
        <w:t> </w:t>
      </w:r>
      <w:r>
        <w:rPr>
          <w:w w:val="120"/>
          <w:sz w:val="20"/>
        </w:rPr>
        <w:t>industrial</w:t>
      </w:r>
      <w:r>
        <w:rPr>
          <w:spacing w:val="7"/>
          <w:w w:val="120"/>
          <w:sz w:val="20"/>
        </w:rPr>
        <w:t> </w:t>
      </w:r>
      <w:r>
        <w:rPr>
          <w:w w:val="120"/>
          <w:sz w:val="20"/>
        </w:rPr>
        <w:t>mission,</w:t>
      </w:r>
      <w:r>
        <w:rPr>
          <w:spacing w:val="7"/>
          <w:w w:val="120"/>
          <w:sz w:val="20"/>
        </w:rPr>
        <w:t> </w:t>
      </w:r>
      <w:r>
        <w:rPr>
          <w:w w:val="120"/>
          <w:sz w:val="20"/>
        </w:rPr>
        <w:t>healthcare,</w:t>
      </w:r>
    </w:p>
    <w:p>
      <w:pPr>
        <w:pStyle w:val="BodyText"/>
        <w:spacing w:line="235" w:lineRule="auto" w:before="1"/>
        <w:ind w:left="1984" w:right="1273"/>
      </w:pPr>
      <w:r>
        <w:rPr>
          <w:w w:val="120"/>
        </w:rPr>
        <w:t>prisons, higher and further education and the armed forces. Planning is under way to bring together those involved in these many constituencies for mutual support, the sharing of experience and an opportunity to say something collectively to the United Reformed Church about their experience of ministry exercised beyond the walls of our church buildings.</w:t>
      </w:r>
    </w:p>
    <w:p>
      <w:pPr>
        <w:pStyle w:val="BodyText"/>
      </w:pPr>
    </w:p>
    <w:p>
      <w:pPr>
        <w:pStyle w:val="ListParagraph"/>
        <w:numPr>
          <w:ilvl w:val="1"/>
          <w:numId w:val="135"/>
        </w:numPr>
        <w:tabs>
          <w:tab w:pos="2664" w:val="left" w:leader="none"/>
          <w:tab w:pos="2665" w:val="left" w:leader="none"/>
        </w:tabs>
        <w:spacing w:line="235" w:lineRule="auto" w:before="0" w:after="0"/>
        <w:ind w:left="1984" w:right="1369" w:firstLine="0"/>
        <w:jc w:val="left"/>
        <w:rPr>
          <w:sz w:val="20"/>
        </w:rPr>
      </w:pPr>
      <w:r>
        <w:rPr>
          <w:w w:val="120"/>
          <w:sz w:val="20"/>
        </w:rPr>
        <w:t>With the ongoing deployment of HM Forces in Afghanistan we would wish to draw special attention to the contribution made by those United Reformed Church ministers who serve as chaplains to the armed forces through the United Board. With seven full-time chaplains we currently have our highest number for some time serving in this </w:t>
      </w:r>
      <w:r>
        <w:rPr>
          <w:spacing w:val="-4"/>
          <w:w w:val="120"/>
          <w:sz w:val="20"/>
        </w:rPr>
        <w:t>way, </w:t>
      </w:r>
      <w:r>
        <w:rPr>
          <w:w w:val="120"/>
          <w:sz w:val="20"/>
        </w:rPr>
        <w:t>with at least one chaplain in each branch of the military. Some of these chaplains have been deployed to active war zones in the recent past and others will go in the future, and we offer our prayers for them, their colleagues from other traditions, and the men and women and their families amongst whom they</w:t>
      </w:r>
      <w:r>
        <w:rPr>
          <w:spacing w:val="23"/>
          <w:w w:val="120"/>
          <w:sz w:val="20"/>
        </w:rPr>
        <w:t> </w:t>
      </w:r>
      <w:r>
        <w:rPr>
          <w:w w:val="120"/>
          <w:sz w:val="20"/>
        </w:rPr>
        <w:t>minister.</w:t>
      </w:r>
    </w:p>
    <w:p>
      <w:pPr>
        <w:spacing w:after="0" w:line="235" w:lineRule="auto"/>
        <w:jc w:val="left"/>
        <w:rPr>
          <w:sz w:val="20"/>
        </w:rPr>
        <w:sectPr>
          <w:pgSz w:w="11910" w:h="16840"/>
          <w:pgMar w:header="0" w:footer="647" w:top="1060" w:bottom="840" w:left="0" w:right="0"/>
        </w:sectPr>
      </w:pPr>
    </w:p>
    <w:p>
      <w:pPr>
        <w:pStyle w:val="Heading6"/>
        <w:spacing w:before="101"/>
      </w:pPr>
      <w:r>
        <w:rPr/>
        <w:pict>
          <v:rect style="position:absolute;margin-left:12.047pt;margin-top:8.488775pt;width:22.677pt;height:22.677pt;mso-position-horizontal-relative:page;mso-position-vertical-relative:paragraph;z-index:252097536" filled="true" fillcolor="#dae4ec" stroked="false">
            <v:fill opacity="32768f" type="solid"/>
            <w10:wrap type="none"/>
          </v:rect>
        </w:pict>
      </w:r>
      <w:r>
        <w:rPr>
          <w:spacing w:val="4"/>
          <w:w w:val="110"/>
        </w:rPr>
        <w:t>Responding </w:t>
      </w:r>
      <w:r>
        <w:rPr>
          <w:w w:val="110"/>
        </w:rPr>
        <w:t>to </w:t>
      </w:r>
      <w:r>
        <w:rPr>
          <w:spacing w:val="4"/>
          <w:w w:val="110"/>
        </w:rPr>
        <w:t>changes </w:t>
      </w:r>
      <w:r>
        <w:rPr>
          <w:w w:val="110"/>
        </w:rPr>
        <w:t>in </w:t>
      </w:r>
      <w:r>
        <w:rPr>
          <w:spacing w:val="2"/>
          <w:w w:val="110"/>
        </w:rPr>
        <w:t>the</w:t>
      </w:r>
      <w:r>
        <w:rPr>
          <w:spacing w:val="55"/>
          <w:w w:val="110"/>
        </w:rPr>
        <w:t> </w:t>
      </w:r>
      <w:r>
        <w:rPr>
          <w:w w:val="110"/>
        </w:rPr>
        <w:t>law</w:t>
      </w:r>
    </w:p>
    <w:p>
      <w:pPr>
        <w:numPr>
          <w:ilvl w:val="0"/>
          <w:numId w:val="135"/>
        </w:numPr>
        <w:tabs>
          <w:tab w:pos="1853" w:val="left" w:leader="none"/>
          <w:tab w:pos="1854" w:val="left" w:leader="none"/>
        </w:tabs>
        <w:spacing w:before="169"/>
        <w:ind w:left="1853" w:right="0" w:hanging="721"/>
        <w:jc w:val="left"/>
        <w:rPr>
          <w:rFonts w:ascii="Stone Sans II ITC Std Bk"/>
          <w:b/>
          <w:sz w:val="21"/>
        </w:rPr>
      </w:pPr>
      <w:r>
        <w:rPr>
          <w:rFonts w:ascii="Stone Sans II ITC Std Bk"/>
          <w:b/>
          <w:w w:val="115"/>
          <w:sz w:val="21"/>
        </w:rPr>
        <w:t>Points based system for</w:t>
      </w:r>
      <w:r>
        <w:rPr>
          <w:rFonts w:ascii="Stone Sans II ITC Std Bk"/>
          <w:b/>
          <w:spacing w:val="-7"/>
          <w:w w:val="115"/>
          <w:sz w:val="21"/>
        </w:rPr>
        <w:t> </w:t>
      </w:r>
      <w:r>
        <w:rPr>
          <w:rFonts w:ascii="Stone Sans II ITC Std Bk"/>
          <w:b/>
          <w:w w:val="115"/>
          <w:sz w:val="21"/>
        </w:rPr>
        <w:t>immigration</w:t>
      </w:r>
    </w:p>
    <w:p>
      <w:pPr>
        <w:pStyle w:val="ListParagraph"/>
        <w:numPr>
          <w:ilvl w:val="1"/>
          <w:numId w:val="135"/>
        </w:numPr>
        <w:tabs>
          <w:tab w:pos="1814" w:val="left" w:leader="none"/>
          <w:tab w:pos="1815" w:val="left" w:leader="none"/>
        </w:tabs>
        <w:spacing w:line="235" w:lineRule="auto" w:before="223" w:after="0"/>
        <w:ind w:left="1133" w:right="2146" w:firstLine="0"/>
        <w:jc w:val="left"/>
        <w:rPr>
          <w:sz w:val="20"/>
        </w:rPr>
      </w:pPr>
      <w:r>
        <w:rPr>
          <w:w w:val="120"/>
          <w:sz w:val="20"/>
        </w:rPr>
        <w:t>In November 2008 a new system of regulation was introduced by the Home Office for those who wanted to work in the United Kingdom but who did not have an automatic right to do so. The introduction of the Points Based System for Immigration </w:t>
      </w:r>
      <w:r>
        <w:rPr>
          <w:spacing w:val="-3"/>
          <w:w w:val="120"/>
          <w:sz w:val="20"/>
        </w:rPr>
        <w:t>(PBS) </w:t>
      </w:r>
      <w:r>
        <w:rPr>
          <w:w w:val="120"/>
          <w:sz w:val="20"/>
        </w:rPr>
        <w:t>raised concern amongst many within the United Reformed Church and our ecumenical partners with regard to fairness and the treatment of those from the poorer </w:t>
      </w:r>
      <w:r>
        <w:rPr>
          <w:spacing w:val="2"/>
          <w:w w:val="120"/>
          <w:sz w:val="20"/>
        </w:rPr>
        <w:t>parts </w:t>
      </w:r>
      <w:r>
        <w:rPr>
          <w:w w:val="120"/>
          <w:sz w:val="20"/>
        </w:rPr>
        <w:t>of our</w:t>
      </w:r>
      <w:r>
        <w:rPr>
          <w:spacing w:val="4"/>
          <w:w w:val="120"/>
          <w:sz w:val="20"/>
        </w:rPr>
        <w:t> </w:t>
      </w:r>
      <w:r>
        <w:rPr>
          <w:w w:val="120"/>
          <w:sz w:val="20"/>
        </w:rPr>
        <w:t>world.</w:t>
      </w:r>
    </w:p>
    <w:p>
      <w:pPr>
        <w:pStyle w:val="BodyText"/>
      </w:pPr>
    </w:p>
    <w:p>
      <w:pPr>
        <w:pStyle w:val="ListParagraph"/>
        <w:numPr>
          <w:ilvl w:val="1"/>
          <w:numId w:val="135"/>
        </w:numPr>
        <w:tabs>
          <w:tab w:pos="1814" w:val="left" w:leader="none"/>
          <w:tab w:pos="1815" w:val="left" w:leader="none"/>
        </w:tabs>
        <w:spacing w:line="235" w:lineRule="auto" w:before="0" w:after="0"/>
        <w:ind w:left="1133" w:right="2110" w:firstLine="0"/>
        <w:jc w:val="left"/>
        <w:rPr>
          <w:sz w:val="20"/>
        </w:rPr>
      </w:pPr>
      <w:r>
        <w:rPr>
          <w:w w:val="120"/>
          <w:sz w:val="20"/>
        </w:rPr>
        <w:t>However in order to enable ministers from other </w:t>
      </w:r>
      <w:r>
        <w:rPr>
          <w:spacing w:val="2"/>
          <w:w w:val="120"/>
          <w:sz w:val="20"/>
        </w:rPr>
        <w:t>parts </w:t>
      </w:r>
      <w:r>
        <w:rPr>
          <w:w w:val="120"/>
          <w:sz w:val="20"/>
        </w:rPr>
        <w:t>of the world to serve the United Reformed Church and to allow some who are already here to continue when their current visas expire, it became necessary to register under the system, and to keep such records as would enable us to maintain that registration. This led to a complicated bureaucratic task as we sought to check the right to work of all ministers who received remuneration from the United Reformed Church. We wish to record our thanks to all those who, despite some misgivings, have worked hard to make this happen. At the same time we must recognise that others have wished to make a personal stance which may have future serious implications for brothers and sisters who have come to us from other </w:t>
      </w:r>
      <w:r>
        <w:rPr>
          <w:spacing w:val="2"/>
          <w:w w:val="120"/>
          <w:sz w:val="20"/>
        </w:rPr>
        <w:t>parts </w:t>
      </w:r>
      <w:r>
        <w:rPr>
          <w:w w:val="120"/>
          <w:sz w:val="20"/>
        </w:rPr>
        <w:t>of Christ’s</w:t>
      </w:r>
      <w:r>
        <w:rPr>
          <w:spacing w:val="6"/>
          <w:w w:val="120"/>
          <w:sz w:val="20"/>
        </w:rPr>
        <w:t> </w:t>
      </w:r>
      <w:r>
        <w:rPr>
          <w:w w:val="120"/>
          <w:sz w:val="20"/>
        </w:rPr>
        <w:t>world.</w:t>
      </w:r>
    </w:p>
    <w:p>
      <w:pPr>
        <w:pStyle w:val="BodyText"/>
        <w:spacing w:before="1"/>
        <w:rPr>
          <w:sz w:val="18"/>
        </w:rPr>
      </w:pPr>
    </w:p>
    <w:p>
      <w:pPr>
        <w:numPr>
          <w:ilvl w:val="0"/>
          <w:numId w:val="135"/>
        </w:numPr>
        <w:tabs>
          <w:tab w:pos="1853" w:val="left" w:leader="none"/>
          <w:tab w:pos="1854" w:val="left" w:leader="none"/>
        </w:tabs>
        <w:spacing w:before="0"/>
        <w:ind w:left="1853" w:right="0" w:hanging="721"/>
        <w:jc w:val="left"/>
        <w:rPr>
          <w:rFonts w:ascii="Stone Sans II ITC Std Bk" w:hAnsi="Stone Sans II ITC Std Bk"/>
          <w:b/>
          <w:sz w:val="21"/>
        </w:rPr>
      </w:pPr>
      <w:r>
        <w:rPr>
          <w:rFonts w:ascii="Stone Sans II ITC Std Bk" w:hAnsi="Stone Sans II ITC Std Bk"/>
          <w:b/>
          <w:w w:val="115"/>
          <w:sz w:val="21"/>
        </w:rPr>
        <w:t>Safeguarding – Vetting and</w:t>
      </w:r>
      <w:r>
        <w:rPr>
          <w:rFonts w:ascii="Stone Sans II ITC Std Bk" w:hAnsi="Stone Sans II ITC Std Bk"/>
          <w:b/>
          <w:spacing w:val="-7"/>
          <w:w w:val="115"/>
          <w:sz w:val="21"/>
        </w:rPr>
        <w:t> </w:t>
      </w:r>
      <w:r>
        <w:rPr>
          <w:rFonts w:ascii="Stone Sans II ITC Std Bk" w:hAnsi="Stone Sans II ITC Std Bk"/>
          <w:b/>
          <w:w w:val="115"/>
          <w:sz w:val="21"/>
        </w:rPr>
        <w:t>Barring</w:t>
      </w:r>
    </w:p>
    <w:p>
      <w:pPr>
        <w:pStyle w:val="ListParagraph"/>
        <w:numPr>
          <w:ilvl w:val="1"/>
          <w:numId w:val="135"/>
        </w:numPr>
        <w:tabs>
          <w:tab w:pos="1814" w:val="left" w:leader="none"/>
          <w:tab w:pos="1815" w:val="left" w:leader="none"/>
        </w:tabs>
        <w:spacing w:line="235" w:lineRule="auto" w:before="223" w:after="0"/>
        <w:ind w:left="1133" w:right="2150" w:firstLine="0"/>
        <w:jc w:val="left"/>
        <w:rPr>
          <w:sz w:val="20"/>
        </w:rPr>
      </w:pPr>
      <w:r>
        <w:rPr>
          <w:w w:val="120"/>
          <w:sz w:val="20"/>
        </w:rPr>
        <w:t>The </w:t>
      </w:r>
      <w:r>
        <w:rPr>
          <w:spacing w:val="2"/>
          <w:w w:val="120"/>
          <w:sz w:val="20"/>
        </w:rPr>
        <w:t>report </w:t>
      </w:r>
      <w:r>
        <w:rPr>
          <w:w w:val="120"/>
          <w:sz w:val="20"/>
        </w:rPr>
        <w:t>of the Bichard Inquiry into the murder of Jessica Chapman and Holly Wells in Soham, has led to the introduction of the Independent Safeguarding Authority </w:t>
      </w:r>
      <w:r>
        <w:rPr>
          <w:spacing w:val="-3"/>
          <w:w w:val="120"/>
          <w:sz w:val="20"/>
        </w:rPr>
        <w:t>(ISA) </w:t>
      </w:r>
      <w:r>
        <w:rPr>
          <w:w w:val="120"/>
          <w:sz w:val="20"/>
        </w:rPr>
        <w:t>and the Vetting and Barring Scheme (VBS). Ministries has been working alongside the </w:t>
      </w:r>
      <w:r>
        <w:rPr>
          <w:spacing w:val="-3"/>
          <w:w w:val="120"/>
          <w:sz w:val="20"/>
        </w:rPr>
        <w:t>Youth </w:t>
      </w:r>
      <w:r>
        <w:rPr>
          <w:w w:val="120"/>
          <w:sz w:val="20"/>
        </w:rPr>
        <w:t>and Children’s Work Committee, to understand the implications for us at all levels of the United Reformed </w:t>
      </w:r>
      <w:r>
        <w:rPr>
          <w:spacing w:val="-3"/>
          <w:w w:val="120"/>
          <w:sz w:val="20"/>
        </w:rPr>
        <w:t>Church’s </w:t>
      </w:r>
      <w:r>
        <w:rPr>
          <w:w w:val="120"/>
          <w:sz w:val="20"/>
        </w:rPr>
        <w:t>life, and to provide guidance for those who will be affected by the implementation of</w:t>
      </w:r>
      <w:r>
        <w:rPr>
          <w:spacing w:val="12"/>
          <w:w w:val="120"/>
          <w:sz w:val="20"/>
        </w:rPr>
        <w:t> </w:t>
      </w:r>
      <w:r>
        <w:rPr>
          <w:w w:val="120"/>
          <w:sz w:val="20"/>
        </w:rPr>
        <w:t>VBS.</w:t>
      </w:r>
    </w:p>
    <w:p>
      <w:pPr>
        <w:pStyle w:val="BodyText"/>
        <w:spacing w:before="9"/>
      </w:pPr>
    </w:p>
    <w:p>
      <w:pPr>
        <w:pStyle w:val="ListParagraph"/>
        <w:numPr>
          <w:ilvl w:val="1"/>
          <w:numId w:val="135"/>
        </w:numPr>
        <w:tabs>
          <w:tab w:pos="1814" w:val="left" w:leader="none"/>
          <w:tab w:pos="1815" w:val="left" w:leader="none"/>
        </w:tabs>
        <w:spacing w:line="223" w:lineRule="auto" w:before="1" w:after="0"/>
        <w:ind w:left="1133" w:right="3045" w:firstLine="0"/>
        <w:jc w:val="left"/>
        <w:rPr>
          <w:rFonts w:ascii="Stone Sans II ITC Std Bk"/>
          <w:b/>
          <w:sz w:val="20"/>
        </w:rPr>
      </w:pPr>
      <w:r>
        <w:rPr>
          <w:w w:val="115"/>
          <w:sz w:val="20"/>
        </w:rPr>
        <w:t>General Assembly is asked to support these measures to help safeguard vulnerable members of our community. </w:t>
      </w:r>
      <w:r>
        <w:rPr>
          <w:rFonts w:ascii="Stone Sans II ITC Std Bk"/>
          <w:b/>
          <w:w w:val="115"/>
          <w:sz w:val="20"/>
        </w:rPr>
        <w:t>Resolution </w:t>
      </w:r>
      <w:r>
        <w:rPr>
          <w:rFonts w:ascii="Stone Sans II ITC Std Bk"/>
          <w:b/>
          <w:spacing w:val="-7"/>
          <w:w w:val="115"/>
          <w:sz w:val="20"/>
        </w:rPr>
        <w:t>21, </w:t>
      </w:r>
      <w:r>
        <w:rPr>
          <w:rFonts w:ascii="Stone Sans II ITC Std Bk"/>
          <w:b/>
          <w:w w:val="115"/>
          <w:sz w:val="20"/>
        </w:rPr>
        <w:t>page</w:t>
      </w:r>
      <w:r>
        <w:rPr>
          <w:rFonts w:ascii="Stone Sans II ITC Std Bk"/>
          <w:b/>
          <w:spacing w:val="34"/>
          <w:w w:val="115"/>
          <w:sz w:val="20"/>
        </w:rPr>
        <w:t> </w:t>
      </w:r>
      <w:r>
        <w:rPr>
          <w:rFonts w:ascii="Stone Sans II ITC Std Bk"/>
          <w:b/>
          <w:w w:val="115"/>
          <w:sz w:val="20"/>
        </w:rPr>
        <w:t>254</w:t>
      </w:r>
    </w:p>
    <w:p>
      <w:pPr>
        <w:pStyle w:val="BodyText"/>
        <w:spacing w:before="11"/>
        <w:rPr>
          <w:rFonts w:ascii="Stone Sans II ITC Std Bk"/>
          <w:b/>
          <w:sz w:val="32"/>
        </w:rPr>
      </w:pPr>
    </w:p>
    <w:p>
      <w:pPr>
        <w:pStyle w:val="Heading6"/>
      </w:pPr>
      <w:r>
        <w:rPr>
          <w:w w:val="110"/>
        </w:rPr>
        <w:t>Resolutions</w:t>
      </w:r>
    </w:p>
    <w:p>
      <w:pPr>
        <w:numPr>
          <w:ilvl w:val="0"/>
          <w:numId w:val="135"/>
        </w:numPr>
        <w:tabs>
          <w:tab w:pos="1853" w:val="left" w:leader="none"/>
          <w:tab w:pos="1854" w:val="left" w:leader="none"/>
        </w:tabs>
        <w:spacing w:before="169"/>
        <w:ind w:left="1853" w:right="0" w:hanging="721"/>
        <w:jc w:val="left"/>
        <w:rPr>
          <w:rFonts w:ascii="Stone Sans II ITC Std Bk"/>
          <w:b/>
          <w:sz w:val="21"/>
        </w:rPr>
      </w:pPr>
      <w:r>
        <w:rPr>
          <w:rFonts w:ascii="Stone Sans II ITC Std Bk"/>
          <w:b/>
          <w:w w:val="115"/>
          <w:sz w:val="21"/>
        </w:rPr>
        <w:t>The ministerial working</w:t>
      </w:r>
      <w:r>
        <w:rPr>
          <w:rFonts w:ascii="Stone Sans II ITC Std Bk"/>
          <w:b/>
          <w:spacing w:val="-5"/>
          <w:w w:val="115"/>
          <w:sz w:val="21"/>
        </w:rPr>
        <w:t> </w:t>
      </w:r>
      <w:r>
        <w:rPr>
          <w:rFonts w:ascii="Stone Sans II ITC Std Bk"/>
          <w:b/>
          <w:w w:val="115"/>
          <w:sz w:val="21"/>
        </w:rPr>
        <w:t>week</w:t>
      </w:r>
    </w:p>
    <w:p>
      <w:pPr>
        <w:pStyle w:val="ListParagraph"/>
        <w:numPr>
          <w:ilvl w:val="1"/>
          <w:numId w:val="135"/>
        </w:numPr>
        <w:tabs>
          <w:tab w:pos="1814" w:val="left" w:leader="none"/>
          <w:tab w:pos="1815" w:val="left" w:leader="none"/>
        </w:tabs>
        <w:spacing w:line="235" w:lineRule="auto" w:before="223" w:after="0"/>
        <w:ind w:left="1133" w:right="2248" w:firstLine="0"/>
        <w:jc w:val="left"/>
        <w:rPr>
          <w:sz w:val="20"/>
        </w:rPr>
      </w:pPr>
      <w:r>
        <w:rPr>
          <w:w w:val="120"/>
          <w:sz w:val="20"/>
        </w:rPr>
        <w:t>Part of the remit of the Ministries Committee is a concern for the central care and conditions of service of Ministers of Word and Sacrament and Church Related Community Workers, and in the exercise of that concern the committee believes that some</w:t>
      </w:r>
      <w:r>
        <w:rPr>
          <w:spacing w:val="7"/>
          <w:w w:val="120"/>
          <w:sz w:val="20"/>
        </w:rPr>
        <w:t> </w:t>
      </w:r>
      <w:r>
        <w:rPr>
          <w:w w:val="120"/>
          <w:sz w:val="20"/>
        </w:rPr>
        <w:t>guidance</w:t>
      </w:r>
      <w:r>
        <w:rPr>
          <w:spacing w:val="7"/>
          <w:w w:val="120"/>
          <w:sz w:val="20"/>
        </w:rPr>
        <w:t> </w:t>
      </w:r>
      <w:r>
        <w:rPr>
          <w:w w:val="120"/>
          <w:sz w:val="20"/>
        </w:rPr>
        <w:t>should</w:t>
      </w:r>
      <w:r>
        <w:rPr>
          <w:spacing w:val="8"/>
          <w:w w:val="120"/>
          <w:sz w:val="20"/>
        </w:rPr>
        <w:t> </w:t>
      </w:r>
      <w:r>
        <w:rPr>
          <w:w w:val="120"/>
          <w:sz w:val="20"/>
        </w:rPr>
        <w:t>be</w:t>
      </w:r>
      <w:r>
        <w:rPr>
          <w:spacing w:val="7"/>
          <w:w w:val="120"/>
          <w:sz w:val="20"/>
        </w:rPr>
        <w:t> </w:t>
      </w:r>
      <w:r>
        <w:rPr>
          <w:w w:val="120"/>
          <w:sz w:val="20"/>
        </w:rPr>
        <w:t>given</w:t>
      </w:r>
      <w:r>
        <w:rPr>
          <w:spacing w:val="7"/>
          <w:w w:val="120"/>
          <w:sz w:val="20"/>
        </w:rPr>
        <w:t> </w:t>
      </w:r>
      <w:r>
        <w:rPr>
          <w:w w:val="120"/>
          <w:sz w:val="20"/>
        </w:rPr>
        <w:t>about</w:t>
      </w:r>
      <w:r>
        <w:rPr>
          <w:spacing w:val="8"/>
          <w:w w:val="120"/>
          <w:sz w:val="20"/>
        </w:rPr>
        <w:t> </w:t>
      </w:r>
      <w:r>
        <w:rPr>
          <w:w w:val="120"/>
          <w:sz w:val="20"/>
        </w:rPr>
        <w:t>the</w:t>
      </w:r>
      <w:r>
        <w:rPr>
          <w:spacing w:val="7"/>
          <w:w w:val="120"/>
          <w:sz w:val="20"/>
        </w:rPr>
        <w:t> </w:t>
      </w:r>
      <w:r>
        <w:rPr>
          <w:w w:val="120"/>
          <w:sz w:val="20"/>
        </w:rPr>
        <w:t>ministerial</w:t>
      </w:r>
      <w:r>
        <w:rPr>
          <w:spacing w:val="7"/>
          <w:w w:val="120"/>
          <w:sz w:val="20"/>
        </w:rPr>
        <w:t> </w:t>
      </w:r>
      <w:r>
        <w:rPr>
          <w:w w:val="120"/>
          <w:sz w:val="20"/>
        </w:rPr>
        <w:t>working</w:t>
      </w:r>
      <w:r>
        <w:rPr>
          <w:spacing w:val="8"/>
          <w:w w:val="120"/>
          <w:sz w:val="20"/>
        </w:rPr>
        <w:t> </w:t>
      </w:r>
      <w:r>
        <w:rPr>
          <w:w w:val="120"/>
          <w:sz w:val="20"/>
        </w:rPr>
        <w:t>week.</w:t>
      </w:r>
      <w:r>
        <w:rPr>
          <w:spacing w:val="7"/>
          <w:w w:val="120"/>
          <w:sz w:val="20"/>
        </w:rPr>
        <w:t> </w:t>
      </w:r>
      <w:r>
        <w:rPr>
          <w:w w:val="120"/>
          <w:sz w:val="20"/>
        </w:rPr>
        <w:t>Ministers</w:t>
      </w:r>
      <w:r>
        <w:rPr>
          <w:spacing w:val="7"/>
          <w:w w:val="120"/>
          <w:sz w:val="20"/>
        </w:rPr>
        <w:t> </w:t>
      </w:r>
      <w:r>
        <w:rPr>
          <w:w w:val="120"/>
          <w:sz w:val="20"/>
        </w:rPr>
        <w:t>need</w:t>
      </w:r>
      <w:r>
        <w:rPr>
          <w:spacing w:val="8"/>
          <w:w w:val="120"/>
          <w:sz w:val="20"/>
        </w:rPr>
        <w:t> </w:t>
      </w:r>
      <w:r>
        <w:rPr>
          <w:w w:val="120"/>
          <w:sz w:val="20"/>
        </w:rPr>
        <w:t>to</w:t>
      </w:r>
    </w:p>
    <w:p>
      <w:pPr>
        <w:pStyle w:val="BodyText"/>
        <w:spacing w:line="235" w:lineRule="auto" w:before="3"/>
        <w:ind w:left="1133" w:right="1997"/>
      </w:pPr>
      <w:r>
        <w:rPr>
          <w:w w:val="120"/>
        </w:rPr>
        <w:t>be encouraged and allowed to establish and work within a proper relationship between living and working, doing and being.</w:t>
      </w:r>
    </w:p>
    <w:p>
      <w:pPr>
        <w:pStyle w:val="BodyText"/>
        <w:spacing w:before="11"/>
        <w:rPr>
          <w:sz w:val="19"/>
        </w:rPr>
      </w:pPr>
    </w:p>
    <w:p>
      <w:pPr>
        <w:pStyle w:val="ListParagraph"/>
        <w:numPr>
          <w:ilvl w:val="1"/>
          <w:numId w:val="135"/>
        </w:numPr>
        <w:tabs>
          <w:tab w:pos="1814" w:val="left" w:leader="none"/>
          <w:tab w:pos="1815" w:val="left" w:leader="none"/>
        </w:tabs>
        <w:spacing w:line="232" w:lineRule="auto" w:before="0" w:after="0"/>
        <w:ind w:left="1133" w:right="2144" w:firstLine="0"/>
        <w:jc w:val="left"/>
        <w:rPr>
          <w:rFonts w:ascii="Stone Sans II ITC Std Bk" w:hAnsi="Stone Sans II ITC Std Bk"/>
          <w:b/>
          <w:sz w:val="20"/>
        </w:rPr>
      </w:pPr>
      <w:r>
        <w:rPr>
          <w:w w:val="120"/>
          <w:sz w:val="20"/>
        </w:rPr>
        <w:t>Whilst taking note of the vocational life, which leads individuals to respond instinctively to the needs of others the Ministries Committee feels it right to offer guidelines on the ministerial working week, in order to take seriously the concept of work/life balance, and leave the minister/ Church Related Community Worker with time for family and friends as well as free to give voluntary time to any cause about which he/she feels passionate, but which is not </w:t>
      </w:r>
      <w:r>
        <w:rPr>
          <w:spacing w:val="2"/>
          <w:w w:val="120"/>
          <w:sz w:val="20"/>
        </w:rPr>
        <w:t>part </w:t>
      </w:r>
      <w:r>
        <w:rPr>
          <w:w w:val="120"/>
          <w:sz w:val="20"/>
        </w:rPr>
        <w:t>of the local </w:t>
      </w:r>
      <w:r>
        <w:rPr>
          <w:spacing w:val="-3"/>
          <w:w w:val="120"/>
          <w:sz w:val="20"/>
        </w:rPr>
        <w:t>church’s </w:t>
      </w:r>
      <w:r>
        <w:rPr>
          <w:w w:val="120"/>
          <w:sz w:val="20"/>
        </w:rPr>
        <w:t>planned vision and mission. </w:t>
      </w:r>
      <w:r>
        <w:rPr>
          <w:rFonts w:ascii="Stone Sans II ITC Std Bk" w:hAnsi="Stone Sans II ITC Std Bk"/>
          <w:b/>
          <w:w w:val="120"/>
          <w:sz w:val="20"/>
        </w:rPr>
        <w:t>Resolution </w:t>
      </w:r>
      <w:r>
        <w:rPr>
          <w:rFonts w:ascii="Stone Sans II ITC Std Bk" w:hAnsi="Stone Sans II ITC Std Bk"/>
          <w:b/>
          <w:spacing w:val="-12"/>
          <w:w w:val="120"/>
          <w:sz w:val="20"/>
        </w:rPr>
        <w:t>11, </w:t>
      </w:r>
      <w:r>
        <w:rPr>
          <w:rFonts w:ascii="Stone Sans II ITC Std Bk" w:hAnsi="Stone Sans II ITC Std Bk"/>
          <w:b/>
          <w:w w:val="120"/>
          <w:sz w:val="20"/>
        </w:rPr>
        <w:t>page</w:t>
      </w:r>
      <w:r>
        <w:rPr>
          <w:rFonts w:ascii="Stone Sans II ITC Std Bk" w:hAnsi="Stone Sans II ITC Std Bk"/>
          <w:b/>
          <w:spacing w:val="-13"/>
          <w:w w:val="120"/>
          <w:sz w:val="20"/>
        </w:rPr>
        <w:t> </w:t>
      </w:r>
      <w:r>
        <w:rPr>
          <w:rFonts w:ascii="Stone Sans II ITC Std Bk" w:hAnsi="Stone Sans II ITC Std Bk"/>
          <w:b/>
          <w:w w:val="120"/>
          <w:sz w:val="20"/>
        </w:rPr>
        <w:t>248</w:t>
      </w:r>
    </w:p>
    <w:p>
      <w:pPr>
        <w:spacing w:after="0" w:line="232" w:lineRule="auto"/>
        <w:jc w:val="left"/>
        <w:rPr>
          <w:rFonts w:ascii="Stone Sans II ITC Std Bk" w:hAnsi="Stone Sans II ITC Std Bk"/>
          <w:sz w:val="20"/>
        </w:rPr>
        <w:sectPr>
          <w:pgSz w:w="11910" w:h="16840"/>
          <w:pgMar w:header="0" w:footer="647" w:top="1060" w:bottom="840" w:left="0" w:right="0"/>
        </w:sectPr>
      </w:pPr>
    </w:p>
    <w:p>
      <w:pPr>
        <w:numPr>
          <w:ilvl w:val="0"/>
          <w:numId w:val="135"/>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2100608" filled="true" fillcolor="#dae4ec" stroked="false">
            <v:fill opacity="32768f" type="solid"/>
            <w10:wrap type="none"/>
          </v:rect>
        </w:pict>
      </w:r>
      <w:r>
        <w:rPr>
          <w:rFonts w:ascii="Stone Sans II ITC Std Bk"/>
          <w:b/>
          <w:w w:val="115"/>
          <w:sz w:val="21"/>
        </w:rPr>
        <w:t>Guidelines on conduct and</w:t>
      </w:r>
      <w:r>
        <w:rPr>
          <w:rFonts w:ascii="Stone Sans II ITC Std Bk"/>
          <w:b/>
          <w:spacing w:val="-7"/>
          <w:w w:val="115"/>
          <w:sz w:val="21"/>
        </w:rPr>
        <w:t> </w:t>
      </w:r>
      <w:r>
        <w:rPr>
          <w:rFonts w:ascii="Stone Sans II ITC Std Bk"/>
          <w:b/>
          <w:w w:val="115"/>
          <w:sz w:val="21"/>
        </w:rPr>
        <w:t>behaviour</w:t>
      </w:r>
    </w:p>
    <w:p>
      <w:pPr>
        <w:pStyle w:val="ListParagraph"/>
        <w:numPr>
          <w:ilvl w:val="1"/>
          <w:numId w:val="135"/>
        </w:numPr>
        <w:tabs>
          <w:tab w:pos="2664" w:val="left" w:leader="none"/>
          <w:tab w:pos="2665" w:val="left" w:leader="none"/>
        </w:tabs>
        <w:spacing w:line="235" w:lineRule="auto" w:before="223" w:after="0"/>
        <w:ind w:left="1984" w:right="1497" w:firstLine="0"/>
        <w:jc w:val="left"/>
        <w:rPr>
          <w:sz w:val="20"/>
        </w:rPr>
      </w:pPr>
      <w:r>
        <w:rPr>
          <w:w w:val="120"/>
          <w:sz w:val="20"/>
        </w:rPr>
        <w:t>From time to time discussion arises regarding the expectations churches have of those appointed to provide leadership, particularly ministers, both of Word and Sacrament and Church Related Community Workers, and elders. In presenting these guidelines we seek to draw attention to the implications of the promise made by ministers ‘to live a holy </w:t>
      </w:r>
      <w:r>
        <w:rPr>
          <w:spacing w:val="-4"/>
          <w:w w:val="120"/>
          <w:sz w:val="20"/>
        </w:rPr>
        <w:t>life’, </w:t>
      </w:r>
      <w:r>
        <w:rPr>
          <w:w w:val="120"/>
          <w:sz w:val="20"/>
        </w:rPr>
        <w:t>outline what duty to colleagues may look like, and define the type of activities that may damage the well-being, purity and peace of the United Reformed</w:t>
      </w:r>
      <w:r>
        <w:rPr>
          <w:spacing w:val="2"/>
          <w:w w:val="120"/>
          <w:sz w:val="20"/>
        </w:rPr>
        <w:t> </w:t>
      </w:r>
      <w:r>
        <w:rPr>
          <w:w w:val="120"/>
          <w:sz w:val="20"/>
        </w:rPr>
        <w:t>Church.</w:t>
      </w:r>
    </w:p>
    <w:p>
      <w:pPr>
        <w:pStyle w:val="BodyText"/>
        <w:spacing w:before="1"/>
      </w:pPr>
    </w:p>
    <w:p>
      <w:pPr>
        <w:pStyle w:val="ListParagraph"/>
        <w:numPr>
          <w:ilvl w:val="1"/>
          <w:numId w:val="135"/>
        </w:numPr>
        <w:tabs>
          <w:tab w:pos="2664" w:val="left" w:leader="none"/>
          <w:tab w:pos="2665" w:val="left" w:leader="none"/>
        </w:tabs>
        <w:spacing w:line="235" w:lineRule="auto" w:before="0" w:after="0"/>
        <w:ind w:left="1984" w:right="1134" w:firstLine="0"/>
        <w:jc w:val="left"/>
        <w:rPr>
          <w:sz w:val="20"/>
        </w:rPr>
      </w:pPr>
      <w:r>
        <w:rPr>
          <w:w w:val="120"/>
          <w:sz w:val="20"/>
        </w:rPr>
        <w:t>Whilst recognising the wisdom in producing a proscribed list of activities for those in leadership within our Church we believed such a list, however long it was, would  always be incomplete. Furthermore we wanted to encourage positive behaviour and attitudes</w:t>
      </w:r>
      <w:r>
        <w:rPr>
          <w:spacing w:val="-5"/>
          <w:w w:val="120"/>
          <w:sz w:val="20"/>
        </w:rPr>
        <w:t> </w:t>
      </w:r>
      <w:r>
        <w:rPr>
          <w:w w:val="120"/>
          <w:sz w:val="20"/>
        </w:rPr>
        <w:t>as</w:t>
      </w:r>
      <w:r>
        <w:rPr>
          <w:spacing w:val="-4"/>
          <w:w w:val="120"/>
          <w:sz w:val="20"/>
        </w:rPr>
        <w:t> </w:t>
      </w:r>
      <w:r>
        <w:rPr>
          <w:w w:val="120"/>
          <w:sz w:val="20"/>
        </w:rPr>
        <w:t>well</w:t>
      </w:r>
      <w:r>
        <w:rPr>
          <w:spacing w:val="-4"/>
          <w:w w:val="120"/>
          <w:sz w:val="20"/>
        </w:rPr>
        <w:t> </w:t>
      </w:r>
      <w:r>
        <w:rPr>
          <w:w w:val="120"/>
          <w:sz w:val="20"/>
        </w:rPr>
        <w:t>as</w:t>
      </w:r>
      <w:r>
        <w:rPr>
          <w:spacing w:val="-4"/>
          <w:w w:val="120"/>
          <w:sz w:val="20"/>
        </w:rPr>
        <w:t> </w:t>
      </w:r>
      <w:r>
        <w:rPr>
          <w:w w:val="120"/>
          <w:sz w:val="20"/>
        </w:rPr>
        <w:t>drawing</w:t>
      </w:r>
      <w:r>
        <w:rPr>
          <w:spacing w:val="-5"/>
          <w:w w:val="120"/>
          <w:sz w:val="20"/>
        </w:rPr>
        <w:t> </w:t>
      </w:r>
      <w:r>
        <w:rPr>
          <w:w w:val="120"/>
          <w:sz w:val="20"/>
        </w:rPr>
        <w:t>attention</w:t>
      </w:r>
      <w:r>
        <w:rPr>
          <w:spacing w:val="-4"/>
          <w:w w:val="120"/>
          <w:sz w:val="20"/>
        </w:rPr>
        <w:t> </w:t>
      </w:r>
      <w:r>
        <w:rPr>
          <w:w w:val="120"/>
          <w:sz w:val="20"/>
        </w:rPr>
        <w:t>to</w:t>
      </w:r>
      <w:r>
        <w:rPr>
          <w:spacing w:val="-4"/>
          <w:w w:val="120"/>
          <w:sz w:val="20"/>
        </w:rPr>
        <w:t> </w:t>
      </w:r>
      <w:r>
        <w:rPr>
          <w:w w:val="120"/>
          <w:sz w:val="20"/>
        </w:rPr>
        <w:t>areas</w:t>
      </w:r>
      <w:r>
        <w:rPr>
          <w:spacing w:val="-4"/>
          <w:w w:val="120"/>
          <w:sz w:val="20"/>
        </w:rPr>
        <w:t> </w:t>
      </w:r>
      <w:r>
        <w:rPr>
          <w:w w:val="120"/>
          <w:sz w:val="20"/>
        </w:rPr>
        <w:t>of</w:t>
      </w:r>
      <w:r>
        <w:rPr>
          <w:spacing w:val="-5"/>
          <w:w w:val="120"/>
          <w:sz w:val="20"/>
        </w:rPr>
        <w:t> </w:t>
      </w:r>
      <w:r>
        <w:rPr>
          <w:w w:val="120"/>
          <w:sz w:val="20"/>
        </w:rPr>
        <w:t>potential</w:t>
      </w:r>
      <w:r>
        <w:rPr>
          <w:spacing w:val="-4"/>
          <w:w w:val="120"/>
          <w:sz w:val="20"/>
        </w:rPr>
        <w:t> </w:t>
      </w:r>
      <w:r>
        <w:rPr>
          <w:w w:val="120"/>
          <w:sz w:val="20"/>
        </w:rPr>
        <w:t>difficulty.</w:t>
      </w:r>
      <w:r>
        <w:rPr>
          <w:spacing w:val="-4"/>
          <w:w w:val="120"/>
          <w:sz w:val="20"/>
        </w:rPr>
        <w:t> </w:t>
      </w:r>
      <w:r>
        <w:rPr>
          <w:w w:val="120"/>
          <w:sz w:val="20"/>
        </w:rPr>
        <w:t>We</w:t>
      </w:r>
      <w:r>
        <w:rPr>
          <w:spacing w:val="-4"/>
          <w:w w:val="120"/>
          <w:sz w:val="20"/>
        </w:rPr>
        <w:t> </w:t>
      </w:r>
      <w:r>
        <w:rPr>
          <w:w w:val="120"/>
          <w:sz w:val="20"/>
        </w:rPr>
        <w:t>therefore</w:t>
      </w:r>
      <w:r>
        <w:rPr>
          <w:spacing w:val="-5"/>
          <w:w w:val="120"/>
          <w:sz w:val="20"/>
        </w:rPr>
        <w:t> </w:t>
      </w:r>
      <w:r>
        <w:rPr>
          <w:w w:val="120"/>
          <w:sz w:val="20"/>
        </w:rPr>
        <w:t>offer</w:t>
      </w:r>
    </w:p>
    <w:p>
      <w:pPr>
        <w:spacing w:line="223" w:lineRule="auto" w:before="12"/>
        <w:ind w:left="1984" w:right="1120" w:firstLine="0"/>
        <w:jc w:val="left"/>
        <w:rPr>
          <w:rFonts w:ascii="Stone Sans II ITC Std Bk"/>
          <w:b/>
          <w:sz w:val="20"/>
        </w:rPr>
      </w:pPr>
      <w:r>
        <w:rPr>
          <w:w w:val="120"/>
          <w:sz w:val="20"/>
        </w:rPr>
        <w:t>to</w:t>
      </w:r>
      <w:r>
        <w:rPr>
          <w:spacing w:val="-9"/>
          <w:w w:val="120"/>
          <w:sz w:val="20"/>
        </w:rPr>
        <w:t> </w:t>
      </w:r>
      <w:r>
        <w:rPr>
          <w:w w:val="120"/>
          <w:sz w:val="20"/>
        </w:rPr>
        <w:t>the</w:t>
      </w:r>
      <w:r>
        <w:rPr>
          <w:spacing w:val="-9"/>
          <w:w w:val="120"/>
          <w:sz w:val="20"/>
        </w:rPr>
        <w:t> </w:t>
      </w:r>
      <w:r>
        <w:rPr>
          <w:w w:val="120"/>
          <w:sz w:val="20"/>
        </w:rPr>
        <w:t>church</w:t>
      </w:r>
      <w:r>
        <w:rPr>
          <w:spacing w:val="-9"/>
          <w:w w:val="120"/>
          <w:sz w:val="20"/>
        </w:rPr>
        <w:t> </w:t>
      </w:r>
      <w:r>
        <w:rPr>
          <w:w w:val="120"/>
          <w:sz w:val="20"/>
        </w:rPr>
        <w:t>the</w:t>
      </w:r>
      <w:r>
        <w:rPr>
          <w:spacing w:val="-9"/>
          <w:w w:val="120"/>
          <w:sz w:val="20"/>
        </w:rPr>
        <w:t> </w:t>
      </w:r>
      <w:r>
        <w:rPr>
          <w:i/>
          <w:w w:val="120"/>
          <w:sz w:val="20"/>
        </w:rPr>
        <w:t>Guidelines</w:t>
      </w:r>
      <w:r>
        <w:rPr>
          <w:i/>
          <w:spacing w:val="-12"/>
          <w:w w:val="120"/>
          <w:sz w:val="20"/>
        </w:rPr>
        <w:t> </w:t>
      </w:r>
      <w:r>
        <w:rPr>
          <w:i/>
          <w:w w:val="120"/>
          <w:sz w:val="20"/>
        </w:rPr>
        <w:t>on</w:t>
      </w:r>
      <w:r>
        <w:rPr>
          <w:i/>
          <w:spacing w:val="-11"/>
          <w:w w:val="120"/>
          <w:sz w:val="20"/>
        </w:rPr>
        <w:t> </w:t>
      </w:r>
      <w:r>
        <w:rPr>
          <w:i/>
          <w:w w:val="120"/>
          <w:sz w:val="20"/>
        </w:rPr>
        <w:t>Conduct</w:t>
      </w:r>
      <w:r>
        <w:rPr>
          <w:i/>
          <w:spacing w:val="-11"/>
          <w:w w:val="120"/>
          <w:sz w:val="20"/>
        </w:rPr>
        <w:t> </w:t>
      </w:r>
      <w:r>
        <w:rPr>
          <w:i/>
          <w:w w:val="120"/>
          <w:sz w:val="20"/>
        </w:rPr>
        <w:t>and</w:t>
      </w:r>
      <w:r>
        <w:rPr>
          <w:i/>
          <w:spacing w:val="-12"/>
          <w:w w:val="120"/>
          <w:sz w:val="20"/>
        </w:rPr>
        <w:t> </w:t>
      </w:r>
      <w:r>
        <w:rPr>
          <w:i/>
          <w:w w:val="120"/>
          <w:sz w:val="20"/>
        </w:rPr>
        <w:t>Behaviour</w:t>
      </w:r>
      <w:r>
        <w:rPr>
          <w:i/>
          <w:spacing w:val="-11"/>
          <w:w w:val="120"/>
          <w:sz w:val="20"/>
        </w:rPr>
        <w:t> </w:t>
      </w:r>
      <w:r>
        <w:rPr>
          <w:w w:val="120"/>
          <w:sz w:val="20"/>
        </w:rPr>
        <w:t>which</w:t>
      </w:r>
      <w:r>
        <w:rPr>
          <w:spacing w:val="-9"/>
          <w:w w:val="120"/>
          <w:sz w:val="20"/>
        </w:rPr>
        <w:t> </w:t>
      </w:r>
      <w:r>
        <w:rPr>
          <w:w w:val="120"/>
          <w:sz w:val="20"/>
        </w:rPr>
        <w:t>mark</w:t>
      </w:r>
      <w:r>
        <w:rPr>
          <w:spacing w:val="-9"/>
          <w:w w:val="120"/>
          <w:sz w:val="20"/>
        </w:rPr>
        <w:t> </w:t>
      </w:r>
      <w:r>
        <w:rPr>
          <w:w w:val="120"/>
          <w:sz w:val="20"/>
        </w:rPr>
        <w:t>out</w:t>
      </w:r>
      <w:r>
        <w:rPr>
          <w:spacing w:val="-9"/>
          <w:w w:val="120"/>
          <w:sz w:val="20"/>
        </w:rPr>
        <w:t> </w:t>
      </w:r>
      <w:r>
        <w:rPr>
          <w:w w:val="120"/>
          <w:sz w:val="20"/>
        </w:rPr>
        <w:t>the</w:t>
      </w:r>
      <w:r>
        <w:rPr>
          <w:spacing w:val="-9"/>
          <w:w w:val="120"/>
          <w:sz w:val="20"/>
        </w:rPr>
        <w:t> </w:t>
      </w:r>
      <w:r>
        <w:rPr>
          <w:w w:val="120"/>
          <w:sz w:val="20"/>
        </w:rPr>
        <w:t>boundaries,</w:t>
      </w:r>
      <w:r>
        <w:rPr>
          <w:spacing w:val="-9"/>
          <w:w w:val="120"/>
          <w:sz w:val="20"/>
        </w:rPr>
        <w:t> </w:t>
      </w:r>
      <w:r>
        <w:rPr>
          <w:w w:val="120"/>
          <w:sz w:val="20"/>
        </w:rPr>
        <w:t>for the</w:t>
      </w:r>
      <w:r>
        <w:rPr>
          <w:spacing w:val="-7"/>
          <w:w w:val="120"/>
          <w:sz w:val="20"/>
        </w:rPr>
        <w:t> </w:t>
      </w:r>
      <w:r>
        <w:rPr>
          <w:w w:val="120"/>
          <w:sz w:val="20"/>
        </w:rPr>
        <w:t>crossing</w:t>
      </w:r>
      <w:r>
        <w:rPr>
          <w:spacing w:val="-7"/>
          <w:w w:val="120"/>
          <w:sz w:val="20"/>
        </w:rPr>
        <w:t> </w:t>
      </w:r>
      <w:r>
        <w:rPr>
          <w:w w:val="120"/>
          <w:sz w:val="20"/>
        </w:rPr>
        <w:t>of</w:t>
      </w:r>
      <w:r>
        <w:rPr>
          <w:spacing w:val="-7"/>
          <w:w w:val="120"/>
          <w:sz w:val="20"/>
        </w:rPr>
        <w:t> </w:t>
      </w:r>
      <w:r>
        <w:rPr>
          <w:w w:val="120"/>
          <w:sz w:val="20"/>
        </w:rPr>
        <w:t>which</w:t>
      </w:r>
      <w:r>
        <w:rPr>
          <w:spacing w:val="-7"/>
          <w:w w:val="120"/>
          <w:sz w:val="20"/>
        </w:rPr>
        <w:t> </w:t>
      </w:r>
      <w:r>
        <w:rPr>
          <w:w w:val="120"/>
          <w:sz w:val="20"/>
        </w:rPr>
        <w:t>an</w:t>
      </w:r>
      <w:r>
        <w:rPr>
          <w:spacing w:val="-6"/>
          <w:w w:val="120"/>
          <w:sz w:val="20"/>
        </w:rPr>
        <w:t> </w:t>
      </w:r>
      <w:r>
        <w:rPr>
          <w:w w:val="120"/>
          <w:sz w:val="20"/>
        </w:rPr>
        <w:t>individual</w:t>
      </w:r>
      <w:r>
        <w:rPr>
          <w:spacing w:val="-7"/>
          <w:w w:val="120"/>
          <w:sz w:val="20"/>
        </w:rPr>
        <w:t> </w:t>
      </w:r>
      <w:r>
        <w:rPr>
          <w:w w:val="120"/>
          <w:sz w:val="20"/>
        </w:rPr>
        <w:t>can</w:t>
      </w:r>
      <w:r>
        <w:rPr>
          <w:spacing w:val="-7"/>
          <w:w w:val="120"/>
          <w:sz w:val="20"/>
        </w:rPr>
        <w:t> </w:t>
      </w:r>
      <w:r>
        <w:rPr>
          <w:w w:val="120"/>
          <w:sz w:val="20"/>
        </w:rPr>
        <w:t>be</w:t>
      </w:r>
      <w:r>
        <w:rPr>
          <w:spacing w:val="-7"/>
          <w:w w:val="120"/>
          <w:sz w:val="20"/>
        </w:rPr>
        <w:t> </w:t>
      </w:r>
      <w:r>
        <w:rPr>
          <w:w w:val="120"/>
          <w:sz w:val="20"/>
        </w:rPr>
        <w:t>held</w:t>
      </w:r>
      <w:r>
        <w:rPr>
          <w:spacing w:val="-6"/>
          <w:w w:val="120"/>
          <w:sz w:val="20"/>
        </w:rPr>
        <w:t> </w:t>
      </w:r>
      <w:r>
        <w:rPr>
          <w:w w:val="120"/>
          <w:sz w:val="20"/>
        </w:rPr>
        <w:t>accountable.</w:t>
      </w:r>
      <w:r>
        <w:rPr>
          <w:spacing w:val="-7"/>
          <w:w w:val="120"/>
          <w:sz w:val="20"/>
        </w:rPr>
        <w:t> </w:t>
      </w:r>
      <w:r>
        <w:rPr>
          <w:rFonts w:ascii="Stone Sans II ITC Std Bk"/>
          <w:b/>
          <w:w w:val="120"/>
          <w:sz w:val="20"/>
        </w:rPr>
        <w:t>Resolution</w:t>
      </w:r>
      <w:r>
        <w:rPr>
          <w:rFonts w:ascii="Stone Sans II ITC Std Bk"/>
          <w:b/>
          <w:spacing w:val="-15"/>
          <w:w w:val="120"/>
          <w:sz w:val="20"/>
        </w:rPr>
        <w:t> </w:t>
      </w:r>
      <w:r>
        <w:rPr>
          <w:rFonts w:ascii="Stone Sans II ITC Std Bk"/>
          <w:b/>
          <w:spacing w:val="-5"/>
          <w:w w:val="120"/>
          <w:sz w:val="20"/>
        </w:rPr>
        <w:t>12,</w:t>
      </w:r>
      <w:r>
        <w:rPr>
          <w:rFonts w:ascii="Stone Sans II ITC Std Bk"/>
          <w:b/>
          <w:spacing w:val="-14"/>
          <w:w w:val="120"/>
          <w:sz w:val="20"/>
        </w:rPr>
        <w:t> </w:t>
      </w:r>
      <w:r>
        <w:rPr>
          <w:rFonts w:ascii="Stone Sans II ITC Std Bk"/>
          <w:b/>
          <w:w w:val="120"/>
          <w:sz w:val="20"/>
        </w:rPr>
        <w:t>page</w:t>
      </w:r>
      <w:r>
        <w:rPr>
          <w:rFonts w:ascii="Stone Sans II ITC Std Bk"/>
          <w:b/>
          <w:spacing w:val="-15"/>
          <w:w w:val="120"/>
          <w:sz w:val="20"/>
        </w:rPr>
        <w:t> </w:t>
      </w:r>
      <w:r>
        <w:rPr>
          <w:rFonts w:ascii="Stone Sans II ITC Std Bk"/>
          <w:b/>
          <w:spacing w:val="-4"/>
          <w:w w:val="120"/>
          <w:sz w:val="20"/>
        </w:rPr>
        <w:t>251</w:t>
      </w:r>
    </w:p>
    <w:p>
      <w:pPr>
        <w:pStyle w:val="BodyText"/>
        <w:rPr>
          <w:rFonts w:ascii="Stone Sans II ITC Std Bk"/>
          <w:b/>
          <w:sz w:val="24"/>
        </w:rPr>
      </w:pPr>
    </w:p>
    <w:p>
      <w:pPr>
        <w:pStyle w:val="BodyText"/>
        <w:rPr>
          <w:rFonts w:ascii="Stone Sans II ITC Std Bk"/>
          <w:b/>
          <w:sz w:val="24"/>
        </w:rPr>
      </w:pPr>
    </w:p>
    <w:p>
      <w:pPr>
        <w:pStyle w:val="BodyText"/>
        <w:spacing w:before="4"/>
        <w:rPr>
          <w:rFonts w:ascii="Stone Sans II ITC Std Bk"/>
          <w:b/>
          <w:sz w:val="28"/>
        </w:rPr>
      </w:pPr>
    </w:p>
    <w:p>
      <w:pPr>
        <w:pStyle w:val="Heading2"/>
        <w:spacing w:after="16"/>
      </w:pPr>
      <w:r>
        <w:rPr>
          <w:w w:val="110"/>
        </w:rPr>
        <w:t>Accreditation sub-committee</w:t>
      </w:r>
    </w:p>
    <w:p>
      <w:pPr>
        <w:pStyle w:val="BodyText"/>
        <w:ind w:left="1970"/>
        <w:rPr>
          <w:rFonts w:ascii="Stone Sans II ITC Std Bk"/>
        </w:rPr>
      </w:pPr>
      <w:r>
        <w:rPr>
          <w:rFonts w:ascii="Stone Sans II ITC Std Bk"/>
        </w:rPr>
        <w:pict>
          <v:group style="width:439.4pt;height:74.850pt;mso-position-horizontal-relative:char;mso-position-vertical-relative:line" coordorigin="0,0" coordsize="8788,1497">
            <v:shape style="position:absolute;left:10;top:10;width:8768;height:1477" coordorigin="10,10" coordsize="8768,1477" path="m250,10l246,149,220,220,149,246,10,250,10,1247,149,1250,220,1277,246,1348,250,1487,8537,1487,8541,1348,8567,1277,8639,1250,8777,1247,8777,250,8639,246,8567,220,8541,149,8537,10,250,10xe" filled="false" stroked="true" strokeweight="1pt" strokecolor="#8ba8bd">
              <v:path arrowok="t"/>
              <v:stroke dashstyle="solid"/>
            </v:shape>
            <v:shape style="position:absolute;left:0;top:0;width:8788;height:1497" type="#_x0000_t202" filled="false" stroked="false">
              <v:textbox inset="0,0,0,0">
                <w:txbxContent>
                  <w:p>
                    <w:pPr>
                      <w:spacing w:line="240" w:lineRule="auto" w:before="8"/>
                      <w:rPr>
                        <w:rFonts w:ascii="Stone Sans II ITC Std Bk"/>
                        <w:b/>
                        <w:sz w:val="21"/>
                      </w:rPr>
                    </w:pPr>
                  </w:p>
                  <w:p>
                    <w:pPr>
                      <w:spacing w:line="242" w:lineRule="exact" w:before="1"/>
                      <w:ind w:left="411" w:right="0" w:firstLine="0"/>
                      <w:jc w:val="left"/>
                      <w:rPr>
                        <w:sz w:val="18"/>
                      </w:rPr>
                    </w:pPr>
                    <w:r>
                      <w:rPr>
                        <w:rFonts w:ascii="Stone Sans II ITC Std Bk"/>
                        <w:b/>
                        <w:w w:val="115"/>
                        <w:sz w:val="18"/>
                      </w:rPr>
                      <w:t>Convener: </w:t>
                    </w:r>
                    <w:r>
                      <w:rPr>
                        <w:w w:val="115"/>
                        <w:sz w:val="18"/>
                      </w:rPr>
                      <w:t>Geoff Townsend</w:t>
                    </w:r>
                  </w:p>
                  <w:p>
                    <w:pPr>
                      <w:spacing w:line="230" w:lineRule="exact" w:before="0"/>
                      <w:ind w:left="411" w:right="0" w:firstLine="0"/>
                      <w:jc w:val="left"/>
                      <w:rPr>
                        <w:sz w:val="18"/>
                      </w:rPr>
                    </w:pPr>
                    <w:r>
                      <w:rPr>
                        <w:rFonts w:ascii="Stone Sans II ITC Std Bk"/>
                        <w:b/>
                        <w:w w:val="120"/>
                        <w:sz w:val="18"/>
                      </w:rPr>
                      <w:t>Secretary: </w:t>
                    </w:r>
                    <w:r>
                      <w:rPr>
                        <w:w w:val="120"/>
                        <w:sz w:val="18"/>
                      </w:rPr>
                      <w:t>Craig Bowman</w:t>
                    </w:r>
                  </w:p>
                  <w:p>
                    <w:pPr>
                      <w:spacing w:line="228" w:lineRule="auto" w:before="0"/>
                      <w:ind w:left="411" w:right="1219" w:firstLine="0"/>
                      <w:jc w:val="left"/>
                      <w:rPr>
                        <w:sz w:val="18"/>
                      </w:rPr>
                    </w:pPr>
                    <w:r>
                      <w:rPr>
                        <w:rFonts w:ascii="Stone Sans II ITC Std Bk"/>
                        <w:b/>
                        <w:w w:val="120"/>
                        <w:sz w:val="18"/>
                      </w:rPr>
                      <w:t>Members: </w:t>
                    </w:r>
                    <w:r>
                      <w:rPr>
                        <w:w w:val="120"/>
                        <w:sz w:val="18"/>
                      </w:rPr>
                      <w:t>Pat Evans, Tessa Henry-Robinson, Malcolm Fife, Sue Henderson, Terry Oakley, Graham Campling (Convener of the Assessment Board)</w:t>
                    </w:r>
                  </w:p>
                </w:txbxContent>
              </v:textbox>
              <w10:wrap type="none"/>
            </v:shape>
          </v:group>
        </w:pict>
      </w:r>
      <w:r>
        <w:rPr>
          <w:rFonts w:ascii="Stone Sans II ITC Std Bk"/>
        </w:rPr>
      </w:r>
    </w:p>
    <w:p>
      <w:pPr>
        <w:pStyle w:val="BodyText"/>
        <w:rPr>
          <w:rFonts w:ascii="Stone Sans II ITC Std Bk"/>
          <w:b/>
        </w:rPr>
      </w:pPr>
    </w:p>
    <w:p>
      <w:pPr>
        <w:pStyle w:val="BodyText"/>
        <w:spacing w:before="13"/>
        <w:rPr>
          <w:rFonts w:ascii="Stone Sans II ITC Std Bk"/>
          <w:b/>
        </w:rPr>
      </w:pPr>
    </w:p>
    <w:p>
      <w:pPr>
        <w:pStyle w:val="ListParagraph"/>
        <w:numPr>
          <w:ilvl w:val="0"/>
          <w:numId w:val="137"/>
        </w:numPr>
        <w:tabs>
          <w:tab w:pos="2664" w:val="left" w:leader="none"/>
          <w:tab w:pos="2665" w:val="left" w:leader="none"/>
        </w:tabs>
        <w:spacing w:line="235" w:lineRule="auto" w:before="0" w:after="0"/>
        <w:ind w:left="1984" w:right="1304" w:firstLine="0"/>
        <w:jc w:val="left"/>
        <w:rPr>
          <w:sz w:val="20"/>
        </w:rPr>
      </w:pPr>
      <w:r>
        <w:rPr>
          <w:w w:val="120"/>
          <w:sz w:val="20"/>
        </w:rPr>
        <w:t>The Committee records its thanks to Gwen Collins who served as Convener from 2005-9</w:t>
      </w:r>
    </w:p>
    <w:p>
      <w:pPr>
        <w:numPr>
          <w:ilvl w:val="0"/>
          <w:numId w:val="137"/>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Certificates of</w:t>
      </w:r>
      <w:r>
        <w:rPr>
          <w:rFonts w:ascii="Stone Sans II ITC Std Bk"/>
          <w:b/>
          <w:spacing w:val="-3"/>
          <w:w w:val="115"/>
          <w:sz w:val="21"/>
        </w:rPr>
        <w:t> </w:t>
      </w:r>
      <w:r>
        <w:rPr>
          <w:rFonts w:ascii="Stone Sans II ITC Std Bk"/>
          <w:b/>
          <w:w w:val="115"/>
          <w:sz w:val="21"/>
        </w:rPr>
        <w:t>eligibility</w:t>
      </w:r>
    </w:p>
    <w:p>
      <w:pPr>
        <w:pStyle w:val="ListParagraph"/>
        <w:numPr>
          <w:ilvl w:val="1"/>
          <w:numId w:val="137"/>
        </w:numPr>
        <w:tabs>
          <w:tab w:pos="2664" w:val="left" w:leader="none"/>
          <w:tab w:pos="2665" w:val="left" w:leader="none"/>
        </w:tabs>
        <w:spacing w:line="235" w:lineRule="auto" w:before="222" w:after="0"/>
        <w:ind w:left="1984" w:right="1182" w:firstLine="0"/>
        <w:jc w:val="left"/>
        <w:rPr>
          <w:sz w:val="20"/>
        </w:rPr>
      </w:pPr>
      <w:r>
        <w:rPr>
          <w:w w:val="120"/>
          <w:sz w:val="20"/>
        </w:rPr>
        <w:t>The Ministries Committee is responsible to General Assembly for oversight of the projected number of ministers for future years and for deciding each </w:t>
      </w:r>
      <w:r>
        <w:rPr>
          <w:spacing w:val="-4"/>
          <w:w w:val="120"/>
          <w:sz w:val="20"/>
        </w:rPr>
        <w:t>year, </w:t>
      </w:r>
      <w:r>
        <w:rPr>
          <w:w w:val="120"/>
          <w:sz w:val="20"/>
        </w:rPr>
        <w:t>on the basis   of these projections, whether Certificates of Eligibility for stipendiary service may be issued to ministers of other denominations. Such a certificate grants eligibility to receive a call to serve in a pastorate or post. Ministers who accept a call to a pastorate will serve a probationary period of one year from induction. On successful completion of this probationary period the minister is added to the roll of ministers of the United Reformed Church. In other words, he or she becomes one of our ministers by</w:t>
      </w:r>
      <w:r>
        <w:rPr>
          <w:spacing w:val="23"/>
          <w:w w:val="120"/>
          <w:sz w:val="20"/>
        </w:rPr>
        <w:t> </w:t>
      </w:r>
      <w:r>
        <w:rPr>
          <w:w w:val="120"/>
          <w:sz w:val="20"/>
        </w:rPr>
        <w:t>transfer.</w:t>
      </w:r>
    </w:p>
    <w:p>
      <w:pPr>
        <w:pStyle w:val="BodyText"/>
        <w:spacing w:before="2"/>
      </w:pPr>
    </w:p>
    <w:p>
      <w:pPr>
        <w:pStyle w:val="ListParagraph"/>
        <w:numPr>
          <w:ilvl w:val="1"/>
          <w:numId w:val="137"/>
        </w:numPr>
        <w:tabs>
          <w:tab w:pos="2664" w:val="left" w:leader="none"/>
          <w:tab w:pos="2665" w:val="left" w:leader="none"/>
        </w:tabs>
        <w:spacing w:line="235" w:lineRule="auto" w:before="0" w:after="0"/>
        <w:ind w:left="1984" w:right="1608" w:firstLine="0"/>
        <w:jc w:val="left"/>
        <w:rPr>
          <w:sz w:val="20"/>
        </w:rPr>
      </w:pPr>
      <w:r>
        <w:rPr>
          <w:w w:val="120"/>
          <w:sz w:val="20"/>
        </w:rPr>
        <w:t>For 2009 it was agreed that ten certificates of eligibility could be granted and following short-listing and an interview procedure, either in person, or in the case    of some applying from overseas by telephone, ten certificates were granted. The committee were impressed by the quality of applicants who had a wide variety</w:t>
      </w:r>
      <w:r>
        <w:rPr>
          <w:spacing w:val="49"/>
          <w:w w:val="120"/>
          <w:sz w:val="20"/>
        </w:rPr>
        <w:t> </w:t>
      </w:r>
      <w:r>
        <w:rPr>
          <w:w w:val="120"/>
          <w:sz w:val="20"/>
        </w:rPr>
        <w:t>of</w:t>
      </w:r>
    </w:p>
    <w:p>
      <w:pPr>
        <w:pStyle w:val="BodyText"/>
        <w:spacing w:line="235" w:lineRule="auto" w:before="3"/>
        <w:ind w:left="1984" w:right="1273"/>
      </w:pPr>
      <w:r>
        <w:rPr>
          <w:w w:val="120"/>
        </w:rPr>
        <w:t>expertise. Should no call be made and accepted within three years then the certificate will lapse.</w:t>
      </w:r>
    </w:p>
    <w:p>
      <w:pPr>
        <w:pStyle w:val="BodyText"/>
        <w:spacing w:before="9"/>
        <w:rPr>
          <w:sz w:val="19"/>
        </w:rPr>
      </w:pPr>
    </w:p>
    <w:p>
      <w:pPr>
        <w:pStyle w:val="ListParagraph"/>
        <w:numPr>
          <w:ilvl w:val="1"/>
          <w:numId w:val="137"/>
        </w:numPr>
        <w:tabs>
          <w:tab w:pos="2664" w:val="left" w:leader="none"/>
          <w:tab w:pos="2665" w:val="left" w:leader="none"/>
        </w:tabs>
        <w:spacing w:line="235" w:lineRule="auto" w:before="0" w:after="0"/>
        <w:ind w:left="1984" w:right="1222" w:firstLine="0"/>
        <w:jc w:val="left"/>
        <w:rPr>
          <w:sz w:val="20"/>
        </w:rPr>
      </w:pPr>
      <w:r>
        <w:rPr>
          <w:w w:val="120"/>
          <w:sz w:val="20"/>
        </w:rPr>
        <w:t>Our timetable for 2009 meant that the names of these ten were received by the synod moderators’ meeting at the same time as ordinands due to complete training and consequently following discussion with the moderators it has been agreed that this year there will be two sets of interviews, the first being in April when up to seven certificates may be granted. The number of certificates that may be issued later this year will be agreed in conjunction with the Ministries Committee which is monitoring the required number of ministers in stipendiary</w:t>
      </w:r>
      <w:r>
        <w:rPr>
          <w:spacing w:val="10"/>
          <w:w w:val="120"/>
          <w:sz w:val="20"/>
        </w:rPr>
        <w:t> </w:t>
      </w:r>
      <w:r>
        <w:rPr>
          <w:w w:val="120"/>
          <w:sz w:val="20"/>
        </w:rPr>
        <w:t>service.</w:t>
      </w:r>
    </w:p>
    <w:p>
      <w:pPr>
        <w:spacing w:after="0" w:line="235" w:lineRule="auto"/>
        <w:jc w:val="left"/>
        <w:rPr>
          <w:sz w:val="20"/>
        </w:rPr>
        <w:sectPr>
          <w:pgSz w:w="11910" w:h="16840"/>
          <w:pgMar w:header="0" w:footer="647" w:top="1060" w:bottom="840" w:left="0" w:right="0"/>
        </w:sectPr>
      </w:pPr>
    </w:p>
    <w:p>
      <w:pPr>
        <w:numPr>
          <w:ilvl w:val="0"/>
          <w:numId w:val="137"/>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2101632" filled="true" fillcolor="#dae4ec" stroked="false">
            <v:fill opacity="32768f" type="solid"/>
            <w10:wrap type="none"/>
          </v:rect>
        </w:pict>
      </w:r>
      <w:r>
        <w:rPr>
          <w:rFonts w:ascii="Stone Sans II ITC Std Bk"/>
          <w:b/>
          <w:w w:val="115"/>
          <w:sz w:val="21"/>
        </w:rPr>
        <w:t>Certificates of limited</w:t>
      </w:r>
      <w:r>
        <w:rPr>
          <w:rFonts w:ascii="Stone Sans II ITC Std Bk"/>
          <w:b/>
          <w:spacing w:val="-5"/>
          <w:w w:val="115"/>
          <w:sz w:val="21"/>
        </w:rPr>
        <w:t> </w:t>
      </w:r>
      <w:r>
        <w:rPr>
          <w:rFonts w:ascii="Stone Sans II ITC Std Bk"/>
          <w:b/>
          <w:w w:val="115"/>
          <w:sz w:val="21"/>
        </w:rPr>
        <w:t>service</w:t>
      </w:r>
    </w:p>
    <w:p>
      <w:pPr>
        <w:pStyle w:val="ListParagraph"/>
        <w:numPr>
          <w:ilvl w:val="1"/>
          <w:numId w:val="137"/>
        </w:numPr>
        <w:tabs>
          <w:tab w:pos="1814" w:val="left" w:leader="none"/>
          <w:tab w:pos="1815" w:val="left" w:leader="none"/>
        </w:tabs>
        <w:spacing w:line="235" w:lineRule="auto" w:before="223" w:after="0"/>
        <w:ind w:left="1133" w:right="2139" w:firstLine="0"/>
        <w:jc w:val="left"/>
        <w:rPr>
          <w:sz w:val="20"/>
        </w:rPr>
      </w:pPr>
      <w:r>
        <w:rPr>
          <w:w w:val="120"/>
          <w:sz w:val="20"/>
        </w:rPr>
        <w:t>These were formerly known as certificates of limited eligibility and, in contrast to the above, certificates of limited service do not enable a minister to transfer to the roll of ministers. A certificate of limited service allows a minister or community worker</w:t>
      </w:r>
      <w:r>
        <w:rPr>
          <w:spacing w:val="-13"/>
          <w:w w:val="120"/>
          <w:sz w:val="20"/>
        </w:rPr>
        <w:t> </w:t>
      </w:r>
      <w:r>
        <w:rPr>
          <w:w w:val="120"/>
          <w:sz w:val="20"/>
        </w:rPr>
        <w:t>of</w:t>
      </w:r>
    </w:p>
    <w:p>
      <w:pPr>
        <w:pStyle w:val="BodyText"/>
        <w:spacing w:line="235" w:lineRule="auto" w:before="2"/>
        <w:ind w:left="1133" w:right="1997"/>
      </w:pPr>
      <w:r>
        <w:rPr>
          <w:w w:val="120"/>
        </w:rPr>
        <w:t>another church to serve in, and be paid by, the United Reformed Church in one specified post only and for a limited period of time.</w:t>
      </w:r>
    </w:p>
    <w:p>
      <w:pPr>
        <w:pStyle w:val="BodyText"/>
        <w:spacing w:before="5"/>
        <w:rPr>
          <w:sz w:val="19"/>
        </w:rPr>
      </w:pPr>
    </w:p>
    <w:p>
      <w:pPr>
        <w:pStyle w:val="ListParagraph"/>
        <w:numPr>
          <w:ilvl w:val="1"/>
          <w:numId w:val="137"/>
        </w:numPr>
        <w:tabs>
          <w:tab w:pos="1814" w:val="left" w:leader="none"/>
          <w:tab w:pos="1815" w:val="left" w:leader="none"/>
        </w:tabs>
        <w:spacing w:line="240" w:lineRule="auto" w:before="0" w:after="0"/>
        <w:ind w:left="1814" w:right="0" w:hanging="682"/>
        <w:jc w:val="left"/>
        <w:rPr>
          <w:sz w:val="20"/>
        </w:rPr>
      </w:pPr>
      <w:r>
        <w:rPr>
          <w:w w:val="120"/>
          <w:sz w:val="20"/>
        </w:rPr>
        <w:t>One was granted in the second half of 2008, two in 2009 and three in</w:t>
      </w:r>
      <w:r>
        <w:rPr>
          <w:spacing w:val="3"/>
          <w:w w:val="120"/>
          <w:sz w:val="20"/>
        </w:rPr>
        <w:t> </w:t>
      </w:r>
      <w:r>
        <w:rPr>
          <w:spacing w:val="-5"/>
          <w:w w:val="120"/>
          <w:sz w:val="20"/>
        </w:rPr>
        <w:t>2010.</w:t>
      </w:r>
    </w:p>
    <w:p>
      <w:pPr>
        <w:numPr>
          <w:ilvl w:val="0"/>
          <w:numId w:val="137"/>
        </w:numPr>
        <w:tabs>
          <w:tab w:pos="1853" w:val="left" w:leader="none"/>
          <w:tab w:pos="1854" w:val="left" w:leader="none"/>
        </w:tabs>
        <w:spacing w:before="214"/>
        <w:ind w:left="1853" w:right="0" w:hanging="721"/>
        <w:jc w:val="left"/>
        <w:rPr>
          <w:rFonts w:ascii="Stone Sans II ITC Std Bk"/>
          <w:b/>
          <w:sz w:val="21"/>
        </w:rPr>
      </w:pPr>
      <w:r>
        <w:rPr>
          <w:rFonts w:ascii="Stone Sans II ITC Std Bk"/>
          <w:b/>
          <w:w w:val="115"/>
          <w:sz w:val="21"/>
        </w:rPr>
        <w:t>Special category ministry</w:t>
      </w:r>
      <w:r>
        <w:rPr>
          <w:rFonts w:ascii="Stone Sans II ITC Std Bk"/>
          <w:b/>
          <w:spacing w:val="-5"/>
          <w:w w:val="115"/>
          <w:sz w:val="21"/>
        </w:rPr>
        <w:t> </w:t>
      </w:r>
      <w:r>
        <w:rPr>
          <w:rFonts w:ascii="Stone Sans II ITC Std Bk"/>
          <w:b/>
          <w:w w:val="115"/>
          <w:sz w:val="21"/>
        </w:rPr>
        <w:t>posts</w:t>
      </w:r>
    </w:p>
    <w:p>
      <w:pPr>
        <w:pStyle w:val="BodyText"/>
        <w:tabs>
          <w:tab w:pos="1814" w:val="left" w:leader="none"/>
        </w:tabs>
        <w:spacing w:line="235" w:lineRule="auto" w:before="222"/>
        <w:ind w:left="1133" w:right="2030"/>
      </w:pPr>
      <w:r>
        <w:rPr>
          <w:spacing w:val="-8"/>
          <w:w w:val="120"/>
        </w:rPr>
        <w:t>4.1.</w:t>
        <w:tab/>
      </w:r>
      <w:r>
        <w:rPr>
          <w:w w:val="120"/>
        </w:rPr>
        <w:t>Previous decisions of </w:t>
      </w:r>
      <w:r>
        <w:rPr>
          <w:spacing w:val="2"/>
          <w:w w:val="120"/>
        </w:rPr>
        <w:t>General Assembly </w:t>
      </w:r>
      <w:r>
        <w:rPr>
          <w:w w:val="120"/>
        </w:rPr>
        <w:t>allow for 60 special </w:t>
      </w:r>
      <w:r>
        <w:rPr>
          <w:spacing w:val="3"/>
          <w:w w:val="120"/>
        </w:rPr>
        <w:t>category </w:t>
      </w:r>
      <w:r>
        <w:rPr>
          <w:spacing w:val="2"/>
          <w:w w:val="120"/>
        </w:rPr>
        <w:t>ministry </w:t>
      </w:r>
      <w:r>
        <w:rPr>
          <w:spacing w:val="3"/>
          <w:w w:val="120"/>
        </w:rPr>
        <w:t>posts. </w:t>
      </w:r>
      <w:r>
        <w:rPr>
          <w:w w:val="120"/>
        </w:rPr>
        <w:t>On </w:t>
      </w:r>
      <w:r>
        <w:rPr>
          <w:spacing w:val="-3"/>
          <w:w w:val="120"/>
        </w:rPr>
        <w:t>1</w:t>
      </w:r>
      <w:r>
        <w:rPr>
          <w:spacing w:val="-3"/>
          <w:w w:val="120"/>
          <w:position w:val="7"/>
          <w:sz w:val="11"/>
        </w:rPr>
        <w:t>st </w:t>
      </w:r>
      <w:r>
        <w:rPr>
          <w:w w:val="120"/>
        </w:rPr>
        <w:t>March </w:t>
      </w:r>
      <w:r>
        <w:rPr>
          <w:spacing w:val="2"/>
          <w:w w:val="120"/>
        </w:rPr>
        <w:t>there </w:t>
      </w:r>
      <w:r>
        <w:rPr>
          <w:w w:val="120"/>
        </w:rPr>
        <w:t>were </w:t>
      </w:r>
      <w:r>
        <w:rPr>
          <w:spacing w:val="-5"/>
          <w:w w:val="120"/>
        </w:rPr>
        <w:t>33 </w:t>
      </w:r>
      <w:r>
        <w:rPr>
          <w:spacing w:val="3"/>
          <w:w w:val="120"/>
        </w:rPr>
        <w:t>posts, </w:t>
      </w:r>
      <w:r>
        <w:rPr>
          <w:w w:val="120"/>
        </w:rPr>
        <w:t>with</w:t>
      </w:r>
      <w:r>
        <w:rPr>
          <w:spacing w:val="54"/>
          <w:w w:val="120"/>
        </w:rPr>
        <w:t> </w:t>
      </w:r>
      <w:r>
        <w:rPr>
          <w:w w:val="120"/>
        </w:rPr>
        <w:t>4  applications  being  considered.  </w:t>
      </w:r>
      <w:r>
        <w:rPr>
          <w:spacing w:val="4"/>
          <w:w w:val="120"/>
        </w:rPr>
        <w:t>As </w:t>
      </w:r>
      <w:r>
        <w:rPr>
          <w:w w:val="120"/>
        </w:rPr>
        <w:t>some of the </w:t>
      </w:r>
      <w:r>
        <w:rPr>
          <w:spacing w:val="3"/>
          <w:w w:val="120"/>
        </w:rPr>
        <w:t>posts </w:t>
      </w:r>
      <w:r>
        <w:rPr>
          <w:w w:val="120"/>
        </w:rPr>
        <w:t>are </w:t>
      </w:r>
      <w:r>
        <w:rPr>
          <w:spacing w:val="2"/>
          <w:w w:val="120"/>
        </w:rPr>
        <w:t>part-time, </w:t>
      </w:r>
      <w:r>
        <w:rPr>
          <w:w w:val="120"/>
        </w:rPr>
        <w:t>this equates to 29.2 Full </w:t>
      </w:r>
      <w:r>
        <w:rPr>
          <w:spacing w:val="2"/>
          <w:w w:val="120"/>
        </w:rPr>
        <w:t>Time Equivalents </w:t>
      </w:r>
      <w:r>
        <w:rPr>
          <w:w w:val="120"/>
        </w:rPr>
        <w:t>(FTE). Since </w:t>
      </w:r>
      <w:r>
        <w:rPr>
          <w:spacing w:val="2"/>
          <w:w w:val="120"/>
        </w:rPr>
        <w:t>General Assembly </w:t>
      </w:r>
      <w:r>
        <w:rPr>
          <w:spacing w:val="3"/>
          <w:w w:val="120"/>
        </w:rPr>
        <w:t>2008, </w:t>
      </w:r>
      <w:r>
        <w:rPr>
          <w:w w:val="120"/>
        </w:rPr>
        <w:t>the </w:t>
      </w:r>
      <w:r>
        <w:rPr>
          <w:spacing w:val="3"/>
          <w:w w:val="120"/>
        </w:rPr>
        <w:t>posts </w:t>
      </w:r>
      <w:r>
        <w:rPr>
          <w:w w:val="120"/>
        </w:rPr>
        <w:t>at Cottam Hall, Cottingley, Wakefield-Flanshaw, Penrhys, </w:t>
      </w:r>
      <w:r>
        <w:rPr>
          <w:spacing w:val="2"/>
          <w:w w:val="120"/>
        </w:rPr>
        <w:t>Nottingham Boulevard, </w:t>
      </w:r>
      <w:r>
        <w:rPr>
          <w:w w:val="120"/>
        </w:rPr>
        <w:t>Poole, Andover and for </w:t>
      </w:r>
      <w:r>
        <w:rPr>
          <w:spacing w:val="2"/>
          <w:w w:val="120"/>
        </w:rPr>
        <w:t>Urban </w:t>
      </w:r>
      <w:r>
        <w:rPr>
          <w:w w:val="120"/>
        </w:rPr>
        <w:t>and  Rural  Research have all </w:t>
      </w:r>
      <w:r>
        <w:rPr>
          <w:spacing w:val="2"/>
          <w:w w:val="120"/>
        </w:rPr>
        <w:t>been </w:t>
      </w:r>
      <w:r>
        <w:rPr>
          <w:w w:val="120"/>
        </w:rPr>
        <w:t>completed. New </w:t>
      </w:r>
      <w:r>
        <w:rPr>
          <w:spacing w:val="3"/>
          <w:w w:val="120"/>
        </w:rPr>
        <w:t>posts </w:t>
      </w:r>
      <w:r>
        <w:rPr>
          <w:w w:val="120"/>
        </w:rPr>
        <w:t>have </w:t>
      </w:r>
      <w:r>
        <w:rPr>
          <w:spacing w:val="2"/>
          <w:w w:val="120"/>
        </w:rPr>
        <w:t>been agreed </w:t>
      </w:r>
      <w:r>
        <w:rPr>
          <w:w w:val="120"/>
        </w:rPr>
        <w:t>at Brackenhall, Crossways Elephant and </w:t>
      </w:r>
      <w:r>
        <w:rPr>
          <w:spacing w:val="2"/>
          <w:w w:val="120"/>
        </w:rPr>
        <w:t>Castle, Cambridge City </w:t>
      </w:r>
      <w:r>
        <w:rPr>
          <w:w w:val="120"/>
        </w:rPr>
        <w:t>Retail, Consultant for Emerging Churches, Exeter Inter-Faith </w:t>
      </w:r>
      <w:r>
        <w:rPr>
          <w:spacing w:val="2"/>
          <w:w w:val="120"/>
        </w:rPr>
        <w:t>Chaplaincy </w:t>
      </w:r>
      <w:r>
        <w:rPr>
          <w:w w:val="120"/>
        </w:rPr>
        <w:t>and Heathrow </w:t>
      </w:r>
      <w:r>
        <w:rPr>
          <w:spacing w:val="4"/>
          <w:w w:val="120"/>
        </w:rPr>
        <w:t>Airport. </w:t>
      </w:r>
      <w:r>
        <w:rPr>
          <w:w w:val="120"/>
        </w:rPr>
        <w:t>At </w:t>
      </w:r>
      <w:r>
        <w:rPr>
          <w:spacing w:val="2"/>
          <w:w w:val="120"/>
        </w:rPr>
        <w:t>least two </w:t>
      </w:r>
      <w:r>
        <w:rPr>
          <w:spacing w:val="3"/>
          <w:w w:val="120"/>
        </w:rPr>
        <w:t>further </w:t>
      </w:r>
      <w:r>
        <w:rPr>
          <w:w w:val="120"/>
        </w:rPr>
        <w:t>applications are in   the process of being submitted. We have </w:t>
      </w:r>
      <w:r>
        <w:rPr>
          <w:spacing w:val="2"/>
          <w:w w:val="120"/>
        </w:rPr>
        <w:t>tried </w:t>
      </w:r>
      <w:r>
        <w:rPr>
          <w:w w:val="120"/>
        </w:rPr>
        <w:t>to maintain a balance </w:t>
      </w:r>
      <w:r>
        <w:rPr>
          <w:spacing w:val="2"/>
          <w:w w:val="120"/>
        </w:rPr>
        <w:t>between </w:t>
      </w:r>
      <w:r>
        <w:rPr>
          <w:w w:val="120"/>
        </w:rPr>
        <w:t>different </w:t>
      </w:r>
      <w:r>
        <w:rPr>
          <w:spacing w:val="3"/>
          <w:w w:val="120"/>
        </w:rPr>
        <w:t>types </w:t>
      </w:r>
      <w:r>
        <w:rPr>
          <w:w w:val="120"/>
        </w:rPr>
        <w:t>of special </w:t>
      </w:r>
      <w:r>
        <w:rPr>
          <w:spacing w:val="3"/>
          <w:w w:val="120"/>
        </w:rPr>
        <w:t>category </w:t>
      </w:r>
      <w:r>
        <w:rPr>
          <w:spacing w:val="2"/>
          <w:w w:val="120"/>
        </w:rPr>
        <w:t>ministry </w:t>
      </w:r>
      <w:r>
        <w:rPr>
          <w:spacing w:val="3"/>
          <w:w w:val="120"/>
        </w:rPr>
        <w:t>posts </w:t>
      </w:r>
      <w:r>
        <w:rPr>
          <w:w w:val="120"/>
        </w:rPr>
        <w:t>which fall into </w:t>
      </w:r>
      <w:r>
        <w:rPr>
          <w:spacing w:val="2"/>
          <w:w w:val="120"/>
        </w:rPr>
        <w:t>three broad categories: </w:t>
      </w:r>
      <w:r>
        <w:rPr>
          <w:w w:val="120"/>
        </w:rPr>
        <w:t>those which are church based, those which are workplace or higher </w:t>
      </w:r>
      <w:r>
        <w:rPr>
          <w:spacing w:val="2"/>
          <w:w w:val="120"/>
        </w:rPr>
        <w:t>education </w:t>
      </w:r>
      <w:r>
        <w:rPr>
          <w:w w:val="120"/>
        </w:rPr>
        <w:t>chaplaincies  and those which are </w:t>
      </w:r>
      <w:r>
        <w:rPr>
          <w:spacing w:val="2"/>
          <w:w w:val="120"/>
        </w:rPr>
        <w:t>more </w:t>
      </w:r>
      <w:r>
        <w:rPr>
          <w:w w:val="120"/>
        </w:rPr>
        <w:t>innovative forms of ministry. </w:t>
      </w:r>
      <w:r>
        <w:rPr>
          <w:spacing w:val="4"/>
          <w:w w:val="120"/>
        </w:rPr>
        <w:t>As </w:t>
      </w:r>
      <w:r>
        <w:rPr>
          <w:w w:val="120"/>
        </w:rPr>
        <w:t>the number of ministers in </w:t>
      </w:r>
      <w:r>
        <w:rPr>
          <w:spacing w:val="3"/>
          <w:w w:val="120"/>
        </w:rPr>
        <w:t>stipendiary </w:t>
      </w:r>
      <w:r>
        <w:rPr>
          <w:spacing w:val="2"/>
          <w:w w:val="120"/>
        </w:rPr>
        <w:t>service </w:t>
      </w:r>
      <w:r>
        <w:rPr>
          <w:w w:val="120"/>
        </w:rPr>
        <w:t>available to a </w:t>
      </w:r>
      <w:r>
        <w:rPr>
          <w:spacing w:val="3"/>
          <w:w w:val="120"/>
        </w:rPr>
        <w:t>synod </w:t>
      </w:r>
      <w:r>
        <w:rPr>
          <w:spacing w:val="2"/>
          <w:w w:val="120"/>
        </w:rPr>
        <w:t>through </w:t>
      </w:r>
      <w:r>
        <w:rPr>
          <w:w w:val="120"/>
        </w:rPr>
        <w:t>deployment has </w:t>
      </w:r>
      <w:r>
        <w:rPr>
          <w:spacing w:val="2"/>
          <w:w w:val="120"/>
        </w:rPr>
        <w:t>often been </w:t>
      </w:r>
      <w:r>
        <w:rPr>
          <w:w w:val="120"/>
        </w:rPr>
        <w:t>reduced, one of the </w:t>
      </w:r>
      <w:r>
        <w:rPr>
          <w:spacing w:val="3"/>
          <w:w w:val="120"/>
        </w:rPr>
        <w:t>effects </w:t>
      </w:r>
      <w:r>
        <w:rPr>
          <w:w w:val="120"/>
        </w:rPr>
        <w:t>has </w:t>
      </w:r>
      <w:r>
        <w:rPr>
          <w:spacing w:val="2"/>
          <w:w w:val="120"/>
        </w:rPr>
        <w:t>been </w:t>
      </w:r>
      <w:r>
        <w:rPr>
          <w:w w:val="120"/>
        </w:rPr>
        <w:t>that </w:t>
      </w:r>
      <w:r>
        <w:rPr>
          <w:spacing w:val="2"/>
          <w:w w:val="120"/>
        </w:rPr>
        <w:t>synods </w:t>
      </w:r>
      <w:r>
        <w:rPr>
          <w:w w:val="120"/>
        </w:rPr>
        <w:t>have found it increasingly difficult to create </w:t>
      </w:r>
      <w:r>
        <w:rPr>
          <w:spacing w:val="2"/>
          <w:w w:val="120"/>
        </w:rPr>
        <w:t>ministries </w:t>
      </w:r>
      <w:r>
        <w:rPr>
          <w:w w:val="120"/>
        </w:rPr>
        <w:t>which are </w:t>
      </w:r>
      <w:r>
        <w:rPr>
          <w:spacing w:val="2"/>
          <w:w w:val="120"/>
        </w:rPr>
        <w:t>more</w:t>
      </w:r>
      <w:r>
        <w:rPr>
          <w:spacing w:val="22"/>
          <w:w w:val="120"/>
        </w:rPr>
        <w:t> </w:t>
      </w:r>
      <w:r>
        <w:rPr>
          <w:w w:val="120"/>
        </w:rPr>
        <w:t>innovative.</w:t>
      </w:r>
    </w:p>
    <w:p>
      <w:pPr>
        <w:pStyle w:val="BodyText"/>
        <w:spacing w:before="7"/>
      </w:pPr>
    </w:p>
    <w:p>
      <w:pPr>
        <w:pStyle w:val="ListParagraph"/>
        <w:numPr>
          <w:ilvl w:val="1"/>
          <w:numId w:val="138"/>
        </w:numPr>
        <w:tabs>
          <w:tab w:pos="1814" w:val="left" w:leader="none"/>
          <w:tab w:pos="1815" w:val="left" w:leader="none"/>
        </w:tabs>
        <w:spacing w:line="235" w:lineRule="auto" w:before="0" w:after="0"/>
        <w:ind w:left="1133" w:right="1999" w:firstLine="0"/>
        <w:jc w:val="left"/>
        <w:rPr>
          <w:sz w:val="20"/>
        </w:rPr>
      </w:pPr>
      <w:r>
        <w:rPr>
          <w:w w:val="120"/>
          <w:sz w:val="20"/>
        </w:rPr>
        <w:t>Discussions are being held with the synod moderators and Ministries Committee about the future number of special category ministry posts, as a </w:t>
      </w:r>
      <w:r>
        <w:rPr>
          <w:spacing w:val="2"/>
          <w:w w:val="120"/>
          <w:sz w:val="20"/>
        </w:rPr>
        <w:t>part </w:t>
      </w:r>
      <w:r>
        <w:rPr>
          <w:w w:val="120"/>
          <w:sz w:val="20"/>
        </w:rPr>
        <w:t>of a review process. It is recognised that any increase in the number of special category ministry posts  reduces the number of ministers available to be deployed to</w:t>
      </w:r>
      <w:r>
        <w:rPr>
          <w:spacing w:val="17"/>
          <w:w w:val="120"/>
          <w:sz w:val="20"/>
        </w:rPr>
        <w:t> </w:t>
      </w:r>
      <w:r>
        <w:rPr>
          <w:w w:val="120"/>
          <w:sz w:val="20"/>
        </w:rPr>
        <w:t>pastorates.</w:t>
      </w:r>
    </w:p>
    <w:p>
      <w:pPr>
        <w:pStyle w:val="BodyText"/>
        <w:spacing w:before="11"/>
        <w:rPr>
          <w:sz w:val="19"/>
        </w:rPr>
      </w:pPr>
    </w:p>
    <w:p>
      <w:pPr>
        <w:pStyle w:val="ListParagraph"/>
        <w:numPr>
          <w:ilvl w:val="1"/>
          <w:numId w:val="138"/>
        </w:numPr>
        <w:tabs>
          <w:tab w:pos="1815" w:val="left" w:leader="none"/>
        </w:tabs>
        <w:spacing w:line="235" w:lineRule="auto" w:before="0" w:after="0"/>
        <w:ind w:left="1133" w:right="2307" w:firstLine="0"/>
        <w:jc w:val="both"/>
        <w:rPr>
          <w:sz w:val="20"/>
        </w:rPr>
      </w:pPr>
      <w:r>
        <w:rPr>
          <w:w w:val="120"/>
          <w:sz w:val="20"/>
        </w:rPr>
        <w:t>Following discussion with the Ministries Committee it has been agreed that up to three posts will be created to enable specialists to be appointed as evangelists. It is also expected that new posts will be created to enable ministers to become interim or transitional</w:t>
      </w:r>
      <w:r>
        <w:rPr>
          <w:spacing w:val="1"/>
          <w:w w:val="120"/>
          <w:sz w:val="20"/>
        </w:rPr>
        <w:t> </w:t>
      </w:r>
      <w:r>
        <w:rPr>
          <w:w w:val="120"/>
          <w:sz w:val="20"/>
        </w:rPr>
        <w:t>ministers.</w:t>
      </w:r>
    </w:p>
    <w:p>
      <w:pPr>
        <w:pStyle w:val="BodyText"/>
        <w:spacing w:before="11"/>
        <w:rPr>
          <w:sz w:val="19"/>
        </w:rPr>
      </w:pPr>
    </w:p>
    <w:p>
      <w:pPr>
        <w:pStyle w:val="ListParagraph"/>
        <w:numPr>
          <w:ilvl w:val="1"/>
          <w:numId w:val="138"/>
        </w:numPr>
        <w:tabs>
          <w:tab w:pos="1815" w:val="left" w:leader="none"/>
        </w:tabs>
        <w:spacing w:line="235" w:lineRule="auto" w:before="0" w:after="0"/>
        <w:ind w:left="1133" w:right="2300" w:firstLine="0"/>
        <w:jc w:val="both"/>
        <w:rPr>
          <w:sz w:val="20"/>
        </w:rPr>
      </w:pPr>
      <w:r>
        <w:rPr>
          <w:w w:val="120"/>
          <w:sz w:val="20"/>
        </w:rPr>
        <w:t>The committee is indebted to </w:t>
      </w:r>
      <w:r>
        <w:rPr>
          <w:spacing w:val="2"/>
          <w:w w:val="120"/>
          <w:sz w:val="20"/>
        </w:rPr>
        <w:t>Mary </w:t>
      </w:r>
      <w:r>
        <w:rPr>
          <w:w w:val="120"/>
          <w:sz w:val="20"/>
        </w:rPr>
        <w:t>Stacy who administers the special category ministry</w:t>
      </w:r>
      <w:r>
        <w:rPr>
          <w:spacing w:val="2"/>
          <w:w w:val="120"/>
          <w:sz w:val="20"/>
        </w:rPr>
        <w:t> </w:t>
      </w:r>
      <w:r>
        <w:rPr>
          <w:w w:val="120"/>
          <w:sz w:val="20"/>
        </w:rPr>
        <w:t>scheme.</w:t>
      </w:r>
    </w:p>
    <w:p>
      <w:pPr>
        <w:numPr>
          <w:ilvl w:val="0"/>
          <w:numId w:val="137"/>
        </w:numPr>
        <w:tabs>
          <w:tab w:pos="1853" w:val="left" w:leader="none"/>
          <w:tab w:pos="1854" w:val="left" w:leader="none"/>
        </w:tabs>
        <w:spacing w:before="215"/>
        <w:ind w:left="1853" w:right="0" w:hanging="721"/>
        <w:jc w:val="left"/>
        <w:rPr>
          <w:rFonts w:ascii="Stone Sans II ITC Std Bk"/>
          <w:b/>
          <w:sz w:val="21"/>
        </w:rPr>
      </w:pPr>
      <w:r>
        <w:rPr>
          <w:rFonts w:ascii="Stone Sans II ITC Std Bk"/>
          <w:b/>
          <w:w w:val="115"/>
          <w:sz w:val="21"/>
        </w:rPr>
        <w:t>Duty to</w:t>
      </w:r>
      <w:r>
        <w:rPr>
          <w:rFonts w:ascii="Stone Sans II ITC Std Bk"/>
          <w:b/>
          <w:spacing w:val="-3"/>
          <w:w w:val="115"/>
          <w:sz w:val="21"/>
        </w:rPr>
        <w:t> </w:t>
      </w:r>
      <w:r>
        <w:rPr>
          <w:rFonts w:ascii="Stone Sans II ITC Std Bk"/>
          <w:b/>
          <w:w w:val="115"/>
          <w:sz w:val="21"/>
        </w:rPr>
        <w:t>consider</w:t>
      </w:r>
    </w:p>
    <w:p>
      <w:pPr>
        <w:pStyle w:val="BodyText"/>
        <w:spacing w:line="235" w:lineRule="auto" w:before="223"/>
        <w:ind w:left="1133" w:right="2169"/>
      </w:pPr>
      <w:r>
        <w:rPr>
          <w:w w:val="120"/>
        </w:rPr>
        <w:t>A procedure has been agreed which enables consideration to be given to requests for   a minister to continue in stipendiary service beyond the normal retirement age. Synods can agree extensions of up to six months and the Committee has the authority to</w:t>
      </w:r>
      <w:r>
        <w:rPr>
          <w:spacing w:val="41"/>
          <w:w w:val="120"/>
        </w:rPr>
        <w:t> </w:t>
      </w:r>
      <w:r>
        <w:rPr>
          <w:w w:val="120"/>
        </w:rPr>
        <w:t>grant</w:t>
      </w:r>
    </w:p>
    <w:p>
      <w:pPr>
        <w:pStyle w:val="BodyText"/>
        <w:spacing w:line="235" w:lineRule="auto" w:before="2"/>
        <w:ind w:left="1133" w:right="1997"/>
      </w:pPr>
      <w:r>
        <w:rPr>
          <w:w w:val="120"/>
        </w:rPr>
        <w:t>applications for up to three years. Since General Assembly 2008, three such applications have been granted by the Committee.</w:t>
      </w:r>
    </w:p>
    <w:p>
      <w:pPr>
        <w:numPr>
          <w:ilvl w:val="0"/>
          <w:numId w:val="137"/>
        </w:numPr>
        <w:tabs>
          <w:tab w:pos="1853" w:val="left" w:leader="none"/>
          <w:tab w:pos="1854" w:val="left" w:leader="none"/>
        </w:tabs>
        <w:spacing w:before="215"/>
        <w:ind w:left="1853" w:right="0" w:hanging="721"/>
        <w:jc w:val="left"/>
        <w:rPr>
          <w:rFonts w:ascii="Stone Sans II ITC Std Bk"/>
          <w:b/>
          <w:sz w:val="21"/>
        </w:rPr>
      </w:pPr>
      <w:r>
        <w:rPr>
          <w:rFonts w:ascii="Stone Sans II ITC Std Bk"/>
          <w:b/>
          <w:w w:val="115"/>
          <w:sz w:val="21"/>
        </w:rPr>
        <w:t>The roll of</w:t>
      </w:r>
      <w:r>
        <w:rPr>
          <w:rFonts w:ascii="Stone Sans II ITC Std Bk"/>
          <w:b/>
          <w:spacing w:val="-5"/>
          <w:w w:val="115"/>
          <w:sz w:val="21"/>
        </w:rPr>
        <w:t> </w:t>
      </w:r>
      <w:r>
        <w:rPr>
          <w:rFonts w:ascii="Stone Sans II ITC Std Bk"/>
          <w:b/>
          <w:w w:val="115"/>
          <w:sz w:val="21"/>
        </w:rPr>
        <w:t>ministers</w:t>
      </w:r>
    </w:p>
    <w:p>
      <w:pPr>
        <w:pStyle w:val="ListParagraph"/>
        <w:numPr>
          <w:ilvl w:val="1"/>
          <w:numId w:val="137"/>
        </w:numPr>
        <w:tabs>
          <w:tab w:pos="1814" w:val="left" w:leader="none"/>
          <w:tab w:pos="1815" w:val="left" w:leader="none"/>
        </w:tabs>
        <w:spacing w:line="480" w:lineRule="exact" w:before="25" w:after="0"/>
        <w:ind w:left="1133" w:right="2850" w:firstLine="0"/>
        <w:jc w:val="left"/>
        <w:rPr>
          <w:sz w:val="20"/>
        </w:rPr>
      </w:pPr>
      <w:r>
        <w:rPr>
          <w:w w:val="120"/>
          <w:sz w:val="20"/>
        </w:rPr>
        <w:t>Admissions to the roll of ministers (from </w:t>
      </w:r>
      <w:r>
        <w:rPr>
          <w:spacing w:val="-4"/>
          <w:w w:val="120"/>
          <w:sz w:val="20"/>
        </w:rPr>
        <w:t>1</w:t>
      </w:r>
      <w:r>
        <w:rPr>
          <w:spacing w:val="-4"/>
          <w:w w:val="120"/>
          <w:position w:val="7"/>
          <w:sz w:val="11"/>
        </w:rPr>
        <w:t>st </w:t>
      </w:r>
      <w:r>
        <w:rPr>
          <w:w w:val="120"/>
          <w:sz w:val="20"/>
        </w:rPr>
        <w:t>April 2008 to </w:t>
      </w:r>
      <w:r>
        <w:rPr>
          <w:spacing w:val="-6"/>
          <w:w w:val="120"/>
          <w:sz w:val="20"/>
        </w:rPr>
        <w:t>31</w:t>
      </w:r>
      <w:r>
        <w:rPr>
          <w:spacing w:val="-6"/>
          <w:w w:val="120"/>
          <w:position w:val="7"/>
          <w:sz w:val="11"/>
        </w:rPr>
        <w:t>st </w:t>
      </w:r>
      <w:r>
        <w:rPr>
          <w:w w:val="120"/>
          <w:sz w:val="20"/>
        </w:rPr>
        <w:t>March </w:t>
      </w:r>
      <w:r>
        <w:rPr>
          <w:spacing w:val="-7"/>
          <w:w w:val="120"/>
          <w:sz w:val="20"/>
        </w:rPr>
        <w:t>2010) </w:t>
      </w:r>
      <w:r>
        <w:rPr>
          <w:w w:val="120"/>
          <w:sz w:val="20"/>
        </w:rPr>
        <w:t>By ordination and</w:t>
      </w:r>
      <w:r>
        <w:rPr>
          <w:spacing w:val="6"/>
          <w:w w:val="120"/>
          <w:sz w:val="20"/>
        </w:rPr>
        <w:t> </w:t>
      </w:r>
      <w:r>
        <w:rPr>
          <w:w w:val="120"/>
          <w:sz w:val="20"/>
        </w:rPr>
        <w:t>induction:</w:t>
      </w:r>
    </w:p>
    <w:p>
      <w:pPr>
        <w:pStyle w:val="BodyText"/>
        <w:spacing w:line="196" w:lineRule="exact"/>
        <w:ind w:left="1133"/>
      </w:pPr>
      <w:r>
        <w:rPr>
          <w:w w:val="120"/>
        </w:rPr>
        <w:t>Caroline Andrews, Michael Aspinall, Philip Baiden, Hilary Bell, Debbie Brown, Alan</w:t>
      </w:r>
    </w:p>
    <w:p>
      <w:pPr>
        <w:pStyle w:val="BodyText"/>
        <w:spacing w:line="235" w:lineRule="auto" w:before="2"/>
        <w:ind w:left="1133" w:right="1997"/>
      </w:pPr>
      <w:r>
        <w:rPr>
          <w:w w:val="120"/>
        </w:rPr>
        <w:t>Crump, Sohail Ejaz, Paul Ellis, Claire Gouldthorp, Ian Gow, Kate Hackett, Janet Hopewell, Michele Jarmany, Shirley Knibbs, Peter Little, Steven Manders, Andrew Mann-Ray, Stan May, Helen Mee, Mark Meatcher, Romilly Micklem, Jenny Mills, Tim Mullings, Hilary Nabarro, Mary Playford, Andrew Royal, Timothy Searle, Darryl Sinclair, Wendy Swan, Graham Tarn, Wendy White, Roger Wood</w:t>
      </w:r>
    </w:p>
    <w:p>
      <w:pPr>
        <w:spacing w:after="0" w:line="235" w:lineRule="auto"/>
        <w:sectPr>
          <w:pgSz w:w="11910" w:h="16840"/>
          <w:pgMar w:header="0" w:footer="647" w:top="1060" w:bottom="840" w:left="0" w:right="0"/>
        </w:sectPr>
      </w:pPr>
    </w:p>
    <w:p>
      <w:pPr>
        <w:pStyle w:val="ListParagraph"/>
        <w:numPr>
          <w:ilvl w:val="1"/>
          <w:numId w:val="137"/>
        </w:numPr>
        <w:tabs>
          <w:tab w:pos="2664" w:val="left" w:leader="none"/>
          <w:tab w:pos="2665" w:val="left" w:leader="none"/>
        </w:tabs>
        <w:spacing w:line="242" w:lineRule="exact" w:before="87" w:after="0"/>
        <w:ind w:left="2664" w:right="0" w:hanging="681"/>
        <w:jc w:val="left"/>
        <w:rPr>
          <w:sz w:val="20"/>
        </w:rPr>
      </w:pPr>
      <w:r>
        <w:rPr/>
        <w:pict>
          <v:rect style="position:absolute;margin-left:558.424988pt;margin-top:8.493772pt;width:22.677pt;height:22.677pt;mso-position-horizontal-relative:page;mso-position-vertical-relative:paragraph;z-index:252103680" filled="true" fillcolor="#dae4ec" stroked="false">
            <v:fill opacity="32768f" type="solid"/>
            <w10:wrap type="none"/>
          </v:rect>
        </w:pict>
      </w:r>
      <w:r>
        <w:rPr>
          <w:w w:val="115"/>
          <w:sz w:val="20"/>
        </w:rPr>
        <w:t>By transfer from other</w:t>
      </w:r>
      <w:r>
        <w:rPr>
          <w:spacing w:val="19"/>
          <w:w w:val="115"/>
          <w:sz w:val="20"/>
        </w:rPr>
        <w:t> </w:t>
      </w:r>
      <w:r>
        <w:rPr>
          <w:w w:val="115"/>
          <w:sz w:val="20"/>
        </w:rPr>
        <w:t>churches:</w:t>
      </w:r>
    </w:p>
    <w:p>
      <w:pPr>
        <w:pStyle w:val="BodyText"/>
        <w:spacing w:line="235" w:lineRule="auto" w:before="2"/>
        <w:ind w:left="1984" w:right="1120"/>
      </w:pPr>
      <w:r>
        <w:rPr>
          <w:w w:val="120"/>
        </w:rPr>
        <w:t>Nancy Babarinde (New Testament Assembly), Uta Blohm (Evangelische Kirche im Rheinland), Shahbaz Javed (Presbyterian Church of Pakistan), Timothy Meadows (United Church of Christ, USA), Tanya Rasmussen (United Methodist Church, USA), Frances Ruthven (United Church of Christ, USA), Hans Stein (Uniting Presbyterian Church of Southern Africa),</w:t>
      </w:r>
    </w:p>
    <w:p>
      <w:pPr>
        <w:pStyle w:val="BodyText"/>
        <w:spacing w:before="11"/>
        <w:rPr>
          <w:sz w:val="19"/>
        </w:rPr>
      </w:pPr>
    </w:p>
    <w:p>
      <w:pPr>
        <w:pStyle w:val="ListParagraph"/>
        <w:numPr>
          <w:ilvl w:val="1"/>
          <w:numId w:val="137"/>
        </w:numPr>
        <w:tabs>
          <w:tab w:pos="2664" w:val="left" w:leader="none"/>
          <w:tab w:pos="2665" w:val="left" w:leader="none"/>
        </w:tabs>
        <w:spacing w:line="235" w:lineRule="auto" w:before="0" w:after="0"/>
        <w:ind w:left="1984" w:right="1530" w:hanging="1"/>
        <w:jc w:val="left"/>
        <w:rPr>
          <w:sz w:val="20"/>
        </w:rPr>
      </w:pPr>
      <w:r>
        <w:rPr>
          <w:w w:val="120"/>
          <w:sz w:val="20"/>
        </w:rPr>
        <w:t>By changes within the roll of ministers (from </w:t>
      </w:r>
      <w:r>
        <w:rPr>
          <w:spacing w:val="-4"/>
          <w:w w:val="120"/>
          <w:sz w:val="20"/>
        </w:rPr>
        <w:t>1</w:t>
      </w:r>
      <w:r>
        <w:rPr>
          <w:spacing w:val="-4"/>
          <w:w w:val="120"/>
          <w:position w:val="7"/>
          <w:sz w:val="11"/>
        </w:rPr>
        <w:t>st </w:t>
      </w:r>
      <w:r>
        <w:rPr>
          <w:w w:val="120"/>
          <w:sz w:val="20"/>
        </w:rPr>
        <w:t>April 2008 to </w:t>
      </w:r>
      <w:r>
        <w:rPr>
          <w:spacing w:val="-6"/>
          <w:w w:val="120"/>
          <w:sz w:val="20"/>
        </w:rPr>
        <w:t>31</w:t>
      </w:r>
      <w:r>
        <w:rPr>
          <w:spacing w:val="-6"/>
          <w:w w:val="120"/>
          <w:position w:val="7"/>
          <w:sz w:val="11"/>
        </w:rPr>
        <w:t>st </w:t>
      </w:r>
      <w:r>
        <w:rPr>
          <w:w w:val="120"/>
          <w:sz w:val="20"/>
        </w:rPr>
        <w:t>March </w:t>
      </w:r>
      <w:r>
        <w:rPr>
          <w:spacing w:val="-7"/>
          <w:w w:val="120"/>
          <w:sz w:val="20"/>
        </w:rPr>
        <w:t>2010) </w:t>
      </w:r>
      <w:r>
        <w:rPr>
          <w:w w:val="120"/>
          <w:sz w:val="20"/>
        </w:rPr>
        <w:t>non-stipendiary</w:t>
      </w:r>
      <w:r>
        <w:rPr>
          <w:spacing w:val="6"/>
          <w:w w:val="120"/>
          <w:sz w:val="20"/>
        </w:rPr>
        <w:t> </w:t>
      </w:r>
      <w:r>
        <w:rPr>
          <w:w w:val="120"/>
          <w:sz w:val="20"/>
        </w:rPr>
        <w:t>to</w:t>
      </w:r>
      <w:r>
        <w:rPr>
          <w:spacing w:val="6"/>
          <w:w w:val="120"/>
          <w:sz w:val="20"/>
        </w:rPr>
        <w:t> </w:t>
      </w:r>
      <w:r>
        <w:rPr>
          <w:w w:val="120"/>
          <w:sz w:val="20"/>
        </w:rPr>
        <w:t>stipendiary</w:t>
      </w:r>
      <w:r>
        <w:rPr>
          <w:spacing w:val="6"/>
          <w:w w:val="120"/>
          <w:sz w:val="20"/>
        </w:rPr>
        <w:t> </w:t>
      </w:r>
      <w:r>
        <w:rPr>
          <w:w w:val="120"/>
          <w:sz w:val="20"/>
        </w:rPr>
        <w:t>service:</w:t>
      </w:r>
      <w:r>
        <w:rPr>
          <w:spacing w:val="6"/>
          <w:w w:val="120"/>
          <w:sz w:val="20"/>
        </w:rPr>
        <w:t> </w:t>
      </w:r>
      <w:r>
        <w:rPr>
          <w:w w:val="120"/>
          <w:sz w:val="20"/>
        </w:rPr>
        <w:t>Ken</w:t>
      </w:r>
      <w:r>
        <w:rPr>
          <w:spacing w:val="6"/>
          <w:w w:val="120"/>
          <w:sz w:val="20"/>
        </w:rPr>
        <w:t> </w:t>
      </w:r>
      <w:r>
        <w:rPr>
          <w:w w:val="120"/>
          <w:sz w:val="20"/>
        </w:rPr>
        <w:t>Blanton</w:t>
      </w:r>
      <w:r>
        <w:rPr>
          <w:spacing w:val="6"/>
          <w:w w:val="120"/>
          <w:sz w:val="20"/>
        </w:rPr>
        <w:t> </w:t>
      </w:r>
      <w:r>
        <w:rPr>
          <w:w w:val="120"/>
          <w:sz w:val="20"/>
        </w:rPr>
        <w:t>(for</w:t>
      </w:r>
      <w:r>
        <w:rPr>
          <w:spacing w:val="6"/>
          <w:w w:val="120"/>
          <w:sz w:val="20"/>
        </w:rPr>
        <w:t> </w:t>
      </w:r>
      <w:r>
        <w:rPr>
          <w:w w:val="120"/>
          <w:sz w:val="20"/>
        </w:rPr>
        <w:t>6</w:t>
      </w:r>
      <w:r>
        <w:rPr>
          <w:spacing w:val="6"/>
          <w:w w:val="120"/>
          <w:sz w:val="20"/>
        </w:rPr>
        <w:t> </w:t>
      </w:r>
      <w:r>
        <w:rPr>
          <w:w w:val="120"/>
          <w:sz w:val="20"/>
        </w:rPr>
        <w:t>months</w:t>
      </w:r>
      <w:r>
        <w:rPr>
          <w:spacing w:val="6"/>
          <w:w w:val="120"/>
          <w:sz w:val="20"/>
        </w:rPr>
        <w:t> </w:t>
      </w:r>
      <w:r>
        <w:rPr>
          <w:w w:val="120"/>
          <w:sz w:val="20"/>
        </w:rPr>
        <w:t>from</w:t>
      </w:r>
      <w:r>
        <w:rPr>
          <w:spacing w:val="7"/>
          <w:w w:val="120"/>
          <w:sz w:val="20"/>
        </w:rPr>
        <w:t> </w:t>
      </w:r>
      <w:r>
        <w:rPr>
          <w:w w:val="120"/>
          <w:sz w:val="20"/>
        </w:rPr>
        <w:t>January</w:t>
      </w:r>
      <w:r>
        <w:rPr>
          <w:spacing w:val="6"/>
          <w:w w:val="120"/>
          <w:sz w:val="20"/>
        </w:rPr>
        <w:t> </w:t>
      </w:r>
      <w:r>
        <w:rPr>
          <w:spacing w:val="-7"/>
          <w:w w:val="120"/>
          <w:sz w:val="20"/>
        </w:rPr>
        <w:t>2010)</w:t>
      </w:r>
    </w:p>
    <w:p>
      <w:pPr>
        <w:pStyle w:val="BodyText"/>
        <w:spacing w:before="10"/>
        <w:rPr>
          <w:sz w:val="19"/>
        </w:rPr>
      </w:pPr>
    </w:p>
    <w:p>
      <w:pPr>
        <w:pStyle w:val="ListParagraph"/>
        <w:numPr>
          <w:ilvl w:val="1"/>
          <w:numId w:val="137"/>
        </w:numPr>
        <w:tabs>
          <w:tab w:pos="2664" w:val="left" w:leader="none"/>
          <w:tab w:pos="2665" w:val="left" w:leader="none"/>
        </w:tabs>
        <w:spacing w:line="235" w:lineRule="auto" w:before="0" w:after="0"/>
        <w:ind w:left="1984" w:right="1508" w:firstLine="0"/>
        <w:jc w:val="left"/>
        <w:rPr>
          <w:sz w:val="20"/>
        </w:rPr>
      </w:pPr>
      <w:r>
        <w:rPr>
          <w:w w:val="120"/>
          <w:sz w:val="20"/>
        </w:rPr>
        <w:t>Deletions from the Roll of Ministers by resignation and/or transfer to other denominations: (from </w:t>
      </w:r>
      <w:r>
        <w:rPr>
          <w:spacing w:val="-4"/>
          <w:w w:val="120"/>
          <w:sz w:val="20"/>
        </w:rPr>
        <w:t>1</w:t>
      </w:r>
      <w:r>
        <w:rPr>
          <w:spacing w:val="-4"/>
          <w:w w:val="120"/>
          <w:position w:val="7"/>
          <w:sz w:val="11"/>
        </w:rPr>
        <w:t>st </w:t>
      </w:r>
      <w:r>
        <w:rPr>
          <w:w w:val="120"/>
          <w:sz w:val="20"/>
        </w:rPr>
        <w:t>April 2008 to </w:t>
      </w:r>
      <w:r>
        <w:rPr>
          <w:spacing w:val="-6"/>
          <w:w w:val="120"/>
          <w:sz w:val="20"/>
        </w:rPr>
        <w:t>31</w:t>
      </w:r>
      <w:r>
        <w:rPr>
          <w:spacing w:val="-6"/>
          <w:w w:val="120"/>
          <w:position w:val="7"/>
          <w:sz w:val="11"/>
        </w:rPr>
        <w:t>st </w:t>
      </w:r>
      <w:r>
        <w:rPr>
          <w:w w:val="120"/>
          <w:sz w:val="20"/>
        </w:rPr>
        <w:t>March </w:t>
      </w:r>
      <w:r>
        <w:rPr>
          <w:spacing w:val="-6"/>
          <w:w w:val="120"/>
          <w:sz w:val="20"/>
        </w:rPr>
        <w:t>2010): </w:t>
      </w:r>
      <w:r>
        <w:rPr>
          <w:w w:val="120"/>
          <w:sz w:val="20"/>
        </w:rPr>
        <w:t>John Hick </w:t>
      </w:r>
      <w:r>
        <w:rPr>
          <w:spacing w:val="-6"/>
          <w:w w:val="120"/>
          <w:sz w:val="20"/>
        </w:rPr>
        <w:t>(to </w:t>
      </w:r>
      <w:r>
        <w:rPr>
          <w:w w:val="120"/>
          <w:sz w:val="20"/>
        </w:rPr>
        <w:t>membership of the Society of </w:t>
      </w:r>
      <w:r>
        <w:rPr>
          <w:spacing w:val="-3"/>
          <w:w w:val="120"/>
          <w:sz w:val="20"/>
        </w:rPr>
        <w:t>Friends), </w:t>
      </w:r>
      <w:r>
        <w:rPr>
          <w:w w:val="120"/>
          <w:sz w:val="20"/>
        </w:rPr>
        <w:t>Alistair Jones </w:t>
      </w:r>
      <w:r>
        <w:rPr>
          <w:spacing w:val="-6"/>
          <w:w w:val="120"/>
          <w:sz w:val="20"/>
        </w:rPr>
        <w:t>(to </w:t>
      </w:r>
      <w:r>
        <w:rPr>
          <w:w w:val="120"/>
          <w:sz w:val="20"/>
        </w:rPr>
        <w:t>the Methodist </w:t>
      </w:r>
      <w:r>
        <w:rPr>
          <w:spacing w:val="-4"/>
          <w:w w:val="120"/>
          <w:sz w:val="20"/>
        </w:rPr>
        <w:t>Church), </w:t>
      </w:r>
      <w:r>
        <w:rPr>
          <w:w w:val="120"/>
          <w:sz w:val="20"/>
        </w:rPr>
        <w:t>Nigel Watson </w:t>
      </w:r>
      <w:r>
        <w:rPr>
          <w:spacing w:val="-6"/>
          <w:w w:val="120"/>
          <w:sz w:val="20"/>
        </w:rPr>
        <w:t>(to </w:t>
      </w:r>
      <w:r>
        <w:rPr>
          <w:w w:val="120"/>
          <w:sz w:val="20"/>
        </w:rPr>
        <w:t>the Church of</w:t>
      </w:r>
      <w:r>
        <w:rPr>
          <w:spacing w:val="4"/>
          <w:w w:val="120"/>
          <w:sz w:val="20"/>
        </w:rPr>
        <w:t> </w:t>
      </w:r>
      <w:r>
        <w:rPr>
          <w:w w:val="120"/>
          <w:sz w:val="20"/>
        </w:rPr>
        <w:t>Scotland)</w:t>
      </w:r>
    </w:p>
    <w:p>
      <w:pPr>
        <w:pStyle w:val="BodyText"/>
        <w:spacing w:before="9"/>
        <w:rPr>
          <w:sz w:val="17"/>
        </w:rPr>
      </w:pPr>
    </w:p>
    <w:p>
      <w:pPr>
        <w:numPr>
          <w:ilvl w:val="0"/>
          <w:numId w:val="137"/>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Church related community</w:t>
      </w:r>
      <w:r>
        <w:rPr>
          <w:rFonts w:ascii="Stone Sans II ITC Std Bk"/>
          <w:b/>
          <w:spacing w:val="-6"/>
          <w:w w:val="115"/>
          <w:sz w:val="21"/>
        </w:rPr>
        <w:t> </w:t>
      </w:r>
      <w:r>
        <w:rPr>
          <w:rFonts w:ascii="Stone Sans II ITC Std Bk"/>
          <w:b/>
          <w:w w:val="115"/>
          <w:sz w:val="21"/>
        </w:rPr>
        <w:t>workers</w:t>
      </w:r>
    </w:p>
    <w:p>
      <w:pPr>
        <w:pStyle w:val="BodyText"/>
        <w:spacing w:line="235" w:lineRule="auto" w:before="223"/>
        <w:ind w:left="1984" w:right="1120"/>
      </w:pPr>
      <w:r>
        <w:rPr>
          <w:w w:val="120"/>
        </w:rPr>
        <w:t>Admission to the roll of church related community workers (from 1</w:t>
      </w:r>
      <w:r>
        <w:rPr>
          <w:w w:val="120"/>
          <w:position w:val="7"/>
          <w:sz w:val="11"/>
        </w:rPr>
        <w:t>st </w:t>
      </w:r>
      <w:r>
        <w:rPr>
          <w:w w:val="120"/>
        </w:rPr>
        <w:t>April 2008 to 31</w:t>
      </w:r>
      <w:r>
        <w:rPr>
          <w:w w:val="120"/>
          <w:position w:val="7"/>
          <w:sz w:val="11"/>
        </w:rPr>
        <w:t>st </w:t>
      </w:r>
      <w:r>
        <w:rPr>
          <w:w w:val="120"/>
        </w:rPr>
        <w:t>March 2010) by commissioning: Ann Honey</w:t>
      </w:r>
    </w:p>
    <w:p>
      <w:pPr>
        <w:numPr>
          <w:ilvl w:val="0"/>
          <w:numId w:val="137"/>
        </w:numPr>
        <w:tabs>
          <w:tab w:pos="2704" w:val="left" w:leader="none"/>
          <w:tab w:pos="2705" w:val="left" w:leader="none"/>
        </w:tabs>
        <w:spacing w:before="214"/>
        <w:ind w:left="2704" w:right="0" w:hanging="721"/>
        <w:jc w:val="left"/>
        <w:rPr>
          <w:rFonts w:ascii="Stone Sans II ITC Std Bk"/>
          <w:b/>
          <w:sz w:val="21"/>
        </w:rPr>
      </w:pPr>
      <w:r>
        <w:rPr>
          <w:rFonts w:ascii="Stone Sans II ITC Std Bk"/>
          <w:b/>
          <w:w w:val="115"/>
          <w:sz w:val="21"/>
        </w:rPr>
        <w:t>Assembly accredited lay</w:t>
      </w:r>
      <w:r>
        <w:rPr>
          <w:rFonts w:ascii="Stone Sans II ITC Std Bk"/>
          <w:b/>
          <w:spacing w:val="-6"/>
          <w:w w:val="115"/>
          <w:sz w:val="21"/>
        </w:rPr>
        <w:t> </w:t>
      </w:r>
      <w:r>
        <w:rPr>
          <w:rFonts w:ascii="Stone Sans II ITC Std Bk"/>
          <w:b/>
          <w:w w:val="115"/>
          <w:sz w:val="21"/>
        </w:rPr>
        <w:t>preachers</w:t>
      </w:r>
    </w:p>
    <w:p>
      <w:pPr>
        <w:pStyle w:val="BodyText"/>
        <w:spacing w:line="235" w:lineRule="auto" w:before="223"/>
        <w:ind w:left="1984" w:right="1273"/>
      </w:pPr>
      <w:r>
        <w:rPr>
          <w:w w:val="120"/>
        </w:rPr>
        <w:t>The following have received Assembly accreditation between 1</w:t>
      </w:r>
      <w:r>
        <w:rPr>
          <w:w w:val="120"/>
          <w:position w:val="7"/>
          <w:sz w:val="11"/>
        </w:rPr>
        <w:t>st </w:t>
      </w:r>
      <w:r>
        <w:rPr>
          <w:w w:val="120"/>
        </w:rPr>
        <w:t>April 2008 and 31</w:t>
      </w:r>
      <w:r>
        <w:rPr>
          <w:w w:val="120"/>
          <w:position w:val="7"/>
          <w:sz w:val="11"/>
        </w:rPr>
        <w:t>st </w:t>
      </w:r>
      <w:r>
        <w:rPr>
          <w:w w:val="120"/>
        </w:rPr>
        <w:t>March 2010 as a result of having completed a United Reformed Church course of study or have prior accreditation from another denomination:</w:t>
      </w:r>
    </w:p>
    <w:p>
      <w:pPr>
        <w:pStyle w:val="BodyText"/>
        <w:spacing w:before="6"/>
        <w:rPr>
          <w:sz w:val="19"/>
        </w:rPr>
      </w:pPr>
    </w:p>
    <w:p>
      <w:pPr>
        <w:pStyle w:val="BodyText"/>
        <w:tabs>
          <w:tab w:pos="4864" w:val="left" w:leader="none"/>
        </w:tabs>
        <w:spacing w:line="242" w:lineRule="exact"/>
        <w:ind w:left="1984"/>
      </w:pPr>
      <w:r>
        <w:rPr>
          <w:spacing w:val="2"/>
          <w:w w:val="120"/>
        </w:rPr>
        <w:t>Northern</w:t>
      </w:r>
      <w:r>
        <w:rPr>
          <w:spacing w:val="5"/>
          <w:w w:val="120"/>
        </w:rPr>
        <w:t> </w:t>
      </w:r>
      <w:r>
        <w:rPr>
          <w:w w:val="120"/>
        </w:rPr>
        <w:t>Synod:</w:t>
        <w:tab/>
        <w:t>Elizabeth Barnes, Gillian Bustard, Maranny</w:t>
      </w:r>
      <w:r>
        <w:rPr>
          <w:spacing w:val="7"/>
          <w:w w:val="120"/>
        </w:rPr>
        <w:t> </w:t>
      </w:r>
      <w:r>
        <w:rPr>
          <w:w w:val="120"/>
        </w:rPr>
        <w:t>Jones,</w:t>
      </w:r>
    </w:p>
    <w:p>
      <w:pPr>
        <w:pStyle w:val="BodyText"/>
        <w:spacing w:line="242" w:lineRule="exact"/>
        <w:ind w:left="4864"/>
      </w:pPr>
      <w:r>
        <w:rPr>
          <w:w w:val="120"/>
        </w:rPr>
        <w:t>Joan Lamplugh</w:t>
      </w:r>
    </w:p>
    <w:p>
      <w:pPr>
        <w:pStyle w:val="BodyText"/>
        <w:tabs>
          <w:tab w:pos="4864" w:val="left" w:leader="none"/>
        </w:tabs>
        <w:spacing w:line="350" w:lineRule="atLeast" w:before="4"/>
        <w:ind w:left="1984" w:right="1994"/>
      </w:pPr>
      <w:r>
        <w:rPr>
          <w:w w:val="120"/>
        </w:rPr>
        <w:t>North-Western</w:t>
      </w:r>
      <w:r>
        <w:rPr>
          <w:spacing w:val="3"/>
          <w:w w:val="120"/>
        </w:rPr>
        <w:t> </w:t>
      </w:r>
      <w:r>
        <w:rPr>
          <w:w w:val="120"/>
        </w:rPr>
        <w:t>Synod:</w:t>
        <w:tab/>
        <w:t>Margaret Dexter-Brown, Alicia Jones, Danny Wilson Mersey Synod:</w:t>
        <w:tab/>
        <w:t>Lorraine Aizlewood-Threfall, Elizabeth Warrington Yorkshire Synod:</w:t>
        <w:tab/>
        <w:t>Judith Garthwaite, Claire Hodgson, Ian</w:t>
      </w:r>
      <w:r>
        <w:rPr>
          <w:spacing w:val="21"/>
          <w:w w:val="120"/>
        </w:rPr>
        <w:t> </w:t>
      </w:r>
      <w:r>
        <w:rPr>
          <w:w w:val="120"/>
        </w:rPr>
        <w:t>Morris,</w:t>
      </w:r>
    </w:p>
    <w:p>
      <w:pPr>
        <w:pStyle w:val="BodyText"/>
        <w:tabs>
          <w:tab w:pos="4864" w:val="left" w:leader="none"/>
        </w:tabs>
        <w:spacing w:line="348" w:lineRule="auto" w:before="3"/>
        <w:ind w:left="1984" w:right="2784" w:firstLine="2880"/>
      </w:pPr>
      <w:r>
        <w:rPr>
          <w:w w:val="120"/>
        </w:rPr>
        <w:t>Clive Parkinson, Hedley Siddall, Peter Vince East</w:t>
      </w:r>
      <w:r>
        <w:rPr>
          <w:spacing w:val="2"/>
          <w:w w:val="120"/>
        </w:rPr>
        <w:t> </w:t>
      </w:r>
      <w:r>
        <w:rPr>
          <w:w w:val="120"/>
        </w:rPr>
        <w:t>Midlands</w:t>
      </w:r>
      <w:r>
        <w:rPr>
          <w:spacing w:val="2"/>
          <w:w w:val="120"/>
        </w:rPr>
        <w:t> </w:t>
      </w:r>
      <w:r>
        <w:rPr>
          <w:w w:val="120"/>
        </w:rPr>
        <w:t>Synod:</w:t>
        <w:tab/>
        <w:t>Hazel</w:t>
      </w:r>
      <w:r>
        <w:rPr>
          <w:spacing w:val="2"/>
          <w:w w:val="120"/>
        </w:rPr>
        <w:t> </w:t>
      </w:r>
      <w:r>
        <w:rPr>
          <w:w w:val="120"/>
        </w:rPr>
        <w:t>Coley</w:t>
      </w:r>
    </w:p>
    <w:p>
      <w:pPr>
        <w:pStyle w:val="BodyText"/>
        <w:tabs>
          <w:tab w:pos="4864" w:val="left" w:leader="none"/>
        </w:tabs>
        <w:spacing w:line="348" w:lineRule="auto"/>
        <w:ind w:left="1984" w:right="1200"/>
      </w:pPr>
      <w:r>
        <w:rPr>
          <w:w w:val="120"/>
        </w:rPr>
        <w:t>West</w:t>
      </w:r>
      <w:r>
        <w:rPr>
          <w:spacing w:val="-1"/>
          <w:w w:val="120"/>
        </w:rPr>
        <w:t> </w:t>
      </w:r>
      <w:r>
        <w:rPr>
          <w:w w:val="120"/>
        </w:rPr>
        <w:t>Midlands Synod:</w:t>
        <w:tab/>
        <w:t>Alan Cotgreave, Richard Gillett, Ruth Gillett, Lorraine Gilroy Eastern Synod:</w:t>
        <w:tab/>
      </w:r>
      <w:r>
        <w:rPr>
          <w:spacing w:val="-3"/>
          <w:w w:val="120"/>
        </w:rPr>
        <w:t>Trevor </w:t>
      </w:r>
      <w:r>
        <w:rPr>
          <w:w w:val="120"/>
        </w:rPr>
        <w:t>Andrews, Penny</w:t>
      </w:r>
      <w:r>
        <w:rPr>
          <w:spacing w:val="9"/>
          <w:w w:val="120"/>
        </w:rPr>
        <w:t> </w:t>
      </w:r>
      <w:r>
        <w:rPr>
          <w:w w:val="120"/>
        </w:rPr>
        <w:t>Flynn</w:t>
      </w:r>
    </w:p>
    <w:p>
      <w:pPr>
        <w:pStyle w:val="BodyText"/>
        <w:tabs>
          <w:tab w:pos="4864" w:val="left" w:leader="none"/>
        </w:tabs>
        <w:spacing w:line="241" w:lineRule="exact"/>
        <w:ind w:left="1984"/>
      </w:pPr>
      <w:r>
        <w:rPr>
          <w:w w:val="120"/>
        </w:rPr>
        <w:t>South-Western Synod:</w:t>
        <w:tab/>
        <w:t>Ann Batten, Sylvia Hugget, Clive Illman, Joanna</w:t>
      </w:r>
      <w:r>
        <w:rPr>
          <w:spacing w:val="25"/>
          <w:w w:val="120"/>
        </w:rPr>
        <w:t> </w:t>
      </w:r>
      <w:r>
        <w:rPr>
          <w:w w:val="120"/>
        </w:rPr>
        <w:t>Morling,</w:t>
      </w:r>
    </w:p>
    <w:p>
      <w:pPr>
        <w:pStyle w:val="BodyText"/>
        <w:spacing w:line="242" w:lineRule="exact"/>
        <w:ind w:left="4864"/>
      </w:pPr>
      <w:r>
        <w:rPr>
          <w:w w:val="115"/>
        </w:rPr>
        <w:t>Maria Mills</w:t>
      </w:r>
    </w:p>
    <w:p>
      <w:pPr>
        <w:pStyle w:val="BodyText"/>
        <w:tabs>
          <w:tab w:pos="4864" w:val="left" w:leader="none"/>
        </w:tabs>
        <w:spacing w:line="348" w:lineRule="auto" w:before="108"/>
        <w:ind w:left="1984" w:right="2270"/>
      </w:pPr>
      <w:r>
        <w:rPr>
          <w:w w:val="120"/>
        </w:rPr>
        <w:t>Wessex</w:t>
      </w:r>
      <w:r>
        <w:rPr>
          <w:spacing w:val="-3"/>
          <w:w w:val="120"/>
        </w:rPr>
        <w:t> </w:t>
      </w:r>
      <w:r>
        <w:rPr>
          <w:w w:val="120"/>
        </w:rPr>
        <w:t>Synod:</w:t>
        <w:tab/>
        <w:t>Pamela Humpheys, </w:t>
      </w:r>
      <w:r>
        <w:rPr>
          <w:spacing w:val="2"/>
          <w:w w:val="120"/>
        </w:rPr>
        <w:t>Mary </w:t>
      </w:r>
      <w:r>
        <w:rPr>
          <w:w w:val="120"/>
        </w:rPr>
        <w:t>Nicholson, Raven Scott Thames</w:t>
      </w:r>
      <w:r>
        <w:rPr>
          <w:spacing w:val="5"/>
          <w:w w:val="120"/>
        </w:rPr>
        <w:t> </w:t>
      </w:r>
      <w:r>
        <w:rPr>
          <w:spacing w:val="2"/>
          <w:w w:val="120"/>
        </w:rPr>
        <w:t>North</w:t>
      </w:r>
      <w:r>
        <w:rPr>
          <w:spacing w:val="6"/>
          <w:w w:val="120"/>
        </w:rPr>
        <w:t> </w:t>
      </w:r>
      <w:r>
        <w:rPr>
          <w:w w:val="120"/>
        </w:rPr>
        <w:t>Synod:</w:t>
        <w:tab/>
        <w:t>Solomon Aryee-Brown, Mercy</w:t>
      </w:r>
      <w:r>
        <w:rPr>
          <w:spacing w:val="11"/>
          <w:w w:val="120"/>
        </w:rPr>
        <w:t> </w:t>
      </w:r>
      <w:r>
        <w:rPr>
          <w:w w:val="120"/>
        </w:rPr>
        <w:t>Danso</w:t>
      </w:r>
    </w:p>
    <w:p>
      <w:pPr>
        <w:pStyle w:val="BodyText"/>
        <w:tabs>
          <w:tab w:pos="4864" w:val="left" w:leader="none"/>
        </w:tabs>
        <w:spacing w:line="241" w:lineRule="exact"/>
        <w:ind w:left="1984"/>
      </w:pPr>
      <w:r>
        <w:rPr>
          <w:w w:val="120"/>
        </w:rPr>
        <w:t>Southern</w:t>
      </w:r>
      <w:r>
        <w:rPr>
          <w:spacing w:val="8"/>
          <w:w w:val="120"/>
        </w:rPr>
        <w:t> </w:t>
      </w:r>
      <w:r>
        <w:rPr>
          <w:w w:val="120"/>
        </w:rPr>
        <w:t>Synod:</w:t>
        <w:tab/>
        <w:t>Ann Cook, Judith Johnson, Bea Pollard, </w:t>
      </w:r>
      <w:r>
        <w:rPr>
          <w:spacing w:val="2"/>
          <w:w w:val="120"/>
        </w:rPr>
        <w:t>Albert</w:t>
      </w:r>
      <w:r>
        <w:rPr>
          <w:spacing w:val="14"/>
          <w:w w:val="120"/>
        </w:rPr>
        <w:t> </w:t>
      </w:r>
      <w:r>
        <w:rPr>
          <w:w w:val="120"/>
        </w:rPr>
        <w:t>Wood,</w:t>
      </w:r>
    </w:p>
    <w:p>
      <w:pPr>
        <w:pStyle w:val="BodyText"/>
        <w:spacing w:line="242" w:lineRule="exact"/>
        <w:ind w:left="4864"/>
      </w:pPr>
      <w:r>
        <w:rPr>
          <w:w w:val="120"/>
        </w:rPr>
        <w:t>Elizabeth Wood</w:t>
      </w:r>
    </w:p>
    <w:p>
      <w:pPr>
        <w:pStyle w:val="BodyText"/>
        <w:tabs>
          <w:tab w:pos="4864" w:val="left" w:leader="none"/>
        </w:tabs>
        <w:spacing w:before="109"/>
        <w:ind w:left="1984"/>
      </w:pPr>
      <w:r>
        <w:rPr>
          <w:w w:val="115"/>
        </w:rPr>
        <w:t>Synod</w:t>
      </w:r>
      <w:r>
        <w:rPr>
          <w:spacing w:val="13"/>
          <w:w w:val="115"/>
        </w:rPr>
        <w:t> </w:t>
      </w:r>
      <w:r>
        <w:rPr>
          <w:w w:val="115"/>
        </w:rPr>
        <w:t>of</w:t>
      </w:r>
      <w:r>
        <w:rPr>
          <w:spacing w:val="14"/>
          <w:w w:val="115"/>
        </w:rPr>
        <w:t> </w:t>
      </w:r>
      <w:r>
        <w:rPr>
          <w:w w:val="115"/>
        </w:rPr>
        <w:t>Wales:</w:t>
        <w:tab/>
        <w:t>Pam</w:t>
      </w:r>
      <w:r>
        <w:rPr>
          <w:spacing w:val="5"/>
          <w:w w:val="115"/>
        </w:rPr>
        <w:t> </w:t>
      </w:r>
      <w:r>
        <w:rPr>
          <w:w w:val="115"/>
        </w:rPr>
        <w:t>Passmore</w:t>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7"/>
        </w:rPr>
      </w:pPr>
      <w:r>
        <w:rPr/>
        <w:pict>
          <v:shape style="position:absolute;margin-left:100.629898pt;margin-top:13.157815pt;width:438pt;height:.1pt;mso-position-horizontal-relative:page;mso-position-vertical-relative:paragraph;z-index:-251213824;mso-wrap-distance-left:0;mso-wrap-distance-right:0" coordorigin="2013,263" coordsize="8760,0" path="m2013,263l10772,263e" filled="false" stroked="true" strokeweight=".75pt" strokecolor="#8ba8bd">
            <v:path arrowok="t"/>
            <v:stroke dashstyle="solid"/>
            <w10:wrap type="topAndBottom"/>
          </v:shape>
        </w:pict>
      </w:r>
    </w:p>
    <w:p>
      <w:pPr>
        <w:spacing w:after="0"/>
        <w:rPr>
          <w:sz w:val="17"/>
        </w:rPr>
        <w:sectPr>
          <w:pgSz w:w="11910" w:h="16840"/>
          <w:pgMar w:header="0" w:footer="647" w:top="1060" w:bottom="840" w:left="0" w:right="0"/>
        </w:sectPr>
      </w:pPr>
    </w:p>
    <w:p>
      <w:pPr>
        <w:pStyle w:val="Heading2"/>
        <w:spacing w:before="131"/>
        <w:ind w:left="1133"/>
      </w:pPr>
      <w:r>
        <w:rPr/>
        <w:pict>
          <v:group style="position:absolute;margin-left:58.359604pt;margin-top:43.307781pt;width:436.3pt;height:94pt;mso-position-horizontal-relative:page;mso-position-vertical-relative:paragraph;z-index:-251210752;mso-wrap-distance-left:0;mso-wrap-distance-right:0" coordorigin="1167,866" coordsize="8726,1880">
            <v:shape style="position:absolute;left:1177;top:876;width:8706;height:1860" coordorigin="1177,876" coordsize="8706,1860" path="m1417,876l1413,1015,1387,1086,1316,1112,1177,1116,1177,2496,1316,2500,1387,2526,1413,2597,1417,2736,9643,2736,9647,2597,9673,2526,9744,2500,9883,2496,9883,1116,9744,1112,9673,1086,9647,1015,9643,876,1417,876xe" filled="false" stroked="true" strokeweight="1pt" strokecolor="#8ba8bd">
              <v:path arrowok="t"/>
              <v:stroke dashstyle="solid"/>
            </v:shape>
            <v:shape style="position:absolute;left:1167;top:866;width:8726;height:1880" type="#_x0000_t202" filled="false" stroked="false">
              <v:textbox inset="0,0,0,0">
                <w:txbxContent>
                  <w:p>
                    <w:pPr>
                      <w:spacing w:line="240" w:lineRule="auto" w:before="12"/>
                      <w:rPr>
                        <w:rFonts w:ascii="Stone Sans II ITC Std Bk"/>
                        <w:b/>
                        <w:sz w:val="19"/>
                      </w:rPr>
                    </w:pPr>
                  </w:p>
                  <w:p>
                    <w:pPr>
                      <w:spacing w:line="232" w:lineRule="exact" w:before="0"/>
                      <w:ind w:left="363" w:right="0" w:firstLine="0"/>
                      <w:jc w:val="left"/>
                      <w:rPr>
                        <w:sz w:val="18"/>
                      </w:rPr>
                    </w:pPr>
                    <w:r>
                      <w:rPr>
                        <w:rFonts w:ascii="Stone Sans II ITC Std Bk"/>
                        <w:b/>
                        <w:w w:val="120"/>
                        <w:sz w:val="18"/>
                      </w:rPr>
                      <w:t>Convener: </w:t>
                    </w:r>
                    <w:r>
                      <w:rPr>
                        <w:w w:val="120"/>
                        <w:sz w:val="18"/>
                      </w:rPr>
                      <w:t>Graham Campling</w:t>
                    </w:r>
                  </w:p>
                  <w:p>
                    <w:pPr>
                      <w:spacing w:line="220" w:lineRule="exact" w:before="0"/>
                      <w:ind w:left="363" w:right="0" w:firstLine="0"/>
                      <w:jc w:val="left"/>
                      <w:rPr>
                        <w:sz w:val="18"/>
                      </w:rPr>
                    </w:pPr>
                    <w:r>
                      <w:rPr>
                        <w:rFonts w:ascii="Stone Sans II ITC Std Bk"/>
                        <w:b/>
                        <w:w w:val="120"/>
                        <w:sz w:val="18"/>
                      </w:rPr>
                      <w:t>Secretary: </w:t>
                    </w:r>
                    <w:r>
                      <w:rPr>
                        <w:w w:val="120"/>
                        <w:sz w:val="18"/>
                      </w:rPr>
                      <w:t>Craig Bowman</w:t>
                    </w:r>
                  </w:p>
                  <w:p>
                    <w:pPr>
                      <w:spacing w:line="228" w:lineRule="auto" w:before="0"/>
                      <w:ind w:left="363" w:right="499" w:firstLine="0"/>
                      <w:jc w:val="left"/>
                      <w:rPr>
                        <w:sz w:val="18"/>
                      </w:rPr>
                    </w:pPr>
                    <w:r>
                      <w:rPr>
                        <w:rFonts w:ascii="Stone Sans II ITC Std Bk"/>
                        <w:b/>
                        <w:w w:val="120"/>
                        <w:sz w:val="18"/>
                      </w:rPr>
                      <w:t>Members: </w:t>
                    </w:r>
                    <w:r>
                      <w:rPr>
                        <w:w w:val="120"/>
                        <w:sz w:val="18"/>
                      </w:rPr>
                      <w:t>Jan Adamson, Lesley Charlton, Sian Collins, Paul Floe, Geoffrey Harrison, Mark Hayes, James Horton, David Jenkins, Margaret Jenkins, Irene John, Jamie Kissack,</w:t>
                    </w:r>
                  </w:p>
                  <w:p>
                    <w:pPr>
                      <w:spacing w:before="0"/>
                      <w:ind w:left="363" w:right="499" w:firstLine="0"/>
                      <w:jc w:val="left"/>
                      <w:rPr>
                        <w:sz w:val="18"/>
                      </w:rPr>
                    </w:pPr>
                    <w:r>
                      <w:rPr>
                        <w:w w:val="120"/>
                        <w:sz w:val="18"/>
                      </w:rPr>
                      <w:t>Jan Maxwell, Gary McGowan, Lis Mullen, Robin Pencavel, Edward Sanniez, Wendy Smith, Val Towler, Irene Wren, Bill Young.</w:t>
                    </w:r>
                  </w:p>
                </w:txbxContent>
              </v:textbox>
              <w10:wrap type="none"/>
            </v:shape>
            <w10:wrap type="topAndBottom"/>
          </v:group>
        </w:pict>
      </w:r>
      <w:r>
        <w:rPr/>
        <w:pict>
          <v:rect style="position:absolute;margin-left:12.047pt;margin-top:8.466283pt;width:22.677pt;height:22.677pt;mso-position-horizontal-relative:page;mso-position-vertical-relative:paragraph;z-index:252106752" filled="true" fillcolor="#dae4ec" stroked="false">
            <v:fill opacity="32768f" type="solid"/>
            <w10:wrap type="none"/>
          </v:rect>
        </w:pict>
      </w:r>
      <w:r>
        <w:rPr>
          <w:w w:val="110"/>
        </w:rPr>
        <w:t>Assessment Board</w:t>
      </w:r>
    </w:p>
    <w:p>
      <w:pPr>
        <w:pStyle w:val="BodyText"/>
        <w:spacing w:before="13"/>
        <w:rPr>
          <w:rFonts w:ascii="Stone Sans II ITC Std Bk"/>
          <w:b/>
          <w:sz w:val="19"/>
        </w:rPr>
      </w:pPr>
    </w:p>
    <w:p>
      <w:pPr>
        <w:numPr>
          <w:ilvl w:val="0"/>
          <w:numId w:val="139"/>
        </w:numPr>
        <w:tabs>
          <w:tab w:pos="1853" w:val="left" w:leader="none"/>
          <w:tab w:pos="1854" w:val="left" w:leader="none"/>
        </w:tabs>
        <w:spacing w:line="273" w:lineRule="exact" w:before="100"/>
        <w:ind w:left="1853" w:right="0" w:hanging="721"/>
        <w:jc w:val="left"/>
        <w:rPr>
          <w:rFonts w:ascii="Stone Sans II ITC Std Bk"/>
          <w:b/>
          <w:sz w:val="21"/>
        </w:rPr>
      </w:pPr>
      <w:r>
        <w:rPr>
          <w:rFonts w:ascii="Stone Sans II ITC Std Bk"/>
          <w:b/>
          <w:w w:val="115"/>
          <w:sz w:val="21"/>
        </w:rPr>
        <w:t>Membership</w:t>
      </w:r>
    </w:p>
    <w:p>
      <w:pPr>
        <w:pStyle w:val="BodyText"/>
        <w:spacing w:line="235" w:lineRule="auto"/>
        <w:ind w:left="1133" w:right="1634"/>
      </w:pPr>
      <w:r>
        <w:rPr>
          <w:spacing w:val="-3"/>
          <w:w w:val="120"/>
        </w:rPr>
        <w:t>Since</w:t>
      </w:r>
      <w:r>
        <w:rPr>
          <w:spacing w:val="-18"/>
          <w:w w:val="120"/>
        </w:rPr>
        <w:t> </w:t>
      </w:r>
      <w:r>
        <w:rPr>
          <w:w w:val="120"/>
        </w:rPr>
        <w:t>the</w:t>
      </w:r>
      <w:r>
        <w:rPr>
          <w:spacing w:val="-17"/>
          <w:w w:val="120"/>
        </w:rPr>
        <w:t> </w:t>
      </w:r>
      <w:r>
        <w:rPr>
          <w:w w:val="120"/>
        </w:rPr>
        <w:t>report</w:t>
      </w:r>
      <w:r>
        <w:rPr>
          <w:spacing w:val="-17"/>
          <w:w w:val="120"/>
        </w:rPr>
        <w:t> </w:t>
      </w:r>
      <w:r>
        <w:rPr>
          <w:spacing w:val="-3"/>
          <w:w w:val="120"/>
        </w:rPr>
        <w:t>to</w:t>
      </w:r>
      <w:r>
        <w:rPr>
          <w:spacing w:val="-18"/>
          <w:w w:val="120"/>
        </w:rPr>
        <w:t> </w:t>
      </w:r>
      <w:r>
        <w:rPr>
          <w:w w:val="120"/>
        </w:rPr>
        <w:t>General</w:t>
      </w:r>
      <w:r>
        <w:rPr>
          <w:spacing w:val="-17"/>
          <w:w w:val="120"/>
        </w:rPr>
        <w:t> </w:t>
      </w:r>
      <w:r>
        <w:rPr>
          <w:w w:val="120"/>
        </w:rPr>
        <w:t>Assembly</w:t>
      </w:r>
      <w:r>
        <w:rPr>
          <w:spacing w:val="-17"/>
          <w:w w:val="120"/>
        </w:rPr>
        <w:t> </w:t>
      </w:r>
      <w:r>
        <w:rPr>
          <w:w w:val="120"/>
        </w:rPr>
        <w:t>2008</w:t>
      </w:r>
      <w:r>
        <w:rPr>
          <w:spacing w:val="-17"/>
          <w:w w:val="120"/>
        </w:rPr>
        <w:t> </w:t>
      </w:r>
      <w:r>
        <w:rPr>
          <w:w w:val="120"/>
        </w:rPr>
        <w:t>there</w:t>
      </w:r>
      <w:r>
        <w:rPr>
          <w:spacing w:val="-18"/>
          <w:w w:val="120"/>
        </w:rPr>
        <w:t> </w:t>
      </w:r>
      <w:r>
        <w:rPr>
          <w:spacing w:val="-3"/>
          <w:w w:val="120"/>
        </w:rPr>
        <w:t>have</w:t>
      </w:r>
      <w:r>
        <w:rPr>
          <w:spacing w:val="-17"/>
          <w:w w:val="120"/>
        </w:rPr>
        <w:t> </w:t>
      </w:r>
      <w:r>
        <w:rPr>
          <w:w w:val="120"/>
        </w:rPr>
        <w:t>been</w:t>
      </w:r>
      <w:r>
        <w:rPr>
          <w:spacing w:val="-17"/>
          <w:w w:val="120"/>
        </w:rPr>
        <w:t> </w:t>
      </w:r>
      <w:r>
        <w:rPr>
          <w:w w:val="120"/>
        </w:rPr>
        <w:t>several</w:t>
      </w:r>
      <w:r>
        <w:rPr>
          <w:spacing w:val="-18"/>
          <w:w w:val="120"/>
        </w:rPr>
        <w:t> </w:t>
      </w:r>
      <w:r>
        <w:rPr>
          <w:w w:val="120"/>
        </w:rPr>
        <w:t>changes</w:t>
      </w:r>
      <w:r>
        <w:rPr>
          <w:spacing w:val="-17"/>
          <w:w w:val="120"/>
        </w:rPr>
        <w:t> </w:t>
      </w:r>
      <w:r>
        <w:rPr>
          <w:w w:val="120"/>
        </w:rPr>
        <w:t>in</w:t>
      </w:r>
      <w:r>
        <w:rPr>
          <w:spacing w:val="-17"/>
          <w:w w:val="120"/>
        </w:rPr>
        <w:t> </w:t>
      </w:r>
      <w:r>
        <w:rPr>
          <w:w w:val="120"/>
        </w:rPr>
        <w:t>the</w:t>
      </w:r>
      <w:r>
        <w:rPr>
          <w:spacing w:val="-17"/>
          <w:w w:val="120"/>
        </w:rPr>
        <w:t> </w:t>
      </w:r>
      <w:r>
        <w:rPr>
          <w:w w:val="120"/>
        </w:rPr>
        <w:t>membership of the Assessment Board and the Ministriers </w:t>
      </w:r>
      <w:r>
        <w:rPr>
          <w:spacing w:val="-3"/>
          <w:w w:val="120"/>
        </w:rPr>
        <w:t>Committee </w:t>
      </w:r>
      <w:r>
        <w:rPr>
          <w:spacing w:val="-2"/>
          <w:w w:val="120"/>
        </w:rPr>
        <w:t>wishes </w:t>
      </w:r>
      <w:r>
        <w:rPr>
          <w:spacing w:val="-3"/>
          <w:w w:val="120"/>
        </w:rPr>
        <w:t>to record </w:t>
      </w:r>
      <w:r>
        <w:rPr>
          <w:w w:val="120"/>
        </w:rPr>
        <w:t>appreciation of the </w:t>
      </w:r>
      <w:r>
        <w:rPr>
          <w:spacing w:val="-3"/>
          <w:w w:val="120"/>
        </w:rPr>
        <w:t>commitment </w:t>
      </w:r>
      <w:r>
        <w:rPr>
          <w:w w:val="120"/>
        </w:rPr>
        <w:t>of all who serve on the Board. In </w:t>
      </w:r>
      <w:r>
        <w:rPr>
          <w:spacing w:val="-3"/>
          <w:w w:val="120"/>
        </w:rPr>
        <w:t>particular, </w:t>
      </w:r>
      <w:r>
        <w:rPr>
          <w:w w:val="120"/>
        </w:rPr>
        <w:t>the </w:t>
      </w:r>
      <w:r>
        <w:rPr>
          <w:spacing w:val="-3"/>
          <w:w w:val="120"/>
        </w:rPr>
        <w:t>Committee </w:t>
      </w:r>
      <w:r>
        <w:rPr>
          <w:spacing w:val="-2"/>
          <w:w w:val="120"/>
        </w:rPr>
        <w:t>wishes </w:t>
      </w:r>
      <w:r>
        <w:rPr>
          <w:spacing w:val="-3"/>
          <w:w w:val="120"/>
        </w:rPr>
        <w:t>to </w:t>
      </w:r>
      <w:r>
        <w:rPr>
          <w:w w:val="120"/>
        </w:rPr>
        <w:t>thank Tina </w:t>
      </w:r>
      <w:r>
        <w:rPr>
          <w:spacing w:val="-4"/>
          <w:w w:val="120"/>
        </w:rPr>
        <w:t>Ashitey, </w:t>
      </w:r>
      <w:r>
        <w:rPr>
          <w:w w:val="120"/>
        </w:rPr>
        <w:t>Judy Harris, Barbara </w:t>
      </w:r>
      <w:r>
        <w:rPr>
          <w:spacing w:val="-3"/>
          <w:w w:val="120"/>
        </w:rPr>
        <w:t>Lancaster, </w:t>
      </w:r>
      <w:r>
        <w:rPr>
          <w:w w:val="120"/>
        </w:rPr>
        <w:t>Hugh Abel, </w:t>
      </w:r>
      <w:r>
        <w:rPr>
          <w:spacing w:val="-3"/>
          <w:w w:val="120"/>
        </w:rPr>
        <w:t>Peter Clarke, </w:t>
      </w:r>
      <w:r>
        <w:rPr>
          <w:w w:val="120"/>
        </w:rPr>
        <w:t>and Cameron Wilson. Those who </w:t>
      </w:r>
      <w:r>
        <w:rPr>
          <w:spacing w:val="-3"/>
          <w:w w:val="120"/>
        </w:rPr>
        <w:t>have </w:t>
      </w:r>
      <w:r>
        <w:rPr>
          <w:w w:val="120"/>
        </w:rPr>
        <w:t>served as </w:t>
      </w:r>
      <w:r>
        <w:rPr>
          <w:spacing w:val="-3"/>
          <w:w w:val="120"/>
        </w:rPr>
        <w:t>chaplains </w:t>
      </w:r>
      <w:r>
        <w:rPr>
          <w:w w:val="120"/>
        </w:rPr>
        <w:t>at the </w:t>
      </w:r>
      <w:r>
        <w:rPr>
          <w:spacing w:val="-3"/>
          <w:w w:val="120"/>
        </w:rPr>
        <w:t>conferences </w:t>
      </w:r>
      <w:r>
        <w:rPr>
          <w:w w:val="120"/>
        </w:rPr>
        <w:t>were specially</w:t>
      </w:r>
      <w:r>
        <w:rPr>
          <w:spacing w:val="-21"/>
          <w:w w:val="120"/>
        </w:rPr>
        <w:t> </w:t>
      </w:r>
      <w:r>
        <w:rPr>
          <w:w w:val="120"/>
        </w:rPr>
        <w:t>valued.</w:t>
      </w:r>
    </w:p>
    <w:p>
      <w:pPr>
        <w:numPr>
          <w:ilvl w:val="0"/>
          <w:numId w:val="139"/>
        </w:numPr>
        <w:tabs>
          <w:tab w:pos="1853" w:val="left" w:leader="none"/>
          <w:tab w:pos="1854" w:val="left" w:leader="none"/>
        </w:tabs>
        <w:spacing w:before="211"/>
        <w:ind w:left="1853" w:right="0" w:hanging="721"/>
        <w:jc w:val="left"/>
        <w:rPr>
          <w:rFonts w:ascii="Stone Sans II ITC Std Bk"/>
          <w:b/>
          <w:sz w:val="21"/>
        </w:rPr>
      </w:pPr>
      <w:r>
        <w:rPr>
          <w:rFonts w:ascii="Stone Sans II ITC Std Bk"/>
          <w:b/>
          <w:w w:val="115"/>
          <w:sz w:val="21"/>
        </w:rPr>
        <w:t>Developments</w:t>
      </w:r>
    </w:p>
    <w:p>
      <w:pPr>
        <w:pStyle w:val="ListParagraph"/>
        <w:numPr>
          <w:ilvl w:val="1"/>
          <w:numId w:val="139"/>
        </w:numPr>
        <w:tabs>
          <w:tab w:pos="1814" w:val="left" w:leader="none"/>
          <w:tab w:pos="1815" w:val="left" w:leader="none"/>
        </w:tabs>
        <w:spacing w:line="235" w:lineRule="auto" w:before="222" w:after="0"/>
        <w:ind w:left="1133" w:right="1730" w:firstLine="0"/>
        <w:jc w:val="left"/>
        <w:rPr>
          <w:sz w:val="20"/>
        </w:rPr>
      </w:pPr>
      <w:r>
        <w:rPr>
          <w:w w:val="120"/>
          <w:sz w:val="20"/>
        </w:rPr>
        <w:t>The entire Board meets annually in September and reviews continually the processes involved in the selection of candidates for training for the ministry of Word and Sacrament and church related community workers. The resolutions accepted by Assembly in 2007 led to a new process that concludes with the final decision regarding acceptance for training being made by the Assessment Board rather than the synod. This new process has worked reasonably well but there are still some issues which need attention. In particular, the Board is still refining the manner in which the decision, whether positive or negative, is conveyed to the candidate by the Board, usually in the synod with synod people present; a balance needs to be struck between speed (perhaps involving insensitivity) and delay (perhaps causing unnecessary anxiety to the</w:t>
      </w:r>
      <w:r>
        <w:rPr>
          <w:spacing w:val="12"/>
          <w:w w:val="120"/>
          <w:sz w:val="20"/>
        </w:rPr>
        <w:t> </w:t>
      </w:r>
      <w:r>
        <w:rPr>
          <w:spacing w:val="-3"/>
          <w:w w:val="120"/>
          <w:sz w:val="20"/>
        </w:rPr>
        <w:t>candidate).</w:t>
      </w:r>
    </w:p>
    <w:p>
      <w:pPr>
        <w:pStyle w:val="BodyText"/>
        <w:spacing w:before="3"/>
      </w:pPr>
    </w:p>
    <w:p>
      <w:pPr>
        <w:pStyle w:val="ListParagraph"/>
        <w:numPr>
          <w:ilvl w:val="1"/>
          <w:numId w:val="139"/>
        </w:numPr>
        <w:tabs>
          <w:tab w:pos="1814" w:val="left" w:leader="none"/>
          <w:tab w:pos="1815" w:val="left" w:leader="none"/>
        </w:tabs>
        <w:spacing w:line="235" w:lineRule="auto" w:before="0" w:after="0"/>
        <w:ind w:left="1133" w:right="2071" w:firstLine="0"/>
        <w:jc w:val="left"/>
        <w:rPr>
          <w:sz w:val="20"/>
        </w:rPr>
      </w:pPr>
      <w:r>
        <w:rPr>
          <w:w w:val="120"/>
          <w:sz w:val="20"/>
        </w:rPr>
        <w:t>The Board reaffirmed the need for candidates to demonstrate a willingness to serve the URC without undue geographical constraints when candidating for ministry in stipendiary</w:t>
      </w:r>
      <w:r>
        <w:rPr>
          <w:spacing w:val="2"/>
          <w:w w:val="120"/>
          <w:sz w:val="20"/>
        </w:rPr>
        <w:t> </w:t>
      </w:r>
      <w:r>
        <w:rPr>
          <w:w w:val="120"/>
          <w:sz w:val="20"/>
        </w:rPr>
        <w:t>service.</w:t>
      </w:r>
    </w:p>
    <w:p>
      <w:pPr>
        <w:pStyle w:val="BodyText"/>
        <w:spacing w:before="10"/>
        <w:rPr>
          <w:sz w:val="19"/>
        </w:rPr>
      </w:pPr>
    </w:p>
    <w:p>
      <w:pPr>
        <w:pStyle w:val="ListParagraph"/>
        <w:numPr>
          <w:ilvl w:val="1"/>
          <w:numId w:val="139"/>
        </w:numPr>
        <w:tabs>
          <w:tab w:pos="1814" w:val="left" w:leader="none"/>
          <w:tab w:pos="1815" w:val="left" w:leader="none"/>
        </w:tabs>
        <w:spacing w:line="235" w:lineRule="auto" w:before="0" w:after="0"/>
        <w:ind w:left="1133" w:right="1999" w:firstLine="0"/>
        <w:jc w:val="left"/>
        <w:rPr>
          <w:sz w:val="20"/>
        </w:rPr>
      </w:pPr>
      <w:r>
        <w:rPr>
          <w:w w:val="120"/>
          <w:sz w:val="20"/>
        </w:rPr>
        <w:t>The Board noted that the state pension age for both men and women will rise. Currently candidating rules concerning age are related to retirement at 65 and the Board recognised that in due course alterations may need to be made to accommodate any changes in the URC pension</w:t>
      </w:r>
      <w:r>
        <w:rPr>
          <w:spacing w:val="12"/>
          <w:w w:val="120"/>
          <w:sz w:val="20"/>
        </w:rPr>
        <w:t> </w:t>
      </w:r>
      <w:r>
        <w:rPr>
          <w:w w:val="120"/>
          <w:sz w:val="20"/>
        </w:rPr>
        <w:t>age.</w:t>
      </w:r>
    </w:p>
    <w:p>
      <w:pPr>
        <w:pStyle w:val="BodyText"/>
        <w:spacing w:before="11"/>
        <w:rPr>
          <w:sz w:val="19"/>
        </w:rPr>
      </w:pPr>
    </w:p>
    <w:p>
      <w:pPr>
        <w:pStyle w:val="ListParagraph"/>
        <w:numPr>
          <w:ilvl w:val="1"/>
          <w:numId w:val="139"/>
        </w:numPr>
        <w:tabs>
          <w:tab w:pos="1814" w:val="left" w:leader="none"/>
          <w:tab w:pos="1815" w:val="left" w:leader="none"/>
        </w:tabs>
        <w:spacing w:line="235" w:lineRule="auto" w:before="0" w:after="0"/>
        <w:ind w:left="1133" w:right="1752" w:firstLine="0"/>
        <w:jc w:val="left"/>
        <w:rPr>
          <w:sz w:val="20"/>
        </w:rPr>
      </w:pPr>
      <w:r>
        <w:rPr>
          <w:w w:val="120"/>
          <w:sz w:val="20"/>
        </w:rPr>
        <w:t>The annual November consultation at Windermere organised by the Ministries office on behalf of the Assessment Board continues to provide training both for Assessment Board members and for those in synods involved with interviews of candidates. It also provides a valuable point of contact between the board and</w:t>
      </w:r>
      <w:r>
        <w:rPr>
          <w:spacing w:val="22"/>
          <w:w w:val="120"/>
          <w:sz w:val="20"/>
        </w:rPr>
        <w:t> </w:t>
      </w:r>
      <w:r>
        <w:rPr>
          <w:w w:val="120"/>
          <w:sz w:val="20"/>
        </w:rPr>
        <w:t>synods.</w:t>
      </w:r>
    </w:p>
    <w:p>
      <w:pPr>
        <w:pStyle w:val="BodyText"/>
        <w:spacing w:before="10"/>
        <w:rPr>
          <w:sz w:val="17"/>
        </w:rPr>
      </w:pPr>
    </w:p>
    <w:p>
      <w:pPr>
        <w:numPr>
          <w:ilvl w:val="0"/>
          <w:numId w:val="139"/>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Numbers of</w:t>
      </w:r>
      <w:r>
        <w:rPr>
          <w:rFonts w:ascii="Stone Sans II ITC Std Bk"/>
          <w:b/>
          <w:spacing w:val="-4"/>
          <w:w w:val="115"/>
          <w:sz w:val="21"/>
        </w:rPr>
        <w:t> </w:t>
      </w:r>
      <w:r>
        <w:rPr>
          <w:rFonts w:ascii="Stone Sans II ITC Std Bk"/>
          <w:b/>
          <w:w w:val="115"/>
          <w:sz w:val="21"/>
        </w:rPr>
        <w:t>candidates</w:t>
      </w:r>
    </w:p>
    <w:p>
      <w:pPr>
        <w:pStyle w:val="ListParagraph"/>
        <w:numPr>
          <w:ilvl w:val="1"/>
          <w:numId w:val="139"/>
        </w:numPr>
        <w:tabs>
          <w:tab w:pos="1814" w:val="left" w:leader="none"/>
          <w:tab w:pos="1815" w:val="left" w:leader="none"/>
        </w:tabs>
        <w:spacing w:line="235" w:lineRule="auto" w:before="222" w:after="0"/>
        <w:ind w:left="1133" w:right="1690" w:firstLine="0"/>
        <w:jc w:val="left"/>
        <w:rPr>
          <w:sz w:val="20"/>
        </w:rPr>
      </w:pPr>
      <w:r>
        <w:rPr>
          <w:w w:val="120"/>
          <w:sz w:val="20"/>
        </w:rPr>
        <w:t>The numbers of </w:t>
      </w:r>
      <w:r>
        <w:rPr>
          <w:spacing w:val="-3"/>
          <w:w w:val="120"/>
          <w:sz w:val="20"/>
        </w:rPr>
        <w:t>candidates </w:t>
      </w:r>
      <w:r>
        <w:rPr>
          <w:w w:val="120"/>
          <w:sz w:val="20"/>
        </w:rPr>
        <w:t>attending Assessment </w:t>
      </w:r>
      <w:r>
        <w:rPr>
          <w:spacing w:val="-3"/>
          <w:w w:val="120"/>
          <w:sz w:val="20"/>
        </w:rPr>
        <w:t>Conferences </w:t>
      </w:r>
      <w:r>
        <w:rPr>
          <w:w w:val="120"/>
          <w:sz w:val="20"/>
        </w:rPr>
        <w:t>has remained </w:t>
      </w:r>
      <w:r>
        <w:rPr>
          <w:spacing w:val="-3"/>
          <w:w w:val="120"/>
          <w:sz w:val="20"/>
        </w:rPr>
        <w:t>fewer </w:t>
      </w:r>
      <w:r>
        <w:rPr>
          <w:w w:val="120"/>
          <w:sz w:val="20"/>
        </w:rPr>
        <w:t>than those prior </w:t>
      </w:r>
      <w:r>
        <w:rPr>
          <w:spacing w:val="-3"/>
          <w:w w:val="120"/>
          <w:sz w:val="20"/>
        </w:rPr>
        <w:t>to 2005. </w:t>
      </w:r>
      <w:r>
        <w:rPr>
          <w:w w:val="120"/>
          <w:sz w:val="20"/>
        </w:rPr>
        <w:t>Thus there </w:t>
      </w:r>
      <w:r>
        <w:rPr>
          <w:spacing w:val="-3"/>
          <w:w w:val="120"/>
          <w:sz w:val="20"/>
        </w:rPr>
        <w:t>have continued to </w:t>
      </w:r>
      <w:r>
        <w:rPr>
          <w:w w:val="120"/>
          <w:sz w:val="20"/>
        </w:rPr>
        <w:t>be only two rather than three Assessment </w:t>
      </w:r>
      <w:r>
        <w:rPr>
          <w:spacing w:val="-3"/>
          <w:w w:val="120"/>
          <w:sz w:val="20"/>
        </w:rPr>
        <w:t>Conferences </w:t>
      </w:r>
      <w:r>
        <w:rPr>
          <w:w w:val="120"/>
          <w:sz w:val="20"/>
        </w:rPr>
        <w:t>in each academic </w:t>
      </w:r>
      <w:r>
        <w:rPr>
          <w:spacing w:val="-5"/>
          <w:w w:val="120"/>
          <w:sz w:val="20"/>
        </w:rPr>
        <w:t>year. </w:t>
      </w:r>
      <w:r>
        <w:rPr>
          <w:w w:val="120"/>
          <w:sz w:val="20"/>
        </w:rPr>
        <w:t>One </w:t>
      </w:r>
      <w:r>
        <w:rPr>
          <w:spacing w:val="-3"/>
          <w:w w:val="120"/>
          <w:sz w:val="20"/>
        </w:rPr>
        <w:t>result </w:t>
      </w:r>
      <w:r>
        <w:rPr>
          <w:w w:val="120"/>
          <w:sz w:val="20"/>
        </w:rPr>
        <w:t>of </w:t>
      </w:r>
      <w:r>
        <w:rPr>
          <w:spacing w:val="-3"/>
          <w:w w:val="120"/>
          <w:sz w:val="20"/>
        </w:rPr>
        <w:t>this </w:t>
      </w:r>
      <w:r>
        <w:rPr>
          <w:w w:val="120"/>
          <w:sz w:val="20"/>
        </w:rPr>
        <w:t>has been that some members of the Assessment Board </w:t>
      </w:r>
      <w:r>
        <w:rPr>
          <w:spacing w:val="-3"/>
          <w:w w:val="120"/>
          <w:sz w:val="20"/>
        </w:rPr>
        <w:t>have </w:t>
      </w:r>
      <w:r>
        <w:rPr>
          <w:w w:val="120"/>
          <w:sz w:val="20"/>
        </w:rPr>
        <w:t>been called infrequently </w:t>
      </w:r>
      <w:r>
        <w:rPr>
          <w:spacing w:val="-3"/>
          <w:w w:val="120"/>
          <w:sz w:val="20"/>
        </w:rPr>
        <w:t>to </w:t>
      </w:r>
      <w:r>
        <w:rPr>
          <w:w w:val="120"/>
          <w:sz w:val="20"/>
        </w:rPr>
        <w:t>attend </w:t>
      </w:r>
      <w:r>
        <w:rPr>
          <w:spacing w:val="-3"/>
          <w:w w:val="120"/>
          <w:sz w:val="20"/>
        </w:rPr>
        <w:t>conferences </w:t>
      </w:r>
      <w:r>
        <w:rPr>
          <w:w w:val="120"/>
          <w:sz w:val="20"/>
        </w:rPr>
        <w:t>as a </w:t>
      </w:r>
      <w:r>
        <w:rPr>
          <w:spacing w:val="-3"/>
          <w:w w:val="120"/>
          <w:sz w:val="20"/>
        </w:rPr>
        <w:t>result </w:t>
      </w:r>
      <w:r>
        <w:rPr>
          <w:w w:val="120"/>
          <w:sz w:val="20"/>
        </w:rPr>
        <w:t>of the need </w:t>
      </w:r>
      <w:r>
        <w:rPr>
          <w:spacing w:val="-3"/>
          <w:w w:val="120"/>
          <w:sz w:val="20"/>
        </w:rPr>
        <w:t>to have </w:t>
      </w:r>
      <w:r>
        <w:rPr>
          <w:w w:val="120"/>
          <w:sz w:val="20"/>
        </w:rPr>
        <w:t>a </w:t>
      </w:r>
      <w:r>
        <w:rPr>
          <w:spacing w:val="-3"/>
          <w:w w:val="120"/>
          <w:sz w:val="20"/>
        </w:rPr>
        <w:t>balance </w:t>
      </w:r>
      <w:r>
        <w:rPr>
          <w:w w:val="120"/>
          <w:sz w:val="20"/>
        </w:rPr>
        <w:t>between male and </w:t>
      </w:r>
      <w:r>
        <w:rPr>
          <w:spacing w:val="-3"/>
          <w:w w:val="120"/>
          <w:sz w:val="20"/>
        </w:rPr>
        <w:t>female, </w:t>
      </w:r>
      <w:r>
        <w:rPr>
          <w:w w:val="120"/>
          <w:sz w:val="20"/>
        </w:rPr>
        <w:t>ordained and </w:t>
      </w:r>
      <w:r>
        <w:rPr>
          <w:spacing w:val="-2"/>
          <w:w w:val="120"/>
          <w:sz w:val="20"/>
        </w:rPr>
        <w:t>lay </w:t>
      </w:r>
      <w:r>
        <w:rPr>
          <w:w w:val="120"/>
          <w:sz w:val="20"/>
        </w:rPr>
        <w:t>members at each </w:t>
      </w:r>
      <w:r>
        <w:rPr>
          <w:spacing w:val="-3"/>
          <w:w w:val="120"/>
          <w:sz w:val="20"/>
        </w:rPr>
        <w:t>conference </w:t>
      </w:r>
      <w:r>
        <w:rPr>
          <w:w w:val="120"/>
          <w:sz w:val="20"/>
        </w:rPr>
        <w:t>and taking </w:t>
      </w:r>
      <w:r>
        <w:rPr>
          <w:spacing w:val="-3"/>
          <w:w w:val="120"/>
          <w:sz w:val="20"/>
        </w:rPr>
        <w:t>into </w:t>
      </w:r>
      <w:r>
        <w:rPr>
          <w:spacing w:val="-4"/>
          <w:w w:val="120"/>
          <w:sz w:val="20"/>
        </w:rPr>
        <w:t>account </w:t>
      </w:r>
      <w:r>
        <w:rPr>
          <w:w w:val="120"/>
          <w:sz w:val="20"/>
        </w:rPr>
        <w:t>the synods from which </w:t>
      </w:r>
      <w:r>
        <w:rPr>
          <w:spacing w:val="-3"/>
          <w:w w:val="120"/>
          <w:sz w:val="20"/>
        </w:rPr>
        <w:t>candidates have come. </w:t>
      </w:r>
      <w:r>
        <w:rPr>
          <w:w w:val="120"/>
          <w:sz w:val="20"/>
        </w:rPr>
        <w:t>It was decided </w:t>
      </w:r>
      <w:r>
        <w:rPr>
          <w:spacing w:val="-3"/>
          <w:w w:val="120"/>
          <w:sz w:val="20"/>
        </w:rPr>
        <w:t>to reduce </w:t>
      </w:r>
      <w:r>
        <w:rPr>
          <w:w w:val="120"/>
          <w:sz w:val="20"/>
        </w:rPr>
        <w:t>the </w:t>
      </w:r>
      <w:r>
        <w:rPr>
          <w:spacing w:val="-3"/>
          <w:w w:val="120"/>
          <w:sz w:val="20"/>
        </w:rPr>
        <w:t>total </w:t>
      </w:r>
      <w:r>
        <w:rPr>
          <w:w w:val="120"/>
          <w:sz w:val="20"/>
        </w:rPr>
        <w:t>membership of the Assessment Board by </w:t>
      </w:r>
      <w:r>
        <w:rPr>
          <w:spacing w:val="-3"/>
          <w:w w:val="120"/>
          <w:sz w:val="20"/>
        </w:rPr>
        <w:t>inviting </w:t>
      </w:r>
      <w:r>
        <w:rPr>
          <w:w w:val="120"/>
          <w:sz w:val="20"/>
        </w:rPr>
        <w:t>the </w:t>
      </w:r>
      <w:r>
        <w:rPr>
          <w:spacing w:val="-3"/>
          <w:w w:val="120"/>
          <w:sz w:val="20"/>
        </w:rPr>
        <w:t>Nominations Committee</w:t>
      </w:r>
      <w:r>
        <w:rPr>
          <w:spacing w:val="-5"/>
          <w:w w:val="120"/>
          <w:sz w:val="20"/>
        </w:rPr>
        <w:t> </w:t>
      </w:r>
      <w:r>
        <w:rPr>
          <w:spacing w:val="-3"/>
          <w:w w:val="120"/>
          <w:sz w:val="20"/>
        </w:rPr>
        <w:t>to</w:t>
      </w:r>
      <w:r>
        <w:rPr>
          <w:spacing w:val="-4"/>
          <w:w w:val="120"/>
          <w:sz w:val="20"/>
        </w:rPr>
        <w:t> </w:t>
      </w:r>
      <w:r>
        <w:rPr>
          <w:w w:val="120"/>
          <w:sz w:val="20"/>
        </w:rPr>
        <w:t>provide</w:t>
      </w:r>
      <w:r>
        <w:rPr>
          <w:spacing w:val="-4"/>
          <w:w w:val="120"/>
          <w:sz w:val="20"/>
        </w:rPr>
        <w:t> </w:t>
      </w:r>
      <w:r>
        <w:rPr>
          <w:w w:val="120"/>
          <w:sz w:val="20"/>
        </w:rPr>
        <w:t>only</w:t>
      </w:r>
      <w:r>
        <w:rPr>
          <w:spacing w:val="-5"/>
          <w:w w:val="120"/>
          <w:sz w:val="20"/>
        </w:rPr>
        <w:t> </w:t>
      </w:r>
      <w:r>
        <w:rPr>
          <w:w w:val="120"/>
          <w:sz w:val="20"/>
        </w:rPr>
        <w:t>three</w:t>
      </w:r>
      <w:r>
        <w:rPr>
          <w:spacing w:val="-4"/>
          <w:w w:val="120"/>
          <w:sz w:val="20"/>
        </w:rPr>
        <w:t> </w:t>
      </w:r>
      <w:r>
        <w:rPr>
          <w:w w:val="120"/>
          <w:sz w:val="20"/>
        </w:rPr>
        <w:t>new</w:t>
      </w:r>
      <w:r>
        <w:rPr>
          <w:spacing w:val="-4"/>
          <w:w w:val="120"/>
          <w:sz w:val="20"/>
        </w:rPr>
        <w:t> </w:t>
      </w:r>
      <w:r>
        <w:rPr>
          <w:w w:val="120"/>
          <w:sz w:val="20"/>
        </w:rPr>
        <w:t>Board</w:t>
      </w:r>
      <w:r>
        <w:rPr>
          <w:spacing w:val="-4"/>
          <w:w w:val="120"/>
          <w:sz w:val="20"/>
        </w:rPr>
        <w:t> </w:t>
      </w:r>
      <w:r>
        <w:rPr>
          <w:w w:val="120"/>
          <w:sz w:val="20"/>
        </w:rPr>
        <w:t>members</w:t>
      </w:r>
      <w:r>
        <w:rPr>
          <w:spacing w:val="-5"/>
          <w:w w:val="120"/>
          <w:sz w:val="20"/>
        </w:rPr>
        <w:t> </w:t>
      </w:r>
      <w:r>
        <w:rPr>
          <w:w w:val="120"/>
          <w:sz w:val="20"/>
        </w:rPr>
        <w:t>annually</w:t>
      </w:r>
      <w:r>
        <w:rPr>
          <w:spacing w:val="-4"/>
          <w:w w:val="120"/>
          <w:sz w:val="20"/>
        </w:rPr>
        <w:t> </w:t>
      </w:r>
      <w:r>
        <w:rPr>
          <w:w w:val="120"/>
          <w:sz w:val="20"/>
        </w:rPr>
        <w:t>in</w:t>
      </w:r>
      <w:r>
        <w:rPr>
          <w:spacing w:val="-4"/>
          <w:w w:val="120"/>
          <w:sz w:val="20"/>
        </w:rPr>
        <w:t> </w:t>
      </w:r>
      <w:r>
        <w:rPr>
          <w:spacing w:val="-3"/>
          <w:w w:val="120"/>
          <w:sz w:val="20"/>
        </w:rPr>
        <w:t>place</w:t>
      </w:r>
      <w:r>
        <w:rPr>
          <w:spacing w:val="-5"/>
          <w:w w:val="120"/>
          <w:sz w:val="20"/>
        </w:rPr>
        <w:t> </w:t>
      </w:r>
      <w:r>
        <w:rPr>
          <w:w w:val="120"/>
          <w:sz w:val="20"/>
        </w:rPr>
        <w:t>of</w:t>
      </w:r>
      <w:r>
        <w:rPr>
          <w:spacing w:val="-4"/>
          <w:w w:val="120"/>
          <w:sz w:val="20"/>
        </w:rPr>
        <w:t> </w:t>
      </w:r>
      <w:r>
        <w:rPr>
          <w:w w:val="120"/>
          <w:sz w:val="20"/>
        </w:rPr>
        <w:t>the</w:t>
      </w:r>
      <w:r>
        <w:rPr>
          <w:spacing w:val="-4"/>
          <w:w w:val="120"/>
          <w:sz w:val="20"/>
        </w:rPr>
        <w:t> </w:t>
      </w:r>
      <w:r>
        <w:rPr>
          <w:w w:val="120"/>
          <w:sz w:val="20"/>
        </w:rPr>
        <w:t>four</w:t>
      </w:r>
      <w:r>
        <w:rPr>
          <w:spacing w:val="-4"/>
          <w:w w:val="120"/>
          <w:sz w:val="20"/>
        </w:rPr>
        <w:t> </w:t>
      </w:r>
      <w:r>
        <w:rPr>
          <w:w w:val="120"/>
          <w:sz w:val="20"/>
        </w:rPr>
        <w:t>retiring.</w:t>
      </w:r>
    </w:p>
    <w:p>
      <w:pPr>
        <w:pStyle w:val="BodyText"/>
        <w:spacing w:before="10"/>
        <w:rPr>
          <w:sz w:val="18"/>
        </w:rPr>
      </w:pPr>
    </w:p>
    <w:p>
      <w:pPr>
        <w:numPr>
          <w:ilvl w:val="1"/>
          <w:numId w:val="139"/>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spacing w:val="-8"/>
          <w:w w:val="110"/>
          <w:sz w:val="20"/>
        </w:rPr>
        <w:t>14 </w:t>
      </w:r>
      <w:r>
        <w:rPr>
          <w:rFonts w:ascii="Stone Sans II ITC Std Bk"/>
          <w:b/>
          <w:w w:val="110"/>
          <w:sz w:val="20"/>
        </w:rPr>
        <w:t>candidates attended the Assessment Conferences in</w:t>
      </w:r>
      <w:r>
        <w:rPr>
          <w:rFonts w:ascii="Stone Sans II ITC Std Bk"/>
          <w:b/>
          <w:spacing w:val="7"/>
          <w:w w:val="110"/>
          <w:sz w:val="20"/>
        </w:rPr>
        <w:t> </w:t>
      </w:r>
      <w:r>
        <w:rPr>
          <w:rFonts w:ascii="Stone Sans II ITC Std Bk"/>
          <w:b/>
          <w:w w:val="110"/>
          <w:sz w:val="20"/>
        </w:rPr>
        <w:t>2008/2009</w:t>
      </w:r>
    </w:p>
    <w:p>
      <w:pPr>
        <w:pStyle w:val="BodyText"/>
        <w:spacing w:line="235" w:lineRule="auto"/>
        <w:ind w:left="1814" w:right="2573"/>
      </w:pPr>
      <w:r>
        <w:rPr>
          <w:w w:val="120"/>
        </w:rPr>
        <w:t>9 for stipendiary service of whom 7 were accepted for training </w:t>
      </w:r>
      <w:r>
        <w:rPr>
          <w:spacing w:val="-6"/>
          <w:w w:val="120"/>
        </w:rPr>
        <w:t>(1 </w:t>
      </w:r>
      <w:r>
        <w:rPr>
          <w:w w:val="120"/>
        </w:rPr>
        <w:t>withdrew); 3 for non-stipendiary service, all of whom were accepted for</w:t>
      </w:r>
      <w:r>
        <w:rPr>
          <w:spacing w:val="32"/>
          <w:w w:val="120"/>
        </w:rPr>
        <w:t> </w:t>
      </w:r>
      <w:r>
        <w:rPr>
          <w:w w:val="120"/>
        </w:rPr>
        <w:t>training;</w:t>
      </w:r>
    </w:p>
    <w:p>
      <w:pPr>
        <w:spacing w:after="0" w:line="235" w:lineRule="auto"/>
        <w:sectPr>
          <w:pgSz w:w="11910" w:h="16840"/>
          <w:pgMar w:header="0" w:footer="647" w:top="1060" w:bottom="840" w:left="0" w:right="0"/>
        </w:sectPr>
      </w:pPr>
    </w:p>
    <w:p>
      <w:pPr>
        <w:pStyle w:val="BodyText"/>
        <w:spacing w:line="242" w:lineRule="exact" w:before="87"/>
        <w:ind w:left="2664"/>
      </w:pPr>
      <w:r>
        <w:rPr/>
        <w:pict>
          <v:rect style="position:absolute;margin-left:558.424988pt;margin-top:8.493772pt;width:22.677pt;height:22.677pt;mso-position-horizontal-relative:page;mso-position-vertical-relative:paragraph;z-index:252111872" filled="true" fillcolor="#dae4ec" stroked="false">
            <v:fill opacity="32768f" type="solid"/>
            <w10:wrap type="none"/>
          </v:rect>
        </w:pict>
      </w:r>
      <w:r>
        <w:rPr>
          <w:w w:val="120"/>
        </w:rPr>
        <w:t>0 church related community workers;</w:t>
      </w:r>
    </w:p>
    <w:p>
      <w:pPr>
        <w:pStyle w:val="BodyText"/>
        <w:spacing w:line="242" w:lineRule="exact"/>
        <w:ind w:left="2664"/>
      </w:pPr>
      <w:r>
        <w:rPr>
          <w:w w:val="120"/>
        </w:rPr>
        <w:t>2 re-assessment (transfer from non-stipendiary to stipendiary service), 1 accepted.</w:t>
      </w:r>
    </w:p>
    <w:p>
      <w:pPr>
        <w:pStyle w:val="BodyText"/>
        <w:spacing w:before="3"/>
        <w:rPr>
          <w:sz w:val="18"/>
        </w:rPr>
      </w:pPr>
    </w:p>
    <w:p>
      <w:pPr>
        <w:spacing w:line="261" w:lineRule="exact" w:before="0"/>
        <w:ind w:left="2664" w:right="0" w:firstLine="0"/>
        <w:jc w:val="left"/>
        <w:rPr>
          <w:rFonts w:ascii="Stone Sans II ITC Std Bk"/>
          <w:b/>
          <w:sz w:val="20"/>
        </w:rPr>
      </w:pPr>
      <w:r>
        <w:rPr>
          <w:rFonts w:ascii="Stone Sans II ITC Std Bk"/>
          <w:b/>
          <w:w w:val="110"/>
          <w:sz w:val="20"/>
        </w:rPr>
        <w:t>18 candidates attended the Assessment Conferences in 2009/2010</w:t>
      </w:r>
    </w:p>
    <w:p>
      <w:pPr>
        <w:pStyle w:val="BodyText"/>
        <w:spacing w:line="233" w:lineRule="exact"/>
        <w:ind w:left="2664"/>
      </w:pPr>
      <w:r>
        <w:rPr>
          <w:w w:val="120"/>
        </w:rPr>
        <w:t>14 for stipendiary service of whom 13 were accepted for training;</w:t>
      </w:r>
    </w:p>
    <w:p>
      <w:pPr>
        <w:pStyle w:val="BodyText"/>
        <w:spacing w:line="235" w:lineRule="auto" w:before="2"/>
        <w:ind w:left="2664" w:right="2191"/>
      </w:pPr>
      <w:r>
        <w:rPr>
          <w:w w:val="120"/>
        </w:rPr>
        <w:t>2 for non-stipendiary service, both of whom were accepted for training; 0 church related community workers;</w:t>
      </w:r>
    </w:p>
    <w:p>
      <w:pPr>
        <w:pStyle w:val="BodyText"/>
        <w:spacing w:line="242" w:lineRule="exact"/>
        <w:ind w:left="2664"/>
      </w:pPr>
      <w:r>
        <w:rPr>
          <w:w w:val="120"/>
        </w:rPr>
        <w:t>2 re-assessment (transfer from non-stipendiary to stipendiary service), 2 accepted.</w:t>
      </w:r>
    </w:p>
    <w:p>
      <w:pPr>
        <w:pStyle w:val="BodyText"/>
        <w:spacing w:before="7"/>
        <w:rPr>
          <w:sz w:val="17"/>
        </w:rPr>
      </w:pPr>
      <w:r>
        <w:rPr/>
        <w:pict>
          <v:shape style="position:absolute;margin-left:100.629898pt;margin-top:13.104033pt;width:438pt;height:.1pt;mso-position-horizontal-relative:page;mso-position-vertical-relative:paragraph;z-index:-251208704;mso-wrap-distance-left:0;mso-wrap-distance-right:0" coordorigin="2013,262" coordsize="8760,0" path="m2013,262l10772,262e" filled="false" stroked="true" strokeweight=".75pt" strokecolor="#8ba8bd">
            <v:path arrowok="t"/>
            <v:stroke dashstyle="solid"/>
            <w10:wrap type="topAndBottom"/>
          </v:shape>
        </w:pict>
      </w:r>
    </w:p>
    <w:p>
      <w:pPr>
        <w:pStyle w:val="BodyText"/>
        <w:rPr>
          <w:sz w:val="24"/>
        </w:rPr>
      </w:pPr>
    </w:p>
    <w:p>
      <w:pPr>
        <w:pStyle w:val="BodyText"/>
        <w:spacing w:before="1"/>
        <w:rPr>
          <w:sz w:val="22"/>
        </w:rPr>
      </w:pPr>
    </w:p>
    <w:p>
      <w:pPr>
        <w:spacing w:line="199" w:lineRule="auto" w:before="1"/>
        <w:ind w:left="1984" w:right="1237" w:firstLine="0"/>
        <w:jc w:val="left"/>
        <w:rPr>
          <w:rFonts w:ascii="Stone Sans II ITC Std Bk"/>
          <w:b/>
          <w:sz w:val="48"/>
        </w:rPr>
      </w:pPr>
      <w:r>
        <w:rPr>
          <w:rFonts w:ascii="Stone Sans II ITC Std Bk"/>
          <w:b/>
          <w:spacing w:val="-6"/>
          <w:w w:val="115"/>
          <w:sz w:val="48"/>
        </w:rPr>
        <w:t>Church</w:t>
      </w:r>
      <w:r>
        <w:rPr>
          <w:rFonts w:ascii="Stone Sans II ITC Std Bk"/>
          <w:b/>
          <w:spacing w:val="-59"/>
          <w:w w:val="115"/>
          <w:sz w:val="48"/>
        </w:rPr>
        <w:t> </w:t>
      </w:r>
      <w:r>
        <w:rPr>
          <w:rFonts w:ascii="Stone Sans II ITC Std Bk"/>
          <w:b/>
          <w:spacing w:val="-6"/>
          <w:w w:val="115"/>
          <w:sz w:val="48"/>
        </w:rPr>
        <w:t>Related</w:t>
      </w:r>
      <w:r>
        <w:rPr>
          <w:rFonts w:ascii="Stone Sans II ITC Std Bk"/>
          <w:b/>
          <w:spacing w:val="-58"/>
          <w:w w:val="115"/>
          <w:sz w:val="48"/>
        </w:rPr>
        <w:t> </w:t>
      </w:r>
      <w:r>
        <w:rPr>
          <w:rFonts w:ascii="Stone Sans II ITC Std Bk"/>
          <w:b/>
          <w:spacing w:val="-5"/>
          <w:w w:val="115"/>
          <w:sz w:val="48"/>
        </w:rPr>
        <w:t>Community</w:t>
      </w:r>
      <w:r>
        <w:rPr>
          <w:rFonts w:ascii="Stone Sans II ITC Std Bk"/>
          <w:b/>
          <w:spacing w:val="-58"/>
          <w:w w:val="115"/>
          <w:sz w:val="48"/>
        </w:rPr>
        <w:t> </w:t>
      </w:r>
      <w:r>
        <w:rPr>
          <w:rFonts w:ascii="Stone Sans II ITC Std Bk"/>
          <w:b/>
          <w:spacing w:val="-9"/>
          <w:w w:val="115"/>
          <w:sz w:val="48"/>
        </w:rPr>
        <w:t>Work </w:t>
      </w:r>
      <w:r>
        <w:rPr>
          <w:rFonts w:ascii="Stone Sans II ITC Std Bk"/>
          <w:b/>
          <w:spacing w:val="-10"/>
          <w:w w:val="115"/>
          <w:sz w:val="48"/>
        </w:rPr>
        <w:t>Programme </w:t>
      </w:r>
      <w:r>
        <w:rPr>
          <w:rFonts w:ascii="Stone Sans II ITC Std Bk"/>
          <w:b/>
          <w:spacing w:val="-8"/>
          <w:w w:val="115"/>
          <w:sz w:val="48"/>
        </w:rPr>
        <w:t>sub-committee</w:t>
      </w:r>
    </w:p>
    <w:p>
      <w:pPr>
        <w:pStyle w:val="BodyText"/>
        <w:spacing w:before="1"/>
        <w:rPr>
          <w:rFonts w:ascii="Stone Sans II ITC Std Bk"/>
          <w:b/>
          <w:sz w:val="8"/>
        </w:rPr>
      </w:pPr>
      <w:r>
        <w:rPr/>
        <w:pict>
          <v:group style="position:absolute;margin-left:97.795303pt;margin-top:7.438258pt;width:440.8pt;height:74.850pt;mso-position-horizontal-relative:page;mso-position-vertical-relative:paragraph;z-index:-251206656;mso-wrap-distance-left:0;mso-wrap-distance-right:0" coordorigin="1956,149" coordsize="8816,1497">
            <v:shape style="position:absolute;left:1965;top:158;width:8796;height:1477" coordorigin="1966,159" coordsize="8796,1477" path="m2206,159l2202,298,2176,369,2105,395,1966,399,1966,1395,2105,1399,2176,1425,2202,1497,2206,1635,10522,1635,10525,1497,10552,1425,10623,1399,10762,1395,10762,399,10623,395,10552,369,10525,298,10522,159,2206,159xe" filled="false" stroked="true" strokeweight="1pt" strokecolor="#8ba8bd">
              <v:path arrowok="t"/>
              <v:stroke dashstyle="solid"/>
            </v:shape>
            <v:shape style="position:absolute;left:1955;top:148;width:8816;height:1497" type="#_x0000_t202" filled="false" stroked="false">
              <v:textbox inset="0,0,0,0">
                <w:txbxContent>
                  <w:p>
                    <w:pPr>
                      <w:spacing w:line="240" w:lineRule="auto" w:before="5"/>
                      <w:rPr>
                        <w:rFonts w:ascii="Stone Sans II ITC Std Bk"/>
                        <w:b/>
                        <w:sz w:val="20"/>
                      </w:rPr>
                    </w:pPr>
                  </w:p>
                  <w:p>
                    <w:pPr>
                      <w:spacing w:line="232" w:lineRule="exact" w:before="0"/>
                      <w:ind w:left="425" w:right="0" w:firstLine="0"/>
                      <w:jc w:val="left"/>
                      <w:rPr>
                        <w:sz w:val="18"/>
                      </w:rPr>
                    </w:pPr>
                    <w:r>
                      <w:rPr>
                        <w:rFonts w:ascii="Stone Sans II ITC Std Bk"/>
                        <w:b/>
                        <w:w w:val="115"/>
                        <w:sz w:val="18"/>
                      </w:rPr>
                      <w:t>Convener: </w:t>
                    </w:r>
                    <w:r>
                      <w:rPr>
                        <w:w w:val="115"/>
                        <w:sz w:val="18"/>
                      </w:rPr>
                      <w:t>Paul Whittle</w:t>
                    </w:r>
                  </w:p>
                  <w:p>
                    <w:pPr>
                      <w:spacing w:line="228" w:lineRule="auto" w:before="0"/>
                      <w:ind w:left="425" w:right="213" w:firstLine="0"/>
                      <w:jc w:val="left"/>
                      <w:rPr>
                        <w:sz w:val="18"/>
                      </w:rPr>
                    </w:pPr>
                    <w:r>
                      <w:rPr>
                        <w:rFonts w:ascii="Stone Sans II ITC Std Bk"/>
                        <w:b/>
                        <w:w w:val="120"/>
                        <w:sz w:val="18"/>
                      </w:rPr>
                      <w:t>Members: </w:t>
                    </w:r>
                    <w:r>
                      <w:rPr>
                        <w:w w:val="120"/>
                        <w:sz w:val="18"/>
                      </w:rPr>
                      <w:t>Janine Atkinson, Mal Breeze, Sue Macbeth, John Mellor, Cristine Smalligan, Marie Trubic</w:t>
                    </w:r>
                  </w:p>
                  <w:p>
                    <w:pPr>
                      <w:spacing w:before="8"/>
                      <w:ind w:left="425" w:right="0" w:firstLine="0"/>
                      <w:jc w:val="left"/>
                      <w:rPr>
                        <w:sz w:val="18"/>
                      </w:rPr>
                    </w:pPr>
                    <w:r>
                      <w:rPr>
                        <w:rFonts w:ascii="Stone Sans II ITC Std Bk"/>
                        <w:b/>
                        <w:w w:val="115"/>
                        <w:sz w:val="18"/>
                      </w:rPr>
                      <w:t>CRCW Development Workers: </w:t>
                    </w:r>
                    <w:r>
                      <w:rPr>
                        <w:w w:val="115"/>
                        <w:sz w:val="18"/>
                      </w:rPr>
                      <w:t>Suzanne Adofo, Steve Summers</w:t>
                    </w:r>
                  </w:p>
                </w:txbxContent>
              </v:textbox>
              <w10:wrap type="none"/>
            </v:shape>
            <w10:wrap type="topAndBottom"/>
          </v:group>
        </w:pict>
      </w:r>
    </w:p>
    <w:p>
      <w:pPr>
        <w:pStyle w:val="BodyText"/>
        <w:spacing w:before="2"/>
        <w:rPr>
          <w:rFonts w:ascii="Stone Sans II ITC Std Bk"/>
          <w:b/>
          <w:sz w:val="19"/>
        </w:rPr>
      </w:pPr>
    </w:p>
    <w:p>
      <w:pPr>
        <w:numPr>
          <w:ilvl w:val="0"/>
          <w:numId w:val="140"/>
        </w:numPr>
        <w:tabs>
          <w:tab w:pos="2704" w:val="left" w:leader="none"/>
          <w:tab w:pos="2705" w:val="left" w:leader="none"/>
        </w:tabs>
        <w:spacing w:line="273" w:lineRule="exact" w:before="100"/>
        <w:ind w:left="2704" w:right="0" w:hanging="721"/>
        <w:jc w:val="left"/>
        <w:rPr>
          <w:rFonts w:ascii="Stone Sans II ITC Std Bk"/>
          <w:b/>
          <w:sz w:val="21"/>
        </w:rPr>
      </w:pPr>
      <w:r>
        <w:rPr>
          <w:rFonts w:ascii="Stone Sans II ITC Std Bk"/>
          <w:b/>
          <w:w w:val="115"/>
          <w:sz w:val="21"/>
        </w:rPr>
        <w:t>A fresh</w:t>
      </w:r>
      <w:r>
        <w:rPr>
          <w:rFonts w:ascii="Stone Sans II ITC Std Bk"/>
          <w:b/>
          <w:spacing w:val="-3"/>
          <w:w w:val="115"/>
          <w:sz w:val="21"/>
        </w:rPr>
        <w:t> </w:t>
      </w:r>
      <w:r>
        <w:rPr>
          <w:rFonts w:ascii="Stone Sans II ITC Std Bk"/>
          <w:b/>
          <w:w w:val="115"/>
          <w:sz w:val="21"/>
        </w:rPr>
        <w:t>strategy</w:t>
      </w:r>
    </w:p>
    <w:p>
      <w:pPr>
        <w:pStyle w:val="BodyText"/>
        <w:spacing w:line="235" w:lineRule="auto"/>
        <w:ind w:left="1984" w:right="1273"/>
      </w:pPr>
      <w:r>
        <w:rPr>
          <w:w w:val="120"/>
        </w:rPr>
        <w:t>A key and major element in the Programme Sub-committee’s work has been a major strategy review in which we have sought to explore again how the CRCW ministry can take its full and proper place in the life and ministry of the URC.</w:t>
      </w:r>
    </w:p>
    <w:p>
      <w:pPr>
        <w:numPr>
          <w:ilvl w:val="0"/>
          <w:numId w:val="140"/>
        </w:numPr>
        <w:tabs>
          <w:tab w:pos="2704" w:val="left" w:leader="none"/>
          <w:tab w:pos="2705" w:val="left" w:leader="none"/>
        </w:tabs>
        <w:spacing w:line="273" w:lineRule="exact" w:before="209"/>
        <w:ind w:left="2704" w:right="0" w:hanging="721"/>
        <w:jc w:val="left"/>
        <w:rPr>
          <w:rFonts w:ascii="Stone Sans II ITC Std Bk"/>
          <w:b/>
          <w:sz w:val="21"/>
        </w:rPr>
      </w:pPr>
      <w:r>
        <w:rPr>
          <w:rFonts w:ascii="Stone Sans II ITC Std Bk"/>
          <w:b/>
          <w:w w:val="115"/>
          <w:sz w:val="21"/>
        </w:rPr>
        <w:t>Priorities</w:t>
      </w:r>
    </w:p>
    <w:p>
      <w:pPr>
        <w:pStyle w:val="BodyText"/>
        <w:spacing w:line="234" w:lineRule="exact"/>
        <w:ind w:left="1984"/>
      </w:pPr>
      <w:r>
        <w:rPr>
          <w:w w:val="120"/>
        </w:rPr>
        <w:t>To this end we have identified and worked on six priorities. These are:</w:t>
      </w:r>
    </w:p>
    <w:p>
      <w:pPr>
        <w:pStyle w:val="BodyText"/>
        <w:spacing w:before="8"/>
        <w:rPr>
          <w:sz w:val="19"/>
        </w:rPr>
      </w:pPr>
    </w:p>
    <w:p>
      <w:pPr>
        <w:pStyle w:val="ListParagraph"/>
        <w:numPr>
          <w:ilvl w:val="1"/>
          <w:numId w:val="140"/>
        </w:numPr>
        <w:tabs>
          <w:tab w:pos="2664" w:val="left" w:leader="none"/>
          <w:tab w:pos="2665" w:val="left" w:leader="none"/>
        </w:tabs>
        <w:spacing w:line="235" w:lineRule="auto" w:before="0" w:after="0"/>
        <w:ind w:left="1984" w:right="1298" w:firstLine="0"/>
        <w:jc w:val="left"/>
        <w:rPr>
          <w:sz w:val="20"/>
        </w:rPr>
      </w:pPr>
      <w:r>
        <w:rPr>
          <w:w w:val="120"/>
          <w:sz w:val="20"/>
        </w:rPr>
        <w:t>to increase awareness of the CRCW ministry at all levels by working on strategies for its promotion and development with a particular aim of attracting</w:t>
      </w:r>
      <w:r>
        <w:rPr>
          <w:spacing w:val="37"/>
          <w:w w:val="120"/>
          <w:sz w:val="20"/>
        </w:rPr>
        <w:t> </w:t>
      </w:r>
      <w:r>
        <w:rPr>
          <w:w w:val="120"/>
          <w:sz w:val="20"/>
        </w:rPr>
        <w:t>candidates;</w:t>
      </w:r>
    </w:p>
    <w:p>
      <w:pPr>
        <w:pStyle w:val="BodyText"/>
        <w:spacing w:before="9"/>
        <w:rPr>
          <w:sz w:val="19"/>
        </w:rPr>
      </w:pPr>
    </w:p>
    <w:p>
      <w:pPr>
        <w:pStyle w:val="ListParagraph"/>
        <w:numPr>
          <w:ilvl w:val="1"/>
          <w:numId w:val="140"/>
        </w:numPr>
        <w:tabs>
          <w:tab w:pos="2664" w:val="left" w:leader="none"/>
          <w:tab w:pos="2665" w:val="left" w:leader="none"/>
        </w:tabs>
        <w:spacing w:line="235" w:lineRule="auto" w:before="0" w:after="0"/>
        <w:ind w:left="1984" w:right="1546" w:firstLine="0"/>
        <w:jc w:val="left"/>
        <w:rPr>
          <w:sz w:val="20"/>
        </w:rPr>
      </w:pPr>
      <w:r>
        <w:rPr>
          <w:w w:val="120"/>
          <w:sz w:val="20"/>
        </w:rPr>
        <w:t>to promote the CRCW ministry and programme by developing marketing and recruitment strategies for new CRCWs and Church-in-Community</w:t>
      </w:r>
      <w:r>
        <w:rPr>
          <w:spacing w:val="39"/>
          <w:w w:val="120"/>
          <w:sz w:val="20"/>
        </w:rPr>
        <w:t> </w:t>
      </w:r>
      <w:r>
        <w:rPr>
          <w:w w:val="120"/>
          <w:sz w:val="20"/>
        </w:rPr>
        <w:t>projects;</w:t>
      </w:r>
    </w:p>
    <w:p>
      <w:pPr>
        <w:pStyle w:val="BodyText"/>
        <w:spacing w:before="10"/>
        <w:rPr>
          <w:sz w:val="19"/>
        </w:rPr>
      </w:pPr>
    </w:p>
    <w:p>
      <w:pPr>
        <w:pStyle w:val="ListParagraph"/>
        <w:numPr>
          <w:ilvl w:val="1"/>
          <w:numId w:val="140"/>
        </w:numPr>
        <w:tabs>
          <w:tab w:pos="2664" w:val="left" w:leader="none"/>
          <w:tab w:pos="2665" w:val="left" w:leader="none"/>
        </w:tabs>
        <w:spacing w:line="235" w:lineRule="auto" w:before="0" w:after="0"/>
        <w:ind w:left="1984" w:right="1497" w:firstLine="0"/>
        <w:jc w:val="left"/>
        <w:rPr>
          <w:sz w:val="20"/>
        </w:rPr>
      </w:pPr>
      <w:r>
        <w:rPr>
          <w:w w:val="120"/>
          <w:sz w:val="20"/>
        </w:rPr>
        <w:t>to work with the URC Education and Learning Committee, Resource Centres  for</w:t>
      </w:r>
      <w:r>
        <w:rPr>
          <w:spacing w:val="16"/>
          <w:w w:val="120"/>
          <w:sz w:val="20"/>
        </w:rPr>
        <w:t> </w:t>
      </w:r>
      <w:r>
        <w:rPr>
          <w:w w:val="120"/>
          <w:sz w:val="20"/>
        </w:rPr>
        <w:t>Learning,</w:t>
      </w:r>
      <w:r>
        <w:rPr>
          <w:spacing w:val="17"/>
          <w:w w:val="120"/>
          <w:sz w:val="20"/>
        </w:rPr>
        <w:t> </w:t>
      </w:r>
      <w:r>
        <w:rPr>
          <w:spacing w:val="2"/>
          <w:w w:val="120"/>
          <w:sz w:val="20"/>
        </w:rPr>
        <w:t>TLS</w:t>
      </w:r>
      <w:r>
        <w:rPr>
          <w:spacing w:val="17"/>
          <w:w w:val="120"/>
          <w:sz w:val="20"/>
        </w:rPr>
        <w:t> </w:t>
      </w:r>
      <w:r>
        <w:rPr>
          <w:w w:val="120"/>
          <w:sz w:val="20"/>
        </w:rPr>
        <w:t>programme,</w:t>
      </w:r>
      <w:r>
        <w:rPr>
          <w:spacing w:val="17"/>
          <w:w w:val="120"/>
          <w:sz w:val="20"/>
        </w:rPr>
        <w:t> </w:t>
      </w:r>
      <w:r>
        <w:rPr>
          <w:w w:val="120"/>
          <w:sz w:val="20"/>
        </w:rPr>
        <w:t>the</w:t>
      </w:r>
      <w:r>
        <w:rPr>
          <w:spacing w:val="17"/>
          <w:w w:val="120"/>
          <w:sz w:val="20"/>
        </w:rPr>
        <w:t> </w:t>
      </w:r>
      <w:r>
        <w:rPr>
          <w:spacing w:val="2"/>
          <w:w w:val="120"/>
          <w:sz w:val="20"/>
        </w:rPr>
        <w:t>Northern</w:t>
      </w:r>
      <w:r>
        <w:rPr>
          <w:spacing w:val="17"/>
          <w:w w:val="120"/>
          <w:sz w:val="20"/>
        </w:rPr>
        <w:t> </w:t>
      </w:r>
      <w:r>
        <w:rPr>
          <w:w w:val="120"/>
          <w:sz w:val="20"/>
        </w:rPr>
        <w:t>College</w:t>
      </w:r>
      <w:r>
        <w:rPr>
          <w:spacing w:val="17"/>
          <w:w w:val="120"/>
          <w:sz w:val="20"/>
        </w:rPr>
        <w:t> </w:t>
      </w:r>
      <w:r>
        <w:rPr>
          <w:w w:val="120"/>
          <w:sz w:val="20"/>
        </w:rPr>
        <w:t>Course</w:t>
      </w:r>
      <w:r>
        <w:rPr>
          <w:spacing w:val="17"/>
          <w:w w:val="120"/>
          <w:sz w:val="20"/>
        </w:rPr>
        <w:t> </w:t>
      </w:r>
      <w:r>
        <w:rPr>
          <w:w w:val="120"/>
          <w:sz w:val="20"/>
        </w:rPr>
        <w:t>Development</w:t>
      </w:r>
      <w:r>
        <w:rPr>
          <w:spacing w:val="17"/>
          <w:w w:val="120"/>
          <w:sz w:val="20"/>
        </w:rPr>
        <w:t> </w:t>
      </w:r>
      <w:r>
        <w:rPr>
          <w:w w:val="120"/>
          <w:sz w:val="20"/>
        </w:rPr>
        <w:t>Group</w:t>
      </w:r>
      <w:r>
        <w:rPr>
          <w:spacing w:val="16"/>
          <w:w w:val="120"/>
          <w:sz w:val="20"/>
        </w:rPr>
        <w:t> </w:t>
      </w:r>
      <w:r>
        <w:rPr>
          <w:w w:val="120"/>
          <w:sz w:val="20"/>
        </w:rPr>
        <w:t>and</w:t>
      </w:r>
    </w:p>
    <w:p>
      <w:pPr>
        <w:pStyle w:val="BodyText"/>
        <w:spacing w:line="235" w:lineRule="auto" w:before="1"/>
        <w:ind w:left="1984" w:right="1120"/>
      </w:pPr>
      <w:r>
        <w:rPr>
          <w:w w:val="120"/>
        </w:rPr>
        <w:t>ecumenical training providers to support and develop CRCW, Education for Ministry and lay training opportunities;</w:t>
      </w:r>
    </w:p>
    <w:p>
      <w:pPr>
        <w:pStyle w:val="BodyText"/>
        <w:spacing w:before="10"/>
        <w:rPr>
          <w:sz w:val="19"/>
        </w:rPr>
      </w:pPr>
    </w:p>
    <w:p>
      <w:pPr>
        <w:pStyle w:val="ListParagraph"/>
        <w:numPr>
          <w:ilvl w:val="1"/>
          <w:numId w:val="140"/>
        </w:numPr>
        <w:tabs>
          <w:tab w:pos="2664" w:val="left" w:leader="none"/>
          <w:tab w:pos="2665" w:val="left" w:leader="none"/>
        </w:tabs>
        <w:spacing w:line="235" w:lineRule="auto" w:before="0" w:after="0"/>
        <w:ind w:left="1984" w:right="1359" w:firstLine="0"/>
        <w:jc w:val="left"/>
        <w:rPr>
          <w:sz w:val="20"/>
        </w:rPr>
      </w:pPr>
      <w:r>
        <w:rPr>
          <w:w w:val="120"/>
          <w:sz w:val="20"/>
        </w:rPr>
        <w:t>to provide a range of opportunities for consultation with and support of CRCWs and Church-in-Community</w:t>
      </w:r>
      <w:r>
        <w:rPr>
          <w:spacing w:val="5"/>
          <w:w w:val="120"/>
          <w:sz w:val="20"/>
        </w:rPr>
        <w:t> </w:t>
      </w:r>
      <w:r>
        <w:rPr>
          <w:w w:val="120"/>
          <w:sz w:val="20"/>
        </w:rPr>
        <w:t>projects;</w:t>
      </w:r>
    </w:p>
    <w:p>
      <w:pPr>
        <w:pStyle w:val="BodyText"/>
        <w:spacing w:before="9"/>
        <w:rPr>
          <w:sz w:val="19"/>
        </w:rPr>
      </w:pPr>
    </w:p>
    <w:p>
      <w:pPr>
        <w:pStyle w:val="ListParagraph"/>
        <w:numPr>
          <w:ilvl w:val="1"/>
          <w:numId w:val="140"/>
        </w:numPr>
        <w:tabs>
          <w:tab w:pos="2664" w:val="left" w:leader="none"/>
          <w:tab w:pos="2665" w:val="left" w:leader="none"/>
        </w:tabs>
        <w:spacing w:line="235" w:lineRule="auto" w:before="0" w:after="0"/>
        <w:ind w:left="1984" w:right="1564" w:firstLine="0"/>
        <w:jc w:val="left"/>
        <w:rPr>
          <w:sz w:val="20"/>
        </w:rPr>
      </w:pPr>
      <w:r>
        <w:rPr>
          <w:w w:val="120"/>
          <w:sz w:val="20"/>
        </w:rPr>
        <w:t>to support and develop the working and contribution of the Programme Sub- committee and its</w:t>
      </w:r>
      <w:r>
        <w:rPr>
          <w:spacing w:val="5"/>
          <w:w w:val="120"/>
          <w:sz w:val="20"/>
        </w:rPr>
        <w:t> </w:t>
      </w:r>
      <w:r>
        <w:rPr>
          <w:w w:val="120"/>
          <w:sz w:val="20"/>
        </w:rPr>
        <w:t>members;</w:t>
      </w:r>
    </w:p>
    <w:p>
      <w:pPr>
        <w:pStyle w:val="BodyText"/>
        <w:spacing w:before="9"/>
        <w:rPr>
          <w:sz w:val="19"/>
        </w:rPr>
      </w:pPr>
    </w:p>
    <w:p>
      <w:pPr>
        <w:pStyle w:val="ListParagraph"/>
        <w:numPr>
          <w:ilvl w:val="1"/>
          <w:numId w:val="140"/>
        </w:numPr>
        <w:tabs>
          <w:tab w:pos="2664" w:val="left" w:leader="none"/>
          <w:tab w:pos="2665" w:val="left" w:leader="none"/>
        </w:tabs>
        <w:spacing w:line="235" w:lineRule="auto" w:before="1" w:after="0"/>
        <w:ind w:left="1984" w:right="1678" w:firstLine="0"/>
        <w:jc w:val="left"/>
        <w:rPr>
          <w:sz w:val="20"/>
        </w:rPr>
      </w:pPr>
      <w:r>
        <w:rPr>
          <w:w w:val="120"/>
          <w:sz w:val="20"/>
        </w:rPr>
        <w:t>to facilitate and engage with the production of policy documents in order to provide</w:t>
      </w:r>
      <w:r>
        <w:rPr>
          <w:spacing w:val="8"/>
          <w:w w:val="120"/>
          <w:sz w:val="20"/>
        </w:rPr>
        <w:t> </w:t>
      </w:r>
      <w:r>
        <w:rPr>
          <w:w w:val="120"/>
          <w:sz w:val="20"/>
        </w:rPr>
        <w:t>the</w:t>
      </w:r>
      <w:r>
        <w:rPr>
          <w:spacing w:val="8"/>
          <w:w w:val="120"/>
          <w:sz w:val="20"/>
        </w:rPr>
        <w:t> </w:t>
      </w:r>
      <w:r>
        <w:rPr>
          <w:w w:val="120"/>
          <w:sz w:val="20"/>
        </w:rPr>
        <w:t>detailed</w:t>
      </w:r>
      <w:r>
        <w:rPr>
          <w:spacing w:val="9"/>
          <w:w w:val="120"/>
          <w:sz w:val="20"/>
        </w:rPr>
        <w:t> </w:t>
      </w:r>
      <w:r>
        <w:rPr>
          <w:w w:val="120"/>
          <w:sz w:val="20"/>
        </w:rPr>
        <w:t>resourcing</w:t>
      </w:r>
      <w:r>
        <w:rPr>
          <w:spacing w:val="8"/>
          <w:w w:val="120"/>
          <w:sz w:val="20"/>
        </w:rPr>
        <w:t> </w:t>
      </w:r>
      <w:r>
        <w:rPr>
          <w:w w:val="120"/>
          <w:sz w:val="20"/>
        </w:rPr>
        <w:t>needed</w:t>
      </w:r>
      <w:r>
        <w:rPr>
          <w:spacing w:val="9"/>
          <w:w w:val="120"/>
          <w:sz w:val="20"/>
        </w:rPr>
        <w:t> </w:t>
      </w:r>
      <w:r>
        <w:rPr>
          <w:w w:val="120"/>
          <w:sz w:val="20"/>
        </w:rPr>
        <w:t>for</w:t>
      </w:r>
      <w:r>
        <w:rPr>
          <w:spacing w:val="8"/>
          <w:w w:val="120"/>
          <w:sz w:val="20"/>
        </w:rPr>
        <w:t> </w:t>
      </w:r>
      <w:r>
        <w:rPr>
          <w:w w:val="120"/>
          <w:sz w:val="20"/>
        </w:rPr>
        <w:t>engagement</w:t>
      </w:r>
      <w:r>
        <w:rPr>
          <w:spacing w:val="9"/>
          <w:w w:val="120"/>
          <w:sz w:val="20"/>
        </w:rPr>
        <w:t> </w:t>
      </w:r>
      <w:r>
        <w:rPr>
          <w:w w:val="120"/>
          <w:sz w:val="20"/>
        </w:rPr>
        <w:t>with</w:t>
      </w:r>
      <w:r>
        <w:rPr>
          <w:spacing w:val="8"/>
          <w:w w:val="120"/>
          <w:sz w:val="20"/>
        </w:rPr>
        <w:t> </w:t>
      </w:r>
      <w:r>
        <w:rPr>
          <w:w w:val="120"/>
          <w:sz w:val="20"/>
        </w:rPr>
        <w:t>the</w:t>
      </w:r>
      <w:r>
        <w:rPr>
          <w:spacing w:val="9"/>
          <w:w w:val="120"/>
          <w:sz w:val="20"/>
        </w:rPr>
        <w:t> </w:t>
      </w:r>
      <w:r>
        <w:rPr>
          <w:w w:val="120"/>
          <w:sz w:val="20"/>
        </w:rPr>
        <w:t>programme.</w:t>
      </w:r>
    </w:p>
    <w:p>
      <w:pPr>
        <w:numPr>
          <w:ilvl w:val="0"/>
          <w:numId w:val="140"/>
        </w:numPr>
        <w:tabs>
          <w:tab w:pos="2704" w:val="left" w:leader="none"/>
          <w:tab w:pos="2705" w:val="left" w:leader="none"/>
        </w:tabs>
        <w:spacing w:line="273" w:lineRule="exact" w:before="215"/>
        <w:ind w:left="2704" w:right="0" w:hanging="721"/>
        <w:jc w:val="left"/>
        <w:rPr>
          <w:rFonts w:ascii="Stone Sans II ITC Std Bk"/>
          <w:b/>
          <w:sz w:val="21"/>
        </w:rPr>
      </w:pPr>
      <w:r>
        <w:rPr>
          <w:rFonts w:ascii="Stone Sans II ITC Std Bk"/>
          <w:b/>
          <w:w w:val="115"/>
          <w:sz w:val="21"/>
        </w:rPr>
        <w:t>A</w:t>
      </w:r>
      <w:r>
        <w:rPr>
          <w:rFonts w:ascii="Stone Sans II ITC Std Bk"/>
          <w:b/>
          <w:spacing w:val="-2"/>
          <w:w w:val="115"/>
          <w:sz w:val="21"/>
        </w:rPr>
        <w:t> </w:t>
      </w:r>
      <w:r>
        <w:rPr>
          <w:rFonts w:ascii="Stone Sans II ITC Std Bk"/>
          <w:b/>
          <w:w w:val="115"/>
          <w:sz w:val="21"/>
        </w:rPr>
        <w:t>gift</w:t>
      </w:r>
    </w:p>
    <w:p>
      <w:pPr>
        <w:pStyle w:val="BodyText"/>
        <w:spacing w:line="235" w:lineRule="auto"/>
        <w:ind w:left="1984" w:right="1200"/>
      </w:pPr>
      <w:r>
        <w:rPr>
          <w:w w:val="120"/>
        </w:rPr>
        <w:t>The PSC spends a good deal of time, in a range of ways, reflecting on the different kingdom contributions its projects can and do make. We are grateful for all the support we receive, but firmly believe that the opportunities the programme creates are a gift to the URC and from the URC to the wider church. To enhance that, we hope to develop a higher profile.</w:t>
      </w:r>
    </w:p>
    <w:p>
      <w:pPr>
        <w:pStyle w:val="BodyText"/>
      </w:pPr>
    </w:p>
    <w:p>
      <w:pPr>
        <w:pStyle w:val="BodyText"/>
        <w:spacing w:before="8"/>
        <w:rPr>
          <w:sz w:val="13"/>
        </w:rPr>
      </w:pPr>
      <w:r>
        <w:rPr/>
        <w:pict>
          <v:shape style="position:absolute;margin-left:99.629898pt;margin-top:10.700234pt;width:438pt;height:.1pt;mso-position-horizontal-relative:page;mso-position-vertical-relative:paragraph;z-index:-251205632;mso-wrap-distance-left:0;mso-wrap-distance-right:0" coordorigin="1993,214" coordsize="8760,0" path="m1993,214l10752,214e" filled="false" stroked="true" strokeweight=".75pt" strokecolor="#8ba8bd">
            <v:path arrowok="t"/>
            <v:stroke dashstyle="solid"/>
            <w10:wrap type="topAndBottom"/>
          </v:shape>
        </w:pict>
      </w:r>
    </w:p>
    <w:p>
      <w:pPr>
        <w:spacing w:after="0"/>
        <w:rPr>
          <w:sz w:val="13"/>
        </w:rPr>
        <w:sectPr>
          <w:pgSz w:w="11910" w:h="16840"/>
          <w:pgMar w:header="0" w:footer="647" w:top="1060" w:bottom="840" w:left="0" w:right="0"/>
        </w:sectPr>
      </w:pPr>
    </w:p>
    <w:p>
      <w:pPr>
        <w:pStyle w:val="Heading2"/>
        <w:spacing w:line="206" w:lineRule="auto" w:before="203"/>
        <w:ind w:left="1133" w:right="4774"/>
      </w:pPr>
      <w:r>
        <w:rPr/>
        <w:pict>
          <v:group style="position:absolute;margin-left:56.692902pt;margin-top:70.993881pt;width:439.4pt;height:63.7pt;mso-position-horizontal-relative:page;mso-position-vertical-relative:paragraph;z-index:-251202560;mso-wrap-distance-left:0;mso-wrap-distance-right:0" coordorigin="1134,1420" coordsize="8788,1274">
            <v:shape style="position:absolute;left:1143;top:1429;width:8768;height:1254" coordorigin="1144,1430" coordsize="8768,1254" path="m1384,1430l1380,1569,1354,1640,1283,1666,1144,1670,1144,2443,1283,2447,1354,2473,1380,2544,1384,2683,9671,2683,9675,2544,9701,2473,9773,2447,9911,2443,9911,1670,9773,1666,9701,1640,9675,1569,9671,1430,1384,1430xe" filled="false" stroked="true" strokeweight="1pt" strokecolor="#8ba8bd">
              <v:path arrowok="t"/>
              <v:stroke dashstyle="solid"/>
            </v:shape>
            <v:shape style="position:absolute;left:1133;top:1419;width:8788;height:1274" type="#_x0000_t202" filled="false" stroked="false">
              <v:textbox inset="0,0,0,0">
                <w:txbxContent>
                  <w:p>
                    <w:pPr>
                      <w:spacing w:line="240" w:lineRule="auto" w:before="5"/>
                      <w:rPr>
                        <w:rFonts w:ascii="Stone Sans II ITC Std Bk"/>
                        <w:b/>
                        <w:sz w:val="23"/>
                      </w:rPr>
                    </w:pPr>
                  </w:p>
                  <w:p>
                    <w:pPr>
                      <w:spacing w:line="232" w:lineRule="exact" w:before="1"/>
                      <w:ind w:left="396" w:right="0" w:firstLine="0"/>
                      <w:jc w:val="left"/>
                      <w:rPr>
                        <w:sz w:val="18"/>
                      </w:rPr>
                    </w:pPr>
                    <w:r>
                      <w:rPr>
                        <w:rFonts w:ascii="Stone Sans II ITC Std Bk"/>
                        <w:b/>
                        <w:w w:val="115"/>
                        <w:sz w:val="18"/>
                      </w:rPr>
                      <w:t>Convener: </w:t>
                    </w:r>
                    <w:r>
                      <w:rPr>
                        <w:w w:val="115"/>
                        <w:sz w:val="18"/>
                      </w:rPr>
                      <w:t>Jan Harper</w:t>
                    </w:r>
                  </w:p>
                  <w:p>
                    <w:pPr>
                      <w:spacing w:line="230" w:lineRule="exact" w:before="0"/>
                      <w:ind w:left="396" w:right="0" w:firstLine="0"/>
                      <w:jc w:val="left"/>
                      <w:rPr>
                        <w:sz w:val="18"/>
                      </w:rPr>
                    </w:pPr>
                    <w:r>
                      <w:rPr>
                        <w:rFonts w:ascii="Stone Sans II ITC Std Bk"/>
                        <w:b/>
                        <w:w w:val="120"/>
                        <w:sz w:val="18"/>
                      </w:rPr>
                      <w:t>Members: </w:t>
                    </w:r>
                    <w:r>
                      <w:rPr>
                        <w:w w:val="120"/>
                        <w:sz w:val="18"/>
                      </w:rPr>
                      <w:t>Ed Strachan, Gwynfor Evans, Alan Cotgreave</w:t>
                    </w:r>
                  </w:p>
                  <w:p>
                    <w:pPr>
                      <w:spacing w:line="242" w:lineRule="exact" w:before="0"/>
                      <w:ind w:left="396" w:right="0" w:firstLine="0"/>
                      <w:jc w:val="left"/>
                      <w:rPr>
                        <w:sz w:val="18"/>
                      </w:rPr>
                    </w:pPr>
                    <w:r>
                      <w:rPr>
                        <w:rFonts w:ascii="Stone Sans II ITC Std Bk"/>
                        <w:b/>
                        <w:w w:val="115"/>
                        <w:sz w:val="18"/>
                      </w:rPr>
                      <w:t>Coopted member: </w:t>
                    </w:r>
                    <w:r>
                      <w:rPr>
                        <w:w w:val="115"/>
                        <w:sz w:val="18"/>
                      </w:rPr>
                      <w:t>Janet Tollington</w:t>
                    </w:r>
                  </w:p>
                </w:txbxContent>
              </v:textbox>
              <w10:wrap type="none"/>
            </v:shape>
            <w10:wrap type="topAndBottom"/>
          </v:group>
        </w:pict>
      </w:r>
      <w:r>
        <w:rPr/>
        <w:pict>
          <v:rect style="position:absolute;margin-left:12.047pt;margin-top:8.513783pt;width:22.677pt;height:22.677pt;mso-position-horizontal-relative:page;mso-position-vertical-relative:paragraph;z-index:252115968" filled="true" fillcolor="#dae4ec" stroked="false">
            <v:fill opacity="32768f" type="solid"/>
            <w10:wrap type="none"/>
          </v:rect>
        </w:pict>
      </w:r>
      <w:r>
        <w:rPr>
          <w:w w:val="110"/>
        </w:rPr>
        <w:t>Leadership in Worship sub-committee</w:t>
      </w:r>
    </w:p>
    <w:p>
      <w:pPr>
        <w:pStyle w:val="BodyText"/>
        <w:rPr>
          <w:rFonts w:ascii="Stone Sans II ITC Std Bk"/>
          <w:b/>
        </w:rPr>
      </w:pPr>
    </w:p>
    <w:p>
      <w:pPr>
        <w:pStyle w:val="BodyText"/>
        <w:spacing w:before="12"/>
        <w:rPr>
          <w:rFonts w:ascii="Stone Sans II ITC Std Bk"/>
          <w:b/>
          <w:sz w:val="21"/>
        </w:rPr>
      </w:pPr>
    </w:p>
    <w:p>
      <w:pPr>
        <w:pStyle w:val="ListParagraph"/>
        <w:numPr>
          <w:ilvl w:val="0"/>
          <w:numId w:val="141"/>
        </w:numPr>
        <w:tabs>
          <w:tab w:pos="1814" w:val="left" w:leader="none"/>
          <w:tab w:pos="1815" w:val="left" w:leader="none"/>
        </w:tabs>
        <w:spacing w:line="235" w:lineRule="auto" w:before="104" w:after="0"/>
        <w:ind w:left="1133" w:right="2015" w:firstLine="0"/>
        <w:jc w:val="left"/>
        <w:rPr>
          <w:sz w:val="20"/>
        </w:rPr>
      </w:pPr>
      <w:r>
        <w:rPr>
          <w:w w:val="120"/>
          <w:sz w:val="20"/>
        </w:rPr>
        <w:t>During the past two years, according to the </w:t>
      </w:r>
      <w:r>
        <w:rPr>
          <w:spacing w:val="-3"/>
          <w:w w:val="120"/>
          <w:sz w:val="20"/>
        </w:rPr>
        <w:t>new, </w:t>
      </w:r>
      <w:r>
        <w:rPr>
          <w:w w:val="120"/>
          <w:sz w:val="20"/>
        </w:rPr>
        <w:t>broader remit of the committee, we have been discussing ways in which we can be of service to those who lead worship. We are grateful to Graham Campling, whose time with us has come to an end, and Christine Craven, who has moved on to pastures </w:t>
      </w:r>
      <w:r>
        <w:rPr>
          <w:spacing w:val="-3"/>
          <w:w w:val="120"/>
          <w:sz w:val="20"/>
        </w:rPr>
        <w:t>new. </w:t>
      </w:r>
      <w:r>
        <w:rPr>
          <w:w w:val="120"/>
          <w:sz w:val="20"/>
        </w:rPr>
        <w:t>We have welcomed Craig  Bowman, Richard Mortimer and Fiona Thomas who give valuable</w:t>
      </w:r>
      <w:r>
        <w:rPr>
          <w:spacing w:val="29"/>
          <w:w w:val="120"/>
          <w:sz w:val="20"/>
        </w:rPr>
        <w:t> </w:t>
      </w:r>
      <w:r>
        <w:rPr>
          <w:w w:val="120"/>
          <w:sz w:val="20"/>
        </w:rPr>
        <w:t>input.</w:t>
      </w:r>
    </w:p>
    <w:p>
      <w:pPr>
        <w:pStyle w:val="BodyText"/>
        <w:spacing w:before="12"/>
        <w:rPr>
          <w:sz w:val="19"/>
        </w:rPr>
      </w:pPr>
    </w:p>
    <w:p>
      <w:pPr>
        <w:pStyle w:val="ListParagraph"/>
        <w:numPr>
          <w:ilvl w:val="0"/>
          <w:numId w:val="141"/>
        </w:numPr>
        <w:tabs>
          <w:tab w:pos="1814" w:val="left" w:leader="none"/>
          <w:tab w:pos="1815" w:val="left" w:leader="none"/>
        </w:tabs>
        <w:spacing w:line="235" w:lineRule="auto" w:before="0" w:after="0"/>
        <w:ind w:left="1133" w:right="2290" w:firstLine="0"/>
        <w:jc w:val="left"/>
        <w:rPr>
          <w:sz w:val="20"/>
        </w:rPr>
      </w:pPr>
      <w:r>
        <w:rPr>
          <w:w w:val="120"/>
          <w:sz w:val="20"/>
        </w:rPr>
        <w:t>Part</w:t>
      </w:r>
      <w:r>
        <w:rPr>
          <w:spacing w:val="-4"/>
          <w:w w:val="120"/>
          <w:sz w:val="20"/>
        </w:rPr>
        <w:t> </w:t>
      </w:r>
      <w:r>
        <w:rPr>
          <w:w w:val="120"/>
          <w:sz w:val="20"/>
        </w:rPr>
        <w:t>of</w:t>
      </w:r>
      <w:r>
        <w:rPr>
          <w:spacing w:val="-3"/>
          <w:w w:val="120"/>
          <w:sz w:val="20"/>
        </w:rPr>
        <w:t> </w:t>
      </w:r>
      <w:r>
        <w:rPr>
          <w:w w:val="120"/>
          <w:sz w:val="20"/>
        </w:rPr>
        <w:t>the</w:t>
      </w:r>
      <w:r>
        <w:rPr>
          <w:spacing w:val="-4"/>
          <w:w w:val="120"/>
          <w:sz w:val="20"/>
        </w:rPr>
        <w:t> </w:t>
      </w:r>
      <w:r>
        <w:rPr>
          <w:w w:val="120"/>
          <w:sz w:val="20"/>
        </w:rPr>
        <w:t>remit</w:t>
      </w:r>
      <w:r>
        <w:rPr>
          <w:spacing w:val="-3"/>
          <w:w w:val="120"/>
          <w:sz w:val="20"/>
        </w:rPr>
        <w:t> </w:t>
      </w:r>
      <w:r>
        <w:rPr>
          <w:w w:val="120"/>
          <w:sz w:val="20"/>
        </w:rPr>
        <w:t>of</w:t>
      </w:r>
      <w:r>
        <w:rPr>
          <w:spacing w:val="-4"/>
          <w:w w:val="120"/>
          <w:sz w:val="20"/>
        </w:rPr>
        <w:t> </w:t>
      </w:r>
      <w:r>
        <w:rPr>
          <w:w w:val="120"/>
          <w:sz w:val="20"/>
        </w:rPr>
        <w:t>this</w:t>
      </w:r>
      <w:r>
        <w:rPr>
          <w:spacing w:val="-3"/>
          <w:w w:val="120"/>
          <w:sz w:val="20"/>
        </w:rPr>
        <w:t> </w:t>
      </w:r>
      <w:r>
        <w:rPr>
          <w:w w:val="120"/>
          <w:sz w:val="20"/>
        </w:rPr>
        <w:t>committee</w:t>
      </w:r>
      <w:r>
        <w:rPr>
          <w:spacing w:val="-4"/>
          <w:w w:val="120"/>
          <w:sz w:val="20"/>
        </w:rPr>
        <w:t> </w:t>
      </w:r>
      <w:r>
        <w:rPr>
          <w:w w:val="120"/>
          <w:sz w:val="20"/>
        </w:rPr>
        <w:t>is</w:t>
      </w:r>
      <w:r>
        <w:rPr>
          <w:spacing w:val="-3"/>
          <w:w w:val="120"/>
          <w:sz w:val="20"/>
        </w:rPr>
        <w:t> </w:t>
      </w:r>
      <w:r>
        <w:rPr>
          <w:w w:val="120"/>
          <w:sz w:val="20"/>
        </w:rPr>
        <w:t>to</w:t>
      </w:r>
      <w:r>
        <w:rPr>
          <w:spacing w:val="-4"/>
          <w:w w:val="120"/>
          <w:sz w:val="20"/>
        </w:rPr>
        <w:t> </w:t>
      </w:r>
      <w:r>
        <w:rPr>
          <w:w w:val="120"/>
          <w:sz w:val="20"/>
        </w:rPr>
        <w:t>ensure</w:t>
      </w:r>
      <w:r>
        <w:rPr>
          <w:spacing w:val="-3"/>
          <w:w w:val="120"/>
          <w:sz w:val="20"/>
        </w:rPr>
        <w:t> </w:t>
      </w:r>
      <w:r>
        <w:rPr>
          <w:w w:val="120"/>
          <w:sz w:val="20"/>
        </w:rPr>
        <w:t>that</w:t>
      </w:r>
      <w:r>
        <w:rPr>
          <w:spacing w:val="-3"/>
          <w:w w:val="120"/>
          <w:sz w:val="20"/>
        </w:rPr>
        <w:t> </w:t>
      </w:r>
      <w:r>
        <w:rPr>
          <w:w w:val="120"/>
          <w:sz w:val="20"/>
        </w:rPr>
        <w:t>any</w:t>
      </w:r>
      <w:r>
        <w:rPr>
          <w:spacing w:val="-4"/>
          <w:w w:val="120"/>
          <w:sz w:val="20"/>
        </w:rPr>
        <w:t> </w:t>
      </w:r>
      <w:r>
        <w:rPr>
          <w:w w:val="120"/>
          <w:sz w:val="20"/>
        </w:rPr>
        <w:t>visitor</w:t>
      </w:r>
      <w:r>
        <w:rPr>
          <w:spacing w:val="-3"/>
          <w:w w:val="120"/>
          <w:sz w:val="20"/>
        </w:rPr>
        <w:t> </w:t>
      </w:r>
      <w:r>
        <w:rPr>
          <w:w w:val="120"/>
          <w:sz w:val="20"/>
        </w:rPr>
        <w:t>invited</w:t>
      </w:r>
      <w:r>
        <w:rPr>
          <w:spacing w:val="-4"/>
          <w:w w:val="120"/>
          <w:sz w:val="20"/>
        </w:rPr>
        <w:t> </w:t>
      </w:r>
      <w:r>
        <w:rPr>
          <w:w w:val="120"/>
          <w:sz w:val="20"/>
        </w:rPr>
        <w:t>to</w:t>
      </w:r>
      <w:r>
        <w:rPr>
          <w:spacing w:val="-3"/>
          <w:w w:val="120"/>
          <w:sz w:val="20"/>
        </w:rPr>
        <w:t> </w:t>
      </w:r>
      <w:r>
        <w:rPr>
          <w:w w:val="120"/>
          <w:sz w:val="20"/>
        </w:rPr>
        <w:t>preach should automatically get full information from the church to be visited, and with that in mind we have up-dated the original leaflet ‘Visitors Lead Worship in local churches: </w:t>
      </w:r>
      <w:r>
        <w:rPr>
          <w:spacing w:val="-3"/>
          <w:w w:val="120"/>
          <w:sz w:val="20"/>
        </w:rPr>
        <w:t>Towards </w:t>
      </w:r>
      <w:r>
        <w:rPr>
          <w:w w:val="120"/>
          <w:sz w:val="20"/>
        </w:rPr>
        <w:t>Best Practice’ and made it available to synods for</w:t>
      </w:r>
      <w:r>
        <w:rPr>
          <w:spacing w:val="26"/>
          <w:w w:val="120"/>
          <w:sz w:val="20"/>
        </w:rPr>
        <w:t> </w:t>
      </w:r>
      <w:r>
        <w:rPr>
          <w:w w:val="120"/>
          <w:sz w:val="20"/>
        </w:rPr>
        <w:t>distribution.</w:t>
      </w:r>
    </w:p>
    <w:p>
      <w:pPr>
        <w:pStyle w:val="BodyText"/>
        <w:spacing w:before="10"/>
        <w:rPr>
          <w:sz w:val="19"/>
        </w:rPr>
      </w:pPr>
    </w:p>
    <w:p>
      <w:pPr>
        <w:pStyle w:val="ListParagraph"/>
        <w:numPr>
          <w:ilvl w:val="0"/>
          <w:numId w:val="141"/>
        </w:numPr>
        <w:tabs>
          <w:tab w:pos="1814" w:val="left" w:leader="none"/>
          <w:tab w:pos="1815" w:val="left" w:leader="none"/>
        </w:tabs>
        <w:spacing w:line="235" w:lineRule="auto" w:before="1" w:after="0"/>
        <w:ind w:left="1133" w:right="2017" w:firstLine="0"/>
        <w:jc w:val="left"/>
        <w:rPr>
          <w:sz w:val="20"/>
        </w:rPr>
      </w:pPr>
      <w:r>
        <w:rPr>
          <w:w w:val="120"/>
          <w:sz w:val="20"/>
        </w:rPr>
        <w:t>Within our new remit we do not intend to provide resources for those leading worship. However, we will help to direct people to where these resources may be</w:t>
      </w:r>
      <w:r>
        <w:rPr>
          <w:spacing w:val="8"/>
          <w:w w:val="120"/>
          <w:sz w:val="20"/>
        </w:rPr>
        <w:t> </w:t>
      </w:r>
      <w:r>
        <w:rPr>
          <w:w w:val="120"/>
          <w:sz w:val="20"/>
        </w:rPr>
        <w:t>found.</w:t>
      </w:r>
    </w:p>
    <w:p>
      <w:pPr>
        <w:pStyle w:val="BodyText"/>
        <w:spacing w:before="9"/>
        <w:rPr>
          <w:sz w:val="19"/>
        </w:rPr>
      </w:pPr>
    </w:p>
    <w:p>
      <w:pPr>
        <w:pStyle w:val="ListParagraph"/>
        <w:numPr>
          <w:ilvl w:val="0"/>
          <w:numId w:val="141"/>
        </w:numPr>
        <w:tabs>
          <w:tab w:pos="1814" w:val="left" w:leader="none"/>
          <w:tab w:pos="1815" w:val="left" w:leader="none"/>
        </w:tabs>
        <w:spacing w:line="235" w:lineRule="auto" w:before="0" w:after="0"/>
        <w:ind w:left="1133" w:right="2139" w:firstLine="0"/>
        <w:jc w:val="left"/>
        <w:rPr>
          <w:sz w:val="20"/>
        </w:rPr>
      </w:pPr>
      <w:r>
        <w:rPr>
          <w:w w:val="120"/>
          <w:sz w:val="20"/>
        </w:rPr>
        <w:t>Lay preacher training and recruitment is an on-going concern. All those involved in leading worship are encouraged to follow </w:t>
      </w:r>
      <w:r>
        <w:rPr>
          <w:spacing w:val="2"/>
          <w:w w:val="120"/>
          <w:sz w:val="20"/>
        </w:rPr>
        <w:t>TLS </w:t>
      </w:r>
      <w:r>
        <w:rPr>
          <w:w w:val="120"/>
          <w:sz w:val="20"/>
        </w:rPr>
        <w:t>(Training for Learning and Serving) which is a course validated through Chester University. The Foundation Course plus   one module leads to a Certificate; the Foundation Course plus two modules leads to</w:t>
      </w:r>
      <w:r>
        <w:rPr>
          <w:spacing w:val="53"/>
          <w:w w:val="120"/>
          <w:sz w:val="20"/>
        </w:rPr>
        <w:t> </w:t>
      </w:r>
      <w:r>
        <w:rPr>
          <w:w w:val="120"/>
          <w:sz w:val="20"/>
        </w:rPr>
        <w:t>a</w:t>
      </w:r>
    </w:p>
    <w:p>
      <w:pPr>
        <w:pStyle w:val="BodyText"/>
        <w:spacing w:line="235" w:lineRule="auto" w:before="3"/>
        <w:ind w:left="1133" w:right="2133"/>
      </w:pPr>
      <w:r>
        <w:rPr>
          <w:w w:val="120"/>
        </w:rPr>
        <w:t>Foundation Degree. There is a variety of take-up across the synods, perhaps in reflection of financial support given. Post-TLS training has also been under discussion and there   are a number of good courses available through the URC resource centres for learning including the Westminster Lay Preaching course. A </w:t>
      </w:r>
      <w:r>
        <w:rPr>
          <w:spacing w:val="2"/>
          <w:w w:val="120"/>
        </w:rPr>
        <w:t>£200 </w:t>
      </w:r>
      <w:r>
        <w:rPr>
          <w:w w:val="120"/>
        </w:rPr>
        <w:t>grant is available to accredited lay preachers for further study. We will monitor how these grants are being</w:t>
      </w:r>
      <w:r>
        <w:rPr>
          <w:spacing w:val="25"/>
          <w:w w:val="120"/>
        </w:rPr>
        <w:t> </w:t>
      </w:r>
      <w:r>
        <w:rPr>
          <w:w w:val="120"/>
        </w:rPr>
        <w:t>used.</w:t>
      </w:r>
    </w:p>
    <w:p>
      <w:pPr>
        <w:pStyle w:val="BodyText"/>
        <w:spacing w:before="11"/>
        <w:rPr>
          <w:sz w:val="19"/>
        </w:rPr>
      </w:pPr>
    </w:p>
    <w:p>
      <w:pPr>
        <w:pStyle w:val="ListParagraph"/>
        <w:numPr>
          <w:ilvl w:val="0"/>
          <w:numId w:val="141"/>
        </w:numPr>
        <w:tabs>
          <w:tab w:pos="1814" w:val="left" w:leader="none"/>
          <w:tab w:pos="1815" w:val="left" w:leader="none"/>
        </w:tabs>
        <w:spacing w:line="235" w:lineRule="auto" w:before="1" w:after="0"/>
        <w:ind w:left="1133" w:right="2297" w:firstLine="0"/>
        <w:jc w:val="left"/>
        <w:rPr>
          <w:sz w:val="20"/>
        </w:rPr>
      </w:pPr>
      <w:r>
        <w:rPr>
          <w:w w:val="120"/>
          <w:sz w:val="20"/>
        </w:rPr>
        <w:t>One of the most exciting items on our agenda has been the possibility of closer working with the Methodist Church, who are in the midst of a major review of their local preachers. A paper outlining possibilities of joint action in the areas of training, encouragement and support of lay/local preachers and worship leaders was tabled at our August 2009 meeting, and although a number of issues were raised, the meeting encouraged further</w:t>
      </w:r>
      <w:r>
        <w:rPr>
          <w:spacing w:val="4"/>
          <w:w w:val="120"/>
          <w:sz w:val="20"/>
        </w:rPr>
        <w:t> </w:t>
      </w:r>
      <w:r>
        <w:rPr>
          <w:w w:val="120"/>
          <w:sz w:val="20"/>
        </w:rPr>
        <w:t>exploration.</w:t>
      </w:r>
    </w:p>
    <w:p>
      <w:pPr>
        <w:pStyle w:val="BodyText"/>
      </w:pPr>
    </w:p>
    <w:p>
      <w:pPr>
        <w:pStyle w:val="ListParagraph"/>
        <w:numPr>
          <w:ilvl w:val="0"/>
          <w:numId w:val="141"/>
        </w:numPr>
        <w:tabs>
          <w:tab w:pos="1814" w:val="left" w:leader="none"/>
          <w:tab w:pos="1815" w:val="left" w:leader="none"/>
        </w:tabs>
        <w:spacing w:line="235" w:lineRule="auto" w:before="0" w:after="0"/>
        <w:ind w:left="1133" w:right="2916" w:firstLine="0"/>
        <w:jc w:val="left"/>
        <w:rPr>
          <w:sz w:val="20"/>
        </w:rPr>
      </w:pPr>
      <w:r>
        <w:rPr>
          <w:w w:val="120"/>
          <w:sz w:val="20"/>
        </w:rPr>
        <w:t>By the time Assembly meets we will have held a consultation weekend at Swanwick, which will be looking at collaborative working in</w:t>
      </w:r>
      <w:r>
        <w:rPr>
          <w:spacing w:val="48"/>
          <w:w w:val="120"/>
          <w:sz w:val="20"/>
        </w:rPr>
        <w:t> </w:t>
      </w:r>
      <w:r>
        <w:rPr>
          <w:w w:val="120"/>
          <w:sz w:val="20"/>
        </w:rPr>
        <w:t>worship.</w:t>
      </w:r>
    </w:p>
    <w:p>
      <w:pPr>
        <w:pStyle w:val="BodyText"/>
      </w:pPr>
    </w:p>
    <w:p>
      <w:pPr>
        <w:pStyle w:val="BodyText"/>
        <w:spacing w:before="3"/>
        <w:rPr>
          <w:sz w:val="19"/>
        </w:rPr>
      </w:pPr>
      <w:r>
        <w:rPr/>
        <w:pict>
          <v:shape style="position:absolute;margin-left:56.692902pt;margin-top:14.118779pt;width:438pt;height:.1pt;mso-position-horizontal-relative:page;mso-position-vertical-relative:paragraph;z-index:-251201536;mso-wrap-distance-left:0;mso-wrap-distance-right:0" coordorigin="1134,282" coordsize="8760,0" path="m1134,282l9893,282e" filled="false" stroked="true" strokeweight=".75pt" strokecolor="#8ba8bd">
            <v:path arrowok="t"/>
            <v:stroke dashstyle="solid"/>
            <w10:wrap type="topAndBottom"/>
          </v:shape>
        </w:pict>
      </w:r>
    </w:p>
    <w:p>
      <w:pPr>
        <w:spacing w:after="0"/>
        <w:rPr>
          <w:sz w:val="19"/>
        </w:rPr>
        <w:sectPr>
          <w:pgSz w:w="11910" w:h="16840"/>
          <w:pgMar w:header="0" w:footer="647" w:top="1060" w:bottom="840" w:left="0" w:right="0"/>
        </w:sectPr>
      </w:pPr>
    </w:p>
    <w:p>
      <w:pPr>
        <w:pStyle w:val="Heading2"/>
        <w:spacing w:line="213" w:lineRule="auto" w:before="171"/>
        <w:ind w:right="2397"/>
      </w:pPr>
      <w:r>
        <w:rPr/>
        <w:pict>
          <v:group style="position:absolute;margin-left:99.212601pt;margin-top:74.288933pt;width:439.4pt;height:82.25pt;mso-position-horizontal-relative:page;mso-position-vertical-relative:paragraph;z-index:-251198464;mso-wrap-distance-left:0;mso-wrap-distance-right:0" coordorigin="1984,1486" coordsize="8788,1645">
            <v:shape style="position:absolute;left:1994;top:1495;width:8768;height:1625" coordorigin="1994,1496" coordsize="8768,1625" path="m2234,1496l2231,1635,2204,1706,2133,1732,1994,1736,1994,2880,2133,2884,2204,2910,2231,2981,2234,3120,10522,3120,10525,2981,10552,2910,10623,2884,10762,2880,10762,1736,10623,1732,10552,1706,10525,1635,10522,1496,2234,1496xe" filled="false" stroked="true" strokeweight="1pt" strokecolor="#8ba8bd">
              <v:path arrowok="t"/>
              <v:stroke dashstyle="solid"/>
            </v:shape>
            <v:shape style="position:absolute;left:1984;top:1485;width:8788;height:1645" type="#_x0000_t202" filled="false" stroked="false">
              <v:textbox inset="0,0,0,0">
                <w:txbxContent>
                  <w:p>
                    <w:pPr>
                      <w:spacing w:line="240" w:lineRule="auto" w:before="10"/>
                      <w:rPr>
                        <w:rFonts w:ascii="Stone Sans II ITC Std Bk"/>
                        <w:b/>
                        <w:sz w:val="18"/>
                      </w:rPr>
                    </w:pPr>
                  </w:p>
                  <w:p>
                    <w:pPr>
                      <w:spacing w:line="232" w:lineRule="exact" w:before="1"/>
                      <w:ind w:left="396" w:right="0" w:firstLine="0"/>
                      <w:jc w:val="left"/>
                      <w:rPr>
                        <w:sz w:val="18"/>
                      </w:rPr>
                    </w:pPr>
                    <w:r>
                      <w:rPr>
                        <w:rFonts w:ascii="Stone Sans II ITC Std Bk"/>
                        <w:b/>
                        <w:w w:val="120"/>
                        <w:sz w:val="18"/>
                      </w:rPr>
                      <w:t>Convener: </w:t>
                    </w:r>
                    <w:r>
                      <w:rPr>
                        <w:w w:val="120"/>
                        <w:sz w:val="18"/>
                      </w:rPr>
                      <w:t>Tony Haws</w:t>
                    </w:r>
                  </w:p>
                  <w:p>
                    <w:pPr>
                      <w:spacing w:line="220" w:lineRule="exact" w:before="0"/>
                      <w:ind w:left="396" w:right="0" w:firstLine="0"/>
                      <w:jc w:val="left"/>
                      <w:rPr>
                        <w:sz w:val="18"/>
                      </w:rPr>
                    </w:pPr>
                    <w:r>
                      <w:rPr>
                        <w:rFonts w:ascii="Stone Sans II ITC Std Bk"/>
                        <w:b/>
                        <w:w w:val="120"/>
                        <w:sz w:val="18"/>
                      </w:rPr>
                      <w:t>Secretary: </w:t>
                    </w:r>
                    <w:r>
                      <w:rPr>
                        <w:w w:val="120"/>
                        <w:sz w:val="18"/>
                      </w:rPr>
                      <w:t>Craig Bowman</w:t>
                    </w:r>
                  </w:p>
                  <w:p>
                    <w:pPr>
                      <w:spacing w:line="232" w:lineRule="auto" w:before="0"/>
                      <w:ind w:left="396" w:right="770" w:firstLine="0"/>
                      <w:jc w:val="left"/>
                      <w:rPr>
                        <w:sz w:val="18"/>
                      </w:rPr>
                    </w:pPr>
                    <w:r>
                      <w:rPr>
                        <w:rFonts w:ascii="Stone Sans II ITC Std Bk"/>
                        <w:b/>
                        <w:w w:val="120"/>
                        <w:sz w:val="18"/>
                      </w:rPr>
                      <w:t>Members: </w:t>
                    </w:r>
                    <w:r>
                      <w:rPr>
                        <w:w w:val="120"/>
                        <w:sz w:val="18"/>
                      </w:rPr>
                      <w:t>Margaret Atkinson, Maurice Dyson (Convener of Pensions Executive), Brian Knight, Jane Mackerness, Catey Morrison, Peter Poulter (Convener of Ministries Committee), Kenneth Summers</w:t>
                    </w:r>
                  </w:p>
                </w:txbxContent>
              </v:textbox>
              <w10:wrap type="none"/>
            </v:shape>
            <w10:wrap type="topAndBottom"/>
          </v:group>
        </w:pict>
      </w:r>
      <w:r>
        <w:rPr/>
        <w:pict>
          <v:rect style="position:absolute;margin-left:558.424988pt;margin-top:8.501033pt;width:22.677pt;height:22.677pt;mso-position-horizontal-relative:page;mso-position-vertical-relative:paragraph;z-index:252120064" filled="true" fillcolor="#dae4ec" stroked="false">
            <v:fill opacity="32768f" type="solid"/>
            <w10:wrap type="none"/>
          </v:rect>
        </w:pict>
      </w:r>
      <w:r>
        <w:rPr>
          <w:w w:val="110"/>
        </w:rPr>
        <w:t>Maintenance of the Ministry sub-committee</w:t>
      </w:r>
    </w:p>
    <w:p>
      <w:pPr>
        <w:pStyle w:val="BodyText"/>
        <w:rPr>
          <w:rFonts w:ascii="Stone Sans II ITC Std Bk"/>
          <w:b/>
        </w:rPr>
      </w:pPr>
    </w:p>
    <w:p>
      <w:pPr>
        <w:pStyle w:val="BodyText"/>
        <w:spacing w:before="3"/>
        <w:rPr>
          <w:rFonts w:ascii="Stone Sans II ITC Std Bk"/>
          <w:b/>
          <w:sz w:val="19"/>
        </w:rPr>
      </w:pPr>
    </w:p>
    <w:p>
      <w:pPr>
        <w:numPr>
          <w:ilvl w:val="1"/>
          <w:numId w:val="141"/>
        </w:numPr>
        <w:tabs>
          <w:tab w:pos="2704" w:val="left" w:leader="none"/>
          <w:tab w:pos="2705" w:val="left" w:leader="none"/>
        </w:tabs>
        <w:spacing w:before="100"/>
        <w:ind w:left="2704" w:right="0" w:hanging="721"/>
        <w:jc w:val="left"/>
        <w:rPr>
          <w:rFonts w:ascii="Stone Sans II ITC Std Bk"/>
          <w:b/>
          <w:sz w:val="21"/>
        </w:rPr>
      </w:pPr>
      <w:r>
        <w:rPr>
          <w:rFonts w:ascii="Stone Sans II ITC Std Bk"/>
          <w:b/>
          <w:w w:val="115"/>
          <w:sz w:val="21"/>
        </w:rPr>
        <w:t>Compensation</w:t>
      </w:r>
      <w:r>
        <w:rPr>
          <w:rFonts w:ascii="Stone Sans II ITC Std Bk"/>
          <w:b/>
          <w:spacing w:val="-2"/>
          <w:w w:val="115"/>
          <w:sz w:val="21"/>
        </w:rPr>
        <w:t> </w:t>
      </w:r>
      <w:r>
        <w:rPr>
          <w:rFonts w:ascii="Stone Sans II ITC Std Bk"/>
          <w:b/>
          <w:w w:val="115"/>
          <w:sz w:val="21"/>
        </w:rPr>
        <w:t>allowances</w:t>
      </w:r>
    </w:p>
    <w:p>
      <w:pPr>
        <w:pStyle w:val="BodyText"/>
        <w:spacing w:line="235" w:lineRule="auto" w:before="223"/>
        <w:ind w:left="1984" w:right="1205"/>
      </w:pPr>
      <w:r>
        <w:rPr>
          <w:w w:val="120"/>
        </w:rPr>
        <w:t>Considerable time and effort was spent in research and discussions related to the compensation allowance paid to ministers in Assembly posts. During the course of this the sub-committee produced a discussion paper </w:t>
      </w:r>
      <w:r>
        <w:rPr>
          <w:i/>
          <w:w w:val="120"/>
        </w:rPr>
        <w:t>Maintenance of Ministry Principles and </w:t>
      </w:r>
      <w:r>
        <w:rPr>
          <w:i/>
          <w:w w:val="120"/>
        </w:rPr>
        <w:t>Policy</w:t>
      </w:r>
      <w:r>
        <w:rPr>
          <w:w w:val="120"/>
        </w:rPr>
        <w:t>. This paper identified three guiding principles that underpinned the policy of the sub-committee: parity of status, reimbursement of expenses to all ministers and the stipendiary principle. After appropriate consultation and careful consideration Ministries Committee concluded that it was not the right time for further action on the matter.</w:t>
      </w:r>
    </w:p>
    <w:p>
      <w:pPr>
        <w:pStyle w:val="BodyText"/>
        <w:spacing w:line="235" w:lineRule="auto" w:before="5"/>
        <w:ind w:left="1984" w:right="1120"/>
      </w:pPr>
      <w:r>
        <w:rPr>
          <w:w w:val="120"/>
        </w:rPr>
        <w:t>Some work is in progress to clarify certain points of detail so that the records are in order should questions relating to compensation allowances arise in future.</w:t>
      </w:r>
    </w:p>
    <w:p>
      <w:pPr>
        <w:numPr>
          <w:ilvl w:val="1"/>
          <w:numId w:val="141"/>
        </w:numPr>
        <w:tabs>
          <w:tab w:pos="2704" w:val="left" w:leader="none"/>
          <w:tab w:pos="2705" w:val="left" w:leader="none"/>
        </w:tabs>
        <w:spacing w:before="215"/>
        <w:ind w:left="2704" w:right="0" w:hanging="721"/>
        <w:jc w:val="left"/>
        <w:rPr>
          <w:rFonts w:ascii="Stone Sans II ITC Std Bk"/>
          <w:b/>
          <w:sz w:val="21"/>
        </w:rPr>
      </w:pPr>
      <w:r>
        <w:rPr>
          <w:rFonts w:ascii="Stone Sans II ITC Std Bk"/>
          <w:b/>
          <w:w w:val="115"/>
          <w:sz w:val="21"/>
        </w:rPr>
        <w:t>Payment of expenses to ministers in non-stipendiary</w:t>
      </w:r>
      <w:r>
        <w:rPr>
          <w:rFonts w:ascii="Stone Sans II ITC Std Bk"/>
          <w:b/>
          <w:spacing w:val="-17"/>
          <w:w w:val="115"/>
          <w:sz w:val="21"/>
        </w:rPr>
        <w:t> </w:t>
      </w:r>
      <w:r>
        <w:rPr>
          <w:rFonts w:ascii="Stone Sans II ITC Std Bk"/>
          <w:b/>
          <w:w w:val="115"/>
          <w:sz w:val="21"/>
        </w:rPr>
        <w:t>service</w:t>
      </w:r>
    </w:p>
    <w:p>
      <w:pPr>
        <w:pStyle w:val="BodyText"/>
        <w:spacing w:line="235" w:lineRule="auto" w:before="222"/>
        <w:ind w:left="1984" w:right="1120"/>
      </w:pPr>
      <w:r>
        <w:rPr>
          <w:w w:val="120"/>
        </w:rPr>
        <w:t>The sub-committee is examining possibilities for the payment of a removal grant on retirement to those ministers in non-stipendiary service who have moved home for the benefit of the United Reformed Church and at the request of a synod. The details of how such a grant might be paid are also under discussion.</w:t>
      </w:r>
    </w:p>
    <w:p>
      <w:pPr>
        <w:pStyle w:val="BodyText"/>
        <w:spacing w:before="9"/>
        <w:rPr>
          <w:sz w:val="17"/>
        </w:rPr>
      </w:pPr>
    </w:p>
    <w:p>
      <w:pPr>
        <w:numPr>
          <w:ilvl w:val="1"/>
          <w:numId w:val="141"/>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Reimbursement of expenses for the use of motorcycles and</w:t>
      </w:r>
      <w:r>
        <w:rPr>
          <w:rFonts w:ascii="Stone Sans II ITC Std Bk"/>
          <w:b/>
          <w:spacing w:val="-30"/>
          <w:w w:val="115"/>
          <w:sz w:val="21"/>
        </w:rPr>
        <w:t> </w:t>
      </w:r>
      <w:r>
        <w:rPr>
          <w:rFonts w:ascii="Stone Sans II ITC Std Bk"/>
          <w:b/>
          <w:w w:val="115"/>
          <w:sz w:val="21"/>
        </w:rPr>
        <w:t>bicycles</w:t>
      </w:r>
    </w:p>
    <w:p>
      <w:pPr>
        <w:pStyle w:val="BodyText"/>
        <w:spacing w:line="235" w:lineRule="auto" w:before="223"/>
        <w:ind w:left="1984" w:right="1120"/>
      </w:pPr>
      <w:r>
        <w:rPr>
          <w:w w:val="120"/>
        </w:rPr>
        <w:t>Following discussions at this sub-committee and a proposal from finance committee, mission</w:t>
      </w:r>
      <w:r>
        <w:rPr>
          <w:spacing w:val="-7"/>
          <w:w w:val="120"/>
        </w:rPr>
        <w:t> </w:t>
      </w:r>
      <w:r>
        <w:rPr>
          <w:w w:val="120"/>
        </w:rPr>
        <w:t>council</w:t>
      </w:r>
      <w:r>
        <w:rPr>
          <w:spacing w:val="-7"/>
          <w:w w:val="120"/>
        </w:rPr>
        <w:t> </w:t>
      </w:r>
      <w:r>
        <w:rPr>
          <w:w w:val="120"/>
        </w:rPr>
        <w:t>has</w:t>
      </w:r>
      <w:r>
        <w:rPr>
          <w:spacing w:val="-7"/>
          <w:w w:val="120"/>
        </w:rPr>
        <w:t> </w:t>
      </w:r>
      <w:r>
        <w:rPr>
          <w:w w:val="120"/>
        </w:rPr>
        <w:t>agreed</w:t>
      </w:r>
      <w:r>
        <w:rPr>
          <w:spacing w:val="-7"/>
          <w:w w:val="120"/>
        </w:rPr>
        <w:t> </w:t>
      </w:r>
      <w:r>
        <w:rPr>
          <w:w w:val="120"/>
        </w:rPr>
        <w:t>to</w:t>
      </w:r>
      <w:r>
        <w:rPr>
          <w:spacing w:val="-7"/>
          <w:w w:val="120"/>
        </w:rPr>
        <w:t> </w:t>
      </w:r>
      <w:r>
        <w:rPr>
          <w:w w:val="120"/>
        </w:rPr>
        <w:t>an</w:t>
      </w:r>
      <w:r>
        <w:rPr>
          <w:spacing w:val="-7"/>
          <w:w w:val="120"/>
        </w:rPr>
        <w:t> </w:t>
      </w:r>
      <w:r>
        <w:rPr>
          <w:w w:val="120"/>
        </w:rPr>
        <w:t>amendment</w:t>
      </w:r>
      <w:r>
        <w:rPr>
          <w:spacing w:val="-7"/>
          <w:w w:val="120"/>
        </w:rPr>
        <w:t> </w:t>
      </w:r>
      <w:r>
        <w:rPr>
          <w:w w:val="120"/>
        </w:rPr>
        <w:t>to</w:t>
      </w:r>
      <w:r>
        <w:rPr>
          <w:spacing w:val="-7"/>
          <w:w w:val="120"/>
        </w:rPr>
        <w:t> </w:t>
      </w:r>
      <w:r>
        <w:rPr>
          <w:w w:val="120"/>
        </w:rPr>
        <w:t>the</w:t>
      </w:r>
      <w:r>
        <w:rPr>
          <w:spacing w:val="-7"/>
          <w:w w:val="120"/>
        </w:rPr>
        <w:t> </w:t>
      </w:r>
      <w:r>
        <w:rPr>
          <w:i/>
          <w:w w:val="120"/>
        </w:rPr>
        <w:t>Plan</w:t>
      </w:r>
      <w:r>
        <w:rPr>
          <w:i/>
          <w:spacing w:val="-9"/>
          <w:w w:val="120"/>
        </w:rPr>
        <w:t> </w:t>
      </w:r>
      <w:r>
        <w:rPr>
          <w:i/>
          <w:w w:val="120"/>
        </w:rPr>
        <w:t>for</w:t>
      </w:r>
      <w:r>
        <w:rPr>
          <w:i/>
          <w:spacing w:val="-10"/>
          <w:w w:val="120"/>
        </w:rPr>
        <w:t> </w:t>
      </w:r>
      <w:r>
        <w:rPr>
          <w:i/>
          <w:w w:val="120"/>
        </w:rPr>
        <w:t>Partnership</w:t>
      </w:r>
      <w:r>
        <w:rPr>
          <w:i/>
          <w:spacing w:val="-7"/>
          <w:w w:val="120"/>
        </w:rPr>
        <w:t> </w:t>
      </w:r>
      <w:r>
        <w:rPr>
          <w:w w:val="120"/>
        </w:rPr>
        <w:t>relating</w:t>
      </w:r>
      <w:r>
        <w:rPr>
          <w:spacing w:val="-7"/>
          <w:w w:val="120"/>
        </w:rPr>
        <w:t> </w:t>
      </w:r>
      <w:r>
        <w:rPr>
          <w:w w:val="120"/>
        </w:rPr>
        <w:t>to</w:t>
      </w:r>
      <w:r>
        <w:rPr>
          <w:spacing w:val="-7"/>
          <w:w w:val="120"/>
        </w:rPr>
        <w:t> </w:t>
      </w:r>
      <w:r>
        <w:rPr>
          <w:w w:val="120"/>
        </w:rPr>
        <w:t>the reimbursement of expenses for the use of motorcycles and</w:t>
      </w:r>
      <w:r>
        <w:rPr>
          <w:spacing w:val="17"/>
          <w:w w:val="120"/>
        </w:rPr>
        <w:t> </w:t>
      </w:r>
      <w:r>
        <w:rPr>
          <w:w w:val="120"/>
        </w:rPr>
        <w:t>bicycles.</w:t>
      </w:r>
    </w:p>
    <w:p>
      <w:pPr>
        <w:numPr>
          <w:ilvl w:val="1"/>
          <w:numId w:val="141"/>
        </w:numPr>
        <w:tabs>
          <w:tab w:pos="2704" w:val="left" w:leader="none"/>
          <w:tab w:pos="2705" w:val="left" w:leader="none"/>
        </w:tabs>
        <w:spacing w:before="216"/>
        <w:ind w:left="2704" w:right="0" w:hanging="721"/>
        <w:jc w:val="left"/>
        <w:rPr>
          <w:rFonts w:ascii="Stone Sans II ITC Std Bk"/>
          <w:b/>
          <w:sz w:val="21"/>
        </w:rPr>
      </w:pPr>
      <w:r>
        <w:rPr>
          <w:rFonts w:ascii="Stone Sans II ITC Std Bk"/>
          <w:b/>
          <w:w w:val="115"/>
          <w:sz w:val="21"/>
        </w:rPr>
        <w:t>Long term sickness</w:t>
      </w:r>
      <w:r>
        <w:rPr>
          <w:rFonts w:ascii="Stone Sans II ITC Std Bk"/>
          <w:b/>
          <w:spacing w:val="-32"/>
          <w:w w:val="115"/>
          <w:sz w:val="21"/>
        </w:rPr>
        <w:t> </w:t>
      </w:r>
      <w:r>
        <w:rPr>
          <w:rFonts w:ascii="Stone Sans II ITC Std Bk"/>
          <w:b/>
          <w:w w:val="115"/>
          <w:sz w:val="21"/>
        </w:rPr>
        <w:t>absence</w:t>
      </w:r>
    </w:p>
    <w:p>
      <w:pPr>
        <w:pStyle w:val="BodyText"/>
        <w:spacing w:line="235" w:lineRule="auto" w:before="222"/>
        <w:ind w:left="1984" w:right="1261"/>
      </w:pPr>
      <w:r>
        <w:rPr>
          <w:w w:val="120"/>
        </w:rPr>
        <w:t>It has been observed that the number of cases of long term sickness absence has increased in recent years and is becoming a cause for concern. Related to this is the increase in the number of early retirements on medical grounds. Both of these trends  are a matter of both pastoral and financial concern. Consideration is being given to what positive steps might be taken to address these</w:t>
      </w:r>
      <w:r>
        <w:rPr>
          <w:spacing w:val="15"/>
          <w:w w:val="120"/>
        </w:rPr>
        <w:t> </w:t>
      </w:r>
      <w:r>
        <w:rPr>
          <w:w w:val="120"/>
        </w:rPr>
        <w:t>concerns.</w:t>
      </w:r>
    </w:p>
    <w:p>
      <w:pPr>
        <w:pStyle w:val="BodyText"/>
      </w:pPr>
    </w:p>
    <w:p>
      <w:pPr>
        <w:pStyle w:val="BodyText"/>
      </w:pPr>
    </w:p>
    <w:p>
      <w:pPr>
        <w:pStyle w:val="BodyText"/>
        <w:spacing w:before="2"/>
        <w:rPr>
          <w:sz w:val="15"/>
        </w:rPr>
      </w:pPr>
      <w:r>
        <w:rPr/>
        <w:pict>
          <v:shape style="position:absolute;margin-left:100.629898pt;margin-top:11.642764pt;width:438pt;height:.1pt;mso-position-horizontal-relative:page;mso-position-vertical-relative:paragraph;z-index:-251197440;mso-wrap-distance-left:0;mso-wrap-distance-right:0" coordorigin="2013,233" coordsize="8760,0" path="m2013,233l10772,233e" filled="false" stroked="true" strokeweight=".75pt" strokecolor="#8ba8bd">
            <v:path arrowok="t"/>
            <v:stroke dashstyle="solid"/>
            <w10:wrap type="topAndBottom"/>
          </v:shape>
        </w:pict>
      </w:r>
    </w:p>
    <w:p>
      <w:pPr>
        <w:spacing w:after="0"/>
        <w:rPr>
          <w:sz w:val="15"/>
        </w:rPr>
        <w:sectPr>
          <w:pgSz w:w="11910" w:h="16840"/>
          <w:pgMar w:header="0" w:footer="647" w:top="1060" w:bottom="840" w:left="0" w:right="0"/>
        </w:sectPr>
      </w:pPr>
    </w:p>
    <w:p>
      <w:pPr>
        <w:pStyle w:val="Heading2"/>
        <w:spacing w:line="213" w:lineRule="auto" w:before="187"/>
        <w:ind w:left="1133" w:right="3681"/>
      </w:pPr>
      <w:r>
        <w:rPr/>
        <w:pict>
          <v:group style="position:absolute;margin-left:56.692902pt;margin-top:73.812622pt;width:439.4pt;height:129.5500pt;mso-position-horizontal-relative:page;mso-position-vertical-relative:paragraph;z-index:-251194368;mso-wrap-distance-left:0;mso-wrap-distance-right:0" coordorigin="1134,1476" coordsize="8788,2591">
            <v:shape style="position:absolute;left:1143;top:1486;width:8768;height:2571" coordorigin="1144,1486" coordsize="8768,2571" path="m1384,1486l1380,1625,1354,1696,1283,1723,1144,1726,1144,3817,1283,3821,1354,3847,1380,3918,1384,4057,9671,4057,9675,3918,9701,3847,9773,3821,9911,3817,9911,1726,9773,1723,9701,1696,9675,1625,9671,1486,1384,1486xe" filled="false" stroked="true" strokeweight="1pt" strokecolor="#8ba8bd">
              <v:path arrowok="t"/>
              <v:stroke dashstyle="solid"/>
            </v:shape>
            <v:shape style="position:absolute;left:1133;top:1476;width:8788;height:2591" type="#_x0000_t202" filled="false" stroked="false">
              <v:textbox inset="0,0,0,0">
                <w:txbxContent>
                  <w:p>
                    <w:pPr>
                      <w:spacing w:line="240" w:lineRule="auto" w:before="0"/>
                      <w:rPr>
                        <w:rFonts w:ascii="Stone Sans II ITC Std Bk"/>
                        <w:b/>
                        <w:sz w:val="22"/>
                      </w:rPr>
                    </w:pPr>
                  </w:p>
                  <w:p>
                    <w:pPr>
                      <w:spacing w:line="216" w:lineRule="auto" w:before="0"/>
                      <w:ind w:left="396" w:right="358" w:firstLine="0"/>
                      <w:jc w:val="left"/>
                      <w:rPr>
                        <w:rFonts w:ascii="Stone Sans II ITC Std Sm" w:hAnsi="Stone Sans II ITC Std Sm"/>
                        <w:b/>
                        <w:sz w:val="18"/>
                      </w:rPr>
                    </w:pPr>
                    <w:r>
                      <w:rPr>
                        <w:rFonts w:ascii="Stone Sans II ITC Std Sm" w:hAnsi="Stone Sans II ITC Std Sm"/>
                        <w:b/>
                        <w:w w:val="110"/>
                        <w:sz w:val="18"/>
                      </w:rPr>
                      <w:t>This sub-committee continues to be responsible for policy in matters of the provision  of retirement housing for ministers and their spouses. It uses the United Reformed Church Retired Ministers’ Housing Society Limited as its agent for the implementation of policy and the practical steps associated with the provision of</w:t>
                    </w:r>
                    <w:r>
                      <w:rPr>
                        <w:rFonts w:ascii="Stone Sans II ITC Std Sm" w:hAnsi="Stone Sans II ITC Std Sm"/>
                        <w:b/>
                        <w:spacing w:val="34"/>
                        <w:w w:val="110"/>
                        <w:sz w:val="18"/>
                      </w:rPr>
                      <w:t> </w:t>
                    </w:r>
                    <w:r>
                      <w:rPr>
                        <w:rFonts w:ascii="Stone Sans II ITC Std Sm" w:hAnsi="Stone Sans II ITC Std Sm"/>
                        <w:b/>
                        <w:w w:val="110"/>
                        <w:sz w:val="18"/>
                      </w:rPr>
                      <w:t>housing.</w:t>
                    </w:r>
                  </w:p>
                  <w:p>
                    <w:pPr>
                      <w:spacing w:line="240" w:lineRule="auto" w:before="3"/>
                      <w:rPr>
                        <w:rFonts w:ascii="Stone Sans II ITC Std Sm"/>
                        <w:b/>
                        <w:sz w:val="15"/>
                      </w:rPr>
                    </w:pPr>
                  </w:p>
                  <w:p>
                    <w:pPr>
                      <w:spacing w:line="232" w:lineRule="exact" w:before="0"/>
                      <w:ind w:left="396" w:right="0" w:firstLine="0"/>
                      <w:jc w:val="left"/>
                      <w:rPr>
                        <w:sz w:val="18"/>
                      </w:rPr>
                    </w:pPr>
                    <w:r>
                      <w:rPr>
                        <w:rFonts w:ascii="Stone Sans II ITC Std Bk"/>
                        <w:b/>
                        <w:w w:val="120"/>
                        <w:sz w:val="18"/>
                      </w:rPr>
                      <w:t>Convener: </w:t>
                    </w:r>
                    <w:r>
                      <w:rPr>
                        <w:w w:val="120"/>
                        <w:sz w:val="18"/>
                      </w:rPr>
                      <w:t>David Bedford</w:t>
                    </w:r>
                  </w:p>
                  <w:p>
                    <w:pPr>
                      <w:spacing w:line="220" w:lineRule="exact" w:before="0"/>
                      <w:ind w:left="396" w:right="0" w:firstLine="0"/>
                      <w:jc w:val="left"/>
                      <w:rPr>
                        <w:sz w:val="18"/>
                      </w:rPr>
                    </w:pPr>
                    <w:r>
                      <w:rPr>
                        <w:rFonts w:ascii="Stone Sans II ITC Std Bk"/>
                        <w:b/>
                        <w:w w:val="120"/>
                        <w:sz w:val="18"/>
                      </w:rPr>
                      <w:t>Secretary: </w:t>
                    </w:r>
                    <w:r>
                      <w:rPr>
                        <w:w w:val="120"/>
                        <w:sz w:val="18"/>
                      </w:rPr>
                      <w:t>Tony Bayley</w:t>
                    </w:r>
                  </w:p>
                  <w:p>
                    <w:pPr>
                      <w:spacing w:line="232" w:lineRule="exact" w:before="0"/>
                      <w:ind w:left="396" w:right="0" w:firstLine="0"/>
                      <w:jc w:val="left"/>
                      <w:rPr>
                        <w:sz w:val="18"/>
                      </w:rPr>
                    </w:pPr>
                    <w:r>
                      <w:rPr>
                        <w:rFonts w:ascii="Stone Sans II ITC Std Bk"/>
                        <w:b/>
                        <w:w w:val="120"/>
                        <w:sz w:val="18"/>
                      </w:rPr>
                      <w:t>Members: </w:t>
                    </w:r>
                    <w:r>
                      <w:rPr>
                        <w:w w:val="120"/>
                        <w:sz w:val="18"/>
                      </w:rPr>
                      <w:t>Anne Bedford, John Humphreys, Nanette Lewis-Head, Michael Spencer,</w:t>
                    </w:r>
                  </w:p>
                  <w:p>
                    <w:pPr>
                      <w:spacing w:before="8"/>
                      <w:ind w:left="396" w:right="0" w:firstLine="0"/>
                      <w:jc w:val="left"/>
                      <w:rPr>
                        <w:sz w:val="18"/>
                      </w:rPr>
                    </w:pPr>
                    <w:r>
                      <w:rPr>
                        <w:w w:val="125"/>
                        <w:sz w:val="18"/>
                      </w:rPr>
                      <w:t>Elizabeth Tadd</w:t>
                    </w:r>
                  </w:p>
                </w:txbxContent>
              </v:textbox>
              <w10:wrap type="none"/>
            </v:shape>
            <w10:wrap type="topAndBottom"/>
          </v:group>
        </w:pict>
      </w:r>
      <w:r>
        <w:rPr/>
        <w:pict>
          <v:rect style="position:absolute;margin-left:12.047pt;margin-top:8.475033pt;width:22.677pt;height:22.677pt;mso-position-horizontal-relative:page;mso-position-vertical-relative:paragraph;z-index:252123136" filled="true" fillcolor="#dae4ec" stroked="false">
            <v:fill opacity="32768f" type="solid"/>
            <w10:wrap type="none"/>
          </v:rect>
        </w:pict>
      </w:r>
      <w:r>
        <w:rPr>
          <w:w w:val="110"/>
        </w:rPr>
        <w:t>Retired Ministers’ Housing sub-committee</w:t>
      </w:r>
    </w:p>
    <w:p>
      <w:pPr>
        <w:pStyle w:val="BodyText"/>
        <w:rPr>
          <w:rFonts w:ascii="Stone Sans II ITC Std Bk"/>
          <w:b/>
        </w:rPr>
      </w:pPr>
    </w:p>
    <w:p>
      <w:pPr>
        <w:pStyle w:val="BodyText"/>
        <w:spacing w:before="8"/>
        <w:rPr>
          <w:rFonts w:ascii="Stone Sans II ITC Std Bk"/>
          <w:b/>
          <w:sz w:val="17"/>
        </w:rPr>
      </w:pPr>
    </w:p>
    <w:p>
      <w:pPr>
        <w:numPr>
          <w:ilvl w:val="0"/>
          <w:numId w:val="142"/>
        </w:numPr>
        <w:tabs>
          <w:tab w:pos="1853" w:val="left" w:leader="none"/>
          <w:tab w:pos="1854" w:val="left" w:leader="none"/>
        </w:tabs>
        <w:spacing w:before="101"/>
        <w:ind w:left="1853" w:right="0" w:hanging="721"/>
        <w:jc w:val="left"/>
        <w:rPr>
          <w:rFonts w:ascii="Stone Sans II ITC Std Bk"/>
          <w:b/>
          <w:sz w:val="21"/>
        </w:rPr>
      </w:pPr>
      <w:r>
        <w:rPr>
          <w:rFonts w:ascii="Stone Sans II ITC Std Bk"/>
          <w:b/>
          <w:w w:val="115"/>
          <w:sz w:val="21"/>
        </w:rPr>
        <w:t>Grateful for</w:t>
      </w:r>
      <w:r>
        <w:rPr>
          <w:rFonts w:ascii="Stone Sans II ITC Std Bk"/>
          <w:b/>
          <w:spacing w:val="-3"/>
          <w:w w:val="115"/>
          <w:sz w:val="21"/>
        </w:rPr>
        <w:t> </w:t>
      </w:r>
      <w:r>
        <w:rPr>
          <w:rFonts w:ascii="Stone Sans II ITC Std Bk"/>
          <w:b/>
          <w:w w:val="115"/>
          <w:sz w:val="21"/>
        </w:rPr>
        <w:t>generosity</w:t>
      </w:r>
    </w:p>
    <w:p>
      <w:pPr>
        <w:pStyle w:val="ListParagraph"/>
        <w:numPr>
          <w:ilvl w:val="1"/>
          <w:numId w:val="142"/>
        </w:numPr>
        <w:tabs>
          <w:tab w:pos="1814" w:val="left" w:leader="none"/>
          <w:tab w:pos="1815" w:val="left" w:leader="none"/>
        </w:tabs>
        <w:spacing w:line="235" w:lineRule="auto" w:before="222" w:after="0"/>
        <w:ind w:left="1133" w:right="2015" w:firstLine="0"/>
        <w:jc w:val="left"/>
        <w:rPr>
          <w:sz w:val="20"/>
        </w:rPr>
      </w:pPr>
      <w:r>
        <w:rPr>
          <w:w w:val="120"/>
          <w:sz w:val="20"/>
        </w:rPr>
        <w:t>The sub-committee are grateful for donations and legacies received which amounted in 2008 to approximately £826,000 and in 2009 to approximately £360,000 plus donations of </w:t>
      </w:r>
      <w:r>
        <w:rPr>
          <w:spacing w:val="2"/>
          <w:w w:val="120"/>
          <w:sz w:val="20"/>
        </w:rPr>
        <w:t>property </w:t>
      </w:r>
      <w:r>
        <w:rPr>
          <w:w w:val="120"/>
          <w:sz w:val="20"/>
        </w:rPr>
        <w:t>valued at approximately £800,000. Many churches, synods and individuals have responded generously to our appeal re-launched in 2006 and these </w:t>
      </w:r>
      <w:r>
        <w:rPr>
          <w:spacing w:val="2"/>
          <w:w w:val="120"/>
          <w:sz w:val="20"/>
        </w:rPr>
        <w:t>gifts </w:t>
      </w:r>
      <w:r>
        <w:rPr>
          <w:w w:val="120"/>
          <w:sz w:val="20"/>
        </w:rPr>
        <w:t>are much appreciated. Revd Bill Wright continues to act as an advocate for the Society and is, over a period, talking to each of the</w:t>
      </w:r>
      <w:r>
        <w:rPr>
          <w:spacing w:val="29"/>
          <w:w w:val="120"/>
          <w:sz w:val="20"/>
        </w:rPr>
        <w:t> </w:t>
      </w:r>
      <w:r>
        <w:rPr>
          <w:w w:val="120"/>
          <w:sz w:val="20"/>
        </w:rPr>
        <w:t>synods.</w:t>
      </w:r>
    </w:p>
    <w:p>
      <w:pPr>
        <w:pStyle w:val="BodyText"/>
      </w:pPr>
    </w:p>
    <w:p>
      <w:pPr>
        <w:pStyle w:val="ListParagraph"/>
        <w:numPr>
          <w:ilvl w:val="1"/>
          <w:numId w:val="142"/>
        </w:numPr>
        <w:tabs>
          <w:tab w:pos="1815" w:val="left" w:leader="none"/>
        </w:tabs>
        <w:spacing w:line="235" w:lineRule="auto" w:before="1" w:after="0"/>
        <w:ind w:left="1133" w:right="2684" w:firstLine="0"/>
        <w:jc w:val="both"/>
        <w:rPr>
          <w:sz w:val="20"/>
        </w:rPr>
      </w:pPr>
      <w:r>
        <w:rPr>
          <w:w w:val="125"/>
          <w:sz w:val="20"/>
        </w:rPr>
        <w:t>In</w:t>
      </w:r>
      <w:r>
        <w:rPr>
          <w:spacing w:val="-17"/>
          <w:w w:val="125"/>
          <w:sz w:val="20"/>
        </w:rPr>
        <w:t> </w:t>
      </w:r>
      <w:r>
        <w:rPr>
          <w:spacing w:val="-6"/>
          <w:w w:val="125"/>
          <w:sz w:val="20"/>
        </w:rPr>
        <w:t>2007,</w:t>
      </w:r>
      <w:r>
        <w:rPr>
          <w:spacing w:val="-17"/>
          <w:w w:val="125"/>
          <w:sz w:val="20"/>
        </w:rPr>
        <w:t> </w:t>
      </w:r>
      <w:r>
        <w:rPr>
          <w:w w:val="125"/>
          <w:sz w:val="20"/>
        </w:rPr>
        <w:t>General</w:t>
      </w:r>
      <w:r>
        <w:rPr>
          <w:spacing w:val="-17"/>
          <w:w w:val="125"/>
          <w:sz w:val="20"/>
        </w:rPr>
        <w:t> </w:t>
      </w:r>
      <w:r>
        <w:rPr>
          <w:w w:val="125"/>
          <w:sz w:val="20"/>
        </w:rPr>
        <w:t>Assembly</w:t>
      </w:r>
      <w:r>
        <w:rPr>
          <w:spacing w:val="-17"/>
          <w:w w:val="125"/>
          <w:sz w:val="20"/>
        </w:rPr>
        <w:t> </w:t>
      </w:r>
      <w:r>
        <w:rPr>
          <w:w w:val="125"/>
          <w:sz w:val="20"/>
        </w:rPr>
        <w:t>approved</w:t>
      </w:r>
      <w:r>
        <w:rPr>
          <w:spacing w:val="-16"/>
          <w:w w:val="125"/>
          <w:sz w:val="20"/>
        </w:rPr>
        <w:t> </w:t>
      </w:r>
      <w:r>
        <w:rPr>
          <w:w w:val="125"/>
          <w:sz w:val="20"/>
        </w:rPr>
        <w:t>a</w:t>
      </w:r>
      <w:r>
        <w:rPr>
          <w:spacing w:val="-17"/>
          <w:w w:val="125"/>
          <w:sz w:val="20"/>
        </w:rPr>
        <w:t> </w:t>
      </w:r>
      <w:r>
        <w:rPr>
          <w:w w:val="125"/>
          <w:sz w:val="20"/>
        </w:rPr>
        <w:t>resolution</w:t>
      </w:r>
      <w:r>
        <w:rPr>
          <w:spacing w:val="-17"/>
          <w:w w:val="125"/>
          <w:sz w:val="20"/>
        </w:rPr>
        <w:t> </w:t>
      </w:r>
      <w:r>
        <w:rPr>
          <w:w w:val="125"/>
          <w:sz w:val="20"/>
        </w:rPr>
        <w:t>recommending</w:t>
      </w:r>
      <w:r>
        <w:rPr>
          <w:spacing w:val="-17"/>
          <w:w w:val="125"/>
          <w:sz w:val="20"/>
        </w:rPr>
        <w:t> </w:t>
      </w:r>
      <w:r>
        <w:rPr>
          <w:w w:val="125"/>
          <w:sz w:val="20"/>
        </w:rPr>
        <w:t>that</w:t>
      </w:r>
      <w:r>
        <w:rPr>
          <w:spacing w:val="-17"/>
          <w:w w:val="125"/>
          <w:sz w:val="20"/>
        </w:rPr>
        <w:t> </w:t>
      </w:r>
      <w:r>
        <w:rPr>
          <w:spacing w:val="-3"/>
          <w:w w:val="125"/>
          <w:sz w:val="20"/>
        </w:rPr>
        <w:t>10% </w:t>
      </w:r>
      <w:r>
        <w:rPr>
          <w:w w:val="125"/>
          <w:sz w:val="20"/>
        </w:rPr>
        <w:t>of</w:t>
      </w:r>
      <w:r>
        <w:rPr>
          <w:spacing w:val="-23"/>
          <w:w w:val="125"/>
          <w:sz w:val="20"/>
        </w:rPr>
        <w:t> </w:t>
      </w:r>
      <w:r>
        <w:rPr>
          <w:w w:val="125"/>
          <w:sz w:val="20"/>
        </w:rPr>
        <w:t>funds</w:t>
      </w:r>
      <w:r>
        <w:rPr>
          <w:spacing w:val="-22"/>
          <w:w w:val="125"/>
          <w:sz w:val="20"/>
        </w:rPr>
        <w:t> </w:t>
      </w:r>
      <w:r>
        <w:rPr>
          <w:w w:val="125"/>
          <w:sz w:val="20"/>
        </w:rPr>
        <w:t>raised</w:t>
      </w:r>
      <w:r>
        <w:rPr>
          <w:spacing w:val="-23"/>
          <w:w w:val="125"/>
          <w:sz w:val="20"/>
        </w:rPr>
        <w:t> </w:t>
      </w:r>
      <w:r>
        <w:rPr>
          <w:w w:val="125"/>
          <w:sz w:val="20"/>
        </w:rPr>
        <w:t>from</w:t>
      </w:r>
      <w:r>
        <w:rPr>
          <w:spacing w:val="-22"/>
          <w:w w:val="125"/>
          <w:sz w:val="20"/>
        </w:rPr>
        <w:t> </w:t>
      </w:r>
      <w:r>
        <w:rPr>
          <w:w w:val="125"/>
          <w:sz w:val="20"/>
        </w:rPr>
        <w:t>the</w:t>
      </w:r>
      <w:r>
        <w:rPr>
          <w:spacing w:val="-23"/>
          <w:w w:val="125"/>
          <w:sz w:val="20"/>
        </w:rPr>
        <w:t> </w:t>
      </w:r>
      <w:r>
        <w:rPr>
          <w:w w:val="125"/>
          <w:sz w:val="20"/>
        </w:rPr>
        <w:t>sale</w:t>
      </w:r>
      <w:r>
        <w:rPr>
          <w:spacing w:val="-22"/>
          <w:w w:val="125"/>
          <w:sz w:val="20"/>
        </w:rPr>
        <w:t> </w:t>
      </w:r>
      <w:r>
        <w:rPr>
          <w:w w:val="125"/>
          <w:sz w:val="20"/>
        </w:rPr>
        <w:t>of</w:t>
      </w:r>
      <w:r>
        <w:rPr>
          <w:spacing w:val="-22"/>
          <w:w w:val="125"/>
          <w:sz w:val="20"/>
        </w:rPr>
        <w:t> </w:t>
      </w:r>
      <w:r>
        <w:rPr>
          <w:w w:val="125"/>
          <w:sz w:val="20"/>
        </w:rPr>
        <w:t>redundant</w:t>
      </w:r>
      <w:r>
        <w:rPr>
          <w:spacing w:val="-23"/>
          <w:w w:val="125"/>
          <w:sz w:val="20"/>
        </w:rPr>
        <w:t> </w:t>
      </w:r>
      <w:r>
        <w:rPr>
          <w:w w:val="125"/>
          <w:sz w:val="20"/>
        </w:rPr>
        <w:t>churches</w:t>
      </w:r>
      <w:r>
        <w:rPr>
          <w:spacing w:val="-22"/>
          <w:w w:val="125"/>
          <w:sz w:val="20"/>
        </w:rPr>
        <w:t> </w:t>
      </w:r>
      <w:r>
        <w:rPr>
          <w:w w:val="125"/>
          <w:sz w:val="20"/>
        </w:rPr>
        <w:t>be</w:t>
      </w:r>
      <w:r>
        <w:rPr>
          <w:spacing w:val="-23"/>
          <w:w w:val="125"/>
          <w:sz w:val="20"/>
        </w:rPr>
        <w:t> </w:t>
      </w:r>
      <w:r>
        <w:rPr>
          <w:w w:val="125"/>
          <w:sz w:val="20"/>
        </w:rPr>
        <w:t>contributed</w:t>
      </w:r>
      <w:r>
        <w:rPr>
          <w:spacing w:val="-22"/>
          <w:w w:val="125"/>
          <w:sz w:val="20"/>
        </w:rPr>
        <w:t> </w:t>
      </w:r>
      <w:r>
        <w:rPr>
          <w:w w:val="125"/>
          <w:sz w:val="20"/>
        </w:rPr>
        <w:t>to</w:t>
      </w:r>
      <w:r>
        <w:rPr>
          <w:spacing w:val="-23"/>
          <w:w w:val="125"/>
          <w:sz w:val="20"/>
        </w:rPr>
        <w:t> </w:t>
      </w:r>
      <w:r>
        <w:rPr>
          <w:w w:val="125"/>
          <w:sz w:val="20"/>
        </w:rPr>
        <w:t>the</w:t>
      </w:r>
      <w:r>
        <w:rPr>
          <w:spacing w:val="-22"/>
          <w:w w:val="125"/>
          <w:sz w:val="20"/>
        </w:rPr>
        <w:t> </w:t>
      </w:r>
      <w:r>
        <w:rPr>
          <w:w w:val="125"/>
          <w:sz w:val="20"/>
        </w:rPr>
        <w:t>Society. Encouragingly,</w:t>
      </w:r>
      <w:r>
        <w:rPr>
          <w:spacing w:val="-22"/>
          <w:w w:val="125"/>
          <w:sz w:val="20"/>
        </w:rPr>
        <w:t> </w:t>
      </w:r>
      <w:r>
        <w:rPr>
          <w:w w:val="125"/>
          <w:sz w:val="20"/>
        </w:rPr>
        <w:t>many</w:t>
      </w:r>
      <w:r>
        <w:rPr>
          <w:spacing w:val="-21"/>
          <w:w w:val="125"/>
          <w:sz w:val="20"/>
        </w:rPr>
        <w:t> </w:t>
      </w:r>
      <w:r>
        <w:rPr>
          <w:w w:val="125"/>
          <w:sz w:val="20"/>
        </w:rPr>
        <w:t>synods</w:t>
      </w:r>
      <w:r>
        <w:rPr>
          <w:spacing w:val="-21"/>
          <w:w w:val="125"/>
          <w:sz w:val="20"/>
        </w:rPr>
        <w:t> </w:t>
      </w:r>
      <w:r>
        <w:rPr>
          <w:w w:val="125"/>
          <w:sz w:val="20"/>
        </w:rPr>
        <w:t>have</w:t>
      </w:r>
      <w:r>
        <w:rPr>
          <w:spacing w:val="-21"/>
          <w:w w:val="125"/>
          <w:sz w:val="20"/>
        </w:rPr>
        <w:t> </w:t>
      </w:r>
      <w:r>
        <w:rPr>
          <w:w w:val="125"/>
          <w:sz w:val="20"/>
        </w:rPr>
        <w:t>agreed</w:t>
      </w:r>
      <w:r>
        <w:rPr>
          <w:spacing w:val="-22"/>
          <w:w w:val="125"/>
          <w:sz w:val="20"/>
        </w:rPr>
        <w:t> </w:t>
      </w:r>
      <w:r>
        <w:rPr>
          <w:w w:val="125"/>
          <w:sz w:val="20"/>
        </w:rPr>
        <w:t>to</w:t>
      </w:r>
      <w:r>
        <w:rPr>
          <w:spacing w:val="-21"/>
          <w:w w:val="125"/>
          <w:sz w:val="20"/>
        </w:rPr>
        <w:t> </w:t>
      </w:r>
      <w:r>
        <w:rPr>
          <w:w w:val="125"/>
          <w:sz w:val="20"/>
        </w:rPr>
        <w:t>this</w:t>
      </w:r>
      <w:r>
        <w:rPr>
          <w:spacing w:val="-21"/>
          <w:w w:val="125"/>
          <w:sz w:val="20"/>
        </w:rPr>
        <w:t> </w:t>
      </w:r>
      <w:r>
        <w:rPr>
          <w:w w:val="125"/>
          <w:sz w:val="20"/>
        </w:rPr>
        <w:t>course</w:t>
      </w:r>
      <w:r>
        <w:rPr>
          <w:spacing w:val="-21"/>
          <w:w w:val="125"/>
          <w:sz w:val="20"/>
        </w:rPr>
        <w:t> </w:t>
      </w:r>
      <w:r>
        <w:rPr>
          <w:w w:val="125"/>
          <w:sz w:val="20"/>
        </w:rPr>
        <w:t>of</w:t>
      </w:r>
      <w:r>
        <w:rPr>
          <w:spacing w:val="-21"/>
          <w:w w:val="125"/>
          <w:sz w:val="20"/>
        </w:rPr>
        <w:t> </w:t>
      </w:r>
      <w:r>
        <w:rPr>
          <w:w w:val="125"/>
          <w:sz w:val="20"/>
        </w:rPr>
        <w:t>action,</w:t>
      </w:r>
      <w:r>
        <w:rPr>
          <w:spacing w:val="-22"/>
          <w:w w:val="125"/>
          <w:sz w:val="20"/>
        </w:rPr>
        <w:t> </w:t>
      </w:r>
      <w:r>
        <w:rPr>
          <w:w w:val="125"/>
          <w:sz w:val="20"/>
        </w:rPr>
        <w:t>and</w:t>
      </w:r>
      <w:r>
        <w:rPr>
          <w:spacing w:val="-21"/>
          <w:w w:val="125"/>
          <w:sz w:val="20"/>
        </w:rPr>
        <w:t> </w:t>
      </w:r>
      <w:r>
        <w:rPr>
          <w:w w:val="125"/>
          <w:sz w:val="20"/>
        </w:rPr>
        <w:t>others</w:t>
      </w:r>
      <w:r>
        <w:rPr>
          <w:spacing w:val="-21"/>
          <w:w w:val="125"/>
          <w:sz w:val="20"/>
        </w:rPr>
        <w:t> </w:t>
      </w:r>
      <w:r>
        <w:rPr>
          <w:w w:val="125"/>
          <w:sz w:val="20"/>
        </w:rPr>
        <w:t>have offered to help in different</w:t>
      </w:r>
      <w:r>
        <w:rPr>
          <w:spacing w:val="-10"/>
          <w:w w:val="125"/>
          <w:sz w:val="20"/>
        </w:rPr>
        <w:t> </w:t>
      </w:r>
      <w:r>
        <w:rPr>
          <w:w w:val="125"/>
          <w:sz w:val="20"/>
        </w:rPr>
        <w:t>ways.</w:t>
      </w:r>
    </w:p>
    <w:p>
      <w:pPr>
        <w:pStyle w:val="BodyText"/>
        <w:spacing w:before="9"/>
        <w:rPr>
          <w:sz w:val="17"/>
        </w:rPr>
      </w:pPr>
    </w:p>
    <w:p>
      <w:pPr>
        <w:numPr>
          <w:ilvl w:val="0"/>
          <w:numId w:val="142"/>
        </w:numPr>
        <w:tabs>
          <w:tab w:pos="1854" w:val="left" w:leader="none"/>
        </w:tabs>
        <w:spacing w:before="0"/>
        <w:ind w:left="1853" w:right="0" w:hanging="721"/>
        <w:jc w:val="both"/>
        <w:rPr>
          <w:rFonts w:ascii="Stone Sans II ITC Std Bk"/>
          <w:b/>
          <w:sz w:val="21"/>
        </w:rPr>
      </w:pPr>
      <w:r>
        <w:rPr>
          <w:rFonts w:ascii="Stone Sans II ITC Std Bk"/>
          <w:b/>
          <w:w w:val="115"/>
          <w:sz w:val="21"/>
        </w:rPr>
        <w:t>The immediate</w:t>
      </w:r>
      <w:r>
        <w:rPr>
          <w:rFonts w:ascii="Stone Sans II ITC Std Bk"/>
          <w:b/>
          <w:spacing w:val="-4"/>
          <w:w w:val="115"/>
          <w:sz w:val="21"/>
        </w:rPr>
        <w:t> </w:t>
      </w:r>
      <w:r>
        <w:rPr>
          <w:rFonts w:ascii="Stone Sans II ITC Std Bk"/>
          <w:b/>
          <w:w w:val="115"/>
          <w:sz w:val="21"/>
        </w:rPr>
        <w:t>challenge</w:t>
      </w:r>
    </w:p>
    <w:p>
      <w:pPr>
        <w:pStyle w:val="ListParagraph"/>
        <w:numPr>
          <w:ilvl w:val="1"/>
          <w:numId w:val="142"/>
        </w:numPr>
        <w:tabs>
          <w:tab w:pos="1814" w:val="left" w:leader="none"/>
          <w:tab w:pos="1815" w:val="left" w:leader="none"/>
        </w:tabs>
        <w:spacing w:line="235" w:lineRule="auto" w:before="222" w:after="0"/>
        <w:ind w:left="1133" w:right="2561" w:firstLine="0"/>
        <w:jc w:val="left"/>
        <w:rPr>
          <w:sz w:val="20"/>
        </w:rPr>
      </w:pPr>
      <w:r>
        <w:rPr>
          <w:w w:val="120"/>
          <w:sz w:val="20"/>
        </w:rPr>
        <w:t>Having carried out a survey of serving ministers in 2007 the sub-committee has tried to put all the different strands together, among which the most important estimates needed</w:t>
      </w:r>
      <w:r>
        <w:rPr>
          <w:spacing w:val="3"/>
          <w:w w:val="120"/>
          <w:sz w:val="20"/>
        </w:rPr>
        <w:t> </w:t>
      </w:r>
      <w:r>
        <w:rPr>
          <w:w w:val="120"/>
          <w:sz w:val="20"/>
        </w:rPr>
        <w:t>are:</w:t>
      </w:r>
    </w:p>
    <w:p>
      <w:pPr>
        <w:pStyle w:val="BodyText"/>
        <w:spacing w:before="10"/>
        <w:rPr>
          <w:sz w:val="19"/>
        </w:rPr>
      </w:pPr>
    </w:p>
    <w:p>
      <w:pPr>
        <w:pStyle w:val="BodyText"/>
        <w:spacing w:line="235" w:lineRule="auto" w:before="1"/>
        <w:ind w:left="1814" w:right="4375"/>
      </w:pPr>
      <w:r>
        <w:rPr>
          <w:w w:val="120"/>
        </w:rPr>
        <w:t>the proportion of retiring ministers requiring assistance; the amount of assistance required in each case;</w:t>
      </w:r>
    </w:p>
    <w:p>
      <w:pPr>
        <w:pStyle w:val="BodyText"/>
        <w:spacing w:line="240" w:lineRule="exact"/>
        <w:ind w:left="1814"/>
      </w:pPr>
      <w:r>
        <w:rPr>
          <w:w w:val="120"/>
        </w:rPr>
        <w:t>the effect of early and delayed retirement;</w:t>
      </w:r>
    </w:p>
    <w:p>
      <w:pPr>
        <w:pStyle w:val="BodyText"/>
        <w:spacing w:line="235" w:lineRule="auto" w:before="1"/>
        <w:ind w:left="1814" w:right="2919"/>
      </w:pPr>
      <w:r>
        <w:rPr>
          <w:w w:val="120"/>
        </w:rPr>
        <w:t>the number of properties which are no longer needed and can be sold; the value of sold properties;</w:t>
      </w:r>
    </w:p>
    <w:p>
      <w:pPr>
        <w:pStyle w:val="BodyText"/>
        <w:spacing w:line="242" w:lineRule="exact"/>
        <w:ind w:left="1814"/>
      </w:pPr>
      <w:r>
        <w:rPr>
          <w:w w:val="120"/>
        </w:rPr>
        <w:t>the income from legacies and donations.</w:t>
      </w:r>
    </w:p>
    <w:p>
      <w:pPr>
        <w:pStyle w:val="BodyText"/>
        <w:spacing w:before="8"/>
        <w:rPr>
          <w:sz w:val="19"/>
        </w:rPr>
      </w:pPr>
    </w:p>
    <w:p>
      <w:pPr>
        <w:pStyle w:val="ListParagraph"/>
        <w:numPr>
          <w:ilvl w:val="1"/>
          <w:numId w:val="142"/>
        </w:numPr>
        <w:tabs>
          <w:tab w:pos="1814" w:val="left" w:leader="none"/>
          <w:tab w:pos="1815" w:val="left" w:leader="none"/>
        </w:tabs>
        <w:spacing w:line="235" w:lineRule="auto" w:before="0" w:after="0"/>
        <w:ind w:left="1133" w:right="1983" w:firstLine="0"/>
        <w:jc w:val="left"/>
        <w:rPr>
          <w:sz w:val="20"/>
        </w:rPr>
      </w:pPr>
      <w:r>
        <w:rPr>
          <w:w w:val="120"/>
          <w:sz w:val="20"/>
        </w:rPr>
        <w:t>The conclusions reached were that in 2009, and to a somewhat lesser extent in </w:t>
      </w:r>
      <w:r>
        <w:rPr>
          <w:spacing w:val="-5"/>
          <w:w w:val="120"/>
          <w:sz w:val="20"/>
        </w:rPr>
        <w:t>2010,  </w:t>
      </w:r>
      <w:r>
        <w:rPr>
          <w:w w:val="120"/>
          <w:sz w:val="20"/>
        </w:rPr>
        <w:t>the numbers of properties to be purchased would be relatively low </w:t>
      </w:r>
      <w:r>
        <w:rPr>
          <w:spacing w:val="-4"/>
          <w:w w:val="120"/>
          <w:sz w:val="20"/>
        </w:rPr>
        <w:t>(due  </w:t>
      </w:r>
      <w:r>
        <w:rPr>
          <w:w w:val="120"/>
          <w:sz w:val="20"/>
        </w:rPr>
        <w:t>to the   low birth rate 65 years ago during World War II). From </w:t>
      </w:r>
      <w:r>
        <w:rPr>
          <w:spacing w:val="-8"/>
          <w:w w:val="120"/>
          <w:sz w:val="20"/>
        </w:rPr>
        <w:t>2011 </w:t>
      </w:r>
      <w:r>
        <w:rPr>
          <w:w w:val="120"/>
          <w:sz w:val="20"/>
        </w:rPr>
        <w:t>and reaching a peak in </w:t>
      </w:r>
      <w:r>
        <w:rPr>
          <w:spacing w:val="-8"/>
          <w:w w:val="120"/>
          <w:sz w:val="20"/>
        </w:rPr>
        <w:t>2013 </w:t>
      </w:r>
      <w:r>
        <w:rPr>
          <w:spacing w:val="-3"/>
          <w:w w:val="120"/>
          <w:sz w:val="20"/>
        </w:rPr>
        <w:t>(the </w:t>
      </w:r>
      <w:r>
        <w:rPr>
          <w:w w:val="120"/>
          <w:sz w:val="20"/>
        </w:rPr>
        <w:t>so-called baby </w:t>
      </w:r>
      <w:r>
        <w:rPr>
          <w:spacing w:val="-3"/>
          <w:w w:val="120"/>
          <w:sz w:val="20"/>
        </w:rPr>
        <w:t>boom) </w:t>
      </w:r>
      <w:r>
        <w:rPr>
          <w:w w:val="120"/>
          <w:sz w:val="20"/>
        </w:rPr>
        <w:t>the numbers of houses required would increase and the funds needed would correspondingly increase. We can foresee a shortfall (after allowing for </w:t>
      </w:r>
      <w:r>
        <w:rPr>
          <w:spacing w:val="2"/>
          <w:w w:val="120"/>
          <w:sz w:val="20"/>
        </w:rPr>
        <w:t>property </w:t>
      </w:r>
      <w:r>
        <w:rPr>
          <w:w w:val="120"/>
          <w:sz w:val="20"/>
        </w:rPr>
        <w:t>sales, donations, legacies </w:t>
      </w:r>
      <w:r>
        <w:rPr>
          <w:spacing w:val="-5"/>
          <w:w w:val="120"/>
          <w:sz w:val="20"/>
        </w:rPr>
        <w:t>etc) </w:t>
      </w:r>
      <w:r>
        <w:rPr>
          <w:w w:val="120"/>
          <w:sz w:val="20"/>
        </w:rPr>
        <w:t>probably in excess of £2 million per annum for a few</w:t>
      </w:r>
      <w:r>
        <w:rPr>
          <w:spacing w:val="1"/>
          <w:w w:val="120"/>
          <w:sz w:val="20"/>
        </w:rPr>
        <w:t> </w:t>
      </w:r>
      <w:r>
        <w:rPr>
          <w:w w:val="120"/>
          <w:sz w:val="20"/>
        </w:rPr>
        <w:t>years.</w:t>
      </w:r>
    </w:p>
    <w:p>
      <w:pPr>
        <w:pStyle w:val="BodyText"/>
        <w:spacing w:before="1"/>
      </w:pPr>
    </w:p>
    <w:p>
      <w:pPr>
        <w:pStyle w:val="ListParagraph"/>
        <w:numPr>
          <w:ilvl w:val="1"/>
          <w:numId w:val="142"/>
        </w:numPr>
        <w:tabs>
          <w:tab w:pos="1814" w:val="left" w:leader="none"/>
          <w:tab w:pos="1815" w:val="left" w:leader="none"/>
        </w:tabs>
        <w:spacing w:line="235" w:lineRule="auto" w:before="0" w:after="0"/>
        <w:ind w:left="1133" w:right="2201" w:firstLine="0"/>
        <w:jc w:val="left"/>
        <w:rPr>
          <w:sz w:val="20"/>
        </w:rPr>
      </w:pPr>
      <w:r>
        <w:rPr>
          <w:w w:val="120"/>
          <w:sz w:val="20"/>
        </w:rPr>
        <w:t>The assistance previously mentioned which is offered by various synods will clearly</w:t>
      </w:r>
      <w:r>
        <w:rPr>
          <w:spacing w:val="4"/>
          <w:w w:val="120"/>
          <w:sz w:val="20"/>
        </w:rPr>
        <w:t> </w:t>
      </w:r>
      <w:r>
        <w:rPr>
          <w:w w:val="120"/>
          <w:sz w:val="20"/>
        </w:rPr>
        <w:t>help</w:t>
      </w:r>
      <w:r>
        <w:rPr>
          <w:spacing w:val="4"/>
          <w:w w:val="120"/>
          <w:sz w:val="20"/>
        </w:rPr>
        <w:t> </w:t>
      </w:r>
      <w:r>
        <w:rPr>
          <w:w w:val="120"/>
          <w:sz w:val="20"/>
        </w:rPr>
        <w:t>but</w:t>
      </w:r>
      <w:r>
        <w:rPr>
          <w:spacing w:val="5"/>
          <w:w w:val="120"/>
          <w:sz w:val="20"/>
        </w:rPr>
        <w:t> </w:t>
      </w:r>
      <w:r>
        <w:rPr>
          <w:w w:val="120"/>
          <w:sz w:val="20"/>
        </w:rPr>
        <w:t>more</w:t>
      </w:r>
      <w:r>
        <w:rPr>
          <w:spacing w:val="4"/>
          <w:w w:val="120"/>
          <w:sz w:val="20"/>
        </w:rPr>
        <w:t> </w:t>
      </w:r>
      <w:r>
        <w:rPr>
          <w:w w:val="120"/>
          <w:sz w:val="20"/>
        </w:rPr>
        <w:t>is</w:t>
      </w:r>
      <w:r>
        <w:rPr>
          <w:spacing w:val="5"/>
          <w:w w:val="120"/>
          <w:sz w:val="20"/>
        </w:rPr>
        <w:t> </w:t>
      </w:r>
      <w:r>
        <w:rPr>
          <w:w w:val="120"/>
          <w:sz w:val="20"/>
        </w:rPr>
        <w:t>needed</w:t>
      </w:r>
      <w:r>
        <w:rPr>
          <w:spacing w:val="4"/>
          <w:w w:val="120"/>
          <w:sz w:val="20"/>
        </w:rPr>
        <w:t> </w:t>
      </w:r>
      <w:r>
        <w:rPr>
          <w:w w:val="120"/>
          <w:sz w:val="20"/>
        </w:rPr>
        <w:t>to</w:t>
      </w:r>
      <w:r>
        <w:rPr>
          <w:spacing w:val="5"/>
          <w:w w:val="120"/>
          <w:sz w:val="20"/>
        </w:rPr>
        <w:t> </w:t>
      </w:r>
      <w:r>
        <w:rPr>
          <w:w w:val="120"/>
          <w:sz w:val="20"/>
        </w:rPr>
        <w:t>help</w:t>
      </w:r>
      <w:r>
        <w:rPr>
          <w:spacing w:val="4"/>
          <w:w w:val="120"/>
          <w:sz w:val="20"/>
        </w:rPr>
        <w:t> </w:t>
      </w:r>
      <w:r>
        <w:rPr>
          <w:w w:val="120"/>
          <w:sz w:val="20"/>
        </w:rPr>
        <w:t>us</w:t>
      </w:r>
      <w:r>
        <w:rPr>
          <w:spacing w:val="5"/>
          <w:w w:val="120"/>
          <w:sz w:val="20"/>
        </w:rPr>
        <w:t> </w:t>
      </w:r>
      <w:r>
        <w:rPr>
          <w:w w:val="120"/>
          <w:sz w:val="20"/>
        </w:rPr>
        <w:t>over</w:t>
      </w:r>
      <w:r>
        <w:rPr>
          <w:spacing w:val="4"/>
          <w:w w:val="120"/>
          <w:sz w:val="20"/>
        </w:rPr>
        <w:t> </w:t>
      </w:r>
      <w:r>
        <w:rPr>
          <w:w w:val="120"/>
          <w:sz w:val="20"/>
        </w:rPr>
        <w:t>this</w:t>
      </w:r>
      <w:r>
        <w:rPr>
          <w:spacing w:val="5"/>
          <w:w w:val="120"/>
          <w:sz w:val="20"/>
        </w:rPr>
        <w:t> </w:t>
      </w:r>
      <w:r>
        <w:rPr>
          <w:w w:val="120"/>
          <w:sz w:val="20"/>
        </w:rPr>
        <w:t>hill</w:t>
      </w:r>
      <w:r>
        <w:rPr>
          <w:spacing w:val="4"/>
          <w:w w:val="120"/>
          <w:sz w:val="20"/>
        </w:rPr>
        <w:t> </w:t>
      </w:r>
      <w:r>
        <w:rPr>
          <w:w w:val="120"/>
          <w:sz w:val="20"/>
        </w:rPr>
        <w:t>and</w:t>
      </w:r>
      <w:r>
        <w:rPr>
          <w:spacing w:val="5"/>
          <w:w w:val="120"/>
          <w:sz w:val="20"/>
        </w:rPr>
        <w:t> </w:t>
      </w:r>
      <w:r>
        <w:rPr>
          <w:w w:val="120"/>
          <w:sz w:val="20"/>
        </w:rPr>
        <w:t>talks</w:t>
      </w:r>
      <w:r>
        <w:rPr>
          <w:spacing w:val="4"/>
          <w:w w:val="120"/>
          <w:sz w:val="20"/>
        </w:rPr>
        <w:t> </w:t>
      </w:r>
      <w:r>
        <w:rPr>
          <w:w w:val="120"/>
          <w:sz w:val="20"/>
        </w:rPr>
        <w:t>with</w:t>
      </w:r>
      <w:r>
        <w:rPr>
          <w:spacing w:val="5"/>
          <w:w w:val="120"/>
          <w:sz w:val="20"/>
        </w:rPr>
        <w:t> </w:t>
      </w:r>
      <w:r>
        <w:rPr>
          <w:w w:val="120"/>
          <w:sz w:val="20"/>
        </w:rPr>
        <w:t>synods</w:t>
      </w:r>
      <w:r>
        <w:rPr>
          <w:spacing w:val="4"/>
          <w:w w:val="120"/>
          <w:sz w:val="20"/>
        </w:rPr>
        <w:t> </w:t>
      </w:r>
      <w:r>
        <w:rPr>
          <w:w w:val="120"/>
          <w:sz w:val="20"/>
        </w:rPr>
        <w:t>continue.</w:t>
      </w:r>
    </w:p>
    <w:p>
      <w:pPr>
        <w:spacing w:after="0" w:line="235" w:lineRule="auto"/>
        <w:jc w:val="left"/>
        <w:rPr>
          <w:sz w:val="20"/>
        </w:rPr>
        <w:sectPr>
          <w:headerReference w:type="even" r:id="rId335"/>
          <w:headerReference w:type="default" r:id="rId336"/>
          <w:footerReference w:type="even" r:id="rId337"/>
          <w:footerReference w:type="default" r:id="rId338"/>
          <w:pgSz w:w="11910" w:h="16840"/>
          <w:pgMar w:header="0" w:footer="647" w:top="1060" w:bottom="840" w:left="0" w:right="0"/>
        </w:sectPr>
      </w:pPr>
    </w:p>
    <w:p>
      <w:pPr>
        <w:numPr>
          <w:ilvl w:val="0"/>
          <w:numId w:val="142"/>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2129280" filled="true" fillcolor="#dae4ec" stroked="false">
            <v:fill opacity="32768f" type="solid"/>
            <w10:wrap type="none"/>
          </v:rect>
        </w:pict>
      </w:r>
      <w:r>
        <w:rPr/>
        <w:drawing>
          <wp:anchor distT="0" distB="0" distL="0" distR="0" allowOverlap="1" layoutInCell="1" locked="0" behindDoc="0" simplePos="0" relativeHeight="252130304">
            <wp:simplePos x="0" y="0"/>
            <wp:positionH relativeFrom="page">
              <wp:posOffset>0</wp:posOffset>
            </wp:positionH>
            <wp:positionV relativeFrom="page">
              <wp:posOffset>6350985</wp:posOffset>
            </wp:positionV>
            <wp:extent cx="7560005" cy="3600086"/>
            <wp:effectExtent l="0" t="0" r="0" b="0"/>
            <wp:wrapNone/>
            <wp:docPr id="135" name="image137.jpeg"/>
            <wp:cNvGraphicFramePr>
              <a:graphicFrameLocks noChangeAspect="1"/>
            </wp:cNvGraphicFramePr>
            <a:graphic>
              <a:graphicData uri="http://schemas.openxmlformats.org/drawingml/2006/picture">
                <pic:pic>
                  <pic:nvPicPr>
                    <pic:cNvPr id="136" name="image137.jpeg"/>
                    <pic:cNvPicPr/>
                  </pic:nvPicPr>
                  <pic:blipFill>
                    <a:blip r:embed="rId339" cstate="print"/>
                    <a:stretch>
                      <a:fillRect/>
                    </a:stretch>
                  </pic:blipFill>
                  <pic:spPr>
                    <a:xfrm>
                      <a:off x="0" y="0"/>
                      <a:ext cx="7560005" cy="3600086"/>
                    </a:xfrm>
                    <a:prstGeom prst="rect">
                      <a:avLst/>
                    </a:prstGeom>
                  </pic:spPr>
                </pic:pic>
              </a:graphicData>
            </a:graphic>
          </wp:anchor>
        </w:drawing>
      </w:r>
      <w:r>
        <w:rPr>
          <w:rFonts w:ascii="Stone Sans II ITC Std Bk"/>
          <w:b/>
          <w:w w:val="115"/>
          <w:sz w:val="21"/>
        </w:rPr>
        <w:t>Our ongoing</w:t>
      </w:r>
      <w:r>
        <w:rPr>
          <w:rFonts w:ascii="Stone Sans II ITC Std Bk"/>
          <w:b/>
          <w:spacing w:val="-3"/>
          <w:w w:val="115"/>
          <w:sz w:val="21"/>
        </w:rPr>
        <w:t> </w:t>
      </w:r>
      <w:r>
        <w:rPr>
          <w:rFonts w:ascii="Stone Sans II ITC Std Bk"/>
          <w:b/>
          <w:w w:val="115"/>
          <w:sz w:val="21"/>
        </w:rPr>
        <w:t>work</w:t>
      </w:r>
    </w:p>
    <w:p>
      <w:pPr>
        <w:pStyle w:val="ListParagraph"/>
        <w:numPr>
          <w:ilvl w:val="1"/>
          <w:numId w:val="142"/>
        </w:numPr>
        <w:tabs>
          <w:tab w:pos="2664" w:val="left" w:leader="none"/>
          <w:tab w:pos="2665" w:val="left" w:leader="none"/>
        </w:tabs>
        <w:spacing w:line="235" w:lineRule="auto" w:before="223" w:after="0"/>
        <w:ind w:left="1984" w:right="1758" w:firstLine="0"/>
        <w:jc w:val="left"/>
        <w:rPr>
          <w:sz w:val="20"/>
        </w:rPr>
      </w:pPr>
      <w:r>
        <w:rPr>
          <w:w w:val="120"/>
          <w:sz w:val="20"/>
        </w:rPr>
        <w:t>During 2008 and 2009, 30 properties were acquired and </w:t>
      </w:r>
      <w:r>
        <w:rPr>
          <w:spacing w:val="-3"/>
          <w:w w:val="120"/>
          <w:sz w:val="20"/>
        </w:rPr>
        <w:t>35 </w:t>
      </w:r>
      <w:r>
        <w:rPr>
          <w:w w:val="120"/>
          <w:sz w:val="20"/>
        </w:rPr>
        <w:t>were sold, thus reducing</w:t>
      </w:r>
      <w:r>
        <w:rPr>
          <w:spacing w:val="8"/>
          <w:w w:val="120"/>
          <w:sz w:val="20"/>
        </w:rPr>
        <w:t> </w:t>
      </w:r>
      <w:r>
        <w:rPr>
          <w:w w:val="120"/>
          <w:sz w:val="20"/>
        </w:rPr>
        <w:t>the</w:t>
      </w:r>
      <w:r>
        <w:rPr>
          <w:spacing w:val="8"/>
          <w:w w:val="120"/>
          <w:sz w:val="20"/>
        </w:rPr>
        <w:t> </w:t>
      </w:r>
      <w:r>
        <w:rPr>
          <w:w w:val="120"/>
          <w:sz w:val="20"/>
        </w:rPr>
        <w:t>number</w:t>
      </w:r>
      <w:r>
        <w:rPr>
          <w:spacing w:val="8"/>
          <w:w w:val="120"/>
          <w:sz w:val="20"/>
        </w:rPr>
        <w:t> </w:t>
      </w:r>
      <w:r>
        <w:rPr>
          <w:w w:val="120"/>
          <w:sz w:val="20"/>
        </w:rPr>
        <w:t>of</w:t>
      </w:r>
      <w:r>
        <w:rPr>
          <w:spacing w:val="8"/>
          <w:w w:val="120"/>
          <w:sz w:val="20"/>
        </w:rPr>
        <w:t> </w:t>
      </w:r>
      <w:r>
        <w:rPr>
          <w:w w:val="120"/>
          <w:sz w:val="20"/>
        </w:rPr>
        <w:t>properties</w:t>
      </w:r>
      <w:r>
        <w:rPr>
          <w:spacing w:val="8"/>
          <w:w w:val="120"/>
          <w:sz w:val="20"/>
        </w:rPr>
        <w:t> </w:t>
      </w:r>
      <w:r>
        <w:rPr>
          <w:w w:val="120"/>
          <w:sz w:val="20"/>
        </w:rPr>
        <w:t>under</w:t>
      </w:r>
      <w:r>
        <w:rPr>
          <w:spacing w:val="8"/>
          <w:w w:val="120"/>
          <w:sz w:val="20"/>
        </w:rPr>
        <w:t> </w:t>
      </w:r>
      <w:r>
        <w:rPr>
          <w:w w:val="120"/>
          <w:sz w:val="20"/>
        </w:rPr>
        <w:t>management</w:t>
      </w:r>
      <w:r>
        <w:rPr>
          <w:spacing w:val="8"/>
          <w:w w:val="120"/>
          <w:sz w:val="20"/>
        </w:rPr>
        <w:t> </w:t>
      </w:r>
      <w:r>
        <w:rPr>
          <w:w w:val="120"/>
          <w:sz w:val="20"/>
        </w:rPr>
        <w:t>to</w:t>
      </w:r>
      <w:r>
        <w:rPr>
          <w:spacing w:val="8"/>
          <w:w w:val="120"/>
          <w:sz w:val="20"/>
        </w:rPr>
        <w:t> </w:t>
      </w:r>
      <w:r>
        <w:rPr>
          <w:spacing w:val="-3"/>
          <w:w w:val="120"/>
          <w:sz w:val="20"/>
        </w:rPr>
        <w:t>362</w:t>
      </w:r>
      <w:r>
        <w:rPr>
          <w:spacing w:val="8"/>
          <w:w w:val="120"/>
          <w:sz w:val="20"/>
        </w:rPr>
        <w:t> </w:t>
      </w:r>
      <w:r>
        <w:rPr>
          <w:w w:val="120"/>
          <w:sz w:val="20"/>
        </w:rPr>
        <w:t>at</w:t>
      </w:r>
      <w:r>
        <w:rPr>
          <w:spacing w:val="8"/>
          <w:w w:val="120"/>
          <w:sz w:val="20"/>
        </w:rPr>
        <w:t> </w:t>
      </w:r>
      <w:r>
        <w:rPr>
          <w:w w:val="120"/>
          <w:sz w:val="20"/>
        </w:rPr>
        <w:t>the</w:t>
      </w:r>
      <w:r>
        <w:rPr>
          <w:spacing w:val="8"/>
          <w:w w:val="120"/>
          <w:sz w:val="20"/>
        </w:rPr>
        <w:t> </w:t>
      </w:r>
      <w:r>
        <w:rPr>
          <w:w w:val="120"/>
          <w:sz w:val="20"/>
        </w:rPr>
        <w:t>end</w:t>
      </w:r>
      <w:r>
        <w:rPr>
          <w:spacing w:val="8"/>
          <w:w w:val="120"/>
          <w:sz w:val="20"/>
        </w:rPr>
        <w:t> </w:t>
      </w:r>
      <w:r>
        <w:rPr>
          <w:w w:val="120"/>
          <w:sz w:val="20"/>
        </w:rPr>
        <w:t>of</w:t>
      </w:r>
      <w:r>
        <w:rPr>
          <w:spacing w:val="8"/>
          <w:w w:val="120"/>
          <w:sz w:val="20"/>
        </w:rPr>
        <w:t> </w:t>
      </w:r>
      <w:r>
        <w:rPr>
          <w:w w:val="120"/>
          <w:sz w:val="20"/>
        </w:rPr>
        <w:t>2009.</w:t>
      </w:r>
    </w:p>
    <w:p>
      <w:pPr>
        <w:pStyle w:val="BodyText"/>
        <w:spacing w:before="9"/>
        <w:rPr>
          <w:sz w:val="19"/>
        </w:rPr>
      </w:pPr>
    </w:p>
    <w:p>
      <w:pPr>
        <w:pStyle w:val="ListParagraph"/>
        <w:numPr>
          <w:ilvl w:val="1"/>
          <w:numId w:val="142"/>
        </w:numPr>
        <w:tabs>
          <w:tab w:pos="2664" w:val="left" w:leader="none"/>
          <w:tab w:pos="2665" w:val="left" w:leader="none"/>
        </w:tabs>
        <w:spacing w:line="235" w:lineRule="auto" w:before="1" w:after="0"/>
        <w:ind w:left="1984" w:right="1249" w:firstLine="0"/>
        <w:jc w:val="left"/>
        <w:rPr>
          <w:sz w:val="20"/>
        </w:rPr>
      </w:pPr>
      <w:r>
        <w:rPr>
          <w:w w:val="120"/>
          <w:sz w:val="20"/>
        </w:rPr>
        <w:t>In 2009 the standard rent payable was </w:t>
      </w:r>
      <w:r>
        <w:rPr>
          <w:spacing w:val="-11"/>
          <w:w w:val="120"/>
          <w:sz w:val="20"/>
        </w:rPr>
        <w:t>£116 </w:t>
      </w:r>
      <w:r>
        <w:rPr>
          <w:w w:val="120"/>
          <w:sz w:val="20"/>
        </w:rPr>
        <w:t>per calendar month. New residents since the beginning of 2004 will pay between </w:t>
      </w:r>
      <w:r>
        <w:rPr>
          <w:spacing w:val="-11"/>
          <w:w w:val="120"/>
          <w:sz w:val="20"/>
        </w:rPr>
        <w:t>£119  </w:t>
      </w:r>
      <w:r>
        <w:rPr>
          <w:w w:val="120"/>
          <w:sz w:val="20"/>
        </w:rPr>
        <w:t>and </w:t>
      </w:r>
      <w:r>
        <w:rPr>
          <w:spacing w:val="-7"/>
          <w:w w:val="120"/>
          <w:sz w:val="20"/>
        </w:rPr>
        <w:t>£197  </w:t>
      </w:r>
      <w:r>
        <w:rPr>
          <w:w w:val="120"/>
          <w:sz w:val="20"/>
        </w:rPr>
        <w:t>per calendar month in  </w:t>
      </w:r>
      <w:r>
        <w:rPr>
          <w:spacing w:val="-6"/>
          <w:w w:val="120"/>
          <w:sz w:val="20"/>
        </w:rPr>
        <w:t>2010 </w:t>
      </w:r>
      <w:r>
        <w:rPr>
          <w:w w:val="120"/>
          <w:sz w:val="20"/>
        </w:rPr>
        <w:t>(depending upon the amount of capital employed by the Society), while pre-2004 residents will pay </w:t>
      </w:r>
      <w:r>
        <w:rPr>
          <w:spacing w:val="-11"/>
          <w:w w:val="120"/>
          <w:sz w:val="20"/>
        </w:rPr>
        <w:t>£119. </w:t>
      </w:r>
      <w:r>
        <w:rPr>
          <w:w w:val="120"/>
          <w:sz w:val="20"/>
        </w:rPr>
        <w:t>Widows/widowers are in receipt of a rent reduction </w:t>
      </w:r>
      <w:r>
        <w:rPr>
          <w:spacing w:val="-3"/>
          <w:w w:val="120"/>
          <w:sz w:val="20"/>
        </w:rPr>
        <w:t>(usually </w:t>
      </w:r>
      <w:r>
        <w:rPr>
          <w:spacing w:val="-5"/>
          <w:w w:val="120"/>
          <w:sz w:val="20"/>
        </w:rPr>
        <w:t>£10 </w:t>
      </w:r>
      <w:r>
        <w:rPr>
          <w:w w:val="120"/>
          <w:sz w:val="20"/>
        </w:rPr>
        <w:t>per calendar</w:t>
      </w:r>
      <w:r>
        <w:rPr>
          <w:spacing w:val="4"/>
          <w:w w:val="120"/>
          <w:sz w:val="20"/>
        </w:rPr>
        <w:t> </w:t>
      </w:r>
      <w:r>
        <w:rPr>
          <w:spacing w:val="-3"/>
          <w:w w:val="120"/>
          <w:sz w:val="20"/>
        </w:rPr>
        <w:t>month).</w:t>
      </w:r>
    </w:p>
    <w:p>
      <w:pPr>
        <w:pStyle w:val="BodyText"/>
        <w:spacing w:before="11"/>
        <w:rPr>
          <w:sz w:val="19"/>
        </w:rPr>
      </w:pPr>
    </w:p>
    <w:p>
      <w:pPr>
        <w:pStyle w:val="ListParagraph"/>
        <w:numPr>
          <w:ilvl w:val="1"/>
          <w:numId w:val="142"/>
        </w:numPr>
        <w:tabs>
          <w:tab w:pos="2664" w:val="left" w:leader="none"/>
          <w:tab w:pos="2665" w:val="left" w:leader="none"/>
        </w:tabs>
        <w:spacing w:line="235" w:lineRule="auto" w:before="0" w:after="0"/>
        <w:ind w:left="1984" w:right="1331" w:firstLine="0"/>
        <w:jc w:val="left"/>
        <w:rPr>
          <w:sz w:val="20"/>
        </w:rPr>
      </w:pPr>
      <w:r>
        <w:rPr>
          <w:w w:val="120"/>
          <w:sz w:val="20"/>
        </w:rPr>
        <w:t>During 2009, visits were made by officers of the Society to </w:t>
      </w:r>
      <w:r>
        <w:rPr>
          <w:spacing w:val="-9"/>
          <w:w w:val="120"/>
          <w:sz w:val="20"/>
        </w:rPr>
        <w:t>127 </w:t>
      </w:r>
      <w:r>
        <w:rPr>
          <w:w w:val="120"/>
          <w:sz w:val="20"/>
        </w:rPr>
        <w:t>applicants, residents and other properties. In addition, we continue to rely heavily upon, and are grateful </w:t>
      </w:r>
      <w:r>
        <w:rPr>
          <w:spacing w:val="-3"/>
          <w:w w:val="120"/>
          <w:sz w:val="20"/>
        </w:rPr>
        <w:t>for, </w:t>
      </w:r>
      <w:r>
        <w:rPr>
          <w:w w:val="120"/>
          <w:sz w:val="20"/>
        </w:rPr>
        <w:t>the commitment of those members of local congregations who generously give oversight to our retirement properties and who assist those who live in them. We would like to hear from anyone who would be prepared to volunteer their assistance in this</w:t>
      </w:r>
      <w:r>
        <w:rPr>
          <w:spacing w:val="1"/>
          <w:w w:val="120"/>
          <w:sz w:val="20"/>
        </w:rPr>
        <w:t> </w:t>
      </w:r>
      <w:r>
        <w:rPr>
          <w:w w:val="120"/>
          <w:sz w:val="20"/>
        </w:rPr>
        <w:t>respect.</w:t>
      </w:r>
    </w:p>
    <w:p>
      <w:pPr>
        <w:pStyle w:val="BodyText"/>
      </w:pPr>
    </w:p>
    <w:p>
      <w:pPr>
        <w:pStyle w:val="ListParagraph"/>
        <w:numPr>
          <w:ilvl w:val="1"/>
          <w:numId w:val="142"/>
        </w:numPr>
        <w:tabs>
          <w:tab w:pos="2664" w:val="left" w:leader="none"/>
          <w:tab w:pos="2665" w:val="left" w:leader="none"/>
        </w:tabs>
        <w:spacing w:line="235" w:lineRule="auto" w:before="0" w:after="0"/>
        <w:ind w:left="1984" w:right="1172" w:firstLine="0"/>
        <w:jc w:val="left"/>
        <w:rPr>
          <w:sz w:val="20"/>
        </w:rPr>
      </w:pPr>
      <w:r>
        <w:rPr>
          <w:w w:val="120"/>
          <w:sz w:val="20"/>
        </w:rPr>
        <w:t>Retirement housing continues to figure prominently in the pre-retirement courses run at the Windermere Centre by Ministries. In most years three courses are run; three more are planned for this year and four for </w:t>
      </w:r>
      <w:r>
        <w:rPr>
          <w:spacing w:val="-8"/>
          <w:w w:val="120"/>
          <w:sz w:val="20"/>
        </w:rPr>
        <w:t>2011 </w:t>
      </w:r>
      <w:r>
        <w:rPr>
          <w:w w:val="120"/>
          <w:sz w:val="20"/>
        </w:rPr>
        <w:t>due to the number of retiring ministers. The housing sessions are designed to be of benefit to all, regardless of whether or not financial assistance with housing will be needed. In addition, private discussions on individual needs are</w:t>
      </w:r>
      <w:r>
        <w:rPr>
          <w:spacing w:val="7"/>
          <w:w w:val="120"/>
          <w:sz w:val="20"/>
        </w:rPr>
        <w:t> </w:t>
      </w:r>
      <w:r>
        <w:rPr>
          <w:w w:val="120"/>
          <w:sz w:val="20"/>
        </w:rPr>
        <w:t>provided.</w:t>
      </w:r>
    </w:p>
    <w:p>
      <w:pPr>
        <w:pStyle w:val="BodyText"/>
      </w:pPr>
    </w:p>
    <w:p>
      <w:pPr>
        <w:pStyle w:val="ListParagraph"/>
        <w:numPr>
          <w:ilvl w:val="1"/>
          <w:numId w:val="142"/>
        </w:numPr>
        <w:tabs>
          <w:tab w:pos="2664" w:val="left" w:leader="none"/>
          <w:tab w:pos="2665" w:val="left" w:leader="none"/>
        </w:tabs>
        <w:spacing w:line="235" w:lineRule="auto" w:before="0" w:after="0"/>
        <w:ind w:left="1984" w:right="1885" w:firstLine="0"/>
        <w:jc w:val="left"/>
        <w:rPr>
          <w:sz w:val="20"/>
        </w:rPr>
      </w:pPr>
      <w:r>
        <w:rPr>
          <w:w w:val="120"/>
          <w:sz w:val="20"/>
        </w:rPr>
        <w:t>Anyone requiring more detailed information about the work of the Retired Ministers’ Housing scheme should contact </w:t>
      </w:r>
      <w:r>
        <w:rPr>
          <w:spacing w:val="-4"/>
          <w:w w:val="120"/>
          <w:sz w:val="20"/>
        </w:rPr>
        <w:t>Tony </w:t>
      </w:r>
      <w:r>
        <w:rPr>
          <w:w w:val="120"/>
          <w:sz w:val="20"/>
        </w:rPr>
        <w:t>Bayley at Church</w:t>
      </w:r>
      <w:r>
        <w:rPr>
          <w:spacing w:val="43"/>
          <w:w w:val="120"/>
          <w:sz w:val="20"/>
        </w:rPr>
        <w:t> </w:t>
      </w:r>
      <w:r>
        <w:rPr>
          <w:w w:val="120"/>
          <w:sz w:val="20"/>
        </w:rPr>
        <w:t>House.</w:t>
      </w:r>
    </w:p>
    <w:p>
      <w:pPr>
        <w:pStyle w:val="BodyText"/>
      </w:pPr>
    </w:p>
    <w:p>
      <w:pPr>
        <w:pStyle w:val="BodyText"/>
      </w:pPr>
    </w:p>
    <w:p>
      <w:pPr>
        <w:pStyle w:val="BodyText"/>
      </w:pPr>
    </w:p>
    <w:p>
      <w:pPr>
        <w:pStyle w:val="BodyText"/>
        <w:spacing w:before="3"/>
        <w:rPr>
          <w:sz w:val="21"/>
        </w:rPr>
      </w:pPr>
      <w:r>
        <w:rPr/>
        <w:pict>
          <v:shape style="position:absolute;margin-left:99.212601pt;margin-top:21.281075pt;width:183.85pt;height:.1pt;mso-position-horizontal-relative:page;mso-position-vertical-relative:paragraph;z-index:-251192320;mso-wrap-distance-left:0;mso-wrap-distance-right:0" coordorigin="1984,426" coordsize="3677,0" path="m1984,426l5661,426e" filled="false" stroked="true" strokeweight=".5pt" strokecolor="#8ba8bd">
            <v:path arrowok="t"/>
            <v:stroke dashstyle="solid"/>
            <w10:wrap type="topAndBottom"/>
          </v:shape>
        </w:pict>
      </w:r>
      <w:r>
        <w:rPr/>
        <w:pict>
          <v:rect style="position:absolute;margin-left:293.385986pt;margin-top:14.958781pt;width:13.721pt;height:13.721pt;mso-position-horizontal-relative:page;mso-position-vertical-relative:paragraph;z-index:-251191296;mso-wrap-distance-left:0;mso-wrap-distance-right:0" filled="true" fillcolor="#8ba8bd" stroked="false">
            <v:fill type="solid"/>
            <w10:wrap type="topAndBottom"/>
          </v:rect>
        </w:pict>
      </w:r>
      <w:r>
        <w:rPr/>
        <w:pict>
          <v:rect style="position:absolute;margin-left:311.822998pt;margin-top:14.958781pt;width:13.721pt;height:13.721pt;mso-position-horizontal-relative:page;mso-position-vertical-relative:paragraph;z-index:-251190272;mso-wrap-distance-left:0;mso-wrap-distance-right:0" filled="true" fillcolor="#c2d2df" stroked="false">
            <v:fill type="solid"/>
            <w10:wrap type="topAndBottom"/>
          </v:rect>
        </w:pict>
      </w:r>
      <w:r>
        <w:rPr/>
        <w:pict>
          <v:rect style="position:absolute;margin-left:330.688995pt;margin-top:14.958781pt;width:13.721pt;height:13.721pt;mso-position-horizontal-relative:page;mso-position-vertical-relative:paragraph;z-index:-251189248;mso-wrap-distance-left:0;mso-wrap-distance-right:0" filled="true" fillcolor="#dae4ec" stroked="false">
            <v:fill opacity="32768f" type="solid"/>
            <w10:wrap type="topAndBottom"/>
          </v:rect>
        </w:pict>
      </w:r>
      <w:r>
        <w:rPr/>
        <w:pict>
          <v:shape style="position:absolute;margin-left:354.235992pt;margin-top:21.281075pt;width:184.35pt;height:.1pt;mso-position-horizontal-relative:page;mso-position-vertical-relative:paragraph;z-index:-251188224;mso-wrap-distance-left:0;mso-wrap-distance-right:0" coordorigin="7085,426" coordsize="3687,0" path="m7085,426l10772,426e" filled="false" stroked="true" strokeweight=".5pt" strokecolor="#8ba8bd">
            <v:path arrowok="t"/>
            <v:stroke dashstyle="solid"/>
            <w10:wrap type="topAndBottom"/>
          </v:shape>
        </w:pict>
      </w:r>
    </w:p>
    <w:p>
      <w:pPr>
        <w:spacing w:after="0"/>
        <w:rPr>
          <w:sz w:val="21"/>
        </w:rPr>
        <w:sectPr>
          <w:pgSz w:w="11910" w:h="16840"/>
          <w:pgMar w:header="0" w:footer="647" w:top="1060" w:bottom="840" w:left="0" w:right="0"/>
        </w:sectPr>
      </w:pPr>
    </w:p>
    <w:p>
      <w:pPr>
        <w:spacing w:line="2516" w:lineRule="exact" w:before="169"/>
        <w:ind w:left="1022" w:right="0" w:firstLine="0"/>
        <w:jc w:val="left"/>
        <w:rPr>
          <w:rFonts w:ascii="Trebuchet MS"/>
          <w:sz w:val="223"/>
        </w:rPr>
      </w:pPr>
      <w:r>
        <w:rPr>
          <w:rFonts w:ascii="Trebuchet MS"/>
          <w:color w:val="0087BE"/>
          <w:spacing w:val="23"/>
          <w:w w:val="115"/>
          <w:sz w:val="223"/>
        </w:rPr>
        <w:t>R</w:t>
      </w:r>
      <w:r>
        <w:rPr>
          <w:rFonts w:ascii="Trebuchet MS"/>
          <w:color w:val="0087BE"/>
          <w:spacing w:val="23"/>
          <w:w w:val="115"/>
          <w:sz w:val="223"/>
          <w:u w:val="single" w:color="000000"/>
        </w:rPr>
        <w:t>EFORM</w:t>
      </w:r>
    </w:p>
    <w:p>
      <w:pPr>
        <w:spacing w:line="344" w:lineRule="exact" w:before="0"/>
        <w:ind w:left="3971" w:right="0" w:firstLine="0"/>
        <w:jc w:val="left"/>
        <w:rPr>
          <w:rFonts w:ascii="Trebuchet MS"/>
          <w:sz w:val="36"/>
        </w:rPr>
      </w:pPr>
      <w:r>
        <w:rPr>
          <w:rFonts w:ascii="Trebuchet MS"/>
          <w:color w:val="0086BE"/>
          <w:spacing w:val="-3"/>
          <w:sz w:val="36"/>
        </w:rPr>
        <w:t>NEWS, </w:t>
      </w:r>
      <w:r>
        <w:rPr>
          <w:rFonts w:ascii="Trebuchet MS"/>
          <w:color w:val="0086BE"/>
          <w:spacing w:val="-8"/>
          <w:sz w:val="36"/>
        </w:rPr>
        <w:t>COMMENT, </w:t>
      </w:r>
      <w:r>
        <w:rPr>
          <w:rFonts w:ascii="Trebuchet MS"/>
          <w:color w:val="0086BE"/>
          <w:spacing w:val="-7"/>
          <w:sz w:val="36"/>
        </w:rPr>
        <w:t>INSPIRATION,</w:t>
      </w:r>
      <w:r>
        <w:rPr>
          <w:rFonts w:ascii="Trebuchet MS"/>
          <w:color w:val="0086BE"/>
          <w:spacing w:val="35"/>
          <w:sz w:val="36"/>
        </w:rPr>
        <w:t> </w:t>
      </w:r>
      <w:r>
        <w:rPr>
          <w:rFonts w:ascii="Trebuchet MS"/>
          <w:color w:val="0086BE"/>
          <w:spacing w:val="-8"/>
          <w:sz w:val="36"/>
        </w:rPr>
        <w:t>DEBATE</w:t>
      </w:r>
    </w:p>
    <w:p>
      <w:pPr>
        <w:pStyle w:val="BodyText"/>
        <w:spacing w:before="7"/>
        <w:rPr>
          <w:rFonts w:ascii="Trebuchet MS"/>
          <w:sz w:val="40"/>
        </w:rPr>
      </w:pPr>
    </w:p>
    <w:p>
      <w:pPr>
        <w:spacing w:line="1263" w:lineRule="exact" w:before="0"/>
        <w:ind w:left="1345" w:right="0" w:firstLine="0"/>
        <w:jc w:val="left"/>
        <w:rPr>
          <w:rFonts w:ascii="Trebuchet MS"/>
          <w:sz w:val="115"/>
        </w:rPr>
      </w:pPr>
      <w:r>
        <w:rPr/>
        <w:pict>
          <v:shape style="position:absolute;margin-left:426.80899pt;margin-top:-7.302007pt;width:88.7pt;height:110.15pt;mso-position-horizontal-relative:page;mso-position-vertical-relative:paragraph;z-index:-267290624" type="#_x0000_t202" filled="false" stroked="false">
            <v:textbox inset="0,0,0,0">
              <w:txbxContent>
                <w:p>
                  <w:pPr>
                    <w:spacing w:line="430" w:lineRule="exact" w:before="80"/>
                    <w:ind w:left="55" w:right="0" w:firstLine="0"/>
                    <w:jc w:val="left"/>
                    <w:rPr>
                      <w:rFonts w:ascii="Trebuchet MS"/>
                      <w:sz w:val="38"/>
                    </w:rPr>
                  </w:pPr>
                  <w:r>
                    <w:rPr>
                      <w:rFonts w:ascii="Trebuchet MS"/>
                      <w:color w:val="B31217"/>
                      <w:spacing w:val="6"/>
                      <w:w w:val="113"/>
                      <w:sz w:val="38"/>
                    </w:rPr>
                    <w:t>R</w:t>
                  </w:r>
                  <w:r>
                    <w:rPr>
                      <w:rFonts w:ascii="Trebuchet MS"/>
                      <w:color w:val="B31217"/>
                      <w:spacing w:val="-2"/>
                      <w:w w:val="113"/>
                      <w:sz w:val="38"/>
                    </w:rPr>
                    <w:t>E</w:t>
                  </w:r>
                  <w:r>
                    <w:rPr>
                      <w:rFonts w:ascii="Trebuchet MS"/>
                      <w:color w:val="B31217"/>
                      <w:spacing w:val="-4"/>
                      <w:w w:val="113"/>
                      <w:sz w:val="38"/>
                    </w:rPr>
                    <w:t>F</w:t>
                  </w:r>
                  <w:r>
                    <w:rPr>
                      <w:rFonts w:ascii="Trebuchet MS"/>
                      <w:color w:val="B31217"/>
                      <w:spacing w:val="2"/>
                      <w:w w:val="121"/>
                      <w:sz w:val="38"/>
                    </w:rPr>
                    <w:t>O</w:t>
                  </w:r>
                  <w:r>
                    <w:rPr>
                      <w:rFonts w:ascii="Trebuchet MS"/>
                      <w:color w:val="B31217"/>
                      <w:spacing w:val="21"/>
                      <w:w w:val="113"/>
                      <w:sz w:val="38"/>
                    </w:rPr>
                    <w:t>R</w:t>
                  </w:r>
                  <w:r>
                    <w:rPr>
                      <w:rFonts w:ascii="Trebuchet MS"/>
                      <w:color w:val="B31217"/>
                      <w:spacing w:val="-250"/>
                      <w:w w:val="113"/>
                      <w:sz w:val="38"/>
                    </w:rPr>
                    <w:t>M</w:t>
                  </w:r>
                </w:p>
                <w:p>
                  <w:pPr>
                    <w:tabs>
                      <w:tab w:pos="1403" w:val="left" w:leader="none"/>
                    </w:tabs>
                    <w:spacing w:line="24" w:lineRule="exact" w:before="0"/>
                    <w:ind w:left="536" w:right="0" w:firstLine="0"/>
                    <w:jc w:val="left"/>
                    <w:rPr>
                      <w:rFonts w:ascii="Trebuchet MS" w:hAnsi="Trebuchet MS"/>
                      <w:sz w:val="3"/>
                    </w:rPr>
                  </w:pPr>
                  <w:r>
                    <w:rPr>
                      <w:rFonts w:ascii="Trebuchet MS" w:hAnsi="Trebuchet MS"/>
                      <w:color w:val="FFFFFF"/>
                      <w:sz w:val="3"/>
                    </w:rPr>
                    <w:t>NEWS,</w:t>
                  </w:r>
                  <w:r>
                    <w:rPr>
                      <w:rFonts w:ascii="Trebuchet MS" w:hAnsi="Trebuchet MS"/>
                      <w:color w:val="FFFFFF"/>
                      <w:spacing w:val="-7"/>
                      <w:sz w:val="3"/>
                    </w:rPr>
                    <w:t> </w:t>
                  </w:r>
                  <w:r>
                    <w:rPr>
                      <w:rFonts w:ascii="Trebuchet MS" w:hAnsi="Trebuchet MS"/>
                      <w:color w:val="FFFFFF"/>
                      <w:sz w:val="3"/>
                    </w:rPr>
                    <w:t>COMMENT,</w:t>
                  </w:r>
                  <w:r>
                    <w:rPr>
                      <w:rFonts w:ascii="Trebuchet MS" w:hAnsi="Trebuchet MS"/>
                      <w:color w:val="FFFFFF"/>
                      <w:spacing w:val="-6"/>
                      <w:sz w:val="3"/>
                    </w:rPr>
                    <w:t> </w:t>
                  </w:r>
                  <w:r>
                    <w:rPr>
                      <w:rFonts w:ascii="Trebuchet MS" w:hAnsi="Trebuchet MS"/>
                      <w:color w:val="FFFFFF"/>
                      <w:sz w:val="3"/>
                    </w:rPr>
                    <w:t>INSPIRATION,</w:t>
                  </w:r>
                  <w:r>
                    <w:rPr>
                      <w:rFonts w:ascii="Trebuchet MS" w:hAnsi="Trebuchet MS"/>
                      <w:color w:val="FFFFFF"/>
                      <w:spacing w:val="-6"/>
                      <w:sz w:val="3"/>
                    </w:rPr>
                    <w:t> </w:t>
                  </w:r>
                  <w:r>
                    <w:rPr>
                      <w:rFonts w:ascii="Trebuchet MS" w:hAnsi="Trebuchet MS"/>
                      <w:color w:val="FFFFFF"/>
                      <w:sz w:val="3"/>
                    </w:rPr>
                    <w:t>DEBATE</w:t>
                    <w:tab/>
                  </w:r>
                  <w:r>
                    <w:rPr>
                      <w:rFonts w:ascii="Trebuchet MS" w:hAnsi="Trebuchet MS"/>
                      <w:color w:val="662B29"/>
                      <w:sz w:val="3"/>
                    </w:rPr>
                    <w:t>MARCH 2010</w:t>
                  </w:r>
                  <w:r>
                    <w:rPr>
                      <w:rFonts w:ascii="Trebuchet MS" w:hAnsi="Trebuchet MS"/>
                      <w:color w:val="662B29"/>
                      <w:spacing w:val="5"/>
                      <w:sz w:val="3"/>
                    </w:rPr>
                    <w:t> </w:t>
                  </w:r>
                  <w:r>
                    <w:rPr>
                      <w:rFonts w:ascii="Trebuchet MS" w:hAnsi="Trebuchet MS"/>
                      <w:color w:val="662B29"/>
                      <w:sz w:val="3"/>
                    </w:rPr>
                    <w:t>£1.80</w:t>
                  </w:r>
                </w:p>
                <w:p>
                  <w:pPr>
                    <w:pStyle w:val="BodyText"/>
                    <w:rPr>
                      <w:rFonts w:ascii="Trebuchet MS"/>
                      <w:sz w:val="4"/>
                    </w:rPr>
                  </w:pPr>
                </w:p>
                <w:p>
                  <w:pPr>
                    <w:pStyle w:val="BodyText"/>
                    <w:spacing w:before="8"/>
                    <w:rPr>
                      <w:rFonts w:ascii="Trebuchet MS"/>
                      <w:sz w:val="4"/>
                    </w:rPr>
                  </w:pPr>
                </w:p>
                <w:p>
                  <w:pPr>
                    <w:spacing w:line="244" w:lineRule="auto" w:before="0"/>
                    <w:ind w:left="85" w:right="1240" w:firstLine="0"/>
                    <w:jc w:val="both"/>
                    <w:rPr>
                      <w:rFonts w:ascii="Book Antiqua"/>
                      <w:b/>
                      <w:sz w:val="5"/>
                    </w:rPr>
                  </w:pPr>
                  <w:r>
                    <w:rPr>
                      <w:rFonts w:ascii="Arial"/>
                      <w:b/>
                      <w:color w:val="2B1110"/>
                      <w:sz w:val="5"/>
                    </w:rPr>
                    <w:t>Bernard Ntahoturi </w:t>
                  </w:r>
                  <w:r>
                    <w:rPr>
                      <w:rFonts w:ascii="Book Antiqua"/>
                      <w:b/>
                      <w:color w:val="FFFFFF"/>
                      <w:sz w:val="5"/>
                    </w:rPr>
                    <w:t>The power and </w:t>
                  </w:r>
                  <w:r>
                    <w:rPr>
                      <w:rFonts w:ascii="Book Antiqua"/>
                      <w:b/>
                      <w:color w:val="FFFFFF"/>
                      <w:spacing w:val="-4"/>
                      <w:sz w:val="5"/>
                    </w:rPr>
                    <w:t>pain </w:t>
                  </w:r>
                  <w:r>
                    <w:rPr>
                      <w:rFonts w:ascii="Book Antiqua"/>
                      <w:b/>
                      <w:color w:val="FFFFFF"/>
                      <w:sz w:val="5"/>
                    </w:rPr>
                    <w:t>of reconciliation</w:t>
                  </w:r>
                </w:p>
                <w:p>
                  <w:pPr>
                    <w:spacing w:before="42"/>
                    <w:ind w:left="85" w:right="0" w:firstLine="0"/>
                    <w:jc w:val="left"/>
                    <w:rPr>
                      <w:rFonts w:ascii="Arial"/>
                      <w:b/>
                      <w:sz w:val="5"/>
                    </w:rPr>
                  </w:pPr>
                  <w:r>
                    <w:rPr>
                      <w:rFonts w:ascii="Arial"/>
                      <w:b/>
                      <w:color w:val="2B1110"/>
                      <w:sz w:val="5"/>
                    </w:rPr>
                    <w:t>A radical welcome</w:t>
                  </w:r>
                </w:p>
                <w:p>
                  <w:pPr>
                    <w:spacing w:before="3"/>
                    <w:ind w:left="85" w:right="1364" w:firstLine="0"/>
                    <w:jc w:val="left"/>
                    <w:rPr>
                      <w:rFonts w:ascii="Book Antiqua"/>
                      <w:b/>
                      <w:sz w:val="5"/>
                    </w:rPr>
                  </w:pPr>
                  <w:r>
                    <w:rPr>
                      <w:rFonts w:ascii="Book Antiqua"/>
                      <w:b/>
                      <w:color w:val="FFFFFF"/>
                      <w:sz w:val="5"/>
                    </w:rPr>
                    <w:t>How </w:t>
                  </w:r>
                  <w:r>
                    <w:rPr>
                      <w:rFonts w:ascii="Book Antiqua"/>
                      <w:b/>
                      <w:color w:val="FFFFFF"/>
                      <w:spacing w:val="-3"/>
                      <w:sz w:val="5"/>
                    </w:rPr>
                    <w:t>inclusive </w:t>
                  </w:r>
                  <w:r>
                    <w:rPr>
                      <w:rFonts w:ascii="Book Antiqua"/>
                      <w:b/>
                      <w:color w:val="FFFFFF"/>
                      <w:sz w:val="5"/>
                    </w:rPr>
                    <w:t>is</w:t>
                  </w:r>
                  <w:r>
                    <w:rPr>
                      <w:rFonts w:ascii="Book Antiqua"/>
                      <w:b/>
                      <w:color w:val="FFFFFF"/>
                      <w:spacing w:val="-4"/>
                      <w:sz w:val="5"/>
                    </w:rPr>
                    <w:t> </w:t>
                  </w:r>
                  <w:r>
                    <w:rPr>
                      <w:rFonts w:ascii="Book Antiqua"/>
                      <w:b/>
                      <w:color w:val="FFFFFF"/>
                      <w:sz w:val="5"/>
                    </w:rPr>
                    <w:t>God?</w:t>
                  </w:r>
                </w:p>
                <w:p>
                  <w:pPr>
                    <w:spacing w:before="43"/>
                    <w:ind w:left="85" w:right="0" w:firstLine="0"/>
                    <w:jc w:val="left"/>
                    <w:rPr>
                      <w:rFonts w:ascii="Arial"/>
                      <w:b/>
                      <w:sz w:val="5"/>
                    </w:rPr>
                  </w:pPr>
                  <w:r>
                    <w:rPr>
                      <w:rFonts w:ascii="Arial"/>
                      <w:b/>
                      <w:color w:val="2B1110"/>
                      <w:sz w:val="5"/>
                    </w:rPr>
                    <w:t>China</w:t>
                  </w:r>
                </w:p>
                <w:p>
                  <w:pPr>
                    <w:spacing w:before="2"/>
                    <w:ind w:left="85" w:right="1299" w:firstLine="0"/>
                    <w:jc w:val="both"/>
                    <w:rPr>
                      <w:rFonts w:ascii="Book Antiqua"/>
                      <w:b/>
                      <w:sz w:val="5"/>
                    </w:rPr>
                  </w:pPr>
                  <w:r>
                    <w:rPr>
                      <w:rFonts w:ascii="Book Antiqua"/>
                      <w:b/>
                      <w:color w:val="FFFFFF"/>
                      <w:sz w:val="5"/>
                    </w:rPr>
                    <w:t>A burgeoning market for </w:t>
                  </w:r>
                  <w:r>
                    <w:rPr>
                      <w:rFonts w:ascii="Book Antiqua"/>
                      <w:b/>
                      <w:color w:val="FFFFFF"/>
                      <w:spacing w:val="-4"/>
                      <w:sz w:val="5"/>
                    </w:rPr>
                    <w:t>Bibles</w:t>
                  </w:r>
                </w:p>
                <w:p>
                  <w:pPr>
                    <w:pStyle w:val="BodyText"/>
                    <w:rPr>
                      <w:rFonts w:ascii="Book Antiqua"/>
                      <w:b/>
                      <w:sz w:val="6"/>
                    </w:rPr>
                  </w:pPr>
                </w:p>
                <w:p>
                  <w:pPr>
                    <w:pStyle w:val="BodyText"/>
                    <w:rPr>
                      <w:rFonts w:ascii="Book Antiqua"/>
                      <w:b/>
                      <w:sz w:val="6"/>
                    </w:rPr>
                  </w:pPr>
                </w:p>
                <w:p>
                  <w:pPr>
                    <w:pStyle w:val="BodyText"/>
                    <w:spacing w:before="8"/>
                    <w:rPr>
                      <w:rFonts w:ascii="Book Antiqua"/>
                      <w:b/>
                      <w:sz w:val="7"/>
                    </w:rPr>
                  </w:pPr>
                </w:p>
                <w:p>
                  <w:pPr>
                    <w:spacing w:line="201" w:lineRule="auto" w:before="0"/>
                    <w:ind w:left="1115" w:right="115" w:firstLine="181"/>
                    <w:jc w:val="right"/>
                    <w:rPr>
                      <w:rFonts w:ascii="Book Antiqua"/>
                      <w:b/>
                      <w:sz w:val="12"/>
                    </w:rPr>
                  </w:pPr>
                  <w:r>
                    <w:rPr>
                      <w:rFonts w:ascii="Book Antiqua"/>
                      <w:b/>
                      <w:color w:val="2B1110"/>
                      <w:w w:val="105"/>
                      <w:sz w:val="12"/>
                    </w:rPr>
                    <w:t>Inner journeys of Lent</w:t>
                  </w:r>
                </w:p>
              </w:txbxContent>
            </v:textbox>
            <w10:wrap type="none"/>
          </v:shape>
        </w:pict>
      </w:r>
      <w:r>
        <w:rPr/>
        <w:pict>
          <v:shape style="position:absolute;margin-left:329.072998pt;margin-top:-6.663007pt;width:88.7pt;height:108.85pt;mso-position-horizontal-relative:page;mso-position-vertical-relative:paragraph;z-index:-267289600" type="#_x0000_t202" filled="false" stroked="false">
            <v:textbox inset="0,0,0,0">
              <w:txbxContent>
                <w:p>
                  <w:pPr>
                    <w:spacing w:line="430" w:lineRule="exact" w:before="84"/>
                    <w:ind w:left="71" w:right="0" w:firstLine="0"/>
                    <w:jc w:val="left"/>
                    <w:rPr>
                      <w:rFonts w:ascii="Trebuchet MS"/>
                      <w:sz w:val="38"/>
                    </w:rPr>
                  </w:pPr>
                  <w:r>
                    <w:rPr>
                      <w:rFonts w:ascii="Trebuchet MS"/>
                      <w:color w:val="F7DB5F"/>
                      <w:spacing w:val="3"/>
                      <w:w w:val="110"/>
                      <w:sz w:val="38"/>
                    </w:rPr>
                    <w:t>RE</w:t>
                  </w:r>
                  <w:r>
                    <w:rPr>
                      <w:rFonts w:ascii="Trebuchet MS"/>
                      <w:color w:val="F7DB5F"/>
                      <w:spacing w:val="3"/>
                      <w:w w:val="110"/>
                      <w:sz w:val="38"/>
                      <w:u w:val="single" w:color="6EADDD"/>
                    </w:rPr>
                    <w:t>FORM</w:t>
                  </w:r>
                </w:p>
                <w:p>
                  <w:pPr>
                    <w:tabs>
                      <w:tab w:pos="1350" w:val="left" w:leader="none"/>
                    </w:tabs>
                    <w:spacing w:line="23" w:lineRule="exact" w:before="0"/>
                    <w:ind w:left="541" w:right="0" w:firstLine="0"/>
                    <w:jc w:val="left"/>
                    <w:rPr>
                      <w:rFonts w:ascii="Trebuchet MS" w:hAnsi="Trebuchet MS"/>
                      <w:sz w:val="3"/>
                    </w:rPr>
                  </w:pPr>
                  <w:r>
                    <w:rPr>
                      <w:rFonts w:ascii="Trebuchet MS" w:hAnsi="Trebuchet MS"/>
                      <w:color w:val="FFFFFF"/>
                      <w:w w:val="95"/>
                      <w:sz w:val="3"/>
                    </w:rPr>
                    <w:t>NEWS, COMMENT,</w:t>
                  </w:r>
                  <w:r>
                    <w:rPr>
                      <w:rFonts w:ascii="Trebuchet MS" w:hAnsi="Trebuchet MS"/>
                      <w:color w:val="FFFFFF"/>
                      <w:spacing w:val="-6"/>
                      <w:w w:val="95"/>
                      <w:sz w:val="3"/>
                    </w:rPr>
                    <w:t> </w:t>
                  </w:r>
                  <w:r>
                    <w:rPr>
                      <w:rFonts w:ascii="Trebuchet MS" w:hAnsi="Trebuchet MS"/>
                      <w:color w:val="FFFFFF"/>
                      <w:w w:val="95"/>
                      <w:sz w:val="3"/>
                    </w:rPr>
                    <w:t>INSPIRATION,</w:t>
                  </w:r>
                  <w:r>
                    <w:rPr>
                      <w:rFonts w:ascii="Trebuchet MS" w:hAnsi="Trebuchet MS"/>
                      <w:color w:val="FFFFFF"/>
                      <w:spacing w:val="-3"/>
                      <w:w w:val="95"/>
                      <w:sz w:val="3"/>
                    </w:rPr>
                    <w:t> </w:t>
                  </w:r>
                  <w:r>
                    <w:rPr>
                      <w:rFonts w:ascii="Trebuchet MS" w:hAnsi="Trebuchet MS"/>
                      <w:color w:val="FFFFFF"/>
                      <w:w w:val="95"/>
                      <w:sz w:val="3"/>
                    </w:rPr>
                    <w:t>DEBATE</w:t>
                    <w:tab/>
                  </w:r>
                  <w:r>
                    <w:rPr>
                      <w:rFonts w:ascii="Trebuchet MS" w:hAnsi="Trebuchet MS"/>
                      <w:color w:val="BCDDF7"/>
                      <w:w w:val="95"/>
                      <w:sz w:val="3"/>
                    </w:rPr>
                    <w:t>FEBRUARY 2010</w:t>
                  </w:r>
                  <w:r>
                    <w:rPr>
                      <w:rFonts w:ascii="Trebuchet MS" w:hAnsi="Trebuchet MS"/>
                      <w:color w:val="BCDDF7"/>
                      <w:spacing w:val="-2"/>
                      <w:w w:val="95"/>
                      <w:sz w:val="3"/>
                    </w:rPr>
                    <w:t> </w:t>
                  </w:r>
                  <w:r>
                    <w:rPr>
                      <w:rFonts w:ascii="Trebuchet MS" w:hAnsi="Trebuchet MS"/>
                      <w:color w:val="BCDDF7"/>
                      <w:w w:val="95"/>
                      <w:sz w:val="3"/>
                    </w:rPr>
                    <w:t>£1.80</w:t>
                  </w:r>
                </w:p>
                <w:p>
                  <w:pPr>
                    <w:pStyle w:val="BodyText"/>
                    <w:rPr>
                      <w:rFonts w:ascii="Trebuchet MS"/>
                      <w:sz w:val="4"/>
                    </w:rPr>
                  </w:pPr>
                </w:p>
                <w:p>
                  <w:pPr>
                    <w:pStyle w:val="BodyText"/>
                    <w:spacing w:before="3"/>
                    <w:rPr>
                      <w:rFonts w:ascii="Trebuchet MS"/>
                      <w:sz w:val="5"/>
                    </w:rPr>
                  </w:pPr>
                </w:p>
                <w:p>
                  <w:pPr>
                    <w:spacing w:before="0"/>
                    <w:ind w:left="102" w:right="0" w:firstLine="0"/>
                    <w:jc w:val="left"/>
                    <w:rPr>
                      <w:rFonts w:ascii="Arial"/>
                      <w:b/>
                      <w:sz w:val="4"/>
                    </w:rPr>
                  </w:pPr>
                  <w:r>
                    <w:rPr>
                      <w:rFonts w:ascii="Arial"/>
                      <w:b/>
                      <w:color w:val="BCDDF7"/>
                      <w:w w:val="120"/>
                      <w:sz w:val="4"/>
                    </w:rPr>
                    <w:t>Theo Hobson</w:t>
                  </w:r>
                </w:p>
                <w:p>
                  <w:pPr>
                    <w:spacing w:before="13"/>
                    <w:ind w:left="102" w:right="0" w:firstLine="0"/>
                    <w:jc w:val="left"/>
                    <w:rPr>
                      <w:rFonts w:ascii="Book Antiqua"/>
                      <w:b/>
                      <w:sz w:val="4"/>
                    </w:rPr>
                  </w:pPr>
                  <w:r>
                    <w:rPr>
                      <w:rFonts w:ascii="Book Antiqua"/>
                      <w:b/>
                      <w:color w:val="FFFFFF"/>
                      <w:w w:val="120"/>
                      <w:sz w:val="4"/>
                    </w:rPr>
                    <w:t>on religion as culture</w:t>
                  </w:r>
                </w:p>
                <w:p>
                  <w:pPr>
                    <w:pStyle w:val="BodyText"/>
                    <w:spacing w:before="4"/>
                    <w:rPr>
                      <w:rFonts w:ascii="Book Antiqua"/>
                      <w:b/>
                      <w:sz w:val="4"/>
                    </w:rPr>
                  </w:pPr>
                </w:p>
                <w:p>
                  <w:pPr>
                    <w:spacing w:before="0"/>
                    <w:ind w:left="102" w:right="0" w:firstLine="0"/>
                    <w:jc w:val="left"/>
                    <w:rPr>
                      <w:rFonts w:ascii="Arial"/>
                      <w:b/>
                      <w:sz w:val="4"/>
                    </w:rPr>
                  </w:pPr>
                  <w:r>
                    <w:rPr>
                      <w:rFonts w:ascii="Arial"/>
                      <w:b/>
                      <w:color w:val="BCDDF7"/>
                      <w:w w:val="120"/>
                      <w:sz w:val="4"/>
                    </w:rPr>
                    <w:t>Dostoevsky</w:t>
                  </w:r>
                </w:p>
                <w:p>
                  <w:pPr>
                    <w:spacing w:before="13"/>
                    <w:ind w:left="102" w:right="0" w:firstLine="0"/>
                    <w:jc w:val="left"/>
                    <w:rPr>
                      <w:rFonts w:ascii="Book Antiqua"/>
                      <w:b/>
                      <w:sz w:val="4"/>
                    </w:rPr>
                  </w:pPr>
                  <w:r>
                    <w:rPr>
                      <w:rFonts w:ascii="Book Antiqua"/>
                      <w:b/>
                      <w:color w:val="FFFFFF"/>
                      <w:w w:val="120"/>
                      <w:sz w:val="4"/>
                    </w:rPr>
                    <w:t>between</w:t>
                  </w:r>
                  <w:r>
                    <w:rPr>
                      <w:rFonts w:ascii="Book Antiqua"/>
                      <w:b/>
                      <w:color w:val="FFFFFF"/>
                      <w:spacing w:val="-5"/>
                      <w:w w:val="120"/>
                      <w:sz w:val="4"/>
                    </w:rPr>
                    <w:t> </w:t>
                  </w:r>
                  <w:r>
                    <w:rPr>
                      <w:rFonts w:ascii="Book Antiqua"/>
                      <w:b/>
                      <w:color w:val="FFFFFF"/>
                      <w:w w:val="120"/>
                      <w:sz w:val="4"/>
                    </w:rPr>
                    <w:t>friends</w:t>
                  </w:r>
                </w:p>
                <w:p>
                  <w:pPr>
                    <w:pStyle w:val="BodyText"/>
                    <w:spacing w:before="5"/>
                    <w:rPr>
                      <w:rFonts w:ascii="Book Antiqua"/>
                      <w:b/>
                      <w:sz w:val="4"/>
                    </w:rPr>
                  </w:pPr>
                </w:p>
                <w:p>
                  <w:pPr>
                    <w:spacing w:before="0"/>
                    <w:ind w:left="102" w:right="0" w:firstLine="0"/>
                    <w:jc w:val="left"/>
                    <w:rPr>
                      <w:rFonts w:ascii="Arial"/>
                      <w:b/>
                      <w:sz w:val="4"/>
                    </w:rPr>
                  </w:pPr>
                  <w:r>
                    <w:rPr>
                      <w:rFonts w:ascii="Arial"/>
                      <w:b/>
                      <w:color w:val="BCDDF7"/>
                      <w:w w:val="125"/>
                      <w:sz w:val="4"/>
                    </w:rPr>
                    <w:t>Helen</w:t>
                  </w:r>
                  <w:r>
                    <w:rPr>
                      <w:rFonts w:ascii="Arial"/>
                      <w:b/>
                      <w:color w:val="BCDDF7"/>
                      <w:spacing w:val="-9"/>
                      <w:w w:val="125"/>
                      <w:sz w:val="4"/>
                    </w:rPr>
                    <w:t> </w:t>
                  </w:r>
                  <w:r>
                    <w:rPr>
                      <w:rFonts w:ascii="Arial"/>
                      <w:b/>
                      <w:color w:val="BCDDF7"/>
                      <w:w w:val="125"/>
                      <w:sz w:val="4"/>
                    </w:rPr>
                    <w:t>Berhane</w:t>
                  </w:r>
                </w:p>
                <w:p>
                  <w:pPr>
                    <w:spacing w:before="13"/>
                    <w:ind w:left="102" w:right="0" w:firstLine="0"/>
                    <w:jc w:val="left"/>
                    <w:rPr>
                      <w:rFonts w:ascii="Book Antiqua"/>
                      <w:b/>
                      <w:sz w:val="4"/>
                    </w:rPr>
                  </w:pPr>
                  <w:r>
                    <w:rPr>
                      <w:rFonts w:ascii="Book Antiqua"/>
                      <w:b/>
                      <w:color w:val="FFFFFF"/>
                      <w:w w:val="120"/>
                      <w:sz w:val="4"/>
                    </w:rPr>
                    <w:t>singing in the dark</w:t>
                  </w: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rPr>
                      <w:rFonts w:ascii="Book Antiqua"/>
                      <w:b/>
                      <w:sz w:val="4"/>
                    </w:rPr>
                  </w:pPr>
                </w:p>
                <w:p>
                  <w:pPr>
                    <w:pStyle w:val="BodyText"/>
                    <w:spacing w:before="4"/>
                    <w:rPr>
                      <w:rFonts w:ascii="Book Antiqua"/>
                      <w:b/>
                      <w:sz w:val="3"/>
                    </w:rPr>
                  </w:pPr>
                </w:p>
                <w:p>
                  <w:pPr>
                    <w:spacing w:line="196" w:lineRule="auto" w:before="0"/>
                    <w:ind w:left="1030" w:right="0" w:firstLine="56"/>
                    <w:jc w:val="left"/>
                    <w:rPr>
                      <w:rFonts w:ascii="Book Antiqua"/>
                      <w:b/>
                      <w:sz w:val="12"/>
                    </w:rPr>
                  </w:pPr>
                  <w:r>
                    <w:rPr>
                      <w:rFonts w:ascii="Book Antiqua"/>
                      <w:b/>
                      <w:color w:val="FFFFFF"/>
                      <w:w w:val="105"/>
                      <w:sz w:val="12"/>
                    </w:rPr>
                    <w:t>The art of expression</w:t>
                  </w:r>
                </w:p>
              </w:txbxContent>
            </v:textbox>
            <w10:wrap type="none"/>
          </v:shape>
        </w:pict>
      </w:r>
      <w:r>
        <w:rPr>
          <w:rFonts w:ascii="Trebuchet MS"/>
          <w:color w:val="FFFFFF"/>
          <w:spacing w:val="12"/>
          <w:w w:val="115"/>
          <w:sz w:val="115"/>
        </w:rPr>
        <w:t>REFORM</w:t>
      </w:r>
    </w:p>
    <w:p>
      <w:pPr>
        <w:tabs>
          <w:tab w:pos="5504" w:val="left" w:leader="none"/>
        </w:tabs>
        <w:spacing w:line="109" w:lineRule="exact" w:before="0"/>
        <w:ind w:left="2778" w:right="0" w:firstLine="0"/>
        <w:jc w:val="left"/>
        <w:rPr>
          <w:rFonts w:ascii="Trebuchet MS" w:hAnsi="Trebuchet MS"/>
          <w:sz w:val="9"/>
        </w:rPr>
      </w:pPr>
      <w:r>
        <w:rPr>
          <w:rFonts w:ascii="Trebuchet MS" w:hAnsi="Trebuchet MS"/>
          <w:color w:val="FFFFFF"/>
          <w:position w:val="1"/>
          <w:sz w:val="9"/>
        </w:rPr>
        <w:t>NEWS,</w:t>
      </w:r>
      <w:r>
        <w:rPr>
          <w:rFonts w:ascii="Trebuchet MS" w:hAnsi="Trebuchet MS"/>
          <w:color w:val="FFFFFF"/>
          <w:spacing w:val="-13"/>
          <w:position w:val="1"/>
          <w:sz w:val="9"/>
        </w:rPr>
        <w:t> </w:t>
      </w:r>
      <w:r>
        <w:rPr>
          <w:rFonts w:ascii="Trebuchet MS" w:hAnsi="Trebuchet MS"/>
          <w:color w:val="FFFFFF"/>
          <w:position w:val="1"/>
          <w:sz w:val="9"/>
        </w:rPr>
        <w:t>COMMENT,</w:t>
      </w:r>
      <w:r>
        <w:rPr>
          <w:rFonts w:ascii="Trebuchet MS" w:hAnsi="Trebuchet MS"/>
          <w:color w:val="FFFFFF"/>
          <w:spacing w:val="-13"/>
          <w:position w:val="1"/>
          <w:sz w:val="9"/>
        </w:rPr>
        <w:t> </w:t>
      </w:r>
      <w:r>
        <w:rPr>
          <w:rFonts w:ascii="Trebuchet MS" w:hAnsi="Trebuchet MS"/>
          <w:color w:val="FFFFFF"/>
          <w:position w:val="1"/>
          <w:sz w:val="9"/>
        </w:rPr>
        <w:t>INSPIRATION,</w:t>
      </w:r>
      <w:r>
        <w:rPr>
          <w:rFonts w:ascii="Trebuchet MS" w:hAnsi="Trebuchet MS"/>
          <w:color w:val="FFFFFF"/>
          <w:spacing w:val="-13"/>
          <w:position w:val="1"/>
          <w:sz w:val="9"/>
        </w:rPr>
        <w:t> </w:t>
      </w:r>
      <w:r>
        <w:rPr>
          <w:rFonts w:ascii="Trebuchet MS" w:hAnsi="Trebuchet MS"/>
          <w:color w:val="FFFFFF"/>
          <w:position w:val="1"/>
          <w:sz w:val="9"/>
        </w:rPr>
        <w:t>DEBATE</w:t>
        <w:tab/>
      </w:r>
      <w:r>
        <w:rPr>
          <w:rFonts w:ascii="Trebuchet MS" w:hAnsi="Trebuchet MS"/>
          <w:color w:val="FFFFFF"/>
          <w:sz w:val="9"/>
        </w:rPr>
        <w:t>MAY 2010</w:t>
      </w:r>
      <w:r>
        <w:rPr>
          <w:rFonts w:ascii="Trebuchet MS" w:hAnsi="Trebuchet MS"/>
          <w:color w:val="FFFFFF"/>
          <w:spacing w:val="-20"/>
          <w:sz w:val="9"/>
        </w:rPr>
        <w:t> </w:t>
      </w:r>
      <w:r>
        <w:rPr>
          <w:rFonts w:ascii="Trebuchet MS" w:hAnsi="Trebuchet MS"/>
          <w:color w:val="FFFFFF"/>
          <w:spacing w:val="-4"/>
          <w:sz w:val="9"/>
        </w:rPr>
        <w:t>£1.80</w:t>
      </w:r>
    </w:p>
    <w:p>
      <w:pPr>
        <w:pStyle w:val="BodyText"/>
        <w:spacing w:before="3"/>
        <w:rPr>
          <w:rFonts w:ascii="Trebuchet MS"/>
          <w:sz w:val="23"/>
        </w:rPr>
      </w:pPr>
    </w:p>
    <w:p>
      <w:pPr>
        <w:spacing w:after="0"/>
        <w:rPr>
          <w:rFonts w:ascii="Trebuchet MS"/>
          <w:sz w:val="23"/>
        </w:rPr>
        <w:sectPr>
          <w:headerReference w:type="even" r:id="rId340"/>
          <w:footerReference w:type="even" r:id="rId341"/>
          <w:pgSz w:w="11910" w:h="16840"/>
          <w:pgMar w:header="0" w:footer="0" w:top="740" w:bottom="280" w:left="0" w:right="0"/>
        </w:sectPr>
      </w:pPr>
    </w:p>
    <w:p>
      <w:pPr>
        <w:pStyle w:val="Heading9"/>
        <w:spacing w:line="277" w:lineRule="exact" w:before="200"/>
        <w:ind w:left="1440"/>
      </w:pPr>
      <w:r>
        <w:rPr>
          <w:color w:val="FFFFFF"/>
        </w:rPr>
        <w:t>Mark Prince</w:t>
      </w:r>
    </w:p>
    <w:p>
      <w:pPr>
        <w:spacing w:line="196" w:lineRule="exact" w:before="0"/>
        <w:ind w:left="1440" w:right="0" w:firstLine="0"/>
        <w:jc w:val="left"/>
        <w:rPr>
          <w:rFonts w:ascii="DaxCondensed-Medium"/>
          <w:sz w:val="17"/>
        </w:rPr>
      </w:pPr>
      <w:r>
        <w:rPr>
          <w:rFonts w:ascii="DaxCondensed-Medium"/>
          <w:sz w:val="17"/>
        </w:rPr>
        <w:t>Life after my son </w:t>
      </w:r>
      <w:r>
        <w:rPr>
          <w:rFonts w:ascii="DaxCondensed-Medium"/>
          <w:spacing w:val="-4"/>
          <w:sz w:val="17"/>
        </w:rPr>
        <w:t>Kiyan</w:t>
      </w:r>
    </w:p>
    <w:p>
      <w:pPr>
        <w:pStyle w:val="BodyText"/>
        <w:spacing w:before="2"/>
        <w:rPr>
          <w:rFonts w:ascii="DaxCondensed-Medium"/>
          <w:sz w:val="16"/>
        </w:rPr>
      </w:pPr>
    </w:p>
    <w:p>
      <w:pPr>
        <w:pStyle w:val="Heading9"/>
        <w:spacing w:line="206" w:lineRule="auto"/>
        <w:ind w:left="1445" w:right="434"/>
      </w:pPr>
      <w:r>
        <w:rPr>
          <w:color w:val="FFFFFF"/>
        </w:rPr>
        <w:t>Personality politics</w:t>
      </w:r>
    </w:p>
    <w:p>
      <w:pPr>
        <w:spacing w:line="244" w:lineRule="auto" w:before="20"/>
        <w:ind w:left="1445" w:right="61" w:firstLine="0"/>
        <w:jc w:val="left"/>
        <w:rPr>
          <w:rFonts w:ascii="DaxCondensed-Medium"/>
          <w:sz w:val="17"/>
        </w:rPr>
      </w:pPr>
      <w:r>
        <w:rPr>
          <w:rFonts w:ascii="DaxCondensed-Medium"/>
          <w:sz w:val="17"/>
        </w:rPr>
        <w:t>Whatever happened to political ideas?</w:t>
      </w:r>
    </w:p>
    <w:p>
      <w:pPr>
        <w:pStyle w:val="BodyText"/>
        <w:rPr>
          <w:rFonts w:ascii="DaxCondensed-Medium"/>
          <w:sz w:val="64"/>
        </w:rPr>
      </w:pPr>
      <w:r>
        <w:rPr/>
        <w:br w:type="column"/>
      </w:r>
      <w:r>
        <w:rPr>
          <w:rFonts w:ascii="DaxCondensed-Medium"/>
          <w:sz w:val="64"/>
        </w:rPr>
      </w:r>
    </w:p>
    <w:p>
      <w:pPr>
        <w:pStyle w:val="BodyText"/>
        <w:rPr>
          <w:rFonts w:ascii="DaxCondensed-Medium"/>
          <w:sz w:val="64"/>
        </w:rPr>
      </w:pPr>
    </w:p>
    <w:p>
      <w:pPr>
        <w:pStyle w:val="BodyText"/>
        <w:rPr>
          <w:rFonts w:ascii="DaxCondensed-Medium"/>
          <w:sz w:val="64"/>
        </w:rPr>
      </w:pPr>
    </w:p>
    <w:p>
      <w:pPr>
        <w:spacing w:line="172" w:lineRule="auto" w:before="565"/>
        <w:ind w:left="206" w:right="0" w:firstLine="10"/>
        <w:jc w:val="left"/>
        <w:rPr>
          <w:rFonts w:ascii="Arial"/>
          <w:b/>
          <w:sz w:val="64"/>
        </w:rPr>
      </w:pPr>
      <w:r>
        <w:rPr>
          <w:rFonts w:ascii="Arial"/>
          <w:b/>
          <w:color w:val="FFFFFF"/>
          <w:w w:val="65"/>
          <w:sz w:val="64"/>
        </w:rPr>
        <w:t>LETTING THE </w:t>
      </w:r>
      <w:r>
        <w:rPr>
          <w:rFonts w:ascii="Arial"/>
          <w:b/>
          <w:color w:val="FFFFFF"/>
          <w:spacing w:val="-6"/>
          <w:w w:val="65"/>
          <w:sz w:val="64"/>
        </w:rPr>
        <w:t>GOSPELS</w:t>
      </w:r>
      <w:r>
        <w:rPr>
          <w:rFonts w:ascii="Arial"/>
          <w:b/>
          <w:color w:val="FFFFFF"/>
          <w:spacing w:val="20"/>
          <w:w w:val="65"/>
          <w:sz w:val="64"/>
        </w:rPr>
        <w:t> </w:t>
      </w:r>
      <w:r>
        <w:rPr>
          <w:rFonts w:ascii="Arial"/>
          <w:b/>
          <w:color w:val="FFFFFF"/>
          <w:spacing w:val="-20"/>
          <w:w w:val="65"/>
          <w:sz w:val="64"/>
        </w:rPr>
        <w:t>FLY</w:t>
      </w:r>
    </w:p>
    <w:p>
      <w:pPr>
        <w:spacing w:line="196" w:lineRule="auto" w:before="45"/>
        <w:ind w:left="241" w:right="0" w:firstLine="0"/>
        <w:jc w:val="left"/>
        <w:rPr>
          <w:rFonts w:ascii="Arial"/>
          <w:b/>
          <w:sz w:val="24"/>
        </w:rPr>
      </w:pPr>
      <w:r>
        <w:rPr>
          <w:rFonts w:ascii="Arial"/>
          <w:b/>
          <w:w w:val="80"/>
          <w:sz w:val="24"/>
        </w:rPr>
        <w:t>THOMAS MOORE ON THE </w:t>
      </w:r>
      <w:r>
        <w:rPr>
          <w:rFonts w:ascii="Arial"/>
          <w:b/>
          <w:w w:val="70"/>
          <w:sz w:val="24"/>
        </w:rPr>
        <w:t>LIBERATING WISDOM OF</w:t>
      </w:r>
      <w:r>
        <w:rPr>
          <w:rFonts w:ascii="Arial"/>
          <w:b/>
          <w:spacing w:val="-6"/>
          <w:w w:val="70"/>
          <w:sz w:val="24"/>
        </w:rPr>
        <w:t> </w:t>
      </w:r>
      <w:r>
        <w:rPr>
          <w:rFonts w:ascii="Arial"/>
          <w:b/>
          <w:spacing w:val="-3"/>
          <w:w w:val="70"/>
          <w:sz w:val="24"/>
        </w:rPr>
        <w:t>JESUS</w:t>
      </w:r>
    </w:p>
    <w:p>
      <w:pPr>
        <w:pStyle w:val="BodyText"/>
        <w:rPr>
          <w:rFonts w:ascii="Arial"/>
          <w:b/>
          <w:sz w:val="22"/>
        </w:rPr>
      </w:pPr>
      <w:r>
        <w:rPr/>
        <w:br w:type="column"/>
      </w:r>
      <w:r>
        <w:rPr>
          <w:rFonts w:ascii="Arial"/>
          <w:b/>
          <w:sz w:val="22"/>
        </w:rPr>
      </w:r>
    </w:p>
    <w:p>
      <w:pPr>
        <w:pStyle w:val="BodyText"/>
        <w:rPr>
          <w:rFonts w:ascii="Arial"/>
          <w:b/>
          <w:sz w:val="22"/>
        </w:rPr>
      </w:pPr>
    </w:p>
    <w:p>
      <w:pPr>
        <w:spacing w:line="242" w:lineRule="auto" w:before="186"/>
        <w:ind w:left="764" w:right="1823" w:firstLine="0"/>
        <w:jc w:val="center"/>
        <w:rPr>
          <w:rFonts w:ascii="Hoefler Text Regular" w:hAnsi="Hoefler Text Regular"/>
          <w:sz w:val="23"/>
        </w:rPr>
      </w:pPr>
      <w:r>
        <w:rPr>
          <w:rFonts w:ascii="Hoefler Text Regular" w:hAnsi="Hoefler Text Regular"/>
          <w:spacing w:val="-9"/>
          <w:sz w:val="23"/>
        </w:rPr>
        <w:t>“We’re </w:t>
      </w:r>
      <w:r>
        <w:rPr>
          <w:rFonts w:ascii="Hoefler Text Regular" w:hAnsi="Hoefler Text Regular"/>
          <w:sz w:val="23"/>
        </w:rPr>
        <w:t>very </w:t>
      </w:r>
      <w:r>
        <w:rPr>
          <w:rFonts w:ascii="Hoefler Text Regular" w:hAnsi="Hoefler Text Regular"/>
          <w:spacing w:val="-3"/>
          <w:sz w:val="23"/>
        </w:rPr>
        <w:t>impressed with </w:t>
      </w:r>
      <w:r>
        <w:rPr>
          <w:rFonts w:ascii="Hoefler Text Regular" w:hAnsi="Hoefler Text Regular"/>
          <w:sz w:val="23"/>
        </w:rPr>
        <w:t>the magazine – it </w:t>
      </w:r>
      <w:r>
        <w:rPr>
          <w:rFonts w:ascii="Hoefler Text Regular" w:hAnsi="Hoefler Text Regular"/>
          <w:spacing w:val="-3"/>
          <w:sz w:val="23"/>
        </w:rPr>
        <w:t>tops </w:t>
      </w:r>
      <w:r>
        <w:rPr>
          <w:rFonts w:ascii="Hoefler Text Regular" w:hAnsi="Hoefler Text Regular"/>
          <w:sz w:val="23"/>
        </w:rPr>
        <w:t>all the </w:t>
      </w:r>
      <w:r>
        <w:rPr>
          <w:rFonts w:ascii="Hoefler Text Regular" w:hAnsi="Hoefler Text Regular"/>
          <w:spacing w:val="-3"/>
          <w:sz w:val="23"/>
        </w:rPr>
        <w:t>religious press that we</w:t>
      </w:r>
      <w:r>
        <w:rPr>
          <w:rFonts w:ascii="Hoefler Text Regular" w:hAnsi="Hoefler Text Regular"/>
          <w:spacing w:val="3"/>
          <w:sz w:val="23"/>
        </w:rPr>
        <w:t> </w:t>
      </w:r>
      <w:r>
        <w:rPr>
          <w:rFonts w:ascii="Hoefler Text Regular" w:hAnsi="Hoefler Text Regular"/>
          <w:spacing w:val="-3"/>
          <w:sz w:val="23"/>
        </w:rPr>
        <w:t>receive”</w:t>
      </w:r>
    </w:p>
    <w:p>
      <w:pPr>
        <w:spacing w:line="242" w:lineRule="auto" w:before="167"/>
        <w:ind w:left="764" w:right="1823" w:firstLine="0"/>
        <w:jc w:val="center"/>
        <w:rPr>
          <w:rFonts w:ascii="Hoefler Text Regular" w:hAnsi="Hoefler Text Regular"/>
          <w:sz w:val="23"/>
        </w:rPr>
      </w:pPr>
      <w:r>
        <w:rPr>
          <w:rFonts w:ascii="Hoefler Text Regular" w:hAnsi="Hoefler Text Regular"/>
          <w:spacing w:val="-12"/>
          <w:sz w:val="23"/>
        </w:rPr>
        <w:t>“Your </w:t>
      </w:r>
      <w:r>
        <w:rPr>
          <w:rFonts w:ascii="Hoefler Text Regular" w:hAnsi="Hoefler Text Regular"/>
          <w:sz w:val="23"/>
        </w:rPr>
        <w:t>interviews </w:t>
      </w:r>
      <w:r>
        <w:rPr>
          <w:rFonts w:ascii="Hoefler Text Regular" w:hAnsi="Hoefler Text Regular"/>
          <w:spacing w:val="-3"/>
          <w:sz w:val="23"/>
        </w:rPr>
        <w:t>with well-known people </w:t>
      </w:r>
      <w:r>
        <w:rPr>
          <w:rFonts w:ascii="Hoefler Text Regular" w:hAnsi="Hoefler Text Regular"/>
          <w:sz w:val="23"/>
        </w:rPr>
        <w:t>are a</w:t>
      </w:r>
      <w:r>
        <w:rPr>
          <w:rFonts w:ascii="Hoefler Text Regular" w:hAnsi="Hoefler Text Regular"/>
          <w:spacing w:val="-9"/>
          <w:sz w:val="23"/>
        </w:rPr>
        <w:t> </w:t>
      </w:r>
      <w:r>
        <w:rPr>
          <w:rFonts w:ascii="Hoefler Text Regular" w:hAnsi="Hoefler Text Regular"/>
          <w:spacing w:val="-4"/>
          <w:sz w:val="23"/>
        </w:rPr>
        <w:t>triumph”</w:t>
      </w:r>
    </w:p>
    <w:p>
      <w:pPr>
        <w:spacing w:before="91"/>
        <w:ind w:left="987" w:right="0" w:firstLine="0"/>
        <w:jc w:val="left"/>
        <w:rPr>
          <w:rFonts w:ascii="Hoefler Text Regular"/>
          <w:sz w:val="16"/>
        </w:rPr>
      </w:pPr>
      <w:r>
        <w:rPr/>
        <w:pict>
          <v:shape style="position:absolute;margin-left:373.295807pt;margin-top:62.587074pt;width:102pt;height:14.45pt;mso-position-horizontal-relative:page;mso-position-vertical-relative:paragraph;z-index:-267287552;rotation:10" type="#_x0000_t136" fillcolor="#ffffff" stroked="f">
            <o:extrusion v:ext="view" autorotationcenter="t"/>
            <v:textpath style="font-family:&quot;Book Antiqua&quot;;font-size:14pt;v-text-kern:t;mso-text-shadow:auto;font-weight:bold" string="11 ISSUES FOR"/>
            <w10:wrap type="none"/>
          </v:shape>
        </w:pict>
      </w:r>
      <w:r>
        <w:rPr>
          <w:rFonts w:ascii="Hoefler Text Regular"/>
          <w:sz w:val="16"/>
        </w:rPr>
        <w:t>(two of many recent comments received)</w:t>
      </w:r>
    </w:p>
    <w:p>
      <w:pPr>
        <w:spacing w:after="0"/>
        <w:jc w:val="left"/>
        <w:rPr>
          <w:rFonts w:ascii="Hoefler Text Regular"/>
          <w:sz w:val="16"/>
        </w:rPr>
        <w:sectPr>
          <w:type w:val="continuous"/>
          <w:pgSz w:w="11910" w:h="16840"/>
          <w:pgMar w:top="860" w:bottom="280" w:left="0" w:right="0"/>
          <w:cols w:num="3" w:equalWidth="0">
            <w:col w:w="2895" w:space="40"/>
            <w:col w:w="3057" w:space="39"/>
            <w:col w:w="5879"/>
          </w:cols>
        </w:sectPr>
      </w:pPr>
    </w:p>
    <w:p>
      <w:pPr>
        <w:pStyle w:val="BodyText"/>
        <w:rPr>
          <w:rFonts w:ascii="Hoefler Text Regular"/>
        </w:rPr>
      </w:pPr>
      <w:r>
        <w:rPr/>
        <w:pict>
          <v:rect style="position:absolute;margin-left:0pt;margin-top:.000015pt;width:595.275pt;height:841.89pt;mso-position-horizontal-relative:page;mso-position-vertical-relative:page;z-index:-267292672" filled="true" fillcolor="#cfe5ec" stroked="false">
            <v:fill type="solid"/>
            <w10:wrap type="none"/>
          </v:rect>
        </w:pict>
      </w:r>
      <w:r>
        <w:rPr/>
        <w:pict>
          <v:group style="position:absolute;margin-left:32.051998pt;margin-top:38.385033pt;width:515.85pt;height:759.6pt;mso-position-horizontal-relative:page;mso-position-vertical-relative:page;z-index:-267291648" coordorigin="641,768" coordsize="10317,15192">
            <v:shape style="position:absolute;left:641;top:767;width:10317;height:15192" type="#_x0000_t75" stroked="false">
              <v:imagedata r:id="rId342" o:title=""/>
            </v:shape>
            <v:rect style="position:absolute;left:6581;top:4125;width:1774;height:2177" filled="true" fillcolor="#2f4478" stroked="false">
              <v:fill opacity="19660f" type="solid"/>
            </v:rect>
            <v:shape style="position:absolute;left:7032;top:4617;width:1283;height:188" type="#_x0000_t75" stroked="false">
              <v:imagedata r:id="rId343" o:title=""/>
            </v:shape>
            <v:shape style="position:absolute;left:7130;top:4804;width:642;height:660" type="#_x0000_t75" stroked="false">
              <v:imagedata r:id="rId344" o:title=""/>
            </v:shape>
            <v:shape style="position:absolute;left:7769;top:4804;width:550;height:754" type="#_x0000_t75" stroked="false">
              <v:imagedata r:id="rId345" o:title=""/>
            </v:shape>
            <v:shape style="position:absolute;left:6589;top:5296;width:359;height:1005" type="#_x0000_t75" stroked="false">
              <v:imagedata r:id="rId346" o:title=""/>
            </v:shape>
            <v:shape style="position:absolute;left:6947;top:5390;width:185;height:910" type="#_x0000_t75" stroked="false">
              <v:imagedata r:id="rId347" o:title=""/>
            </v:shape>
            <v:shape style="position:absolute;left:7130;top:5462;width:642;height:660" type="#_x0000_t75" stroked="false">
              <v:imagedata r:id="rId348" o:title=""/>
            </v:shape>
            <v:shape style="position:absolute;left:7769;top:5556;width:550;height:754" type="#_x0000_t75" stroked="false">
              <v:imagedata r:id="rId349" o:title=""/>
            </v:shape>
            <v:shape style="position:absolute;left:7130;top:6121;width:642;height:190" type="#_x0000_t75" stroked="false">
              <v:imagedata r:id="rId350" o:title=""/>
            </v:shape>
            <v:shape style="position:absolute;left:6589;top:4617;width:468;height:186" type="#_x0000_t75" stroked="false">
              <v:imagedata r:id="rId351" o:title=""/>
            </v:shape>
            <v:shape style="position:absolute;left:6589;top:4802;width:162;height:537" type="#_x0000_t75" stroked="false">
              <v:imagedata r:id="rId352" o:title=""/>
            </v:shape>
            <v:shape style="position:absolute;left:6750;top:5203;width:422;height:247" type="#_x0000_t75" stroked="false">
              <v:imagedata r:id="rId353" o:title=""/>
            </v:shape>
            <v:shape style="position:absolute;left:6589;top:4377;width:359;height:211" type="#_x0000_t75" stroked="false">
              <v:imagedata r:id="rId354" o:title=""/>
            </v:shape>
            <v:shape style="position:absolute;left:6589;top:4377;width:1727;height:241" type="#_x0000_t75" stroked="false">
              <v:imagedata r:id="rId355" o:title=""/>
            </v:shape>
            <v:shape style="position:absolute;left:6582;top:4167;width:1738;height:211" type="#_x0000_t75" stroked="false">
              <v:imagedata r:id="rId356" o:title=""/>
            </v:shape>
            <v:shape style="position:absolute;left:7056;top:4759;width:102;height:445" type="#_x0000_t75" stroked="false">
              <v:imagedata r:id="rId357" o:title=""/>
            </v:shape>
            <v:shape style="position:absolute;left:6678;top:4758;width:452;height:446" type="#_x0000_t75" stroked="false">
              <v:imagedata r:id="rId358" o:title=""/>
            </v:shape>
            <v:shape style="position:absolute;left:6678;top:5025;width:363;height:179" type="#_x0000_t75" stroked="false">
              <v:imagedata r:id="rId359" o:title=""/>
            </v:shape>
            <v:shape style="position:absolute;left:1193;top:4123;width:5197;height:6451" type="#_x0000_t75" stroked="false">
              <v:imagedata r:id="rId360" o:title=""/>
            </v:shape>
            <v:shape style="position:absolute;left:1201;top:4167;width:5148;height:6406" type="#_x0000_t75" stroked="false">
              <v:imagedata r:id="rId361" o:title=""/>
            </v:shape>
            <v:shape style="position:absolute;left:1214;top:7849;width:2055;height:2724" type="#_x0000_t75" stroked="false">
              <v:imagedata r:id="rId362" o:title=""/>
            </v:shape>
            <v:line style="position:absolute" from="2769,5462" to="6103,5462" stroked="true" strokeweight=".403pt" strokecolor="#000000">
              <v:stroke dashstyle="solid"/>
            </v:line>
            <v:rect style="position:absolute;left:1423;top:4411;width:4751;height:953" filled="true" fillcolor="#000000" stroked="false">
              <v:fill opacity="13107f" type="solid"/>
            </v:rect>
            <v:shape style="position:absolute;left:1201;top:10267;width:5148;height:306" type="#_x0000_t75" stroked="false">
              <v:imagedata r:id="rId363" o:title=""/>
            </v:shape>
            <v:rect style="position:absolute;left:8536;top:4112;width:1774;height:2203" filled="true" fillcolor="#2f4478" stroked="false">
              <v:fill opacity="19660f" type="solid"/>
            </v:rect>
            <v:shape style="position:absolute;left:8544;top:4156;width:1727;height:16" type="#_x0000_t75" stroked="false">
              <v:imagedata r:id="rId364" o:title=""/>
            </v:shape>
            <v:shape style="position:absolute;left:8544;top:4584;width:1727;height:1728" type="#_x0000_t75" stroked="false">
              <v:imagedata r:id="rId365" o:title=""/>
            </v:shape>
            <v:shape style="position:absolute;left:8586;top:4588;width:1349;height:551" type="#_x0000_t75" stroked="false">
              <v:imagedata r:id="rId366" o:title=""/>
            </v:shape>
            <v:shape style="position:absolute;left:9934;top:4588;width:291;height:1375" type="#_x0000_t75" stroked="false">
              <v:imagedata r:id="rId367" o:title=""/>
            </v:shape>
            <v:shape style="position:absolute;left:8586;top:5137;width:1349;height:551" type="#_x0000_t75" stroked="false">
              <v:imagedata r:id="rId368" o:title=""/>
            </v:shape>
            <v:shape style="position:absolute;left:8586;top:5686;width:1349;height:551" type="#_x0000_t75" stroked="false">
              <v:imagedata r:id="rId369" o:title=""/>
            </v:shape>
            <v:shape style="position:absolute;left:8588;top:5961;width:1635;height:351" type="#_x0000_t75" stroked="false">
              <v:imagedata r:id="rId370" o:title=""/>
            </v:shape>
            <v:shape style="position:absolute;left:8544;top:4171;width:1471;height:248" type="#_x0000_t75" stroked="false">
              <v:imagedata r:id="rId371" o:title=""/>
            </v:shape>
            <v:shape style="position:absolute;left:10013;top:4172;width:257;height:330" type="#_x0000_t75" stroked="false">
              <v:imagedata r:id="rId372" o:title=""/>
            </v:shape>
            <v:shape style="position:absolute;left:8544;top:4419;width:1727;height:166" type="#_x0000_t75" stroked="false">
              <v:imagedata r:id="rId373" o:title=""/>
            </v:shape>
            <v:line style="position:absolute" from="9070,4591" to="10188,4591" stroked="true" strokeweight=".135pt" strokecolor="#662b29">
              <v:stroke dashstyle="solid"/>
            </v:line>
            <v:line style="position:absolute" from="6803,7524" to="10188,7524" stroked="true" strokeweight=".902pt" strokecolor="#000000">
              <v:stroke dashstyle="dot"/>
            </v:line>
            <v:shape style="position:absolute;left:0;top:16837;width:3440;height:2" coordorigin="0,16838" coordsize="3440,0" path="m6767,7524l6767,7524m10206,7524l10206,7524e" filled="false" stroked="true" strokeweight=".902pt" strokecolor="#000000">
              <v:path arrowok="t"/>
              <v:stroke dashstyle="solid"/>
            </v:shape>
            <v:rect style="position:absolute;left:6998;top:8532;width:2911;height:2917" filled="true" fillcolor="#000000" stroked="false">
              <v:fill opacity="32768f" type="solid"/>
            </v:rect>
            <v:shape style="position:absolute;left:7060;top:8666;width:2737;height:2743" coordorigin="7061,8666" coordsize="2737,2743" path="m8516,11314l8342,11314,8429,11409,8516,11314xm8689,11291l8169,11291,8242,11397,8342,11314,8673,11314,8689,11291xm8673,11314l8516,11314,8616,11397,8673,11314xm8857,11243l8001,11243,8059,11358,8169,11291,8833,11291,8857,11243xm8833,11291l8689,11291,8799,11358,8833,11291xm9018,11174l7840,11174,7883,11296,8001,11243,8993,11243,9018,11174xm8993,11243l8857,11243,8975,11296,8993,11243xm9167,11083l7691,11083,7716,11210,7840,11174,9149,11174,9167,11083xm9149,11174l9018,11174,9142,11210,9149,11174xm9302,10973l7556,10973,7563,11102,7691,11083,9296,11083,9302,10973xm9296,11083l9167,11083,9294,11102,9296,11083xm9431,9102l9302,9103,7427,9103,7437,9230,7309,9247,7336,9373,7211,9407,7255,9528,7137,9579,7197,9693,7086,9759,7161,9864,7061,9944,7150,10038,7061,10131,7161,10212,7086,10317,7197,10383,7137,10497,7255,10548,7211,10669,7336,10703,7309,10829,7437,10845,7427,10974,9431,10973,9421,10845,9549,10829,9522,10703,9647,10669,9602,10548,9721,10497,9661,10383,9772,10317,9696,10212,9797,10131,9708,10038,9797,9944,9696,9864,9772,9759,9661,9693,9721,9579,9602,9528,9647,9407,9522,9373,9549,9247,9421,9230,9431,9103,7556,9103,9431,9102xm9431,10973l9302,10973,9431,10974,9431,10973xm7563,8974l7556,9103,9302,9103,9296,8993,7691,8993,7563,8974xm7716,8866l7691,8993,9167,8993,9149,8902,7840,8902,7716,8866xm9294,8974l9167,8993,9296,8993,9294,8974xm7883,8780l7840,8902,9018,8902,8993,8832,8001,8832,7883,8780xm9142,8866l9018,8902,9149,8902,9142,8866xm8059,8717l8001,8832,8857,8832,8833,8785,8169,8785,8059,8717xm8975,8780l8857,8832,8993,8832,8975,8780xm8242,8679l8169,8785,8689,8785,8673,8761,8342,8761,8242,8679xm8799,8717l8689,8785,8833,8785,8799,8717xm8429,8666l8342,8761,8516,8761,8429,8666xm8616,8679l8516,8761,8673,8761,8616,8679xe" filled="true" fillcolor="#b31122" stroked="false">
              <v:path arrowok="t"/>
              <v:fill type="solid"/>
            </v:shape>
            <w10:wrap type="none"/>
          </v:group>
        </w:pict>
      </w:r>
    </w:p>
    <w:p>
      <w:pPr>
        <w:pStyle w:val="BodyText"/>
        <w:spacing w:before="1"/>
        <w:rPr>
          <w:rFonts w:ascii="Hoefler Text Regular"/>
          <w:sz w:val="23"/>
        </w:rPr>
      </w:pPr>
    </w:p>
    <w:p>
      <w:pPr>
        <w:spacing w:before="0"/>
        <w:ind w:left="1201" w:right="5052" w:firstLine="0"/>
        <w:jc w:val="left"/>
        <w:rPr>
          <w:sz w:val="25"/>
        </w:rPr>
      </w:pPr>
      <w:r>
        <w:rPr/>
        <w:pict>
          <v:shape style="position:absolute;margin-left:363.075165pt;margin-top:-17.756815pt;width:105.35pt;height:9.950pt;mso-position-horizontal-relative:page;mso-position-vertical-relative:paragraph;z-index:-267288576;rotation:9" type="#_x0000_t136" fillcolor="#ffffff" stroked="f">
            <o:extrusion v:ext="view" autorotationcenter="t"/>
            <v:textpath style="font-family:&quot;Book Antiqua&quot;;font-size:10pt;v-text-kern:t;mso-text-shadow:auto;font-weight:bold" string="ONLY £1.80 PER ISSUE"/>
            <w10:wrap type="none"/>
          </v:shape>
        </w:pict>
      </w:r>
      <w:r>
        <w:rPr/>
        <w:pict>
          <v:shape style="position:absolute;margin-left:368.242004pt;margin-top:-54.710484pt;width:103.75pt;height:34.3pt;mso-position-horizontal-relative:page;mso-position-vertical-relative:paragraph;z-index:-267286528;rotation:10" type="#_x0000_t136" fillcolor="#ffffff" stroked="f">
            <o:extrusion v:ext="view" autorotationcenter="t"/>
            <v:textpath style="font-family:&quot;Book Antiqua&quot;;font-size:34pt;v-text-kern:t;mso-text-shadow:auto;font-weight:bold" string="£19.80"/>
            <w10:wrap type="none"/>
          </v:shape>
        </w:pict>
      </w:r>
      <w:r>
        <w:rPr>
          <w:rFonts w:ascii="Trebuchet MS"/>
          <w:color w:val="0086BE"/>
          <w:w w:val="105"/>
          <w:sz w:val="25"/>
        </w:rPr>
        <w:t>REFORM </w:t>
      </w:r>
      <w:r>
        <w:rPr>
          <w:w w:val="105"/>
          <w:sz w:val="25"/>
        </w:rPr>
        <w:t>is the fresh and challenging monthly magazine published by the United Reformed Church.</w:t>
      </w:r>
    </w:p>
    <w:p>
      <w:pPr>
        <w:spacing w:before="220"/>
        <w:ind w:left="1201" w:right="1930" w:hanging="1"/>
        <w:jc w:val="left"/>
        <w:rPr>
          <w:sz w:val="25"/>
        </w:rPr>
      </w:pPr>
      <w:r>
        <w:rPr>
          <w:w w:val="105"/>
          <w:sz w:val="25"/>
        </w:rPr>
        <w:t>Since re-branding, </w:t>
      </w:r>
      <w:r>
        <w:rPr>
          <w:rFonts w:ascii="Trebuchet MS" w:hAnsi="Trebuchet MS"/>
          <w:color w:val="0086BE"/>
          <w:w w:val="105"/>
          <w:sz w:val="25"/>
        </w:rPr>
        <w:t>REFORM</w:t>
      </w:r>
      <w:r>
        <w:rPr>
          <w:color w:val="0086BE"/>
          <w:w w:val="105"/>
          <w:sz w:val="25"/>
        </w:rPr>
        <w:t>’</w:t>
      </w:r>
      <w:r>
        <w:rPr>
          <w:rFonts w:ascii="Trebuchet MS" w:hAnsi="Trebuchet MS"/>
          <w:color w:val="0086BE"/>
          <w:w w:val="105"/>
          <w:sz w:val="25"/>
        </w:rPr>
        <w:t>S </w:t>
      </w:r>
      <w:r>
        <w:rPr>
          <w:w w:val="105"/>
          <w:sz w:val="25"/>
        </w:rPr>
        <w:t>mix of theology, news and comment combined with contemporary design has attracted many new readers each month.</w:t>
      </w:r>
    </w:p>
    <w:p>
      <w:pPr>
        <w:spacing w:before="219"/>
        <w:ind w:left="1201" w:right="1573" w:firstLine="0"/>
        <w:jc w:val="left"/>
        <w:rPr>
          <w:sz w:val="25"/>
        </w:rPr>
      </w:pPr>
      <w:r>
        <w:rPr>
          <w:rFonts w:ascii="Trebuchet MS"/>
          <w:color w:val="0086BE"/>
          <w:sz w:val="25"/>
        </w:rPr>
        <w:t>REFORM </w:t>
      </w:r>
      <w:r>
        <w:rPr>
          <w:sz w:val="25"/>
        </w:rPr>
        <w:t>features writing from a wide range of journalists, theologians and other commentators,</w:t>
      </w:r>
      <w:r>
        <w:rPr>
          <w:spacing w:val="35"/>
          <w:sz w:val="25"/>
        </w:rPr>
        <w:t> </w:t>
      </w:r>
      <w:r>
        <w:rPr>
          <w:sz w:val="25"/>
        </w:rPr>
        <w:t>including</w:t>
      </w:r>
      <w:r>
        <w:rPr>
          <w:spacing w:val="35"/>
          <w:sz w:val="25"/>
        </w:rPr>
        <w:t> </w:t>
      </w:r>
      <w:r>
        <w:rPr>
          <w:sz w:val="25"/>
        </w:rPr>
        <w:t>high-profile</w:t>
      </w:r>
      <w:r>
        <w:rPr>
          <w:spacing w:val="35"/>
          <w:sz w:val="25"/>
        </w:rPr>
        <w:t> </w:t>
      </w:r>
      <w:r>
        <w:rPr>
          <w:sz w:val="25"/>
        </w:rPr>
        <w:t>media</w:t>
      </w:r>
      <w:r>
        <w:rPr>
          <w:spacing w:val="35"/>
          <w:sz w:val="25"/>
        </w:rPr>
        <w:t> </w:t>
      </w:r>
      <w:r>
        <w:rPr>
          <w:sz w:val="25"/>
        </w:rPr>
        <w:t>presenters,</w:t>
      </w:r>
      <w:r>
        <w:rPr>
          <w:spacing w:val="35"/>
          <w:sz w:val="25"/>
        </w:rPr>
        <w:t> </w:t>
      </w:r>
      <w:r>
        <w:rPr>
          <w:sz w:val="25"/>
        </w:rPr>
        <w:t>politicians</w:t>
      </w:r>
      <w:r>
        <w:rPr>
          <w:spacing w:val="35"/>
          <w:sz w:val="25"/>
        </w:rPr>
        <w:t> </w:t>
      </w:r>
      <w:r>
        <w:rPr>
          <w:sz w:val="25"/>
        </w:rPr>
        <w:t>and</w:t>
      </w:r>
      <w:r>
        <w:rPr>
          <w:spacing w:val="35"/>
          <w:sz w:val="25"/>
        </w:rPr>
        <w:t> </w:t>
      </w:r>
      <w:r>
        <w:rPr>
          <w:sz w:val="25"/>
        </w:rPr>
        <w:t>Church</w:t>
      </w:r>
      <w:r>
        <w:rPr>
          <w:spacing w:val="35"/>
          <w:sz w:val="25"/>
        </w:rPr>
        <w:t> </w:t>
      </w:r>
      <w:r>
        <w:rPr>
          <w:sz w:val="25"/>
        </w:rPr>
        <w:t>leaders.</w:t>
      </w:r>
    </w:p>
    <w:p>
      <w:pPr>
        <w:spacing w:line="1504" w:lineRule="exact" w:before="247"/>
        <w:ind w:left="1176" w:right="0" w:firstLine="0"/>
        <w:jc w:val="left"/>
        <w:rPr>
          <w:rFonts w:ascii="Dax-Medium"/>
          <w:sz w:val="133"/>
        </w:rPr>
      </w:pPr>
      <w:r>
        <w:rPr>
          <w:rFonts w:ascii="Dax-Medium"/>
          <w:color w:val="0086BE"/>
          <w:sz w:val="133"/>
        </w:rPr>
        <w:t>SUBSCRIBE</w:t>
      </w:r>
      <w:r>
        <w:rPr>
          <w:rFonts w:ascii="Dax-Medium"/>
          <w:color w:val="0086BE"/>
          <w:spacing w:val="36"/>
          <w:sz w:val="133"/>
        </w:rPr>
        <w:t> </w:t>
      </w:r>
      <w:r>
        <w:rPr>
          <w:rFonts w:ascii="Dax-Medium"/>
          <w:spacing w:val="-6"/>
          <w:sz w:val="133"/>
        </w:rPr>
        <w:t>NOW</w:t>
      </w:r>
    </w:p>
    <w:p>
      <w:pPr>
        <w:spacing w:line="226" w:lineRule="exact" w:before="0"/>
        <w:ind w:left="1724" w:right="2155" w:firstLine="0"/>
        <w:jc w:val="center"/>
        <w:rPr>
          <w:rFonts w:ascii="Arial"/>
          <w:b/>
          <w:sz w:val="25"/>
        </w:rPr>
      </w:pPr>
      <w:r>
        <w:rPr>
          <w:spacing w:val="-3"/>
          <w:w w:val="102"/>
          <w:sz w:val="25"/>
        </w:rPr>
        <w:t>S</w:t>
      </w:r>
      <w:r>
        <w:rPr>
          <w:spacing w:val="-3"/>
          <w:w w:val="100"/>
          <w:sz w:val="25"/>
        </w:rPr>
        <w:t>u</w:t>
      </w:r>
      <w:r>
        <w:rPr>
          <w:spacing w:val="-3"/>
          <w:w w:val="101"/>
          <w:sz w:val="25"/>
        </w:rPr>
        <w:t>b</w:t>
      </w:r>
      <w:r>
        <w:rPr>
          <w:spacing w:val="-3"/>
          <w:w w:val="104"/>
          <w:sz w:val="25"/>
        </w:rPr>
        <w:t>s</w:t>
      </w:r>
      <w:r>
        <w:rPr>
          <w:spacing w:val="-3"/>
          <w:w w:val="98"/>
          <w:sz w:val="25"/>
        </w:rPr>
        <w:t>c</w:t>
      </w:r>
      <w:r>
        <w:rPr>
          <w:spacing w:val="-3"/>
          <w:w w:val="93"/>
          <w:sz w:val="25"/>
        </w:rPr>
        <w:t>r</w:t>
      </w:r>
      <w:r>
        <w:rPr>
          <w:spacing w:val="-3"/>
          <w:w w:val="106"/>
          <w:sz w:val="25"/>
        </w:rPr>
        <w:t>i</w:t>
      </w:r>
      <w:r>
        <w:rPr>
          <w:spacing w:val="-3"/>
          <w:w w:val="101"/>
          <w:sz w:val="25"/>
        </w:rPr>
        <w:t>b</w:t>
      </w:r>
      <w:r>
        <w:rPr>
          <w:w w:val="106"/>
          <w:sz w:val="25"/>
        </w:rPr>
        <w:t>e</w:t>
      </w:r>
      <w:r>
        <w:rPr>
          <w:spacing w:val="8"/>
          <w:sz w:val="25"/>
        </w:rPr>
        <w:t> </w:t>
      </w:r>
      <w:r>
        <w:rPr>
          <w:spacing w:val="-3"/>
          <w:w w:val="99"/>
          <w:sz w:val="25"/>
        </w:rPr>
        <w:t>o</w:t>
      </w:r>
      <w:r>
        <w:rPr>
          <w:spacing w:val="-3"/>
          <w:w w:val="102"/>
          <w:sz w:val="25"/>
        </w:rPr>
        <w:t>n</w:t>
      </w:r>
      <w:r>
        <w:rPr>
          <w:spacing w:val="-3"/>
          <w:w w:val="106"/>
          <w:sz w:val="25"/>
        </w:rPr>
        <w:t>l</w:t>
      </w:r>
      <w:r>
        <w:rPr>
          <w:spacing w:val="-3"/>
          <w:w w:val="106"/>
          <w:sz w:val="25"/>
        </w:rPr>
        <w:t>i</w:t>
      </w:r>
      <w:r>
        <w:rPr>
          <w:spacing w:val="-3"/>
          <w:w w:val="102"/>
          <w:sz w:val="25"/>
        </w:rPr>
        <w:t>n</w:t>
      </w:r>
      <w:r>
        <w:rPr>
          <w:w w:val="106"/>
          <w:sz w:val="25"/>
        </w:rPr>
        <w:t>e</w:t>
      </w:r>
      <w:r>
        <w:rPr>
          <w:spacing w:val="8"/>
          <w:sz w:val="25"/>
        </w:rPr>
        <w:t> </w:t>
      </w:r>
      <w:r>
        <w:rPr>
          <w:spacing w:val="-5"/>
          <w:w w:val="105"/>
          <w:sz w:val="25"/>
        </w:rPr>
        <w:t>a</w:t>
      </w:r>
      <w:r>
        <w:rPr>
          <w:spacing w:val="3"/>
          <w:w w:val="96"/>
          <w:sz w:val="25"/>
        </w:rPr>
        <w:t>t</w:t>
      </w:r>
      <w:r>
        <w:rPr>
          <w:w w:val="94"/>
          <w:sz w:val="25"/>
        </w:rPr>
        <w:t>:</w:t>
      </w:r>
      <w:r>
        <w:rPr>
          <w:spacing w:val="8"/>
          <w:sz w:val="25"/>
        </w:rPr>
        <w:t> </w:t>
      </w:r>
      <w:hyperlink r:id="rId374">
        <w:r>
          <w:rPr>
            <w:rFonts w:ascii="Arial"/>
            <w:b/>
            <w:spacing w:val="-3"/>
            <w:w w:val="104"/>
            <w:sz w:val="25"/>
          </w:rPr>
          <w:t>ww</w:t>
        </w:r>
        <w:r>
          <w:rPr>
            <w:rFonts w:ascii="Arial"/>
            <w:b/>
            <w:spacing w:val="-21"/>
            <w:w w:val="104"/>
            <w:sz w:val="25"/>
          </w:rPr>
          <w:t>w</w:t>
        </w:r>
        <w:r>
          <w:rPr>
            <w:rFonts w:ascii="Arial"/>
            <w:b/>
            <w:spacing w:val="-3"/>
            <w:w w:val="102"/>
            <w:sz w:val="25"/>
          </w:rPr>
          <w:t>.</w:t>
        </w:r>
        <w:r>
          <w:rPr>
            <w:rFonts w:ascii="Arial"/>
            <w:b/>
            <w:spacing w:val="-3"/>
            <w:w w:val="94"/>
            <w:sz w:val="25"/>
          </w:rPr>
          <w:t>u</w:t>
        </w:r>
        <w:r>
          <w:rPr>
            <w:rFonts w:ascii="Arial"/>
            <w:b/>
            <w:spacing w:val="-8"/>
            <w:w w:val="93"/>
            <w:sz w:val="25"/>
          </w:rPr>
          <w:t>r</w:t>
        </w:r>
        <w:r>
          <w:rPr>
            <w:rFonts w:ascii="Arial"/>
            <w:b/>
            <w:spacing w:val="2"/>
            <w:w w:val="76"/>
            <w:sz w:val="25"/>
          </w:rPr>
          <w:t>c</w:t>
        </w:r>
        <w:r>
          <w:rPr>
            <w:rFonts w:ascii="Arial"/>
            <w:b/>
            <w:spacing w:val="-3"/>
            <w:w w:val="102"/>
            <w:sz w:val="25"/>
          </w:rPr>
          <w:t>.</w:t>
        </w:r>
        <w:r>
          <w:rPr>
            <w:rFonts w:ascii="Arial"/>
            <w:b/>
            <w:spacing w:val="-3"/>
            <w:w w:val="91"/>
            <w:sz w:val="25"/>
          </w:rPr>
          <w:t>o</w:t>
        </w:r>
        <w:r>
          <w:rPr>
            <w:rFonts w:ascii="Arial"/>
            <w:b/>
            <w:spacing w:val="-8"/>
            <w:w w:val="93"/>
            <w:sz w:val="25"/>
          </w:rPr>
          <w:t>r</w:t>
        </w:r>
        <w:r>
          <w:rPr>
            <w:rFonts w:ascii="Arial"/>
            <w:b/>
            <w:spacing w:val="-3"/>
            <w:w w:val="93"/>
            <w:sz w:val="25"/>
          </w:rPr>
          <w:t>g</w:t>
        </w:r>
        <w:r>
          <w:rPr>
            <w:rFonts w:ascii="Arial"/>
            <w:b/>
            <w:spacing w:val="-3"/>
            <w:w w:val="102"/>
            <w:sz w:val="25"/>
          </w:rPr>
          <w:t>.</w:t>
        </w:r>
        <w:r>
          <w:rPr>
            <w:rFonts w:ascii="Arial"/>
            <w:b/>
            <w:spacing w:val="-3"/>
            <w:w w:val="94"/>
            <w:sz w:val="25"/>
          </w:rPr>
          <w:t>u</w:t>
        </w:r>
        <w:r>
          <w:rPr>
            <w:rFonts w:ascii="Arial"/>
            <w:b/>
            <w:spacing w:val="-3"/>
            <w:w w:val="99"/>
            <w:sz w:val="25"/>
          </w:rPr>
          <w:t>k</w:t>
        </w:r>
        <w:r>
          <w:rPr>
            <w:rFonts w:ascii="Arial"/>
            <w:b/>
            <w:spacing w:val="-3"/>
            <w:w w:val="211"/>
            <w:sz w:val="25"/>
          </w:rPr>
          <w:t>/</w:t>
        </w:r>
        <w:r>
          <w:rPr>
            <w:rFonts w:ascii="Arial"/>
            <w:b/>
            <w:spacing w:val="-8"/>
            <w:w w:val="93"/>
            <w:sz w:val="25"/>
          </w:rPr>
          <w:t>r</w:t>
        </w:r>
        <w:r>
          <w:rPr>
            <w:rFonts w:ascii="Arial"/>
            <w:b/>
            <w:spacing w:val="-5"/>
            <w:w w:val="100"/>
            <w:sz w:val="25"/>
          </w:rPr>
          <w:t>e</w:t>
        </w:r>
        <w:r>
          <w:rPr>
            <w:rFonts w:ascii="Arial"/>
            <w:b/>
            <w:spacing w:val="-6"/>
            <w:w w:val="107"/>
            <w:sz w:val="25"/>
          </w:rPr>
          <w:t>f</w:t>
        </w:r>
        <w:r>
          <w:rPr>
            <w:rFonts w:ascii="Arial"/>
            <w:b/>
            <w:spacing w:val="-3"/>
            <w:w w:val="91"/>
            <w:sz w:val="25"/>
          </w:rPr>
          <w:t>o</w:t>
        </w:r>
        <w:r>
          <w:rPr>
            <w:rFonts w:ascii="Arial"/>
            <w:b/>
            <w:spacing w:val="-3"/>
            <w:w w:val="93"/>
            <w:sz w:val="25"/>
          </w:rPr>
          <w:t>r</w:t>
        </w:r>
        <w:r>
          <w:rPr>
            <w:rFonts w:ascii="Arial"/>
            <w:b/>
            <w:spacing w:val="-3"/>
            <w:w w:val="99"/>
            <w:sz w:val="25"/>
          </w:rPr>
          <w:t>m</w:t>
        </w:r>
        <w:r>
          <w:rPr>
            <w:rFonts w:ascii="Arial"/>
            <w:b/>
            <w:spacing w:val="-3"/>
            <w:w w:val="77"/>
            <w:sz w:val="25"/>
          </w:rPr>
          <w:t>s</w:t>
        </w:r>
        <w:r>
          <w:rPr>
            <w:rFonts w:ascii="Arial"/>
            <w:b/>
            <w:spacing w:val="-3"/>
            <w:w w:val="94"/>
            <w:sz w:val="25"/>
          </w:rPr>
          <w:t>u</w:t>
        </w:r>
        <w:r>
          <w:rPr>
            <w:rFonts w:ascii="Arial"/>
            <w:b/>
            <w:spacing w:val="-3"/>
            <w:w w:val="94"/>
            <w:sz w:val="25"/>
          </w:rPr>
          <w:t>b</w:t>
        </w:r>
        <w:r>
          <w:rPr>
            <w:rFonts w:ascii="Arial"/>
            <w:b/>
            <w:spacing w:val="-3"/>
            <w:w w:val="77"/>
            <w:sz w:val="25"/>
          </w:rPr>
          <w:t>s</w:t>
        </w:r>
        <w:r>
          <w:rPr>
            <w:rFonts w:ascii="Arial"/>
            <w:b/>
            <w:spacing w:val="-3"/>
            <w:w w:val="76"/>
            <w:sz w:val="25"/>
          </w:rPr>
          <w:t>c</w:t>
        </w:r>
        <w:r>
          <w:rPr>
            <w:rFonts w:ascii="Arial"/>
            <w:b/>
            <w:spacing w:val="-3"/>
            <w:w w:val="93"/>
            <w:sz w:val="25"/>
          </w:rPr>
          <w:t>r</w:t>
        </w:r>
        <w:r>
          <w:rPr>
            <w:rFonts w:ascii="Arial"/>
            <w:b/>
            <w:spacing w:val="-3"/>
            <w:w w:val="101"/>
            <w:sz w:val="25"/>
          </w:rPr>
          <w:t>i</w:t>
        </w:r>
        <w:r>
          <w:rPr>
            <w:rFonts w:ascii="Arial"/>
            <w:b/>
            <w:spacing w:val="-5"/>
            <w:w w:val="94"/>
            <w:sz w:val="25"/>
          </w:rPr>
          <w:t>p</w:t>
        </w:r>
        <w:r>
          <w:rPr>
            <w:rFonts w:ascii="Arial"/>
            <w:b/>
            <w:spacing w:val="-3"/>
            <w:w w:val="110"/>
            <w:sz w:val="25"/>
          </w:rPr>
          <w:t>t</w:t>
        </w:r>
        <w:r>
          <w:rPr>
            <w:rFonts w:ascii="Arial"/>
            <w:b/>
            <w:spacing w:val="-3"/>
            <w:w w:val="101"/>
            <w:sz w:val="25"/>
          </w:rPr>
          <w:t>i</w:t>
        </w:r>
        <w:r>
          <w:rPr>
            <w:rFonts w:ascii="Arial"/>
            <w:b/>
            <w:spacing w:val="-3"/>
            <w:w w:val="91"/>
            <w:sz w:val="25"/>
          </w:rPr>
          <w:t>o</w:t>
        </w:r>
        <w:r>
          <w:rPr>
            <w:rFonts w:ascii="Arial"/>
            <w:b/>
            <w:spacing w:val="-3"/>
            <w:w w:val="95"/>
            <w:sz w:val="25"/>
          </w:rPr>
          <w:t>n</w:t>
        </w:r>
        <w:r>
          <w:rPr>
            <w:rFonts w:ascii="Arial"/>
            <w:b/>
            <w:w w:val="77"/>
            <w:sz w:val="25"/>
          </w:rPr>
          <w:t>s</w:t>
        </w:r>
      </w:hyperlink>
    </w:p>
    <w:p>
      <w:pPr>
        <w:spacing w:before="1"/>
        <w:ind w:left="1724" w:right="2155" w:firstLine="0"/>
        <w:jc w:val="center"/>
        <w:rPr>
          <w:rFonts w:ascii="Arial"/>
          <w:b/>
          <w:sz w:val="25"/>
        </w:rPr>
      </w:pPr>
      <w:r>
        <w:rPr>
          <w:sz w:val="25"/>
        </w:rPr>
        <w:t>Call </w:t>
      </w:r>
      <w:r>
        <w:rPr>
          <w:rFonts w:ascii="Arial"/>
          <w:b/>
          <w:sz w:val="25"/>
        </w:rPr>
        <w:t>020 8955 7073 </w:t>
      </w:r>
      <w:r>
        <w:rPr>
          <w:sz w:val="25"/>
        </w:rPr>
        <w:t>or email </w:t>
      </w:r>
      <w:hyperlink r:id="rId375">
        <w:r>
          <w:rPr>
            <w:rFonts w:ascii="Arial"/>
            <w:b/>
            <w:sz w:val="25"/>
          </w:rPr>
          <w:t>reform@alliance-media.co.uk</w:t>
        </w:r>
      </w:hyperlink>
    </w:p>
    <w:p>
      <w:pPr>
        <w:spacing w:after="0"/>
        <w:jc w:val="center"/>
        <w:rPr>
          <w:rFonts w:ascii="Arial"/>
          <w:sz w:val="25"/>
        </w:rPr>
        <w:sectPr>
          <w:type w:val="continuous"/>
          <w:pgSz w:w="11910" w:h="16840"/>
          <w:pgMar w:top="860" w:bottom="280" w:left="0" w:right="0"/>
        </w:sectPr>
      </w:pPr>
    </w:p>
    <w:p>
      <w:pPr>
        <w:spacing w:line="216" w:lineRule="auto" w:before="94"/>
        <w:ind w:left="2381" w:right="2254" w:firstLine="0"/>
        <w:jc w:val="left"/>
        <w:rPr>
          <w:rFonts w:ascii="Stone Sans II ITC Std Sm" w:hAnsi="Stone Sans II ITC Std Sm"/>
          <w:b/>
          <w:sz w:val="18"/>
        </w:rPr>
      </w:pPr>
      <w:r>
        <w:rPr/>
        <w:pict>
          <v:rect style="position:absolute;margin-left:0pt;margin-top:.000015pt;width:595.275pt;height:841.89pt;mso-position-horizontal-relative:page;mso-position-vertical-relative:page;z-index:-267285504" filled="true" fillcolor="#8ba8bd" stroked="false">
            <v:fill type="solid"/>
            <w10:wrap type="none"/>
          </v:rect>
        </w:pict>
      </w:r>
      <w:r>
        <w:rPr/>
        <w:pict>
          <v:group style="position:absolute;margin-left:75.826797pt;margin-top:.000015pt;width:519.4500pt;height:790.9pt;mso-position-horizontal-relative:page;mso-position-vertical-relative:page;z-index:-267284480"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017;width:8049;height:5595" coordorigin="2014,1018" coordsize="8049,5595" path="m2254,1018l2251,1156,2224,1228,2153,1254,2014,1258,2014,6372,2153,6375,2224,6402,2251,6473,2254,6612,9823,6612,9827,6473,9853,6402,9924,6375,10063,6372,10063,1258,9924,1254,9853,1228,9827,1156,9823,1018,2254,1018xe" filled="false" stroked="true" strokeweight="1pt" strokecolor="#8ba8bd">
              <v:path arrowok="t"/>
              <v:stroke dashstyle="solid"/>
            </v:shape>
            <v:shape style="position:absolute;left:6628;top:12460;width:367;height:286" type="#_x0000_t75" stroked="false">
              <v:imagedata r:id="rId379" o:title=""/>
            </v:shape>
            <w10:wrap type="none"/>
          </v:group>
        </w:pict>
      </w:r>
      <w:r>
        <w:rPr/>
        <w:pict>
          <v:shape style="position:absolute;margin-left:512.587891pt;margin-top:-9.228620pt;width:47.4pt;height:149.5pt;mso-position-horizontal-relative:page;mso-position-vertical-relative:paragraph;z-index:-267283456"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w w:val="110"/>
                      <w:sz w:val="72"/>
                    </w:rPr>
                    <w:t>Mission</w:t>
                  </w:r>
                </w:p>
              </w:txbxContent>
            </v:textbox>
            <w10:wrap type="none"/>
          </v:shape>
        </w:pict>
      </w:r>
      <w:r>
        <w:rPr>
          <w:rFonts w:ascii="Stone Sans II ITC Std Sm" w:hAnsi="Stone Sans II ITC Std Sm"/>
          <w:b/>
          <w:spacing w:val="2"/>
          <w:w w:val="110"/>
          <w:sz w:val="18"/>
        </w:rPr>
        <w:t>The </w:t>
      </w:r>
      <w:r>
        <w:rPr>
          <w:rFonts w:ascii="Stone Sans II ITC Std Sm" w:hAnsi="Stone Sans II ITC Std Sm"/>
          <w:b/>
          <w:w w:val="110"/>
          <w:sz w:val="18"/>
        </w:rPr>
        <w:t>central task of the </w:t>
      </w:r>
      <w:r>
        <w:rPr>
          <w:rFonts w:ascii="Stone Sans II ITC Std Sm" w:hAnsi="Stone Sans II ITC Std Sm"/>
          <w:b/>
          <w:spacing w:val="2"/>
          <w:w w:val="110"/>
          <w:sz w:val="18"/>
        </w:rPr>
        <w:t>Mission Committee </w:t>
      </w:r>
      <w:r>
        <w:rPr>
          <w:rFonts w:ascii="Stone Sans II ITC Std Sm" w:hAnsi="Stone Sans II ITC Std Sm"/>
          <w:b/>
          <w:w w:val="110"/>
          <w:sz w:val="18"/>
        </w:rPr>
        <w:t>is to </w:t>
      </w:r>
      <w:r>
        <w:rPr>
          <w:rFonts w:ascii="Stone Sans II ITC Std Sm" w:hAnsi="Stone Sans II ITC Std Sm"/>
          <w:b/>
          <w:spacing w:val="2"/>
          <w:w w:val="110"/>
          <w:sz w:val="18"/>
        </w:rPr>
        <w:t>focus </w:t>
      </w:r>
      <w:r>
        <w:rPr>
          <w:rFonts w:ascii="Stone Sans II ITC Std Sm" w:hAnsi="Stone Sans II ITC Std Sm"/>
          <w:b/>
          <w:w w:val="110"/>
          <w:sz w:val="18"/>
        </w:rPr>
        <w:t>on mission, </w:t>
      </w:r>
      <w:r>
        <w:rPr>
          <w:rFonts w:ascii="Stone Sans II ITC Std Sm" w:hAnsi="Stone Sans II ITC Std Sm"/>
          <w:b/>
          <w:spacing w:val="2"/>
          <w:w w:val="110"/>
          <w:sz w:val="18"/>
        </w:rPr>
        <w:t>working    </w:t>
      </w:r>
      <w:r>
        <w:rPr>
          <w:rFonts w:ascii="Stone Sans II ITC Std Sm" w:hAnsi="Stone Sans II ITC Std Sm"/>
          <w:b/>
          <w:w w:val="110"/>
          <w:sz w:val="18"/>
        </w:rPr>
        <w:t>with the </w:t>
      </w:r>
      <w:r>
        <w:rPr>
          <w:rFonts w:ascii="Stone Sans II ITC Std Sm" w:hAnsi="Stone Sans II ITC Std Sm"/>
          <w:b/>
          <w:spacing w:val="2"/>
          <w:w w:val="110"/>
          <w:sz w:val="18"/>
        </w:rPr>
        <w:t>whole </w:t>
      </w:r>
      <w:r>
        <w:rPr>
          <w:rFonts w:ascii="Stone Sans II ITC Std Sm" w:hAnsi="Stone Sans II ITC Std Sm"/>
          <w:b/>
          <w:w w:val="110"/>
          <w:sz w:val="18"/>
        </w:rPr>
        <w:t>of the Church to </w:t>
      </w:r>
      <w:r>
        <w:rPr>
          <w:rFonts w:ascii="Stone Sans II ITC Std Sm" w:hAnsi="Stone Sans II ITC Std Sm"/>
          <w:b/>
          <w:spacing w:val="2"/>
          <w:w w:val="110"/>
          <w:sz w:val="18"/>
        </w:rPr>
        <w:t>formulate </w:t>
      </w:r>
      <w:r>
        <w:rPr>
          <w:rFonts w:ascii="Stone Sans II ITC Std Sm" w:hAnsi="Stone Sans II ITC Std Sm"/>
          <w:b/>
          <w:w w:val="110"/>
          <w:sz w:val="18"/>
        </w:rPr>
        <w:t>and give </w:t>
      </w:r>
      <w:r>
        <w:rPr>
          <w:rFonts w:ascii="Stone Sans II ITC Std Sm" w:hAnsi="Stone Sans II ITC Std Sm"/>
          <w:b/>
          <w:spacing w:val="2"/>
          <w:w w:val="110"/>
          <w:sz w:val="18"/>
        </w:rPr>
        <w:t>expression </w:t>
      </w:r>
      <w:r>
        <w:rPr>
          <w:rFonts w:ascii="Stone Sans II ITC Std Sm" w:hAnsi="Stone Sans II ITC Std Sm"/>
          <w:b/>
          <w:w w:val="110"/>
          <w:sz w:val="18"/>
        </w:rPr>
        <w:t>to our mission and </w:t>
      </w:r>
      <w:r>
        <w:rPr>
          <w:rFonts w:ascii="Stone Sans II ITC Std Sm" w:hAnsi="Stone Sans II ITC Std Sm"/>
          <w:b/>
          <w:spacing w:val="2"/>
          <w:w w:val="110"/>
          <w:sz w:val="18"/>
        </w:rPr>
        <w:t>faith </w:t>
      </w:r>
      <w:r>
        <w:rPr>
          <w:rFonts w:ascii="Stone Sans II ITC Std Sm" w:hAnsi="Stone Sans II ITC Std Sm"/>
          <w:b/>
          <w:w w:val="110"/>
          <w:sz w:val="18"/>
        </w:rPr>
        <w:t>in ways which </w:t>
      </w:r>
      <w:r>
        <w:rPr>
          <w:rFonts w:ascii="Stone Sans II ITC Std Sm" w:hAnsi="Stone Sans II ITC Std Sm"/>
          <w:b/>
          <w:spacing w:val="2"/>
          <w:w w:val="110"/>
          <w:sz w:val="18"/>
        </w:rPr>
        <w:t>bring </w:t>
      </w:r>
      <w:r>
        <w:rPr>
          <w:rFonts w:ascii="Stone Sans II ITC Std Sm" w:hAnsi="Stone Sans II ITC Std Sm"/>
          <w:b/>
          <w:w w:val="110"/>
          <w:sz w:val="18"/>
        </w:rPr>
        <w:t>alive our </w:t>
      </w:r>
      <w:r>
        <w:rPr>
          <w:rFonts w:ascii="Stone Sans II ITC Std Sm" w:hAnsi="Stone Sans II ITC Std Sm"/>
          <w:b/>
          <w:spacing w:val="2"/>
          <w:w w:val="110"/>
          <w:sz w:val="18"/>
        </w:rPr>
        <w:t>vision </w:t>
      </w:r>
      <w:r>
        <w:rPr>
          <w:rFonts w:ascii="Stone Sans II ITC Std Sm" w:hAnsi="Stone Sans II ITC Std Sm"/>
          <w:b/>
          <w:w w:val="110"/>
          <w:sz w:val="18"/>
        </w:rPr>
        <w:t>of ‘being Christ’s </w:t>
      </w:r>
      <w:r>
        <w:rPr>
          <w:rFonts w:ascii="Stone Sans II ITC Std Sm" w:hAnsi="Stone Sans II ITC Std Sm"/>
          <w:b/>
          <w:spacing w:val="2"/>
          <w:w w:val="110"/>
          <w:sz w:val="18"/>
        </w:rPr>
        <w:t>people,</w:t>
      </w:r>
      <w:r>
        <w:rPr>
          <w:rFonts w:ascii="Stone Sans II ITC Std Sm" w:hAnsi="Stone Sans II ITC Std Sm"/>
          <w:b/>
          <w:spacing w:val="55"/>
          <w:w w:val="110"/>
          <w:sz w:val="18"/>
        </w:rPr>
        <w:t> </w:t>
      </w:r>
      <w:r>
        <w:rPr>
          <w:rFonts w:ascii="Stone Sans II ITC Std Sm" w:hAnsi="Stone Sans II ITC Std Sm"/>
          <w:b/>
          <w:spacing w:val="3"/>
          <w:w w:val="110"/>
          <w:sz w:val="18"/>
        </w:rPr>
        <w:t>transformed </w:t>
      </w:r>
      <w:r>
        <w:rPr>
          <w:rFonts w:ascii="Stone Sans II ITC Std Sm" w:hAnsi="Stone Sans II ITC Std Sm"/>
          <w:b/>
          <w:w w:val="110"/>
          <w:sz w:val="18"/>
        </w:rPr>
        <w:t>by the </w:t>
      </w:r>
      <w:r>
        <w:rPr>
          <w:rFonts w:ascii="Stone Sans II ITC Std Sm" w:hAnsi="Stone Sans II ITC Std Sm"/>
          <w:b/>
          <w:spacing w:val="2"/>
          <w:w w:val="110"/>
          <w:sz w:val="18"/>
        </w:rPr>
        <w:t>Gospel, making </w:t>
      </w:r>
      <w:r>
        <w:rPr>
          <w:rFonts w:ascii="Stone Sans II ITC Std Sm" w:hAnsi="Stone Sans II ITC Std Sm"/>
          <w:b/>
          <w:w w:val="110"/>
          <w:sz w:val="18"/>
        </w:rPr>
        <w:t>a </w:t>
      </w:r>
      <w:r>
        <w:rPr>
          <w:rFonts w:ascii="Stone Sans II ITC Std Sm" w:hAnsi="Stone Sans II ITC Std Sm"/>
          <w:b/>
          <w:spacing w:val="2"/>
          <w:w w:val="110"/>
          <w:sz w:val="18"/>
        </w:rPr>
        <w:t>difference </w:t>
      </w:r>
      <w:r>
        <w:rPr>
          <w:rFonts w:ascii="Stone Sans II ITC Std Sm" w:hAnsi="Stone Sans II ITC Std Sm"/>
          <w:b/>
          <w:w w:val="110"/>
          <w:sz w:val="18"/>
        </w:rPr>
        <w:t>to the </w:t>
      </w:r>
      <w:r>
        <w:rPr>
          <w:rFonts w:ascii="Stone Sans II ITC Std Sm" w:hAnsi="Stone Sans II ITC Std Sm"/>
          <w:b/>
          <w:spacing w:val="2"/>
          <w:w w:val="110"/>
          <w:sz w:val="18"/>
        </w:rPr>
        <w:t>world’ </w:t>
      </w:r>
      <w:r>
        <w:rPr>
          <w:rFonts w:ascii="Stone Sans II ITC Std Sm" w:hAnsi="Stone Sans II ITC Std Sm"/>
          <w:b/>
          <w:w w:val="110"/>
          <w:sz w:val="18"/>
        </w:rPr>
        <w:t>(General </w:t>
      </w:r>
      <w:r>
        <w:rPr>
          <w:rFonts w:ascii="Stone Sans II ITC Std Sm" w:hAnsi="Stone Sans II ITC Std Sm"/>
          <w:b/>
          <w:spacing w:val="3"/>
          <w:w w:val="110"/>
          <w:sz w:val="18"/>
        </w:rPr>
        <w:t>Assembly </w:t>
      </w:r>
      <w:r>
        <w:rPr>
          <w:rFonts w:ascii="Stone Sans II ITC Std Sm" w:hAnsi="Stone Sans II ITC Std Sm"/>
          <w:b/>
          <w:w w:val="110"/>
          <w:sz w:val="18"/>
        </w:rPr>
        <w:t>2007). </w:t>
      </w:r>
      <w:r>
        <w:rPr>
          <w:rFonts w:ascii="Stone Sans II ITC Std Sm" w:hAnsi="Stone Sans II ITC Std Sm"/>
          <w:b/>
          <w:spacing w:val="2"/>
          <w:w w:val="110"/>
          <w:sz w:val="18"/>
        </w:rPr>
        <w:t>The committee </w:t>
      </w:r>
      <w:r>
        <w:rPr>
          <w:rFonts w:ascii="Stone Sans II ITC Std Sm" w:hAnsi="Stone Sans II ITC Std Sm"/>
          <w:b/>
          <w:spacing w:val="3"/>
          <w:w w:val="110"/>
          <w:sz w:val="18"/>
        </w:rPr>
        <w:t>seeks </w:t>
      </w:r>
      <w:r>
        <w:rPr>
          <w:rFonts w:ascii="Stone Sans II ITC Std Sm" w:hAnsi="Stone Sans II ITC Std Sm"/>
          <w:b/>
          <w:w w:val="110"/>
          <w:sz w:val="18"/>
        </w:rPr>
        <w:t>to </w:t>
      </w:r>
      <w:r>
        <w:rPr>
          <w:rFonts w:ascii="Stone Sans II ITC Std Sm" w:hAnsi="Stone Sans II ITC Std Sm"/>
          <w:b/>
          <w:spacing w:val="2"/>
          <w:w w:val="110"/>
          <w:sz w:val="18"/>
        </w:rPr>
        <w:t>encourage </w:t>
      </w:r>
      <w:r>
        <w:rPr>
          <w:rFonts w:ascii="Stone Sans II ITC Std Sm" w:hAnsi="Stone Sans II ITC Std Sm"/>
          <w:b/>
          <w:spacing w:val="3"/>
          <w:w w:val="110"/>
          <w:sz w:val="18"/>
        </w:rPr>
        <w:t>growth </w:t>
      </w:r>
      <w:r>
        <w:rPr>
          <w:rFonts w:ascii="Stone Sans II ITC Std Sm" w:hAnsi="Stone Sans II ITC Std Sm"/>
          <w:b/>
          <w:w w:val="110"/>
          <w:sz w:val="18"/>
        </w:rPr>
        <w:t>in discipleship, evangelism and </w:t>
      </w:r>
      <w:r>
        <w:rPr>
          <w:rFonts w:ascii="Stone Sans II ITC Std Sm" w:hAnsi="Stone Sans II ITC Std Sm"/>
          <w:b/>
          <w:spacing w:val="2"/>
          <w:w w:val="110"/>
          <w:sz w:val="18"/>
        </w:rPr>
        <w:t>witness</w:t>
      </w:r>
      <w:r>
        <w:rPr>
          <w:rFonts w:ascii="Stone Sans II ITC Std Sm" w:hAnsi="Stone Sans II ITC Std Sm"/>
          <w:b/>
          <w:spacing w:val="14"/>
          <w:w w:val="110"/>
          <w:sz w:val="18"/>
        </w:rPr>
        <w:t> </w:t>
      </w:r>
      <w:r>
        <w:rPr>
          <w:rFonts w:ascii="Stone Sans II ITC Std Sm" w:hAnsi="Stone Sans II ITC Std Sm"/>
          <w:b/>
          <w:w w:val="110"/>
          <w:sz w:val="18"/>
        </w:rPr>
        <w:t>by:</w:t>
      </w:r>
    </w:p>
    <w:p>
      <w:pPr>
        <w:pStyle w:val="BodyText"/>
        <w:spacing w:before="3"/>
        <w:rPr>
          <w:rFonts w:ascii="Stone Sans II ITC Std Sm"/>
          <w:b/>
          <w:sz w:val="18"/>
        </w:rPr>
      </w:pPr>
    </w:p>
    <w:p>
      <w:pPr>
        <w:spacing w:line="216" w:lineRule="auto" w:before="0"/>
        <w:ind w:left="2834" w:right="2988" w:firstLine="0"/>
        <w:jc w:val="left"/>
        <w:rPr>
          <w:rFonts w:ascii="Stone Sans II ITC Std Sm" w:hAnsi="Stone Sans II ITC Std Sm"/>
          <w:b/>
          <w:sz w:val="18"/>
        </w:rPr>
      </w:pPr>
      <w:r>
        <w:rPr>
          <w:rFonts w:ascii="Stone Sans II ITC Std Sm" w:hAnsi="Stone Sans II ITC Std Sm"/>
          <w:b/>
          <w:w w:val="110"/>
          <w:sz w:val="18"/>
        </w:rPr>
        <w:t>reflecting on the church’s mission practice and theology; formulating policy, strategies and programme (action) priorities; reading the signs of the times and speaking prophetically; working with partners; and</w:t>
      </w:r>
    </w:p>
    <w:p>
      <w:pPr>
        <w:spacing w:line="216" w:lineRule="auto" w:before="3"/>
        <w:ind w:left="2834" w:right="2573" w:firstLine="0"/>
        <w:jc w:val="left"/>
        <w:rPr>
          <w:rFonts w:ascii="Stone Sans II ITC Std Sm"/>
          <w:b/>
          <w:sz w:val="18"/>
        </w:rPr>
      </w:pPr>
      <w:r>
        <w:rPr>
          <w:rFonts w:ascii="Stone Sans II ITC Std Sm"/>
          <w:b/>
          <w:w w:val="110"/>
          <w:sz w:val="18"/>
        </w:rPr>
        <w:t>continuously evaluating the place of mission and evangelism within the work of General Assembly.</w:t>
      </w:r>
    </w:p>
    <w:p>
      <w:pPr>
        <w:pStyle w:val="BodyText"/>
        <w:spacing w:before="11"/>
        <w:rPr>
          <w:rFonts w:ascii="Stone Sans II ITC Std Sm"/>
          <w:b/>
          <w:sz w:val="32"/>
        </w:rPr>
      </w:pPr>
    </w:p>
    <w:p>
      <w:pPr>
        <w:spacing w:line="232" w:lineRule="exact" w:before="0"/>
        <w:ind w:left="2381" w:right="0" w:firstLine="0"/>
        <w:jc w:val="left"/>
        <w:rPr>
          <w:sz w:val="18"/>
        </w:rPr>
      </w:pPr>
      <w:r>
        <w:rPr>
          <w:rFonts w:ascii="Stone Sans II ITC Std Sm"/>
          <w:b/>
          <w:w w:val="120"/>
          <w:sz w:val="18"/>
        </w:rPr>
        <w:t>Convener: </w:t>
      </w:r>
      <w:r>
        <w:rPr>
          <w:w w:val="120"/>
          <w:sz w:val="18"/>
        </w:rPr>
        <w:t>Ed Cox</w:t>
      </w:r>
    </w:p>
    <w:p>
      <w:pPr>
        <w:spacing w:line="220" w:lineRule="exact" w:before="0"/>
        <w:ind w:left="2381" w:right="0" w:firstLine="0"/>
        <w:jc w:val="both"/>
        <w:rPr>
          <w:sz w:val="18"/>
        </w:rPr>
      </w:pPr>
      <w:r>
        <w:rPr>
          <w:rFonts w:ascii="Stone Sans II ITC Std Sm"/>
          <w:b/>
          <w:w w:val="120"/>
          <w:sz w:val="18"/>
        </w:rPr>
        <w:t>Deputy Convener: </w:t>
      </w:r>
      <w:r>
        <w:rPr>
          <w:w w:val="120"/>
          <w:sz w:val="18"/>
        </w:rPr>
        <w:t>Elizabeth Caswell</w:t>
      </w:r>
    </w:p>
    <w:p>
      <w:pPr>
        <w:spacing w:line="228" w:lineRule="auto" w:before="0"/>
        <w:ind w:left="2381" w:right="2299" w:firstLine="0"/>
        <w:jc w:val="both"/>
        <w:rPr>
          <w:sz w:val="18"/>
        </w:rPr>
      </w:pPr>
      <w:r>
        <w:rPr>
          <w:rFonts w:ascii="Stone Sans II ITC Std Sm"/>
          <w:b/>
          <w:w w:val="120"/>
          <w:sz w:val="18"/>
        </w:rPr>
        <w:t>Staff</w:t>
      </w:r>
      <w:r>
        <w:rPr>
          <w:rFonts w:ascii="Stone Sans II ITC Std Sm"/>
          <w:b/>
          <w:spacing w:val="-15"/>
          <w:w w:val="120"/>
          <w:sz w:val="18"/>
        </w:rPr>
        <w:t> </w:t>
      </w:r>
      <w:r>
        <w:rPr>
          <w:rFonts w:ascii="Stone Sans II ITC Std Sm"/>
          <w:b/>
          <w:w w:val="120"/>
          <w:sz w:val="18"/>
        </w:rPr>
        <w:t>Secretaries:</w:t>
      </w:r>
      <w:r>
        <w:rPr>
          <w:rFonts w:ascii="Stone Sans II ITC Std Sm"/>
          <w:b/>
          <w:spacing w:val="-16"/>
          <w:w w:val="120"/>
          <w:sz w:val="18"/>
        </w:rPr>
        <w:t> </w:t>
      </w:r>
      <w:r>
        <w:rPr>
          <w:w w:val="120"/>
          <w:sz w:val="18"/>
        </w:rPr>
        <w:t>Francis</w:t>
      </w:r>
      <w:r>
        <w:rPr>
          <w:spacing w:val="-9"/>
          <w:w w:val="120"/>
          <w:sz w:val="18"/>
        </w:rPr>
        <w:t> </w:t>
      </w:r>
      <w:r>
        <w:rPr>
          <w:w w:val="120"/>
          <w:sz w:val="18"/>
        </w:rPr>
        <w:t>Brienen,</w:t>
      </w:r>
      <w:r>
        <w:rPr>
          <w:spacing w:val="-8"/>
          <w:w w:val="120"/>
          <w:sz w:val="18"/>
        </w:rPr>
        <w:t> </w:t>
      </w:r>
      <w:r>
        <w:rPr>
          <w:w w:val="120"/>
          <w:sz w:val="18"/>
        </w:rPr>
        <w:t>Michael</w:t>
      </w:r>
      <w:r>
        <w:rPr>
          <w:spacing w:val="-8"/>
          <w:w w:val="120"/>
          <w:sz w:val="18"/>
        </w:rPr>
        <w:t> </w:t>
      </w:r>
      <w:r>
        <w:rPr>
          <w:w w:val="120"/>
          <w:sz w:val="18"/>
        </w:rPr>
        <w:t>Jagessar,</w:t>
      </w:r>
      <w:r>
        <w:rPr>
          <w:spacing w:val="-9"/>
          <w:w w:val="120"/>
          <w:sz w:val="18"/>
        </w:rPr>
        <w:t> </w:t>
      </w:r>
      <w:r>
        <w:rPr>
          <w:w w:val="120"/>
          <w:sz w:val="18"/>
        </w:rPr>
        <w:t>Graham</w:t>
      </w:r>
      <w:r>
        <w:rPr>
          <w:spacing w:val="-8"/>
          <w:w w:val="120"/>
          <w:sz w:val="18"/>
        </w:rPr>
        <w:t> </w:t>
      </w:r>
      <w:r>
        <w:rPr>
          <w:w w:val="120"/>
          <w:sz w:val="18"/>
        </w:rPr>
        <w:t>Jones,</w:t>
      </w:r>
      <w:r>
        <w:rPr>
          <w:spacing w:val="-9"/>
          <w:w w:val="120"/>
          <w:sz w:val="18"/>
        </w:rPr>
        <w:t> </w:t>
      </w:r>
      <w:r>
        <w:rPr>
          <w:w w:val="120"/>
          <w:sz w:val="18"/>
        </w:rPr>
        <w:t>Frank</w:t>
      </w:r>
      <w:r>
        <w:rPr>
          <w:spacing w:val="-8"/>
          <w:w w:val="120"/>
          <w:sz w:val="18"/>
        </w:rPr>
        <w:t> </w:t>
      </w:r>
      <w:r>
        <w:rPr>
          <w:w w:val="120"/>
          <w:sz w:val="18"/>
        </w:rPr>
        <w:t>Kantor, Linda Mead, Jane Rowell, David</w:t>
      </w:r>
      <w:r>
        <w:rPr>
          <w:spacing w:val="12"/>
          <w:w w:val="120"/>
          <w:sz w:val="18"/>
        </w:rPr>
        <w:t> </w:t>
      </w:r>
      <w:r>
        <w:rPr>
          <w:spacing w:val="-3"/>
          <w:w w:val="120"/>
          <w:sz w:val="18"/>
        </w:rPr>
        <w:t>Tatem</w:t>
      </w:r>
    </w:p>
    <w:p>
      <w:pPr>
        <w:spacing w:line="244" w:lineRule="auto" w:before="0"/>
        <w:ind w:left="2381" w:right="3093" w:firstLine="0"/>
        <w:jc w:val="both"/>
        <w:rPr>
          <w:sz w:val="18"/>
        </w:rPr>
      </w:pPr>
      <w:r>
        <w:rPr>
          <w:rFonts w:ascii="Stone Sans II ITC Std Sm"/>
          <w:b/>
          <w:w w:val="120"/>
          <w:sz w:val="18"/>
        </w:rPr>
        <w:t>Committee</w:t>
      </w:r>
      <w:r>
        <w:rPr>
          <w:rFonts w:ascii="Stone Sans II ITC Std Sm"/>
          <w:b/>
          <w:spacing w:val="-14"/>
          <w:w w:val="120"/>
          <w:sz w:val="18"/>
        </w:rPr>
        <w:t> </w:t>
      </w:r>
      <w:r>
        <w:rPr>
          <w:rFonts w:ascii="Stone Sans II ITC Std Sm"/>
          <w:b/>
          <w:w w:val="120"/>
          <w:sz w:val="18"/>
        </w:rPr>
        <w:t>members:</w:t>
      </w:r>
      <w:r>
        <w:rPr>
          <w:rFonts w:ascii="Stone Sans II ITC Std Sm"/>
          <w:b/>
          <w:spacing w:val="-14"/>
          <w:w w:val="120"/>
          <w:sz w:val="18"/>
        </w:rPr>
        <w:t> </w:t>
      </w:r>
      <w:r>
        <w:rPr>
          <w:w w:val="120"/>
          <w:sz w:val="18"/>
        </w:rPr>
        <w:t>Lindsey</w:t>
      </w:r>
      <w:r>
        <w:rPr>
          <w:spacing w:val="-7"/>
          <w:w w:val="120"/>
          <w:sz w:val="18"/>
        </w:rPr>
        <w:t> </w:t>
      </w:r>
      <w:r>
        <w:rPr>
          <w:w w:val="120"/>
          <w:sz w:val="18"/>
        </w:rPr>
        <w:t>Sanderson,</w:t>
      </w:r>
      <w:r>
        <w:rPr>
          <w:spacing w:val="-7"/>
          <w:w w:val="120"/>
          <w:sz w:val="18"/>
        </w:rPr>
        <w:t> </w:t>
      </w:r>
      <w:r>
        <w:rPr>
          <w:w w:val="120"/>
          <w:sz w:val="18"/>
        </w:rPr>
        <w:t>Chris</w:t>
      </w:r>
      <w:r>
        <w:rPr>
          <w:spacing w:val="-7"/>
          <w:w w:val="120"/>
          <w:sz w:val="18"/>
        </w:rPr>
        <w:t> </w:t>
      </w:r>
      <w:r>
        <w:rPr>
          <w:w w:val="120"/>
          <w:sz w:val="18"/>
        </w:rPr>
        <w:t>Eddowes,</w:t>
      </w:r>
      <w:r>
        <w:rPr>
          <w:spacing w:val="-7"/>
          <w:w w:val="120"/>
          <w:sz w:val="18"/>
        </w:rPr>
        <w:t> </w:t>
      </w:r>
      <w:r>
        <w:rPr>
          <w:w w:val="120"/>
          <w:sz w:val="18"/>
        </w:rPr>
        <w:t>Mike</w:t>
      </w:r>
      <w:r>
        <w:rPr>
          <w:spacing w:val="-7"/>
          <w:w w:val="120"/>
          <w:sz w:val="18"/>
        </w:rPr>
        <w:t> </w:t>
      </w:r>
      <w:r>
        <w:rPr>
          <w:w w:val="120"/>
          <w:sz w:val="18"/>
        </w:rPr>
        <w:t>Walsh, Andrew Willett, Anne Parker, Clare Downing, Louise Franklin, Peter </w:t>
      </w:r>
      <w:r>
        <w:rPr>
          <w:spacing w:val="-4"/>
          <w:w w:val="120"/>
          <w:sz w:val="18"/>
        </w:rPr>
        <w:t>Pay, </w:t>
      </w:r>
      <w:r>
        <w:rPr>
          <w:w w:val="120"/>
          <w:sz w:val="18"/>
        </w:rPr>
        <w:t>Peter Ball, John Macaulay, Tracey Lewis, Pauline Sparks, Simon Walkling</w:t>
      </w:r>
    </w:p>
    <w:p>
      <w:pPr>
        <w:pStyle w:val="BodyText"/>
      </w:pPr>
    </w:p>
    <w:p>
      <w:pPr>
        <w:pStyle w:val="BodyText"/>
      </w:pPr>
    </w:p>
    <w:p>
      <w:pPr>
        <w:pStyle w:val="BodyText"/>
      </w:pPr>
    </w:p>
    <w:p>
      <w:pPr>
        <w:pStyle w:val="BodyText"/>
        <w:spacing w:before="5"/>
        <w:rPr>
          <w:sz w:val="22"/>
        </w:rPr>
      </w:pPr>
    </w:p>
    <w:p>
      <w:pPr>
        <w:numPr>
          <w:ilvl w:val="0"/>
          <w:numId w:val="143"/>
        </w:numPr>
        <w:tabs>
          <w:tab w:pos="2724" w:val="left" w:leader="none"/>
          <w:tab w:pos="2725" w:val="left" w:leader="none"/>
        </w:tabs>
        <w:spacing w:before="100"/>
        <w:ind w:left="2724" w:right="0" w:hanging="721"/>
        <w:jc w:val="left"/>
        <w:rPr>
          <w:rFonts w:ascii="Stone Sans II ITC Std Bk"/>
          <w:b/>
          <w:sz w:val="21"/>
        </w:rPr>
      </w:pPr>
      <w:r>
        <w:rPr>
          <w:rFonts w:ascii="Stone Sans II ITC Std Bk"/>
          <w:b/>
          <w:w w:val="115"/>
          <w:sz w:val="21"/>
        </w:rPr>
        <w:t>Introduction</w:t>
      </w:r>
    </w:p>
    <w:p>
      <w:pPr>
        <w:pStyle w:val="ListParagraph"/>
        <w:numPr>
          <w:ilvl w:val="1"/>
          <w:numId w:val="143"/>
        </w:numPr>
        <w:tabs>
          <w:tab w:pos="2684" w:val="left" w:leader="none"/>
          <w:tab w:pos="2685" w:val="left" w:leader="none"/>
        </w:tabs>
        <w:spacing w:line="235" w:lineRule="auto" w:before="223" w:after="0"/>
        <w:ind w:left="2004" w:right="1452" w:firstLine="0"/>
        <w:jc w:val="left"/>
        <w:rPr>
          <w:sz w:val="20"/>
        </w:rPr>
      </w:pPr>
      <w:r>
        <w:rPr>
          <w:w w:val="120"/>
          <w:sz w:val="20"/>
        </w:rPr>
        <w:t>General Assembly </w:t>
      </w:r>
      <w:r>
        <w:rPr>
          <w:spacing w:val="-6"/>
          <w:w w:val="120"/>
          <w:sz w:val="20"/>
        </w:rPr>
        <w:t>2010 </w:t>
      </w:r>
      <w:r>
        <w:rPr>
          <w:w w:val="120"/>
          <w:sz w:val="20"/>
        </w:rPr>
        <w:t>feels like the right time to break the mould. For the  first time there will be no </w:t>
      </w:r>
      <w:r>
        <w:rPr>
          <w:spacing w:val="2"/>
          <w:w w:val="120"/>
          <w:sz w:val="20"/>
        </w:rPr>
        <w:t>reports </w:t>
      </w:r>
      <w:r>
        <w:rPr>
          <w:w w:val="120"/>
          <w:sz w:val="20"/>
        </w:rPr>
        <w:t>from each of the different </w:t>
      </w:r>
      <w:r>
        <w:rPr>
          <w:spacing w:val="-3"/>
          <w:w w:val="120"/>
          <w:sz w:val="20"/>
        </w:rPr>
        <w:t>‘silos’ </w:t>
      </w:r>
      <w:r>
        <w:rPr>
          <w:w w:val="120"/>
          <w:sz w:val="20"/>
        </w:rPr>
        <w:t>of the committees that pre-dated Mission Committee’s formation. </w:t>
      </w:r>
      <w:r>
        <w:rPr>
          <w:spacing w:val="2"/>
          <w:w w:val="120"/>
          <w:sz w:val="20"/>
        </w:rPr>
        <w:t>Of </w:t>
      </w:r>
      <w:r>
        <w:rPr>
          <w:w w:val="120"/>
          <w:sz w:val="20"/>
        </w:rPr>
        <w:t>course, our work in fields such as ecumenical and international relations, racial justice, public issues and evangelism  and witness still goes on, but now that we have a ‘Mission </w:t>
      </w:r>
      <w:r>
        <w:rPr>
          <w:spacing w:val="-5"/>
          <w:w w:val="120"/>
          <w:sz w:val="20"/>
        </w:rPr>
        <w:t>Team’ </w:t>
      </w:r>
      <w:r>
        <w:rPr>
          <w:w w:val="120"/>
          <w:sz w:val="20"/>
        </w:rPr>
        <w:t>at Church House we thought</w:t>
      </w:r>
      <w:r>
        <w:rPr>
          <w:spacing w:val="4"/>
          <w:w w:val="120"/>
          <w:sz w:val="20"/>
        </w:rPr>
        <w:t> </w:t>
      </w:r>
      <w:r>
        <w:rPr>
          <w:w w:val="120"/>
          <w:sz w:val="20"/>
        </w:rPr>
        <w:t>it</w:t>
      </w:r>
      <w:r>
        <w:rPr>
          <w:spacing w:val="4"/>
          <w:w w:val="120"/>
          <w:sz w:val="20"/>
        </w:rPr>
        <w:t> </w:t>
      </w:r>
      <w:r>
        <w:rPr>
          <w:w w:val="120"/>
          <w:sz w:val="20"/>
        </w:rPr>
        <w:t>was</w:t>
      </w:r>
      <w:r>
        <w:rPr>
          <w:spacing w:val="5"/>
          <w:w w:val="120"/>
          <w:sz w:val="20"/>
        </w:rPr>
        <w:t> </w:t>
      </w:r>
      <w:r>
        <w:rPr>
          <w:w w:val="120"/>
          <w:sz w:val="20"/>
        </w:rPr>
        <w:t>appropriate</w:t>
      </w:r>
      <w:r>
        <w:rPr>
          <w:spacing w:val="4"/>
          <w:w w:val="120"/>
          <w:sz w:val="20"/>
        </w:rPr>
        <w:t> </w:t>
      </w:r>
      <w:r>
        <w:rPr>
          <w:w w:val="120"/>
          <w:sz w:val="20"/>
        </w:rPr>
        <w:t>to</w:t>
      </w:r>
      <w:r>
        <w:rPr>
          <w:spacing w:val="5"/>
          <w:w w:val="120"/>
          <w:sz w:val="20"/>
        </w:rPr>
        <w:t> </w:t>
      </w:r>
      <w:r>
        <w:rPr>
          <w:w w:val="120"/>
          <w:sz w:val="20"/>
        </w:rPr>
        <w:t>bring</w:t>
      </w:r>
      <w:r>
        <w:rPr>
          <w:spacing w:val="4"/>
          <w:w w:val="120"/>
          <w:sz w:val="20"/>
        </w:rPr>
        <w:t> </w:t>
      </w:r>
      <w:r>
        <w:rPr>
          <w:w w:val="120"/>
          <w:sz w:val="20"/>
        </w:rPr>
        <w:t>a</w:t>
      </w:r>
      <w:r>
        <w:rPr>
          <w:spacing w:val="4"/>
          <w:w w:val="120"/>
          <w:sz w:val="20"/>
        </w:rPr>
        <w:t> </w:t>
      </w:r>
      <w:r>
        <w:rPr>
          <w:spacing w:val="2"/>
          <w:w w:val="120"/>
          <w:sz w:val="20"/>
        </w:rPr>
        <w:t>report</w:t>
      </w:r>
      <w:r>
        <w:rPr>
          <w:spacing w:val="5"/>
          <w:w w:val="120"/>
          <w:sz w:val="20"/>
        </w:rPr>
        <w:t> </w:t>
      </w:r>
      <w:r>
        <w:rPr>
          <w:w w:val="120"/>
          <w:sz w:val="20"/>
        </w:rPr>
        <w:t>which</w:t>
      </w:r>
      <w:r>
        <w:rPr>
          <w:spacing w:val="4"/>
          <w:w w:val="120"/>
          <w:sz w:val="20"/>
        </w:rPr>
        <w:t> </w:t>
      </w:r>
      <w:r>
        <w:rPr>
          <w:w w:val="120"/>
          <w:sz w:val="20"/>
        </w:rPr>
        <w:t>gives</w:t>
      </w:r>
      <w:r>
        <w:rPr>
          <w:spacing w:val="5"/>
          <w:w w:val="120"/>
          <w:sz w:val="20"/>
        </w:rPr>
        <w:t> </w:t>
      </w:r>
      <w:r>
        <w:rPr>
          <w:w w:val="120"/>
          <w:sz w:val="20"/>
        </w:rPr>
        <w:t>a</w:t>
      </w:r>
      <w:r>
        <w:rPr>
          <w:spacing w:val="4"/>
          <w:w w:val="120"/>
          <w:sz w:val="20"/>
        </w:rPr>
        <w:t> </w:t>
      </w:r>
      <w:r>
        <w:rPr>
          <w:w w:val="120"/>
          <w:sz w:val="20"/>
        </w:rPr>
        <w:t>flavour</w:t>
      </w:r>
      <w:r>
        <w:rPr>
          <w:spacing w:val="5"/>
          <w:w w:val="120"/>
          <w:sz w:val="20"/>
        </w:rPr>
        <w:t> </w:t>
      </w:r>
      <w:r>
        <w:rPr>
          <w:w w:val="120"/>
          <w:sz w:val="20"/>
        </w:rPr>
        <w:t>of</w:t>
      </w:r>
      <w:r>
        <w:rPr>
          <w:spacing w:val="4"/>
          <w:w w:val="120"/>
          <w:sz w:val="20"/>
        </w:rPr>
        <w:t> </w:t>
      </w:r>
      <w:r>
        <w:rPr>
          <w:w w:val="120"/>
          <w:sz w:val="20"/>
        </w:rPr>
        <w:t>the</w:t>
      </w:r>
      <w:r>
        <w:rPr>
          <w:spacing w:val="4"/>
          <w:w w:val="120"/>
          <w:sz w:val="20"/>
        </w:rPr>
        <w:t> </w:t>
      </w:r>
      <w:r>
        <w:rPr>
          <w:spacing w:val="-4"/>
          <w:w w:val="120"/>
          <w:sz w:val="20"/>
        </w:rPr>
        <w:t>team’s</w:t>
      </w:r>
      <w:r>
        <w:rPr>
          <w:spacing w:val="5"/>
          <w:w w:val="120"/>
          <w:sz w:val="20"/>
        </w:rPr>
        <w:t> </w:t>
      </w:r>
      <w:r>
        <w:rPr>
          <w:w w:val="120"/>
          <w:sz w:val="20"/>
        </w:rPr>
        <w:t>work.</w:t>
      </w:r>
    </w:p>
    <w:p>
      <w:pPr>
        <w:pStyle w:val="BodyText"/>
        <w:spacing w:line="235" w:lineRule="auto" w:before="4"/>
        <w:ind w:left="2004" w:right="1323"/>
      </w:pPr>
      <w:r>
        <w:rPr>
          <w:w w:val="120"/>
        </w:rPr>
        <w:t>Our report is broken down into 10 sections – each reflecting one of the themes of the </w:t>
      </w:r>
      <w:r>
        <w:rPr>
          <w:i/>
          <w:w w:val="120"/>
        </w:rPr>
        <w:t>vision2020 </w:t>
      </w:r>
      <w:r>
        <w:rPr>
          <w:w w:val="120"/>
        </w:rPr>
        <w:t>framework we will also be discussing at General Assembly. This is not to pre- empt the outcome of General Assembly’s discussions about </w:t>
      </w:r>
      <w:r>
        <w:rPr>
          <w:i/>
          <w:w w:val="120"/>
        </w:rPr>
        <w:t>vision2020 </w:t>
      </w:r>
      <w:r>
        <w:rPr>
          <w:w w:val="120"/>
        </w:rPr>
        <w:t>but to show the breadth and depth of mission activity across the denomination.</w:t>
      </w:r>
    </w:p>
    <w:p>
      <w:pPr>
        <w:pStyle w:val="BodyText"/>
        <w:spacing w:before="11"/>
        <w:rPr>
          <w:sz w:val="19"/>
        </w:rPr>
      </w:pPr>
    </w:p>
    <w:p>
      <w:pPr>
        <w:pStyle w:val="ListParagraph"/>
        <w:numPr>
          <w:ilvl w:val="1"/>
          <w:numId w:val="143"/>
        </w:numPr>
        <w:tabs>
          <w:tab w:pos="2684" w:val="left" w:leader="none"/>
          <w:tab w:pos="2685" w:val="left" w:leader="none"/>
        </w:tabs>
        <w:spacing w:line="235" w:lineRule="auto" w:before="0" w:after="0"/>
        <w:ind w:left="2004" w:right="1517" w:firstLine="0"/>
        <w:jc w:val="left"/>
        <w:rPr>
          <w:sz w:val="20"/>
        </w:rPr>
      </w:pPr>
      <w:r>
        <w:rPr>
          <w:w w:val="120"/>
          <w:sz w:val="20"/>
        </w:rPr>
        <w:t>Our </w:t>
      </w:r>
      <w:r>
        <w:rPr>
          <w:spacing w:val="2"/>
          <w:w w:val="120"/>
          <w:sz w:val="20"/>
        </w:rPr>
        <w:t>report </w:t>
      </w:r>
      <w:r>
        <w:rPr>
          <w:w w:val="120"/>
          <w:sz w:val="20"/>
        </w:rPr>
        <w:t>also places much emphasis on the activities of local congregations. This has been a significant priority for Mission Committee in its first two years and increasingly Mission </w:t>
      </w:r>
      <w:r>
        <w:rPr>
          <w:spacing w:val="-4"/>
          <w:w w:val="120"/>
          <w:sz w:val="20"/>
        </w:rPr>
        <w:t>Team </w:t>
      </w:r>
      <w:r>
        <w:rPr>
          <w:spacing w:val="2"/>
          <w:w w:val="120"/>
          <w:sz w:val="20"/>
        </w:rPr>
        <w:t>effort </w:t>
      </w:r>
      <w:r>
        <w:rPr>
          <w:w w:val="120"/>
          <w:sz w:val="20"/>
        </w:rPr>
        <w:t>is focusing on how it enables and engages with the local church. We hope that General Assembly provides an opportunity to tell more stories of local</w:t>
      </w:r>
      <w:r>
        <w:rPr>
          <w:spacing w:val="5"/>
          <w:w w:val="120"/>
          <w:sz w:val="20"/>
        </w:rPr>
        <w:t> </w:t>
      </w:r>
      <w:r>
        <w:rPr>
          <w:w w:val="120"/>
          <w:sz w:val="20"/>
        </w:rPr>
        <w:t>mission.</w:t>
      </w:r>
    </w:p>
    <w:p>
      <w:pPr>
        <w:pStyle w:val="BodyText"/>
        <w:spacing w:before="2"/>
        <w:rPr>
          <w:sz w:val="21"/>
        </w:rPr>
      </w:pPr>
    </w:p>
    <w:p>
      <w:pPr>
        <w:pStyle w:val="ListParagraph"/>
        <w:numPr>
          <w:ilvl w:val="1"/>
          <w:numId w:val="143"/>
        </w:numPr>
        <w:tabs>
          <w:tab w:pos="2684" w:val="left" w:leader="none"/>
          <w:tab w:pos="2685" w:val="left" w:leader="none"/>
        </w:tabs>
        <w:spacing w:line="216" w:lineRule="auto" w:before="1" w:after="0"/>
        <w:ind w:left="2004" w:right="1202" w:firstLine="0"/>
        <w:jc w:val="left"/>
        <w:rPr>
          <w:i/>
          <w:sz w:val="20"/>
        </w:rPr>
      </w:pPr>
      <w:r>
        <w:rPr>
          <w:w w:val="120"/>
          <w:sz w:val="20"/>
        </w:rPr>
        <w:t>Critically though, one field where we struggled to find many stories was that of church growth. This is a crucial lacuna in the life of our denomination and we very much hope</w:t>
      </w:r>
      <w:r>
        <w:rPr>
          <w:spacing w:val="-19"/>
          <w:w w:val="120"/>
          <w:sz w:val="20"/>
        </w:rPr>
        <w:t> </w:t>
      </w:r>
      <w:r>
        <w:rPr>
          <w:w w:val="120"/>
          <w:sz w:val="20"/>
        </w:rPr>
        <w:t>will</w:t>
      </w:r>
      <w:r>
        <w:rPr>
          <w:spacing w:val="-18"/>
          <w:w w:val="120"/>
          <w:sz w:val="20"/>
        </w:rPr>
        <w:t> </w:t>
      </w:r>
      <w:r>
        <w:rPr>
          <w:w w:val="120"/>
          <w:sz w:val="20"/>
        </w:rPr>
        <w:t>be</w:t>
      </w:r>
      <w:r>
        <w:rPr>
          <w:spacing w:val="-18"/>
          <w:w w:val="120"/>
          <w:sz w:val="20"/>
        </w:rPr>
        <w:t> </w:t>
      </w:r>
      <w:r>
        <w:rPr>
          <w:w w:val="120"/>
          <w:sz w:val="20"/>
        </w:rPr>
        <w:t>addressed</w:t>
      </w:r>
      <w:r>
        <w:rPr>
          <w:spacing w:val="-18"/>
          <w:w w:val="120"/>
          <w:sz w:val="20"/>
        </w:rPr>
        <w:t> </w:t>
      </w:r>
      <w:r>
        <w:rPr>
          <w:w w:val="120"/>
          <w:sz w:val="20"/>
        </w:rPr>
        <w:t>by</w:t>
      </w:r>
      <w:r>
        <w:rPr>
          <w:spacing w:val="-18"/>
          <w:w w:val="120"/>
          <w:sz w:val="20"/>
        </w:rPr>
        <w:t> </w:t>
      </w:r>
      <w:r>
        <w:rPr>
          <w:w w:val="120"/>
          <w:sz w:val="20"/>
        </w:rPr>
        <w:t>the</w:t>
      </w:r>
      <w:r>
        <w:rPr>
          <w:spacing w:val="-18"/>
          <w:w w:val="120"/>
          <w:sz w:val="20"/>
        </w:rPr>
        <w:t> </w:t>
      </w:r>
      <w:r>
        <w:rPr>
          <w:w w:val="120"/>
          <w:sz w:val="20"/>
        </w:rPr>
        <w:t>important</w:t>
      </w:r>
      <w:r>
        <w:rPr>
          <w:spacing w:val="-17"/>
          <w:w w:val="120"/>
          <w:sz w:val="20"/>
        </w:rPr>
        <w:t> </w:t>
      </w:r>
      <w:r>
        <w:rPr>
          <w:rFonts w:ascii="Arial Rounded MT Bold"/>
          <w:sz w:val="21"/>
        </w:rPr>
        <w:t>Vision4</w:t>
      </w:r>
      <w:r>
        <w:rPr>
          <w:rFonts w:ascii="Bradley Hand ITC"/>
          <w:color w:val="C20D19"/>
          <w:sz w:val="28"/>
        </w:rPr>
        <w:t>Life</w:t>
      </w:r>
      <w:r>
        <w:rPr>
          <w:rFonts w:ascii="Bradley Hand ITC"/>
          <w:color w:val="C20D19"/>
          <w:spacing w:val="-41"/>
          <w:sz w:val="28"/>
        </w:rPr>
        <w:t> </w:t>
      </w:r>
      <w:r>
        <w:rPr>
          <w:w w:val="120"/>
          <w:sz w:val="20"/>
        </w:rPr>
        <w:t>Evangelism</w:t>
      </w:r>
      <w:r>
        <w:rPr>
          <w:spacing w:val="-18"/>
          <w:w w:val="120"/>
          <w:sz w:val="20"/>
        </w:rPr>
        <w:t> </w:t>
      </w:r>
      <w:r>
        <w:rPr>
          <w:spacing w:val="-4"/>
          <w:w w:val="120"/>
          <w:sz w:val="20"/>
        </w:rPr>
        <w:t>Year</w:t>
      </w:r>
      <w:r>
        <w:rPr>
          <w:spacing w:val="-18"/>
          <w:w w:val="120"/>
          <w:sz w:val="20"/>
        </w:rPr>
        <w:t> </w:t>
      </w:r>
      <w:r>
        <w:rPr>
          <w:w w:val="120"/>
          <w:sz w:val="20"/>
        </w:rPr>
        <w:t>and</w:t>
      </w:r>
      <w:r>
        <w:rPr>
          <w:spacing w:val="-18"/>
          <w:w w:val="120"/>
          <w:sz w:val="20"/>
        </w:rPr>
        <w:t> </w:t>
      </w:r>
      <w:r>
        <w:rPr>
          <w:w w:val="120"/>
          <w:sz w:val="20"/>
        </w:rPr>
        <w:t>the</w:t>
      </w:r>
      <w:r>
        <w:rPr>
          <w:spacing w:val="-18"/>
          <w:w w:val="120"/>
          <w:sz w:val="20"/>
        </w:rPr>
        <w:t> </w:t>
      </w:r>
      <w:r>
        <w:rPr>
          <w:i/>
          <w:w w:val="120"/>
          <w:sz w:val="20"/>
        </w:rPr>
        <w:t>Marketing</w:t>
      </w:r>
    </w:p>
    <w:p>
      <w:pPr>
        <w:pStyle w:val="BodyText"/>
        <w:spacing w:line="190" w:lineRule="exact"/>
        <w:ind w:left="2004"/>
      </w:pPr>
      <w:r>
        <w:rPr>
          <w:i/>
          <w:w w:val="120"/>
        </w:rPr>
        <w:t>Campaign </w:t>
      </w:r>
      <w:r>
        <w:rPr>
          <w:w w:val="120"/>
        </w:rPr>
        <w:t>programmes. Other areas of significant change and focus in the coming</w:t>
      </w:r>
    </w:p>
    <w:p>
      <w:pPr>
        <w:pStyle w:val="BodyText"/>
        <w:spacing w:line="235" w:lineRule="auto" w:before="1"/>
        <w:ind w:left="2004" w:right="1120"/>
      </w:pPr>
      <w:r>
        <w:rPr>
          <w:w w:val="120"/>
        </w:rPr>
        <w:t>years will be through the introduction of a new Mission Grants programme – bringing together a wide range of grant-making processes into a single scheme – and a review of Ecumenical Relations.</w:t>
      </w:r>
    </w:p>
    <w:p>
      <w:pPr>
        <w:pStyle w:val="BodyText"/>
        <w:spacing w:before="10"/>
        <w:rPr>
          <w:sz w:val="19"/>
        </w:rPr>
      </w:pPr>
    </w:p>
    <w:p>
      <w:pPr>
        <w:pStyle w:val="ListParagraph"/>
        <w:numPr>
          <w:ilvl w:val="1"/>
          <w:numId w:val="143"/>
        </w:numPr>
        <w:tabs>
          <w:tab w:pos="2684" w:val="left" w:leader="none"/>
          <w:tab w:pos="2685" w:val="left" w:leader="none"/>
        </w:tabs>
        <w:spacing w:line="235" w:lineRule="auto" w:before="0" w:after="0"/>
        <w:ind w:left="2004" w:right="1151" w:firstLine="0"/>
        <w:jc w:val="left"/>
        <w:rPr>
          <w:sz w:val="20"/>
        </w:rPr>
      </w:pPr>
      <w:r>
        <w:rPr>
          <w:w w:val="120"/>
          <w:sz w:val="20"/>
        </w:rPr>
        <w:t>Much of the rest of this </w:t>
      </w:r>
      <w:r>
        <w:rPr>
          <w:spacing w:val="2"/>
          <w:w w:val="120"/>
          <w:sz w:val="20"/>
        </w:rPr>
        <w:t>report </w:t>
      </w:r>
      <w:r>
        <w:rPr>
          <w:w w:val="120"/>
          <w:sz w:val="20"/>
        </w:rPr>
        <w:t>is a series of stories and examples of mission activity across the denomination, some supported directly by Mission Committee programmes, others are included simply as inspiration. We hope that by </w:t>
      </w:r>
      <w:r>
        <w:rPr>
          <w:spacing w:val="-7"/>
          <w:w w:val="120"/>
          <w:sz w:val="20"/>
        </w:rPr>
        <w:t>2012, </w:t>
      </w:r>
      <w:r>
        <w:rPr>
          <w:w w:val="120"/>
          <w:sz w:val="20"/>
        </w:rPr>
        <w:t>under the guiding framework of </w:t>
      </w:r>
      <w:r>
        <w:rPr>
          <w:i/>
          <w:spacing w:val="-3"/>
          <w:w w:val="120"/>
          <w:sz w:val="20"/>
        </w:rPr>
        <w:t>vision2020</w:t>
      </w:r>
      <w:r>
        <w:rPr>
          <w:spacing w:val="-3"/>
          <w:w w:val="120"/>
          <w:sz w:val="20"/>
        </w:rPr>
        <w:t>, </w:t>
      </w:r>
      <w:r>
        <w:rPr>
          <w:w w:val="120"/>
          <w:sz w:val="20"/>
        </w:rPr>
        <w:t>every local church will have their own </w:t>
      </w:r>
      <w:r>
        <w:rPr>
          <w:spacing w:val="2"/>
          <w:w w:val="120"/>
          <w:sz w:val="20"/>
        </w:rPr>
        <w:t>story </w:t>
      </w:r>
      <w:r>
        <w:rPr>
          <w:w w:val="120"/>
          <w:sz w:val="20"/>
        </w:rPr>
        <w:t>to</w:t>
      </w:r>
      <w:r>
        <w:rPr>
          <w:spacing w:val="25"/>
          <w:w w:val="120"/>
          <w:sz w:val="20"/>
        </w:rPr>
        <w:t> </w:t>
      </w:r>
      <w:r>
        <w:rPr>
          <w:w w:val="120"/>
          <w:sz w:val="20"/>
        </w:rPr>
        <w:t>tell.</w:t>
      </w:r>
    </w:p>
    <w:p>
      <w:pPr>
        <w:pStyle w:val="BodyText"/>
      </w:pPr>
    </w:p>
    <w:p>
      <w:pPr>
        <w:pStyle w:val="BodyText"/>
      </w:pPr>
    </w:p>
    <w:p>
      <w:pPr>
        <w:pStyle w:val="BodyText"/>
      </w:pPr>
    </w:p>
    <w:p>
      <w:pPr>
        <w:pStyle w:val="BodyText"/>
        <w:spacing w:before="7"/>
        <w:rPr>
          <w:sz w:val="23"/>
        </w:rPr>
      </w:pPr>
    </w:p>
    <w:p>
      <w:pPr>
        <w:tabs>
          <w:tab w:pos="10630" w:val="left" w:leader="none"/>
        </w:tabs>
        <w:spacing w:before="97"/>
        <w:ind w:left="468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153</w:t>
      </w:r>
    </w:p>
    <w:p>
      <w:pPr>
        <w:spacing w:after="0"/>
        <w:jc w:val="left"/>
        <w:rPr>
          <w:rFonts w:ascii="Stone Sans II ITC Std X Bd" w:hAnsi="Stone Sans II ITC Std X Bd"/>
          <w:sz w:val="24"/>
        </w:rPr>
        <w:sectPr>
          <w:headerReference w:type="default" r:id="rId376"/>
          <w:headerReference w:type="even" r:id="rId377"/>
          <w:footerReference w:type="default" r:id="rId378"/>
          <w:pgSz w:w="11910" w:h="16840"/>
          <w:pgMar w:header="0" w:footer="0" w:top="1280" w:bottom="280" w:left="0" w:right="0"/>
        </w:sectPr>
      </w:pPr>
    </w:p>
    <w:p>
      <w:pPr>
        <w:numPr>
          <w:ilvl w:val="0"/>
          <w:numId w:val="143"/>
        </w:numPr>
        <w:tabs>
          <w:tab w:pos="1853" w:val="left" w:leader="none"/>
          <w:tab w:pos="1854" w:val="left" w:leader="none"/>
        </w:tabs>
        <w:spacing w:before="101"/>
        <w:ind w:left="1853" w:right="0" w:hanging="721"/>
        <w:jc w:val="left"/>
        <w:rPr>
          <w:rFonts w:ascii="Stone Sans II ITC Std Bk"/>
          <w:b/>
          <w:sz w:val="21"/>
        </w:rPr>
      </w:pPr>
      <w:r>
        <w:rPr/>
        <w:pict>
          <v:rect style="position:absolute;margin-left:12.047pt;margin-top:8.488773pt;width:22.677pt;height:22.677pt;mso-position-horizontal-relative:page;mso-position-vertical-relative:paragraph;z-index:252141568" filled="true" fillcolor="#dae4ec" stroked="false">
            <v:fill opacity="32768f" type="solid"/>
            <w10:wrap type="none"/>
          </v:rect>
        </w:pict>
      </w:r>
      <w:r>
        <w:rPr>
          <w:rFonts w:ascii="Stone Sans II ITC Std Bk"/>
          <w:b/>
          <w:w w:val="115"/>
          <w:sz w:val="21"/>
        </w:rPr>
        <w:t>The ten</w:t>
      </w:r>
      <w:r>
        <w:rPr>
          <w:rFonts w:ascii="Stone Sans II ITC Std Bk"/>
          <w:b/>
          <w:spacing w:val="-3"/>
          <w:w w:val="115"/>
          <w:sz w:val="21"/>
        </w:rPr>
        <w:t> </w:t>
      </w:r>
      <w:r>
        <w:rPr>
          <w:rFonts w:ascii="Stone Sans II ITC Std Bk"/>
          <w:b/>
          <w:w w:val="115"/>
          <w:sz w:val="21"/>
        </w:rPr>
        <w:t>themes</w:t>
      </w:r>
    </w:p>
    <w:p>
      <w:pPr>
        <w:pStyle w:val="ListParagraph"/>
        <w:numPr>
          <w:ilvl w:val="1"/>
          <w:numId w:val="143"/>
        </w:numPr>
        <w:tabs>
          <w:tab w:pos="1814" w:val="left" w:leader="none"/>
          <w:tab w:pos="1815" w:val="left" w:leader="none"/>
        </w:tabs>
        <w:spacing w:line="240" w:lineRule="auto" w:before="219" w:after="0"/>
        <w:ind w:left="1814" w:right="0" w:hanging="682"/>
        <w:jc w:val="left"/>
        <w:rPr>
          <w:sz w:val="20"/>
        </w:rPr>
      </w:pPr>
      <w:r>
        <w:rPr>
          <w:w w:val="120"/>
          <w:sz w:val="20"/>
        </w:rPr>
        <w:t>Spirituality and</w:t>
      </w:r>
      <w:r>
        <w:rPr>
          <w:spacing w:val="4"/>
          <w:w w:val="120"/>
          <w:sz w:val="20"/>
        </w:rPr>
        <w:t> </w:t>
      </w:r>
      <w:r>
        <w:rPr>
          <w:w w:val="120"/>
          <w:sz w:val="20"/>
        </w:rPr>
        <w:t>prayer</w:t>
      </w:r>
    </w:p>
    <w:p>
      <w:pPr>
        <w:pStyle w:val="BodyText"/>
        <w:spacing w:before="7"/>
        <w:rPr>
          <w:sz w:val="19"/>
        </w:rPr>
      </w:pPr>
    </w:p>
    <w:p>
      <w:pPr>
        <w:pStyle w:val="ListParagraph"/>
        <w:numPr>
          <w:ilvl w:val="2"/>
          <w:numId w:val="143"/>
        </w:numPr>
        <w:tabs>
          <w:tab w:pos="1814" w:val="left" w:leader="none"/>
          <w:tab w:pos="1815" w:val="left" w:leader="none"/>
        </w:tabs>
        <w:spacing w:line="235" w:lineRule="auto" w:before="1" w:after="0"/>
        <w:ind w:left="1133" w:right="2511" w:firstLine="0"/>
        <w:jc w:val="left"/>
        <w:rPr>
          <w:sz w:val="20"/>
        </w:rPr>
      </w:pPr>
      <w:r>
        <w:rPr/>
        <w:drawing>
          <wp:anchor distT="0" distB="0" distL="0" distR="0" allowOverlap="1" layoutInCell="1" locked="0" behindDoc="1" simplePos="0" relativeHeight="236035072">
            <wp:simplePos x="0" y="0"/>
            <wp:positionH relativeFrom="page">
              <wp:posOffset>4902498</wp:posOffset>
            </wp:positionH>
            <wp:positionV relativeFrom="paragraph">
              <wp:posOffset>296643</wp:posOffset>
            </wp:positionV>
            <wp:extent cx="232857" cy="181203"/>
            <wp:effectExtent l="0" t="0" r="0" b="0"/>
            <wp:wrapNone/>
            <wp:docPr id="137" name="image171.png"/>
            <wp:cNvGraphicFramePr>
              <a:graphicFrameLocks noChangeAspect="1"/>
            </wp:cNvGraphicFramePr>
            <a:graphic>
              <a:graphicData uri="http://schemas.openxmlformats.org/drawingml/2006/picture">
                <pic:pic>
                  <pic:nvPicPr>
                    <pic:cNvPr id="138" name="image171.png"/>
                    <pic:cNvPicPr/>
                  </pic:nvPicPr>
                  <pic:blipFill>
                    <a:blip r:embed="rId381" cstate="print"/>
                    <a:stretch>
                      <a:fillRect/>
                    </a:stretch>
                  </pic:blipFill>
                  <pic:spPr>
                    <a:xfrm>
                      <a:off x="0" y="0"/>
                      <a:ext cx="232857" cy="181203"/>
                    </a:xfrm>
                    <a:prstGeom prst="rect">
                      <a:avLst/>
                    </a:prstGeom>
                  </pic:spPr>
                </pic:pic>
              </a:graphicData>
            </a:graphic>
          </wp:anchor>
        </w:drawing>
      </w:r>
      <w:r>
        <w:rPr>
          <w:w w:val="120"/>
          <w:sz w:val="20"/>
        </w:rPr>
        <w:t>Growing in our practice of spirituality and prayer is key to nurturing strength for our witness to Jesus Christ. In the past two years the Mission Committee</w:t>
      </w:r>
      <w:r>
        <w:rPr>
          <w:spacing w:val="-9"/>
          <w:w w:val="120"/>
          <w:sz w:val="20"/>
        </w:rPr>
        <w:t> </w:t>
      </w:r>
      <w:r>
        <w:rPr>
          <w:w w:val="120"/>
          <w:sz w:val="20"/>
        </w:rPr>
        <w:t>has</w:t>
      </w:r>
    </w:p>
    <w:p>
      <w:pPr>
        <w:spacing w:line="192" w:lineRule="auto" w:before="0"/>
        <w:ind w:left="1133" w:right="1997" w:firstLine="0"/>
        <w:jc w:val="left"/>
        <w:rPr>
          <w:sz w:val="20"/>
        </w:rPr>
      </w:pPr>
      <w:r>
        <w:rPr>
          <w:w w:val="115"/>
          <w:sz w:val="20"/>
        </w:rPr>
        <w:t>supported this work through a range of programmes such as </w:t>
      </w:r>
      <w:r>
        <w:rPr>
          <w:rFonts w:ascii="Arial Rounded MT Bold"/>
          <w:sz w:val="21"/>
        </w:rPr>
        <w:t>Vision4</w:t>
      </w:r>
      <w:r>
        <w:rPr>
          <w:rFonts w:ascii="Bradley Hand ITC"/>
          <w:color w:val="C20D19"/>
          <w:sz w:val="28"/>
        </w:rPr>
        <w:t>Life</w:t>
      </w:r>
      <w:r>
        <w:rPr>
          <w:sz w:val="20"/>
        </w:rPr>
        <w:t>, </w:t>
      </w:r>
      <w:r>
        <w:rPr>
          <w:w w:val="115"/>
          <w:sz w:val="20"/>
        </w:rPr>
        <w:t>Racial Justice and Multicultural Ministry and </w:t>
      </w:r>
      <w:r>
        <w:rPr>
          <w:i/>
          <w:w w:val="115"/>
          <w:sz w:val="20"/>
        </w:rPr>
        <w:t>Belonging to the World Church</w:t>
      </w:r>
      <w:r>
        <w:rPr>
          <w:w w:val="115"/>
          <w:sz w:val="20"/>
        </w:rPr>
        <w:t>.</w:t>
      </w:r>
    </w:p>
    <w:p>
      <w:pPr>
        <w:pStyle w:val="BodyText"/>
        <w:spacing w:before="11"/>
        <w:rPr>
          <w:sz w:val="19"/>
        </w:rPr>
      </w:pPr>
    </w:p>
    <w:p>
      <w:pPr>
        <w:pStyle w:val="ListParagraph"/>
        <w:numPr>
          <w:ilvl w:val="2"/>
          <w:numId w:val="143"/>
        </w:numPr>
        <w:tabs>
          <w:tab w:pos="1813" w:val="left" w:leader="none"/>
          <w:tab w:pos="1815" w:val="left" w:leader="none"/>
        </w:tabs>
        <w:spacing w:line="192" w:lineRule="auto" w:before="0" w:after="0"/>
        <w:ind w:left="1133" w:right="2312" w:hanging="1"/>
        <w:jc w:val="left"/>
        <w:rPr>
          <w:sz w:val="20"/>
        </w:rPr>
      </w:pPr>
      <w:r>
        <w:rPr/>
        <w:drawing>
          <wp:anchor distT="0" distB="0" distL="0" distR="0" allowOverlap="1" layoutInCell="1" locked="0" behindDoc="1" simplePos="0" relativeHeight="236036096">
            <wp:simplePos x="0" y="0"/>
            <wp:positionH relativeFrom="page">
              <wp:posOffset>3066298</wp:posOffset>
            </wp:positionH>
            <wp:positionV relativeFrom="paragraph">
              <wp:posOffset>-6502</wp:posOffset>
            </wp:positionV>
            <wp:extent cx="232857" cy="181203"/>
            <wp:effectExtent l="0" t="0" r="0" b="0"/>
            <wp:wrapNone/>
            <wp:docPr id="139" name="image172.png"/>
            <wp:cNvGraphicFramePr>
              <a:graphicFrameLocks noChangeAspect="1"/>
            </wp:cNvGraphicFramePr>
            <a:graphic>
              <a:graphicData uri="http://schemas.openxmlformats.org/drawingml/2006/picture">
                <pic:pic>
                  <pic:nvPicPr>
                    <pic:cNvPr id="140" name="image172.png"/>
                    <pic:cNvPicPr/>
                  </pic:nvPicPr>
                  <pic:blipFill>
                    <a:blip r:embed="rId382" cstate="print"/>
                    <a:stretch>
                      <a:fillRect/>
                    </a:stretch>
                  </pic:blipFill>
                  <pic:spPr>
                    <a:xfrm>
                      <a:off x="0" y="0"/>
                      <a:ext cx="232857" cy="181203"/>
                    </a:xfrm>
                    <a:prstGeom prst="rect">
                      <a:avLst/>
                    </a:prstGeom>
                  </pic:spPr>
                </pic:pic>
              </a:graphicData>
            </a:graphic>
          </wp:anchor>
        </w:drawing>
      </w:r>
      <w:r>
        <w:rPr>
          <w:w w:val="120"/>
          <w:sz w:val="20"/>
        </w:rPr>
        <w:t>In</w:t>
      </w:r>
      <w:r>
        <w:rPr>
          <w:spacing w:val="-17"/>
          <w:w w:val="120"/>
          <w:sz w:val="20"/>
        </w:rPr>
        <w:t> </w:t>
      </w:r>
      <w:r>
        <w:rPr>
          <w:w w:val="120"/>
          <w:sz w:val="20"/>
        </w:rPr>
        <w:t>the</w:t>
      </w:r>
      <w:r>
        <w:rPr>
          <w:spacing w:val="-17"/>
          <w:w w:val="120"/>
          <w:sz w:val="20"/>
        </w:rPr>
        <w:t> </w:t>
      </w:r>
      <w:r>
        <w:rPr>
          <w:w w:val="120"/>
          <w:sz w:val="20"/>
        </w:rPr>
        <w:t>past</w:t>
      </w:r>
      <w:r>
        <w:rPr>
          <w:spacing w:val="-17"/>
          <w:w w:val="120"/>
          <w:sz w:val="20"/>
        </w:rPr>
        <w:t> </w:t>
      </w:r>
      <w:r>
        <w:rPr>
          <w:w w:val="120"/>
          <w:sz w:val="20"/>
        </w:rPr>
        <w:t>two</w:t>
      </w:r>
      <w:r>
        <w:rPr>
          <w:spacing w:val="-17"/>
          <w:w w:val="120"/>
          <w:sz w:val="20"/>
        </w:rPr>
        <w:t> </w:t>
      </w:r>
      <w:r>
        <w:rPr>
          <w:w w:val="120"/>
          <w:sz w:val="20"/>
        </w:rPr>
        <w:t>years</w:t>
      </w:r>
      <w:r>
        <w:rPr>
          <w:spacing w:val="-17"/>
          <w:w w:val="120"/>
          <w:sz w:val="20"/>
        </w:rPr>
        <w:t> </w:t>
      </w:r>
      <w:r>
        <w:rPr>
          <w:w w:val="120"/>
          <w:sz w:val="20"/>
        </w:rPr>
        <w:t>the</w:t>
      </w:r>
      <w:r>
        <w:rPr>
          <w:spacing w:val="-17"/>
          <w:w w:val="120"/>
          <w:sz w:val="20"/>
        </w:rPr>
        <w:t> </w:t>
      </w:r>
      <w:r>
        <w:rPr>
          <w:rFonts w:ascii="Arial Rounded MT Bold"/>
          <w:sz w:val="21"/>
        </w:rPr>
        <w:t>Vision4</w:t>
      </w:r>
      <w:r>
        <w:rPr>
          <w:rFonts w:ascii="Bradley Hand ITC"/>
          <w:color w:val="C20D19"/>
          <w:sz w:val="28"/>
        </w:rPr>
        <w:t>Life</w:t>
      </w:r>
      <w:r>
        <w:rPr>
          <w:rFonts w:ascii="Bradley Hand ITC"/>
          <w:color w:val="C20D19"/>
          <w:spacing w:val="-39"/>
          <w:sz w:val="28"/>
        </w:rPr>
        <w:t> </w:t>
      </w:r>
      <w:r>
        <w:rPr>
          <w:w w:val="120"/>
          <w:sz w:val="20"/>
        </w:rPr>
        <w:t>process</w:t>
      </w:r>
      <w:r>
        <w:rPr>
          <w:spacing w:val="-17"/>
          <w:w w:val="120"/>
          <w:sz w:val="20"/>
        </w:rPr>
        <w:t> </w:t>
      </w:r>
      <w:r>
        <w:rPr>
          <w:w w:val="120"/>
          <w:sz w:val="20"/>
        </w:rPr>
        <w:t>has</w:t>
      </w:r>
      <w:r>
        <w:rPr>
          <w:spacing w:val="-17"/>
          <w:w w:val="120"/>
          <w:sz w:val="20"/>
        </w:rPr>
        <w:t> </w:t>
      </w:r>
      <w:r>
        <w:rPr>
          <w:w w:val="120"/>
          <w:sz w:val="20"/>
        </w:rPr>
        <w:t>enabled</w:t>
      </w:r>
      <w:r>
        <w:rPr>
          <w:spacing w:val="-17"/>
          <w:w w:val="120"/>
          <w:sz w:val="20"/>
        </w:rPr>
        <w:t> </w:t>
      </w:r>
      <w:r>
        <w:rPr>
          <w:w w:val="120"/>
          <w:sz w:val="20"/>
        </w:rPr>
        <w:t>over</w:t>
      </w:r>
      <w:r>
        <w:rPr>
          <w:spacing w:val="-16"/>
          <w:w w:val="120"/>
          <w:sz w:val="20"/>
        </w:rPr>
        <w:t> </w:t>
      </w:r>
      <w:r>
        <w:rPr>
          <w:spacing w:val="2"/>
          <w:w w:val="120"/>
          <w:sz w:val="20"/>
        </w:rPr>
        <w:t>600</w:t>
      </w:r>
      <w:r>
        <w:rPr>
          <w:spacing w:val="-17"/>
          <w:w w:val="120"/>
          <w:sz w:val="20"/>
        </w:rPr>
        <w:t> </w:t>
      </w:r>
      <w:r>
        <w:rPr>
          <w:w w:val="120"/>
          <w:sz w:val="20"/>
        </w:rPr>
        <w:t>churches</w:t>
      </w:r>
      <w:r>
        <w:rPr>
          <w:spacing w:val="-17"/>
          <w:w w:val="120"/>
          <w:sz w:val="20"/>
        </w:rPr>
        <w:t> </w:t>
      </w:r>
      <w:r>
        <w:rPr>
          <w:w w:val="120"/>
          <w:sz w:val="20"/>
        </w:rPr>
        <w:t>to re-engage</w:t>
      </w:r>
      <w:r>
        <w:rPr>
          <w:spacing w:val="7"/>
          <w:w w:val="120"/>
          <w:sz w:val="20"/>
        </w:rPr>
        <w:t> </w:t>
      </w:r>
      <w:r>
        <w:rPr>
          <w:w w:val="120"/>
          <w:sz w:val="20"/>
        </w:rPr>
        <w:t>with</w:t>
      </w:r>
      <w:r>
        <w:rPr>
          <w:spacing w:val="8"/>
          <w:w w:val="120"/>
          <w:sz w:val="20"/>
        </w:rPr>
        <w:t> </w:t>
      </w:r>
      <w:r>
        <w:rPr>
          <w:w w:val="120"/>
          <w:sz w:val="20"/>
        </w:rPr>
        <w:t>the</w:t>
      </w:r>
      <w:r>
        <w:rPr>
          <w:spacing w:val="7"/>
          <w:w w:val="120"/>
          <w:sz w:val="20"/>
        </w:rPr>
        <w:t> </w:t>
      </w:r>
      <w:r>
        <w:rPr>
          <w:w w:val="120"/>
          <w:sz w:val="20"/>
        </w:rPr>
        <w:t>Bible,</w:t>
      </w:r>
      <w:r>
        <w:rPr>
          <w:spacing w:val="8"/>
          <w:w w:val="120"/>
          <w:sz w:val="20"/>
        </w:rPr>
        <w:t> </w:t>
      </w:r>
      <w:r>
        <w:rPr>
          <w:w w:val="120"/>
          <w:sz w:val="20"/>
        </w:rPr>
        <w:t>with</w:t>
      </w:r>
      <w:r>
        <w:rPr>
          <w:spacing w:val="8"/>
          <w:w w:val="120"/>
          <w:sz w:val="20"/>
        </w:rPr>
        <w:t> </w:t>
      </w:r>
      <w:r>
        <w:rPr>
          <w:w w:val="120"/>
          <w:sz w:val="20"/>
        </w:rPr>
        <w:t>prayer</w:t>
      </w:r>
      <w:r>
        <w:rPr>
          <w:spacing w:val="7"/>
          <w:w w:val="120"/>
          <w:sz w:val="20"/>
        </w:rPr>
        <w:t> </w:t>
      </w:r>
      <w:r>
        <w:rPr>
          <w:w w:val="120"/>
          <w:sz w:val="20"/>
        </w:rPr>
        <w:t>and</w:t>
      </w:r>
      <w:r>
        <w:rPr>
          <w:spacing w:val="8"/>
          <w:w w:val="120"/>
          <w:sz w:val="20"/>
        </w:rPr>
        <w:t> </w:t>
      </w:r>
      <w:r>
        <w:rPr>
          <w:w w:val="120"/>
          <w:sz w:val="20"/>
        </w:rPr>
        <w:t>with</w:t>
      </w:r>
      <w:r>
        <w:rPr>
          <w:spacing w:val="8"/>
          <w:w w:val="120"/>
          <w:sz w:val="20"/>
        </w:rPr>
        <w:t> </w:t>
      </w:r>
      <w:r>
        <w:rPr>
          <w:w w:val="120"/>
          <w:sz w:val="20"/>
        </w:rPr>
        <w:t>evangelism.</w:t>
      </w:r>
      <w:r>
        <w:rPr>
          <w:spacing w:val="7"/>
          <w:w w:val="120"/>
          <w:sz w:val="20"/>
        </w:rPr>
        <w:t> </w:t>
      </w:r>
      <w:r>
        <w:rPr>
          <w:w w:val="120"/>
          <w:sz w:val="20"/>
        </w:rPr>
        <w:t>The</w:t>
      </w:r>
      <w:r>
        <w:rPr>
          <w:spacing w:val="8"/>
          <w:w w:val="120"/>
          <w:sz w:val="20"/>
        </w:rPr>
        <w:t> </w:t>
      </w:r>
      <w:r>
        <w:rPr>
          <w:w w:val="120"/>
          <w:sz w:val="20"/>
        </w:rPr>
        <w:t>Mission</w:t>
      </w:r>
      <w:r>
        <w:rPr>
          <w:spacing w:val="8"/>
          <w:w w:val="120"/>
          <w:sz w:val="20"/>
        </w:rPr>
        <w:t> </w:t>
      </w:r>
      <w:r>
        <w:rPr>
          <w:w w:val="120"/>
          <w:sz w:val="20"/>
        </w:rPr>
        <w:t>Committee</w:t>
      </w:r>
      <w:r>
        <w:rPr>
          <w:spacing w:val="7"/>
          <w:w w:val="120"/>
          <w:sz w:val="20"/>
        </w:rPr>
        <w:t> </w:t>
      </w:r>
      <w:r>
        <w:rPr>
          <w:w w:val="120"/>
          <w:sz w:val="20"/>
        </w:rPr>
        <w:t>is</w:t>
      </w:r>
    </w:p>
    <w:p>
      <w:pPr>
        <w:pStyle w:val="BodyText"/>
        <w:spacing w:line="216" w:lineRule="auto" w:before="24"/>
        <w:ind w:left="1133" w:right="2058"/>
      </w:pPr>
      <w:r>
        <w:rPr/>
        <w:drawing>
          <wp:anchor distT="0" distB="0" distL="0" distR="0" allowOverlap="1" layoutInCell="1" locked="0" behindDoc="1" simplePos="0" relativeHeight="236037120">
            <wp:simplePos x="0" y="0"/>
            <wp:positionH relativeFrom="page">
              <wp:posOffset>1694699</wp:posOffset>
            </wp:positionH>
            <wp:positionV relativeFrom="paragraph">
              <wp:posOffset>301574</wp:posOffset>
            </wp:positionV>
            <wp:extent cx="232858" cy="181203"/>
            <wp:effectExtent l="0" t="0" r="0" b="0"/>
            <wp:wrapNone/>
            <wp:docPr id="141" name="image173.png"/>
            <wp:cNvGraphicFramePr>
              <a:graphicFrameLocks noChangeAspect="1"/>
            </wp:cNvGraphicFramePr>
            <a:graphic>
              <a:graphicData uri="http://schemas.openxmlformats.org/drawingml/2006/picture">
                <pic:pic>
                  <pic:nvPicPr>
                    <pic:cNvPr id="142" name="image173.png"/>
                    <pic:cNvPicPr/>
                  </pic:nvPicPr>
                  <pic:blipFill>
                    <a:blip r:embed="rId383" cstate="print"/>
                    <a:stretch>
                      <a:fillRect/>
                    </a:stretch>
                  </pic:blipFill>
                  <pic:spPr>
                    <a:xfrm>
                      <a:off x="0" y="0"/>
                      <a:ext cx="232858" cy="181203"/>
                    </a:xfrm>
                    <a:prstGeom prst="rect">
                      <a:avLst/>
                    </a:prstGeom>
                  </pic:spPr>
                </pic:pic>
              </a:graphicData>
            </a:graphic>
          </wp:anchor>
        </w:drawing>
      </w:r>
      <w:r>
        <w:rPr>
          <w:w w:val="120"/>
        </w:rPr>
        <w:t>involved in this process in a variety of ways: by supporting the work of the coordinator and the steering group, by providing materials and through financial support. A full </w:t>
      </w:r>
      <w:r>
        <w:rPr>
          <w:spacing w:val="2"/>
          <w:w w:val="120"/>
        </w:rPr>
        <w:t>report</w:t>
      </w:r>
      <w:r>
        <w:rPr>
          <w:spacing w:val="-15"/>
          <w:w w:val="120"/>
        </w:rPr>
        <w:t> </w:t>
      </w:r>
      <w:r>
        <w:rPr>
          <w:w w:val="120"/>
        </w:rPr>
        <w:t>on</w:t>
      </w:r>
      <w:r>
        <w:rPr>
          <w:spacing w:val="-15"/>
          <w:w w:val="120"/>
        </w:rPr>
        <w:t> </w:t>
      </w:r>
      <w:r>
        <w:rPr>
          <w:rFonts w:ascii="Arial Rounded MT Bold"/>
          <w:sz w:val="21"/>
        </w:rPr>
        <w:t>Vision4</w:t>
      </w:r>
      <w:r>
        <w:rPr>
          <w:rFonts w:ascii="Bradley Hand ITC"/>
          <w:color w:val="C20D19"/>
          <w:sz w:val="28"/>
        </w:rPr>
        <w:t>Life</w:t>
      </w:r>
      <w:r>
        <w:rPr>
          <w:rFonts w:ascii="Bradley Hand ITC"/>
          <w:color w:val="C20D19"/>
          <w:spacing w:val="-38"/>
          <w:sz w:val="28"/>
        </w:rPr>
        <w:t> </w:t>
      </w:r>
      <w:r>
        <w:rPr>
          <w:w w:val="120"/>
        </w:rPr>
        <w:t>can</w:t>
      </w:r>
      <w:r>
        <w:rPr>
          <w:spacing w:val="-15"/>
          <w:w w:val="120"/>
        </w:rPr>
        <w:t> </w:t>
      </w:r>
      <w:r>
        <w:rPr>
          <w:w w:val="120"/>
        </w:rPr>
        <w:t>be</w:t>
      </w:r>
      <w:r>
        <w:rPr>
          <w:spacing w:val="-14"/>
          <w:w w:val="120"/>
        </w:rPr>
        <w:t> </w:t>
      </w:r>
      <w:r>
        <w:rPr>
          <w:w w:val="120"/>
        </w:rPr>
        <w:t>found</w:t>
      </w:r>
      <w:r>
        <w:rPr>
          <w:spacing w:val="-15"/>
          <w:w w:val="120"/>
        </w:rPr>
        <w:t> </w:t>
      </w:r>
      <w:r>
        <w:rPr>
          <w:w w:val="120"/>
        </w:rPr>
        <w:t>on</w:t>
      </w:r>
      <w:r>
        <w:rPr>
          <w:spacing w:val="-15"/>
          <w:w w:val="120"/>
        </w:rPr>
        <w:t> </w:t>
      </w:r>
      <w:r>
        <w:rPr>
          <w:w w:val="120"/>
        </w:rPr>
        <w:t>page</w:t>
      </w:r>
      <w:r>
        <w:rPr>
          <w:spacing w:val="-15"/>
          <w:w w:val="120"/>
        </w:rPr>
        <w:t> </w:t>
      </w:r>
      <w:r>
        <w:rPr>
          <w:spacing w:val="-7"/>
          <w:w w:val="120"/>
        </w:rPr>
        <w:t>31</w:t>
      </w:r>
      <w:r>
        <w:rPr>
          <w:spacing w:val="-15"/>
          <w:w w:val="120"/>
        </w:rPr>
        <w:t> </w:t>
      </w:r>
      <w:r>
        <w:rPr>
          <w:w w:val="120"/>
        </w:rPr>
        <w:t>of</w:t>
      </w:r>
      <w:r>
        <w:rPr>
          <w:spacing w:val="-15"/>
          <w:w w:val="120"/>
        </w:rPr>
        <w:t> </w:t>
      </w:r>
      <w:r>
        <w:rPr>
          <w:w w:val="120"/>
        </w:rPr>
        <w:t>the</w:t>
      </w:r>
      <w:r>
        <w:rPr>
          <w:spacing w:val="-15"/>
          <w:w w:val="120"/>
        </w:rPr>
        <w:t> </w:t>
      </w:r>
      <w:r>
        <w:rPr>
          <w:w w:val="120"/>
        </w:rPr>
        <w:t>Book</w:t>
      </w:r>
      <w:r>
        <w:rPr>
          <w:spacing w:val="-15"/>
          <w:w w:val="120"/>
        </w:rPr>
        <w:t> </w:t>
      </w:r>
      <w:r>
        <w:rPr>
          <w:w w:val="120"/>
        </w:rPr>
        <w:t>of</w:t>
      </w:r>
      <w:r>
        <w:rPr>
          <w:spacing w:val="-14"/>
          <w:w w:val="120"/>
        </w:rPr>
        <w:t> </w:t>
      </w:r>
      <w:r>
        <w:rPr>
          <w:spacing w:val="2"/>
          <w:w w:val="120"/>
        </w:rPr>
        <w:t>Reports.</w:t>
      </w:r>
      <w:r>
        <w:rPr>
          <w:spacing w:val="-15"/>
          <w:w w:val="120"/>
        </w:rPr>
        <w:t> </w:t>
      </w:r>
      <w:r>
        <w:rPr>
          <w:w w:val="120"/>
        </w:rPr>
        <w:t>This</w:t>
      </w:r>
      <w:r>
        <w:rPr>
          <w:spacing w:val="-15"/>
          <w:w w:val="120"/>
        </w:rPr>
        <w:t> </w:t>
      </w:r>
      <w:r>
        <w:rPr>
          <w:w w:val="120"/>
        </w:rPr>
        <w:t>story,</w:t>
      </w:r>
      <w:r>
        <w:rPr>
          <w:spacing w:val="-15"/>
          <w:w w:val="120"/>
        </w:rPr>
        <w:t> </w:t>
      </w:r>
      <w:r>
        <w:rPr>
          <w:w w:val="120"/>
        </w:rPr>
        <w:t>from</w:t>
      </w:r>
      <w:r>
        <w:rPr>
          <w:spacing w:val="-15"/>
          <w:w w:val="120"/>
        </w:rPr>
        <w:t> </w:t>
      </w:r>
      <w:r>
        <w:rPr>
          <w:w w:val="120"/>
        </w:rPr>
        <w:t>the</w:t>
      </w:r>
    </w:p>
    <w:p>
      <w:pPr>
        <w:pStyle w:val="BodyText"/>
        <w:spacing w:line="166" w:lineRule="exact"/>
        <w:ind w:left="1133"/>
      </w:pPr>
      <w:r>
        <w:rPr>
          <w:w w:val="120"/>
        </w:rPr>
        <w:t>Marple, Marple Bridge and New Mills United Reformed Churches is an example of how</w:t>
      </w:r>
    </w:p>
    <w:p>
      <w:pPr>
        <w:spacing w:line="323" w:lineRule="exact" w:before="0"/>
        <w:ind w:left="1133" w:right="0" w:firstLine="0"/>
        <w:jc w:val="left"/>
        <w:rPr>
          <w:sz w:val="20"/>
        </w:rPr>
      </w:pPr>
      <w:r>
        <w:rPr/>
        <w:drawing>
          <wp:anchor distT="0" distB="0" distL="0" distR="0" allowOverlap="1" layoutInCell="1" locked="0" behindDoc="1" simplePos="0" relativeHeight="236038144">
            <wp:simplePos x="0" y="0"/>
            <wp:positionH relativeFrom="page">
              <wp:posOffset>1056878</wp:posOffset>
            </wp:positionH>
            <wp:positionV relativeFrom="paragraph">
              <wp:posOffset>7314</wp:posOffset>
            </wp:positionV>
            <wp:extent cx="232857" cy="181203"/>
            <wp:effectExtent l="0" t="0" r="0" b="0"/>
            <wp:wrapNone/>
            <wp:docPr id="143" name="image174.png"/>
            <wp:cNvGraphicFramePr>
              <a:graphicFrameLocks noChangeAspect="1"/>
            </wp:cNvGraphicFramePr>
            <a:graphic>
              <a:graphicData uri="http://schemas.openxmlformats.org/drawingml/2006/picture">
                <pic:pic>
                  <pic:nvPicPr>
                    <pic:cNvPr id="144" name="image174.png"/>
                    <pic:cNvPicPr/>
                  </pic:nvPicPr>
                  <pic:blipFill>
                    <a:blip r:embed="rId384" cstate="print"/>
                    <a:stretch>
                      <a:fillRect/>
                    </a:stretch>
                  </pic:blipFill>
                  <pic:spPr>
                    <a:xfrm>
                      <a:off x="0" y="0"/>
                      <a:ext cx="232857" cy="181203"/>
                    </a:xfrm>
                    <a:prstGeom prst="rect">
                      <a:avLst/>
                    </a:prstGeom>
                  </pic:spPr>
                </pic:pic>
              </a:graphicData>
            </a:graphic>
          </wp:anchor>
        </w:drawing>
      </w:r>
      <w:r>
        <w:rPr>
          <w:rFonts w:ascii="Arial Rounded MT Bold" w:hAnsi="Arial Rounded MT Bold"/>
          <w:sz w:val="21"/>
        </w:rPr>
        <w:t>Vision4</w:t>
      </w:r>
      <w:r>
        <w:rPr>
          <w:rFonts w:ascii="Bradley Hand ITC" w:hAnsi="Bradley Hand ITC"/>
          <w:color w:val="C20D19"/>
          <w:sz w:val="28"/>
        </w:rPr>
        <w:t>Life </w:t>
      </w:r>
      <w:r>
        <w:rPr>
          <w:w w:val="115"/>
          <w:sz w:val="20"/>
        </w:rPr>
        <w:t>is changing people’s experience of prayer.</w:t>
      </w:r>
    </w:p>
    <w:p>
      <w:pPr>
        <w:pStyle w:val="ListParagraph"/>
        <w:numPr>
          <w:ilvl w:val="2"/>
          <w:numId w:val="143"/>
        </w:numPr>
        <w:tabs>
          <w:tab w:pos="1814" w:val="left" w:leader="none"/>
          <w:tab w:pos="1815" w:val="left" w:leader="none"/>
        </w:tabs>
        <w:spacing w:line="235" w:lineRule="auto" w:before="182" w:after="0"/>
        <w:ind w:left="1814" w:right="1998" w:hanging="681"/>
        <w:jc w:val="left"/>
        <w:rPr>
          <w:i/>
          <w:sz w:val="20"/>
        </w:rPr>
      </w:pPr>
      <w:r>
        <w:rPr>
          <w:i/>
          <w:w w:val="115"/>
          <w:sz w:val="20"/>
        </w:rPr>
        <w:t>We set up what we have called ‘Food4Thought’ and a group of </w:t>
      </w:r>
      <w:r>
        <w:rPr>
          <w:i/>
          <w:spacing w:val="-7"/>
          <w:w w:val="115"/>
          <w:sz w:val="20"/>
        </w:rPr>
        <w:t>18 </w:t>
      </w:r>
      <w:r>
        <w:rPr>
          <w:i/>
          <w:w w:val="115"/>
          <w:sz w:val="20"/>
        </w:rPr>
        <w:t>people came along. </w:t>
      </w:r>
      <w:r>
        <w:rPr>
          <w:i/>
          <w:w w:val="115"/>
          <w:sz w:val="20"/>
        </w:rPr>
        <w:t>Each</w:t>
      </w:r>
      <w:r>
        <w:rPr>
          <w:i/>
          <w:spacing w:val="-13"/>
          <w:w w:val="115"/>
          <w:sz w:val="20"/>
        </w:rPr>
        <w:t> </w:t>
      </w:r>
      <w:r>
        <w:rPr>
          <w:i/>
          <w:w w:val="115"/>
          <w:sz w:val="20"/>
        </w:rPr>
        <w:t>week</w:t>
      </w:r>
      <w:r>
        <w:rPr>
          <w:i/>
          <w:spacing w:val="-12"/>
          <w:w w:val="115"/>
          <w:sz w:val="20"/>
        </w:rPr>
        <w:t> </w:t>
      </w:r>
      <w:r>
        <w:rPr>
          <w:i/>
          <w:w w:val="115"/>
          <w:sz w:val="20"/>
        </w:rPr>
        <w:t>over</w:t>
      </w:r>
      <w:r>
        <w:rPr>
          <w:i/>
          <w:spacing w:val="-13"/>
          <w:w w:val="115"/>
          <w:sz w:val="20"/>
        </w:rPr>
        <w:t> </w:t>
      </w:r>
      <w:r>
        <w:rPr>
          <w:i/>
          <w:w w:val="115"/>
          <w:sz w:val="20"/>
        </w:rPr>
        <w:t>four</w:t>
      </w:r>
      <w:r>
        <w:rPr>
          <w:i/>
          <w:spacing w:val="-12"/>
          <w:w w:val="115"/>
          <w:sz w:val="20"/>
        </w:rPr>
        <w:t> </w:t>
      </w:r>
      <w:r>
        <w:rPr>
          <w:i/>
          <w:w w:val="115"/>
          <w:sz w:val="20"/>
        </w:rPr>
        <w:t>weeks</w:t>
      </w:r>
      <w:r>
        <w:rPr>
          <w:i/>
          <w:spacing w:val="-12"/>
          <w:w w:val="115"/>
          <w:sz w:val="20"/>
        </w:rPr>
        <w:t> </w:t>
      </w:r>
      <w:r>
        <w:rPr>
          <w:i/>
          <w:w w:val="115"/>
          <w:sz w:val="20"/>
        </w:rPr>
        <w:t>we</w:t>
      </w:r>
      <w:r>
        <w:rPr>
          <w:i/>
          <w:spacing w:val="-13"/>
          <w:w w:val="115"/>
          <w:sz w:val="20"/>
        </w:rPr>
        <w:t> </w:t>
      </w:r>
      <w:r>
        <w:rPr>
          <w:i/>
          <w:w w:val="115"/>
          <w:sz w:val="20"/>
        </w:rPr>
        <w:t>covered</w:t>
      </w:r>
      <w:r>
        <w:rPr>
          <w:i/>
          <w:spacing w:val="-12"/>
          <w:w w:val="115"/>
          <w:sz w:val="20"/>
        </w:rPr>
        <w:t> </w:t>
      </w:r>
      <w:r>
        <w:rPr>
          <w:i/>
          <w:w w:val="115"/>
          <w:sz w:val="20"/>
        </w:rPr>
        <w:t>a</w:t>
      </w:r>
      <w:r>
        <w:rPr>
          <w:i/>
          <w:spacing w:val="-12"/>
          <w:w w:val="115"/>
          <w:sz w:val="20"/>
        </w:rPr>
        <w:t> </w:t>
      </w:r>
      <w:r>
        <w:rPr>
          <w:i/>
          <w:w w:val="115"/>
          <w:sz w:val="20"/>
        </w:rPr>
        <w:t>section</w:t>
      </w:r>
      <w:r>
        <w:rPr>
          <w:i/>
          <w:spacing w:val="-13"/>
          <w:w w:val="115"/>
          <w:sz w:val="20"/>
        </w:rPr>
        <w:t> </w:t>
      </w:r>
      <w:r>
        <w:rPr>
          <w:i/>
          <w:w w:val="115"/>
          <w:sz w:val="20"/>
        </w:rPr>
        <w:t>in</w:t>
      </w:r>
      <w:r>
        <w:rPr>
          <w:i/>
          <w:spacing w:val="-12"/>
          <w:w w:val="115"/>
          <w:sz w:val="20"/>
        </w:rPr>
        <w:t> </w:t>
      </w:r>
      <w:r>
        <w:rPr>
          <w:i/>
          <w:w w:val="115"/>
          <w:sz w:val="20"/>
        </w:rPr>
        <w:t>the</w:t>
      </w:r>
      <w:r>
        <w:rPr>
          <w:i/>
          <w:spacing w:val="-12"/>
          <w:w w:val="115"/>
          <w:sz w:val="20"/>
        </w:rPr>
        <w:t> </w:t>
      </w:r>
      <w:r>
        <w:rPr>
          <w:i/>
          <w:w w:val="115"/>
          <w:sz w:val="20"/>
        </w:rPr>
        <w:t>Praying</w:t>
      </w:r>
      <w:r>
        <w:rPr>
          <w:i/>
          <w:spacing w:val="-13"/>
          <w:w w:val="115"/>
          <w:sz w:val="20"/>
        </w:rPr>
        <w:t> </w:t>
      </w:r>
      <w:r>
        <w:rPr>
          <w:i/>
          <w:w w:val="115"/>
          <w:sz w:val="20"/>
        </w:rPr>
        <w:t>our</w:t>
      </w:r>
      <w:r>
        <w:rPr>
          <w:i/>
          <w:spacing w:val="-12"/>
          <w:w w:val="115"/>
          <w:sz w:val="20"/>
        </w:rPr>
        <w:t> </w:t>
      </w:r>
      <w:r>
        <w:rPr>
          <w:i/>
          <w:w w:val="115"/>
          <w:sz w:val="20"/>
        </w:rPr>
        <w:t>Days</w:t>
      </w:r>
      <w:r>
        <w:rPr>
          <w:i/>
          <w:spacing w:val="-12"/>
          <w:w w:val="115"/>
          <w:sz w:val="20"/>
        </w:rPr>
        <w:t> </w:t>
      </w:r>
      <w:r>
        <w:rPr>
          <w:i/>
          <w:w w:val="115"/>
          <w:sz w:val="20"/>
        </w:rPr>
        <w:t>booklet</w:t>
      </w:r>
      <w:r>
        <w:rPr>
          <w:i/>
          <w:spacing w:val="-13"/>
          <w:w w:val="115"/>
          <w:sz w:val="20"/>
        </w:rPr>
        <w:t> </w:t>
      </w:r>
      <w:r>
        <w:rPr>
          <w:i/>
          <w:w w:val="115"/>
          <w:sz w:val="20"/>
        </w:rPr>
        <w:t>with</w:t>
      </w:r>
      <w:r>
        <w:rPr>
          <w:i/>
          <w:spacing w:val="-12"/>
          <w:w w:val="115"/>
          <w:sz w:val="20"/>
        </w:rPr>
        <w:t> </w:t>
      </w:r>
      <w:r>
        <w:rPr>
          <w:i/>
          <w:w w:val="115"/>
          <w:sz w:val="20"/>
        </w:rPr>
        <w:t>a different</w:t>
      </w:r>
      <w:r>
        <w:rPr>
          <w:i/>
          <w:spacing w:val="-14"/>
          <w:w w:val="115"/>
          <w:sz w:val="20"/>
        </w:rPr>
        <w:t> </w:t>
      </w:r>
      <w:r>
        <w:rPr>
          <w:i/>
          <w:w w:val="115"/>
          <w:sz w:val="20"/>
        </w:rPr>
        <w:t>focal</w:t>
      </w:r>
      <w:r>
        <w:rPr>
          <w:i/>
          <w:spacing w:val="-13"/>
          <w:w w:val="115"/>
          <w:sz w:val="20"/>
        </w:rPr>
        <w:t> </w:t>
      </w:r>
      <w:r>
        <w:rPr>
          <w:i/>
          <w:w w:val="115"/>
          <w:sz w:val="20"/>
        </w:rPr>
        <w:t>point</w:t>
      </w:r>
      <w:r>
        <w:rPr>
          <w:i/>
          <w:spacing w:val="-13"/>
          <w:w w:val="115"/>
          <w:sz w:val="20"/>
        </w:rPr>
        <w:t> </w:t>
      </w:r>
      <w:r>
        <w:rPr>
          <w:i/>
          <w:w w:val="115"/>
          <w:sz w:val="20"/>
        </w:rPr>
        <w:t>of</w:t>
      </w:r>
      <w:r>
        <w:rPr>
          <w:i/>
          <w:spacing w:val="-14"/>
          <w:w w:val="115"/>
          <w:sz w:val="20"/>
        </w:rPr>
        <w:t> </w:t>
      </w:r>
      <w:r>
        <w:rPr>
          <w:i/>
          <w:w w:val="115"/>
          <w:sz w:val="20"/>
        </w:rPr>
        <w:t>food</w:t>
      </w:r>
      <w:r>
        <w:rPr>
          <w:i/>
          <w:spacing w:val="-13"/>
          <w:w w:val="115"/>
          <w:sz w:val="20"/>
        </w:rPr>
        <w:t> </w:t>
      </w:r>
      <w:r>
        <w:rPr>
          <w:i/>
          <w:w w:val="115"/>
          <w:sz w:val="20"/>
        </w:rPr>
        <w:t>for</w:t>
      </w:r>
      <w:r>
        <w:rPr>
          <w:i/>
          <w:spacing w:val="-13"/>
          <w:w w:val="115"/>
          <w:sz w:val="20"/>
        </w:rPr>
        <w:t> </w:t>
      </w:r>
      <w:r>
        <w:rPr>
          <w:i/>
          <w:w w:val="115"/>
          <w:sz w:val="20"/>
        </w:rPr>
        <w:t>each</w:t>
      </w:r>
      <w:r>
        <w:rPr>
          <w:i/>
          <w:spacing w:val="-13"/>
          <w:w w:val="115"/>
          <w:sz w:val="20"/>
        </w:rPr>
        <w:t> </w:t>
      </w:r>
      <w:r>
        <w:rPr>
          <w:i/>
          <w:w w:val="115"/>
          <w:sz w:val="20"/>
        </w:rPr>
        <w:t>session.</w:t>
      </w:r>
      <w:r>
        <w:rPr>
          <w:i/>
          <w:spacing w:val="-14"/>
          <w:w w:val="115"/>
          <w:sz w:val="20"/>
        </w:rPr>
        <w:t> </w:t>
      </w:r>
      <w:r>
        <w:rPr>
          <w:i/>
          <w:w w:val="115"/>
          <w:sz w:val="20"/>
        </w:rPr>
        <w:t>So</w:t>
      </w:r>
      <w:r>
        <w:rPr>
          <w:i/>
          <w:spacing w:val="-13"/>
          <w:w w:val="115"/>
          <w:sz w:val="20"/>
        </w:rPr>
        <w:t> </w:t>
      </w:r>
      <w:r>
        <w:rPr>
          <w:i/>
          <w:w w:val="115"/>
          <w:sz w:val="20"/>
        </w:rPr>
        <w:t>for</w:t>
      </w:r>
      <w:r>
        <w:rPr>
          <w:i/>
          <w:spacing w:val="-13"/>
          <w:w w:val="115"/>
          <w:sz w:val="20"/>
        </w:rPr>
        <w:t> </w:t>
      </w:r>
      <w:r>
        <w:rPr>
          <w:i/>
          <w:w w:val="115"/>
          <w:sz w:val="20"/>
        </w:rPr>
        <w:t>the</w:t>
      </w:r>
      <w:r>
        <w:rPr>
          <w:i/>
          <w:spacing w:val="-13"/>
          <w:w w:val="115"/>
          <w:sz w:val="20"/>
        </w:rPr>
        <w:t> </w:t>
      </w:r>
      <w:r>
        <w:rPr>
          <w:i/>
          <w:w w:val="115"/>
          <w:sz w:val="20"/>
        </w:rPr>
        <w:t>final</w:t>
      </w:r>
      <w:r>
        <w:rPr>
          <w:i/>
          <w:spacing w:val="-14"/>
          <w:w w:val="115"/>
          <w:sz w:val="20"/>
        </w:rPr>
        <w:t> </w:t>
      </w:r>
      <w:r>
        <w:rPr>
          <w:i/>
          <w:w w:val="115"/>
          <w:sz w:val="20"/>
        </w:rPr>
        <w:t>one,</w:t>
      </w:r>
      <w:r>
        <w:rPr>
          <w:i/>
          <w:spacing w:val="-13"/>
          <w:w w:val="115"/>
          <w:sz w:val="20"/>
        </w:rPr>
        <w:t> </w:t>
      </w:r>
      <w:r>
        <w:rPr>
          <w:i/>
          <w:w w:val="115"/>
          <w:sz w:val="20"/>
        </w:rPr>
        <w:t>‘Exploring</w:t>
      </w:r>
      <w:r>
        <w:rPr>
          <w:i/>
          <w:spacing w:val="-13"/>
          <w:w w:val="115"/>
          <w:sz w:val="20"/>
        </w:rPr>
        <w:t> </w:t>
      </w:r>
      <w:r>
        <w:rPr>
          <w:i/>
          <w:w w:val="115"/>
          <w:sz w:val="20"/>
        </w:rPr>
        <w:t>Prayer’,</w:t>
      </w:r>
      <w:r>
        <w:rPr>
          <w:i/>
          <w:spacing w:val="-13"/>
          <w:w w:val="115"/>
          <w:sz w:val="20"/>
        </w:rPr>
        <w:t> </w:t>
      </w:r>
      <w:r>
        <w:rPr>
          <w:i/>
          <w:w w:val="115"/>
          <w:sz w:val="20"/>
        </w:rPr>
        <w:t>we placed</w:t>
      </w:r>
      <w:r>
        <w:rPr>
          <w:i/>
          <w:spacing w:val="-15"/>
          <w:w w:val="115"/>
          <w:sz w:val="20"/>
        </w:rPr>
        <w:t> </w:t>
      </w:r>
      <w:r>
        <w:rPr>
          <w:i/>
          <w:w w:val="115"/>
          <w:sz w:val="20"/>
        </w:rPr>
        <w:t>a</w:t>
      </w:r>
      <w:r>
        <w:rPr>
          <w:i/>
          <w:spacing w:val="-15"/>
          <w:w w:val="115"/>
          <w:sz w:val="20"/>
        </w:rPr>
        <w:t> </w:t>
      </w:r>
      <w:r>
        <w:rPr>
          <w:i/>
          <w:w w:val="115"/>
          <w:sz w:val="20"/>
        </w:rPr>
        <w:t>bowl</w:t>
      </w:r>
      <w:r>
        <w:rPr>
          <w:i/>
          <w:spacing w:val="-14"/>
          <w:w w:val="115"/>
          <w:sz w:val="20"/>
        </w:rPr>
        <w:t> </w:t>
      </w:r>
      <w:r>
        <w:rPr>
          <w:i/>
          <w:w w:val="115"/>
          <w:sz w:val="20"/>
        </w:rPr>
        <w:t>of</w:t>
      </w:r>
      <w:r>
        <w:rPr>
          <w:i/>
          <w:spacing w:val="-15"/>
          <w:w w:val="115"/>
          <w:sz w:val="20"/>
        </w:rPr>
        <w:t> </w:t>
      </w:r>
      <w:r>
        <w:rPr>
          <w:i/>
          <w:w w:val="115"/>
          <w:sz w:val="20"/>
        </w:rPr>
        <w:t>exotic</w:t>
      </w:r>
      <w:r>
        <w:rPr>
          <w:i/>
          <w:spacing w:val="-14"/>
          <w:w w:val="115"/>
          <w:sz w:val="20"/>
        </w:rPr>
        <w:t> </w:t>
      </w:r>
      <w:r>
        <w:rPr>
          <w:i/>
          <w:w w:val="115"/>
          <w:sz w:val="20"/>
        </w:rPr>
        <w:t>fruit</w:t>
      </w:r>
      <w:r>
        <w:rPr>
          <w:i/>
          <w:spacing w:val="-15"/>
          <w:w w:val="115"/>
          <w:sz w:val="20"/>
        </w:rPr>
        <w:t> </w:t>
      </w:r>
      <w:r>
        <w:rPr>
          <w:i/>
          <w:w w:val="115"/>
          <w:sz w:val="20"/>
        </w:rPr>
        <w:t>on</w:t>
      </w:r>
      <w:r>
        <w:rPr>
          <w:i/>
          <w:spacing w:val="-14"/>
          <w:w w:val="115"/>
          <w:sz w:val="20"/>
        </w:rPr>
        <w:t> </w:t>
      </w:r>
      <w:r>
        <w:rPr>
          <w:i/>
          <w:w w:val="115"/>
          <w:sz w:val="20"/>
        </w:rPr>
        <w:t>the</w:t>
      </w:r>
      <w:r>
        <w:rPr>
          <w:i/>
          <w:spacing w:val="-15"/>
          <w:w w:val="115"/>
          <w:sz w:val="20"/>
        </w:rPr>
        <w:t> </w:t>
      </w:r>
      <w:r>
        <w:rPr>
          <w:i/>
          <w:w w:val="115"/>
          <w:sz w:val="20"/>
        </w:rPr>
        <w:t>centre</w:t>
      </w:r>
      <w:r>
        <w:rPr>
          <w:i/>
          <w:spacing w:val="-14"/>
          <w:w w:val="115"/>
          <w:sz w:val="20"/>
        </w:rPr>
        <w:t> </w:t>
      </w:r>
      <w:r>
        <w:rPr>
          <w:i/>
          <w:w w:val="115"/>
          <w:sz w:val="20"/>
        </w:rPr>
        <w:t>table</w:t>
      </w:r>
      <w:r>
        <w:rPr>
          <w:i/>
          <w:spacing w:val="-15"/>
          <w:w w:val="115"/>
          <w:sz w:val="20"/>
        </w:rPr>
        <w:t> </w:t>
      </w:r>
      <w:r>
        <w:rPr>
          <w:i/>
          <w:w w:val="115"/>
          <w:sz w:val="20"/>
        </w:rPr>
        <w:t>and</w:t>
      </w:r>
      <w:r>
        <w:rPr>
          <w:i/>
          <w:spacing w:val="-14"/>
          <w:w w:val="115"/>
          <w:sz w:val="20"/>
        </w:rPr>
        <w:t> </w:t>
      </w:r>
      <w:r>
        <w:rPr>
          <w:i/>
          <w:w w:val="115"/>
          <w:sz w:val="20"/>
        </w:rPr>
        <w:t>invited</w:t>
      </w:r>
      <w:r>
        <w:rPr>
          <w:i/>
          <w:spacing w:val="-15"/>
          <w:w w:val="115"/>
          <w:sz w:val="20"/>
        </w:rPr>
        <w:t> </w:t>
      </w:r>
      <w:r>
        <w:rPr>
          <w:i/>
          <w:w w:val="115"/>
          <w:sz w:val="20"/>
        </w:rPr>
        <w:t>people</w:t>
      </w:r>
      <w:r>
        <w:rPr>
          <w:i/>
          <w:spacing w:val="-14"/>
          <w:w w:val="115"/>
          <w:sz w:val="20"/>
        </w:rPr>
        <w:t> </w:t>
      </w:r>
      <w:r>
        <w:rPr>
          <w:i/>
          <w:w w:val="115"/>
          <w:sz w:val="20"/>
        </w:rPr>
        <w:t>to</w:t>
      </w:r>
      <w:r>
        <w:rPr>
          <w:i/>
          <w:spacing w:val="-15"/>
          <w:w w:val="115"/>
          <w:sz w:val="20"/>
        </w:rPr>
        <w:t> </w:t>
      </w:r>
      <w:r>
        <w:rPr>
          <w:i/>
          <w:w w:val="115"/>
          <w:sz w:val="20"/>
        </w:rPr>
        <w:t>taste</w:t>
      </w:r>
      <w:r>
        <w:rPr>
          <w:i/>
          <w:spacing w:val="-14"/>
          <w:w w:val="115"/>
          <w:sz w:val="20"/>
        </w:rPr>
        <w:t> </w:t>
      </w:r>
      <w:r>
        <w:rPr>
          <w:i/>
          <w:w w:val="115"/>
          <w:sz w:val="20"/>
        </w:rPr>
        <w:t>a</w:t>
      </w:r>
      <w:r>
        <w:rPr>
          <w:i/>
          <w:spacing w:val="-15"/>
          <w:w w:val="115"/>
          <w:sz w:val="20"/>
        </w:rPr>
        <w:t> </w:t>
      </w:r>
      <w:r>
        <w:rPr>
          <w:i/>
          <w:w w:val="115"/>
          <w:sz w:val="20"/>
        </w:rPr>
        <w:t>piece</w:t>
      </w:r>
      <w:r>
        <w:rPr>
          <w:i/>
          <w:spacing w:val="-14"/>
          <w:w w:val="115"/>
          <w:sz w:val="20"/>
        </w:rPr>
        <w:t> </w:t>
      </w:r>
      <w:r>
        <w:rPr>
          <w:i/>
          <w:w w:val="115"/>
          <w:sz w:val="20"/>
        </w:rPr>
        <w:t>of</w:t>
      </w:r>
      <w:r>
        <w:rPr>
          <w:i/>
          <w:spacing w:val="-15"/>
          <w:w w:val="115"/>
          <w:sz w:val="20"/>
        </w:rPr>
        <w:t> </w:t>
      </w:r>
      <w:r>
        <w:rPr>
          <w:i/>
          <w:w w:val="115"/>
          <w:sz w:val="20"/>
        </w:rPr>
        <w:t>fruit new</w:t>
      </w:r>
      <w:r>
        <w:rPr>
          <w:i/>
          <w:spacing w:val="-15"/>
          <w:w w:val="115"/>
          <w:sz w:val="20"/>
        </w:rPr>
        <w:t> </w:t>
      </w:r>
      <w:r>
        <w:rPr>
          <w:i/>
          <w:w w:val="115"/>
          <w:sz w:val="20"/>
        </w:rPr>
        <w:t>to</w:t>
      </w:r>
      <w:r>
        <w:rPr>
          <w:i/>
          <w:spacing w:val="-14"/>
          <w:w w:val="115"/>
          <w:sz w:val="20"/>
        </w:rPr>
        <w:t> </w:t>
      </w:r>
      <w:r>
        <w:rPr>
          <w:i/>
          <w:w w:val="115"/>
          <w:sz w:val="20"/>
        </w:rPr>
        <w:t>their</w:t>
      </w:r>
      <w:r>
        <w:rPr>
          <w:i/>
          <w:spacing w:val="-15"/>
          <w:w w:val="115"/>
          <w:sz w:val="20"/>
        </w:rPr>
        <w:t> </w:t>
      </w:r>
      <w:r>
        <w:rPr>
          <w:i/>
          <w:w w:val="115"/>
          <w:sz w:val="20"/>
        </w:rPr>
        <w:t>experience,</w:t>
      </w:r>
      <w:r>
        <w:rPr>
          <w:i/>
          <w:spacing w:val="-14"/>
          <w:w w:val="115"/>
          <w:sz w:val="20"/>
        </w:rPr>
        <w:t> </w:t>
      </w:r>
      <w:r>
        <w:rPr>
          <w:i/>
          <w:w w:val="115"/>
          <w:sz w:val="20"/>
        </w:rPr>
        <w:t>so</w:t>
      </w:r>
      <w:r>
        <w:rPr>
          <w:i/>
          <w:spacing w:val="-15"/>
          <w:w w:val="115"/>
          <w:sz w:val="20"/>
        </w:rPr>
        <w:t> </w:t>
      </w:r>
      <w:r>
        <w:rPr>
          <w:i/>
          <w:w w:val="115"/>
          <w:sz w:val="20"/>
        </w:rPr>
        <w:t>exploring</w:t>
      </w:r>
      <w:r>
        <w:rPr>
          <w:i/>
          <w:spacing w:val="-14"/>
          <w:w w:val="115"/>
          <w:sz w:val="20"/>
        </w:rPr>
        <w:t> </w:t>
      </w:r>
      <w:r>
        <w:rPr>
          <w:i/>
          <w:w w:val="115"/>
          <w:sz w:val="20"/>
        </w:rPr>
        <w:t>something</w:t>
      </w:r>
      <w:r>
        <w:rPr>
          <w:i/>
          <w:spacing w:val="-15"/>
          <w:w w:val="115"/>
          <w:sz w:val="20"/>
        </w:rPr>
        <w:t> </w:t>
      </w:r>
      <w:r>
        <w:rPr>
          <w:i/>
          <w:w w:val="115"/>
          <w:sz w:val="20"/>
        </w:rPr>
        <w:t>they</w:t>
      </w:r>
      <w:r>
        <w:rPr>
          <w:i/>
          <w:spacing w:val="-14"/>
          <w:w w:val="115"/>
          <w:sz w:val="20"/>
        </w:rPr>
        <w:t> </w:t>
      </w:r>
      <w:r>
        <w:rPr>
          <w:i/>
          <w:spacing w:val="-3"/>
          <w:w w:val="115"/>
          <w:sz w:val="20"/>
        </w:rPr>
        <w:t>hadn’t</w:t>
      </w:r>
      <w:r>
        <w:rPr>
          <w:i/>
          <w:spacing w:val="-15"/>
          <w:w w:val="115"/>
          <w:sz w:val="20"/>
        </w:rPr>
        <w:t> </w:t>
      </w:r>
      <w:r>
        <w:rPr>
          <w:i/>
          <w:w w:val="115"/>
          <w:sz w:val="20"/>
        </w:rPr>
        <w:t>tried</w:t>
      </w:r>
      <w:r>
        <w:rPr>
          <w:i/>
          <w:spacing w:val="-14"/>
          <w:w w:val="115"/>
          <w:sz w:val="20"/>
        </w:rPr>
        <w:t> </w:t>
      </w:r>
      <w:r>
        <w:rPr>
          <w:i/>
          <w:w w:val="115"/>
          <w:sz w:val="20"/>
        </w:rPr>
        <w:t>before.</w:t>
      </w:r>
      <w:r>
        <w:rPr>
          <w:i/>
          <w:spacing w:val="-15"/>
          <w:w w:val="115"/>
          <w:sz w:val="20"/>
        </w:rPr>
        <w:t> </w:t>
      </w:r>
      <w:r>
        <w:rPr>
          <w:i/>
          <w:w w:val="115"/>
          <w:sz w:val="20"/>
        </w:rPr>
        <w:t>We</w:t>
      </w:r>
      <w:r>
        <w:rPr>
          <w:i/>
          <w:spacing w:val="-14"/>
          <w:w w:val="115"/>
          <w:sz w:val="20"/>
        </w:rPr>
        <w:t> </w:t>
      </w:r>
      <w:r>
        <w:rPr>
          <w:i/>
          <w:w w:val="115"/>
          <w:sz w:val="20"/>
        </w:rPr>
        <w:t>were</w:t>
      </w:r>
      <w:r>
        <w:rPr>
          <w:i/>
          <w:spacing w:val="-15"/>
          <w:w w:val="115"/>
          <w:sz w:val="20"/>
        </w:rPr>
        <w:t> </w:t>
      </w:r>
      <w:r>
        <w:rPr>
          <w:i/>
          <w:w w:val="115"/>
          <w:sz w:val="20"/>
        </w:rPr>
        <w:t>then able to link that in to exploring ways of praying which may be new to some, like prayer over the telephone. The group found the ‘Let me tell you’ sections very helpful and one particular</w:t>
      </w:r>
      <w:r>
        <w:rPr>
          <w:i/>
          <w:spacing w:val="-14"/>
          <w:w w:val="115"/>
          <w:sz w:val="20"/>
        </w:rPr>
        <w:t> </w:t>
      </w:r>
      <w:r>
        <w:rPr>
          <w:i/>
          <w:w w:val="115"/>
          <w:sz w:val="20"/>
        </w:rPr>
        <w:t>story</w:t>
      </w:r>
      <w:r>
        <w:rPr>
          <w:i/>
          <w:spacing w:val="-14"/>
          <w:w w:val="115"/>
          <w:sz w:val="20"/>
        </w:rPr>
        <w:t> </w:t>
      </w:r>
      <w:r>
        <w:rPr>
          <w:i/>
          <w:w w:val="115"/>
          <w:sz w:val="20"/>
        </w:rPr>
        <w:t>led</w:t>
      </w:r>
      <w:r>
        <w:rPr>
          <w:i/>
          <w:spacing w:val="-13"/>
          <w:w w:val="115"/>
          <w:sz w:val="20"/>
        </w:rPr>
        <w:t> </w:t>
      </w:r>
      <w:r>
        <w:rPr>
          <w:i/>
          <w:w w:val="115"/>
          <w:sz w:val="20"/>
        </w:rPr>
        <w:t>to</w:t>
      </w:r>
      <w:r>
        <w:rPr>
          <w:i/>
          <w:spacing w:val="-14"/>
          <w:w w:val="115"/>
          <w:sz w:val="20"/>
        </w:rPr>
        <w:t> </w:t>
      </w:r>
      <w:r>
        <w:rPr>
          <w:i/>
          <w:w w:val="115"/>
          <w:sz w:val="20"/>
        </w:rPr>
        <w:t>a</w:t>
      </w:r>
      <w:r>
        <w:rPr>
          <w:i/>
          <w:spacing w:val="-13"/>
          <w:w w:val="115"/>
          <w:sz w:val="20"/>
        </w:rPr>
        <w:t> </w:t>
      </w:r>
      <w:r>
        <w:rPr>
          <w:i/>
          <w:w w:val="115"/>
          <w:sz w:val="20"/>
        </w:rPr>
        <w:t>very</w:t>
      </w:r>
      <w:r>
        <w:rPr>
          <w:i/>
          <w:spacing w:val="-14"/>
          <w:w w:val="115"/>
          <w:sz w:val="20"/>
        </w:rPr>
        <w:t> </w:t>
      </w:r>
      <w:r>
        <w:rPr>
          <w:i/>
          <w:w w:val="115"/>
          <w:sz w:val="20"/>
        </w:rPr>
        <w:t>passionate</w:t>
      </w:r>
      <w:r>
        <w:rPr>
          <w:i/>
          <w:spacing w:val="-13"/>
          <w:w w:val="115"/>
          <w:sz w:val="20"/>
        </w:rPr>
        <w:t> </w:t>
      </w:r>
      <w:r>
        <w:rPr>
          <w:i/>
          <w:w w:val="115"/>
          <w:sz w:val="20"/>
        </w:rPr>
        <w:t>debate</w:t>
      </w:r>
      <w:r>
        <w:rPr>
          <w:i/>
          <w:spacing w:val="-14"/>
          <w:w w:val="115"/>
          <w:sz w:val="20"/>
        </w:rPr>
        <w:t> </w:t>
      </w:r>
      <w:r>
        <w:rPr>
          <w:i/>
          <w:w w:val="115"/>
          <w:sz w:val="20"/>
        </w:rPr>
        <w:t>on</w:t>
      </w:r>
      <w:r>
        <w:rPr>
          <w:i/>
          <w:spacing w:val="-13"/>
          <w:w w:val="115"/>
          <w:sz w:val="20"/>
        </w:rPr>
        <w:t> </w:t>
      </w:r>
      <w:r>
        <w:rPr>
          <w:i/>
          <w:w w:val="115"/>
          <w:sz w:val="20"/>
        </w:rPr>
        <w:t>missed</w:t>
      </w:r>
      <w:r>
        <w:rPr>
          <w:i/>
          <w:spacing w:val="-14"/>
          <w:w w:val="115"/>
          <w:sz w:val="20"/>
        </w:rPr>
        <w:t> </w:t>
      </w:r>
      <w:r>
        <w:rPr>
          <w:i/>
          <w:w w:val="115"/>
          <w:sz w:val="20"/>
        </w:rPr>
        <w:t>opportunities</w:t>
      </w:r>
      <w:r>
        <w:rPr>
          <w:i/>
          <w:spacing w:val="-13"/>
          <w:w w:val="115"/>
          <w:sz w:val="20"/>
        </w:rPr>
        <w:t> </w:t>
      </w:r>
      <w:r>
        <w:rPr>
          <w:i/>
          <w:w w:val="115"/>
          <w:sz w:val="20"/>
        </w:rPr>
        <w:t>and</w:t>
      </w:r>
      <w:r>
        <w:rPr>
          <w:i/>
          <w:spacing w:val="-14"/>
          <w:w w:val="115"/>
          <w:sz w:val="20"/>
        </w:rPr>
        <w:t> </w:t>
      </w:r>
      <w:r>
        <w:rPr>
          <w:i/>
          <w:w w:val="115"/>
          <w:sz w:val="20"/>
        </w:rPr>
        <w:t>opened</w:t>
      </w:r>
      <w:r>
        <w:rPr>
          <w:i/>
          <w:spacing w:val="-13"/>
          <w:w w:val="115"/>
          <w:sz w:val="20"/>
        </w:rPr>
        <w:t> </w:t>
      </w:r>
      <w:r>
        <w:rPr>
          <w:i/>
          <w:w w:val="115"/>
          <w:sz w:val="20"/>
        </w:rPr>
        <w:t>the way</w:t>
      </w:r>
      <w:r>
        <w:rPr>
          <w:i/>
          <w:spacing w:val="-9"/>
          <w:w w:val="115"/>
          <w:sz w:val="20"/>
        </w:rPr>
        <w:t> </w:t>
      </w:r>
      <w:r>
        <w:rPr>
          <w:i/>
          <w:w w:val="115"/>
          <w:sz w:val="20"/>
        </w:rPr>
        <w:t>for</w:t>
      </w:r>
      <w:r>
        <w:rPr>
          <w:i/>
          <w:spacing w:val="-9"/>
          <w:w w:val="115"/>
          <w:sz w:val="20"/>
        </w:rPr>
        <w:t> </w:t>
      </w:r>
      <w:r>
        <w:rPr>
          <w:i/>
          <w:w w:val="115"/>
          <w:sz w:val="20"/>
        </w:rPr>
        <w:t>one</w:t>
      </w:r>
      <w:r>
        <w:rPr>
          <w:i/>
          <w:spacing w:val="-9"/>
          <w:w w:val="115"/>
          <w:sz w:val="20"/>
        </w:rPr>
        <w:t> </w:t>
      </w:r>
      <w:r>
        <w:rPr>
          <w:i/>
          <w:w w:val="115"/>
          <w:sz w:val="20"/>
        </w:rPr>
        <w:t>group</w:t>
      </w:r>
      <w:r>
        <w:rPr>
          <w:i/>
          <w:spacing w:val="-9"/>
          <w:w w:val="115"/>
          <w:sz w:val="20"/>
        </w:rPr>
        <w:t> </w:t>
      </w:r>
      <w:r>
        <w:rPr>
          <w:i/>
          <w:w w:val="115"/>
          <w:sz w:val="20"/>
        </w:rPr>
        <w:t>member</w:t>
      </w:r>
      <w:r>
        <w:rPr>
          <w:i/>
          <w:spacing w:val="-9"/>
          <w:w w:val="115"/>
          <w:sz w:val="20"/>
        </w:rPr>
        <w:t> </w:t>
      </w:r>
      <w:r>
        <w:rPr>
          <w:i/>
          <w:w w:val="115"/>
          <w:sz w:val="20"/>
        </w:rPr>
        <w:t>to</w:t>
      </w:r>
      <w:r>
        <w:rPr>
          <w:i/>
          <w:spacing w:val="-8"/>
          <w:w w:val="115"/>
          <w:sz w:val="20"/>
        </w:rPr>
        <w:t> </w:t>
      </w:r>
      <w:r>
        <w:rPr>
          <w:i/>
          <w:w w:val="115"/>
          <w:sz w:val="20"/>
        </w:rPr>
        <w:t>share</w:t>
      </w:r>
      <w:r>
        <w:rPr>
          <w:i/>
          <w:spacing w:val="-9"/>
          <w:w w:val="115"/>
          <w:sz w:val="20"/>
        </w:rPr>
        <w:t> </w:t>
      </w:r>
      <w:r>
        <w:rPr>
          <w:i/>
          <w:w w:val="115"/>
          <w:sz w:val="20"/>
        </w:rPr>
        <w:t>her</w:t>
      </w:r>
      <w:r>
        <w:rPr>
          <w:i/>
          <w:spacing w:val="-9"/>
          <w:w w:val="115"/>
          <w:sz w:val="20"/>
        </w:rPr>
        <w:t> </w:t>
      </w:r>
      <w:r>
        <w:rPr>
          <w:i/>
          <w:w w:val="115"/>
          <w:sz w:val="20"/>
        </w:rPr>
        <w:t>experience.</w:t>
      </w:r>
      <w:r>
        <w:rPr>
          <w:i/>
          <w:spacing w:val="-9"/>
          <w:w w:val="115"/>
          <w:sz w:val="20"/>
        </w:rPr>
        <w:t> </w:t>
      </w:r>
      <w:r>
        <w:rPr>
          <w:i/>
          <w:w w:val="115"/>
          <w:sz w:val="20"/>
        </w:rPr>
        <w:t>On</w:t>
      </w:r>
      <w:r>
        <w:rPr>
          <w:i/>
          <w:spacing w:val="-9"/>
          <w:w w:val="115"/>
          <w:sz w:val="20"/>
        </w:rPr>
        <w:t> </w:t>
      </w:r>
      <w:r>
        <w:rPr>
          <w:i/>
          <w:w w:val="115"/>
          <w:sz w:val="20"/>
        </w:rPr>
        <w:t>the</w:t>
      </w:r>
      <w:r>
        <w:rPr>
          <w:i/>
          <w:spacing w:val="-8"/>
          <w:w w:val="115"/>
          <w:sz w:val="20"/>
        </w:rPr>
        <w:t> </w:t>
      </w:r>
      <w:r>
        <w:rPr>
          <w:i/>
          <w:w w:val="115"/>
          <w:sz w:val="20"/>
        </w:rPr>
        <w:t>previous</w:t>
      </w:r>
      <w:r>
        <w:rPr>
          <w:i/>
          <w:spacing w:val="-9"/>
          <w:w w:val="115"/>
          <w:sz w:val="20"/>
        </w:rPr>
        <w:t> </w:t>
      </w:r>
      <w:r>
        <w:rPr>
          <w:i/>
          <w:spacing w:val="-4"/>
          <w:w w:val="115"/>
          <w:sz w:val="20"/>
        </w:rPr>
        <w:t>day,</w:t>
      </w:r>
      <w:r>
        <w:rPr>
          <w:i/>
          <w:spacing w:val="-9"/>
          <w:w w:val="115"/>
          <w:sz w:val="20"/>
        </w:rPr>
        <w:t> </w:t>
      </w:r>
      <w:r>
        <w:rPr>
          <w:i/>
          <w:w w:val="115"/>
          <w:sz w:val="20"/>
        </w:rPr>
        <w:t>when</w:t>
      </w:r>
      <w:r>
        <w:rPr>
          <w:i/>
          <w:spacing w:val="-9"/>
          <w:w w:val="115"/>
          <w:sz w:val="20"/>
        </w:rPr>
        <w:t> </w:t>
      </w:r>
      <w:r>
        <w:rPr>
          <w:i/>
          <w:w w:val="115"/>
          <w:sz w:val="20"/>
        </w:rPr>
        <w:t>she</w:t>
      </w:r>
      <w:r>
        <w:rPr>
          <w:i/>
          <w:spacing w:val="-9"/>
          <w:w w:val="115"/>
          <w:sz w:val="20"/>
        </w:rPr>
        <w:t> </w:t>
      </w:r>
      <w:r>
        <w:rPr>
          <w:i/>
          <w:w w:val="115"/>
          <w:sz w:val="20"/>
        </w:rPr>
        <w:t>had been praying in our prayer room at church, another person joined her and asked her to lay</w:t>
      </w:r>
      <w:r>
        <w:rPr>
          <w:i/>
          <w:spacing w:val="-9"/>
          <w:w w:val="115"/>
          <w:sz w:val="20"/>
        </w:rPr>
        <w:t> </w:t>
      </w:r>
      <w:r>
        <w:rPr>
          <w:i/>
          <w:w w:val="115"/>
          <w:sz w:val="20"/>
        </w:rPr>
        <w:t>hands</w:t>
      </w:r>
      <w:r>
        <w:rPr>
          <w:i/>
          <w:spacing w:val="-8"/>
          <w:w w:val="115"/>
          <w:sz w:val="20"/>
        </w:rPr>
        <w:t> </w:t>
      </w:r>
      <w:r>
        <w:rPr>
          <w:i/>
          <w:w w:val="115"/>
          <w:sz w:val="20"/>
        </w:rPr>
        <w:t>on</w:t>
      </w:r>
      <w:r>
        <w:rPr>
          <w:i/>
          <w:spacing w:val="-9"/>
          <w:w w:val="115"/>
          <w:sz w:val="20"/>
        </w:rPr>
        <w:t> </w:t>
      </w:r>
      <w:r>
        <w:rPr>
          <w:i/>
          <w:w w:val="115"/>
          <w:sz w:val="20"/>
        </w:rPr>
        <w:t>her</w:t>
      </w:r>
      <w:r>
        <w:rPr>
          <w:i/>
          <w:spacing w:val="-8"/>
          <w:w w:val="115"/>
          <w:sz w:val="20"/>
        </w:rPr>
        <w:t> </w:t>
      </w:r>
      <w:r>
        <w:rPr>
          <w:i/>
          <w:w w:val="115"/>
          <w:sz w:val="20"/>
        </w:rPr>
        <w:t>for</w:t>
      </w:r>
      <w:r>
        <w:rPr>
          <w:i/>
          <w:spacing w:val="-9"/>
          <w:w w:val="115"/>
          <w:sz w:val="20"/>
        </w:rPr>
        <w:t> </w:t>
      </w:r>
      <w:r>
        <w:rPr>
          <w:i/>
          <w:w w:val="115"/>
          <w:sz w:val="20"/>
        </w:rPr>
        <w:t>specific</w:t>
      </w:r>
      <w:r>
        <w:rPr>
          <w:i/>
          <w:spacing w:val="-8"/>
          <w:w w:val="115"/>
          <w:sz w:val="20"/>
        </w:rPr>
        <w:t> </w:t>
      </w:r>
      <w:r>
        <w:rPr>
          <w:i/>
          <w:spacing w:val="-3"/>
          <w:w w:val="115"/>
          <w:sz w:val="20"/>
        </w:rPr>
        <w:t>prayer.</w:t>
      </w:r>
      <w:r>
        <w:rPr>
          <w:i/>
          <w:spacing w:val="-9"/>
          <w:w w:val="115"/>
          <w:sz w:val="20"/>
        </w:rPr>
        <w:t> </w:t>
      </w:r>
      <w:r>
        <w:rPr>
          <w:i/>
          <w:w w:val="115"/>
          <w:sz w:val="20"/>
        </w:rPr>
        <w:t>She</w:t>
      </w:r>
      <w:r>
        <w:rPr>
          <w:i/>
          <w:spacing w:val="-8"/>
          <w:w w:val="115"/>
          <w:sz w:val="20"/>
        </w:rPr>
        <w:t> </w:t>
      </w:r>
      <w:r>
        <w:rPr>
          <w:i/>
          <w:w w:val="115"/>
          <w:sz w:val="20"/>
        </w:rPr>
        <w:t>said</w:t>
      </w:r>
      <w:r>
        <w:rPr>
          <w:i/>
          <w:spacing w:val="-9"/>
          <w:w w:val="115"/>
          <w:sz w:val="20"/>
        </w:rPr>
        <w:t> </w:t>
      </w:r>
      <w:r>
        <w:rPr>
          <w:i/>
          <w:w w:val="115"/>
          <w:sz w:val="20"/>
        </w:rPr>
        <w:t>she</w:t>
      </w:r>
      <w:r>
        <w:rPr>
          <w:i/>
          <w:spacing w:val="-8"/>
          <w:w w:val="115"/>
          <w:sz w:val="20"/>
        </w:rPr>
        <w:t> </w:t>
      </w:r>
      <w:r>
        <w:rPr>
          <w:i/>
          <w:w w:val="115"/>
          <w:sz w:val="20"/>
        </w:rPr>
        <w:t>had</w:t>
      </w:r>
      <w:r>
        <w:rPr>
          <w:i/>
          <w:spacing w:val="-9"/>
          <w:w w:val="115"/>
          <w:sz w:val="20"/>
        </w:rPr>
        <w:t> </w:t>
      </w:r>
      <w:r>
        <w:rPr>
          <w:i/>
          <w:w w:val="115"/>
          <w:sz w:val="20"/>
        </w:rPr>
        <w:t>never</w:t>
      </w:r>
      <w:r>
        <w:rPr>
          <w:i/>
          <w:spacing w:val="-8"/>
          <w:w w:val="115"/>
          <w:sz w:val="20"/>
        </w:rPr>
        <w:t> </w:t>
      </w:r>
      <w:r>
        <w:rPr>
          <w:i/>
          <w:w w:val="115"/>
          <w:sz w:val="20"/>
        </w:rPr>
        <w:t>done</w:t>
      </w:r>
      <w:r>
        <w:rPr>
          <w:i/>
          <w:spacing w:val="-9"/>
          <w:w w:val="115"/>
          <w:sz w:val="20"/>
        </w:rPr>
        <w:t> </w:t>
      </w:r>
      <w:r>
        <w:rPr>
          <w:i/>
          <w:w w:val="115"/>
          <w:sz w:val="20"/>
        </w:rPr>
        <w:t>this</w:t>
      </w:r>
      <w:r>
        <w:rPr>
          <w:i/>
          <w:spacing w:val="-8"/>
          <w:w w:val="115"/>
          <w:sz w:val="20"/>
        </w:rPr>
        <w:t> </w:t>
      </w:r>
      <w:r>
        <w:rPr>
          <w:i/>
          <w:w w:val="115"/>
          <w:sz w:val="20"/>
        </w:rPr>
        <w:t>on</w:t>
      </w:r>
      <w:r>
        <w:rPr>
          <w:i/>
          <w:spacing w:val="-9"/>
          <w:w w:val="115"/>
          <w:sz w:val="20"/>
        </w:rPr>
        <w:t> </w:t>
      </w:r>
      <w:r>
        <w:rPr>
          <w:i/>
          <w:w w:val="115"/>
          <w:sz w:val="20"/>
        </w:rPr>
        <w:t>her</w:t>
      </w:r>
      <w:r>
        <w:rPr>
          <w:i/>
          <w:spacing w:val="-8"/>
          <w:w w:val="115"/>
          <w:sz w:val="20"/>
        </w:rPr>
        <w:t> </w:t>
      </w:r>
      <w:r>
        <w:rPr>
          <w:i/>
          <w:w w:val="115"/>
          <w:sz w:val="20"/>
        </w:rPr>
        <w:t>own</w:t>
      </w:r>
      <w:r>
        <w:rPr>
          <w:i/>
          <w:spacing w:val="-9"/>
          <w:w w:val="115"/>
          <w:sz w:val="20"/>
        </w:rPr>
        <w:t> </w:t>
      </w:r>
      <w:r>
        <w:rPr>
          <w:i/>
          <w:w w:val="115"/>
          <w:sz w:val="20"/>
        </w:rPr>
        <w:t>before and</w:t>
      </w:r>
      <w:r>
        <w:rPr>
          <w:i/>
          <w:spacing w:val="-13"/>
          <w:w w:val="115"/>
          <w:sz w:val="20"/>
        </w:rPr>
        <w:t> </w:t>
      </w:r>
      <w:r>
        <w:rPr>
          <w:i/>
          <w:w w:val="115"/>
          <w:sz w:val="20"/>
        </w:rPr>
        <w:t>felt</w:t>
      </w:r>
      <w:r>
        <w:rPr>
          <w:i/>
          <w:spacing w:val="-13"/>
          <w:w w:val="115"/>
          <w:sz w:val="20"/>
        </w:rPr>
        <w:t> </w:t>
      </w:r>
      <w:r>
        <w:rPr>
          <w:i/>
          <w:w w:val="115"/>
          <w:sz w:val="20"/>
        </w:rPr>
        <w:t>very</w:t>
      </w:r>
      <w:r>
        <w:rPr>
          <w:i/>
          <w:spacing w:val="-13"/>
          <w:w w:val="115"/>
          <w:sz w:val="20"/>
        </w:rPr>
        <w:t> </w:t>
      </w:r>
      <w:r>
        <w:rPr>
          <w:i/>
          <w:w w:val="115"/>
          <w:sz w:val="20"/>
        </w:rPr>
        <w:t>nervous,</w:t>
      </w:r>
      <w:r>
        <w:rPr>
          <w:i/>
          <w:spacing w:val="-12"/>
          <w:w w:val="115"/>
          <w:sz w:val="20"/>
        </w:rPr>
        <w:t> </w:t>
      </w:r>
      <w:r>
        <w:rPr>
          <w:i/>
          <w:w w:val="115"/>
          <w:sz w:val="20"/>
        </w:rPr>
        <w:t>but</w:t>
      </w:r>
      <w:r>
        <w:rPr>
          <w:i/>
          <w:spacing w:val="-13"/>
          <w:w w:val="115"/>
          <w:sz w:val="20"/>
        </w:rPr>
        <w:t> </w:t>
      </w:r>
      <w:r>
        <w:rPr>
          <w:i/>
          <w:w w:val="115"/>
          <w:sz w:val="20"/>
        </w:rPr>
        <w:t>she</w:t>
      </w:r>
      <w:r>
        <w:rPr>
          <w:i/>
          <w:spacing w:val="-13"/>
          <w:w w:val="115"/>
          <w:sz w:val="20"/>
        </w:rPr>
        <w:t> </w:t>
      </w:r>
      <w:r>
        <w:rPr>
          <w:i/>
          <w:w w:val="115"/>
          <w:sz w:val="20"/>
        </w:rPr>
        <w:t>felt</w:t>
      </w:r>
      <w:r>
        <w:rPr>
          <w:i/>
          <w:spacing w:val="-12"/>
          <w:w w:val="115"/>
          <w:sz w:val="20"/>
        </w:rPr>
        <w:t> </w:t>
      </w:r>
      <w:r>
        <w:rPr>
          <w:i/>
          <w:w w:val="115"/>
          <w:sz w:val="20"/>
        </w:rPr>
        <w:t>she</w:t>
      </w:r>
      <w:r>
        <w:rPr>
          <w:i/>
          <w:spacing w:val="-13"/>
          <w:w w:val="115"/>
          <w:sz w:val="20"/>
        </w:rPr>
        <w:t> </w:t>
      </w:r>
      <w:r>
        <w:rPr>
          <w:i/>
          <w:w w:val="115"/>
          <w:sz w:val="20"/>
        </w:rPr>
        <w:t>must</w:t>
      </w:r>
      <w:r>
        <w:rPr>
          <w:i/>
          <w:spacing w:val="-13"/>
          <w:w w:val="115"/>
          <w:sz w:val="20"/>
        </w:rPr>
        <w:t> </w:t>
      </w:r>
      <w:r>
        <w:rPr>
          <w:i/>
          <w:w w:val="115"/>
          <w:sz w:val="20"/>
        </w:rPr>
        <w:t>not</w:t>
      </w:r>
      <w:r>
        <w:rPr>
          <w:i/>
          <w:spacing w:val="-12"/>
          <w:w w:val="115"/>
          <w:sz w:val="20"/>
        </w:rPr>
        <w:t> </w:t>
      </w:r>
      <w:r>
        <w:rPr>
          <w:i/>
          <w:w w:val="115"/>
          <w:sz w:val="20"/>
        </w:rPr>
        <w:t>say</w:t>
      </w:r>
      <w:r>
        <w:rPr>
          <w:i/>
          <w:spacing w:val="-13"/>
          <w:w w:val="115"/>
          <w:sz w:val="20"/>
        </w:rPr>
        <w:t> </w:t>
      </w:r>
      <w:r>
        <w:rPr>
          <w:i/>
          <w:w w:val="115"/>
          <w:sz w:val="20"/>
        </w:rPr>
        <w:t>no</w:t>
      </w:r>
      <w:r>
        <w:rPr>
          <w:i/>
          <w:spacing w:val="-13"/>
          <w:w w:val="115"/>
          <w:sz w:val="20"/>
        </w:rPr>
        <w:t> </w:t>
      </w:r>
      <w:r>
        <w:rPr>
          <w:i/>
          <w:w w:val="115"/>
          <w:sz w:val="20"/>
        </w:rPr>
        <w:t>and</w:t>
      </w:r>
      <w:r>
        <w:rPr>
          <w:i/>
          <w:spacing w:val="-12"/>
          <w:w w:val="115"/>
          <w:sz w:val="20"/>
        </w:rPr>
        <w:t> </w:t>
      </w:r>
      <w:r>
        <w:rPr>
          <w:i/>
          <w:w w:val="115"/>
          <w:sz w:val="20"/>
        </w:rPr>
        <w:t>so</w:t>
      </w:r>
      <w:r>
        <w:rPr>
          <w:i/>
          <w:spacing w:val="-13"/>
          <w:w w:val="115"/>
          <w:sz w:val="20"/>
        </w:rPr>
        <w:t> </w:t>
      </w:r>
      <w:r>
        <w:rPr>
          <w:i/>
          <w:w w:val="115"/>
          <w:sz w:val="20"/>
        </w:rPr>
        <w:t>she</w:t>
      </w:r>
      <w:r>
        <w:rPr>
          <w:i/>
          <w:spacing w:val="-13"/>
          <w:w w:val="115"/>
          <w:sz w:val="20"/>
        </w:rPr>
        <w:t> </w:t>
      </w:r>
      <w:r>
        <w:rPr>
          <w:i/>
          <w:w w:val="115"/>
          <w:sz w:val="20"/>
        </w:rPr>
        <w:t>prayed</w:t>
      </w:r>
      <w:r>
        <w:rPr>
          <w:i/>
          <w:spacing w:val="-12"/>
          <w:w w:val="115"/>
          <w:sz w:val="20"/>
        </w:rPr>
        <w:t> </w:t>
      </w:r>
      <w:r>
        <w:rPr>
          <w:i/>
          <w:w w:val="115"/>
          <w:sz w:val="20"/>
        </w:rPr>
        <w:t>with</w:t>
      </w:r>
      <w:r>
        <w:rPr>
          <w:i/>
          <w:spacing w:val="-13"/>
          <w:w w:val="115"/>
          <w:sz w:val="20"/>
        </w:rPr>
        <w:t> </w:t>
      </w:r>
      <w:r>
        <w:rPr>
          <w:i/>
          <w:w w:val="115"/>
          <w:sz w:val="20"/>
        </w:rPr>
        <w:t>this</w:t>
      </w:r>
      <w:r>
        <w:rPr>
          <w:i/>
          <w:spacing w:val="-13"/>
          <w:w w:val="115"/>
          <w:sz w:val="20"/>
        </w:rPr>
        <w:t> </w:t>
      </w:r>
      <w:r>
        <w:rPr>
          <w:i/>
          <w:w w:val="115"/>
          <w:sz w:val="20"/>
        </w:rPr>
        <w:t>person with the laying on of hands. She said to the group that if she had not done this, she would have missed a very special</w:t>
      </w:r>
      <w:r>
        <w:rPr>
          <w:i/>
          <w:spacing w:val="1"/>
          <w:w w:val="115"/>
          <w:sz w:val="20"/>
        </w:rPr>
        <w:t> </w:t>
      </w:r>
      <w:r>
        <w:rPr>
          <w:i/>
          <w:w w:val="115"/>
          <w:sz w:val="20"/>
        </w:rPr>
        <w:t>moment.</w:t>
      </w:r>
    </w:p>
    <w:p>
      <w:pPr>
        <w:pStyle w:val="BodyText"/>
        <w:spacing w:before="6"/>
        <w:rPr>
          <w:i/>
        </w:rPr>
      </w:pPr>
    </w:p>
    <w:p>
      <w:pPr>
        <w:pStyle w:val="ListParagraph"/>
        <w:numPr>
          <w:ilvl w:val="2"/>
          <w:numId w:val="143"/>
        </w:numPr>
        <w:tabs>
          <w:tab w:pos="1814" w:val="left" w:leader="none"/>
          <w:tab w:pos="1815" w:val="left" w:leader="none"/>
        </w:tabs>
        <w:spacing w:line="235" w:lineRule="auto" w:before="0" w:after="0"/>
        <w:ind w:left="1133" w:right="2237" w:firstLine="0"/>
        <w:jc w:val="left"/>
        <w:rPr>
          <w:sz w:val="20"/>
        </w:rPr>
      </w:pPr>
      <w:r>
        <w:rPr>
          <w:w w:val="120"/>
          <w:sz w:val="20"/>
        </w:rPr>
        <w:t>The Racial Justice and Multicultural Advocates networks continue to consolidate and grow with a coordinator from every synod and many advocates across the synod. The residential consultations for 2009 and </w:t>
      </w:r>
      <w:r>
        <w:rPr>
          <w:spacing w:val="-6"/>
          <w:w w:val="120"/>
          <w:sz w:val="20"/>
        </w:rPr>
        <w:t>2010 </w:t>
      </w:r>
      <w:r>
        <w:rPr>
          <w:w w:val="120"/>
          <w:sz w:val="20"/>
        </w:rPr>
        <w:t>continue to be very important with their</w:t>
      </w:r>
      <w:r>
        <w:rPr>
          <w:spacing w:val="8"/>
          <w:w w:val="120"/>
          <w:sz w:val="20"/>
        </w:rPr>
        <w:t> </w:t>
      </w:r>
      <w:r>
        <w:rPr>
          <w:w w:val="120"/>
          <w:sz w:val="20"/>
        </w:rPr>
        <w:t>focus</w:t>
      </w:r>
      <w:r>
        <w:rPr>
          <w:spacing w:val="8"/>
          <w:w w:val="120"/>
          <w:sz w:val="20"/>
        </w:rPr>
        <w:t> </w:t>
      </w:r>
      <w:r>
        <w:rPr>
          <w:w w:val="120"/>
          <w:sz w:val="20"/>
        </w:rPr>
        <w:t>on</w:t>
      </w:r>
      <w:r>
        <w:rPr>
          <w:spacing w:val="8"/>
          <w:w w:val="120"/>
          <w:sz w:val="20"/>
        </w:rPr>
        <w:t> </w:t>
      </w:r>
      <w:r>
        <w:rPr>
          <w:w w:val="120"/>
          <w:sz w:val="20"/>
        </w:rPr>
        <w:t>available</w:t>
      </w:r>
      <w:r>
        <w:rPr>
          <w:spacing w:val="8"/>
          <w:w w:val="120"/>
          <w:sz w:val="20"/>
        </w:rPr>
        <w:t> </w:t>
      </w:r>
      <w:r>
        <w:rPr>
          <w:w w:val="120"/>
          <w:sz w:val="20"/>
        </w:rPr>
        <w:t>resources,</w:t>
      </w:r>
      <w:r>
        <w:rPr>
          <w:spacing w:val="9"/>
          <w:w w:val="120"/>
          <w:sz w:val="20"/>
        </w:rPr>
        <w:t> </w:t>
      </w:r>
      <w:r>
        <w:rPr>
          <w:w w:val="120"/>
          <w:sz w:val="20"/>
        </w:rPr>
        <w:t>sharing</w:t>
      </w:r>
      <w:r>
        <w:rPr>
          <w:spacing w:val="8"/>
          <w:w w:val="120"/>
          <w:sz w:val="20"/>
        </w:rPr>
        <w:t> </w:t>
      </w:r>
      <w:r>
        <w:rPr>
          <w:w w:val="120"/>
          <w:sz w:val="20"/>
        </w:rPr>
        <w:t>of</w:t>
      </w:r>
      <w:r>
        <w:rPr>
          <w:spacing w:val="8"/>
          <w:w w:val="120"/>
          <w:sz w:val="20"/>
        </w:rPr>
        <w:t> </w:t>
      </w:r>
      <w:r>
        <w:rPr>
          <w:w w:val="120"/>
          <w:sz w:val="20"/>
        </w:rPr>
        <w:t>good</w:t>
      </w:r>
      <w:r>
        <w:rPr>
          <w:spacing w:val="8"/>
          <w:w w:val="120"/>
          <w:sz w:val="20"/>
        </w:rPr>
        <w:t> </w:t>
      </w:r>
      <w:r>
        <w:rPr>
          <w:w w:val="120"/>
          <w:sz w:val="20"/>
        </w:rPr>
        <w:t>practices,</w:t>
      </w:r>
      <w:r>
        <w:rPr>
          <w:spacing w:val="8"/>
          <w:w w:val="120"/>
          <w:sz w:val="20"/>
        </w:rPr>
        <w:t> </w:t>
      </w:r>
      <w:r>
        <w:rPr>
          <w:w w:val="120"/>
          <w:sz w:val="20"/>
        </w:rPr>
        <w:t>helping</w:t>
      </w:r>
      <w:r>
        <w:rPr>
          <w:spacing w:val="9"/>
          <w:w w:val="120"/>
          <w:sz w:val="20"/>
        </w:rPr>
        <w:t> </w:t>
      </w:r>
      <w:r>
        <w:rPr>
          <w:w w:val="120"/>
          <w:sz w:val="20"/>
        </w:rPr>
        <w:t>congregations</w:t>
      </w:r>
    </w:p>
    <w:p>
      <w:pPr>
        <w:pStyle w:val="BodyText"/>
        <w:spacing w:line="235" w:lineRule="auto" w:before="3"/>
        <w:ind w:left="1133" w:right="2191"/>
      </w:pPr>
      <w:r>
        <w:rPr>
          <w:w w:val="120"/>
        </w:rPr>
        <w:t>to be more welcoming, using the Bible in anti-racism awareness training and in-depth reflections on spirituality for racial justice work. Hence at the April 2010 overnight gathering advocates explored the theme ‘Sustaining Spirituality (the work of standing and the joy of dancing)’ where the facilitator shared his own journey in diversity awareness especially in working with his Lesbian Gay Bisexual and Transgender (LGBT) friends and colleagues, inviting the group to share their stories. He then located biblical and historical examples of the significance of spirituality in advocacy and racial justice work. This was very well received by all.</w:t>
      </w:r>
    </w:p>
    <w:p>
      <w:pPr>
        <w:pStyle w:val="BodyText"/>
        <w:spacing w:before="1"/>
      </w:pPr>
    </w:p>
    <w:p>
      <w:pPr>
        <w:pStyle w:val="ListParagraph"/>
        <w:numPr>
          <w:ilvl w:val="2"/>
          <w:numId w:val="143"/>
        </w:numPr>
        <w:tabs>
          <w:tab w:pos="1814" w:val="left" w:leader="none"/>
          <w:tab w:pos="1815" w:val="left" w:leader="none"/>
        </w:tabs>
        <w:spacing w:line="235" w:lineRule="auto" w:before="0" w:after="0"/>
        <w:ind w:left="1133" w:right="2236" w:firstLine="0"/>
        <w:jc w:val="left"/>
        <w:rPr>
          <w:sz w:val="20"/>
        </w:rPr>
      </w:pPr>
      <w:r>
        <w:rPr>
          <w:w w:val="120"/>
          <w:sz w:val="20"/>
        </w:rPr>
        <w:t>Through</w:t>
      </w:r>
      <w:r>
        <w:rPr>
          <w:spacing w:val="-7"/>
          <w:w w:val="120"/>
          <w:sz w:val="20"/>
        </w:rPr>
        <w:t> </w:t>
      </w:r>
      <w:r>
        <w:rPr>
          <w:w w:val="120"/>
          <w:sz w:val="20"/>
        </w:rPr>
        <w:t>the</w:t>
      </w:r>
      <w:r>
        <w:rPr>
          <w:spacing w:val="-6"/>
          <w:w w:val="120"/>
          <w:sz w:val="20"/>
        </w:rPr>
        <w:t> </w:t>
      </w:r>
      <w:r>
        <w:rPr>
          <w:i/>
          <w:w w:val="120"/>
          <w:sz w:val="20"/>
        </w:rPr>
        <w:t>Belonging</w:t>
      </w:r>
      <w:r>
        <w:rPr>
          <w:i/>
          <w:spacing w:val="-9"/>
          <w:w w:val="120"/>
          <w:sz w:val="20"/>
        </w:rPr>
        <w:t> </w:t>
      </w:r>
      <w:r>
        <w:rPr>
          <w:i/>
          <w:w w:val="120"/>
          <w:sz w:val="20"/>
        </w:rPr>
        <w:t>to</w:t>
      </w:r>
      <w:r>
        <w:rPr>
          <w:i/>
          <w:spacing w:val="-9"/>
          <w:w w:val="120"/>
          <w:sz w:val="20"/>
        </w:rPr>
        <w:t> </w:t>
      </w:r>
      <w:r>
        <w:rPr>
          <w:i/>
          <w:w w:val="120"/>
          <w:sz w:val="20"/>
        </w:rPr>
        <w:t>the</w:t>
      </w:r>
      <w:r>
        <w:rPr>
          <w:i/>
          <w:spacing w:val="-9"/>
          <w:w w:val="120"/>
          <w:sz w:val="20"/>
        </w:rPr>
        <w:t> </w:t>
      </w:r>
      <w:r>
        <w:rPr>
          <w:i/>
          <w:w w:val="120"/>
          <w:sz w:val="20"/>
        </w:rPr>
        <w:t>World</w:t>
      </w:r>
      <w:r>
        <w:rPr>
          <w:i/>
          <w:spacing w:val="-9"/>
          <w:w w:val="120"/>
          <w:sz w:val="20"/>
        </w:rPr>
        <w:t> </w:t>
      </w:r>
      <w:r>
        <w:rPr>
          <w:i/>
          <w:w w:val="120"/>
          <w:sz w:val="20"/>
        </w:rPr>
        <w:t>Church</w:t>
      </w:r>
      <w:r>
        <w:rPr>
          <w:i/>
          <w:spacing w:val="-7"/>
          <w:w w:val="120"/>
          <w:sz w:val="20"/>
        </w:rPr>
        <w:t> </w:t>
      </w:r>
      <w:r>
        <w:rPr>
          <w:w w:val="120"/>
          <w:sz w:val="20"/>
        </w:rPr>
        <w:t>programme</w:t>
      </w:r>
      <w:r>
        <w:rPr>
          <w:spacing w:val="-6"/>
          <w:w w:val="120"/>
          <w:sz w:val="20"/>
        </w:rPr>
        <w:t> </w:t>
      </w:r>
      <w:r>
        <w:rPr>
          <w:w w:val="120"/>
          <w:sz w:val="20"/>
        </w:rPr>
        <w:t>a</w:t>
      </w:r>
      <w:r>
        <w:rPr>
          <w:spacing w:val="-7"/>
          <w:w w:val="120"/>
          <w:sz w:val="20"/>
        </w:rPr>
        <w:t> </w:t>
      </w:r>
      <w:r>
        <w:rPr>
          <w:w w:val="120"/>
          <w:sz w:val="20"/>
        </w:rPr>
        <w:t>group</w:t>
      </w:r>
      <w:r>
        <w:rPr>
          <w:spacing w:val="-6"/>
          <w:w w:val="120"/>
          <w:sz w:val="20"/>
        </w:rPr>
        <w:t> </w:t>
      </w:r>
      <w:r>
        <w:rPr>
          <w:w w:val="120"/>
          <w:sz w:val="20"/>
        </w:rPr>
        <w:t>of</w:t>
      </w:r>
      <w:r>
        <w:rPr>
          <w:spacing w:val="-7"/>
          <w:w w:val="120"/>
          <w:sz w:val="20"/>
        </w:rPr>
        <w:t> </w:t>
      </w:r>
      <w:r>
        <w:rPr>
          <w:w w:val="120"/>
          <w:sz w:val="20"/>
        </w:rPr>
        <w:t>URC</w:t>
      </w:r>
      <w:r>
        <w:rPr>
          <w:spacing w:val="-6"/>
          <w:w w:val="120"/>
          <w:sz w:val="20"/>
        </w:rPr>
        <w:t> </w:t>
      </w:r>
      <w:r>
        <w:rPr>
          <w:w w:val="120"/>
          <w:sz w:val="20"/>
        </w:rPr>
        <w:t>ministers recently visited Myanmar and discovered a church at prayer. One of the participants, Revd John Paul from Newcastle upon </w:t>
      </w:r>
      <w:r>
        <w:rPr>
          <w:spacing w:val="-4"/>
          <w:w w:val="120"/>
          <w:sz w:val="20"/>
        </w:rPr>
        <w:t>Tyne,</w:t>
      </w:r>
      <w:r>
        <w:rPr>
          <w:spacing w:val="13"/>
          <w:w w:val="120"/>
          <w:sz w:val="20"/>
        </w:rPr>
        <w:t> </w:t>
      </w:r>
      <w:r>
        <w:rPr>
          <w:w w:val="120"/>
          <w:sz w:val="20"/>
        </w:rPr>
        <w:t>wrote:</w:t>
      </w:r>
    </w:p>
    <w:p>
      <w:pPr>
        <w:pStyle w:val="BodyText"/>
        <w:spacing w:before="10"/>
        <w:rPr>
          <w:sz w:val="19"/>
        </w:rPr>
      </w:pPr>
    </w:p>
    <w:p>
      <w:pPr>
        <w:spacing w:line="235" w:lineRule="auto" w:before="0"/>
        <w:ind w:left="1814" w:right="2113" w:firstLine="0"/>
        <w:jc w:val="left"/>
        <w:rPr>
          <w:i/>
          <w:sz w:val="20"/>
        </w:rPr>
      </w:pPr>
      <w:r>
        <w:rPr>
          <w:i/>
          <w:spacing w:val="-5"/>
          <w:w w:val="110"/>
          <w:sz w:val="20"/>
        </w:rPr>
        <w:t>You can’t </w:t>
      </w:r>
      <w:r>
        <w:rPr>
          <w:i/>
          <w:spacing w:val="-3"/>
          <w:w w:val="110"/>
          <w:sz w:val="20"/>
        </w:rPr>
        <w:t>miss </w:t>
      </w:r>
      <w:r>
        <w:rPr>
          <w:i/>
          <w:w w:val="110"/>
          <w:sz w:val="20"/>
        </w:rPr>
        <w:t>the pagodas in </w:t>
      </w:r>
      <w:r>
        <w:rPr>
          <w:i/>
          <w:spacing w:val="-5"/>
          <w:w w:val="110"/>
          <w:sz w:val="20"/>
        </w:rPr>
        <w:t>Myanmar, </w:t>
      </w:r>
      <w:r>
        <w:rPr>
          <w:i/>
          <w:w w:val="110"/>
          <w:sz w:val="20"/>
        </w:rPr>
        <w:t>a country that </w:t>
      </w:r>
      <w:r>
        <w:rPr>
          <w:i/>
          <w:spacing w:val="-3"/>
          <w:w w:val="110"/>
          <w:sz w:val="20"/>
        </w:rPr>
        <w:t>is </w:t>
      </w:r>
      <w:r>
        <w:rPr>
          <w:i/>
          <w:spacing w:val="-7"/>
          <w:w w:val="110"/>
          <w:sz w:val="20"/>
        </w:rPr>
        <w:t>95% </w:t>
      </w:r>
      <w:r>
        <w:rPr>
          <w:i/>
          <w:spacing w:val="-3"/>
          <w:w w:val="110"/>
          <w:sz w:val="20"/>
        </w:rPr>
        <w:t>Buddhist. </w:t>
      </w:r>
      <w:r>
        <w:rPr>
          <w:i/>
          <w:w w:val="110"/>
          <w:sz w:val="20"/>
        </w:rPr>
        <w:t>At the </w:t>
      </w:r>
      <w:r>
        <w:rPr>
          <w:i/>
          <w:spacing w:val="-4"/>
          <w:w w:val="110"/>
          <w:sz w:val="20"/>
        </w:rPr>
        <w:t>Shwedagon </w:t>
      </w:r>
      <w:r>
        <w:rPr>
          <w:i/>
          <w:spacing w:val="-3"/>
          <w:w w:val="110"/>
          <w:sz w:val="20"/>
        </w:rPr>
        <w:t>Pagoda, </w:t>
      </w:r>
      <w:r>
        <w:rPr>
          <w:i/>
          <w:w w:val="110"/>
          <w:sz w:val="20"/>
        </w:rPr>
        <w:t>with its </w:t>
      </w:r>
      <w:r>
        <w:rPr>
          <w:i/>
          <w:spacing w:val="-3"/>
          <w:w w:val="110"/>
          <w:sz w:val="20"/>
        </w:rPr>
        <w:t>gleaming </w:t>
      </w:r>
      <w:r>
        <w:rPr>
          <w:i/>
          <w:w w:val="110"/>
          <w:sz w:val="20"/>
        </w:rPr>
        <w:t>gold </w:t>
      </w:r>
      <w:r>
        <w:rPr>
          <w:i/>
          <w:spacing w:val="-3"/>
          <w:w w:val="110"/>
          <w:sz w:val="20"/>
        </w:rPr>
        <w:t>roof, we watched people engaging </w:t>
      </w:r>
      <w:r>
        <w:rPr>
          <w:i/>
          <w:w w:val="110"/>
          <w:sz w:val="20"/>
        </w:rPr>
        <w:t>in all </w:t>
      </w:r>
      <w:r>
        <w:rPr>
          <w:i/>
          <w:spacing w:val="-3"/>
          <w:w w:val="110"/>
          <w:sz w:val="20"/>
        </w:rPr>
        <w:t>manner </w:t>
      </w:r>
      <w:r>
        <w:rPr>
          <w:i/>
          <w:w w:val="110"/>
          <w:sz w:val="20"/>
        </w:rPr>
        <w:t>of </w:t>
      </w:r>
      <w:r>
        <w:rPr>
          <w:i/>
          <w:spacing w:val="-3"/>
          <w:w w:val="110"/>
          <w:sz w:val="20"/>
        </w:rPr>
        <w:t>prayer </w:t>
      </w:r>
      <w:r>
        <w:rPr>
          <w:i/>
          <w:w w:val="110"/>
          <w:sz w:val="20"/>
        </w:rPr>
        <w:t>activity – the </w:t>
      </w:r>
      <w:r>
        <w:rPr>
          <w:i/>
          <w:spacing w:val="-3"/>
          <w:w w:val="110"/>
          <w:sz w:val="20"/>
        </w:rPr>
        <w:t>young </w:t>
      </w:r>
      <w:r>
        <w:rPr>
          <w:i/>
          <w:w w:val="110"/>
          <w:sz w:val="20"/>
        </w:rPr>
        <w:t>girl </w:t>
      </w:r>
      <w:r>
        <w:rPr>
          <w:i/>
          <w:spacing w:val="-3"/>
          <w:w w:val="110"/>
          <w:sz w:val="20"/>
        </w:rPr>
        <w:t>chanting prayers </w:t>
      </w:r>
      <w:r>
        <w:rPr>
          <w:i/>
          <w:w w:val="110"/>
          <w:sz w:val="20"/>
        </w:rPr>
        <w:t>for hours, the </w:t>
      </w:r>
      <w:r>
        <w:rPr>
          <w:i/>
          <w:spacing w:val="-3"/>
          <w:w w:val="110"/>
          <w:sz w:val="20"/>
        </w:rPr>
        <w:t>many </w:t>
      </w:r>
      <w:r>
        <w:rPr>
          <w:i/>
          <w:spacing w:val="-2"/>
          <w:w w:val="110"/>
          <w:sz w:val="20"/>
        </w:rPr>
        <w:t>buying </w:t>
      </w:r>
      <w:r>
        <w:rPr>
          <w:i/>
          <w:w w:val="110"/>
          <w:sz w:val="20"/>
        </w:rPr>
        <w:t>fruit and flowers to offer to an </w:t>
      </w:r>
      <w:r>
        <w:rPr>
          <w:i/>
          <w:spacing w:val="-3"/>
          <w:w w:val="110"/>
          <w:sz w:val="20"/>
        </w:rPr>
        <w:t>idol, </w:t>
      </w:r>
      <w:r>
        <w:rPr>
          <w:i/>
          <w:w w:val="110"/>
          <w:sz w:val="20"/>
        </w:rPr>
        <w:t>the construction firm that </w:t>
      </w:r>
      <w:r>
        <w:rPr>
          <w:i/>
          <w:spacing w:val="-3"/>
          <w:w w:val="110"/>
          <w:sz w:val="20"/>
        </w:rPr>
        <w:t>had built </w:t>
      </w:r>
      <w:r>
        <w:rPr>
          <w:i/>
          <w:w w:val="110"/>
          <w:sz w:val="20"/>
        </w:rPr>
        <w:t>an </w:t>
      </w:r>
      <w:r>
        <w:rPr>
          <w:i/>
          <w:spacing w:val="-3"/>
          <w:w w:val="110"/>
          <w:sz w:val="20"/>
        </w:rPr>
        <w:t>elaborate shrine </w:t>
      </w:r>
      <w:r>
        <w:rPr>
          <w:i/>
          <w:w w:val="110"/>
          <w:sz w:val="20"/>
        </w:rPr>
        <w:t>to curry </w:t>
      </w:r>
      <w:r>
        <w:rPr>
          <w:i/>
          <w:spacing w:val="-3"/>
          <w:w w:val="110"/>
          <w:sz w:val="20"/>
        </w:rPr>
        <w:t>business </w:t>
      </w:r>
      <w:r>
        <w:rPr>
          <w:i/>
          <w:spacing w:val="-4"/>
          <w:w w:val="110"/>
          <w:sz w:val="20"/>
        </w:rPr>
        <w:t>success, </w:t>
      </w:r>
      <w:r>
        <w:rPr>
          <w:i/>
          <w:w w:val="110"/>
          <w:sz w:val="20"/>
        </w:rPr>
        <w:t>and for the </w:t>
      </w:r>
      <w:r>
        <w:rPr>
          <w:i/>
          <w:spacing w:val="-3"/>
          <w:w w:val="110"/>
          <w:sz w:val="20"/>
        </w:rPr>
        <w:t>really </w:t>
      </w:r>
      <w:r>
        <w:rPr>
          <w:i/>
          <w:spacing w:val="-4"/>
          <w:w w:val="110"/>
          <w:sz w:val="20"/>
        </w:rPr>
        <w:t>desperate, </w:t>
      </w:r>
      <w:r>
        <w:rPr>
          <w:i/>
          <w:w w:val="110"/>
          <w:sz w:val="20"/>
        </w:rPr>
        <w:t>the </w:t>
      </w:r>
      <w:r>
        <w:rPr>
          <w:i/>
          <w:spacing w:val="-3"/>
          <w:w w:val="110"/>
          <w:sz w:val="20"/>
        </w:rPr>
        <w:t>lottery, </w:t>
      </w:r>
      <w:r>
        <w:rPr>
          <w:i/>
          <w:w w:val="110"/>
          <w:sz w:val="20"/>
        </w:rPr>
        <w:t>as they tried to throw a </w:t>
      </w:r>
      <w:r>
        <w:rPr>
          <w:i/>
          <w:spacing w:val="-3"/>
          <w:w w:val="110"/>
          <w:sz w:val="20"/>
        </w:rPr>
        <w:t>specially folded money note into </w:t>
      </w:r>
      <w:r>
        <w:rPr>
          <w:i/>
          <w:w w:val="110"/>
          <w:sz w:val="20"/>
        </w:rPr>
        <w:t>the </w:t>
      </w:r>
      <w:r>
        <w:rPr>
          <w:i/>
          <w:spacing w:val="-3"/>
          <w:w w:val="110"/>
          <w:sz w:val="20"/>
        </w:rPr>
        <w:t>appropriately named </w:t>
      </w:r>
      <w:r>
        <w:rPr>
          <w:i/>
          <w:w w:val="110"/>
          <w:sz w:val="20"/>
        </w:rPr>
        <w:t>bowl on a </w:t>
      </w:r>
      <w:r>
        <w:rPr>
          <w:i/>
          <w:spacing w:val="-3"/>
          <w:w w:val="110"/>
          <w:sz w:val="20"/>
        </w:rPr>
        <w:t>revolving </w:t>
      </w:r>
      <w:r>
        <w:rPr>
          <w:i/>
          <w:spacing w:val="-4"/>
          <w:w w:val="110"/>
          <w:sz w:val="20"/>
        </w:rPr>
        <w:t>table. </w:t>
      </w:r>
      <w:r>
        <w:rPr>
          <w:i/>
          <w:w w:val="110"/>
          <w:sz w:val="20"/>
        </w:rPr>
        <w:t>What a </w:t>
      </w:r>
      <w:r>
        <w:rPr>
          <w:i/>
          <w:spacing w:val="-3"/>
          <w:w w:val="110"/>
          <w:sz w:val="20"/>
        </w:rPr>
        <w:t>contrast </w:t>
      </w:r>
      <w:r>
        <w:rPr>
          <w:i/>
          <w:w w:val="110"/>
          <w:sz w:val="20"/>
        </w:rPr>
        <w:t>for   our</w:t>
      </w:r>
      <w:r>
        <w:rPr>
          <w:i/>
          <w:spacing w:val="4"/>
          <w:w w:val="110"/>
          <w:sz w:val="20"/>
        </w:rPr>
        <w:t> </w:t>
      </w:r>
      <w:r>
        <w:rPr>
          <w:i/>
          <w:spacing w:val="-3"/>
          <w:w w:val="110"/>
          <w:sz w:val="20"/>
        </w:rPr>
        <w:t>team</w:t>
      </w:r>
      <w:r>
        <w:rPr>
          <w:i/>
          <w:spacing w:val="4"/>
          <w:w w:val="110"/>
          <w:sz w:val="20"/>
        </w:rPr>
        <w:t> </w:t>
      </w:r>
      <w:r>
        <w:rPr>
          <w:i/>
          <w:w w:val="110"/>
          <w:sz w:val="20"/>
        </w:rPr>
        <w:t>to</w:t>
      </w:r>
      <w:r>
        <w:rPr>
          <w:i/>
          <w:spacing w:val="4"/>
          <w:w w:val="110"/>
          <w:sz w:val="20"/>
        </w:rPr>
        <w:t> </w:t>
      </w:r>
      <w:r>
        <w:rPr>
          <w:i/>
          <w:spacing w:val="-3"/>
          <w:w w:val="110"/>
          <w:sz w:val="20"/>
        </w:rPr>
        <w:t>visit</w:t>
      </w:r>
      <w:r>
        <w:rPr>
          <w:i/>
          <w:spacing w:val="4"/>
          <w:w w:val="110"/>
          <w:sz w:val="20"/>
        </w:rPr>
        <w:t> </w:t>
      </w:r>
      <w:r>
        <w:rPr>
          <w:i/>
          <w:w w:val="110"/>
          <w:sz w:val="20"/>
        </w:rPr>
        <w:t>a</w:t>
      </w:r>
      <w:r>
        <w:rPr>
          <w:i/>
          <w:spacing w:val="4"/>
          <w:w w:val="110"/>
          <w:sz w:val="20"/>
        </w:rPr>
        <w:t> </w:t>
      </w:r>
      <w:r>
        <w:rPr>
          <w:i/>
          <w:spacing w:val="-3"/>
          <w:w w:val="110"/>
          <w:sz w:val="20"/>
        </w:rPr>
        <w:t>town</w:t>
      </w:r>
      <w:r>
        <w:rPr>
          <w:i/>
          <w:spacing w:val="4"/>
          <w:w w:val="110"/>
          <w:sz w:val="20"/>
        </w:rPr>
        <w:t> </w:t>
      </w:r>
      <w:r>
        <w:rPr>
          <w:i/>
          <w:w w:val="110"/>
          <w:sz w:val="20"/>
        </w:rPr>
        <w:t>that</w:t>
      </w:r>
      <w:r>
        <w:rPr>
          <w:i/>
          <w:spacing w:val="5"/>
          <w:w w:val="110"/>
          <w:sz w:val="20"/>
        </w:rPr>
        <w:t> </w:t>
      </w:r>
      <w:r>
        <w:rPr>
          <w:i/>
          <w:spacing w:val="-3"/>
          <w:w w:val="110"/>
          <w:sz w:val="20"/>
        </w:rPr>
        <w:t>was</w:t>
      </w:r>
      <w:r>
        <w:rPr>
          <w:i/>
          <w:spacing w:val="4"/>
          <w:w w:val="110"/>
          <w:sz w:val="20"/>
        </w:rPr>
        <w:t> </w:t>
      </w:r>
      <w:r>
        <w:rPr>
          <w:i/>
          <w:spacing w:val="-7"/>
          <w:w w:val="110"/>
          <w:sz w:val="20"/>
        </w:rPr>
        <w:t>95%</w:t>
      </w:r>
      <w:r>
        <w:rPr>
          <w:i/>
          <w:spacing w:val="4"/>
          <w:w w:val="110"/>
          <w:sz w:val="20"/>
        </w:rPr>
        <w:t> </w:t>
      </w:r>
      <w:r>
        <w:rPr>
          <w:i/>
          <w:spacing w:val="-3"/>
          <w:w w:val="110"/>
          <w:sz w:val="20"/>
        </w:rPr>
        <w:t>Christian</w:t>
      </w:r>
      <w:r>
        <w:rPr>
          <w:i/>
          <w:spacing w:val="4"/>
          <w:w w:val="110"/>
          <w:sz w:val="20"/>
        </w:rPr>
        <w:t> </w:t>
      </w:r>
      <w:r>
        <w:rPr>
          <w:i/>
          <w:w w:val="110"/>
          <w:sz w:val="20"/>
        </w:rPr>
        <w:t>and</w:t>
      </w:r>
      <w:r>
        <w:rPr>
          <w:i/>
          <w:spacing w:val="4"/>
          <w:w w:val="110"/>
          <w:sz w:val="20"/>
        </w:rPr>
        <w:t> </w:t>
      </w:r>
      <w:r>
        <w:rPr>
          <w:i/>
          <w:w w:val="110"/>
          <w:sz w:val="20"/>
        </w:rPr>
        <w:t>to</w:t>
      </w:r>
      <w:r>
        <w:rPr>
          <w:i/>
          <w:spacing w:val="4"/>
          <w:w w:val="110"/>
          <w:sz w:val="20"/>
        </w:rPr>
        <w:t> </w:t>
      </w:r>
      <w:r>
        <w:rPr>
          <w:i/>
          <w:spacing w:val="-3"/>
          <w:w w:val="110"/>
          <w:sz w:val="20"/>
        </w:rPr>
        <w:t>experience</w:t>
      </w:r>
      <w:r>
        <w:rPr>
          <w:i/>
          <w:spacing w:val="4"/>
          <w:w w:val="110"/>
          <w:sz w:val="20"/>
        </w:rPr>
        <w:t> </w:t>
      </w:r>
      <w:r>
        <w:rPr>
          <w:i/>
          <w:w w:val="110"/>
          <w:sz w:val="20"/>
        </w:rPr>
        <w:t>the</w:t>
      </w:r>
      <w:r>
        <w:rPr>
          <w:i/>
          <w:spacing w:val="5"/>
          <w:w w:val="110"/>
          <w:sz w:val="20"/>
        </w:rPr>
        <w:t> </w:t>
      </w:r>
      <w:r>
        <w:rPr>
          <w:i/>
          <w:spacing w:val="-4"/>
          <w:w w:val="110"/>
          <w:sz w:val="20"/>
        </w:rPr>
        <w:t>enthusiasm</w:t>
      </w:r>
      <w:r>
        <w:rPr>
          <w:i/>
          <w:spacing w:val="4"/>
          <w:w w:val="110"/>
          <w:sz w:val="20"/>
        </w:rPr>
        <w:t> </w:t>
      </w:r>
      <w:r>
        <w:rPr>
          <w:i/>
          <w:w w:val="110"/>
          <w:sz w:val="20"/>
        </w:rPr>
        <w:t>and</w:t>
      </w:r>
    </w:p>
    <w:p>
      <w:pPr>
        <w:spacing w:line="235" w:lineRule="auto" w:before="5"/>
        <w:ind w:left="1814" w:right="2011" w:firstLine="0"/>
        <w:jc w:val="left"/>
        <w:rPr>
          <w:i/>
          <w:sz w:val="20"/>
        </w:rPr>
      </w:pPr>
      <w:r>
        <w:rPr>
          <w:i/>
          <w:w w:val="110"/>
          <w:sz w:val="20"/>
        </w:rPr>
        <w:t>joy of the Presbyterian Churches we visited there. At the first service an explosion of prayer </w:t>
      </w:r>
      <w:r>
        <w:rPr>
          <w:i/>
          <w:w w:val="110"/>
          <w:sz w:val="20"/>
        </w:rPr>
        <w:t>revealed their source of strength and power. The minister asked for prayer needs, the members stood up and shared, the minister said ‘let’s pray’ and as the congregation stood up we were hit by a great wall of sound as all began to pray boldly and loudly together.</w:t>
      </w:r>
    </w:p>
    <w:p>
      <w:pPr>
        <w:pStyle w:val="BodyText"/>
        <w:spacing w:before="11"/>
        <w:rPr>
          <w:i/>
          <w:sz w:val="24"/>
        </w:rPr>
      </w:pPr>
    </w:p>
    <w:p>
      <w:pPr>
        <w:tabs>
          <w:tab w:pos="1529" w:val="left" w:leader="none"/>
        </w:tabs>
        <w:spacing w:before="97"/>
        <w:ind w:left="793" w:right="0" w:firstLine="0"/>
        <w:jc w:val="left"/>
        <w:rPr>
          <w:sz w:val="23"/>
        </w:rPr>
      </w:pPr>
      <w:r>
        <w:rPr>
          <w:rFonts w:ascii="Stone Sans II ITC Std X Bd" w:hAnsi="Stone Sans II ITC Std X Bd"/>
          <w:b/>
          <w:w w:val="110"/>
          <w:sz w:val="24"/>
        </w:rPr>
        <w:t>154</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5"/>
          <w:w w:val="110"/>
          <w:sz w:val="23"/>
        </w:rPr>
        <w:t> </w:t>
      </w:r>
      <w:r>
        <w:rPr>
          <w:color w:val="8BA8BD"/>
          <w:w w:val="110"/>
          <w:sz w:val="23"/>
        </w:rPr>
        <w:t>2010</w:t>
      </w:r>
    </w:p>
    <w:p>
      <w:pPr>
        <w:spacing w:after="0"/>
        <w:jc w:val="left"/>
        <w:rPr>
          <w:sz w:val="23"/>
        </w:rPr>
        <w:sectPr>
          <w:footerReference w:type="even" r:id="rId380"/>
          <w:pgSz w:w="11910" w:h="16840"/>
          <w:pgMar w:footer="0" w:header="0" w:top="1060" w:bottom="280" w:left="0" w:right="0"/>
        </w:sectPr>
      </w:pPr>
    </w:p>
    <w:p>
      <w:pPr>
        <w:pStyle w:val="BodyText"/>
      </w:pPr>
      <w:r>
        <w:rPr/>
        <w:pict>
          <v:shape style="position:absolute;margin-left:502.053101pt;margin-top:31.272114pt;width:46.5pt;height:16.05pt;mso-position-horizontal-relative:page;mso-position-vertical-relative:page;z-index:-267277312" type="#_x0000_t202" filled="false" stroked="false">
            <v:textbox inset="0,0,0,0">
              <w:txbxContent>
                <w:p>
                  <w:pPr>
                    <w:spacing w:line="314" w:lineRule="exact" w:before="6"/>
                    <w:ind w:left="0" w:right="0" w:firstLine="0"/>
                    <w:jc w:val="left"/>
                    <w:rPr>
                      <w:sz w:val="26"/>
                    </w:rPr>
                  </w:pPr>
                  <w:r>
                    <w:rPr>
                      <w:color w:val="8BA8BD"/>
                      <w:w w:val="110"/>
                      <w:sz w:val="26"/>
                    </w:rPr>
                    <w:t>Mission</w:t>
                  </w: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1"/>
        </w:rPr>
      </w:pPr>
    </w:p>
    <w:p>
      <w:pPr>
        <w:spacing w:before="102"/>
        <w:ind w:left="6328" w:right="0" w:firstLine="0"/>
        <w:jc w:val="left"/>
        <w:rPr>
          <w:sz w:val="18"/>
        </w:rPr>
      </w:pPr>
      <w:r>
        <w:rPr/>
        <w:pict>
          <v:group style="position:absolute;margin-left:0pt;margin-top:-441.213562pt;width:595.3pt;height:449.3pt;mso-position-horizontal-relative:page;mso-position-vertical-relative:paragraph;z-index:-267276288" coordorigin="0,-8824" coordsize="11906,8986">
            <v:rect style="position:absolute;left:11168;top:-8825;width:454;height:471" filled="true" fillcolor="#8ba8bd" stroked="false">
              <v:fill type="solid"/>
            </v:rect>
            <v:rect style="position:absolute;left:11168;top:-8199;width:454;height:454" filled="true" fillcolor="#c2d2df" stroked="false">
              <v:fill type="solid"/>
            </v:rect>
            <v:rect style="position:absolute;left:11168;top:-7575;width:454;height:454" filled="true" fillcolor="#dae4ec" stroked="false">
              <v:fill opacity="32768f" type="solid"/>
            </v:rect>
            <v:shape style="position:absolute;left:56;top:-8825;width:11849;height:8842" type="#_x0000_t75" stroked="false">
              <v:imagedata r:id="rId387" o:title=""/>
            </v:shape>
            <v:shape style="position:absolute;left:0;top:-1352;width:1540;height:1513" coordorigin="0,-1351" coordsize="1540,1513" path="m0,-1351l0,162,1537,162,1461,160,1386,154,1312,145,1239,133,1167,117,1097,98,1028,75,960,50,894,21,830,-10,768,-45,707,-82,648,-121,591,-164,536,-209,484,-256,433,-306,385,-358,339,-412,296,-468,256,-527,218,-587,182,-649,150,-712,121,-778,94,-845,71,-913,50,-983,34,-1055,20,-1127,10,-1201,3,-1275,0,-1351xm1540,161l1539,161,1538,162,1540,162,1540,161xe" filled="true" fillcolor="#ffffff" stroked="false">
              <v:path arrowok="t"/>
              <v:fill type="solid"/>
            </v:shape>
            <w10:wrap type="none"/>
          </v:group>
        </w:pict>
      </w:r>
      <w:r>
        <w:rPr>
          <w:color w:val="8BA8BD"/>
          <w:w w:val="110"/>
          <w:sz w:val="18"/>
        </w:rPr>
        <w:t>URC ministers’ visit to the Presbyterian Church in Myanmar</w:t>
      </w:r>
    </w:p>
    <w:p>
      <w:pPr>
        <w:pStyle w:val="BodyText"/>
        <w:spacing w:before="9"/>
        <w:rPr>
          <w:sz w:val="29"/>
        </w:rPr>
      </w:pPr>
    </w:p>
    <w:p>
      <w:pPr>
        <w:spacing w:line="235" w:lineRule="auto" w:before="106"/>
        <w:ind w:left="2664" w:right="1425" w:firstLine="0"/>
        <w:jc w:val="left"/>
        <w:rPr>
          <w:i/>
          <w:sz w:val="20"/>
        </w:rPr>
      </w:pPr>
      <w:r>
        <w:rPr>
          <w:i/>
          <w:spacing w:val="-3"/>
          <w:w w:val="110"/>
          <w:sz w:val="20"/>
        </w:rPr>
        <w:t>We </w:t>
      </w:r>
      <w:r>
        <w:rPr>
          <w:i/>
          <w:spacing w:val="-4"/>
          <w:w w:val="110"/>
          <w:sz w:val="20"/>
        </w:rPr>
        <w:t>visited </w:t>
      </w:r>
      <w:r>
        <w:rPr>
          <w:i/>
          <w:w w:val="110"/>
          <w:sz w:val="20"/>
        </w:rPr>
        <w:t>five </w:t>
      </w:r>
      <w:r>
        <w:rPr>
          <w:i/>
          <w:spacing w:val="-3"/>
          <w:w w:val="110"/>
          <w:sz w:val="20"/>
        </w:rPr>
        <w:t>churches there </w:t>
      </w:r>
      <w:r>
        <w:rPr>
          <w:i/>
          <w:w w:val="110"/>
          <w:sz w:val="20"/>
        </w:rPr>
        <w:t>and each </w:t>
      </w:r>
      <w:r>
        <w:rPr>
          <w:i/>
          <w:spacing w:val="-4"/>
          <w:w w:val="110"/>
          <w:sz w:val="20"/>
        </w:rPr>
        <w:t>Elders’ </w:t>
      </w:r>
      <w:r>
        <w:rPr>
          <w:i/>
          <w:w w:val="110"/>
          <w:sz w:val="20"/>
        </w:rPr>
        <w:t>Meeting reported that </w:t>
      </w:r>
      <w:r>
        <w:rPr>
          <w:i/>
          <w:spacing w:val="-3"/>
          <w:w w:val="110"/>
          <w:sz w:val="20"/>
        </w:rPr>
        <w:t>prayer was their </w:t>
      </w:r>
      <w:r>
        <w:rPr>
          <w:i/>
          <w:spacing w:val="-3"/>
          <w:w w:val="110"/>
          <w:sz w:val="20"/>
        </w:rPr>
        <w:t>strength. Eventually </w:t>
      </w:r>
      <w:r>
        <w:rPr>
          <w:i/>
          <w:w w:val="110"/>
          <w:sz w:val="20"/>
        </w:rPr>
        <w:t>I </w:t>
      </w:r>
      <w:r>
        <w:rPr>
          <w:i/>
          <w:spacing w:val="-3"/>
          <w:w w:val="110"/>
          <w:sz w:val="20"/>
        </w:rPr>
        <w:t>determined </w:t>
      </w:r>
      <w:r>
        <w:rPr>
          <w:i/>
          <w:w w:val="110"/>
          <w:sz w:val="20"/>
        </w:rPr>
        <w:t>to </w:t>
      </w:r>
      <w:r>
        <w:rPr>
          <w:i/>
          <w:spacing w:val="-4"/>
          <w:w w:val="110"/>
          <w:sz w:val="20"/>
        </w:rPr>
        <w:t>discover more, </w:t>
      </w:r>
      <w:r>
        <w:rPr>
          <w:i/>
          <w:w w:val="110"/>
          <w:sz w:val="20"/>
        </w:rPr>
        <w:t>so I </w:t>
      </w:r>
      <w:r>
        <w:rPr>
          <w:i/>
          <w:spacing w:val="-4"/>
          <w:w w:val="110"/>
          <w:sz w:val="20"/>
        </w:rPr>
        <w:t>asked </w:t>
      </w:r>
      <w:r>
        <w:rPr>
          <w:i/>
          <w:w w:val="110"/>
          <w:sz w:val="20"/>
        </w:rPr>
        <w:t>if an </w:t>
      </w:r>
      <w:r>
        <w:rPr>
          <w:i/>
          <w:spacing w:val="-3"/>
          <w:w w:val="110"/>
          <w:sz w:val="20"/>
        </w:rPr>
        <w:t>elder would like </w:t>
      </w:r>
      <w:r>
        <w:rPr>
          <w:i/>
          <w:w w:val="110"/>
          <w:sz w:val="20"/>
        </w:rPr>
        <w:t>to </w:t>
      </w:r>
      <w:r>
        <w:rPr>
          <w:i/>
          <w:spacing w:val="-3"/>
          <w:w w:val="110"/>
          <w:sz w:val="20"/>
        </w:rPr>
        <w:t>describe his personal prayer walk </w:t>
      </w:r>
      <w:r>
        <w:rPr>
          <w:i/>
          <w:w w:val="110"/>
          <w:sz w:val="20"/>
        </w:rPr>
        <w:t>and he </w:t>
      </w:r>
      <w:r>
        <w:rPr>
          <w:i/>
          <w:spacing w:val="-3"/>
          <w:w w:val="110"/>
          <w:sz w:val="20"/>
        </w:rPr>
        <w:t>talked </w:t>
      </w:r>
      <w:r>
        <w:rPr>
          <w:i/>
          <w:w w:val="110"/>
          <w:sz w:val="20"/>
        </w:rPr>
        <w:t>for at </w:t>
      </w:r>
      <w:r>
        <w:rPr>
          <w:i/>
          <w:spacing w:val="-3"/>
          <w:w w:val="110"/>
          <w:sz w:val="20"/>
        </w:rPr>
        <w:t>least </w:t>
      </w:r>
      <w:r>
        <w:rPr>
          <w:i/>
          <w:spacing w:val="-7"/>
          <w:w w:val="110"/>
          <w:sz w:val="20"/>
        </w:rPr>
        <w:t>10 </w:t>
      </w:r>
      <w:r>
        <w:rPr>
          <w:i/>
          <w:spacing w:val="-3"/>
          <w:w w:val="110"/>
          <w:sz w:val="20"/>
        </w:rPr>
        <w:t>minutes </w:t>
      </w:r>
      <w:r>
        <w:rPr>
          <w:i/>
          <w:w w:val="110"/>
          <w:sz w:val="20"/>
        </w:rPr>
        <w:t>– I </w:t>
      </w:r>
      <w:r>
        <w:rPr>
          <w:i/>
          <w:spacing w:val="-3"/>
          <w:w w:val="110"/>
          <w:sz w:val="20"/>
        </w:rPr>
        <w:t>wondered </w:t>
      </w:r>
      <w:r>
        <w:rPr>
          <w:i/>
          <w:w w:val="110"/>
          <w:sz w:val="20"/>
        </w:rPr>
        <w:t>how </w:t>
      </w:r>
      <w:r>
        <w:rPr>
          <w:i/>
          <w:spacing w:val="-3"/>
          <w:w w:val="110"/>
          <w:sz w:val="20"/>
        </w:rPr>
        <w:t>many </w:t>
      </w:r>
      <w:r>
        <w:rPr>
          <w:i/>
          <w:w w:val="110"/>
          <w:sz w:val="20"/>
        </w:rPr>
        <w:t>of the </w:t>
      </w:r>
      <w:r>
        <w:rPr>
          <w:i/>
          <w:spacing w:val="-3"/>
          <w:w w:val="110"/>
          <w:sz w:val="20"/>
        </w:rPr>
        <w:t>elders </w:t>
      </w:r>
      <w:r>
        <w:rPr>
          <w:i/>
          <w:w w:val="110"/>
          <w:sz w:val="20"/>
        </w:rPr>
        <w:t>in </w:t>
      </w:r>
      <w:r>
        <w:rPr>
          <w:i/>
          <w:spacing w:val="-3"/>
          <w:w w:val="110"/>
          <w:sz w:val="20"/>
        </w:rPr>
        <w:t>my church could describe such </w:t>
      </w:r>
      <w:r>
        <w:rPr>
          <w:i/>
          <w:w w:val="110"/>
          <w:sz w:val="20"/>
        </w:rPr>
        <w:t>a rich </w:t>
      </w:r>
      <w:r>
        <w:rPr>
          <w:i/>
          <w:spacing w:val="-3"/>
          <w:w w:val="110"/>
          <w:sz w:val="20"/>
        </w:rPr>
        <w:t>prayer life. </w:t>
      </w:r>
      <w:r>
        <w:rPr>
          <w:i/>
          <w:w w:val="110"/>
          <w:sz w:val="20"/>
        </w:rPr>
        <w:t>For me </w:t>
      </w:r>
      <w:r>
        <w:rPr>
          <w:i/>
          <w:spacing w:val="-3"/>
          <w:w w:val="110"/>
          <w:sz w:val="20"/>
        </w:rPr>
        <w:t>personally </w:t>
      </w:r>
      <w:r>
        <w:rPr>
          <w:i/>
          <w:w w:val="110"/>
          <w:sz w:val="20"/>
        </w:rPr>
        <w:t>the most startling </w:t>
      </w:r>
      <w:r>
        <w:rPr>
          <w:i/>
          <w:spacing w:val="-3"/>
          <w:w w:val="110"/>
          <w:sz w:val="20"/>
        </w:rPr>
        <w:t>moment was when </w:t>
      </w:r>
      <w:r>
        <w:rPr>
          <w:i/>
          <w:w w:val="110"/>
          <w:sz w:val="20"/>
        </w:rPr>
        <w:t>an </w:t>
      </w:r>
      <w:r>
        <w:rPr>
          <w:i/>
          <w:spacing w:val="-3"/>
          <w:w w:val="110"/>
          <w:sz w:val="20"/>
        </w:rPr>
        <w:t>elder </w:t>
      </w:r>
      <w:r>
        <w:rPr>
          <w:i/>
          <w:spacing w:val="-4"/>
          <w:w w:val="110"/>
          <w:sz w:val="20"/>
        </w:rPr>
        <w:t>asked </w:t>
      </w:r>
      <w:r>
        <w:rPr>
          <w:i/>
          <w:w w:val="110"/>
          <w:sz w:val="20"/>
        </w:rPr>
        <w:t>a very </w:t>
      </w:r>
      <w:r>
        <w:rPr>
          <w:i/>
          <w:spacing w:val="-3"/>
          <w:w w:val="110"/>
          <w:sz w:val="20"/>
        </w:rPr>
        <w:t>provoking question: </w:t>
      </w:r>
      <w:r>
        <w:rPr>
          <w:i/>
          <w:w w:val="110"/>
          <w:sz w:val="20"/>
        </w:rPr>
        <w:t>‘We </w:t>
      </w:r>
      <w:r>
        <w:rPr>
          <w:i/>
          <w:spacing w:val="-3"/>
          <w:w w:val="110"/>
          <w:sz w:val="20"/>
        </w:rPr>
        <w:t>hear </w:t>
      </w:r>
      <w:r>
        <w:rPr>
          <w:i/>
          <w:w w:val="110"/>
          <w:sz w:val="20"/>
        </w:rPr>
        <w:t>that in </w:t>
      </w:r>
      <w:r>
        <w:rPr>
          <w:i/>
          <w:spacing w:val="-3"/>
          <w:w w:val="110"/>
          <w:sz w:val="20"/>
        </w:rPr>
        <w:t>England many  people  spend  </w:t>
      </w:r>
      <w:r>
        <w:rPr>
          <w:i/>
          <w:w w:val="110"/>
          <w:sz w:val="20"/>
        </w:rPr>
        <w:t>a lot of time </w:t>
      </w:r>
      <w:r>
        <w:rPr>
          <w:i/>
          <w:spacing w:val="-3"/>
          <w:w w:val="110"/>
          <w:sz w:val="20"/>
        </w:rPr>
        <w:t>watching</w:t>
      </w:r>
      <w:r>
        <w:rPr>
          <w:i/>
          <w:spacing w:val="43"/>
          <w:w w:val="110"/>
          <w:sz w:val="20"/>
        </w:rPr>
        <w:t> </w:t>
      </w:r>
      <w:r>
        <w:rPr>
          <w:i/>
          <w:spacing w:val="4"/>
          <w:w w:val="110"/>
          <w:sz w:val="20"/>
        </w:rPr>
        <w:t>TV </w:t>
      </w:r>
      <w:r>
        <w:rPr>
          <w:i/>
          <w:w w:val="110"/>
          <w:sz w:val="20"/>
        </w:rPr>
        <w:t>and football – how </w:t>
      </w:r>
      <w:r>
        <w:rPr>
          <w:i/>
          <w:spacing w:val="-3"/>
          <w:w w:val="110"/>
          <w:sz w:val="20"/>
        </w:rPr>
        <w:t>can this </w:t>
      </w:r>
      <w:r>
        <w:rPr>
          <w:i/>
          <w:w w:val="110"/>
          <w:sz w:val="20"/>
        </w:rPr>
        <w:t>be </w:t>
      </w:r>
      <w:r>
        <w:rPr>
          <w:i/>
          <w:spacing w:val="-3"/>
          <w:w w:val="110"/>
          <w:sz w:val="20"/>
        </w:rPr>
        <w:t>when </w:t>
      </w:r>
      <w:r>
        <w:rPr>
          <w:i/>
          <w:w w:val="110"/>
          <w:sz w:val="20"/>
        </w:rPr>
        <w:t>the </w:t>
      </w:r>
      <w:r>
        <w:rPr>
          <w:i/>
          <w:spacing w:val="-3"/>
          <w:w w:val="110"/>
          <w:sz w:val="20"/>
        </w:rPr>
        <w:t>church is </w:t>
      </w:r>
      <w:r>
        <w:rPr>
          <w:i/>
          <w:w w:val="110"/>
          <w:sz w:val="20"/>
        </w:rPr>
        <w:t>in </w:t>
      </w:r>
      <w:r>
        <w:rPr>
          <w:i/>
          <w:spacing w:val="-3"/>
          <w:w w:val="110"/>
          <w:sz w:val="20"/>
        </w:rPr>
        <w:t>decline?’ </w:t>
      </w:r>
      <w:r>
        <w:rPr>
          <w:i/>
          <w:w w:val="110"/>
          <w:sz w:val="20"/>
        </w:rPr>
        <w:t>He then </w:t>
      </w:r>
      <w:r>
        <w:rPr>
          <w:i/>
          <w:spacing w:val="-3"/>
          <w:w w:val="110"/>
          <w:sz w:val="20"/>
        </w:rPr>
        <w:t>told </w:t>
      </w:r>
      <w:r>
        <w:rPr>
          <w:i/>
          <w:w w:val="110"/>
          <w:sz w:val="20"/>
        </w:rPr>
        <w:t>us that they </w:t>
      </w:r>
      <w:r>
        <w:rPr>
          <w:i/>
          <w:spacing w:val="-3"/>
          <w:w w:val="110"/>
          <w:sz w:val="20"/>
        </w:rPr>
        <w:t>had </w:t>
      </w:r>
      <w:r>
        <w:rPr>
          <w:i/>
          <w:w w:val="110"/>
          <w:sz w:val="20"/>
        </w:rPr>
        <w:t>been </w:t>
      </w:r>
      <w:r>
        <w:rPr>
          <w:i/>
          <w:spacing w:val="-3"/>
          <w:w w:val="110"/>
          <w:sz w:val="20"/>
        </w:rPr>
        <w:t>praying </w:t>
      </w:r>
      <w:r>
        <w:rPr>
          <w:i/>
          <w:w w:val="110"/>
          <w:sz w:val="20"/>
        </w:rPr>
        <w:t>for the </w:t>
      </w:r>
      <w:r>
        <w:rPr>
          <w:i/>
          <w:spacing w:val="-3"/>
          <w:w w:val="110"/>
          <w:sz w:val="20"/>
        </w:rPr>
        <w:t>United </w:t>
      </w:r>
      <w:r>
        <w:rPr>
          <w:i/>
          <w:w w:val="110"/>
          <w:sz w:val="20"/>
        </w:rPr>
        <w:t>Reformed </w:t>
      </w:r>
      <w:r>
        <w:rPr>
          <w:i/>
          <w:spacing w:val="-3"/>
          <w:w w:val="110"/>
          <w:sz w:val="20"/>
        </w:rPr>
        <w:t>Church </w:t>
      </w:r>
      <w:r>
        <w:rPr>
          <w:i/>
          <w:w w:val="110"/>
          <w:sz w:val="20"/>
        </w:rPr>
        <w:t>and the </w:t>
      </w:r>
      <w:r>
        <w:rPr>
          <w:i/>
          <w:spacing w:val="-3"/>
          <w:w w:val="110"/>
          <w:sz w:val="20"/>
        </w:rPr>
        <w:t>message we </w:t>
      </w:r>
      <w:r>
        <w:rPr>
          <w:i/>
          <w:spacing w:val="-4"/>
          <w:w w:val="110"/>
          <w:sz w:val="20"/>
        </w:rPr>
        <w:t>were </w:t>
      </w:r>
      <w:r>
        <w:rPr>
          <w:i/>
          <w:w w:val="110"/>
          <w:sz w:val="20"/>
        </w:rPr>
        <w:t>to </w:t>
      </w:r>
      <w:r>
        <w:rPr>
          <w:i/>
          <w:spacing w:val="-3"/>
          <w:w w:val="110"/>
          <w:sz w:val="20"/>
        </w:rPr>
        <w:t>take </w:t>
      </w:r>
      <w:r>
        <w:rPr>
          <w:i/>
          <w:w w:val="110"/>
          <w:sz w:val="20"/>
        </w:rPr>
        <w:t>back </w:t>
      </w:r>
      <w:r>
        <w:rPr>
          <w:i/>
          <w:spacing w:val="-3"/>
          <w:w w:val="110"/>
          <w:sz w:val="20"/>
        </w:rPr>
        <w:t>was, ‘Pray </w:t>
      </w:r>
      <w:r>
        <w:rPr>
          <w:i/>
          <w:spacing w:val="-4"/>
          <w:w w:val="110"/>
          <w:sz w:val="20"/>
        </w:rPr>
        <w:t>more, </w:t>
      </w:r>
      <w:r>
        <w:rPr>
          <w:i/>
          <w:w w:val="110"/>
          <w:sz w:val="20"/>
        </w:rPr>
        <w:t>pray   out loud and pray in </w:t>
      </w:r>
      <w:r>
        <w:rPr>
          <w:i/>
          <w:spacing w:val="-4"/>
          <w:w w:val="110"/>
          <w:sz w:val="20"/>
        </w:rPr>
        <w:t>tongues!’ </w:t>
      </w:r>
      <w:r>
        <w:rPr>
          <w:i/>
          <w:spacing w:val="-3"/>
          <w:w w:val="110"/>
          <w:sz w:val="20"/>
        </w:rPr>
        <w:t>We </w:t>
      </w:r>
      <w:r>
        <w:rPr>
          <w:i/>
          <w:w w:val="110"/>
          <w:sz w:val="20"/>
        </w:rPr>
        <w:t>did not all </w:t>
      </w:r>
      <w:r>
        <w:rPr>
          <w:i/>
          <w:spacing w:val="-3"/>
          <w:w w:val="110"/>
          <w:sz w:val="20"/>
        </w:rPr>
        <w:t>feel able </w:t>
      </w:r>
      <w:r>
        <w:rPr>
          <w:i/>
          <w:w w:val="110"/>
          <w:sz w:val="20"/>
        </w:rPr>
        <w:t>to </w:t>
      </w:r>
      <w:r>
        <w:rPr>
          <w:i/>
          <w:spacing w:val="-2"/>
          <w:w w:val="110"/>
          <w:sz w:val="20"/>
        </w:rPr>
        <w:t>say </w:t>
      </w:r>
      <w:r>
        <w:rPr>
          <w:i/>
          <w:spacing w:val="-4"/>
          <w:w w:val="110"/>
          <w:sz w:val="20"/>
        </w:rPr>
        <w:t>‘Yes’ </w:t>
      </w:r>
      <w:r>
        <w:rPr>
          <w:i/>
          <w:w w:val="110"/>
          <w:sz w:val="20"/>
        </w:rPr>
        <w:t>to all of </w:t>
      </w:r>
      <w:r>
        <w:rPr>
          <w:i/>
          <w:spacing w:val="-3"/>
          <w:w w:val="110"/>
          <w:sz w:val="20"/>
        </w:rPr>
        <w:t>that, </w:t>
      </w:r>
      <w:r>
        <w:rPr>
          <w:i/>
          <w:w w:val="110"/>
          <w:sz w:val="20"/>
        </w:rPr>
        <w:t>but </w:t>
      </w:r>
      <w:r>
        <w:rPr>
          <w:i/>
          <w:spacing w:val="-3"/>
          <w:w w:val="110"/>
          <w:sz w:val="20"/>
        </w:rPr>
        <w:t>my prayer</w:t>
      </w:r>
      <w:r>
        <w:rPr>
          <w:i/>
          <w:spacing w:val="2"/>
          <w:w w:val="110"/>
          <w:sz w:val="20"/>
        </w:rPr>
        <w:t> </w:t>
      </w:r>
      <w:r>
        <w:rPr>
          <w:i/>
          <w:spacing w:val="-3"/>
          <w:w w:val="110"/>
          <w:sz w:val="20"/>
        </w:rPr>
        <w:t>is</w:t>
      </w:r>
      <w:r>
        <w:rPr>
          <w:i/>
          <w:spacing w:val="2"/>
          <w:w w:val="110"/>
          <w:sz w:val="20"/>
        </w:rPr>
        <w:t> </w:t>
      </w:r>
      <w:r>
        <w:rPr>
          <w:i/>
          <w:w w:val="110"/>
          <w:sz w:val="20"/>
        </w:rPr>
        <w:t>that</w:t>
      </w:r>
      <w:r>
        <w:rPr>
          <w:i/>
          <w:spacing w:val="3"/>
          <w:w w:val="110"/>
          <w:sz w:val="20"/>
        </w:rPr>
        <w:t> </w:t>
      </w:r>
      <w:r>
        <w:rPr>
          <w:i/>
          <w:spacing w:val="-3"/>
          <w:w w:val="110"/>
          <w:sz w:val="20"/>
        </w:rPr>
        <w:t>we</w:t>
      </w:r>
      <w:r>
        <w:rPr>
          <w:i/>
          <w:spacing w:val="2"/>
          <w:w w:val="110"/>
          <w:sz w:val="20"/>
        </w:rPr>
        <w:t> </w:t>
      </w:r>
      <w:r>
        <w:rPr>
          <w:i/>
          <w:spacing w:val="-3"/>
          <w:w w:val="110"/>
          <w:sz w:val="20"/>
        </w:rPr>
        <w:t>can</w:t>
      </w:r>
      <w:r>
        <w:rPr>
          <w:i/>
          <w:spacing w:val="3"/>
          <w:w w:val="110"/>
          <w:sz w:val="20"/>
        </w:rPr>
        <w:t> </w:t>
      </w:r>
      <w:r>
        <w:rPr>
          <w:i/>
          <w:w w:val="110"/>
          <w:sz w:val="20"/>
        </w:rPr>
        <w:t>all</w:t>
      </w:r>
      <w:r>
        <w:rPr>
          <w:i/>
          <w:spacing w:val="2"/>
          <w:w w:val="110"/>
          <w:sz w:val="20"/>
        </w:rPr>
        <w:t> </w:t>
      </w:r>
      <w:r>
        <w:rPr>
          <w:i/>
          <w:spacing w:val="-2"/>
          <w:w w:val="110"/>
          <w:sz w:val="20"/>
        </w:rPr>
        <w:t>say</w:t>
      </w:r>
      <w:r>
        <w:rPr>
          <w:i/>
          <w:spacing w:val="3"/>
          <w:w w:val="110"/>
          <w:sz w:val="20"/>
        </w:rPr>
        <w:t> </w:t>
      </w:r>
      <w:r>
        <w:rPr>
          <w:i/>
          <w:spacing w:val="-4"/>
          <w:w w:val="110"/>
          <w:sz w:val="20"/>
        </w:rPr>
        <w:t>‘Yes’</w:t>
      </w:r>
      <w:r>
        <w:rPr>
          <w:i/>
          <w:spacing w:val="2"/>
          <w:w w:val="110"/>
          <w:sz w:val="20"/>
        </w:rPr>
        <w:t> </w:t>
      </w:r>
      <w:r>
        <w:rPr>
          <w:i/>
          <w:w w:val="110"/>
          <w:sz w:val="20"/>
        </w:rPr>
        <w:t>to</w:t>
      </w:r>
      <w:r>
        <w:rPr>
          <w:i/>
          <w:spacing w:val="3"/>
          <w:w w:val="110"/>
          <w:sz w:val="20"/>
        </w:rPr>
        <w:t> </w:t>
      </w:r>
      <w:r>
        <w:rPr>
          <w:i/>
          <w:spacing w:val="-4"/>
          <w:w w:val="110"/>
          <w:sz w:val="20"/>
        </w:rPr>
        <w:t>‘more</w:t>
      </w:r>
      <w:r>
        <w:rPr>
          <w:i/>
          <w:spacing w:val="2"/>
          <w:w w:val="110"/>
          <w:sz w:val="20"/>
        </w:rPr>
        <w:t> </w:t>
      </w:r>
      <w:r>
        <w:rPr>
          <w:i/>
          <w:spacing w:val="-4"/>
          <w:w w:val="110"/>
          <w:sz w:val="20"/>
        </w:rPr>
        <w:t>prayer’.</w:t>
      </w:r>
      <w:r>
        <w:rPr>
          <w:i/>
          <w:spacing w:val="3"/>
          <w:w w:val="110"/>
          <w:sz w:val="20"/>
        </w:rPr>
        <w:t> </w:t>
      </w:r>
      <w:r>
        <w:rPr>
          <w:i/>
          <w:w w:val="110"/>
          <w:sz w:val="20"/>
        </w:rPr>
        <w:t>That</w:t>
      </w:r>
      <w:r>
        <w:rPr>
          <w:i/>
          <w:spacing w:val="2"/>
          <w:w w:val="110"/>
          <w:sz w:val="20"/>
        </w:rPr>
        <w:t> </w:t>
      </w:r>
      <w:r>
        <w:rPr>
          <w:i/>
          <w:spacing w:val="-3"/>
          <w:w w:val="110"/>
          <w:sz w:val="20"/>
        </w:rPr>
        <w:t>challenge</w:t>
      </w:r>
      <w:r>
        <w:rPr>
          <w:i/>
          <w:spacing w:val="3"/>
          <w:w w:val="110"/>
          <w:sz w:val="20"/>
        </w:rPr>
        <w:t> </w:t>
      </w:r>
      <w:r>
        <w:rPr>
          <w:i/>
          <w:spacing w:val="-3"/>
          <w:w w:val="110"/>
          <w:sz w:val="20"/>
        </w:rPr>
        <w:t>has</w:t>
      </w:r>
      <w:r>
        <w:rPr>
          <w:i/>
          <w:spacing w:val="2"/>
          <w:w w:val="110"/>
          <w:sz w:val="20"/>
        </w:rPr>
        <w:t> </w:t>
      </w:r>
      <w:r>
        <w:rPr>
          <w:i/>
          <w:w w:val="110"/>
          <w:sz w:val="20"/>
        </w:rPr>
        <w:t>rung</w:t>
      </w:r>
      <w:r>
        <w:rPr>
          <w:i/>
          <w:spacing w:val="3"/>
          <w:w w:val="110"/>
          <w:sz w:val="20"/>
        </w:rPr>
        <w:t> </w:t>
      </w:r>
      <w:r>
        <w:rPr>
          <w:i/>
          <w:w w:val="110"/>
          <w:sz w:val="20"/>
        </w:rPr>
        <w:t>in</w:t>
      </w:r>
      <w:r>
        <w:rPr>
          <w:i/>
          <w:spacing w:val="2"/>
          <w:w w:val="110"/>
          <w:sz w:val="20"/>
        </w:rPr>
        <w:t> </w:t>
      </w:r>
      <w:r>
        <w:rPr>
          <w:i/>
          <w:spacing w:val="-3"/>
          <w:w w:val="110"/>
          <w:sz w:val="20"/>
        </w:rPr>
        <w:t>my</w:t>
      </w:r>
      <w:r>
        <w:rPr>
          <w:i/>
          <w:spacing w:val="3"/>
          <w:w w:val="110"/>
          <w:sz w:val="20"/>
        </w:rPr>
        <w:t> </w:t>
      </w:r>
      <w:r>
        <w:rPr>
          <w:i/>
          <w:w w:val="110"/>
          <w:sz w:val="20"/>
        </w:rPr>
        <w:t>ears</w:t>
      </w:r>
    </w:p>
    <w:p>
      <w:pPr>
        <w:spacing w:line="235" w:lineRule="auto" w:before="7"/>
        <w:ind w:left="2664" w:right="1273" w:firstLine="0"/>
        <w:jc w:val="left"/>
        <w:rPr>
          <w:i/>
          <w:sz w:val="20"/>
        </w:rPr>
      </w:pPr>
      <w:r>
        <w:rPr>
          <w:i/>
          <w:spacing w:val="-4"/>
          <w:w w:val="110"/>
          <w:sz w:val="20"/>
        </w:rPr>
        <w:t>since </w:t>
      </w:r>
      <w:r>
        <w:rPr>
          <w:i/>
          <w:spacing w:val="-3"/>
          <w:w w:val="110"/>
          <w:sz w:val="20"/>
        </w:rPr>
        <w:t>my </w:t>
      </w:r>
      <w:r>
        <w:rPr>
          <w:i/>
          <w:w w:val="110"/>
          <w:sz w:val="20"/>
        </w:rPr>
        <w:t>return and </w:t>
      </w:r>
      <w:r>
        <w:rPr>
          <w:i/>
          <w:spacing w:val="-3"/>
          <w:w w:val="110"/>
          <w:sz w:val="20"/>
        </w:rPr>
        <w:t>has </w:t>
      </w:r>
      <w:r>
        <w:rPr>
          <w:i/>
          <w:spacing w:val="-4"/>
          <w:w w:val="110"/>
          <w:sz w:val="20"/>
        </w:rPr>
        <w:t>caused </w:t>
      </w:r>
      <w:r>
        <w:rPr>
          <w:i/>
          <w:w w:val="110"/>
          <w:sz w:val="20"/>
        </w:rPr>
        <w:t>me to </w:t>
      </w:r>
      <w:r>
        <w:rPr>
          <w:i/>
          <w:spacing w:val="-3"/>
          <w:w w:val="110"/>
          <w:sz w:val="20"/>
        </w:rPr>
        <w:t>review my personal prayer </w:t>
      </w:r>
      <w:r>
        <w:rPr>
          <w:i/>
          <w:spacing w:val="-4"/>
          <w:w w:val="110"/>
          <w:sz w:val="20"/>
        </w:rPr>
        <w:t>life, </w:t>
      </w:r>
      <w:r>
        <w:rPr>
          <w:i/>
          <w:w w:val="110"/>
          <w:sz w:val="20"/>
        </w:rPr>
        <w:t>and </w:t>
      </w:r>
      <w:r>
        <w:rPr>
          <w:i/>
          <w:spacing w:val="-3"/>
          <w:w w:val="110"/>
          <w:sz w:val="20"/>
        </w:rPr>
        <w:t>this has </w:t>
      </w:r>
      <w:r>
        <w:rPr>
          <w:i/>
          <w:w w:val="110"/>
          <w:sz w:val="20"/>
        </w:rPr>
        <w:t>affected </w:t>
      </w:r>
      <w:r>
        <w:rPr>
          <w:i/>
          <w:spacing w:val="-3"/>
          <w:w w:val="110"/>
          <w:sz w:val="20"/>
        </w:rPr>
        <w:t>my preaching </w:t>
      </w:r>
      <w:r>
        <w:rPr>
          <w:i/>
          <w:w w:val="110"/>
          <w:sz w:val="20"/>
        </w:rPr>
        <w:t>and </w:t>
      </w:r>
      <w:r>
        <w:rPr>
          <w:i/>
          <w:spacing w:val="-3"/>
          <w:w w:val="110"/>
          <w:sz w:val="20"/>
        </w:rPr>
        <w:t>my desire </w:t>
      </w:r>
      <w:r>
        <w:rPr>
          <w:i/>
          <w:w w:val="110"/>
          <w:sz w:val="20"/>
        </w:rPr>
        <w:t>to </w:t>
      </w:r>
      <w:r>
        <w:rPr>
          <w:i/>
          <w:spacing w:val="-4"/>
          <w:w w:val="110"/>
          <w:sz w:val="20"/>
        </w:rPr>
        <w:t>share </w:t>
      </w:r>
      <w:r>
        <w:rPr>
          <w:i/>
          <w:spacing w:val="-3"/>
          <w:w w:val="110"/>
          <w:sz w:val="20"/>
        </w:rPr>
        <w:t>my faith. </w:t>
      </w:r>
      <w:r>
        <w:rPr>
          <w:i/>
          <w:spacing w:val="-2"/>
          <w:w w:val="110"/>
          <w:sz w:val="20"/>
        </w:rPr>
        <w:t>The </w:t>
      </w:r>
      <w:r>
        <w:rPr>
          <w:i/>
          <w:w w:val="110"/>
          <w:sz w:val="20"/>
        </w:rPr>
        <w:t>impact in </w:t>
      </w:r>
      <w:r>
        <w:rPr>
          <w:i/>
          <w:spacing w:val="-3"/>
          <w:w w:val="110"/>
          <w:sz w:val="20"/>
        </w:rPr>
        <w:t>my churches: more prayer meetings, more attending prayer meetings, </w:t>
      </w:r>
      <w:r>
        <w:rPr>
          <w:i/>
          <w:w w:val="110"/>
          <w:sz w:val="20"/>
        </w:rPr>
        <w:t>two </w:t>
      </w:r>
      <w:r>
        <w:rPr>
          <w:i/>
          <w:spacing w:val="-3"/>
          <w:w w:val="110"/>
          <w:sz w:val="20"/>
        </w:rPr>
        <w:t>groups </w:t>
      </w:r>
      <w:r>
        <w:rPr>
          <w:i/>
          <w:w w:val="110"/>
          <w:sz w:val="20"/>
        </w:rPr>
        <w:t>studying a book on </w:t>
      </w:r>
      <w:r>
        <w:rPr>
          <w:i/>
          <w:spacing w:val="-5"/>
          <w:w w:val="110"/>
          <w:sz w:val="20"/>
        </w:rPr>
        <w:t>prayer, </w:t>
      </w:r>
      <w:r>
        <w:rPr>
          <w:i/>
          <w:w w:val="110"/>
          <w:sz w:val="20"/>
        </w:rPr>
        <w:t>a new </w:t>
      </w:r>
      <w:r>
        <w:rPr>
          <w:i/>
          <w:spacing w:val="-3"/>
          <w:w w:val="110"/>
          <w:sz w:val="20"/>
        </w:rPr>
        <w:t>cell </w:t>
      </w:r>
      <w:r>
        <w:rPr>
          <w:i/>
          <w:w w:val="110"/>
          <w:sz w:val="20"/>
        </w:rPr>
        <w:t>group started, and a </w:t>
      </w:r>
      <w:r>
        <w:rPr>
          <w:i/>
          <w:spacing w:val="-3"/>
          <w:w w:val="110"/>
          <w:sz w:val="20"/>
        </w:rPr>
        <w:t>renewed </w:t>
      </w:r>
      <w:r>
        <w:rPr>
          <w:i/>
          <w:w w:val="110"/>
          <w:sz w:val="20"/>
        </w:rPr>
        <w:t>heart for</w:t>
      </w:r>
      <w:r>
        <w:rPr>
          <w:i/>
          <w:spacing w:val="-1"/>
          <w:w w:val="110"/>
          <w:sz w:val="20"/>
        </w:rPr>
        <w:t> </w:t>
      </w:r>
      <w:r>
        <w:rPr>
          <w:i/>
          <w:spacing w:val="-4"/>
          <w:w w:val="110"/>
          <w:sz w:val="20"/>
        </w:rPr>
        <w:t>evangelism.</w:t>
      </w:r>
    </w:p>
    <w:p>
      <w:pPr>
        <w:pStyle w:val="BodyText"/>
        <w:spacing w:before="11"/>
        <w:rPr>
          <w:i/>
          <w:sz w:val="19"/>
        </w:rPr>
      </w:pPr>
    </w:p>
    <w:p>
      <w:pPr>
        <w:pStyle w:val="ListParagraph"/>
        <w:numPr>
          <w:ilvl w:val="2"/>
          <w:numId w:val="143"/>
        </w:numPr>
        <w:tabs>
          <w:tab w:pos="2664" w:val="left" w:leader="none"/>
          <w:tab w:pos="2665" w:val="left" w:leader="none"/>
        </w:tabs>
        <w:spacing w:line="235" w:lineRule="auto" w:before="0" w:after="0"/>
        <w:ind w:left="1984" w:right="1156" w:firstLine="0"/>
        <w:jc w:val="left"/>
        <w:rPr>
          <w:sz w:val="20"/>
        </w:rPr>
      </w:pPr>
      <w:r>
        <w:rPr/>
        <w:drawing>
          <wp:anchor distT="0" distB="0" distL="0" distR="0" allowOverlap="1" layoutInCell="1" locked="0" behindDoc="1" simplePos="0" relativeHeight="236041216">
            <wp:simplePos x="0" y="0"/>
            <wp:positionH relativeFrom="page">
              <wp:posOffset>6225135</wp:posOffset>
            </wp:positionH>
            <wp:positionV relativeFrom="paragraph">
              <wp:posOffset>448605</wp:posOffset>
            </wp:positionV>
            <wp:extent cx="232857" cy="181203"/>
            <wp:effectExtent l="0" t="0" r="0" b="0"/>
            <wp:wrapNone/>
            <wp:docPr id="145" name="image176.png"/>
            <wp:cNvGraphicFramePr>
              <a:graphicFrameLocks noChangeAspect="1"/>
            </wp:cNvGraphicFramePr>
            <a:graphic>
              <a:graphicData uri="http://schemas.openxmlformats.org/drawingml/2006/picture">
                <pic:pic>
                  <pic:nvPicPr>
                    <pic:cNvPr id="146" name="image176.png"/>
                    <pic:cNvPicPr/>
                  </pic:nvPicPr>
                  <pic:blipFill>
                    <a:blip r:embed="rId388" cstate="print"/>
                    <a:stretch>
                      <a:fillRect/>
                    </a:stretch>
                  </pic:blipFill>
                  <pic:spPr>
                    <a:xfrm>
                      <a:off x="0" y="0"/>
                      <a:ext cx="232857" cy="181203"/>
                    </a:xfrm>
                    <a:prstGeom prst="rect">
                      <a:avLst/>
                    </a:prstGeom>
                  </pic:spPr>
                </pic:pic>
              </a:graphicData>
            </a:graphic>
          </wp:anchor>
        </w:drawing>
      </w:r>
      <w:r>
        <w:rPr>
          <w:w w:val="120"/>
          <w:sz w:val="20"/>
        </w:rPr>
        <w:t>The members of the Mission </w:t>
      </w:r>
      <w:r>
        <w:rPr>
          <w:spacing w:val="-4"/>
          <w:w w:val="120"/>
          <w:sz w:val="20"/>
        </w:rPr>
        <w:t>Team </w:t>
      </w:r>
      <w:r>
        <w:rPr>
          <w:w w:val="120"/>
          <w:sz w:val="20"/>
        </w:rPr>
        <w:t>have developed a range of resources to  support local congregations in their prayer and worship. </w:t>
      </w:r>
      <w:r>
        <w:rPr>
          <w:i/>
          <w:w w:val="120"/>
          <w:sz w:val="20"/>
        </w:rPr>
        <w:t>Commitment for Life</w:t>
      </w:r>
      <w:r>
        <w:rPr>
          <w:w w:val="120"/>
          <w:sz w:val="20"/>
        </w:rPr>
        <w:t>’s Prayer Partners </w:t>
      </w:r>
      <w:r>
        <w:rPr>
          <w:spacing w:val="-6"/>
          <w:w w:val="120"/>
          <w:sz w:val="20"/>
        </w:rPr>
        <w:t>2010 </w:t>
      </w:r>
      <w:r>
        <w:rPr>
          <w:w w:val="120"/>
          <w:sz w:val="20"/>
        </w:rPr>
        <w:t>provided ideas for prayer stations inspired by the partner countries.</w:t>
      </w:r>
      <w:r>
        <w:rPr>
          <w:spacing w:val="31"/>
          <w:w w:val="120"/>
          <w:sz w:val="20"/>
        </w:rPr>
        <w:t> </w:t>
      </w:r>
      <w:r>
        <w:rPr>
          <w:w w:val="120"/>
          <w:sz w:val="20"/>
        </w:rPr>
        <w:t>Prayer</w:t>
      </w:r>
    </w:p>
    <w:p>
      <w:pPr>
        <w:pStyle w:val="BodyText"/>
        <w:spacing w:line="192" w:lineRule="auto"/>
        <w:ind w:left="1984" w:right="1120"/>
      </w:pPr>
      <w:r>
        <w:rPr>
          <w:w w:val="120"/>
        </w:rPr>
        <w:t>stations,</w:t>
      </w:r>
      <w:r>
        <w:rPr>
          <w:spacing w:val="-19"/>
          <w:w w:val="120"/>
        </w:rPr>
        <w:t> </w:t>
      </w:r>
      <w:r>
        <w:rPr>
          <w:w w:val="120"/>
        </w:rPr>
        <w:t>using</w:t>
      </w:r>
      <w:r>
        <w:rPr>
          <w:spacing w:val="-19"/>
          <w:w w:val="120"/>
        </w:rPr>
        <w:t> </w:t>
      </w:r>
      <w:r>
        <w:rPr>
          <w:w w:val="120"/>
        </w:rPr>
        <w:t>the</w:t>
      </w:r>
      <w:r>
        <w:rPr>
          <w:spacing w:val="-19"/>
          <w:w w:val="120"/>
        </w:rPr>
        <w:t> </w:t>
      </w:r>
      <w:r>
        <w:rPr>
          <w:w w:val="120"/>
        </w:rPr>
        <w:t>theme</w:t>
      </w:r>
      <w:r>
        <w:rPr>
          <w:spacing w:val="-19"/>
          <w:w w:val="120"/>
        </w:rPr>
        <w:t> </w:t>
      </w:r>
      <w:r>
        <w:rPr>
          <w:w w:val="120"/>
        </w:rPr>
        <w:t>of</w:t>
      </w:r>
      <w:r>
        <w:rPr>
          <w:spacing w:val="-19"/>
          <w:w w:val="120"/>
        </w:rPr>
        <w:t> </w:t>
      </w:r>
      <w:r>
        <w:rPr>
          <w:w w:val="120"/>
        </w:rPr>
        <w:t>climate</w:t>
      </w:r>
      <w:r>
        <w:rPr>
          <w:spacing w:val="-19"/>
          <w:w w:val="120"/>
        </w:rPr>
        <w:t> </w:t>
      </w:r>
      <w:r>
        <w:rPr>
          <w:w w:val="120"/>
        </w:rPr>
        <w:t>change,</w:t>
      </w:r>
      <w:r>
        <w:rPr>
          <w:spacing w:val="-19"/>
          <w:w w:val="120"/>
        </w:rPr>
        <w:t> </w:t>
      </w:r>
      <w:r>
        <w:rPr>
          <w:w w:val="120"/>
        </w:rPr>
        <w:t>have</w:t>
      </w:r>
      <w:r>
        <w:rPr>
          <w:spacing w:val="-19"/>
          <w:w w:val="120"/>
        </w:rPr>
        <w:t> </w:t>
      </w:r>
      <w:r>
        <w:rPr>
          <w:w w:val="120"/>
        </w:rPr>
        <w:t>also</w:t>
      </w:r>
      <w:r>
        <w:rPr>
          <w:spacing w:val="-19"/>
          <w:w w:val="120"/>
        </w:rPr>
        <w:t> </w:t>
      </w:r>
      <w:r>
        <w:rPr>
          <w:w w:val="120"/>
        </w:rPr>
        <w:t>been</w:t>
      </w:r>
      <w:r>
        <w:rPr>
          <w:spacing w:val="-18"/>
          <w:w w:val="120"/>
        </w:rPr>
        <w:t> </w:t>
      </w:r>
      <w:r>
        <w:rPr>
          <w:w w:val="120"/>
        </w:rPr>
        <w:t>produced</w:t>
      </w:r>
      <w:r>
        <w:rPr>
          <w:spacing w:val="-19"/>
          <w:w w:val="120"/>
        </w:rPr>
        <w:t> </w:t>
      </w:r>
      <w:r>
        <w:rPr>
          <w:w w:val="120"/>
        </w:rPr>
        <w:t>for</w:t>
      </w:r>
      <w:r>
        <w:rPr>
          <w:spacing w:val="-19"/>
          <w:w w:val="120"/>
        </w:rPr>
        <w:t> </w:t>
      </w:r>
      <w:r>
        <w:rPr>
          <w:rFonts w:ascii="Arial Rounded MT Bold"/>
          <w:sz w:val="21"/>
        </w:rPr>
        <w:t>Vision4</w:t>
      </w:r>
      <w:r>
        <w:rPr>
          <w:rFonts w:ascii="Bradley Hand ITC"/>
          <w:color w:val="C20D19"/>
          <w:sz w:val="28"/>
        </w:rPr>
        <w:t>Life</w:t>
      </w:r>
      <w:r>
        <w:rPr/>
        <w:t>.</w:t>
      </w:r>
      <w:r>
        <w:rPr>
          <w:spacing w:val="-10"/>
        </w:rPr>
        <w:t> </w:t>
      </w:r>
      <w:r>
        <w:rPr>
          <w:w w:val="120"/>
        </w:rPr>
        <w:t>The Mission </w:t>
      </w:r>
      <w:r>
        <w:rPr>
          <w:spacing w:val="-4"/>
          <w:w w:val="120"/>
        </w:rPr>
        <w:t>Team </w:t>
      </w:r>
      <w:r>
        <w:rPr>
          <w:w w:val="120"/>
        </w:rPr>
        <w:t>has produced study notes to accompany the </w:t>
      </w:r>
      <w:r>
        <w:rPr>
          <w:i/>
          <w:w w:val="120"/>
        </w:rPr>
        <w:t>vision2020 </w:t>
      </w:r>
      <w:r>
        <w:rPr>
          <w:w w:val="120"/>
        </w:rPr>
        <w:t>Mission</w:t>
      </w:r>
      <w:r>
        <w:rPr>
          <w:spacing w:val="-9"/>
          <w:w w:val="120"/>
        </w:rPr>
        <w:t> </w:t>
      </w:r>
      <w:r>
        <w:rPr>
          <w:w w:val="120"/>
        </w:rPr>
        <w:t>Creed.</w:t>
      </w:r>
    </w:p>
    <w:p>
      <w:pPr>
        <w:pStyle w:val="BodyText"/>
        <w:spacing w:line="235" w:lineRule="auto" w:before="8"/>
        <w:ind w:left="1984" w:right="1287"/>
      </w:pPr>
      <w:r>
        <w:rPr>
          <w:w w:val="120"/>
        </w:rPr>
        <w:t>The Joint Public Issues </w:t>
      </w:r>
      <w:r>
        <w:rPr>
          <w:spacing w:val="-4"/>
          <w:w w:val="120"/>
        </w:rPr>
        <w:t>Team </w:t>
      </w:r>
      <w:r>
        <w:rPr>
          <w:w w:val="120"/>
        </w:rPr>
        <w:t>(JPIT) has produced worship resources for a number of their campaigns over the past two years, such as Migration Matters, prayer for children in</w:t>
      </w:r>
      <w:r>
        <w:rPr>
          <w:spacing w:val="-6"/>
          <w:w w:val="120"/>
        </w:rPr>
        <w:t> </w:t>
      </w:r>
      <w:r>
        <w:rPr>
          <w:w w:val="120"/>
        </w:rPr>
        <w:t>detention,</w:t>
      </w:r>
      <w:r>
        <w:rPr>
          <w:spacing w:val="-5"/>
          <w:w w:val="120"/>
        </w:rPr>
        <w:t> </w:t>
      </w:r>
      <w:r>
        <w:rPr>
          <w:w w:val="120"/>
        </w:rPr>
        <w:t>a</w:t>
      </w:r>
      <w:r>
        <w:rPr>
          <w:spacing w:val="-5"/>
          <w:w w:val="120"/>
        </w:rPr>
        <w:t> </w:t>
      </w:r>
      <w:r>
        <w:rPr>
          <w:w w:val="120"/>
        </w:rPr>
        <w:t>study</w:t>
      </w:r>
      <w:r>
        <w:rPr>
          <w:spacing w:val="-5"/>
          <w:w w:val="120"/>
        </w:rPr>
        <w:t> </w:t>
      </w:r>
      <w:r>
        <w:rPr>
          <w:w w:val="120"/>
        </w:rPr>
        <w:t>guide</w:t>
      </w:r>
      <w:r>
        <w:rPr>
          <w:spacing w:val="-5"/>
          <w:w w:val="120"/>
        </w:rPr>
        <w:t> </w:t>
      </w:r>
      <w:r>
        <w:rPr>
          <w:w w:val="120"/>
        </w:rPr>
        <w:t>for</w:t>
      </w:r>
      <w:r>
        <w:rPr>
          <w:spacing w:val="-5"/>
          <w:w w:val="120"/>
        </w:rPr>
        <w:t> </w:t>
      </w:r>
      <w:r>
        <w:rPr>
          <w:w w:val="120"/>
        </w:rPr>
        <w:t>the</w:t>
      </w:r>
      <w:r>
        <w:rPr>
          <w:spacing w:val="-6"/>
          <w:w w:val="120"/>
        </w:rPr>
        <w:t> </w:t>
      </w:r>
      <w:r>
        <w:rPr>
          <w:i/>
          <w:w w:val="120"/>
        </w:rPr>
        <w:t>Hope</w:t>
      </w:r>
      <w:r>
        <w:rPr>
          <w:i/>
          <w:spacing w:val="-7"/>
          <w:w w:val="120"/>
        </w:rPr>
        <w:t> </w:t>
      </w:r>
      <w:r>
        <w:rPr>
          <w:i/>
          <w:w w:val="120"/>
        </w:rPr>
        <w:t>in</w:t>
      </w:r>
      <w:r>
        <w:rPr>
          <w:i/>
          <w:spacing w:val="-8"/>
          <w:w w:val="120"/>
        </w:rPr>
        <w:t> </w:t>
      </w:r>
      <w:r>
        <w:rPr>
          <w:i/>
          <w:spacing w:val="-3"/>
          <w:w w:val="120"/>
        </w:rPr>
        <w:t>God’s</w:t>
      </w:r>
      <w:r>
        <w:rPr>
          <w:i/>
          <w:spacing w:val="-8"/>
          <w:w w:val="120"/>
        </w:rPr>
        <w:t> </w:t>
      </w:r>
      <w:r>
        <w:rPr>
          <w:i/>
          <w:w w:val="120"/>
        </w:rPr>
        <w:t>Future</w:t>
      </w:r>
      <w:r>
        <w:rPr>
          <w:i/>
          <w:spacing w:val="-5"/>
          <w:w w:val="120"/>
        </w:rPr>
        <w:t> </w:t>
      </w:r>
      <w:r>
        <w:rPr>
          <w:spacing w:val="2"/>
          <w:w w:val="120"/>
        </w:rPr>
        <w:t>report</w:t>
      </w:r>
      <w:r>
        <w:rPr>
          <w:spacing w:val="-5"/>
          <w:w w:val="120"/>
        </w:rPr>
        <w:t> </w:t>
      </w:r>
      <w:r>
        <w:rPr>
          <w:w w:val="120"/>
        </w:rPr>
        <w:t>and</w:t>
      </w:r>
      <w:r>
        <w:rPr>
          <w:spacing w:val="-5"/>
          <w:w w:val="120"/>
        </w:rPr>
        <w:t> </w:t>
      </w:r>
      <w:r>
        <w:rPr>
          <w:w w:val="120"/>
        </w:rPr>
        <w:t>worship</w:t>
      </w:r>
      <w:r>
        <w:rPr>
          <w:spacing w:val="-6"/>
          <w:w w:val="120"/>
        </w:rPr>
        <w:t> </w:t>
      </w:r>
      <w:r>
        <w:rPr>
          <w:w w:val="120"/>
        </w:rPr>
        <w:t>resources</w:t>
      </w:r>
      <w:r>
        <w:rPr>
          <w:spacing w:val="-5"/>
          <w:w w:val="120"/>
        </w:rPr>
        <w:t> </w:t>
      </w:r>
      <w:r>
        <w:rPr>
          <w:w w:val="120"/>
        </w:rPr>
        <w:t>for </w:t>
      </w:r>
      <w:r>
        <w:rPr>
          <w:i/>
          <w:w w:val="120"/>
        </w:rPr>
        <w:t>Peacemaking Sunday 2009</w:t>
      </w:r>
      <w:r>
        <w:rPr>
          <w:w w:val="120"/>
        </w:rPr>
        <w:t>. The resources can be downloaded from </w:t>
      </w:r>
      <w:hyperlink r:id="rId199">
        <w:r>
          <w:rPr>
            <w:w w:val="120"/>
          </w:rPr>
          <w:t>www.urc.org.uk </w:t>
        </w:r>
      </w:hyperlink>
      <w:r>
        <w:rPr>
          <w:w w:val="120"/>
        </w:rPr>
        <w:t>and </w:t>
      </w:r>
      <w:hyperlink r:id="rId389">
        <w:r>
          <w:rPr>
            <w:w w:val="120"/>
          </w:rPr>
          <w:t>www.jointpublicissues.org.uk</w:t>
        </w:r>
      </w:hyperlink>
    </w:p>
    <w:p>
      <w:pPr>
        <w:spacing w:after="0" w:line="235" w:lineRule="auto"/>
        <w:sectPr>
          <w:headerReference w:type="default" r:id="rId385"/>
          <w:footerReference w:type="default" r:id="rId386"/>
          <w:pgSz w:w="11910" w:h="16840"/>
          <w:pgMar w:header="0" w:footer="647" w:top="0" w:bottom="840" w:left="0" w:right="0"/>
          <w:pgNumType w:start="155"/>
        </w:sectPr>
      </w:pPr>
    </w:p>
    <w:p>
      <w:pPr>
        <w:pStyle w:val="ListParagraph"/>
        <w:numPr>
          <w:ilvl w:val="1"/>
          <w:numId w:val="143"/>
        </w:numPr>
        <w:tabs>
          <w:tab w:pos="1814" w:val="left" w:leader="none"/>
          <w:tab w:pos="1815" w:val="left" w:leader="none"/>
        </w:tabs>
        <w:spacing w:line="240" w:lineRule="auto" w:before="103" w:after="0"/>
        <w:ind w:left="1814" w:right="0" w:hanging="682"/>
        <w:jc w:val="left"/>
        <w:rPr>
          <w:sz w:val="20"/>
        </w:rPr>
      </w:pPr>
      <w:r>
        <w:rPr/>
        <w:pict>
          <v:shape style="position:absolute;margin-left:39.685001pt;margin-top:799.537903pt;width:321.8pt;height:15.15pt;mso-position-horizontal-relative:page;mso-position-vertical-relative:page;z-index:-267274240" type="#_x0000_t202" filled="false" stroked="false">
            <v:textbox inset="0,0,0,0">
              <w:txbxContent>
                <w:p>
                  <w:pPr>
                    <w:tabs>
                      <w:tab w:pos="736" w:val="left" w:leader="none"/>
                    </w:tabs>
                    <w:spacing w:line="302" w:lineRule="exact" w:before="0"/>
                    <w:ind w:left="0" w:right="0" w:firstLine="0"/>
                    <w:jc w:val="left"/>
                    <w:rPr>
                      <w:sz w:val="23"/>
                    </w:rPr>
                  </w:pPr>
                  <w:r>
                    <w:rPr>
                      <w:rFonts w:ascii="Stone Sans II ITC Std X Bd" w:hAnsi="Stone Sans II ITC Std X Bd"/>
                      <w:b/>
                      <w:w w:val="110"/>
                      <w:sz w:val="24"/>
                    </w:rPr>
                    <w:t>156</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38"/>
                      <w:w w:val="110"/>
                      <w:sz w:val="23"/>
                    </w:rPr>
                    <w:t> </w:t>
                  </w:r>
                  <w:r>
                    <w:rPr>
                      <w:color w:val="8BA8BD"/>
                      <w:spacing w:val="-68"/>
                      <w:w w:val="110"/>
                      <w:sz w:val="23"/>
                    </w:rPr>
                    <w:t>2010</w:t>
                  </w:r>
                </w:p>
              </w:txbxContent>
            </v:textbox>
            <w10:wrap type="none"/>
          </v:shape>
        </w:pict>
      </w:r>
      <w:r>
        <w:rPr/>
        <w:pict>
          <v:rect style="position:absolute;margin-left:12.047pt;margin-top:8.467772pt;width:22.677pt;height:22.677pt;mso-position-horizontal-relative:page;mso-position-vertical-relative:paragraph;z-index:252150784" filled="true" fillcolor="#dae4ec" stroked="false">
            <v:fill opacity="32768f" type="solid"/>
            <w10:wrap type="none"/>
          </v:rect>
        </w:pict>
      </w:r>
      <w:r>
        <w:rPr/>
        <w:pict>
          <v:group style="position:absolute;margin-left:0pt;margin-top:628.940918pt;width:595.3pt;height:212.95pt;mso-position-horizontal-relative:page;mso-position-vertical-relative:page;z-index:252152832" coordorigin="0,12579" coordsize="11906,4259">
            <v:rect style="position:absolute;left:0;top:14445;width:11906;height:2393" filled="true" fillcolor="#8ba8bd" stroked="false">
              <v:fill type="solid"/>
            </v:rect>
            <v:shape style="position:absolute;left:0;top:12607;width:6024;height:4231" type="#_x0000_t75" stroked="false">
              <v:imagedata r:id="rId393" o:title=""/>
            </v:shape>
            <v:shape style="position:absolute;left:4512;top:12578;width:1540;height:1513" coordorigin="4512,12579" coordsize="1540,1513" path="m6052,12579l4515,12579,4591,12581,4666,12586,4740,12595,4813,12608,4885,12624,4955,12643,5024,12665,5092,12691,5158,12719,5222,12751,5284,12785,5345,12822,5404,12862,5461,12904,5516,12949,5568,12996,5619,13046,5667,13098,5713,13152,5756,13209,5796,13267,5834,13327,5870,13389,5902,13453,5931,13518,5958,13585,5981,13654,6002,13724,6018,13795,6032,13867,6042,13941,6049,14016,6052,14091,6052,12579xm4514,12579l4512,12579,4512,12579,4513,12579,4514,12579xe" filled="true" fillcolor="#ffffff" stroked="false">
              <v:path arrowok="t"/>
              <v:fill type="solid"/>
            </v:shape>
            <v:shape style="position:absolute;left:10392;top:12934;width:1513;height:1540" coordorigin="10393,12934" coordsize="1513,1540" path="m11906,12937l11904,13013,11898,13088,11889,13162,11877,13235,11861,13307,11842,13377,11819,13446,11794,13513,11765,13579,11734,13644,11699,13706,11662,13767,11623,13826,11580,13883,11535,13937,11488,13990,11438,14041,11386,14089,11332,14134,11276,14178,11217,14218,11157,14256,11095,14291,11031,14324,10966,14353,10899,14380,10830,14403,10761,14423,10689,14440,10617,14454,10543,14464,10469,14471,10393,14474,11906,14474,11906,12937xm11906,12934l11905,12934,11906,12936,11906,12934xe" filled="true" fillcolor="#8ba8bd" stroked="false">
              <v:path arrowok="t"/>
              <v:fill type="solid"/>
            </v:shape>
            <v:shape style="position:absolute;left:6207;top:14621;width:4436;height:219" type="#_x0000_t202" filled="false" stroked="false">
              <v:textbox inset="0,0,0,0">
                <w:txbxContent>
                  <w:p>
                    <w:pPr>
                      <w:spacing w:line="217" w:lineRule="exact" w:before="1"/>
                      <w:ind w:left="0" w:right="0" w:firstLine="0"/>
                      <w:jc w:val="left"/>
                      <w:rPr>
                        <w:sz w:val="18"/>
                      </w:rPr>
                    </w:pPr>
                    <w:r>
                      <w:rPr>
                        <w:color w:val="FFFFFF"/>
                        <w:w w:val="110"/>
                        <w:sz w:val="18"/>
                      </w:rPr>
                      <w:t>Launch of the Multicultural Congregation Story Award</w:t>
                    </w:r>
                  </w:p>
                </w:txbxContent>
              </v:textbox>
              <w10:wrap type="none"/>
            </v:shape>
            <w10:wrap type="none"/>
          </v:group>
        </w:pict>
      </w:r>
      <w:r>
        <w:rPr>
          <w:w w:val="120"/>
          <w:sz w:val="20"/>
        </w:rPr>
        <w:t>Identity</w:t>
      </w:r>
    </w:p>
    <w:p>
      <w:pPr>
        <w:pStyle w:val="BodyText"/>
        <w:spacing w:before="8"/>
        <w:rPr>
          <w:sz w:val="19"/>
        </w:rPr>
      </w:pPr>
    </w:p>
    <w:p>
      <w:pPr>
        <w:pStyle w:val="ListParagraph"/>
        <w:numPr>
          <w:ilvl w:val="2"/>
          <w:numId w:val="143"/>
        </w:numPr>
        <w:tabs>
          <w:tab w:pos="1815" w:val="left" w:leader="none"/>
        </w:tabs>
        <w:spacing w:line="235" w:lineRule="auto" w:before="0" w:after="0"/>
        <w:ind w:left="1133" w:right="2118" w:firstLine="0"/>
        <w:jc w:val="left"/>
        <w:rPr>
          <w:sz w:val="20"/>
        </w:rPr>
      </w:pPr>
      <w:r>
        <w:rPr>
          <w:w w:val="120"/>
          <w:sz w:val="20"/>
        </w:rPr>
        <w:t>Through the </w:t>
      </w:r>
      <w:r>
        <w:rPr>
          <w:i/>
          <w:w w:val="120"/>
          <w:sz w:val="20"/>
        </w:rPr>
        <w:t>Marketing Campaign </w:t>
      </w:r>
      <w:r>
        <w:rPr>
          <w:w w:val="120"/>
          <w:sz w:val="20"/>
        </w:rPr>
        <w:t>and other programmes the Mission Committee is</w:t>
      </w:r>
      <w:r>
        <w:rPr>
          <w:spacing w:val="7"/>
          <w:w w:val="120"/>
          <w:sz w:val="20"/>
        </w:rPr>
        <w:t> </w:t>
      </w:r>
      <w:r>
        <w:rPr>
          <w:w w:val="120"/>
          <w:sz w:val="20"/>
        </w:rPr>
        <w:t>supporting</w:t>
      </w:r>
      <w:r>
        <w:rPr>
          <w:spacing w:val="8"/>
          <w:w w:val="120"/>
          <w:sz w:val="20"/>
        </w:rPr>
        <w:t> </w:t>
      </w:r>
      <w:r>
        <w:rPr>
          <w:w w:val="120"/>
          <w:sz w:val="20"/>
        </w:rPr>
        <w:t>local</w:t>
      </w:r>
      <w:r>
        <w:rPr>
          <w:spacing w:val="8"/>
          <w:w w:val="120"/>
          <w:sz w:val="20"/>
        </w:rPr>
        <w:t> </w:t>
      </w:r>
      <w:r>
        <w:rPr>
          <w:w w:val="120"/>
          <w:sz w:val="20"/>
        </w:rPr>
        <w:t>churches</w:t>
      </w:r>
      <w:r>
        <w:rPr>
          <w:spacing w:val="8"/>
          <w:w w:val="120"/>
          <w:sz w:val="20"/>
        </w:rPr>
        <w:t> </w:t>
      </w:r>
      <w:r>
        <w:rPr>
          <w:w w:val="120"/>
          <w:sz w:val="20"/>
        </w:rPr>
        <w:t>in</w:t>
      </w:r>
      <w:r>
        <w:rPr>
          <w:spacing w:val="8"/>
          <w:w w:val="120"/>
          <w:sz w:val="20"/>
        </w:rPr>
        <w:t> </w:t>
      </w:r>
      <w:r>
        <w:rPr>
          <w:w w:val="120"/>
          <w:sz w:val="20"/>
        </w:rPr>
        <w:t>strengthening</w:t>
      </w:r>
      <w:r>
        <w:rPr>
          <w:spacing w:val="8"/>
          <w:w w:val="120"/>
          <w:sz w:val="20"/>
        </w:rPr>
        <w:t> </w:t>
      </w:r>
      <w:r>
        <w:rPr>
          <w:w w:val="120"/>
          <w:sz w:val="20"/>
        </w:rPr>
        <w:t>their</w:t>
      </w:r>
      <w:r>
        <w:rPr>
          <w:spacing w:val="8"/>
          <w:w w:val="120"/>
          <w:sz w:val="20"/>
        </w:rPr>
        <w:t> </w:t>
      </w:r>
      <w:r>
        <w:rPr>
          <w:w w:val="120"/>
          <w:sz w:val="20"/>
        </w:rPr>
        <w:t>sense</w:t>
      </w:r>
      <w:r>
        <w:rPr>
          <w:spacing w:val="8"/>
          <w:w w:val="120"/>
          <w:sz w:val="20"/>
        </w:rPr>
        <w:t> </w:t>
      </w:r>
      <w:r>
        <w:rPr>
          <w:w w:val="120"/>
          <w:sz w:val="20"/>
        </w:rPr>
        <w:t>of</w:t>
      </w:r>
      <w:r>
        <w:rPr>
          <w:spacing w:val="8"/>
          <w:w w:val="120"/>
          <w:sz w:val="20"/>
        </w:rPr>
        <w:t> </w:t>
      </w:r>
      <w:r>
        <w:rPr>
          <w:w w:val="120"/>
          <w:sz w:val="20"/>
        </w:rPr>
        <w:t>identity,</w:t>
      </w:r>
      <w:r>
        <w:rPr>
          <w:spacing w:val="8"/>
          <w:w w:val="120"/>
          <w:sz w:val="20"/>
        </w:rPr>
        <w:t> </w:t>
      </w:r>
      <w:r>
        <w:rPr>
          <w:w w:val="120"/>
          <w:sz w:val="20"/>
        </w:rPr>
        <w:t>focus</w:t>
      </w:r>
      <w:r>
        <w:rPr>
          <w:spacing w:val="8"/>
          <w:w w:val="120"/>
          <w:sz w:val="20"/>
        </w:rPr>
        <w:t> </w:t>
      </w:r>
      <w:r>
        <w:rPr>
          <w:w w:val="120"/>
          <w:sz w:val="20"/>
        </w:rPr>
        <w:t>and</w:t>
      </w:r>
      <w:r>
        <w:rPr>
          <w:spacing w:val="8"/>
          <w:w w:val="120"/>
          <w:sz w:val="20"/>
        </w:rPr>
        <w:t> </w:t>
      </w:r>
      <w:r>
        <w:rPr>
          <w:w w:val="120"/>
          <w:sz w:val="20"/>
        </w:rPr>
        <w:t>purpose.</w:t>
      </w:r>
    </w:p>
    <w:p>
      <w:pPr>
        <w:pStyle w:val="BodyText"/>
        <w:spacing w:before="9"/>
        <w:rPr>
          <w:sz w:val="19"/>
        </w:rPr>
      </w:pPr>
    </w:p>
    <w:p>
      <w:pPr>
        <w:pStyle w:val="ListParagraph"/>
        <w:numPr>
          <w:ilvl w:val="2"/>
          <w:numId w:val="143"/>
        </w:numPr>
        <w:tabs>
          <w:tab w:pos="1815" w:val="left" w:leader="none"/>
        </w:tabs>
        <w:spacing w:line="235" w:lineRule="auto" w:before="1" w:after="0"/>
        <w:ind w:left="1133" w:right="2392" w:firstLine="0"/>
        <w:jc w:val="left"/>
        <w:rPr>
          <w:sz w:val="20"/>
        </w:rPr>
      </w:pPr>
      <w:r>
        <w:rPr>
          <w:w w:val="120"/>
          <w:sz w:val="20"/>
        </w:rPr>
        <w:t>In March </w:t>
      </w:r>
      <w:r>
        <w:rPr>
          <w:spacing w:val="-6"/>
          <w:w w:val="120"/>
          <w:sz w:val="20"/>
        </w:rPr>
        <w:t>2010 </w:t>
      </w:r>
      <w:r>
        <w:rPr>
          <w:w w:val="120"/>
          <w:sz w:val="20"/>
        </w:rPr>
        <w:t>the </w:t>
      </w:r>
      <w:r>
        <w:rPr>
          <w:i/>
          <w:w w:val="120"/>
          <w:sz w:val="20"/>
        </w:rPr>
        <w:t>Marketing Campaign </w:t>
      </w:r>
      <w:r>
        <w:rPr>
          <w:w w:val="120"/>
          <w:sz w:val="20"/>
        </w:rPr>
        <w:t>steering group asked Mission</w:t>
      </w:r>
      <w:r>
        <w:rPr>
          <w:spacing w:val="-35"/>
          <w:w w:val="120"/>
          <w:sz w:val="20"/>
        </w:rPr>
        <w:t> </w:t>
      </w:r>
      <w:r>
        <w:rPr>
          <w:w w:val="120"/>
          <w:sz w:val="20"/>
        </w:rPr>
        <w:t>Council’s help in articulating what made them feel passionate or excited about the United Reformed</w:t>
      </w:r>
      <w:r>
        <w:rPr>
          <w:spacing w:val="2"/>
          <w:w w:val="120"/>
          <w:sz w:val="20"/>
        </w:rPr>
        <w:t> </w:t>
      </w:r>
      <w:r>
        <w:rPr>
          <w:w w:val="120"/>
          <w:sz w:val="20"/>
        </w:rPr>
        <w:t>Church.</w:t>
      </w:r>
    </w:p>
    <w:p>
      <w:pPr>
        <w:pStyle w:val="BodyText"/>
        <w:spacing w:before="10"/>
        <w:rPr>
          <w:sz w:val="19"/>
        </w:rPr>
      </w:pPr>
    </w:p>
    <w:p>
      <w:pPr>
        <w:spacing w:line="235" w:lineRule="auto" w:before="0"/>
        <w:ind w:left="1814" w:right="2084" w:firstLine="0"/>
        <w:jc w:val="left"/>
        <w:rPr>
          <w:i/>
          <w:sz w:val="20"/>
        </w:rPr>
      </w:pPr>
      <w:r>
        <w:rPr>
          <w:i/>
          <w:w w:val="115"/>
          <w:sz w:val="20"/>
        </w:rPr>
        <w:t>One member told the story of a man who was unconnected with the church </w:t>
      </w:r>
      <w:r>
        <w:rPr>
          <w:i/>
          <w:spacing w:val="-3"/>
          <w:w w:val="115"/>
          <w:sz w:val="20"/>
        </w:rPr>
        <w:t>(except </w:t>
      </w:r>
      <w:r>
        <w:rPr>
          <w:i/>
          <w:w w:val="115"/>
          <w:sz w:val="20"/>
        </w:rPr>
        <w:t>through his </w:t>
      </w:r>
      <w:r>
        <w:rPr>
          <w:i/>
          <w:spacing w:val="-3"/>
          <w:w w:val="115"/>
          <w:sz w:val="20"/>
        </w:rPr>
        <w:t>wife) </w:t>
      </w:r>
      <w:r>
        <w:rPr>
          <w:i/>
          <w:w w:val="115"/>
          <w:sz w:val="20"/>
        </w:rPr>
        <w:t>and who attended a church meeting. Afterwards he said it was one of the most amazing meetings </w:t>
      </w:r>
      <w:r>
        <w:rPr>
          <w:i/>
          <w:spacing w:val="-6"/>
          <w:w w:val="115"/>
          <w:sz w:val="20"/>
        </w:rPr>
        <w:t>he’d </w:t>
      </w:r>
      <w:r>
        <w:rPr>
          <w:i/>
          <w:w w:val="115"/>
          <w:sz w:val="20"/>
        </w:rPr>
        <w:t>ever been to. It had discussed the church toilets, a scheme</w:t>
      </w:r>
      <w:r>
        <w:rPr>
          <w:i/>
          <w:spacing w:val="-16"/>
          <w:w w:val="115"/>
          <w:sz w:val="20"/>
        </w:rPr>
        <w:t> </w:t>
      </w:r>
      <w:r>
        <w:rPr>
          <w:i/>
          <w:w w:val="115"/>
          <w:sz w:val="20"/>
        </w:rPr>
        <w:t>to</w:t>
      </w:r>
      <w:r>
        <w:rPr>
          <w:i/>
          <w:spacing w:val="-16"/>
          <w:w w:val="115"/>
          <w:sz w:val="20"/>
        </w:rPr>
        <w:t> </w:t>
      </w:r>
      <w:r>
        <w:rPr>
          <w:i/>
          <w:w w:val="115"/>
          <w:sz w:val="20"/>
        </w:rPr>
        <w:t>treat</w:t>
      </w:r>
      <w:r>
        <w:rPr>
          <w:i/>
          <w:spacing w:val="-15"/>
          <w:w w:val="115"/>
          <w:sz w:val="20"/>
        </w:rPr>
        <w:t> </w:t>
      </w:r>
      <w:r>
        <w:rPr>
          <w:i/>
          <w:spacing w:val="3"/>
          <w:w w:val="115"/>
          <w:sz w:val="20"/>
        </w:rPr>
        <w:t>dry</w:t>
      </w:r>
      <w:r>
        <w:rPr>
          <w:i/>
          <w:spacing w:val="-16"/>
          <w:w w:val="115"/>
          <w:sz w:val="20"/>
        </w:rPr>
        <w:t> </w:t>
      </w:r>
      <w:r>
        <w:rPr>
          <w:i/>
          <w:w w:val="115"/>
          <w:sz w:val="20"/>
        </w:rPr>
        <w:t>rot,</w:t>
      </w:r>
      <w:r>
        <w:rPr>
          <w:i/>
          <w:spacing w:val="-16"/>
          <w:w w:val="115"/>
          <w:sz w:val="20"/>
        </w:rPr>
        <w:t> </w:t>
      </w:r>
      <w:r>
        <w:rPr>
          <w:i/>
          <w:w w:val="115"/>
          <w:sz w:val="20"/>
        </w:rPr>
        <w:t>its</w:t>
      </w:r>
      <w:r>
        <w:rPr>
          <w:i/>
          <w:spacing w:val="-15"/>
          <w:w w:val="115"/>
          <w:sz w:val="20"/>
        </w:rPr>
        <w:t> </w:t>
      </w:r>
      <w:r>
        <w:rPr>
          <w:i/>
          <w:w w:val="115"/>
          <w:sz w:val="20"/>
        </w:rPr>
        <w:t>commitment</w:t>
      </w:r>
      <w:r>
        <w:rPr>
          <w:i/>
          <w:spacing w:val="-16"/>
          <w:w w:val="115"/>
          <w:sz w:val="20"/>
        </w:rPr>
        <w:t> </w:t>
      </w:r>
      <w:r>
        <w:rPr>
          <w:i/>
          <w:w w:val="115"/>
          <w:sz w:val="20"/>
        </w:rPr>
        <w:t>to</w:t>
      </w:r>
      <w:r>
        <w:rPr>
          <w:i/>
          <w:spacing w:val="-15"/>
          <w:w w:val="115"/>
          <w:sz w:val="20"/>
        </w:rPr>
        <w:t> </w:t>
      </w:r>
      <w:r>
        <w:rPr>
          <w:i/>
          <w:w w:val="115"/>
          <w:sz w:val="20"/>
        </w:rPr>
        <w:t>work</w:t>
      </w:r>
      <w:r>
        <w:rPr>
          <w:i/>
          <w:spacing w:val="-16"/>
          <w:w w:val="115"/>
          <w:sz w:val="20"/>
        </w:rPr>
        <w:t> </w:t>
      </w:r>
      <w:r>
        <w:rPr>
          <w:i/>
          <w:w w:val="115"/>
          <w:sz w:val="20"/>
        </w:rPr>
        <w:t>with</w:t>
      </w:r>
      <w:r>
        <w:rPr>
          <w:i/>
          <w:spacing w:val="-16"/>
          <w:w w:val="115"/>
          <w:sz w:val="20"/>
        </w:rPr>
        <w:t> </w:t>
      </w:r>
      <w:r>
        <w:rPr>
          <w:i/>
          <w:w w:val="115"/>
          <w:sz w:val="20"/>
        </w:rPr>
        <w:t>families</w:t>
      </w:r>
      <w:r>
        <w:rPr>
          <w:i/>
          <w:spacing w:val="-15"/>
          <w:w w:val="115"/>
          <w:sz w:val="20"/>
        </w:rPr>
        <w:t> </w:t>
      </w:r>
      <w:r>
        <w:rPr>
          <w:i/>
          <w:w w:val="115"/>
          <w:sz w:val="20"/>
        </w:rPr>
        <w:t>recommended</w:t>
      </w:r>
      <w:r>
        <w:rPr>
          <w:i/>
          <w:spacing w:val="-16"/>
          <w:w w:val="115"/>
          <w:sz w:val="20"/>
        </w:rPr>
        <w:t> </w:t>
      </w:r>
      <w:r>
        <w:rPr>
          <w:i/>
          <w:w w:val="115"/>
          <w:sz w:val="20"/>
        </w:rPr>
        <w:t>by</w:t>
      </w:r>
      <w:r>
        <w:rPr>
          <w:i/>
          <w:spacing w:val="-15"/>
          <w:w w:val="115"/>
          <w:sz w:val="20"/>
        </w:rPr>
        <w:t> </w:t>
      </w:r>
      <w:r>
        <w:rPr>
          <w:i/>
          <w:w w:val="115"/>
          <w:sz w:val="20"/>
        </w:rPr>
        <w:t>Social Services over a Christmas pageant, and a scheme to bring over a black South African student</w:t>
      </w:r>
      <w:r>
        <w:rPr>
          <w:i/>
          <w:spacing w:val="-8"/>
          <w:w w:val="115"/>
          <w:sz w:val="20"/>
        </w:rPr>
        <w:t> </w:t>
      </w:r>
      <w:r>
        <w:rPr>
          <w:i/>
          <w:w w:val="115"/>
          <w:sz w:val="20"/>
        </w:rPr>
        <w:t>to</w:t>
      </w:r>
      <w:r>
        <w:rPr>
          <w:i/>
          <w:spacing w:val="-8"/>
          <w:w w:val="115"/>
          <w:sz w:val="20"/>
        </w:rPr>
        <w:t> </w:t>
      </w:r>
      <w:r>
        <w:rPr>
          <w:i/>
          <w:w w:val="115"/>
          <w:sz w:val="20"/>
        </w:rPr>
        <w:t>study</w:t>
      </w:r>
      <w:r>
        <w:rPr>
          <w:i/>
          <w:spacing w:val="-7"/>
          <w:w w:val="115"/>
          <w:sz w:val="20"/>
        </w:rPr>
        <w:t> </w:t>
      </w:r>
      <w:r>
        <w:rPr>
          <w:i/>
          <w:w w:val="115"/>
          <w:sz w:val="20"/>
        </w:rPr>
        <w:t>in</w:t>
      </w:r>
      <w:r>
        <w:rPr>
          <w:i/>
          <w:spacing w:val="-8"/>
          <w:w w:val="115"/>
          <w:sz w:val="20"/>
        </w:rPr>
        <w:t> </w:t>
      </w:r>
      <w:r>
        <w:rPr>
          <w:i/>
          <w:w w:val="115"/>
          <w:sz w:val="20"/>
        </w:rPr>
        <w:t>Wales</w:t>
      </w:r>
      <w:r>
        <w:rPr>
          <w:i/>
          <w:spacing w:val="-7"/>
          <w:w w:val="115"/>
          <w:sz w:val="20"/>
        </w:rPr>
        <w:t> </w:t>
      </w:r>
      <w:r>
        <w:rPr>
          <w:i/>
          <w:w w:val="115"/>
          <w:sz w:val="20"/>
        </w:rPr>
        <w:t>(in</w:t>
      </w:r>
      <w:r>
        <w:rPr>
          <w:i/>
          <w:spacing w:val="-8"/>
          <w:w w:val="115"/>
          <w:sz w:val="20"/>
        </w:rPr>
        <w:t> </w:t>
      </w:r>
      <w:r>
        <w:rPr>
          <w:i/>
          <w:w w:val="115"/>
          <w:sz w:val="20"/>
        </w:rPr>
        <w:t>the</w:t>
      </w:r>
      <w:r>
        <w:rPr>
          <w:i/>
          <w:spacing w:val="-8"/>
          <w:w w:val="115"/>
          <w:sz w:val="20"/>
        </w:rPr>
        <w:t> </w:t>
      </w:r>
      <w:r>
        <w:rPr>
          <w:i/>
          <w:w w:val="115"/>
          <w:sz w:val="20"/>
        </w:rPr>
        <w:t>middle</w:t>
      </w:r>
      <w:r>
        <w:rPr>
          <w:i/>
          <w:spacing w:val="-7"/>
          <w:w w:val="115"/>
          <w:sz w:val="20"/>
        </w:rPr>
        <w:t> </w:t>
      </w:r>
      <w:r>
        <w:rPr>
          <w:i/>
          <w:w w:val="115"/>
          <w:sz w:val="20"/>
        </w:rPr>
        <w:t>of</w:t>
      </w:r>
      <w:r>
        <w:rPr>
          <w:i/>
          <w:spacing w:val="-8"/>
          <w:w w:val="115"/>
          <w:sz w:val="20"/>
        </w:rPr>
        <w:t> </w:t>
      </w:r>
      <w:r>
        <w:rPr>
          <w:i/>
          <w:w w:val="115"/>
          <w:sz w:val="20"/>
        </w:rPr>
        <w:t>the</w:t>
      </w:r>
      <w:r>
        <w:rPr>
          <w:i/>
          <w:spacing w:val="-7"/>
          <w:w w:val="115"/>
          <w:sz w:val="20"/>
        </w:rPr>
        <w:t> </w:t>
      </w:r>
      <w:r>
        <w:rPr>
          <w:i/>
          <w:w w:val="115"/>
          <w:sz w:val="20"/>
        </w:rPr>
        <w:t>apartheid</w:t>
      </w:r>
      <w:r>
        <w:rPr>
          <w:i/>
          <w:spacing w:val="-8"/>
          <w:w w:val="115"/>
          <w:sz w:val="20"/>
        </w:rPr>
        <w:t> </w:t>
      </w:r>
      <w:r>
        <w:rPr>
          <w:i/>
          <w:spacing w:val="-3"/>
          <w:w w:val="115"/>
          <w:sz w:val="20"/>
        </w:rPr>
        <w:t>regime)</w:t>
      </w:r>
      <w:r>
        <w:rPr>
          <w:i/>
          <w:spacing w:val="-8"/>
          <w:w w:val="115"/>
          <w:sz w:val="20"/>
        </w:rPr>
        <w:t> </w:t>
      </w:r>
      <w:r>
        <w:rPr>
          <w:i/>
          <w:w w:val="115"/>
          <w:sz w:val="20"/>
        </w:rPr>
        <w:t>–</w:t>
      </w:r>
      <w:r>
        <w:rPr>
          <w:i/>
          <w:spacing w:val="-7"/>
          <w:w w:val="115"/>
          <w:sz w:val="20"/>
        </w:rPr>
        <w:t> </w:t>
      </w:r>
      <w:r>
        <w:rPr>
          <w:i/>
          <w:w w:val="115"/>
          <w:sz w:val="20"/>
        </w:rPr>
        <w:t>all</w:t>
      </w:r>
      <w:r>
        <w:rPr>
          <w:i/>
          <w:spacing w:val="-8"/>
          <w:w w:val="115"/>
          <w:sz w:val="20"/>
        </w:rPr>
        <w:t> </w:t>
      </w:r>
      <w:r>
        <w:rPr>
          <w:i/>
          <w:w w:val="115"/>
          <w:sz w:val="20"/>
        </w:rPr>
        <w:t>in</w:t>
      </w:r>
      <w:r>
        <w:rPr>
          <w:i/>
          <w:spacing w:val="-7"/>
          <w:w w:val="115"/>
          <w:sz w:val="20"/>
        </w:rPr>
        <w:t> </w:t>
      </w:r>
      <w:r>
        <w:rPr>
          <w:i/>
          <w:w w:val="115"/>
          <w:sz w:val="20"/>
        </w:rPr>
        <w:t>one</w:t>
      </w:r>
      <w:r>
        <w:rPr>
          <w:i/>
          <w:spacing w:val="-8"/>
          <w:w w:val="115"/>
          <w:sz w:val="20"/>
        </w:rPr>
        <w:t> </w:t>
      </w:r>
      <w:r>
        <w:rPr>
          <w:i/>
          <w:w w:val="115"/>
          <w:sz w:val="20"/>
        </w:rPr>
        <w:t>and</w:t>
      </w:r>
      <w:r>
        <w:rPr>
          <w:i/>
          <w:spacing w:val="-8"/>
          <w:w w:val="115"/>
          <w:sz w:val="20"/>
        </w:rPr>
        <w:t> </w:t>
      </w:r>
      <w:r>
        <w:rPr>
          <w:i/>
          <w:w w:val="115"/>
          <w:sz w:val="20"/>
        </w:rPr>
        <w:t>a</w:t>
      </w:r>
      <w:r>
        <w:rPr>
          <w:i/>
          <w:spacing w:val="-7"/>
          <w:w w:val="115"/>
          <w:sz w:val="20"/>
        </w:rPr>
        <w:t> </w:t>
      </w:r>
      <w:r>
        <w:rPr>
          <w:i/>
          <w:w w:val="115"/>
          <w:sz w:val="20"/>
        </w:rPr>
        <w:t>half hours. </w:t>
      </w:r>
      <w:r>
        <w:rPr>
          <w:i/>
          <w:spacing w:val="-4"/>
          <w:w w:val="115"/>
          <w:sz w:val="20"/>
        </w:rPr>
        <w:t>‘I’d </w:t>
      </w:r>
      <w:r>
        <w:rPr>
          <w:i/>
          <w:w w:val="115"/>
          <w:sz w:val="20"/>
        </w:rPr>
        <w:t>like to work with this </w:t>
      </w:r>
      <w:r>
        <w:rPr>
          <w:i/>
          <w:spacing w:val="-3"/>
          <w:w w:val="115"/>
          <w:sz w:val="20"/>
        </w:rPr>
        <w:t>church,’ </w:t>
      </w:r>
      <w:r>
        <w:rPr>
          <w:i/>
          <w:w w:val="115"/>
          <w:sz w:val="20"/>
        </w:rPr>
        <w:t>he</w:t>
      </w:r>
      <w:r>
        <w:rPr>
          <w:i/>
          <w:spacing w:val="5"/>
          <w:w w:val="115"/>
          <w:sz w:val="20"/>
        </w:rPr>
        <w:t> </w:t>
      </w:r>
      <w:r>
        <w:rPr>
          <w:i/>
          <w:w w:val="115"/>
          <w:sz w:val="20"/>
        </w:rPr>
        <w:t>said.</w:t>
      </w:r>
    </w:p>
    <w:p>
      <w:pPr>
        <w:pStyle w:val="BodyText"/>
        <w:rPr>
          <w:i/>
        </w:rPr>
      </w:pPr>
    </w:p>
    <w:p>
      <w:pPr>
        <w:spacing w:line="235" w:lineRule="auto" w:before="1"/>
        <w:ind w:left="1814" w:right="2191" w:firstLine="0"/>
        <w:jc w:val="left"/>
        <w:rPr>
          <w:i/>
          <w:sz w:val="20"/>
        </w:rPr>
      </w:pPr>
      <w:r>
        <w:rPr>
          <w:i/>
          <w:w w:val="110"/>
          <w:sz w:val="20"/>
        </w:rPr>
        <w:t>This was echoed by a synod moderator a few days later. He said that they’d been </w:t>
      </w:r>
      <w:r>
        <w:rPr>
          <w:i/>
          <w:w w:val="110"/>
          <w:sz w:val="20"/>
        </w:rPr>
        <w:t>inducting a new synod officer and the man’s wife had come to attend the induction, which was during the opening worship. She had only intended to stay for that first half hour but stayed on for the presentation about climate change, then the one about children in detention, then the synod business. At 4.30 in the afternoon she was still there. ‘I had no idea there was a church like this!’ she said.</w:t>
      </w:r>
    </w:p>
    <w:p>
      <w:pPr>
        <w:pStyle w:val="BodyText"/>
        <w:rPr>
          <w:i/>
        </w:rPr>
      </w:pPr>
    </w:p>
    <w:p>
      <w:pPr>
        <w:pStyle w:val="BodyText"/>
        <w:spacing w:line="235" w:lineRule="auto"/>
        <w:ind w:left="1133" w:right="1997"/>
      </w:pPr>
      <w:r>
        <w:rPr>
          <w:w w:val="120"/>
        </w:rPr>
        <w:t>It all confirms the conviction behind the </w:t>
      </w:r>
      <w:r>
        <w:rPr>
          <w:i/>
          <w:w w:val="120"/>
        </w:rPr>
        <w:t>Marketing Campaign </w:t>
      </w:r>
      <w:r>
        <w:rPr>
          <w:w w:val="120"/>
        </w:rPr>
        <w:t>– that if people knew a Church like ours existed, some of them would want to join us.</w:t>
      </w:r>
    </w:p>
    <w:p>
      <w:pPr>
        <w:pStyle w:val="BodyText"/>
        <w:spacing w:before="5"/>
        <w:rPr>
          <w:sz w:val="19"/>
        </w:rPr>
      </w:pPr>
    </w:p>
    <w:p>
      <w:pPr>
        <w:spacing w:before="0"/>
        <w:ind w:left="1133" w:right="0" w:firstLine="0"/>
        <w:jc w:val="left"/>
        <w:rPr>
          <w:sz w:val="20"/>
        </w:rPr>
      </w:pPr>
      <w:r>
        <w:rPr>
          <w:w w:val="120"/>
          <w:sz w:val="20"/>
        </w:rPr>
        <w:t>A full report on the </w:t>
      </w:r>
      <w:r>
        <w:rPr>
          <w:i/>
          <w:w w:val="120"/>
          <w:sz w:val="20"/>
        </w:rPr>
        <w:t>Marketing Campaign </w:t>
      </w:r>
      <w:r>
        <w:rPr>
          <w:w w:val="120"/>
          <w:sz w:val="20"/>
        </w:rPr>
        <w:t>can be found on page 37 of the Book of Reports.</w:t>
      </w:r>
    </w:p>
    <w:p>
      <w:pPr>
        <w:pStyle w:val="BodyText"/>
        <w:spacing w:before="8"/>
        <w:rPr>
          <w:sz w:val="19"/>
        </w:rPr>
      </w:pPr>
    </w:p>
    <w:p>
      <w:pPr>
        <w:pStyle w:val="ListParagraph"/>
        <w:numPr>
          <w:ilvl w:val="2"/>
          <w:numId w:val="143"/>
        </w:numPr>
        <w:tabs>
          <w:tab w:pos="1815" w:val="left" w:leader="none"/>
        </w:tabs>
        <w:spacing w:line="235" w:lineRule="auto" w:before="0" w:after="0"/>
        <w:ind w:left="1133" w:right="2118" w:firstLine="0"/>
        <w:jc w:val="left"/>
        <w:rPr>
          <w:sz w:val="20"/>
        </w:rPr>
      </w:pPr>
      <w:r>
        <w:rPr>
          <w:w w:val="120"/>
          <w:sz w:val="20"/>
        </w:rPr>
        <w:t>Racial Justice and Multicultural Ministry launched the Multicultural Congregation Story Award in 2009. This project, which is an invitation for any congregation of the   URC to tell its story, has seen from the first year of its launch, a number of stories of congregational life and practice. What are these stories</w:t>
      </w:r>
      <w:r>
        <w:rPr>
          <w:spacing w:val="14"/>
          <w:w w:val="120"/>
          <w:sz w:val="20"/>
        </w:rPr>
        <w:t> </w:t>
      </w:r>
      <w:r>
        <w:rPr>
          <w:spacing w:val="-3"/>
          <w:w w:val="120"/>
          <w:sz w:val="20"/>
        </w:rPr>
        <w:t>like?</w:t>
      </w:r>
    </w:p>
    <w:p>
      <w:pPr>
        <w:pStyle w:val="BodyText"/>
        <w:rPr>
          <w:sz w:val="24"/>
        </w:rPr>
      </w:pPr>
    </w:p>
    <w:p>
      <w:pPr>
        <w:spacing w:line="235" w:lineRule="auto" w:before="190"/>
        <w:ind w:left="1814" w:right="2807" w:firstLine="0"/>
        <w:jc w:val="left"/>
        <w:rPr>
          <w:i/>
          <w:sz w:val="20"/>
        </w:rPr>
      </w:pPr>
      <w:r>
        <w:rPr>
          <w:i/>
          <w:w w:val="110"/>
          <w:sz w:val="20"/>
        </w:rPr>
        <w:t>Heaton Way URC, Romford, a small church which has grown from being teeny    </w:t>
      </w:r>
      <w:r>
        <w:rPr>
          <w:i/>
          <w:w w:val="110"/>
          <w:sz w:val="20"/>
        </w:rPr>
        <w:t>tiny to small; from being 100% white working class to becoming multicultural and intergenerational. They told their story around ‘The Heaton Way</w:t>
      </w:r>
      <w:r>
        <w:rPr>
          <w:i/>
          <w:spacing w:val="46"/>
          <w:w w:val="110"/>
          <w:sz w:val="20"/>
        </w:rPr>
        <w:t> </w:t>
      </w:r>
      <w:r>
        <w:rPr>
          <w:i/>
          <w:spacing w:val="-7"/>
          <w:w w:val="110"/>
          <w:sz w:val="20"/>
        </w:rPr>
        <w:t>Tree.’</w:t>
      </w:r>
    </w:p>
    <w:p>
      <w:pPr>
        <w:pStyle w:val="BodyText"/>
        <w:spacing w:before="10"/>
        <w:rPr>
          <w:i/>
          <w:sz w:val="19"/>
        </w:rPr>
      </w:pPr>
    </w:p>
    <w:p>
      <w:pPr>
        <w:spacing w:line="235" w:lineRule="auto" w:before="0"/>
        <w:ind w:left="1814" w:right="1977" w:firstLine="0"/>
        <w:jc w:val="left"/>
        <w:rPr>
          <w:i/>
          <w:sz w:val="20"/>
        </w:rPr>
      </w:pPr>
      <w:r>
        <w:rPr>
          <w:i/>
          <w:w w:val="110"/>
          <w:sz w:val="20"/>
        </w:rPr>
        <w:t>Balsall Heath URC, Birmingham – a small to reasonably sized congregation, intentionally </w:t>
      </w:r>
      <w:r>
        <w:rPr>
          <w:i/>
          <w:w w:val="110"/>
          <w:sz w:val="20"/>
        </w:rPr>
        <w:t>diverse and always welcoming, told their story through ‘The Tree of our Life’ project. Their photo journey and the different colours of the fruit and leaves – vibrant and full of life – express the hope that the variety it represents will keep on growing and flowing outwardly.</w:t>
      </w:r>
    </w:p>
    <w:p>
      <w:pPr>
        <w:spacing w:after="0" w:line="235" w:lineRule="auto"/>
        <w:jc w:val="left"/>
        <w:rPr>
          <w:sz w:val="20"/>
        </w:rPr>
        <w:sectPr>
          <w:headerReference w:type="even" r:id="rId390"/>
          <w:headerReference w:type="default" r:id="rId391"/>
          <w:footerReference w:type="even" r:id="rId392"/>
          <w:pgSz w:w="11910" w:h="16840"/>
          <w:pgMar w:header="0" w:footer="0" w:top="1060" w:bottom="0" w:left="0" w:right="0"/>
        </w:sectPr>
      </w:pPr>
    </w:p>
    <w:p>
      <w:pPr>
        <w:spacing w:line="235" w:lineRule="auto" w:before="91"/>
        <w:ind w:left="2664" w:right="1120" w:firstLine="0"/>
        <w:jc w:val="left"/>
        <w:rPr>
          <w:i/>
          <w:sz w:val="20"/>
        </w:rPr>
      </w:pPr>
      <w:r>
        <w:rPr/>
        <w:pict>
          <v:rect style="position:absolute;margin-left:558.424988pt;margin-top:8.503343pt;width:22.677pt;height:22.677pt;mso-position-horizontal-relative:page;mso-position-vertical-relative:paragraph;z-index:252153856" filled="true" fillcolor="#dae4ec" stroked="false">
            <v:fill opacity="32768f" type="solid"/>
            <w10:wrap type="none"/>
          </v:rect>
        </w:pict>
      </w:r>
      <w:r>
        <w:rPr>
          <w:i/>
          <w:spacing w:val="-3"/>
          <w:w w:val="115"/>
          <w:sz w:val="20"/>
        </w:rPr>
        <w:t>St </w:t>
      </w:r>
      <w:r>
        <w:rPr>
          <w:i/>
          <w:spacing w:val="-5"/>
          <w:w w:val="115"/>
          <w:sz w:val="20"/>
        </w:rPr>
        <w:t>Columba’s </w:t>
      </w:r>
      <w:r>
        <w:rPr>
          <w:i/>
          <w:w w:val="115"/>
          <w:sz w:val="20"/>
        </w:rPr>
        <w:t>URC, Oxford – with a </w:t>
      </w:r>
      <w:r>
        <w:rPr>
          <w:i/>
          <w:spacing w:val="-4"/>
          <w:w w:val="115"/>
          <w:sz w:val="20"/>
        </w:rPr>
        <w:t>vision </w:t>
      </w:r>
      <w:r>
        <w:rPr>
          <w:i/>
          <w:w w:val="115"/>
          <w:sz w:val="20"/>
        </w:rPr>
        <w:t>to </w:t>
      </w:r>
      <w:r>
        <w:rPr>
          <w:i/>
          <w:spacing w:val="-4"/>
          <w:w w:val="115"/>
          <w:sz w:val="20"/>
        </w:rPr>
        <w:t>celebrate </w:t>
      </w:r>
      <w:r>
        <w:rPr>
          <w:i/>
          <w:spacing w:val="-5"/>
          <w:w w:val="115"/>
          <w:sz w:val="20"/>
        </w:rPr>
        <w:t>God’s </w:t>
      </w:r>
      <w:r>
        <w:rPr>
          <w:i/>
          <w:spacing w:val="-3"/>
          <w:w w:val="115"/>
          <w:sz w:val="20"/>
        </w:rPr>
        <w:t>love </w:t>
      </w:r>
      <w:r>
        <w:rPr>
          <w:i/>
          <w:w w:val="115"/>
          <w:sz w:val="20"/>
        </w:rPr>
        <w:t>in all aspects of </w:t>
      </w:r>
      <w:r>
        <w:rPr>
          <w:i/>
          <w:spacing w:val="-3"/>
          <w:w w:val="115"/>
          <w:sz w:val="20"/>
        </w:rPr>
        <w:t>their </w:t>
      </w:r>
      <w:r>
        <w:rPr>
          <w:i/>
          <w:w w:val="115"/>
          <w:sz w:val="20"/>
        </w:rPr>
        <w:t>journey </w:t>
      </w:r>
      <w:r>
        <w:rPr>
          <w:i/>
          <w:spacing w:val="-4"/>
          <w:w w:val="115"/>
          <w:sz w:val="20"/>
        </w:rPr>
        <w:t>shared </w:t>
      </w:r>
      <w:r>
        <w:rPr>
          <w:i/>
          <w:spacing w:val="-3"/>
          <w:w w:val="115"/>
          <w:sz w:val="20"/>
        </w:rPr>
        <w:t>their </w:t>
      </w:r>
      <w:r>
        <w:rPr>
          <w:i/>
          <w:w w:val="115"/>
          <w:sz w:val="20"/>
        </w:rPr>
        <w:t>story as one of </w:t>
      </w:r>
      <w:r>
        <w:rPr>
          <w:i/>
          <w:spacing w:val="-3"/>
          <w:w w:val="115"/>
          <w:sz w:val="20"/>
        </w:rPr>
        <w:t>being </w:t>
      </w:r>
      <w:r>
        <w:rPr>
          <w:i/>
          <w:w w:val="115"/>
          <w:sz w:val="20"/>
        </w:rPr>
        <w:t>a </w:t>
      </w:r>
      <w:r>
        <w:rPr>
          <w:i/>
          <w:spacing w:val="-3"/>
          <w:w w:val="115"/>
          <w:sz w:val="20"/>
        </w:rPr>
        <w:t>diverse </w:t>
      </w:r>
      <w:r>
        <w:rPr>
          <w:i/>
          <w:w w:val="115"/>
          <w:sz w:val="20"/>
        </w:rPr>
        <w:t>and </w:t>
      </w:r>
      <w:r>
        <w:rPr>
          <w:i/>
          <w:spacing w:val="-4"/>
          <w:w w:val="115"/>
          <w:sz w:val="20"/>
        </w:rPr>
        <w:t>welcoming </w:t>
      </w:r>
      <w:r>
        <w:rPr>
          <w:i/>
          <w:spacing w:val="-3"/>
          <w:w w:val="115"/>
          <w:sz w:val="20"/>
        </w:rPr>
        <w:t>space </w:t>
      </w:r>
      <w:r>
        <w:rPr>
          <w:i/>
          <w:w w:val="115"/>
          <w:sz w:val="20"/>
        </w:rPr>
        <w:t>for </w:t>
      </w:r>
      <w:r>
        <w:rPr>
          <w:i/>
          <w:spacing w:val="-4"/>
          <w:w w:val="115"/>
          <w:sz w:val="20"/>
        </w:rPr>
        <w:t>all: </w:t>
      </w:r>
      <w:r>
        <w:rPr>
          <w:i/>
          <w:w w:val="115"/>
          <w:sz w:val="20"/>
        </w:rPr>
        <w:t>ages, </w:t>
      </w:r>
      <w:r>
        <w:rPr>
          <w:i/>
          <w:spacing w:val="-3"/>
          <w:w w:val="115"/>
          <w:sz w:val="20"/>
        </w:rPr>
        <w:t>theological</w:t>
      </w:r>
      <w:r>
        <w:rPr>
          <w:i/>
          <w:spacing w:val="-19"/>
          <w:w w:val="115"/>
          <w:sz w:val="20"/>
        </w:rPr>
        <w:t> </w:t>
      </w:r>
      <w:r>
        <w:rPr>
          <w:i/>
          <w:spacing w:val="-3"/>
          <w:w w:val="115"/>
          <w:sz w:val="20"/>
        </w:rPr>
        <w:t>positions,</w:t>
      </w:r>
      <w:r>
        <w:rPr>
          <w:i/>
          <w:spacing w:val="-19"/>
          <w:w w:val="115"/>
          <w:sz w:val="20"/>
        </w:rPr>
        <w:t> </w:t>
      </w:r>
      <w:r>
        <w:rPr>
          <w:i/>
          <w:spacing w:val="-5"/>
          <w:w w:val="115"/>
          <w:sz w:val="20"/>
        </w:rPr>
        <w:t>(dis)abilities,</w:t>
      </w:r>
      <w:r>
        <w:rPr>
          <w:i/>
          <w:spacing w:val="-19"/>
          <w:w w:val="115"/>
          <w:sz w:val="20"/>
        </w:rPr>
        <w:t> </w:t>
      </w:r>
      <w:r>
        <w:rPr>
          <w:i/>
          <w:spacing w:val="-3"/>
          <w:w w:val="115"/>
          <w:sz w:val="20"/>
        </w:rPr>
        <w:t>cultures</w:t>
      </w:r>
      <w:r>
        <w:rPr>
          <w:i/>
          <w:spacing w:val="-19"/>
          <w:w w:val="115"/>
          <w:sz w:val="20"/>
        </w:rPr>
        <w:t> </w:t>
      </w:r>
      <w:r>
        <w:rPr>
          <w:i/>
          <w:w w:val="115"/>
          <w:sz w:val="20"/>
        </w:rPr>
        <w:t>and</w:t>
      </w:r>
      <w:r>
        <w:rPr>
          <w:i/>
          <w:spacing w:val="-19"/>
          <w:w w:val="115"/>
          <w:sz w:val="20"/>
        </w:rPr>
        <w:t> </w:t>
      </w:r>
      <w:r>
        <w:rPr>
          <w:i/>
          <w:spacing w:val="-3"/>
          <w:w w:val="115"/>
          <w:sz w:val="20"/>
        </w:rPr>
        <w:t>ethnicities,</w:t>
      </w:r>
      <w:r>
        <w:rPr>
          <w:i/>
          <w:spacing w:val="-19"/>
          <w:w w:val="115"/>
          <w:sz w:val="20"/>
        </w:rPr>
        <w:t> </w:t>
      </w:r>
      <w:r>
        <w:rPr>
          <w:i/>
          <w:spacing w:val="-3"/>
          <w:w w:val="115"/>
          <w:sz w:val="20"/>
        </w:rPr>
        <w:t>gender</w:t>
      </w:r>
      <w:r>
        <w:rPr>
          <w:i/>
          <w:spacing w:val="-19"/>
          <w:w w:val="115"/>
          <w:sz w:val="20"/>
        </w:rPr>
        <w:t> </w:t>
      </w:r>
      <w:r>
        <w:rPr>
          <w:i/>
          <w:w w:val="115"/>
          <w:sz w:val="20"/>
        </w:rPr>
        <w:t>and</w:t>
      </w:r>
      <w:r>
        <w:rPr>
          <w:i/>
          <w:spacing w:val="-18"/>
          <w:w w:val="115"/>
          <w:sz w:val="20"/>
        </w:rPr>
        <w:t> </w:t>
      </w:r>
      <w:r>
        <w:rPr>
          <w:i/>
          <w:spacing w:val="-2"/>
          <w:w w:val="115"/>
          <w:sz w:val="20"/>
        </w:rPr>
        <w:t>sexual</w:t>
      </w:r>
      <w:r>
        <w:rPr>
          <w:i/>
          <w:spacing w:val="-19"/>
          <w:w w:val="115"/>
          <w:sz w:val="20"/>
        </w:rPr>
        <w:t> </w:t>
      </w:r>
      <w:r>
        <w:rPr>
          <w:i/>
          <w:spacing w:val="-3"/>
          <w:w w:val="115"/>
          <w:sz w:val="20"/>
        </w:rPr>
        <w:t>orientation.</w:t>
      </w:r>
    </w:p>
    <w:p>
      <w:pPr>
        <w:pStyle w:val="BodyText"/>
        <w:spacing w:before="10"/>
        <w:rPr>
          <w:i/>
          <w:sz w:val="19"/>
        </w:rPr>
      </w:pPr>
    </w:p>
    <w:p>
      <w:pPr>
        <w:spacing w:line="235" w:lineRule="auto" w:before="0"/>
        <w:ind w:left="2664" w:right="1273" w:firstLine="0"/>
        <w:jc w:val="left"/>
        <w:rPr>
          <w:i/>
          <w:sz w:val="20"/>
        </w:rPr>
      </w:pPr>
      <w:r>
        <w:rPr>
          <w:i/>
          <w:w w:val="110"/>
          <w:sz w:val="20"/>
        </w:rPr>
        <w:t>Avenue St Andrew’s URC, Southampton shared their story of cutting edge work among </w:t>
      </w:r>
      <w:r>
        <w:rPr>
          <w:i/>
          <w:w w:val="110"/>
          <w:sz w:val="20"/>
        </w:rPr>
        <w:t>students, asylum seekers and refugees and the use of their space as a welcoming one for a variety of</w:t>
      </w:r>
      <w:r>
        <w:rPr>
          <w:i/>
          <w:spacing w:val="10"/>
          <w:w w:val="110"/>
          <w:sz w:val="20"/>
        </w:rPr>
        <w:t> </w:t>
      </w:r>
      <w:r>
        <w:rPr>
          <w:i/>
          <w:w w:val="110"/>
          <w:sz w:val="20"/>
        </w:rPr>
        <w:t>groups.</w:t>
      </w:r>
    </w:p>
    <w:p>
      <w:pPr>
        <w:pStyle w:val="BodyText"/>
        <w:spacing w:before="10"/>
        <w:rPr>
          <w:i/>
          <w:sz w:val="19"/>
        </w:rPr>
      </w:pPr>
    </w:p>
    <w:p>
      <w:pPr>
        <w:spacing w:line="235" w:lineRule="auto" w:before="0"/>
        <w:ind w:left="2664" w:right="1273" w:firstLine="0"/>
        <w:jc w:val="left"/>
        <w:rPr>
          <w:i/>
          <w:sz w:val="20"/>
        </w:rPr>
      </w:pPr>
      <w:r>
        <w:rPr>
          <w:i/>
          <w:w w:val="115"/>
          <w:sz w:val="20"/>
        </w:rPr>
        <w:t>South</w:t>
      </w:r>
      <w:r>
        <w:rPr>
          <w:i/>
          <w:spacing w:val="-15"/>
          <w:w w:val="115"/>
          <w:sz w:val="20"/>
        </w:rPr>
        <w:t> </w:t>
      </w:r>
      <w:r>
        <w:rPr>
          <w:i/>
          <w:w w:val="115"/>
          <w:sz w:val="20"/>
        </w:rPr>
        <w:t>Aston</w:t>
      </w:r>
      <w:r>
        <w:rPr>
          <w:i/>
          <w:spacing w:val="-15"/>
          <w:w w:val="115"/>
          <w:sz w:val="20"/>
        </w:rPr>
        <w:t> </w:t>
      </w:r>
      <w:r>
        <w:rPr>
          <w:i/>
          <w:w w:val="115"/>
          <w:sz w:val="20"/>
        </w:rPr>
        <w:t>URC,</w:t>
      </w:r>
      <w:r>
        <w:rPr>
          <w:i/>
          <w:spacing w:val="-14"/>
          <w:w w:val="115"/>
          <w:sz w:val="20"/>
        </w:rPr>
        <w:t> </w:t>
      </w:r>
      <w:r>
        <w:rPr>
          <w:i/>
          <w:spacing w:val="-3"/>
          <w:w w:val="115"/>
          <w:sz w:val="20"/>
        </w:rPr>
        <w:t>Birmingham</w:t>
      </w:r>
      <w:r>
        <w:rPr>
          <w:i/>
          <w:spacing w:val="-15"/>
          <w:w w:val="115"/>
          <w:sz w:val="20"/>
        </w:rPr>
        <w:t> </w:t>
      </w:r>
      <w:r>
        <w:rPr>
          <w:i/>
          <w:spacing w:val="-4"/>
          <w:w w:val="115"/>
          <w:sz w:val="20"/>
        </w:rPr>
        <w:t>tells</w:t>
      </w:r>
      <w:r>
        <w:rPr>
          <w:i/>
          <w:spacing w:val="-15"/>
          <w:w w:val="115"/>
          <w:sz w:val="20"/>
        </w:rPr>
        <w:t> </w:t>
      </w:r>
      <w:r>
        <w:rPr>
          <w:i/>
          <w:w w:val="115"/>
          <w:sz w:val="20"/>
        </w:rPr>
        <w:t>of</w:t>
      </w:r>
      <w:r>
        <w:rPr>
          <w:i/>
          <w:spacing w:val="-14"/>
          <w:w w:val="115"/>
          <w:sz w:val="20"/>
        </w:rPr>
        <w:t> </w:t>
      </w:r>
      <w:r>
        <w:rPr>
          <w:i/>
          <w:spacing w:val="-3"/>
          <w:w w:val="115"/>
          <w:sz w:val="20"/>
        </w:rPr>
        <w:t>being</w:t>
      </w:r>
      <w:r>
        <w:rPr>
          <w:i/>
          <w:spacing w:val="-15"/>
          <w:w w:val="115"/>
          <w:sz w:val="20"/>
        </w:rPr>
        <w:t> </w:t>
      </w:r>
      <w:r>
        <w:rPr>
          <w:i/>
          <w:w w:val="115"/>
          <w:sz w:val="20"/>
        </w:rPr>
        <w:t>a</w:t>
      </w:r>
      <w:r>
        <w:rPr>
          <w:i/>
          <w:spacing w:val="-14"/>
          <w:w w:val="115"/>
          <w:sz w:val="20"/>
        </w:rPr>
        <w:t> </w:t>
      </w:r>
      <w:r>
        <w:rPr>
          <w:i/>
          <w:spacing w:val="-4"/>
          <w:w w:val="115"/>
          <w:sz w:val="20"/>
        </w:rPr>
        <w:t>welcoming</w:t>
      </w:r>
      <w:r>
        <w:rPr>
          <w:i/>
          <w:spacing w:val="-15"/>
          <w:w w:val="115"/>
          <w:sz w:val="20"/>
        </w:rPr>
        <w:t> </w:t>
      </w:r>
      <w:r>
        <w:rPr>
          <w:i/>
          <w:spacing w:val="-3"/>
          <w:w w:val="115"/>
          <w:sz w:val="20"/>
        </w:rPr>
        <w:t>church</w:t>
      </w:r>
      <w:r>
        <w:rPr>
          <w:i/>
          <w:spacing w:val="-15"/>
          <w:w w:val="115"/>
          <w:sz w:val="20"/>
        </w:rPr>
        <w:t> </w:t>
      </w:r>
      <w:r>
        <w:rPr>
          <w:i/>
          <w:w w:val="115"/>
          <w:sz w:val="20"/>
        </w:rPr>
        <w:t>for</w:t>
      </w:r>
      <w:r>
        <w:rPr>
          <w:i/>
          <w:spacing w:val="-14"/>
          <w:w w:val="115"/>
          <w:sz w:val="20"/>
        </w:rPr>
        <w:t> </w:t>
      </w:r>
      <w:r>
        <w:rPr>
          <w:i/>
          <w:w w:val="115"/>
          <w:sz w:val="20"/>
        </w:rPr>
        <w:t>a</w:t>
      </w:r>
      <w:r>
        <w:rPr>
          <w:i/>
          <w:spacing w:val="-15"/>
          <w:w w:val="115"/>
          <w:sz w:val="20"/>
        </w:rPr>
        <w:t> </w:t>
      </w:r>
      <w:r>
        <w:rPr>
          <w:i/>
          <w:spacing w:val="-3"/>
          <w:w w:val="115"/>
          <w:sz w:val="20"/>
        </w:rPr>
        <w:t>diverse</w:t>
      </w:r>
      <w:r>
        <w:rPr>
          <w:i/>
          <w:spacing w:val="-15"/>
          <w:w w:val="115"/>
          <w:sz w:val="20"/>
        </w:rPr>
        <w:t> </w:t>
      </w:r>
      <w:r>
        <w:rPr>
          <w:i/>
          <w:spacing w:val="-3"/>
          <w:w w:val="115"/>
          <w:sz w:val="20"/>
        </w:rPr>
        <w:t>community </w:t>
      </w:r>
      <w:r>
        <w:rPr>
          <w:i/>
          <w:w w:val="115"/>
          <w:sz w:val="20"/>
        </w:rPr>
        <w:t>of</w:t>
      </w:r>
      <w:r>
        <w:rPr>
          <w:i/>
          <w:spacing w:val="-12"/>
          <w:w w:val="115"/>
          <w:sz w:val="20"/>
        </w:rPr>
        <w:t> </w:t>
      </w:r>
      <w:r>
        <w:rPr>
          <w:i/>
          <w:spacing w:val="-3"/>
          <w:w w:val="115"/>
          <w:sz w:val="20"/>
        </w:rPr>
        <w:t>worshippers</w:t>
      </w:r>
      <w:r>
        <w:rPr>
          <w:i/>
          <w:spacing w:val="-12"/>
          <w:w w:val="115"/>
          <w:sz w:val="20"/>
        </w:rPr>
        <w:t> </w:t>
      </w:r>
      <w:r>
        <w:rPr>
          <w:i/>
          <w:w w:val="115"/>
          <w:sz w:val="20"/>
        </w:rPr>
        <w:t>and</w:t>
      </w:r>
      <w:r>
        <w:rPr>
          <w:i/>
          <w:spacing w:val="-12"/>
          <w:w w:val="115"/>
          <w:sz w:val="20"/>
        </w:rPr>
        <w:t> </w:t>
      </w:r>
      <w:r>
        <w:rPr>
          <w:i/>
          <w:w w:val="115"/>
          <w:sz w:val="20"/>
        </w:rPr>
        <w:t>a</w:t>
      </w:r>
      <w:r>
        <w:rPr>
          <w:i/>
          <w:spacing w:val="-12"/>
          <w:w w:val="115"/>
          <w:sz w:val="20"/>
        </w:rPr>
        <w:t> </w:t>
      </w:r>
      <w:r>
        <w:rPr>
          <w:i/>
          <w:spacing w:val="-3"/>
          <w:w w:val="115"/>
          <w:sz w:val="20"/>
        </w:rPr>
        <w:t>community</w:t>
      </w:r>
      <w:r>
        <w:rPr>
          <w:i/>
          <w:spacing w:val="-12"/>
          <w:w w:val="115"/>
          <w:sz w:val="20"/>
        </w:rPr>
        <w:t> </w:t>
      </w:r>
      <w:r>
        <w:rPr>
          <w:i/>
          <w:spacing w:val="-3"/>
          <w:w w:val="115"/>
          <w:sz w:val="20"/>
        </w:rPr>
        <w:t>base</w:t>
      </w:r>
      <w:r>
        <w:rPr>
          <w:i/>
          <w:spacing w:val="-12"/>
          <w:w w:val="115"/>
          <w:sz w:val="20"/>
        </w:rPr>
        <w:t> </w:t>
      </w:r>
      <w:r>
        <w:rPr>
          <w:i/>
          <w:w w:val="115"/>
          <w:sz w:val="20"/>
        </w:rPr>
        <w:t>for</w:t>
      </w:r>
      <w:r>
        <w:rPr>
          <w:i/>
          <w:spacing w:val="-11"/>
          <w:w w:val="115"/>
          <w:sz w:val="20"/>
        </w:rPr>
        <w:t> </w:t>
      </w:r>
      <w:r>
        <w:rPr>
          <w:i/>
          <w:w w:val="115"/>
          <w:sz w:val="20"/>
        </w:rPr>
        <w:t>a</w:t>
      </w:r>
      <w:r>
        <w:rPr>
          <w:i/>
          <w:spacing w:val="-12"/>
          <w:w w:val="115"/>
          <w:sz w:val="20"/>
        </w:rPr>
        <w:t> </w:t>
      </w:r>
      <w:r>
        <w:rPr>
          <w:i/>
          <w:w w:val="115"/>
          <w:sz w:val="20"/>
        </w:rPr>
        <w:t>variety</w:t>
      </w:r>
      <w:r>
        <w:rPr>
          <w:i/>
          <w:spacing w:val="-12"/>
          <w:w w:val="115"/>
          <w:sz w:val="20"/>
        </w:rPr>
        <w:t> </w:t>
      </w:r>
      <w:r>
        <w:rPr>
          <w:i/>
          <w:w w:val="115"/>
          <w:sz w:val="20"/>
        </w:rPr>
        <w:t>of</w:t>
      </w:r>
      <w:r>
        <w:rPr>
          <w:i/>
          <w:spacing w:val="-12"/>
          <w:w w:val="115"/>
          <w:sz w:val="20"/>
        </w:rPr>
        <w:t> </w:t>
      </w:r>
      <w:r>
        <w:rPr>
          <w:i/>
          <w:spacing w:val="-3"/>
          <w:w w:val="115"/>
          <w:sz w:val="20"/>
        </w:rPr>
        <w:t>groups</w:t>
      </w:r>
      <w:r>
        <w:rPr>
          <w:i/>
          <w:spacing w:val="-12"/>
          <w:w w:val="115"/>
          <w:sz w:val="20"/>
        </w:rPr>
        <w:t> </w:t>
      </w:r>
      <w:r>
        <w:rPr>
          <w:i/>
          <w:w w:val="115"/>
          <w:sz w:val="20"/>
        </w:rPr>
        <w:t>in</w:t>
      </w:r>
      <w:r>
        <w:rPr>
          <w:i/>
          <w:spacing w:val="-12"/>
          <w:w w:val="115"/>
          <w:sz w:val="20"/>
        </w:rPr>
        <w:t> </w:t>
      </w:r>
      <w:r>
        <w:rPr>
          <w:i/>
          <w:w w:val="115"/>
          <w:sz w:val="20"/>
        </w:rPr>
        <w:t>a</w:t>
      </w:r>
      <w:r>
        <w:rPr>
          <w:i/>
          <w:spacing w:val="-12"/>
          <w:w w:val="115"/>
          <w:sz w:val="20"/>
        </w:rPr>
        <w:t> </w:t>
      </w:r>
      <w:r>
        <w:rPr>
          <w:i/>
          <w:spacing w:val="-3"/>
          <w:w w:val="115"/>
          <w:sz w:val="20"/>
        </w:rPr>
        <w:t>plural</w:t>
      </w:r>
      <w:r>
        <w:rPr>
          <w:i/>
          <w:spacing w:val="-11"/>
          <w:w w:val="115"/>
          <w:sz w:val="20"/>
        </w:rPr>
        <w:t> </w:t>
      </w:r>
      <w:r>
        <w:rPr>
          <w:i/>
          <w:spacing w:val="-3"/>
          <w:w w:val="115"/>
          <w:sz w:val="20"/>
        </w:rPr>
        <w:t>neighbourhood.</w:t>
      </w:r>
    </w:p>
    <w:p>
      <w:pPr>
        <w:pStyle w:val="BodyText"/>
        <w:spacing w:before="9"/>
        <w:rPr>
          <w:i/>
          <w:sz w:val="19"/>
        </w:rPr>
      </w:pPr>
    </w:p>
    <w:p>
      <w:pPr>
        <w:spacing w:line="235" w:lineRule="auto" w:before="1"/>
        <w:ind w:left="2664" w:right="1466" w:firstLine="0"/>
        <w:jc w:val="left"/>
        <w:rPr>
          <w:i/>
          <w:sz w:val="20"/>
        </w:rPr>
      </w:pPr>
      <w:r>
        <w:rPr>
          <w:i/>
          <w:w w:val="110"/>
          <w:sz w:val="20"/>
        </w:rPr>
        <w:t>Lea Road URC Community Church shared in the intentional ways it has shaped its </w:t>
      </w:r>
      <w:r>
        <w:rPr>
          <w:i/>
          <w:w w:val="110"/>
          <w:sz w:val="20"/>
        </w:rPr>
        <w:t>ministry and mission to be outward looking and the exceptional and creative manner it uses its webpage to tell their story of migrating communities in their</w:t>
      </w:r>
      <w:r>
        <w:rPr>
          <w:i/>
          <w:spacing w:val="48"/>
          <w:w w:val="110"/>
          <w:sz w:val="20"/>
        </w:rPr>
        <w:t> </w:t>
      </w:r>
      <w:r>
        <w:rPr>
          <w:i/>
          <w:w w:val="110"/>
          <w:sz w:val="20"/>
        </w:rPr>
        <w:t>journey.</w:t>
      </w:r>
    </w:p>
    <w:p>
      <w:pPr>
        <w:pStyle w:val="BodyText"/>
        <w:spacing w:before="10"/>
        <w:rPr>
          <w:i/>
          <w:sz w:val="19"/>
        </w:rPr>
      </w:pPr>
    </w:p>
    <w:p>
      <w:pPr>
        <w:pStyle w:val="BodyText"/>
        <w:spacing w:line="235" w:lineRule="auto"/>
        <w:ind w:left="1984" w:right="2573"/>
      </w:pPr>
      <w:r>
        <w:rPr>
          <w:w w:val="120"/>
        </w:rPr>
        <w:t>All these stories are now online and can be found by following this link: </w:t>
      </w:r>
      <w:hyperlink r:id="rId397">
        <w:r>
          <w:rPr>
            <w:w w:val="120"/>
          </w:rPr>
          <w:t>http://www.urc.org.uk/what_we_do/rjmm/multicultural_stories_project</w:t>
        </w:r>
      </w:hyperlink>
      <w:r>
        <w:rPr>
          <w:w w:val="120"/>
        </w:rPr>
        <w:t> The Award will run for the next five</w:t>
      </w:r>
      <w:r>
        <w:rPr>
          <w:spacing w:val="14"/>
          <w:w w:val="120"/>
        </w:rPr>
        <w:t> </w:t>
      </w:r>
      <w:r>
        <w:rPr>
          <w:w w:val="120"/>
        </w:rPr>
        <w:t>years.</w:t>
      </w:r>
    </w:p>
    <w:p>
      <w:pPr>
        <w:pStyle w:val="BodyText"/>
        <w:spacing w:before="10"/>
        <w:rPr>
          <w:sz w:val="19"/>
        </w:rPr>
      </w:pPr>
    </w:p>
    <w:p>
      <w:pPr>
        <w:pStyle w:val="ListParagraph"/>
        <w:numPr>
          <w:ilvl w:val="2"/>
          <w:numId w:val="143"/>
        </w:numPr>
        <w:tabs>
          <w:tab w:pos="2665" w:val="left" w:leader="none"/>
        </w:tabs>
        <w:spacing w:line="235" w:lineRule="auto" w:before="0" w:after="0"/>
        <w:ind w:left="1984" w:right="1443" w:firstLine="0"/>
        <w:jc w:val="left"/>
        <w:rPr>
          <w:sz w:val="20"/>
        </w:rPr>
      </w:pPr>
      <w:r>
        <w:rPr>
          <w:w w:val="120"/>
          <w:sz w:val="20"/>
        </w:rPr>
        <w:t>Racial Justice and Multicultural Ministry also initiated an Intercultural Theology and Practitioner Conference. The first was held on 30 October 2009 on theme of ‘Colouring Mission and Ministry’. The second gathering </w:t>
      </w:r>
      <w:r>
        <w:rPr>
          <w:spacing w:val="-4"/>
          <w:w w:val="120"/>
          <w:sz w:val="20"/>
        </w:rPr>
        <w:t>(26-27 </w:t>
      </w:r>
      <w:r>
        <w:rPr>
          <w:w w:val="120"/>
          <w:sz w:val="20"/>
        </w:rPr>
        <w:t>October </w:t>
      </w:r>
      <w:r>
        <w:rPr>
          <w:spacing w:val="-7"/>
          <w:w w:val="120"/>
          <w:sz w:val="20"/>
        </w:rPr>
        <w:t>2010) </w:t>
      </w:r>
      <w:r>
        <w:rPr>
          <w:w w:val="120"/>
          <w:sz w:val="20"/>
        </w:rPr>
        <w:t>will further explore the theme: </w:t>
      </w:r>
      <w:r>
        <w:rPr>
          <w:spacing w:val="2"/>
          <w:w w:val="120"/>
          <w:sz w:val="20"/>
        </w:rPr>
        <w:t>‘Who </w:t>
      </w:r>
      <w:r>
        <w:rPr>
          <w:w w:val="120"/>
          <w:sz w:val="20"/>
        </w:rPr>
        <w:t>are </w:t>
      </w:r>
      <w:r>
        <w:rPr>
          <w:spacing w:val="-4"/>
          <w:w w:val="120"/>
          <w:sz w:val="20"/>
        </w:rPr>
        <w:t>we? </w:t>
      </w:r>
      <w:r>
        <w:rPr>
          <w:w w:val="120"/>
          <w:sz w:val="20"/>
        </w:rPr>
        <w:t>Identity[ies] and belonging in the United Reformed </w:t>
      </w:r>
      <w:r>
        <w:rPr>
          <w:spacing w:val="-4"/>
          <w:w w:val="120"/>
          <w:sz w:val="20"/>
        </w:rPr>
        <w:t>Church’. </w:t>
      </w:r>
      <w:r>
        <w:rPr>
          <w:w w:val="120"/>
          <w:sz w:val="20"/>
        </w:rPr>
        <w:t>These conferences are also geared to move our conversations from a multicultural to an intercultural</w:t>
      </w:r>
      <w:r>
        <w:rPr>
          <w:spacing w:val="9"/>
          <w:w w:val="120"/>
          <w:sz w:val="20"/>
        </w:rPr>
        <w:t> </w:t>
      </w:r>
      <w:r>
        <w:rPr>
          <w:w w:val="120"/>
          <w:sz w:val="20"/>
        </w:rPr>
        <w:t>Church.</w:t>
      </w:r>
    </w:p>
    <w:p>
      <w:pPr>
        <w:pStyle w:val="BodyText"/>
        <w:spacing w:before="8"/>
        <w:rPr>
          <w:sz w:val="19"/>
        </w:rPr>
      </w:pPr>
    </w:p>
    <w:p>
      <w:pPr>
        <w:pStyle w:val="ListParagraph"/>
        <w:numPr>
          <w:ilvl w:val="1"/>
          <w:numId w:val="143"/>
        </w:numPr>
        <w:tabs>
          <w:tab w:pos="2664" w:val="left" w:leader="none"/>
          <w:tab w:pos="2665" w:val="left" w:leader="none"/>
        </w:tabs>
        <w:spacing w:line="240" w:lineRule="auto" w:before="1" w:after="0"/>
        <w:ind w:left="2664" w:right="0" w:hanging="681"/>
        <w:jc w:val="left"/>
        <w:rPr>
          <w:sz w:val="20"/>
        </w:rPr>
      </w:pPr>
      <w:r>
        <w:rPr>
          <w:w w:val="120"/>
          <w:sz w:val="20"/>
        </w:rPr>
        <w:t>Christian Ecumenical</w:t>
      </w:r>
      <w:r>
        <w:rPr>
          <w:spacing w:val="3"/>
          <w:w w:val="120"/>
          <w:sz w:val="20"/>
        </w:rPr>
        <w:t> </w:t>
      </w:r>
      <w:r>
        <w:rPr>
          <w:w w:val="120"/>
          <w:sz w:val="20"/>
        </w:rPr>
        <w:t>Partnerships</w:t>
      </w:r>
    </w:p>
    <w:p>
      <w:pPr>
        <w:pStyle w:val="BodyText"/>
        <w:spacing w:before="7"/>
        <w:rPr>
          <w:sz w:val="19"/>
        </w:rPr>
      </w:pPr>
    </w:p>
    <w:p>
      <w:pPr>
        <w:pStyle w:val="ListParagraph"/>
        <w:numPr>
          <w:ilvl w:val="2"/>
          <w:numId w:val="143"/>
        </w:numPr>
        <w:tabs>
          <w:tab w:pos="2665" w:val="left" w:leader="none"/>
        </w:tabs>
        <w:spacing w:line="235" w:lineRule="auto" w:before="0" w:after="0"/>
        <w:ind w:left="1984" w:right="1856" w:firstLine="0"/>
        <w:jc w:val="both"/>
        <w:rPr>
          <w:sz w:val="20"/>
        </w:rPr>
      </w:pPr>
      <w:r>
        <w:rPr>
          <w:w w:val="120"/>
          <w:sz w:val="20"/>
        </w:rPr>
        <w:t>The search for ecumenical partnership and unity remains at the core of the life and work of the United Reformed Church and is facilitated by the secretary for Ecumenical Relations and other Mission </w:t>
      </w:r>
      <w:r>
        <w:rPr>
          <w:spacing w:val="-4"/>
          <w:w w:val="120"/>
          <w:sz w:val="20"/>
        </w:rPr>
        <w:t>Team</w:t>
      </w:r>
      <w:r>
        <w:rPr>
          <w:spacing w:val="9"/>
          <w:w w:val="120"/>
          <w:sz w:val="20"/>
        </w:rPr>
        <w:t> </w:t>
      </w:r>
      <w:r>
        <w:rPr>
          <w:w w:val="120"/>
          <w:sz w:val="20"/>
        </w:rPr>
        <w:t>members.</w:t>
      </w:r>
    </w:p>
    <w:p>
      <w:pPr>
        <w:pStyle w:val="BodyText"/>
        <w:spacing w:before="10"/>
        <w:rPr>
          <w:sz w:val="19"/>
        </w:rPr>
      </w:pPr>
    </w:p>
    <w:p>
      <w:pPr>
        <w:pStyle w:val="ListParagraph"/>
        <w:numPr>
          <w:ilvl w:val="2"/>
          <w:numId w:val="143"/>
        </w:numPr>
        <w:tabs>
          <w:tab w:pos="2665" w:val="left" w:leader="none"/>
        </w:tabs>
        <w:spacing w:line="235" w:lineRule="auto" w:before="0" w:after="0"/>
        <w:ind w:left="1984" w:right="1721" w:firstLine="0"/>
        <w:jc w:val="left"/>
        <w:rPr>
          <w:sz w:val="20"/>
        </w:rPr>
      </w:pPr>
      <w:r>
        <w:rPr>
          <w:w w:val="120"/>
          <w:sz w:val="20"/>
        </w:rPr>
        <w:t>Although the common sense is that ecumenism has stalled or is failing in the UK there are many local, regional and national stories which counter this and paint a different picture. At local level there is a gradually increasing number of Local Ecumenical Partnerships. About a third of our local churches are now</w:t>
      </w:r>
      <w:r>
        <w:rPr>
          <w:spacing w:val="23"/>
          <w:w w:val="120"/>
          <w:sz w:val="20"/>
        </w:rPr>
        <w:t> </w:t>
      </w:r>
      <w:r>
        <w:rPr>
          <w:w w:val="120"/>
          <w:sz w:val="20"/>
        </w:rPr>
        <w:t>LEPs.</w:t>
      </w:r>
    </w:p>
    <w:p>
      <w:pPr>
        <w:pStyle w:val="BodyText"/>
        <w:spacing w:before="11"/>
        <w:rPr>
          <w:sz w:val="19"/>
        </w:rPr>
      </w:pPr>
    </w:p>
    <w:p>
      <w:pPr>
        <w:pStyle w:val="ListParagraph"/>
        <w:numPr>
          <w:ilvl w:val="2"/>
          <w:numId w:val="143"/>
        </w:numPr>
        <w:tabs>
          <w:tab w:pos="2665" w:val="left" w:leader="none"/>
        </w:tabs>
        <w:spacing w:line="235" w:lineRule="auto" w:before="0" w:after="0"/>
        <w:ind w:left="1984" w:right="1386" w:firstLine="0"/>
        <w:jc w:val="left"/>
        <w:rPr>
          <w:sz w:val="20"/>
        </w:rPr>
      </w:pPr>
      <w:r>
        <w:rPr>
          <w:w w:val="120"/>
          <w:sz w:val="20"/>
        </w:rPr>
        <w:t>In South West Sussex a grouping of United Reformed Churches have come together to form the South West Sussex United Area with the Methodist Church. This  is the second United Area to be created within Southern Synod. It reflects a growing cooperation between the United Reformed and Methodist Churches at all kinds of levels. We are committed to working and exploring mission together and this will be taken further in the joint Methodist/Mission Council meeting in October. In Cumbria cooperation took on a very tangible form in the churches’ response to the floods there and ecumenical cooperation is deepening, as the following </w:t>
      </w:r>
      <w:r>
        <w:rPr>
          <w:spacing w:val="2"/>
          <w:w w:val="120"/>
          <w:sz w:val="20"/>
        </w:rPr>
        <w:t>story </w:t>
      </w:r>
      <w:r>
        <w:rPr>
          <w:w w:val="120"/>
          <w:sz w:val="20"/>
        </w:rPr>
        <w:t>which also appeared on the URC website</w:t>
      </w:r>
      <w:r>
        <w:rPr>
          <w:spacing w:val="7"/>
          <w:w w:val="120"/>
          <w:sz w:val="20"/>
        </w:rPr>
        <w:t> </w:t>
      </w:r>
      <w:r>
        <w:rPr>
          <w:w w:val="120"/>
          <w:sz w:val="20"/>
        </w:rPr>
        <w:t>demonstrates:</w:t>
      </w:r>
    </w:p>
    <w:p>
      <w:pPr>
        <w:pStyle w:val="BodyText"/>
        <w:spacing w:before="2"/>
      </w:pPr>
    </w:p>
    <w:p>
      <w:pPr>
        <w:spacing w:line="235" w:lineRule="auto" w:before="1"/>
        <w:ind w:left="2664" w:right="1466" w:firstLine="0"/>
        <w:jc w:val="left"/>
        <w:rPr>
          <w:i/>
          <w:sz w:val="20"/>
        </w:rPr>
      </w:pPr>
      <w:r>
        <w:rPr>
          <w:i/>
          <w:w w:val="110"/>
          <w:sz w:val="20"/>
        </w:rPr>
        <w:t>The Reverend Alistair Smeaton, URC minister in Workington and Cockermouth and  </w:t>
      </w:r>
      <w:r>
        <w:rPr>
          <w:i/>
          <w:w w:val="110"/>
          <w:sz w:val="20"/>
        </w:rPr>
        <w:t>team leader for clergy response in the west of the county, has been managing Church support at the reception centres in Workington, Cockermouth and Keswick. </w:t>
      </w:r>
      <w:r>
        <w:rPr>
          <w:i/>
          <w:spacing w:val="-4"/>
          <w:w w:val="110"/>
          <w:sz w:val="20"/>
        </w:rPr>
        <w:t>Teams </w:t>
      </w:r>
      <w:r>
        <w:rPr>
          <w:i/>
          <w:w w:val="110"/>
          <w:sz w:val="20"/>
        </w:rPr>
        <w:t>of volunteers coordinated by Churches Together were busy over the weekend; sorting clothes, registering arrivals, helping serve meals and running a refreshment drop-in at Christ</w:t>
      </w:r>
      <w:r>
        <w:rPr>
          <w:i/>
          <w:spacing w:val="13"/>
          <w:w w:val="110"/>
          <w:sz w:val="20"/>
        </w:rPr>
        <w:t> </w:t>
      </w:r>
      <w:r>
        <w:rPr>
          <w:i/>
          <w:w w:val="110"/>
          <w:sz w:val="20"/>
        </w:rPr>
        <w:t>Church,</w:t>
      </w:r>
      <w:r>
        <w:rPr>
          <w:i/>
          <w:spacing w:val="13"/>
          <w:w w:val="110"/>
          <w:sz w:val="20"/>
        </w:rPr>
        <w:t> </w:t>
      </w:r>
      <w:r>
        <w:rPr>
          <w:i/>
          <w:w w:val="110"/>
          <w:sz w:val="20"/>
        </w:rPr>
        <w:t>the</w:t>
      </w:r>
      <w:r>
        <w:rPr>
          <w:i/>
          <w:spacing w:val="14"/>
          <w:w w:val="110"/>
          <w:sz w:val="20"/>
        </w:rPr>
        <w:t> </w:t>
      </w:r>
      <w:r>
        <w:rPr>
          <w:i/>
          <w:w w:val="110"/>
          <w:sz w:val="20"/>
        </w:rPr>
        <w:t>local</w:t>
      </w:r>
      <w:r>
        <w:rPr>
          <w:i/>
          <w:spacing w:val="13"/>
          <w:w w:val="110"/>
          <w:sz w:val="20"/>
        </w:rPr>
        <w:t> </w:t>
      </w:r>
      <w:r>
        <w:rPr>
          <w:i/>
          <w:w w:val="110"/>
          <w:sz w:val="20"/>
        </w:rPr>
        <w:t>Anglican</w:t>
      </w:r>
      <w:r>
        <w:rPr>
          <w:i/>
          <w:spacing w:val="13"/>
          <w:w w:val="110"/>
          <w:sz w:val="20"/>
        </w:rPr>
        <w:t> </w:t>
      </w:r>
      <w:r>
        <w:rPr>
          <w:i/>
          <w:w w:val="110"/>
          <w:sz w:val="20"/>
        </w:rPr>
        <w:t>church,</w:t>
      </w:r>
      <w:r>
        <w:rPr>
          <w:i/>
          <w:spacing w:val="14"/>
          <w:w w:val="110"/>
          <w:sz w:val="20"/>
        </w:rPr>
        <w:t> </w:t>
      </w:r>
      <w:r>
        <w:rPr>
          <w:i/>
          <w:w w:val="110"/>
          <w:sz w:val="20"/>
        </w:rPr>
        <w:t>which</w:t>
      </w:r>
      <w:r>
        <w:rPr>
          <w:i/>
          <w:spacing w:val="13"/>
          <w:w w:val="110"/>
          <w:sz w:val="20"/>
        </w:rPr>
        <w:t> </w:t>
      </w:r>
      <w:r>
        <w:rPr>
          <w:i/>
          <w:w w:val="110"/>
          <w:sz w:val="20"/>
        </w:rPr>
        <w:t>has,</w:t>
      </w:r>
      <w:r>
        <w:rPr>
          <w:i/>
          <w:spacing w:val="13"/>
          <w:w w:val="110"/>
          <w:sz w:val="20"/>
        </w:rPr>
        <w:t> </w:t>
      </w:r>
      <w:r>
        <w:rPr>
          <w:i/>
          <w:w w:val="110"/>
          <w:sz w:val="20"/>
        </w:rPr>
        <w:t>at</w:t>
      </w:r>
      <w:r>
        <w:rPr>
          <w:i/>
          <w:spacing w:val="14"/>
          <w:w w:val="110"/>
          <w:sz w:val="20"/>
        </w:rPr>
        <w:t> </w:t>
      </w:r>
      <w:r>
        <w:rPr>
          <w:i/>
          <w:w w:val="110"/>
          <w:sz w:val="20"/>
        </w:rPr>
        <w:t>the</w:t>
      </w:r>
      <w:r>
        <w:rPr>
          <w:i/>
          <w:spacing w:val="13"/>
          <w:w w:val="110"/>
          <w:sz w:val="20"/>
        </w:rPr>
        <w:t> </w:t>
      </w:r>
      <w:r>
        <w:rPr>
          <w:i/>
          <w:w w:val="110"/>
          <w:sz w:val="20"/>
        </w:rPr>
        <w:t>request</w:t>
      </w:r>
      <w:r>
        <w:rPr>
          <w:i/>
          <w:spacing w:val="13"/>
          <w:w w:val="110"/>
          <w:sz w:val="20"/>
        </w:rPr>
        <w:t> </w:t>
      </w:r>
      <w:r>
        <w:rPr>
          <w:i/>
          <w:w w:val="110"/>
          <w:sz w:val="20"/>
        </w:rPr>
        <w:t>of</w:t>
      </w:r>
      <w:r>
        <w:rPr>
          <w:i/>
          <w:spacing w:val="14"/>
          <w:w w:val="110"/>
          <w:sz w:val="20"/>
        </w:rPr>
        <w:t> </w:t>
      </w:r>
      <w:r>
        <w:rPr>
          <w:i/>
          <w:w w:val="110"/>
          <w:sz w:val="20"/>
        </w:rPr>
        <w:t>the</w:t>
      </w:r>
      <w:r>
        <w:rPr>
          <w:i/>
          <w:spacing w:val="13"/>
          <w:w w:val="110"/>
          <w:sz w:val="20"/>
        </w:rPr>
        <w:t> </w:t>
      </w:r>
      <w:r>
        <w:rPr>
          <w:i/>
          <w:w w:val="110"/>
          <w:sz w:val="20"/>
        </w:rPr>
        <w:t>police,</w:t>
      </w:r>
      <w:r>
        <w:rPr>
          <w:i/>
          <w:spacing w:val="13"/>
          <w:w w:val="110"/>
          <w:sz w:val="20"/>
        </w:rPr>
        <w:t> </w:t>
      </w:r>
      <w:r>
        <w:rPr>
          <w:i/>
          <w:w w:val="110"/>
          <w:sz w:val="20"/>
        </w:rPr>
        <w:t>been</w:t>
      </w:r>
    </w:p>
    <w:p>
      <w:pPr>
        <w:spacing w:line="235" w:lineRule="auto" w:before="4"/>
        <w:ind w:left="2664" w:right="1120" w:firstLine="0"/>
        <w:jc w:val="left"/>
        <w:rPr>
          <w:i/>
          <w:sz w:val="20"/>
        </w:rPr>
      </w:pPr>
      <w:r>
        <w:rPr>
          <w:i/>
          <w:w w:val="110"/>
          <w:sz w:val="20"/>
        </w:rPr>
        <w:t>operating 24 hours a day to serve the needs of all the people working in the town centre. </w:t>
      </w:r>
      <w:r>
        <w:rPr>
          <w:i/>
          <w:w w:val="110"/>
          <w:sz w:val="20"/>
        </w:rPr>
        <w:t>Two churches in Keswick have started a drop-in facility at St Herbert’s Hall.</w:t>
      </w:r>
    </w:p>
    <w:p>
      <w:pPr>
        <w:spacing w:after="0" w:line="235" w:lineRule="auto"/>
        <w:jc w:val="left"/>
        <w:rPr>
          <w:sz w:val="20"/>
        </w:rPr>
        <w:sectPr>
          <w:headerReference w:type="default" r:id="rId394"/>
          <w:footerReference w:type="default" r:id="rId395"/>
          <w:footerReference w:type="even" r:id="rId396"/>
          <w:pgSz w:w="11910" w:h="16840"/>
          <w:pgMar w:header="0" w:footer="647" w:top="1060" w:bottom="840" w:left="0" w:right="0"/>
          <w:pgNumType w:start="157"/>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7"/>
        <w:rPr>
          <w:i/>
          <w:sz w:val="21"/>
        </w:rPr>
      </w:pPr>
    </w:p>
    <w:p>
      <w:pPr>
        <w:spacing w:before="0"/>
        <w:ind w:left="4000" w:right="0" w:firstLine="0"/>
        <w:jc w:val="left"/>
        <w:rPr>
          <w:sz w:val="18"/>
        </w:rPr>
      </w:pPr>
      <w:r>
        <w:rPr/>
        <w:pict>
          <v:group style="position:absolute;margin-left:.0pt;margin-top:-465.729858pt;width:595.3pt;height:460.2pt;mso-position-horizontal-relative:page;mso-position-vertical-relative:paragraph;z-index:252154880" coordorigin="0,-9315" coordsize="11906,9204">
            <v:shape style="position:absolute;left:0;top:-9315;width:11906;height:9185" type="#_x0000_t75" stroked="false">
              <v:imagedata r:id="rId399" o:title=""/>
            </v:shape>
            <v:shape style="position:absolute;left:0;top:-1173;width:1465;height:1062" coordorigin="0,-1173" coordsize="1465,1062" path="m0,-1173l0,-111,1461,-111,1385,-113,1310,-118,1236,-127,1164,-140,1092,-156,1022,-175,953,-197,885,-223,819,-251,755,-283,692,-317,632,-354,573,-394,516,-436,461,-481,408,-529,358,-578,310,-630,264,-685,221,-741,180,-799,142,-859,107,-921,75,-985,45,-1051,19,-1118,0,-1173xm1464,-111l1463,-111,1462,-111,1464,-111,1464,-111xe" filled="true" fillcolor="#ffffff" stroked="false">
              <v:path arrowok="t"/>
              <v:fill type="solid"/>
            </v:shape>
            <w10:wrap type="none"/>
          </v:group>
        </w:pict>
      </w:r>
      <w:r>
        <w:rPr>
          <w:color w:val="8BA8BD"/>
          <w:w w:val="110"/>
          <w:sz w:val="18"/>
        </w:rPr>
        <w:t>Flooded Lake House, Keswick, Cumbria, UK, 2009 © lionheartphotography/flickr</w:t>
      </w:r>
    </w:p>
    <w:p>
      <w:pPr>
        <w:pStyle w:val="BodyText"/>
      </w:pPr>
    </w:p>
    <w:p>
      <w:pPr>
        <w:pStyle w:val="BodyText"/>
        <w:spacing w:before="11"/>
        <w:rPr>
          <w:sz w:val="17"/>
        </w:rPr>
      </w:pPr>
    </w:p>
    <w:p>
      <w:pPr>
        <w:pStyle w:val="ListParagraph"/>
        <w:numPr>
          <w:ilvl w:val="2"/>
          <w:numId w:val="143"/>
        </w:numPr>
        <w:tabs>
          <w:tab w:pos="1815" w:val="left" w:leader="none"/>
        </w:tabs>
        <w:spacing w:line="235" w:lineRule="auto" w:before="104" w:after="0"/>
        <w:ind w:left="1133" w:right="2171" w:firstLine="0"/>
        <w:jc w:val="left"/>
        <w:rPr>
          <w:sz w:val="20"/>
        </w:rPr>
      </w:pPr>
      <w:r>
        <w:rPr>
          <w:w w:val="120"/>
          <w:sz w:val="20"/>
        </w:rPr>
        <w:t>Nationally there is cooperation which extends to other denominations too. In Scotland a statement of partnership has been signed between the United Reformed Church, the Methodists in Scotland and the Scottish Episcopal Church. Once again, this is a commitment to closer cooperation in mission and to exploring the future together rather than</w:t>
      </w:r>
      <w:r>
        <w:rPr>
          <w:spacing w:val="3"/>
          <w:w w:val="120"/>
          <w:sz w:val="20"/>
        </w:rPr>
        <w:t> </w:t>
      </w:r>
      <w:r>
        <w:rPr>
          <w:w w:val="120"/>
          <w:sz w:val="20"/>
        </w:rPr>
        <w:t>apart.</w:t>
      </w:r>
    </w:p>
    <w:p>
      <w:pPr>
        <w:pStyle w:val="BodyText"/>
        <w:spacing w:before="11"/>
        <w:rPr>
          <w:sz w:val="19"/>
        </w:rPr>
      </w:pPr>
    </w:p>
    <w:p>
      <w:pPr>
        <w:pStyle w:val="ListParagraph"/>
        <w:numPr>
          <w:ilvl w:val="2"/>
          <w:numId w:val="143"/>
        </w:numPr>
        <w:tabs>
          <w:tab w:pos="1815" w:val="left" w:leader="none"/>
        </w:tabs>
        <w:spacing w:line="235" w:lineRule="auto" w:before="1" w:after="0"/>
        <w:ind w:left="1133" w:right="2303" w:firstLine="0"/>
        <w:jc w:val="left"/>
        <w:rPr>
          <w:sz w:val="20"/>
        </w:rPr>
      </w:pPr>
      <w:r>
        <w:rPr>
          <w:w w:val="120"/>
          <w:sz w:val="20"/>
        </w:rPr>
        <w:t>The</w:t>
      </w:r>
      <w:r>
        <w:rPr>
          <w:spacing w:val="-9"/>
          <w:w w:val="120"/>
          <w:sz w:val="20"/>
        </w:rPr>
        <w:t> </w:t>
      </w:r>
      <w:r>
        <w:rPr>
          <w:w w:val="120"/>
          <w:sz w:val="20"/>
        </w:rPr>
        <w:t>URC</w:t>
      </w:r>
      <w:r>
        <w:rPr>
          <w:spacing w:val="-9"/>
          <w:w w:val="120"/>
          <w:sz w:val="20"/>
        </w:rPr>
        <w:t> </w:t>
      </w:r>
      <w:r>
        <w:rPr>
          <w:w w:val="120"/>
          <w:sz w:val="20"/>
        </w:rPr>
        <w:t>is</w:t>
      </w:r>
      <w:r>
        <w:rPr>
          <w:spacing w:val="-9"/>
          <w:w w:val="120"/>
          <w:sz w:val="20"/>
        </w:rPr>
        <w:t> </w:t>
      </w:r>
      <w:r>
        <w:rPr>
          <w:w w:val="120"/>
          <w:sz w:val="20"/>
        </w:rPr>
        <w:t>now</w:t>
      </w:r>
      <w:r>
        <w:rPr>
          <w:spacing w:val="-9"/>
          <w:w w:val="120"/>
          <w:sz w:val="20"/>
        </w:rPr>
        <w:t> </w:t>
      </w:r>
      <w:r>
        <w:rPr>
          <w:w w:val="120"/>
          <w:sz w:val="20"/>
        </w:rPr>
        <w:t>officially</w:t>
      </w:r>
      <w:r>
        <w:rPr>
          <w:spacing w:val="-9"/>
          <w:w w:val="120"/>
          <w:sz w:val="20"/>
        </w:rPr>
        <w:t> </w:t>
      </w:r>
      <w:r>
        <w:rPr>
          <w:spacing w:val="2"/>
          <w:w w:val="120"/>
          <w:sz w:val="20"/>
        </w:rPr>
        <w:t>part</w:t>
      </w:r>
      <w:r>
        <w:rPr>
          <w:spacing w:val="-9"/>
          <w:w w:val="120"/>
          <w:sz w:val="20"/>
        </w:rPr>
        <w:t> </w:t>
      </w:r>
      <w:r>
        <w:rPr>
          <w:w w:val="120"/>
          <w:sz w:val="20"/>
        </w:rPr>
        <w:t>of</w:t>
      </w:r>
      <w:r>
        <w:rPr>
          <w:spacing w:val="-9"/>
          <w:w w:val="120"/>
          <w:sz w:val="20"/>
        </w:rPr>
        <w:t> </w:t>
      </w:r>
      <w:r>
        <w:rPr>
          <w:w w:val="120"/>
          <w:sz w:val="20"/>
        </w:rPr>
        <w:t>the</w:t>
      </w:r>
      <w:r>
        <w:rPr>
          <w:spacing w:val="-9"/>
          <w:w w:val="120"/>
          <w:sz w:val="20"/>
        </w:rPr>
        <w:t> </w:t>
      </w:r>
      <w:r>
        <w:rPr>
          <w:i/>
          <w:w w:val="120"/>
          <w:sz w:val="20"/>
        </w:rPr>
        <w:t>Fresh</w:t>
      </w:r>
      <w:r>
        <w:rPr>
          <w:i/>
          <w:spacing w:val="-12"/>
          <w:w w:val="120"/>
          <w:sz w:val="20"/>
        </w:rPr>
        <w:t> </w:t>
      </w:r>
      <w:r>
        <w:rPr>
          <w:i/>
          <w:w w:val="120"/>
          <w:sz w:val="20"/>
        </w:rPr>
        <w:t>Expressions</w:t>
      </w:r>
      <w:r>
        <w:rPr>
          <w:i/>
          <w:spacing w:val="-9"/>
          <w:w w:val="120"/>
          <w:sz w:val="20"/>
        </w:rPr>
        <w:t> </w:t>
      </w:r>
      <w:r>
        <w:rPr>
          <w:w w:val="120"/>
          <w:sz w:val="20"/>
        </w:rPr>
        <w:t>movement</w:t>
      </w:r>
      <w:r>
        <w:rPr>
          <w:spacing w:val="-9"/>
          <w:w w:val="120"/>
          <w:sz w:val="20"/>
        </w:rPr>
        <w:t> </w:t>
      </w:r>
      <w:r>
        <w:rPr>
          <w:w w:val="120"/>
          <w:sz w:val="20"/>
        </w:rPr>
        <w:t>which</w:t>
      </w:r>
      <w:r>
        <w:rPr>
          <w:spacing w:val="-9"/>
          <w:w w:val="120"/>
          <w:sz w:val="20"/>
        </w:rPr>
        <w:t> </w:t>
      </w:r>
      <w:r>
        <w:rPr>
          <w:w w:val="120"/>
          <w:sz w:val="20"/>
        </w:rPr>
        <w:t>has</w:t>
      </w:r>
      <w:r>
        <w:rPr>
          <w:spacing w:val="-9"/>
          <w:w w:val="120"/>
          <w:sz w:val="20"/>
        </w:rPr>
        <w:t> </w:t>
      </w:r>
      <w:r>
        <w:rPr>
          <w:w w:val="120"/>
          <w:sz w:val="20"/>
        </w:rPr>
        <w:t>until now been an Anglican/Methodist</w:t>
      </w:r>
      <w:r>
        <w:rPr>
          <w:spacing w:val="8"/>
          <w:w w:val="120"/>
          <w:sz w:val="20"/>
        </w:rPr>
        <w:t> </w:t>
      </w:r>
      <w:r>
        <w:rPr>
          <w:w w:val="120"/>
          <w:sz w:val="20"/>
        </w:rPr>
        <w:t>venture.</w:t>
      </w:r>
    </w:p>
    <w:p>
      <w:pPr>
        <w:pStyle w:val="BodyText"/>
        <w:spacing w:before="9"/>
        <w:rPr>
          <w:sz w:val="19"/>
        </w:rPr>
      </w:pPr>
    </w:p>
    <w:p>
      <w:pPr>
        <w:pStyle w:val="ListParagraph"/>
        <w:numPr>
          <w:ilvl w:val="2"/>
          <w:numId w:val="143"/>
        </w:numPr>
        <w:tabs>
          <w:tab w:pos="1815" w:val="left" w:leader="none"/>
        </w:tabs>
        <w:spacing w:line="235" w:lineRule="auto" w:before="0" w:after="0"/>
        <w:ind w:left="1133" w:right="2245" w:firstLine="0"/>
        <w:jc w:val="left"/>
        <w:rPr>
          <w:sz w:val="20"/>
        </w:rPr>
      </w:pPr>
      <w:r>
        <w:rPr>
          <w:w w:val="120"/>
          <w:sz w:val="20"/>
        </w:rPr>
        <w:t>The Joint Public Issues </w:t>
      </w:r>
      <w:r>
        <w:rPr>
          <w:spacing w:val="-4"/>
          <w:w w:val="120"/>
          <w:sz w:val="20"/>
        </w:rPr>
        <w:t>Team </w:t>
      </w:r>
      <w:r>
        <w:rPr>
          <w:w w:val="120"/>
          <w:sz w:val="20"/>
        </w:rPr>
        <w:t>continues its work of cooperation between Baptist, Methodist and URC in responding to many of the issues which are important in the whole of society. A good example of our ecumenical partnership on public issues was the campaign organised and coordinated on children in detention over the Christmas period called </w:t>
      </w:r>
      <w:r>
        <w:rPr>
          <w:i/>
          <w:w w:val="120"/>
          <w:sz w:val="20"/>
        </w:rPr>
        <w:t>One More </w:t>
      </w:r>
      <w:r>
        <w:rPr>
          <w:i/>
          <w:spacing w:val="-3"/>
          <w:w w:val="120"/>
          <w:sz w:val="20"/>
        </w:rPr>
        <w:t>Card</w:t>
      </w:r>
      <w:r>
        <w:rPr>
          <w:spacing w:val="-3"/>
          <w:w w:val="120"/>
          <w:sz w:val="20"/>
        </w:rPr>
        <w:t>. </w:t>
      </w:r>
      <w:r>
        <w:rPr>
          <w:w w:val="120"/>
          <w:sz w:val="20"/>
        </w:rPr>
        <w:t>This campaign involved sending a Christmas card</w:t>
      </w:r>
      <w:r>
        <w:rPr>
          <w:spacing w:val="44"/>
          <w:w w:val="120"/>
          <w:sz w:val="20"/>
        </w:rPr>
        <w:t> </w:t>
      </w:r>
      <w:r>
        <w:rPr>
          <w:w w:val="120"/>
          <w:sz w:val="20"/>
        </w:rPr>
        <w:t>to</w:t>
      </w:r>
    </w:p>
    <w:p>
      <w:pPr>
        <w:pStyle w:val="BodyText"/>
        <w:spacing w:line="235" w:lineRule="auto" w:before="4"/>
        <w:ind w:left="1133" w:right="1997"/>
      </w:pPr>
      <w:r>
        <w:rPr>
          <w:w w:val="120"/>
        </w:rPr>
        <w:t>the Minister for Immigration, Phil Woolas, calling for an end to holding children in detention centres in the UK (</w:t>
      </w:r>
      <w:hyperlink r:id="rId400">
        <w:r>
          <w:rPr>
            <w:w w:val="120"/>
          </w:rPr>
          <w:t>http://www.jointpublicissues.org.uk/childrenindetention/</w:t>
        </w:r>
      </w:hyperlink>
      <w:r>
        <w:rPr>
          <w:w w:val="120"/>
        </w:rPr>
        <w:t> jpitonemorecard.htm).</w:t>
      </w:r>
    </w:p>
    <w:p>
      <w:pPr>
        <w:pStyle w:val="BodyText"/>
        <w:spacing w:before="10"/>
        <w:rPr>
          <w:sz w:val="19"/>
        </w:rPr>
      </w:pPr>
    </w:p>
    <w:p>
      <w:pPr>
        <w:pStyle w:val="ListParagraph"/>
        <w:numPr>
          <w:ilvl w:val="2"/>
          <w:numId w:val="143"/>
        </w:numPr>
        <w:tabs>
          <w:tab w:pos="1815" w:val="left" w:leader="none"/>
        </w:tabs>
        <w:spacing w:line="235" w:lineRule="auto" w:before="0" w:after="0"/>
        <w:ind w:left="1133" w:right="2179" w:firstLine="0"/>
        <w:jc w:val="both"/>
        <w:rPr>
          <w:sz w:val="20"/>
        </w:rPr>
      </w:pPr>
      <w:r>
        <w:rPr>
          <w:w w:val="120"/>
          <w:sz w:val="20"/>
        </w:rPr>
        <w:t>For</w:t>
      </w:r>
      <w:r>
        <w:rPr>
          <w:spacing w:val="-10"/>
          <w:w w:val="120"/>
          <w:sz w:val="20"/>
        </w:rPr>
        <w:t> </w:t>
      </w:r>
      <w:r>
        <w:rPr>
          <w:w w:val="120"/>
          <w:sz w:val="20"/>
        </w:rPr>
        <w:t>the</w:t>
      </w:r>
      <w:r>
        <w:rPr>
          <w:spacing w:val="-9"/>
          <w:w w:val="120"/>
          <w:sz w:val="20"/>
        </w:rPr>
        <w:t> </w:t>
      </w:r>
      <w:r>
        <w:rPr>
          <w:w w:val="120"/>
          <w:sz w:val="20"/>
        </w:rPr>
        <w:t>2009</w:t>
      </w:r>
      <w:r>
        <w:rPr>
          <w:spacing w:val="-9"/>
          <w:w w:val="120"/>
          <w:sz w:val="20"/>
        </w:rPr>
        <w:t> </w:t>
      </w:r>
      <w:r>
        <w:rPr>
          <w:w w:val="120"/>
          <w:sz w:val="20"/>
        </w:rPr>
        <w:t>Racial</w:t>
      </w:r>
      <w:r>
        <w:rPr>
          <w:spacing w:val="-10"/>
          <w:w w:val="120"/>
          <w:sz w:val="20"/>
        </w:rPr>
        <w:t> </w:t>
      </w:r>
      <w:r>
        <w:rPr>
          <w:w w:val="120"/>
          <w:sz w:val="20"/>
        </w:rPr>
        <w:t>Justice</w:t>
      </w:r>
      <w:r>
        <w:rPr>
          <w:spacing w:val="-9"/>
          <w:w w:val="120"/>
          <w:sz w:val="20"/>
        </w:rPr>
        <w:t> </w:t>
      </w:r>
      <w:r>
        <w:rPr>
          <w:w w:val="120"/>
          <w:sz w:val="20"/>
        </w:rPr>
        <w:t>Sunday</w:t>
      </w:r>
      <w:r>
        <w:rPr>
          <w:spacing w:val="-9"/>
          <w:w w:val="120"/>
          <w:sz w:val="20"/>
        </w:rPr>
        <w:t> </w:t>
      </w:r>
      <w:r>
        <w:rPr>
          <w:w w:val="120"/>
          <w:sz w:val="20"/>
        </w:rPr>
        <w:t>materials</w:t>
      </w:r>
      <w:r>
        <w:rPr>
          <w:spacing w:val="-10"/>
          <w:w w:val="120"/>
          <w:sz w:val="20"/>
        </w:rPr>
        <w:t> </w:t>
      </w:r>
      <w:r>
        <w:rPr>
          <w:w w:val="120"/>
          <w:sz w:val="20"/>
        </w:rPr>
        <w:t>and</w:t>
      </w:r>
      <w:r>
        <w:rPr>
          <w:spacing w:val="-9"/>
          <w:w w:val="120"/>
          <w:sz w:val="20"/>
        </w:rPr>
        <w:t> </w:t>
      </w:r>
      <w:r>
        <w:rPr>
          <w:w w:val="120"/>
          <w:sz w:val="20"/>
        </w:rPr>
        <w:t>resources</w:t>
      </w:r>
      <w:r>
        <w:rPr>
          <w:spacing w:val="-9"/>
          <w:w w:val="120"/>
          <w:sz w:val="20"/>
        </w:rPr>
        <w:t> </w:t>
      </w:r>
      <w:r>
        <w:rPr>
          <w:w w:val="120"/>
          <w:sz w:val="20"/>
        </w:rPr>
        <w:t>(</w:t>
      </w:r>
      <w:r>
        <w:rPr>
          <w:i/>
          <w:w w:val="120"/>
          <w:sz w:val="20"/>
        </w:rPr>
        <w:t>Who</w:t>
      </w:r>
      <w:r>
        <w:rPr>
          <w:i/>
          <w:spacing w:val="-12"/>
          <w:w w:val="120"/>
          <w:sz w:val="20"/>
        </w:rPr>
        <w:t> </w:t>
      </w:r>
      <w:r>
        <w:rPr>
          <w:i/>
          <w:w w:val="120"/>
          <w:sz w:val="20"/>
        </w:rPr>
        <w:t>do</w:t>
      </w:r>
      <w:r>
        <w:rPr>
          <w:i/>
          <w:spacing w:val="-12"/>
          <w:w w:val="120"/>
          <w:sz w:val="20"/>
        </w:rPr>
        <w:t> </w:t>
      </w:r>
      <w:r>
        <w:rPr>
          <w:i/>
          <w:w w:val="120"/>
          <w:sz w:val="20"/>
        </w:rPr>
        <w:t>you</w:t>
      </w:r>
      <w:r>
        <w:rPr>
          <w:i/>
          <w:spacing w:val="-11"/>
          <w:w w:val="120"/>
          <w:sz w:val="20"/>
        </w:rPr>
        <w:t> </w:t>
      </w:r>
      <w:r>
        <w:rPr>
          <w:i/>
          <w:w w:val="120"/>
          <w:sz w:val="20"/>
        </w:rPr>
        <w:t>say</w:t>
      </w:r>
      <w:r>
        <w:rPr>
          <w:i/>
          <w:spacing w:val="-12"/>
          <w:w w:val="120"/>
          <w:sz w:val="20"/>
        </w:rPr>
        <w:t> </w:t>
      </w:r>
      <w:r>
        <w:rPr>
          <w:i/>
          <w:w w:val="120"/>
          <w:sz w:val="20"/>
        </w:rPr>
        <w:t>that</w:t>
      </w:r>
      <w:r>
        <w:rPr>
          <w:i/>
          <w:spacing w:val="-12"/>
          <w:w w:val="120"/>
          <w:sz w:val="20"/>
        </w:rPr>
        <w:t> </w:t>
      </w:r>
      <w:r>
        <w:rPr>
          <w:i/>
          <w:w w:val="120"/>
          <w:sz w:val="20"/>
        </w:rPr>
        <w:t>I </w:t>
      </w:r>
      <w:r>
        <w:rPr>
          <w:i/>
          <w:w w:val="120"/>
          <w:sz w:val="20"/>
        </w:rPr>
        <w:t>am?</w:t>
      </w:r>
      <w:r>
        <w:rPr>
          <w:w w:val="120"/>
          <w:sz w:val="20"/>
        </w:rPr>
        <w:t>) were prepared with significant input from the United Reformed Church. This is an ecumenical initiative that is valued across the United Kingdom and the</w:t>
      </w:r>
      <w:r>
        <w:rPr>
          <w:spacing w:val="37"/>
          <w:w w:val="120"/>
          <w:sz w:val="20"/>
        </w:rPr>
        <w:t> </w:t>
      </w:r>
      <w:r>
        <w:rPr>
          <w:w w:val="120"/>
          <w:sz w:val="20"/>
        </w:rPr>
        <w:t>world.</w:t>
      </w:r>
    </w:p>
    <w:p>
      <w:pPr>
        <w:spacing w:after="0" w:line="235" w:lineRule="auto"/>
        <w:jc w:val="both"/>
        <w:rPr>
          <w:sz w:val="20"/>
        </w:rPr>
        <w:sectPr>
          <w:headerReference w:type="even" r:id="rId398"/>
          <w:pgSz w:w="11910" w:h="16840"/>
          <w:pgMar w:header="0" w:footer="647" w:top="0" w:bottom="840" w:left="0" w:right="0"/>
        </w:sectPr>
      </w:pPr>
    </w:p>
    <w:p>
      <w:pPr>
        <w:pStyle w:val="ListParagraph"/>
        <w:numPr>
          <w:ilvl w:val="2"/>
          <w:numId w:val="143"/>
        </w:numPr>
        <w:tabs>
          <w:tab w:pos="2665" w:val="left" w:leader="none"/>
        </w:tabs>
        <w:spacing w:line="235" w:lineRule="auto" w:before="91" w:after="0"/>
        <w:ind w:left="1984" w:right="1417" w:firstLine="0"/>
        <w:jc w:val="left"/>
        <w:rPr>
          <w:sz w:val="20"/>
        </w:rPr>
      </w:pPr>
      <w:r>
        <w:rPr/>
        <w:pict>
          <v:rect style="position:absolute;margin-left:558.424988pt;margin-top:8.503343pt;width:22.677pt;height:22.677pt;mso-position-horizontal-relative:page;mso-position-vertical-relative:paragraph;z-index:252155904" filled="true" fillcolor="#dae4ec" stroked="false">
            <v:fill opacity="32768f" type="solid"/>
            <w10:wrap type="none"/>
          </v:rect>
        </w:pict>
      </w:r>
      <w:r>
        <w:rPr>
          <w:w w:val="120"/>
          <w:sz w:val="20"/>
        </w:rPr>
        <w:t>In the past year the Rural Officer has been involved in developing Local Collaborative Ministry </w:t>
      </w:r>
      <w:r>
        <w:rPr>
          <w:spacing w:val="-3"/>
          <w:w w:val="120"/>
          <w:sz w:val="20"/>
        </w:rPr>
        <w:t>(LCM)  </w:t>
      </w:r>
      <w:r>
        <w:rPr>
          <w:w w:val="120"/>
          <w:sz w:val="20"/>
        </w:rPr>
        <w:t>in rural areas and significant progress is being made.  LCM is an approach to ministry which empowers the laity and is bearing much fruit in churches as far afield as New Zealand and Canada. It has a strap-line of ‘the ministry</w:t>
      </w:r>
      <w:r>
        <w:rPr>
          <w:spacing w:val="19"/>
          <w:w w:val="120"/>
          <w:sz w:val="20"/>
        </w:rPr>
        <w:t> </w:t>
      </w:r>
      <w:r>
        <w:rPr>
          <w:w w:val="120"/>
          <w:sz w:val="20"/>
        </w:rPr>
        <w:t>of</w:t>
      </w:r>
    </w:p>
    <w:p>
      <w:pPr>
        <w:pStyle w:val="BodyText"/>
        <w:spacing w:line="235" w:lineRule="auto" w:before="3"/>
        <w:ind w:left="1984" w:right="1120"/>
      </w:pPr>
      <w:r>
        <w:rPr>
          <w:w w:val="120"/>
        </w:rPr>
        <w:t>the baptised’ and encourages local teams of people to take responsibility for the mission and ministry of the church in the local context, resourced by an external enabler.</w:t>
      </w:r>
    </w:p>
    <w:p>
      <w:pPr>
        <w:pStyle w:val="BodyText"/>
        <w:spacing w:before="9"/>
        <w:rPr>
          <w:sz w:val="19"/>
        </w:rPr>
      </w:pPr>
    </w:p>
    <w:p>
      <w:pPr>
        <w:spacing w:line="235" w:lineRule="auto" w:before="0"/>
        <w:ind w:left="2664" w:right="1273" w:firstLine="0"/>
        <w:jc w:val="left"/>
        <w:rPr>
          <w:i/>
          <w:sz w:val="20"/>
        </w:rPr>
      </w:pPr>
      <w:r>
        <w:rPr>
          <w:i/>
          <w:w w:val="110"/>
          <w:sz w:val="20"/>
        </w:rPr>
        <w:t>In Coquetdale, a single road binds the people of the dale together and the </w:t>
      </w:r>
      <w:r>
        <w:rPr>
          <w:i/>
          <w:spacing w:val="-11"/>
          <w:w w:val="110"/>
          <w:sz w:val="20"/>
        </w:rPr>
        <w:t>11 </w:t>
      </w:r>
      <w:r>
        <w:rPr>
          <w:i/>
          <w:w w:val="110"/>
          <w:sz w:val="20"/>
        </w:rPr>
        <w:t>churches of </w:t>
      </w:r>
      <w:r>
        <w:rPr>
          <w:i/>
          <w:w w:val="110"/>
          <w:sz w:val="20"/>
        </w:rPr>
        <w:t>four denominations know they form a single unit of faith, as recognised in the covenant signed by church leaders. The churches play a  vital  part  in  providing  informal  and formal care services. A retired local doctor supervises the bereavement visiting team; newcomers to the area are welcomed by the good neighbour scheme; and three couples provide the hospital car scheme. Christians in this dale worship together regularly and have a tent to house their presence at the three local agricultural</w:t>
      </w:r>
      <w:r>
        <w:rPr>
          <w:i/>
          <w:spacing w:val="49"/>
          <w:w w:val="110"/>
          <w:sz w:val="20"/>
        </w:rPr>
        <w:t> </w:t>
      </w:r>
      <w:r>
        <w:rPr>
          <w:i/>
          <w:w w:val="110"/>
          <w:sz w:val="20"/>
        </w:rPr>
        <w:t>shows.</w:t>
      </w:r>
    </w:p>
    <w:p>
      <w:pPr>
        <w:pStyle w:val="BodyText"/>
        <w:spacing w:before="1"/>
        <w:rPr>
          <w:i/>
        </w:rPr>
      </w:pPr>
    </w:p>
    <w:p>
      <w:pPr>
        <w:spacing w:line="235" w:lineRule="auto" w:before="0"/>
        <w:ind w:left="2664" w:right="6109" w:firstLine="0"/>
        <w:jc w:val="left"/>
        <w:rPr>
          <w:i/>
          <w:sz w:val="20"/>
        </w:rPr>
      </w:pPr>
      <w:r>
        <w:rPr/>
        <w:pict>
          <v:group style="position:absolute;margin-left:312.236694pt;margin-top:-2.359253pt;width:283.05pt;height:177.75pt;mso-position-horizontal-relative:page;mso-position-vertical-relative:paragraph;z-index:252156928" coordorigin="6245,-47" coordsize="5661,3555">
            <v:shape style="position:absolute;left:6258;top:-34;width:5647;height:3540" type="#_x0000_t75" stroked="false">
              <v:imagedata r:id="rId405" o:title=""/>
            </v:shape>
            <v:shape style="position:absolute;left:6244;top:-48;width:1513;height:1540" coordorigin="6245,-47" coordsize="1513,1540" path="m6245,1490l6245,1492,6245,1492,6245,1490xm7757,-47l6245,-47,6245,1489,6247,1413,6252,1338,6261,1264,6274,1192,6289,1120,6309,1050,6331,981,6356,913,6385,847,6416,783,6451,720,6488,660,6528,601,6570,544,6615,489,6662,436,6712,386,6764,338,6818,292,6875,249,6933,208,6993,170,7055,135,7119,103,7184,73,7251,47,7320,23,7390,3,7461,-14,7533,-27,7607,-37,7682,-44,7757,-47xe" filled="true" fillcolor="#ffffff" stroked="false">
              <v:path arrowok="t"/>
              <v:fill type="solid"/>
            </v:shape>
            <w10:wrap type="none"/>
          </v:group>
        </w:pict>
      </w:r>
      <w:r>
        <w:rPr>
          <w:i/>
          <w:w w:val="110"/>
          <w:sz w:val="20"/>
        </w:rPr>
        <w:t>Nidderdale is a discrete </w:t>
      </w:r>
      <w:r>
        <w:rPr>
          <w:i/>
          <w:w w:val="110"/>
          <w:sz w:val="20"/>
        </w:rPr>
        <w:t>geographical area and ecumenical cooperation goes back to  the </w:t>
      </w:r>
      <w:r>
        <w:rPr>
          <w:i/>
          <w:spacing w:val="-3"/>
          <w:w w:val="110"/>
          <w:sz w:val="20"/>
        </w:rPr>
        <w:t>1890s </w:t>
      </w:r>
      <w:r>
        <w:rPr>
          <w:i/>
          <w:w w:val="110"/>
          <w:sz w:val="20"/>
        </w:rPr>
        <w:t>when, with the arrival of the railway in the dale, day trippers began to arrive from Leeds. In  more recent times, a covenant and a memorandum of understanding have been signed, but formal contracts have been avoided to allow for a more creative</w:t>
      </w:r>
      <w:r>
        <w:rPr>
          <w:i/>
          <w:spacing w:val="22"/>
          <w:w w:val="110"/>
          <w:sz w:val="20"/>
        </w:rPr>
        <w:t> </w:t>
      </w:r>
      <w:r>
        <w:rPr>
          <w:i/>
          <w:w w:val="110"/>
          <w:sz w:val="20"/>
        </w:rPr>
        <w:t>space.</w:t>
      </w:r>
    </w:p>
    <w:p>
      <w:pPr>
        <w:pStyle w:val="BodyText"/>
        <w:spacing w:before="3"/>
        <w:rPr>
          <w:i/>
        </w:rPr>
      </w:pPr>
    </w:p>
    <w:p>
      <w:pPr>
        <w:spacing w:line="235" w:lineRule="auto" w:before="1"/>
        <w:ind w:left="2664" w:right="6125" w:firstLine="0"/>
        <w:jc w:val="left"/>
        <w:rPr>
          <w:i/>
          <w:sz w:val="20"/>
        </w:rPr>
      </w:pPr>
      <w:r>
        <w:rPr>
          <w:i/>
          <w:w w:val="110"/>
          <w:sz w:val="20"/>
        </w:rPr>
        <w:t>The responsibility for youth and </w:t>
      </w:r>
      <w:r>
        <w:rPr>
          <w:i/>
          <w:w w:val="110"/>
          <w:sz w:val="20"/>
        </w:rPr>
        <w:t>children’s work is denominational but the activities are coordinated and run by the ‘Church in the</w:t>
      </w:r>
    </w:p>
    <w:p>
      <w:pPr>
        <w:spacing w:line="235" w:lineRule="auto" w:before="3"/>
        <w:ind w:left="2664" w:right="1357" w:firstLine="0"/>
        <w:jc w:val="left"/>
        <w:rPr>
          <w:i/>
          <w:sz w:val="20"/>
        </w:rPr>
      </w:pPr>
      <w:r>
        <w:rPr>
          <w:i/>
          <w:w w:val="110"/>
          <w:sz w:val="20"/>
        </w:rPr>
        <w:t>Dale’ youth team. Other teams help to coordinate pastoral </w:t>
      </w:r>
      <w:r>
        <w:rPr>
          <w:i/>
          <w:spacing w:val="-3"/>
          <w:w w:val="110"/>
          <w:sz w:val="20"/>
        </w:rPr>
        <w:t>care, </w:t>
      </w:r>
      <w:r>
        <w:rPr>
          <w:i/>
          <w:w w:val="110"/>
          <w:sz w:val="20"/>
        </w:rPr>
        <w:t>administration and the </w:t>
      </w:r>
      <w:r>
        <w:rPr>
          <w:i/>
          <w:w w:val="110"/>
          <w:sz w:val="20"/>
        </w:rPr>
        <w:t>care of buildings. Church events are advertised under the ‘Church in the Dale’ </w:t>
      </w:r>
      <w:r>
        <w:rPr>
          <w:i/>
          <w:spacing w:val="-3"/>
          <w:w w:val="110"/>
          <w:sz w:val="20"/>
        </w:rPr>
        <w:t>banner, </w:t>
      </w:r>
      <w:r>
        <w:rPr>
          <w:i/>
          <w:w w:val="110"/>
          <w:sz w:val="20"/>
        </w:rPr>
        <w:t>thus reinforcing the united approach. People from across the denominations meet together twice a year to review the joint mission of the</w:t>
      </w:r>
      <w:r>
        <w:rPr>
          <w:i/>
          <w:spacing w:val="39"/>
          <w:w w:val="110"/>
          <w:sz w:val="20"/>
        </w:rPr>
        <w:t> </w:t>
      </w:r>
      <w:r>
        <w:rPr>
          <w:i/>
          <w:w w:val="110"/>
          <w:sz w:val="20"/>
        </w:rPr>
        <w:t>churches.</w:t>
      </w:r>
    </w:p>
    <w:p>
      <w:pPr>
        <w:pStyle w:val="BodyText"/>
        <w:spacing w:before="6"/>
        <w:rPr>
          <w:i/>
          <w:sz w:val="19"/>
        </w:rPr>
      </w:pPr>
    </w:p>
    <w:p>
      <w:pPr>
        <w:pStyle w:val="ListParagraph"/>
        <w:numPr>
          <w:ilvl w:val="1"/>
          <w:numId w:val="143"/>
        </w:numPr>
        <w:tabs>
          <w:tab w:pos="2664" w:val="left" w:leader="none"/>
          <w:tab w:pos="2665" w:val="left" w:leader="none"/>
        </w:tabs>
        <w:spacing w:line="240" w:lineRule="auto" w:before="1" w:after="0"/>
        <w:ind w:left="2664" w:right="0" w:hanging="681"/>
        <w:jc w:val="left"/>
        <w:rPr>
          <w:sz w:val="20"/>
        </w:rPr>
      </w:pPr>
      <w:r>
        <w:rPr>
          <w:w w:val="120"/>
          <w:sz w:val="20"/>
        </w:rPr>
        <w:t>Community</w:t>
      </w:r>
      <w:r>
        <w:rPr>
          <w:spacing w:val="2"/>
          <w:w w:val="120"/>
          <w:sz w:val="20"/>
        </w:rPr>
        <w:t> </w:t>
      </w:r>
      <w:r>
        <w:rPr>
          <w:w w:val="120"/>
          <w:sz w:val="20"/>
        </w:rPr>
        <w:t>Partnerships</w:t>
      </w:r>
    </w:p>
    <w:p>
      <w:pPr>
        <w:pStyle w:val="BodyText"/>
        <w:spacing w:before="7"/>
        <w:rPr>
          <w:sz w:val="19"/>
        </w:rPr>
      </w:pPr>
    </w:p>
    <w:p>
      <w:pPr>
        <w:pStyle w:val="ListParagraph"/>
        <w:numPr>
          <w:ilvl w:val="2"/>
          <w:numId w:val="143"/>
        </w:numPr>
        <w:tabs>
          <w:tab w:pos="2664" w:val="left" w:leader="none"/>
          <w:tab w:pos="2665" w:val="left" w:leader="none"/>
        </w:tabs>
        <w:spacing w:line="235" w:lineRule="auto" w:before="0" w:after="0"/>
        <w:ind w:left="1984" w:right="1164" w:firstLine="0"/>
        <w:jc w:val="left"/>
        <w:rPr>
          <w:sz w:val="20"/>
        </w:rPr>
      </w:pPr>
      <w:r>
        <w:rPr>
          <w:w w:val="120"/>
          <w:sz w:val="20"/>
        </w:rPr>
        <w:t>Many churches across the denomination are involved in ‘community partnerships’ of different kinds running everything from summer camps to community cafés to counselling</w:t>
      </w:r>
      <w:r>
        <w:rPr>
          <w:spacing w:val="2"/>
          <w:w w:val="120"/>
          <w:sz w:val="20"/>
        </w:rPr>
        <w:t> </w:t>
      </w:r>
      <w:r>
        <w:rPr>
          <w:w w:val="120"/>
          <w:sz w:val="20"/>
        </w:rPr>
        <w:t>services.</w:t>
      </w:r>
    </w:p>
    <w:p>
      <w:pPr>
        <w:pStyle w:val="BodyText"/>
        <w:spacing w:before="11"/>
        <w:rPr>
          <w:sz w:val="19"/>
        </w:rPr>
      </w:pPr>
    </w:p>
    <w:p>
      <w:pPr>
        <w:pStyle w:val="ListParagraph"/>
        <w:numPr>
          <w:ilvl w:val="2"/>
          <w:numId w:val="143"/>
        </w:numPr>
        <w:tabs>
          <w:tab w:pos="2665" w:val="left" w:leader="none"/>
        </w:tabs>
        <w:spacing w:line="235" w:lineRule="auto" w:before="1" w:after="0"/>
        <w:ind w:left="2664" w:right="1171" w:hanging="681"/>
        <w:jc w:val="left"/>
        <w:rPr>
          <w:i/>
          <w:sz w:val="20"/>
        </w:rPr>
      </w:pPr>
      <w:r>
        <w:rPr>
          <w:i/>
          <w:spacing w:val="-3"/>
          <w:w w:val="110"/>
          <w:sz w:val="20"/>
        </w:rPr>
        <w:t>Over </w:t>
      </w:r>
      <w:r>
        <w:rPr>
          <w:i/>
          <w:w w:val="110"/>
          <w:sz w:val="20"/>
        </w:rPr>
        <w:t>the past five </w:t>
      </w:r>
      <w:r>
        <w:rPr>
          <w:i/>
          <w:spacing w:val="-3"/>
          <w:w w:val="110"/>
          <w:sz w:val="20"/>
        </w:rPr>
        <w:t>years, </w:t>
      </w:r>
      <w:r>
        <w:rPr>
          <w:i/>
          <w:spacing w:val="-4"/>
          <w:w w:val="110"/>
          <w:sz w:val="20"/>
        </w:rPr>
        <w:t>Levenshulme </w:t>
      </w:r>
      <w:r>
        <w:rPr>
          <w:i/>
          <w:spacing w:val="-3"/>
          <w:w w:val="110"/>
          <w:sz w:val="20"/>
        </w:rPr>
        <w:t>United </w:t>
      </w:r>
      <w:r>
        <w:rPr>
          <w:i/>
          <w:w w:val="110"/>
          <w:sz w:val="20"/>
        </w:rPr>
        <w:t>Reformed </w:t>
      </w:r>
      <w:r>
        <w:rPr>
          <w:i/>
          <w:spacing w:val="-3"/>
          <w:w w:val="110"/>
          <w:sz w:val="20"/>
        </w:rPr>
        <w:t>Church </w:t>
      </w:r>
      <w:r>
        <w:rPr>
          <w:i/>
          <w:w w:val="110"/>
          <w:sz w:val="20"/>
        </w:rPr>
        <w:t>in inner-city </w:t>
      </w:r>
      <w:r>
        <w:rPr>
          <w:i/>
          <w:spacing w:val="-3"/>
          <w:w w:val="110"/>
          <w:sz w:val="20"/>
        </w:rPr>
        <w:t>Manchester has </w:t>
      </w:r>
      <w:r>
        <w:rPr>
          <w:i/>
          <w:w w:val="110"/>
          <w:sz w:val="20"/>
        </w:rPr>
        <w:t>been transformed from a </w:t>
      </w:r>
      <w:r>
        <w:rPr>
          <w:i/>
          <w:spacing w:val="-3"/>
          <w:w w:val="110"/>
          <w:sz w:val="20"/>
        </w:rPr>
        <w:t>dilapidated building </w:t>
      </w:r>
      <w:r>
        <w:rPr>
          <w:i/>
          <w:w w:val="110"/>
          <w:sz w:val="20"/>
        </w:rPr>
        <w:t>with a weary </w:t>
      </w:r>
      <w:r>
        <w:rPr>
          <w:i/>
          <w:spacing w:val="-3"/>
          <w:w w:val="110"/>
          <w:sz w:val="20"/>
        </w:rPr>
        <w:t>congregation into </w:t>
      </w:r>
      <w:r>
        <w:rPr>
          <w:i/>
          <w:w w:val="110"/>
          <w:sz w:val="20"/>
        </w:rPr>
        <w:t>a </w:t>
      </w:r>
      <w:r>
        <w:rPr>
          <w:i/>
          <w:spacing w:val="-3"/>
          <w:w w:val="110"/>
          <w:sz w:val="20"/>
        </w:rPr>
        <w:t>vibrant, church-led community initiative </w:t>
      </w:r>
      <w:r>
        <w:rPr>
          <w:i/>
          <w:w w:val="110"/>
          <w:sz w:val="20"/>
        </w:rPr>
        <w:t>– all with the </w:t>
      </w:r>
      <w:r>
        <w:rPr>
          <w:i/>
          <w:spacing w:val="-3"/>
          <w:w w:val="110"/>
          <w:sz w:val="20"/>
        </w:rPr>
        <w:t>help </w:t>
      </w:r>
      <w:r>
        <w:rPr>
          <w:i/>
          <w:w w:val="110"/>
          <w:sz w:val="20"/>
        </w:rPr>
        <w:t>of </w:t>
      </w:r>
      <w:r>
        <w:rPr>
          <w:i/>
          <w:spacing w:val="-3"/>
          <w:w w:val="110"/>
          <w:sz w:val="20"/>
        </w:rPr>
        <w:t>local community </w:t>
      </w:r>
      <w:r>
        <w:rPr>
          <w:i/>
          <w:w w:val="110"/>
          <w:sz w:val="20"/>
        </w:rPr>
        <w:t>partners. </w:t>
      </w:r>
      <w:r>
        <w:rPr>
          <w:i/>
          <w:spacing w:val="-3"/>
          <w:w w:val="110"/>
          <w:sz w:val="20"/>
        </w:rPr>
        <w:t>Church members joined forces </w:t>
      </w:r>
      <w:r>
        <w:rPr>
          <w:i/>
          <w:w w:val="110"/>
          <w:sz w:val="20"/>
        </w:rPr>
        <w:t>with the </w:t>
      </w:r>
      <w:r>
        <w:rPr>
          <w:i/>
          <w:spacing w:val="-3"/>
          <w:w w:val="110"/>
          <w:sz w:val="20"/>
        </w:rPr>
        <w:t>Great Places Housing </w:t>
      </w:r>
      <w:r>
        <w:rPr>
          <w:i/>
          <w:spacing w:val="-4"/>
          <w:w w:val="110"/>
          <w:sz w:val="20"/>
        </w:rPr>
        <w:t>Group,  </w:t>
      </w:r>
      <w:r>
        <w:rPr>
          <w:i/>
          <w:spacing w:val="-3"/>
          <w:w w:val="110"/>
          <w:sz w:val="20"/>
        </w:rPr>
        <w:t>Manchester </w:t>
      </w:r>
      <w:r>
        <w:rPr>
          <w:i/>
          <w:w w:val="110"/>
          <w:sz w:val="20"/>
        </w:rPr>
        <w:t>City </w:t>
      </w:r>
      <w:r>
        <w:rPr>
          <w:i/>
          <w:spacing w:val="-3"/>
          <w:w w:val="110"/>
          <w:sz w:val="20"/>
        </w:rPr>
        <w:t>Council </w:t>
      </w:r>
      <w:r>
        <w:rPr>
          <w:i/>
          <w:w w:val="110"/>
          <w:sz w:val="20"/>
        </w:rPr>
        <w:t>and   a </w:t>
      </w:r>
      <w:r>
        <w:rPr>
          <w:i/>
          <w:spacing w:val="-3"/>
          <w:w w:val="110"/>
          <w:sz w:val="20"/>
        </w:rPr>
        <w:t>number </w:t>
      </w:r>
      <w:r>
        <w:rPr>
          <w:i/>
          <w:w w:val="110"/>
          <w:sz w:val="20"/>
        </w:rPr>
        <w:t>of </w:t>
      </w:r>
      <w:r>
        <w:rPr>
          <w:i/>
          <w:spacing w:val="-3"/>
          <w:w w:val="110"/>
          <w:sz w:val="20"/>
        </w:rPr>
        <w:t>local community organisations </w:t>
      </w:r>
      <w:r>
        <w:rPr>
          <w:i/>
          <w:w w:val="110"/>
          <w:sz w:val="20"/>
        </w:rPr>
        <w:t>to </w:t>
      </w:r>
      <w:r>
        <w:rPr>
          <w:i/>
          <w:spacing w:val="-3"/>
          <w:w w:val="110"/>
          <w:sz w:val="20"/>
        </w:rPr>
        <w:t>develop plans </w:t>
      </w:r>
      <w:r>
        <w:rPr>
          <w:i/>
          <w:w w:val="110"/>
          <w:sz w:val="20"/>
        </w:rPr>
        <w:t>for a </w:t>
      </w:r>
      <w:r>
        <w:rPr>
          <w:i/>
          <w:spacing w:val="-3"/>
          <w:w w:val="110"/>
          <w:sz w:val="20"/>
        </w:rPr>
        <w:t>three million </w:t>
      </w:r>
      <w:r>
        <w:rPr>
          <w:i/>
          <w:w w:val="110"/>
          <w:sz w:val="20"/>
        </w:rPr>
        <w:t>pound </w:t>
      </w:r>
      <w:r>
        <w:rPr>
          <w:i/>
          <w:spacing w:val="-3"/>
          <w:w w:val="110"/>
          <w:sz w:val="20"/>
        </w:rPr>
        <w:t>redevelopment </w:t>
      </w:r>
      <w:r>
        <w:rPr>
          <w:i/>
          <w:w w:val="110"/>
          <w:sz w:val="20"/>
        </w:rPr>
        <w:t>of the </w:t>
      </w:r>
      <w:r>
        <w:rPr>
          <w:i/>
          <w:spacing w:val="-3"/>
          <w:w w:val="110"/>
          <w:sz w:val="20"/>
        </w:rPr>
        <w:t>building. </w:t>
      </w:r>
      <w:r>
        <w:rPr>
          <w:i/>
          <w:w w:val="110"/>
          <w:sz w:val="20"/>
        </w:rPr>
        <w:t>With plenty of </w:t>
      </w:r>
      <w:r>
        <w:rPr>
          <w:i/>
          <w:spacing w:val="-3"/>
          <w:w w:val="110"/>
          <w:sz w:val="20"/>
        </w:rPr>
        <w:t>hard </w:t>
      </w:r>
      <w:r>
        <w:rPr>
          <w:i/>
          <w:w w:val="110"/>
          <w:sz w:val="20"/>
        </w:rPr>
        <w:t>work and </w:t>
      </w:r>
      <w:r>
        <w:rPr>
          <w:i/>
          <w:spacing w:val="-3"/>
          <w:w w:val="110"/>
          <w:sz w:val="20"/>
        </w:rPr>
        <w:t>co-operation, piece </w:t>
      </w:r>
      <w:r>
        <w:rPr>
          <w:i/>
          <w:w w:val="110"/>
          <w:sz w:val="20"/>
        </w:rPr>
        <w:t>by</w:t>
      </w:r>
      <w:r>
        <w:rPr>
          <w:i/>
          <w:spacing w:val="28"/>
          <w:w w:val="110"/>
          <w:sz w:val="20"/>
        </w:rPr>
        <w:t> </w:t>
      </w:r>
      <w:r>
        <w:rPr>
          <w:i/>
          <w:spacing w:val="-3"/>
          <w:w w:val="110"/>
          <w:sz w:val="20"/>
        </w:rPr>
        <w:t>piece</w:t>
      </w:r>
    </w:p>
    <w:p>
      <w:pPr>
        <w:spacing w:line="235" w:lineRule="auto" w:before="4"/>
        <w:ind w:left="2664" w:right="1120" w:firstLine="0"/>
        <w:jc w:val="left"/>
        <w:rPr>
          <w:i/>
          <w:sz w:val="20"/>
        </w:rPr>
      </w:pPr>
      <w:r>
        <w:rPr>
          <w:i/>
          <w:w w:val="110"/>
          <w:sz w:val="20"/>
        </w:rPr>
        <w:t>the </w:t>
      </w:r>
      <w:r>
        <w:rPr>
          <w:i/>
          <w:spacing w:val="-3"/>
          <w:w w:val="110"/>
          <w:sz w:val="20"/>
        </w:rPr>
        <w:t>funding has </w:t>
      </w:r>
      <w:r>
        <w:rPr>
          <w:i/>
          <w:w w:val="110"/>
          <w:sz w:val="20"/>
        </w:rPr>
        <w:t>been </w:t>
      </w:r>
      <w:r>
        <w:rPr>
          <w:i/>
          <w:spacing w:val="-3"/>
          <w:w w:val="110"/>
          <w:sz w:val="20"/>
        </w:rPr>
        <w:t>drawn together </w:t>
      </w:r>
      <w:r>
        <w:rPr>
          <w:i/>
          <w:w w:val="110"/>
          <w:sz w:val="20"/>
        </w:rPr>
        <w:t>and </w:t>
      </w:r>
      <w:r>
        <w:rPr>
          <w:i/>
          <w:spacing w:val="-3"/>
          <w:w w:val="110"/>
          <w:sz w:val="20"/>
        </w:rPr>
        <w:t>contractors are </w:t>
      </w:r>
      <w:r>
        <w:rPr>
          <w:i/>
          <w:w w:val="110"/>
          <w:sz w:val="20"/>
        </w:rPr>
        <w:t>now putting the </w:t>
      </w:r>
      <w:r>
        <w:rPr>
          <w:i/>
          <w:spacing w:val="-3"/>
          <w:w w:val="110"/>
          <w:sz w:val="20"/>
        </w:rPr>
        <w:t>finishing touches </w:t>
      </w:r>
      <w:r>
        <w:rPr>
          <w:i/>
          <w:w w:val="110"/>
          <w:sz w:val="20"/>
        </w:rPr>
        <w:t>to </w:t>
      </w:r>
      <w:r>
        <w:rPr>
          <w:i/>
          <w:spacing w:val="-5"/>
          <w:w w:val="110"/>
          <w:sz w:val="20"/>
        </w:rPr>
        <w:t>Levenshulme’s </w:t>
      </w:r>
      <w:r>
        <w:rPr>
          <w:i/>
          <w:spacing w:val="-3"/>
          <w:w w:val="110"/>
          <w:sz w:val="20"/>
        </w:rPr>
        <w:t>only community </w:t>
      </w:r>
      <w:r>
        <w:rPr>
          <w:i/>
          <w:w w:val="110"/>
          <w:sz w:val="20"/>
        </w:rPr>
        <w:t>facility </w:t>
      </w:r>
      <w:r>
        <w:rPr>
          <w:i/>
          <w:spacing w:val="-4"/>
          <w:w w:val="110"/>
          <w:sz w:val="20"/>
        </w:rPr>
        <w:t>since </w:t>
      </w:r>
      <w:r>
        <w:rPr>
          <w:i/>
          <w:w w:val="110"/>
          <w:sz w:val="20"/>
        </w:rPr>
        <w:t>its old </w:t>
      </w:r>
      <w:r>
        <w:rPr>
          <w:i/>
          <w:spacing w:val="-3"/>
          <w:w w:val="110"/>
          <w:sz w:val="20"/>
        </w:rPr>
        <w:t>community centre was closed </w:t>
      </w:r>
      <w:r>
        <w:rPr>
          <w:i/>
          <w:w w:val="110"/>
          <w:sz w:val="20"/>
        </w:rPr>
        <w:t>in </w:t>
      </w:r>
      <w:r>
        <w:rPr>
          <w:i/>
          <w:spacing w:val="-3"/>
          <w:w w:val="110"/>
          <w:sz w:val="20"/>
        </w:rPr>
        <w:t>2005.</w:t>
      </w:r>
    </w:p>
    <w:p>
      <w:pPr>
        <w:pStyle w:val="BodyText"/>
        <w:spacing w:before="9"/>
        <w:rPr>
          <w:i/>
          <w:sz w:val="19"/>
        </w:rPr>
      </w:pPr>
    </w:p>
    <w:p>
      <w:pPr>
        <w:spacing w:line="235" w:lineRule="auto" w:before="1"/>
        <w:ind w:left="2664" w:right="1163" w:firstLine="0"/>
        <w:jc w:val="left"/>
        <w:rPr>
          <w:i/>
          <w:sz w:val="20"/>
        </w:rPr>
      </w:pPr>
      <w:r>
        <w:rPr>
          <w:i/>
          <w:w w:val="110"/>
          <w:sz w:val="20"/>
        </w:rPr>
        <w:t>By </w:t>
      </w:r>
      <w:r>
        <w:rPr>
          <w:i/>
          <w:spacing w:val="-3"/>
          <w:w w:val="110"/>
          <w:sz w:val="20"/>
        </w:rPr>
        <w:t>themselves, </w:t>
      </w:r>
      <w:r>
        <w:rPr>
          <w:i/>
          <w:w w:val="110"/>
          <w:sz w:val="20"/>
        </w:rPr>
        <w:t>the </w:t>
      </w:r>
      <w:r>
        <w:rPr>
          <w:i/>
          <w:spacing w:val="-3"/>
          <w:w w:val="110"/>
          <w:sz w:val="20"/>
        </w:rPr>
        <w:t>small congregation felt overwhelmed </w:t>
      </w:r>
      <w:r>
        <w:rPr>
          <w:i/>
          <w:w w:val="110"/>
          <w:sz w:val="20"/>
        </w:rPr>
        <w:t>by the </w:t>
      </w:r>
      <w:r>
        <w:rPr>
          <w:i/>
          <w:spacing w:val="-4"/>
          <w:w w:val="110"/>
          <w:sz w:val="20"/>
        </w:rPr>
        <w:t>scale </w:t>
      </w:r>
      <w:r>
        <w:rPr>
          <w:i/>
          <w:w w:val="110"/>
          <w:sz w:val="20"/>
        </w:rPr>
        <w:t>of </w:t>
      </w:r>
      <w:r>
        <w:rPr>
          <w:i/>
          <w:spacing w:val="-3"/>
          <w:w w:val="110"/>
          <w:sz w:val="20"/>
        </w:rPr>
        <w:t>their building </w:t>
      </w:r>
      <w:r>
        <w:rPr>
          <w:i/>
          <w:spacing w:val="-3"/>
          <w:w w:val="110"/>
          <w:sz w:val="20"/>
        </w:rPr>
        <w:t>problems, </w:t>
      </w:r>
      <w:r>
        <w:rPr>
          <w:i/>
          <w:w w:val="110"/>
          <w:sz w:val="20"/>
        </w:rPr>
        <w:t>but with the </w:t>
      </w:r>
      <w:r>
        <w:rPr>
          <w:i/>
          <w:spacing w:val="-4"/>
          <w:w w:val="110"/>
          <w:sz w:val="20"/>
        </w:rPr>
        <w:t>assistance </w:t>
      </w:r>
      <w:r>
        <w:rPr>
          <w:i/>
          <w:w w:val="110"/>
          <w:sz w:val="20"/>
        </w:rPr>
        <w:t>of </w:t>
      </w:r>
      <w:r>
        <w:rPr>
          <w:i/>
          <w:spacing w:val="-3"/>
          <w:w w:val="110"/>
          <w:sz w:val="20"/>
        </w:rPr>
        <w:t>community </w:t>
      </w:r>
      <w:r>
        <w:rPr>
          <w:i/>
          <w:w w:val="110"/>
          <w:sz w:val="20"/>
        </w:rPr>
        <w:t>partners </w:t>
      </w:r>
      <w:r>
        <w:rPr>
          <w:i/>
          <w:spacing w:val="-3"/>
          <w:w w:val="110"/>
          <w:sz w:val="20"/>
        </w:rPr>
        <w:t>their problem became </w:t>
      </w:r>
      <w:r>
        <w:rPr>
          <w:i/>
          <w:w w:val="110"/>
          <w:sz w:val="20"/>
        </w:rPr>
        <w:t>a </w:t>
      </w:r>
      <w:r>
        <w:rPr>
          <w:i/>
          <w:spacing w:val="-4"/>
          <w:w w:val="110"/>
          <w:sz w:val="20"/>
        </w:rPr>
        <w:t>shared </w:t>
      </w:r>
      <w:r>
        <w:rPr>
          <w:i/>
          <w:w w:val="110"/>
          <w:sz w:val="20"/>
        </w:rPr>
        <w:t>opportunity to meet lots of </w:t>
      </w:r>
      <w:r>
        <w:rPr>
          <w:i/>
          <w:spacing w:val="-3"/>
          <w:w w:val="110"/>
          <w:sz w:val="20"/>
        </w:rPr>
        <w:t>local needs. Alongside </w:t>
      </w:r>
      <w:r>
        <w:rPr>
          <w:i/>
          <w:spacing w:val="-9"/>
          <w:w w:val="110"/>
          <w:sz w:val="20"/>
        </w:rPr>
        <w:t>14 </w:t>
      </w:r>
      <w:r>
        <w:rPr>
          <w:i/>
          <w:w w:val="110"/>
          <w:sz w:val="20"/>
        </w:rPr>
        <w:t>apartments for </w:t>
      </w:r>
      <w:r>
        <w:rPr>
          <w:i/>
          <w:spacing w:val="-3"/>
          <w:w w:val="110"/>
          <w:sz w:val="20"/>
        </w:rPr>
        <w:t>those </w:t>
      </w:r>
      <w:r>
        <w:rPr>
          <w:i/>
          <w:w w:val="110"/>
          <w:sz w:val="20"/>
        </w:rPr>
        <w:t>with the </w:t>
      </w:r>
      <w:r>
        <w:rPr>
          <w:i/>
          <w:spacing w:val="-3"/>
          <w:w w:val="110"/>
          <w:sz w:val="20"/>
        </w:rPr>
        <w:t>greatest housing needs, </w:t>
      </w:r>
      <w:r>
        <w:rPr>
          <w:i/>
          <w:w w:val="110"/>
          <w:sz w:val="20"/>
        </w:rPr>
        <w:t>the </w:t>
      </w:r>
      <w:r>
        <w:rPr>
          <w:i/>
          <w:spacing w:val="-3"/>
          <w:w w:val="110"/>
          <w:sz w:val="20"/>
        </w:rPr>
        <w:t>Inspire </w:t>
      </w:r>
      <w:r>
        <w:rPr>
          <w:i/>
          <w:w w:val="110"/>
          <w:sz w:val="20"/>
        </w:rPr>
        <w:t>Partnership </w:t>
      </w:r>
      <w:r>
        <w:rPr>
          <w:i/>
          <w:spacing w:val="-3"/>
          <w:w w:val="110"/>
          <w:sz w:val="20"/>
        </w:rPr>
        <w:t>includes </w:t>
      </w:r>
      <w:r>
        <w:rPr>
          <w:i/>
          <w:w w:val="110"/>
          <w:sz w:val="20"/>
        </w:rPr>
        <w:t>a </w:t>
      </w:r>
      <w:r>
        <w:rPr>
          <w:i/>
          <w:spacing w:val="-3"/>
          <w:w w:val="110"/>
          <w:sz w:val="20"/>
        </w:rPr>
        <w:t>local social enterprise </w:t>
      </w:r>
      <w:r>
        <w:rPr>
          <w:i/>
          <w:w w:val="110"/>
          <w:sz w:val="20"/>
        </w:rPr>
        <w:t>who </w:t>
      </w:r>
      <w:r>
        <w:rPr>
          <w:i/>
          <w:spacing w:val="-3"/>
          <w:w w:val="110"/>
          <w:sz w:val="20"/>
        </w:rPr>
        <w:t>will </w:t>
      </w:r>
      <w:r>
        <w:rPr>
          <w:i/>
          <w:w w:val="110"/>
          <w:sz w:val="20"/>
        </w:rPr>
        <w:t>run a </w:t>
      </w:r>
      <w:r>
        <w:rPr>
          <w:i/>
          <w:spacing w:val="-3"/>
          <w:w w:val="110"/>
          <w:sz w:val="20"/>
        </w:rPr>
        <w:t>community </w:t>
      </w:r>
      <w:r>
        <w:rPr>
          <w:i/>
          <w:spacing w:val="-4"/>
          <w:w w:val="110"/>
          <w:sz w:val="20"/>
        </w:rPr>
        <w:t>café; </w:t>
      </w:r>
      <w:r>
        <w:rPr>
          <w:i/>
          <w:w w:val="110"/>
          <w:sz w:val="20"/>
        </w:rPr>
        <w:t>a </w:t>
      </w:r>
      <w:r>
        <w:rPr>
          <w:i/>
          <w:spacing w:val="-4"/>
          <w:w w:val="110"/>
          <w:sz w:val="20"/>
        </w:rPr>
        <w:t>‘media suite’ </w:t>
      </w:r>
      <w:r>
        <w:rPr>
          <w:i/>
          <w:w w:val="110"/>
          <w:sz w:val="20"/>
        </w:rPr>
        <w:t>run by the </w:t>
      </w:r>
      <w:r>
        <w:rPr>
          <w:i/>
          <w:spacing w:val="-3"/>
          <w:w w:val="110"/>
          <w:sz w:val="20"/>
        </w:rPr>
        <w:t>community radio station; </w:t>
      </w:r>
      <w:r>
        <w:rPr>
          <w:i/>
          <w:w w:val="110"/>
          <w:sz w:val="20"/>
        </w:rPr>
        <w:t>and a </w:t>
      </w:r>
      <w:r>
        <w:rPr>
          <w:i/>
          <w:spacing w:val="-3"/>
          <w:w w:val="110"/>
          <w:sz w:val="20"/>
        </w:rPr>
        <w:t>business ‘incubator’ designed </w:t>
      </w:r>
      <w:r>
        <w:rPr>
          <w:i/>
          <w:w w:val="110"/>
          <w:sz w:val="20"/>
        </w:rPr>
        <w:t>to support </w:t>
      </w:r>
      <w:r>
        <w:rPr>
          <w:i/>
          <w:spacing w:val="-3"/>
          <w:w w:val="110"/>
          <w:sz w:val="20"/>
        </w:rPr>
        <w:t>young people </w:t>
      </w:r>
      <w:r>
        <w:rPr>
          <w:i/>
          <w:w w:val="110"/>
          <w:sz w:val="20"/>
        </w:rPr>
        <w:t>and </w:t>
      </w:r>
      <w:r>
        <w:rPr>
          <w:i/>
          <w:spacing w:val="-3"/>
          <w:w w:val="110"/>
          <w:sz w:val="20"/>
        </w:rPr>
        <w:t>those </w:t>
      </w:r>
      <w:r>
        <w:rPr>
          <w:i/>
          <w:w w:val="110"/>
          <w:sz w:val="20"/>
        </w:rPr>
        <w:t>with </w:t>
      </w:r>
      <w:r>
        <w:rPr>
          <w:i/>
          <w:spacing w:val="-3"/>
          <w:w w:val="110"/>
          <w:sz w:val="20"/>
        </w:rPr>
        <w:t>mental health needs </w:t>
      </w:r>
      <w:r>
        <w:rPr>
          <w:i/>
          <w:w w:val="110"/>
          <w:sz w:val="20"/>
        </w:rPr>
        <w:t>setting   up </w:t>
      </w:r>
      <w:r>
        <w:rPr>
          <w:i/>
          <w:spacing w:val="-3"/>
          <w:w w:val="110"/>
          <w:sz w:val="20"/>
        </w:rPr>
        <w:t>businesses. </w:t>
      </w:r>
      <w:r>
        <w:rPr>
          <w:i/>
          <w:spacing w:val="-2"/>
          <w:w w:val="110"/>
          <w:sz w:val="20"/>
        </w:rPr>
        <w:t>The </w:t>
      </w:r>
      <w:r>
        <w:rPr>
          <w:i/>
          <w:spacing w:val="-3"/>
          <w:w w:val="110"/>
          <w:sz w:val="20"/>
        </w:rPr>
        <w:t>church </w:t>
      </w:r>
      <w:r>
        <w:rPr>
          <w:i/>
          <w:w w:val="110"/>
          <w:sz w:val="20"/>
        </w:rPr>
        <w:t>itself </w:t>
      </w:r>
      <w:r>
        <w:rPr>
          <w:i/>
          <w:spacing w:val="-3"/>
          <w:w w:val="110"/>
          <w:sz w:val="20"/>
        </w:rPr>
        <w:t>has </w:t>
      </w:r>
      <w:r>
        <w:rPr>
          <w:i/>
          <w:w w:val="110"/>
          <w:sz w:val="20"/>
        </w:rPr>
        <w:t>set up a </w:t>
      </w:r>
      <w:r>
        <w:rPr>
          <w:i/>
          <w:spacing w:val="-3"/>
          <w:w w:val="110"/>
          <w:sz w:val="20"/>
        </w:rPr>
        <w:t>Community Interest </w:t>
      </w:r>
      <w:r>
        <w:rPr>
          <w:i/>
          <w:spacing w:val="-4"/>
          <w:w w:val="110"/>
          <w:sz w:val="20"/>
        </w:rPr>
        <w:t>Company </w:t>
      </w:r>
      <w:r>
        <w:rPr>
          <w:i/>
          <w:w w:val="110"/>
          <w:sz w:val="20"/>
        </w:rPr>
        <w:t>to co-ordinate activities, to </w:t>
      </w:r>
      <w:r>
        <w:rPr>
          <w:i/>
          <w:spacing w:val="-3"/>
          <w:w w:val="110"/>
          <w:sz w:val="20"/>
        </w:rPr>
        <w:t>hire community </w:t>
      </w:r>
      <w:r>
        <w:rPr>
          <w:i/>
          <w:w w:val="110"/>
          <w:sz w:val="20"/>
        </w:rPr>
        <w:t>rooms to </w:t>
      </w:r>
      <w:r>
        <w:rPr>
          <w:i/>
          <w:spacing w:val="-3"/>
          <w:w w:val="110"/>
          <w:sz w:val="20"/>
        </w:rPr>
        <w:t>local groups, </w:t>
      </w:r>
      <w:r>
        <w:rPr>
          <w:i/>
          <w:w w:val="110"/>
          <w:sz w:val="20"/>
        </w:rPr>
        <w:t>but most importantly to </w:t>
      </w:r>
      <w:r>
        <w:rPr>
          <w:i/>
          <w:spacing w:val="-4"/>
          <w:w w:val="110"/>
          <w:sz w:val="20"/>
        </w:rPr>
        <w:t>share </w:t>
      </w:r>
      <w:r>
        <w:rPr>
          <w:i/>
          <w:w w:val="110"/>
          <w:sz w:val="20"/>
        </w:rPr>
        <w:t>the </w:t>
      </w:r>
      <w:r>
        <w:rPr>
          <w:i/>
          <w:spacing w:val="-4"/>
          <w:w w:val="110"/>
          <w:sz w:val="20"/>
        </w:rPr>
        <w:t>partnership’s </w:t>
      </w:r>
      <w:r>
        <w:rPr>
          <w:i/>
          <w:spacing w:val="-3"/>
          <w:w w:val="110"/>
          <w:sz w:val="20"/>
        </w:rPr>
        <w:t>principles </w:t>
      </w:r>
      <w:r>
        <w:rPr>
          <w:i/>
          <w:w w:val="110"/>
          <w:sz w:val="20"/>
        </w:rPr>
        <w:t>and </w:t>
      </w:r>
      <w:r>
        <w:rPr>
          <w:i/>
          <w:spacing w:val="-3"/>
          <w:w w:val="110"/>
          <w:sz w:val="20"/>
        </w:rPr>
        <w:t>make sure </w:t>
      </w:r>
      <w:r>
        <w:rPr>
          <w:i/>
          <w:w w:val="110"/>
          <w:sz w:val="20"/>
        </w:rPr>
        <w:t>that the </w:t>
      </w:r>
      <w:r>
        <w:rPr>
          <w:i/>
          <w:spacing w:val="-3"/>
          <w:w w:val="110"/>
          <w:sz w:val="20"/>
        </w:rPr>
        <w:t>gospel message is </w:t>
      </w:r>
      <w:r>
        <w:rPr>
          <w:i/>
          <w:spacing w:val="-4"/>
          <w:w w:val="110"/>
          <w:sz w:val="20"/>
        </w:rPr>
        <w:t>communicated </w:t>
      </w:r>
      <w:r>
        <w:rPr>
          <w:i/>
          <w:w w:val="110"/>
          <w:sz w:val="20"/>
        </w:rPr>
        <w:t>in everything that goes on in the new</w:t>
      </w:r>
      <w:r>
        <w:rPr>
          <w:i/>
          <w:spacing w:val="-10"/>
          <w:w w:val="110"/>
          <w:sz w:val="20"/>
        </w:rPr>
        <w:t> </w:t>
      </w:r>
      <w:r>
        <w:rPr>
          <w:i/>
          <w:spacing w:val="-4"/>
          <w:w w:val="110"/>
          <w:sz w:val="20"/>
        </w:rPr>
        <w:t>centre.</w:t>
      </w:r>
    </w:p>
    <w:p>
      <w:pPr>
        <w:spacing w:after="0" w:line="235" w:lineRule="auto"/>
        <w:jc w:val="left"/>
        <w:rPr>
          <w:sz w:val="20"/>
        </w:rPr>
        <w:sectPr>
          <w:headerReference w:type="default" r:id="rId401"/>
          <w:headerReference w:type="even" r:id="rId402"/>
          <w:footerReference w:type="default" r:id="rId403"/>
          <w:footerReference w:type="even" r:id="rId404"/>
          <w:pgSz w:w="11910" w:h="16840"/>
          <w:pgMar w:header="0" w:footer="647" w:top="1060" w:bottom="840" w:left="0" w:right="0"/>
          <w:pgNumType w:start="159"/>
        </w:sectPr>
      </w:pPr>
    </w:p>
    <w:p>
      <w:pPr>
        <w:pStyle w:val="ListParagraph"/>
        <w:numPr>
          <w:ilvl w:val="2"/>
          <w:numId w:val="143"/>
        </w:numPr>
        <w:tabs>
          <w:tab w:pos="1815" w:val="left" w:leader="none"/>
        </w:tabs>
        <w:spacing w:line="235" w:lineRule="auto" w:before="107" w:after="0"/>
        <w:ind w:left="1133" w:right="2011" w:firstLine="0"/>
        <w:jc w:val="left"/>
        <w:rPr>
          <w:sz w:val="20"/>
        </w:rPr>
      </w:pPr>
      <w:r>
        <w:rPr/>
        <w:pict>
          <v:rect style="position:absolute;margin-left:12.047pt;margin-top:8.477343pt;width:22.677pt;height:22.677pt;mso-position-horizontal-relative:page;mso-position-vertical-relative:paragraph;z-index:252157952" filled="true" fillcolor="#dae4ec" stroked="false">
            <v:fill opacity="32768f" type="solid"/>
            <w10:wrap type="none"/>
          </v:rect>
        </w:pict>
      </w:r>
      <w:r>
        <w:rPr>
          <w:w w:val="120"/>
          <w:sz w:val="20"/>
        </w:rPr>
        <w:t>Enabling churches to be more active in the life of local neighbourhoods is also the focus of much of the work of Rural</w:t>
      </w:r>
      <w:r>
        <w:rPr>
          <w:spacing w:val="12"/>
          <w:w w:val="120"/>
          <w:sz w:val="20"/>
        </w:rPr>
        <w:t> </w:t>
      </w:r>
      <w:r>
        <w:rPr>
          <w:w w:val="120"/>
          <w:sz w:val="20"/>
        </w:rPr>
        <w:t>Mission.</w:t>
      </w:r>
    </w:p>
    <w:p>
      <w:pPr>
        <w:pStyle w:val="BodyText"/>
        <w:spacing w:before="10"/>
        <w:rPr>
          <w:sz w:val="19"/>
        </w:rPr>
      </w:pPr>
    </w:p>
    <w:p>
      <w:pPr>
        <w:pStyle w:val="BodyText"/>
        <w:spacing w:line="235" w:lineRule="auto"/>
        <w:ind w:left="1133" w:right="2432"/>
      </w:pPr>
      <w:r>
        <w:rPr>
          <w:w w:val="120"/>
        </w:rPr>
        <w:t>In </w:t>
      </w:r>
      <w:r>
        <w:rPr>
          <w:spacing w:val="2"/>
          <w:w w:val="120"/>
        </w:rPr>
        <w:t>collaboration </w:t>
      </w:r>
      <w:r>
        <w:rPr>
          <w:w w:val="120"/>
        </w:rPr>
        <w:t>with </w:t>
      </w:r>
      <w:r>
        <w:rPr>
          <w:spacing w:val="2"/>
          <w:w w:val="120"/>
        </w:rPr>
        <w:t>two Anglican </w:t>
      </w:r>
      <w:r>
        <w:rPr>
          <w:w w:val="120"/>
        </w:rPr>
        <w:t>colleagues the Rural Officer has just published </w:t>
      </w:r>
      <w:r>
        <w:rPr>
          <w:i/>
          <w:w w:val="120"/>
        </w:rPr>
        <w:t>Making Connections</w:t>
      </w:r>
      <w:r>
        <w:rPr>
          <w:w w:val="120"/>
        </w:rPr>
        <w:t>, a </w:t>
      </w:r>
      <w:r>
        <w:rPr>
          <w:spacing w:val="2"/>
          <w:w w:val="120"/>
        </w:rPr>
        <w:t>workbook </w:t>
      </w:r>
      <w:r>
        <w:rPr>
          <w:w w:val="120"/>
        </w:rPr>
        <w:t>encouraging </w:t>
      </w:r>
      <w:r>
        <w:rPr>
          <w:spacing w:val="3"/>
          <w:w w:val="120"/>
        </w:rPr>
        <w:t>rural </w:t>
      </w:r>
      <w:r>
        <w:rPr>
          <w:w w:val="120"/>
        </w:rPr>
        <w:t>churches to </w:t>
      </w:r>
      <w:r>
        <w:rPr>
          <w:spacing w:val="2"/>
          <w:w w:val="120"/>
        </w:rPr>
        <w:t>engage </w:t>
      </w:r>
      <w:r>
        <w:rPr>
          <w:w w:val="120"/>
        </w:rPr>
        <w:t>with their communities in </w:t>
      </w:r>
      <w:r>
        <w:rPr>
          <w:spacing w:val="2"/>
          <w:w w:val="120"/>
        </w:rPr>
        <w:t>proactive </w:t>
      </w:r>
      <w:r>
        <w:rPr>
          <w:w w:val="120"/>
        </w:rPr>
        <w:t>and creative ways. It builds on research conducted in </w:t>
      </w:r>
      <w:r>
        <w:rPr>
          <w:spacing w:val="3"/>
          <w:w w:val="120"/>
        </w:rPr>
        <w:t>2006 </w:t>
      </w:r>
      <w:r>
        <w:rPr>
          <w:w w:val="120"/>
        </w:rPr>
        <w:t>which confirmed the </w:t>
      </w:r>
      <w:r>
        <w:rPr>
          <w:spacing w:val="2"/>
          <w:w w:val="120"/>
        </w:rPr>
        <w:t>enormous </w:t>
      </w:r>
      <w:r>
        <w:rPr>
          <w:w w:val="120"/>
        </w:rPr>
        <w:t>contribution </w:t>
      </w:r>
      <w:r>
        <w:rPr>
          <w:spacing w:val="2"/>
          <w:w w:val="120"/>
        </w:rPr>
        <w:t>people </w:t>
      </w:r>
      <w:r>
        <w:rPr>
          <w:w w:val="120"/>
        </w:rPr>
        <w:t>of </w:t>
      </w:r>
      <w:r>
        <w:rPr>
          <w:spacing w:val="2"/>
          <w:w w:val="120"/>
        </w:rPr>
        <w:t>faith </w:t>
      </w:r>
      <w:r>
        <w:rPr>
          <w:w w:val="120"/>
        </w:rPr>
        <w:t>make to the well being      of </w:t>
      </w:r>
      <w:r>
        <w:rPr>
          <w:spacing w:val="3"/>
          <w:w w:val="120"/>
        </w:rPr>
        <w:t>rural </w:t>
      </w:r>
      <w:r>
        <w:rPr>
          <w:w w:val="120"/>
        </w:rPr>
        <w:t>communities. </w:t>
      </w:r>
      <w:r>
        <w:rPr>
          <w:spacing w:val="2"/>
          <w:w w:val="120"/>
        </w:rPr>
        <w:t>The workbook </w:t>
      </w:r>
      <w:r>
        <w:rPr>
          <w:w w:val="120"/>
        </w:rPr>
        <w:t>is a </w:t>
      </w:r>
      <w:r>
        <w:rPr>
          <w:spacing w:val="3"/>
          <w:w w:val="120"/>
        </w:rPr>
        <w:t>very practical </w:t>
      </w:r>
      <w:r>
        <w:rPr>
          <w:w w:val="120"/>
        </w:rPr>
        <w:t>resource, aimed at </w:t>
      </w:r>
      <w:r>
        <w:rPr>
          <w:spacing w:val="2"/>
          <w:w w:val="120"/>
        </w:rPr>
        <w:t>local </w:t>
      </w:r>
      <w:r>
        <w:rPr>
          <w:spacing w:val="3"/>
          <w:w w:val="120"/>
        </w:rPr>
        <w:t>rural </w:t>
      </w:r>
      <w:r>
        <w:rPr>
          <w:w w:val="120"/>
        </w:rPr>
        <w:t>churches and groups </w:t>
      </w:r>
      <w:r>
        <w:rPr>
          <w:spacing w:val="2"/>
          <w:w w:val="120"/>
        </w:rPr>
        <w:t>seeking </w:t>
      </w:r>
      <w:r>
        <w:rPr>
          <w:w w:val="120"/>
        </w:rPr>
        <w:t>to share in God’s mission </w:t>
      </w:r>
      <w:r>
        <w:rPr>
          <w:spacing w:val="2"/>
          <w:w w:val="120"/>
        </w:rPr>
        <w:t>through </w:t>
      </w:r>
      <w:r>
        <w:rPr>
          <w:w w:val="120"/>
        </w:rPr>
        <w:t>‘making connections’   in their communities. It includes </w:t>
      </w:r>
      <w:r>
        <w:rPr>
          <w:spacing w:val="2"/>
          <w:w w:val="120"/>
        </w:rPr>
        <w:t>Bible </w:t>
      </w:r>
      <w:r>
        <w:rPr>
          <w:w w:val="120"/>
        </w:rPr>
        <w:t>study, </w:t>
      </w:r>
      <w:r>
        <w:rPr>
          <w:spacing w:val="2"/>
          <w:w w:val="120"/>
        </w:rPr>
        <w:t>stories, activities </w:t>
      </w:r>
      <w:r>
        <w:rPr>
          <w:w w:val="120"/>
        </w:rPr>
        <w:t>for groups and individuals, and some key </w:t>
      </w:r>
      <w:r>
        <w:rPr>
          <w:spacing w:val="2"/>
          <w:w w:val="120"/>
        </w:rPr>
        <w:t>learning</w:t>
      </w:r>
      <w:r>
        <w:rPr>
          <w:spacing w:val="35"/>
          <w:w w:val="120"/>
        </w:rPr>
        <w:t> </w:t>
      </w:r>
      <w:r>
        <w:rPr>
          <w:spacing w:val="2"/>
          <w:w w:val="120"/>
        </w:rPr>
        <w:t>points.</w:t>
      </w:r>
    </w:p>
    <w:p>
      <w:pPr>
        <w:pStyle w:val="BodyText"/>
        <w:spacing w:before="1"/>
      </w:pPr>
    </w:p>
    <w:p>
      <w:pPr>
        <w:spacing w:line="235" w:lineRule="auto" w:before="0"/>
        <w:ind w:left="1814" w:right="2254" w:firstLine="0"/>
        <w:jc w:val="left"/>
        <w:rPr>
          <w:i/>
          <w:sz w:val="20"/>
        </w:rPr>
      </w:pPr>
      <w:r>
        <w:rPr>
          <w:i/>
          <w:w w:val="110"/>
          <w:sz w:val="20"/>
        </w:rPr>
        <w:t>The opening session in the book is entitled ‘Working with Others’ and explores how </w:t>
      </w:r>
      <w:r>
        <w:rPr>
          <w:i/>
          <w:w w:val="110"/>
          <w:sz w:val="20"/>
        </w:rPr>
        <w:t>cooperation and collaboration can help identify people with the resources and skills needed to address the challenges in community life. It describes how in the Isle of Grain  in Kent the United Reformed Church and the Anglican Church saw the value of sharing  the use of the former URC building to provide training opportunities for young and old.    A new project group was set up because some funders are shy of supporting religious bodies. The local library saw the benefits being delivered to IT students and have moved into the church premises, followed by a local youth worker and social workers. The  former</w:t>
      </w:r>
      <w:r>
        <w:rPr>
          <w:i/>
          <w:spacing w:val="7"/>
          <w:w w:val="110"/>
          <w:sz w:val="20"/>
        </w:rPr>
        <w:t> </w:t>
      </w:r>
      <w:r>
        <w:rPr>
          <w:i/>
          <w:w w:val="110"/>
          <w:sz w:val="20"/>
        </w:rPr>
        <w:t>chapel</w:t>
      </w:r>
      <w:r>
        <w:rPr>
          <w:i/>
          <w:spacing w:val="8"/>
          <w:w w:val="110"/>
          <w:sz w:val="20"/>
        </w:rPr>
        <w:t> </w:t>
      </w:r>
      <w:r>
        <w:rPr>
          <w:i/>
          <w:w w:val="110"/>
          <w:sz w:val="20"/>
        </w:rPr>
        <w:t>has</w:t>
      </w:r>
      <w:r>
        <w:rPr>
          <w:i/>
          <w:spacing w:val="8"/>
          <w:w w:val="110"/>
          <w:sz w:val="20"/>
        </w:rPr>
        <w:t> </w:t>
      </w:r>
      <w:r>
        <w:rPr>
          <w:i/>
          <w:w w:val="110"/>
          <w:sz w:val="20"/>
        </w:rPr>
        <w:t>been</w:t>
      </w:r>
      <w:r>
        <w:rPr>
          <w:i/>
          <w:spacing w:val="8"/>
          <w:w w:val="110"/>
          <w:sz w:val="20"/>
        </w:rPr>
        <w:t> </w:t>
      </w:r>
      <w:r>
        <w:rPr>
          <w:i/>
          <w:w w:val="110"/>
          <w:sz w:val="20"/>
        </w:rPr>
        <w:t>recognised</w:t>
      </w:r>
      <w:r>
        <w:rPr>
          <w:i/>
          <w:spacing w:val="8"/>
          <w:w w:val="110"/>
          <w:sz w:val="20"/>
        </w:rPr>
        <w:t> </w:t>
      </w:r>
      <w:r>
        <w:rPr>
          <w:i/>
          <w:w w:val="110"/>
          <w:sz w:val="20"/>
        </w:rPr>
        <w:t>as</w:t>
      </w:r>
      <w:r>
        <w:rPr>
          <w:i/>
          <w:spacing w:val="8"/>
          <w:w w:val="110"/>
          <w:sz w:val="20"/>
        </w:rPr>
        <w:t> </w:t>
      </w:r>
      <w:r>
        <w:rPr>
          <w:i/>
          <w:w w:val="110"/>
          <w:sz w:val="20"/>
        </w:rPr>
        <w:t>a</w:t>
      </w:r>
      <w:r>
        <w:rPr>
          <w:i/>
          <w:spacing w:val="7"/>
          <w:w w:val="110"/>
          <w:sz w:val="20"/>
        </w:rPr>
        <w:t> </w:t>
      </w:r>
      <w:r>
        <w:rPr>
          <w:i/>
          <w:w w:val="110"/>
          <w:sz w:val="20"/>
        </w:rPr>
        <w:t>focus</w:t>
      </w:r>
      <w:r>
        <w:rPr>
          <w:i/>
          <w:spacing w:val="8"/>
          <w:w w:val="110"/>
          <w:sz w:val="20"/>
        </w:rPr>
        <w:t> </w:t>
      </w:r>
      <w:r>
        <w:rPr>
          <w:i/>
          <w:w w:val="110"/>
          <w:sz w:val="20"/>
        </w:rPr>
        <w:t>for</w:t>
      </w:r>
      <w:r>
        <w:rPr>
          <w:i/>
          <w:spacing w:val="8"/>
          <w:w w:val="110"/>
          <w:sz w:val="20"/>
        </w:rPr>
        <w:t> </w:t>
      </w:r>
      <w:r>
        <w:rPr>
          <w:i/>
          <w:w w:val="110"/>
          <w:sz w:val="20"/>
        </w:rPr>
        <w:t>the</w:t>
      </w:r>
      <w:r>
        <w:rPr>
          <w:i/>
          <w:spacing w:val="8"/>
          <w:w w:val="110"/>
          <w:sz w:val="20"/>
        </w:rPr>
        <w:t> </w:t>
      </w:r>
      <w:r>
        <w:rPr>
          <w:i/>
          <w:w w:val="110"/>
          <w:sz w:val="20"/>
        </w:rPr>
        <w:t>community,</w:t>
      </w:r>
      <w:r>
        <w:rPr>
          <w:i/>
          <w:spacing w:val="8"/>
          <w:w w:val="110"/>
          <w:sz w:val="20"/>
        </w:rPr>
        <w:t> </w:t>
      </w:r>
      <w:r>
        <w:rPr>
          <w:i/>
          <w:w w:val="110"/>
          <w:sz w:val="20"/>
        </w:rPr>
        <w:t>thereby</w:t>
      </w:r>
      <w:r>
        <w:rPr>
          <w:i/>
          <w:spacing w:val="8"/>
          <w:w w:val="110"/>
          <w:sz w:val="20"/>
        </w:rPr>
        <w:t> </w:t>
      </w:r>
      <w:r>
        <w:rPr>
          <w:i/>
          <w:w w:val="110"/>
          <w:sz w:val="20"/>
        </w:rPr>
        <w:t>extending</w:t>
      </w:r>
    </w:p>
    <w:p>
      <w:pPr>
        <w:spacing w:line="235" w:lineRule="auto" w:before="7"/>
        <w:ind w:left="1814" w:right="1997" w:firstLine="0"/>
        <w:jc w:val="left"/>
        <w:rPr>
          <w:i/>
          <w:sz w:val="20"/>
        </w:rPr>
      </w:pPr>
      <w:r>
        <w:rPr>
          <w:i/>
          <w:w w:val="110"/>
          <w:sz w:val="20"/>
        </w:rPr>
        <w:t>the partnership started by church leaders thinking outside the box and being confident </w:t>
      </w:r>
      <w:r>
        <w:rPr>
          <w:i/>
          <w:w w:val="110"/>
          <w:sz w:val="20"/>
        </w:rPr>
        <w:t>enough to talk to organisations that may seem, at first, to have little to do with religion.</w:t>
      </w:r>
    </w:p>
    <w:p>
      <w:pPr>
        <w:pStyle w:val="BodyText"/>
        <w:spacing w:before="9"/>
        <w:rPr>
          <w:i/>
          <w:sz w:val="19"/>
        </w:rPr>
      </w:pPr>
    </w:p>
    <w:p>
      <w:pPr>
        <w:pStyle w:val="ListParagraph"/>
        <w:numPr>
          <w:ilvl w:val="2"/>
          <w:numId w:val="143"/>
        </w:numPr>
        <w:tabs>
          <w:tab w:pos="1815" w:val="left" w:leader="none"/>
        </w:tabs>
        <w:spacing w:line="235" w:lineRule="auto" w:before="0" w:after="0"/>
        <w:ind w:left="1133" w:right="2062" w:firstLine="0"/>
        <w:jc w:val="left"/>
        <w:rPr>
          <w:sz w:val="20"/>
        </w:rPr>
      </w:pPr>
      <w:r>
        <w:rPr>
          <w:w w:val="120"/>
          <w:sz w:val="20"/>
        </w:rPr>
        <w:t>Over the past </w:t>
      </w:r>
      <w:r>
        <w:rPr>
          <w:spacing w:val="-4"/>
          <w:w w:val="120"/>
          <w:sz w:val="20"/>
        </w:rPr>
        <w:t>year, </w:t>
      </w:r>
      <w:r>
        <w:rPr>
          <w:w w:val="120"/>
          <w:sz w:val="20"/>
        </w:rPr>
        <w:t>the Rural Officer has also initiated a programme called ‘Rural Church Entrepreneurs’. In partnership with the Churches’ Regional Commission for Yorkshire and the Humber, he is exploring how entrepreneurial skills can be encouraged within lay and ordained leadership in the rural church. A seminar was held in</w:t>
      </w:r>
      <w:r>
        <w:rPr>
          <w:spacing w:val="35"/>
          <w:w w:val="120"/>
          <w:sz w:val="20"/>
        </w:rPr>
        <w:t> </w:t>
      </w:r>
      <w:r>
        <w:rPr>
          <w:w w:val="120"/>
          <w:sz w:val="20"/>
        </w:rPr>
        <w:t>York</w:t>
      </w:r>
    </w:p>
    <w:p>
      <w:pPr>
        <w:pStyle w:val="BodyText"/>
        <w:spacing w:line="235" w:lineRule="auto" w:before="3"/>
        <w:ind w:left="1133" w:right="2076"/>
      </w:pPr>
      <w:r>
        <w:rPr>
          <w:w w:val="120"/>
        </w:rPr>
        <w:t>in November bringing together an ecumenical audience of church leaders and rural practitioners from the region to consider this initiative. There was a very positive response to the ideas put forward and the steering group is now planning the next stage in the</w:t>
      </w:r>
      <w:r>
        <w:rPr>
          <w:spacing w:val="3"/>
          <w:w w:val="120"/>
        </w:rPr>
        <w:t> </w:t>
      </w:r>
      <w:r>
        <w:rPr>
          <w:w w:val="120"/>
        </w:rPr>
        <w:t>process.</w:t>
      </w:r>
    </w:p>
    <w:p>
      <w:pPr>
        <w:pStyle w:val="BodyText"/>
        <w:spacing w:before="11"/>
        <w:rPr>
          <w:sz w:val="19"/>
        </w:rPr>
      </w:pPr>
    </w:p>
    <w:p>
      <w:pPr>
        <w:pStyle w:val="ListParagraph"/>
        <w:numPr>
          <w:ilvl w:val="2"/>
          <w:numId w:val="143"/>
        </w:numPr>
        <w:tabs>
          <w:tab w:pos="1815" w:val="left" w:leader="none"/>
        </w:tabs>
        <w:spacing w:line="235" w:lineRule="auto" w:before="0" w:after="0"/>
        <w:ind w:left="1133" w:right="2311" w:firstLine="0"/>
        <w:jc w:val="left"/>
        <w:rPr>
          <w:sz w:val="20"/>
        </w:rPr>
      </w:pPr>
      <w:r>
        <w:rPr>
          <w:w w:val="120"/>
          <w:sz w:val="20"/>
        </w:rPr>
        <w:t>Community partnership also involves interfaith engagement, something which now comes under the remit of the Ecumenical Relations</w:t>
      </w:r>
      <w:r>
        <w:rPr>
          <w:spacing w:val="12"/>
          <w:w w:val="120"/>
          <w:sz w:val="20"/>
        </w:rPr>
        <w:t> </w:t>
      </w:r>
      <w:r>
        <w:rPr>
          <w:w w:val="120"/>
          <w:sz w:val="20"/>
        </w:rPr>
        <w:t>office.</w:t>
      </w:r>
    </w:p>
    <w:p>
      <w:pPr>
        <w:pStyle w:val="BodyText"/>
        <w:spacing w:before="9"/>
        <w:rPr>
          <w:sz w:val="19"/>
        </w:rPr>
      </w:pPr>
    </w:p>
    <w:p>
      <w:pPr>
        <w:spacing w:line="235" w:lineRule="auto" w:before="1"/>
        <w:ind w:left="1814" w:right="2919" w:firstLine="0"/>
        <w:jc w:val="left"/>
        <w:rPr>
          <w:i/>
          <w:sz w:val="20"/>
        </w:rPr>
      </w:pPr>
      <w:r>
        <w:rPr>
          <w:i/>
          <w:w w:val="110"/>
          <w:sz w:val="20"/>
        </w:rPr>
        <w:t>In Leicester Revd Clare Downing works as the coordinator for Lay Training at the </w:t>
      </w:r>
      <w:r>
        <w:rPr>
          <w:i/>
          <w:w w:val="110"/>
          <w:sz w:val="20"/>
        </w:rPr>
        <w:t>St Philips’s Centre where training courses and other initiatives are developed to</w:t>
      </w:r>
    </w:p>
    <w:p>
      <w:pPr>
        <w:spacing w:line="235" w:lineRule="auto" w:before="1"/>
        <w:ind w:left="1814" w:right="2029" w:firstLine="0"/>
        <w:jc w:val="left"/>
        <w:rPr>
          <w:i/>
          <w:sz w:val="20"/>
        </w:rPr>
      </w:pPr>
      <w:r>
        <w:rPr>
          <w:i/>
          <w:w w:val="110"/>
          <w:sz w:val="20"/>
        </w:rPr>
        <w:t>encourage Christians of all traditions to engage creatively with people of other faiths    </w:t>
      </w:r>
      <w:r>
        <w:rPr>
          <w:i/>
          <w:w w:val="110"/>
          <w:sz w:val="20"/>
        </w:rPr>
        <w:t>and to provide a centre where interfaith contact can happen. In London, the Revd    Maggie Hindley works at the London Interfaith Centre, another place where Christians of differing</w:t>
      </w:r>
      <w:r>
        <w:rPr>
          <w:i/>
          <w:spacing w:val="6"/>
          <w:w w:val="110"/>
          <w:sz w:val="20"/>
        </w:rPr>
        <w:t> </w:t>
      </w:r>
      <w:r>
        <w:rPr>
          <w:i/>
          <w:w w:val="110"/>
          <w:sz w:val="20"/>
        </w:rPr>
        <w:t>traditions</w:t>
      </w:r>
      <w:r>
        <w:rPr>
          <w:i/>
          <w:spacing w:val="6"/>
          <w:w w:val="110"/>
          <w:sz w:val="20"/>
        </w:rPr>
        <w:t> </w:t>
      </w:r>
      <w:r>
        <w:rPr>
          <w:i/>
          <w:w w:val="110"/>
          <w:sz w:val="20"/>
        </w:rPr>
        <w:t>are</w:t>
      </w:r>
      <w:r>
        <w:rPr>
          <w:i/>
          <w:spacing w:val="7"/>
          <w:w w:val="110"/>
          <w:sz w:val="20"/>
        </w:rPr>
        <w:t> </w:t>
      </w:r>
      <w:r>
        <w:rPr>
          <w:i/>
          <w:w w:val="110"/>
          <w:sz w:val="20"/>
        </w:rPr>
        <w:t>involved</w:t>
      </w:r>
      <w:r>
        <w:rPr>
          <w:i/>
          <w:spacing w:val="6"/>
          <w:w w:val="110"/>
          <w:sz w:val="20"/>
        </w:rPr>
        <w:t> </w:t>
      </w:r>
      <w:r>
        <w:rPr>
          <w:i/>
          <w:w w:val="110"/>
          <w:sz w:val="20"/>
        </w:rPr>
        <w:t>together</w:t>
      </w:r>
      <w:r>
        <w:rPr>
          <w:i/>
          <w:spacing w:val="6"/>
          <w:w w:val="110"/>
          <w:sz w:val="20"/>
        </w:rPr>
        <w:t> </w:t>
      </w:r>
      <w:r>
        <w:rPr>
          <w:i/>
          <w:w w:val="110"/>
          <w:sz w:val="20"/>
        </w:rPr>
        <w:t>in</w:t>
      </w:r>
      <w:r>
        <w:rPr>
          <w:i/>
          <w:spacing w:val="7"/>
          <w:w w:val="110"/>
          <w:sz w:val="20"/>
        </w:rPr>
        <w:t> </w:t>
      </w:r>
      <w:r>
        <w:rPr>
          <w:i/>
          <w:w w:val="110"/>
          <w:sz w:val="20"/>
        </w:rPr>
        <w:t>creating</w:t>
      </w:r>
      <w:r>
        <w:rPr>
          <w:i/>
          <w:spacing w:val="6"/>
          <w:w w:val="110"/>
          <w:sz w:val="20"/>
        </w:rPr>
        <w:t> </w:t>
      </w:r>
      <w:r>
        <w:rPr>
          <w:i/>
          <w:w w:val="110"/>
          <w:sz w:val="20"/>
        </w:rPr>
        <w:t>a</w:t>
      </w:r>
      <w:r>
        <w:rPr>
          <w:i/>
          <w:spacing w:val="7"/>
          <w:w w:val="110"/>
          <w:sz w:val="20"/>
        </w:rPr>
        <w:t> </w:t>
      </w:r>
      <w:r>
        <w:rPr>
          <w:i/>
          <w:w w:val="110"/>
          <w:sz w:val="20"/>
        </w:rPr>
        <w:t>meeting</w:t>
      </w:r>
      <w:r>
        <w:rPr>
          <w:i/>
          <w:spacing w:val="6"/>
          <w:w w:val="110"/>
          <w:sz w:val="20"/>
        </w:rPr>
        <w:t> </w:t>
      </w:r>
      <w:r>
        <w:rPr>
          <w:i/>
          <w:w w:val="110"/>
          <w:sz w:val="20"/>
        </w:rPr>
        <w:t>place</w:t>
      </w:r>
      <w:r>
        <w:rPr>
          <w:i/>
          <w:spacing w:val="6"/>
          <w:w w:val="110"/>
          <w:sz w:val="20"/>
        </w:rPr>
        <w:t> </w:t>
      </w:r>
      <w:r>
        <w:rPr>
          <w:i/>
          <w:w w:val="110"/>
          <w:sz w:val="20"/>
        </w:rPr>
        <w:t>for</w:t>
      </w:r>
      <w:r>
        <w:rPr>
          <w:i/>
          <w:spacing w:val="7"/>
          <w:w w:val="110"/>
          <w:sz w:val="20"/>
        </w:rPr>
        <w:t> </w:t>
      </w:r>
      <w:r>
        <w:rPr>
          <w:i/>
          <w:w w:val="110"/>
          <w:sz w:val="20"/>
        </w:rPr>
        <w:t>people</w:t>
      </w:r>
      <w:r>
        <w:rPr>
          <w:i/>
          <w:spacing w:val="6"/>
          <w:w w:val="110"/>
          <w:sz w:val="20"/>
        </w:rPr>
        <w:t> </w:t>
      </w:r>
      <w:r>
        <w:rPr>
          <w:i/>
          <w:w w:val="110"/>
          <w:sz w:val="20"/>
        </w:rPr>
        <w:t>of</w:t>
      </w:r>
    </w:p>
    <w:p>
      <w:pPr>
        <w:spacing w:line="243" w:lineRule="exact" w:before="0"/>
        <w:ind w:left="1814" w:right="0" w:firstLine="0"/>
        <w:jc w:val="left"/>
        <w:rPr>
          <w:i/>
          <w:sz w:val="20"/>
        </w:rPr>
      </w:pPr>
      <w:r>
        <w:rPr>
          <w:i/>
          <w:w w:val="110"/>
          <w:sz w:val="20"/>
        </w:rPr>
        <w:t>many different faith communities.</w:t>
      </w:r>
    </w:p>
    <w:p>
      <w:pPr>
        <w:pStyle w:val="BodyText"/>
        <w:spacing w:before="4"/>
        <w:rPr>
          <w:i/>
          <w:sz w:val="19"/>
        </w:rPr>
      </w:pPr>
    </w:p>
    <w:p>
      <w:pPr>
        <w:pStyle w:val="ListParagraph"/>
        <w:numPr>
          <w:ilvl w:val="1"/>
          <w:numId w:val="143"/>
        </w:numPr>
        <w:tabs>
          <w:tab w:pos="1814" w:val="left" w:leader="none"/>
          <w:tab w:pos="1815" w:val="left" w:leader="none"/>
        </w:tabs>
        <w:spacing w:line="240" w:lineRule="auto" w:before="0" w:after="0"/>
        <w:ind w:left="1814" w:right="0" w:hanging="682"/>
        <w:jc w:val="left"/>
        <w:rPr>
          <w:sz w:val="20"/>
        </w:rPr>
      </w:pPr>
      <w:r>
        <w:rPr>
          <w:w w:val="120"/>
          <w:sz w:val="20"/>
        </w:rPr>
        <w:t>Hospitality and</w:t>
      </w:r>
      <w:r>
        <w:rPr>
          <w:spacing w:val="4"/>
          <w:w w:val="120"/>
          <w:sz w:val="20"/>
        </w:rPr>
        <w:t> </w:t>
      </w:r>
      <w:r>
        <w:rPr>
          <w:w w:val="120"/>
          <w:sz w:val="20"/>
        </w:rPr>
        <w:t>diversity</w:t>
      </w:r>
    </w:p>
    <w:p>
      <w:pPr>
        <w:pStyle w:val="BodyText"/>
        <w:spacing w:before="7"/>
        <w:rPr>
          <w:sz w:val="19"/>
        </w:rPr>
      </w:pPr>
    </w:p>
    <w:p>
      <w:pPr>
        <w:pStyle w:val="ListParagraph"/>
        <w:numPr>
          <w:ilvl w:val="2"/>
          <w:numId w:val="143"/>
        </w:numPr>
        <w:tabs>
          <w:tab w:pos="1814" w:val="left" w:leader="none"/>
          <w:tab w:pos="1815" w:val="left" w:leader="none"/>
        </w:tabs>
        <w:spacing w:line="235" w:lineRule="auto" w:before="1" w:after="0"/>
        <w:ind w:left="1133" w:right="2151" w:firstLine="0"/>
        <w:jc w:val="left"/>
        <w:rPr>
          <w:sz w:val="20"/>
        </w:rPr>
      </w:pPr>
      <w:r>
        <w:rPr>
          <w:w w:val="120"/>
          <w:sz w:val="20"/>
        </w:rPr>
        <w:t>A </w:t>
      </w:r>
      <w:r>
        <w:rPr>
          <w:spacing w:val="-3"/>
          <w:w w:val="120"/>
          <w:sz w:val="20"/>
        </w:rPr>
        <w:t>church committed to becoming even </w:t>
      </w:r>
      <w:r>
        <w:rPr>
          <w:w w:val="120"/>
          <w:sz w:val="20"/>
        </w:rPr>
        <w:t>more </w:t>
      </w:r>
      <w:r>
        <w:rPr>
          <w:spacing w:val="-3"/>
          <w:w w:val="120"/>
          <w:sz w:val="20"/>
        </w:rPr>
        <w:t>welcoming </w:t>
      </w:r>
      <w:r>
        <w:rPr>
          <w:w w:val="120"/>
          <w:sz w:val="20"/>
        </w:rPr>
        <w:t>and </w:t>
      </w:r>
      <w:r>
        <w:rPr>
          <w:spacing w:val="-3"/>
          <w:w w:val="120"/>
          <w:sz w:val="20"/>
        </w:rPr>
        <w:t>hospitable, </w:t>
      </w:r>
      <w:r>
        <w:rPr>
          <w:w w:val="120"/>
          <w:sz w:val="20"/>
        </w:rPr>
        <w:t>and embracing all people equally is the </w:t>
      </w:r>
      <w:r>
        <w:rPr>
          <w:spacing w:val="-3"/>
          <w:w w:val="120"/>
          <w:sz w:val="20"/>
        </w:rPr>
        <w:t>vision </w:t>
      </w:r>
      <w:r>
        <w:rPr>
          <w:w w:val="120"/>
          <w:sz w:val="20"/>
        </w:rPr>
        <w:t>of the </w:t>
      </w:r>
      <w:r>
        <w:rPr>
          <w:i/>
          <w:w w:val="120"/>
          <w:sz w:val="20"/>
        </w:rPr>
        <w:t>Marketing Campaign</w:t>
      </w:r>
      <w:r>
        <w:rPr>
          <w:w w:val="120"/>
          <w:sz w:val="20"/>
        </w:rPr>
        <w:t>, Racial Justice and </w:t>
      </w:r>
      <w:r>
        <w:rPr>
          <w:spacing w:val="-3"/>
          <w:w w:val="120"/>
          <w:sz w:val="20"/>
        </w:rPr>
        <w:t>Multicultural</w:t>
      </w:r>
      <w:r>
        <w:rPr>
          <w:spacing w:val="-8"/>
          <w:w w:val="120"/>
          <w:sz w:val="20"/>
        </w:rPr>
        <w:t> </w:t>
      </w:r>
      <w:r>
        <w:rPr>
          <w:w w:val="120"/>
          <w:sz w:val="20"/>
        </w:rPr>
        <w:t>Ministry</w:t>
      </w:r>
      <w:r>
        <w:rPr>
          <w:spacing w:val="-8"/>
          <w:w w:val="120"/>
          <w:sz w:val="20"/>
        </w:rPr>
        <w:t> </w:t>
      </w:r>
      <w:r>
        <w:rPr>
          <w:w w:val="120"/>
          <w:sz w:val="20"/>
        </w:rPr>
        <w:t>and</w:t>
      </w:r>
      <w:r>
        <w:rPr>
          <w:spacing w:val="-8"/>
          <w:w w:val="120"/>
          <w:sz w:val="20"/>
        </w:rPr>
        <w:t> </w:t>
      </w:r>
      <w:r>
        <w:rPr>
          <w:spacing w:val="-3"/>
          <w:w w:val="120"/>
          <w:sz w:val="20"/>
        </w:rPr>
        <w:t>many</w:t>
      </w:r>
      <w:r>
        <w:rPr>
          <w:spacing w:val="-7"/>
          <w:w w:val="120"/>
          <w:sz w:val="20"/>
        </w:rPr>
        <w:t> </w:t>
      </w:r>
      <w:r>
        <w:rPr>
          <w:w w:val="120"/>
          <w:sz w:val="20"/>
        </w:rPr>
        <w:t>other</w:t>
      </w:r>
      <w:r>
        <w:rPr>
          <w:spacing w:val="-8"/>
          <w:w w:val="120"/>
          <w:sz w:val="20"/>
        </w:rPr>
        <w:t> </w:t>
      </w:r>
      <w:r>
        <w:rPr>
          <w:w w:val="120"/>
          <w:sz w:val="20"/>
        </w:rPr>
        <w:t>programmes</w:t>
      </w:r>
      <w:r>
        <w:rPr>
          <w:spacing w:val="-8"/>
          <w:w w:val="120"/>
          <w:sz w:val="20"/>
        </w:rPr>
        <w:t> </w:t>
      </w:r>
      <w:r>
        <w:rPr>
          <w:w w:val="120"/>
          <w:sz w:val="20"/>
        </w:rPr>
        <w:t>facilitated</w:t>
      </w:r>
      <w:r>
        <w:rPr>
          <w:spacing w:val="-7"/>
          <w:w w:val="120"/>
          <w:sz w:val="20"/>
        </w:rPr>
        <w:t> </w:t>
      </w:r>
      <w:r>
        <w:rPr>
          <w:w w:val="120"/>
          <w:sz w:val="20"/>
        </w:rPr>
        <w:t>by</w:t>
      </w:r>
      <w:r>
        <w:rPr>
          <w:spacing w:val="-8"/>
          <w:w w:val="120"/>
          <w:sz w:val="20"/>
        </w:rPr>
        <w:t> </w:t>
      </w:r>
      <w:r>
        <w:rPr>
          <w:w w:val="120"/>
          <w:sz w:val="20"/>
        </w:rPr>
        <w:t>the</w:t>
      </w:r>
      <w:r>
        <w:rPr>
          <w:spacing w:val="-8"/>
          <w:w w:val="120"/>
          <w:sz w:val="20"/>
        </w:rPr>
        <w:t> </w:t>
      </w:r>
      <w:r>
        <w:rPr>
          <w:w w:val="120"/>
          <w:sz w:val="20"/>
        </w:rPr>
        <w:t>Mission</w:t>
      </w:r>
      <w:r>
        <w:rPr>
          <w:spacing w:val="-8"/>
          <w:w w:val="120"/>
          <w:sz w:val="20"/>
        </w:rPr>
        <w:t> </w:t>
      </w:r>
      <w:r>
        <w:rPr>
          <w:spacing w:val="-3"/>
          <w:w w:val="120"/>
          <w:sz w:val="20"/>
        </w:rPr>
        <w:t>Committee.</w:t>
      </w:r>
    </w:p>
    <w:p>
      <w:pPr>
        <w:pStyle w:val="BodyText"/>
        <w:spacing w:before="10"/>
        <w:rPr>
          <w:sz w:val="19"/>
        </w:rPr>
      </w:pPr>
    </w:p>
    <w:p>
      <w:pPr>
        <w:pStyle w:val="ListParagraph"/>
        <w:numPr>
          <w:ilvl w:val="2"/>
          <w:numId w:val="143"/>
        </w:numPr>
        <w:tabs>
          <w:tab w:pos="1815" w:val="left" w:leader="none"/>
        </w:tabs>
        <w:spacing w:line="235" w:lineRule="auto" w:before="0" w:after="0"/>
        <w:ind w:left="1814" w:right="2130" w:hanging="681"/>
        <w:jc w:val="left"/>
        <w:rPr>
          <w:sz w:val="20"/>
        </w:rPr>
      </w:pPr>
      <w:r>
        <w:rPr>
          <w:i/>
          <w:w w:val="115"/>
          <w:sz w:val="20"/>
        </w:rPr>
        <w:t>‘The URC rocks’! These are the words of one of the participants in describing our </w:t>
      </w:r>
      <w:r>
        <w:rPr>
          <w:i/>
          <w:w w:val="115"/>
          <w:sz w:val="20"/>
        </w:rPr>
        <w:t>Second</w:t>
      </w:r>
      <w:r>
        <w:rPr>
          <w:i/>
          <w:spacing w:val="-23"/>
          <w:w w:val="115"/>
          <w:sz w:val="20"/>
        </w:rPr>
        <w:t> </w:t>
      </w:r>
      <w:r>
        <w:rPr>
          <w:i/>
          <w:w w:val="115"/>
          <w:sz w:val="20"/>
        </w:rPr>
        <w:t>Multicultural</w:t>
      </w:r>
      <w:r>
        <w:rPr>
          <w:i/>
          <w:spacing w:val="-23"/>
          <w:w w:val="115"/>
          <w:sz w:val="20"/>
        </w:rPr>
        <w:t> </w:t>
      </w:r>
      <w:r>
        <w:rPr>
          <w:i/>
          <w:w w:val="115"/>
          <w:sz w:val="20"/>
        </w:rPr>
        <w:t>Celebration</w:t>
      </w:r>
      <w:r>
        <w:rPr>
          <w:i/>
          <w:spacing w:val="-23"/>
          <w:w w:val="115"/>
          <w:sz w:val="20"/>
        </w:rPr>
        <w:t> </w:t>
      </w:r>
      <w:r>
        <w:rPr>
          <w:i/>
          <w:w w:val="115"/>
          <w:sz w:val="20"/>
        </w:rPr>
        <w:t>of</w:t>
      </w:r>
      <w:r>
        <w:rPr>
          <w:i/>
          <w:spacing w:val="-23"/>
          <w:w w:val="115"/>
          <w:sz w:val="20"/>
        </w:rPr>
        <w:t> </w:t>
      </w:r>
      <w:r>
        <w:rPr>
          <w:i/>
          <w:w w:val="115"/>
          <w:sz w:val="20"/>
        </w:rPr>
        <w:t>the</w:t>
      </w:r>
      <w:r>
        <w:rPr>
          <w:i/>
          <w:spacing w:val="-23"/>
          <w:w w:val="115"/>
          <w:sz w:val="20"/>
        </w:rPr>
        <w:t> </w:t>
      </w:r>
      <w:r>
        <w:rPr>
          <w:i/>
          <w:w w:val="115"/>
          <w:sz w:val="20"/>
        </w:rPr>
        <w:t>United</w:t>
      </w:r>
      <w:r>
        <w:rPr>
          <w:i/>
          <w:spacing w:val="-23"/>
          <w:w w:val="115"/>
          <w:sz w:val="20"/>
        </w:rPr>
        <w:t> </w:t>
      </w:r>
      <w:r>
        <w:rPr>
          <w:i/>
          <w:w w:val="115"/>
          <w:sz w:val="20"/>
        </w:rPr>
        <w:t>Reformed</w:t>
      </w:r>
      <w:r>
        <w:rPr>
          <w:i/>
          <w:spacing w:val="-23"/>
          <w:w w:val="115"/>
          <w:sz w:val="20"/>
        </w:rPr>
        <w:t> </w:t>
      </w:r>
      <w:r>
        <w:rPr>
          <w:i/>
          <w:w w:val="115"/>
          <w:sz w:val="20"/>
        </w:rPr>
        <w:t>Church.</w:t>
      </w:r>
      <w:r>
        <w:rPr>
          <w:i/>
          <w:spacing w:val="-23"/>
          <w:w w:val="115"/>
          <w:sz w:val="20"/>
        </w:rPr>
        <w:t> </w:t>
      </w:r>
      <w:r>
        <w:rPr>
          <w:i/>
          <w:w w:val="115"/>
          <w:sz w:val="20"/>
        </w:rPr>
        <w:t>It</w:t>
      </w:r>
      <w:r>
        <w:rPr>
          <w:i/>
          <w:spacing w:val="-23"/>
          <w:w w:val="115"/>
          <w:sz w:val="20"/>
        </w:rPr>
        <w:t> </w:t>
      </w:r>
      <w:r>
        <w:rPr>
          <w:i/>
          <w:w w:val="115"/>
          <w:sz w:val="20"/>
        </w:rPr>
        <w:t>felt</w:t>
      </w:r>
      <w:r>
        <w:rPr>
          <w:i/>
          <w:spacing w:val="-23"/>
          <w:w w:val="115"/>
          <w:sz w:val="20"/>
        </w:rPr>
        <w:t> </w:t>
      </w:r>
      <w:r>
        <w:rPr>
          <w:i/>
          <w:w w:val="115"/>
          <w:sz w:val="20"/>
        </w:rPr>
        <w:t>like</w:t>
      </w:r>
      <w:r>
        <w:rPr>
          <w:i/>
          <w:spacing w:val="-23"/>
          <w:w w:val="115"/>
          <w:sz w:val="20"/>
        </w:rPr>
        <w:t> </w:t>
      </w:r>
      <w:r>
        <w:rPr>
          <w:i/>
          <w:w w:val="115"/>
          <w:sz w:val="20"/>
        </w:rPr>
        <w:t>Pentecost</w:t>
      </w:r>
      <w:r>
        <w:rPr>
          <w:i/>
          <w:spacing w:val="-23"/>
          <w:w w:val="115"/>
          <w:sz w:val="20"/>
        </w:rPr>
        <w:t> </w:t>
      </w:r>
      <w:r>
        <w:rPr>
          <w:i/>
          <w:w w:val="115"/>
          <w:sz w:val="20"/>
        </w:rPr>
        <w:t>on Saturday December 5</w:t>
      </w:r>
      <w:r>
        <w:rPr>
          <w:i/>
          <w:w w:val="115"/>
          <w:position w:val="7"/>
          <w:sz w:val="11"/>
        </w:rPr>
        <w:t>th</w:t>
      </w:r>
      <w:r>
        <w:rPr>
          <w:i/>
          <w:w w:val="115"/>
          <w:sz w:val="20"/>
        </w:rPr>
        <w:t>, 2009, with over </w:t>
      </w:r>
      <w:r>
        <w:rPr>
          <w:i/>
          <w:spacing w:val="-3"/>
          <w:w w:val="115"/>
          <w:sz w:val="20"/>
        </w:rPr>
        <w:t>350 </w:t>
      </w:r>
      <w:r>
        <w:rPr>
          <w:i/>
          <w:w w:val="115"/>
          <w:sz w:val="20"/>
        </w:rPr>
        <w:t>members and friends from congregations across the whole United Reformed Church attending at Carrs Lane United Reformed Church, Birmingham. Working with the theme </w:t>
      </w:r>
      <w:r>
        <w:rPr>
          <w:i/>
          <w:spacing w:val="-7"/>
          <w:w w:val="115"/>
          <w:sz w:val="20"/>
        </w:rPr>
        <w:t>‘A </w:t>
      </w:r>
      <w:r>
        <w:rPr>
          <w:i/>
          <w:spacing w:val="-4"/>
          <w:w w:val="115"/>
          <w:sz w:val="20"/>
        </w:rPr>
        <w:t>Table </w:t>
      </w:r>
      <w:r>
        <w:rPr>
          <w:i/>
          <w:w w:val="115"/>
          <w:sz w:val="20"/>
        </w:rPr>
        <w:t>for All’ there were cultural presentations,</w:t>
      </w:r>
      <w:r>
        <w:rPr>
          <w:i/>
          <w:spacing w:val="-23"/>
          <w:w w:val="115"/>
          <w:sz w:val="20"/>
        </w:rPr>
        <w:t> </w:t>
      </w:r>
      <w:r>
        <w:rPr>
          <w:i/>
          <w:w w:val="115"/>
          <w:sz w:val="20"/>
        </w:rPr>
        <w:t>displays,</w:t>
      </w:r>
      <w:r>
        <w:rPr>
          <w:i/>
          <w:spacing w:val="-22"/>
          <w:w w:val="115"/>
          <w:sz w:val="20"/>
        </w:rPr>
        <w:t> </w:t>
      </w:r>
      <w:r>
        <w:rPr>
          <w:i/>
          <w:w w:val="115"/>
          <w:sz w:val="20"/>
        </w:rPr>
        <w:t>worship,</w:t>
      </w:r>
      <w:r>
        <w:rPr>
          <w:i/>
          <w:spacing w:val="-22"/>
          <w:w w:val="115"/>
          <w:sz w:val="20"/>
        </w:rPr>
        <w:t> </w:t>
      </w:r>
      <w:r>
        <w:rPr>
          <w:i/>
          <w:w w:val="115"/>
          <w:sz w:val="20"/>
        </w:rPr>
        <w:t>dancing,</w:t>
      </w:r>
      <w:r>
        <w:rPr>
          <w:i/>
          <w:spacing w:val="-22"/>
          <w:w w:val="115"/>
          <w:sz w:val="20"/>
        </w:rPr>
        <w:t> </w:t>
      </w:r>
      <w:r>
        <w:rPr>
          <w:i/>
          <w:w w:val="115"/>
          <w:sz w:val="20"/>
        </w:rPr>
        <w:t>music,</w:t>
      </w:r>
      <w:r>
        <w:rPr>
          <w:i/>
          <w:spacing w:val="-22"/>
          <w:w w:val="115"/>
          <w:sz w:val="20"/>
        </w:rPr>
        <w:t> </w:t>
      </w:r>
      <w:r>
        <w:rPr>
          <w:i/>
          <w:w w:val="115"/>
          <w:sz w:val="20"/>
        </w:rPr>
        <w:t>talks,</w:t>
      </w:r>
      <w:r>
        <w:rPr>
          <w:i/>
          <w:spacing w:val="-22"/>
          <w:w w:val="115"/>
          <w:sz w:val="20"/>
        </w:rPr>
        <w:t> </w:t>
      </w:r>
      <w:r>
        <w:rPr>
          <w:i/>
          <w:w w:val="115"/>
          <w:sz w:val="20"/>
        </w:rPr>
        <w:t>eating</w:t>
      </w:r>
      <w:r>
        <w:rPr>
          <w:i/>
          <w:spacing w:val="-22"/>
          <w:w w:val="115"/>
          <w:sz w:val="20"/>
        </w:rPr>
        <w:t> </w:t>
      </w:r>
      <w:r>
        <w:rPr>
          <w:i/>
          <w:w w:val="115"/>
          <w:sz w:val="20"/>
        </w:rPr>
        <w:t>and</w:t>
      </w:r>
      <w:r>
        <w:rPr>
          <w:i/>
          <w:spacing w:val="-22"/>
          <w:w w:val="115"/>
          <w:sz w:val="20"/>
        </w:rPr>
        <w:t> </w:t>
      </w:r>
      <w:r>
        <w:rPr>
          <w:i/>
          <w:w w:val="115"/>
          <w:sz w:val="20"/>
        </w:rPr>
        <w:t>lots</w:t>
      </w:r>
      <w:r>
        <w:rPr>
          <w:i/>
          <w:spacing w:val="-22"/>
          <w:w w:val="115"/>
          <w:sz w:val="20"/>
        </w:rPr>
        <w:t> </w:t>
      </w:r>
      <w:r>
        <w:rPr>
          <w:i/>
          <w:w w:val="115"/>
          <w:sz w:val="20"/>
        </w:rPr>
        <w:t>of</w:t>
      </w:r>
      <w:r>
        <w:rPr>
          <w:i/>
          <w:spacing w:val="-22"/>
          <w:w w:val="115"/>
          <w:sz w:val="20"/>
        </w:rPr>
        <w:t> </w:t>
      </w:r>
      <w:r>
        <w:rPr>
          <w:i/>
          <w:w w:val="115"/>
          <w:sz w:val="20"/>
        </w:rPr>
        <w:t>conversations. It was a celebrating of the fact that WE are a multicultural church.</w:t>
      </w:r>
      <w:hyperlink r:id="rId406">
        <w:r>
          <w:rPr>
            <w:i/>
            <w:w w:val="115"/>
            <w:sz w:val="20"/>
          </w:rPr>
          <w:t> </w:t>
        </w:r>
        <w:r>
          <w:rPr>
            <w:w w:val="115"/>
            <w:sz w:val="20"/>
          </w:rPr>
          <w:t>http://www.urc.org.uk/what_we_do/rjmm/multicultural_celebration</w:t>
        </w:r>
      </w:hyperlink>
    </w:p>
    <w:p>
      <w:pPr>
        <w:spacing w:after="0" w:line="235" w:lineRule="auto"/>
        <w:jc w:val="left"/>
        <w:rPr>
          <w:sz w:val="20"/>
        </w:rPr>
        <w:sectPr>
          <w:pgSz w:w="11910" w:h="16840"/>
          <w:pgMar w:header="0" w:footer="647" w:top="1060" w:bottom="840" w:left="0" w:right="0"/>
        </w:sectPr>
      </w:pPr>
    </w:p>
    <w:p>
      <w:pPr>
        <w:pStyle w:val="ListParagraph"/>
        <w:numPr>
          <w:ilvl w:val="2"/>
          <w:numId w:val="143"/>
        </w:numPr>
        <w:tabs>
          <w:tab w:pos="2665" w:val="left" w:leader="none"/>
        </w:tabs>
        <w:spacing w:line="235" w:lineRule="auto" w:before="91" w:after="0"/>
        <w:ind w:left="1984" w:right="1498" w:firstLine="0"/>
        <w:jc w:val="left"/>
        <w:rPr>
          <w:sz w:val="20"/>
        </w:rPr>
      </w:pPr>
      <w:r>
        <w:rPr/>
        <w:pict>
          <v:rect style="position:absolute;margin-left:558.424988pt;margin-top:8.503343pt;width:22.677pt;height:22.677pt;mso-position-horizontal-relative:page;mso-position-vertical-relative:paragraph;z-index:252158976" filled="true" fillcolor="#dae4ec" stroked="false">
            <v:fill opacity="32768f" type="solid"/>
            <w10:wrap type="none"/>
          </v:rect>
        </w:pict>
      </w:r>
      <w:r>
        <w:rPr>
          <w:w w:val="120"/>
          <w:sz w:val="20"/>
        </w:rPr>
        <w:t>In </w:t>
      </w:r>
      <w:r>
        <w:rPr>
          <w:spacing w:val="-6"/>
          <w:w w:val="120"/>
          <w:sz w:val="20"/>
        </w:rPr>
        <w:t>1991 </w:t>
      </w:r>
      <w:r>
        <w:rPr>
          <w:w w:val="120"/>
          <w:sz w:val="20"/>
        </w:rPr>
        <w:t>the Council for World Mission made a special commitment to building  a community of women and men in mission (CWMM). This programme has sought to promote equal partnership between women and men. In 2008, the United Reformed Church invited a </w:t>
      </w:r>
      <w:r>
        <w:rPr>
          <w:spacing w:val="3"/>
          <w:w w:val="120"/>
          <w:sz w:val="20"/>
        </w:rPr>
        <w:t>CWMM </w:t>
      </w:r>
      <w:r>
        <w:rPr>
          <w:w w:val="120"/>
          <w:sz w:val="20"/>
        </w:rPr>
        <w:t>team to </w:t>
      </w:r>
      <w:r>
        <w:rPr>
          <w:spacing w:val="2"/>
          <w:w w:val="120"/>
          <w:sz w:val="20"/>
        </w:rPr>
        <w:t>report </w:t>
      </w:r>
      <w:r>
        <w:rPr>
          <w:w w:val="120"/>
          <w:sz w:val="20"/>
        </w:rPr>
        <w:t>on progress made and obstacles faced in achieving gender equality and empowerment. The </w:t>
      </w:r>
      <w:r>
        <w:rPr>
          <w:spacing w:val="2"/>
          <w:w w:val="120"/>
          <w:sz w:val="20"/>
        </w:rPr>
        <w:t>report</w:t>
      </w:r>
      <w:r>
        <w:rPr>
          <w:spacing w:val="36"/>
          <w:w w:val="120"/>
          <w:sz w:val="20"/>
        </w:rPr>
        <w:t> </w:t>
      </w:r>
      <w:r>
        <w:rPr>
          <w:w w:val="120"/>
          <w:sz w:val="20"/>
        </w:rPr>
        <w:t>concluded:</w:t>
      </w:r>
    </w:p>
    <w:p>
      <w:pPr>
        <w:pStyle w:val="BodyText"/>
        <w:spacing w:before="11"/>
        <w:rPr>
          <w:sz w:val="19"/>
        </w:rPr>
      </w:pPr>
    </w:p>
    <w:p>
      <w:pPr>
        <w:spacing w:line="235" w:lineRule="auto" w:before="0"/>
        <w:ind w:left="2664" w:right="1273" w:firstLine="0"/>
        <w:jc w:val="left"/>
        <w:rPr>
          <w:i/>
          <w:sz w:val="20"/>
        </w:rPr>
      </w:pPr>
      <w:r>
        <w:rPr>
          <w:i/>
          <w:w w:val="110"/>
          <w:sz w:val="20"/>
        </w:rPr>
        <w:t>It has been a great privilege to receive the hospitality of so many in the United Reformed </w:t>
      </w:r>
      <w:r>
        <w:rPr>
          <w:i/>
          <w:w w:val="110"/>
          <w:sz w:val="20"/>
        </w:rPr>
        <w:t>Church. Everywhere we went, we were greeted warmly and invited into the life of the church or church-related institution. A number of women and men gave generously of their time and their patience. In our travels, we witnessed passion and commitment, intelligence and conviction. Nothing we have seen makes us think that the URC does not care about women and men, girls and boys. On the contrary, we are convinced that the Church has an abiding heart to bring the Good News to all people.</w:t>
      </w:r>
    </w:p>
    <w:p>
      <w:pPr>
        <w:pStyle w:val="BodyText"/>
        <w:spacing w:before="1"/>
        <w:rPr>
          <w:i/>
        </w:rPr>
      </w:pPr>
    </w:p>
    <w:p>
      <w:pPr>
        <w:pStyle w:val="BodyText"/>
        <w:spacing w:line="235" w:lineRule="auto"/>
        <w:ind w:left="1984" w:right="1120"/>
      </w:pPr>
      <w:r>
        <w:rPr>
          <w:w w:val="120"/>
        </w:rPr>
        <w:t>The Mission Committee is currently in the process of looking at the recommendations of the report.</w:t>
      </w:r>
    </w:p>
    <w:p>
      <w:pPr>
        <w:pStyle w:val="BodyText"/>
        <w:spacing w:before="10"/>
        <w:rPr>
          <w:sz w:val="19"/>
        </w:rPr>
      </w:pPr>
    </w:p>
    <w:p>
      <w:pPr>
        <w:pStyle w:val="ListParagraph"/>
        <w:numPr>
          <w:ilvl w:val="2"/>
          <w:numId w:val="143"/>
        </w:numPr>
        <w:tabs>
          <w:tab w:pos="2665" w:val="left" w:leader="none"/>
        </w:tabs>
        <w:spacing w:line="235" w:lineRule="auto" w:before="0" w:after="0"/>
        <w:ind w:left="1984" w:right="5809" w:firstLine="0"/>
        <w:jc w:val="left"/>
        <w:rPr>
          <w:sz w:val="20"/>
        </w:rPr>
      </w:pPr>
      <w:r>
        <w:rPr/>
        <w:pict>
          <v:group style="position:absolute;margin-left:317.480286pt;margin-top:1.945618pt;width:277.8pt;height:202.55pt;mso-position-horizontal-relative:page;mso-position-vertical-relative:paragraph;z-index:252161024" coordorigin="6350,39" coordsize="5556,4051">
            <v:shape style="position:absolute;left:6377;top:38;width:5528;height:4010" type="#_x0000_t75" stroked="false">
              <v:imagedata r:id="rId410" o:title=""/>
            </v:shape>
            <v:shape style="position:absolute;left:6349;top:2576;width:1540;height:1513" coordorigin="6350,2577" coordsize="1540,1513" path="m6350,2577l6350,4090,7886,4090,7810,4088,7735,4082,7661,4073,7588,4061,7517,4045,7446,4026,7377,4003,7310,3978,7244,3949,7180,3918,7117,3884,7056,3846,6998,3807,6941,3764,6886,3719,6833,3672,6783,3622,6735,3570,6689,3516,6646,3460,6605,3402,6567,3341,6532,3279,6500,3216,6470,3150,6444,3083,6420,3015,6400,2945,6383,2873,6370,2801,6359,2727,6353,2653,6350,2577xm7889,4089l7888,4089,7887,4090,7889,4090,7889,4089xe" filled="true" fillcolor="#ffffff" stroked="false">
              <v:path arrowok="t"/>
              <v:fill type="solid"/>
            </v:shape>
            <w10:wrap type="none"/>
          </v:group>
        </w:pict>
      </w:r>
      <w:r>
        <w:rPr>
          <w:w w:val="120"/>
          <w:sz w:val="20"/>
        </w:rPr>
        <w:t>Migration </w:t>
      </w:r>
      <w:r>
        <w:rPr>
          <w:spacing w:val="-7"/>
          <w:w w:val="120"/>
          <w:sz w:val="20"/>
        </w:rPr>
        <w:t>2010 </w:t>
      </w:r>
      <w:r>
        <w:rPr>
          <w:w w:val="120"/>
          <w:sz w:val="20"/>
        </w:rPr>
        <w:t>is a joint </w:t>
      </w:r>
      <w:r>
        <w:rPr>
          <w:spacing w:val="-3"/>
          <w:w w:val="120"/>
          <w:sz w:val="20"/>
        </w:rPr>
        <w:t>initiative </w:t>
      </w:r>
      <w:r>
        <w:rPr>
          <w:w w:val="120"/>
          <w:sz w:val="20"/>
        </w:rPr>
        <w:t>between the </w:t>
      </w:r>
      <w:r>
        <w:rPr>
          <w:spacing w:val="-3"/>
          <w:w w:val="120"/>
          <w:sz w:val="20"/>
        </w:rPr>
        <w:t>European Churches </w:t>
      </w:r>
      <w:r>
        <w:rPr>
          <w:w w:val="120"/>
          <w:sz w:val="20"/>
        </w:rPr>
        <w:t>and the </w:t>
      </w:r>
      <w:r>
        <w:rPr>
          <w:spacing w:val="-3"/>
          <w:w w:val="120"/>
          <w:sz w:val="20"/>
        </w:rPr>
        <w:t>Churches Commission </w:t>
      </w:r>
      <w:r>
        <w:rPr>
          <w:w w:val="120"/>
          <w:sz w:val="20"/>
        </w:rPr>
        <w:t>for Migrants in </w:t>
      </w:r>
      <w:r>
        <w:rPr>
          <w:spacing w:val="-3"/>
          <w:w w:val="120"/>
          <w:sz w:val="20"/>
        </w:rPr>
        <w:t>Europe. </w:t>
      </w:r>
      <w:r>
        <w:rPr>
          <w:w w:val="120"/>
          <w:sz w:val="20"/>
        </w:rPr>
        <w:t>But long before </w:t>
      </w:r>
      <w:r>
        <w:rPr>
          <w:spacing w:val="-3"/>
          <w:w w:val="120"/>
          <w:sz w:val="20"/>
        </w:rPr>
        <w:t>this, </w:t>
      </w:r>
      <w:r>
        <w:rPr>
          <w:w w:val="120"/>
          <w:sz w:val="20"/>
        </w:rPr>
        <w:t>migration has</w:t>
      </w:r>
      <w:r>
        <w:rPr>
          <w:spacing w:val="-12"/>
          <w:w w:val="120"/>
          <w:sz w:val="20"/>
        </w:rPr>
        <w:t> </w:t>
      </w:r>
      <w:r>
        <w:rPr>
          <w:w w:val="120"/>
          <w:sz w:val="20"/>
        </w:rPr>
        <w:t>been</w:t>
      </w:r>
      <w:r>
        <w:rPr>
          <w:spacing w:val="-12"/>
          <w:w w:val="120"/>
          <w:sz w:val="20"/>
        </w:rPr>
        <w:t> </w:t>
      </w:r>
      <w:r>
        <w:rPr>
          <w:w w:val="120"/>
          <w:sz w:val="20"/>
        </w:rPr>
        <w:t>a</w:t>
      </w:r>
      <w:r>
        <w:rPr>
          <w:spacing w:val="-11"/>
          <w:w w:val="120"/>
          <w:sz w:val="20"/>
        </w:rPr>
        <w:t> </w:t>
      </w:r>
      <w:r>
        <w:rPr>
          <w:w w:val="120"/>
          <w:sz w:val="20"/>
        </w:rPr>
        <w:t>theme</w:t>
      </w:r>
      <w:r>
        <w:rPr>
          <w:spacing w:val="-12"/>
          <w:w w:val="120"/>
          <w:sz w:val="20"/>
        </w:rPr>
        <w:t> </w:t>
      </w:r>
      <w:r>
        <w:rPr>
          <w:w w:val="120"/>
          <w:sz w:val="20"/>
        </w:rPr>
        <w:t>and</w:t>
      </w:r>
      <w:r>
        <w:rPr>
          <w:spacing w:val="-11"/>
          <w:w w:val="120"/>
          <w:sz w:val="20"/>
        </w:rPr>
        <w:t> </w:t>
      </w:r>
      <w:r>
        <w:rPr>
          <w:w w:val="120"/>
          <w:sz w:val="20"/>
        </w:rPr>
        <w:t>reality</w:t>
      </w:r>
      <w:r>
        <w:rPr>
          <w:spacing w:val="-12"/>
          <w:w w:val="120"/>
          <w:sz w:val="20"/>
        </w:rPr>
        <w:t> </w:t>
      </w:r>
      <w:r>
        <w:rPr>
          <w:w w:val="120"/>
          <w:sz w:val="20"/>
        </w:rPr>
        <w:t>in</w:t>
      </w:r>
      <w:r>
        <w:rPr>
          <w:spacing w:val="-11"/>
          <w:w w:val="120"/>
          <w:sz w:val="20"/>
        </w:rPr>
        <w:t> </w:t>
      </w:r>
      <w:r>
        <w:rPr>
          <w:w w:val="120"/>
          <w:sz w:val="20"/>
        </w:rPr>
        <w:t>the</w:t>
      </w:r>
      <w:r>
        <w:rPr>
          <w:spacing w:val="-12"/>
          <w:w w:val="120"/>
          <w:sz w:val="20"/>
        </w:rPr>
        <w:t> </w:t>
      </w:r>
      <w:r>
        <w:rPr>
          <w:w w:val="120"/>
          <w:sz w:val="20"/>
        </w:rPr>
        <w:t>UK</w:t>
      </w:r>
      <w:r>
        <w:rPr>
          <w:spacing w:val="-11"/>
          <w:w w:val="120"/>
          <w:sz w:val="20"/>
        </w:rPr>
        <w:t> </w:t>
      </w:r>
      <w:r>
        <w:rPr>
          <w:w w:val="120"/>
          <w:sz w:val="20"/>
        </w:rPr>
        <w:t>and the life of the </w:t>
      </w:r>
      <w:r>
        <w:rPr>
          <w:spacing w:val="-3"/>
          <w:w w:val="120"/>
          <w:sz w:val="20"/>
        </w:rPr>
        <w:t>United </w:t>
      </w:r>
      <w:r>
        <w:rPr>
          <w:w w:val="120"/>
          <w:sz w:val="20"/>
        </w:rPr>
        <w:t>Reformed</w:t>
      </w:r>
      <w:r>
        <w:rPr>
          <w:spacing w:val="-36"/>
          <w:w w:val="120"/>
          <w:sz w:val="20"/>
        </w:rPr>
        <w:t> </w:t>
      </w:r>
      <w:r>
        <w:rPr>
          <w:spacing w:val="-3"/>
          <w:w w:val="120"/>
          <w:sz w:val="20"/>
        </w:rPr>
        <w:t>Church.</w:t>
      </w:r>
    </w:p>
    <w:p>
      <w:pPr>
        <w:pStyle w:val="BodyText"/>
      </w:pPr>
    </w:p>
    <w:p>
      <w:pPr>
        <w:pStyle w:val="ListParagraph"/>
        <w:numPr>
          <w:ilvl w:val="2"/>
          <w:numId w:val="143"/>
        </w:numPr>
        <w:tabs>
          <w:tab w:pos="2665" w:val="left" w:leader="none"/>
        </w:tabs>
        <w:spacing w:line="235" w:lineRule="auto" w:before="0" w:after="0"/>
        <w:ind w:left="1984" w:right="6128" w:firstLine="0"/>
        <w:jc w:val="left"/>
        <w:rPr>
          <w:sz w:val="20"/>
        </w:rPr>
      </w:pPr>
      <w:r>
        <w:rPr>
          <w:w w:val="120"/>
          <w:sz w:val="20"/>
        </w:rPr>
        <w:t>One significant </w:t>
      </w:r>
      <w:r>
        <w:rPr>
          <w:spacing w:val="-3"/>
          <w:w w:val="120"/>
          <w:sz w:val="20"/>
        </w:rPr>
        <w:t>piece </w:t>
      </w:r>
      <w:r>
        <w:rPr>
          <w:w w:val="120"/>
          <w:sz w:val="20"/>
        </w:rPr>
        <w:t>of work that is been carried out by the Racial Justice</w:t>
      </w:r>
      <w:r>
        <w:rPr>
          <w:spacing w:val="-17"/>
          <w:w w:val="120"/>
          <w:sz w:val="20"/>
        </w:rPr>
        <w:t> </w:t>
      </w:r>
      <w:r>
        <w:rPr>
          <w:w w:val="120"/>
          <w:sz w:val="20"/>
        </w:rPr>
        <w:t>and</w:t>
      </w:r>
      <w:r>
        <w:rPr>
          <w:spacing w:val="-16"/>
          <w:w w:val="120"/>
          <w:sz w:val="20"/>
        </w:rPr>
        <w:t> </w:t>
      </w:r>
      <w:r>
        <w:rPr>
          <w:spacing w:val="-3"/>
          <w:w w:val="120"/>
          <w:sz w:val="20"/>
        </w:rPr>
        <w:t>Multicultural</w:t>
      </w:r>
      <w:r>
        <w:rPr>
          <w:spacing w:val="-16"/>
          <w:w w:val="120"/>
          <w:sz w:val="20"/>
        </w:rPr>
        <w:t> </w:t>
      </w:r>
      <w:r>
        <w:rPr>
          <w:w w:val="120"/>
          <w:sz w:val="20"/>
        </w:rPr>
        <w:t>Ministry</w:t>
      </w:r>
      <w:r>
        <w:rPr>
          <w:spacing w:val="-16"/>
          <w:w w:val="120"/>
          <w:sz w:val="20"/>
        </w:rPr>
        <w:t> </w:t>
      </w:r>
      <w:r>
        <w:rPr>
          <w:w w:val="120"/>
          <w:sz w:val="20"/>
        </w:rPr>
        <w:t>office is the mapping of the various </w:t>
      </w:r>
      <w:r>
        <w:rPr>
          <w:spacing w:val="-3"/>
          <w:w w:val="120"/>
          <w:sz w:val="20"/>
        </w:rPr>
        <w:t>church communities associated </w:t>
      </w:r>
      <w:r>
        <w:rPr>
          <w:w w:val="120"/>
          <w:sz w:val="20"/>
        </w:rPr>
        <w:t>with migration that are sharing </w:t>
      </w:r>
      <w:r>
        <w:rPr>
          <w:spacing w:val="-3"/>
          <w:w w:val="120"/>
          <w:sz w:val="20"/>
        </w:rPr>
        <w:t>(in </w:t>
      </w:r>
      <w:r>
        <w:rPr>
          <w:w w:val="120"/>
          <w:sz w:val="20"/>
        </w:rPr>
        <w:t>different </w:t>
      </w:r>
      <w:r>
        <w:rPr>
          <w:spacing w:val="-6"/>
          <w:w w:val="120"/>
          <w:sz w:val="20"/>
        </w:rPr>
        <w:t>ways) </w:t>
      </w:r>
      <w:r>
        <w:rPr>
          <w:w w:val="120"/>
          <w:sz w:val="20"/>
        </w:rPr>
        <w:t>the </w:t>
      </w:r>
      <w:r>
        <w:rPr>
          <w:spacing w:val="-3"/>
          <w:w w:val="120"/>
          <w:sz w:val="20"/>
        </w:rPr>
        <w:t>worship space </w:t>
      </w:r>
      <w:r>
        <w:rPr>
          <w:w w:val="120"/>
          <w:sz w:val="20"/>
        </w:rPr>
        <w:t>of </w:t>
      </w:r>
      <w:r>
        <w:rPr>
          <w:spacing w:val="-3"/>
          <w:w w:val="120"/>
          <w:sz w:val="20"/>
        </w:rPr>
        <w:t>United</w:t>
      </w:r>
      <w:r>
        <w:rPr>
          <w:spacing w:val="-2"/>
          <w:w w:val="120"/>
          <w:sz w:val="20"/>
        </w:rPr>
        <w:t> </w:t>
      </w:r>
      <w:r>
        <w:rPr>
          <w:w w:val="120"/>
          <w:sz w:val="20"/>
        </w:rPr>
        <w:t>Reformed</w:t>
      </w:r>
    </w:p>
    <w:p>
      <w:pPr>
        <w:pStyle w:val="BodyText"/>
        <w:spacing w:line="235" w:lineRule="auto" w:before="5"/>
        <w:ind w:left="1984" w:right="5832"/>
        <w:jc w:val="both"/>
      </w:pPr>
      <w:r>
        <w:rPr>
          <w:w w:val="120"/>
        </w:rPr>
        <w:t>congregations and developing a variety of partnerships. The findings of this ongoing mapping will be made available online.</w:t>
      </w:r>
    </w:p>
    <w:p>
      <w:pPr>
        <w:pStyle w:val="BodyText"/>
        <w:spacing w:before="10"/>
        <w:rPr>
          <w:sz w:val="19"/>
        </w:rPr>
      </w:pPr>
    </w:p>
    <w:p>
      <w:pPr>
        <w:pStyle w:val="ListParagraph"/>
        <w:numPr>
          <w:ilvl w:val="2"/>
          <w:numId w:val="143"/>
        </w:numPr>
        <w:tabs>
          <w:tab w:pos="2665" w:val="left" w:leader="none"/>
        </w:tabs>
        <w:spacing w:line="235" w:lineRule="auto" w:before="1" w:after="0"/>
        <w:ind w:left="1984" w:right="1402" w:firstLine="0"/>
        <w:jc w:val="left"/>
        <w:rPr>
          <w:sz w:val="20"/>
        </w:rPr>
      </w:pPr>
      <w:r>
        <w:rPr>
          <w:w w:val="120"/>
          <w:sz w:val="20"/>
        </w:rPr>
        <w:t>Further, Racial Justice and Multicultural Ministry has been able to encourage and support the work of ethno-cultural gatherings (Ghanaian and </w:t>
      </w:r>
      <w:r>
        <w:rPr>
          <w:spacing w:val="-3"/>
          <w:w w:val="120"/>
          <w:sz w:val="20"/>
        </w:rPr>
        <w:t>Asian) </w:t>
      </w:r>
      <w:r>
        <w:rPr>
          <w:w w:val="120"/>
          <w:sz w:val="20"/>
        </w:rPr>
        <w:t>and regular gatherings of the association of ethnic minority lay and ordained ministers</w:t>
      </w:r>
      <w:r>
        <w:rPr>
          <w:spacing w:val="50"/>
          <w:w w:val="120"/>
          <w:sz w:val="20"/>
        </w:rPr>
        <w:t> </w:t>
      </w:r>
      <w:r>
        <w:rPr>
          <w:w w:val="120"/>
          <w:sz w:val="20"/>
        </w:rPr>
        <w:t>(EMLOMA).</w:t>
      </w:r>
    </w:p>
    <w:p>
      <w:pPr>
        <w:pStyle w:val="BodyText"/>
        <w:spacing w:line="235" w:lineRule="auto" w:before="2"/>
        <w:ind w:left="1984" w:right="1132"/>
      </w:pPr>
      <w:r>
        <w:rPr>
          <w:w w:val="120"/>
        </w:rPr>
        <w:t>With regard to the latter, colleagues from the Mission </w:t>
      </w:r>
      <w:r>
        <w:rPr>
          <w:spacing w:val="-4"/>
          <w:w w:val="120"/>
        </w:rPr>
        <w:t>Team </w:t>
      </w:r>
      <w:r>
        <w:rPr>
          <w:w w:val="120"/>
        </w:rPr>
        <w:t>and other programme areas have been invited to engage with Black and Asian Minority Ethnic (BAME) colleagues    and vice versa. Colleagues from the Communication department, Mission, and Education and Learning have enabled gatherings on the themes of ‘Communicating the </w:t>
      </w:r>
      <w:r>
        <w:rPr>
          <w:spacing w:val="-3"/>
          <w:w w:val="120"/>
        </w:rPr>
        <w:t>Church’s Mission’, </w:t>
      </w:r>
      <w:r>
        <w:rPr>
          <w:w w:val="120"/>
        </w:rPr>
        <w:t>‘Mission in Multicultural Contexts’ and ‘Learning for Life: diverse</w:t>
      </w:r>
      <w:r>
        <w:rPr>
          <w:spacing w:val="44"/>
          <w:w w:val="120"/>
        </w:rPr>
        <w:t> </w:t>
      </w:r>
      <w:r>
        <w:rPr>
          <w:w w:val="120"/>
        </w:rPr>
        <w:t>discipleship</w:t>
      </w:r>
    </w:p>
    <w:p>
      <w:pPr>
        <w:pStyle w:val="BodyText"/>
        <w:spacing w:line="235" w:lineRule="auto" w:before="3"/>
        <w:ind w:left="1984" w:right="1120"/>
      </w:pPr>
      <w:r>
        <w:rPr>
          <w:w w:val="120"/>
        </w:rPr>
        <w:t>in a diverse Church’ that were practical, informative, interactive and engaging. This has resulted in greater attendance and participation at these events.</w:t>
      </w:r>
    </w:p>
    <w:p>
      <w:pPr>
        <w:pStyle w:val="BodyText"/>
        <w:spacing w:before="6"/>
        <w:rPr>
          <w:sz w:val="19"/>
        </w:rPr>
      </w:pPr>
    </w:p>
    <w:p>
      <w:pPr>
        <w:pStyle w:val="ListParagraph"/>
        <w:numPr>
          <w:ilvl w:val="1"/>
          <w:numId w:val="143"/>
        </w:numPr>
        <w:tabs>
          <w:tab w:pos="2664" w:val="left" w:leader="none"/>
          <w:tab w:pos="2665" w:val="left" w:leader="none"/>
        </w:tabs>
        <w:spacing w:line="240" w:lineRule="auto" w:before="0" w:after="0"/>
        <w:ind w:left="2664" w:right="0" w:hanging="681"/>
        <w:jc w:val="left"/>
        <w:rPr>
          <w:sz w:val="20"/>
        </w:rPr>
      </w:pPr>
      <w:r>
        <w:rPr>
          <w:w w:val="120"/>
          <w:sz w:val="20"/>
        </w:rPr>
        <w:t>Evangelism</w:t>
      </w:r>
    </w:p>
    <w:p>
      <w:pPr>
        <w:pStyle w:val="BodyText"/>
        <w:spacing w:before="10"/>
        <w:rPr>
          <w:sz w:val="17"/>
        </w:rPr>
      </w:pPr>
    </w:p>
    <w:p>
      <w:pPr>
        <w:pStyle w:val="ListParagraph"/>
        <w:numPr>
          <w:ilvl w:val="2"/>
          <w:numId w:val="143"/>
        </w:numPr>
        <w:tabs>
          <w:tab w:pos="2665" w:val="left" w:leader="none"/>
        </w:tabs>
        <w:spacing w:line="211" w:lineRule="auto" w:before="0" w:after="0"/>
        <w:ind w:left="1984" w:right="1899" w:firstLine="0"/>
        <w:jc w:val="left"/>
        <w:rPr>
          <w:sz w:val="20"/>
        </w:rPr>
      </w:pPr>
      <w:r>
        <w:rPr/>
        <w:drawing>
          <wp:anchor distT="0" distB="0" distL="0" distR="0" allowOverlap="1" layoutInCell="1" locked="0" behindDoc="1" simplePos="0" relativeHeight="236052480">
            <wp:simplePos x="0" y="0"/>
            <wp:positionH relativeFrom="page">
              <wp:posOffset>3090094</wp:posOffset>
            </wp:positionH>
            <wp:positionV relativeFrom="paragraph">
              <wp:posOffset>5529</wp:posOffset>
            </wp:positionV>
            <wp:extent cx="232858" cy="181203"/>
            <wp:effectExtent l="0" t="0" r="0" b="0"/>
            <wp:wrapNone/>
            <wp:docPr id="147" name="image181.png"/>
            <wp:cNvGraphicFramePr>
              <a:graphicFrameLocks noChangeAspect="1"/>
            </wp:cNvGraphicFramePr>
            <a:graphic>
              <a:graphicData uri="http://schemas.openxmlformats.org/drawingml/2006/picture">
                <pic:pic>
                  <pic:nvPicPr>
                    <pic:cNvPr id="148" name="image181.png"/>
                    <pic:cNvPicPr/>
                  </pic:nvPicPr>
                  <pic:blipFill>
                    <a:blip r:embed="rId411" cstate="print"/>
                    <a:stretch>
                      <a:fillRect/>
                    </a:stretch>
                  </pic:blipFill>
                  <pic:spPr>
                    <a:xfrm>
                      <a:off x="0" y="0"/>
                      <a:ext cx="232858" cy="181203"/>
                    </a:xfrm>
                    <a:prstGeom prst="rect">
                      <a:avLst/>
                    </a:prstGeom>
                  </pic:spPr>
                </pic:pic>
              </a:graphicData>
            </a:graphic>
          </wp:anchor>
        </w:drawing>
      </w:r>
      <w:r>
        <w:rPr>
          <w:i/>
          <w:w w:val="115"/>
          <w:sz w:val="20"/>
        </w:rPr>
        <w:t>Fresh</w:t>
      </w:r>
      <w:r>
        <w:rPr>
          <w:i/>
          <w:spacing w:val="-19"/>
          <w:w w:val="115"/>
          <w:sz w:val="20"/>
        </w:rPr>
        <w:t> </w:t>
      </w:r>
      <w:r>
        <w:rPr>
          <w:i/>
          <w:w w:val="115"/>
          <w:sz w:val="20"/>
        </w:rPr>
        <w:t>Expressions</w:t>
      </w:r>
      <w:r>
        <w:rPr>
          <w:w w:val="115"/>
          <w:sz w:val="20"/>
        </w:rPr>
        <w:t>,</w:t>
      </w:r>
      <w:r>
        <w:rPr>
          <w:spacing w:val="-17"/>
          <w:w w:val="115"/>
          <w:sz w:val="20"/>
        </w:rPr>
        <w:t> </w:t>
      </w:r>
      <w:r>
        <w:rPr>
          <w:rFonts w:ascii="Arial Rounded MT Bold"/>
          <w:sz w:val="21"/>
        </w:rPr>
        <w:t>Vision4</w:t>
      </w:r>
      <w:r>
        <w:rPr>
          <w:rFonts w:ascii="Bradley Hand ITC"/>
          <w:color w:val="C20D19"/>
          <w:sz w:val="28"/>
        </w:rPr>
        <w:t>Life</w:t>
      </w:r>
      <w:r>
        <w:rPr>
          <w:rFonts w:ascii="Bradley Hand ITC"/>
          <w:color w:val="C20D19"/>
          <w:spacing w:val="-41"/>
          <w:sz w:val="28"/>
        </w:rPr>
        <w:t> </w:t>
      </w:r>
      <w:r>
        <w:rPr>
          <w:w w:val="115"/>
          <w:sz w:val="20"/>
        </w:rPr>
        <w:t>and</w:t>
      </w:r>
      <w:r>
        <w:rPr>
          <w:spacing w:val="-17"/>
          <w:w w:val="115"/>
          <w:sz w:val="20"/>
        </w:rPr>
        <w:t> </w:t>
      </w:r>
      <w:r>
        <w:rPr>
          <w:w w:val="115"/>
          <w:sz w:val="20"/>
        </w:rPr>
        <w:t>Rural</w:t>
      </w:r>
      <w:r>
        <w:rPr>
          <w:spacing w:val="-17"/>
          <w:w w:val="115"/>
          <w:sz w:val="20"/>
        </w:rPr>
        <w:t> </w:t>
      </w:r>
      <w:r>
        <w:rPr>
          <w:w w:val="115"/>
          <w:sz w:val="20"/>
        </w:rPr>
        <w:t>Mission</w:t>
      </w:r>
      <w:r>
        <w:rPr>
          <w:spacing w:val="-17"/>
          <w:w w:val="115"/>
          <w:sz w:val="20"/>
        </w:rPr>
        <w:t> </w:t>
      </w:r>
      <w:r>
        <w:rPr>
          <w:w w:val="115"/>
          <w:sz w:val="20"/>
        </w:rPr>
        <w:t>are</w:t>
      </w:r>
      <w:r>
        <w:rPr>
          <w:spacing w:val="-17"/>
          <w:w w:val="115"/>
          <w:sz w:val="20"/>
        </w:rPr>
        <w:t> </w:t>
      </w:r>
      <w:r>
        <w:rPr>
          <w:w w:val="115"/>
          <w:sz w:val="20"/>
        </w:rPr>
        <w:t>some</w:t>
      </w:r>
      <w:r>
        <w:rPr>
          <w:spacing w:val="-17"/>
          <w:w w:val="115"/>
          <w:sz w:val="20"/>
        </w:rPr>
        <w:t> </w:t>
      </w:r>
      <w:r>
        <w:rPr>
          <w:w w:val="115"/>
          <w:sz w:val="20"/>
        </w:rPr>
        <w:t>of</w:t>
      </w:r>
      <w:r>
        <w:rPr>
          <w:spacing w:val="-17"/>
          <w:w w:val="115"/>
          <w:sz w:val="20"/>
        </w:rPr>
        <w:t> </w:t>
      </w:r>
      <w:r>
        <w:rPr>
          <w:w w:val="115"/>
          <w:sz w:val="20"/>
        </w:rPr>
        <w:t>the</w:t>
      </w:r>
      <w:r>
        <w:rPr>
          <w:spacing w:val="-17"/>
          <w:w w:val="115"/>
          <w:sz w:val="20"/>
        </w:rPr>
        <w:t> </w:t>
      </w:r>
      <w:r>
        <w:rPr>
          <w:w w:val="115"/>
          <w:sz w:val="20"/>
        </w:rPr>
        <w:t>programmes through which the Mission Committee seeks to enable churches to become more confident to engage in</w:t>
      </w:r>
      <w:r>
        <w:rPr>
          <w:spacing w:val="25"/>
          <w:w w:val="115"/>
          <w:sz w:val="20"/>
        </w:rPr>
        <w:t> </w:t>
      </w:r>
      <w:r>
        <w:rPr>
          <w:w w:val="115"/>
          <w:sz w:val="20"/>
        </w:rPr>
        <w:t>evangelism.</w:t>
      </w:r>
    </w:p>
    <w:p>
      <w:pPr>
        <w:pStyle w:val="BodyText"/>
        <w:spacing w:before="1"/>
      </w:pPr>
    </w:p>
    <w:p>
      <w:pPr>
        <w:pStyle w:val="ListParagraph"/>
        <w:numPr>
          <w:ilvl w:val="2"/>
          <w:numId w:val="143"/>
        </w:numPr>
        <w:tabs>
          <w:tab w:pos="2665" w:val="left" w:leader="none"/>
        </w:tabs>
        <w:spacing w:line="235" w:lineRule="auto" w:before="1" w:after="0"/>
        <w:ind w:left="1984" w:right="1297" w:firstLine="0"/>
        <w:jc w:val="left"/>
        <w:rPr>
          <w:sz w:val="20"/>
        </w:rPr>
      </w:pPr>
      <w:r>
        <w:rPr>
          <w:w w:val="120"/>
          <w:sz w:val="20"/>
        </w:rPr>
        <w:t>After several years of building trust and relationship with the community of Sawston in Cambridgeshire, the church went into partnership with Opportunities Without Limits </w:t>
      </w:r>
      <w:r>
        <w:rPr>
          <w:spacing w:val="-4"/>
          <w:w w:val="120"/>
          <w:sz w:val="20"/>
        </w:rPr>
        <w:t>(OWL) </w:t>
      </w:r>
      <w:r>
        <w:rPr>
          <w:w w:val="120"/>
          <w:sz w:val="20"/>
        </w:rPr>
        <w:t>helping people with learning difficulties have  full  and  loving lives. Coming out of this was the upgrading of the buildings to make them user-friendly along with new additions, including a café that was fronted up by OWL members and supported by church volunteers and a paid manager. This led to around </w:t>
      </w:r>
      <w:r>
        <w:rPr>
          <w:spacing w:val="2"/>
          <w:w w:val="120"/>
          <w:sz w:val="20"/>
        </w:rPr>
        <w:t>800 </w:t>
      </w:r>
      <w:r>
        <w:rPr>
          <w:w w:val="120"/>
          <w:sz w:val="20"/>
        </w:rPr>
        <w:t>people a week coming into the buildings for church run activities that included youth work with over 100 youngsters. The concern was that the church was not reaching the café</w:t>
      </w:r>
      <w:r>
        <w:rPr>
          <w:spacing w:val="40"/>
          <w:w w:val="120"/>
          <w:sz w:val="20"/>
        </w:rPr>
        <w:t> </w:t>
      </w:r>
      <w:r>
        <w:rPr>
          <w:w w:val="120"/>
          <w:sz w:val="20"/>
        </w:rPr>
        <w:t>users</w:t>
      </w:r>
    </w:p>
    <w:p>
      <w:pPr>
        <w:pStyle w:val="BodyText"/>
        <w:spacing w:before="1"/>
        <w:ind w:left="1984"/>
      </w:pPr>
      <w:r>
        <w:rPr>
          <w:w w:val="120"/>
        </w:rPr>
        <w:t>and parents of the youth work. The ministers at the time, Peter and Catherine Ball, told us:</w:t>
      </w:r>
    </w:p>
    <w:p>
      <w:pPr>
        <w:spacing w:after="0"/>
        <w:sectPr>
          <w:headerReference w:type="default" r:id="rId407"/>
          <w:headerReference w:type="even" r:id="rId408"/>
          <w:footerReference w:type="default" r:id="rId409"/>
          <w:pgSz w:w="11910" w:h="16840"/>
          <w:pgMar w:header="0" w:footer="647" w:top="1060" w:bottom="840" w:left="0" w:right="0"/>
        </w:sectPr>
      </w:pPr>
    </w:p>
    <w:p>
      <w:pPr>
        <w:spacing w:line="235" w:lineRule="auto" w:before="107"/>
        <w:ind w:left="1814" w:right="2078" w:firstLine="0"/>
        <w:jc w:val="left"/>
        <w:rPr>
          <w:i/>
          <w:sz w:val="20"/>
        </w:rPr>
      </w:pPr>
      <w:r>
        <w:rPr/>
        <w:pict>
          <v:shape style="position:absolute;margin-left:39.685001pt;margin-top:799.537903pt;width:321.8pt;height:15.15pt;mso-position-horizontal-relative:page;mso-position-vertical-relative:page;z-index:-267261952" type="#_x0000_t202" filled="false" stroked="false">
            <v:textbox inset="0,0,0,0">
              <w:txbxContent>
                <w:p>
                  <w:pPr>
                    <w:tabs>
                      <w:tab w:pos="736" w:val="left" w:leader="none"/>
                    </w:tabs>
                    <w:spacing w:line="302" w:lineRule="exact" w:before="0"/>
                    <w:ind w:left="0" w:right="0" w:firstLine="0"/>
                    <w:jc w:val="left"/>
                    <w:rPr>
                      <w:sz w:val="23"/>
                    </w:rPr>
                  </w:pPr>
                  <w:r>
                    <w:rPr>
                      <w:rFonts w:ascii="Stone Sans II ITC Std X Bd" w:hAnsi="Stone Sans II ITC Std X Bd"/>
                      <w:b/>
                      <w:w w:val="110"/>
                      <w:sz w:val="24"/>
                    </w:rPr>
                    <w:t>162</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38"/>
                      <w:w w:val="110"/>
                      <w:sz w:val="23"/>
                    </w:rPr>
                    <w:t> </w:t>
                  </w:r>
                  <w:r>
                    <w:rPr>
                      <w:color w:val="8BA8BD"/>
                      <w:spacing w:val="-68"/>
                      <w:w w:val="110"/>
                      <w:sz w:val="23"/>
                    </w:rPr>
                    <w:t>2010</w:t>
                  </w:r>
                </w:p>
              </w:txbxContent>
            </v:textbox>
            <w10:wrap type="none"/>
          </v:shape>
        </w:pict>
      </w:r>
      <w:r>
        <w:rPr/>
        <w:pict>
          <v:rect style="position:absolute;margin-left:12.047pt;margin-top:8.477343pt;width:22.677pt;height:22.677pt;mso-position-horizontal-relative:page;mso-position-vertical-relative:paragraph;z-index:252163072" filled="true" fillcolor="#dae4ec" stroked="false">
            <v:fill opacity="32768f" type="solid"/>
            <w10:wrap type="none"/>
          </v:rect>
        </w:pict>
      </w:r>
      <w:r>
        <w:rPr/>
        <w:pict>
          <v:group style="position:absolute;margin-left:.0pt;margin-top:451.723419pt;width:595.3pt;height:390.2pt;mso-position-horizontal-relative:page;mso-position-vertical-relative:page;z-index:252164096" coordorigin="0,9034" coordsize="11906,7804">
            <v:shape style="position:absolute;left:0;top:9070;width:11906;height:7767" type="#_x0000_t75" stroked="false">
              <v:imagedata r:id="rId413" o:title=""/>
            </v:shape>
            <v:shape style="position:absolute;left:0;top:9034;width:1494;height:1295" coordorigin="0,9034" coordsize="1494,1295" path="m1493,9034l0,9034,0,10329,10,10273,25,10202,45,10131,67,10062,92,9995,121,9929,152,9865,187,9802,224,9741,264,9682,306,9626,351,9571,398,9518,448,9468,500,9420,554,9374,610,9331,669,9290,729,9252,791,9217,855,9184,920,9155,987,9129,1056,9105,1126,9085,1197,9068,1269,9054,1343,9044,1418,9038,1493,9034xe" filled="true" fillcolor="#ffffff" stroked="false">
              <v:path arrowok="t"/>
              <v:fill type="solid"/>
            </v:shape>
            <w10:wrap type="none"/>
          </v:group>
        </w:pict>
      </w:r>
      <w:r>
        <w:rPr>
          <w:i/>
          <w:w w:val="110"/>
          <w:sz w:val="20"/>
        </w:rPr>
        <w:t>A church weekend away with outside leaders helped us to think about where we were    </w:t>
      </w:r>
      <w:r>
        <w:rPr>
          <w:i/>
          <w:w w:val="110"/>
          <w:sz w:val="20"/>
        </w:rPr>
        <w:t>as a church and how to strengthen already good community links and relationships/ friendships. After time together in prayer and Bible study it was clear that our usual Sunday</w:t>
      </w:r>
      <w:r>
        <w:rPr>
          <w:i/>
          <w:spacing w:val="16"/>
          <w:w w:val="110"/>
          <w:sz w:val="20"/>
        </w:rPr>
        <w:t> </w:t>
      </w:r>
      <w:r>
        <w:rPr>
          <w:i/>
          <w:w w:val="110"/>
          <w:sz w:val="20"/>
        </w:rPr>
        <w:t>worship</w:t>
      </w:r>
      <w:r>
        <w:rPr>
          <w:i/>
          <w:spacing w:val="17"/>
          <w:w w:val="110"/>
          <w:sz w:val="20"/>
        </w:rPr>
        <w:t> </w:t>
      </w:r>
      <w:r>
        <w:rPr>
          <w:i/>
          <w:w w:val="110"/>
          <w:sz w:val="20"/>
        </w:rPr>
        <w:t>and</w:t>
      </w:r>
      <w:r>
        <w:rPr>
          <w:i/>
          <w:spacing w:val="16"/>
          <w:w w:val="110"/>
          <w:sz w:val="20"/>
        </w:rPr>
        <w:t> </w:t>
      </w:r>
      <w:r>
        <w:rPr>
          <w:i/>
          <w:w w:val="110"/>
          <w:sz w:val="20"/>
        </w:rPr>
        <w:t>associated</w:t>
      </w:r>
      <w:r>
        <w:rPr>
          <w:i/>
          <w:spacing w:val="17"/>
          <w:w w:val="110"/>
          <w:sz w:val="20"/>
        </w:rPr>
        <w:t> </w:t>
      </w:r>
      <w:r>
        <w:rPr>
          <w:i/>
          <w:w w:val="110"/>
          <w:sz w:val="20"/>
        </w:rPr>
        <w:t>activities</w:t>
      </w:r>
      <w:r>
        <w:rPr>
          <w:i/>
          <w:spacing w:val="16"/>
          <w:w w:val="110"/>
          <w:sz w:val="20"/>
        </w:rPr>
        <w:t> </w:t>
      </w:r>
      <w:r>
        <w:rPr>
          <w:i/>
          <w:w w:val="110"/>
          <w:sz w:val="20"/>
        </w:rPr>
        <w:t>(though</w:t>
      </w:r>
      <w:r>
        <w:rPr>
          <w:i/>
          <w:spacing w:val="17"/>
          <w:w w:val="110"/>
          <w:sz w:val="20"/>
        </w:rPr>
        <w:t> </w:t>
      </w:r>
      <w:r>
        <w:rPr>
          <w:i/>
          <w:w w:val="110"/>
          <w:sz w:val="20"/>
        </w:rPr>
        <w:t>modern</w:t>
      </w:r>
      <w:r>
        <w:rPr>
          <w:i/>
          <w:spacing w:val="16"/>
          <w:w w:val="110"/>
          <w:sz w:val="20"/>
        </w:rPr>
        <w:t> </w:t>
      </w:r>
      <w:r>
        <w:rPr>
          <w:i/>
          <w:w w:val="110"/>
          <w:sz w:val="20"/>
        </w:rPr>
        <w:t>by</w:t>
      </w:r>
      <w:r>
        <w:rPr>
          <w:i/>
          <w:spacing w:val="17"/>
          <w:w w:val="110"/>
          <w:sz w:val="20"/>
        </w:rPr>
        <w:t> </w:t>
      </w:r>
      <w:r>
        <w:rPr>
          <w:i/>
          <w:w w:val="110"/>
          <w:sz w:val="20"/>
        </w:rPr>
        <w:t>some</w:t>
      </w:r>
      <w:r>
        <w:rPr>
          <w:i/>
          <w:spacing w:val="16"/>
          <w:w w:val="110"/>
          <w:sz w:val="20"/>
        </w:rPr>
        <w:t> </w:t>
      </w:r>
      <w:r>
        <w:rPr>
          <w:i/>
          <w:w w:val="110"/>
          <w:sz w:val="20"/>
        </w:rPr>
        <w:t>standards)</w:t>
      </w:r>
      <w:r>
        <w:rPr>
          <w:i/>
          <w:spacing w:val="17"/>
          <w:w w:val="110"/>
          <w:sz w:val="20"/>
        </w:rPr>
        <w:t> </w:t>
      </w:r>
      <w:r>
        <w:rPr>
          <w:i/>
          <w:w w:val="110"/>
          <w:sz w:val="20"/>
        </w:rPr>
        <w:t>would</w:t>
      </w:r>
      <w:r>
        <w:rPr>
          <w:i/>
          <w:spacing w:val="16"/>
          <w:w w:val="110"/>
          <w:sz w:val="20"/>
        </w:rPr>
        <w:t> </w:t>
      </w:r>
      <w:r>
        <w:rPr>
          <w:i/>
          <w:w w:val="110"/>
          <w:sz w:val="20"/>
        </w:rPr>
        <w:t>be</w:t>
      </w:r>
    </w:p>
    <w:p>
      <w:pPr>
        <w:spacing w:line="235" w:lineRule="auto" w:before="3"/>
        <w:ind w:left="1814" w:right="2199" w:firstLine="0"/>
        <w:jc w:val="left"/>
        <w:rPr>
          <w:i/>
          <w:sz w:val="20"/>
        </w:rPr>
      </w:pPr>
      <w:r>
        <w:rPr>
          <w:i/>
          <w:w w:val="110"/>
          <w:sz w:val="20"/>
        </w:rPr>
        <w:t>an uncomfortable and inaccessible place for many in our community. After the weekend, </w:t>
      </w:r>
      <w:r>
        <w:rPr>
          <w:i/>
          <w:w w:val="110"/>
          <w:sz w:val="20"/>
        </w:rPr>
        <w:t>we approached users of our café and parents of the young people asking them what    they would attend at the church and where they felt the church could play a bigger part   in community</w:t>
      </w:r>
      <w:r>
        <w:rPr>
          <w:i/>
          <w:spacing w:val="7"/>
          <w:w w:val="110"/>
          <w:sz w:val="20"/>
        </w:rPr>
        <w:t> </w:t>
      </w:r>
      <w:r>
        <w:rPr>
          <w:i/>
          <w:w w:val="110"/>
          <w:sz w:val="20"/>
        </w:rPr>
        <w:t>life.</w:t>
      </w:r>
    </w:p>
    <w:p>
      <w:pPr>
        <w:pStyle w:val="BodyText"/>
        <w:spacing w:before="11"/>
        <w:rPr>
          <w:i/>
          <w:sz w:val="19"/>
        </w:rPr>
      </w:pPr>
    </w:p>
    <w:p>
      <w:pPr>
        <w:spacing w:line="235" w:lineRule="auto" w:before="0"/>
        <w:ind w:left="1814" w:right="1997" w:firstLine="0"/>
        <w:jc w:val="left"/>
        <w:rPr>
          <w:i/>
          <w:sz w:val="20"/>
        </w:rPr>
      </w:pPr>
      <w:r>
        <w:rPr>
          <w:i/>
          <w:w w:val="115"/>
          <w:sz w:val="20"/>
        </w:rPr>
        <w:t>Out</w:t>
      </w:r>
      <w:r>
        <w:rPr>
          <w:i/>
          <w:spacing w:val="-19"/>
          <w:w w:val="115"/>
          <w:sz w:val="20"/>
        </w:rPr>
        <w:t> </w:t>
      </w:r>
      <w:r>
        <w:rPr>
          <w:i/>
          <w:w w:val="115"/>
          <w:sz w:val="20"/>
        </w:rPr>
        <w:t>of</w:t>
      </w:r>
      <w:r>
        <w:rPr>
          <w:i/>
          <w:spacing w:val="-19"/>
          <w:w w:val="115"/>
          <w:sz w:val="20"/>
        </w:rPr>
        <w:t> </w:t>
      </w:r>
      <w:r>
        <w:rPr>
          <w:i/>
          <w:w w:val="115"/>
          <w:sz w:val="20"/>
        </w:rPr>
        <w:t>the</w:t>
      </w:r>
      <w:r>
        <w:rPr>
          <w:i/>
          <w:spacing w:val="-19"/>
          <w:w w:val="115"/>
          <w:sz w:val="20"/>
        </w:rPr>
        <w:t> </w:t>
      </w:r>
      <w:r>
        <w:rPr>
          <w:i/>
          <w:w w:val="115"/>
          <w:sz w:val="20"/>
        </w:rPr>
        <w:t>responses</w:t>
      </w:r>
      <w:r>
        <w:rPr>
          <w:i/>
          <w:spacing w:val="-19"/>
          <w:w w:val="115"/>
          <w:sz w:val="20"/>
        </w:rPr>
        <w:t> </w:t>
      </w:r>
      <w:r>
        <w:rPr>
          <w:i/>
          <w:w w:val="115"/>
          <w:sz w:val="20"/>
        </w:rPr>
        <w:t>‘Wednesdays</w:t>
      </w:r>
      <w:r>
        <w:rPr>
          <w:i/>
          <w:spacing w:val="-19"/>
          <w:w w:val="115"/>
          <w:sz w:val="20"/>
        </w:rPr>
        <w:t> </w:t>
      </w:r>
      <w:r>
        <w:rPr>
          <w:i/>
          <w:w w:val="115"/>
          <w:sz w:val="20"/>
        </w:rPr>
        <w:t>at</w:t>
      </w:r>
      <w:r>
        <w:rPr>
          <w:i/>
          <w:spacing w:val="-18"/>
          <w:w w:val="115"/>
          <w:sz w:val="20"/>
        </w:rPr>
        <w:t> </w:t>
      </w:r>
      <w:r>
        <w:rPr>
          <w:i/>
          <w:w w:val="115"/>
          <w:sz w:val="20"/>
        </w:rPr>
        <w:t>the</w:t>
      </w:r>
      <w:r>
        <w:rPr>
          <w:i/>
          <w:spacing w:val="-19"/>
          <w:w w:val="115"/>
          <w:sz w:val="20"/>
        </w:rPr>
        <w:t> </w:t>
      </w:r>
      <w:r>
        <w:rPr>
          <w:i/>
          <w:w w:val="115"/>
          <w:sz w:val="20"/>
        </w:rPr>
        <w:t>Café’</w:t>
      </w:r>
      <w:r>
        <w:rPr>
          <w:i/>
          <w:spacing w:val="-19"/>
          <w:w w:val="115"/>
          <w:sz w:val="20"/>
        </w:rPr>
        <w:t> </w:t>
      </w:r>
      <w:r>
        <w:rPr>
          <w:i/>
          <w:w w:val="115"/>
          <w:sz w:val="20"/>
        </w:rPr>
        <w:t>was</w:t>
      </w:r>
      <w:r>
        <w:rPr>
          <w:i/>
          <w:spacing w:val="-19"/>
          <w:w w:val="115"/>
          <w:sz w:val="20"/>
        </w:rPr>
        <w:t> </w:t>
      </w:r>
      <w:r>
        <w:rPr>
          <w:i/>
          <w:w w:val="115"/>
          <w:sz w:val="20"/>
        </w:rPr>
        <w:t>developed.</w:t>
      </w:r>
      <w:r>
        <w:rPr>
          <w:i/>
          <w:spacing w:val="-19"/>
          <w:w w:val="115"/>
          <w:sz w:val="20"/>
        </w:rPr>
        <w:t> </w:t>
      </w:r>
      <w:r>
        <w:rPr>
          <w:i/>
          <w:w w:val="115"/>
          <w:sz w:val="20"/>
        </w:rPr>
        <w:t>The</w:t>
      </w:r>
      <w:r>
        <w:rPr>
          <w:i/>
          <w:spacing w:val="-18"/>
          <w:w w:val="115"/>
          <w:sz w:val="20"/>
        </w:rPr>
        <w:t> </w:t>
      </w:r>
      <w:r>
        <w:rPr>
          <w:i/>
          <w:w w:val="115"/>
          <w:sz w:val="20"/>
        </w:rPr>
        <w:t>evening</w:t>
      </w:r>
      <w:r>
        <w:rPr>
          <w:i/>
          <w:spacing w:val="-19"/>
          <w:w w:val="115"/>
          <w:sz w:val="20"/>
        </w:rPr>
        <w:t> </w:t>
      </w:r>
      <w:r>
        <w:rPr>
          <w:i/>
          <w:w w:val="115"/>
          <w:sz w:val="20"/>
        </w:rPr>
        <w:t>started</w:t>
      </w:r>
      <w:r>
        <w:rPr>
          <w:i/>
          <w:spacing w:val="-19"/>
          <w:w w:val="115"/>
          <w:sz w:val="20"/>
        </w:rPr>
        <w:t> </w:t>
      </w:r>
      <w:r>
        <w:rPr>
          <w:i/>
          <w:w w:val="115"/>
          <w:sz w:val="20"/>
        </w:rPr>
        <w:t>with </w:t>
      </w:r>
      <w:r>
        <w:rPr>
          <w:i/>
          <w:w w:val="115"/>
          <w:sz w:val="20"/>
        </w:rPr>
        <w:t>food</w:t>
      </w:r>
      <w:r>
        <w:rPr>
          <w:i/>
          <w:spacing w:val="-5"/>
          <w:w w:val="115"/>
          <w:sz w:val="20"/>
        </w:rPr>
        <w:t> </w:t>
      </w:r>
      <w:r>
        <w:rPr>
          <w:i/>
          <w:w w:val="115"/>
          <w:sz w:val="20"/>
        </w:rPr>
        <w:t>(home</w:t>
      </w:r>
      <w:r>
        <w:rPr>
          <w:i/>
          <w:spacing w:val="-5"/>
          <w:w w:val="115"/>
          <w:sz w:val="20"/>
        </w:rPr>
        <w:t> made), </w:t>
      </w:r>
      <w:r>
        <w:rPr>
          <w:i/>
          <w:w w:val="115"/>
          <w:sz w:val="20"/>
        </w:rPr>
        <w:t>and</w:t>
      </w:r>
      <w:r>
        <w:rPr>
          <w:i/>
          <w:spacing w:val="-5"/>
          <w:w w:val="115"/>
          <w:sz w:val="20"/>
        </w:rPr>
        <w:t> </w:t>
      </w:r>
      <w:r>
        <w:rPr>
          <w:i/>
          <w:w w:val="115"/>
          <w:sz w:val="20"/>
        </w:rPr>
        <w:t>was</w:t>
      </w:r>
      <w:r>
        <w:rPr>
          <w:i/>
          <w:spacing w:val="-5"/>
          <w:w w:val="115"/>
          <w:sz w:val="20"/>
        </w:rPr>
        <w:t> </w:t>
      </w:r>
      <w:r>
        <w:rPr>
          <w:i/>
          <w:w w:val="115"/>
          <w:sz w:val="20"/>
        </w:rPr>
        <w:t>table</w:t>
      </w:r>
      <w:r>
        <w:rPr>
          <w:i/>
          <w:spacing w:val="-5"/>
          <w:w w:val="115"/>
          <w:sz w:val="20"/>
        </w:rPr>
        <w:t> </w:t>
      </w:r>
      <w:r>
        <w:rPr>
          <w:i/>
          <w:w w:val="115"/>
          <w:sz w:val="20"/>
        </w:rPr>
        <w:t>based.</w:t>
      </w:r>
      <w:r>
        <w:rPr>
          <w:i/>
          <w:spacing w:val="-5"/>
          <w:w w:val="115"/>
          <w:sz w:val="20"/>
        </w:rPr>
        <w:t> </w:t>
      </w:r>
      <w:r>
        <w:rPr>
          <w:i/>
          <w:w w:val="115"/>
          <w:sz w:val="20"/>
        </w:rPr>
        <w:t>The</w:t>
      </w:r>
      <w:r>
        <w:rPr>
          <w:i/>
          <w:spacing w:val="-5"/>
          <w:w w:val="115"/>
          <w:sz w:val="20"/>
        </w:rPr>
        <w:t> </w:t>
      </w:r>
      <w:r>
        <w:rPr>
          <w:i/>
          <w:w w:val="115"/>
          <w:sz w:val="20"/>
        </w:rPr>
        <w:t>evening</w:t>
      </w:r>
      <w:r>
        <w:rPr>
          <w:i/>
          <w:spacing w:val="-4"/>
          <w:w w:val="115"/>
          <w:sz w:val="20"/>
        </w:rPr>
        <w:t> </w:t>
      </w:r>
      <w:r>
        <w:rPr>
          <w:i/>
          <w:w w:val="115"/>
          <w:sz w:val="20"/>
        </w:rPr>
        <w:t>then</w:t>
      </w:r>
      <w:r>
        <w:rPr>
          <w:i/>
          <w:spacing w:val="-5"/>
          <w:w w:val="115"/>
          <w:sz w:val="20"/>
        </w:rPr>
        <w:t> </w:t>
      </w:r>
      <w:r>
        <w:rPr>
          <w:i/>
          <w:w w:val="115"/>
          <w:sz w:val="20"/>
        </w:rPr>
        <w:t>had</w:t>
      </w:r>
      <w:r>
        <w:rPr>
          <w:i/>
          <w:spacing w:val="-5"/>
          <w:w w:val="115"/>
          <w:sz w:val="20"/>
        </w:rPr>
        <w:t> </w:t>
      </w:r>
      <w:r>
        <w:rPr>
          <w:i/>
          <w:w w:val="115"/>
          <w:sz w:val="20"/>
        </w:rPr>
        <w:t>one</w:t>
      </w:r>
      <w:r>
        <w:rPr>
          <w:i/>
          <w:spacing w:val="-5"/>
          <w:w w:val="115"/>
          <w:sz w:val="20"/>
        </w:rPr>
        <w:t> </w:t>
      </w:r>
      <w:r>
        <w:rPr>
          <w:i/>
          <w:w w:val="115"/>
          <w:sz w:val="20"/>
        </w:rPr>
        <w:t>topic</w:t>
      </w:r>
      <w:r>
        <w:rPr>
          <w:i/>
          <w:spacing w:val="-5"/>
          <w:w w:val="115"/>
          <w:sz w:val="20"/>
        </w:rPr>
        <w:t> </w:t>
      </w:r>
      <w:r>
        <w:rPr>
          <w:i/>
          <w:w w:val="115"/>
          <w:sz w:val="20"/>
        </w:rPr>
        <w:t>such</w:t>
      </w:r>
      <w:r>
        <w:rPr>
          <w:i/>
          <w:spacing w:val="-5"/>
          <w:w w:val="115"/>
          <w:sz w:val="20"/>
        </w:rPr>
        <w:t> </w:t>
      </w:r>
      <w:r>
        <w:rPr>
          <w:i/>
          <w:w w:val="115"/>
          <w:sz w:val="20"/>
        </w:rPr>
        <w:t>as</w:t>
      </w:r>
      <w:r>
        <w:rPr>
          <w:i/>
          <w:spacing w:val="-5"/>
          <w:w w:val="115"/>
          <w:sz w:val="20"/>
        </w:rPr>
        <w:t> </w:t>
      </w:r>
      <w:r>
        <w:rPr>
          <w:i/>
          <w:w w:val="115"/>
          <w:sz w:val="20"/>
        </w:rPr>
        <w:t>debt, unemployment,</w:t>
      </w:r>
      <w:r>
        <w:rPr>
          <w:i/>
          <w:spacing w:val="-17"/>
          <w:w w:val="115"/>
          <w:sz w:val="20"/>
        </w:rPr>
        <w:t> </w:t>
      </w:r>
      <w:r>
        <w:rPr>
          <w:i/>
          <w:w w:val="115"/>
          <w:sz w:val="20"/>
        </w:rPr>
        <w:t>or</w:t>
      </w:r>
      <w:r>
        <w:rPr>
          <w:i/>
          <w:spacing w:val="-17"/>
          <w:w w:val="115"/>
          <w:sz w:val="20"/>
        </w:rPr>
        <w:t> </w:t>
      </w:r>
      <w:r>
        <w:rPr>
          <w:i/>
          <w:w w:val="115"/>
          <w:sz w:val="20"/>
        </w:rPr>
        <w:t>identity.</w:t>
      </w:r>
      <w:r>
        <w:rPr>
          <w:i/>
          <w:spacing w:val="-17"/>
          <w:w w:val="115"/>
          <w:sz w:val="20"/>
        </w:rPr>
        <w:t> </w:t>
      </w:r>
      <w:r>
        <w:rPr>
          <w:i/>
          <w:w w:val="115"/>
          <w:sz w:val="20"/>
        </w:rPr>
        <w:t>Each</w:t>
      </w:r>
      <w:r>
        <w:rPr>
          <w:i/>
          <w:spacing w:val="-17"/>
          <w:w w:val="115"/>
          <w:sz w:val="20"/>
        </w:rPr>
        <w:t> </w:t>
      </w:r>
      <w:r>
        <w:rPr>
          <w:i/>
          <w:w w:val="115"/>
          <w:sz w:val="20"/>
        </w:rPr>
        <w:t>evening</w:t>
      </w:r>
      <w:r>
        <w:rPr>
          <w:i/>
          <w:spacing w:val="-16"/>
          <w:w w:val="115"/>
          <w:sz w:val="20"/>
        </w:rPr>
        <w:t> </w:t>
      </w:r>
      <w:r>
        <w:rPr>
          <w:i/>
          <w:w w:val="115"/>
          <w:sz w:val="20"/>
        </w:rPr>
        <w:t>included</w:t>
      </w:r>
      <w:r>
        <w:rPr>
          <w:i/>
          <w:spacing w:val="-17"/>
          <w:w w:val="115"/>
          <w:sz w:val="20"/>
        </w:rPr>
        <w:t> </w:t>
      </w:r>
      <w:r>
        <w:rPr>
          <w:i/>
          <w:w w:val="115"/>
          <w:sz w:val="20"/>
        </w:rPr>
        <w:t>a</w:t>
      </w:r>
      <w:r>
        <w:rPr>
          <w:i/>
          <w:spacing w:val="-17"/>
          <w:w w:val="115"/>
          <w:sz w:val="20"/>
        </w:rPr>
        <w:t> </w:t>
      </w:r>
      <w:r>
        <w:rPr>
          <w:i/>
          <w:w w:val="115"/>
          <w:sz w:val="20"/>
        </w:rPr>
        <w:t>practical</w:t>
      </w:r>
      <w:r>
        <w:rPr>
          <w:i/>
          <w:spacing w:val="-17"/>
          <w:w w:val="115"/>
          <w:sz w:val="20"/>
        </w:rPr>
        <w:t> </w:t>
      </w:r>
      <w:r>
        <w:rPr>
          <w:i/>
          <w:w w:val="115"/>
          <w:sz w:val="20"/>
        </w:rPr>
        <w:t>activity,</w:t>
      </w:r>
      <w:r>
        <w:rPr>
          <w:i/>
          <w:spacing w:val="-16"/>
          <w:w w:val="115"/>
          <w:sz w:val="20"/>
        </w:rPr>
        <w:t> </w:t>
      </w:r>
      <w:r>
        <w:rPr>
          <w:i/>
          <w:w w:val="115"/>
          <w:sz w:val="20"/>
        </w:rPr>
        <w:t>a</w:t>
      </w:r>
      <w:r>
        <w:rPr>
          <w:i/>
          <w:spacing w:val="-17"/>
          <w:w w:val="115"/>
          <w:sz w:val="20"/>
        </w:rPr>
        <w:t> </w:t>
      </w:r>
      <w:r>
        <w:rPr>
          <w:i/>
          <w:w w:val="115"/>
          <w:sz w:val="20"/>
        </w:rPr>
        <w:t>knowledgeable </w:t>
      </w:r>
      <w:r>
        <w:rPr>
          <w:i/>
          <w:spacing w:val="-3"/>
          <w:w w:val="115"/>
          <w:sz w:val="20"/>
        </w:rPr>
        <w:t>speaker, </w:t>
      </w:r>
      <w:r>
        <w:rPr>
          <w:i/>
          <w:w w:val="115"/>
          <w:sz w:val="20"/>
        </w:rPr>
        <w:t>table discussion and opportunity to share with the whole group, a chance to reflect</w:t>
      </w:r>
      <w:r>
        <w:rPr>
          <w:i/>
          <w:spacing w:val="-6"/>
          <w:w w:val="115"/>
          <w:sz w:val="20"/>
        </w:rPr>
        <w:t> </w:t>
      </w:r>
      <w:r>
        <w:rPr>
          <w:i/>
          <w:w w:val="115"/>
          <w:sz w:val="20"/>
        </w:rPr>
        <w:t>with</w:t>
      </w:r>
      <w:r>
        <w:rPr>
          <w:i/>
          <w:spacing w:val="-5"/>
          <w:w w:val="115"/>
          <w:sz w:val="20"/>
        </w:rPr>
        <w:t> </w:t>
      </w:r>
      <w:r>
        <w:rPr>
          <w:i/>
          <w:w w:val="115"/>
          <w:sz w:val="20"/>
        </w:rPr>
        <w:t>music</w:t>
      </w:r>
      <w:r>
        <w:rPr>
          <w:i/>
          <w:spacing w:val="-5"/>
          <w:w w:val="115"/>
          <w:sz w:val="20"/>
        </w:rPr>
        <w:t> </w:t>
      </w:r>
      <w:r>
        <w:rPr>
          <w:i/>
          <w:w w:val="115"/>
          <w:sz w:val="20"/>
        </w:rPr>
        <w:t>and</w:t>
      </w:r>
      <w:r>
        <w:rPr>
          <w:i/>
          <w:spacing w:val="-6"/>
          <w:w w:val="115"/>
          <w:sz w:val="20"/>
        </w:rPr>
        <w:t> </w:t>
      </w:r>
      <w:r>
        <w:rPr>
          <w:i/>
          <w:w w:val="115"/>
          <w:sz w:val="20"/>
        </w:rPr>
        <w:t>a</w:t>
      </w:r>
      <w:r>
        <w:rPr>
          <w:i/>
          <w:spacing w:val="-5"/>
          <w:w w:val="115"/>
          <w:sz w:val="20"/>
        </w:rPr>
        <w:t> </w:t>
      </w:r>
      <w:r>
        <w:rPr>
          <w:i/>
          <w:w w:val="115"/>
          <w:sz w:val="20"/>
        </w:rPr>
        <w:t>quiet</w:t>
      </w:r>
      <w:r>
        <w:rPr>
          <w:i/>
          <w:spacing w:val="-5"/>
          <w:w w:val="115"/>
          <w:sz w:val="20"/>
        </w:rPr>
        <w:t> </w:t>
      </w:r>
      <w:r>
        <w:rPr>
          <w:i/>
          <w:w w:val="115"/>
          <w:sz w:val="20"/>
        </w:rPr>
        <w:t>space,</w:t>
      </w:r>
      <w:r>
        <w:rPr>
          <w:i/>
          <w:spacing w:val="-6"/>
          <w:w w:val="115"/>
          <w:sz w:val="20"/>
        </w:rPr>
        <w:t> </w:t>
      </w:r>
      <w:r>
        <w:rPr>
          <w:i/>
          <w:w w:val="115"/>
          <w:sz w:val="20"/>
        </w:rPr>
        <w:t>and</w:t>
      </w:r>
      <w:r>
        <w:rPr>
          <w:i/>
          <w:spacing w:val="-5"/>
          <w:w w:val="115"/>
          <w:sz w:val="20"/>
        </w:rPr>
        <w:t> </w:t>
      </w:r>
      <w:r>
        <w:rPr>
          <w:i/>
          <w:w w:val="115"/>
          <w:sz w:val="20"/>
        </w:rPr>
        <w:t>a</w:t>
      </w:r>
      <w:r>
        <w:rPr>
          <w:i/>
          <w:spacing w:val="-5"/>
          <w:w w:val="115"/>
          <w:sz w:val="20"/>
        </w:rPr>
        <w:t> </w:t>
      </w:r>
      <w:r>
        <w:rPr>
          <w:i/>
          <w:w w:val="115"/>
          <w:sz w:val="20"/>
        </w:rPr>
        <w:t>Christian</w:t>
      </w:r>
      <w:r>
        <w:rPr>
          <w:i/>
          <w:spacing w:val="-6"/>
          <w:w w:val="115"/>
          <w:sz w:val="20"/>
        </w:rPr>
        <w:t> </w:t>
      </w:r>
      <w:r>
        <w:rPr>
          <w:i/>
          <w:w w:val="115"/>
          <w:sz w:val="20"/>
        </w:rPr>
        <w:t>view</w:t>
      </w:r>
      <w:r>
        <w:rPr>
          <w:i/>
          <w:spacing w:val="-5"/>
          <w:w w:val="115"/>
          <w:sz w:val="20"/>
        </w:rPr>
        <w:t> </w:t>
      </w:r>
      <w:r>
        <w:rPr>
          <w:i/>
          <w:w w:val="115"/>
          <w:sz w:val="20"/>
        </w:rPr>
        <w:t>or</w:t>
      </w:r>
      <w:r>
        <w:rPr>
          <w:i/>
          <w:spacing w:val="-5"/>
          <w:w w:val="115"/>
          <w:sz w:val="20"/>
        </w:rPr>
        <w:t> </w:t>
      </w:r>
      <w:r>
        <w:rPr>
          <w:i/>
          <w:w w:val="115"/>
          <w:sz w:val="20"/>
        </w:rPr>
        <w:t>views</w:t>
      </w:r>
      <w:r>
        <w:rPr>
          <w:i/>
          <w:spacing w:val="-6"/>
          <w:w w:val="115"/>
          <w:sz w:val="20"/>
        </w:rPr>
        <w:t> </w:t>
      </w:r>
      <w:r>
        <w:rPr>
          <w:i/>
          <w:w w:val="115"/>
          <w:sz w:val="20"/>
        </w:rPr>
        <w:t>on</w:t>
      </w:r>
      <w:r>
        <w:rPr>
          <w:i/>
          <w:spacing w:val="-5"/>
          <w:w w:val="115"/>
          <w:sz w:val="20"/>
        </w:rPr>
        <w:t> </w:t>
      </w:r>
      <w:r>
        <w:rPr>
          <w:i/>
          <w:w w:val="115"/>
          <w:sz w:val="20"/>
        </w:rPr>
        <w:t>the</w:t>
      </w:r>
      <w:r>
        <w:rPr>
          <w:i/>
          <w:spacing w:val="-5"/>
          <w:w w:val="115"/>
          <w:sz w:val="20"/>
        </w:rPr>
        <w:t> </w:t>
      </w:r>
      <w:r>
        <w:rPr>
          <w:i/>
          <w:w w:val="115"/>
          <w:sz w:val="20"/>
        </w:rPr>
        <w:t>issue.</w:t>
      </w:r>
    </w:p>
    <w:p>
      <w:pPr>
        <w:pStyle w:val="BodyText"/>
        <w:spacing w:before="11"/>
        <w:rPr>
          <w:i/>
          <w:sz w:val="19"/>
        </w:rPr>
      </w:pPr>
    </w:p>
    <w:p>
      <w:pPr>
        <w:pStyle w:val="ListParagraph"/>
        <w:numPr>
          <w:ilvl w:val="2"/>
          <w:numId w:val="143"/>
        </w:numPr>
        <w:tabs>
          <w:tab w:pos="1815" w:val="left" w:leader="none"/>
        </w:tabs>
        <w:spacing w:line="235" w:lineRule="auto" w:before="1" w:after="0"/>
        <w:ind w:left="1133" w:right="2020" w:firstLine="0"/>
        <w:jc w:val="left"/>
        <w:rPr>
          <w:sz w:val="20"/>
        </w:rPr>
      </w:pPr>
      <w:r>
        <w:rPr>
          <w:w w:val="120"/>
          <w:sz w:val="20"/>
        </w:rPr>
        <w:t>Like the church in Sawston many churches and synods within the United  Reformed Church are involved in establishing new forms of Church. This was one of the main reasons for the United Reformed Church accepting the invitation to join the second phase of </w:t>
      </w:r>
      <w:r>
        <w:rPr>
          <w:i/>
          <w:w w:val="120"/>
          <w:sz w:val="20"/>
        </w:rPr>
        <w:t>Fresh Expressions </w:t>
      </w:r>
      <w:r>
        <w:rPr>
          <w:w w:val="120"/>
          <w:sz w:val="20"/>
        </w:rPr>
        <w:t>in 2009, a joint Methodist and Anglican initiative to encourage new forms of Church for a fast changing world. A day for trainers and</w:t>
      </w:r>
      <w:r>
        <w:rPr>
          <w:spacing w:val="46"/>
          <w:w w:val="120"/>
          <w:sz w:val="20"/>
        </w:rPr>
        <w:t> </w:t>
      </w:r>
      <w:r>
        <w:rPr>
          <w:w w:val="120"/>
          <w:sz w:val="20"/>
        </w:rPr>
        <w:t>practitioners</w:t>
      </w:r>
    </w:p>
    <w:p>
      <w:pPr>
        <w:pStyle w:val="BodyText"/>
        <w:spacing w:line="235" w:lineRule="auto" w:before="3"/>
        <w:ind w:left="1133" w:right="2454"/>
        <w:jc w:val="both"/>
      </w:pPr>
      <w:r>
        <w:rPr>
          <w:w w:val="120"/>
        </w:rPr>
        <w:t>in the URC was held on 24 February 2010 which was an opportunity to share stories of where </w:t>
      </w:r>
      <w:r>
        <w:rPr>
          <w:i/>
          <w:w w:val="120"/>
        </w:rPr>
        <w:t>Fresh Expressions </w:t>
      </w:r>
      <w:r>
        <w:rPr>
          <w:w w:val="120"/>
        </w:rPr>
        <w:t>of Church are being formed, to explore the opportunities and the difficulties, to find out about training opportunities and to discuss how </w:t>
      </w:r>
      <w:r>
        <w:rPr>
          <w:i/>
          <w:w w:val="120"/>
        </w:rPr>
        <w:t>Fresh </w:t>
      </w:r>
      <w:r>
        <w:rPr>
          <w:i/>
          <w:w w:val="120"/>
        </w:rPr>
        <w:t>Expressions </w:t>
      </w:r>
      <w:r>
        <w:rPr>
          <w:w w:val="120"/>
        </w:rPr>
        <w:t>can support the mission and evangelism of the United Reformed Church.</w:t>
      </w:r>
    </w:p>
    <w:p>
      <w:pPr>
        <w:pStyle w:val="BodyText"/>
        <w:spacing w:line="235" w:lineRule="auto" w:before="3"/>
        <w:ind w:left="1133" w:right="1997"/>
      </w:pPr>
      <w:r>
        <w:rPr>
          <w:i/>
          <w:w w:val="120"/>
        </w:rPr>
        <w:t>Fresh Expressions </w:t>
      </w:r>
      <w:r>
        <w:rPr>
          <w:w w:val="120"/>
        </w:rPr>
        <w:t>will be further promoted through vision days and through the mission- shaped intro and mission-shaped ministry courses. The Mission Committee supports this work in partnership with the Education and Learning Committee.</w:t>
      </w:r>
    </w:p>
    <w:p>
      <w:pPr>
        <w:pStyle w:val="BodyText"/>
        <w:rPr>
          <w:sz w:val="24"/>
        </w:rPr>
      </w:pPr>
    </w:p>
    <w:p>
      <w:pPr>
        <w:pStyle w:val="BodyText"/>
        <w:rPr>
          <w:sz w:val="24"/>
        </w:rPr>
      </w:pPr>
    </w:p>
    <w:p>
      <w:pPr>
        <w:pStyle w:val="BodyText"/>
        <w:rPr>
          <w:sz w:val="24"/>
        </w:rPr>
      </w:pPr>
    </w:p>
    <w:p>
      <w:pPr>
        <w:pStyle w:val="BodyText"/>
        <w:spacing w:before="12"/>
        <w:rPr>
          <w:sz w:val="17"/>
        </w:rPr>
      </w:pPr>
    </w:p>
    <w:p>
      <w:pPr>
        <w:spacing w:before="0"/>
        <w:ind w:left="3456" w:right="0" w:firstLine="0"/>
        <w:jc w:val="left"/>
        <w:rPr>
          <w:sz w:val="18"/>
        </w:rPr>
      </w:pPr>
      <w:r>
        <w:rPr>
          <w:color w:val="8BA8BD"/>
          <w:w w:val="105"/>
          <w:sz w:val="18"/>
        </w:rPr>
        <w:t>Mapping </w:t>
      </w:r>
      <w:r>
        <w:rPr>
          <w:i/>
          <w:color w:val="8BA8BD"/>
          <w:w w:val="105"/>
          <w:sz w:val="18"/>
        </w:rPr>
        <w:t>fresh expressions </w:t>
      </w:r>
      <w:r>
        <w:rPr>
          <w:color w:val="8BA8BD"/>
          <w:w w:val="105"/>
          <w:sz w:val="18"/>
        </w:rPr>
        <w:t>of church at </w:t>
      </w:r>
      <w:r>
        <w:rPr>
          <w:i/>
          <w:color w:val="8BA8BD"/>
          <w:w w:val="105"/>
          <w:sz w:val="18"/>
        </w:rPr>
        <w:t>Fresh Expressions </w:t>
      </w:r>
      <w:r>
        <w:rPr>
          <w:color w:val="8BA8BD"/>
          <w:w w:val="105"/>
          <w:sz w:val="18"/>
        </w:rPr>
        <w:t>Day on 24 February 2010</w:t>
      </w:r>
    </w:p>
    <w:p>
      <w:pPr>
        <w:spacing w:after="0"/>
        <w:jc w:val="left"/>
        <w:rPr>
          <w:sz w:val="18"/>
        </w:rPr>
        <w:sectPr>
          <w:footerReference w:type="even" r:id="rId412"/>
          <w:pgSz w:w="11910" w:h="16840"/>
          <w:pgMar w:footer="0" w:header="0" w:top="1060" w:bottom="0" w:left="0" w:right="0"/>
        </w:sectPr>
      </w:pPr>
    </w:p>
    <w:p>
      <w:pPr>
        <w:pStyle w:val="ListParagraph"/>
        <w:numPr>
          <w:ilvl w:val="2"/>
          <w:numId w:val="143"/>
        </w:numPr>
        <w:tabs>
          <w:tab w:pos="2665" w:val="left" w:leader="none"/>
        </w:tabs>
        <w:spacing w:line="240" w:lineRule="auto" w:before="40" w:after="0"/>
        <w:ind w:left="2664" w:right="0" w:hanging="681"/>
        <w:jc w:val="both"/>
        <w:rPr>
          <w:sz w:val="20"/>
        </w:rPr>
      </w:pPr>
      <w:r>
        <w:rPr/>
        <w:pict>
          <v:rect style="position:absolute;margin-left:558.424988pt;margin-top:8.509983pt;width:22.677pt;height:22.677pt;mso-position-horizontal-relative:page;mso-position-vertical-relative:paragraph;z-index:252165120" filled="true" fillcolor="#dae4ec" stroked="false">
            <v:fill opacity="32768f" type="solid"/>
            <w10:wrap type="none"/>
          </v:rect>
        </w:pict>
      </w:r>
      <w:r>
        <w:rPr/>
        <w:drawing>
          <wp:anchor distT="0" distB="0" distL="0" distR="0" allowOverlap="1" layoutInCell="1" locked="0" behindDoc="1" simplePos="0" relativeHeight="236058624">
            <wp:simplePos x="0" y="0"/>
            <wp:positionH relativeFrom="page">
              <wp:posOffset>2608195</wp:posOffset>
            </wp:positionH>
            <wp:positionV relativeFrom="paragraph">
              <wp:posOffset>49045</wp:posOffset>
            </wp:positionV>
            <wp:extent cx="232857" cy="181203"/>
            <wp:effectExtent l="0" t="0" r="0" b="0"/>
            <wp:wrapNone/>
            <wp:docPr id="149" name="image183.png"/>
            <wp:cNvGraphicFramePr>
              <a:graphicFrameLocks noChangeAspect="1"/>
            </wp:cNvGraphicFramePr>
            <a:graphic>
              <a:graphicData uri="http://schemas.openxmlformats.org/drawingml/2006/picture">
                <pic:pic>
                  <pic:nvPicPr>
                    <pic:cNvPr id="150" name="image183.png"/>
                    <pic:cNvPicPr/>
                  </pic:nvPicPr>
                  <pic:blipFill>
                    <a:blip r:embed="rId418" cstate="print"/>
                    <a:stretch>
                      <a:fillRect/>
                    </a:stretch>
                  </pic:blipFill>
                  <pic:spPr>
                    <a:xfrm>
                      <a:off x="0" y="0"/>
                      <a:ext cx="232857" cy="181203"/>
                    </a:xfrm>
                    <a:prstGeom prst="rect">
                      <a:avLst/>
                    </a:prstGeom>
                  </pic:spPr>
                </pic:pic>
              </a:graphicData>
            </a:graphic>
          </wp:anchor>
        </w:drawing>
      </w:r>
      <w:r>
        <w:rPr>
          <w:w w:val="115"/>
          <w:sz w:val="20"/>
        </w:rPr>
        <w:t>Through </w:t>
      </w:r>
      <w:r>
        <w:rPr>
          <w:rFonts w:ascii="Arial Rounded MT Bold"/>
          <w:sz w:val="21"/>
        </w:rPr>
        <w:t>Vision4</w:t>
      </w:r>
      <w:r>
        <w:rPr>
          <w:rFonts w:ascii="Bradley Hand ITC"/>
          <w:color w:val="C20D19"/>
          <w:sz w:val="28"/>
        </w:rPr>
        <w:t>Life</w:t>
      </w:r>
      <w:r>
        <w:rPr>
          <w:sz w:val="20"/>
        </w:rPr>
        <w:t>, </w:t>
      </w:r>
      <w:r>
        <w:rPr>
          <w:w w:val="115"/>
          <w:sz w:val="20"/>
        </w:rPr>
        <w:t>churches are beginning to look ahead to the Evangelism</w:t>
      </w:r>
      <w:r>
        <w:rPr>
          <w:spacing w:val="4"/>
          <w:w w:val="115"/>
          <w:sz w:val="20"/>
        </w:rPr>
        <w:t> </w:t>
      </w:r>
      <w:r>
        <w:rPr>
          <w:w w:val="115"/>
          <w:sz w:val="20"/>
        </w:rPr>
        <w:t>Year:</w:t>
      </w:r>
    </w:p>
    <w:p>
      <w:pPr>
        <w:spacing w:line="235" w:lineRule="auto" w:before="181"/>
        <w:ind w:left="2664" w:right="1273" w:firstLine="0"/>
        <w:jc w:val="left"/>
        <w:rPr>
          <w:i/>
          <w:sz w:val="20"/>
        </w:rPr>
      </w:pPr>
      <w:r>
        <w:rPr>
          <w:i/>
          <w:w w:val="110"/>
          <w:sz w:val="20"/>
        </w:rPr>
        <w:t>A team of Christians from two congregations, Edgeley Community Church and The </w:t>
      </w:r>
      <w:r>
        <w:rPr>
          <w:i/>
          <w:w w:val="110"/>
          <w:sz w:val="20"/>
        </w:rPr>
        <w:t>Heatons United Reformed Church and Heaton Mersey Methodist Church distributed free coffee and hot cross buns to commuters using nearby Heaton Chapel railway station between 7am and 9am from Monday 29 March to Maundy Thursday on 1 April.</w:t>
      </w:r>
    </w:p>
    <w:p>
      <w:pPr>
        <w:pStyle w:val="BodyText"/>
        <w:spacing w:before="11"/>
        <w:rPr>
          <w:i/>
          <w:sz w:val="19"/>
        </w:rPr>
      </w:pPr>
    </w:p>
    <w:p>
      <w:pPr>
        <w:spacing w:line="235" w:lineRule="auto" w:before="0"/>
        <w:ind w:left="2664" w:right="1357" w:firstLine="0"/>
        <w:jc w:val="left"/>
        <w:rPr>
          <w:i/>
          <w:sz w:val="20"/>
        </w:rPr>
      </w:pPr>
      <w:r>
        <w:rPr>
          <w:i/>
          <w:w w:val="110"/>
          <w:sz w:val="20"/>
        </w:rPr>
        <w:t>Explaining why they’re investing their time and energy in this </w:t>
      </w:r>
      <w:r>
        <w:rPr>
          <w:i/>
          <w:spacing w:val="-5"/>
          <w:w w:val="110"/>
          <w:sz w:val="20"/>
        </w:rPr>
        <w:t>way, </w:t>
      </w:r>
      <w:r>
        <w:rPr>
          <w:i/>
          <w:w w:val="110"/>
          <w:sz w:val="20"/>
        </w:rPr>
        <w:t>the Revd Stuart </w:t>
      </w:r>
      <w:r>
        <w:rPr>
          <w:i/>
          <w:w w:val="110"/>
          <w:sz w:val="20"/>
        </w:rPr>
        <w:t>Radcliffe said: ‘We wanted to do something a bit different during Holy Week, to reach  out and share something of </w:t>
      </w:r>
      <w:r>
        <w:rPr>
          <w:i/>
          <w:spacing w:val="-3"/>
          <w:w w:val="110"/>
          <w:sz w:val="20"/>
        </w:rPr>
        <w:t>God’s </w:t>
      </w:r>
      <w:r>
        <w:rPr>
          <w:i/>
          <w:w w:val="110"/>
          <w:sz w:val="20"/>
        </w:rPr>
        <w:t>love to busy working people as they rush to work. He concluded, ‘It’s definitely worth doing. </w:t>
      </w:r>
      <w:r>
        <w:rPr>
          <w:i/>
          <w:spacing w:val="-6"/>
          <w:w w:val="110"/>
          <w:sz w:val="20"/>
        </w:rPr>
        <w:t>I’d </w:t>
      </w:r>
      <w:r>
        <w:rPr>
          <w:i/>
          <w:w w:val="110"/>
          <w:sz w:val="20"/>
        </w:rPr>
        <w:t>really recommend that other churches look for ways to surprise people in their community with the </w:t>
      </w:r>
      <w:r>
        <w:rPr>
          <w:i/>
          <w:spacing w:val="-4"/>
          <w:w w:val="110"/>
          <w:sz w:val="20"/>
        </w:rPr>
        <w:t>Gospel.’ </w:t>
      </w:r>
      <w:r>
        <w:rPr>
          <w:i/>
          <w:w w:val="110"/>
          <w:sz w:val="20"/>
        </w:rPr>
        <w:t>The event made a real and positive impact on people and was a real boost to morale and confidence for mission within the churches</w:t>
      </w:r>
      <w:r>
        <w:rPr>
          <w:i/>
          <w:spacing w:val="11"/>
          <w:w w:val="110"/>
          <w:sz w:val="20"/>
        </w:rPr>
        <w:t> </w:t>
      </w:r>
      <w:r>
        <w:rPr>
          <w:i/>
          <w:w w:val="110"/>
          <w:sz w:val="20"/>
        </w:rPr>
        <w:t>involved.</w:t>
      </w:r>
    </w:p>
    <w:p>
      <w:pPr>
        <w:pStyle w:val="BodyText"/>
        <w:spacing w:before="4"/>
        <w:rPr>
          <w:i/>
          <w:sz w:val="21"/>
        </w:rPr>
      </w:pPr>
    </w:p>
    <w:p>
      <w:pPr>
        <w:pStyle w:val="ListParagraph"/>
        <w:numPr>
          <w:ilvl w:val="2"/>
          <w:numId w:val="143"/>
        </w:numPr>
        <w:tabs>
          <w:tab w:pos="2665" w:val="left" w:leader="none"/>
        </w:tabs>
        <w:spacing w:line="216" w:lineRule="auto" w:before="0" w:after="0"/>
        <w:ind w:left="1984" w:right="1199" w:firstLine="0"/>
        <w:jc w:val="both"/>
        <w:rPr>
          <w:sz w:val="20"/>
        </w:rPr>
      </w:pPr>
      <w:r>
        <w:rPr/>
        <w:drawing>
          <wp:anchor distT="0" distB="0" distL="0" distR="0" allowOverlap="1" layoutInCell="1" locked="0" behindDoc="1" simplePos="0" relativeHeight="236059648">
            <wp:simplePos x="0" y="0"/>
            <wp:positionH relativeFrom="page">
              <wp:posOffset>2999559</wp:posOffset>
            </wp:positionH>
            <wp:positionV relativeFrom="paragraph">
              <wp:posOffset>286531</wp:posOffset>
            </wp:positionV>
            <wp:extent cx="232857" cy="181203"/>
            <wp:effectExtent l="0" t="0" r="0" b="0"/>
            <wp:wrapNone/>
            <wp:docPr id="151" name="image183.png"/>
            <wp:cNvGraphicFramePr>
              <a:graphicFrameLocks noChangeAspect="1"/>
            </wp:cNvGraphicFramePr>
            <a:graphic>
              <a:graphicData uri="http://schemas.openxmlformats.org/drawingml/2006/picture">
                <pic:pic>
                  <pic:nvPicPr>
                    <pic:cNvPr id="152" name="image183.png"/>
                    <pic:cNvPicPr/>
                  </pic:nvPicPr>
                  <pic:blipFill>
                    <a:blip r:embed="rId418" cstate="print"/>
                    <a:stretch>
                      <a:fillRect/>
                    </a:stretch>
                  </pic:blipFill>
                  <pic:spPr>
                    <a:xfrm>
                      <a:off x="0" y="0"/>
                      <a:ext cx="232857" cy="181203"/>
                    </a:xfrm>
                    <a:prstGeom prst="rect">
                      <a:avLst/>
                    </a:prstGeom>
                  </pic:spPr>
                </pic:pic>
              </a:graphicData>
            </a:graphic>
          </wp:anchor>
        </w:drawing>
      </w:r>
      <w:r>
        <w:rPr/>
        <w:drawing>
          <wp:anchor distT="0" distB="0" distL="0" distR="0" allowOverlap="1" layoutInCell="1" locked="0" behindDoc="1" simplePos="0" relativeHeight="236060672">
            <wp:simplePos x="0" y="0"/>
            <wp:positionH relativeFrom="page">
              <wp:posOffset>5686596</wp:posOffset>
            </wp:positionH>
            <wp:positionV relativeFrom="paragraph">
              <wp:posOffset>438931</wp:posOffset>
            </wp:positionV>
            <wp:extent cx="232858" cy="181203"/>
            <wp:effectExtent l="0" t="0" r="0" b="0"/>
            <wp:wrapNone/>
            <wp:docPr id="153" name="image184.png"/>
            <wp:cNvGraphicFramePr>
              <a:graphicFrameLocks noChangeAspect="1"/>
            </wp:cNvGraphicFramePr>
            <a:graphic>
              <a:graphicData uri="http://schemas.openxmlformats.org/drawingml/2006/picture">
                <pic:pic>
                  <pic:nvPicPr>
                    <pic:cNvPr id="154" name="image184.png"/>
                    <pic:cNvPicPr/>
                  </pic:nvPicPr>
                  <pic:blipFill>
                    <a:blip r:embed="rId419" cstate="print"/>
                    <a:stretch>
                      <a:fillRect/>
                    </a:stretch>
                  </pic:blipFill>
                  <pic:spPr>
                    <a:xfrm>
                      <a:off x="0" y="0"/>
                      <a:ext cx="232858" cy="181203"/>
                    </a:xfrm>
                    <a:prstGeom prst="rect">
                      <a:avLst/>
                    </a:prstGeom>
                  </pic:spPr>
                </pic:pic>
              </a:graphicData>
            </a:graphic>
          </wp:anchor>
        </w:drawing>
      </w:r>
      <w:r>
        <w:rPr>
          <w:w w:val="120"/>
          <w:sz w:val="20"/>
        </w:rPr>
        <w:t>For the minister a crucial step in deciding to do this bit of outreach was attending the</w:t>
      </w:r>
      <w:r>
        <w:rPr>
          <w:spacing w:val="-10"/>
          <w:w w:val="120"/>
          <w:sz w:val="20"/>
        </w:rPr>
        <w:t> </w:t>
      </w:r>
      <w:r>
        <w:rPr>
          <w:i/>
          <w:w w:val="120"/>
          <w:sz w:val="20"/>
        </w:rPr>
        <w:t>Thinking</w:t>
      </w:r>
      <w:r>
        <w:rPr>
          <w:i/>
          <w:spacing w:val="-11"/>
          <w:w w:val="120"/>
          <w:sz w:val="20"/>
        </w:rPr>
        <w:t> </w:t>
      </w:r>
      <w:r>
        <w:rPr>
          <w:i/>
          <w:w w:val="120"/>
          <w:sz w:val="20"/>
        </w:rPr>
        <w:t>Ahead</w:t>
      </w:r>
      <w:r>
        <w:rPr>
          <w:i/>
          <w:spacing w:val="-12"/>
          <w:w w:val="120"/>
          <w:sz w:val="20"/>
        </w:rPr>
        <w:t> </w:t>
      </w:r>
      <w:r>
        <w:rPr>
          <w:i/>
          <w:w w:val="120"/>
          <w:sz w:val="20"/>
        </w:rPr>
        <w:t>about</w:t>
      </w:r>
      <w:r>
        <w:rPr>
          <w:i/>
          <w:spacing w:val="-11"/>
          <w:w w:val="120"/>
          <w:sz w:val="20"/>
        </w:rPr>
        <w:t> </w:t>
      </w:r>
      <w:r>
        <w:rPr>
          <w:i/>
          <w:w w:val="120"/>
          <w:sz w:val="20"/>
        </w:rPr>
        <w:t>Easter</w:t>
      </w:r>
      <w:r>
        <w:rPr>
          <w:i/>
          <w:spacing w:val="-9"/>
          <w:w w:val="120"/>
          <w:sz w:val="20"/>
        </w:rPr>
        <w:t> </w:t>
      </w:r>
      <w:r>
        <w:rPr>
          <w:w w:val="120"/>
          <w:sz w:val="20"/>
        </w:rPr>
        <w:t>evening</w:t>
      </w:r>
      <w:r>
        <w:rPr>
          <w:spacing w:val="-10"/>
          <w:w w:val="120"/>
          <w:sz w:val="20"/>
        </w:rPr>
        <w:t> </w:t>
      </w:r>
      <w:r>
        <w:rPr>
          <w:w w:val="120"/>
          <w:sz w:val="20"/>
        </w:rPr>
        <w:t>held</w:t>
      </w:r>
      <w:r>
        <w:rPr>
          <w:spacing w:val="-9"/>
          <w:w w:val="120"/>
          <w:sz w:val="20"/>
        </w:rPr>
        <w:t> </w:t>
      </w:r>
      <w:r>
        <w:rPr>
          <w:w w:val="120"/>
          <w:sz w:val="20"/>
        </w:rPr>
        <w:t>in</w:t>
      </w:r>
      <w:r>
        <w:rPr>
          <w:spacing w:val="-9"/>
          <w:w w:val="120"/>
          <w:sz w:val="20"/>
        </w:rPr>
        <w:t> </w:t>
      </w:r>
      <w:r>
        <w:rPr>
          <w:w w:val="120"/>
          <w:sz w:val="20"/>
        </w:rPr>
        <w:t>Manchester</w:t>
      </w:r>
      <w:r>
        <w:rPr>
          <w:spacing w:val="-9"/>
          <w:w w:val="120"/>
          <w:sz w:val="20"/>
        </w:rPr>
        <w:t> </w:t>
      </w:r>
      <w:r>
        <w:rPr>
          <w:w w:val="120"/>
          <w:sz w:val="20"/>
        </w:rPr>
        <w:t>in</w:t>
      </w:r>
      <w:r>
        <w:rPr>
          <w:spacing w:val="-9"/>
          <w:w w:val="120"/>
          <w:sz w:val="20"/>
        </w:rPr>
        <w:t> </w:t>
      </w:r>
      <w:r>
        <w:rPr>
          <w:w w:val="120"/>
          <w:sz w:val="20"/>
        </w:rPr>
        <w:t>January</w:t>
      </w:r>
      <w:r>
        <w:rPr>
          <w:spacing w:val="-9"/>
          <w:w w:val="120"/>
          <w:sz w:val="20"/>
        </w:rPr>
        <w:t> </w:t>
      </w:r>
      <w:r>
        <w:rPr>
          <w:spacing w:val="-6"/>
          <w:w w:val="120"/>
          <w:sz w:val="20"/>
        </w:rPr>
        <w:t>2010</w:t>
      </w:r>
      <w:r>
        <w:rPr>
          <w:spacing w:val="-9"/>
          <w:w w:val="120"/>
          <w:sz w:val="20"/>
        </w:rPr>
        <w:t> </w:t>
      </w:r>
      <w:r>
        <w:rPr>
          <w:w w:val="120"/>
          <w:sz w:val="20"/>
        </w:rPr>
        <w:t>for</w:t>
      </w:r>
      <w:r>
        <w:rPr>
          <w:spacing w:val="-9"/>
          <w:w w:val="120"/>
          <w:sz w:val="20"/>
        </w:rPr>
        <w:t> </w:t>
      </w:r>
      <w:r>
        <w:rPr>
          <w:w w:val="120"/>
          <w:sz w:val="20"/>
        </w:rPr>
        <w:t>churches beginning</w:t>
      </w:r>
      <w:r>
        <w:rPr>
          <w:spacing w:val="-26"/>
          <w:w w:val="120"/>
          <w:sz w:val="20"/>
        </w:rPr>
        <w:t> </w:t>
      </w:r>
      <w:r>
        <w:rPr>
          <w:w w:val="120"/>
          <w:sz w:val="20"/>
        </w:rPr>
        <w:t>to</w:t>
      </w:r>
      <w:r>
        <w:rPr>
          <w:spacing w:val="-25"/>
          <w:w w:val="120"/>
          <w:sz w:val="20"/>
        </w:rPr>
        <w:t> </w:t>
      </w:r>
      <w:r>
        <w:rPr>
          <w:w w:val="120"/>
          <w:sz w:val="20"/>
        </w:rPr>
        <w:t>plan</w:t>
      </w:r>
      <w:r>
        <w:rPr>
          <w:spacing w:val="-25"/>
          <w:w w:val="120"/>
          <w:sz w:val="20"/>
        </w:rPr>
        <w:t> </w:t>
      </w:r>
      <w:r>
        <w:rPr>
          <w:w w:val="120"/>
          <w:sz w:val="20"/>
        </w:rPr>
        <w:t>the</w:t>
      </w:r>
      <w:r>
        <w:rPr>
          <w:spacing w:val="-25"/>
          <w:w w:val="120"/>
          <w:sz w:val="20"/>
        </w:rPr>
        <w:t> </w:t>
      </w:r>
      <w:r>
        <w:rPr>
          <w:rFonts w:ascii="Arial Rounded MT Bold"/>
          <w:sz w:val="21"/>
        </w:rPr>
        <w:t>Vision4</w:t>
      </w:r>
      <w:r>
        <w:rPr>
          <w:rFonts w:ascii="Bradley Hand ITC"/>
          <w:color w:val="C20D19"/>
          <w:sz w:val="28"/>
        </w:rPr>
        <w:t>Life</w:t>
      </w:r>
      <w:r>
        <w:rPr>
          <w:rFonts w:ascii="Bradley Hand ITC"/>
          <w:color w:val="C20D19"/>
          <w:spacing w:val="-47"/>
          <w:sz w:val="28"/>
        </w:rPr>
        <w:t> </w:t>
      </w:r>
      <w:r>
        <w:rPr>
          <w:w w:val="120"/>
          <w:sz w:val="20"/>
        </w:rPr>
        <w:t>Evangelism</w:t>
      </w:r>
      <w:r>
        <w:rPr>
          <w:spacing w:val="-25"/>
          <w:w w:val="120"/>
          <w:sz w:val="20"/>
        </w:rPr>
        <w:t> </w:t>
      </w:r>
      <w:r>
        <w:rPr>
          <w:spacing w:val="-6"/>
          <w:w w:val="120"/>
          <w:sz w:val="20"/>
        </w:rPr>
        <w:t>Year.</w:t>
      </w:r>
      <w:r>
        <w:rPr>
          <w:spacing w:val="-25"/>
          <w:w w:val="120"/>
          <w:sz w:val="20"/>
        </w:rPr>
        <w:t> </w:t>
      </w:r>
      <w:r>
        <w:rPr>
          <w:w w:val="120"/>
          <w:sz w:val="20"/>
        </w:rPr>
        <w:t>The</w:t>
      </w:r>
      <w:r>
        <w:rPr>
          <w:spacing w:val="-25"/>
          <w:w w:val="120"/>
          <w:sz w:val="20"/>
        </w:rPr>
        <w:t> </w:t>
      </w:r>
      <w:r>
        <w:rPr>
          <w:i/>
          <w:w w:val="120"/>
          <w:sz w:val="20"/>
        </w:rPr>
        <w:t>Thinking</w:t>
      </w:r>
      <w:r>
        <w:rPr>
          <w:i/>
          <w:spacing w:val="-27"/>
          <w:w w:val="120"/>
          <w:sz w:val="20"/>
        </w:rPr>
        <w:t> </w:t>
      </w:r>
      <w:r>
        <w:rPr>
          <w:i/>
          <w:w w:val="120"/>
          <w:sz w:val="20"/>
        </w:rPr>
        <w:t>Ahead</w:t>
      </w:r>
      <w:r>
        <w:rPr>
          <w:i/>
          <w:spacing w:val="-25"/>
          <w:w w:val="120"/>
          <w:sz w:val="20"/>
        </w:rPr>
        <w:t> </w:t>
      </w:r>
      <w:r>
        <w:rPr>
          <w:w w:val="120"/>
          <w:sz w:val="20"/>
        </w:rPr>
        <w:t>events</w:t>
      </w:r>
      <w:r>
        <w:rPr>
          <w:spacing w:val="-25"/>
          <w:w w:val="120"/>
          <w:sz w:val="20"/>
        </w:rPr>
        <w:t> </w:t>
      </w:r>
      <w:r>
        <w:rPr>
          <w:w w:val="120"/>
          <w:sz w:val="20"/>
        </w:rPr>
        <w:t>are</w:t>
      </w:r>
      <w:r>
        <w:rPr>
          <w:spacing w:val="-26"/>
          <w:w w:val="120"/>
          <w:sz w:val="20"/>
        </w:rPr>
        <w:t> </w:t>
      </w:r>
      <w:r>
        <w:rPr>
          <w:w w:val="120"/>
          <w:sz w:val="20"/>
        </w:rPr>
        <w:t>currently</w:t>
      </w:r>
    </w:p>
    <w:p>
      <w:pPr>
        <w:pStyle w:val="BodyText"/>
        <w:spacing w:line="219" w:lineRule="exact"/>
        <w:ind w:left="1984"/>
      </w:pPr>
      <w:r>
        <w:rPr>
          <w:w w:val="115"/>
        </w:rPr>
        <w:t>being trialled in the North Western Synod and will be part of the </w:t>
      </w:r>
      <w:r>
        <w:rPr>
          <w:rFonts w:ascii="Arial Rounded MT Bold"/>
          <w:sz w:val="21"/>
        </w:rPr>
        <w:t>Vision4</w:t>
      </w:r>
      <w:r>
        <w:rPr>
          <w:rFonts w:ascii="Bradley Hand ITC"/>
          <w:color w:val="C20D19"/>
          <w:sz w:val="28"/>
        </w:rPr>
        <w:t>Life </w:t>
      </w:r>
      <w:r>
        <w:rPr>
          <w:w w:val="115"/>
        </w:rPr>
        <w:t>Evangelism</w:t>
      </w:r>
    </w:p>
    <w:p>
      <w:pPr>
        <w:pStyle w:val="BodyText"/>
        <w:spacing w:line="213" w:lineRule="exact"/>
        <w:ind w:left="1984"/>
      </w:pPr>
      <w:r>
        <w:rPr>
          <w:w w:val="120"/>
        </w:rPr>
        <w:t>Year. Members of the Mission Team are involved in producing materials for the year.</w:t>
      </w:r>
    </w:p>
    <w:p>
      <w:pPr>
        <w:pStyle w:val="BodyText"/>
        <w:spacing w:before="8"/>
        <w:rPr>
          <w:sz w:val="19"/>
        </w:rPr>
      </w:pPr>
    </w:p>
    <w:p>
      <w:pPr>
        <w:pStyle w:val="ListParagraph"/>
        <w:numPr>
          <w:ilvl w:val="2"/>
          <w:numId w:val="143"/>
        </w:numPr>
        <w:tabs>
          <w:tab w:pos="2665" w:val="left" w:leader="none"/>
        </w:tabs>
        <w:spacing w:line="235" w:lineRule="auto" w:before="0" w:after="0"/>
        <w:ind w:left="1984" w:right="6240" w:firstLine="0"/>
        <w:jc w:val="left"/>
        <w:rPr>
          <w:sz w:val="20"/>
        </w:rPr>
      </w:pPr>
      <w:r>
        <w:rPr/>
        <w:pict>
          <v:group style="position:absolute;margin-left:296.929596pt;margin-top:3.69725pt;width:298.350pt;height:208.15pt;mso-position-horizontal-relative:page;mso-position-vertical-relative:paragraph;z-index:252169216" coordorigin="5939,74" coordsize="5967,4163">
            <v:shape style="position:absolute;left:5952;top:96;width:5953;height:4140" type="#_x0000_t75" stroked="false">
              <v:imagedata r:id="rId420" o:title=""/>
            </v:shape>
            <v:shape style="position:absolute;left:5938;top:73;width:1513;height:1540" coordorigin="5939,74" coordsize="1513,1540" path="m5939,1612l5939,1613,5939,1613,5939,1612xm7451,74l5939,74,5939,1611,5940,1535,5946,1460,5955,1386,5967,1313,5983,1241,6002,1171,6025,1102,6050,1034,6079,968,6110,904,6145,842,6182,781,6222,722,6264,665,6309,610,6356,558,6406,507,6458,459,6512,413,6568,370,6627,329,6687,292,6749,256,6813,224,6878,194,6945,168,7014,145,7084,124,7155,107,7227,94,7301,84,7376,77,7451,74xe" filled="true" fillcolor="#ffffff" stroked="false">
              <v:path arrowok="t"/>
              <v:fill type="solid"/>
            </v:shape>
            <w10:wrap type="none"/>
          </v:group>
        </w:pict>
      </w:r>
      <w:r>
        <w:rPr>
          <w:spacing w:val="2"/>
          <w:w w:val="120"/>
          <w:sz w:val="20"/>
        </w:rPr>
        <w:t>An </w:t>
      </w:r>
      <w:r>
        <w:rPr>
          <w:spacing w:val="3"/>
          <w:w w:val="120"/>
          <w:sz w:val="20"/>
        </w:rPr>
        <w:t>important </w:t>
      </w:r>
      <w:r>
        <w:rPr>
          <w:spacing w:val="2"/>
          <w:w w:val="120"/>
          <w:sz w:val="20"/>
        </w:rPr>
        <w:t>aspect </w:t>
      </w:r>
      <w:r>
        <w:rPr>
          <w:w w:val="120"/>
          <w:sz w:val="20"/>
        </w:rPr>
        <w:t>of the Rural Officer’s work is to  </w:t>
      </w:r>
      <w:r>
        <w:rPr>
          <w:spacing w:val="3"/>
          <w:w w:val="120"/>
          <w:sz w:val="20"/>
        </w:rPr>
        <w:t>support </w:t>
      </w:r>
      <w:r>
        <w:rPr>
          <w:w w:val="120"/>
          <w:sz w:val="20"/>
        </w:rPr>
        <w:t>and resource the </w:t>
      </w:r>
      <w:r>
        <w:rPr>
          <w:spacing w:val="2"/>
          <w:w w:val="120"/>
          <w:sz w:val="20"/>
        </w:rPr>
        <w:t>network </w:t>
      </w:r>
      <w:r>
        <w:rPr>
          <w:w w:val="120"/>
          <w:sz w:val="20"/>
        </w:rPr>
        <w:t>of Synod Rural </w:t>
      </w:r>
      <w:r>
        <w:rPr>
          <w:spacing w:val="2"/>
          <w:w w:val="120"/>
          <w:sz w:val="20"/>
        </w:rPr>
        <w:t>Officers </w:t>
      </w:r>
      <w:r>
        <w:rPr>
          <w:w w:val="120"/>
          <w:sz w:val="20"/>
        </w:rPr>
        <w:t>who </w:t>
      </w:r>
      <w:r>
        <w:rPr>
          <w:spacing w:val="3"/>
          <w:w w:val="120"/>
          <w:sz w:val="20"/>
        </w:rPr>
        <w:t>act </w:t>
      </w:r>
      <w:r>
        <w:rPr>
          <w:w w:val="120"/>
          <w:sz w:val="20"/>
        </w:rPr>
        <w:t>as ‘rural champions’ in their </w:t>
      </w:r>
      <w:r>
        <w:rPr>
          <w:spacing w:val="2"/>
          <w:w w:val="120"/>
          <w:sz w:val="20"/>
        </w:rPr>
        <w:t>respective </w:t>
      </w:r>
      <w:r>
        <w:rPr>
          <w:w w:val="120"/>
          <w:sz w:val="20"/>
        </w:rPr>
        <w:t>areas. A key challenge </w:t>
      </w:r>
      <w:r>
        <w:rPr>
          <w:spacing w:val="2"/>
          <w:w w:val="120"/>
          <w:sz w:val="20"/>
        </w:rPr>
        <w:t>facing </w:t>
      </w:r>
      <w:r>
        <w:rPr>
          <w:w w:val="120"/>
          <w:sz w:val="20"/>
        </w:rPr>
        <w:t>the </w:t>
      </w:r>
      <w:r>
        <w:rPr>
          <w:spacing w:val="3"/>
          <w:w w:val="120"/>
          <w:sz w:val="20"/>
        </w:rPr>
        <w:t>rural </w:t>
      </w:r>
      <w:r>
        <w:rPr>
          <w:w w:val="120"/>
          <w:sz w:val="20"/>
        </w:rPr>
        <w:t>church is how to make </w:t>
      </w:r>
      <w:r>
        <w:rPr>
          <w:spacing w:val="3"/>
          <w:w w:val="120"/>
          <w:sz w:val="20"/>
        </w:rPr>
        <w:t>best </w:t>
      </w:r>
      <w:r>
        <w:rPr>
          <w:w w:val="120"/>
          <w:sz w:val="20"/>
        </w:rPr>
        <w:t>and  most </w:t>
      </w:r>
      <w:r>
        <w:rPr>
          <w:spacing w:val="2"/>
          <w:w w:val="120"/>
          <w:sz w:val="20"/>
        </w:rPr>
        <w:t>effective </w:t>
      </w:r>
      <w:r>
        <w:rPr>
          <w:w w:val="120"/>
          <w:sz w:val="20"/>
        </w:rPr>
        <w:t>use of buildings and premises. </w:t>
      </w:r>
      <w:r>
        <w:rPr>
          <w:spacing w:val="2"/>
          <w:w w:val="120"/>
          <w:sz w:val="20"/>
        </w:rPr>
        <w:t>Are </w:t>
      </w:r>
      <w:r>
        <w:rPr>
          <w:w w:val="120"/>
          <w:sz w:val="20"/>
        </w:rPr>
        <w:t>they a mill-stone</w:t>
      </w:r>
      <w:r>
        <w:rPr>
          <w:spacing w:val="38"/>
          <w:w w:val="120"/>
          <w:sz w:val="20"/>
        </w:rPr>
        <w:t> </w:t>
      </w:r>
      <w:r>
        <w:rPr>
          <w:w w:val="120"/>
          <w:sz w:val="20"/>
        </w:rPr>
        <w:t>or</w:t>
      </w:r>
    </w:p>
    <w:p>
      <w:pPr>
        <w:pStyle w:val="BodyText"/>
        <w:spacing w:line="235" w:lineRule="auto" w:before="6"/>
        <w:ind w:left="1984" w:right="6372"/>
      </w:pPr>
      <w:r>
        <w:rPr>
          <w:w w:val="120"/>
        </w:rPr>
        <w:t>a stepping stone? We are keen to promote around the </w:t>
      </w:r>
      <w:r>
        <w:rPr>
          <w:spacing w:val="2"/>
          <w:w w:val="120"/>
        </w:rPr>
        <w:t>network </w:t>
      </w:r>
      <w:r>
        <w:rPr>
          <w:w w:val="120"/>
        </w:rPr>
        <w:t>the many creative and imaginative uses that </w:t>
      </w:r>
      <w:r>
        <w:rPr>
          <w:spacing w:val="3"/>
          <w:w w:val="120"/>
        </w:rPr>
        <w:t>rural </w:t>
      </w:r>
      <w:r>
        <w:rPr>
          <w:w w:val="120"/>
        </w:rPr>
        <w:t>church buildings are put to – </w:t>
      </w:r>
      <w:r>
        <w:rPr>
          <w:spacing w:val="2"/>
          <w:w w:val="120"/>
        </w:rPr>
        <w:t>from school </w:t>
      </w:r>
      <w:r>
        <w:rPr>
          <w:w w:val="120"/>
        </w:rPr>
        <w:t>gyms to </w:t>
      </w:r>
      <w:r>
        <w:rPr>
          <w:spacing w:val="2"/>
          <w:w w:val="120"/>
        </w:rPr>
        <w:t>farmers’ markets </w:t>
      </w:r>
      <w:r>
        <w:rPr>
          <w:w w:val="120"/>
        </w:rPr>
        <w:t>to </w:t>
      </w:r>
      <w:r>
        <w:rPr>
          <w:spacing w:val="2"/>
          <w:w w:val="120"/>
        </w:rPr>
        <w:t>post</w:t>
      </w:r>
      <w:r>
        <w:rPr>
          <w:spacing w:val="12"/>
          <w:w w:val="120"/>
        </w:rPr>
        <w:t> </w:t>
      </w:r>
      <w:r>
        <w:rPr>
          <w:w w:val="120"/>
        </w:rPr>
        <w:t>offices.</w:t>
      </w:r>
    </w:p>
    <w:p>
      <w:pPr>
        <w:pStyle w:val="BodyText"/>
        <w:rPr>
          <w:sz w:val="24"/>
        </w:rPr>
      </w:pPr>
    </w:p>
    <w:p>
      <w:pPr>
        <w:pStyle w:val="BodyText"/>
        <w:spacing w:before="8"/>
        <w:rPr>
          <w:sz w:val="18"/>
        </w:rPr>
      </w:pPr>
    </w:p>
    <w:p>
      <w:pPr>
        <w:spacing w:before="0"/>
        <w:ind w:left="3552" w:right="0" w:firstLine="0"/>
        <w:jc w:val="left"/>
        <w:rPr>
          <w:sz w:val="18"/>
        </w:rPr>
      </w:pPr>
      <w:r>
        <w:rPr>
          <w:color w:val="8BA8BD"/>
          <w:w w:val="110"/>
          <w:sz w:val="18"/>
        </w:rPr>
        <w:t>The cinema at Belford URC</w:t>
      </w:r>
    </w:p>
    <w:p>
      <w:pPr>
        <w:pStyle w:val="BodyText"/>
      </w:pPr>
    </w:p>
    <w:p>
      <w:pPr>
        <w:spacing w:line="235" w:lineRule="auto" w:before="1"/>
        <w:ind w:left="2664" w:right="1635" w:firstLine="0"/>
        <w:jc w:val="both"/>
        <w:rPr>
          <w:i/>
          <w:sz w:val="20"/>
        </w:rPr>
      </w:pPr>
      <w:r>
        <w:rPr>
          <w:i/>
          <w:w w:val="115"/>
          <w:sz w:val="20"/>
        </w:rPr>
        <w:t>One</w:t>
      </w:r>
      <w:r>
        <w:rPr>
          <w:i/>
          <w:spacing w:val="-14"/>
          <w:w w:val="115"/>
          <w:sz w:val="20"/>
        </w:rPr>
        <w:t> </w:t>
      </w:r>
      <w:r>
        <w:rPr>
          <w:i/>
          <w:w w:val="115"/>
          <w:sz w:val="20"/>
        </w:rPr>
        <w:t>of</w:t>
      </w:r>
      <w:r>
        <w:rPr>
          <w:i/>
          <w:spacing w:val="-14"/>
          <w:w w:val="115"/>
          <w:sz w:val="20"/>
        </w:rPr>
        <w:t> </w:t>
      </w:r>
      <w:r>
        <w:rPr>
          <w:i/>
          <w:w w:val="115"/>
          <w:sz w:val="20"/>
        </w:rPr>
        <w:t>the</w:t>
      </w:r>
      <w:r>
        <w:rPr>
          <w:i/>
          <w:spacing w:val="-14"/>
          <w:w w:val="115"/>
          <w:sz w:val="20"/>
        </w:rPr>
        <w:t> </w:t>
      </w:r>
      <w:r>
        <w:rPr>
          <w:i/>
          <w:w w:val="115"/>
          <w:sz w:val="20"/>
        </w:rPr>
        <w:t>most</w:t>
      </w:r>
      <w:r>
        <w:rPr>
          <w:i/>
          <w:spacing w:val="-14"/>
          <w:w w:val="115"/>
          <w:sz w:val="20"/>
        </w:rPr>
        <w:t> </w:t>
      </w:r>
      <w:r>
        <w:rPr>
          <w:i/>
          <w:w w:val="115"/>
          <w:sz w:val="20"/>
        </w:rPr>
        <w:t>creative</w:t>
      </w:r>
      <w:r>
        <w:rPr>
          <w:i/>
          <w:spacing w:val="-14"/>
          <w:w w:val="115"/>
          <w:sz w:val="20"/>
        </w:rPr>
        <w:t> </w:t>
      </w:r>
      <w:r>
        <w:rPr>
          <w:i/>
          <w:w w:val="115"/>
          <w:sz w:val="20"/>
        </w:rPr>
        <w:t>uses</w:t>
      </w:r>
      <w:r>
        <w:rPr>
          <w:i/>
          <w:spacing w:val="-14"/>
          <w:w w:val="115"/>
          <w:sz w:val="20"/>
        </w:rPr>
        <w:t> </w:t>
      </w:r>
      <w:r>
        <w:rPr>
          <w:i/>
          <w:w w:val="115"/>
          <w:sz w:val="20"/>
        </w:rPr>
        <w:t>has</w:t>
      </w:r>
      <w:r>
        <w:rPr>
          <w:i/>
          <w:spacing w:val="-14"/>
          <w:w w:val="115"/>
          <w:sz w:val="20"/>
        </w:rPr>
        <w:t> </w:t>
      </w:r>
      <w:r>
        <w:rPr>
          <w:i/>
          <w:w w:val="115"/>
          <w:sz w:val="20"/>
        </w:rPr>
        <w:t>been</w:t>
      </w:r>
      <w:r>
        <w:rPr>
          <w:i/>
          <w:spacing w:val="-14"/>
          <w:w w:val="115"/>
          <w:sz w:val="20"/>
        </w:rPr>
        <w:t> </w:t>
      </w:r>
      <w:r>
        <w:rPr>
          <w:i/>
          <w:w w:val="115"/>
          <w:sz w:val="20"/>
        </w:rPr>
        <w:t>developed</w:t>
      </w:r>
      <w:r>
        <w:rPr>
          <w:i/>
          <w:spacing w:val="-14"/>
          <w:w w:val="115"/>
          <w:sz w:val="20"/>
        </w:rPr>
        <w:t> </w:t>
      </w:r>
      <w:r>
        <w:rPr>
          <w:i/>
          <w:w w:val="115"/>
          <w:sz w:val="20"/>
        </w:rPr>
        <w:t>by</w:t>
      </w:r>
      <w:r>
        <w:rPr>
          <w:i/>
          <w:spacing w:val="-14"/>
          <w:w w:val="115"/>
          <w:sz w:val="20"/>
        </w:rPr>
        <w:t> </w:t>
      </w:r>
      <w:r>
        <w:rPr>
          <w:i/>
          <w:w w:val="115"/>
          <w:sz w:val="20"/>
        </w:rPr>
        <w:t>the</w:t>
      </w:r>
      <w:r>
        <w:rPr>
          <w:i/>
          <w:spacing w:val="-14"/>
          <w:w w:val="115"/>
          <w:sz w:val="20"/>
        </w:rPr>
        <w:t> </w:t>
      </w:r>
      <w:r>
        <w:rPr>
          <w:i/>
          <w:w w:val="115"/>
          <w:sz w:val="20"/>
        </w:rPr>
        <w:t>Revd</w:t>
      </w:r>
      <w:r>
        <w:rPr>
          <w:i/>
          <w:spacing w:val="-14"/>
          <w:w w:val="115"/>
          <w:sz w:val="20"/>
        </w:rPr>
        <w:t> </w:t>
      </w:r>
      <w:r>
        <w:rPr>
          <w:i/>
          <w:w w:val="115"/>
          <w:sz w:val="20"/>
        </w:rPr>
        <w:t>Dave</w:t>
      </w:r>
      <w:r>
        <w:rPr>
          <w:i/>
          <w:spacing w:val="-14"/>
          <w:w w:val="115"/>
          <w:sz w:val="20"/>
        </w:rPr>
        <w:t> </w:t>
      </w:r>
      <w:r>
        <w:rPr>
          <w:i/>
          <w:w w:val="115"/>
          <w:sz w:val="20"/>
        </w:rPr>
        <w:t>Herbert,</w:t>
      </w:r>
      <w:r>
        <w:rPr>
          <w:i/>
          <w:spacing w:val="-14"/>
          <w:w w:val="115"/>
          <w:sz w:val="20"/>
        </w:rPr>
        <w:t> </w:t>
      </w:r>
      <w:r>
        <w:rPr>
          <w:i/>
          <w:w w:val="115"/>
          <w:sz w:val="20"/>
        </w:rPr>
        <w:t>Synod </w:t>
      </w:r>
      <w:r>
        <w:rPr>
          <w:i/>
          <w:w w:val="115"/>
          <w:sz w:val="20"/>
        </w:rPr>
        <w:t>Rural</w:t>
      </w:r>
      <w:r>
        <w:rPr>
          <w:i/>
          <w:spacing w:val="-10"/>
          <w:w w:val="115"/>
          <w:sz w:val="20"/>
        </w:rPr>
        <w:t> </w:t>
      </w:r>
      <w:r>
        <w:rPr>
          <w:i/>
          <w:w w:val="115"/>
          <w:sz w:val="20"/>
        </w:rPr>
        <w:t>Officer</w:t>
      </w:r>
      <w:r>
        <w:rPr>
          <w:i/>
          <w:spacing w:val="-10"/>
          <w:w w:val="115"/>
          <w:sz w:val="20"/>
        </w:rPr>
        <w:t> </w:t>
      </w:r>
      <w:r>
        <w:rPr>
          <w:i/>
          <w:w w:val="115"/>
          <w:sz w:val="20"/>
        </w:rPr>
        <w:t>in</w:t>
      </w:r>
      <w:r>
        <w:rPr>
          <w:i/>
          <w:spacing w:val="-10"/>
          <w:w w:val="115"/>
          <w:sz w:val="20"/>
        </w:rPr>
        <w:t> </w:t>
      </w:r>
      <w:r>
        <w:rPr>
          <w:i/>
          <w:w w:val="115"/>
          <w:sz w:val="20"/>
        </w:rPr>
        <w:t>Northern</w:t>
      </w:r>
      <w:r>
        <w:rPr>
          <w:i/>
          <w:spacing w:val="-10"/>
          <w:w w:val="115"/>
          <w:sz w:val="20"/>
        </w:rPr>
        <w:t> </w:t>
      </w:r>
      <w:r>
        <w:rPr>
          <w:i/>
          <w:w w:val="115"/>
          <w:sz w:val="20"/>
        </w:rPr>
        <w:t>Synod.</w:t>
      </w:r>
      <w:r>
        <w:rPr>
          <w:i/>
          <w:spacing w:val="-9"/>
          <w:w w:val="115"/>
          <w:sz w:val="20"/>
        </w:rPr>
        <w:t> </w:t>
      </w:r>
      <w:r>
        <w:rPr>
          <w:i/>
          <w:w w:val="115"/>
          <w:sz w:val="20"/>
        </w:rPr>
        <w:t>The</w:t>
      </w:r>
      <w:r>
        <w:rPr>
          <w:i/>
          <w:spacing w:val="-10"/>
          <w:w w:val="115"/>
          <w:sz w:val="20"/>
        </w:rPr>
        <w:t> </w:t>
      </w:r>
      <w:r>
        <w:rPr>
          <w:i/>
          <w:w w:val="115"/>
          <w:sz w:val="20"/>
        </w:rPr>
        <w:t>URC</w:t>
      </w:r>
      <w:r>
        <w:rPr>
          <w:i/>
          <w:spacing w:val="-10"/>
          <w:w w:val="115"/>
          <w:sz w:val="20"/>
        </w:rPr>
        <w:t> </w:t>
      </w:r>
      <w:r>
        <w:rPr>
          <w:i/>
          <w:w w:val="115"/>
          <w:sz w:val="20"/>
        </w:rPr>
        <w:t>in</w:t>
      </w:r>
      <w:r>
        <w:rPr>
          <w:i/>
          <w:spacing w:val="-10"/>
          <w:w w:val="115"/>
          <w:sz w:val="20"/>
        </w:rPr>
        <w:t> </w:t>
      </w:r>
      <w:r>
        <w:rPr>
          <w:i/>
          <w:w w:val="115"/>
          <w:sz w:val="20"/>
        </w:rPr>
        <w:t>Belford,</w:t>
      </w:r>
      <w:r>
        <w:rPr>
          <w:i/>
          <w:spacing w:val="-9"/>
          <w:w w:val="115"/>
          <w:sz w:val="20"/>
        </w:rPr>
        <w:t> </w:t>
      </w:r>
      <w:r>
        <w:rPr>
          <w:i/>
          <w:w w:val="115"/>
          <w:sz w:val="20"/>
        </w:rPr>
        <w:t>Northumberland,</w:t>
      </w:r>
      <w:r>
        <w:rPr>
          <w:i/>
          <w:spacing w:val="-10"/>
          <w:w w:val="115"/>
          <w:sz w:val="20"/>
        </w:rPr>
        <w:t> </w:t>
      </w:r>
      <w:r>
        <w:rPr>
          <w:i/>
          <w:w w:val="115"/>
          <w:sz w:val="20"/>
        </w:rPr>
        <w:t>is</w:t>
      </w:r>
      <w:r>
        <w:rPr>
          <w:i/>
          <w:spacing w:val="-10"/>
          <w:w w:val="115"/>
          <w:sz w:val="20"/>
        </w:rPr>
        <w:t> </w:t>
      </w:r>
      <w:r>
        <w:rPr>
          <w:i/>
          <w:w w:val="115"/>
          <w:sz w:val="20"/>
        </w:rPr>
        <w:t>now</w:t>
      </w:r>
      <w:r>
        <w:rPr>
          <w:i/>
          <w:spacing w:val="-10"/>
          <w:w w:val="115"/>
          <w:sz w:val="20"/>
        </w:rPr>
        <w:t> </w:t>
      </w:r>
      <w:r>
        <w:rPr>
          <w:i/>
          <w:w w:val="115"/>
          <w:sz w:val="20"/>
        </w:rPr>
        <w:t>home to</w:t>
      </w:r>
      <w:r>
        <w:rPr>
          <w:i/>
          <w:spacing w:val="-12"/>
          <w:w w:val="115"/>
          <w:sz w:val="20"/>
        </w:rPr>
        <w:t> </w:t>
      </w:r>
      <w:r>
        <w:rPr>
          <w:i/>
          <w:w w:val="115"/>
          <w:sz w:val="20"/>
        </w:rPr>
        <w:t>a</w:t>
      </w:r>
      <w:r>
        <w:rPr>
          <w:i/>
          <w:spacing w:val="-12"/>
          <w:w w:val="115"/>
          <w:sz w:val="20"/>
        </w:rPr>
        <w:t> </w:t>
      </w:r>
      <w:r>
        <w:rPr>
          <w:i/>
          <w:w w:val="115"/>
          <w:sz w:val="20"/>
        </w:rPr>
        <w:t>cinema,</w:t>
      </w:r>
      <w:r>
        <w:rPr>
          <w:i/>
          <w:spacing w:val="-12"/>
          <w:w w:val="115"/>
          <w:sz w:val="20"/>
        </w:rPr>
        <w:t> </w:t>
      </w:r>
      <w:r>
        <w:rPr>
          <w:i/>
          <w:w w:val="115"/>
          <w:sz w:val="20"/>
        </w:rPr>
        <w:t>showing</w:t>
      </w:r>
      <w:r>
        <w:rPr>
          <w:i/>
          <w:spacing w:val="-11"/>
          <w:w w:val="115"/>
          <w:sz w:val="20"/>
        </w:rPr>
        <w:t> </w:t>
      </w:r>
      <w:r>
        <w:rPr>
          <w:i/>
          <w:w w:val="115"/>
          <w:sz w:val="20"/>
        </w:rPr>
        <w:t>films</w:t>
      </w:r>
      <w:r>
        <w:rPr>
          <w:i/>
          <w:spacing w:val="-12"/>
          <w:w w:val="115"/>
          <w:sz w:val="20"/>
        </w:rPr>
        <w:t> </w:t>
      </w:r>
      <w:r>
        <w:rPr>
          <w:i/>
          <w:w w:val="115"/>
          <w:sz w:val="20"/>
        </w:rPr>
        <w:t>on</w:t>
      </w:r>
      <w:r>
        <w:rPr>
          <w:i/>
          <w:spacing w:val="-12"/>
          <w:w w:val="115"/>
          <w:sz w:val="20"/>
        </w:rPr>
        <w:t> </w:t>
      </w:r>
      <w:r>
        <w:rPr>
          <w:i/>
          <w:w w:val="115"/>
          <w:sz w:val="20"/>
        </w:rPr>
        <w:t>a</w:t>
      </w:r>
      <w:r>
        <w:rPr>
          <w:i/>
          <w:spacing w:val="-12"/>
          <w:w w:val="115"/>
          <w:sz w:val="20"/>
        </w:rPr>
        <w:t> </w:t>
      </w:r>
      <w:r>
        <w:rPr>
          <w:i/>
          <w:w w:val="115"/>
          <w:sz w:val="20"/>
        </w:rPr>
        <w:t>monthly</w:t>
      </w:r>
      <w:r>
        <w:rPr>
          <w:i/>
          <w:spacing w:val="-11"/>
          <w:w w:val="115"/>
          <w:sz w:val="20"/>
        </w:rPr>
        <w:t> </w:t>
      </w:r>
      <w:r>
        <w:rPr>
          <w:i/>
          <w:w w:val="115"/>
          <w:sz w:val="20"/>
        </w:rPr>
        <w:t>basis</w:t>
      </w:r>
      <w:r>
        <w:rPr>
          <w:i/>
          <w:spacing w:val="-12"/>
          <w:w w:val="115"/>
          <w:sz w:val="20"/>
        </w:rPr>
        <w:t> </w:t>
      </w:r>
      <w:r>
        <w:rPr>
          <w:i/>
          <w:w w:val="115"/>
          <w:sz w:val="20"/>
        </w:rPr>
        <w:t>–</w:t>
      </w:r>
      <w:r>
        <w:rPr>
          <w:i/>
          <w:spacing w:val="-12"/>
          <w:w w:val="115"/>
          <w:sz w:val="20"/>
        </w:rPr>
        <w:t> </w:t>
      </w:r>
      <w:r>
        <w:rPr>
          <w:i/>
          <w:w w:val="115"/>
          <w:sz w:val="20"/>
        </w:rPr>
        <w:t>admission</w:t>
      </w:r>
      <w:r>
        <w:rPr>
          <w:i/>
          <w:spacing w:val="-12"/>
          <w:w w:val="115"/>
          <w:sz w:val="20"/>
        </w:rPr>
        <w:t> </w:t>
      </w:r>
      <w:r>
        <w:rPr>
          <w:i/>
          <w:w w:val="115"/>
          <w:sz w:val="20"/>
        </w:rPr>
        <w:t>free,</w:t>
      </w:r>
      <w:r>
        <w:rPr>
          <w:i/>
          <w:spacing w:val="-11"/>
          <w:w w:val="115"/>
          <w:sz w:val="20"/>
        </w:rPr>
        <w:t> </w:t>
      </w:r>
      <w:r>
        <w:rPr>
          <w:i/>
          <w:w w:val="115"/>
          <w:sz w:val="20"/>
        </w:rPr>
        <w:t>tuck</w:t>
      </w:r>
      <w:r>
        <w:rPr>
          <w:i/>
          <w:spacing w:val="-12"/>
          <w:w w:val="115"/>
          <w:sz w:val="20"/>
        </w:rPr>
        <w:t> </w:t>
      </w:r>
      <w:r>
        <w:rPr>
          <w:i/>
          <w:w w:val="115"/>
          <w:sz w:val="20"/>
        </w:rPr>
        <w:t>shop</w:t>
      </w:r>
      <w:r>
        <w:rPr>
          <w:i/>
          <w:spacing w:val="-12"/>
          <w:w w:val="115"/>
          <w:sz w:val="20"/>
        </w:rPr>
        <w:t> </w:t>
      </w:r>
      <w:r>
        <w:rPr>
          <w:i/>
          <w:w w:val="115"/>
          <w:sz w:val="20"/>
        </w:rPr>
        <w:t>provided</w:t>
      </w:r>
    </w:p>
    <w:p>
      <w:pPr>
        <w:spacing w:line="235" w:lineRule="auto" w:before="2"/>
        <w:ind w:left="2664" w:right="1120" w:firstLine="0"/>
        <w:jc w:val="left"/>
        <w:rPr>
          <w:i/>
          <w:sz w:val="20"/>
        </w:rPr>
      </w:pPr>
      <w:r>
        <w:rPr>
          <w:i/>
          <w:w w:val="110"/>
          <w:sz w:val="20"/>
        </w:rPr>
        <w:t>and donations welcomed. It operates under a PVSL licence, which allows recent movies </w:t>
      </w:r>
      <w:r>
        <w:rPr>
          <w:i/>
          <w:w w:val="110"/>
          <w:sz w:val="20"/>
        </w:rPr>
        <w:t>released on DVD to be shown, provided no admission charge is made and no general advertising is done.</w:t>
      </w:r>
    </w:p>
    <w:p>
      <w:pPr>
        <w:pStyle w:val="BodyText"/>
        <w:spacing w:before="10"/>
        <w:rPr>
          <w:i/>
          <w:sz w:val="19"/>
        </w:rPr>
      </w:pPr>
    </w:p>
    <w:p>
      <w:pPr>
        <w:spacing w:line="235" w:lineRule="auto" w:before="0"/>
        <w:ind w:left="2664" w:right="1372" w:firstLine="0"/>
        <w:jc w:val="left"/>
        <w:rPr>
          <w:i/>
          <w:sz w:val="20"/>
        </w:rPr>
      </w:pPr>
      <w:r>
        <w:rPr>
          <w:i/>
          <w:w w:val="110"/>
          <w:sz w:val="20"/>
        </w:rPr>
        <w:t>The necessary equipment cost about £6,000 and is not unduly daunting – a good DVD </w:t>
      </w:r>
      <w:r>
        <w:rPr>
          <w:i/>
          <w:spacing w:val="-3"/>
          <w:w w:val="110"/>
          <w:sz w:val="20"/>
        </w:rPr>
        <w:t>player, </w:t>
      </w:r>
      <w:r>
        <w:rPr>
          <w:i/>
          <w:w w:val="110"/>
          <w:sz w:val="20"/>
        </w:rPr>
        <w:t>a mixing desk for sound and a small projector of the kind you can run with a  laptop or a DVD </w:t>
      </w:r>
      <w:r>
        <w:rPr>
          <w:i/>
          <w:spacing w:val="-3"/>
          <w:w w:val="110"/>
          <w:sz w:val="20"/>
        </w:rPr>
        <w:t>player, </w:t>
      </w:r>
      <w:r>
        <w:rPr>
          <w:i/>
          <w:w w:val="110"/>
          <w:sz w:val="20"/>
        </w:rPr>
        <w:t>plus a good quality retractable screen. There is also now a    mobile unit which operates from Seahouses on the coast, and along with Belford, is now one of the outposts of the Berwick Film</w:t>
      </w:r>
      <w:r>
        <w:rPr>
          <w:i/>
          <w:spacing w:val="26"/>
          <w:w w:val="110"/>
          <w:sz w:val="20"/>
        </w:rPr>
        <w:t> </w:t>
      </w:r>
      <w:r>
        <w:rPr>
          <w:i/>
          <w:w w:val="110"/>
          <w:sz w:val="20"/>
        </w:rPr>
        <w:t>Festival.</w:t>
      </w:r>
    </w:p>
    <w:p>
      <w:pPr>
        <w:pStyle w:val="BodyText"/>
        <w:spacing w:before="11"/>
        <w:rPr>
          <w:i/>
          <w:sz w:val="19"/>
        </w:rPr>
      </w:pPr>
    </w:p>
    <w:p>
      <w:pPr>
        <w:spacing w:line="235" w:lineRule="auto" w:before="1"/>
        <w:ind w:left="2664" w:right="1273" w:firstLine="0"/>
        <w:jc w:val="left"/>
        <w:rPr>
          <w:i/>
          <w:sz w:val="20"/>
        </w:rPr>
      </w:pPr>
      <w:r>
        <w:rPr>
          <w:i/>
          <w:w w:val="110"/>
          <w:sz w:val="20"/>
        </w:rPr>
        <w:t>The community benefits are obvious but using films and  moving  images  and  simple </w:t>
      </w:r>
      <w:r>
        <w:rPr>
          <w:i/>
          <w:w w:val="110"/>
          <w:sz w:val="20"/>
        </w:rPr>
        <w:t>video technology has also helped the church. Video and PowerPoint can be used in  worship and there is a group of teenagers, some of whom would not be seen dead inside  a church, who are happy to meet for ‘The Matrix’ – to watch films and gently explore the theology behind the</w:t>
      </w:r>
      <w:r>
        <w:rPr>
          <w:i/>
          <w:spacing w:val="11"/>
          <w:w w:val="110"/>
          <w:sz w:val="20"/>
        </w:rPr>
        <w:t> </w:t>
      </w:r>
      <w:r>
        <w:rPr>
          <w:i/>
          <w:w w:val="110"/>
          <w:sz w:val="20"/>
        </w:rPr>
        <w:t>themes.</w:t>
      </w:r>
    </w:p>
    <w:p>
      <w:pPr>
        <w:spacing w:after="0" w:line="235" w:lineRule="auto"/>
        <w:jc w:val="left"/>
        <w:rPr>
          <w:sz w:val="20"/>
        </w:rPr>
        <w:sectPr>
          <w:headerReference w:type="default" r:id="rId414"/>
          <w:headerReference w:type="even" r:id="rId415"/>
          <w:footerReference w:type="default" r:id="rId416"/>
          <w:footerReference w:type="even" r:id="rId417"/>
          <w:pgSz w:w="11910" w:h="16840"/>
          <w:pgMar w:header="0" w:footer="647" w:top="1060" w:bottom="840" w:left="0" w:right="0"/>
          <w:pgNumType w:start="163"/>
        </w:sectPr>
      </w:pPr>
    </w:p>
    <w:p>
      <w:pPr>
        <w:pStyle w:val="ListParagraph"/>
        <w:numPr>
          <w:ilvl w:val="1"/>
          <w:numId w:val="143"/>
        </w:numPr>
        <w:tabs>
          <w:tab w:pos="1814" w:val="left" w:leader="none"/>
          <w:tab w:pos="1815" w:val="left" w:leader="none"/>
        </w:tabs>
        <w:spacing w:line="240" w:lineRule="auto" w:before="103" w:after="0"/>
        <w:ind w:left="1814" w:right="0" w:hanging="682"/>
        <w:jc w:val="left"/>
        <w:rPr>
          <w:sz w:val="20"/>
        </w:rPr>
      </w:pPr>
      <w:r>
        <w:rPr/>
        <w:pict>
          <v:rect style="position:absolute;margin-left:12.047pt;margin-top:8.467772pt;width:22.677pt;height:22.677pt;mso-position-horizontal-relative:page;mso-position-vertical-relative:paragraph;z-index:252170240" filled="true" fillcolor="#dae4ec" stroked="false">
            <v:fill opacity="32768f" type="solid"/>
            <w10:wrap type="none"/>
          </v:rect>
        </w:pict>
      </w:r>
      <w:r>
        <w:rPr>
          <w:w w:val="125"/>
          <w:sz w:val="20"/>
        </w:rPr>
        <w:t>Church</w:t>
      </w:r>
      <w:r>
        <w:rPr>
          <w:spacing w:val="-1"/>
          <w:w w:val="125"/>
          <w:sz w:val="20"/>
        </w:rPr>
        <w:t> </w:t>
      </w:r>
      <w:r>
        <w:rPr>
          <w:w w:val="125"/>
          <w:sz w:val="20"/>
        </w:rPr>
        <w:t>growth</w:t>
      </w:r>
    </w:p>
    <w:p>
      <w:pPr>
        <w:pStyle w:val="BodyText"/>
        <w:spacing w:before="8"/>
        <w:rPr>
          <w:sz w:val="19"/>
        </w:rPr>
      </w:pPr>
    </w:p>
    <w:p>
      <w:pPr>
        <w:pStyle w:val="ListParagraph"/>
        <w:numPr>
          <w:ilvl w:val="2"/>
          <w:numId w:val="143"/>
        </w:numPr>
        <w:tabs>
          <w:tab w:pos="1814" w:val="left" w:leader="none"/>
          <w:tab w:pos="1815" w:val="left" w:leader="none"/>
        </w:tabs>
        <w:spacing w:line="235" w:lineRule="auto" w:before="0" w:after="0"/>
        <w:ind w:left="1133" w:right="2008" w:firstLine="0"/>
        <w:jc w:val="left"/>
        <w:rPr>
          <w:sz w:val="20"/>
        </w:rPr>
      </w:pPr>
      <w:r>
        <w:rPr>
          <w:w w:val="120"/>
          <w:sz w:val="20"/>
        </w:rPr>
        <w:t>Enabling the Church to grow and increase its membership remains a challenge for all of us and will be a key focus of</w:t>
      </w:r>
      <w:r>
        <w:rPr>
          <w:spacing w:val="12"/>
          <w:w w:val="120"/>
          <w:sz w:val="20"/>
        </w:rPr>
        <w:t> </w:t>
      </w:r>
      <w:r>
        <w:rPr>
          <w:i/>
          <w:spacing w:val="-3"/>
          <w:w w:val="120"/>
          <w:sz w:val="20"/>
        </w:rPr>
        <w:t>vision2020</w:t>
      </w:r>
      <w:r>
        <w:rPr>
          <w:spacing w:val="-3"/>
          <w:w w:val="120"/>
          <w:sz w:val="20"/>
        </w:rPr>
        <w:t>.</w:t>
      </w:r>
    </w:p>
    <w:p>
      <w:pPr>
        <w:pStyle w:val="BodyText"/>
        <w:spacing w:before="9"/>
        <w:rPr>
          <w:sz w:val="19"/>
        </w:rPr>
      </w:pPr>
    </w:p>
    <w:p>
      <w:pPr>
        <w:pStyle w:val="ListParagraph"/>
        <w:numPr>
          <w:ilvl w:val="2"/>
          <w:numId w:val="143"/>
        </w:numPr>
        <w:tabs>
          <w:tab w:pos="1814" w:val="left" w:leader="none"/>
          <w:tab w:pos="1815" w:val="left" w:leader="none"/>
        </w:tabs>
        <w:spacing w:line="235" w:lineRule="auto" w:before="1" w:after="0"/>
        <w:ind w:left="1133" w:right="2247" w:firstLine="0"/>
        <w:jc w:val="left"/>
        <w:rPr>
          <w:sz w:val="20"/>
        </w:rPr>
      </w:pPr>
      <w:r>
        <w:rPr>
          <w:w w:val="120"/>
          <w:sz w:val="20"/>
        </w:rPr>
        <w:t>The Multicultural Congregational Story Award is one of the ways we are encouraging stories to be told about the growth in multicultural congregations. These stories reflect that </w:t>
      </w:r>
      <w:r>
        <w:rPr>
          <w:spacing w:val="-3"/>
          <w:w w:val="120"/>
          <w:sz w:val="20"/>
        </w:rPr>
        <w:t>‘growing’ </w:t>
      </w:r>
      <w:r>
        <w:rPr>
          <w:w w:val="120"/>
          <w:sz w:val="20"/>
        </w:rPr>
        <w:t>takes a variety of shapes and is often nurtured through   an intentionally missional focus that invests in embodying the good news in practice,   a ‘heart’ for the wider community, a welcoming and inclusive outlook, and long term investment in enabling the sharing of a wide cross-section of giftings from among church members. Small, medium or large; rural, urban or suburban congregations – these stories of commitment, welcome, and hospitality are</w:t>
      </w:r>
      <w:r>
        <w:rPr>
          <w:spacing w:val="23"/>
          <w:w w:val="120"/>
          <w:sz w:val="20"/>
        </w:rPr>
        <w:t> </w:t>
      </w:r>
      <w:r>
        <w:rPr>
          <w:w w:val="120"/>
          <w:sz w:val="20"/>
        </w:rPr>
        <w:t>encouraging.</w:t>
      </w:r>
    </w:p>
    <w:p>
      <w:pPr>
        <w:pStyle w:val="BodyText"/>
        <w:spacing w:before="1"/>
      </w:pPr>
    </w:p>
    <w:p>
      <w:pPr>
        <w:spacing w:line="235" w:lineRule="auto" w:before="0"/>
        <w:ind w:left="1814" w:right="2191" w:firstLine="0"/>
        <w:jc w:val="left"/>
        <w:rPr>
          <w:i/>
          <w:sz w:val="20"/>
        </w:rPr>
      </w:pPr>
      <w:r>
        <w:rPr>
          <w:i/>
          <w:w w:val="110"/>
          <w:sz w:val="20"/>
        </w:rPr>
        <w:t>A few years ago, Crossway United Reformed Church in South London was at a low ebb. </w:t>
      </w:r>
      <w:r>
        <w:rPr>
          <w:i/>
          <w:w w:val="110"/>
          <w:sz w:val="20"/>
        </w:rPr>
        <w:t>Having had a succession of interim ministers and faced with the prospect of its building being subject to a compulsory purchase order by the local authority as part of a major regeneration programme, attendance had declined to around </w:t>
      </w:r>
      <w:r>
        <w:rPr>
          <w:i/>
          <w:spacing w:val="-9"/>
          <w:w w:val="110"/>
          <w:sz w:val="20"/>
        </w:rPr>
        <w:t>15  </w:t>
      </w:r>
      <w:r>
        <w:rPr>
          <w:i/>
          <w:w w:val="110"/>
          <w:sz w:val="20"/>
        </w:rPr>
        <w:t>people each </w:t>
      </w:r>
      <w:r>
        <w:rPr>
          <w:i/>
          <w:spacing w:val="-3"/>
          <w:w w:val="110"/>
          <w:sz w:val="20"/>
        </w:rPr>
        <w:t>Sunday.  </w:t>
      </w:r>
      <w:r>
        <w:rPr>
          <w:i/>
          <w:w w:val="110"/>
          <w:sz w:val="20"/>
        </w:rPr>
        <w:t>The local community included several colleges and universities and the church identified university</w:t>
      </w:r>
      <w:r>
        <w:rPr>
          <w:i/>
          <w:spacing w:val="6"/>
          <w:w w:val="110"/>
          <w:sz w:val="20"/>
        </w:rPr>
        <w:t> </w:t>
      </w:r>
      <w:r>
        <w:rPr>
          <w:i/>
          <w:w w:val="110"/>
          <w:sz w:val="20"/>
        </w:rPr>
        <w:t>students</w:t>
      </w:r>
      <w:r>
        <w:rPr>
          <w:i/>
          <w:spacing w:val="7"/>
          <w:w w:val="110"/>
          <w:sz w:val="20"/>
        </w:rPr>
        <w:t> </w:t>
      </w:r>
      <w:r>
        <w:rPr>
          <w:i/>
          <w:w w:val="110"/>
          <w:sz w:val="20"/>
        </w:rPr>
        <w:t>as</w:t>
      </w:r>
      <w:r>
        <w:rPr>
          <w:i/>
          <w:spacing w:val="7"/>
          <w:w w:val="110"/>
          <w:sz w:val="20"/>
        </w:rPr>
        <w:t> </w:t>
      </w:r>
      <w:r>
        <w:rPr>
          <w:i/>
          <w:w w:val="110"/>
          <w:sz w:val="20"/>
        </w:rPr>
        <w:t>one</w:t>
      </w:r>
      <w:r>
        <w:rPr>
          <w:i/>
          <w:spacing w:val="7"/>
          <w:w w:val="110"/>
          <w:sz w:val="20"/>
        </w:rPr>
        <w:t> </w:t>
      </w:r>
      <w:r>
        <w:rPr>
          <w:i/>
          <w:w w:val="110"/>
          <w:sz w:val="20"/>
        </w:rPr>
        <w:t>part</w:t>
      </w:r>
      <w:r>
        <w:rPr>
          <w:i/>
          <w:spacing w:val="6"/>
          <w:w w:val="110"/>
          <w:sz w:val="20"/>
        </w:rPr>
        <w:t> </w:t>
      </w:r>
      <w:r>
        <w:rPr>
          <w:i/>
          <w:w w:val="110"/>
          <w:sz w:val="20"/>
        </w:rPr>
        <w:t>of</w:t>
      </w:r>
      <w:r>
        <w:rPr>
          <w:i/>
          <w:spacing w:val="7"/>
          <w:w w:val="110"/>
          <w:sz w:val="20"/>
        </w:rPr>
        <w:t> </w:t>
      </w:r>
      <w:r>
        <w:rPr>
          <w:i/>
          <w:w w:val="110"/>
          <w:sz w:val="20"/>
        </w:rPr>
        <w:t>the</w:t>
      </w:r>
      <w:r>
        <w:rPr>
          <w:i/>
          <w:spacing w:val="7"/>
          <w:w w:val="110"/>
          <w:sz w:val="20"/>
        </w:rPr>
        <w:t> </w:t>
      </w:r>
      <w:r>
        <w:rPr>
          <w:i/>
          <w:w w:val="110"/>
          <w:sz w:val="20"/>
        </w:rPr>
        <w:t>community</w:t>
      </w:r>
      <w:r>
        <w:rPr>
          <w:i/>
          <w:spacing w:val="7"/>
          <w:w w:val="110"/>
          <w:sz w:val="20"/>
        </w:rPr>
        <w:t> </w:t>
      </w:r>
      <w:r>
        <w:rPr>
          <w:i/>
          <w:w w:val="110"/>
          <w:sz w:val="20"/>
        </w:rPr>
        <w:t>it</w:t>
      </w:r>
      <w:r>
        <w:rPr>
          <w:i/>
          <w:spacing w:val="6"/>
          <w:w w:val="110"/>
          <w:sz w:val="20"/>
        </w:rPr>
        <w:t> </w:t>
      </w:r>
      <w:r>
        <w:rPr>
          <w:i/>
          <w:w w:val="110"/>
          <w:sz w:val="20"/>
        </w:rPr>
        <w:t>could</w:t>
      </w:r>
      <w:r>
        <w:rPr>
          <w:i/>
          <w:spacing w:val="7"/>
          <w:w w:val="110"/>
          <w:sz w:val="20"/>
        </w:rPr>
        <w:t> </w:t>
      </w:r>
      <w:r>
        <w:rPr>
          <w:i/>
          <w:w w:val="110"/>
          <w:sz w:val="20"/>
        </w:rPr>
        <w:t>do</w:t>
      </w:r>
      <w:r>
        <w:rPr>
          <w:i/>
          <w:spacing w:val="7"/>
          <w:w w:val="110"/>
          <w:sz w:val="20"/>
        </w:rPr>
        <w:t> </w:t>
      </w:r>
      <w:r>
        <w:rPr>
          <w:i/>
          <w:w w:val="110"/>
          <w:sz w:val="20"/>
        </w:rPr>
        <w:t>more</w:t>
      </w:r>
      <w:r>
        <w:rPr>
          <w:i/>
          <w:spacing w:val="7"/>
          <w:w w:val="110"/>
          <w:sz w:val="20"/>
        </w:rPr>
        <w:t> </w:t>
      </w:r>
      <w:r>
        <w:rPr>
          <w:i/>
          <w:w w:val="110"/>
          <w:sz w:val="20"/>
        </w:rPr>
        <w:t>to</w:t>
      </w:r>
      <w:r>
        <w:rPr>
          <w:i/>
          <w:spacing w:val="6"/>
          <w:w w:val="110"/>
          <w:sz w:val="20"/>
        </w:rPr>
        <w:t> </w:t>
      </w:r>
      <w:r>
        <w:rPr>
          <w:i/>
          <w:w w:val="110"/>
          <w:sz w:val="20"/>
        </w:rPr>
        <w:t>engage</w:t>
      </w:r>
      <w:r>
        <w:rPr>
          <w:i/>
          <w:spacing w:val="7"/>
          <w:w w:val="110"/>
          <w:sz w:val="20"/>
        </w:rPr>
        <w:t> </w:t>
      </w:r>
      <w:r>
        <w:rPr>
          <w:i/>
          <w:w w:val="110"/>
          <w:sz w:val="20"/>
        </w:rPr>
        <w:t>with.</w:t>
      </w:r>
    </w:p>
    <w:p>
      <w:pPr>
        <w:spacing w:line="235" w:lineRule="auto" w:before="4"/>
        <w:ind w:left="1814" w:right="1997" w:firstLine="0"/>
        <w:jc w:val="left"/>
        <w:rPr>
          <w:i/>
          <w:sz w:val="20"/>
        </w:rPr>
      </w:pPr>
      <w:r>
        <w:rPr>
          <w:i/>
          <w:w w:val="110"/>
          <w:sz w:val="20"/>
        </w:rPr>
        <w:t>Wanting to do more than just invite a few students to join the Sunday congregation, the </w:t>
      </w:r>
      <w:r>
        <w:rPr>
          <w:i/>
          <w:w w:val="110"/>
          <w:sz w:val="20"/>
        </w:rPr>
        <w:t>church decided to employ a team of students to increase its capacity to reach out to its local community. The church had a simple message: small church wanting to grow seeks students to help make this happen.</w:t>
      </w:r>
    </w:p>
    <w:p>
      <w:pPr>
        <w:pStyle w:val="BodyText"/>
        <w:spacing w:before="11"/>
        <w:rPr>
          <w:i/>
          <w:sz w:val="19"/>
        </w:rPr>
      </w:pPr>
    </w:p>
    <w:p>
      <w:pPr>
        <w:spacing w:line="235" w:lineRule="auto" w:before="0"/>
        <w:ind w:left="1814" w:right="1997" w:firstLine="0"/>
        <w:jc w:val="left"/>
        <w:rPr>
          <w:i/>
          <w:sz w:val="20"/>
        </w:rPr>
      </w:pPr>
      <w:r>
        <w:rPr>
          <w:i/>
          <w:spacing w:val="-2"/>
          <w:w w:val="115"/>
          <w:sz w:val="20"/>
        </w:rPr>
        <w:t>The </w:t>
      </w:r>
      <w:r>
        <w:rPr>
          <w:i/>
          <w:w w:val="115"/>
          <w:sz w:val="20"/>
        </w:rPr>
        <w:t>student </w:t>
      </w:r>
      <w:r>
        <w:rPr>
          <w:i/>
          <w:spacing w:val="-4"/>
          <w:w w:val="115"/>
          <w:sz w:val="20"/>
        </w:rPr>
        <w:t>team, combined </w:t>
      </w:r>
      <w:r>
        <w:rPr>
          <w:i/>
          <w:w w:val="115"/>
          <w:sz w:val="20"/>
        </w:rPr>
        <w:t>with the efforts of </w:t>
      </w:r>
      <w:r>
        <w:rPr>
          <w:i/>
          <w:spacing w:val="-3"/>
          <w:w w:val="115"/>
          <w:sz w:val="20"/>
        </w:rPr>
        <w:t>long-standing church members, </w:t>
      </w:r>
      <w:r>
        <w:rPr>
          <w:i/>
          <w:w w:val="115"/>
          <w:sz w:val="20"/>
        </w:rPr>
        <w:t>started </w:t>
      </w:r>
      <w:r>
        <w:rPr>
          <w:i/>
          <w:w w:val="115"/>
          <w:sz w:val="20"/>
        </w:rPr>
        <w:t>to</w:t>
      </w:r>
      <w:r>
        <w:rPr>
          <w:i/>
          <w:spacing w:val="-17"/>
          <w:w w:val="115"/>
          <w:sz w:val="20"/>
        </w:rPr>
        <w:t> </w:t>
      </w:r>
      <w:r>
        <w:rPr>
          <w:i/>
          <w:w w:val="115"/>
          <w:sz w:val="20"/>
        </w:rPr>
        <w:t>do</w:t>
      </w:r>
      <w:r>
        <w:rPr>
          <w:i/>
          <w:spacing w:val="-16"/>
          <w:w w:val="115"/>
          <w:sz w:val="20"/>
        </w:rPr>
        <w:t> </w:t>
      </w:r>
      <w:r>
        <w:rPr>
          <w:i/>
          <w:w w:val="115"/>
          <w:sz w:val="20"/>
        </w:rPr>
        <w:t>new</w:t>
      </w:r>
      <w:r>
        <w:rPr>
          <w:i/>
          <w:spacing w:val="-16"/>
          <w:w w:val="115"/>
          <w:sz w:val="20"/>
        </w:rPr>
        <w:t> </w:t>
      </w:r>
      <w:r>
        <w:rPr>
          <w:i/>
          <w:spacing w:val="-3"/>
          <w:w w:val="115"/>
          <w:sz w:val="20"/>
        </w:rPr>
        <w:t>things</w:t>
      </w:r>
      <w:r>
        <w:rPr>
          <w:i/>
          <w:spacing w:val="-16"/>
          <w:w w:val="115"/>
          <w:sz w:val="20"/>
        </w:rPr>
        <w:t> </w:t>
      </w:r>
      <w:r>
        <w:rPr>
          <w:i/>
          <w:w w:val="115"/>
          <w:sz w:val="20"/>
        </w:rPr>
        <w:t>–</w:t>
      </w:r>
      <w:r>
        <w:rPr>
          <w:i/>
          <w:spacing w:val="-16"/>
          <w:w w:val="115"/>
          <w:sz w:val="20"/>
        </w:rPr>
        <w:t> </w:t>
      </w:r>
      <w:r>
        <w:rPr>
          <w:i/>
          <w:spacing w:val="-3"/>
          <w:w w:val="115"/>
          <w:sz w:val="20"/>
        </w:rPr>
        <w:t>introducing</w:t>
      </w:r>
      <w:r>
        <w:rPr>
          <w:i/>
          <w:spacing w:val="-16"/>
          <w:w w:val="115"/>
          <w:sz w:val="20"/>
        </w:rPr>
        <w:t> </w:t>
      </w:r>
      <w:r>
        <w:rPr>
          <w:i/>
          <w:w w:val="115"/>
          <w:sz w:val="20"/>
        </w:rPr>
        <w:t>new</w:t>
      </w:r>
      <w:r>
        <w:rPr>
          <w:i/>
          <w:spacing w:val="-17"/>
          <w:w w:val="115"/>
          <w:sz w:val="20"/>
        </w:rPr>
        <w:t> </w:t>
      </w:r>
      <w:r>
        <w:rPr>
          <w:i/>
          <w:spacing w:val="-3"/>
          <w:w w:val="115"/>
          <w:sz w:val="20"/>
        </w:rPr>
        <w:t>music</w:t>
      </w:r>
      <w:r>
        <w:rPr>
          <w:i/>
          <w:spacing w:val="-16"/>
          <w:w w:val="115"/>
          <w:sz w:val="20"/>
        </w:rPr>
        <w:t> </w:t>
      </w:r>
      <w:r>
        <w:rPr>
          <w:i/>
          <w:w w:val="115"/>
          <w:sz w:val="20"/>
        </w:rPr>
        <w:t>in</w:t>
      </w:r>
      <w:r>
        <w:rPr>
          <w:i/>
          <w:spacing w:val="-16"/>
          <w:w w:val="115"/>
          <w:sz w:val="20"/>
        </w:rPr>
        <w:t> </w:t>
      </w:r>
      <w:r>
        <w:rPr>
          <w:i/>
          <w:spacing w:val="-3"/>
          <w:w w:val="115"/>
          <w:sz w:val="20"/>
        </w:rPr>
        <w:t>Sunday</w:t>
      </w:r>
      <w:r>
        <w:rPr>
          <w:i/>
          <w:spacing w:val="-16"/>
          <w:w w:val="115"/>
          <w:sz w:val="20"/>
        </w:rPr>
        <w:t> </w:t>
      </w:r>
      <w:r>
        <w:rPr>
          <w:i/>
          <w:spacing w:val="-4"/>
          <w:w w:val="115"/>
          <w:sz w:val="20"/>
        </w:rPr>
        <w:t>worship,</w:t>
      </w:r>
      <w:r>
        <w:rPr>
          <w:i/>
          <w:spacing w:val="-16"/>
          <w:w w:val="115"/>
          <w:sz w:val="20"/>
        </w:rPr>
        <w:t> </w:t>
      </w:r>
      <w:r>
        <w:rPr>
          <w:i/>
          <w:spacing w:val="-3"/>
          <w:w w:val="115"/>
          <w:sz w:val="20"/>
        </w:rPr>
        <w:t>organising</w:t>
      </w:r>
      <w:r>
        <w:rPr>
          <w:i/>
          <w:spacing w:val="-16"/>
          <w:w w:val="115"/>
          <w:sz w:val="20"/>
        </w:rPr>
        <w:t> </w:t>
      </w:r>
      <w:r>
        <w:rPr>
          <w:i/>
          <w:w w:val="115"/>
          <w:sz w:val="20"/>
        </w:rPr>
        <w:t>outreach</w:t>
      </w:r>
      <w:r>
        <w:rPr>
          <w:i/>
          <w:spacing w:val="-17"/>
          <w:w w:val="115"/>
          <w:sz w:val="20"/>
        </w:rPr>
        <w:t> </w:t>
      </w:r>
      <w:r>
        <w:rPr>
          <w:i/>
          <w:w w:val="115"/>
          <w:sz w:val="20"/>
        </w:rPr>
        <w:t>events, making</w:t>
      </w:r>
      <w:r>
        <w:rPr>
          <w:i/>
          <w:spacing w:val="-12"/>
          <w:w w:val="115"/>
          <w:sz w:val="20"/>
        </w:rPr>
        <w:t> </w:t>
      </w:r>
      <w:r>
        <w:rPr>
          <w:i/>
          <w:w w:val="115"/>
          <w:sz w:val="20"/>
        </w:rPr>
        <w:t>new</w:t>
      </w:r>
      <w:r>
        <w:rPr>
          <w:i/>
          <w:spacing w:val="-11"/>
          <w:w w:val="115"/>
          <w:sz w:val="20"/>
        </w:rPr>
        <w:t> </w:t>
      </w:r>
      <w:r>
        <w:rPr>
          <w:i/>
          <w:spacing w:val="-3"/>
          <w:w w:val="115"/>
          <w:sz w:val="20"/>
        </w:rPr>
        <w:t>connections</w:t>
      </w:r>
      <w:r>
        <w:rPr>
          <w:i/>
          <w:spacing w:val="-12"/>
          <w:w w:val="115"/>
          <w:sz w:val="20"/>
        </w:rPr>
        <w:t> </w:t>
      </w:r>
      <w:r>
        <w:rPr>
          <w:i/>
          <w:w w:val="115"/>
          <w:sz w:val="20"/>
        </w:rPr>
        <w:t>in</w:t>
      </w:r>
      <w:r>
        <w:rPr>
          <w:i/>
          <w:spacing w:val="-11"/>
          <w:w w:val="115"/>
          <w:sz w:val="20"/>
        </w:rPr>
        <w:t> </w:t>
      </w:r>
      <w:r>
        <w:rPr>
          <w:i/>
          <w:w w:val="115"/>
          <w:sz w:val="20"/>
        </w:rPr>
        <w:t>the</w:t>
      </w:r>
      <w:r>
        <w:rPr>
          <w:i/>
          <w:spacing w:val="-12"/>
          <w:w w:val="115"/>
          <w:sz w:val="20"/>
        </w:rPr>
        <w:t> </w:t>
      </w:r>
      <w:r>
        <w:rPr>
          <w:i/>
          <w:spacing w:val="-4"/>
          <w:w w:val="115"/>
          <w:sz w:val="20"/>
        </w:rPr>
        <w:t>community.</w:t>
      </w:r>
      <w:r>
        <w:rPr>
          <w:i/>
          <w:spacing w:val="-11"/>
          <w:w w:val="115"/>
          <w:sz w:val="20"/>
        </w:rPr>
        <w:t> </w:t>
      </w:r>
      <w:r>
        <w:rPr>
          <w:i/>
          <w:spacing w:val="-3"/>
          <w:w w:val="115"/>
          <w:sz w:val="20"/>
        </w:rPr>
        <w:t>From</w:t>
      </w:r>
      <w:r>
        <w:rPr>
          <w:i/>
          <w:spacing w:val="-11"/>
          <w:w w:val="115"/>
          <w:sz w:val="20"/>
        </w:rPr>
        <w:t> </w:t>
      </w:r>
      <w:r>
        <w:rPr>
          <w:i/>
          <w:spacing w:val="-3"/>
          <w:w w:val="115"/>
          <w:sz w:val="20"/>
        </w:rPr>
        <w:t>small</w:t>
      </w:r>
      <w:r>
        <w:rPr>
          <w:i/>
          <w:spacing w:val="-12"/>
          <w:w w:val="115"/>
          <w:sz w:val="20"/>
        </w:rPr>
        <w:t> </w:t>
      </w:r>
      <w:r>
        <w:rPr>
          <w:i/>
          <w:spacing w:val="-3"/>
          <w:w w:val="115"/>
          <w:sz w:val="20"/>
        </w:rPr>
        <w:t>beginnings</w:t>
      </w:r>
      <w:r>
        <w:rPr>
          <w:i/>
          <w:spacing w:val="-11"/>
          <w:w w:val="115"/>
          <w:sz w:val="20"/>
        </w:rPr>
        <w:t> </w:t>
      </w:r>
      <w:r>
        <w:rPr>
          <w:i/>
          <w:w w:val="115"/>
          <w:sz w:val="20"/>
        </w:rPr>
        <w:t>the</w:t>
      </w:r>
      <w:r>
        <w:rPr>
          <w:i/>
          <w:spacing w:val="-12"/>
          <w:w w:val="115"/>
          <w:sz w:val="20"/>
        </w:rPr>
        <w:t> </w:t>
      </w:r>
      <w:r>
        <w:rPr>
          <w:i/>
          <w:spacing w:val="-3"/>
          <w:w w:val="115"/>
          <w:sz w:val="20"/>
        </w:rPr>
        <w:t>church</w:t>
      </w:r>
      <w:r>
        <w:rPr>
          <w:i/>
          <w:spacing w:val="-11"/>
          <w:w w:val="115"/>
          <w:sz w:val="20"/>
        </w:rPr>
        <w:t> </w:t>
      </w:r>
      <w:r>
        <w:rPr>
          <w:i/>
          <w:w w:val="115"/>
          <w:sz w:val="20"/>
        </w:rPr>
        <w:t>started</w:t>
      </w:r>
    </w:p>
    <w:p>
      <w:pPr>
        <w:spacing w:line="235" w:lineRule="auto" w:before="3"/>
        <w:ind w:left="1814" w:right="2020" w:firstLine="0"/>
        <w:jc w:val="left"/>
        <w:rPr>
          <w:i/>
          <w:sz w:val="20"/>
        </w:rPr>
      </w:pPr>
      <w:r>
        <w:rPr>
          <w:i/>
          <w:w w:val="110"/>
          <w:sz w:val="20"/>
        </w:rPr>
        <w:t>to grow, with several existing members coming much more frequently and new visitors </w:t>
      </w:r>
      <w:r>
        <w:rPr>
          <w:i/>
          <w:w w:val="110"/>
          <w:sz w:val="20"/>
        </w:rPr>
        <w:t>returning week after week. Two and a half years on, the church’s future prospects have changed dramatically. With Sunday morning attendance around 35 people and since September a new (and very dynamic) minister in post – the church is now poised to play a major role in the local regeneration programme and looking for new ways to grow further.</w:t>
      </w:r>
    </w:p>
    <w:p>
      <w:pPr>
        <w:pStyle w:val="BodyText"/>
        <w:spacing w:before="11"/>
        <w:rPr>
          <w:i/>
          <w:sz w:val="19"/>
        </w:rPr>
      </w:pPr>
    </w:p>
    <w:p>
      <w:pPr>
        <w:pStyle w:val="ListParagraph"/>
        <w:numPr>
          <w:ilvl w:val="2"/>
          <w:numId w:val="143"/>
        </w:numPr>
        <w:tabs>
          <w:tab w:pos="1814" w:val="left" w:leader="none"/>
          <w:tab w:pos="1815" w:val="left" w:leader="none"/>
        </w:tabs>
        <w:spacing w:line="235" w:lineRule="auto" w:before="0" w:after="0"/>
        <w:ind w:left="1133" w:right="2105" w:firstLine="0"/>
        <w:jc w:val="left"/>
        <w:rPr>
          <w:sz w:val="20"/>
        </w:rPr>
      </w:pPr>
      <w:r>
        <w:rPr/>
        <w:drawing>
          <wp:anchor distT="0" distB="0" distL="0" distR="0" allowOverlap="1" layoutInCell="1" locked="0" behindDoc="1" simplePos="0" relativeHeight="236063744">
            <wp:simplePos x="0" y="0"/>
            <wp:positionH relativeFrom="page">
              <wp:posOffset>5147231</wp:posOffset>
            </wp:positionH>
            <wp:positionV relativeFrom="paragraph">
              <wp:posOffset>601294</wp:posOffset>
            </wp:positionV>
            <wp:extent cx="232858" cy="181203"/>
            <wp:effectExtent l="0" t="0" r="0" b="0"/>
            <wp:wrapNone/>
            <wp:docPr id="155" name="image186.png"/>
            <wp:cNvGraphicFramePr>
              <a:graphicFrameLocks noChangeAspect="1"/>
            </wp:cNvGraphicFramePr>
            <a:graphic>
              <a:graphicData uri="http://schemas.openxmlformats.org/drawingml/2006/picture">
                <pic:pic>
                  <pic:nvPicPr>
                    <pic:cNvPr id="156" name="image186.png"/>
                    <pic:cNvPicPr/>
                  </pic:nvPicPr>
                  <pic:blipFill>
                    <a:blip r:embed="rId421" cstate="print"/>
                    <a:stretch>
                      <a:fillRect/>
                    </a:stretch>
                  </pic:blipFill>
                  <pic:spPr>
                    <a:xfrm>
                      <a:off x="0" y="0"/>
                      <a:ext cx="232858" cy="181203"/>
                    </a:xfrm>
                    <a:prstGeom prst="rect">
                      <a:avLst/>
                    </a:prstGeom>
                  </pic:spPr>
                </pic:pic>
              </a:graphicData>
            </a:graphic>
          </wp:anchor>
        </w:drawing>
      </w:r>
      <w:r>
        <w:rPr>
          <w:spacing w:val="-3"/>
          <w:w w:val="120"/>
          <w:sz w:val="20"/>
        </w:rPr>
        <w:t>Sadly, </w:t>
      </w:r>
      <w:r>
        <w:rPr>
          <w:w w:val="120"/>
          <w:sz w:val="20"/>
        </w:rPr>
        <w:t>at present stories of this kind are few and far between. The overall numerical decline of the United Reformed Church casts a long shadow over the future  of the denomination. And so in the years to come we will work and pray for growth that is qualitative in terms of our spirituality and fellowship </w:t>
      </w:r>
      <w:r>
        <w:rPr>
          <w:spacing w:val="-5"/>
          <w:w w:val="120"/>
          <w:sz w:val="20"/>
        </w:rPr>
        <w:t>(our </w:t>
      </w:r>
      <w:r>
        <w:rPr>
          <w:w w:val="120"/>
          <w:sz w:val="20"/>
        </w:rPr>
        <w:t>faithfulness) but also</w:t>
      </w:r>
      <w:r>
        <w:rPr>
          <w:spacing w:val="3"/>
          <w:w w:val="120"/>
          <w:sz w:val="20"/>
        </w:rPr>
        <w:t> </w:t>
      </w:r>
      <w:r>
        <w:rPr>
          <w:w w:val="120"/>
          <w:sz w:val="20"/>
        </w:rPr>
        <w:t>our</w:t>
      </w:r>
    </w:p>
    <w:p>
      <w:pPr>
        <w:spacing w:line="192" w:lineRule="auto" w:before="0"/>
        <w:ind w:left="1133" w:right="1997" w:firstLine="0"/>
        <w:jc w:val="left"/>
        <w:rPr>
          <w:sz w:val="20"/>
        </w:rPr>
      </w:pPr>
      <w:r>
        <w:rPr>
          <w:w w:val="115"/>
          <w:sz w:val="20"/>
        </w:rPr>
        <w:t>quantitative growth (our fruitfulness). With resources such as the </w:t>
      </w:r>
      <w:r>
        <w:rPr>
          <w:rFonts w:ascii="Arial Rounded MT Bold"/>
          <w:sz w:val="21"/>
        </w:rPr>
        <w:t>Vision4</w:t>
      </w:r>
      <w:r>
        <w:rPr>
          <w:rFonts w:ascii="Bradley Hand ITC"/>
          <w:color w:val="C20D19"/>
          <w:sz w:val="28"/>
        </w:rPr>
        <w:t>Life </w:t>
      </w:r>
      <w:r>
        <w:rPr>
          <w:w w:val="115"/>
          <w:sz w:val="20"/>
        </w:rPr>
        <w:t>evangelism year, the </w:t>
      </w:r>
      <w:r>
        <w:rPr>
          <w:i/>
          <w:w w:val="115"/>
          <w:sz w:val="20"/>
        </w:rPr>
        <w:t>Marketing Campaign </w:t>
      </w:r>
      <w:r>
        <w:rPr>
          <w:w w:val="115"/>
          <w:sz w:val="20"/>
        </w:rPr>
        <w:t>and </w:t>
      </w:r>
      <w:r>
        <w:rPr>
          <w:i/>
          <w:w w:val="115"/>
          <w:sz w:val="20"/>
        </w:rPr>
        <w:t>Fresh Expressions </w:t>
      </w:r>
      <w:r>
        <w:rPr>
          <w:w w:val="115"/>
          <w:sz w:val="20"/>
        </w:rPr>
        <w:t>at our disposal we have every reason</w:t>
      </w:r>
    </w:p>
    <w:p>
      <w:pPr>
        <w:pStyle w:val="BodyText"/>
        <w:spacing w:before="5"/>
        <w:ind w:left="1133"/>
      </w:pPr>
      <w:r>
        <w:rPr>
          <w:w w:val="120"/>
        </w:rPr>
        <w:t>to be hopeful that our denomination can grow again.</w:t>
      </w:r>
    </w:p>
    <w:p>
      <w:pPr>
        <w:pStyle w:val="BodyText"/>
        <w:spacing w:before="4"/>
        <w:rPr>
          <w:sz w:val="19"/>
        </w:rPr>
      </w:pPr>
    </w:p>
    <w:p>
      <w:pPr>
        <w:pStyle w:val="ListParagraph"/>
        <w:numPr>
          <w:ilvl w:val="1"/>
          <w:numId w:val="143"/>
        </w:numPr>
        <w:tabs>
          <w:tab w:pos="1813" w:val="left" w:leader="none"/>
          <w:tab w:pos="1815" w:val="left" w:leader="none"/>
        </w:tabs>
        <w:spacing w:line="240" w:lineRule="auto" w:before="0" w:after="0"/>
        <w:ind w:left="1814" w:right="0" w:hanging="682"/>
        <w:jc w:val="left"/>
        <w:rPr>
          <w:sz w:val="20"/>
        </w:rPr>
      </w:pPr>
      <w:r>
        <w:rPr>
          <w:w w:val="120"/>
          <w:sz w:val="20"/>
        </w:rPr>
        <w:t>Global</w:t>
      </w:r>
      <w:r>
        <w:rPr>
          <w:spacing w:val="2"/>
          <w:w w:val="120"/>
          <w:sz w:val="20"/>
        </w:rPr>
        <w:t> </w:t>
      </w:r>
      <w:r>
        <w:rPr>
          <w:w w:val="120"/>
          <w:sz w:val="20"/>
        </w:rPr>
        <w:t>partnerships</w:t>
      </w:r>
    </w:p>
    <w:p>
      <w:pPr>
        <w:pStyle w:val="BodyText"/>
        <w:spacing w:before="8"/>
        <w:rPr>
          <w:sz w:val="19"/>
        </w:rPr>
      </w:pPr>
    </w:p>
    <w:p>
      <w:pPr>
        <w:pStyle w:val="ListParagraph"/>
        <w:numPr>
          <w:ilvl w:val="2"/>
          <w:numId w:val="143"/>
        </w:numPr>
        <w:tabs>
          <w:tab w:pos="1815" w:val="left" w:leader="none"/>
        </w:tabs>
        <w:spacing w:line="235" w:lineRule="auto" w:before="0" w:after="0"/>
        <w:ind w:left="1133" w:right="2107" w:firstLine="0"/>
        <w:jc w:val="left"/>
        <w:rPr>
          <w:sz w:val="20"/>
        </w:rPr>
      </w:pPr>
      <w:r>
        <w:rPr>
          <w:w w:val="115"/>
          <w:sz w:val="20"/>
        </w:rPr>
        <w:t>Being an active partner in God’s global mission with others around the world is       the focus of </w:t>
      </w:r>
      <w:r>
        <w:rPr>
          <w:i/>
          <w:w w:val="115"/>
          <w:sz w:val="20"/>
        </w:rPr>
        <w:t>Belonging to the World Church </w:t>
      </w:r>
      <w:r>
        <w:rPr>
          <w:w w:val="115"/>
          <w:sz w:val="20"/>
        </w:rPr>
        <w:t>and </w:t>
      </w:r>
      <w:r>
        <w:rPr>
          <w:i/>
          <w:w w:val="115"/>
          <w:sz w:val="20"/>
        </w:rPr>
        <w:t>Commitment for Life</w:t>
      </w:r>
      <w:r>
        <w:rPr>
          <w:w w:val="115"/>
          <w:sz w:val="20"/>
        </w:rPr>
        <w:t>. Both are crucial to the work of the Mission</w:t>
      </w:r>
      <w:r>
        <w:rPr>
          <w:spacing w:val="21"/>
          <w:w w:val="115"/>
          <w:sz w:val="20"/>
        </w:rPr>
        <w:t> </w:t>
      </w:r>
      <w:r>
        <w:rPr>
          <w:w w:val="115"/>
          <w:sz w:val="20"/>
        </w:rPr>
        <w:t>Committee.</w:t>
      </w:r>
    </w:p>
    <w:p>
      <w:pPr>
        <w:pStyle w:val="BodyText"/>
        <w:spacing w:before="10"/>
        <w:rPr>
          <w:sz w:val="19"/>
        </w:rPr>
      </w:pPr>
    </w:p>
    <w:p>
      <w:pPr>
        <w:spacing w:line="235" w:lineRule="auto" w:before="0"/>
        <w:ind w:left="1814" w:right="1997" w:firstLine="0"/>
        <w:jc w:val="left"/>
        <w:rPr>
          <w:i/>
          <w:sz w:val="20"/>
        </w:rPr>
      </w:pPr>
      <w:r>
        <w:rPr>
          <w:i/>
          <w:w w:val="110"/>
          <w:sz w:val="20"/>
        </w:rPr>
        <w:t>Back in January 2007 David Grosch-Miller and Barbara Madge from the South Western </w:t>
      </w:r>
      <w:r>
        <w:rPr>
          <w:i/>
          <w:w w:val="110"/>
          <w:sz w:val="20"/>
        </w:rPr>
        <w:t>Synod, travelled out to Jamaica to meet with ministers of the then South Middlesex Area Council and the Deputy General Secretary, Rose Wedderburn, of the United Church in Jamaica and the Cayman Islands. Discussions continued after that visit and, nine months </w:t>
      </w:r>
      <w:r>
        <w:rPr>
          <w:i/>
          <w:spacing w:val="-3"/>
          <w:w w:val="110"/>
          <w:sz w:val="20"/>
        </w:rPr>
        <w:t>later, </w:t>
      </w:r>
      <w:r>
        <w:rPr>
          <w:i/>
          <w:w w:val="110"/>
          <w:sz w:val="20"/>
        </w:rPr>
        <w:t>the South Western Synod welcomed visitors from Jamaica to the UK and a covenant between the synod and the South Middlesex Area Council was signed. The covenant focussed on four key</w:t>
      </w:r>
      <w:r>
        <w:rPr>
          <w:i/>
          <w:spacing w:val="13"/>
          <w:w w:val="110"/>
          <w:sz w:val="20"/>
        </w:rPr>
        <w:t> </w:t>
      </w:r>
      <w:r>
        <w:rPr>
          <w:i/>
          <w:w w:val="110"/>
          <w:sz w:val="20"/>
        </w:rPr>
        <w:t>areas:</w:t>
      </w:r>
    </w:p>
    <w:p>
      <w:pPr>
        <w:pStyle w:val="ListParagraph"/>
        <w:numPr>
          <w:ilvl w:val="3"/>
          <w:numId w:val="143"/>
        </w:numPr>
        <w:tabs>
          <w:tab w:pos="2573" w:val="left" w:leader="none"/>
          <w:tab w:pos="2574" w:val="left" w:leader="none"/>
        </w:tabs>
        <w:spacing w:line="242" w:lineRule="exact" w:before="161" w:after="0"/>
        <w:ind w:left="2573" w:right="0" w:hanging="760"/>
        <w:jc w:val="left"/>
        <w:rPr>
          <w:i/>
          <w:sz w:val="20"/>
        </w:rPr>
      </w:pPr>
      <w:r>
        <w:rPr>
          <w:i/>
          <w:w w:val="115"/>
          <w:sz w:val="20"/>
        </w:rPr>
        <w:t>mutual discipleship and friendship</w:t>
      </w:r>
      <w:r>
        <w:rPr>
          <w:i/>
          <w:spacing w:val="2"/>
          <w:w w:val="115"/>
          <w:sz w:val="20"/>
        </w:rPr>
        <w:t> </w:t>
      </w:r>
      <w:r>
        <w:rPr>
          <w:i/>
          <w:w w:val="115"/>
          <w:sz w:val="20"/>
        </w:rPr>
        <w:t>;</w:t>
      </w:r>
    </w:p>
    <w:p>
      <w:pPr>
        <w:pStyle w:val="ListParagraph"/>
        <w:numPr>
          <w:ilvl w:val="3"/>
          <w:numId w:val="143"/>
        </w:numPr>
        <w:tabs>
          <w:tab w:pos="2573" w:val="left" w:leader="none"/>
          <w:tab w:pos="2574" w:val="left" w:leader="none"/>
        </w:tabs>
        <w:spacing w:line="240" w:lineRule="exact" w:before="0" w:after="0"/>
        <w:ind w:left="2573" w:right="0" w:hanging="760"/>
        <w:jc w:val="left"/>
        <w:rPr>
          <w:i/>
          <w:sz w:val="20"/>
        </w:rPr>
      </w:pPr>
      <w:r>
        <w:rPr>
          <w:i/>
          <w:w w:val="110"/>
          <w:sz w:val="20"/>
        </w:rPr>
        <w:t>exchange</w:t>
      </w:r>
      <w:r>
        <w:rPr>
          <w:i/>
          <w:spacing w:val="3"/>
          <w:w w:val="110"/>
          <w:sz w:val="20"/>
        </w:rPr>
        <w:t> </w:t>
      </w:r>
      <w:r>
        <w:rPr>
          <w:i/>
          <w:w w:val="110"/>
          <w:sz w:val="20"/>
        </w:rPr>
        <w:t>visits;</w:t>
      </w:r>
    </w:p>
    <w:p>
      <w:pPr>
        <w:pStyle w:val="ListParagraph"/>
        <w:numPr>
          <w:ilvl w:val="3"/>
          <w:numId w:val="143"/>
        </w:numPr>
        <w:tabs>
          <w:tab w:pos="2573" w:val="left" w:leader="none"/>
          <w:tab w:pos="2574" w:val="left" w:leader="none"/>
        </w:tabs>
        <w:spacing w:line="240" w:lineRule="exact" w:before="0" w:after="0"/>
        <w:ind w:left="2573" w:right="0" w:hanging="760"/>
        <w:jc w:val="left"/>
        <w:rPr>
          <w:i/>
          <w:sz w:val="20"/>
        </w:rPr>
      </w:pPr>
      <w:r>
        <w:rPr>
          <w:i/>
          <w:w w:val="110"/>
          <w:sz w:val="20"/>
        </w:rPr>
        <w:t>commitment to explore common</w:t>
      </w:r>
      <w:r>
        <w:rPr>
          <w:i/>
          <w:spacing w:val="15"/>
          <w:w w:val="110"/>
          <w:sz w:val="20"/>
        </w:rPr>
        <w:t> </w:t>
      </w:r>
      <w:r>
        <w:rPr>
          <w:i/>
          <w:w w:val="110"/>
          <w:sz w:val="20"/>
        </w:rPr>
        <w:t>issues;</w:t>
      </w:r>
    </w:p>
    <w:p>
      <w:pPr>
        <w:pStyle w:val="ListParagraph"/>
        <w:numPr>
          <w:ilvl w:val="3"/>
          <w:numId w:val="143"/>
        </w:numPr>
        <w:tabs>
          <w:tab w:pos="2573" w:val="left" w:leader="none"/>
          <w:tab w:pos="2574" w:val="left" w:leader="none"/>
        </w:tabs>
        <w:spacing w:line="242" w:lineRule="exact" w:before="0" w:after="0"/>
        <w:ind w:left="2573" w:right="0" w:hanging="760"/>
        <w:jc w:val="left"/>
        <w:rPr>
          <w:i/>
          <w:sz w:val="20"/>
        </w:rPr>
      </w:pPr>
      <w:r>
        <w:rPr>
          <w:i/>
          <w:w w:val="110"/>
          <w:sz w:val="20"/>
        </w:rPr>
        <w:t>shared</w:t>
      </w:r>
      <w:r>
        <w:rPr>
          <w:i/>
          <w:spacing w:val="3"/>
          <w:w w:val="110"/>
          <w:sz w:val="20"/>
        </w:rPr>
        <w:t> </w:t>
      </w:r>
      <w:r>
        <w:rPr>
          <w:i/>
          <w:w w:val="110"/>
          <w:sz w:val="20"/>
        </w:rPr>
        <w:t>liturgy.</w:t>
      </w:r>
    </w:p>
    <w:p>
      <w:pPr>
        <w:spacing w:after="0" w:line="242" w:lineRule="exact"/>
        <w:jc w:val="left"/>
        <w:rPr>
          <w:sz w:val="20"/>
        </w:rPr>
        <w:sectPr>
          <w:pgSz w:w="11910" w:h="16840"/>
          <w:pgMar w:header="0" w:footer="647" w:top="1060" w:bottom="840" w:left="0" w:right="0"/>
        </w:sectPr>
      </w:pPr>
    </w:p>
    <w:p>
      <w:pPr>
        <w:pStyle w:val="BodyText"/>
        <w:rPr>
          <w:i/>
        </w:rPr>
      </w:pPr>
      <w:r>
        <w:rPr/>
        <w:pict>
          <v:shape style="position:absolute;margin-left:502.053101pt;margin-top:31.272114pt;width:46.5pt;height:16.05pt;mso-position-horizontal-relative:page;mso-position-vertical-relative:page;z-index:-267251712" type="#_x0000_t202" filled="false" stroked="false">
            <v:textbox inset="0,0,0,0">
              <w:txbxContent>
                <w:p>
                  <w:pPr>
                    <w:spacing w:line="314" w:lineRule="exact" w:before="6"/>
                    <w:ind w:left="0" w:right="0" w:firstLine="0"/>
                    <w:jc w:val="left"/>
                    <w:rPr>
                      <w:sz w:val="26"/>
                    </w:rPr>
                  </w:pPr>
                  <w:r>
                    <w:rPr>
                      <w:color w:val="8BA8BD"/>
                      <w:w w:val="110"/>
                      <w:sz w:val="26"/>
                    </w:rPr>
                    <w:t>Mission</w:t>
                  </w:r>
                </w:p>
              </w:txbxContent>
            </v:textbox>
            <w10:wrap type="none"/>
          </v:shape>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9"/>
        <w:rPr>
          <w:i/>
          <w:sz w:val="19"/>
        </w:rPr>
      </w:pPr>
    </w:p>
    <w:p>
      <w:pPr>
        <w:spacing w:before="0"/>
        <w:ind w:left="6764" w:right="1120" w:hanging="934"/>
        <w:jc w:val="left"/>
        <w:rPr>
          <w:sz w:val="18"/>
        </w:rPr>
      </w:pPr>
      <w:r>
        <w:rPr/>
        <w:pict>
          <v:group style="position:absolute;margin-left:0pt;margin-top:-330.329285pt;width:595.3pt;height:326.45pt;mso-position-horizontal-relative:page;mso-position-vertical-relative:paragraph;z-index:252173312" coordorigin="0,-6607" coordsize="11906,6529">
            <v:shape style="position:absolute;left:0;top:-6607;width:11906;height:3808" coordorigin="0,-6607" coordsize="11906,3808" path="m1998,-2801l1998,-2799,1998,-2799,1998,-2801m11906,-6607l0,-6607,0,-4322,681,-4322,710,-4318,782,-4305,853,-4288,923,-4268,992,-4244,1059,-4218,1124,-4188,1188,-4156,1250,-4121,1310,-4083,1369,-4042,1425,-3999,1479,-3953,1531,-3905,1581,-3855,1628,-3802,1673,-3747,1715,-3690,1755,-3631,1792,-3571,1827,-3508,1858,-3444,1887,-3378,1912,-3310,1935,-3241,1954,-3171,1970,-3099,1982,-3027,1991,-2953,1997,-2878,1998,-2802,1998,-4322,11906,-4322,11906,-6607e" filled="true" fillcolor="#8ba8bd" stroked="false">
              <v:path arrowok="t"/>
              <v:fill type="solid"/>
            </v:shape>
            <v:shape style="position:absolute;left:1984;top:-6607;width:9922;height:6509" type="#_x0000_t75" stroked="false">
              <v:imagedata r:id="rId425" o:title=""/>
            </v:shape>
            <v:shape style="position:absolute;left:1970;top:-1618;width:1513;height:1540" coordorigin="1970,-1618" coordsize="1513,1540" path="m1970,-1615l1970,-78,3483,-78,3407,-81,3332,-88,3259,-98,3186,-112,3115,-129,3045,-149,2977,-172,2910,-199,2844,-228,2780,-260,2718,-296,2658,-334,2600,-374,2544,-417,2489,-463,2437,-511,2388,-562,2340,-614,2295,-669,2253,-726,2213,-785,2176,-846,2142,-908,2110,-973,2082,-1038,2056,-1106,2034,-1175,2015,-1245,1999,-1317,1986,-1390,1977,-1464,1972,-1539,1970,-1615xm1970,-1618l1970,-1618,1970,-1616,1970,-1618xe" filled="true" fillcolor="#ffffff" stroked="false">
              <v:path arrowok="t"/>
              <v:fill type="solid"/>
            </v:shape>
            <w10:wrap type="none"/>
          </v:group>
        </w:pict>
      </w:r>
      <w:r>
        <w:rPr>
          <w:color w:val="8BA8BD"/>
          <w:w w:val="110"/>
          <w:sz w:val="18"/>
        </w:rPr>
        <w:t>Signing the covenant between South Western Synod and the United Church in Jamaica and the Cayman Islands</w:t>
      </w:r>
    </w:p>
    <w:p>
      <w:pPr>
        <w:pStyle w:val="BodyText"/>
      </w:pPr>
    </w:p>
    <w:p>
      <w:pPr>
        <w:pStyle w:val="BodyText"/>
        <w:spacing w:before="9"/>
        <w:rPr>
          <w:sz w:val="28"/>
        </w:rPr>
      </w:pPr>
    </w:p>
    <w:p>
      <w:pPr>
        <w:spacing w:line="235" w:lineRule="auto" w:before="106"/>
        <w:ind w:left="2664" w:right="1372" w:firstLine="0"/>
        <w:jc w:val="left"/>
        <w:rPr>
          <w:i/>
          <w:sz w:val="20"/>
        </w:rPr>
      </w:pPr>
      <w:r>
        <w:rPr>
          <w:i/>
          <w:w w:val="110"/>
          <w:sz w:val="20"/>
        </w:rPr>
        <w:t>The intention was to concentrate on one of these areas each year, but as with any </w:t>
      </w:r>
      <w:r>
        <w:rPr>
          <w:i/>
          <w:w w:val="110"/>
          <w:sz w:val="20"/>
        </w:rPr>
        <w:t>relationship things don’t always go to plan. It takes time to get to </w:t>
      </w:r>
      <w:r>
        <w:rPr>
          <w:i/>
          <w:spacing w:val="2"/>
          <w:w w:val="110"/>
          <w:sz w:val="20"/>
        </w:rPr>
        <w:t>know </w:t>
      </w:r>
      <w:r>
        <w:rPr>
          <w:i/>
          <w:w w:val="110"/>
          <w:sz w:val="20"/>
        </w:rPr>
        <w:t>each other and learn from each other’s experiences, so perhaps the covenant was ambitious in hoping      to achieve too much too soon. Interestingly, some visitors from the UK and some visitors from Jamaica have considerable experience  of  each  other’s  countries,  whilst  </w:t>
      </w:r>
      <w:r>
        <w:rPr>
          <w:i/>
          <w:spacing w:val="2"/>
          <w:w w:val="110"/>
          <w:sz w:val="20"/>
        </w:rPr>
        <w:t>others </w:t>
      </w:r>
      <w:r>
        <w:rPr>
          <w:i/>
          <w:w w:val="110"/>
          <w:sz w:val="20"/>
        </w:rPr>
        <w:t>have </w:t>
      </w:r>
      <w:r>
        <w:rPr>
          <w:i/>
          <w:spacing w:val="2"/>
          <w:w w:val="110"/>
          <w:sz w:val="20"/>
        </w:rPr>
        <w:t>little </w:t>
      </w:r>
      <w:r>
        <w:rPr>
          <w:i/>
          <w:w w:val="110"/>
          <w:sz w:val="20"/>
        </w:rPr>
        <w:t>or no experience. Barbara had  never  been  abroad  before  her  </w:t>
      </w:r>
      <w:r>
        <w:rPr>
          <w:i/>
          <w:spacing w:val="2"/>
          <w:w w:val="110"/>
          <w:sz w:val="20"/>
        </w:rPr>
        <w:t>trip </w:t>
      </w:r>
      <w:r>
        <w:rPr>
          <w:i/>
          <w:w w:val="110"/>
          <w:sz w:val="20"/>
        </w:rPr>
        <w:t>in  2007 and</w:t>
      </w:r>
      <w:r>
        <w:rPr>
          <w:i/>
          <w:spacing w:val="17"/>
          <w:w w:val="110"/>
          <w:sz w:val="20"/>
        </w:rPr>
        <w:t> </w:t>
      </w:r>
      <w:r>
        <w:rPr>
          <w:i/>
          <w:w w:val="110"/>
          <w:sz w:val="20"/>
        </w:rPr>
        <w:t>now</w:t>
      </w:r>
      <w:r>
        <w:rPr>
          <w:i/>
          <w:spacing w:val="17"/>
          <w:w w:val="110"/>
          <w:sz w:val="20"/>
        </w:rPr>
        <w:t> </w:t>
      </w:r>
      <w:r>
        <w:rPr>
          <w:i/>
          <w:w w:val="110"/>
          <w:sz w:val="20"/>
        </w:rPr>
        <w:t>finds</w:t>
      </w:r>
      <w:r>
        <w:rPr>
          <w:i/>
          <w:spacing w:val="17"/>
          <w:w w:val="110"/>
          <w:sz w:val="20"/>
        </w:rPr>
        <w:t> </w:t>
      </w:r>
      <w:r>
        <w:rPr>
          <w:i/>
          <w:w w:val="110"/>
          <w:sz w:val="20"/>
        </w:rPr>
        <w:t>herself</w:t>
      </w:r>
      <w:r>
        <w:rPr>
          <w:i/>
          <w:spacing w:val="17"/>
          <w:w w:val="110"/>
          <w:sz w:val="20"/>
        </w:rPr>
        <w:t> </w:t>
      </w:r>
      <w:r>
        <w:rPr>
          <w:i/>
          <w:w w:val="110"/>
          <w:sz w:val="20"/>
        </w:rPr>
        <w:t>as</w:t>
      </w:r>
      <w:r>
        <w:rPr>
          <w:i/>
          <w:spacing w:val="17"/>
          <w:w w:val="110"/>
          <w:sz w:val="20"/>
        </w:rPr>
        <w:t> </w:t>
      </w:r>
      <w:r>
        <w:rPr>
          <w:i/>
          <w:w w:val="110"/>
          <w:sz w:val="20"/>
        </w:rPr>
        <w:t>the</w:t>
      </w:r>
      <w:r>
        <w:rPr>
          <w:i/>
          <w:spacing w:val="18"/>
          <w:w w:val="110"/>
          <w:sz w:val="20"/>
        </w:rPr>
        <w:t> </w:t>
      </w:r>
      <w:r>
        <w:rPr>
          <w:i/>
          <w:w w:val="110"/>
          <w:sz w:val="20"/>
        </w:rPr>
        <w:t>Global</w:t>
      </w:r>
      <w:r>
        <w:rPr>
          <w:i/>
          <w:spacing w:val="17"/>
          <w:w w:val="110"/>
          <w:sz w:val="20"/>
        </w:rPr>
        <w:t> </w:t>
      </w:r>
      <w:r>
        <w:rPr>
          <w:i/>
          <w:spacing w:val="2"/>
          <w:w w:val="110"/>
          <w:sz w:val="20"/>
        </w:rPr>
        <w:t>Partners</w:t>
      </w:r>
      <w:r>
        <w:rPr>
          <w:i/>
          <w:spacing w:val="17"/>
          <w:w w:val="110"/>
          <w:sz w:val="20"/>
        </w:rPr>
        <w:t> </w:t>
      </w:r>
      <w:r>
        <w:rPr>
          <w:i/>
          <w:spacing w:val="2"/>
          <w:w w:val="110"/>
          <w:sz w:val="20"/>
        </w:rPr>
        <w:t>Partnership</w:t>
      </w:r>
      <w:r>
        <w:rPr>
          <w:i/>
          <w:spacing w:val="17"/>
          <w:w w:val="110"/>
          <w:sz w:val="20"/>
        </w:rPr>
        <w:t> </w:t>
      </w:r>
      <w:r>
        <w:rPr>
          <w:i/>
          <w:w w:val="110"/>
          <w:sz w:val="20"/>
        </w:rPr>
        <w:t>Coordinator.</w:t>
      </w:r>
      <w:r>
        <w:rPr>
          <w:i/>
          <w:spacing w:val="17"/>
          <w:w w:val="110"/>
          <w:sz w:val="20"/>
        </w:rPr>
        <w:t> </w:t>
      </w:r>
      <w:r>
        <w:rPr>
          <w:i/>
          <w:w w:val="110"/>
          <w:sz w:val="20"/>
        </w:rPr>
        <w:t>Barbara</w:t>
      </w:r>
      <w:r>
        <w:rPr>
          <w:i/>
          <w:spacing w:val="17"/>
          <w:w w:val="110"/>
          <w:sz w:val="20"/>
        </w:rPr>
        <w:t> </w:t>
      </w:r>
      <w:r>
        <w:rPr>
          <w:i/>
          <w:w w:val="110"/>
          <w:sz w:val="20"/>
        </w:rPr>
        <w:t>says,</w:t>
      </w:r>
    </w:p>
    <w:p>
      <w:pPr>
        <w:spacing w:line="235" w:lineRule="auto" w:before="5"/>
        <w:ind w:left="2664" w:right="1273" w:firstLine="0"/>
        <w:jc w:val="left"/>
        <w:rPr>
          <w:i/>
          <w:sz w:val="20"/>
        </w:rPr>
      </w:pPr>
      <w:r>
        <w:rPr>
          <w:i/>
          <w:w w:val="110"/>
          <w:sz w:val="20"/>
        </w:rPr>
        <w:t>‘In many ways the Church in Jamaica is  currently  where  this  </w:t>
      </w:r>
      <w:r>
        <w:rPr>
          <w:i/>
          <w:spacing w:val="2"/>
          <w:w w:val="110"/>
          <w:sz w:val="20"/>
        </w:rPr>
        <w:t>country </w:t>
      </w:r>
      <w:r>
        <w:rPr>
          <w:i/>
          <w:w w:val="110"/>
          <w:sz w:val="20"/>
        </w:rPr>
        <w:t>was  </w:t>
      </w:r>
      <w:r>
        <w:rPr>
          <w:i/>
          <w:spacing w:val="4"/>
          <w:w w:val="110"/>
          <w:sz w:val="20"/>
        </w:rPr>
        <w:t>fifty </w:t>
      </w:r>
      <w:r>
        <w:rPr>
          <w:i/>
          <w:w w:val="110"/>
          <w:sz w:val="20"/>
        </w:rPr>
        <w:t>years </w:t>
      </w:r>
      <w:r>
        <w:rPr>
          <w:i/>
          <w:w w:val="110"/>
          <w:sz w:val="20"/>
        </w:rPr>
        <w:t>ago. There are good  congregations  but  numbers  are  declining  and  the  influence  of the Church is being eroded. Ministers are concerned because people are not becoming engaged in reading the Bible and</w:t>
      </w:r>
      <w:r>
        <w:rPr>
          <w:i/>
          <w:spacing w:val="6"/>
          <w:w w:val="110"/>
          <w:sz w:val="20"/>
        </w:rPr>
        <w:t> </w:t>
      </w:r>
      <w:r>
        <w:rPr>
          <w:i/>
          <w:w w:val="110"/>
          <w:sz w:val="20"/>
        </w:rPr>
        <w:t>worship.’</w:t>
      </w:r>
    </w:p>
    <w:p>
      <w:pPr>
        <w:pStyle w:val="BodyText"/>
        <w:spacing w:before="6"/>
        <w:rPr>
          <w:i/>
          <w:sz w:val="22"/>
        </w:rPr>
      </w:pPr>
    </w:p>
    <w:p>
      <w:pPr>
        <w:spacing w:line="194" w:lineRule="auto" w:before="1"/>
        <w:ind w:left="1984" w:right="1273" w:firstLine="0"/>
        <w:jc w:val="left"/>
        <w:rPr>
          <w:sz w:val="20"/>
        </w:rPr>
      </w:pPr>
      <w:r>
        <w:rPr/>
        <w:drawing>
          <wp:anchor distT="0" distB="0" distL="0" distR="0" allowOverlap="1" layoutInCell="1" locked="0" behindDoc="1" simplePos="0" relativeHeight="236066816">
            <wp:simplePos x="0" y="0"/>
            <wp:positionH relativeFrom="page">
              <wp:posOffset>1596878</wp:posOffset>
            </wp:positionH>
            <wp:positionV relativeFrom="paragraph">
              <wp:posOffset>123837</wp:posOffset>
            </wp:positionV>
            <wp:extent cx="232857" cy="181203"/>
            <wp:effectExtent l="0" t="0" r="0" b="0"/>
            <wp:wrapNone/>
            <wp:docPr id="157" name="image188.png"/>
            <wp:cNvGraphicFramePr>
              <a:graphicFrameLocks noChangeAspect="1"/>
            </wp:cNvGraphicFramePr>
            <a:graphic>
              <a:graphicData uri="http://schemas.openxmlformats.org/drawingml/2006/picture">
                <pic:pic>
                  <pic:nvPicPr>
                    <pic:cNvPr id="158" name="image188.png"/>
                    <pic:cNvPicPr/>
                  </pic:nvPicPr>
                  <pic:blipFill>
                    <a:blip r:embed="rId426" cstate="print"/>
                    <a:stretch>
                      <a:fillRect/>
                    </a:stretch>
                  </pic:blipFill>
                  <pic:spPr>
                    <a:xfrm>
                      <a:off x="0" y="0"/>
                      <a:ext cx="232857" cy="181203"/>
                    </a:xfrm>
                    <a:prstGeom prst="rect">
                      <a:avLst/>
                    </a:prstGeom>
                  </pic:spPr>
                </pic:pic>
              </a:graphicData>
            </a:graphic>
          </wp:anchor>
        </w:drawing>
      </w:r>
      <w:r>
        <w:rPr>
          <w:w w:val="120"/>
          <w:sz w:val="20"/>
        </w:rPr>
        <w:t>The next visit is to Jamaica where they hope to explore the possibility of using the </w:t>
      </w:r>
      <w:r>
        <w:rPr>
          <w:rFonts w:ascii="Arial Rounded MT Bold"/>
          <w:sz w:val="21"/>
        </w:rPr>
        <w:t>Vision4</w:t>
      </w:r>
      <w:r>
        <w:rPr>
          <w:rFonts w:ascii="Bradley Hand ITC"/>
          <w:color w:val="C20D19"/>
          <w:sz w:val="28"/>
        </w:rPr>
        <w:t>Life </w:t>
      </w:r>
      <w:r>
        <w:rPr>
          <w:w w:val="120"/>
          <w:sz w:val="20"/>
        </w:rPr>
        <w:t>material. This partnership is facilitated by the </w:t>
      </w:r>
      <w:r>
        <w:rPr>
          <w:i/>
          <w:w w:val="120"/>
          <w:sz w:val="20"/>
        </w:rPr>
        <w:t>Belonging to the World </w:t>
      </w:r>
      <w:r>
        <w:rPr>
          <w:i/>
          <w:w w:val="120"/>
          <w:sz w:val="20"/>
        </w:rPr>
        <w:t>Church </w:t>
      </w:r>
      <w:r>
        <w:rPr>
          <w:w w:val="120"/>
          <w:sz w:val="20"/>
        </w:rPr>
        <w:t>programme.</w:t>
      </w:r>
    </w:p>
    <w:p>
      <w:pPr>
        <w:pStyle w:val="BodyText"/>
        <w:spacing w:before="5"/>
      </w:pPr>
    </w:p>
    <w:p>
      <w:pPr>
        <w:pStyle w:val="ListParagraph"/>
        <w:numPr>
          <w:ilvl w:val="2"/>
          <w:numId w:val="143"/>
        </w:numPr>
        <w:tabs>
          <w:tab w:pos="2665" w:val="left" w:leader="none"/>
        </w:tabs>
        <w:spacing w:line="235" w:lineRule="auto" w:before="0" w:after="0"/>
        <w:ind w:left="1984" w:right="1793" w:firstLine="0"/>
        <w:jc w:val="left"/>
        <w:rPr>
          <w:sz w:val="20"/>
        </w:rPr>
      </w:pPr>
      <w:r>
        <w:rPr>
          <w:w w:val="120"/>
          <w:sz w:val="20"/>
        </w:rPr>
        <w:t>The</w:t>
      </w:r>
      <w:r>
        <w:rPr>
          <w:spacing w:val="-9"/>
          <w:w w:val="120"/>
          <w:sz w:val="20"/>
        </w:rPr>
        <w:t> </w:t>
      </w:r>
      <w:r>
        <w:rPr>
          <w:i/>
          <w:w w:val="120"/>
          <w:sz w:val="20"/>
        </w:rPr>
        <w:t>Belonging</w:t>
      </w:r>
      <w:r>
        <w:rPr>
          <w:i/>
          <w:spacing w:val="-10"/>
          <w:w w:val="120"/>
          <w:sz w:val="20"/>
        </w:rPr>
        <w:t> </w:t>
      </w:r>
      <w:r>
        <w:rPr>
          <w:i/>
          <w:w w:val="120"/>
          <w:sz w:val="20"/>
        </w:rPr>
        <w:t>to</w:t>
      </w:r>
      <w:r>
        <w:rPr>
          <w:i/>
          <w:spacing w:val="-11"/>
          <w:w w:val="120"/>
          <w:sz w:val="20"/>
        </w:rPr>
        <w:t> </w:t>
      </w:r>
      <w:r>
        <w:rPr>
          <w:i/>
          <w:w w:val="120"/>
          <w:sz w:val="20"/>
        </w:rPr>
        <w:t>the</w:t>
      </w:r>
      <w:r>
        <w:rPr>
          <w:i/>
          <w:spacing w:val="-10"/>
          <w:w w:val="120"/>
          <w:sz w:val="20"/>
        </w:rPr>
        <w:t> </w:t>
      </w:r>
      <w:r>
        <w:rPr>
          <w:i/>
          <w:w w:val="120"/>
          <w:sz w:val="20"/>
        </w:rPr>
        <w:t>World</w:t>
      </w:r>
      <w:r>
        <w:rPr>
          <w:i/>
          <w:spacing w:val="-11"/>
          <w:w w:val="120"/>
          <w:sz w:val="20"/>
        </w:rPr>
        <w:t> </w:t>
      </w:r>
      <w:r>
        <w:rPr>
          <w:i/>
          <w:w w:val="120"/>
          <w:sz w:val="20"/>
        </w:rPr>
        <w:t>Church</w:t>
      </w:r>
      <w:r>
        <w:rPr>
          <w:i/>
          <w:spacing w:val="-8"/>
          <w:w w:val="120"/>
          <w:sz w:val="20"/>
        </w:rPr>
        <w:t> </w:t>
      </w:r>
      <w:r>
        <w:rPr>
          <w:w w:val="120"/>
          <w:sz w:val="20"/>
        </w:rPr>
        <w:t>(BWC)</w:t>
      </w:r>
      <w:r>
        <w:rPr>
          <w:spacing w:val="-8"/>
          <w:w w:val="120"/>
          <w:sz w:val="20"/>
        </w:rPr>
        <w:t> </w:t>
      </w:r>
      <w:r>
        <w:rPr>
          <w:w w:val="120"/>
          <w:sz w:val="20"/>
        </w:rPr>
        <w:t>programme</w:t>
      </w:r>
      <w:r>
        <w:rPr>
          <w:spacing w:val="-8"/>
          <w:w w:val="120"/>
          <w:sz w:val="20"/>
        </w:rPr>
        <w:t> </w:t>
      </w:r>
      <w:r>
        <w:rPr>
          <w:w w:val="120"/>
          <w:sz w:val="20"/>
        </w:rPr>
        <w:t>remained</w:t>
      </w:r>
      <w:r>
        <w:rPr>
          <w:spacing w:val="-9"/>
          <w:w w:val="120"/>
          <w:sz w:val="20"/>
        </w:rPr>
        <w:t> </w:t>
      </w:r>
      <w:r>
        <w:rPr>
          <w:w w:val="120"/>
          <w:sz w:val="20"/>
        </w:rPr>
        <w:t>a</w:t>
      </w:r>
      <w:r>
        <w:rPr>
          <w:spacing w:val="-8"/>
          <w:w w:val="120"/>
          <w:sz w:val="20"/>
        </w:rPr>
        <w:t> </w:t>
      </w:r>
      <w:r>
        <w:rPr>
          <w:w w:val="120"/>
          <w:sz w:val="20"/>
        </w:rPr>
        <w:t>busy</w:t>
      </w:r>
      <w:r>
        <w:rPr>
          <w:spacing w:val="-8"/>
          <w:w w:val="120"/>
          <w:sz w:val="20"/>
        </w:rPr>
        <w:t> </w:t>
      </w:r>
      <w:r>
        <w:rPr>
          <w:w w:val="120"/>
          <w:sz w:val="20"/>
        </w:rPr>
        <w:t>focus of our international work. Since the last General Assembly, there have</w:t>
      </w:r>
      <w:r>
        <w:rPr>
          <w:spacing w:val="6"/>
          <w:w w:val="120"/>
          <w:sz w:val="20"/>
        </w:rPr>
        <w:t> </w:t>
      </w:r>
      <w:r>
        <w:rPr>
          <w:w w:val="120"/>
          <w:sz w:val="20"/>
        </w:rPr>
        <w:t>been:</w:t>
      </w:r>
    </w:p>
    <w:p>
      <w:pPr>
        <w:pStyle w:val="BodyText"/>
        <w:spacing w:line="235" w:lineRule="auto" w:before="1"/>
        <w:ind w:left="1984" w:right="1466"/>
      </w:pPr>
      <w:r>
        <w:rPr>
          <w:w w:val="120"/>
        </w:rPr>
        <w:t>BWC Global Partner visits to nine countries and reciprocal visits to the UK from Cuba, Jamaica, Malawi and Mozambique; church leaders’ trips to Taiwan and Israel and the Occupied Palestinian Territories; International Student Placements to Botswana, India, Kenya, Switzerland, Taiwan, the US and Zimbabwe; a ministerial exchange visit to Myanmar; and sabbatical visits to Bolivia, the Caribbean, Italy, Malawi, New Zealand and the US.</w:t>
      </w:r>
    </w:p>
    <w:p>
      <w:pPr>
        <w:pStyle w:val="BodyText"/>
      </w:pPr>
    </w:p>
    <w:p>
      <w:pPr>
        <w:pStyle w:val="ListParagraph"/>
        <w:numPr>
          <w:ilvl w:val="2"/>
          <w:numId w:val="143"/>
        </w:numPr>
        <w:tabs>
          <w:tab w:pos="2665" w:val="left" w:leader="none"/>
        </w:tabs>
        <w:spacing w:line="235" w:lineRule="auto" w:before="0" w:after="0"/>
        <w:ind w:left="1984" w:right="1388" w:firstLine="0"/>
        <w:jc w:val="left"/>
        <w:rPr>
          <w:sz w:val="20"/>
        </w:rPr>
      </w:pPr>
      <w:r>
        <w:rPr>
          <w:w w:val="120"/>
          <w:sz w:val="20"/>
        </w:rPr>
        <w:t>The United Reformed Church has also been represented at many major gatherings, general assemblies and church meetings in Europe and beyond. All of   these have fed into the life of the Church here with the sharing of experiences through personal relationships which lies at the heart of the BWC</w:t>
      </w:r>
      <w:r>
        <w:rPr>
          <w:spacing w:val="21"/>
          <w:w w:val="120"/>
          <w:sz w:val="20"/>
        </w:rPr>
        <w:t> </w:t>
      </w:r>
      <w:r>
        <w:rPr>
          <w:w w:val="120"/>
          <w:sz w:val="20"/>
        </w:rPr>
        <w:t>programme.</w:t>
      </w:r>
    </w:p>
    <w:p>
      <w:pPr>
        <w:spacing w:after="0" w:line="235" w:lineRule="auto"/>
        <w:jc w:val="left"/>
        <w:rPr>
          <w:sz w:val="20"/>
        </w:rPr>
        <w:sectPr>
          <w:headerReference w:type="default" r:id="rId422"/>
          <w:footerReference w:type="default" r:id="rId423"/>
          <w:footerReference w:type="even" r:id="rId424"/>
          <w:pgSz w:w="11910" w:h="16840"/>
          <w:pgMar w:header="0" w:footer="647" w:top="0" w:bottom="840" w:left="0" w:right="0"/>
          <w:pgNumType w:start="165"/>
        </w:sectPr>
      </w:pPr>
    </w:p>
    <w:p>
      <w:pPr>
        <w:pStyle w:val="BodyText"/>
      </w:pPr>
    </w:p>
    <w:p>
      <w:pPr>
        <w:pStyle w:val="BodyText"/>
      </w:pPr>
    </w:p>
    <w:p>
      <w:pPr>
        <w:pStyle w:val="BodyText"/>
      </w:pPr>
    </w:p>
    <w:p>
      <w:pPr>
        <w:pStyle w:val="BodyText"/>
        <w:spacing w:before="9"/>
        <w:rPr>
          <w:sz w:val="25"/>
        </w:rPr>
      </w:pPr>
    </w:p>
    <w:p>
      <w:pPr>
        <w:pStyle w:val="ListParagraph"/>
        <w:numPr>
          <w:ilvl w:val="2"/>
          <w:numId w:val="143"/>
        </w:numPr>
        <w:tabs>
          <w:tab w:pos="6173" w:val="left" w:leader="none"/>
          <w:tab w:pos="6174" w:val="left" w:leader="none"/>
        </w:tabs>
        <w:spacing w:line="235" w:lineRule="auto" w:before="106" w:after="0"/>
        <w:ind w:left="5266" w:right="2035" w:firstLine="0"/>
        <w:jc w:val="left"/>
        <w:rPr>
          <w:sz w:val="20"/>
        </w:rPr>
      </w:pPr>
      <w:r>
        <w:rPr/>
        <w:pict>
          <v:shape style="position:absolute;margin-left:46.771599pt;margin-top:-21.954557pt;width:46.5pt;height:16.05pt;mso-position-horizontal-relative:page;mso-position-vertical-relative:paragraph;z-index:-267248640" type="#_x0000_t202" filled="false" stroked="false">
            <v:textbox inset="0,0,0,0">
              <w:txbxContent>
                <w:p>
                  <w:pPr>
                    <w:spacing w:line="314" w:lineRule="exact" w:before="6"/>
                    <w:ind w:left="0" w:right="0" w:firstLine="0"/>
                    <w:jc w:val="left"/>
                    <w:rPr>
                      <w:sz w:val="26"/>
                    </w:rPr>
                  </w:pPr>
                  <w:r>
                    <w:rPr>
                      <w:color w:val="8BA8BD"/>
                      <w:w w:val="110"/>
                      <w:sz w:val="26"/>
                    </w:rPr>
                    <w:t>Mission</w:t>
                  </w:r>
                </w:p>
              </w:txbxContent>
            </v:textbox>
            <w10:wrap type="none"/>
          </v:shape>
        </w:pict>
      </w:r>
      <w:r>
        <w:rPr/>
        <w:pict>
          <v:group style="position:absolute;margin-left:0pt;margin-top:-53.226673pt;width:244.2pt;height:519.0500pt;mso-position-horizontal-relative:page;mso-position-vertical-relative:paragraph;z-index:252176384" coordorigin="0,-1065" coordsize="4884,10381">
            <v:rect style="position:absolute;left:240;top:-1065;width:454;height:454" filled="true" fillcolor="#8ba8bd" stroked="false">
              <v:fill type="solid"/>
            </v:rect>
            <v:rect style="position:absolute;left:240;top:-456;width:454;height:454" filled="true" fillcolor="#c2d2df" stroked="false">
              <v:fill type="solid"/>
            </v:rect>
            <v:rect style="position:absolute;left:240;top:168;width:454;height:454" filled="true" fillcolor="#dae4ec" stroked="false">
              <v:fill opacity="32768f" type="solid"/>
            </v:rect>
            <v:shape style="position:absolute;left:0;top:-1065;width:4870;height:10358" type="#_x0000_t75" stroked="false">
              <v:imagedata r:id="rId428" o:title=""/>
            </v:shape>
            <v:shape style="position:absolute;left:3344;top:7803;width:1540;height:1513" coordorigin="3344,7803" coordsize="1540,1513" path="m3345,9316l3344,9316,3344,9316,3346,9316,3345,9316xm4883,7803l4880,7879,4874,7954,4864,8027,4850,8100,4833,8171,4813,8241,4789,8309,4763,8376,4734,8442,4701,8506,4666,8568,4628,8628,4587,8686,4544,8742,4498,8797,4450,8849,4400,8898,4347,8946,4292,8991,4236,9033,4177,9073,4116,9110,4053,9144,3989,9176,3923,9204,3856,9230,3787,9252,3716,9271,3645,9287,3572,9300,3498,9309,3423,9314,3347,9316,4883,9316,4883,7803xe" filled="true" fillcolor="#ffffff" stroked="false">
              <v:path arrowok="t"/>
              <v:fill type="solid"/>
            </v:shape>
            <w10:wrap type="none"/>
          </v:group>
        </w:pict>
      </w:r>
      <w:r>
        <w:rPr>
          <w:w w:val="120"/>
          <w:sz w:val="20"/>
        </w:rPr>
        <w:t>Through </w:t>
      </w:r>
      <w:r>
        <w:rPr>
          <w:i/>
          <w:w w:val="120"/>
          <w:sz w:val="20"/>
        </w:rPr>
        <w:t>Commitment for Life </w:t>
      </w:r>
      <w:r>
        <w:rPr>
          <w:w w:val="120"/>
          <w:sz w:val="20"/>
        </w:rPr>
        <w:t>we have given </w:t>
      </w:r>
      <w:r>
        <w:rPr>
          <w:spacing w:val="2"/>
          <w:w w:val="120"/>
          <w:sz w:val="20"/>
        </w:rPr>
        <w:t>hope </w:t>
      </w:r>
      <w:r>
        <w:rPr>
          <w:w w:val="120"/>
          <w:sz w:val="20"/>
        </w:rPr>
        <w:t>to our </w:t>
      </w:r>
      <w:r>
        <w:rPr>
          <w:spacing w:val="2"/>
          <w:w w:val="120"/>
          <w:sz w:val="20"/>
        </w:rPr>
        <w:t>Christian Aid </w:t>
      </w:r>
      <w:r>
        <w:rPr>
          <w:spacing w:val="3"/>
          <w:w w:val="120"/>
          <w:sz w:val="20"/>
        </w:rPr>
        <w:t>partners </w:t>
      </w:r>
      <w:r>
        <w:rPr>
          <w:w w:val="120"/>
          <w:sz w:val="20"/>
        </w:rPr>
        <w:t>in Zimbabwe who have </w:t>
      </w:r>
      <w:r>
        <w:rPr>
          <w:spacing w:val="2"/>
          <w:w w:val="120"/>
          <w:sz w:val="20"/>
        </w:rPr>
        <w:t>suffered </w:t>
      </w:r>
      <w:r>
        <w:rPr>
          <w:spacing w:val="3"/>
          <w:w w:val="120"/>
          <w:sz w:val="20"/>
        </w:rPr>
        <w:t>extreme </w:t>
      </w:r>
      <w:r>
        <w:rPr>
          <w:w w:val="120"/>
          <w:sz w:val="20"/>
        </w:rPr>
        <w:t>poverty, </w:t>
      </w:r>
      <w:r>
        <w:rPr>
          <w:spacing w:val="2"/>
          <w:w w:val="120"/>
          <w:sz w:val="20"/>
        </w:rPr>
        <w:t>unrest </w:t>
      </w:r>
      <w:r>
        <w:rPr>
          <w:w w:val="120"/>
          <w:sz w:val="20"/>
        </w:rPr>
        <w:t>and an economic crisis in the </w:t>
      </w:r>
      <w:r>
        <w:rPr>
          <w:spacing w:val="2"/>
          <w:w w:val="120"/>
          <w:sz w:val="20"/>
        </w:rPr>
        <w:t>last two </w:t>
      </w:r>
      <w:r>
        <w:rPr>
          <w:w w:val="120"/>
          <w:sz w:val="20"/>
        </w:rPr>
        <w:t>years. That </w:t>
      </w:r>
      <w:r>
        <w:rPr>
          <w:spacing w:val="3"/>
          <w:w w:val="120"/>
          <w:sz w:val="20"/>
        </w:rPr>
        <w:t>support, </w:t>
      </w:r>
      <w:r>
        <w:rPr>
          <w:w w:val="120"/>
          <w:sz w:val="20"/>
        </w:rPr>
        <w:t>both </w:t>
      </w:r>
      <w:r>
        <w:rPr>
          <w:spacing w:val="3"/>
          <w:w w:val="120"/>
          <w:sz w:val="20"/>
        </w:rPr>
        <w:t>monetary </w:t>
      </w:r>
      <w:r>
        <w:rPr>
          <w:w w:val="120"/>
          <w:sz w:val="20"/>
        </w:rPr>
        <w:t>and in solidarity, was </w:t>
      </w:r>
      <w:r>
        <w:rPr>
          <w:spacing w:val="2"/>
          <w:w w:val="120"/>
          <w:sz w:val="20"/>
        </w:rPr>
        <w:t>particularly </w:t>
      </w:r>
      <w:r>
        <w:rPr>
          <w:w w:val="120"/>
          <w:sz w:val="20"/>
        </w:rPr>
        <w:t>noticeable during the recent </w:t>
      </w:r>
      <w:r>
        <w:rPr>
          <w:i/>
          <w:w w:val="120"/>
          <w:sz w:val="20"/>
        </w:rPr>
        <w:t>Belonging to the World </w:t>
      </w:r>
      <w:r>
        <w:rPr>
          <w:i/>
          <w:w w:val="120"/>
          <w:sz w:val="20"/>
        </w:rPr>
        <w:t>Church</w:t>
      </w:r>
      <w:r>
        <w:rPr>
          <w:i/>
          <w:spacing w:val="-6"/>
          <w:w w:val="120"/>
          <w:sz w:val="20"/>
        </w:rPr>
        <w:t> </w:t>
      </w:r>
      <w:r>
        <w:rPr>
          <w:w w:val="120"/>
          <w:sz w:val="20"/>
        </w:rPr>
        <w:t>/</w:t>
      </w:r>
      <w:r>
        <w:rPr>
          <w:i/>
          <w:w w:val="120"/>
          <w:sz w:val="20"/>
        </w:rPr>
        <w:t>Commitment</w:t>
      </w:r>
      <w:r>
        <w:rPr>
          <w:i/>
          <w:spacing w:val="-9"/>
          <w:w w:val="120"/>
          <w:sz w:val="20"/>
        </w:rPr>
        <w:t> </w:t>
      </w:r>
      <w:r>
        <w:rPr>
          <w:i/>
          <w:w w:val="120"/>
          <w:sz w:val="20"/>
        </w:rPr>
        <w:t>for</w:t>
      </w:r>
      <w:r>
        <w:rPr>
          <w:i/>
          <w:spacing w:val="-9"/>
          <w:w w:val="120"/>
          <w:sz w:val="20"/>
        </w:rPr>
        <w:t> </w:t>
      </w:r>
      <w:r>
        <w:rPr>
          <w:i/>
          <w:w w:val="120"/>
          <w:sz w:val="20"/>
        </w:rPr>
        <w:t>Life</w:t>
      </w:r>
      <w:r>
        <w:rPr>
          <w:i/>
          <w:spacing w:val="-6"/>
          <w:w w:val="120"/>
          <w:sz w:val="20"/>
        </w:rPr>
        <w:t> </w:t>
      </w:r>
      <w:r>
        <w:rPr>
          <w:spacing w:val="2"/>
          <w:w w:val="120"/>
          <w:sz w:val="20"/>
        </w:rPr>
        <w:t>trip</w:t>
      </w:r>
      <w:r>
        <w:rPr>
          <w:spacing w:val="-7"/>
          <w:w w:val="120"/>
          <w:sz w:val="20"/>
        </w:rPr>
        <w:t> </w:t>
      </w:r>
      <w:r>
        <w:rPr>
          <w:w w:val="120"/>
          <w:sz w:val="20"/>
        </w:rPr>
        <w:t>to</w:t>
      </w:r>
      <w:r>
        <w:rPr>
          <w:spacing w:val="-7"/>
          <w:w w:val="120"/>
          <w:sz w:val="20"/>
        </w:rPr>
        <w:t> </w:t>
      </w:r>
      <w:r>
        <w:rPr>
          <w:w w:val="120"/>
          <w:sz w:val="20"/>
        </w:rPr>
        <w:t>Zimbabwe. </w:t>
      </w:r>
      <w:r>
        <w:rPr>
          <w:spacing w:val="3"/>
          <w:w w:val="120"/>
          <w:sz w:val="20"/>
        </w:rPr>
        <w:t>Albert </w:t>
      </w:r>
      <w:r>
        <w:rPr>
          <w:w w:val="120"/>
          <w:sz w:val="20"/>
        </w:rPr>
        <w:t>Nkomo who featured in </w:t>
      </w:r>
      <w:r>
        <w:rPr>
          <w:spacing w:val="2"/>
          <w:w w:val="120"/>
          <w:sz w:val="20"/>
        </w:rPr>
        <w:t>last </w:t>
      </w:r>
      <w:r>
        <w:rPr>
          <w:w w:val="120"/>
          <w:sz w:val="20"/>
        </w:rPr>
        <w:t>July’s materials is spreading the </w:t>
      </w:r>
      <w:r>
        <w:rPr>
          <w:spacing w:val="3"/>
          <w:w w:val="120"/>
          <w:sz w:val="20"/>
        </w:rPr>
        <w:t>good </w:t>
      </w:r>
      <w:r>
        <w:rPr>
          <w:w w:val="120"/>
          <w:sz w:val="20"/>
        </w:rPr>
        <w:t>news of </w:t>
      </w:r>
      <w:r>
        <w:rPr>
          <w:spacing w:val="2"/>
          <w:w w:val="120"/>
          <w:sz w:val="20"/>
        </w:rPr>
        <w:t>farming </w:t>
      </w:r>
      <w:r>
        <w:rPr>
          <w:w w:val="120"/>
          <w:sz w:val="20"/>
        </w:rPr>
        <w:t>‘God’s Way’ with his </w:t>
      </w:r>
      <w:r>
        <w:rPr>
          <w:spacing w:val="2"/>
          <w:w w:val="120"/>
          <w:sz w:val="20"/>
        </w:rPr>
        <w:t>conservation farming </w:t>
      </w:r>
      <w:r>
        <w:rPr>
          <w:w w:val="120"/>
          <w:sz w:val="20"/>
        </w:rPr>
        <w:t>techniques that have </w:t>
      </w:r>
      <w:r>
        <w:rPr>
          <w:spacing w:val="2"/>
          <w:w w:val="120"/>
          <w:sz w:val="20"/>
        </w:rPr>
        <w:t>quadrupled </w:t>
      </w:r>
      <w:r>
        <w:rPr>
          <w:w w:val="120"/>
          <w:sz w:val="20"/>
        </w:rPr>
        <w:t>his crop. His </w:t>
      </w:r>
      <w:r>
        <w:rPr>
          <w:spacing w:val="2"/>
          <w:w w:val="120"/>
          <w:sz w:val="20"/>
        </w:rPr>
        <w:t>neighbour Daissy </w:t>
      </w:r>
      <w:r>
        <w:rPr>
          <w:w w:val="120"/>
          <w:sz w:val="20"/>
        </w:rPr>
        <w:t>Moyo gave this </w:t>
      </w:r>
      <w:r>
        <w:rPr>
          <w:spacing w:val="2"/>
          <w:w w:val="120"/>
          <w:sz w:val="20"/>
        </w:rPr>
        <w:t>message </w:t>
      </w:r>
      <w:r>
        <w:rPr>
          <w:w w:val="120"/>
          <w:sz w:val="20"/>
        </w:rPr>
        <w:t>to </w:t>
      </w:r>
      <w:r>
        <w:rPr>
          <w:i/>
          <w:w w:val="120"/>
          <w:sz w:val="20"/>
        </w:rPr>
        <w:t>Commitment for Life </w:t>
      </w:r>
      <w:r>
        <w:rPr>
          <w:spacing w:val="2"/>
          <w:w w:val="120"/>
          <w:sz w:val="20"/>
        </w:rPr>
        <w:t>supporters: </w:t>
      </w:r>
      <w:r>
        <w:rPr>
          <w:w w:val="120"/>
          <w:sz w:val="20"/>
        </w:rPr>
        <w:t>‘I’m </w:t>
      </w:r>
      <w:r>
        <w:rPr>
          <w:spacing w:val="2"/>
          <w:w w:val="120"/>
          <w:sz w:val="20"/>
        </w:rPr>
        <w:t>thankful </w:t>
      </w:r>
      <w:r>
        <w:rPr>
          <w:w w:val="120"/>
          <w:sz w:val="20"/>
        </w:rPr>
        <w:t>to you because now I have </w:t>
      </w:r>
      <w:r>
        <w:rPr>
          <w:spacing w:val="2"/>
          <w:w w:val="120"/>
          <w:sz w:val="20"/>
        </w:rPr>
        <w:t>knowledge from </w:t>
      </w:r>
      <w:r>
        <w:rPr>
          <w:w w:val="120"/>
          <w:sz w:val="20"/>
        </w:rPr>
        <w:t>the </w:t>
      </w:r>
      <w:r>
        <w:rPr>
          <w:spacing w:val="2"/>
          <w:w w:val="120"/>
          <w:sz w:val="20"/>
        </w:rPr>
        <w:t>training. </w:t>
      </w:r>
      <w:r>
        <w:rPr>
          <w:w w:val="120"/>
          <w:sz w:val="20"/>
        </w:rPr>
        <w:t>I used to be known as </w:t>
      </w:r>
      <w:r>
        <w:rPr>
          <w:spacing w:val="2"/>
          <w:w w:val="120"/>
          <w:sz w:val="20"/>
        </w:rPr>
        <w:t>someone </w:t>
      </w:r>
      <w:r>
        <w:rPr>
          <w:w w:val="120"/>
          <w:sz w:val="20"/>
        </w:rPr>
        <w:t>who is</w:t>
      </w:r>
      <w:r>
        <w:rPr>
          <w:spacing w:val="35"/>
          <w:w w:val="120"/>
          <w:sz w:val="20"/>
        </w:rPr>
        <w:t> </w:t>
      </w:r>
      <w:r>
        <w:rPr>
          <w:spacing w:val="-3"/>
          <w:w w:val="120"/>
          <w:sz w:val="20"/>
        </w:rPr>
        <w:t>poor.’</w:t>
      </w:r>
    </w:p>
    <w:p>
      <w:pPr>
        <w:pStyle w:val="BodyText"/>
        <w:spacing w:before="8"/>
      </w:pPr>
    </w:p>
    <w:p>
      <w:pPr>
        <w:pStyle w:val="ListParagraph"/>
        <w:numPr>
          <w:ilvl w:val="2"/>
          <w:numId w:val="143"/>
        </w:numPr>
        <w:tabs>
          <w:tab w:pos="5832" w:val="left" w:leader="none"/>
        </w:tabs>
        <w:spacing w:line="235" w:lineRule="auto" w:before="0" w:after="0"/>
        <w:ind w:left="5266" w:right="2119" w:firstLine="0"/>
        <w:jc w:val="left"/>
        <w:rPr>
          <w:sz w:val="20"/>
        </w:rPr>
      </w:pPr>
      <w:r>
        <w:rPr>
          <w:w w:val="115"/>
          <w:sz w:val="20"/>
        </w:rPr>
        <w:t>The trip enabled </w:t>
      </w:r>
      <w:r>
        <w:rPr>
          <w:i/>
          <w:w w:val="115"/>
          <w:sz w:val="20"/>
        </w:rPr>
        <w:t>Commitment for Life </w:t>
      </w:r>
      <w:r>
        <w:rPr>
          <w:w w:val="115"/>
          <w:sz w:val="20"/>
        </w:rPr>
        <w:t>Advocate </w:t>
      </w:r>
      <w:r>
        <w:rPr>
          <w:spacing w:val="2"/>
          <w:w w:val="115"/>
          <w:sz w:val="20"/>
        </w:rPr>
        <w:t>Mary </w:t>
      </w:r>
      <w:r>
        <w:rPr>
          <w:w w:val="115"/>
          <w:sz w:val="20"/>
        </w:rPr>
        <w:t>Jeremiah from the Synod of Wales to see for herself how the money raised by </w:t>
      </w:r>
      <w:r>
        <w:rPr>
          <w:i/>
          <w:w w:val="115"/>
          <w:sz w:val="20"/>
        </w:rPr>
        <w:t>Commitment for Life </w:t>
      </w:r>
      <w:r>
        <w:rPr>
          <w:w w:val="115"/>
          <w:sz w:val="20"/>
        </w:rPr>
        <w:t>is used. Following the trip she</w:t>
      </w:r>
      <w:r>
        <w:rPr>
          <w:spacing w:val="9"/>
          <w:w w:val="115"/>
          <w:sz w:val="20"/>
        </w:rPr>
        <w:t> </w:t>
      </w:r>
      <w:r>
        <w:rPr>
          <w:w w:val="115"/>
          <w:sz w:val="20"/>
        </w:rPr>
        <w:t>said:</w:t>
      </w:r>
    </w:p>
    <w:p>
      <w:pPr>
        <w:pStyle w:val="BodyText"/>
        <w:spacing w:before="11"/>
        <w:rPr>
          <w:sz w:val="19"/>
        </w:rPr>
      </w:pPr>
    </w:p>
    <w:p>
      <w:pPr>
        <w:spacing w:line="235" w:lineRule="auto" w:before="1"/>
        <w:ind w:left="6179" w:right="2000" w:firstLine="0"/>
        <w:jc w:val="left"/>
        <w:rPr>
          <w:i/>
          <w:sz w:val="20"/>
        </w:rPr>
      </w:pPr>
      <w:r>
        <w:rPr>
          <w:i/>
          <w:w w:val="110"/>
          <w:sz w:val="20"/>
        </w:rPr>
        <w:t>I have seen for myself the wonderful  </w:t>
      </w:r>
      <w:r>
        <w:rPr>
          <w:i/>
          <w:w w:val="110"/>
          <w:sz w:val="20"/>
        </w:rPr>
        <w:t>work Silveira House is doing giving  people an opportunity to change their lives for the better by learning a new skill and helping their own community at the same time. Now I can be a resource for all</w:t>
      </w:r>
      <w:r>
        <w:rPr>
          <w:i/>
          <w:spacing w:val="21"/>
          <w:w w:val="110"/>
          <w:sz w:val="20"/>
        </w:rPr>
        <w:t> </w:t>
      </w:r>
      <w:r>
        <w:rPr>
          <w:i/>
          <w:w w:val="110"/>
          <w:sz w:val="20"/>
        </w:rPr>
        <w:t>the</w:t>
      </w:r>
      <w:r>
        <w:rPr>
          <w:i/>
          <w:spacing w:val="21"/>
          <w:w w:val="110"/>
          <w:sz w:val="20"/>
        </w:rPr>
        <w:t> </w:t>
      </w:r>
      <w:r>
        <w:rPr>
          <w:i/>
          <w:w w:val="110"/>
          <w:sz w:val="20"/>
        </w:rPr>
        <w:t>churches</w:t>
      </w:r>
      <w:r>
        <w:rPr>
          <w:i/>
          <w:spacing w:val="22"/>
          <w:w w:val="110"/>
          <w:sz w:val="20"/>
        </w:rPr>
        <w:t> </w:t>
      </w:r>
      <w:r>
        <w:rPr>
          <w:i/>
          <w:w w:val="110"/>
          <w:sz w:val="20"/>
        </w:rPr>
        <w:t>who</w:t>
      </w:r>
      <w:r>
        <w:rPr>
          <w:i/>
          <w:spacing w:val="21"/>
          <w:w w:val="110"/>
          <w:sz w:val="20"/>
        </w:rPr>
        <w:t> </w:t>
      </w:r>
      <w:r>
        <w:rPr>
          <w:i/>
          <w:w w:val="110"/>
          <w:sz w:val="20"/>
        </w:rPr>
        <w:t>support</w:t>
      </w:r>
      <w:r>
        <w:rPr>
          <w:i/>
          <w:spacing w:val="22"/>
          <w:w w:val="110"/>
          <w:sz w:val="20"/>
        </w:rPr>
        <w:t> </w:t>
      </w:r>
      <w:r>
        <w:rPr>
          <w:i/>
          <w:w w:val="110"/>
          <w:sz w:val="20"/>
        </w:rPr>
        <w:t>Zimbabwe.</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8"/>
        <w:rPr>
          <w:i/>
        </w:rPr>
      </w:pPr>
    </w:p>
    <w:p>
      <w:pPr>
        <w:pStyle w:val="ListParagraph"/>
        <w:numPr>
          <w:ilvl w:val="1"/>
          <w:numId w:val="143"/>
        </w:numPr>
        <w:tabs>
          <w:tab w:pos="1814" w:val="left" w:leader="none"/>
          <w:tab w:pos="1815" w:val="left" w:leader="none"/>
        </w:tabs>
        <w:spacing w:line="240" w:lineRule="auto" w:before="100" w:after="0"/>
        <w:ind w:left="1814" w:right="0" w:hanging="682"/>
        <w:jc w:val="left"/>
        <w:rPr>
          <w:sz w:val="20"/>
        </w:rPr>
      </w:pPr>
      <w:r>
        <w:rPr>
          <w:w w:val="120"/>
          <w:sz w:val="20"/>
        </w:rPr>
        <w:t>Justice and</w:t>
      </w:r>
      <w:r>
        <w:rPr>
          <w:spacing w:val="3"/>
          <w:w w:val="120"/>
          <w:sz w:val="20"/>
        </w:rPr>
        <w:t> </w:t>
      </w:r>
      <w:r>
        <w:rPr>
          <w:w w:val="120"/>
          <w:sz w:val="20"/>
        </w:rPr>
        <w:t>peace</w:t>
      </w:r>
    </w:p>
    <w:p>
      <w:pPr>
        <w:pStyle w:val="BodyText"/>
        <w:spacing w:before="7"/>
        <w:rPr>
          <w:sz w:val="19"/>
        </w:rPr>
      </w:pPr>
    </w:p>
    <w:p>
      <w:pPr>
        <w:pStyle w:val="ListParagraph"/>
        <w:numPr>
          <w:ilvl w:val="2"/>
          <w:numId w:val="143"/>
        </w:numPr>
        <w:tabs>
          <w:tab w:pos="1814" w:val="left" w:leader="none"/>
          <w:tab w:pos="1815" w:val="left" w:leader="none"/>
        </w:tabs>
        <w:spacing w:line="235" w:lineRule="auto" w:before="0" w:after="0"/>
        <w:ind w:left="1133" w:right="2041" w:firstLine="0"/>
        <w:jc w:val="left"/>
        <w:rPr>
          <w:sz w:val="20"/>
        </w:rPr>
      </w:pPr>
      <w:r>
        <w:rPr>
          <w:w w:val="120"/>
          <w:sz w:val="20"/>
        </w:rPr>
        <w:t>Church and Society </w:t>
      </w:r>
      <w:r>
        <w:rPr>
          <w:spacing w:val="-5"/>
          <w:w w:val="120"/>
          <w:sz w:val="20"/>
        </w:rPr>
        <w:t>(now </w:t>
      </w:r>
      <w:r>
        <w:rPr>
          <w:spacing w:val="2"/>
          <w:w w:val="120"/>
          <w:sz w:val="20"/>
        </w:rPr>
        <w:t>part </w:t>
      </w:r>
      <w:r>
        <w:rPr>
          <w:w w:val="120"/>
          <w:sz w:val="20"/>
        </w:rPr>
        <w:t>of the ecumenical Joint Public Issues </w:t>
      </w:r>
      <w:r>
        <w:rPr>
          <w:spacing w:val="-7"/>
          <w:w w:val="120"/>
          <w:sz w:val="20"/>
        </w:rPr>
        <w:t>Team), </w:t>
      </w:r>
      <w:r>
        <w:rPr>
          <w:i/>
          <w:w w:val="120"/>
          <w:sz w:val="20"/>
        </w:rPr>
        <w:t>Commitment</w:t>
      </w:r>
      <w:r>
        <w:rPr>
          <w:i/>
          <w:spacing w:val="-7"/>
          <w:w w:val="120"/>
          <w:sz w:val="20"/>
        </w:rPr>
        <w:t> </w:t>
      </w:r>
      <w:r>
        <w:rPr>
          <w:i/>
          <w:w w:val="120"/>
          <w:sz w:val="20"/>
        </w:rPr>
        <w:t>for</w:t>
      </w:r>
      <w:r>
        <w:rPr>
          <w:i/>
          <w:spacing w:val="-6"/>
          <w:w w:val="120"/>
          <w:sz w:val="20"/>
        </w:rPr>
        <w:t> </w:t>
      </w:r>
      <w:r>
        <w:rPr>
          <w:i/>
          <w:w w:val="120"/>
          <w:sz w:val="20"/>
        </w:rPr>
        <w:t>Life</w:t>
      </w:r>
      <w:r>
        <w:rPr>
          <w:i/>
          <w:spacing w:val="-4"/>
          <w:w w:val="120"/>
          <w:sz w:val="20"/>
        </w:rPr>
        <w:t> </w:t>
      </w:r>
      <w:r>
        <w:rPr>
          <w:w w:val="120"/>
          <w:sz w:val="20"/>
        </w:rPr>
        <w:t>and</w:t>
      </w:r>
      <w:r>
        <w:rPr>
          <w:spacing w:val="-4"/>
          <w:w w:val="120"/>
          <w:sz w:val="20"/>
        </w:rPr>
        <w:t> </w:t>
      </w:r>
      <w:r>
        <w:rPr>
          <w:w w:val="120"/>
          <w:sz w:val="20"/>
        </w:rPr>
        <w:t>World</w:t>
      </w:r>
      <w:r>
        <w:rPr>
          <w:spacing w:val="-3"/>
          <w:w w:val="120"/>
          <w:sz w:val="20"/>
        </w:rPr>
        <w:t> </w:t>
      </w:r>
      <w:r>
        <w:rPr>
          <w:w w:val="120"/>
          <w:sz w:val="20"/>
        </w:rPr>
        <w:t>Church</w:t>
      </w:r>
      <w:r>
        <w:rPr>
          <w:spacing w:val="-4"/>
          <w:w w:val="120"/>
          <w:sz w:val="20"/>
        </w:rPr>
        <w:t> </w:t>
      </w:r>
      <w:r>
        <w:rPr>
          <w:w w:val="120"/>
          <w:sz w:val="20"/>
        </w:rPr>
        <w:t>Relations</w:t>
      </w:r>
      <w:r>
        <w:rPr>
          <w:spacing w:val="-4"/>
          <w:w w:val="120"/>
          <w:sz w:val="20"/>
        </w:rPr>
        <w:t> </w:t>
      </w:r>
      <w:r>
        <w:rPr>
          <w:w w:val="120"/>
          <w:sz w:val="20"/>
        </w:rPr>
        <w:t>enable</w:t>
      </w:r>
      <w:r>
        <w:rPr>
          <w:spacing w:val="-3"/>
          <w:w w:val="120"/>
          <w:sz w:val="20"/>
        </w:rPr>
        <w:t> </w:t>
      </w:r>
      <w:r>
        <w:rPr>
          <w:w w:val="120"/>
          <w:sz w:val="20"/>
        </w:rPr>
        <w:t>the</w:t>
      </w:r>
      <w:r>
        <w:rPr>
          <w:spacing w:val="-4"/>
          <w:w w:val="120"/>
          <w:sz w:val="20"/>
        </w:rPr>
        <w:t> </w:t>
      </w:r>
      <w:r>
        <w:rPr>
          <w:w w:val="120"/>
          <w:sz w:val="20"/>
        </w:rPr>
        <w:t>Church</w:t>
      </w:r>
      <w:r>
        <w:rPr>
          <w:spacing w:val="-4"/>
          <w:w w:val="120"/>
          <w:sz w:val="20"/>
        </w:rPr>
        <w:t> </w:t>
      </w:r>
      <w:r>
        <w:rPr>
          <w:w w:val="120"/>
          <w:sz w:val="20"/>
        </w:rPr>
        <w:t>to</w:t>
      </w:r>
      <w:r>
        <w:rPr>
          <w:spacing w:val="-3"/>
          <w:w w:val="120"/>
          <w:sz w:val="20"/>
        </w:rPr>
        <w:t> </w:t>
      </w:r>
      <w:r>
        <w:rPr>
          <w:w w:val="120"/>
          <w:sz w:val="20"/>
        </w:rPr>
        <w:t>be</w:t>
      </w:r>
      <w:r>
        <w:rPr>
          <w:spacing w:val="-4"/>
          <w:w w:val="120"/>
          <w:sz w:val="20"/>
        </w:rPr>
        <w:t> </w:t>
      </w:r>
      <w:r>
        <w:rPr>
          <w:w w:val="120"/>
          <w:sz w:val="20"/>
        </w:rPr>
        <w:t>a</w:t>
      </w:r>
      <w:r>
        <w:rPr>
          <w:spacing w:val="-4"/>
          <w:w w:val="120"/>
          <w:sz w:val="20"/>
        </w:rPr>
        <w:t> </w:t>
      </w:r>
      <w:r>
        <w:rPr>
          <w:w w:val="120"/>
          <w:sz w:val="20"/>
        </w:rPr>
        <w:t>Church</w:t>
      </w:r>
      <w:r>
        <w:rPr>
          <w:spacing w:val="-3"/>
          <w:w w:val="120"/>
          <w:sz w:val="20"/>
        </w:rPr>
        <w:t> </w:t>
      </w:r>
      <w:r>
        <w:rPr>
          <w:w w:val="120"/>
          <w:sz w:val="20"/>
        </w:rPr>
        <w:t>that</w:t>
      </w:r>
      <w:r>
        <w:rPr>
          <w:spacing w:val="-4"/>
          <w:w w:val="120"/>
          <w:sz w:val="20"/>
        </w:rPr>
        <w:t> </w:t>
      </w:r>
      <w:r>
        <w:rPr>
          <w:w w:val="120"/>
          <w:sz w:val="20"/>
        </w:rPr>
        <w:t>is committed to peace and reconciliation, tackling poverty and challenging</w:t>
      </w:r>
      <w:r>
        <w:rPr>
          <w:spacing w:val="11"/>
          <w:w w:val="120"/>
          <w:sz w:val="20"/>
        </w:rPr>
        <w:t> </w:t>
      </w:r>
      <w:r>
        <w:rPr>
          <w:w w:val="120"/>
          <w:sz w:val="20"/>
        </w:rPr>
        <w:t>injustice.</w:t>
      </w:r>
    </w:p>
    <w:p>
      <w:pPr>
        <w:pStyle w:val="BodyText"/>
        <w:spacing w:before="10"/>
        <w:rPr>
          <w:sz w:val="19"/>
        </w:rPr>
      </w:pPr>
    </w:p>
    <w:p>
      <w:pPr>
        <w:pStyle w:val="ListParagraph"/>
        <w:numPr>
          <w:ilvl w:val="2"/>
          <w:numId w:val="143"/>
        </w:numPr>
        <w:tabs>
          <w:tab w:pos="1815" w:val="left" w:leader="none"/>
        </w:tabs>
        <w:spacing w:line="235" w:lineRule="auto" w:before="0" w:after="0"/>
        <w:ind w:left="1133" w:right="2033" w:firstLine="0"/>
        <w:jc w:val="left"/>
        <w:rPr>
          <w:sz w:val="20"/>
        </w:rPr>
      </w:pPr>
      <w:r>
        <w:rPr>
          <w:spacing w:val="2"/>
          <w:w w:val="120"/>
          <w:sz w:val="20"/>
        </w:rPr>
        <w:t>The </w:t>
      </w:r>
      <w:r>
        <w:rPr>
          <w:w w:val="120"/>
          <w:sz w:val="20"/>
        </w:rPr>
        <w:t>global financial crisis and pursuant economic recession have wrought havoc with the livelihoods of millions of the most </w:t>
      </w:r>
      <w:r>
        <w:rPr>
          <w:spacing w:val="2"/>
          <w:w w:val="120"/>
          <w:sz w:val="20"/>
        </w:rPr>
        <w:t>vulnerable members </w:t>
      </w:r>
      <w:r>
        <w:rPr>
          <w:w w:val="120"/>
          <w:sz w:val="20"/>
        </w:rPr>
        <w:t>of </w:t>
      </w:r>
      <w:r>
        <w:rPr>
          <w:spacing w:val="2"/>
          <w:w w:val="120"/>
          <w:sz w:val="20"/>
        </w:rPr>
        <w:t>society </w:t>
      </w:r>
      <w:r>
        <w:rPr>
          <w:w w:val="120"/>
          <w:sz w:val="20"/>
        </w:rPr>
        <w:t>in the </w:t>
      </w:r>
      <w:r>
        <w:rPr>
          <w:spacing w:val="2"/>
          <w:w w:val="120"/>
          <w:sz w:val="20"/>
        </w:rPr>
        <w:t>UK   </w:t>
      </w:r>
      <w:r>
        <w:rPr>
          <w:w w:val="120"/>
          <w:sz w:val="20"/>
        </w:rPr>
        <w:t>and abroad. </w:t>
      </w:r>
      <w:r>
        <w:rPr>
          <w:spacing w:val="2"/>
          <w:w w:val="120"/>
          <w:sz w:val="20"/>
        </w:rPr>
        <w:t>Following </w:t>
      </w:r>
      <w:r>
        <w:rPr>
          <w:w w:val="120"/>
          <w:sz w:val="20"/>
        </w:rPr>
        <w:t>the </w:t>
      </w:r>
      <w:r>
        <w:rPr>
          <w:spacing w:val="2"/>
          <w:w w:val="120"/>
          <w:sz w:val="20"/>
        </w:rPr>
        <w:t>adoption </w:t>
      </w:r>
      <w:r>
        <w:rPr>
          <w:w w:val="120"/>
          <w:sz w:val="20"/>
        </w:rPr>
        <w:t>of an </w:t>
      </w:r>
      <w:r>
        <w:rPr>
          <w:spacing w:val="2"/>
          <w:w w:val="120"/>
          <w:sz w:val="20"/>
        </w:rPr>
        <w:t>emergency resolution </w:t>
      </w:r>
      <w:r>
        <w:rPr>
          <w:w w:val="120"/>
          <w:sz w:val="20"/>
        </w:rPr>
        <w:t>on the financial crisis   at</w:t>
      </w:r>
      <w:r>
        <w:rPr>
          <w:spacing w:val="14"/>
          <w:w w:val="120"/>
          <w:sz w:val="20"/>
        </w:rPr>
        <w:t> </w:t>
      </w:r>
      <w:r>
        <w:rPr>
          <w:w w:val="120"/>
          <w:sz w:val="20"/>
        </w:rPr>
        <w:t>Mission</w:t>
      </w:r>
      <w:r>
        <w:rPr>
          <w:spacing w:val="15"/>
          <w:w w:val="120"/>
          <w:sz w:val="20"/>
        </w:rPr>
        <w:t> </w:t>
      </w:r>
      <w:r>
        <w:rPr>
          <w:w w:val="120"/>
          <w:sz w:val="20"/>
        </w:rPr>
        <w:t>Council</w:t>
      </w:r>
      <w:r>
        <w:rPr>
          <w:spacing w:val="15"/>
          <w:w w:val="120"/>
          <w:sz w:val="20"/>
        </w:rPr>
        <w:t> </w:t>
      </w:r>
      <w:r>
        <w:rPr>
          <w:w w:val="120"/>
          <w:sz w:val="20"/>
        </w:rPr>
        <w:t>in</w:t>
      </w:r>
      <w:r>
        <w:rPr>
          <w:spacing w:val="15"/>
          <w:w w:val="120"/>
          <w:sz w:val="20"/>
        </w:rPr>
        <w:t> </w:t>
      </w:r>
      <w:r>
        <w:rPr>
          <w:w w:val="120"/>
          <w:sz w:val="20"/>
        </w:rPr>
        <w:t>November</w:t>
      </w:r>
      <w:r>
        <w:rPr>
          <w:spacing w:val="15"/>
          <w:w w:val="120"/>
          <w:sz w:val="20"/>
        </w:rPr>
        <w:t> </w:t>
      </w:r>
      <w:r>
        <w:rPr>
          <w:spacing w:val="3"/>
          <w:w w:val="120"/>
          <w:sz w:val="20"/>
        </w:rPr>
        <w:t>2009</w:t>
      </w:r>
      <w:r>
        <w:rPr>
          <w:spacing w:val="15"/>
          <w:w w:val="120"/>
          <w:sz w:val="20"/>
        </w:rPr>
        <w:t> </w:t>
      </w:r>
      <w:r>
        <w:rPr>
          <w:w w:val="120"/>
          <w:sz w:val="20"/>
        </w:rPr>
        <w:t>which</w:t>
      </w:r>
      <w:r>
        <w:rPr>
          <w:spacing w:val="15"/>
          <w:w w:val="120"/>
          <w:sz w:val="20"/>
        </w:rPr>
        <w:t> </w:t>
      </w:r>
      <w:r>
        <w:rPr>
          <w:spacing w:val="2"/>
          <w:w w:val="120"/>
          <w:sz w:val="20"/>
        </w:rPr>
        <w:t>expressed</w:t>
      </w:r>
      <w:r>
        <w:rPr>
          <w:spacing w:val="15"/>
          <w:w w:val="120"/>
          <w:sz w:val="20"/>
        </w:rPr>
        <w:t> </w:t>
      </w:r>
      <w:r>
        <w:rPr>
          <w:spacing w:val="3"/>
          <w:w w:val="120"/>
          <w:sz w:val="20"/>
        </w:rPr>
        <w:t>support</w:t>
      </w:r>
      <w:r>
        <w:rPr>
          <w:spacing w:val="15"/>
          <w:w w:val="120"/>
          <w:sz w:val="20"/>
        </w:rPr>
        <w:t> </w:t>
      </w:r>
      <w:r>
        <w:rPr>
          <w:w w:val="120"/>
          <w:sz w:val="20"/>
        </w:rPr>
        <w:t>for</w:t>
      </w:r>
      <w:r>
        <w:rPr>
          <w:spacing w:val="14"/>
          <w:w w:val="120"/>
          <w:sz w:val="20"/>
        </w:rPr>
        <w:t> </w:t>
      </w:r>
      <w:r>
        <w:rPr>
          <w:w w:val="120"/>
          <w:sz w:val="20"/>
        </w:rPr>
        <w:t>the</w:t>
      </w:r>
      <w:r>
        <w:rPr>
          <w:spacing w:val="15"/>
          <w:w w:val="120"/>
          <w:sz w:val="20"/>
        </w:rPr>
        <w:t> </w:t>
      </w:r>
      <w:r>
        <w:rPr>
          <w:spacing w:val="2"/>
          <w:w w:val="120"/>
          <w:sz w:val="20"/>
        </w:rPr>
        <w:t>introduction</w:t>
      </w:r>
    </w:p>
    <w:p>
      <w:pPr>
        <w:pStyle w:val="BodyText"/>
        <w:spacing w:line="235" w:lineRule="auto" w:before="3"/>
        <w:ind w:left="1133" w:right="2251"/>
      </w:pPr>
      <w:r>
        <w:rPr>
          <w:w w:val="120"/>
        </w:rPr>
        <w:t>of a global financial </w:t>
      </w:r>
      <w:r>
        <w:rPr>
          <w:spacing w:val="2"/>
          <w:w w:val="120"/>
        </w:rPr>
        <w:t>transactions </w:t>
      </w:r>
      <w:r>
        <w:rPr>
          <w:spacing w:val="3"/>
          <w:w w:val="120"/>
        </w:rPr>
        <w:t>tax, </w:t>
      </w:r>
      <w:r>
        <w:rPr>
          <w:w w:val="120"/>
        </w:rPr>
        <w:t>the URC was the </w:t>
      </w:r>
      <w:r>
        <w:rPr>
          <w:spacing w:val="2"/>
          <w:w w:val="120"/>
        </w:rPr>
        <w:t>first </w:t>
      </w:r>
      <w:r>
        <w:rPr>
          <w:w w:val="120"/>
        </w:rPr>
        <w:t>denomination in the </w:t>
      </w:r>
      <w:r>
        <w:rPr>
          <w:spacing w:val="2"/>
          <w:w w:val="120"/>
        </w:rPr>
        <w:t>UK </w:t>
      </w:r>
      <w:r>
        <w:rPr>
          <w:w w:val="120"/>
        </w:rPr>
        <w:t>to join the Robin </w:t>
      </w:r>
      <w:r>
        <w:rPr>
          <w:spacing w:val="3"/>
          <w:w w:val="120"/>
        </w:rPr>
        <w:t>Hood </w:t>
      </w:r>
      <w:r>
        <w:rPr>
          <w:spacing w:val="-3"/>
          <w:w w:val="120"/>
        </w:rPr>
        <w:t>Tax </w:t>
      </w:r>
      <w:r>
        <w:rPr>
          <w:spacing w:val="2"/>
          <w:w w:val="120"/>
        </w:rPr>
        <w:t>(RHT) </w:t>
      </w:r>
      <w:r>
        <w:rPr>
          <w:w w:val="120"/>
        </w:rPr>
        <w:t>campaign which was launched on 10</w:t>
      </w:r>
      <w:r>
        <w:rPr>
          <w:w w:val="120"/>
          <w:position w:val="7"/>
          <w:sz w:val="11"/>
        </w:rPr>
        <w:t>th </w:t>
      </w:r>
      <w:r>
        <w:rPr>
          <w:spacing w:val="4"/>
          <w:w w:val="120"/>
        </w:rPr>
        <w:t>February </w:t>
      </w:r>
      <w:r>
        <w:rPr>
          <w:spacing w:val="-3"/>
          <w:w w:val="120"/>
        </w:rPr>
        <w:t>2010. </w:t>
      </w:r>
      <w:r>
        <w:rPr>
          <w:spacing w:val="2"/>
          <w:w w:val="120"/>
        </w:rPr>
        <w:t>The </w:t>
      </w:r>
      <w:r>
        <w:rPr>
          <w:w w:val="120"/>
        </w:rPr>
        <w:t>campaign is a movement </w:t>
      </w:r>
      <w:r>
        <w:rPr>
          <w:spacing w:val="2"/>
          <w:w w:val="120"/>
        </w:rPr>
        <w:t>bringing </w:t>
      </w:r>
      <w:r>
        <w:rPr>
          <w:w w:val="120"/>
        </w:rPr>
        <w:t>together dozens of organisations that work to reduce </w:t>
      </w:r>
      <w:r>
        <w:rPr>
          <w:spacing w:val="3"/>
          <w:w w:val="120"/>
        </w:rPr>
        <w:t>poverty </w:t>
      </w:r>
      <w:r>
        <w:rPr>
          <w:w w:val="120"/>
        </w:rPr>
        <w:t>in the </w:t>
      </w:r>
      <w:r>
        <w:rPr>
          <w:spacing w:val="2"/>
          <w:w w:val="120"/>
        </w:rPr>
        <w:t>UK </w:t>
      </w:r>
      <w:r>
        <w:rPr>
          <w:w w:val="120"/>
        </w:rPr>
        <w:t>and overseas, and campaign to </w:t>
      </w:r>
      <w:r>
        <w:rPr>
          <w:spacing w:val="2"/>
          <w:w w:val="120"/>
        </w:rPr>
        <w:t>tackle </w:t>
      </w:r>
      <w:r>
        <w:rPr>
          <w:w w:val="120"/>
        </w:rPr>
        <w:t>climate change. They have come together during the economic crisis to campaign for a new deal </w:t>
      </w:r>
      <w:r>
        <w:rPr>
          <w:spacing w:val="2"/>
          <w:w w:val="120"/>
        </w:rPr>
        <w:t>between banks </w:t>
      </w:r>
      <w:r>
        <w:rPr>
          <w:w w:val="120"/>
        </w:rPr>
        <w:t>and</w:t>
      </w:r>
      <w:r>
        <w:rPr>
          <w:spacing w:val="10"/>
          <w:w w:val="120"/>
        </w:rPr>
        <w:t> </w:t>
      </w:r>
      <w:r>
        <w:rPr>
          <w:w w:val="120"/>
        </w:rPr>
        <w:t>society.</w:t>
      </w:r>
    </w:p>
    <w:p>
      <w:pPr>
        <w:pStyle w:val="BodyText"/>
        <w:spacing w:before="1"/>
      </w:pPr>
    </w:p>
    <w:p>
      <w:pPr>
        <w:pStyle w:val="BodyText"/>
        <w:spacing w:line="235" w:lineRule="auto" w:before="1"/>
        <w:ind w:left="1133" w:right="2191"/>
      </w:pPr>
      <w:r>
        <w:rPr>
          <w:w w:val="120"/>
        </w:rPr>
        <w:t>The campaign is calling for a tiny </w:t>
      </w:r>
      <w:r>
        <w:rPr>
          <w:spacing w:val="2"/>
          <w:w w:val="120"/>
        </w:rPr>
        <w:t>tax </w:t>
      </w:r>
      <w:r>
        <w:rPr>
          <w:w w:val="120"/>
        </w:rPr>
        <w:t>on bankers that would give billions to tackle poverty and climate change at home and abroad. The tax, </w:t>
      </w:r>
      <w:r>
        <w:rPr>
          <w:spacing w:val="-3"/>
          <w:w w:val="120"/>
        </w:rPr>
        <w:t>0.05%, </w:t>
      </w:r>
      <w:r>
        <w:rPr>
          <w:w w:val="120"/>
        </w:rPr>
        <w:t>would be on financial trading of stocks, bonds, commodities and foreign exchange. The URC has been responsible</w:t>
      </w:r>
      <w:r>
        <w:rPr>
          <w:spacing w:val="8"/>
          <w:w w:val="120"/>
        </w:rPr>
        <w:t> </w:t>
      </w:r>
      <w:r>
        <w:rPr>
          <w:w w:val="120"/>
        </w:rPr>
        <w:t>for</w:t>
      </w:r>
      <w:r>
        <w:rPr>
          <w:spacing w:val="8"/>
          <w:w w:val="120"/>
        </w:rPr>
        <w:t> </w:t>
      </w:r>
      <w:r>
        <w:rPr>
          <w:w w:val="120"/>
        </w:rPr>
        <w:t>building</w:t>
      </w:r>
      <w:r>
        <w:rPr>
          <w:spacing w:val="8"/>
          <w:w w:val="120"/>
        </w:rPr>
        <w:t> </w:t>
      </w:r>
      <w:r>
        <w:rPr>
          <w:w w:val="120"/>
        </w:rPr>
        <w:t>the</w:t>
      </w:r>
      <w:r>
        <w:rPr>
          <w:spacing w:val="8"/>
          <w:w w:val="120"/>
        </w:rPr>
        <w:t> </w:t>
      </w:r>
      <w:r>
        <w:rPr>
          <w:w w:val="120"/>
        </w:rPr>
        <w:t>moral</w:t>
      </w:r>
      <w:r>
        <w:rPr>
          <w:spacing w:val="8"/>
          <w:w w:val="120"/>
        </w:rPr>
        <w:t> </w:t>
      </w:r>
      <w:r>
        <w:rPr>
          <w:w w:val="120"/>
        </w:rPr>
        <w:t>authority</w:t>
      </w:r>
      <w:r>
        <w:rPr>
          <w:spacing w:val="9"/>
          <w:w w:val="120"/>
        </w:rPr>
        <w:t> </w:t>
      </w:r>
      <w:r>
        <w:rPr>
          <w:w w:val="120"/>
        </w:rPr>
        <w:t>behind</w:t>
      </w:r>
      <w:r>
        <w:rPr>
          <w:spacing w:val="8"/>
          <w:w w:val="120"/>
        </w:rPr>
        <w:t> </w:t>
      </w:r>
      <w:r>
        <w:rPr>
          <w:w w:val="120"/>
        </w:rPr>
        <w:t>this</w:t>
      </w:r>
      <w:r>
        <w:rPr>
          <w:spacing w:val="8"/>
          <w:w w:val="120"/>
        </w:rPr>
        <w:t> </w:t>
      </w:r>
      <w:r>
        <w:rPr>
          <w:w w:val="120"/>
        </w:rPr>
        <w:t>campaign</w:t>
      </w:r>
      <w:r>
        <w:rPr>
          <w:spacing w:val="8"/>
          <w:w w:val="120"/>
        </w:rPr>
        <w:t> </w:t>
      </w:r>
      <w:r>
        <w:rPr>
          <w:w w:val="120"/>
        </w:rPr>
        <w:t>by</w:t>
      </w:r>
      <w:r>
        <w:rPr>
          <w:spacing w:val="8"/>
          <w:w w:val="120"/>
        </w:rPr>
        <w:t> </w:t>
      </w:r>
      <w:r>
        <w:rPr>
          <w:w w:val="120"/>
        </w:rPr>
        <w:t>lobbying</w:t>
      </w:r>
      <w:r>
        <w:rPr>
          <w:spacing w:val="9"/>
          <w:w w:val="120"/>
        </w:rPr>
        <w:t> </w:t>
      </w:r>
      <w:r>
        <w:rPr>
          <w:w w:val="120"/>
        </w:rPr>
        <w:t>its</w:t>
      </w:r>
    </w:p>
    <w:p>
      <w:pPr>
        <w:spacing w:after="0" w:line="235" w:lineRule="auto"/>
        <w:sectPr>
          <w:headerReference w:type="even" r:id="rId427"/>
          <w:pgSz w:w="11910" w:h="16840"/>
          <w:pgMar w:header="0" w:footer="647" w:top="0" w:bottom="840" w:left="0" w:right="0"/>
        </w:sectPr>
      </w:pPr>
    </w:p>
    <w:p>
      <w:pPr>
        <w:pStyle w:val="BodyText"/>
        <w:spacing w:line="235" w:lineRule="auto" w:before="91"/>
        <w:ind w:left="1984" w:right="1120"/>
      </w:pPr>
      <w:r>
        <w:rPr/>
        <w:pict>
          <v:shape style="position:absolute;margin-left:234.2005pt;margin-top:799.537903pt;width:321.4pt;height:15.15pt;mso-position-horizontal-relative:page;mso-position-vertical-relative:page;z-index:-267246592" type="#_x0000_t202" filled="false" stroked="false">
            <v:textbox inset="0,0,0,0">
              <w:txbxContent>
                <w:p>
                  <w:pPr>
                    <w:tabs>
                      <w:tab w:pos="5946" w:val="left" w:leader="none"/>
                    </w:tabs>
                    <w:spacing w:line="302" w:lineRule="exact" w:before="0"/>
                    <w:ind w:left="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9"/>
                      <w:w w:val="110"/>
                      <w:sz w:val="23"/>
                    </w:rPr>
                    <w:t> </w:t>
                  </w:r>
                  <w:r>
                    <w:rPr>
                      <w:color w:val="8BA8BD"/>
                      <w:w w:val="110"/>
                      <w:sz w:val="23"/>
                    </w:rPr>
                    <w:t>2010 </w:t>
                  </w:r>
                  <w:r>
                    <w:rPr>
                      <w:color w:val="8BA8BD"/>
                      <w:spacing w:val="30"/>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pacing w:val="-7"/>
                      <w:sz w:val="24"/>
                    </w:rPr>
                    <w:t>167</w:t>
                  </w:r>
                </w:p>
              </w:txbxContent>
            </v:textbox>
            <w10:wrap type="none"/>
          </v:shape>
        </w:pict>
      </w:r>
      <w:r>
        <w:rPr/>
        <w:pict>
          <v:rect style="position:absolute;margin-left:558.424988pt;margin-top:8.503343pt;width:22.677pt;height:22.677pt;mso-position-horizontal-relative:page;mso-position-vertical-relative:paragraph;z-index:252178432" filled="true" fillcolor="#dae4ec" stroked="false">
            <v:fill opacity="32768f" type="solid"/>
            <w10:wrap type="none"/>
          </v:rect>
        </w:pict>
      </w:r>
      <w:r>
        <w:rPr/>
        <w:pict>
          <v:group style="position:absolute;margin-left:0pt;margin-top:435.683014pt;width:595.3pt;height:406.25pt;mso-position-horizontal-relative:page;mso-position-vertical-relative:page;z-index:252179456" coordorigin="0,8714" coordsize="11906,8125">
            <v:shape style="position:absolute;left:0;top:8713;width:11906;height:8125" type="#_x0000_t75" stroked="false">
              <v:imagedata r:id="rId431" o:title=""/>
            </v:shape>
            <v:shape style="position:absolute;left:10454;top:8727;width:1451;height:1105" coordorigin="10455,8728" coordsize="1451,1105" path="m11906,8728l10455,8728,10530,8731,10605,8738,10679,8748,10751,8761,10822,8778,10892,8799,10961,8822,11028,8848,11093,8878,11157,8910,11219,8945,11279,8983,11338,9024,11394,9067,11448,9113,11500,9161,11550,9211,11597,9264,11642,9319,11684,9376,11724,9435,11761,9495,11796,9558,11827,9622,11856,9688,11881,9756,11903,9825,11906,9832,11906,8728xe" filled="true" fillcolor="#ffffff" stroked="false">
              <v:path arrowok="t"/>
              <v:fill type="solid"/>
            </v:shape>
            <w10:wrap type="none"/>
          </v:group>
        </w:pict>
      </w:r>
      <w:r>
        <w:rPr>
          <w:w w:val="120"/>
        </w:rPr>
        <w:t>ecumenical partners and the G20 ambassadors in London to support such a tax. We have also campaigned to get this issue included in election hustings meetings and the design and distribution of a flyer and prayer card ahead of the General Election. For more information on this campaign see </w:t>
      </w:r>
      <w:hyperlink r:id="rId432">
        <w:r>
          <w:rPr>
            <w:w w:val="120"/>
          </w:rPr>
          <w:t>www.robinhoodtax.org.uk</w:t>
        </w:r>
      </w:hyperlink>
    </w:p>
    <w:p>
      <w:pPr>
        <w:pStyle w:val="BodyText"/>
        <w:spacing w:before="10"/>
        <w:rPr>
          <w:sz w:val="19"/>
        </w:rPr>
      </w:pPr>
    </w:p>
    <w:p>
      <w:pPr>
        <w:pStyle w:val="ListParagraph"/>
        <w:numPr>
          <w:ilvl w:val="2"/>
          <w:numId w:val="143"/>
        </w:numPr>
        <w:tabs>
          <w:tab w:pos="2665" w:val="left" w:leader="none"/>
        </w:tabs>
        <w:spacing w:line="235" w:lineRule="auto" w:before="1" w:after="0"/>
        <w:ind w:left="1984" w:right="1197" w:firstLine="0"/>
        <w:jc w:val="left"/>
        <w:rPr>
          <w:sz w:val="20"/>
        </w:rPr>
      </w:pPr>
      <w:r>
        <w:rPr>
          <w:w w:val="120"/>
          <w:sz w:val="20"/>
        </w:rPr>
        <w:t>United Reformed Church congregations also continue to offer a pastoral response to this crisis which involves a wide range of activities including debt counselling, the promotion of credit unions, running community cupboards and using our buildings to assist job seekers with training, education and the development of social</w:t>
      </w:r>
      <w:r>
        <w:rPr>
          <w:spacing w:val="25"/>
          <w:w w:val="120"/>
          <w:sz w:val="20"/>
        </w:rPr>
        <w:t> </w:t>
      </w:r>
      <w:r>
        <w:rPr>
          <w:w w:val="120"/>
          <w:sz w:val="20"/>
        </w:rPr>
        <w:t>enterprises.</w:t>
      </w:r>
    </w:p>
    <w:p>
      <w:pPr>
        <w:pStyle w:val="BodyText"/>
        <w:spacing w:before="10"/>
        <w:rPr>
          <w:sz w:val="19"/>
        </w:rPr>
      </w:pPr>
    </w:p>
    <w:p>
      <w:pPr>
        <w:pStyle w:val="ListParagraph"/>
        <w:numPr>
          <w:ilvl w:val="2"/>
          <w:numId w:val="143"/>
        </w:numPr>
        <w:tabs>
          <w:tab w:pos="2664" w:val="left" w:leader="none"/>
          <w:tab w:pos="2665" w:val="left" w:leader="none"/>
        </w:tabs>
        <w:spacing w:line="235" w:lineRule="auto" w:before="1" w:after="0"/>
        <w:ind w:left="1984" w:right="1441" w:firstLine="0"/>
        <w:jc w:val="left"/>
        <w:rPr>
          <w:sz w:val="20"/>
        </w:rPr>
      </w:pPr>
      <w:r>
        <w:rPr>
          <w:w w:val="120"/>
          <w:sz w:val="20"/>
        </w:rPr>
        <w:t>An effective network of practitioners and concerned individuals has been established to coordinate the United Reformed </w:t>
      </w:r>
      <w:r>
        <w:rPr>
          <w:spacing w:val="-3"/>
          <w:w w:val="120"/>
          <w:sz w:val="20"/>
        </w:rPr>
        <w:t>Church’s </w:t>
      </w:r>
      <w:r>
        <w:rPr>
          <w:w w:val="120"/>
          <w:sz w:val="20"/>
        </w:rPr>
        <w:t>response to immigration and asylum issues. Coordinated by Geoffrey Duncan of Thames </w:t>
      </w:r>
      <w:r>
        <w:rPr>
          <w:spacing w:val="2"/>
          <w:w w:val="120"/>
          <w:sz w:val="20"/>
        </w:rPr>
        <w:t>North </w:t>
      </w:r>
      <w:r>
        <w:rPr>
          <w:w w:val="120"/>
          <w:sz w:val="20"/>
        </w:rPr>
        <w:t>Synod, this network is actively engaged in educating and training events on migration and representing   the views of the URC and our ecumenical partners to the UK Benefits Agency (UKBA) through</w:t>
      </w:r>
      <w:r>
        <w:rPr>
          <w:spacing w:val="9"/>
          <w:w w:val="120"/>
          <w:sz w:val="20"/>
        </w:rPr>
        <w:t> </w:t>
      </w:r>
      <w:r>
        <w:rPr>
          <w:w w:val="120"/>
          <w:sz w:val="20"/>
        </w:rPr>
        <w:t>regular</w:t>
      </w:r>
      <w:r>
        <w:rPr>
          <w:spacing w:val="9"/>
          <w:w w:val="120"/>
          <w:sz w:val="20"/>
        </w:rPr>
        <w:t> </w:t>
      </w:r>
      <w:r>
        <w:rPr>
          <w:w w:val="120"/>
          <w:sz w:val="20"/>
        </w:rPr>
        <w:t>meetings</w:t>
      </w:r>
      <w:r>
        <w:rPr>
          <w:spacing w:val="9"/>
          <w:w w:val="120"/>
          <w:sz w:val="20"/>
        </w:rPr>
        <w:t> </w:t>
      </w:r>
      <w:r>
        <w:rPr>
          <w:w w:val="120"/>
          <w:sz w:val="20"/>
        </w:rPr>
        <w:t>on</w:t>
      </w:r>
      <w:r>
        <w:rPr>
          <w:spacing w:val="9"/>
          <w:w w:val="120"/>
          <w:sz w:val="20"/>
        </w:rPr>
        <w:t> </w:t>
      </w:r>
      <w:r>
        <w:rPr>
          <w:w w:val="120"/>
          <w:sz w:val="20"/>
        </w:rPr>
        <w:t>the</w:t>
      </w:r>
      <w:r>
        <w:rPr>
          <w:spacing w:val="9"/>
          <w:w w:val="120"/>
          <w:sz w:val="20"/>
        </w:rPr>
        <w:t> </w:t>
      </w:r>
      <w:r>
        <w:rPr>
          <w:w w:val="120"/>
          <w:sz w:val="20"/>
        </w:rPr>
        <w:t>policy</w:t>
      </w:r>
      <w:r>
        <w:rPr>
          <w:spacing w:val="9"/>
          <w:w w:val="120"/>
          <w:sz w:val="20"/>
        </w:rPr>
        <w:t> </w:t>
      </w:r>
      <w:r>
        <w:rPr>
          <w:w w:val="120"/>
          <w:sz w:val="20"/>
        </w:rPr>
        <w:t>and</w:t>
      </w:r>
      <w:r>
        <w:rPr>
          <w:spacing w:val="9"/>
          <w:w w:val="120"/>
          <w:sz w:val="20"/>
        </w:rPr>
        <w:t> </w:t>
      </w:r>
      <w:r>
        <w:rPr>
          <w:w w:val="120"/>
          <w:sz w:val="20"/>
        </w:rPr>
        <w:t>practice</w:t>
      </w:r>
      <w:r>
        <w:rPr>
          <w:spacing w:val="9"/>
          <w:w w:val="120"/>
          <w:sz w:val="20"/>
        </w:rPr>
        <w:t> </w:t>
      </w:r>
      <w:r>
        <w:rPr>
          <w:w w:val="120"/>
          <w:sz w:val="20"/>
        </w:rPr>
        <w:t>of</w:t>
      </w:r>
      <w:r>
        <w:rPr>
          <w:spacing w:val="9"/>
          <w:w w:val="120"/>
          <w:sz w:val="20"/>
        </w:rPr>
        <w:t> </w:t>
      </w:r>
      <w:r>
        <w:rPr>
          <w:w w:val="120"/>
          <w:sz w:val="20"/>
        </w:rPr>
        <w:t>UKBA</w:t>
      </w:r>
      <w:r>
        <w:rPr>
          <w:spacing w:val="9"/>
          <w:w w:val="120"/>
          <w:sz w:val="20"/>
        </w:rPr>
        <w:t> </w:t>
      </w:r>
      <w:r>
        <w:rPr>
          <w:w w:val="120"/>
          <w:sz w:val="20"/>
        </w:rPr>
        <w:t>officials.</w:t>
      </w:r>
      <w:r>
        <w:rPr>
          <w:spacing w:val="10"/>
          <w:w w:val="120"/>
          <w:sz w:val="20"/>
        </w:rPr>
        <w:t> </w:t>
      </w:r>
      <w:r>
        <w:rPr>
          <w:w w:val="120"/>
          <w:sz w:val="20"/>
        </w:rPr>
        <w:t>This</w:t>
      </w:r>
      <w:r>
        <w:rPr>
          <w:spacing w:val="9"/>
          <w:w w:val="120"/>
          <w:sz w:val="20"/>
        </w:rPr>
        <w:t> </w:t>
      </w:r>
      <w:r>
        <w:rPr>
          <w:w w:val="120"/>
          <w:sz w:val="20"/>
        </w:rPr>
        <w:t>dialogue</w:t>
      </w:r>
      <w:r>
        <w:rPr>
          <w:spacing w:val="9"/>
          <w:w w:val="120"/>
          <w:sz w:val="20"/>
        </w:rPr>
        <w:t> </w:t>
      </w:r>
      <w:r>
        <w:rPr>
          <w:w w:val="120"/>
          <w:sz w:val="20"/>
        </w:rPr>
        <w:t>is</w:t>
      </w:r>
    </w:p>
    <w:p>
      <w:pPr>
        <w:pStyle w:val="BodyText"/>
        <w:spacing w:line="235" w:lineRule="auto" w:before="4"/>
        <w:ind w:left="1984" w:right="1120"/>
      </w:pPr>
      <w:r>
        <w:rPr>
          <w:w w:val="120"/>
        </w:rPr>
        <w:t>on-going and has been instrumental in getting the UKBA to reconsider its procedures for issuing visitors visas to members of our partner Churches overseas and in its redefining and understanding of religious workers under Tier 5 of the Points Based System.</w:t>
      </w:r>
    </w:p>
    <w:p>
      <w:pPr>
        <w:pStyle w:val="BodyText"/>
        <w:spacing w:before="10"/>
        <w:rPr>
          <w:sz w:val="19"/>
        </w:rPr>
      </w:pPr>
    </w:p>
    <w:p>
      <w:pPr>
        <w:pStyle w:val="ListParagraph"/>
        <w:numPr>
          <w:ilvl w:val="2"/>
          <w:numId w:val="143"/>
        </w:numPr>
        <w:tabs>
          <w:tab w:pos="2665" w:val="left" w:leader="none"/>
        </w:tabs>
        <w:spacing w:line="235" w:lineRule="auto" w:before="0" w:after="0"/>
        <w:ind w:left="1984" w:right="1526" w:firstLine="0"/>
        <w:jc w:val="left"/>
        <w:rPr>
          <w:sz w:val="20"/>
        </w:rPr>
      </w:pPr>
      <w:r>
        <w:rPr>
          <w:w w:val="120"/>
          <w:sz w:val="20"/>
        </w:rPr>
        <w:t>The URC is also actively supporting the Citizens for Sanctuary campaign and     is calling for the review of the UKBA’s </w:t>
      </w:r>
      <w:r>
        <w:rPr>
          <w:spacing w:val="3"/>
          <w:w w:val="120"/>
          <w:sz w:val="20"/>
        </w:rPr>
        <w:t>policy </w:t>
      </w:r>
      <w:r>
        <w:rPr>
          <w:w w:val="120"/>
          <w:sz w:val="20"/>
        </w:rPr>
        <w:t>on the detention of children – </w:t>
      </w:r>
      <w:r>
        <w:rPr>
          <w:spacing w:val="2"/>
          <w:w w:val="120"/>
          <w:sz w:val="20"/>
        </w:rPr>
        <w:t>see</w:t>
      </w:r>
      <w:hyperlink r:id="rId433">
        <w:r>
          <w:rPr>
            <w:spacing w:val="2"/>
            <w:w w:val="120"/>
            <w:sz w:val="20"/>
          </w:rPr>
          <w:t> </w:t>
        </w:r>
        <w:r>
          <w:rPr>
            <w:w w:val="120"/>
            <w:sz w:val="20"/>
          </w:rPr>
          <w:t>www.citizensforsanctuary.org.uk</w:t>
        </w:r>
      </w:hyperlink>
      <w:r>
        <w:rPr>
          <w:w w:val="120"/>
          <w:sz w:val="20"/>
        </w:rPr>
        <w:t> We remain committed to offering hospitality to the strangers in our midst regardless of their immigration status and are considering</w:t>
      </w:r>
      <w:r>
        <w:rPr>
          <w:spacing w:val="44"/>
          <w:w w:val="120"/>
          <w:sz w:val="20"/>
        </w:rPr>
        <w:t> </w:t>
      </w:r>
      <w:r>
        <w:rPr>
          <w:w w:val="120"/>
          <w:sz w:val="20"/>
        </w:rPr>
        <w:t>the</w:t>
      </w:r>
    </w:p>
    <w:p>
      <w:pPr>
        <w:pStyle w:val="BodyText"/>
        <w:spacing w:line="235" w:lineRule="auto" w:before="3"/>
        <w:ind w:left="1984" w:right="1466"/>
      </w:pPr>
      <w:r>
        <w:rPr>
          <w:w w:val="120"/>
        </w:rPr>
        <w:t>theological and legal implications of being a Church that offers radical welcome to all. For more details contact Geoff on </w:t>
      </w:r>
      <w:hyperlink r:id="rId434">
        <w:r>
          <w:rPr>
            <w:w w:val="120"/>
          </w:rPr>
          <w:t>world.churchandsociety@urcthamesnorth.org.uk</w:t>
        </w:r>
      </w:hyperlink>
    </w:p>
    <w:p>
      <w:pPr>
        <w:pStyle w:val="BodyText"/>
        <w:rPr>
          <w:sz w:val="24"/>
        </w:rPr>
      </w:pPr>
    </w:p>
    <w:p>
      <w:pPr>
        <w:pStyle w:val="BodyText"/>
        <w:spacing w:before="9"/>
        <w:rPr>
          <w:sz w:val="34"/>
        </w:rPr>
      </w:pPr>
    </w:p>
    <w:p>
      <w:pPr>
        <w:spacing w:before="0"/>
        <w:ind w:left="0" w:right="1416" w:firstLine="0"/>
        <w:jc w:val="right"/>
        <w:rPr>
          <w:i/>
          <w:sz w:val="18"/>
        </w:rPr>
      </w:pPr>
      <w:r>
        <w:rPr>
          <w:color w:val="8BA8BD"/>
          <w:w w:val="110"/>
          <w:sz w:val="18"/>
        </w:rPr>
        <w:t>Val</w:t>
      </w:r>
      <w:r>
        <w:rPr>
          <w:color w:val="8BA8BD"/>
          <w:spacing w:val="-10"/>
          <w:w w:val="110"/>
          <w:sz w:val="18"/>
        </w:rPr>
        <w:t> </w:t>
      </w:r>
      <w:r>
        <w:rPr>
          <w:color w:val="8BA8BD"/>
          <w:w w:val="110"/>
          <w:sz w:val="18"/>
        </w:rPr>
        <w:t>Morrison,</w:t>
      </w:r>
      <w:r>
        <w:rPr>
          <w:color w:val="8BA8BD"/>
          <w:spacing w:val="-10"/>
          <w:w w:val="110"/>
          <w:sz w:val="18"/>
        </w:rPr>
        <w:t> </w:t>
      </w:r>
      <w:r>
        <w:rPr>
          <w:color w:val="8BA8BD"/>
          <w:w w:val="110"/>
          <w:sz w:val="18"/>
        </w:rPr>
        <w:t>Assembly</w:t>
      </w:r>
      <w:r>
        <w:rPr>
          <w:color w:val="8BA8BD"/>
          <w:spacing w:val="-10"/>
          <w:w w:val="110"/>
          <w:sz w:val="18"/>
        </w:rPr>
        <w:t> </w:t>
      </w:r>
      <w:r>
        <w:rPr>
          <w:color w:val="8BA8BD"/>
          <w:w w:val="110"/>
          <w:sz w:val="18"/>
        </w:rPr>
        <w:t>Co-Moderator,</w:t>
      </w:r>
      <w:r>
        <w:rPr>
          <w:color w:val="8BA8BD"/>
          <w:spacing w:val="-10"/>
          <w:w w:val="110"/>
          <w:sz w:val="18"/>
        </w:rPr>
        <w:t> </w:t>
      </w:r>
      <w:r>
        <w:rPr>
          <w:color w:val="8BA8BD"/>
          <w:w w:val="110"/>
          <w:sz w:val="18"/>
        </w:rPr>
        <w:t>represents</w:t>
      </w:r>
      <w:r>
        <w:rPr>
          <w:color w:val="8BA8BD"/>
          <w:spacing w:val="-10"/>
          <w:w w:val="110"/>
          <w:sz w:val="18"/>
        </w:rPr>
        <w:t> </w:t>
      </w:r>
      <w:r>
        <w:rPr>
          <w:color w:val="8BA8BD"/>
          <w:w w:val="110"/>
          <w:sz w:val="18"/>
        </w:rPr>
        <w:t>the</w:t>
      </w:r>
      <w:r>
        <w:rPr>
          <w:color w:val="8BA8BD"/>
          <w:spacing w:val="-9"/>
          <w:w w:val="110"/>
          <w:sz w:val="18"/>
        </w:rPr>
        <w:t> </w:t>
      </w:r>
      <w:r>
        <w:rPr>
          <w:color w:val="8BA8BD"/>
          <w:w w:val="110"/>
          <w:sz w:val="18"/>
        </w:rPr>
        <w:t>URC</w:t>
      </w:r>
      <w:r>
        <w:rPr>
          <w:color w:val="8BA8BD"/>
          <w:spacing w:val="-10"/>
          <w:w w:val="110"/>
          <w:sz w:val="18"/>
        </w:rPr>
        <w:t> </w:t>
      </w:r>
      <w:r>
        <w:rPr>
          <w:color w:val="8BA8BD"/>
          <w:w w:val="110"/>
          <w:sz w:val="18"/>
        </w:rPr>
        <w:t>at</w:t>
      </w:r>
      <w:r>
        <w:rPr>
          <w:color w:val="8BA8BD"/>
          <w:spacing w:val="-10"/>
          <w:w w:val="110"/>
          <w:sz w:val="18"/>
        </w:rPr>
        <w:t> </w:t>
      </w:r>
      <w:r>
        <w:rPr>
          <w:color w:val="8BA8BD"/>
          <w:w w:val="110"/>
          <w:sz w:val="18"/>
        </w:rPr>
        <w:t>the</w:t>
      </w:r>
      <w:r>
        <w:rPr>
          <w:color w:val="8BA8BD"/>
          <w:spacing w:val="-10"/>
          <w:w w:val="110"/>
          <w:sz w:val="18"/>
        </w:rPr>
        <w:t> </w:t>
      </w:r>
      <w:r>
        <w:rPr>
          <w:color w:val="8BA8BD"/>
          <w:w w:val="110"/>
          <w:sz w:val="18"/>
        </w:rPr>
        <w:t>launch</w:t>
      </w:r>
      <w:r>
        <w:rPr>
          <w:color w:val="8BA8BD"/>
          <w:spacing w:val="-10"/>
          <w:w w:val="110"/>
          <w:sz w:val="18"/>
        </w:rPr>
        <w:t> </w:t>
      </w:r>
      <w:r>
        <w:rPr>
          <w:color w:val="8BA8BD"/>
          <w:w w:val="110"/>
          <w:sz w:val="18"/>
        </w:rPr>
        <w:t>of</w:t>
      </w:r>
      <w:r>
        <w:rPr>
          <w:color w:val="8BA8BD"/>
          <w:spacing w:val="-10"/>
          <w:w w:val="110"/>
          <w:sz w:val="18"/>
        </w:rPr>
        <w:t> </w:t>
      </w:r>
      <w:r>
        <w:rPr>
          <w:color w:val="8BA8BD"/>
          <w:w w:val="110"/>
          <w:sz w:val="18"/>
        </w:rPr>
        <w:t>the</w:t>
      </w:r>
      <w:r>
        <w:rPr>
          <w:color w:val="8BA8BD"/>
          <w:spacing w:val="-9"/>
          <w:w w:val="110"/>
          <w:sz w:val="18"/>
        </w:rPr>
        <w:t> </w:t>
      </w:r>
      <w:r>
        <w:rPr>
          <w:i/>
          <w:color w:val="8BA8BD"/>
          <w:w w:val="110"/>
          <w:sz w:val="18"/>
        </w:rPr>
        <w:t>Citizens</w:t>
      </w:r>
      <w:r>
        <w:rPr>
          <w:i/>
          <w:color w:val="8BA8BD"/>
          <w:spacing w:val="-12"/>
          <w:w w:val="110"/>
          <w:sz w:val="18"/>
        </w:rPr>
        <w:t> </w:t>
      </w:r>
      <w:r>
        <w:rPr>
          <w:i/>
          <w:color w:val="8BA8BD"/>
          <w:w w:val="110"/>
          <w:sz w:val="18"/>
        </w:rPr>
        <w:t>for</w:t>
      </w:r>
      <w:r>
        <w:rPr>
          <w:i/>
          <w:color w:val="8BA8BD"/>
          <w:spacing w:val="-11"/>
          <w:w w:val="110"/>
          <w:sz w:val="18"/>
        </w:rPr>
        <w:t> </w:t>
      </w:r>
      <w:r>
        <w:rPr>
          <w:i/>
          <w:color w:val="8BA8BD"/>
          <w:w w:val="110"/>
          <w:sz w:val="18"/>
        </w:rPr>
        <w:t>Sanctuary</w:t>
      </w:r>
    </w:p>
    <w:p>
      <w:pPr>
        <w:spacing w:before="0"/>
        <w:ind w:left="0" w:right="1415" w:firstLine="0"/>
        <w:jc w:val="right"/>
        <w:rPr>
          <w:sz w:val="18"/>
        </w:rPr>
      </w:pPr>
      <w:r>
        <w:rPr>
          <w:color w:val="8BA8BD"/>
          <w:w w:val="110"/>
          <w:sz w:val="18"/>
        </w:rPr>
        <w:t>campaign outside Westminster Palace on Wednesday 25</w:t>
      </w:r>
      <w:r>
        <w:rPr>
          <w:color w:val="8BA8BD"/>
          <w:w w:val="110"/>
          <w:position w:val="6"/>
          <w:sz w:val="10"/>
        </w:rPr>
        <w:t>th  </w:t>
      </w:r>
      <w:r>
        <w:rPr>
          <w:color w:val="8BA8BD"/>
          <w:w w:val="110"/>
          <w:sz w:val="18"/>
        </w:rPr>
        <w:t>March</w:t>
      </w:r>
      <w:r>
        <w:rPr>
          <w:color w:val="8BA8BD"/>
          <w:spacing w:val="-9"/>
          <w:w w:val="110"/>
          <w:sz w:val="18"/>
        </w:rPr>
        <w:t> </w:t>
      </w:r>
      <w:r>
        <w:rPr>
          <w:color w:val="8BA8BD"/>
          <w:spacing w:val="-4"/>
          <w:w w:val="110"/>
          <w:sz w:val="18"/>
        </w:rPr>
        <w:t>2010</w:t>
      </w:r>
    </w:p>
    <w:p>
      <w:pPr>
        <w:spacing w:after="0"/>
        <w:jc w:val="right"/>
        <w:rPr>
          <w:sz w:val="18"/>
        </w:rPr>
        <w:sectPr>
          <w:headerReference w:type="default" r:id="rId429"/>
          <w:footerReference w:type="default" r:id="rId430"/>
          <w:pgSz w:w="11910" w:h="16840"/>
          <w:pgMar w:header="0" w:footer="0" w:top="1060" w:bottom="0" w:left="0" w:right="0"/>
        </w:sectPr>
      </w:pPr>
    </w:p>
    <w:p>
      <w:pPr>
        <w:pStyle w:val="BodyText"/>
        <w:ind w:left="240"/>
      </w:pPr>
      <w:r>
        <w:rPr/>
        <w:pict>
          <v:group style="width:22.7pt;height:22.7pt;mso-position-horizontal-relative:char;mso-position-vertical-relative:line" coordorigin="0,0" coordsize="454,454">
            <v:rect style="position:absolute;left:0;top:0;width:454;height:454" filled="true" fillcolor="#8ba8bd" stroked="false">
              <v:fill type="solid"/>
            </v:rect>
          </v:group>
        </w:pict>
      </w:r>
      <w:r>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181504" filled="true" fillcolor="#c2d2df" stroked="false">
            <v:fill type="solid"/>
            <w10:wrap type="none"/>
          </v:rect>
        </w:pict>
      </w:r>
      <w:r>
        <w:rPr>
          <w:color w:val="8BA8BD"/>
          <w:w w:val="115"/>
          <w:sz w:val="26"/>
        </w:rPr>
        <w:t>Mission</w:t>
      </w:r>
    </w:p>
    <w:p>
      <w:pPr>
        <w:pStyle w:val="ListParagraph"/>
        <w:numPr>
          <w:ilvl w:val="2"/>
          <w:numId w:val="143"/>
        </w:numPr>
        <w:tabs>
          <w:tab w:pos="1814" w:val="left" w:leader="none"/>
          <w:tab w:pos="1815" w:val="left" w:leader="none"/>
        </w:tabs>
        <w:spacing w:line="235" w:lineRule="auto" w:before="221" w:after="0"/>
        <w:ind w:left="1133" w:right="2041" w:firstLine="0"/>
        <w:jc w:val="left"/>
        <w:rPr>
          <w:sz w:val="20"/>
        </w:rPr>
      </w:pPr>
      <w:r>
        <w:rPr/>
        <w:pict>
          <v:rect style="position:absolute;margin-left:12.047pt;margin-top:14.177342pt;width:22.677pt;height:22.677pt;mso-position-horizontal-relative:page;mso-position-vertical-relative:paragraph;z-index:252182528" filled="true" fillcolor="#dae4ec" stroked="false">
            <v:fill opacity="32768f" type="solid"/>
            <w10:wrap type="none"/>
          </v:rect>
        </w:pict>
      </w:r>
      <w:r>
        <w:rPr>
          <w:w w:val="120"/>
          <w:sz w:val="20"/>
        </w:rPr>
        <w:t>The </w:t>
      </w:r>
      <w:r>
        <w:rPr>
          <w:spacing w:val="-5"/>
          <w:w w:val="120"/>
          <w:sz w:val="20"/>
        </w:rPr>
        <w:t>URC’s </w:t>
      </w:r>
      <w:r>
        <w:rPr>
          <w:spacing w:val="-3"/>
          <w:w w:val="120"/>
          <w:sz w:val="20"/>
        </w:rPr>
        <w:t>Peace Fellowship </w:t>
      </w:r>
      <w:r>
        <w:rPr>
          <w:w w:val="120"/>
          <w:sz w:val="20"/>
        </w:rPr>
        <w:t>and Mission </w:t>
      </w:r>
      <w:r>
        <w:rPr>
          <w:spacing w:val="-3"/>
          <w:w w:val="120"/>
          <w:sz w:val="20"/>
        </w:rPr>
        <w:t>Committee have </w:t>
      </w:r>
      <w:r>
        <w:rPr>
          <w:w w:val="120"/>
          <w:sz w:val="20"/>
        </w:rPr>
        <w:t>produced a report entitled The Mission Imperative of </w:t>
      </w:r>
      <w:r>
        <w:rPr>
          <w:spacing w:val="-3"/>
          <w:w w:val="120"/>
          <w:sz w:val="20"/>
        </w:rPr>
        <w:t>Peacemaking </w:t>
      </w:r>
      <w:r>
        <w:rPr>
          <w:w w:val="120"/>
          <w:sz w:val="20"/>
        </w:rPr>
        <w:t>and </w:t>
      </w:r>
      <w:r>
        <w:rPr>
          <w:spacing w:val="-3"/>
          <w:w w:val="120"/>
          <w:sz w:val="20"/>
        </w:rPr>
        <w:t>Reconciliation </w:t>
      </w:r>
      <w:r>
        <w:rPr>
          <w:w w:val="120"/>
          <w:sz w:val="20"/>
        </w:rPr>
        <w:t>which provides a timely reminder of </w:t>
      </w:r>
      <w:r>
        <w:rPr>
          <w:spacing w:val="-3"/>
          <w:w w:val="120"/>
          <w:sz w:val="20"/>
        </w:rPr>
        <w:t>Jesus’ pronouncement </w:t>
      </w:r>
      <w:r>
        <w:rPr>
          <w:w w:val="120"/>
          <w:sz w:val="20"/>
        </w:rPr>
        <w:t>of blessing on those who seek </w:t>
      </w:r>
      <w:r>
        <w:rPr>
          <w:spacing w:val="-3"/>
          <w:w w:val="120"/>
          <w:sz w:val="20"/>
        </w:rPr>
        <w:t>to </w:t>
      </w:r>
      <w:r>
        <w:rPr>
          <w:w w:val="120"/>
          <w:sz w:val="20"/>
        </w:rPr>
        <w:t>build </w:t>
      </w:r>
      <w:r>
        <w:rPr>
          <w:spacing w:val="-3"/>
          <w:w w:val="120"/>
          <w:sz w:val="20"/>
        </w:rPr>
        <w:t>peace </w:t>
      </w:r>
      <w:r>
        <w:rPr>
          <w:w w:val="120"/>
          <w:sz w:val="20"/>
        </w:rPr>
        <w:t>in their </w:t>
      </w:r>
      <w:r>
        <w:rPr>
          <w:spacing w:val="-3"/>
          <w:w w:val="120"/>
          <w:sz w:val="20"/>
        </w:rPr>
        <w:t>communities. </w:t>
      </w:r>
      <w:r>
        <w:rPr>
          <w:w w:val="120"/>
          <w:sz w:val="20"/>
        </w:rPr>
        <w:t>This is predicated on an understanding of </w:t>
      </w:r>
      <w:r>
        <w:rPr>
          <w:spacing w:val="-3"/>
          <w:w w:val="120"/>
          <w:sz w:val="20"/>
        </w:rPr>
        <w:t>peace </w:t>
      </w:r>
      <w:r>
        <w:rPr>
          <w:w w:val="120"/>
          <w:sz w:val="20"/>
        </w:rPr>
        <w:t>which is </w:t>
      </w:r>
      <w:r>
        <w:rPr>
          <w:spacing w:val="-2"/>
          <w:w w:val="120"/>
          <w:sz w:val="20"/>
        </w:rPr>
        <w:t>not </w:t>
      </w:r>
      <w:r>
        <w:rPr>
          <w:w w:val="120"/>
          <w:sz w:val="20"/>
        </w:rPr>
        <w:t>simply the </w:t>
      </w:r>
      <w:r>
        <w:rPr>
          <w:spacing w:val="-3"/>
          <w:w w:val="120"/>
          <w:sz w:val="20"/>
        </w:rPr>
        <w:t>absence </w:t>
      </w:r>
      <w:r>
        <w:rPr>
          <w:w w:val="120"/>
          <w:sz w:val="20"/>
        </w:rPr>
        <w:t>of conflict or </w:t>
      </w:r>
      <w:r>
        <w:rPr>
          <w:spacing w:val="-3"/>
          <w:w w:val="120"/>
          <w:sz w:val="20"/>
        </w:rPr>
        <w:t>violence, </w:t>
      </w:r>
      <w:r>
        <w:rPr>
          <w:w w:val="120"/>
          <w:sz w:val="20"/>
        </w:rPr>
        <w:t>but which </w:t>
      </w:r>
      <w:r>
        <w:rPr>
          <w:spacing w:val="-3"/>
          <w:w w:val="120"/>
          <w:sz w:val="20"/>
        </w:rPr>
        <w:t>incorporates </w:t>
      </w:r>
      <w:r>
        <w:rPr>
          <w:w w:val="120"/>
          <w:sz w:val="20"/>
        </w:rPr>
        <w:t>the notion of </w:t>
      </w:r>
      <w:r>
        <w:rPr>
          <w:spacing w:val="-3"/>
          <w:w w:val="120"/>
          <w:sz w:val="20"/>
        </w:rPr>
        <w:t>complete well </w:t>
      </w:r>
      <w:r>
        <w:rPr>
          <w:w w:val="120"/>
          <w:sz w:val="20"/>
        </w:rPr>
        <w:t>being in </w:t>
      </w:r>
      <w:r>
        <w:rPr>
          <w:spacing w:val="-3"/>
          <w:w w:val="120"/>
          <w:sz w:val="20"/>
        </w:rPr>
        <w:t>relationships </w:t>
      </w:r>
      <w:r>
        <w:rPr>
          <w:w w:val="120"/>
          <w:sz w:val="20"/>
        </w:rPr>
        <w:t>between </w:t>
      </w:r>
      <w:r>
        <w:rPr>
          <w:spacing w:val="-3"/>
          <w:w w:val="120"/>
          <w:sz w:val="20"/>
        </w:rPr>
        <w:t>individuals </w:t>
      </w:r>
      <w:r>
        <w:rPr>
          <w:w w:val="120"/>
          <w:sz w:val="20"/>
        </w:rPr>
        <w:t>and God, their neighbours and the rest of </w:t>
      </w:r>
      <w:r>
        <w:rPr>
          <w:spacing w:val="-3"/>
          <w:w w:val="120"/>
          <w:sz w:val="20"/>
        </w:rPr>
        <w:t>created</w:t>
      </w:r>
      <w:r>
        <w:rPr>
          <w:spacing w:val="-7"/>
          <w:w w:val="120"/>
          <w:sz w:val="20"/>
        </w:rPr>
        <w:t> </w:t>
      </w:r>
      <w:r>
        <w:rPr>
          <w:spacing w:val="-4"/>
          <w:w w:val="120"/>
          <w:sz w:val="20"/>
        </w:rPr>
        <w:t>order.</w:t>
      </w:r>
      <w:r>
        <w:rPr>
          <w:spacing w:val="-6"/>
          <w:w w:val="120"/>
          <w:sz w:val="20"/>
        </w:rPr>
        <w:t> </w:t>
      </w:r>
      <w:r>
        <w:rPr>
          <w:w w:val="120"/>
          <w:sz w:val="20"/>
        </w:rPr>
        <w:t>It</w:t>
      </w:r>
      <w:r>
        <w:rPr>
          <w:spacing w:val="-7"/>
          <w:w w:val="120"/>
          <w:sz w:val="20"/>
        </w:rPr>
        <w:t> </w:t>
      </w:r>
      <w:r>
        <w:rPr>
          <w:w w:val="120"/>
          <w:sz w:val="20"/>
        </w:rPr>
        <w:t>also</w:t>
      </w:r>
      <w:r>
        <w:rPr>
          <w:spacing w:val="-6"/>
          <w:w w:val="120"/>
          <w:sz w:val="20"/>
        </w:rPr>
        <w:t> </w:t>
      </w:r>
      <w:r>
        <w:rPr>
          <w:w w:val="120"/>
          <w:sz w:val="20"/>
        </w:rPr>
        <w:t>bases</w:t>
      </w:r>
      <w:r>
        <w:rPr>
          <w:spacing w:val="-7"/>
          <w:w w:val="120"/>
          <w:sz w:val="20"/>
        </w:rPr>
        <w:t> </w:t>
      </w:r>
      <w:r>
        <w:rPr>
          <w:w w:val="120"/>
          <w:sz w:val="20"/>
        </w:rPr>
        <w:t>its</w:t>
      </w:r>
      <w:r>
        <w:rPr>
          <w:spacing w:val="-6"/>
          <w:w w:val="120"/>
          <w:sz w:val="20"/>
        </w:rPr>
        <w:t> </w:t>
      </w:r>
      <w:r>
        <w:rPr>
          <w:w w:val="120"/>
          <w:sz w:val="20"/>
        </w:rPr>
        <w:t>understanding</w:t>
      </w:r>
      <w:r>
        <w:rPr>
          <w:spacing w:val="-6"/>
          <w:w w:val="120"/>
          <w:sz w:val="20"/>
        </w:rPr>
        <w:t> </w:t>
      </w:r>
      <w:r>
        <w:rPr>
          <w:w w:val="120"/>
          <w:sz w:val="20"/>
        </w:rPr>
        <w:t>of</w:t>
      </w:r>
      <w:r>
        <w:rPr>
          <w:spacing w:val="-7"/>
          <w:w w:val="120"/>
          <w:sz w:val="20"/>
        </w:rPr>
        <w:t> </w:t>
      </w:r>
      <w:r>
        <w:rPr>
          <w:w w:val="120"/>
          <w:sz w:val="20"/>
        </w:rPr>
        <w:t>security</w:t>
      </w:r>
      <w:r>
        <w:rPr>
          <w:spacing w:val="-6"/>
          <w:w w:val="120"/>
          <w:sz w:val="20"/>
        </w:rPr>
        <w:t> </w:t>
      </w:r>
      <w:r>
        <w:rPr>
          <w:w w:val="120"/>
          <w:sz w:val="20"/>
        </w:rPr>
        <w:t>on</w:t>
      </w:r>
      <w:r>
        <w:rPr>
          <w:spacing w:val="-7"/>
          <w:w w:val="120"/>
          <w:sz w:val="20"/>
        </w:rPr>
        <w:t> </w:t>
      </w:r>
      <w:r>
        <w:rPr>
          <w:w w:val="120"/>
          <w:sz w:val="20"/>
        </w:rPr>
        <w:t>the</w:t>
      </w:r>
      <w:r>
        <w:rPr>
          <w:spacing w:val="-6"/>
          <w:w w:val="120"/>
          <w:sz w:val="20"/>
        </w:rPr>
        <w:t> </w:t>
      </w:r>
      <w:r>
        <w:rPr>
          <w:w w:val="120"/>
          <w:sz w:val="20"/>
        </w:rPr>
        <w:t>notion</w:t>
      </w:r>
      <w:r>
        <w:rPr>
          <w:spacing w:val="-6"/>
          <w:w w:val="120"/>
          <w:sz w:val="20"/>
        </w:rPr>
        <w:t> </w:t>
      </w:r>
      <w:r>
        <w:rPr>
          <w:w w:val="120"/>
          <w:sz w:val="20"/>
        </w:rPr>
        <w:t>of</w:t>
      </w:r>
      <w:r>
        <w:rPr>
          <w:spacing w:val="-7"/>
          <w:w w:val="120"/>
          <w:sz w:val="20"/>
        </w:rPr>
        <w:t> </w:t>
      </w:r>
      <w:r>
        <w:rPr>
          <w:spacing w:val="-3"/>
          <w:w w:val="120"/>
          <w:sz w:val="20"/>
        </w:rPr>
        <w:t>common</w:t>
      </w:r>
      <w:r>
        <w:rPr>
          <w:spacing w:val="-6"/>
          <w:w w:val="120"/>
          <w:sz w:val="20"/>
        </w:rPr>
        <w:t> </w:t>
      </w:r>
      <w:r>
        <w:rPr>
          <w:w w:val="120"/>
          <w:sz w:val="20"/>
        </w:rPr>
        <w:t>security </w:t>
      </w:r>
      <w:r>
        <w:rPr>
          <w:spacing w:val="-8"/>
          <w:w w:val="120"/>
          <w:sz w:val="20"/>
        </w:rPr>
        <w:t>(as </w:t>
      </w:r>
      <w:r>
        <w:rPr>
          <w:w w:val="120"/>
          <w:sz w:val="20"/>
        </w:rPr>
        <w:t>opposed </w:t>
      </w:r>
      <w:r>
        <w:rPr>
          <w:spacing w:val="-3"/>
          <w:w w:val="120"/>
          <w:sz w:val="20"/>
        </w:rPr>
        <w:t>to national security) </w:t>
      </w:r>
      <w:r>
        <w:rPr>
          <w:w w:val="120"/>
          <w:sz w:val="20"/>
        </w:rPr>
        <w:t>and </w:t>
      </w:r>
      <w:r>
        <w:rPr>
          <w:spacing w:val="-3"/>
          <w:w w:val="120"/>
          <w:sz w:val="20"/>
        </w:rPr>
        <w:t>recommends key </w:t>
      </w:r>
      <w:r>
        <w:rPr>
          <w:w w:val="120"/>
          <w:sz w:val="20"/>
        </w:rPr>
        <w:t>actions for the URC </w:t>
      </w:r>
      <w:r>
        <w:rPr>
          <w:spacing w:val="-3"/>
          <w:w w:val="120"/>
          <w:sz w:val="20"/>
        </w:rPr>
        <w:t>to</w:t>
      </w:r>
      <w:r>
        <w:rPr>
          <w:spacing w:val="22"/>
          <w:w w:val="120"/>
          <w:sz w:val="20"/>
        </w:rPr>
        <w:t> </w:t>
      </w:r>
      <w:r>
        <w:rPr>
          <w:spacing w:val="-3"/>
          <w:w w:val="120"/>
          <w:sz w:val="20"/>
        </w:rPr>
        <w:t>consider</w:t>
      </w:r>
    </w:p>
    <w:p>
      <w:pPr>
        <w:pStyle w:val="BodyText"/>
        <w:spacing w:line="235" w:lineRule="auto" w:before="6"/>
        <w:ind w:left="1133" w:right="2251"/>
      </w:pPr>
      <w:r>
        <w:rPr>
          <w:w w:val="120"/>
        </w:rPr>
        <w:t>at </w:t>
      </w:r>
      <w:r>
        <w:rPr>
          <w:spacing w:val="-3"/>
          <w:w w:val="120"/>
        </w:rPr>
        <w:t>Assembly, </w:t>
      </w:r>
      <w:r>
        <w:rPr>
          <w:w w:val="120"/>
        </w:rPr>
        <w:t>synod and local </w:t>
      </w:r>
      <w:r>
        <w:rPr>
          <w:spacing w:val="-3"/>
          <w:w w:val="120"/>
        </w:rPr>
        <w:t>church level to ensure </w:t>
      </w:r>
      <w:r>
        <w:rPr>
          <w:w w:val="120"/>
        </w:rPr>
        <w:t>that </w:t>
      </w:r>
      <w:r>
        <w:rPr>
          <w:spacing w:val="-3"/>
          <w:w w:val="120"/>
        </w:rPr>
        <w:t>peacemaking </w:t>
      </w:r>
      <w:r>
        <w:rPr>
          <w:w w:val="120"/>
        </w:rPr>
        <w:t>and </w:t>
      </w:r>
      <w:r>
        <w:rPr>
          <w:spacing w:val="-3"/>
          <w:w w:val="120"/>
        </w:rPr>
        <w:t>reconciliation </w:t>
      </w:r>
      <w:r>
        <w:rPr>
          <w:w w:val="120"/>
        </w:rPr>
        <w:t>is mainstreamed in our missiology and </w:t>
      </w:r>
      <w:r>
        <w:rPr>
          <w:spacing w:val="-3"/>
          <w:w w:val="120"/>
        </w:rPr>
        <w:t>ecclesiology </w:t>
      </w:r>
      <w:r>
        <w:rPr>
          <w:w w:val="120"/>
        </w:rPr>
        <w:t>as a </w:t>
      </w:r>
      <w:r>
        <w:rPr>
          <w:spacing w:val="-3"/>
          <w:w w:val="120"/>
        </w:rPr>
        <w:t>Church. </w:t>
      </w:r>
      <w:r>
        <w:rPr>
          <w:w w:val="120"/>
        </w:rPr>
        <w:t>This report can be downloaded from the </w:t>
      </w:r>
      <w:r>
        <w:rPr>
          <w:spacing w:val="-3"/>
          <w:w w:val="120"/>
        </w:rPr>
        <w:t>Church </w:t>
      </w:r>
      <w:r>
        <w:rPr>
          <w:w w:val="120"/>
        </w:rPr>
        <w:t>and Society </w:t>
      </w:r>
      <w:r>
        <w:rPr>
          <w:spacing w:val="-3"/>
          <w:w w:val="120"/>
        </w:rPr>
        <w:t>website </w:t>
      </w:r>
      <w:r>
        <w:rPr>
          <w:w w:val="120"/>
        </w:rPr>
        <w:t>of the URC by </w:t>
      </w:r>
      <w:r>
        <w:rPr>
          <w:spacing w:val="-3"/>
          <w:w w:val="120"/>
        </w:rPr>
        <w:t>following this </w:t>
      </w:r>
      <w:r>
        <w:rPr>
          <w:w w:val="120"/>
        </w:rPr>
        <w:t>link </w:t>
      </w:r>
      <w:hyperlink r:id="rId437">
        <w:r>
          <w:rPr>
            <w:w w:val="120"/>
          </w:rPr>
          <w:t>www.urc.org.uk/what_we_do/peace/peace_fellowship</w:t>
        </w:r>
      </w:hyperlink>
    </w:p>
    <w:p>
      <w:pPr>
        <w:pStyle w:val="BodyText"/>
        <w:spacing w:before="11"/>
        <w:rPr>
          <w:sz w:val="19"/>
        </w:rPr>
      </w:pPr>
    </w:p>
    <w:p>
      <w:pPr>
        <w:pStyle w:val="ListParagraph"/>
        <w:numPr>
          <w:ilvl w:val="2"/>
          <w:numId w:val="143"/>
        </w:numPr>
        <w:tabs>
          <w:tab w:pos="1814" w:val="left" w:leader="none"/>
          <w:tab w:pos="1815" w:val="left" w:leader="none"/>
        </w:tabs>
        <w:spacing w:line="235" w:lineRule="auto" w:before="0" w:after="0"/>
        <w:ind w:left="1133" w:right="2366" w:firstLine="0"/>
        <w:jc w:val="left"/>
        <w:rPr>
          <w:sz w:val="20"/>
        </w:rPr>
      </w:pPr>
      <w:r>
        <w:rPr>
          <w:w w:val="120"/>
          <w:sz w:val="20"/>
        </w:rPr>
        <w:t>A full </w:t>
      </w:r>
      <w:r>
        <w:rPr>
          <w:spacing w:val="2"/>
          <w:w w:val="120"/>
          <w:sz w:val="20"/>
        </w:rPr>
        <w:t>report </w:t>
      </w:r>
      <w:r>
        <w:rPr>
          <w:w w:val="120"/>
          <w:sz w:val="20"/>
        </w:rPr>
        <w:t>of the activities of the Mission and Joint Public Issues teams in the area</w:t>
      </w:r>
      <w:r>
        <w:rPr>
          <w:spacing w:val="-4"/>
          <w:w w:val="120"/>
          <w:sz w:val="20"/>
        </w:rPr>
        <w:t> </w:t>
      </w:r>
      <w:r>
        <w:rPr>
          <w:w w:val="120"/>
          <w:sz w:val="20"/>
        </w:rPr>
        <w:t>of</w:t>
      </w:r>
      <w:r>
        <w:rPr>
          <w:spacing w:val="-3"/>
          <w:w w:val="120"/>
          <w:sz w:val="20"/>
        </w:rPr>
        <w:t> peace</w:t>
      </w:r>
      <w:r>
        <w:rPr>
          <w:spacing w:val="-4"/>
          <w:w w:val="120"/>
          <w:sz w:val="20"/>
        </w:rPr>
        <w:t> </w:t>
      </w:r>
      <w:r>
        <w:rPr>
          <w:w w:val="120"/>
          <w:sz w:val="20"/>
        </w:rPr>
        <w:t>and</w:t>
      </w:r>
      <w:r>
        <w:rPr>
          <w:spacing w:val="-4"/>
          <w:w w:val="120"/>
          <w:sz w:val="20"/>
        </w:rPr>
        <w:t> </w:t>
      </w:r>
      <w:r>
        <w:rPr>
          <w:spacing w:val="-3"/>
          <w:w w:val="120"/>
          <w:sz w:val="20"/>
        </w:rPr>
        <w:t>justice since</w:t>
      </w:r>
      <w:r>
        <w:rPr>
          <w:spacing w:val="-4"/>
          <w:w w:val="120"/>
          <w:sz w:val="20"/>
        </w:rPr>
        <w:t> </w:t>
      </w:r>
      <w:r>
        <w:rPr>
          <w:w w:val="120"/>
          <w:sz w:val="20"/>
        </w:rPr>
        <w:t>the</w:t>
      </w:r>
      <w:r>
        <w:rPr>
          <w:spacing w:val="-3"/>
          <w:w w:val="120"/>
          <w:sz w:val="20"/>
        </w:rPr>
        <w:t> </w:t>
      </w:r>
      <w:r>
        <w:rPr>
          <w:w w:val="120"/>
          <w:sz w:val="20"/>
        </w:rPr>
        <w:t>last</w:t>
      </w:r>
      <w:r>
        <w:rPr>
          <w:spacing w:val="-4"/>
          <w:w w:val="120"/>
          <w:sz w:val="20"/>
        </w:rPr>
        <w:t> </w:t>
      </w:r>
      <w:r>
        <w:rPr>
          <w:w w:val="120"/>
          <w:sz w:val="20"/>
        </w:rPr>
        <w:t>assembly</w:t>
      </w:r>
      <w:r>
        <w:rPr>
          <w:spacing w:val="-3"/>
          <w:w w:val="120"/>
          <w:sz w:val="20"/>
        </w:rPr>
        <w:t> </w:t>
      </w:r>
      <w:r>
        <w:rPr>
          <w:w w:val="120"/>
          <w:sz w:val="20"/>
        </w:rPr>
        <w:t>is</w:t>
      </w:r>
      <w:r>
        <w:rPr>
          <w:spacing w:val="-4"/>
          <w:w w:val="120"/>
          <w:sz w:val="20"/>
        </w:rPr>
        <w:t> </w:t>
      </w:r>
      <w:r>
        <w:rPr>
          <w:spacing w:val="-3"/>
          <w:w w:val="120"/>
          <w:sz w:val="20"/>
        </w:rPr>
        <w:t>available </w:t>
      </w:r>
      <w:r>
        <w:rPr>
          <w:w w:val="120"/>
          <w:sz w:val="20"/>
        </w:rPr>
        <w:t>on</w:t>
      </w:r>
      <w:r>
        <w:rPr>
          <w:spacing w:val="-4"/>
          <w:w w:val="120"/>
          <w:sz w:val="20"/>
        </w:rPr>
        <w:t> </w:t>
      </w:r>
      <w:r>
        <w:rPr>
          <w:w w:val="120"/>
          <w:sz w:val="20"/>
        </w:rPr>
        <w:t>the</w:t>
      </w:r>
      <w:r>
        <w:rPr>
          <w:spacing w:val="-3"/>
          <w:w w:val="120"/>
          <w:sz w:val="20"/>
        </w:rPr>
        <w:t> </w:t>
      </w:r>
      <w:r>
        <w:rPr>
          <w:w w:val="120"/>
          <w:sz w:val="20"/>
        </w:rPr>
        <w:t>URC</w:t>
      </w:r>
      <w:r>
        <w:rPr>
          <w:spacing w:val="-4"/>
          <w:w w:val="120"/>
          <w:sz w:val="20"/>
        </w:rPr>
        <w:t> </w:t>
      </w:r>
      <w:r>
        <w:rPr>
          <w:spacing w:val="-3"/>
          <w:w w:val="120"/>
          <w:sz w:val="20"/>
        </w:rPr>
        <w:t>website </w:t>
      </w:r>
      <w:r>
        <w:rPr>
          <w:w w:val="120"/>
          <w:sz w:val="20"/>
        </w:rPr>
        <w:t>–</w:t>
      </w:r>
      <w:r>
        <w:rPr>
          <w:spacing w:val="-4"/>
          <w:w w:val="120"/>
          <w:sz w:val="20"/>
        </w:rPr>
        <w:t> </w:t>
      </w:r>
      <w:r>
        <w:rPr>
          <w:w w:val="120"/>
          <w:sz w:val="20"/>
        </w:rPr>
        <w:t>go</w:t>
      </w:r>
      <w:r>
        <w:rPr>
          <w:spacing w:val="-3"/>
          <w:w w:val="120"/>
          <w:sz w:val="20"/>
        </w:rPr>
        <w:t> to</w:t>
      </w:r>
      <w:hyperlink r:id="rId438">
        <w:r>
          <w:rPr>
            <w:spacing w:val="-3"/>
            <w:w w:val="120"/>
            <w:sz w:val="20"/>
          </w:rPr>
          <w:t> </w:t>
        </w:r>
        <w:r>
          <w:rPr>
            <w:spacing w:val="2"/>
            <w:w w:val="120"/>
            <w:sz w:val="20"/>
          </w:rPr>
          <w:t>http://www.urc.org.uk/what_we_do/church_and_society/home_page </w:t>
        </w:r>
      </w:hyperlink>
      <w:r>
        <w:rPr>
          <w:w w:val="120"/>
          <w:sz w:val="20"/>
        </w:rPr>
        <w:t>and follow the</w:t>
      </w:r>
      <w:r>
        <w:rPr>
          <w:spacing w:val="6"/>
          <w:w w:val="120"/>
          <w:sz w:val="20"/>
        </w:rPr>
        <w:t> </w:t>
      </w:r>
      <w:r>
        <w:rPr>
          <w:spacing w:val="2"/>
          <w:w w:val="120"/>
          <w:sz w:val="20"/>
        </w:rPr>
        <w:t>links.</w:t>
      </w:r>
    </w:p>
    <w:p>
      <w:pPr>
        <w:pStyle w:val="BodyText"/>
        <w:spacing w:before="10"/>
        <w:rPr>
          <w:sz w:val="19"/>
        </w:rPr>
      </w:pPr>
    </w:p>
    <w:p>
      <w:pPr>
        <w:pStyle w:val="ListParagraph"/>
        <w:numPr>
          <w:ilvl w:val="2"/>
          <w:numId w:val="143"/>
        </w:numPr>
        <w:tabs>
          <w:tab w:pos="1815" w:val="left" w:leader="none"/>
        </w:tabs>
        <w:spacing w:line="235" w:lineRule="auto" w:before="1" w:after="0"/>
        <w:ind w:left="1133" w:right="2008" w:firstLine="0"/>
        <w:jc w:val="left"/>
        <w:rPr>
          <w:sz w:val="20"/>
        </w:rPr>
      </w:pPr>
      <w:r>
        <w:rPr>
          <w:w w:val="120"/>
          <w:sz w:val="20"/>
        </w:rPr>
        <w:t>Issues of justice and peace also lie at the </w:t>
      </w:r>
      <w:r>
        <w:rPr>
          <w:spacing w:val="3"/>
          <w:w w:val="120"/>
          <w:sz w:val="20"/>
        </w:rPr>
        <w:t>heart </w:t>
      </w:r>
      <w:r>
        <w:rPr>
          <w:w w:val="120"/>
          <w:sz w:val="20"/>
        </w:rPr>
        <w:t>of the </w:t>
      </w:r>
      <w:r>
        <w:rPr>
          <w:i/>
          <w:w w:val="120"/>
          <w:sz w:val="20"/>
        </w:rPr>
        <w:t>Commitment for Life </w:t>
      </w:r>
      <w:r>
        <w:rPr>
          <w:spacing w:val="2"/>
          <w:w w:val="120"/>
          <w:sz w:val="20"/>
        </w:rPr>
        <w:t>programme. Through </w:t>
      </w:r>
      <w:r>
        <w:rPr>
          <w:i/>
          <w:w w:val="120"/>
          <w:sz w:val="20"/>
        </w:rPr>
        <w:t>Commitment for Life </w:t>
      </w:r>
      <w:r>
        <w:rPr>
          <w:w w:val="120"/>
          <w:sz w:val="20"/>
        </w:rPr>
        <w:t>interest in both </w:t>
      </w:r>
      <w:r>
        <w:rPr>
          <w:spacing w:val="2"/>
          <w:w w:val="120"/>
          <w:sz w:val="20"/>
        </w:rPr>
        <w:t>Israel </w:t>
      </w:r>
      <w:r>
        <w:rPr>
          <w:w w:val="120"/>
          <w:sz w:val="20"/>
        </w:rPr>
        <w:t>and the occupied </w:t>
      </w:r>
      <w:r>
        <w:rPr>
          <w:spacing w:val="2"/>
          <w:w w:val="120"/>
          <w:sz w:val="20"/>
        </w:rPr>
        <w:t>Palestinian territories </w:t>
      </w:r>
      <w:r>
        <w:rPr>
          <w:w w:val="120"/>
          <w:sz w:val="20"/>
        </w:rPr>
        <w:t>and climate change has seen dedicated church </w:t>
      </w:r>
      <w:r>
        <w:rPr>
          <w:spacing w:val="2"/>
          <w:w w:val="120"/>
          <w:sz w:val="20"/>
        </w:rPr>
        <w:t>members  </w:t>
      </w:r>
      <w:r>
        <w:rPr>
          <w:w w:val="120"/>
          <w:sz w:val="20"/>
        </w:rPr>
        <w:t>attending day conferences to be inspired </w:t>
      </w:r>
      <w:r>
        <w:rPr>
          <w:spacing w:val="2"/>
          <w:w w:val="120"/>
          <w:sz w:val="20"/>
        </w:rPr>
        <w:t>through hearing stories </w:t>
      </w:r>
      <w:r>
        <w:rPr>
          <w:w w:val="120"/>
          <w:sz w:val="20"/>
        </w:rPr>
        <w:t>of </w:t>
      </w:r>
      <w:r>
        <w:rPr>
          <w:spacing w:val="2"/>
          <w:w w:val="120"/>
          <w:sz w:val="20"/>
        </w:rPr>
        <w:t>people </w:t>
      </w:r>
      <w:r>
        <w:rPr>
          <w:w w:val="120"/>
          <w:sz w:val="20"/>
        </w:rPr>
        <w:t>living daily with </w:t>
      </w:r>
      <w:r>
        <w:rPr>
          <w:spacing w:val="2"/>
          <w:w w:val="120"/>
          <w:sz w:val="20"/>
        </w:rPr>
        <w:t>these </w:t>
      </w:r>
      <w:r>
        <w:rPr>
          <w:w w:val="120"/>
          <w:sz w:val="20"/>
        </w:rPr>
        <w:t>issues. Having the </w:t>
      </w:r>
      <w:r>
        <w:rPr>
          <w:spacing w:val="3"/>
          <w:w w:val="120"/>
          <w:sz w:val="20"/>
        </w:rPr>
        <w:t>opportunity </w:t>
      </w:r>
      <w:r>
        <w:rPr>
          <w:w w:val="120"/>
          <w:sz w:val="20"/>
        </w:rPr>
        <w:t>to share campaigning and wider </w:t>
      </w:r>
      <w:r>
        <w:rPr>
          <w:spacing w:val="2"/>
          <w:w w:val="120"/>
          <w:sz w:val="20"/>
        </w:rPr>
        <w:t>educational </w:t>
      </w:r>
      <w:r>
        <w:rPr>
          <w:w w:val="120"/>
          <w:sz w:val="20"/>
        </w:rPr>
        <w:t>and </w:t>
      </w:r>
      <w:r>
        <w:rPr>
          <w:spacing w:val="3"/>
          <w:w w:val="120"/>
          <w:sz w:val="20"/>
        </w:rPr>
        <w:t>action </w:t>
      </w:r>
      <w:r>
        <w:rPr>
          <w:w w:val="120"/>
          <w:sz w:val="20"/>
        </w:rPr>
        <w:t>ideas helps </w:t>
      </w:r>
      <w:r>
        <w:rPr>
          <w:spacing w:val="2"/>
          <w:w w:val="120"/>
          <w:sz w:val="20"/>
        </w:rPr>
        <w:t>participants </w:t>
      </w:r>
      <w:r>
        <w:rPr>
          <w:w w:val="120"/>
          <w:sz w:val="20"/>
        </w:rPr>
        <w:t>take the </w:t>
      </w:r>
      <w:r>
        <w:rPr>
          <w:spacing w:val="2"/>
          <w:w w:val="120"/>
          <w:sz w:val="20"/>
        </w:rPr>
        <w:t>message </w:t>
      </w:r>
      <w:r>
        <w:rPr>
          <w:w w:val="120"/>
          <w:sz w:val="20"/>
        </w:rPr>
        <w:t>of God’s love for all </w:t>
      </w:r>
      <w:r>
        <w:rPr>
          <w:spacing w:val="2"/>
          <w:w w:val="120"/>
          <w:sz w:val="20"/>
        </w:rPr>
        <w:t>people </w:t>
      </w:r>
      <w:r>
        <w:rPr>
          <w:w w:val="120"/>
          <w:sz w:val="20"/>
        </w:rPr>
        <w:t>as    </w:t>
      </w:r>
      <w:r>
        <w:rPr>
          <w:spacing w:val="3"/>
          <w:w w:val="120"/>
          <w:sz w:val="20"/>
        </w:rPr>
        <w:t>part </w:t>
      </w:r>
      <w:r>
        <w:rPr>
          <w:w w:val="120"/>
          <w:sz w:val="20"/>
        </w:rPr>
        <w:t>of wider</w:t>
      </w:r>
      <w:r>
        <w:rPr>
          <w:spacing w:val="15"/>
          <w:w w:val="120"/>
          <w:sz w:val="20"/>
        </w:rPr>
        <w:t> </w:t>
      </w:r>
      <w:r>
        <w:rPr>
          <w:w w:val="120"/>
          <w:sz w:val="20"/>
        </w:rPr>
        <w:t>mission.</w:t>
      </w:r>
    </w:p>
    <w:p>
      <w:pPr>
        <w:pStyle w:val="BodyText"/>
        <w:spacing w:before="9"/>
        <w:rPr>
          <w:sz w:val="19"/>
        </w:rPr>
      </w:pPr>
    </w:p>
    <w:p>
      <w:pPr>
        <w:spacing w:line="242" w:lineRule="exact" w:before="0"/>
        <w:ind w:left="1133" w:right="0" w:firstLine="0"/>
        <w:jc w:val="left"/>
        <w:rPr>
          <w:sz w:val="20"/>
        </w:rPr>
      </w:pPr>
      <w:r>
        <w:rPr>
          <w:i/>
          <w:w w:val="115"/>
          <w:sz w:val="20"/>
        </w:rPr>
        <w:t>Commitment for Life </w:t>
      </w:r>
      <w:r>
        <w:rPr>
          <w:w w:val="115"/>
          <w:sz w:val="20"/>
        </w:rPr>
        <w:t>Advocates Sylvia and Ian Salmon say:</w:t>
      </w:r>
    </w:p>
    <w:p>
      <w:pPr>
        <w:spacing w:line="235" w:lineRule="auto" w:before="2"/>
        <w:ind w:left="1814" w:right="2191" w:firstLine="0"/>
        <w:jc w:val="left"/>
        <w:rPr>
          <w:i/>
          <w:sz w:val="20"/>
        </w:rPr>
      </w:pPr>
      <w:r>
        <w:rPr>
          <w:i/>
          <w:w w:val="110"/>
          <w:sz w:val="20"/>
        </w:rPr>
        <w:t>Israel/Palestine days give us the impetus to carry on campaigning for Justice and Peace. </w:t>
      </w:r>
      <w:r>
        <w:rPr>
          <w:i/>
          <w:w w:val="110"/>
          <w:sz w:val="20"/>
        </w:rPr>
        <w:t>Selling Fairtrade goods from Palestine, in addition to our Traidcraft commitment, is a very practical way to help people support themselves. Fairtrade is very much part of Commitment</w:t>
      </w:r>
      <w:r>
        <w:rPr>
          <w:i/>
          <w:spacing w:val="6"/>
          <w:w w:val="110"/>
          <w:sz w:val="20"/>
        </w:rPr>
        <w:t> </w:t>
      </w:r>
      <w:r>
        <w:rPr>
          <w:i/>
          <w:w w:val="110"/>
          <w:sz w:val="20"/>
        </w:rPr>
        <w:t>for</w:t>
      </w:r>
      <w:r>
        <w:rPr>
          <w:i/>
          <w:spacing w:val="7"/>
          <w:w w:val="110"/>
          <w:sz w:val="20"/>
        </w:rPr>
        <w:t> </w:t>
      </w:r>
      <w:r>
        <w:rPr>
          <w:i/>
          <w:w w:val="110"/>
          <w:sz w:val="20"/>
        </w:rPr>
        <w:t>Life.</w:t>
      </w:r>
      <w:r>
        <w:rPr>
          <w:i/>
          <w:spacing w:val="7"/>
          <w:w w:val="110"/>
          <w:sz w:val="20"/>
        </w:rPr>
        <w:t> </w:t>
      </w:r>
      <w:r>
        <w:rPr>
          <w:i/>
          <w:w w:val="110"/>
          <w:sz w:val="20"/>
        </w:rPr>
        <w:t>All</w:t>
      </w:r>
      <w:r>
        <w:rPr>
          <w:i/>
          <w:spacing w:val="7"/>
          <w:w w:val="110"/>
          <w:sz w:val="20"/>
        </w:rPr>
        <w:t> </w:t>
      </w:r>
      <w:r>
        <w:rPr>
          <w:i/>
          <w:w w:val="110"/>
          <w:sz w:val="20"/>
        </w:rPr>
        <w:t>of</w:t>
      </w:r>
      <w:r>
        <w:rPr>
          <w:i/>
          <w:spacing w:val="7"/>
          <w:w w:val="110"/>
          <w:sz w:val="20"/>
        </w:rPr>
        <w:t> </w:t>
      </w:r>
      <w:r>
        <w:rPr>
          <w:i/>
          <w:w w:val="110"/>
          <w:sz w:val="20"/>
        </w:rPr>
        <w:t>us</w:t>
      </w:r>
      <w:r>
        <w:rPr>
          <w:i/>
          <w:spacing w:val="7"/>
          <w:w w:val="110"/>
          <w:sz w:val="20"/>
        </w:rPr>
        <w:t> </w:t>
      </w:r>
      <w:r>
        <w:rPr>
          <w:i/>
          <w:w w:val="110"/>
          <w:sz w:val="20"/>
        </w:rPr>
        <w:t>can</w:t>
      </w:r>
      <w:r>
        <w:rPr>
          <w:i/>
          <w:spacing w:val="7"/>
          <w:w w:val="110"/>
          <w:sz w:val="20"/>
        </w:rPr>
        <w:t> </w:t>
      </w:r>
      <w:r>
        <w:rPr>
          <w:i/>
          <w:w w:val="110"/>
          <w:sz w:val="20"/>
        </w:rPr>
        <w:t>make</w:t>
      </w:r>
      <w:r>
        <w:rPr>
          <w:i/>
          <w:spacing w:val="7"/>
          <w:w w:val="110"/>
          <w:sz w:val="20"/>
        </w:rPr>
        <w:t> </w:t>
      </w:r>
      <w:r>
        <w:rPr>
          <w:i/>
          <w:w w:val="110"/>
          <w:sz w:val="20"/>
        </w:rPr>
        <w:t>a</w:t>
      </w:r>
      <w:r>
        <w:rPr>
          <w:i/>
          <w:spacing w:val="7"/>
          <w:w w:val="110"/>
          <w:sz w:val="20"/>
        </w:rPr>
        <w:t> </w:t>
      </w:r>
      <w:r>
        <w:rPr>
          <w:i/>
          <w:w w:val="110"/>
          <w:sz w:val="20"/>
        </w:rPr>
        <w:t>real</w:t>
      </w:r>
      <w:r>
        <w:rPr>
          <w:i/>
          <w:spacing w:val="7"/>
          <w:w w:val="110"/>
          <w:sz w:val="20"/>
        </w:rPr>
        <w:t> </w:t>
      </w:r>
      <w:r>
        <w:rPr>
          <w:i/>
          <w:w w:val="110"/>
          <w:sz w:val="20"/>
        </w:rPr>
        <w:t>difference</w:t>
      </w:r>
      <w:r>
        <w:rPr>
          <w:i/>
          <w:spacing w:val="7"/>
          <w:w w:val="110"/>
          <w:sz w:val="20"/>
        </w:rPr>
        <w:t> </w:t>
      </w:r>
      <w:r>
        <w:rPr>
          <w:i/>
          <w:w w:val="110"/>
          <w:sz w:val="20"/>
        </w:rPr>
        <w:t>through</w:t>
      </w:r>
      <w:r>
        <w:rPr>
          <w:i/>
          <w:spacing w:val="7"/>
          <w:w w:val="110"/>
          <w:sz w:val="20"/>
        </w:rPr>
        <w:t> </w:t>
      </w:r>
      <w:r>
        <w:rPr>
          <w:i/>
          <w:w w:val="110"/>
          <w:sz w:val="20"/>
        </w:rPr>
        <w:t>our</w:t>
      </w:r>
      <w:r>
        <w:rPr>
          <w:i/>
          <w:spacing w:val="7"/>
          <w:w w:val="110"/>
          <w:sz w:val="20"/>
        </w:rPr>
        <w:t> </w:t>
      </w:r>
      <w:r>
        <w:rPr>
          <w:i/>
          <w:w w:val="110"/>
          <w:sz w:val="20"/>
        </w:rPr>
        <w:t>purchases.</w:t>
      </w:r>
    </w:p>
    <w:p>
      <w:pPr>
        <w:pStyle w:val="BodyText"/>
        <w:spacing w:before="10"/>
        <w:rPr>
          <w:i/>
          <w:sz w:val="19"/>
        </w:rPr>
      </w:pPr>
    </w:p>
    <w:p>
      <w:pPr>
        <w:pStyle w:val="ListParagraph"/>
        <w:numPr>
          <w:ilvl w:val="2"/>
          <w:numId w:val="143"/>
        </w:numPr>
        <w:tabs>
          <w:tab w:pos="1814" w:val="left" w:leader="none"/>
          <w:tab w:pos="1815" w:val="left" w:leader="none"/>
        </w:tabs>
        <w:spacing w:line="235" w:lineRule="auto" w:before="1" w:after="0"/>
        <w:ind w:left="1133" w:right="2156" w:firstLine="0"/>
        <w:jc w:val="left"/>
        <w:rPr>
          <w:sz w:val="20"/>
        </w:rPr>
      </w:pPr>
      <w:r>
        <w:rPr>
          <w:i/>
          <w:w w:val="120"/>
          <w:sz w:val="20"/>
        </w:rPr>
        <w:t>Commitment for Life </w:t>
      </w:r>
      <w:r>
        <w:rPr>
          <w:w w:val="120"/>
          <w:sz w:val="20"/>
        </w:rPr>
        <w:t>continues to </w:t>
      </w:r>
      <w:r>
        <w:rPr>
          <w:spacing w:val="-3"/>
          <w:w w:val="120"/>
          <w:sz w:val="20"/>
        </w:rPr>
        <w:t>grow, </w:t>
      </w:r>
      <w:r>
        <w:rPr>
          <w:w w:val="120"/>
          <w:sz w:val="20"/>
        </w:rPr>
        <w:t>with </w:t>
      </w:r>
      <w:r>
        <w:rPr>
          <w:spacing w:val="-3"/>
          <w:w w:val="120"/>
          <w:sz w:val="20"/>
        </w:rPr>
        <w:t>42% </w:t>
      </w:r>
      <w:r>
        <w:rPr>
          <w:w w:val="120"/>
          <w:sz w:val="20"/>
        </w:rPr>
        <w:t>of churches being </w:t>
      </w:r>
      <w:r>
        <w:rPr>
          <w:spacing w:val="2"/>
          <w:w w:val="120"/>
          <w:sz w:val="20"/>
        </w:rPr>
        <w:t>part </w:t>
      </w:r>
      <w:r>
        <w:rPr>
          <w:w w:val="120"/>
          <w:sz w:val="20"/>
        </w:rPr>
        <w:t>of the scheme and raising over one million pounds since Assembly last met. Thank you on behalf of our four partner countries. Please consider becoming an advocate in your synod or receiving moving stories (Israel/Palestine) and stories for change (Bangladesh, Jamaica and </w:t>
      </w:r>
      <w:r>
        <w:rPr>
          <w:spacing w:val="-3"/>
          <w:w w:val="120"/>
          <w:sz w:val="20"/>
        </w:rPr>
        <w:t>Zimbabwe) </w:t>
      </w:r>
      <w:r>
        <w:rPr>
          <w:w w:val="120"/>
          <w:sz w:val="20"/>
        </w:rPr>
        <w:t>by email. Local churches find these extremely useful in helping congregations understand more about</w:t>
      </w:r>
      <w:r>
        <w:rPr>
          <w:spacing w:val="10"/>
          <w:w w:val="120"/>
          <w:sz w:val="20"/>
        </w:rPr>
        <w:t> </w:t>
      </w:r>
      <w:r>
        <w:rPr>
          <w:w w:val="120"/>
          <w:sz w:val="20"/>
        </w:rPr>
        <w:t>issues.</w:t>
      </w:r>
    </w:p>
    <w:p>
      <w:pPr>
        <w:pStyle w:val="BodyText"/>
        <w:rPr>
          <w:sz w:val="24"/>
        </w:rPr>
      </w:pPr>
    </w:p>
    <w:p>
      <w:pPr>
        <w:pStyle w:val="BodyText"/>
        <w:spacing w:line="235" w:lineRule="auto" w:before="191"/>
        <w:ind w:left="1133" w:right="2573"/>
      </w:pPr>
      <w:r>
        <w:rPr>
          <w:w w:val="120"/>
        </w:rPr>
        <w:t>Please visit </w:t>
      </w:r>
      <w:hyperlink r:id="rId439">
        <w:r>
          <w:rPr>
            <w:w w:val="120"/>
          </w:rPr>
          <w:t>www.cforl.org.uk </w:t>
        </w:r>
      </w:hyperlink>
      <w:r>
        <w:rPr>
          <w:w w:val="120"/>
        </w:rPr>
        <w:t>for a wide range of resources for use within your church community.</w:t>
      </w:r>
    </w:p>
    <w:p>
      <w:pPr>
        <w:pStyle w:val="BodyText"/>
        <w:spacing w:before="5"/>
        <w:rPr>
          <w:sz w:val="19"/>
        </w:rPr>
      </w:pPr>
    </w:p>
    <w:p>
      <w:pPr>
        <w:pStyle w:val="ListParagraph"/>
        <w:numPr>
          <w:ilvl w:val="1"/>
          <w:numId w:val="143"/>
        </w:numPr>
        <w:tabs>
          <w:tab w:pos="1814" w:val="left" w:leader="none"/>
          <w:tab w:pos="1815" w:val="left" w:leader="none"/>
        </w:tabs>
        <w:spacing w:line="240" w:lineRule="auto" w:before="0" w:after="0"/>
        <w:ind w:left="1814" w:right="0" w:hanging="682"/>
        <w:jc w:val="left"/>
        <w:rPr>
          <w:sz w:val="20"/>
        </w:rPr>
      </w:pPr>
      <w:r>
        <w:rPr>
          <w:w w:val="120"/>
          <w:sz w:val="20"/>
        </w:rPr>
        <w:t>The integrity of</w:t>
      </w:r>
      <w:r>
        <w:rPr>
          <w:spacing w:val="6"/>
          <w:w w:val="120"/>
          <w:sz w:val="20"/>
        </w:rPr>
        <w:t> </w:t>
      </w:r>
      <w:r>
        <w:rPr>
          <w:w w:val="120"/>
          <w:sz w:val="20"/>
        </w:rPr>
        <w:t>creation</w:t>
      </w:r>
    </w:p>
    <w:p>
      <w:pPr>
        <w:pStyle w:val="BodyText"/>
        <w:spacing w:before="8"/>
        <w:rPr>
          <w:sz w:val="19"/>
        </w:rPr>
      </w:pPr>
    </w:p>
    <w:p>
      <w:pPr>
        <w:pStyle w:val="ListParagraph"/>
        <w:numPr>
          <w:ilvl w:val="2"/>
          <w:numId w:val="143"/>
        </w:numPr>
        <w:tabs>
          <w:tab w:pos="1815" w:val="left" w:leader="none"/>
        </w:tabs>
        <w:spacing w:line="235" w:lineRule="auto" w:before="0" w:after="0"/>
        <w:ind w:left="1133" w:right="2604" w:firstLine="0"/>
        <w:jc w:val="left"/>
        <w:rPr>
          <w:sz w:val="20"/>
        </w:rPr>
      </w:pPr>
      <w:r>
        <w:rPr>
          <w:w w:val="120"/>
          <w:sz w:val="20"/>
        </w:rPr>
        <w:t>In the past two years the Church has taken significant steps to safeguard the integrity of creation, at all levels. This has been strongly supported by the Mission Committee and the work of the Mission</w:t>
      </w:r>
      <w:r>
        <w:rPr>
          <w:spacing w:val="13"/>
          <w:w w:val="120"/>
          <w:sz w:val="20"/>
        </w:rPr>
        <w:t> </w:t>
      </w:r>
      <w:r>
        <w:rPr>
          <w:spacing w:val="-3"/>
          <w:w w:val="120"/>
          <w:sz w:val="20"/>
        </w:rPr>
        <w:t>Team.</w:t>
      </w:r>
    </w:p>
    <w:p>
      <w:pPr>
        <w:pStyle w:val="BodyText"/>
        <w:spacing w:before="10"/>
        <w:rPr>
          <w:sz w:val="19"/>
        </w:rPr>
      </w:pPr>
    </w:p>
    <w:p>
      <w:pPr>
        <w:pStyle w:val="ListParagraph"/>
        <w:numPr>
          <w:ilvl w:val="2"/>
          <w:numId w:val="143"/>
        </w:numPr>
        <w:tabs>
          <w:tab w:pos="1815" w:val="left" w:leader="none"/>
        </w:tabs>
        <w:spacing w:line="235" w:lineRule="auto" w:before="0" w:after="0"/>
        <w:ind w:left="1133" w:right="1998" w:firstLine="0"/>
        <w:jc w:val="left"/>
        <w:rPr>
          <w:sz w:val="20"/>
        </w:rPr>
      </w:pPr>
      <w:r>
        <w:rPr>
          <w:w w:val="120"/>
          <w:sz w:val="20"/>
        </w:rPr>
        <w:t>The centenary of a church is a significant anniversary. </w:t>
      </w:r>
      <w:r>
        <w:rPr>
          <w:spacing w:val="-3"/>
          <w:w w:val="120"/>
          <w:sz w:val="20"/>
        </w:rPr>
        <w:t>Tracey </w:t>
      </w:r>
      <w:r>
        <w:rPr>
          <w:w w:val="120"/>
          <w:sz w:val="20"/>
        </w:rPr>
        <w:t>Lewis, Minister of Trinity-Henleaze URC and the URC Mission Committee member for South Western Synod tells the </w:t>
      </w:r>
      <w:r>
        <w:rPr>
          <w:spacing w:val="2"/>
          <w:w w:val="120"/>
          <w:sz w:val="20"/>
        </w:rPr>
        <w:t>story </w:t>
      </w:r>
      <w:r>
        <w:rPr>
          <w:w w:val="120"/>
          <w:sz w:val="20"/>
        </w:rPr>
        <w:t>of their celebrations and where it has led</w:t>
      </w:r>
      <w:r>
        <w:rPr>
          <w:spacing w:val="12"/>
          <w:w w:val="120"/>
          <w:sz w:val="20"/>
        </w:rPr>
        <w:t> </w:t>
      </w:r>
      <w:r>
        <w:rPr>
          <w:w w:val="120"/>
          <w:sz w:val="20"/>
        </w:rPr>
        <w:t>them:</w:t>
      </w:r>
    </w:p>
    <w:p>
      <w:pPr>
        <w:pStyle w:val="BodyText"/>
        <w:spacing w:before="10"/>
        <w:rPr>
          <w:sz w:val="19"/>
        </w:rPr>
      </w:pPr>
    </w:p>
    <w:p>
      <w:pPr>
        <w:spacing w:line="235" w:lineRule="auto" w:before="1"/>
        <w:ind w:left="1814" w:right="2007" w:firstLine="0"/>
        <w:jc w:val="left"/>
        <w:rPr>
          <w:i/>
          <w:sz w:val="20"/>
        </w:rPr>
      </w:pPr>
      <w:r>
        <w:rPr>
          <w:i/>
          <w:w w:val="110"/>
          <w:sz w:val="20"/>
        </w:rPr>
        <w:t>2007 was the year we turned 100 and we wanted to celebrate. The church was planted </w:t>
      </w:r>
      <w:r>
        <w:rPr>
          <w:i/>
          <w:w w:val="110"/>
          <w:sz w:val="20"/>
        </w:rPr>
        <w:t>amongst fields and park land, before neighbouring houses were built to form what is    now the community of Henleaze. </w:t>
      </w:r>
      <w:r>
        <w:rPr>
          <w:i/>
          <w:spacing w:val="-2"/>
          <w:w w:val="110"/>
          <w:sz w:val="20"/>
        </w:rPr>
        <w:t>So, </w:t>
      </w:r>
      <w:r>
        <w:rPr>
          <w:i/>
          <w:w w:val="110"/>
          <w:sz w:val="20"/>
        </w:rPr>
        <w:t>100 year </w:t>
      </w:r>
      <w:r>
        <w:rPr>
          <w:i/>
          <w:spacing w:val="-3"/>
          <w:w w:val="110"/>
          <w:sz w:val="20"/>
        </w:rPr>
        <w:t>later, </w:t>
      </w:r>
      <w:r>
        <w:rPr>
          <w:i/>
          <w:w w:val="110"/>
          <w:sz w:val="20"/>
        </w:rPr>
        <w:t>we thought we should celebrate with our long-standing neighbours. We arranged four  ‘Community  Conversation  Evenings’ and</w:t>
      </w:r>
      <w:r>
        <w:rPr>
          <w:i/>
          <w:spacing w:val="8"/>
          <w:w w:val="110"/>
          <w:sz w:val="20"/>
        </w:rPr>
        <w:t> </w:t>
      </w:r>
      <w:r>
        <w:rPr>
          <w:i/>
          <w:w w:val="110"/>
          <w:sz w:val="20"/>
        </w:rPr>
        <w:t>issued</w:t>
      </w:r>
      <w:r>
        <w:rPr>
          <w:i/>
          <w:spacing w:val="8"/>
          <w:w w:val="110"/>
          <w:sz w:val="20"/>
        </w:rPr>
        <w:t> </w:t>
      </w:r>
      <w:r>
        <w:rPr>
          <w:i/>
          <w:w w:val="110"/>
          <w:sz w:val="20"/>
        </w:rPr>
        <w:t>an</w:t>
      </w:r>
      <w:r>
        <w:rPr>
          <w:i/>
          <w:spacing w:val="8"/>
          <w:w w:val="110"/>
          <w:sz w:val="20"/>
        </w:rPr>
        <w:t> </w:t>
      </w:r>
      <w:r>
        <w:rPr>
          <w:i/>
          <w:w w:val="110"/>
          <w:sz w:val="20"/>
        </w:rPr>
        <w:t>open</w:t>
      </w:r>
      <w:r>
        <w:rPr>
          <w:i/>
          <w:spacing w:val="8"/>
          <w:w w:val="110"/>
          <w:sz w:val="20"/>
        </w:rPr>
        <w:t> </w:t>
      </w:r>
      <w:r>
        <w:rPr>
          <w:i/>
          <w:w w:val="110"/>
          <w:sz w:val="20"/>
        </w:rPr>
        <w:t>invitation,</w:t>
      </w:r>
      <w:r>
        <w:rPr>
          <w:i/>
          <w:spacing w:val="8"/>
          <w:w w:val="110"/>
          <w:sz w:val="20"/>
        </w:rPr>
        <w:t> </w:t>
      </w:r>
      <w:r>
        <w:rPr>
          <w:i/>
          <w:w w:val="110"/>
          <w:sz w:val="20"/>
        </w:rPr>
        <w:t>well</w:t>
      </w:r>
      <w:r>
        <w:rPr>
          <w:i/>
          <w:spacing w:val="9"/>
          <w:w w:val="110"/>
          <w:sz w:val="20"/>
        </w:rPr>
        <w:t> </w:t>
      </w:r>
      <w:r>
        <w:rPr>
          <w:i/>
          <w:w w:val="110"/>
          <w:sz w:val="20"/>
        </w:rPr>
        <w:t>advertised,</w:t>
      </w:r>
      <w:r>
        <w:rPr>
          <w:i/>
          <w:spacing w:val="8"/>
          <w:w w:val="110"/>
          <w:sz w:val="20"/>
        </w:rPr>
        <w:t> </w:t>
      </w:r>
      <w:r>
        <w:rPr>
          <w:i/>
          <w:w w:val="110"/>
          <w:sz w:val="20"/>
        </w:rPr>
        <w:t>to</w:t>
      </w:r>
      <w:r>
        <w:rPr>
          <w:i/>
          <w:spacing w:val="8"/>
          <w:w w:val="110"/>
          <w:sz w:val="20"/>
        </w:rPr>
        <w:t> </w:t>
      </w:r>
      <w:r>
        <w:rPr>
          <w:i/>
          <w:w w:val="110"/>
          <w:sz w:val="20"/>
        </w:rPr>
        <w:t>the</w:t>
      </w:r>
      <w:r>
        <w:rPr>
          <w:i/>
          <w:spacing w:val="8"/>
          <w:w w:val="110"/>
          <w:sz w:val="20"/>
        </w:rPr>
        <w:t> </w:t>
      </w:r>
      <w:r>
        <w:rPr>
          <w:i/>
          <w:w w:val="110"/>
          <w:sz w:val="20"/>
        </w:rPr>
        <w:t>first</w:t>
      </w:r>
      <w:r>
        <w:rPr>
          <w:i/>
          <w:spacing w:val="8"/>
          <w:w w:val="110"/>
          <w:sz w:val="20"/>
        </w:rPr>
        <w:t> </w:t>
      </w:r>
      <w:r>
        <w:rPr>
          <w:i/>
          <w:w w:val="110"/>
          <w:sz w:val="20"/>
        </w:rPr>
        <w:t>evening</w:t>
      </w:r>
      <w:r>
        <w:rPr>
          <w:i/>
          <w:spacing w:val="8"/>
          <w:w w:val="110"/>
          <w:sz w:val="20"/>
        </w:rPr>
        <w:t> </w:t>
      </w:r>
      <w:r>
        <w:rPr>
          <w:i/>
          <w:w w:val="110"/>
          <w:sz w:val="20"/>
        </w:rPr>
        <w:t>asking</w:t>
      </w:r>
      <w:r>
        <w:rPr>
          <w:i/>
          <w:spacing w:val="9"/>
          <w:w w:val="110"/>
          <w:sz w:val="20"/>
        </w:rPr>
        <w:t> </w:t>
      </w:r>
      <w:r>
        <w:rPr>
          <w:i/>
          <w:w w:val="110"/>
          <w:sz w:val="20"/>
        </w:rPr>
        <w:t>‘Is</w:t>
      </w:r>
      <w:r>
        <w:rPr>
          <w:i/>
          <w:spacing w:val="8"/>
          <w:w w:val="110"/>
          <w:sz w:val="20"/>
        </w:rPr>
        <w:t> </w:t>
      </w:r>
      <w:r>
        <w:rPr>
          <w:i/>
          <w:w w:val="110"/>
          <w:sz w:val="20"/>
        </w:rPr>
        <w:t>God</w:t>
      </w:r>
      <w:r>
        <w:rPr>
          <w:i/>
          <w:spacing w:val="8"/>
          <w:w w:val="110"/>
          <w:sz w:val="20"/>
        </w:rPr>
        <w:t> </w:t>
      </w:r>
      <w:r>
        <w:rPr>
          <w:i/>
          <w:w w:val="110"/>
          <w:sz w:val="20"/>
        </w:rPr>
        <w:t>Green?’</w:t>
      </w:r>
    </w:p>
    <w:p>
      <w:pPr>
        <w:spacing w:after="0" w:line="235" w:lineRule="auto"/>
        <w:jc w:val="left"/>
        <w:rPr>
          <w:sz w:val="20"/>
        </w:rPr>
        <w:sectPr>
          <w:headerReference w:type="even" r:id="rId435"/>
          <w:footerReference w:type="even" r:id="rId436"/>
          <w:pgSz w:w="11910" w:h="16840"/>
          <w:pgMar w:header="0" w:footer="647" w:top="0" w:bottom="840" w:left="0" w:right="0"/>
          <w:pgNumType w:start="168"/>
        </w:sectPr>
      </w:pPr>
    </w:p>
    <w:p>
      <w:pPr>
        <w:spacing w:line="242" w:lineRule="exact" w:before="87"/>
        <w:ind w:left="2664" w:right="0" w:firstLine="0"/>
        <w:jc w:val="left"/>
        <w:rPr>
          <w:i/>
          <w:sz w:val="20"/>
        </w:rPr>
      </w:pPr>
      <w:r>
        <w:rPr/>
        <w:pict>
          <v:group style="position:absolute;margin-left:0pt;margin-top:438.735016pt;width:595.3pt;height:403.2pt;mso-position-horizontal-relative:page;mso-position-vertical-relative:page;z-index:-267236352" coordorigin="0,8775" coordsize="11906,8064">
            <v:shape style="position:absolute;left:0;top:12982;width:11906;height:3856" coordorigin="0,12983" coordsize="11906,3856" path="m0,12983l0,12983,0,12985,0,12983m11906,14497l1262,14497,1216,14489,1145,14472,1075,14452,1007,14428,939,14402,874,14372,810,14340,748,14305,688,14267,630,14226,574,14183,519,14137,467,14089,418,14039,370,13986,325,13931,283,13874,243,13815,206,13755,172,13692,140,13628,112,13562,86,13494,64,13425,45,13355,29,13283,16,13211,7,13137,2,13062,0,12986,0,14497,0,14522,0,16838,11906,16838,11906,14497e" filled="true" fillcolor="#8ba8bd" stroked="false">
              <v:path arrowok="t"/>
              <v:fill type="solid"/>
            </v:shape>
            <v:line style="position:absolute" from="7085,11686" to="10772,11686" stroked="true" strokeweight=".5pt" strokecolor="#8ba8bd">
              <v:stroke dashstyle="solid"/>
            </v:line>
            <v:rect style="position:absolute;left:7260;top:8774;width:4119;height:5285" filled="true" fillcolor="#000000" stroked="false">
              <v:fill opacity="29491f" type="solid"/>
            </v:rect>
            <v:shape style="position:absolute;left:7345;top:8859;width:3766;height:4930" type="#_x0000_t75" stroked="false">
              <v:imagedata r:id="rId442" o:title=""/>
            </v:shape>
            <w10:wrap type="none"/>
          </v:group>
        </w:pict>
      </w:r>
      <w:r>
        <w:rPr/>
        <w:pict>
          <v:rect style="position:absolute;margin-left:558.424988pt;margin-top:8.493772pt;width:22.677pt;height:22.677pt;mso-position-horizontal-relative:page;mso-position-vertical-relative:paragraph;z-index:252188672" filled="true" fillcolor="#dae4ec" stroked="false">
            <v:fill opacity="32768f" type="solid"/>
            <w10:wrap type="none"/>
          </v:rect>
        </w:pict>
      </w:r>
      <w:r>
        <w:rPr>
          <w:i/>
          <w:w w:val="110"/>
          <w:sz w:val="20"/>
        </w:rPr>
        <w:t>The chairs in church were moved (!) so that people could sit informally around tables</w:t>
      </w:r>
    </w:p>
    <w:p>
      <w:pPr>
        <w:spacing w:line="235" w:lineRule="auto" w:before="2"/>
        <w:ind w:left="2664" w:right="1573" w:firstLine="0"/>
        <w:jc w:val="left"/>
        <w:rPr>
          <w:i/>
          <w:sz w:val="20"/>
        </w:rPr>
      </w:pPr>
      <w:r>
        <w:rPr>
          <w:i/>
          <w:w w:val="110"/>
          <w:sz w:val="20"/>
        </w:rPr>
        <w:t>…. and we waited, nervously! </w:t>
      </w:r>
      <w:r>
        <w:rPr>
          <w:i/>
          <w:spacing w:val="-6"/>
          <w:w w:val="110"/>
          <w:sz w:val="20"/>
        </w:rPr>
        <w:t>To </w:t>
      </w:r>
      <w:r>
        <w:rPr>
          <w:i/>
          <w:w w:val="110"/>
          <w:sz w:val="20"/>
        </w:rPr>
        <w:t>our delight </w:t>
      </w:r>
      <w:r>
        <w:rPr>
          <w:i/>
          <w:spacing w:val="3"/>
          <w:w w:val="110"/>
          <w:sz w:val="20"/>
        </w:rPr>
        <w:t>sixty </w:t>
      </w:r>
      <w:r>
        <w:rPr>
          <w:i/>
          <w:w w:val="110"/>
          <w:sz w:val="20"/>
        </w:rPr>
        <w:t>people turned up – around half not </w:t>
      </w:r>
      <w:r>
        <w:rPr>
          <w:i/>
          <w:w w:val="110"/>
          <w:sz w:val="20"/>
        </w:rPr>
        <w:t>church people! This was obviously an issue that people wanted to talk about. Whilst     we had an invited speaker at our </w:t>
      </w:r>
      <w:r>
        <w:rPr>
          <w:i/>
          <w:spacing w:val="2"/>
          <w:w w:val="110"/>
          <w:sz w:val="20"/>
        </w:rPr>
        <w:t>first </w:t>
      </w:r>
      <w:r>
        <w:rPr>
          <w:i/>
          <w:w w:val="110"/>
          <w:sz w:val="20"/>
        </w:rPr>
        <w:t>meeting, for our follow-up we decided simply to talk to one another and to stay with questions of climate change and environmental  care – </w:t>
      </w:r>
      <w:r>
        <w:rPr>
          <w:i/>
          <w:spacing w:val="2"/>
          <w:w w:val="110"/>
          <w:sz w:val="20"/>
        </w:rPr>
        <w:t>particularly </w:t>
      </w:r>
      <w:r>
        <w:rPr>
          <w:i/>
          <w:w w:val="110"/>
          <w:sz w:val="20"/>
        </w:rPr>
        <w:t>thinking about how we could encourage one another and make a difference</w:t>
      </w:r>
      <w:r>
        <w:rPr>
          <w:i/>
          <w:spacing w:val="7"/>
          <w:w w:val="110"/>
          <w:sz w:val="20"/>
        </w:rPr>
        <w:t> </w:t>
      </w:r>
      <w:r>
        <w:rPr>
          <w:i/>
          <w:w w:val="110"/>
          <w:sz w:val="20"/>
        </w:rPr>
        <w:t>locally.</w:t>
      </w:r>
    </w:p>
    <w:p>
      <w:pPr>
        <w:pStyle w:val="BodyText"/>
        <w:rPr>
          <w:i/>
        </w:rPr>
      </w:pPr>
    </w:p>
    <w:p>
      <w:pPr>
        <w:spacing w:line="235" w:lineRule="auto" w:before="0"/>
        <w:ind w:left="2664" w:right="1378" w:firstLine="0"/>
        <w:jc w:val="left"/>
        <w:rPr>
          <w:i/>
          <w:sz w:val="20"/>
        </w:rPr>
      </w:pPr>
      <w:r>
        <w:rPr>
          <w:i/>
          <w:w w:val="110"/>
          <w:sz w:val="20"/>
        </w:rPr>
        <w:t>These conversations led to the establishing of a local ‘Sustainable Henleaze’ group. </w:t>
      </w:r>
      <w:r>
        <w:rPr>
          <w:i/>
          <w:spacing w:val="-6"/>
          <w:w w:val="110"/>
          <w:sz w:val="20"/>
        </w:rPr>
        <w:t>Two </w:t>
      </w:r>
      <w:r>
        <w:rPr>
          <w:i/>
          <w:w w:val="110"/>
          <w:sz w:val="20"/>
        </w:rPr>
        <w:t>years later Sustainable Henleaze has become a community forum around environmental issues in its own right run by local people, the church being involved as a partner and     still being the place for meetings. Sustainable Henleaze is open to all and almost every meeting someone new turns up. It now has working groups getting involved in issues of waste and recycling, </w:t>
      </w:r>
      <w:r>
        <w:rPr>
          <w:i/>
          <w:spacing w:val="-3"/>
          <w:w w:val="110"/>
          <w:sz w:val="20"/>
        </w:rPr>
        <w:t>energy, </w:t>
      </w:r>
      <w:r>
        <w:rPr>
          <w:i/>
          <w:w w:val="110"/>
          <w:sz w:val="20"/>
        </w:rPr>
        <w:t>transport and food. Sometimes speakers are invited to help us explore issues – often we simply talk with one another, share concern and knowledge and</w:t>
      </w:r>
      <w:r>
        <w:rPr>
          <w:i/>
          <w:spacing w:val="5"/>
          <w:w w:val="110"/>
          <w:sz w:val="20"/>
        </w:rPr>
        <w:t> </w:t>
      </w:r>
      <w:r>
        <w:rPr>
          <w:i/>
          <w:w w:val="110"/>
          <w:sz w:val="20"/>
        </w:rPr>
        <w:t>find</w:t>
      </w:r>
      <w:r>
        <w:rPr>
          <w:i/>
          <w:spacing w:val="6"/>
          <w:w w:val="110"/>
          <w:sz w:val="20"/>
        </w:rPr>
        <w:t> </w:t>
      </w:r>
      <w:r>
        <w:rPr>
          <w:i/>
          <w:w w:val="110"/>
          <w:sz w:val="20"/>
        </w:rPr>
        <w:t>the</w:t>
      </w:r>
      <w:r>
        <w:rPr>
          <w:i/>
          <w:spacing w:val="5"/>
          <w:w w:val="110"/>
          <w:sz w:val="20"/>
        </w:rPr>
        <w:t> </w:t>
      </w:r>
      <w:r>
        <w:rPr>
          <w:i/>
          <w:w w:val="110"/>
          <w:sz w:val="20"/>
        </w:rPr>
        <w:t>encouragement</w:t>
      </w:r>
      <w:r>
        <w:rPr>
          <w:i/>
          <w:spacing w:val="6"/>
          <w:w w:val="110"/>
          <w:sz w:val="20"/>
        </w:rPr>
        <w:t> </w:t>
      </w:r>
      <w:r>
        <w:rPr>
          <w:i/>
          <w:w w:val="110"/>
          <w:sz w:val="20"/>
        </w:rPr>
        <w:t>we</w:t>
      </w:r>
      <w:r>
        <w:rPr>
          <w:i/>
          <w:spacing w:val="5"/>
          <w:w w:val="110"/>
          <w:sz w:val="20"/>
        </w:rPr>
        <w:t> </w:t>
      </w:r>
      <w:r>
        <w:rPr>
          <w:i/>
          <w:w w:val="110"/>
          <w:sz w:val="20"/>
        </w:rPr>
        <w:t>need</w:t>
      </w:r>
      <w:r>
        <w:rPr>
          <w:i/>
          <w:spacing w:val="6"/>
          <w:w w:val="110"/>
          <w:sz w:val="20"/>
        </w:rPr>
        <w:t> </w:t>
      </w:r>
      <w:r>
        <w:rPr>
          <w:i/>
          <w:w w:val="110"/>
          <w:sz w:val="20"/>
        </w:rPr>
        <w:t>to</w:t>
      </w:r>
      <w:r>
        <w:rPr>
          <w:i/>
          <w:spacing w:val="6"/>
          <w:w w:val="110"/>
          <w:sz w:val="20"/>
        </w:rPr>
        <w:t> </w:t>
      </w:r>
      <w:r>
        <w:rPr>
          <w:i/>
          <w:w w:val="110"/>
          <w:sz w:val="20"/>
        </w:rPr>
        <w:t>act</w:t>
      </w:r>
      <w:r>
        <w:rPr>
          <w:i/>
          <w:spacing w:val="5"/>
          <w:w w:val="110"/>
          <w:sz w:val="20"/>
        </w:rPr>
        <w:t> </w:t>
      </w:r>
      <w:r>
        <w:rPr>
          <w:i/>
          <w:w w:val="110"/>
          <w:sz w:val="20"/>
        </w:rPr>
        <w:t>for</w:t>
      </w:r>
      <w:r>
        <w:rPr>
          <w:i/>
          <w:spacing w:val="6"/>
          <w:w w:val="110"/>
          <w:sz w:val="20"/>
        </w:rPr>
        <w:t> </w:t>
      </w:r>
      <w:r>
        <w:rPr>
          <w:i/>
          <w:w w:val="110"/>
          <w:sz w:val="20"/>
        </w:rPr>
        <w:t>a</w:t>
      </w:r>
      <w:r>
        <w:rPr>
          <w:i/>
          <w:spacing w:val="5"/>
          <w:w w:val="110"/>
          <w:sz w:val="20"/>
        </w:rPr>
        <w:t> </w:t>
      </w:r>
      <w:r>
        <w:rPr>
          <w:i/>
          <w:w w:val="110"/>
          <w:sz w:val="20"/>
        </w:rPr>
        <w:t>more</w:t>
      </w:r>
      <w:r>
        <w:rPr>
          <w:i/>
          <w:spacing w:val="6"/>
          <w:w w:val="110"/>
          <w:sz w:val="20"/>
        </w:rPr>
        <w:t> </w:t>
      </w:r>
      <w:r>
        <w:rPr>
          <w:i/>
          <w:w w:val="110"/>
          <w:sz w:val="20"/>
        </w:rPr>
        <w:t>sustainable</w:t>
      </w:r>
      <w:r>
        <w:rPr>
          <w:i/>
          <w:spacing w:val="6"/>
          <w:w w:val="110"/>
          <w:sz w:val="20"/>
        </w:rPr>
        <w:t> </w:t>
      </w:r>
      <w:r>
        <w:rPr>
          <w:i/>
          <w:w w:val="110"/>
          <w:sz w:val="20"/>
        </w:rPr>
        <w:t>future.</w:t>
      </w:r>
    </w:p>
    <w:p>
      <w:pPr>
        <w:pStyle w:val="BodyText"/>
        <w:spacing w:before="1"/>
        <w:rPr>
          <w:i/>
        </w:rPr>
      </w:pPr>
    </w:p>
    <w:p>
      <w:pPr>
        <w:spacing w:line="235" w:lineRule="auto" w:before="0"/>
        <w:ind w:left="2664" w:right="1120" w:firstLine="0"/>
        <w:jc w:val="left"/>
        <w:rPr>
          <w:i/>
          <w:sz w:val="20"/>
        </w:rPr>
      </w:pPr>
      <w:r>
        <w:rPr>
          <w:i/>
          <w:w w:val="110"/>
          <w:sz w:val="20"/>
        </w:rPr>
        <w:t>As for the church – we are now 102! We have had great conversations! We have made </w:t>
      </w:r>
      <w:r>
        <w:rPr>
          <w:i/>
          <w:w w:val="110"/>
          <w:sz w:val="20"/>
        </w:rPr>
        <w:t>many new friends in our neighbourhood and been reminded that we are planted in this place to grow with the community.</w:t>
      </w:r>
    </w:p>
    <w:p>
      <w:pPr>
        <w:pStyle w:val="BodyText"/>
        <w:spacing w:before="10"/>
        <w:rPr>
          <w:i/>
          <w:sz w:val="19"/>
        </w:rPr>
      </w:pPr>
    </w:p>
    <w:p>
      <w:pPr>
        <w:pStyle w:val="ListParagraph"/>
        <w:numPr>
          <w:ilvl w:val="2"/>
          <w:numId w:val="143"/>
        </w:numPr>
        <w:tabs>
          <w:tab w:pos="2665" w:val="left" w:leader="none"/>
        </w:tabs>
        <w:spacing w:line="235" w:lineRule="auto" w:before="1" w:after="0"/>
        <w:ind w:left="1984" w:right="1133" w:firstLine="0"/>
        <w:jc w:val="left"/>
        <w:rPr>
          <w:sz w:val="20"/>
        </w:rPr>
      </w:pPr>
      <w:r>
        <w:rPr>
          <w:w w:val="120"/>
          <w:sz w:val="20"/>
        </w:rPr>
        <w:t>The Mission Committee has initiated and coordinated a number of activities in support of the Climate Change Resolution passed at General Assembly in </w:t>
      </w:r>
      <w:r>
        <w:rPr>
          <w:spacing w:val="-6"/>
          <w:w w:val="120"/>
          <w:sz w:val="20"/>
        </w:rPr>
        <w:t>2007. </w:t>
      </w:r>
      <w:r>
        <w:rPr>
          <w:w w:val="120"/>
          <w:sz w:val="20"/>
        </w:rPr>
        <w:t>These include the creation of a climate change task team to coordinate our activities on climate change, the appointment of green apostles at synod level to coordinate mission activities related to the environment, and the commissioning of consultants to assist the Mission </w:t>
      </w:r>
      <w:r>
        <w:rPr>
          <w:spacing w:val="-4"/>
          <w:w w:val="120"/>
          <w:sz w:val="20"/>
        </w:rPr>
        <w:t>Team </w:t>
      </w:r>
      <w:r>
        <w:rPr>
          <w:w w:val="120"/>
          <w:sz w:val="20"/>
        </w:rPr>
        <w:t>in implementing the recommendations of the </w:t>
      </w:r>
      <w:r>
        <w:rPr>
          <w:i/>
          <w:w w:val="120"/>
          <w:sz w:val="20"/>
        </w:rPr>
        <w:t>Hope in </w:t>
      </w:r>
      <w:r>
        <w:rPr>
          <w:i/>
          <w:spacing w:val="-3"/>
          <w:w w:val="120"/>
          <w:sz w:val="20"/>
        </w:rPr>
        <w:t>God’s </w:t>
      </w:r>
      <w:r>
        <w:rPr>
          <w:i/>
          <w:w w:val="120"/>
          <w:sz w:val="20"/>
        </w:rPr>
        <w:t>Future </w:t>
      </w:r>
      <w:r>
        <w:rPr>
          <w:spacing w:val="2"/>
          <w:w w:val="120"/>
          <w:sz w:val="20"/>
        </w:rPr>
        <w:t>report </w:t>
      </w:r>
      <w:r>
        <w:rPr>
          <w:w w:val="120"/>
          <w:sz w:val="20"/>
        </w:rPr>
        <w:t>which was adopted by Mission Council last </w:t>
      </w:r>
      <w:r>
        <w:rPr>
          <w:spacing w:val="-4"/>
          <w:w w:val="120"/>
          <w:sz w:val="20"/>
        </w:rPr>
        <w:t>year. </w:t>
      </w:r>
      <w:r>
        <w:rPr>
          <w:w w:val="120"/>
          <w:sz w:val="20"/>
        </w:rPr>
        <w:t>These actions are on-going and we will update Mission Council on progress on each of these</w:t>
      </w:r>
      <w:r>
        <w:rPr>
          <w:spacing w:val="17"/>
          <w:w w:val="120"/>
          <w:sz w:val="20"/>
        </w:rPr>
        <w:t> </w:t>
      </w:r>
      <w:r>
        <w:rPr>
          <w:w w:val="120"/>
          <w:sz w:val="20"/>
        </w:rPr>
        <w:t>issues.</w:t>
      </w:r>
    </w:p>
    <w:p>
      <w:pPr>
        <w:pStyle w:val="BodyText"/>
        <w:spacing w:before="1"/>
      </w:pPr>
    </w:p>
    <w:p>
      <w:pPr>
        <w:pStyle w:val="ListParagraph"/>
        <w:numPr>
          <w:ilvl w:val="2"/>
          <w:numId w:val="143"/>
        </w:numPr>
        <w:tabs>
          <w:tab w:pos="2665" w:val="left" w:leader="none"/>
        </w:tabs>
        <w:spacing w:line="235" w:lineRule="auto" w:before="0" w:after="0"/>
        <w:ind w:left="1984" w:right="4546" w:firstLine="0"/>
        <w:jc w:val="left"/>
        <w:rPr>
          <w:sz w:val="20"/>
        </w:rPr>
      </w:pPr>
      <w:r>
        <w:rPr>
          <w:w w:val="120"/>
          <w:sz w:val="20"/>
        </w:rPr>
        <w:t>A full </w:t>
      </w:r>
      <w:r>
        <w:rPr>
          <w:spacing w:val="2"/>
          <w:w w:val="120"/>
          <w:sz w:val="20"/>
        </w:rPr>
        <w:t>report </w:t>
      </w:r>
      <w:r>
        <w:rPr>
          <w:w w:val="120"/>
          <w:sz w:val="20"/>
        </w:rPr>
        <w:t>on the activities undertaken by the Mission Committee related to climate change and the integrity of creation is posted on the URC website under the Climate Change link on the</w:t>
      </w:r>
      <w:r>
        <w:rPr>
          <w:spacing w:val="51"/>
          <w:w w:val="120"/>
          <w:sz w:val="20"/>
        </w:rPr>
        <w:t> </w:t>
      </w:r>
      <w:r>
        <w:rPr>
          <w:w w:val="120"/>
          <w:sz w:val="20"/>
        </w:rPr>
        <w:t>homepage.</w:t>
      </w:r>
    </w:p>
    <w:p>
      <w:pPr>
        <w:pStyle w:val="BodyText"/>
        <w:spacing w:before="11"/>
        <w:rPr>
          <w:sz w:val="19"/>
        </w:rPr>
      </w:pPr>
    </w:p>
    <w:p>
      <w:pPr>
        <w:pStyle w:val="BodyText"/>
        <w:spacing w:line="235" w:lineRule="auto"/>
        <w:ind w:left="1984" w:right="5673"/>
        <w:jc w:val="both"/>
      </w:pPr>
      <w:r>
        <w:rPr>
          <w:w w:val="120"/>
        </w:rPr>
        <w:t>Other useful resources for churches can be found on the Creation Challenge website – </w:t>
      </w:r>
      <w:hyperlink r:id="rId443">
        <w:r>
          <w:rPr>
            <w:w w:val="120"/>
          </w:rPr>
          <w:t>www.creationchallenge.org.uk</w:t>
        </w:r>
      </w:hyperlink>
    </w:p>
    <w:p>
      <w:pPr>
        <w:pStyle w:val="BodyText"/>
      </w:pPr>
    </w:p>
    <w:p>
      <w:pPr>
        <w:pStyle w:val="BodyText"/>
      </w:pPr>
    </w:p>
    <w:p>
      <w:pPr>
        <w:pStyle w:val="BodyText"/>
      </w:pPr>
    </w:p>
    <w:p>
      <w:pPr>
        <w:pStyle w:val="BodyText"/>
      </w:pPr>
    </w:p>
    <w:p>
      <w:pPr>
        <w:pStyle w:val="BodyText"/>
        <w:rPr>
          <w:sz w:val="21"/>
        </w:rPr>
      </w:pPr>
      <w:r>
        <w:rPr/>
        <w:pict>
          <v:shape style="position:absolute;margin-left:99.212601pt;margin-top:21.10331pt;width:183.85pt;height:.1pt;mso-position-horizontal-relative:page;mso-position-vertical-relative:paragraph;z-index:-251132928;mso-wrap-distance-left:0;mso-wrap-distance-right:0" coordorigin="1984,422" coordsize="3677,0" path="m1984,422l5661,422e" filled="false" stroked="true" strokeweight=".5pt" strokecolor="#8ba8bd">
            <v:path arrowok="t"/>
            <v:stroke dashstyle="solid"/>
            <w10:wrap type="topAndBottom"/>
          </v:shape>
        </w:pict>
      </w:r>
      <w:r>
        <w:rPr/>
        <w:pict>
          <v:rect style="position:absolute;margin-left:293.385986pt;margin-top:14.782017pt;width:13.721pt;height:13.721pt;mso-position-horizontal-relative:page;mso-position-vertical-relative:paragraph;z-index:-251131904;mso-wrap-distance-left:0;mso-wrap-distance-right:0" filled="true" fillcolor="#8ba8bd" stroked="false">
            <v:fill type="solid"/>
            <w10:wrap type="topAndBottom"/>
          </v:rect>
        </w:pict>
      </w:r>
      <w:r>
        <w:rPr/>
        <w:pict>
          <v:rect style="position:absolute;margin-left:311.822998pt;margin-top:14.782017pt;width:13.721pt;height:13.721pt;mso-position-horizontal-relative:page;mso-position-vertical-relative:paragraph;z-index:-251130880;mso-wrap-distance-left:0;mso-wrap-distance-right:0" filled="true" fillcolor="#c2d2df" stroked="false">
            <v:fill type="solid"/>
            <w10:wrap type="topAndBottom"/>
          </v:rect>
        </w:pict>
      </w:r>
      <w:r>
        <w:rPr/>
        <w:pict>
          <v:rect style="position:absolute;margin-left:330.688995pt;margin-top:14.782017pt;width:13.721pt;height:13.721pt;mso-position-horizontal-relative:page;mso-position-vertical-relative:paragraph;z-index:-251129856;mso-wrap-distance-left:0;mso-wrap-distance-right:0" filled="true" fillcolor="#dae4ec" stroked="false">
            <v:fill opacity="32768f" type="solid"/>
            <w10:wrap type="topAndBottom"/>
          </v:rect>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9"/>
        </w:rPr>
      </w:pPr>
    </w:p>
    <w:p>
      <w:pPr>
        <w:tabs>
          <w:tab w:pos="10630" w:val="left" w:leader="none"/>
        </w:tabs>
        <w:spacing w:before="97"/>
        <w:ind w:left="468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169</w:t>
      </w:r>
    </w:p>
    <w:p>
      <w:pPr>
        <w:spacing w:after="0"/>
        <w:jc w:val="left"/>
        <w:rPr>
          <w:rFonts w:ascii="Stone Sans II ITC Std X Bd" w:hAnsi="Stone Sans II ITC Std X Bd"/>
          <w:sz w:val="24"/>
        </w:rPr>
        <w:sectPr>
          <w:headerReference w:type="default" r:id="rId440"/>
          <w:footerReference w:type="default" r:id="rId441"/>
          <w:pgSz w:w="11910" w:h="16840"/>
          <w:pgMar w:header="0" w:footer="0" w:top="1060" w:bottom="0" w:left="0" w:right="0"/>
        </w:sectPr>
      </w:pPr>
    </w:p>
    <w:p>
      <w:pPr>
        <w:pStyle w:val="BodyText"/>
        <w:rPr>
          <w:rFonts w:ascii="Stone Sans II ITC Std X Bd"/>
          <w:b/>
        </w:rPr>
      </w:pPr>
      <w:r>
        <w:rPr/>
        <w:pict>
          <v:group style="position:absolute;margin-left:0pt;margin-top:518.772827pt;width:595.3pt;height:323.150pt;mso-position-horizontal-relative:page;mso-position-vertical-relative:page;z-index:252189696" coordorigin="0,10375" coordsize="11906,6463">
            <v:shape style="position:absolute;left:0;top:10375;width:11906;height:6463" coordorigin="0,10375" coordsize="11906,6463" path="m11906,10378l11904,10454,11898,10529,11889,10603,11877,10676,11861,10748,11842,10818,11819,10887,11794,10955,11765,11021,11734,11085,11700,11147,11662,11208,11623,11267,11580,11324,11535,11379,11488,11431,11438,11482,11386,11530,11332,11576,11276,11619,11217,11659,11157,11697,11095,11733,11032,11765,10966,11794,10899,11821,10831,11844,10761,11865,10689,11881,10662,11887,0,11887,0,16838,11906,16838,11906,11915,11906,11915,11906,10378m11906,10375l11905,10375,11906,10377,11906,10375e" filled="true" fillcolor="#8ba8bd" stroked="false">
              <v:path arrowok="t"/>
              <v:fill type="solid"/>
            </v:shape>
            <v:shape style="position:absolute;left:878;top:13980;width:4558;height:2008" type="#_x0000_t75" stroked="false">
              <v:imagedata r:id="rId240" o:title=""/>
            </v:shape>
            <w10:wrap type="none"/>
          </v:group>
        </w:pict>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1"/>
        <w:rPr>
          <w:rFonts w:ascii="Stone Sans II ITC Std X Bd"/>
          <w:b/>
          <w:sz w:val="28"/>
        </w:rPr>
      </w:pPr>
    </w:p>
    <w:p>
      <w:pPr>
        <w:spacing w:before="99"/>
        <w:ind w:left="1240" w:right="0" w:firstLine="0"/>
        <w:jc w:val="left"/>
        <w:rPr>
          <w:rFonts w:ascii="Franklin Gothic Demi"/>
          <w:b/>
          <w:sz w:val="37"/>
        </w:rPr>
      </w:pPr>
      <w:r>
        <w:rPr/>
        <w:pict>
          <v:group style="position:absolute;margin-left:0pt;margin-top:-438.991394pt;width:595.3pt;height:424.05pt;mso-position-horizontal-relative:page;mso-position-vertical-relative:paragraph;z-index:252190720" coordorigin="0,-8780" coordsize="11906,8481">
            <v:rect style="position:absolute;left:0;top:-2224;width:10000;height:1925" filled="true" fillcolor="#c9caca" stroked="false">
              <v:fill type="solid"/>
            </v:rect>
            <v:line style="position:absolute" from="3467,-1567" to="3810,-1567" stroked="true" strokeweight="2.724965pt" strokecolor="#ffffff">
              <v:stroke dashstyle="solid"/>
            </v:line>
            <v:line style="position:absolute" from="3638,-1539" to="3638,-1098" stroked="true" strokeweight="3.070392pt" strokecolor="#ffffff">
              <v:stroke dashstyle="solid"/>
            </v:line>
            <v:line style="position:absolute" from="3909,-1595" to="3909,-1388" stroked="true" strokeweight="3.070392pt" strokecolor="#ffffff">
              <v:stroke dashstyle="solid"/>
            </v:line>
            <v:line style="position:absolute" from="3878,-1361" to="4228,-1361" stroked="true" strokeweight="2.715433pt" strokecolor="#ffffff">
              <v:stroke dashstyle="solid"/>
            </v:line>
            <v:line style="position:absolute" from="3909,-1333" to="3909,-1098" stroked="true" strokeweight="3.070392pt" strokecolor="#ffffff">
              <v:stroke dashstyle="solid"/>
            </v:line>
            <v:shape style="position:absolute;left:4197;top:-1594;width:2;height:496" coordorigin="4197,-1594" coordsize="0,496" path="m4197,-1594l4197,-1389m4197,-1334l4197,-1098e" filled="false" stroked="true" strokeweight="3.069422pt" strokecolor="#ffffff">
              <v:path arrowok="t"/>
              <v:stroke dashstyle="solid"/>
            </v:shape>
            <v:line style="position:absolute" from="4351,-1567" to="4661,-1567" stroked="true" strokeweight="2.816005pt" strokecolor="#ffffff">
              <v:stroke dashstyle="solid"/>
            </v:line>
            <v:line style="position:absolute" from="4381,-1539" to="4381,-1382" stroked="true" strokeweight="3.070392pt" strokecolor="#ffffff">
              <v:stroke dashstyle="solid"/>
            </v:line>
            <v:line style="position:absolute" from="4351,-1357" to="4609,-1357" stroked="true" strokeweight="2.51429pt" strokecolor="#ffffff">
              <v:stroke dashstyle="solid"/>
            </v:line>
            <v:line style="position:absolute" from="4381,-1331" to="4381,-1152" stroked="true" strokeweight="3.070392pt" strokecolor="#ffffff">
              <v:stroke dashstyle="solid"/>
            </v:line>
            <v:line style="position:absolute" from="4351,-1125" to="4668,-1125" stroked="true" strokeweight="2.715433pt" strokecolor="#ffffff">
              <v:stroke dashstyle="solid"/>
            </v:line>
            <v:shape style="position:absolute;left:4906;top:-1605;width:2919;height:517" coordorigin="4906,-1604" coordsize="2919,517" path="m5287,-1445l5261,-1514,5233,-1551,5223,-1564,5173,-1594,5110,-1604,5066,-1600,5026,-1587,4992,-1565,4962,-1535,4938,-1497,4920,-1454,4910,-1405,4906,-1351,4910,-1298,4920,-1249,4936,-1204,4959,-1164,4988,-1131,5022,-1107,5061,-1093,5105,-1088,5170,-1098,5222,-1129,5230,-1141,5261,-1180,5287,-1252,5231,-1265,5212,-1211,5185,-1172,5150,-1148,5107,-1141,5078,-1144,5052,-1154,5030,-1172,5010,-1196,4994,-1225,4982,-1260,4975,-1299,4973,-1342,4975,-1389,4982,-1430,4993,-1466,5009,-1496,5029,-1521,5052,-1538,5079,-1548,5110,-1551,5150,-1544,5184,-1522,5210,-1485,5229,-1433,5287,-1445m5735,-1350l5731,-1403,5721,-1450,5704,-1494,5680,-1532,5671,-1542,5671,-1350,5668,-1306,5662,-1266,5650,-1230,5634,-1198,5614,-1172,5591,-1153,5564,-1142,5534,-1138,5504,-1142,5478,-1153,5454,-1171,5434,-1196,5418,-1226,5406,-1262,5399,-1301,5397,-1344,5399,-1389,5406,-1429,5417,-1464,5434,-1495,5454,-1521,5477,-1539,5504,-1550,5533,-1553,5563,-1550,5589,-1540,5613,-1523,5633,-1500,5649,-1470,5661,-1436,5668,-1396,5671,-1350,5671,-1542,5660,-1553,5650,-1564,5616,-1586,5577,-1600,5534,-1604,5491,-1600,5452,-1586,5418,-1563,5388,-1531,5363,-1492,5346,-1448,5336,-1399,5332,-1345,5336,-1293,5346,-1245,5362,-1202,5385,-1162,5414,-1130,5448,-1107,5488,-1093,5532,-1088,5578,-1093,5618,-1108,5652,-1132,5658,-1138,5682,-1166,5705,-1207,5722,-1251,5732,-1299,5735,-1350m6300,-1594l6211,-1594,6066,-1197,5942,-1531,5918,-1594,5827,-1594,5827,-1098,5879,-1098,5879,-1531,6040,-1098,6082,-1098,6118,-1197,6241,-1531,6241,-1098,6300,-1098,6300,-1531,6300,-1594m6896,-1594l6807,-1594,6662,-1197,6537,-1531,6514,-1594,6423,-1594,6423,-1098,6475,-1098,6475,-1531,6636,-1098,6678,-1098,6714,-1197,6837,-1531,6837,-1098,6896,-1098,6896,-1531,6896,-1594m7349,-1594l7298,-1594,7298,-1270,7296,-1239,7291,-1212,7282,-1190,7269,-1173,7252,-1159,7232,-1150,7209,-1144,7182,-1142,7168,-1143,7154,-1145,7140,-1149,7126,-1154,7113,-1160,7103,-1168,7093,-1178,7086,-1189,7080,-1203,7076,-1221,7073,-1243,7073,-1270,7073,-1594,7011,-1594,7011,-1270,7014,-1226,7021,-1188,7034,-1157,7052,-1132,7075,-1113,7104,-1099,7138,-1091,7178,-1088,7215,-1091,7247,-1099,7276,-1112,7302,-1130,7312,-1142,7323,-1155,7337,-1186,7346,-1225,7349,-1270,7349,-1594m7825,-1594l7777,-1594,7777,-1250,7777,-1238,7777,-1224,7778,-1190,7578,-1530,7541,-1594,7464,-1594,7464,-1098,7514,-1098,7514,-1475,7514,-1485,7513,-1498,7512,-1530,7766,-1098,7825,-1098,7825,-1190,7825,-1594e" filled="true" fillcolor="#ffffff" stroked="false">
              <v:path arrowok="t"/>
              <v:fill type="solid"/>
            </v:shape>
            <v:line style="position:absolute" from="7978,-1594" to="7978,-1098" stroked="true" strokeweight="3.069422pt" strokecolor="#ffffff">
              <v:stroke dashstyle="solid"/>
            </v:line>
            <v:line style="position:absolute" from="8078,-1567" to="8420,-1567" stroked="true" strokeweight="2.724965pt" strokecolor="#ffffff">
              <v:stroke dashstyle="solid"/>
            </v:line>
            <v:line style="position:absolute" from="8249,-1539" to="8249,-1098" stroked="true" strokeweight="3.070392pt" strokecolor="#ffffff">
              <v:stroke dashstyle="solid"/>
            </v:line>
            <v:shape style="position:absolute;left:1240;top:-1594;width:7599;height:1102" coordorigin="1240,-1594" coordsize="7599,1102" path="m1573,-852l1571,-880,1563,-906,1551,-931,1540,-947,1534,-954,1512,-974,1511,-974,1511,-852,1509,-831,1504,-813,1496,-796,1484,-782,1470,-771,1454,-762,1435,-758,1414,-756,1302,-756,1302,-947,1419,-947,1440,-945,1458,-940,1474,-931,1487,-918,1498,-903,1505,-887,1510,-870,1511,-852,1511,-974,1485,-988,1452,-996,1414,-999,1240,-999,1240,-503,1302,-503,1302,-704,1421,-704,1453,-707,1482,-715,1508,-728,1531,-746,1539,-756,1549,-768,1563,-793,1571,-821,1573,-852m2004,-503l1914,-718,1908,-733,1931,-742,1950,-753,1966,-768,1966,-768,1978,-785,1987,-803,1994,-822,1998,-841,1999,-860,1997,-886,1990,-910,1978,-933,1969,-944,1961,-955,1940,-974,1938,-975,1938,-862,1936,-843,1931,-825,1924,-810,1913,-795,1899,-783,1881,-775,1861,-770,1837,-768,1709,-768,1709,-944,1845,-944,1864,-943,1881,-939,1897,-932,1911,-923,1923,-911,1931,-896,1936,-880,1938,-862,1938,-975,1913,-988,1881,-996,1845,-999,1651,-999,1651,-503,1709,-503,1709,-718,1849,-718,1940,-503,2004,-503m2464,-755l2461,-807,2450,-855,2433,-898,2409,-937,2400,-947,2400,-755,2398,-711,2391,-670,2379,-634,2364,-603,2344,-577,2320,-558,2293,-547,2263,-543,2233,-547,2207,-558,2183,-576,2163,-601,2147,-631,2135,-666,2128,-706,2126,-749,2128,-794,2135,-834,2147,-869,2163,-900,2183,-926,2206,-944,2233,-955,2263,-958,2292,-955,2319,-945,2342,-928,2362,-905,2379,-875,2390,-841,2397,-801,2400,-755,2400,-947,2389,-958,2379,-968,2345,-991,2307,-1005,2263,-1009,2220,-1004,2181,-991,2147,-968,2117,-936,2093,-896,2075,-852,2065,-803,2062,-749,2065,-698,2075,-650,2091,-606,2114,-567,2143,-535,2178,-511,2217,-498,2262,-493,2307,-498,2347,-512,2381,-537,2387,-543,2411,-571,2434,-612,2451,-656,2461,-704,2464,-755m2713,-999l2652,-999,2652,-654,2651,-634,2650,-616,2648,-602,2645,-591,2641,-581,2635,-573,2628,-565,2619,-559,2608,-553,2594,-549,2578,-547,2559,-546,2544,-547,2529,-548,2512,-551,2495,-554,2495,-503,2513,-499,2531,-495,2549,-493,2566,-493,2598,-495,2626,-502,2651,-513,2673,-528,2688,-546,2691,-550,2703,-578,2711,-613,2713,-654,2713,-999m8839,-1594l8783,-1594,8652,-1366,8522,-1594,8449,-1594,8614,-1307,8614,-1098,8675,-1098,8675,-1307,8709,-1366,8839,-1594e" filled="true" fillcolor="#ffffff" stroked="false">
              <v:path arrowok="t"/>
              <v:fill type="solid"/>
            </v:shape>
            <v:line style="position:absolute" from="2831,-971" to="3141,-971" stroked="true" strokeweight="2.715433pt" strokecolor="#ffffff">
              <v:stroke dashstyle="solid"/>
            </v:line>
            <v:line style="position:absolute" from="2862,-944" to="2862,-787" stroked="true" strokeweight="3.069422pt" strokecolor="#ffffff">
              <v:stroke dashstyle="solid"/>
            </v:line>
            <v:line style="position:absolute" from="2831,-762" to="3090,-762" stroked="true" strokeweight="2.51429pt" strokecolor="#ffffff">
              <v:stroke dashstyle="solid"/>
            </v:line>
            <v:line style="position:absolute" from="2862,-737" to="2862,-558" stroked="true" strokeweight="3.069422pt" strokecolor="#ffffff">
              <v:stroke dashstyle="solid"/>
            </v:line>
            <v:line style="position:absolute" from="2831,-530" to="3148,-530" stroked="true" strokeweight="2.715433pt" strokecolor="#ffffff">
              <v:stroke dashstyle="solid"/>
            </v:line>
            <v:shape style="position:absolute;left:3203;top:-1010;width:381;height:517" coordorigin="3203,-1009" coordsize="381,517" path="m3402,-493l3358,-498,3319,-512,3285,-536,3256,-569,3233,-609,3216,-654,3206,-702,3203,-756,3207,-810,3217,-859,3234,-902,3258,-940,3288,-970,3323,-992,3363,-1005,3407,-1009,3470,-999,3520,-969,3530,-956,3406,-956,3376,-953,3349,-943,3325,-925,3306,-901,3290,-871,3279,-835,3272,-794,3270,-747,3272,-703,3279,-665,3291,-630,3307,-601,3326,-576,3349,-559,3375,-549,3404,-546,3527,-546,3518,-534,3467,-503,3402,-493xm3526,-838l3507,-890,3480,-927,3447,-949,3406,-956,3530,-956,3558,-919,3584,-850,3526,-838xm3527,-546l3404,-546,3446,-553,3481,-577,3509,-615,3528,-670,3584,-657,3557,-585,3527,-546xe" filled="true" fillcolor="#ffffff" stroked="false">
              <v:path arrowok="t"/>
              <v:fill type="solid"/>
            </v:shape>
            <v:line style="position:absolute" from="3606,-972" to="3949,-972" stroked="true" strokeweight="2.725947pt" strokecolor="#ffffff">
              <v:stroke dashstyle="solid"/>
            </v:line>
            <v:line style="position:absolute" from="3777,-944" to="3777,-503" stroked="true" strokeweight="3.071362pt" strokecolor="#ffffff">
              <v:stroke dashstyle="solid"/>
            </v:line>
            <v:shape style="position:absolute;left:4141;top:-1010;width:2655;height:517" coordorigin="4142,-1009" coordsize="2655,517" path="m4531,-503l4484,-648,4469,-694,4406,-890,4406,-694,4254,-694,4330,-933,4406,-694,4406,-890,4392,-933,4371,-999,4301,-999,4142,-503,4193,-503,4237,-648,4419,-648,4468,-503,4531,-503m5093,-999l5039,-999,4947,-597,4866,-888,4835,-999,4785,-999,4681,-597,4583,-999,4519,-999,4644,-503,4707,-503,4731,-597,4806,-888,4913,-503,4975,-503,4997,-597,5093,-999m5478,-503l5431,-648,5416,-694,5353,-890,5353,-694,5201,-694,5277,-933,5353,-694,5353,-890,5339,-933,5318,-999,5248,-999,5089,-503,5140,-503,5184,-648,5366,-648,5416,-503,5478,-503m5895,-503l5805,-718,5798,-733,5821,-742,5840,-753,5856,-768,5857,-768,5868,-785,5878,-803,5884,-822,5888,-841,5890,-860,5887,-886,5880,-910,5868,-933,5860,-944,5852,-955,5830,-974,5828,-975,5828,-862,5827,-843,5822,-825,5814,-810,5803,-795,5789,-783,5772,-775,5751,-770,5728,-768,5600,-768,5600,-944,5735,-944,5755,-943,5772,-939,5788,-932,5802,-923,5813,-911,5822,-896,5827,-880,5828,-862,5828,-975,5804,-988,5772,-996,5735,-999,5542,-999,5542,-503,5600,-503,5600,-718,5740,-718,5830,-503,5895,-503m6377,-752l6373,-802,6362,-848,6344,-890,6319,-927,6315,-932,6315,-757,6312,-714,6304,-675,6291,-641,6274,-611,6251,-587,6223,-570,6191,-559,6154,-556,6054,-556,6054,-947,6154,-947,6192,-943,6226,-932,6253,-914,6276,-888,6293,-858,6305,-826,6312,-792,6315,-757,6315,-932,6299,-947,6287,-959,6250,-981,6206,-994,6157,-999,5993,-999,5993,-503,6177,-503,6219,-508,6256,-521,6290,-544,6302,-556,6320,-575,6345,-613,6363,-655,6373,-702,6377,-752m6796,-643l6788,-691,6765,-730,6725,-759,6670,-779,6579,-801,6544,-813,6519,-830,6504,-850,6499,-876,6501,-894,6507,-911,6517,-925,6531,-937,6547,-946,6564,-953,6583,-957,6602,-958,6622,-957,6642,-953,6660,-946,6679,-936,6695,-923,6708,-908,6718,-890,6724,-870,6780,-887,6753,-940,6735,-958,6715,-978,6665,-1001,6604,-1009,6570,-1007,6538,-1000,6510,-988,6485,-972,6465,-952,6451,-929,6442,-902,6439,-873,6440,-855,6443,-838,6449,-821,6456,-806,6465,-793,6475,-781,6485,-771,6497,-763,6510,-757,6525,-750,6541,-745,6559,-739,6658,-715,6672,-711,6685,-705,6698,-697,6709,-688,6719,-678,6726,-666,6730,-652,6732,-637,6730,-617,6724,-600,6715,-584,6702,-570,6686,-560,6666,-552,6642,-547,6615,-546,6564,-552,6523,-571,6492,-603,6470,-647,6415,-634,6446,-572,6489,-528,6546,-502,6616,-493,6656,-496,6692,-504,6723,-517,6749,-536,6758,-546,6770,-558,6784,-584,6793,-612,6796,-643e" filled="true" fillcolor="#ffffff" stroked="false">
              <v:path arrowok="t"/>
              <v:fill type="solid"/>
            </v:shape>
            <v:shape style="position:absolute;left:1239;top:-1664;width:7595;height:1171" coordorigin="1239,-1663" coordsize="7595,1171" path="m1587,-1209l1317,-1209,1364,-1243,1407,-1276,1445,-1306,1478,-1335,1507,-1362,1531,-1386,1550,-1409,1563,-1430,1573,-1450,1580,-1471,1584,-1492,1586,-1513,1583,-1544,1574,-1572,1559,-1597,1543,-1614,1538,-1620,1513,-1639,1484,-1653,1451,-1661,1415,-1663,1352,-1654,1301,-1627,1264,-1582,1239,-1518,1296,-1500,1300,-1525,1308,-1548,1320,-1567,1335,-1584,1353,-1597,1372,-1607,1393,-1613,1414,-1614,1435,-1613,1455,-1607,1474,-1599,1491,-1586,1506,-1571,1516,-1554,1523,-1535,1525,-1513,1522,-1489,1515,-1464,1502,-1440,1485,-1415,1455,-1383,1404,-1339,1332,-1281,1239,-1209,1239,-1157,1587,-1157,1587,-1209m2034,-1403l2031,-1454,2022,-1501,2007,-1545,1986,-1586,1971,-1606,1971,-1396,1969,-1355,1963,-1317,1954,-1283,1941,-1253,1924,-1228,1903,-1211,1878,-1200,1849,-1196,1820,-1200,1795,-1211,1774,-1229,1756,-1254,1742,-1285,1733,-1321,1727,-1362,1725,-1408,1727,-1452,1732,-1492,1742,-1527,1755,-1558,1772,-1583,1792,-1601,1817,-1612,1846,-1615,1876,-1611,1901,-1600,1923,-1580,1940,-1553,1953,-1519,1963,-1482,1969,-1441,1971,-1396,1971,-1606,1963,-1615,1960,-1620,1928,-1644,1890,-1659,1847,-1663,1805,-1659,1769,-1645,1737,-1622,1711,-1589,1690,-1550,1675,-1506,1666,-1458,1663,-1408,1663,-1403,1666,-1353,1675,-1305,1691,-1261,1713,-1222,1741,-1189,1772,-1166,1808,-1152,1849,-1147,1890,-1152,1926,-1166,1958,-1190,1963,-1196,1985,-1224,2006,-1264,2022,-1307,2031,-1353,2031,-1355,2034,-1403m2447,-1204l2309,-1204,2309,-1586,2309,-1663,2265,-1663,2236,-1629,2201,-1598,2161,-1569,2115,-1542,2115,-1479,2150,-1500,2184,-1525,2218,-1554,2250,-1586,2250,-1204,2103,-1204,2103,-1157,2447,-1157,2447,-1204m2845,-1403l2842,-1454,2833,-1501,2818,-1545,2797,-1586,2782,-1606,2782,-1396,2780,-1355,2774,-1317,2765,-1283,2752,-1253,2735,-1228,2714,-1211,2689,-1200,2660,-1196,2631,-1200,2606,-1211,2585,-1229,2567,-1254,2553,-1285,2543,-1321,2538,-1362,2536,-1408,2537,-1452,2543,-1492,2552,-1527,2566,-1558,2582,-1583,2603,-1601,2628,-1612,2657,-1615,2687,-1611,2712,-1600,2734,-1580,2751,-1553,2764,-1519,2774,-1482,2780,-1441,2782,-1396,2782,-1606,2774,-1615,2771,-1620,2738,-1644,2701,-1659,2658,-1663,2616,-1659,2580,-1645,2548,-1622,2522,-1589,2500,-1550,2485,-1506,2476,-1458,2474,-1408,2474,-1403,2477,-1353,2486,-1305,2502,-1261,2524,-1222,2551,-1189,2583,-1166,2619,-1152,2659,-1147,2701,-1152,2737,-1166,2769,-1190,2774,-1196,2796,-1224,2817,-1264,2833,-1307,2842,-1353,2842,-1355,2845,-1403m7576,-555l7305,-555,7352,-589,7395,-621,7433,-652,7467,-680,7496,-707,7519,-732,7538,-755,7552,-776,7562,-796,7569,-817,7573,-838,7574,-859,7571,-889,7562,-917,7547,-942,7532,-960,7527,-965,7501,-985,7472,-998,7440,-1006,7404,-1009,7340,-1000,7290,-973,7252,-927,7228,-863,7285,-846,7289,-871,7297,-893,7308,-913,7323,-929,7341,-943,7361,-952,7381,-958,7403,-960,7424,-958,7444,-953,7462,-944,7480,-932,7494,-917,7505,-900,7511,-880,7513,-859,7511,-834,7503,-810,7491,-785,7473,-760,7443,-729,7392,-684,7320,-626,7228,-555,7228,-503,7576,-503,7576,-555m8022,-749l8019,-799,8010,-847,7996,-891,7975,-931,7959,-951,7959,-742,7957,-700,7952,-663,7942,-629,7929,-599,7912,-574,7891,-556,7866,-545,7837,-542,7809,-546,7784,-556,7762,-574,7745,-599,7731,-631,7721,-667,7715,-708,7713,-754,7715,-798,7721,-838,7730,-873,7743,-904,7760,-929,7781,-946,7806,-957,7835,-961,7864,-957,7890,-945,7911,-926,7929,-898,7942,-865,7951,-828,7957,-787,7959,-742,7959,-951,7952,-961,7948,-965,7916,-990,7878,-1004,7835,-1009,7794,-1004,7757,-990,7726,-967,7699,-934,7678,-895,7663,-852,7654,-804,7651,-754,7651,-749,7654,-699,7664,-650,7679,-607,7702,-567,7729,-535,7761,-511,7797,-498,7837,-493,7878,-498,7915,-512,7947,-536,7951,-542,7974,-570,7995,-610,8010,-653,8019,-699,8019,-700,8022,-749m8435,-549l8298,-549,8298,-932,8298,-1009,8254,-1009,8224,-975,8190,-943,8149,-914,8104,-887,8104,-825,8139,-846,8173,-871,8206,-900,8239,-932,8239,-549,8092,-549,8092,-503,8435,-503,8435,-549m8833,-749l8830,-799,8821,-847,8806,-891,8786,-931,8770,-951,8770,-742,8768,-700,8763,-663,8753,-629,8740,-599,8723,-574,8702,-556,8677,-545,8648,-542,8620,-546,8595,-556,8573,-574,8556,-599,8542,-631,8532,-667,8526,-708,8524,-754,8526,-798,8531,-838,8541,-873,8554,-904,8571,-929,8592,-946,8617,-957,8645,-961,8675,-957,8701,-945,8722,-926,8739,-898,8753,-865,8762,-828,8768,-787,8770,-742,8770,-951,8763,-961,8759,-965,8727,-990,8689,-1004,8646,-1009,8605,-1004,8568,-990,8537,-967,8510,-934,8489,-895,8474,-852,8465,-804,8462,-754,8462,-749,8465,-699,8475,-650,8490,-607,8512,-567,8540,-535,8572,-511,8608,-498,8648,-493,8689,-498,8726,-512,8758,-536,8762,-542,8784,-570,8806,-610,8821,-653,8830,-699,8830,-700,8833,-749e" filled="true" fillcolor="#6e6e70" stroked="false">
              <v:path arrowok="t"/>
              <v:fill type="solid"/>
            </v:shape>
            <v:shape style="position:absolute;left:0;top:-8780;width:11906;height:4893" type="#_x0000_t75" stroked="false">
              <v:imagedata r:id="rId446" o:title=""/>
            </v:shape>
            <v:shape style="position:absolute;left:5859;top:-8593;width:5514;height:4499" type="#_x0000_t75" stroked="false">
              <v:imagedata r:id="rId447" o:title=""/>
            </v:shape>
            <v:shape style="position:absolute;left:6483;top:-7961;width:3958;height:3099" type="#_x0000_t75" stroked="false">
              <v:imagedata r:id="rId448" o:title=""/>
            </v:shape>
            <v:shape style="position:absolute;left:6483;top:-7961;width:3958;height:3099" coordorigin="6483,-7961" coordsize="3958,3099" path="m10440,-5189l6721,-4862,6483,-7634,10202,-7961,10440,-5189xe" filled="false" stroked="true" strokeweight="4.046827pt" strokecolor="#ffffff">
              <v:path arrowok="t"/>
              <v:stroke dashstyle="solid"/>
            </v:shape>
            <v:shape style="position:absolute;left:0;top:-6608;width:4372;height:5247" type="#_x0000_t75" stroked="false">
              <v:imagedata r:id="rId449" o:title=""/>
            </v:shape>
            <v:shape style="position:absolute;left:489;top:-4863;width:3103;height:2630" type="#_x0000_t75" stroked="false">
              <v:imagedata r:id="rId450" o:title=""/>
            </v:shape>
            <v:shape style="position:absolute;left:489;top:-4863;width:3103;height:2630" coordorigin="489,-4862" coordsize="3103,2630" path="m3085,-2233l489,-2927,995,-4862,3591,-4168,3085,-2233xe" filled="false" stroked="true" strokeweight="2.636817pt" strokecolor="#ffffff">
              <v:path arrowok="t"/>
              <v:stroke dashstyle="solid"/>
            </v:shape>
            <v:shape style="position:absolute;left:5801;top:-6061;width:6104;height:4753" type="#_x0000_t75" stroked="false">
              <v:imagedata r:id="rId451" o:title=""/>
            </v:shape>
            <v:shape style="position:absolute;left:7090;top:-5326;width:3774;height:3178" type="#_x0000_t75" stroked="false">
              <v:imagedata r:id="rId452" o:title=""/>
            </v:shape>
            <v:shape style="position:absolute;left:7090;top:-5326;width:3774;height:3178" coordorigin="7091,-5325" coordsize="3774,3178" path="m10457,-2148l7091,-2678,7498,-5325,10864,-4795,10457,-2148xe" filled="false" stroked="true" strokeweight="3.792274pt" strokecolor="#ffffff">
              <v:path arrowok="t"/>
              <v:stroke dashstyle="solid"/>
            </v:shape>
            <v:shape style="position:absolute;left:45;top:-8780;width:7958;height:6247" type="#_x0000_t75" stroked="false">
              <v:imagedata r:id="rId453" o:title=""/>
            </v:shape>
            <v:shape style="position:absolute;left:1688;top:-8041;width:4460;height:3655" type="#_x0000_t75" stroked="false">
              <v:imagedata r:id="rId454" o:title=""/>
            </v:shape>
            <v:shape style="position:absolute;left:1688;top:-8041;width:4460;height:3655" coordorigin="1688,-8041" coordsize="4460,3655" path="m5621,-4386l1688,-5109,2215,-8041,6148,-7317,5621,-4386xe" filled="false" stroked="true" strokeweight="4.332024pt" strokecolor="#ffffff">
              <v:path arrowok="t"/>
              <v:stroke dashstyle="solid"/>
            </v:shape>
            <v:shape style="position:absolute;left:2420;top:-5654;width:6124;height:4305" type="#_x0000_t75" stroked="false">
              <v:imagedata r:id="rId455" o:title=""/>
            </v:shape>
            <v:shape style="position:absolute;left:3317;top:-5028;width:4030;height:2960" type="#_x0000_t75" stroked="false">
              <v:imagedata r:id="rId456" o:title=""/>
            </v:shape>
            <v:shape style="position:absolute;left:3317;top:-5028;width:4030;height:2960" coordorigin="3318,-5027" coordsize="4030,2960" path="m7347,-2475l3588,-2068,3318,-4620,7076,-5027,7347,-2475xe" filled="false" stroked="true" strokeweight="3.940686pt" strokecolor="#ffffff">
              <v:path arrowok="t"/>
              <v:stroke dashstyle="solid"/>
            </v:shape>
            <v:rect style="position:absolute;left:240;top:-8780;width:454;height:454" filled="true" fillcolor="#8ba8bd" stroked="false">
              <v:fill type="solid"/>
            </v:rect>
            <v:rect style="position:absolute;left:240;top:-8171;width:454;height:454" filled="true" fillcolor="#c2d2df" stroked="false">
              <v:fill type="solid"/>
            </v:rect>
            <v:rect style="position:absolute;left:240;top:-7547;width:454;height:454" filled="true" fillcolor="#dae4ec" stroked="false">
              <v:fill opacity="32768f" type="solid"/>
            </v:rect>
            <w10:wrap type="none"/>
          </v:group>
        </w:pict>
      </w:r>
      <w:r>
        <w:rPr>
          <w:rFonts w:ascii="Franklin Gothic Demi"/>
          <w:b/>
          <w:color w:val="6E6E70"/>
          <w:sz w:val="37"/>
        </w:rPr>
        <w:t>Valuable funds awarded to your church project</w:t>
      </w:r>
    </w:p>
    <w:p>
      <w:pPr>
        <w:spacing w:line="280" w:lineRule="auto" w:before="131"/>
        <w:ind w:left="1267" w:right="1997" w:firstLine="0"/>
        <w:jc w:val="left"/>
        <w:rPr>
          <w:sz w:val="18"/>
        </w:rPr>
      </w:pPr>
      <w:r>
        <w:rPr/>
        <w:drawing>
          <wp:anchor distT="0" distB="0" distL="0" distR="0" allowOverlap="1" layoutInCell="1" locked="0" behindDoc="0" simplePos="0" relativeHeight="252191744">
            <wp:simplePos x="0" y="0"/>
            <wp:positionH relativeFrom="page">
              <wp:posOffset>4609108</wp:posOffset>
            </wp:positionH>
            <wp:positionV relativeFrom="paragraph">
              <wp:posOffset>873346</wp:posOffset>
            </wp:positionV>
            <wp:extent cx="1735089" cy="438912"/>
            <wp:effectExtent l="0" t="0" r="0" b="0"/>
            <wp:wrapNone/>
            <wp:docPr id="159" name="image203.png"/>
            <wp:cNvGraphicFramePr>
              <a:graphicFrameLocks noChangeAspect="1"/>
            </wp:cNvGraphicFramePr>
            <a:graphic>
              <a:graphicData uri="http://schemas.openxmlformats.org/drawingml/2006/picture">
                <pic:pic>
                  <pic:nvPicPr>
                    <pic:cNvPr id="160" name="image203.png"/>
                    <pic:cNvPicPr/>
                  </pic:nvPicPr>
                  <pic:blipFill>
                    <a:blip r:embed="rId457" cstate="print"/>
                    <a:stretch>
                      <a:fillRect/>
                    </a:stretch>
                  </pic:blipFill>
                  <pic:spPr>
                    <a:xfrm>
                      <a:off x="0" y="0"/>
                      <a:ext cx="1735089" cy="438912"/>
                    </a:xfrm>
                    <a:prstGeom prst="rect">
                      <a:avLst/>
                    </a:prstGeom>
                  </pic:spPr>
                </pic:pic>
              </a:graphicData>
            </a:graphic>
          </wp:anchor>
        </w:drawing>
      </w:r>
      <w:r>
        <w:rPr/>
        <w:drawing>
          <wp:anchor distT="0" distB="0" distL="0" distR="0" allowOverlap="1" layoutInCell="1" locked="0" behindDoc="0" simplePos="0" relativeHeight="252192768">
            <wp:simplePos x="0" y="0"/>
            <wp:positionH relativeFrom="page">
              <wp:posOffset>808217</wp:posOffset>
            </wp:positionH>
            <wp:positionV relativeFrom="paragraph">
              <wp:posOffset>1311131</wp:posOffset>
            </wp:positionV>
            <wp:extent cx="1986485" cy="98012"/>
            <wp:effectExtent l="0" t="0" r="0" b="0"/>
            <wp:wrapNone/>
            <wp:docPr id="161" name="image204.png"/>
            <wp:cNvGraphicFramePr>
              <a:graphicFrameLocks noChangeAspect="1"/>
            </wp:cNvGraphicFramePr>
            <a:graphic>
              <a:graphicData uri="http://schemas.openxmlformats.org/drawingml/2006/picture">
                <pic:pic>
                  <pic:nvPicPr>
                    <pic:cNvPr id="162" name="image204.png"/>
                    <pic:cNvPicPr/>
                  </pic:nvPicPr>
                  <pic:blipFill>
                    <a:blip r:embed="rId458" cstate="print"/>
                    <a:stretch>
                      <a:fillRect/>
                    </a:stretch>
                  </pic:blipFill>
                  <pic:spPr>
                    <a:xfrm>
                      <a:off x="0" y="0"/>
                      <a:ext cx="1986485" cy="98012"/>
                    </a:xfrm>
                    <a:prstGeom prst="rect">
                      <a:avLst/>
                    </a:prstGeom>
                  </pic:spPr>
                </pic:pic>
              </a:graphicData>
            </a:graphic>
          </wp:anchor>
        </w:drawing>
      </w:r>
      <w:r>
        <w:rPr/>
        <w:drawing>
          <wp:anchor distT="0" distB="0" distL="0" distR="0" allowOverlap="1" layoutInCell="1" locked="0" behindDoc="0" simplePos="0" relativeHeight="252193792">
            <wp:simplePos x="0" y="0"/>
            <wp:positionH relativeFrom="page">
              <wp:posOffset>808847</wp:posOffset>
            </wp:positionH>
            <wp:positionV relativeFrom="paragraph">
              <wp:posOffset>623821</wp:posOffset>
            </wp:positionV>
            <wp:extent cx="1993148" cy="604837"/>
            <wp:effectExtent l="0" t="0" r="0" b="0"/>
            <wp:wrapNone/>
            <wp:docPr id="163" name="image205.png"/>
            <wp:cNvGraphicFramePr>
              <a:graphicFrameLocks noChangeAspect="1"/>
            </wp:cNvGraphicFramePr>
            <a:graphic>
              <a:graphicData uri="http://schemas.openxmlformats.org/drawingml/2006/picture">
                <pic:pic>
                  <pic:nvPicPr>
                    <pic:cNvPr id="164" name="image205.png"/>
                    <pic:cNvPicPr/>
                  </pic:nvPicPr>
                  <pic:blipFill>
                    <a:blip r:embed="rId459" cstate="print"/>
                    <a:stretch>
                      <a:fillRect/>
                    </a:stretch>
                  </pic:blipFill>
                  <pic:spPr>
                    <a:xfrm>
                      <a:off x="0" y="0"/>
                      <a:ext cx="1993148" cy="604837"/>
                    </a:xfrm>
                    <a:prstGeom prst="rect">
                      <a:avLst/>
                    </a:prstGeom>
                  </pic:spPr>
                </pic:pic>
              </a:graphicData>
            </a:graphic>
          </wp:anchor>
        </w:drawing>
      </w:r>
      <w:r>
        <w:rPr>
          <w:color w:val="1F1D20"/>
          <w:w w:val="105"/>
          <w:sz w:val="18"/>
        </w:rPr>
        <w:t>For over a decade, the United Reformed Church has been supported by Congregational &amp; General Insurance plc in recognising innovative projects taking place in churches throughout the UK.</w:t>
      </w:r>
    </w:p>
    <w:p>
      <w:pPr>
        <w:spacing w:after="0" w:line="280" w:lineRule="auto"/>
        <w:jc w:val="left"/>
        <w:rPr>
          <w:sz w:val="18"/>
        </w:rPr>
        <w:sectPr>
          <w:headerReference w:type="even" r:id="rId444"/>
          <w:footerReference w:type="even" r:id="rId445"/>
          <w:pgSz w:w="11910" w:h="16840"/>
          <w:pgMar w:header="0" w:footer="0" w:top="0" w:bottom="0" w:left="0" w:right="0"/>
        </w:sectPr>
      </w:pPr>
    </w:p>
    <w:p>
      <w:pPr>
        <w:pStyle w:val="BodyText"/>
      </w:pPr>
      <w:r>
        <w:rPr/>
        <w:pict>
          <v:rect style="position:absolute;margin-left:0pt;margin-top:.000015pt;width:595.275pt;height:841.89pt;mso-position-horizontal-relative:page;mso-position-vertical-relative:page;z-index:-267228160" filled="true" fillcolor="#8ba8bd" stroked="false">
            <v:fill type="solid"/>
            <w10:wrap type="none"/>
          </v:rect>
        </w:pict>
      </w:r>
      <w:r>
        <w:rPr/>
        <w:pict>
          <v:group style="position:absolute;margin-left:75.826797pt;margin-top:.000015pt;width:519.4500pt;height:790.9pt;mso-position-horizontal-relative:page;mso-position-vertical-relative:page;z-index:-267227136"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017;width:8049;height:3962" coordorigin="2014,1018" coordsize="8049,3962" path="m2254,1018l2251,1156,2224,1228,2153,1254,2014,1258,2014,4739,2153,4743,2224,4769,2251,4840,2254,4979,9823,4979,9827,4840,9853,4769,9924,4743,10063,4739,10063,1258,9924,1254,9853,1228,9827,1156,9823,1018,2254,1018xe" filled="false" stroked="true" strokeweight="1pt" strokecolor="#8ba8bd">
              <v:path arrowok="t"/>
              <v:stroke dashstyle="solid"/>
            </v:shape>
            <w10:wrap type="none"/>
          </v:group>
        </w:pict>
      </w:r>
    </w:p>
    <w:p>
      <w:pPr>
        <w:pStyle w:val="BodyText"/>
      </w:pPr>
    </w:p>
    <w:p>
      <w:pPr>
        <w:pStyle w:val="BodyText"/>
      </w:pPr>
    </w:p>
    <w:p>
      <w:pPr>
        <w:pStyle w:val="BodyText"/>
      </w:pPr>
    </w:p>
    <w:p>
      <w:pPr>
        <w:pStyle w:val="BodyText"/>
        <w:spacing w:before="6"/>
        <w:rPr>
          <w:sz w:val="23"/>
        </w:rPr>
      </w:pPr>
    </w:p>
    <w:p>
      <w:pPr>
        <w:spacing w:line="216" w:lineRule="auto" w:before="111"/>
        <w:ind w:left="2381" w:right="1997" w:firstLine="0"/>
        <w:jc w:val="left"/>
        <w:rPr>
          <w:rFonts w:ascii="Stone Sans II ITC Std Sm"/>
          <w:b/>
          <w:sz w:val="18"/>
        </w:rPr>
      </w:pPr>
      <w:r>
        <w:rPr/>
        <w:pict>
          <v:group style="position:absolute;margin-left:-.000019pt;margin-top:-64.071289pt;width:2.15pt;height:373.6pt;mso-position-horizontal-relative:page;mso-position-vertical-relative:paragraph;z-index:-267229184" coordorigin="0,-1281" coordsize="43,7472">
            <v:shape style="position:absolute;left:0;top:-1282;width:43;height:4893" type="#_x0000_t75" stroked="false">
              <v:imagedata r:id="rId463" o:title=""/>
            </v:shape>
            <v:shape style="position:absolute;left:0;top:1437;width:43;height:4753" type="#_x0000_t75" stroked="false">
              <v:imagedata r:id="rId464" o:title=""/>
            </v:shape>
            <w10:wrap type="none"/>
          </v:group>
        </w:pict>
      </w:r>
      <w:r>
        <w:rPr/>
        <w:pict>
          <v:shape style="position:absolute;margin-left:512.587891pt;margin-top:-8.37862pt;width:47.4pt;height:255.5pt;mso-position-horizontal-relative:page;mso-position-vertical-relative:paragraph;z-index:-26722611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9"/>
                      <w:w w:val="110"/>
                      <w:sz w:val="72"/>
                    </w:rPr>
                    <w:t>Nominations</w:t>
                  </w:r>
                </w:p>
              </w:txbxContent>
            </v:textbox>
            <w10:wrap type="none"/>
          </v:shape>
        </w:pict>
      </w:r>
      <w:r>
        <w:rPr>
          <w:rFonts w:ascii="Stone Sans II ITC Std Sm"/>
          <w:b/>
          <w:w w:val="110"/>
          <w:sz w:val="18"/>
        </w:rPr>
        <w:t>This Committee nominates to Assembly the names of people to serve as conveners and secretaries of all Assembly committees,and as members of those committees. It also suggests names of URC representatives on other bodies. It recommends the people to make up appointment groups for moderators of synods and Assembly appointed staff.</w:t>
      </w:r>
    </w:p>
    <w:p>
      <w:pPr>
        <w:pStyle w:val="BodyText"/>
        <w:spacing w:before="10"/>
        <w:rPr>
          <w:rFonts w:ascii="Stone Sans II ITC Std Sm"/>
          <w:b/>
          <w:sz w:val="16"/>
        </w:rPr>
      </w:pPr>
    </w:p>
    <w:p>
      <w:pPr>
        <w:tabs>
          <w:tab w:pos="5584" w:val="left" w:leader="none"/>
        </w:tabs>
        <w:spacing w:line="232" w:lineRule="exact" w:before="0"/>
        <w:ind w:left="2381" w:right="0" w:firstLine="0"/>
        <w:jc w:val="left"/>
        <w:rPr>
          <w:sz w:val="18"/>
        </w:rPr>
      </w:pPr>
      <w:r>
        <w:rPr>
          <w:rFonts w:ascii="Stone Sans II ITC Std Bk"/>
          <w:b/>
          <w:w w:val="115"/>
          <w:sz w:val="18"/>
        </w:rPr>
        <w:t>Convener:</w:t>
      </w:r>
      <w:r>
        <w:rPr>
          <w:rFonts w:ascii="Stone Sans II ITC Std Bk"/>
          <w:b/>
          <w:spacing w:val="9"/>
          <w:w w:val="115"/>
          <w:sz w:val="18"/>
        </w:rPr>
        <w:t> </w:t>
      </w:r>
      <w:r>
        <w:rPr>
          <w:w w:val="115"/>
          <w:sz w:val="18"/>
        </w:rPr>
        <w:t>Malcolm</w:t>
      </w:r>
      <w:r>
        <w:rPr>
          <w:spacing w:val="14"/>
          <w:w w:val="115"/>
          <w:sz w:val="18"/>
        </w:rPr>
        <w:t> </w:t>
      </w:r>
      <w:r>
        <w:rPr>
          <w:w w:val="115"/>
          <w:sz w:val="18"/>
        </w:rPr>
        <w:t>Hanson</w:t>
        <w:tab/>
      </w:r>
      <w:r>
        <w:rPr>
          <w:rFonts w:ascii="Stone Sans II ITC Std Bk"/>
          <w:b/>
          <w:w w:val="115"/>
          <w:sz w:val="18"/>
        </w:rPr>
        <w:t>Convener </w:t>
      </w:r>
      <w:r>
        <w:rPr>
          <w:rFonts w:ascii="Stone Sans II ITC Std Bk"/>
          <w:b/>
          <w:spacing w:val="2"/>
          <w:w w:val="115"/>
          <w:sz w:val="18"/>
        </w:rPr>
        <w:t>elect: </w:t>
      </w:r>
      <w:r>
        <w:rPr>
          <w:w w:val="115"/>
          <w:sz w:val="18"/>
        </w:rPr>
        <w:t>John</w:t>
      </w:r>
      <w:r>
        <w:rPr>
          <w:spacing w:val="-2"/>
          <w:w w:val="115"/>
          <w:sz w:val="18"/>
        </w:rPr>
        <w:t> </w:t>
      </w:r>
      <w:r>
        <w:rPr>
          <w:w w:val="115"/>
          <w:sz w:val="18"/>
        </w:rPr>
        <w:t>Durell</w:t>
      </w:r>
    </w:p>
    <w:p>
      <w:pPr>
        <w:spacing w:line="220" w:lineRule="exact" w:before="0"/>
        <w:ind w:left="2381" w:right="0" w:firstLine="0"/>
        <w:jc w:val="left"/>
        <w:rPr>
          <w:sz w:val="18"/>
        </w:rPr>
      </w:pPr>
      <w:r>
        <w:rPr>
          <w:rFonts w:ascii="Stone Sans II ITC Std Bk"/>
          <w:b/>
          <w:w w:val="120"/>
          <w:sz w:val="18"/>
        </w:rPr>
        <w:t>Secretary: </w:t>
      </w:r>
      <w:r>
        <w:rPr>
          <w:w w:val="120"/>
          <w:sz w:val="18"/>
        </w:rPr>
        <w:t>Sarah</w:t>
      </w:r>
      <w:r>
        <w:rPr>
          <w:spacing w:val="-27"/>
          <w:w w:val="120"/>
          <w:sz w:val="18"/>
        </w:rPr>
        <w:t> </w:t>
      </w:r>
      <w:r>
        <w:rPr>
          <w:w w:val="120"/>
          <w:sz w:val="18"/>
        </w:rPr>
        <w:t>Dodds</w:t>
      </w:r>
    </w:p>
    <w:p>
      <w:pPr>
        <w:spacing w:line="226" w:lineRule="exact" w:before="0"/>
        <w:ind w:left="2381" w:right="0" w:firstLine="0"/>
        <w:jc w:val="left"/>
        <w:rPr>
          <w:rFonts w:ascii="Stone Sans II ITC Std Bk"/>
          <w:b/>
          <w:sz w:val="18"/>
        </w:rPr>
      </w:pPr>
      <w:r>
        <w:rPr>
          <w:rFonts w:ascii="Stone Sans II ITC Std Bk"/>
          <w:b/>
          <w:w w:val="110"/>
          <w:sz w:val="18"/>
        </w:rPr>
        <w:t>Synod</w:t>
      </w:r>
      <w:r>
        <w:rPr>
          <w:rFonts w:ascii="Stone Sans II ITC Std Bk"/>
          <w:b/>
          <w:spacing w:val="27"/>
          <w:w w:val="110"/>
          <w:sz w:val="18"/>
        </w:rPr>
        <w:t> </w:t>
      </w:r>
      <w:r>
        <w:rPr>
          <w:rFonts w:ascii="Stone Sans II ITC Std Bk"/>
          <w:b/>
          <w:w w:val="110"/>
          <w:sz w:val="18"/>
        </w:rPr>
        <w:t>representatives:</w:t>
      </w:r>
    </w:p>
    <w:p>
      <w:pPr>
        <w:tabs>
          <w:tab w:pos="4864" w:val="left" w:leader="none"/>
          <w:tab w:pos="7024" w:val="left" w:leader="none"/>
        </w:tabs>
        <w:spacing w:line="240" w:lineRule="auto" w:before="0"/>
        <w:ind w:left="2381" w:right="3009" w:firstLine="0"/>
        <w:jc w:val="left"/>
        <w:rPr>
          <w:sz w:val="18"/>
        </w:rPr>
      </w:pPr>
      <w:r>
        <w:rPr>
          <w:w w:val="120"/>
          <w:sz w:val="18"/>
        </w:rPr>
        <w:t>I Val Towler</w:t>
        <w:tab/>
        <w:t>II</w:t>
      </w:r>
      <w:r>
        <w:rPr>
          <w:spacing w:val="10"/>
          <w:w w:val="120"/>
          <w:sz w:val="18"/>
        </w:rPr>
        <w:t> </w:t>
      </w:r>
      <w:r>
        <w:rPr>
          <w:w w:val="120"/>
          <w:sz w:val="18"/>
        </w:rPr>
        <w:t>Chris</w:t>
      </w:r>
      <w:r>
        <w:rPr>
          <w:spacing w:val="10"/>
          <w:w w:val="120"/>
          <w:sz w:val="18"/>
        </w:rPr>
        <w:t> </w:t>
      </w:r>
      <w:r>
        <w:rPr>
          <w:w w:val="120"/>
          <w:sz w:val="18"/>
        </w:rPr>
        <w:t>Weddle</w:t>
        <w:tab/>
        <w:t>III John  Oldershaw IV</w:t>
      </w:r>
      <w:r>
        <w:rPr>
          <w:spacing w:val="9"/>
          <w:w w:val="120"/>
          <w:sz w:val="18"/>
        </w:rPr>
        <w:t> </w:t>
      </w:r>
      <w:r>
        <w:rPr>
          <w:w w:val="120"/>
          <w:sz w:val="18"/>
        </w:rPr>
        <w:t>Chris</w:t>
      </w:r>
      <w:r>
        <w:rPr>
          <w:spacing w:val="9"/>
          <w:w w:val="120"/>
          <w:sz w:val="18"/>
        </w:rPr>
        <w:t> </w:t>
      </w:r>
      <w:r>
        <w:rPr>
          <w:w w:val="120"/>
          <w:sz w:val="18"/>
        </w:rPr>
        <w:t>Reed</w:t>
        <w:tab/>
        <w:t>V</w:t>
      </w:r>
      <w:r>
        <w:rPr>
          <w:spacing w:val="12"/>
          <w:w w:val="120"/>
          <w:sz w:val="18"/>
        </w:rPr>
        <w:t> </w:t>
      </w:r>
      <w:r>
        <w:rPr>
          <w:w w:val="120"/>
          <w:sz w:val="18"/>
        </w:rPr>
        <w:t>Duncan</w:t>
      </w:r>
      <w:r>
        <w:rPr>
          <w:spacing w:val="12"/>
          <w:w w:val="120"/>
          <w:sz w:val="18"/>
        </w:rPr>
        <w:t> </w:t>
      </w:r>
      <w:r>
        <w:rPr>
          <w:w w:val="120"/>
          <w:sz w:val="18"/>
        </w:rPr>
        <w:t>Smith</w:t>
        <w:tab/>
        <w:t>VI Margaret Marshall </w:t>
      </w:r>
      <w:r>
        <w:rPr>
          <w:spacing w:val="2"/>
          <w:w w:val="120"/>
          <w:sz w:val="18"/>
        </w:rPr>
        <w:t>VII</w:t>
      </w:r>
      <w:r>
        <w:rPr>
          <w:spacing w:val="1"/>
          <w:w w:val="120"/>
          <w:sz w:val="18"/>
        </w:rPr>
        <w:t> </w:t>
      </w:r>
      <w:r>
        <w:rPr>
          <w:w w:val="120"/>
          <w:sz w:val="18"/>
        </w:rPr>
        <w:t>Mick</w:t>
      </w:r>
      <w:r>
        <w:rPr>
          <w:spacing w:val="1"/>
          <w:w w:val="120"/>
          <w:sz w:val="18"/>
        </w:rPr>
        <w:t> </w:t>
      </w:r>
      <w:r>
        <w:rPr>
          <w:w w:val="120"/>
          <w:sz w:val="18"/>
        </w:rPr>
        <w:t>Barnes</w:t>
        <w:tab/>
      </w:r>
      <w:r>
        <w:rPr>
          <w:spacing w:val="2"/>
          <w:w w:val="120"/>
          <w:sz w:val="18"/>
        </w:rPr>
        <w:t>VIII</w:t>
      </w:r>
      <w:r>
        <w:rPr>
          <w:spacing w:val="5"/>
          <w:w w:val="120"/>
          <w:sz w:val="18"/>
        </w:rPr>
        <w:t> </w:t>
      </w:r>
      <w:r>
        <w:rPr>
          <w:w w:val="120"/>
          <w:sz w:val="18"/>
        </w:rPr>
        <w:t>Roz</w:t>
      </w:r>
      <w:r>
        <w:rPr>
          <w:spacing w:val="5"/>
          <w:w w:val="120"/>
          <w:sz w:val="18"/>
        </w:rPr>
        <w:t> </w:t>
      </w:r>
      <w:r>
        <w:rPr>
          <w:w w:val="120"/>
          <w:sz w:val="18"/>
        </w:rPr>
        <w:t>Harrison</w:t>
        <w:tab/>
        <w:t>IX Peter</w:t>
      </w:r>
      <w:r>
        <w:rPr>
          <w:spacing w:val="3"/>
          <w:w w:val="120"/>
          <w:sz w:val="18"/>
        </w:rPr>
        <w:t> </w:t>
      </w:r>
      <w:r>
        <w:rPr>
          <w:w w:val="120"/>
          <w:sz w:val="18"/>
        </w:rPr>
        <w:t>Pay</w:t>
      </w:r>
    </w:p>
    <w:p>
      <w:pPr>
        <w:tabs>
          <w:tab w:pos="4864" w:val="left" w:leader="none"/>
        </w:tabs>
        <w:spacing w:before="0"/>
        <w:ind w:left="2381" w:right="4096" w:firstLine="0"/>
        <w:jc w:val="left"/>
        <w:rPr>
          <w:sz w:val="18"/>
        </w:rPr>
      </w:pPr>
      <w:r>
        <w:rPr>
          <w:w w:val="125"/>
          <w:sz w:val="18"/>
        </w:rPr>
        <w:t>X</w:t>
      </w:r>
      <w:r>
        <w:rPr>
          <w:spacing w:val="-5"/>
          <w:w w:val="125"/>
          <w:sz w:val="18"/>
        </w:rPr>
        <w:t> </w:t>
      </w:r>
      <w:r>
        <w:rPr>
          <w:w w:val="125"/>
          <w:sz w:val="18"/>
        </w:rPr>
        <w:t>Simon</w:t>
      </w:r>
      <w:r>
        <w:rPr>
          <w:spacing w:val="-4"/>
          <w:w w:val="125"/>
          <w:sz w:val="18"/>
        </w:rPr>
        <w:t> </w:t>
      </w:r>
      <w:r>
        <w:rPr>
          <w:w w:val="125"/>
          <w:sz w:val="18"/>
        </w:rPr>
        <w:t>Fairnington</w:t>
        <w:tab/>
        <w:t>XI Derrick Sena Dzandu-Hedidor XII Jean</w:t>
      </w:r>
      <w:r>
        <w:rPr>
          <w:spacing w:val="-25"/>
          <w:w w:val="125"/>
          <w:sz w:val="18"/>
        </w:rPr>
        <w:t> </w:t>
      </w:r>
      <w:r>
        <w:rPr>
          <w:w w:val="125"/>
          <w:sz w:val="18"/>
        </w:rPr>
        <w:t>Silvan</w:t>
      </w:r>
      <w:r>
        <w:rPr>
          <w:spacing w:val="-12"/>
          <w:w w:val="125"/>
          <w:sz w:val="18"/>
        </w:rPr>
        <w:t> </w:t>
      </w:r>
      <w:r>
        <w:rPr>
          <w:w w:val="125"/>
          <w:sz w:val="18"/>
        </w:rPr>
        <w:t>Evans</w:t>
        <w:tab/>
        <w:t>XIII Jim</w:t>
      </w:r>
      <w:r>
        <w:rPr>
          <w:spacing w:val="-4"/>
          <w:w w:val="125"/>
          <w:sz w:val="18"/>
        </w:rPr>
        <w:t> </w:t>
      </w:r>
      <w:r>
        <w:rPr>
          <w:w w:val="125"/>
          <w:sz w:val="18"/>
        </w:rPr>
        <w:t>Merrilees</w:t>
      </w:r>
    </w:p>
    <w:p>
      <w:pPr>
        <w:spacing w:before="0"/>
        <w:ind w:left="2381" w:right="0" w:firstLine="0"/>
        <w:jc w:val="left"/>
        <w:rPr>
          <w:sz w:val="18"/>
        </w:rPr>
      </w:pPr>
      <w:r>
        <w:rPr>
          <w:w w:val="120"/>
          <w:sz w:val="18"/>
        </w:rPr>
        <w:t>with the immediate Past Moderator and the General Secretary</w:t>
      </w:r>
    </w:p>
    <w:p>
      <w:pPr>
        <w:pStyle w:val="BodyText"/>
        <w:rPr>
          <w:sz w:val="22"/>
        </w:rPr>
      </w:pPr>
    </w:p>
    <w:p>
      <w:pPr>
        <w:pStyle w:val="BodyText"/>
        <w:rPr>
          <w:sz w:val="22"/>
        </w:rPr>
      </w:pPr>
    </w:p>
    <w:p>
      <w:pPr>
        <w:pStyle w:val="BodyText"/>
        <w:spacing w:before="4"/>
        <w:rPr>
          <w:sz w:val="25"/>
        </w:rPr>
      </w:pPr>
    </w:p>
    <w:p>
      <w:pPr>
        <w:numPr>
          <w:ilvl w:val="0"/>
          <w:numId w:val="144"/>
        </w:numPr>
        <w:tabs>
          <w:tab w:pos="2704" w:val="left" w:leader="none"/>
          <w:tab w:pos="2705" w:val="left" w:leader="none"/>
        </w:tabs>
        <w:spacing w:line="204" w:lineRule="auto" w:before="0"/>
        <w:ind w:left="2704" w:right="4675" w:hanging="720"/>
        <w:jc w:val="left"/>
        <w:rPr>
          <w:rFonts w:ascii="Stone Sans II ITC Std Bk"/>
          <w:b/>
          <w:sz w:val="21"/>
        </w:rPr>
      </w:pPr>
      <w:r>
        <w:rPr>
          <w:rFonts w:ascii="Stone Sans II ITC Std Bk"/>
          <w:b/>
          <w:w w:val="115"/>
          <w:sz w:val="21"/>
        </w:rPr>
        <w:t>Biennial meetings of General</w:t>
      </w:r>
      <w:r>
        <w:rPr>
          <w:rFonts w:ascii="Stone Sans II ITC Std Bk"/>
          <w:b/>
          <w:spacing w:val="-32"/>
          <w:w w:val="115"/>
          <w:sz w:val="21"/>
        </w:rPr>
        <w:t> </w:t>
      </w:r>
      <w:r>
        <w:rPr>
          <w:rFonts w:ascii="Stone Sans II ITC Std Bk"/>
          <w:b/>
          <w:w w:val="115"/>
          <w:sz w:val="21"/>
        </w:rPr>
        <w:t>Assembly (Resolution </w:t>
      </w:r>
      <w:r>
        <w:rPr>
          <w:rFonts w:ascii="Stone Sans II ITC Std Bk"/>
          <w:b/>
          <w:spacing w:val="-7"/>
          <w:w w:val="115"/>
          <w:sz w:val="21"/>
        </w:rPr>
        <w:t>14, </w:t>
      </w:r>
      <w:r>
        <w:rPr>
          <w:rFonts w:ascii="Stone Sans II ITC Std Bk"/>
          <w:b/>
          <w:w w:val="115"/>
          <w:sz w:val="21"/>
        </w:rPr>
        <w:t>page</w:t>
      </w:r>
      <w:r>
        <w:rPr>
          <w:rFonts w:ascii="Stone Sans II ITC Std Bk"/>
          <w:b/>
          <w:spacing w:val="-1"/>
          <w:w w:val="115"/>
          <w:sz w:val="21"/>
        </w:rPr>
        <w:t> </w:t>
      </w:r>
      <w:r>
        <w:rPr>
          <w:rFonts w:ascii="Stone Sans II ITC Std Bk"/>
          <w:b/>
          <w:spacing w:val="-6"/>
          <w:w w:val="115"/>
          <w:sz w:val="21"/>
        </w:rPr>
        <w:t>252)</w:t>
      </w:r>
    </w:p>
    <w:p>
      <w:pPr>
        <w:pStyle w:val="ListParagraph"/>
        <w:numPr>
          <w:ilvl w:val="1"/>
          <w:numId w:val="144"/>
        </w:numPr>
        <w:tabs>
          <w:tab w:pos="2693" w:val="left" w:leader="none"/>
          <w:tab w:pos="2694" w:val="left" w:leader="none"/>
        </w:tabs>
        <w:spacing w:line="235" w:lineRule="auto" w:before="232" w:after="0"/>
        <w:ind w:left="1984" w:right="1788" w:firstLine="0"/>
        <w:jc w:val="left"/>
        <w:rPr>
          <w:sz w:val="20"/>
        </w:rPr>
      </w:pPr>
      <w:r>
        <w:rPr>
          <w:w w:val="120"/>
          <w:sz w:val="20"/>
        </w:rPr>
        <w:t>With the change to biennial Assemblies there are consequences for the terms of some Assembly appointments. It seems desirable that whenever possible Assembly should continue to make its own appointments, particularly of Assembly officers, though there will be times when Mission Council needs to act on behalf   of Assembly in making</w:t>
      </w:r>
      <w:r>
        <w:rPr>
          <w:spacing w:val="9"/>
          <w:w w:val="120"/>
          <w:sz w:val="20"/>
        </w:rPr>
        <w:t> </w:t>
      </w:r>
      <w:r>
        <w:rPr>
          <w:w w:val="120"/>
          <w:sz w:val="20"/>
        </w:rPr>
        <w:t>appointments.</w:t>
      </w:r>
    </w:p>
    <w:p>
      <w:pPr>
        <w:pStyle w:val="BodyText"/>
        <w:spacing w:before="11"/>
        <w:rPr>
          <w:sz w:val="19"/>
        </w:rPr>
      </w:pPr>
    </w:p>
    <w:p>
      <w:pPr>
        <w:pStyle w:val="ListParagraph"/>
        <w:numPr>
          <w:ilvl w:val="1"/>
          <w:numId w:val="144"/>
        </w:numPr>
        <w:tabs>
          <w:tab w:pos="2693" w:val="left" w:leader="none"/>
          <w:tab w:pos="2694" w:val="left" w:leader="none"/>
        </w:tabs>
        <w:spacing w:line="235" w:lineRule="auto" w:before="0" w:after="0"/>
        <w:ind w:left="1984" w:right="1896" w:firstLine="0"/>
        <w:jc w:val="left"/>
        <w:rPr>
          <w:sz w:val="20"/>
        </w:rPr>
      </w:pPr>
      <w:r>
        <w:rPr>
          <w:w w:val="120"/>
          <w:sz w:val="20"/>
        </w:rPr>
        <w:t>Changes have already been made in relation to the Assembly moderators. Mission Council has also agreed to recommend to Assembly that the clerk’s appointment be changed so that this will be for six years with the possibility of reappointment for a further four years. Ideally this appointment should be made two years in advance of service so that the new officer can shadow the outgoing clerk over a reasonable period, including one Assembly. It is not </w:t>
      </w:r>
      <w:r>
        <w:rPr>
          <w:spacing w:val="-3"/>
          <w:w w:val="120"/>
          <w:sz w:val="20"/>
        </w:rPr>
        <w:t>easy, however,   </w:t>
      </w:r>
      <w:r>
        <w:rPr>
          <w:w w:val="120"/>
          <w:sz w:val="20"/>
        </w:rPr>
        <w:t>to fit the terms of the general secretary and the deputy general secretary to biennial Assemblies. Their terms will therefore continue as seven years potentially renewable for a further seven years. Similarly, the terms of synod moderators will continue as seven years renewable for</w:t>
      </w:r>
      <w:r>
        <w:rPr>
          <w:spacing w:val="8"/>
          <w:w w:val="120"/>
          <w:sz w:val="20"/>
        </w:rPr>
        <w:t> </w:t>
      </w:r>
      <w:r>
        <w:rPr>
          <w:w w:val="120"/>
          <w:sz w:val="20"/>
        </w:rPr>
        <w:t>five.</w:t>
      </w:r>
    </w:p>
    <w:p>
      <w:pPr>
        <w:pStyle w:val="BodyText"/>
        <w:spacing w:before="3"/>
      </w:pPr>
    </w:p>
    <w:p>
      <w:pPr>
        <w:pStyle w:val="ListParagraph"/>
        <w:numPr>
          <w:ilvl w:val="1"/>
          <w:numId w:val="144"/>
        </w:numPr>
        <w:tabs>
          <w:tab w:pos="2693" w:val="left" w:leader="none"/>
          <w:tab w:pos="2694" w:val="left" w:leader="none"/>
        </w:tabs>
        <w:spacing w:line="235" w:lineRule="auto" w:before="0" w:after="0"/>
        <w:ind w:left="1984" w:right="1835" w:firstLine="0"/>
        <w:jc w:val="left"/>
        <w:rPr>
          <w:sz w:val="20"/>
        </w:rPr>
      </w:pPr>
      <w:r>
        <w:rPr>
          <w:w w:val="120"/>
          <w:sz w:val="20"/>
        </w:rPr>
        <w:t>In relation to the </w:t>
      </w:r>
      <w:r>
        <w:rPr>
          <w:spacing w:val="2"/>
          <w:w w:val="120"/>
          <w:sz w:val="20"/>
        </w:rPr>
        <w:t>honorary </w:t>
      </w:r>
      <w:r>
        <w:rPr>
          <w:w w:val="120"/>
          <w:sz w:val="20"/>
        </w:rPr>
        <w:t>treasurer, the present term of service of four years seems a very short timescale. Mission Council has therefore agreed that this should become a six year appointment with the possibility of renewal for a further four years. Ideally this appointment should be made in time for the treasurer to serve for one year as assistant treasurer, ie as</w:t>
      </w:r>
      <w:r>
        <w:rPr>
          <w:spacing w:val="-9"/>
          <w:w w:val="120"/>
          <w:sz w:val="20"/>
        </w:rPr>
        <w:t> </w:t>
      </w:r>
      <w:r>
        <w:rPr>
          <w:w w:val="120"/>
          <w:sz w:val="20"/>
        </w:rPr>
        <w:t>treasurer-elect.</w:t>
      </w:r>
    </w:p>
    <w:p>
      <w:pPr>
        <w:pStyle w:val="BodyText"/>
      </w:pPr>
    </w:p>
    <w:p>
      <w:pPr>
        <w:pStyle w:val="ListParagraph"/>
        <w:numPr>
          <w:ilvl w:val="1"/>
          <w:numId w:val="144"/>
        </w:numPr>
        <w:tabs>
          <w:tab w:pos="2693" w:val="left" w:leader="none"/>
          <w:tab w:pos="2694" w:val="left" w:leader="none"/>
        </w:tabs>
        <w:spacing w:line="235" w:lineRule="auto" w:before="0" w:after="0"/>
        <w:ind w:left="1984" w:right="1841" w:firstLine="0"/>
        <w:jc w:val="left"/>
        <w:rPr>
          <w:sz w:val="20"/>
        </w:rPr>
      </w:pPr>
      <w:r>
        <w:rPr>
          <w:w w:val="120"/>
          <w:sz w:val="20"/>
        </w:rPr>
        <w:t>In relation to the convener of the Assembly Arrangements Committee, Mission Council has agreed that the term of service should become six years preceded by a two year period as convener-elect, thus allowing for shadowing for two years including one Assembly, followed by service at three</w:t>
      </w:r>
      <w:r>
        <w:rPr>
          <w:spacing w:val="36"/>
          <w:w w:val="120"/>
          <w:sz w:val="20"/>
        </w:rPr>
        <w:t> </w:t>
      </w:r>
      <w:r>
        <w:rPr>
          <w:w w:val="120"/>
          <w:sz w:val="20"/>
        </w:rPr>
        <w:t>Assemblies.</w:t>
      </w:r>
    </w:p>
    <w:p>
      <w:pPr>
        <w:pStyle w:val="BodyText"/>
        <w:spacing w:before="11"/>
        <w:rPr>
          <w:sz w:val="19"/>
        </w:rPr>
      </w:pPr>
    </w:p>
    <w:p>
      <w:pPr>
        <w:pStyle w:val="ListParagraph"/>
        <w:numPr>
          <w:ilvl w:val="1"/>
          <w:numId w:val="144"/>
        </w:numPr>
        <w:tabs>
          <w:tab w:pos="2693" w:val="left" w:leader="none"/>
          <w:tab w:pos="2694" w:val="left" w:leader="none"/>
        </w:tabs>
        <w:spacing w:line="235" w:lineRule="auto" w:before="0" w:after="0"/>
        <w:ind w:left="1984" w:right="2059" w:firstLine="0"/>
        <w:jc w:val="left"/>
        <w:rPr>
          <w:sz w:val="20"/>
        </w:rPr>
      </w:pPr>
      <w:r>
        <w:rPr>
          <w:w w:val="120"/>
          <w:sz w:val="20"/>
        </w:rPr>
        <w:t>In both these cases it is recommended that the terms of the present post holders be extended to bring them in line with these new</w:t>
      </w:r>
      <w:r>
        <w:rPr>
          <w:spacing w:val="41"/>
          <w:w w:val="120"/>
          <w:sz w:val="20"/>
        </w:rPr>
        <w:t> </w:t>
      </w:r>
      <w:r>
        <w:rPr>
          <w:w w:val="120"/>
          <w:sz w:val="20"/>
        </w:rPr>
        <w:t>patterns.</w:t>
      </w:r>
    </w:p>
    <w:p>
      <w:pPr>
        <w:pStyle w:val="BodyText"/>
        <w:spacing w:before="9"/>
        <w:rPr>
          <w:sz w:val="19"/>
        </w:rPr>
      </w:pPr>
    </w:p>
    <w:p>
      <w:pPr>
        <w:pStyle w:val="ListParagraph"/>
        <w:numPr>
          <w:ilvl w:val="1"/>
          <w:numId w:val="144"/>
        </w:numPr>
        <w:tabs>
          <w:tab w:pos="2693" w:val="left" w:leader="none"/>
          <w:tab w:pos="2694" w:val="left" w:leader="none"/>
        </w:tabs>
        <w:spacing w:line="235" w:lineRule="auto" w:before="0" w:after="0"/>
        <w:ind w:left="1984" w:right="2193" w:firstLine="0"/>
        <w:jc w:val="left"/>
        <w:rPr>
          <w:sz w:val="20"/>
        </w:rPr>
      </w:pPr>
      <w:r>
        <w:rPr>
          <w:w w:val="120"/>
          <w:sz w:val="20"/>
        </w:rPr>
        <w:t>The directors of the United Reformed Church Trust are already subject to appointment on a two-yearly basis to coincide with General Assembly. For various practical reasons it is proposed that the Assembly-appointed members of the ministers’ pension trust should be appointed on the same pattern. Only one member of the board is due to retire in </w:t>
      </w:r>
      <w:r>
        <w:rPr>
          <w:spacing w:val="-9"/>
          <w:w w:val="120"/>
          <w:sz w:val="20"/>
        </w:rPr>
        <w:t>2011. </w:t>
      </w:r>
      <w:r>
        <w:rPr>
          <w:w w:val="120"/>
          <w:sz w:val="20"/>
        </w:rPr>
        <w:t>It is recommended that his appointment be extended by one</w:t>
      </w:r>
      <w:r>
        <w:rPr>
          <w:spacing w:val="13"/>
          <w:w w:val="120"/>
          <w:sz w:val="20"/>
        </w:rPr>
        <w:t> </w:t>
      </w:r>
      <w:r>
        <w:rPr>
          <w:spacing w:val="-4"/>
          <w:w w:val="120"/>
          <w:sz w:val="20"/>
        </w:rPr>
        <w:t>year.</w:t>
      </w:r>
    </w:p>
    <w:p>
      <w:pPr>
        <w:pStyle w:val="BodyText"/>
      </w:pPr>
    </w:p>
    <w:p>
      <w:pPr>
        <w:pStyle w:val="BodyText"/>
      </w:pPr>
    </w:p>
    <w:p>
      <w:pPr>
        <w:pStyle w:val="BodyText"/>
        <w:spacing w:before="1"/>
        <w:rPr>
          <w:sz w:val="21"/>
        </w:rPr>
      </w:pPr>
    </w:p>
    <w:p>
      <w:pPr>
        <w:tabs>
          <w:tab w:pos="10630" w:val="left" w:leader="none"/>
        </w:tabs>
        <w:spacing w:before="97"/>
        <w:ind w:left="468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171</w:t>
      </w:r>
    </w:p>
    <w:p>
      <w:pPr>
        <w:spacing w:after="0"/>
        <w:jc w:val="left"/>
        <w:rPr>
          <w:rFonts w:ascii="Stone Sans II ITC Std X Bd" w:hAnsi="Stone Sans II ITC Std X Bd"/>
          <w:sz w:val="24"/>
        </w:rPr>
        <w:sectPr>
          <w:headerReference w:type="default" r:id="rId460"/>
          <w:headerReference w:type="even" r:id="rId461"/>
          <w:footerReference w:type="default" r:id="rId462"/>
          <w:pgSz w:w="11910" w:h="16840"/>
          <w:pgMar w:header="0" w:footer="0" w:top="0" w:bottom="280" w:left="0" w:right="0"/>
        </w:sectPr>
      </w:pPr>
    </w:p>
    <w:p>
      <w:pPr>
        <w:pStyle w:val="ListParagraph"/>
        <w:numPr>
          <w:ilvl w:val="1"/>
          <w:numId w:val="144"/>
        </w:numPr>
        <w:tabs>
          <w:tab w:pos="1842" w:val="left" w:leader="none"/>
          <w:tab w:pos="1843" w:val="left" w:leader="none"/>
        </w:tabs>
        <w:spacing w:line="235" w:lineRule="auto" w:before="107" w:after="0"/>
        <w:ind w:left="1133" w:right="2135" w:firstLine="0"/>
        <w:jc w:val="left"/>
        <w:rPr>
          <w:sz w:val="20"/>
        </w:rPr>
      </w:pPr>
      <w:r>
        <w:rPr/>
        <w:pict>
          <v:rect style="position:absolute;margin-left:12.047pt;margin-top:8.477343pt;width:22.677pt;height:22.677pt;mso-position-horizontal-relative:page;mso-position-vertical-relative:paragraph;z-index:252198912" filled="true" fillcolor="#dae4ec" stroked="false">
            <v:fill opacity="32768f" type="solid"/>
            <w10:wrap type="none"/>
          </v:rect>
        </w:pict>
      </w:r>
      <w:r>
        <w:rPr>
          <w:w w:val="120"/>
          <w:sz w:val="20"/>
        </w:rPr>
        <w:t>One of the changes introduced under the new pattern of Assemblies is that instead of all former moderators, chairman and presidents of the respective uniting bodies and of the United Reformed Church being eligible to attend as full members, they should instead form a ‘college’ to elect two of their number to attend the next General Assembly. That process has been satisfactorily completed for this Assembly and those appointed are the Revd Elizabeth Welch and the Revd John</w:t>
      </w:r>
      <w:r>
        <w:rPr>
          <w:spacing w:val="16"/>
          <w:w w:val="120"/>
          <w:sz w:val="20"/>
        </w:rPr>
        <w:t> </w:t>
      </w:r>
      <w:r>
        <w:rPr>
          <w:spacing w:val="-3"/>
          <w:w w:val="120"/>
          <w:sz w:val="20"/>
        </w:rPr>
        <w:t>Waller.</w:t>
      </w:r>
    </w:p>
    <w:p>
      <w:pPr>
        <w:pStyle w:val="BodyText"/>
        <w:spacing w:before="10"/>
        <w:rPr>
          <w:sz w:val="17"/>
        </w:rPr>
      </w:pPr>
    </w:p>
    <w:p>
      <w:pPr>
        <w:numPr>
          <w:ilvl w:val="0"/>
          <w:numId w:val="144"/>
        </w:numPr>
        <w:tabs>
          <w:tab w:pos="1853" w:val="left" w:leader="none"/>
          <w:tab w:pos="1854" w:val="left" w:leader="none"/>
        </w:tabs>
        <w:spacing w:line="273" w:lineRule="exact" w:before="1"/>
        <w:ind w:left="1853" w:right="0" w:hanging="721"/>
        <w:jc w:val="left"/>
        <w:rPr>
          <w:rFonts w:ascii="Stone Sans II ITC Std Bk"/>
          <w:b/>
          <w:sz w:val="21"/>
        </w:rPr>
      </w:pPr>
      <w:r>
        <w:rPr>
          <w:rFonts w:ascii="Stone Sans II ITC Std Bk"/>
          <w:b/>
          <w:w w:val="115"/>
          <w:sz w:val="21"/>
        </w:rPr>
        <w:t>Clerk to General</w:t>
      </w:r>
      <w:r>
        <w:rPr>
          <w:rFonts w:ascii="Stone Sans II ITC Std Bk"/>
          <w:b/>
          <w:spacing w:val="-5"/>
          <w:w w:val="115"/>
          <w:sz w:val="21"/>
        </w:rPr>
        <w:t> </w:t>
      </w:r>
      <w:r>
        <w:rPr>
          <w:rFonts w:ascii="Stone Sans II ITC Std Bk"/>
          <w:b/>
          <w:w w:val="115"/>
          <w:sz w:val="21"/>
        </w:rPr>
        <w:t>Assembly</w:t>
      </w:r>
    </w:p>
    <w:p>
      <w:pPr>
        <w:pStyle w:val="BodyText"/>
        <w:spacing w:line="232" w:lineRule="auto"/>
        <w:ind w:left="1133" w:right="2110"/>
        <w:rPr>
          <w:rFonts w:ascii="Stone Sans II ITC Std Bk"/>
          <w:b/>
        </w:rPr>
      </w:pPr>
      <w:r>
        <w:rPr>
          <w:w w:val="120"/>
        </w:rPr>
        <w:t>The nominating group for the post of clerk to General Assembly, convened by the Revd Dr Stephen Orchard, recommends the appointment of Mrs Margaret Carrick Smith from the conclusion of Assembly 2012 to the conclusion of Assembly 2018, subject to review before the end of this period. Mrs Carrick Smith previously served in this role from 1998 to 2003. </w:t>
      </w:r>
      <w:r>
        <w:rPr>
          <w:rFonts w:ascii="Stone Sans II ITC Std Bk"/>
          <w:b/>
          <w:w w:val="120"/>
        </w:rPr>
        <w:t>Resolution 15, page 252</w:t>
      </w:r>
    </w:p>
    <w:p>
      <w:pPr>
        <w:numPr>
          <w:ilvl w:val="0"/>
          <w:numId w:val="144"/>
        </w:numPr>
        <w:tabs>
          <w:tab w:pos="1853" w:val="left" w:leader="none"/>
          <w:tab w:pos="1854" w:val="left" w:leader="none"/>
        </w:tabs>
        <w:spacing w:before="197"/>
        <w:ind w:left="1853" w:right="0" w:hanging="721"/>
        <w:jc w:val="left"/>
        <w:rPr>
          <w:rFonts w:ascii="Stone Sans II ITC Std Bk"/>
          <w:b/>
          <w:sz w:val="21"/>
        </w:rPr>
      </w:pPr>
      <w:r>
        <w:rPr>
          <w:rFonts w:ascii="Stone Sans II ITC Std Bk"/>
          <w:b/>
          <w:w w:val="115"/>
          <w:sz w:val="21"/>
        </w:rPr>
        <w:t>Assembly staff</w:t>
      </w:r>
      <w:r>
        <w:rPr>
          <w:rFonts w:ascii="Stone Sans II ITC Std Bk"/>
          <w:b/>
          <w:spacing w:val="-4"/>
          <w:w w:val="115"/>
          <w:sz w:val="21"/>
        </w:rPr>
        <w:t> </w:t>
      </w:r>
      <w:r>
        <w:rPr>
          <w:rFonts w:ascii="Stone Sans II ITC Std Bk"/>
          <w:b/>
          <w:w w:val="115"/>
          <w:sz w:val="21"/>
        </w:rPr>
        <w:t>appointments</w:t>
      </w:r>
    </w:p>
    <w:p>
      <w:pPr>
        <w:pStyle w:val="ListParagraph"/>
        <w:numPr>
          <w:ilvl w:val="1"/>
          <w:numId w:val="144"/>
        </w:numPr>
        <w:tabs>
          <w:tab w:pos="1842" w:val="left" w:leader="none"/>
          <w:tab w:pos="1843" w:val="left" w:leader="none"/>
        </w:tabs>
        <w:spacing w:line="235" w:lineRule="auto" w:before="222" w:after="0"/>
        <w:ind w:left="1133" w:right="2801" w:firstLine="0"/>
        <w:jc w:val="left"/>
        <w:rPr>
          <w:sz w:val="20"/>
        </w:rPr>
      </w:pPr>
      <w:r>
        <w:rPr>
          <w:w w:val="120"/>
          <w:sz w:val="20"/>
        </w:rPr>
        <w:t>Staff</w:t>
      </w:r>
      <w:r>
        <w:rPr>
          <w:spacing w:val="-4"/>
          <w:w w:val="120"/>
          <w:sz w:val="20"/>
        </w:rPr>
        <w:t> </w:t>
      </w:r>
      <w:r>
        <w:rPr>
          <w:w w:val="120"/>
          <w:sz w:val="20"/>
        </w:rPr>
        <w:t>appointments,</w:t>
      </w:r>
      <w:r>
        <w:rPr>
          <w:spacing w:val="-4"/>
          <w:w w:val="120"/>
          <w:sz w:val="20"/>
        </w:rPr>
        <w:t> </w:t>
      </w:r>
      <w:r>
        <w:rPr>
          <w:w w:val="120"/>
          <w:sz w:val="20"/>
        </w:rPr>
        <w:t>such</w:t>
      </w:r>
      <w:r>
        <w:rPr>
          <w:spacing w:val="-4"/>
          <w:w w:val="120"/>
          <w:sz w:val="20"/>
        </w:rPr>
        <w:t> </w:t>
      </w:r>
      <w:r>
        <w:rPr>
          <w:w w:val="120"/>
          <w:sz w:val="20"/>
        </w:rPr>
        <w:t>as</w:t>
      </w:r>
      <w:r>
        <w:rPr>
          <w:spacing w:val="-4"/>
          <w:w w:val="120"/>
          <w:sz w:val="20"/>
        </w:rPr>
        <w:t> </w:t>
      </w:r>
      <w:r>
        <w:rPr>
          <w:w w:val="120"/>
          <w:sz w:val="20"/>
        </w:rPr>
        <w:t>staff</w:t>
      </w:r>
      <w:r>
        <w:rPr>
          <w:spacing w:val="-3"/>
          <w:w w:val="120"/>
          <w:sz w:val="20"/>
        </w:rPr>
        <w:t> </w:t>
      </w:r>
      <w:r>
        <w:rPr>
          <w:w w:val="120"/>
          <w:sz w:val="20"/>
        </w:rPr>
        <w:t>secretaries,</w:t>
      </w:r>
      <w:r>
        <w:rPr>
          <w:spacing w:val="-4"/>
          <w:w w:val="120"/>
          <w:sz w:val="20"/>
        </w:rPr>
        <w:t> </w:t>
      </w:r>
      <w:r>
        <w:rPr>
          <w:w w:val="120"/>
          <w:sz w:val="20"/>
        </w:rPr>
        <w:t>made</w:t>
      </w:r>
      <w:r>
        <w:rPr>
          <w:spacing w:val="-4"/>
          <w:w w:val="120"/>
          <w:sz w:val="20"/>
        </w:rPr>
        <w:t> </w:t>
      </w:r>
      <w:r>
        <w:rPr>
          <w:w w:val="120"/>
          <w:sz w:val="20"/>
        </w:rPr>
        <w:t>in</w:t>
      </w:r>
      <w:r>
        <w:rPr>
          <w:spacing w:val="-4"/>
          <w:w w:val="120"/>
          <w:sz w:val="20"/>
        </w:rPr>
        <w:t> </w:t>
      </w:r>
      <w:r>
        <w:rPr>
          <w:w w:val="120"/>
          <w:sz w:val="20"/>
        </w:rPr>
        <w:t>the</w:t>
      </w:r>
      <w:r>
        <w:rPr>
          <w:spacing w:val="-4"/>
          <w:w w:val="120"/>
          <w:sz w:val="20"/>
        </w:rPr>
        <w:t> </w:t>
      </w:r>
      <w:r>
        <w:rPr>
          <w:w w:val="120"/>
          <w:sz w:val="20"/>
        </w:rPr>
        <w:t>name</w:t>
      </w:r>
      <w:r>
        <w:rPr>
          <w:spacing w:val="-3"/>
          <w:w w:val="120"/>
          <w:sz w:val="20"/>
        </w:rPr>
        <w:t> </w:t>
      </w:r>
      <w:r>
        <w:rPr>
          <w:w w:val="120"/>
          <w:sz w:val="20"/>
        </w:rPr>
        <w:t>of</w:t>
      </w:r>
      <w:r>
        <w:rPr>
          <w:spacing w:val="-4"/>
          <w:w w:val="120"/>
          <w:sz w:val="20"/>
        </w:rPr>
        <w:t> </w:t>
      </w:r>
      <w:r>
        <w:rPr>
          <w:w w:val="120"/>
          <w:sz w:val="20"/>
        </w:rPr>
        <w:t>General Assembly, currently go through a process which involves the following</w:t>
      </w:r>
      <w:r>
        <w:rPr>
          <w:spacing w:val="53"/>
          <w:w w:val="120"/>
          <w:sz w:val="20"/>
        </w:rPr>
        <w:t> </w:t>
      </w:r>
      <w:r>
        <w:rPr>
          <w:w w:val="120"/>
          <w:sz w:val="20"/>
        </w:rPr>
        <w:t>steps:</w:t>
      </w:r>
    </w:p>
    <w:p>
      <w:pPr>
        <w:pStyle w:val="ListParagraph"/>
        <w:numPr>
          <w:ilvl w:val="0"/>
          <w:numId w:val="145"/>
        </w:numPr>
        <w:tabs>
          <w:tab w:pos="1814" w:val="left" w:leader="none"/>
          <w:tab w:pos="1815" w:val="left" w:leader="none"/>
        </w:tabs>
        <w:spacing w:line="240" w:lineRule="exact" w:before="0" w:after="0"/>
        <w:ind w:left="1814" w:right="0" w:hanging="682"/>
        <w:jc w:val="left"/>
        <w:rPr>
          <w:sz w:val="20"/>
        </w:rPr>
      </w:pPr>
      <w:r>
        <w:rPr>
          <w:w w:val="120"/>
          <w:sz w:val="20"/>
        </w:rPr>
        <w:t>The staffing advisory group reviews the existing post or advises on a new</w:t>
      </w:r>
      <w:r>
        <w:rPr>
          <w:spacing w:val="40"/>
          <w:w w:val="120"/>
          <w:sz w:val="20"/>
        </w:rPr>
        <w:t> </w:t>
      </w:r>
      <w:r>
        <w:rPr>
          <w:w w:val="120"/>
          <w:sz w:val="20"/>
        </w:rPr>
        <w:t>post;</w:t>
      </w:r>
    </w:p>
    <w:p>
      <w:pPr>
        <w:pStyle w:val="ListParagraph"/>
        <w:numPr>
          <w:ilvl w:val="0"/>
          <w:numId w:val="145"/>
        </w:numPr>
        <w:tabs>
          <w:tab w:pos="1814" w:val="left" w:leader="none"/>
          <w:tab w:pos="1815" w:val="left" w:leader="none"/>
        </w:tabs>
        <w:spacing w:line="235" w:lineRule="auto" w:before="2" w:after="0"/>
        <w:ind w:left="1814" w:right="2035" w:hanging="681"/>
        <w:jc w:val="left"/>
        <w:rPr>
          <w:sz w:val="20"/>
        </w:rPr>
      </w:pPr>
      <w:r>
        <w:rPr>
          <w:w w:val="120"/>
          <w:sz w:val="20"/>
        </w:rPr>
        <w:t>General Assembly </w:t>
      </w:r>
      <w:r>
        <w:rPr>
          <w:spacing w:val="-6"/>
          <w:w w:val="120"/>
          <w:sz w:val="20"/>
        </w:rPr>
        <w:t>(or </w:t>
      </w:r>
      <w:r>
        <w:rPr>
          <w:w w:val="120"/>
          <w:sz w:val="20"/>
        </w:rPr>
        <w:t>Mission Council acting on behalf of Assembly) agrees to the post continuing or being</w:t>
      </w:r>
      <w:r>
        <w:rPr>
          <w:spacing w:val="11"/>
          <w:w w:val="120"/>
          <w:sz w:val="20"/>
        </w:rPr>
        <w:t> </w:t>
      </w:r>
      <w:r>
        <w:rPr>
          <w:w w:val="120"/>
          <w:sz w:val="20"/>
        </w:rPr>
        <w:t>established;</w:t>
      </w:r>
    </w:p>
    <w:p>
      <w:pPr>
        <w:pStyle w:val="ListParagraph"/>
        <w:numPr>
          <w:ilvl w:val="0"/>
          <w:numId w:val="145"/>
        </w:numPr>
        <w:tabs>
          <w:tab w:pos="1814" w:val="left" w:leader="none"/>
          <w:tab w:pos="1815" w:val="left" w:leader="none"/>
        </w:tabs>
        <w:spacing w:line="240" w:lineRule="exact" w:before="0" w:after="0"/>
        <w:ind w:left="1814" w:right="0" w:hanging="682"/>
        <w:jc w:val="left"/>
        <w:rPr>
          <w:sz w:val="20"/>
        </w:rPr>
      </w:pPr>
      <w:r>
        <w:rPr>
          <w:w w:val="120"/>
          <w:sz w:val="20"/>
        </w:rPr>
        <w:t>a nominating group is appointed by Nominations</w:t>
      </w:r>
      <w:r>
        <w:rPr>
          <w:spacing w:val="20"/>
          <w:w w:val="120"/>
          <w:sz w:val="20"/>
        </w:rPr>
        <w:t> </w:t>
      </w:r>
      <w:r>
        <w:rPr>
          <w:w w:val="120"/>
          <w:sz w:val="20"/>
        </w:rPr>
        <w:t>Committee;</w:t>
      </w:r>
    </w:p>
    <w:p>
      <w:pPr>
        <w:pStyle w:val="ListParagraph"/>
        <w:numPr>
          <w:ilvl w:val="0"/>
          <w:numId w:val="145"/>
        </w:numPr>
        <w:tabs>
          <w:tab w:pos="1814" w:val="left" w:leader="none"/>
          <w:tab w:pos="1815" w:val="left" w:leader="none"/>
        </w:tabs>
        <w:spacing w:line="235" w:lineRule="auto" w:before="2" w:after="0"/>
        <w:ind w:left="1814" w:right="2329" w:hanging="681"/>
        <w:jc w:val="left"/>
        <w:rPr>
          <w:sz w:val="20"/>
        </w:rPr>
      </w:pPr>
      <w:r>
        <w:rPr>
          <w:w w:val="120"/>
          <w:sz w:val="20"/>
        </w:rPr>
        <w:t>the nominating group </w:t>
      </w:r>
      <w:r>
        <w:rPr>
          <w:spacing w:val="2"/>
          <w:w w:val="120"/>
          <w:sz w:val="20"/>
        </w:rPr>
        <w:t>reports </w:t>
      </w:r>
      <w:r>
        <w:rPr>
          <w:w w:val="120"/>
          <w:sz w:val="20"/>
        </w:rPr>
        <w:t>its recommendation to Nominations Committee which brings the name to Mission Council or General Assembly, which then resolves to</w:t>
      </w:r>
      <w:r>
        <w:rPr>
          <w:spacing w:val="3"/>
          <w:w w:val="120"/>
          <w:sz w:val="20"/>
        </w:rPr>
        <w:t> </w:t>
      </w:r>
      <w:r>
        <w:rPr>
          <w:w w:val="120"/>
          <w:sz w:val="20"/>
        </w:rPr>
        <w:t>appoint.</w:t>
      </w:r>
    </w:p>
    <w:p>
      <w:pPr>
        <w:pStyle w:val="BodyText"/>
        <w:spacing w:line="235" w:lineRule="auto" w:before="2"/>
        <w:ind w:left="1133" w:right="2735"/>
      </w:pPr>
      <w:r>
        <w:rPr>
          <w:w w:val="120"/>
        </w:rPr>
        <w:t>However, the time taken under (d) for an appointment to be ratified by a council of the church has led to difficulties and delays in confirming appointments.</w:t>
      </w:r>
    </w:p>
    <w:p>
      <w:pPr>
        <w:pStyle w:val="BodyText"/>
        <w:spacing w:line="232" w:lineRule="auto" w:before="3"/>
        <w:ind w:left="1133" w:right="2573"/>
        <w:rPr>
          <w:rFonts w:ascii="Stone Sans II ITC Std Bk"/>
          <w:b/>
        </w:rPr>
      </w:pPr>
      <w:r>
        <w:rPr>
          <w:w w:val="120"/>
        </w:rPr>
        <w:t>Mission Council has therefore agreed to recommend to General Assembly that the responsibility for making such appointments should be delegated to the appointing groups themselves. This should ensure that appointing groups have authority to negotiate and complete appointments. </w:t>
      </w:r>
      <w:r>
        <w:rPr>
          <w:rFonts w:ascii="Stone Sans II ITC Std Bk"/>
          <w:b/>
          <w:w w:val="120"/>
        </w:rPr>
        <w:t>Resolution 16, page 252</w:t>
      </w:r>
    </w:p>
    <w:p>
      <w:pPr>
        <w:numPr>
          <w:ilvl w:val="1"/>
          <w:numId w:val="144"/>
        </w:numPr>
        <w:tabs>
          <w:tab w:pos="1842" w:val="left" w:leader="none"/>
          <w:tab w:pos="1843" w:val="left" w:leader="none"/>
        </w:tabs>
        <w:spacing w:line="261" w:lineRule="exact" w:before="209"/>
        <w:ind w:left="1842" w:right="0" w:hanging="710"/>
        <w:jc w:val="left"/>
        <w:rPr>
          <w:rFonts w:ascii="Stone Sans II ITC Std Bk"/>
          <w:b/>
          <w:sz w:val="20"/>
        </w:rPr>
      </w:pPr>
      <w:r>
        <w:rPr>
          <w:rFonts w:ascii="Stone Sans II ITC Std Bk"/>
          <w:b/>
          <w:w w:val="110"/>
          <w:sz w:val="20"/>
        </w:rPr>
        <w:t>Mersey synod</w:t>
      </w:r>
      <w:r>
        <w:rPr>
          <w:rFonts w:ascii="Stone Sans II ITC Std Bk"/>
          <w:b/>
          <w:spacing w:val="-1"/>
          <w:w w:val="110"/>
          <w:sz w:val="20"/>
        </w:rPr>
        <w:t> </w:t>
      </w:r>
      <w:r>
        <w:rPr>
          <w:rFonts w:ascii="Stone Sans II ITC Std Bk"/>
          <w:b/>
          <w:w w:val="110"/>
          <w:sz w:val="20"/>
        </w:rPr>
        <w:t>moderator</w:t>
      </w:r>
    </w:p>
    <w:p>
      <w:pPr>
        <w:pStyle w:val="BodyText"/>
        <w:spacing w:line="230" w:lineRule="auto"/>
        <w:ind w:left="1133" w:right="1997"/>
        <w:rPr>
          <w:rFonts w:ascii="Stone Sans II ITC Std Bk"/>
          <w:b/>
        </w:rPr>
      </w:pPr>
      <w:r>
        <w:rPr>
          <w:w w:val="120"/>
        </w:rPr>
        <w:t>The review group for the post of moderator of the Mersey synod, convened by the Revd Nanette Lewis-Head, recommends the reappointment of the Revd Howard Sharp for a further term from 1 February 2011 to 30 June 2014. </w:t>
      </w:r>
      <w:r>
        <w:rPr>
          <w:rFonts w:ascii="Stone Sans II ITC Std Bk"/>
          <w:b/>
          <w:w w:val="120"/>
        </w:rPr>
        <w:t>Resolution 17, page 253</w:t>
      </w:r>
    </w:p>
    <w:p>
      <w:pPr>
        <w:numPr>
          <w:ilvl w:val="1"/>
          <w:numId w:val="144"/>
        </w:numPr>
        <w:tabs>
          <w:tab w:pos="1842" w:val="left" w:leader="none"/>
          <w:tab w:pos="1843" w:val="left" w:leader="none"/>
        </w:tabs>
        <w:spacing w:line="261" w:lineRule="exact" w:before="210"/>
        <w:ind w:left="1842" w:right="0" w:hanging="710"/>
        <w:jc w:val="left"/>
        <w:rPr>
          <w:rFonts w:ascii="Stone Sans II ITC Std Bk"/>
          <w:b/>
          <w:sz w:val="20"/>
        </w:rPr>
      </w:pPr>
      <w:r>
        <w:rPr>
          <w:rFonts w:ascii="Stone Sans II ITC Std Bk"/>
          <w:b/>
          <w:w w:val="110"/>
          <w:sz w:val="20"/>
        </w:rPr>
        <w:t>Director of Old Testament Studies, Westminster</w:t>
      </w:r>
      <w:r>
        <w:rPr>
          <w:rFonts w:ascii="Stone Sans II ITC Std Bk"/>
          <w:b/>
          <w:spacing w:val="-2"/>
          <w:w w:val="110"/>
          <w:sz w:val="20"/>
        </w:rPr>
        <w:t> </w:t>
      </w:r>
      <w:r>
        <w:rPr>
          <w:rFonts w:ascii="Stone Sans II ITC Std Bk"/>
          <w:b/>
          <w:w w:val="110"/>
          <w:sz w:val="20"/>
        </w:rPr>
        <w:t>college</w:t>
      </w:r>
    </w:p>
    <w:p>
      <w:pPr>
        <w:pStyle w:val="BodyText"/>
        <w:spacing w:line="235" w:lineRule="auto"/>
        <w:ind w:left="1133" w:right="1997"/>
      </w:pPr>
      <w:r>
        <w:rPr>
          <w:w w:val="120"/>
        </w:rPr>
        <w:t>The review group for the post of director of Old Testament Studies at Westminster college, Cambridge, convened by Professor Sir Anthony Bottoms, recommends the reappointment of the Revd Dr Janet Tollington until she reaches retirement age.</w:t>
      </w:r>
    </w:p>
    <w:p>
      <w:pPr>
        <w:spacing w:line="256" w:lineRule="exact" w:before="0"/>
        <w:ind w:left="1133" w:right="0" w:firstLine="0"/>
        <w:jc w:val="left"/>
        <w:rPr>
          <w:rFonts w:ascii="Stone Sans II ITC Std Bk"/>
          <w:b/>
          <w:sz w:val="20"/>
        </w:rPr>
      </w:pPr>
      <w:r>
        <w:rPr>
          <w:rFonts w:ascii="Stone Sans II ITC Std Bk"/>
          <w:b/>
          <w:w w:val="110"/>
          <w:sz w:val="20"/>
        </w:rPr>
        <w:t>Resolution 18, page 253</w:t>
      </w:r>
    </w:p>
    <w:p>
      <w:pPr>
        <w:pStyle w:val="ListParagraph"/>
        <w:numPr>
          <w:ilvl w:val="0"/>
          <w:numId w:val="144"/>
        </w:numPr>
        <w:tabs>
          <w:tab w:pos="1853" w:val="left" w:leader="none"/>
          <w:tab w:pos="1854" w:val="left" w:leader="none"/>
        </w:tabs>
        <w:spacing w:line="240" w:lineRule="auto" w:before="195" w:after="0"/>
        <w:ind w:left="1853" w:right="0" w:hanging="721"/>
        <w:jc w:val="left"/>
        <w:rPr>
          <w:rFonts w:ascii="Stone Sans II ITC Std Bk"/>
          <w:b/>
          <w:sz w:val="21"/>
        </w:rPr>
      </w:pPr>
      <w:r>
        <w:rPr>
          <w:rFonts w:ascii="Stone Sans II ITC Std Bk"/>
          <w:b/>
          <w:w w:val="115"/>
          <w:sz w:val="21"/>
        </w:rPr>
        <w:t>The United Reformed Church</w:t>
      </w:r>
      <w:r>
        <w:rPr>
          <w:rFonts w:ascii="Stone Sans II ITC Std Bk"/>
          <w:b/>
          <w:spacing w:val="-7"/>
          <w:w w:val="115"/>
          <w:sz w:val="21"/>
        </w:rPr>
        <w:t> </w:t>
      </w:r>
      <w:r>
        <w:rPr>
          <w:rFonts w:ascii="Stone Sans II ITC Std Bk"/>
          <w:b/>
          <w:spacing w:val="-3"/>
          <w:w w:val="115"/>
          <w:sz w:val="21"/>
        </w:rPr>
        <w:t>Trust</w:t>
      </w:r>
    </w:p>
    <w:p>
      <w:pPr>
        <w:pStyle w:val="ListParagraph"/>
        <w:numPr>
          <w:ilvl w:val="1"/>
          <w:numId w:val="144"/>
        </w:numPr>
        <w:tabs>
          <w:tab w:pos="1842" w:val="left" w:leader="none"/>
          <w:tab w:pos="1843" w:val="left" w:leader="none"/>
        </w:tabs>
        <w:spacing w:line="235" w:lineRule="auto" w:before="223" w:after="0"/>
        <w:ind w:left="1133" w:right="2106" w:firstLine="0"/>
        <w:jc w:val="left"/>
        <w:rPr>
          <w:sz w:val="20"/>
        </w:rPr>
      </w:pPr>
      <w:r>
        <w:rPr>
          <w:w w:val="120"/>
          <w:sz w:val="20"/>
        </w:rPr>
        <w:t>This is the first year in which some of the members of the URC Trust have been due to complete their terms of service. The relevant procedures for the appointment of new directors, including the provision of references, have been followed in consultation with the present board, and the proposed membership is listed in the main section of this</w:t>
      </w:r>
      <w:r>
        <w:rPr>
          <w:spacing w:val="2"/>
          <w:w w:val="120"/>
          <w:sz w:val="20"/>
        </w:rPr>
        <w:t> </w:t>
      </w:r>
      <w:r>
        <w:rPr>
          <w:w w:val="120"/>
          <w:sz w:val="20"/>
        </w:rPr>
        <w:t>report.</w:t>
      </w:r>
    </w:p>
    <w:p>
      <w:pPr>
        <w:pStyle w:val="ListParagraph"/>
        <w:numPr>
          <w:ilvl w:val="1"/>
          <w:numId w:val="144"/>
        </w:numPr>
        <w:tabs>
          <w:tab w:pos="1842" w:val="left" w:leader="none"/>
          <w:tab w:pos="1843" w:val="left" w:leader="none"/>
        </w:tabs>
        <w:spacing w:line="235" w:lineRule="auto" w:before="123" w:after="0"/>
        <w:ind w:left="1133" w:right="2508" w:firstLine="0"/>
        <w:jc w:val="left"/>
        <w:rPr>
          <w:sz w:val="20"/>
        </w:rPr>
      </w:pPr>
      <w:r>
        <w:rPr>
          <w:w w:val="120"/>
          <w:sz w:val="20"/>
        </w:rPr>
        <w:t>Because of changes to the constitution of the trust, the governing document agreed by General Assembly in 2007 is being</w:t>
      </w:r>
      <w:r>
        <w:rPr>
          <w:spacing w:val="26"/>
          <w:w w:val="120"/>
          <w:sz w:val="20"/>
        </w:rPr>
        <w:t> </w:t>
      </w:r>
      <w:r>
        <w:rPr>
          <w:w w:val="120"/>
          <w:sz w:val="20"/>
        </w:rPr>
        <w:t>revised.</w:t>
      </w:r>
    </w:p>
    <w:p>
      <w:pPr>
        <w:pStyle w:val="BodyText"/>
        <w:spacing w:before="10"/>
        <w:rPr>
          <w:sz w:val="19"/>
        </w:rPr>
      </w:pPr>
    </w:p>
    <w:p>
      <w:pPr>
        <w:pStyle w:val="ListParagraph"/>
        <w:numPr>
          <w:ilvl w:val="1"/>
          <w:numId w:val="144"/>
        </w:numPr>
        <w:tabs>
          <w:tab w:pos="1842" w:val="left" w:leader="none"/>
          <w:tab w:pos="1843" w:val="left" w:leader="none"/>
        </w:tabs>
        <w:spacing w:line="235" w:lineRule="auto" w:before="0" w:after="0"/>
        <w:ind w:left="1133" w:right="2383" w:firstLine="0"/>
        <w:jc w:val="left"/>
        <w:rPr>
          <w:sz w:val="20"/>
        </w:rPr>
      </w:pPr>
      <w:r>
        <w:rPr>
          <w:w w:val="120"/>
          <w:sz w:val="20"/>
        </w:rPr>
        <w:t>There is one vacancy for a young person with relevant skills and experience to join the board, and a suitable candidate is being</w:t>
      </w:r>
      <w:r>
        <w:rPr>
          <w:spacing w:val="28"/>
          <w:w w:val="120"/>
          <w:sz w:val="20"/>
        </w:rPr>
        <w:t> </w:t>
      </w:r>
      <w:r>
        <w:rPr>
          <w:w w:val="120"/>
          <w:sz w:val="20"/>
        </w:rPr>
        <w:t>sought.</w:t>
      </w:r>
    </w:p>
    <w:p>
      <w:pPr>
        <w:spacing w:after="0" w:line="235" w:lineRule="auto"/>
        <w:jc w:val="left"/>
        <w:rPr>
          <w:sz w:val="20"/>
        </w:rPr>
        <w:sectPr>
          <w:headerReference w:type="even" r:id="rId465"/>
          <w:headerReference w:type="default" r:id="rId466"/>
          <w:footerReference w:type="even" r:id="rId467"/>
          <w:footerReference w:type="default" r:id="rId468"/>
          <w:pgSz w:w="11910" w:h="16840"/>
          <w:pgMar w:header="0" w:footer="647" w:top="1060" w:bottom="840" w:left="0" w:right="0"/>
        </w:sectPr>
      </w:pPr>
    </w:p>
    <w:p>
      <w:pPr>
        <w:numPr>
          <w:ilvl w:val="0"/>
          <w:numId w:val="144"/>
        </w:numPr>
        <w:tabs>
          <w:tab w:pos="2704" w:val="left" w:leader="none"/>
          <w:tab w:pos="2705" w:val="left" w:leader="none"/>
        </w:tabs>
        <w:spacing w:before="84"/>
        <w:ind w:left="2704" w:right="0" w:hanging="721"/>
        <w:jc w:val="left"/>
        <w:rPr>
          <w:rFonts w:ascii="Stone Sans II ITC Std Bk"/>
          <w:b/>
          <w:sz w:val="21"/>
        </w:rPr>
      </w:pPr>
      <w:r>
        <w:rPr/>
        <w:pict>
          <v:rect style="position:absolute;margin-left:558.424988pt;margin-top:8.464773pt;width:22.677pt;height:22.677pt;mso-position-horizontal-relative:page;mso-position-vertical-relative:paragraph;z-index:252199936" filled="true" fillcolor="#dae4ec" stroked="false">
            <v:fill opacity="32768f" type="solid"/>
            <w10:wrap type="none"/>
          </v:rect>
        </w:pict>
      </w:r>
      <w:r>
        <w:rPr>
          <w:rFonts w:ascii="Stone Sans II ITC Std Bk"/>
          <w:b/>
          <w:w w:val="115"/>
          <w:sz w:val="21"/>
        </w:rPr>
        <w:t>Monitoring</w:t>
      </w:r>
    </w:p>
    <w:p>
      <w:pPr>
        <w:pStyle w:val="ListParagraph"/>
        <w:numPr>
          <w:ilvl w:val="1"/>
          <w:numId w:val="144"/>
        </w:numPr>
        <w:tabs>
          <w:tab w:pos="2693" w:val="left" w:leader="none"/>
          <w:tab w:pos="2694" w:val="left" w:leader="none"/>
        </w:tabs>
        <w:spacing w:line="235" w:lineRule="auto" w:before="223" w:after="0"/>
        <w:ind w:left="1984" w:right="1134" w:firstLine="0"/>
        <w:jc w:val="left"/>
        <w:rPr>
          <w:sz w:val="20"/>
        </w:rPr>
      </w:pPr>
      <w:r>
        <w:rPr>
          <w:w w:val="120"/>
          <w:sz w:val="20"/>
        </w:rPr>
        <w:t>Monitoring of the composition of committees and of responses from those invited to serve is now a routine </w:t>
      </w:r>
      <w:r>
        <w:rPr>
          <w:spacing w:val="2"/>
          <w:w w:val="120"/>
          <w:sz w:val="20"/>
        </w:rPr>
        <w:t>part </w:t>
      </w:r>
      <w:r>
        <w:rPr>
          <w:w w:val="120"/>
          <w:sz w:val="20"/>
        </w:rPr>
        <w:t>of the committee’s work. That could be described as a process of assessment and comparison. More actively, every </w:t>
      </w:r>
      <w:r>
        <w:rPr>
          <w:spacing w:val="2"/>
          <w:w w:val="120"/>
          <w:sz w:val="20"/>
        </w:rPr>
        <w:t>effort </w:t>
      </w:r>
      <w:r>
        <w:rPr>
          <w:w w:val="120"/>
          <w:sz w:val="20"/>
        </w:rPr>
        <w:t>continues to be made to achieve balance as names are considered for all committee vacancies. That </w:t>
      </w:r>
      <w:r>
        <w:rPr>
          <w:spacing w:val="2"/>
          <w:w w:val="120"/>
          <w:sz w:val="20"/>
        </w:rPr>
        <w:t>part</w:t>
      </w:r>
      <w:r>
        <w:rPr>
          <w:spacing w:val="-2"/>
          <w:w w:val="120"/>
          <w:sz w:val="20"/>
        </w:rPr>
        <w:t> </w:t>
      </w:r>
      <w:r>
        <w:rPr>
          <w:w w:val="120"/>
          <w:sz w:val="20"/>
        </w:rPr>
        <w:t>of</w:t>
      </w:r>
    </w:p>
    <w:p>
      <w:pPr>
        <w:pStyle w:val="BodyText"/>
        <w:spacing w:line="235" w:lineRule="auto" w:before="3"/>
        <w:ind w:left="1984" w:right="1466"/>
      </w:pPr>
      <w:r>
        <w:rPr>
          <w:w w:val="120"/>
        </w:rPr>
        <w:t>the process, of course, has to be in conjunction with finding the best available people for each situation. The committee regularly consults with the Equal Opportunities Committee and the secretary for Racial Justice and Multicultural Ministry.</w:t>
      </w:r>
    </w:p>
    <w:p>
      <w:pPr>
        <w:pStyle w:val="BodyText"/>
        <w:spacing w:before="10"/>
        <w:rPr>
          <w:sz w:val="19"/>
        </w:rPr>
      </w:pPr>
    </w:p>
    <w:p>
      <w:pPr>
        <w:pStyle w:val="ListParagraph"/>
        <w:numPr>
          <w:ilvl w:val="1"/>
          <w:numId w:val="144"/>
        </w:numPr>
        <w:tabs>
          <w:tab w:pos="2693" w:val="left" w:leader="none"/>
          <w:tab w:pos="2694" w:val="left" w:leader="none"/>
        </w:tabs>
        <w:spacing w:line="235" w:lineRule="auto" w:before="0" w:after="0"/>
        <w:ind w:left="1984" w:right="1351" w:firstLine="0"/>
        <w:jc w:val="left"/>
        <w:rPr>
          <w:sz w:val="20"/>
        </w:rPr>
      </w:pPr>
      <w:r>
        <w:rPr>
          <w:w w:val="120"/>
          <w:sz w:val="20"/>
        </w:rPr>
        <w:t>When people are invited to serve, they are also sent a response form on which they can indicate, among other things, any reasons which influenced their decision to accept or decline. The return of these forms over the past year has been an impressive 84%. These immediately show very large variations year on </w:t>
      </w:r>
      <w:r>
        <w:rPr>
          <w:spacing w:val="-4"/>
          <w:w w:val="120"/>
          <w:sz w:val="20"/>
        </w:rPr>
        <w:t>year, </w:t>
      </w:r>
      <w:r>
        <w:rPr>
          <w:w w:val="120"/>
          <w:sz w:val="20"/>
        </w:rPr>
        <w:t>which is no doubt partly due to the relatively low numbers involved statistically. Spread over the next five years (from the base year of 2008) some trends may be identifiable. However, some observations can be made</w:t>
      </w:r>
      <w:r>
        <w:rPr>
          <w:spacing w:val="8"/>
          <w:w w:val="120"/>
          <w:sz w:val="20"/>
        </w:rPr>
        <w:t> </w:t>
      </w:r>
      <w:r>
        <w:rPr>
          <w:w w:val="120"/>
          <w:sz w:val="20"/>
        </w:rPr>
        <w:t>now:</w:t>
      </w:r>
    </w:p>
    <w:p>
      <w:pPr>
        <w:pStyle w:val="ListParagraph"/>
        <w:numPr>
          <w:ilvl w:val="2"/>
          <w:numId w:val="144"/>
        </w:numPr>
        <w:tabs>
          <w:tab w:pos="2664" w:val="left" w:leader="none"/>
          <w:tab w:pos="2665" w:val="left" w:leader="none"/>
        </w:tabs>
        <w:spacing w:line="252" w:lineRule="exact" w:before="0" w:after="0"/>
        <w:ind w:left="2664" w:right="0" w:hanging="681"/>
        <w:jc w:val="left"/>
        <w:rPr>
          <w:sz w:val="20"/>
        </w:rPr>
      </w:pPr>
      <w:r>
        <w:rPr>
          <w:w w:val="120"/>
          <w:sz w:val="20"/>
        </w:rPr>
        <w:t>some 20% of invitations are</w:t>
      </w:r>
      <w:r>
        <w:rPr>
          <w:spacing w:val="11"/>
          <w:w w:val="120"/>
          <w:sz w:val="20"/>
        </w:rPr>
        <w:t> </w:t>
      </w:r>
      <w:r>
        <w:rPr>
          <w:w w:val="120"/>
          <w:sz w:val="20"/>
        </w:rPr>
        <w:t>declined;</w:t>
      </w:r>
    </w:p>
    <w:p>
      <w:pPr>
        <w:pStyle w:val="ListParagraph"/>
        <w:numPr>
          <w:ilvl w:val="2"/>
          <w:numId w:val="144"/>
        </w:numPr>
        <w:tabs>
          <w:tab w:pos="2664" w:val="left" w:leader="none"/>
          <w:tab w:pos="2665" w:val="left" w:leader="none"/>
        </w:tabs>
        <w:spacing w:line="240" w:lineRule="exact" w:before="0" w:after="0"/>
        <w:ind w:left="2664" w:right="0" w:hanging="681"/>
        <w:jc w:val="left"/>
        <w:rPr>
          <w:sz w:val="20"/>
        </w:rPr>
      </w:pPr>
      <w:r>
        <w:rPr>
          <w:w w:val="120"/>
          <w:sz w:val="20"/>
        </w:rPr>
        <w:t>refusals seem to be spread relatively evenly across the</w:t>
      </w:r>
      <w:r>
        <w:rPr>
          <w:spacing w:val="10"/>
          <w:w w:val="120"/>
          <w:sz w:val="20"/>
        </w:rPr>
        <w:t> </w:t>
      </w:r>
      <w:r>
        <w:rPr>
          <w:w w:val="120"/>
          <w:sz w:val="20"/>
        </w:rPr>
        <w:t>categories;</w:t>
      </w:r>
    </w:p>
    <w:p>
      <w:pPr>
        <w:pStyle w:val="ListParagraph"/>
        <w:numPr>
          <w:ilvl w:val="2"/>
          <w:numId w:val="144"/>
        </w:numPr>
        <w:tabs>
          <w:tab w:pos="2664" w:val="left" w:leader="none"/>
          <w:tab w:pos="2665" w:val="left" w:leader="none"/>
        </w:tabs>
        <w:spacing w:line="196" w:lineRule="auto" w:before="0" w:after="0"/>
        <w:ind w:left="2664" w:right="1360" w:hanging="681"/>
        <w:jc w:val="left"/>
        <w:rPr>
          <w:sz w:val="20"/>
        </w:rPr>
      </w:pPr>
      <w:r>
        <w:rPr>
          <w:w w:val="120"/>
          <w:sz w:val="20"/>
        </w:rPr>
        <w:t>the age profile of those serving is not as young as we would wish, but inevitably reflects people’s</w:t>
      </w:r>
      <w:r>
        <w:rPr>
          <w:spacing w:val="3"/>
          <w:w w:val="120"/>
          <w:sz w:val="20"/>
        </w:rPr>
        <w:t> </w:t>
      </w:r>
      <w:r>
        <w:rPr>
          <w:w w:val="120"/>
          <w:sz w:val="20"/>
        </w:rPr>
        <w:t>availability;</w:t>
      </w:r>
    </w:p>
    <w:p>
      <w:pPr>
        <w:pStyle w:val="ListParagraph"/>
        <w:numPr>
          <w:ilvl w:val="2"/>
          <w:numId w:val="144"/>
        </w:numPr>
        <w:tabs>
          <w:tab w:pos="2664" w:val="left" w:leader="none"/>
          <w:tab w:pos="2665" w:val="left" w:leader="none"/>
        </w:tabs>
        <w:spacing w:line="216" w:lineRule="auto" w:before="0" w:after="0"/>
        <w:ind w:left="2664" w:right="1200" w:hanging="681"/>
        <w:jc w:val="left"/>
        <w:rPr>
          <w:sz w:val="20"/>
        </w:rPr>
      </w:pPr>
      <w:r>
        <w:rPr>
          <w:w w:val="120"/>
          <w:sz w:val="20"/>
        </w:rPr>
        <w:t>there is still an under-representation of black and Asian minority ethnic members, although every </w:t>
      </w:r>
      <w:r>
        <w:rPr>
          <w:spacing w:val="2"/>
          <w:w w:val="120"/>
          <w:sz w:val="20"/>
        </w:rPr>
        <w:t>effort </w:t>
      </w:r>
      <w:r>
        <w:rPr>
          <w:w w:val="120"/>
          <w:sz w:val="20"/>
        </w:rPr>
        <w:t>is being made to include them; there have been some recent improvements in numbers here; the greater involvement of black</w:t>
      </w:r>
      <w:r>
        <w:rPr>
          <w:spacing w:val="21"/>
          <w:w w:val="120"/>
          <w:sz w:val="20"/>
        </w:rPr>
        <w:t> </w:t>
      </w:r>
      <w:r>
        <w:rPr>
          <w:w w:val="120"/>
          <w:sz w:val="20"/>
        </w:rPr>
        <w:t>and</w:t>
      </w:r>
    </w:p>
    <w:p>
      <w:pPr>
        <w:pStyle w:val="BodyText"/>
        <w:spacing w:line="235" w:lineRule="auto"/>
        <w:ind w:left="2664" w:right="1120"/>
      </w:pPr>
      <w:r>
        <w:rPr>
          <w:w w:val="120"/>
        </w:rPr>
        <w:t>Asian minority ethnic (BAME) members at local and synod level should help to provide a more natural and healthy balance;</w:t>
      </w:r>
    </w:p>
    <w:p>
      <w:pPr>
        <w:pStyle w:val="ListParagraph"/>
        <w:numPr>
          <w:ilvl w:val="2"/>
          <w:numId w:val="144"/>
        </w:numPr>
        <w:tabs>
          <w:tab w:pos="2664" w:val="left" w:leader="none"/>
          <w:tab w:pos="2665" w:val="left" w:leader="none"/>
        </w:tabs>
        <w:spacing w:line="216" w:lineRule="auto" w:before="0" w:after="0"/>
        <w:ind w:left="2664" w:right="1206" w:hanging="681"/>
        <w:jc w:val="left"/>
        <w:rPr>
          <w:sz w:val="20"/>
        </w:rPr>
      </w:pPr>
      <w:r>
        <w:rPr>
          <w:w w:val="120"/>
          <w:sz w:val="20"/>
        </w:rPr>
        <w:t>total committee membership has increased by </w:t>
      </w:r>
      <w:r>
        <w:rPr>
          <w:spacing w:val="-8"/>
          <w:w w:val="120"/>
          <w:sz w:val="20"/>
        </w:rPr>
        <w:t>14%  </w:t>
      </w:r>
      <w:r>
        <w:rPr>
          <w:w w:val="120"/>
          <w:sz w:val="20"/>
        </w:rPr>
        <w:t>over the past </w:t>
      </w:r>
      <w:r>
        <w:rPr>
          <w:spacing w:val="-4"/>
          <w:w w:val="120"/>
          <w:sz w:val="20"/>
        </w:rPr>
        <w:t>year, </w:t>
      </w:r>
      <w:r>
        <w:rPr>
          <w:w w:val="120"/>
          <w:sz w:val="20"/>
        </w:rPr>
        <w:t>due</w:t>
      </w:r>
      <w:r>
        <w:rPr>
          <w:spacing w:val="54"/>
          <w:w w:val="120"/>
          <w:sz w:val="20"/>
        </w:rPr>
        <w:t> </w:t>
      </w:r>
      <w:r>
        <w:rPr>
          <w:w w:val="120"/>
          <w:sz w:val="20"/>
        </w:rPr>
        <w:t>largely to the completion of committees and groups following the </w:t>
      </w:r>
      <w:r>
        <w:rPr>
          <w:i/>
          <w:w w:val="120"/>
          <w:sz w:val="20"/>
        </w:rPr>
        <w:t>Catch the Vision </w:t>
      </w:r>
      <w:r>
        <w:rPr>
          <w:w w:val="120"/>
          <w:sz w:val="20"/>
        </w:rPr>
        <w:t>process; the total committee membership (currently about </w:t>
      </w:r>
      <w:r>
        <w:rPr>
          <w:spacing w:val="-3"/>
          <w:w w:val="120"/>
          <w:sz w:val="20"/>
        </w:rPr>
        <w:t>220) </w:t>
      </w:r>
      <w:r>
        <w:rPr>
          <w:w w:val="120"/>
          <w:sz w:val="20"/>
        </w:rPr>
        <w:t>is</w:t>
      </w:r>
      <w:r>
        <w:rPr>
          <w:spacing w:val="30"/>
          <w:w w:val="120"/>
          <w:sz w:val="20"/>
        </w:rPr>
        <w:t> </w:t>
      </w:r>
      <w:r>
        <w:rPr>
          <w:w w:val="120"/>
          <w:sz w:val="20"/>
        </w:rPr>
        <w:t>nevertheless</w:t>
      </w:r>
    </w:p>
    <w:p>
      <w:pPr>
        <w:pStyle w:val="BodyText"/>
        <w:spacing w:line="235" w:lineRule="auto"/>
        <w:ind w:left="2664" w:right="1120"/>
      </w:pPr>
      <w:r>
        <w:rPr>
          <w:w w:val="120"/>
        </w:rPr>
        <w:t>13% below that for 2006; these figures do not include advisory and task groups as these were not counted in previous calculations.</w:t>
      </w:r>
    </w:p>
    <w:p>
      <w:pPr>
        <w:numPr>
          <w:ilvl w:val="0"/>
          <w:numId w:val="144"/>
        </w:numPr>
        <w:tabs>
          <w:tab w:pos="2704" w:val="left" w:leader="none"/>
          <w:tab w:pos="2705" w:val="left" w:leader="none"/>
        </w:tabs>
        <w:spacing w:before="207"/>
        <w:ind w:left="2704" w:right="0" w:hanging="721"/>
        <w:jc w:val="left"/>
        <w:rPr>
          <w:rFonts w:ascii="Stone Sans II ITC Std Bk"/>
          <w:b/>
          <w:sz w:val="21"/>
        </w:rPr>
      </w:pPr>
      <w:r>
        <w:rPr>
          <w:rFonts w:ascii="Stone Sans II ITC Std Bk"/>
          <w:b/>
          <w:w w:val="115"/>
          <w:sz w:val="21"/>
        </w:rPr>
        <w:t>Publication of Nominations Committee</w:t>
      </w:r>
      <w:r>
        <w:rPr>
          <w:rFonts w:ascii="Stone Sans II ITC Std Bk"/>
          <w:b/>
          <w:spacing w:val="-8"/>
          <w:w w:val="115"/>
          <w:sz w:val="21"/>
        </w:rPr>
        <w:t> </w:t>
      </w:r>
      <w:r>
        <w:rPr>
          <w:rFonts w:ascii="Stone Sans II ITC Std Bk"/>
          <w:b/>
          <w:w w:val="115"/>
          <w:sz w:val="21"/>
        </w:rPr>
        <w:t>report</w:t>
      </w:r>
    </w:p>
    <w:p>
      <w:pPr>
        <w:pStyle w:val="ListParagraph"/>
        <w:numPr>
          <w:ilvl w:val="1"/>
          <w:numId w:val="144"/>
        </w:numPr>
        <w:tabs>
          <w:tab w:pos="2693" w:val="left" w:leader="none"/>
          <w:tab w:pos="2694" w:val="left" w:leader="none"/>
        </w:tabs>
        <w:spacing w:line="235" w:lineRule="auto" w:before="223" w:after="0"/>
        <w:ind w:left="1984" w:right="1227" w:firstLine="0"/>
        <w:jc w:val="left"/>
        <w:rPr>
          <w:sz w:val="20"/>
        </w:rPr>
      </w:pPr>
      <w:r>
        <w:rPr>
          <w:w w:val="120"/>
          <w:sz w:val="20"/>
        </w:rPr>
        <w:t>The main </w:t>
      </w:r>
      <w:r>
        <w:rPr>
          <w:spacing w:val="2"/>
          <w:w w:val="120"/>
          <w:sz w:val="20"/>
        </w:rPr>
        <w:t>part </w:t>
      </w:r>
      <w:r>
        <w:rPr>
          <w:w w:val="120"/>
          <w:sz w:val="20"/>
        </w:rPr>
        <w:t>of the Nominations </w:t>
      </w:r>
      <w:r>
        <w:rPr>
          <w:spacing w:val="2"/>
          <w:w w:val="120"/>
          <w:sz w:val="20"/>
        </w:rPr>
        <w:t>report </w:t>
      </w:r>
      <w:r>
        <w:rPr>
          <w:w w:val="120"/>
          <w:sz w:val="20"/>
        </w:rPr>
        <w:t>is taken up with the list of committees, groups, boards and panels and the people who serve on them and who represent the Church in a variety of capacities. It is important for the work of the committees, for the individuals concerned and for the whole Church that this list is as accurate as possible and that it is readily accessible. Up to now the definitive version has been that published each year in the Record of Assembly. With the move to biennial Assemblies there</w:t>
      </w:r>
      <w:r>
        <w:rPr>
          <w:spacing w:val="2"/>
          <w:w w:val="120"/>
          <w:sz w:val="20"/>
        </w:rPr>
        <w:t> </w:t>
      </w:r>
      <w:r>
        <w:rPr>
          <w:w w:val="120"/>
          <w:sz w:val="20"/>
        </w:rPr>
        <w:t>is</w:t>
      </w:r>
    </w:p>
    <w:p>
      <w:pPr>
        <w:pStyle w:val="BodyText"/>
        <w:spacing w:line="235" w:lineRule="auto" w:before="4"/>
        <w:ind w:left="1984" w:right="1357"/>
      </w:pPr>
      <w:r>
        <w:rPr>
          <w:w w:val="120"/>
        </w:rPr>
        <w:t>a question about how the list should be published in the interim year when Mission Council approves the list and when committees change on </w:t>
      </w:r>
      <w:r>
        <w:rPr>
          <w:spacing w:val="-4"/>
          <w:w w:val="120"/>
        </w:rPr>
        <w:t>1</w:t>
      </w:r>
      <w:r>
        <w:rPr>
          <w:spacing w:val="-4"/>
          <w:w w:val="120"/>
          <w:position w:val="7"/>
          <w:sz w:val="11"/>
        </w:rPr>
        <w:t>st </w:t>
      </w:r>
      <w:r>
        <w:rPr>
          <w:spacing w:val="-3"/>
          <w:w w:val="120"/>
        </w:rPr>
        <w:t>July. </w:t>
      </w:r>
      <w:r>
        <w:rPr>
          <w:w w:val="120"/>
        </w:rPr>
        <w:t>The question of how it should be published and made available has now been passed by Mission Council to the Communications and Editorial Committee. It is hoped that it will be issued annually in a consistent form from this Assembly onwards. Consideration is also being given to making it available on the</w:t>
      </w:r>
      <w:r>
        <w:rPr>
          <w:spacing w:val="10"/>
          <w:w w:val="120"/>
        </w:rPr>
        <w:t> </w:t>
      </w:r>
      <w:r>
        <w:rPr>
          <w:w w:val="120"/>
        </w:rPr>
        <w:t>website.</w:t>
      </w:r>
    </w:p>
    <w:p>
      <w:pPr>
        <w:pStyle w:val="BodyText"/>
      </w:pPr>
    </w:p>
    <w:p>
      <w:pPr>
        <w:pStyle w:val="ListParagraph"/>
        <w:numPr>
          <w:ilvl w:val="1"/>
          <w:numId w:val="144"/>
        </w:numPr>
        <w:tabs>
          <w:tab w:pos="2693" w:val="left" w:leader="none"/>
          <w:tab w:pos="2694" w:val="left" w:leader="none"/>
        </w:tabs>
        <w:spacing w:line="235" w:lineRule="auto" w:before="1" w:after="0"/>
        <w:ind w:left="1984" w:right="2126" w:firstLine="0"/>
        <w:jc w:val="left"/>
        <w:rPr>
          <w:sz w:val="20"/>
        </w:rPr>
      </w:pPr>
      <w:r>
        <w:rPr>
          <w:w w:val="120"/>
          <w:sz w:val="20"/>
        </w:rPr>
        <w:t>There are some significant changes to the content of the major listing of committees and representatives this</w:t>
      </w:r>
      <w:r>
        <w:rPr>
          <w:spacing w:val="5"/>
          <w:w w:val="120"/>
          <w:sz w:val="20"/>
        </w:rPr>
        <w:t> </w:t>
      </w:r>
      <w:r>
        <w:rPr>
          <w:w w:val="120"/>
          <w:sz w:val="20"/>
        </w:rPr>
        <w:t>year:</w:t>
      </w:r>
    </w:p>
    <w:p>
      <w:pPr>
        <w:pStyle w:val="ListParagraph"/>
        <w:numPr>
          <w:ilvl w:val="0"/>
          <w:numId w:val="146"/>
        </w:numPr>
        <w:tabs>
          <w:tab w:pos="2664" w:val="left" w:leader="none"/>
          <w:tab w:pos="2665" w:val="left" w:leader="none"/>
        </w:tabs>
        <w:spacing w:line="235" w:lineRule="auto" w:before="1" w:after="0"/>
        <w:ind w:left="2664" w:right="1679" w:hanging="681"/>
        <w:jc w:val="left"/>
        <w:rPr>
          <w:sz w:val="20"/>
        </w:rPr>
      </w:pPr>
      <w:r>
        <w:rPr>
          <w:w w:val="120"/>
          <w:sz w:val="20"/>
        </w:rPr>
        <w:t>the list now includes advisory groups and task groups whether appointed by Mission Council or General</w:t>
      </w:r>
      <w:r>
        <w:rPr>
          <w:spacing w:val="9"/>
          <w:w w:val="120"/>
          <w:sz w:val="20"/>
        </w:rPr>
        <w:t> </w:t>
      </w:r>
      <w:r>
        <w:rPr>
          <w:w w:val="120"/>
          <w:sz w:val="20"/>
        </w:rPr>
        <w:t>Assembly;</w:t>
      </w:r>
    </w:p>
    <w:p>
      <w:pPr>
        <w:pStyle w:val="ListParagraph"/>
        <w:numPr>
          <w:ilvl w:val="0"/>
          <w:numId w:val="146"/>
        </w:numPr>
        <w:tabs>
          <w:tab w:pos="2664" w:val="left" w:leader="none"/>
          <w:tab w:pos="2665" w:val="left" w:leader="none"/>
        </w:tabs>
        <w:spacing w:line="235" w:lineRule="auto" w:before="1" w:after="0"/>
        <w:ind w:left="2664" w:right="1494" w:hanging="681"/>
        <w:jc w:val="left"/>
        <w:rPr>
          <w:sz w:val="20"/>
        </w:rPr>
      </w:pPr>
      <w:r>
        <w:rPr>
          <w:w w:val="120"/>
          <w:sz w:val="20"/>
        </w:rPr>
        <w:t>it now includes networks within the denomination or in ecumenical groupings with which we have a</w:t>
      </w:r>
      <w:r>
        <w:rPr>
          <w:spacing w:val="9"/>
          <w:w w:val="120"/>
          <w:sz w:val="20"/>
        </w:rPr>
        <w:t> </w:t>
      </w:r>
      <w:r>
        <w:rPr>
          <w:w w:val="120"/>
          <w:sz w:val="20"/>
        </w:rPr>
        <w:t>relationship;</w:t>
      </w:r>
    </w:p>
    <w:p>
      <w:pPr>
        <w:pStyle w:val="ListParagraph"/>
        <w:numPr>
          <w:ilvl w:val="0"/>
          <w:numId w:val="146"/>
        </w:numPr>
        <w:tabs>
          <w:tab w:pos="2664" w:val="left" w:leader="none"/>
          <w:tab w:pos="2665" w:val="left" w:leader="none"/>
        </w:tabs>
        <w:spacing w:line="235" w:lineRule="auto" w:before="2" w:after="0"/>
        <w:ind w:left="2664" w:right="1975" w:hanging="681"/>
        <w:jc w:val="left"/>
        <w:rPr>
          <w:sz w:val="20"/>
        </w:rPr>
      </w:pPr>
      <w:r>
        <w:rPr>
          <w:w w:val="120"/>
          <w:sz w:val="20"/>
        </w:rPr>
        <w:t>it has been thoroughly reviewed for accuracy and to include all aspects of representation carried out in the name of the General</w:t>
      </w:r>
      <w:r>
        <w:rPr>
          <w:spacing w:val="17"/>
          <w:w w:val="120"/>
          <w:sz w:val="20"/>
        </w:rPr>
        <w:t> </w:t>
      </w:r>
      <w:r>
        <w:rPr>
          <w:w w:val="120"/>
          <w:sz w:val="20"/>
        </w:rPr>
        <w:t>Assembly;</w:t>
      </w:r>
    </w:p>
    <w:p>
      <w:pPr>
        <w:pStyle w:val="ListParagraph"/>
        <w:numPr>
          <w:ilvl w:val="0"/>
          <w:numId w:val="146"/>
        </w:numPr>
        <w:tabs>
          <w:tab w:pos="2664" w:val="left" w:leader="none"/>
          <w:tab w:pos="2665" w:val="left" w:leader="none"/>
        </w:tabs>
        <w:spacing w:line="235" w:lineRule="auto" w:before="1" w:after="0"/>
        <w:ind w:left="2664" w:right="2047" w:hanging="681"/>
        <w:jc w:val="left"/>
        <w:rPr>
          <w:sz w:val="20"/>
        </w:rPr>
      </w:pPr>
      <w:r>
        <w:rPr>
          <w:w w:val="120"/>
          <w:sz w:val="20"/>
        </w:rPr>
        <w:t>it has been reordered; the numbering will not therefore correspond with previous</w:t>
      </w:r>
      <w:r>
        <w:rPr>
          <w:spacing w:val="1"/>
          <w:w w:val="120"/>
          <w:sz w:val="20"/>
        </w:rPr>
        <w:t> </w:t>
      </w:r>
      <w:r>
        <w:rPr>
          <w:w w:val="120"/>
          <w:sz w:val="20"/>
        </w:rPr>
        <w:t>years.</w:t>
      </w:r>
    </w:p>
    <w:p>
      <w:pPr>
        <w:spacing w:after="0" w:line="235" w:lineRule="auto"/>
        <w:jc w:val="left"/>
        <w:rPr>
          <w:sz w:val="20"/>
        </w:rPr>
        <w:sectPr>
          <w:pgSz w:w="11910" w:h="16840"/>
          <w:pgMar w:header="0" w:footer="647" w:top="1060" w:bottom="840" w:left="0" w:right="0"/>
        </w:sectPr>
      </w:pPr>
    </w:p>
    <w:p>
      <w:pPr>
        <w:pStyle w:val="ListParagraph"/>
        <w:numPr>
          <w:ilvl w:val="1"/>
          <w:numId w:val="144"/>
        </w:numPr>
        <w:tabs>
          <w:tab w:pos="1842" w:val="left" w:leader="none"/>
          <w:tab w:pos="1843" w:val="left" w:leader="none"/>
        </w:tabs>
        <w:spacing w:line="235" w:lineRule="auto" w:before="107" w:after="0"/>
        <w:ind w:left="1133" w:right="2002" w:firstLine="0"/>
        <w:jc w:val="left"/>
        <w:rPr>
          <w:sz w:val="20"/>
        </w:rPr>
      </w:pPr>
      <w:r>
        <w:rPr/>
        <w:pict>
          <v:rect style="position:absolute;margin-left:12.047pt;margin-top:8.477343pt;width:22.677pt;height:22.677pt;mso-position-horizontal-relative:page;mso-position-vertical-relative:paragraph;z-index:252201984" filled="true" fillcolor="#dae4ec" stroked="false">
            <v:fill opacity="32768f" type="solid"/>
            <w10:wrap type="none"/>
          </v:rect>
        </w:pict>
      </w:r>
      <w:r>
        <w:rPr>
          <w:w w:val="120"/>
          <w:sz w:val="20"/>
        </w:rPr>
        <w:t>The aim in this review has been to achieve greater transparency about how the church works and who is serving it, to provide as comprehensive an overview as possible of the structures of the Church, and, so far as possible, to bring all appointments within one</w:t>
      </w:r>
      <w:r>
        <w:rPr>
          <w:spacing w:val="2"/>
          <w:w w:val="120"/>
          <w:sz w:val="20"/>
        </w:rPr>
        <w:t> </w:t>
      </w:r>
      <w:r>
        <w:rPr>
          <w:w w:val="120"/>
          <w:sz w:val="20"/>
        </w:rPr>
        <w:t>report.</w:t>
      </w:r>
    </w:p>
    <w:p>
      <w:pPr>
        <w:pStyle w:val="BodyText"/>
        <w:spacing w:before="3"/>
      </w:pPr>
    </w:p>
    <w:p>
      <w:pPr>
        <w:pStyle w:val="ListParagraph"/>
        <w:numPr>
          <w:ilvl w:val="1"/>
          <w:numId w:val="144"/>
        </w:numPr>
        <w:tabs>
          <w:tab w:pos="1842" w:val="left" w:leader="none"/>
          <w:tab w:pos="1843" w:val="left" w:leader="none"/>
        </w:tabs>
        <w:spacing w:line="230" w:lineRule="auto" w:before="0" w:after="0"/>
        <w:ind w:left="1133" w:right="1936" w:firstLine="0"/>
        <w:jc w:val="left"/>
        <w:rPr>
          <w:rFonts w:ascii="Stone Sans II ITC Std Bk"/>
          <w:b/>
          <w:sz w:val="20"/>
        </w:rPr>
      </w:pPr>
      <w:r>
        <w:rPr>
          <w:w w:val="120"/>
          <w:sz w:val="20"/>
        </w:rPr>
        <w:t>Inevitably this is a constantly changing list. It is helpful if details about any changes and corrections in relation to committees and personnel can be given to the committee secretary, Sarah Dodds, </w:t>
      </w:r>
      <w:hyperlink r:id="rId473">
        <w:r>
          <w:rPr>
            <w:w w:val="120"/>
            <w:sz w:val="20"/>
          </w:rPr>
          <w:t>nominations@urc.org.uk</w:t>
        </w:r>
      </w:hyperlink>
      <w:r>
        <w:rPr>
          <w:w w:val="120"/>
          <w:sz w:val="20"/>
        </w:rPr>
        <w:t> </w:t>
      </w:r>
      <w:r>
        <w:rPr>
          <w:rFonts w:ascii="Stone Sans II ITC Std Bk"/>
          <w:b/>
          <w:w w:val="120"/>
          <w:sz w:val="20"/>
        </w:rPr>
        <w:t>Resolution </w:t>
      </w:r>
      <w:r>
        <w:rPr>
          <w:rFonts w:ascii="Stone Sans II ITC Std Bk"/>
          <w:b/>
          <w:spacing w:val="-10"/>
          <w:w w:val="120"/>
          <w:sz w:val="20"/>
        </w:rPr>
        <w:t>19, </w:t>
      </w:r>
      <w:r>
        <w:rPr>
          <w:rFonts w:ascii="Stone Sans II ITC Std Bk"/>
          <w:b/>
          <w:w w:val="120"/>
          <w:sz w:val="20"/>
        </w:rPr>
        <w:t>page </w:t>
      </w:r>
      <w:r>
        <w:rPr>
          <w:rFonts w:ascii="Stone Sans II ITC Std Bk"/>
          <w:b/>
          <w:spacing w:val="-3"/>
          <w:w w:val="120"/>
          <w:sz w:val="20"/>
        </w:rPr>
        <w:t>253</w:t>
      </w:r>
    </w:p>
    <w:p>
      <w:pPr>
        <w:numPr>
          <w:ilvl w:val="0"/>
          <w:numId w:val="144"/>
        </w:numPr>
        <w:tabs>
          <w:tab w:pos="1853" w:val="left" w:leader="none"/>
          <w:tab w:pos="1854" w:val="left" w:leader="none"/>
        </w:tabs>
        <w:spacing w:before="201"/>
        <w:ind w:left="1853" w:right="0" w:hanging="721"/>
        <w:jc w:val="left"/>
        <w:rPr>
          <w:rFonts w:ascii="Stone Sans II ITC Std Bk"/>
          <w:b/>
          <w:sz w:val="21"/>
        </w:rPr>
      </w:pPr>
      <w:r>
        <w:rPr>
          <w:rFonts w:ascii="Stone Sans II ITC Std Bk"/>
          <w:b/>
          <w:w w:val="115"/>
          <w:sz w:val="21"/>
        </w:rPr>
        <w:t>Thanks to those who</w:t>
      </w:r>
      <w:r>
        <w:rPr>
          <w:rFonts w:ascii="Stone Sans II ITC Std Bk"/>
          <w:b/>
          <w:spacing w:val="-6"/>
          <w:w w:val="115"/>
          <w:sz w:val="21"/>
        </w:rPr>
        <w:t> </w:t>
      </w:r>
      <w:r>
        <w:rPr>
          <w:rFonts w:ascii="Stone Sans II ITC Std Bk"/>
          <w:b/>
          <w:w w:val="115"/>
          <w:sz w:val="21"/>
        </w:rPr>
        <w:t>serve</w:t>
      </w:r>
    </w:p>
    <w:p>
      <w:pPr>
        <w:pStyle w:val="BodyText"/>
        <w:spacing w:line="230" w:lineRule="auto" w:before="227"/>
        <w:ind w:left="1133" w:right="2191"/>
        <w:rPr>
          <w:rFonts w:ascii="Stone Sans II ITC Std Bk"/>
          <w:b/>
        </w:rPr>
      </w:pPr>
      <w:r>
        <w:rPr>
          <w:w w:val="120"/>
        </w:rPr>
        <w:t>The Church is exceptionally well served by those who represent it and those who serve on its committees. This is an opportunity for the Church to acknowledge its debt and to express its thanks. </w:t>
      </w:r>
      <w:r>
        <w:rPr>
          <w:rFonts w:ascii="Stone Sans II ITC Std Bk"/>
          <w:b/>
          <w:w w:val="120"/>
        </w:rPr>
        <w:t>Resolution 20, page 253</w:t>
      </w:r>
    </w:p>
    <w:p>
      <w:pPr>
        <w:numPr>
          <w:ilvl w:val="0"/>
          <w:numId w:val="144"/>
        </w:numPr>
        <w:tabs>
          <w:tab w:pos="1853" w:val="left" w:leader="none"/>
          <w:tab w:pos="1854" w:val="left" w:leader="none"/>
        </w:tabs>
        <w:spacing w:before="201"/>
        <w:ind w:left="1853" w:right="0" w:hanging="721"/>
        <w:jc w:val="left"/>
        <w:rPr>
          <w:rFonts w:ascii="Stone Sans II ITC Std Bk"/>
          <w:b/>
          <w:sz w:val="21"/>
        </w:rPr>
      </w:pPr>
      <w:r>
        <w:rPr>
          <w:rFonts w:ascii="Stone Sans II ITC Std Bk"/>
          <w:b/>
          <w:w w:val="115"/>
          <w:sz w:val="21"/>
        </w:rPr>
        <w:t>Assembly committees and other</w:t>
      </w:r>
      <w:r>
        <w:rPr>
          <w:rFonts w:ascii="Stone Sans II ITC Std Bk"/>
          <w:b/>
          <w:spacing w:val="-8"/>
          <w:w w:val="115"/>
          <w:sz w:val="21"/>
        </w:rPr>
        <w:t> </w:t>
      </w:r>
      <w:r>
        <w:rPr>
          <w:rFonts w:ascii="Stone Sans II ITC Std Bk"/>
          <w:b/>
          <w:w w:val="115"/>
          <w:sz w:val="21"/>
        </w:rPr>
        <w:t>appointments</w:t>
      </w:r>
    </w:p>
    <w:p>
      <w:pPr>
        <w:pStyle w:val="BodyText"/>
        <w:spacing w:line="242" w:lineRule="exact" w:before="219"/>
        <w:ind w:left="1133"/>
      </w:pPr>
      <w:r>
        <w:rPr>
          <w:w w:val="120"/>
        </w:rPr>
        <w:t>Notes:</w:t>
      </w:r>
    </w:p>
    <w:p>
      <w:pPr>
        <w:pStyle w:val="ListParagraph"/>
        <w:numPr>
          <w:ilvl w:val="0"/>
          <w:numId w:val="147"/>
        </w:numPr>
        <w:tabs>
          <w:tab w:pos="1814" w:val="left" w:leader="none"/>
          <w:tab w:pos="1815" w:val="left" w:leader="none"/>
        </w:tabs>
        <w:spacing w:line="235" w:lineRule="auto" w:before="1" w:after="0"/>
        <w:ind w:left="1814" w:right="2429" w:hanging="681"/>
        <w:jc w:val="left"/>
        <w:rPr>
          <w:sz w:val="20"/>
        </w:rPr>
      </w:pPr>
      <w:r>
        <w:rPr>
          <w:w w:val="120"/>
          <w:sz w:val="20"/>
        </w:rPr>
        <w:t>The moderators, the immediate past moderator and the general secretary are members </w:t>
      </w:r>
      <w:r>
        <w:rPr>
          <w:i/>
          <w:w w:val="120"/>
          <w:sz w:val="20"/>
        </w:rPr>
        <w:t>ex officio </w:t>
      </w:r>
      <w:r>
        <w:rPr>
          <w:w w:val="120"/>
          <w:sz w:val="20"/>
        </w:rPr>
        <w:t>of every standing</w:t>
      </w:r>
      <w:r>
        <w:rPr>
          <w:spacing w:val="5"/>
          <w:w w:val="120"/>
          <w:sz w:val="20"/>
        </w:rPr>
        <w:t> </w:t>
      </w:r>
      <w:r>
        <w:rPr>
          <w:w w:val="120"/>
          <w:sz w:val="20"/>
        </w:rPr>
        <w:t>committee.</w:t>
      </w:r>
    </w:p>
    <w:p>
      <w:pPr>
        <w:pStyle w:val="ListParagraph"/>
        <w:numPr>
          <w:ilvl w:val="0"/>
          <w:numId w:val="147"/>
        </w:numPr>
        <w:tabs>
          <w:tab w:pos="1814" w:val="left" w:leader="none"/>
          <w:tab w:pos="1815" w:val="left" w:leader="none"/>
        </w:tabs>
        <w:spacing w:line="240" w:lineRule="exact" w:before="0" w:after="0"/>
        <w:ind w:left="1814" w:right="0" w:hanging="682"/>
        <w:jc w:val="left"/>
        <w:rPr>
          <w:sz w:val="20"/>
        </w:rPr>
      </w:pPr>
      <w:r>
        <w:rPr>
          <w:w w:val="120"/>
          <w:sz w:val="20"/>
        </w:rPr>
        <w:t>Symbols have been used as</w:t>
      </w:r>
      <w:r>
        <w:rPr>
          <w:spacing w:val="9"/>
          <w:w w:val="120"/>
          <w:sz w:val="20"/>
        </w:rPr>
        <w:t> </w:t>
      </w:r>
      <w:r>
        <w:rPr>
          <w:w w:val="120"/>
          <w:sz w:val="20"/>
        </w:rPr>
        <w:t>follows:</w:t>
      </w:r>
    </w:p>
    <w:p>
      <w:pPr>
        <w:pStyle w:val="BodyText"/>
        <w:tabs>
          <w:tab w:pos="2573" w:val="left" w:leader="none"/>
        </w:tabs>
        <w:spacing w:line="240" w:lineRule="exact"/>
        <w:ind w:left="1814"/>
      </w:pPr>
      <w:r>
        <w:rPr>
          <w:w w:val="120"/>
        </w:rPr>
        <w:t>*</w:t>
        <w:tab/>
        <w:t>denotes those appointed since the 2009 Mission Council</w:t>
      </w:r>
      <w:r>
        <w:rPr>
          <w:spacing w:val="23"/>
          <w:w w:val="120"/>
        </w:rPr>
        <w:t> </w:t>
      </w:r>
      <w:r>
        <w:rPr>
          <w:w w:val="120"/>
        </w:rPr>
        <w:t>report;</w:t>
      </w:r>
    </w:p>
    <w:p>
      <w:pPr>
        <w:pStyle w:val="BodyText"/>
        <w:tabs>
          <w:tab w:pos="2573" w:val="left" w:leader="none"/>
        </w:tabs>
        <w:spacing w:line="240" w:lineRule="exact"/>
        <w:ind w:left="1814"/>
      </w:pPr>
      <w:r>
        <w:rPr>
          <w:spacing w:val="2"/>
          <w:w w:val="120"/>
        </w:rPr>
        <w:t>**</w:t>
        <w:tab/>
      </w:r>
      <w:r>
        <w:rPr>
          <w:spacing w:val="-3"/>
          <w:w w:val="120"/>
        </w:rPr>
        <w:t>denotes </w:t>
      </w:r>
      <w:r>
        <w:rPr>
          <w:w w:val="120"/>
        </w:rPr>
        <w:t>those whom General Assembly is </w:t>
      </w:r>
      <w:r>
        <w:rPr>
          <w:spacing w:val="-3"/>
          <w:w w:val="120"/>
        </w:rPr>
        <w:t>invited to </w:t>
      </w:r>
      <w:r>
        <w:rPr>
          <w:w w:val="120"/>
        </w:rPr>
        <w:t>appoint for the first</w:t>
      </w:r>
      <w:r>
        <w:rPr>
          <w:spacing w:val="-31"/>
          <w:w w:val="120"/>
        </w:rPr>
        <w:t> </w:t>
      </w:r>
      <w:r>
        <w:rPr>
          <w:spacing w:val="-3"/>
          <w:w w:val="120"/>
        </w:rPr>
        <w:t>time;</w:t>
      </w:r>
    </w:p>
    <w:p>
      <w:pPr>
        <w:pStyle w:val="BodyText"/>
        <w:tabs>
          <w:tab w:pos="2573" w:val="left" w:leader="none"/>
        </w:tabs>
        <w:spacing w:line="235" w:lineRule="auto" w:before="2"/>
        <w:ind w:left="1814" w:right="2251"/>
      </w:pPr>
      <w:r>
        <w:rPr>
          <w:w w:val="120"/>
        </w:rPr>
        <w:t>†</w:t>
        <w:tab/>
        <w:t>denotes those who have been invited to extend their periods of service; #</w:t>
        <w:tab/>
        <w:t>denotes a convener elect who will become convener in</w:t>
      </w:r>
      <w:r>
        <w:rPr>
          <w:spacing w:val="35"/>
          <w:w w:val="120"/>
        </w:rPr>
        <w:t> </w:t>
      </w:r>
      <w:r>
        <w:rPr>
          <w:spacing w:val="-10"/>
          <w:w w:val="120"/>
        </w:rPr>
        <w:t>2011;</w:t>
      </w:r>
    </w:p>
    <w:p>
      <w:pPr>
        <w:pStyle w:val="BodyText"/>
        <w:tabs>
          <w:tab w:pos="2573" w:val="left" w:leader="none"/>
        </w:tabs>
        <w:spacing w:line="240" w:lineRule="exact"/>
        <w:ind w:left="1814"/>
      </w:pPr>
      <w:r>
        <w:rPr>
          <w:w w:val="115"/>
        </w:rPr>
        <w:t>/</w:t>
        <w:tab/>
        <w:t>the</w:t>
      </w:r>
      <w:r>
        <w:rPr>
          <w:spacing w:val="6"/>
          <w:w w:val="115"/>
        </w:rPr>
        <w:t> </w:t>
      </w:r>
      <w:r>
        <w:rPr>
          <w:w w:val="115"/>
        </w:rPr>
        <w:t>name</w:t>
      </w:r>
      <w:r>
        <w:rPr>
          <w:spacing w:val="6"/>
          <w:w w:val="115"/>
        </w:rPr>
        <w:t> </w:t>
      </w:r>
      <w:r>
        <w:rPr>
          <w:w w:val="115"/>
        </w:rPr>
        <w:t>after</w:t>
      </w:r>
      <w:r>
        <w:rPr>
          <w:spacing w:val="6"/>
          <w:w w:val="115"/>
        </w:rPr>
        <w:t> </w:t>
      </w:r>
      <w:r>
        <w:rPr>
          <w:w w:val="115"/>
        </w:rPr>
        <w:t>the</w:t>
      </w:r>
      <w:r>
        <w:rPr>
          <w:spacing w:val="6"/>
          <w:w w:val="115"/>
        </w:rPr>
        <w:t> </w:t>
      </w:r>
      <w:r>
        <w:rPr>
          <w:w w:val="115"/>
        </w:rPr>
        <w:t>slash</w:t>
      </w:r>
      <w:r>
        <w:rPr>
          <w:spacing w:val="6"/>
          <w:w w:val="115"/>
        </w:rPr>
        <w:t> </w:t>
      </w:r>
      <w:r>
        <w:rPr>
          <w:w w:val="115"/>
        </w:rPr>
        <w:t>is</w:t>
      </w:r>
      <w:r>
        <w:rPr>
          <w:spacing w:val="6"/>
          <w:w w:val="115"/>
        </w:rPr>
        <w:t> </w:t>
      </w:r>
      <w:r>
        <w:rPr>
          <w:w w:val="115"/>
        </w:rPr>
        <w:t>the</w:t>
      </w:r>
      <w:r>
        <w:rPr>
          <w:spacing w:val="6"/>
          <w:w w:val="115"/>
        </w:rPr>
        <w:t> </w:t>
      </w:r>
      <w:r>
        <w:rPr>
          <w:w w:val="115"/>
        </w:rPr>
        <w:t>alternate</w:t>
      </w:r>
      <w:r>
        <w:rPr>
          <w:spacing w:val="6"/>
          <w:w w:val="115"/>
        </w:rPr>
        <w:t> </w:t>
      </w:r>
      <w:r>
        <w:rPr>
          <w:w w:val="115"/>
        </w:rPr>
        <w:t>for</w:t>
      </w:r>
      <w:r>
        <w:rPr>
          <w:spacing w:val="6"/>
          <w:w w:val="115"/>
        </w:rPr>
        <w:t> </w:t>
      </w:r>
      <w:r>
        <w:rPr>
          <w:w w:val="115"/>
        </w:rPr>
        <w:t>the</w:t>
      </w:r>
      <w:r>
        <w:rPr>
          <w:spacing w:val="7"/>
          <w:w w:val="115"/>
        </w:rPr>
        <w:t> </w:t>
      </w:r>
      <w:r>
        <w:rPr>
          <w:w w:val="115"/>
        </w:rPr>
        <w:t>one</w:t>
      </w:r>
      <w:r>
        <w:rPr>
          <w:spacing w:val="6"/>
          <w:w w:val="115"/>
        </w:rPr>
        <w:t> </w:t>
      </w:r>
      <w:r>
        <w:rPr>
          <w:w w:val="115"/>
        </w:rPr>
        <w:t>before</w:t>
      </w:r>
      <w:r>
        <w:rPr>
          <w:spacing w:val="6"/>
          <w:w w:val="115"/>
        </w:rPr>
        <w:t> </w:t>
      </w:r>
      <w:r>
        <w:rPr>
          <w:w w:val="115"/>
        </w:rPr>
        <w:t>it.</w:t>
      </w:r>
    </w:p>
    <w:p>
      <w:pPr>
        <w:pStyle w:val="ListParagraph"/>
        <w:numPr>
          <w:ilvl w:val="0"/>
          <w:numId w:val="147"/>
        </w:numPr>
        <w:tabs>
          <w:tab w:pos="1814" w:val="left" w:leader="none"/>
          <w:tab w:pos="1815" w:val="left" w:leader="none"/>
        </w:tabs>
        <w:spacing w:line="240" w:lineRule="exact" w:before="0" w:after="0"/>
        <w:ind w:left="1814" w:right="0" w:hanging="681"/>
        <w:jc w:val="left"/>
        <w:rPr>
          <w:sz w:val="20"/>
        </w:rPr>
      </w:pPr>
      <w:r>
        <w:rPr>
          <w:w w:val="120"/>
          <w:sz w:val="20"/>
        </w:rPr>
        <w:t>The</w:t>
      </w:r>
      <w:r>
        <w:rPr>
          <w:spacing w:val="-6"/>
          <w:w w:val="120"/>
          <w:sz w:val="20"/>
        </w:rPr>
        <w:t> </w:t>
      </w:r>
      <w:r>
        <w:rPr>
          <w:w w:val="120"/>
          <w:sz w:val="20"/>
        </w:rPr>
        <w:t>number</w:t>
      </w:r>
      <w:r>
        <w:rPr>
          <w:spacing w:val="-5"/>
          <w:w w:val="120"/>
          <w:sz w:val="20"/>
        </w:rPr>
        <w:t> </w:t>
      </w:r>
      <w:r>
        <w:rPr>
          <w:w w:val="120"/>
          <w:sz w:val="20"/>
        </w:rPr>
        <w:t>in</w:t>
      </w:r>
      <w:r>
        <w:rPr>
          <w:spacing w:val="-5"/>
          <w:w w:val="120"/>
          <w:sz w:val="20"/>
        </w:rPr>
        <w:t> </w:t>
      </w:r>
      <w:r>
        <w:rPr>
          <w:w w:val="120"/>
          <w:sz w:val="20"/>
        </w:rPr>
        <w:t>round</w:t>
      </w:r>
      <w:r>
        <w:rPr>
          <w:spacing w:val="-6"/>
          <w:w w:val="120"/>
          <w:sz w:val="20"/>
        </w:rPr>
        <w:t> </w:t>
      </w:r>
      <w:r>
        <w:rPr>
          <w:w w:val="120"/>
          <w:sz w:val="20"/>
        </w:rPr>
        <w:t>brackets</w:t>
      </w:r>
      <w:r>
        <w:rPr>
          <w:spacing w:val="-5"/>
          <w:w w:val="120"/>
          <w:sz w:val="20"/>
        </w:rPr>
        <w:t> </w:t>
      </w:r>
      <w:r>
        <w:rPr>
          <w:spacing w:val="-3"/>
          <w:w w:val="120"/>
          <w:sz w:val="20"/>
        </w:rPr>
        <w:t>following</w:t>
      </w:r>
      <w:r>
        <w:rPr>
          <w:spacing w:val="-5"/>
          <w:w w:val="120"/>
          <w:sz w:val="20"/>
        </w:rPr>
        <w:t> </w:t>
      </w:r>
      <w:r>
        <w:rPr>
          <w:w w:val="120"/>
          <w:sz w:val="20"/>
        </w:rPr>
        <w:t>the</w:t>
      </w:r>
      <w:r>
        <w:rPr>
          <w:spacing w:val="-5"/>
          <w:w w:val="120"/>
          <w:sz w:val="20"/>
        </w:rPr>
        <w:t> </w:t>
      </w:r>
      <w:r>
        <w:rPr>
          <w:w w:val="120"/>
          <w:sz w:val="20"/>
        </w:rPr>
        <w:t>name</w:t>
      </w:r>
      <w:r>
        <w:rPr>
          <w:spacing w:val="-6"/>
          <w:w w:val="120"/>
          <w:sz w:val="20"/>
        </w:rPr>
        <w:t> </w:t>
      </w:r>
      <w:r>
        <w:rPr>
          <w:spacing w:val="-3"/>
          <w:w w:val="120"/>
          <w:sz w:val="20"/>
        </w:rPr>
        <w:t>indicates</w:t>
      </w:r>
      <w:r>
        <w:rPr>
          <w:spacing w:val="-5"/>
          <w:w w:val="120"/>
          <w:sz w:val="20"/>
        </w:rPr>
        <w:t> </w:t>
      </w:r>
      <w:r>
        <w:rPr>
          <w:w w:val="120"/>
          <w:sz w:val="20"/>
        </w:rPr>
        <w:t>the</w:t>
      </w:r>
      <w:r>
        <w:rPr>
          <w:spacing w:val="-5"/>
          <w:w w:val="120"/>
          <w:sz w:val="20"/>
        </w:rPr>
        <w:t> </w:t>
      </w:r>
      <w:r>
        <w:rPr>
          <w:spacing w:val="-3"/>
          <w:w w:val="120"/>
          <w:sz w:val="20"/>
        </w:rPr>
        <w:t>member’s</w:t>
      </w:r>
      <w:r>
        <w:rPr>
          <w:spacing w:val="-5"/>
          <w:w w:val="120"/>
          <w:sz w:val="20"/>
        </w:rPr>
        <w:t> </w:t>
      </w:r>
      <w:r>
        <w:rPr>
          <w:w w:val="120"/>
          <w:sz w:val="20"/>
        </w:rPr>
        <w:t>synod:</w:t>
      </w:r>
    </w:p>
    <w:p>
      <w:pPr>
        <w:pStyle w:val="ListParagraph"/>
        <w:numPr>
          <w:ilvl w:val="1"/>
          <w:numId w:val="147"/>
        </w:numPr>
        <w:tabs>
          <w:tab w:pos="2130" w:val="left" w:leader="none"/>
        </w:tabs>
        <w:spacing w:line="235" w:lineRule="auto" w:before="2" w:after="0"/>
        <w:ind w:left="1814" w:right="1745" w:firstLine="0"/>
        <w:jc w:val="left"/>
        <w:rPr>
          <w:sz w:val="20"/>
        </w:rPr>
      </w:pPr>
      <w:r>
        <w:rPr>
          <w:w w:val="125"/>
          <w:sz w:val="20"/>
        </w:rPr>
        <w:t>Northern,</w:t>
      </w:r>
      <w:r>
        <w:rPr>
          <w:spacing w:val="-28"/>
          <w:w w:val="125"/>
          <w:sz w:val="20"/>
        </w:rPr>
        <w:t> </w:t>
      </w:r>
      <w:r>
        <w:rPr>
          <w:spacing w:val="-9"/>
          <w:w w:val="125"/>
          <w:sz w:val="20"/>
        </w:rPr>
        <w:t>(2)</w:t>
      </w:r>
      <w:r>
        <w:rPr>
          <w:spacing w:val="-27"/>
          <w:w w:val="125"/>
          <w:sz w:val="20"/>
        </w:rPr>
        <w:t> </w:t>
      </w:r>
      <w:r>
        <w:rPr>
          <w:w w:val="125"/>
          <w:sz w:val="20"/>
        </w:rPr>
        <w:t>North</w:t>
      </w:r>
      <w:r>
        <w:rPr>
          <w:spacing w:val="-27"/>
          <w:w w:val="125"/>
          <w:sz w:val="20"/>
        </w:rPr>
        <w:t> </w:t>
      </w:r>
      <w:r>
        <w:rPr>
          <w:w w:val="125"/>
          <w:sz w:val="20"/>
        </w:rPr>
        <w:t>Western,</w:t>
      </w:r>
      <w:r>
        <w:rPr>
          <w:spacing w:val="-27"/>
          <w:w w:val="125"/>
          <w:sz w:val="20"/>
        </w:rPr>
        <w:t> </w:t>
      </w:r>
      <w:r>
        <w:rPr>
          <w:spacing w:val="-9"/>
          <w:w w:val="125"/>
          <w:sz w:val="20"/>
        </w:rPr>
        <w:t>(3)</w:t>
      </w:r>
      <w:r>
        <w:rPr>
          <w:spacing w:val="-27"/>
          <w:w w:val="125"/>
          <w:sz w:val="20"/>
        </w:rPr>
        <w:t> </w:t>
      </w:r>
      <w:r>
        <w:rPr>
          <w:spacing w:val="-4"/>
          <w:w w:val="125"/>
          <w:sz w:val="20"/>
        </w:rPr>
        <w:t>Mersey,</w:t>
      </w:r>
      <w:r>
        <w:rPr>
          <w:spacing w:val="-27"/>
          <w:w w:val="125"/>
          <w:sz w:val="20"/>
        </w:rPr>
        <w:t> </w:t>
      </w:r>
      <w:r>
        <w:rPr>
          <w:spacing w:val="-11"/>
          <w:w w:val="125"/>
          <w:sz w:val="20"/>
        </w:rPr>
        <w:t>(4)</w:t>
      </w:r>
      <w:r>
        <w:rPr>
          <w:spacing w:val="-27"/>
          <w:w w:val="125"/>
          <w:sz w:val="20"/>
        </w:rPr>
        <w:t> </w:t>
      </w:r>
      <w:r>
        <w:rPr>
          <w:spacing w:val="-3"/>
          <w:w w:val="125"/>
          <w:sz w:val="20"/>
        </w:rPr>
        <w:t>Yorkshire,</w:t>
      </w:r>
      <w:r>
        <w:rPr>
          <w:spacing w:val="-27"/>
          <w:w w:val="125"/>
          <w:sz w:val="20"/>
        </w:rPr>
        <w:t> </w:t>
      </w:r>
      <w:r>
        <w:rPr>
          <w:spacing w:val="-9"/>
          <w:w w:val="125"/>
          <w:sz w:val="20"/>
        </w:rPr>
        <w:t>(5)</w:t>
      </w:r>
      <w:r>
        <w:rPr>
          <w:spacing w:val="-27"/>
          <w:w w:val="125"/>
          <w:sz w:val="20"/>
        </w:rPr>
        <w:t> </w:t>
      </w:r>
      <w:r>
        <w:rPr>
          <w:w w:val="125"/>
          <w:sz w:val="20"/>
        </w:rPr>
        <w:t>East</w:t>
      </w:r>
      <w:r>
        <w:rPr>
          <w:spacing w:val="-27"/>
          <w:w w:val="125"/>
          <w:sz w:val="20"/>
        </w:rPr>
        <w:t> </w:t>
      </w:r>
      <w:r>
        <w:rPr>
          <w:w w:val="125"/>
          <w:sz w:val="20"/>
        </w:rPr>
        <w:t>Midlands,</w:t>
      </w:r>
      <w:r>
        <w:rPr>
          <w:spacing w:val="-27"/>
          <w:w w:val="125"/>
          <w:sz w:val="20"/>
        </w:rPr>
        <w:t> </w:t>
      </w:r>
      <w:r>
        <w:rPr>
          <w:spacing w:val="-8"/>
          <w:w w:val="125"/>
          <w:sz w:val="20"/>
        </w:rPr>
        <w:t>(6)</w:t>
      </w:r>
      <w:r>
        <w:rPr>
          <w:spacing w:val="-27"/>
          <w:w w:val="125"/>
          <w:sz w:val="20"/>
        </w:rPr>
        <w:t> </w:t>
      </w:r>
      <w:r>
        <w:rPr>
          <w:w w:val="125"/>
          <w:sz w:val="20"/>
        </w:rPr>
        <w:t>West Midlands,</w:t>
      </w:r>
      <w:r>
        <w:rPr>
          <w:spacing w:val="-39"/>
          <w:w w:val="125"/>
          <w:sz w:val="20"/>
        </w:rPr>
        <w:t> </w:t>
      </w:r>
      <w:r>
        <w:rPr>
          <w:spacing w:val="-4"/>
          <w:w w:val="125"/>
          <w:sz w:val="20"/>
        </w:rPr>
        <w:t>(7)</w:t>
      </w:r>
      <w:r>
        <w:rPr>
          <w:spacing w:val="-39"/>
          <w:w w:val="125"/>
          <w:sz w:val="20"/>
        </w:rPr>
        <w:t> </w:t>
      </w:r>
      <w:r>
        <w:rPr>
          <w:w w:val="125"/>
          <w:sz w:val="20"/>
        </w:rPr>
        <w:t>Eastern,</w:t>
      </w:r>
      <w:r>
        <w:rPr>
          <w:spacing w:val="-38"/>
          <w:w w:val="125"/>
          <w:sz w:val="20"/>
        </w:rPr>
        <w:t> </w:t>
      </w:r>
      <w:r>
        <w:rPr>
          <w:spacing w:val="-10"/>
          <w:w w:val="125"/>
          <w:sz w:val="20"/>
        </w:rPr>
        <w:t>(8)</w:t>
      </w:r>
      <w:r>
        <w:rPr>
          <w:spacing w:val="-39"/>
          <w:w w:val="125"/>
          <w:sz w:val="20"/>
        </w:rPr>
        <w:t> </w:t>
      </w:r>
      <w:r>
        <w:rPr>
          <w:w w:val="125"/>
          <w:sz w:val="20"/>
        </w:rPr>
        <w:t>South</w:t>
      </w:r>
      <w:r>
        <w:rPr>
          <w:spacing w:val="-38"/>
          <w:w w:val="125"/>
          <w:sz w:val="20"/>
        </w:rPr>
        <w:t> </w:t>
      </w:r>
      <w:r>
        <w:rPr>
          <w:w w:val="125"/>
          <w:sz w:val="20"/>
        </w:rPr>
        <w:t>Western,</w:t>
      </w:r>
      <w:r>
        <w:rPr>
          <w:spacing w:val="-39"/>
          <w:w w:val="125"/>
          <w:sz w:val="20"/>
        </w:rPr>
        <w:t> </w:t>
      </w:r>
      <w:r>
        <w:rPr>
          <w:spacing w:val="-9"/>
          <w:w w:val="125"/>
          <w:sz w:val="20"/>
        </w:rPr>
        <w:t>(9)</w:t>
      </w:r>
      <w:r>
        <w:rPr>
          <w:spacing w:val="-39"/>
          <w:w w:val="125"/>
          <w:sz w:val="20"/>
        </w:rPr>
        <w:t> </w:t>
      </w:r>
      <w:r>
        <w:rPr>
          <w:w w:val="125"/>
          <w:sz w:val="20"/>
        </w:rPr>
        <w:t>Wessex,</w:t>
      </w:r>
      <w:r>
        <w:rPr>
          <w:spacing w:val="-38"/>
          <w:w w:val="125"/>
          <w:sz w:val="20"/>
        </w:rPr>
        <w:t> </w:t>
      </w:r>
      <w:r>
        <w:rPr>
          <w:spacing w:val="-10"/>
          <w:w w:val="125"/>
          <w:sz w:val="20"/>
        </w:rPr>
        <w:t>(10)</w:t>
      </w:r>
      <w:r>
        <w:rPr>
          <w:spacing w:val="-39"/>
          <w:w w:val="125"/>
          <w:sz w:val="20"/>
        </w:rPr>
        <w:t> </w:t>
      </w:r>
      <w:r>
        <w:rPr>
          <w:w w:val="125"/>
          <w:sz w:val="20"/>
        </w:rPr>
        <w:t>Thames</w:t>
      </w:r>
      <w:r>
        <w:rPr>
          <w:spacing w:val="-39"/>
          <w:w w:val="125"/>
          <w:sz w:val="20"/>
        </w:rPr>
        <w:t> </w:t>
      </w:r>
      <w:r>
        <w:rPr>
          <w:w w:val="125"/>
          <w:sz w:val="20"/>
        </w:rPr>
        <w:t>North,</w:t>
      </w:r>
      <w:r>
        <w:rPr>
          <w:spacing w:val="-38"/>
          <w:w w:val="125"/>
          <w:sz w:val="20"/>
        </w:rPr>
        <w:t> </w:t>
      </w:r>
      <w:r>
        <w:rPr>
          <w:spacing w:val="-15"/>
          <w:w w:val="125"/>
          <w:sz w:val="20"/>
        </w:rPr>
        <w:t>(11)</w:t>
      </w:r>
      <w:r>
        <w:rPr>
          <w:spacing w:val="-39"/>
          <w:w w:val="125"/>
          <w:sz w:val="20"/>
        </w:rPr>
        <w:t> </w:t>
      </w:r>
      <w:r>
        <w:rPr>
          <w:w w:val="125"/>
          <w:sz w:val="20"/>
        </w:rPr>
        <w:t>Southern,</w:t>
      </w:r>
    </w:p>
    <w:p>
      <w:pPr>
        <w:pStyle w:val="BodyText"/>
        <w:spacing w:line="240" w:lineRule="exact"/>
        <w:ind w:left="1814"/>
      </w:pPr>
      <w:r>
        <w:rPr>
          <w:w w:val="120"/>
        </w:rPr>
        <w:t>(12) Wales, (13) Scotland. This numbering is not shown where it is not relevant.</w:t>
      </w:r>
    </w:p>
    <w:p>
      <w:pPr>
        <w:pStyle w:val="ListParagraph"/>
        <w:numPr>
          <w:ilvl w:val="0"/>
          <w:numId w:val="147"/>
        </w:numPr>
        <w:tabs>
          <w:tab w:pos="1814" w:val="left" w:leader="none"/>
          <w:tab w:pos="1815" w:val="left" w:leader="none"/>
        </w:tabs>
        <w:spacing w:line="235" w:lineRule="auto" w:before="2" w:after="0"/>
        <w:ind w:left="1814" w:right="2141" w:hanging="681"/>
        <w:jc w:val="left"/>
        <w:rPr>
          <w:sz w:val="20"/>
        </w:rPr>
      </w:pPr>
      <w:r>
        <w:rPr>
          <w:w w:val="120"/>
          <w:sz w:val="20"/>
        </w:rPr>
        <w:t>When a member of a committee is there as a representative of another body or a particular category this is indicated in round brackets following the</w:t>
      </w:r>
      <w:r>
        <w:rPr>
          <w:spacing w:val="47"/>
          <w:w w:val="120"/>
          <w:sz w:val="20"/>
        </w:rPr>
        <w:t> </w:t>
      </w:r>
      <w:r>
        <w:rPr>
          <w:w w:val="120"/>
          <w:sz w:val="20"/>
        </w:rPr>
        <w:t>name.</w:t>
      </w:r>
    </w:p>
    <w:p>
      <w:pPr>
        <w:pStyle w:val="ListParagraph"/>
        <w:numPr>
          <w:ilvl w:val="0"/>
          <w:numId w:val="147"/>
        </w:numPr>
        <w:tabs>
          <w:tab w:pos="1814" w:val="left" w:leader="none"/>
          <w:tab w:pos="1815" w:val="left" w:leader="none"/>
        </w:tabs>
        <w:spacing w:line="235" w:lineRule="auto" w:before="1" w:after="0"/>
        <w:ind w:left="1814" w:right="1681" w:hanging="681"/>
        <w:jc w:val="left"/>
        <w:rPr>
          <w:sz w:val="20"/>
        </w:rPr>
      </w:pPr>
      <w:r>
        <w:rPr>
          <w:w w:val="120"/>
          <w:sz w:val="20"/>
        </w:rPr>
        <w:t>Committee membership is normally for a period of four years, though this may sometimes exceptionally be renewable. Committee conveners serve an additional preliminary year as convener elect. In sections 1-4 of the report, appointments with a different term are</w:t>
      </w:r>
      <w:r>
        <w:rPr>
          <w:spacing w:val="5"/>
          <w:w w:val="120"/>
          <w:sz w:val="20"/>
        </w:rPr>
        <w:t> </w:t>
      </w:r>
      <w:r>
        <w:rPr>
          <w:w w:val="120"/>
          <w:sz w:val="20"/>
        </w:rPr>
        <w:t>noted.</w:t>
      </w:r>
    </w:p>
    <w:p>
      <w:pPr>
        <w:pStyle w:val="ListParagraph"/>
        <w:numPr>
          <w:ilvl w:val="0"/>
          <w:numId w:val="147"/>
        </w:numPr>
        <w:tabs>
          <w:tab w:pos="1814" w:val="left" w:leader="none"/>
          <w:tab w:pos="1815" w:val="left" w:leader="none"/>
        </w:tabs>
        <w:spacing w:line="235" w:lineRule="auto" w:before="3" w:after="0"/>
        <w:ind w:left="1814" w:right="2181" w:hanging="681"/>
        <w:jc w:val="left"/>
        <w:rPr>
          <w:sz w:val="20"/>
        </w:rPr>
      </w:pPr>
      <w:r>
        <w:rPr>
          <w:w w:val="120"/>
          <w:sz w:val="20"/>
        </w:rPr>
        <w:t>The date in square brackets following the name indicates the date of retirement, assuming a full</w:t>
      </w:r>
      <w:r>
        <w:rPr>
          <w:spacing w:val="5"/>
          <w:w w:val="120"/>
          <w:sz w:val="20"/>
        </w:rPr>
        <w:t> </w:t>
      </w:r>
      <w:r>
        <w:rPr>
          <w:w w:val="120"/>
          <w:sz w:val="20"/>
        </w:rPr>
        <w:t>term.</w:t>
      </w:r>
    </w:p>
    <w:p>
      <w:pPr>
        <w:pStyle w:val="ListParagraph"/>
        <w:numPr>
          <w:ilvl w:val="0"/>
          <w:numId w:val="147"/>
        </w:numPr>
        <w:tabs>
          <w:tab w:pos="1814" w:val="left" w:leader="none"/>
          <w:tab w:pos="1815" w:val="left" w:leader="none"/>
        </w:tabs>
        <w:spacing w:line="235" w:lineRule="auto" w:before="1" w:after="0"/>
        <w:ind w:left="1814" w:right="2078" w:hanging="681"/>
        <w:jc w:val="left"/>
        <w:rPr>
          <w:sz w:val="20"/>
        </w:rPr>
      </w:pPr>
      <w:r>
        <w:rPr>
          <w:w w:val="120"/>
          <w:sz w:val="20"/>
        </w:rPr>
        <w:t>In accordance with the decision of General Assembly </w:t>
      </w:r>
      <w:r>
        <w:rPr>
          <w:spacing w:val="2"/>
          <w:w w:val="120"/>
          <w:sz w:val="20"/>
        </w:rPr>
        <w:t>2000 </w:t>
      </w:r>
      <w:r>
        <w:rPr>
          <w:w w:val="120"/>
          <w:sz w:val="20"/>
        </w:rPr>
        <w:t>some nominations are made directly by the National Synods of Wales and</w:t>
      </w:r>
      <w:r>
        <w:rPr>
          <w:spacing w:val="21"/>
          <w:w w:val="120"/>
          <w:sz w:val="20"/>
        </w:rPr>
        <w:t> </w:t>
      </w:r>
      <w:r>
        <w:rPr>
          <w:w w:val="120"/>
          <w:sz w:val="20"/>
        </w:rPr>
        <w:t>Scotland.</w:t>
      </w:r>
    </w:p>
    <w:p>
      <w:pPr>
        <w:pStyle w:val="ListParagraph"/>
        <w:numPr>
          <w:ilvl w:val="0"/>
          <w:numId w:val="147"/>
        </w:numPr>
        <w:tabs>
          <w:tab w:pos="1814" w:val="left" w:leader="none"/>
          <w:tab w:pos="1815" w:val="left" w:leader="none"/>
        </w:tabs>
        <w:spacing w:line="235" w:lineRule="auto" w:before="2" w:after="0"/>
        <w:ind w:left="1814" w:right="1871" w:hanging="681"/>
        <w:jc w:val="both"/>
        <w:rPr>
          <w:sz w:val="20"/>
        </w:rPr>
      </w:pPr>
      <w:r>
        <w:rPr>
          <w:w w:val="120"/>
          <w:sz w:val="20"/>
        </w:rPr>
        <w:t>In years when General Assembly meets, new committee members normally take up their roles at the conclusion of Assembly. In years when General Assembly does not meet, they normally begin on </w:t>
      </w:r>
      <w:r>
        <w:rPr>
          <w:spacing w:val="-4"/>
          <w:w w:val="120"/>
          <w:sz w:val="20"/>
        </w:rPr>
        <w:t>1</w:t>
      </w:r>
      <w:r>
        <w:rPr>
          <w:spacing w:val="-4"/>
          <w:w w:val="120"/>
          <w:position w:val="7"/>
          <w:sz w:val="11"/>
        </w:rPr>
        <w:t>st</w:t>
      </w:r>
      <w:r>
        <w:rPr>
          <w:spacing w:val="12"/>
          <w:w w:val="120"/>
          <w:position w:val="7"/>
          <w:sz w:val="11"/>
        </w:rPr>
        <w:t> </w:t>
      </w:r>
      <w:r>
        <w:rPr>
          <w:spacing w:val="-3"/>
          <w:w w:val="120"/>
          <w:sz w:val="20"/>
        </w:rPr>
        <w:t>July.</w:t>
      </w:r>
    </w:p>
    <w:p>
      <w:pPr>
        <w:pStyle w:val="BodyText"/>
        <w:spacing w:before="6"/>
        <w:rPr>
          <w:sz w:val="11"/>
        </w:rPr>
      </w:pPr>
      <w:r>
        <w:rPr/>
        <w:pict>
          <v:shape style="position:absolute;margin-left:56.692902pt;margin-top:9.223232pt;width:447.9pt;height:.1pt;mso-position-horizontal-relative:page;mso-position-vertical-relative:paragraph;z-index:-251115520;mso-wrap-distance-left:0;mso-wrap-distance-right:0" coordorigin="1134,184" coordsize="8958,0" path="m1134,184l10091,184e" filled="false" stroked="true" strokeweight=".5pt" strokecolor="#ca4f1b">
            <v:path arrowok="t"/>
            <v:stroke dashstyle="solid"/>
            <w10:wrap type="topAndBottom"/>
          </v:shape>
        </w:pict>
      </w:r>
    </w:p>
    <w:p>
      <w:pPr>
        <w:pStyle w:val="BodyText"/>
        <w:spacing w:before="11"/>
        <w:rPr>
          <w:sz w:val="25"/>
        </w:rPr>
      </w:pPr>
    </w:p>
    <w:p>
      <w:pPr>
        <w:pStyle w:val="ListParagraph"/>
        <w:numPr>
          <w:ilvl w:val="0"/>
          <w:numId w:val="148"/>
        </w:numPr>
        <w:tabs>
          <w:tab w:pos="1814" w:val="left" w:leader="none"/>
          <w:tab w:pos="1815" w:val="left" w:leader="none"/>
        </w:tabs>
        <w:spacing w:line="240" w:lineRule="auto" w:before="0" w:after="0"/>
        <w:ind w:left="1814" w:right="0" w:hanging="682"/>
        <w:jc w:val="left"/>
        <w:rPr>
          <w:rFonts w:ascii="Stone Sans II ITC Std Bk"/>
          <w:b/>
          <w:sz w:val="29"/>
        </w:rPr>
      </w:pPr>
      <w:r>
        <w:rPr>
          <w:rFonts w:ascii="Stone Sans II ITC Std Bk"/>
          <w:b/>
          <w:color w:val="CA4F1B"/>
          <w:spacing w:val="3"/>
          <w:w w:val="110"/>
          <w:sz w:val="29"/>
        </w:rPr>
        <w:t>Mission</w:t>
      </w:r>
      <w:r>
        <w:rPr>
          <w:rFonts w:ascii="Stone Sans II ITC Std Bk"/>
          <w:b/>
          <w:color w:val="CA4F1B"/>
          <w:spacing w:val="12"/>
          <w:w w:val="110"/>
          <w:sz w:val="29"/>
        </w:rPr>
        <w:t> </w:t>
      </w:r>
      <w:r>
        <w:rPr>
          <w:rFonts w:ascii="Stone Sans II ITC Std Bk"/>
          <w:b/>
          <w:color w:val="CA4F1B"/>
          <w:spacing w:val="2"/>
          <w:w w:val="110"/>
          <w:sz w:val="29"/>
        </w:rPr>
        <w:t>Council</w:t>
      </w:r>
    </w:p>
    <w:p>
      <w:pPr>
        <w:pStyle w:val="BodyText"/>
        <w:spacing w:line="235" w:lineRule="auto" w:before="136"/>
        <w:ind w:left="1133" w:right="1901"/>
      </w:pPr>
      <w:r>
        <w:rPr>
          <w:w w:val="120"/>
        </w:rPr>
        <w:t>Mission Council acts on behalf of General Assembly. It consists of the officers of Assembly, the synod moderators and three representatives from each synod together with the conveners of Assembly committees.</w:t>
      </w:r>
    </w:p>
    <w:p>
      <w:pPr>
        <w:pStyle w:val="BodyText"/>
        <w:spacing w:before="6"/>
        <w:rPr>
          <w:sz w:val="19"/>
        </w:rPr>
      </w:pPr>
    </w:p>
    <w:p>
      <w:pPr>
        <w:spacing w:line="242" w:lineRule="exact" w:before="0"/>
        <w:ind w:left="1133" w:right="0" w:firstLine="0"/>
        <w:jc w:val="left"/>
        <w:rPr>
          <w:i/>
          <w:sz w:val="20"/>
        </w:rPr>
      </w:pPr>
      <w:r>
        <w:rPr>
          <w:i/>
          <w:w w:val="110"/>
          <w:sz w:val="20"/>
        </w:rPr>
        <w:t>(Synods appoint and decide terms for their representatives)</w:t>
      </w:r>
    </w:p>
    <w:p>
      <w:pPr>
        <w:pStyle w:val="BodyText"/>
        <w:tabs>
          <w:tab w:pos="3953" w:val="left" w:leader="none"/>
        </w:tabs>
        <w:spacing w:line="235" w:lineRule="auto" w:before="2"/>
        <w:ind w:left="1133" w:right="2305"/>
      </w:pPr>
      <w:r>
        <w:rPr>
          <w:spacing w:val="2"/>
          <w:w w:val="120"/>
        </w:rPr>
        <w:t>Northern</w:t>
      </w:r>
      <w:r>
        <w:rPr>
          <w:spacing w:val="7"/>
          <w:w w:val="120"/>
        </w:rPr>
        <w:t> </w:t>
      </w:r>
      <w:r>
        <w:rPr>
          <w:w w:val="120"/>
        </w:rPr>
        <w:t>Synod</w:t>
        <w:tab/>
        <w:t>Revd John Durell, Miss Elaine Colechin, Mr Justice Semuli </w:t>
      </w:r>
      <w:r>
        <w:rPr>
          <w:spacing w:val="2"/>
          <w:w w:val="120"/>
        </w:rPr>
        <w:t>North</w:t>
      </w:r>
      <w:r>
        <w:rPr>
          <w:spacing w:val="1"/>
          <w:w w:val="120"/>
        </w:rPr>
        <w:t> </w:t>
      </w:r>
      <w:r>
        <w:rPr>
          <w:w w:val="120"/>
        </w:rPr>
        <w:t>Western</w:t>
      </w:r>
      <w:r>
        <w:rPr>
          <w:spacing w:val="1"/>
          <w:w w:val="120"/>
        </w:rPr>
        <w:t> </w:t>
      </w:r>
      <w:r>
        <w:rPr>
          <w:w w:val="120"/>
        </w:rPr>
        <w:t>Synod</w:t>
        <w:tab/>
        <w:t>Mr Geoffrey Clarke, Mr George Grime, Revd Sally Thomas Mersey</w:t>
      </w:r>
      <w:r>
        <w:rPr>
          <w:spacing w:val="1"/>
          <w:w w:val="120"/>
        </w:rPr>
        <w:t> </w:t>
      </w:r>
      <w:r>
        <w:rPr>
          <w:w w:val="120"/>
        </w:rPr>
        <w:t>Synod</w:t>
        <w:tab/>
        <w:t>Mr Arthur Swift, Miss Emma Pugh, Revd Gordon Smith Yorkshire</w:t>
      </w:r>
      <w:r>
        <w:rPr>
          <w:spacing w:val="1"/>
          <w:w w:val="120"/>
        </w:rPr>
        <w:t> </w:t>
      </w:r>
      <w:r>
        <w:rPr>
          <w:w w:val="120"/>
        </w:rPr>
        <w:t>Synod</w:t>
        <w:tab/>
        <w:t>Mr Chris Reed, Revd Kay Alberg, Mrs Jenny</w:t>
      </w:r>
      <w:r>
        <w:rPr>
          <w:spacing w:val="13"/>
          <w:w w:val="120"/>
        </w:rPr>
        <w:t> </w:t>
      </w:r>
      <w:r>
        <w:rPr>
          <w:w w:val="120"/>
        </w:rPr>
        <w:t>Poulter</w:t>
      </w:r>
    </w:p>
    <w:p>
      <w:pPr>
        <w:pStyle w:val="BodyText"/>
        <w:tabs>
          <w:tab w:pos="3953" w:val="left" w:leader="none"/>
        </w:tabs>
        <w:spacing w:line="235" w:lineRule="auto" w:before="3"/>
        <w:ind w:left="1133" w:right="2667"/>
      </w:pPr>
      <w:r>
        <w:rPr>
          <w:w w:val="120"/>
        </w:rPr>
        <w:t>East</w:t>
      </w:r>
      <w:r>
        <w:rPr>
          <w:spacing w:val="3"/>
          <w:w w:val="120"/>
        </w:rPr>
        <w:t> </w:t>
      </w:r>
      <w:r>
        <w:rPr>
          <w:w w:val="120"/>
        </w:rPr>
        <w:t>Midlands</w:t>
      </w:r>
      <w:r>
        <w:rPr>
          <w:spacing w:val="3"/>
          <w:w w:val="120"/>
        </w:rPr>
        <w:t> </w:t>
      </w:r>
      <w:r>
        <w:rPr>
          <w:w w:val="120"/>
        </w:rPr>
        <w:t>Synod</w:t>
        <w:tab/>
        <w:t>Mr Duncan Smith, Mrs Jill </w:t>
      </w:r>
      <w:r>
        <w:rPr>
          <w:spacing w:val="-4"/>
          <w:w w:val="120"/>
        </w:rPr>
        <w:t>Turner, </w:t>
      </w:r>
      <w:r>
        <w:rPr>
          <w:w w:val="120"/>
        </w:rPr>
        <w:t>Revd Jane Campbell West Midlands</w:t>
      </w:r>
      <w:r>
        <w:rPr>
          <w:spacing w:val="1"/>
          <w:w w:val="120"/>
        </w:rPr>
        <w:t> </w:t>
      </w:r>
      <w:r>
        <w:rPr>
          <w:w w:val="120"/>
        </w:rPr>
        <w:t>Synod</w:t>
        <w:tab/>
        <w:t>Mr Bill Robson, Mrs Adella Pritchard, Mrs Val</w:t>
      </w:r>
      <w:r>
        <w:rPr>
          <w:spacing w:val="-24"/>
          <w:w w:val="120"/>
        </w:rPr>
        <w:t> </w:t>
      </w:r>
      <w:r>
        <w:rPr>
          <w:w w:val="120"/>
        </w:rPr>
        <w:t>Phillips</w:t>
      </w:r>
    </w:p>
    <w:p>
      <w:pPr>
        <w:pStyle w:val="BodyText"/>
        <w:tabs>
          <w:tab w:pos="3953" w:val="left" w:leader="none"/>
        </w:tabs>
        <w:spacing w:line="235" w:lineRule="auto" w:before="1"/>
        <w:ind w:left="1133" w:right="2121"/>
      </w:pPr>
      <w:r>
        <w:rPr>
          <w:w w:val="120"/>
        </w:rPr>
        <w:t>Eastern</w:t>
      </w:r>
      <w:r>
        <w:rPr>
          <w:spacing w:val="1"/>
          <w:w w:val="120"/>
        </w:rPr>
        <w:t> </w:t>
      </w:r>
      <w:r>
        <w:rPr>
          <w:w w:val="120"/>
        </w:rPr>
        <w:t>Synod</w:t>
        <w:tab/>
        <w:t>Revd Catherine Ball., Mrs Linda Harrison, Mr Clifford Patten South</w:t>
      </w:r>
      <w:r>
        <w:rPr>
          <w:spacing w:val="1"/>
          <w:w w:val="120"/>
        </w:rPr>
        <w:t> </w:t>
      </w:r>
      <w:r>
        <w:rPr>
          <w:w w:val="120"/>
        </w:rPr>
        <w:t>Western</w:t>
      </w:r>
      <w:r>
        <w:rPr>
          <w:spacing w:val="1"/>
          <w:w w:val="120"/>
        </w:rPr>
        <w:t> </w:t>
      </w:r>
      <w:r>
        <w:rPr>
          <w:w w:val="120"/>
        </w:rPr>
        <w:t>Synod</w:t>
        <w:tab/>
        <w:t>Revd Roz Harrison, Revd Stephen</w:t>
      </w:r>
      <w:r>
        <w:rPr>
          <w:spacing w:val="13"/>
          <w:w w:val="120"/>
        </w:rPr>
        <w:t> </w:t>
      </w:r>
      <w:r>
        <w:rPr>
          <w:w w:val="120"/>
        </w:rPr>
        <w:t>Newell,</w:t>
      </w:r>
    </w:p>
    <w:p>
      <w:pPr>
        <w:pStyle w:val="BodyText"/>
        <w:spacing w:line="242" w:lineRule="exact"/>
        <w:ind w:left="3953"/>
      </w:pPr>
      <w:r>
        <w:rPr>
          <w:w w:val="120"/>
        </w:rPr>
        <w:t>Mrs Sarah Lane Cawte</w:t>
      </w:r>
    </w:p>
    <w:p>
      <w:pPr>
        <w:spacing w:after="0" w:line="242" w:lineRule="exact"/>
        <w:sectPr>
          <w:headerReference w:type="even" r:id="rId469"/>
          <w:headerReference w:type="default" r:id="rId470"/>
          <w:footerReference w:type="even" r:id="rId471"/>
          <w:footerReference w:type="default" r:id="rId472"/>
          <w:pgSz w:w="11910" w:h="16840"/>
          <w:pgMar w:header="0" w:footer="647" w:top="1060" w:bottom="840" w:left="0" w:right="0"/>
          <w:pgNumType w:start="174"/>
        </w:sectPr>
      </w:pPr>
    </w:p>
    <w:p>
      <w:pPr>
        <w:pStyle w:val="BodyText"/>
        <w:tabs>
          <w:tab w:pos="4804" w:val="left" w:leader="none"/>
        </w:tabs>
        <w:spacing w:line="235" w:lineRule="auto" w:before="91"/>
        <w:ind w:left="1984" w:right="1834"/>
      </w:pPr>
      <w:r>
        <w:rPr/>
        <w:pict>
          <v:rect style="position:absolute;margin-left:558.424988pt;margin-top:8.503343pt;width:22.677pt;height:22.677pt;mso-position-horizontal-relative:page;mso-position-vertical-relative:paragraph;z-index:252203008" filled="true" fillcolor="#dae4ec" stroked="false">
            <v:fill opacity="32768f" type="solid"/>
            <w10:wrap type="none"/>
          </v:rect>
        </w:pict>
      </w:r>
      <w:r>
        <w:rPr>
          <w:w w:val="120"/>
        </w:rPr>
        <w:t>Wessex</w:t>
      </w:r>
      <w:r>
        <w:rPr>
          <w:spacing w:val="-2"/>
          <w:w w:val="120"/>
        </w:rPr>
        <w:t> </w:t>
      </w:r>
      <w:r>
        <w:rPr>
          <w:w w:val="120"/>
        </w:rPr>
        <w:t>Synod</w:t>
        <w:tab/>
        <w:t>Mr</w:t>
      </w:r>
      <w:r>
        <w:rPr>
          <w:spacing w:val="-8"/>
          <w:w w:val="120"/>
        </w:rPr>
        <w:t> </w:t>
      </w:r>
      <w:r>
        <w:rPr>
          <w:w w:val="120"/>
        </w:rPr>
        <w:t>Peter</w:t>
      </w:r>
      <w:r>
        <w:rPr>
          <w:spacing w:val="-7"/>
          <w:w w:val="120"/>
        </w:rPr>
        <w:t> </w:t>
      </w:r>
      <w:r>
        <w:rPr>
          <w:spacing w:val="-5"/>
          <w:w w:val="120"/>
        </w:rPr>
        <w:t>Pay,</w:t>
      </w:r>
      <w:r>
        <w:rPr>
          <w:spacing w:val="-8"/>
          <w:w w:val="120"/>
        </w:rPr>
        <w:t> </w:t>
      </w:r>
      <w:r>
        <w:rPr>
          <w:w w:val="120"/>
        </w:rPr>
        <w:t>Mrs</w:t>
      </w:r>
      <w:r>
        <w:rPr>
          <w:spacing w:val="-8"/>
          <w:w w:val="120"/>
        </w:rPr>
        <w:t> </w:t>
      </w:r>
      <w:r>
        <w:rPr>
          <w:w w:val="120"/>
        </w:rPr>
        <w:t>Margaret</w:t>
      </w:r>
      <w:r>
        <w:rPr>
          <w:spacing w:val="-7"/>
          <w:w w:val="120"/>
        </w:rPr>
        <w:t> </w:t>
      </w:r>
      <w:r>
        <w:rPr>
          <w:spacing w:val="-4"/>
          <w:w w:val="120"/>
        </w:rPr>
        <w:t>Telfer,</w:t>
      </w:r>
      <w:r>
        <w:rPr>
          <w:spacing w:val="-8"/>
          <w:w w:val="120"/>
        </w:rPr>
        <w:t> </w:t>
      </w:r>
      <w:r>
        <w:rPr>
          <w:w w:val="120"/>
        </w:rPr>
        <w:t>Revd</w:t>
      </w:r>
      <w:r>
        <w:rPr>
          <w:spacing w:val="-8"/>
          <w:w w:val="120"/>
        </w:rPr>
        <w:t> </w:t>
      </w:r>
      <w:r>
        <w:rPr>
          <w:spacing w:val="2"/>
          <w:w w:val="120"/>
        </w:rPr>
        <w:t>Mary</w:t>
      </w:r>
      <w:r>
        <w:rPr>
          <w:spacing w:val="-8"/>
          <w:w w:val="120"/>
        </w:rPr>
        <w:t> </w:t>
      </w:r>
      <w:r>
        <w:rPr>
          <w:w w:val="120"/>
        </w:rPr>
        <w:t>Thomas Thames</w:t>
      </w:r>
      <w:r>
        <w:rPr>
          <w:spacing w:val="6"/>
          <w:w w:val="120"/>
        </w:rPr>
        <w:t> </w:t>
      </w:r>
      <w:r>
        <w:rPr>
          <w:spacing w:val="2"/>
          <w:w w:val="120"/>
        </w:rPr>
        <w:t>North</w:t>
      </w:r>
      <w:r>
        <w:rPr>
          <w:spacing w:val="7"/>
          <w:w w:val="120"/>
        </w:rPr>
        <w:t> </w:t>
      </w:r>
      <w:r>
        <w:rPr>
          <w:w w:val="120"/>
        </w:rPr>
        <w:t>Synod</w:t>
        <w:tab/>
        <w:t>Mr Simon Fairnington, Revd Maggie</w:t>
      </w:r>
      <w:r>
        <w:rPr>
          <w:spacing w:val="21"/>
          <w:w w:val="120"/>
        </w:rPr>
        <w:t> </w:t>
      </w:r>
      <w:r>
        <w:rPr>
          <w:w w:val="120"/>
        </w:rPr>
        <w:t>Hindley,</w:t>
      </w:r>
    </w:p>
    <w:p>
      <w:pPr>
        <w:pStyle w:val="BodyText"/>
        <w:spacing w:line="240" w:lineRule="exact"/>
        <w:ind w:left="4804"/>
      </w:pPr>
      <w:r>
        <w:rPr>
          <w:w w:val="120"/>
        </w:rPr>
        <w:t>Revd David Lawrence</w:t>
      </w:r>
    </w:p>
    <w:p>
      <w:pPr>
        <w:pStyle w:val="BodyText"/>
        <w:tabs>
          <w:tab w:pos="4804" w:val="left" w:leader="none"/>
        </w:tabs>
        <w:spacing w:line="240" w:lineRule="exact"/>
        <w:ind w:left="1984"/>
      </w:pPr>
      <w:r>
        <w:rPr>
          <w:w w:val="120"/>
        </w:rPr>
        <w:t>Southern</w:t>
      </w:r>
      <w:r>
        <w:rPr>
          <w:spacing w:val="9"/>
          <w:w w:val="120"/>
        </w:rPr>
        <w:t> </w:t>
      </w:r>
      <w:r>
        <w:rPr>
          <w:w w:val="120"/>
        </w:rPr>
        <w:t>Synod</w:t>
        <w:tab/>
        <w:t>Revd Derrick Sena</w:t>
      </w:r>
      <w:r>
        <w:rPr>
          <w:spacing w:val="9"/>
          <w:w w:val="120"/>
        </w:rPr>
        <w:t> </w:t>
      </w:r>
      <w:r>
        <w:rPr>
          <w:w w:val="120"/>
        </w:rPr>
        <w:t>Dzandu-Hedidor,</w:t>
      </w:r>
    </w:p>
    <w:p>
      <w:pPr>
        <w:pStyle w:val="BodyText"/>
        <w:tabs>
          <w:tab w:pos="4804" w:val="left" w:leader="none"/>
        </w:tabs>
        <w:spacing w:line="235" w:lineRule="auto" w:before="1"/>
        <w:ind w:left="1984" w:right="2257" w:firstLine="2819"/>
      </w:pPr>
      <w:r>
        <w:rPr>
          <w:w w:val="120"/>
        </w:rPr>
        <w:t>Revd Christopher Parker, Revd Zamantha Walker National Synod</w:t>
      </w:r>
      <w:r>
        <w:rPr>
          <w:spacing w:val="-3"/>
          <w:w w:val="120"/>
        </w:rPr>
        <w:t> </w:t>
      </w:r>
      <w:r>
        <w:rPr>
          <w:w w:val="120"/>
        </w:rPr>
        <w:t>of</w:t>
      </w:r>
      <w:r>
        <w:rPr>
          <w:spacing w:val="-2"/>
          <w:w w:val="120"/>
        </w:rPr>
        <w:t> </w:t>
      </w:r>
      <w:r>
        <w:rPr>
          <w:w w:val="120"/>
        </w:rPr>
        <w:t>Wales</w:t>
        <w:tab/>
        <w:t>Revd Shelagh Pollard, Revd Peter</w:t>
      </w:r>
      <w:r>
        <w:rPr>
          <w:spacing w:val="22"/>
          <w:w w:val="120"/>
        </w:rPr>
        <w:t> </w:t>
      </w:r>
      <w:r>
        <w:rPr>
          <w:w w:val="120"/>
        </w:rPr>
        <w:t>Cruchley-Jones,</w:t>
      </w:r>
    </w:p>
    <w:p>
      <w:pPr>
        <w:pStyle w:val="BodyText"/>
        <w:spacing w:line="240" w:lineRule="exact"/>
        <w:ind w:left="4804"/>
      </w:pPr>
      <w:r>
        <w:rPr>
          <w:w w:val="115"/>
        </w:rPr>
        <w:t>Miss Iris Williams</w:t>
      </w:r>
    </w:p>
    <w:p>
      <w:pPr>
        <w:pStyle w:val="BodyText"/>
        <w:spacing w:line="242" w:lineRule="exact"/>
        <w:ind w:left="1984"/>
      </w:pPr>
      <w:r>
        <w:rPr>
          <w:w w:val="120"/>
        </w:rPr>
        <w:t>National Synod of Scotland Miss Irene Hudson, Mr Patrick Smyth, Revd John Sanderson</w:t>
      </w:r>
    </w:p>
    <w:p>
      <w:pPr>
        <w:pStyle w:val="BodyText"/>
        <w:rPr>
          <w:sz w:val="19"/>
        </w:rPr>
      </w:pPr>
    </w:p>
    <w:p>
      <w:pPr>
        <w:pStyle w:val="ListParagraph"/>
        <w:numPr>
          <w:ilvl w:val="1"/>
          <w:numId w:val="148"/>
        </w:numPr>
        <w:tabs>
          <w:tab w:pos="2664" w:val="left" w:leader="none"/>
          <w:tab w:pos="2665" w:val="left" w:leader="none"/>
        </w:tabs>
        <w:spacing w:line="230" w:lineRule="auto" w:before="0" w:after="0"/>
        <w:ind w:left="1984" w:right="5698" w:firstLine="0"/>
        <w:jc w:val="left"/>
        <w:rPr>
          <w:sz w:val="20"/>
        </w:rPr>
      </w:pPr>
      <w:r>
        <w:rPr>
          <w:rFonts w:ascii="Stone Sans II ITC Std Bk"/>
          <w:b/>
          <w:w w:val="115"/>
          <w:sz w:val="20"/>
        </w:rPr>
        <w:t>Mission Council Advisory Group </w:t>
      </w:r>
      <w:r>
        <w:rPr>
          <w:w w:val="120"/>
          <w:sz w:val="20"/>
        </w:rPr>
        <w:t>Convener: Moderator of General Assembly Secretary: Deputy General</w:t>
      </w:r>
      <w:r>
        <w:rPr>
          <w:spacing w:val="13"/>
          <w:w w:val="120"/>
          <w:sz w:val="20"/>
        </w:rPr>
        <w:t> </w:t>
      </w:r>
      <w:r>
        <w:rPr>
          <w:w w:val="120"/>
          <w:sz w:val="20"/>
        </w:rPr>
        <w:t>Secretary</w:t>
      </w:r>
    </w:p>
    <w:p>
      <w:pPr>
        <w:pStyle w:val="BodyText"/>
        <w:tabs>
          <w:tab w:pos="5584" w:val="left" w:leader="none"/>
        </w:tabs>
        <w:spacing w:line="238" w:lineRule="exact"/>
        <w:ind w:left="1984"/>
      </w:pPr>
      <w:r>
        <w:rPr>
          <w:w w:val="125"/>
        </w:rPr>
        <w:t>Revd David</w:t>
      </w:r>
      <w:r>
        <w:rPr>
          <w:spacing w:val="-19"/>
          <w:w w:val="125"/>
        </w:rPr>
        <w:t> </w:t>
      </w:r>
      <w:r>
        <w:rPr>
          <w:w w:val="125"/>
        </w:rPr>
        <w:t>Grosch-Miller</w:t>
      </w:r>
      <w:r>
        <w:rPr>
          <w:spacing w:val="-9"/>
          <w:w w:val="125"/>
        </w:rPr>
        <w:t> </w:t>
      </w:r>
      <w:r>
        <w:rPr>
          <w:spacing w:val="-11"/>
          <w:w w:val="125"/>
        </w:rPr>
        <w:t>(2011)</w:t>
        <w:tab/>
      </w:r>
      <w:r>
        <w:rPr>
          <w:w w:val="125"/>
        </w:rPr>
        <w:t>Revd Derrick Sena Dzandu-Hedidor</w:t>
      </w:r>
      <w:r>
        <w:rPr>
          <w:spacing w:val="-5"/>
          <w:w w:val="125"/>
        </w:rPr>
        <w:t> </w:t>
      </w:r>
      <w:r>
        <w:rPr>
          <w:spacing w:val="-8"/>
          <w:w w:val="125"/>
        </w:rPr>
        <w:t>(2014)</w:t>
      </w:r>
    </w:p>
    <w:p>
      <w:pPr>
        <w:pStyle w:val="BodyText"/>
        <w:tabs>
          <w:tab w:pos="5584" w:val="left" w:leader="none"/>
        </w:tabs>
        <w:spacing w:line="235" w:lineRule="auto" w:before="2"/>
        <w:ind w:left="1984" w:right="2545"/>
      </w:pPr>
      <w:r>
        <w:rPr>
          <w:w w:val="120"/>
        </w:rPr>
        <w:t>Revd Elizabeth</w:t>
      </w:r>
      <w:r>
        <w:rPr>
          <w:spacing w:val="26"/>
          <w:w w:val="120"/>
        </w:rPr>
        <w:t> </w:t>
      </w:r>
      <w:r>
        <w:rPr>
          <w:w w:val="120"/>
        </w:rPr>
        <w:t>Nash</w:t>
      </w:r>
      <w:r>
        <w:rPr>
          <w:spacing w:val="13"/>
          <w:w w:val="120"/>
        </w:rPr>
        <w:t> </w:t>
      </w:r>
      <w:r>
        <w:rPr>
          <w:spacing w:val="-8"/>
          <w:w w:val="120"/>
        </w:rPr>
        <w:t>(2014)</w:t>
        <w:tab/>
      </w:r>
      <w:r>
        <w:rPr>
          <w:w w:val="120"/>
        </w:rPr>
        <w:t>Moderators elect of General Assembly </w:t>
      </w:r>
      <w:r>
        <w:rPr>
          <w:spacing w:val="-3"/>
          <w:w w:val="120"/>
        </w:rPr>
        <w:t>[</w:t>
      </w:r>
      <w:r>
        <w:rPr>
          <w:i/>
          <w:spacing w:val="-3"/>
          <w:w w:val="120"/>
        </w:rPr>
        <w:t>ex </w:t>
      </w:r>
      <w:r>
        <w:rPr>
          <w:i/>
          <w:w w:val="120"/>
        </w:rPr>
        <w:t>officio:</w:t>
      </w:r>
      <w:r>
        <w:rPr>
          <w:i/>
          <w:spacing w:val="-20"/>
          <w:w w:val="120"/>
        </w:rPr>
        <w:t> </w:t>
      </w:r>
      <w:r>
        <w:rPr>
          <w:w w:val="120"/>
        </w:rPr>
        <w:t>General</w:t>
      </w:r>
      <w:r>
        <w:rPr>
          <w:spacing w:val="-8"/>
          <w:w w:val="120"/>
        </w:rPr>
        <w:t> </w:t>
      </w:r>
      <w:r>
        <w:rPr>
          <w:w w:val="120"/>
        </w:rPr>
        <w:t>Secretary</w:t>
        <w:tab/>
      </w:r>
      <w:r>
        <w:rPr>
          <w:spacing w:val="2"/>
          <w:w w:val="120"/>
        </w:rPr>
        <w:t>Honorary </w:t>
      </w:r>
      <w:r>
        <w:rPr>
          <w:spacing w:val="-3"/>
          <w:w w:val="120"/>
        </w:rPr>
        <w:t>Treasurer]</w:t>
      </w:r>
    </w:p>
    <w:p>
      <w:pPr>
        <w:pStyle w:val="BodyText"/>
        <w:spacing w:before="1"/>
        <w:rPr>
          <w:sz w:val="19"/>
        </w:rPr>
      </w:pPr>
    </w:p>
    <w:p>
      <w:pPr>
        <w:pStyle w:val="ListParagraph"/>
        <w:numPr>
          <w:ilvl w:val="1"/>
          <w:numId w:val="148"/>
        </w:numPr>
        <w:tabs>
          <w:tab w:pos="2664" w:val="left" w:leader="none"/>
          <w:tab w:pos="2665" w:val="left" w:leader="none"/>
        </w:tabs>
        <w:spacing w:line="230" w:lineRule="auto" w:before="0" w:after="0"/>
        <w:ind w:left="1984" w:right="6674" w:firstLine="0"/>
        <w:jc w:val="left"/>
        <w:rPr>
          <w:sz w:val="20"/>
        </w:rPr>
      </w:pPr>
      <w:r>
        <w:rPr>
          <w:rFonts w:ascii="Stone Sans II ITC Std Bk"/>
          <w:b/>
          <w:w w:val="110"/>
          <w:sz w:val="20"/>
        </w:rPr>
        <w:t>Staffing Advisory Group </w:t>
      </w:r>
      <w:r>
        <w:rPr>
          <w:w w:val="120"/>
          <w:sz w:val="20"/>
        </w:rPr>
        <w:t>Convener: Revd Rowena Francis Secretary: General</w:t>
      </w:r>
      <w:r>
        <w:rPr>
          <w:spacing w:val="5"/>
          <w:w w:val="120"/>
          <w:sz w:val="20"/>
        </w:rPr>
        <w:t> </w:t>
      </w:r>
      <w:r>
        <w:rPr>
          <w:w w:val="120"/>
          <w:sz w:val="20"/>
        </w:rPr>
        <w:t>Secretary</w:t>
      </w:r>
    </w:p>
    <w:p>
      <w:pPr>
        <w:pStyle w:val="BodyText"/>
        <w:tabs>
          <w:tab w:pos="5584" w:val="left" w:leader="none"/>
          <w:tab w:pos="8464" w:val="left" w:leader="none"/>
        </w:tabs>
        <w:spacing w:line="235" w:lineRule="auto"/>
        <w:ind w:left="1984" w:right="1725"/>
      </w:pPr>
      <w:r>
        <w:rPr>
          <w:w w:val="120"/>
        </w:rPr>
        <w:t>Revd</w:t>
      </w:r>
      <w:r>
        <w:rPr>
          <w:spacing w:val="-2"/>
          <w:w w:val="120"/>
        </w:rPr>
        <w:t> </w:t>
      </w:r>
      <w:r>
        <w:rPr>
          <w:w w:val="120"/>
        </w:rPr>
        <w:t>Ann</w:t>
      </w:r>
      <w:r>
        <w:rPr>
          <w:spacing w:val="-1"/>
          <w:w w:val="120"/>
        </w:rPr>
        <w:t> </w:t>
      </w:r>
      <w:r>
        <w:rPr>
          <w:w w:val="120"/>
        </w:rPr>
        <w:t>Jack</w:t>
        <w:tab/>
        <w:t>Mr</w:t>
      </w:r>
      <w:r>
        <w:rPr>
          <w:spacing w:val="-9"/>
          <w:w w:val="120"/>
        </w:rPr>
        <w:t> </w:t>
      </w:r>
      <w:r>
        <w:rPr>
          <w:w w:val="120"/>
        </w:rPr>
        <w:t>Peter</w:t>
      </w:r>
      <w:r>
        <w:rPr>
          <w:spacing w:val="-10"/>
          <w:w w:val="120"/>
        </w:rPr>
        <w:t> </w:t>
      </w:r>
      <w:r>
        <w:rPr>
          <w:w w:val="120"/>
        </w:rPr>
        <w:t>Pay</w:t>
        <w:tab/>
        <w:t>Mr Keith </w:t>
      </w:r>
      <w:r>
        <w:rPr>
          <w:spacing w:val="-3"/>
          <w:w w:val="120"/>
        </w:rPr>
        <w:t>Webster </w:t>
      </w:r>
      <w:r>
        <w:rPr>
          <w:w w:val="120"/>
        </w:rPr>
        <w:t>Head of Human</w:t>
      </w:r>
      <w:r>
        <w:rPr>
          <w:spacing w:val="5"/>
          <w:w w:val="120"/>
        </w:rPr>
        <w:t> </w:t>
      </w:r>
      <w:r>
        <w:rPr>
          <w:w w:val="120"/>
        </w:rPr>
        <w:t>Resources</w:t>
      </w:r>
    </w:p>
    <w:p>
      <w:pPr>
        <w:pStyle w:val="BodyText"/>
        <w:spacing w:before="1"/>
        <w:rPr>
          <w:sz w:val="19"/>
        </w:rPr>
      </w:pPr>
    </w:p>
    <w:p>
      <w:pPr>
        <w:pStyle w:val="ListParagraph"/>
        <w:numPr>
          <w:ilvl w:val="1"/>
          <w:numId w:val="148"/>
        </w:numPr>
        <w:tabs>
          <w:tab w:pos="2704" w:val="left" w:leader="none"/>
          <w:tab w:pos="2705" w:val="left" w:leader="none"/>
        </w:tabs>
        <w:spacing w:line="230" w:lineRule="auto" w:before="0" w:after="0"/>
        <w:ind w:left="1984" w:right="5467" w:firstLine="0"/>
        <w:jc w:val="left"/>
        <w:rPr>
          <w:sz w:val="20"/>
        </w:rPr>
      </w:pPr>
      <w:r>
        <w:rPr>
          <w:rFonts w:ascii="Stone Sans II ITC Std Bk"/>
          <w:b/>
          <w:w w:val="120"/>
          <w:sz w:val="20"/>
        </w:rPr>
        <w:t>Law and Polity Advisory Group </w:t>
      </w:r>
      <w:r>
        <w:rPr>
          <w:w w:val="120"/>
          <w:sz w:val="20"/>
        </w:rPr>
        <w:t>Convener: Revd Prof David Thompson </w:t>
      </w:r>
      <w:r>
        <w:rPr>
          <w:spacing w:val="-9"/>
          <w:w w:val="120"/>
          <w:sz w:val="20"/>
        </w:rPr>
        <w:t>(2012) </w:t>
      </w:r>
      <w:r>
        <w:rPr>
          <w:w w:val="120"/>
          <w:sz w:val="20"/>
        </w:rPr>
        <w:t>Secretary: Dr Auger</w:t>
      </w:r>
      <w:r>
        <w:rPr>
          <w:spacing w:val="6"/>
          <w:w w:val="120"/>
          <w:sz w:val="20"/>
        </w:rPr>
        <w:t> </w:t>
      </w:r>
      <w:r>
        <w:rPr>
          <w:w w:val="120"/>
          <w:sz w:val="20"/>
        </w:rPr>
        <w:t>Pearce</w:t>
      </w:r>
    </w:p>
    <w:p>
      <w:pPr>
        <w:pStyle w:val="BodyText"/>
        <w:tabs>
          <w:tab w:pos="5584" w:val="left" w:leader="none"/>
        </w:tabs>
        <w:spacing w:line="238" w:lineRule="exact"/>
        <w:ind w:left="1984"/>
      </w:pPr>
      <w:r>
        <w:rPr>
          <w:w w:val="120"/>
        </w:rPr>
        <w:t>Mr </w:t>
      </w:r>
      <w:r>
        <w:rPr>
          <w:spacing w:val="-3"/>
          <w:w w:val="120"/>
        </w:rPr>
        <w:t>David</w:t>
      </w:r>
      <w:r>
        <w:rPr>
          <w:spacing w:val="25"/>
          <w:w w:val="120"/>
        </w:rPr>
        <w:t> </w:t>
      </w:r>
      <w:r>
        <w:rPr>
          <w:w w:val="120"/>
        </w:rPr>
        <w:t>Eldridge</w:t>
      </w:r>
      <w:r>
        <w:rPr>
          <w:spacing w:val="13"/>
          <w:w w:val="120"/>
        </w:rPr>
        <w:t> </w:t>
      </w:r>
      <w:r>
        <w:rPr>
          <w:spacing w:val="-10"/>
          <w:w w:val="120"/>
        </w:rPr>
        <w:t>(2012)</w:t>
        <w:tab/>
      </w:r>
      <w:r>
        <w:rPr>
          <w:w w:val="120"/>
        </w:rPr>
        <w:t>Ms Morag </w:t>
      </w:r>
      <w:r>
        <w:rPr>
          <w:spacing w:val="-3"/>
          <w:w w:val="120"/>
        </w:rPr>
        <w:t>McLintock</w:t>
      </w:r>
      <w:r>
        <w:rPr>
          <w:spacing w:val="-4"/>
          <w:w w:val="120"/>
        </w:rPr>
        <w:t> </w:t>
      </w:r>
      <w:r>
        <w:rPr>
          <w:spacing w:val="-10"/>
          <w:w w:val="120"/>
        </w:rPr>
        <w:t>(2012)</w:t>
      </w:r>
    </w:p>
    <w:p>
      <w:pPr>
        <w:pStyle w:val="BodyText"/>
        <w:tabs>
          <w:tab w:pos="5584" w:val="left" w:leader="none"/>
        </w:tabs>
        <w:spacing w:line="235" w:lineRule="auto" w:before="2"/>
        <w:ind w:left="1984" w:right="4713"/>
      </w:pPr>
      <w:r>
        <w:rPr>
          <w:spacing w:val="-3"/>
          <w:w w:val="120"/>
        </w:rPr>
        <w:t>Revd </w:t>
      </w:r>
      <w:r>
        <w:rPr>
          <w:w w:val="120"/>
        </w:rPr>
        <w:t>John Durell</w:t>
      </w:r>
      <w:r>
        <w:rPr>
          <w:spacing w:val="26"/>
          <w:w w:val="120"/>
        </w:rPr>
        <w:t> </w:t>
      </w:r>
      <w:r>
        <w:rPr>
          <w:spacing w:val="-5"/>
          <w:w w:val="120"/>
        </w:rPr>
        <w:t>(Synod</w:t>
      </w:r>
      <w:r>
        <w:rPr>
          <w:spacing w:val="7"/>
          <w:w w:val="120"/>
        </w:rPr>
        <w:t> </w:t>
      </w:r>
      <w:r>
        <w:rPr>
          <w:spacing w:val="-4"/>
          <w:w w:val="120"/>
        </w:rPr>
        <w:t>Clerk)</w:t>
        <w:tab/>
      </w:r>
      <w:r>
        <w:rPr>
          <w:w w:val="120"/>
        </w:rPr>
        <w:t>Mr Donald Swift </w:t>
      </w:r>
      <w:r>
        <w:rPr>
          <w:spacing w:val="-3"/>
          <w:w w:val="120"/>
        </w:rPr>
        <w:t>[</w:t>
      </w:r>
      <w:r>
        <w:rPr>
          <w:i/>
          <w:spacing w:val="-3"/>
          <w:w w:val="120"/>
        </w:rPr>
        <w:t>ex </w:t>
      </w:r>
      <w:r>
        <w:rPr>
          <w:i/>
          <w:w w:val="120"/>
        </w:rPr>
        <w:t>officio</w:t>
      </w:r>
      <w:r>
        <w:rPr>
          <w:w w:val="120"/>
        </w:rPr>
        <w:t>: Clerk to General Assembly, Legal</w:t>
      </w:r>
      <w:r>
        <w:rPr>
          <w:spacing w:val="1"/>
          <w:w w:val="120"/>
        </w:rPr>
        <w:t> </w:t>
      </w:r>
      <w:r>
        <w:rPr>
          <w:w w:val="120"/>
        </w:rPr>
        <w:t>Adviser]</w:t>
      </w:r>
    </w:p>
    <w:p>
      <w:pPr>
        <w:pStyle w:val="BodyText"/>
        <w:spacing w:before="5"/>
        <w:rPr>
          <w:sz w:val="18"/>
        </w:rPr>
      </w:pPr>
    </w:p>
    <w:p>
      <w:pPr>
        <w:numPr>
          <w:ilvl w:val="1"/>
          <w:numId w:val="148"/>
        </w:numPr>
        <w:tabs>
          <w:tab w:pos="2704" w:val="left" w:leader="none"/>
          <w:tab w:pos="2705" w:val="left" w:leader="none"/>
        </w:tabs>
        <w:spacing w:line="261" w:lineRule="exact" w:before="0"/>
        <w:ind w:left="2704" w:right="0" w:hanging="721"/>
        <w:jc w:val="left"/>
        <w:rPr>
          <w:rFonts w:ascii="Stone Sans II ITC Std Bk"/>
          <w:b/>
          <w:sz w:val="20"/>
        </w:rPr>
      </w:pPr>
      <w:r>
        <w:rPr>
          <w:rFonts w:ascii="Stone Sans II ITC Std Bk"/>
          <w:b/>
          <w:w w:val="110"/>
          <w:sz w:val="20"/>
        </w:rPr>
        <w:t>Listed Buildings Advisory</w:t>
      </w:r>
      <w:r>
        <w:rPr>
          <w:rFonts w:ascii="Stone Sans II ITC Std Bk"/>
          <w:b/>
          <w:spacing w:val="-1"/>
          <w:w w:val="110"/>
          <w:sz w:val="20"/>
        </w:rPr>
        <w:t> </w:t>
      </w:r>
      <w:r>
        <w:rPr>
          <w:rFonts w:ascii="Stone Sans II ITC Std Bk"/>
          <w:b/>
          <w:w w:val="110"/>
          <w:sz w:val="20"/>
        </w:rPr>
        <w:t>Group</w:t>
      </w:r>
    </w:p>
    <w:p>
      <w:pPr>
        <w:pStyle w:val="BodyText"/>
        <w:spacing w:line="235" w:lineRule="auto"/>
        <w:ind w:left="1984" w:right="6670"/>
      </w:pPr>
      <w:r>
        <w:rPr>
          <w:w w:val="120"/>
        </w:rPr>
        <w:t>Convener: Mr Hartley Oldham Secretary: Mr David Figures Correspondent for each synod</w:t>
      </w:r>
    </w:p>
    <w:p>
      <w:pPr>
        <w:pStyle w:val="BodyText"/>
        <w:spacing w:before="1"/>
        <w:rPr>
          <w:sz w:val="18"/>
        </w:rPr>
      </w:pPr>
    </w:p>
    <w:p>
      <w:pPr>
        <w:numPr>
          <w:ilvl w:val="1"/>
          <w:numId w:val="148"/>
        </w:numPr>
        <w:tabs>
          <w:tab w:pos="2704" w:val="left" w:leader="none"/>
          <w:tab w:pos="2705" w:val="left" w:leader="none"/>
        </w:tabs>
        <w:spacing w:line="261" w:lineRule="exact" w:before="0"/>
        <w:ind w:left="2704" w:right="0" w:hanging="721"/>
        <w:jc w:val="left"/>
        <w:rPr>
          <w:rFonts w:ascii="Stone Sans II ITC Std Bk"/>
          <w:b/>
          <w:sz w:val="20"/>
        </w:rPr>
      </w:pPr>
      <w:r>
        <w:rPr>
          <w:rFonts w:ascii="Stone Sans II ITC Std Bk"/>
          <w:b/>
          <w:w w:val="110"/>
          <w:sz w:val="20"/>
        </w:rPr>
        <w:t>Ethical Investment Advisory</w:t>
      </w:r>
      <w:r>
        <w:rPr>
          <w:rFonts w:ascii="Stone Sans II ITC Std Bk"/>
          <w:b/>
          <w:spacing w:val="-1"/>
          <w:w w:val="110"/>
          <w:sz w:val="20"/>
        </w:rPr>
        <w:t> </w:t>
      </w:r>
      <w:r>
        <w:rPr>
          <w:rFonts w:ascii="Stone Sans II ITC Std Bk"/>
          <w:b/>
          <w:w w:val="110"/>
          <w:sz w:val="20"/>
        </w:rPr>
        <w:t>Group</w:t>
      </w:r>
    </w:p>
    <w:p>
      <w:pPr>
        <w:pStyle w:val="BodyText"/>
        <w:spacing w:line="233" w:lineRule="exact"/>
        <w:ind w:left="1984"/>
      </w:pPr>
      <w:r>
        <w:rPr>
          <w:w w:val="120"/>
        </w:rPr>
        <w:t>Convener: Revd Raymond Singh</w:t>
      </w:r>
    </w:p>
    <w:p>
      <w:pPr>
        <w:pStyle w:val="BodyText"/>
        <w:spacing w:line="240" w:lineRule="exact"/>
        <w:ind w:left="1984"/>
      </w:pPr>
      <w:r>
        <w:rPr>
          <w:w w:val="120"/>
        </w:rPr>
        <w:t>Secretary: Secretary for Church and Society</w:t>
      </w:r>
    </w:p>
    <w:p>
      <w:pPr>
        <w:pStyle w:val="BodyText"/>
        <w:tabs>
          <w:tab w:pos="5584" w:val="left" w:leader="none"/>
        </w:tabs>
        <w:spacing w:line="240" w:lineRule="exact"/>
        <w:ind w:left="1984"/>
      </w:pPr>
      <w:r>
        <w:rPr>
          <w:w w:val="120"/>
        </w:rPr>
        <w:t>Mr</w:t>
      </w:r>
      <w:r>
        <w:rPr>
          <w:spacing w:val="-2"/>
          <w:w w:val="120"/>
        </w:rPr>
        <w:t> </w:t>
      </w:r>
      <w:r>
        <w:rPr>
          <w:w w:val="120"/>
        </w:rPr>
        <w:t>Mark</w:t>
      </w:r>
      <w:r>
        <w:rPr>
          <w:spacing w:val="-1"/>
          <w:w w:val="120"/>
        </w:rPr>
        <w:t> </w:t>
      </w:r>
      <w:r>
        <w:rPr>
          <w:w w:val="120"/>
        </w:rPr>
        <w:t>Chaloner</w:t>
        <w:tab/>
        <w:t>Mr Richard Nunn (Investment</w:t>
      </w:r>
      <w:r>
        <w:rPr>
          <w:spacing w:val="9"/>
          <w:w w:val="120"/>
        </w:rPr>
        <w:t> </w:t>
      </w:r>
      <w:r>
        <w:rPr>
          <w:w w:val="120"/>
        </w:rPr>
        <w:t>Committee)</w:t>
      </w:r>
    </w:p>
    <w:p>
      <w:pPr>
        <w:pStyle w:val="BodyText"/>
        <w:tabs>
          <w:tab w:pos="5584" w:val="left" w:leader="none"/>
        </w:tabs>
        <w:spacing w:line="240" w:lineRule="exact"/>
        <w:ind w:left="1984"/>
      </w:pPr>
      <w:r>
        <w:rPr>
          <w:w w:val="120"/>
        </w:rPr>
        <w:t>Mr</w:t>
      </w:r>
      <w:r>
        <w:rPr>
          <w:spacing w:val="1"/>
          <w:w w:val="120"/>
        </w:rPr>
        <w:t> </w:t>
      </w:r>
      <w:r>
        <w:rPr>
          <w:w w:val="120"/>
        </w:rPr>
        <w:t>Simon</w:t>
      </w:r>
      <w:r>
        <w:rPr>
          <w:spacing w:val="2"/>
          <w:w w:val="120"/>
        </w:rPr>
        <w:t> </w:t>
      </w:r>
      <w:r>
        <w:rPr>
          <w:w w:val="120"/>
        </w:rPr>
        <w:t>Loveitt</w:t>
        <w:tab/>
        <w:t>Mr Simon</w:t>
      </w:r>
      <w:r>
        <w:rPr>
          <w:spacing w:val="3"/>
          <w:w w:val="120"/>
        </w:rPr>
        <w:t> </w:t>
      </w:r>
      <w:r>
        <w:rPr>
          <w:w w:val="120"/>
        </w:rPr>
        <w:t>Peters</w:t>
      </w:r>
    </w:p>
    <w:p>
      <w:pPr>
        <w:pStyle w:val="BodyText"/>
        <w:tabs>
          <w:tab w:pos="5584" w:val="left" w:leader="none"/>
        </w:tabs>
        <w:spacing w:line="235" w:lineRule="auto" w:before="2"/>
        <w:ind w:left="1984" w:right="3759"/>
      </w:pPr>
      <w:r>
        <w:rPr>
          <w:w w:val="120"/>
        </w:rPr>
        <w:t>Chief</w:t>
      </w:r>
      <w:r>
        <w:rPr>
          <w:spacing w:val="1"/>
          <w:w w:val="120"/>
        </w:rPr>
        <w:t> </w:t>
      </w:r>
      <w:r>
        <w:rPr>
          <w:w w:val="120"/>
        </w:rPr>
        <w:t>Finance</w:t>
      </w:r>
      <w:r>
        <w:rPr>
          <w:spacing w:val="2"/>
          <w:w w:val="120"/>
        </w:rPr>
        <w:t> </w:t>
      </w:r>
      <w:r>
        <w:rPr>
          <w:w w:val="120"/>
        </w:rPr>
        <w:t>Officer</w:t>
        <w:tab/>
        <w:t>Deputy General Secretary </w:t>
      </w:r>
      <w:r>
        <w:rPr>
          <w:spacing w:val="-3"/>
          <w:w w:val="120"/>
        </w:rPr>
        <w:t>[</w:t>
      </w:r>
      <w:r>
        <w:rPr>
          <w:i/>
          <w:spacing w:val="-3"/>
          <w:w w:val="120"/>
        </w:rPr>
        <w:t>ex </w:t>
      </w:r>
      <w:r>
        <w:rPr>
          <w:i/>
          <w:w w:val="120"/>
        </w:rPr>
        <w:t>officio</w:t>
      </w:r>
      <w:r>
        <w:rPr>
          <w:w w:val="120"/>
        </w:rPr>
        <w:t>: </w:t>
      </w:r>
      <w:r>
        <w:rPr>
          <w:spacing w:val="2"/>
          <w:w w:val="120"/>
        </w:rPr>
        <w:t>Honorary</w:t>
      </w:r>
      <w:r>
        <w:rPr>
          <w:spacing w:val="3"/>
          <w:w w:val="120"/>
        </w:rPr>
        <w:t> </w:t>
      </w:r>
      <w:r>
        <w:rPr>
          <w:spacing w:val="-3"/>
          <w:w w:val="120"/>
        </w:rPr>
        <w:t>Treasurer]</w:t>
      </w:r>
    </w:p>
    <w:p>
      <w:pPr>
        <w:pStyle w:val="BodyText"/>
        <w:spacing w:before="1"/>
        <w:rPr>
          <w:sz w:val="19"/>
        </w:rPr>
      </w:pPr>
    </w:p>
    <w:p>
      <w:pPr>
        <w:pStyle w:val="ListParagraph"/>
        <w:numPr>
          <w:ilvl w:val="1"/>
          <w:numId w:val="148"/>
        </w:numPr>
        <w:tabs>
          <w:tab w:pos="2704" w:val="left" w:leader="none"/>
          <w:tab w:pos="2705" w:val="left" w:leader="none"/>
        </w:tabs>
        <w:spacing w:line="230" w:lineRule="auto" w:before="0" w:after="0"/>
        <w:ind w:left="1984" w:right="5750" w:firstLine="0"/>
        <w:jc w:val="left"/>
        <w:rPr>
          <w:sz w:val="20"/>
        </w:rPr>
      </w:pPr>
      <w:r>
        <w:rPr>
          <w:rFonts w:ascii="Stone Sans II ITC Std Bk"/>
          <w:b/>
          <w:w w:val="120"/>
          <w:sz w:val="20"/>
        </w:rPr>
        <w:t>Sexual Ethics Advisory Group </w:t>
      </w:r>
      <w:r>
        <w:rPr>
          <w:w w:val="120"/>
          <w:sz w:val="20"/>
        </w:rPr>
        <w:t>Convener: Revd David A L Jenkins** </w:t>
      </w:r>
      <w:r>
        <w:rPr>
          <w:spacing w:val="-8"/>
          <w:w w:val="120"/>
          <w:sz w:val="20"/>
        </w:rPr>
        <w:t>[2014] </w:t>
      </w:r>
      <w:r>
        <w:rPr>
          <w:w w:val="120"/>
          <w:sz w:val="20"/>
        </w:rPr>
        <w:t>Revd Rowena Francis </w:t>
      </w:r>
      <w:r>
        <w:rPr>
          <w:spacing w:val="-3"/>
          <w:w w:val="120"/>
          <w:sz w:val="20"/>
        </w:rPr>
        <w:t>(Synod</w:t>
      </w:r>
      <w:r>
        <w:rPr>
          <w:spacing w:val="14"/>
          <w:w w:val="120"/>
          <w:sz w:val="20"/>
        </w:rPr>
        <w:t> </w:t>
      </w:r>
      <w:r>
        <w:rPr>
          <w:w w:val="120"/>
          <w:sz w:val="20"/>
        </w:rPr>
        <w:t>Moderator)</w:t>
      </w:r>
    </w:p>
    <w:p>
      <w:pPr>
        <w:pStyle w:val="BodyText"/>
        <w:tabs>
          <w:tab w:pos="8464" w:val="left" w:leader="none"/>
        </w:tabs>
        <w:spacing w:line="235" w:lineRule="auto"/>
        <w:ind w:left="1984" w:right="1834"/>
      </w:pPr>
      <w:r>
        <w:rPr>
          <w:w w:val="120"/>
        </w:rPr>
        <w:t>Revd Elizabeth Gray-King (Education </w:t>
      </w:r>
      <w:r>
        <w:rPr>
          <w:spacing w:val="10"/>
          <w:w w:val="120"/>
        </w:rPr>
        <w:t> </w:t>
      </w:r>
      <w:r>
        <w:rPr>
          <w:w w:val="120"/>
        </w:rPr>
        <w:t>and</w:t>
      </w:r>
      <w:r>
        <w:rPr>
          <w:spacing w:val="17"/>
          <w:w w:val="120"/>
        </w:rPr>
        <w:t> </w:t>
      </w:r>
      <w:r>
        <w:rPr>
          <w:w w:val="120"/>
        </w:rPr>
        <w:t>Learning)</w:t>
        <w:tab/>
        <w:t>Revd David </w:t>
      </w:r>
      <w:r>
        <w:rPr>
          <w:spacing w:val="-3"/>
          <w:w w:val="120"/>
        </w:rPr>
        <w:t>Skitt [</w:t>
      </w:r>
      <w:r>
        <w:rPr>
          <w:i/>
          <w:spacing w:val="-3"/>
          <w:w w:val="120"/>
        </w:rPr>
        <w:t>ex </w:t>
      </w:r>
      <w:r>
        <w:rPr>
          <w:i/>
          <w:w w:val="120"/>
        </w:rPr>
        <w:t>officio: </w:t>
      </w:r>
      <w:r>
        <w:rPr>
          <w:w w:val="120"/>
        </w:rPr>
        <w:t>Deputy General Secretary, Coordinator Pastoral Response</w:t>
      </w:r>
      <w:r>
        <w:rPr>
          <w:spacing w:val="-2"/>
          <w:w w:val="120"/>
        </w:rPr>
        <w:t> </w:t>
      </w:r>
      <w:r>
        <w:rPr>
          <w:spacing w:val="-6"/>
          <w:w w:val="120"/>
        </w:rPr>
        <w:t>Team]</w:t>
      </w:r>
    </w:p>
    <w:p>
      <w:pPr>
        <w:pStyle w:val="BodyText"/>
        <w:spacing w:before="5"/>
        <w:rPr>
          <w:sz w:val="18"/>
        </w:rPr>
      </w:pPr>
    </w:p>
    <w:p>
      <w:pPr>
        <w:numPr>
          <w:ilvl w:val="1"/>
          <w:numId w:val="148"/>
        </w:numPr>
        <w:tabs>
          <w:tab w:pos="2664" w:val="left" w:leader="none"/>
          <w:tab w:pos="2665" w:val="left" w:leader="none"/>
        </w:tabs>
        <w:spacing w:line="261" w:lineRule="exact" w:before="0"/>
        <w:ind w:left="2664" w:right="0" w:hanging="681"/>
        <w:jc w:val="left"/>
        <w:rPr>
          <w:rFonts w:ascii="Stone Sans II ITC Std Bk"/>
          <w:b/>
          <w:sz w:val="20"/>
        </w:rPr>
      </w:pPr>
      <w:r>
        <w:rPr>
          <w:rFonts w:ascii="Stone Sans II ITC Std Bk"/>
          <w:b/>
          <w:spacing w:val="2"/>
          <w:w w:val="110"/>
          <w:sz w:val="20"/>
        </w:rPr>
        <w:t>MIND </w:t>
      </w:r>
      <w:r>
        <w:rPr>
          <w:rFonts w:ascii="Stone Sans II ITC Std Bk"/>
          <w:b/>
          <w:w w:val="110"/>
          <w:sz w:val="20"/>
        </w:rPr>
        <w:t>(Ministerial Incapacity and Discipline) Advisory</w:t>
      </w:r>
      <w:r>
        <w:rPr>
          <w:rFonts w:ascii="Stone Sans II ITC Std Bk"/>
          <w:b/>
          <w:spacing w:val="-3"/>
          <w:w w:val="110"/>
          <w:sz w:val="20"/>
        </w:rPr>
        <w:t> </w:t>
      </w:r>
      <w:r>
        <w:rPr>
          <w:rFonts w:ascii="Stone Sans II ITC Std Bk"/>
          <w:b/>
          <w:w w:val="110"/>
          <w:sz w:val="20"/>
        </w:rPr>
        <w:t>Group</w:t>
      </w:r>
    </w:p>
    <w:p>
      <w:pPr>
        <w:pStyle w:val="BodyText"/>
        <w:spacing w:line="235" w:lineRule="auto"/>
        <w:ind w:left="1984" w:right="6125"/>
      </w:pPr>
      <w:r>
        <w:rPr>
          <w:w w:val="120"/>
        </w:rPr>
        <w:t>Convener: Revd Julian Macro Secretary: Mrs Margaret Carrick Smith</w:t>
      </w:r>
    </w:p>
    <w:tbl>
      <w:tblPr>
        <w:tblW w:w="0" w:type="auto"/>
        <w:jc w:val="left"/>
        <w:tblInd w:w="19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52"/>
        <w:gridCol w:w="3071"/>
        <w:gridCol w:w="1963"/>
      </w:tblGrid>
      <w:tr>
        <w:trPr>
          <w:trHeight w:val="239" w:hRule="atLeast"/>
        </w:trPr>
        <w:tc>
          <w:tcPr>
            <w:tcW w:w="3152" w:type="dxa"/>
          </w:tcPr>
          <w:p>
            <w:pPr>
              <w:pStyle w:val="TableParagraph"/>
              <w:spacing w:line="220" w:lineRule="exact"/>
              <w:ind w:left="50"/>
              <w:rPr>
                <w:sz w:val="20"/>
              </w:rPr>
            </w:pPr>
            <w:r>
              <w:rPr>
                <w:w w:val="120"/>
                <w:sz w:val="20"/>
              </w:rPr>
              <w:t>Mrs Kathleen Cross</w:t>
            </w:r>
          </w:p>
        </w:tc>
        <w:tc>
          <w:tcPr>
            <w:tcW w:w="3071" w:type="dxa"/>
          </w:tcPr>
          <w:p>
            <w:pPr>
              <w:pStyle w:val="TableParagraph"/>
              <w:spacing w:line="220" w:lineRule="exact"/>
              <w:ind w:left="498"/>
              <w:rPr>
                <w:sz w:val="20"/>
              </w:rPr>
            </w:pPr>
            <w:r>
              <w:rPr>
                <w:w w:val="120"/>
                <w:sz w:val="20"/>
              </w:rPr>
              <w:t>Revd Alison Davis</w:t>
            </w:r>
          </w:p>
        </w:tc>
        <w:tc>
          <w:tcPr>
            <w:tcW w:w="1963" w:type="dxa"/>
          </w:tcPr>
          <w:p>
            <w:pPr>
              <w:pStyle w:val="TableParagraph"/>
              <w:spacing w:line="220" w:lineRule="exact"/>
              <w:ind w:left="307"/>
              <w:rPr>
                <w:sz w:val="20"/>
              </w:rPr>
            </w:pPr>
            <w:r>
              <w:rPr>
                <w:w w:val="115"/>
                <w:sz w:val="20"/>
              </w:rPr>
              <w:t>Mrs Wilma Frew</w:t>
            </w:r>
          </w:p>
        </w:tc>
      </w:tr>
      <w:tr>
        <w:trPr>
          <w:trHeight w:val="239" w:hRule="atLeast"/>
        </w:trPr>
        <w:tc>
          <w:tcPr>
            <w:tcW w:w="3152" w:type="dxa"/>
          </w:tcPr>
          <w:p>
            <w:pPr>
              <w:pStyle w:val="TableParagraph"/>
              <w:spacing w:line="220" w:lineRule="exact"/>
              <w:ind w:left="50"/>
              <w:rPr>
                <w:sz w:val="20"/>
              </w:rPr>
            </w:pPr>
            <w:r>
              <w:rPr>
                <w:w w:val="120"/>
                <w:sz w:val="20"/>
              </w:rPr>
              <w:t>Revd Heather Kent</w:t>
            </w:r>
          </w:p>
        </w:tc>
        <w:tc>
          <w:tcPr>
            <w:tcW w:w="3071" w:type="dxa"/>
          </w:tcPr>
          <w:p>
            <w:pPr>
              <w:pStyle w:val="TableParagraph"/>
              <w:spacing w:line="220" w:lineRule="exact"/>
              <w:ind w:left="498"/>
              <w:rPr>
                <w:sz w:val="20"/>
              </w:rPr>
            </w:pPr>
            <w:r>
              <w:rPr>
                <w:w w:val="120"/>
                <w:sz w:val="20"/>
              </w:rPr>
              <w:t>Mr Hartley Oldham</w:t>
            </w:r>
          </w:p>
        </w:tc>
        <w:tc>
          <w:tcPr>
            <w:tcW w:w="1963" w:type="dxa"/>
          </w:tcPr>
          <w:p>
            <w:pPr>
              <w:pStyle w:val="TableParagraph"/>
              <w:spacing w:line="220" w:lineRule="exact"/>
              <w:ind w:left="307"/>
              <w:rPr>
                <w:sz w:val="20"/>
              </w:rPr>
            </w:pPr>
            <w:r>
              <w:rPr>
                <w:w w:val="120"/>
                <w:sz w:val="20"/>
              </w:rPr>
              <w:t>Revd David Skitt</w:t>
            </w:r>
          </w:p>
        </w:tc>
      </w:tr>
      <w:tr>
        <w:trPr>
          <w:trHeight w:val="239" w:hRule="atLeast"/>
        </w:trPr>
        <w:tc>
          <w:tcPr>
            <w:tcW w:w="3152" w:type="dxa"/>
          </w:tcPr>
          <w:p>
            <w:pPr>
              <w:pStyle w:val="TableParagraph"/>
              <w:spacing w:line="220" w:lineRule="exact"/>
              <w:ind w:left="50"/>
              <w:rPr>
                <w:sz w:val="20"/>
              </w:rPr>
            </w:pPr>
            <w:r>
              <w:rPr>
                <w:w w:val="120"/>
                <w:sz w:val="20"/>
              </w:rPr>
              <w:t>Clerk to General Assembly</w:t>
            </w:r>
          </w:p>
        </w:tc>
        <w:tc>
          <w:tcPr>
            <w:tcW w:w="3071" w:type="dxa"/>
          </w:tcPr>
          <w:p>
            <w:pPr>
              <w:pStyle w:val="TableParagraph"/>
              <w:spacing w:line="220" w:lineRule="exact"/>
              <w:ind w:left="498"/>
              <w:rPr>
                <w:sz w:val="20"/>
              </w:rPr>
            </w:pPr>
            <w:r>
              <w:rPr>
                <w:w w:val="115"/>
                <w:sz w:val="20"/>
              </w:rPr>
              <w:t>Secretary for Ministries</w:t>
            </w:r>
          </w:p>
        </w:tc>
        <w:tc>
          <w:tcPr>
            <w:tcW w:w="1963" w:type="dxa"/>
          </w:tcPr>
          <w:p>
            <w:pPr>
              <w:pStyle w:val="TableParagraph"/>
              <w:spacing w:line="220" w:lineRule="exact"/>
              <w:ind w:left="307"/>
              <w:rPr>
                <w:sz w:val="20"/>
              </w:rPr>
            </w:pPr>
            <w:r>
              <w:rPr>
                <w:w w:val="120"/>
                <w:sz w:val="20"/>
              </w:rPr>
              <w:t>Legal Adviser</w:t>
            </w:r>
          </w:p>
        </w:tc>
      </w:tr>
    </w:tbl>
    <w:p>
      <w:pPr>
        <w:pStyle w:val="BodyText"/>
        <w:spacing w:before="8"/>
        <w:rPr>
          <w:sz w:val="18"/>
        </w:rPr>
      </w:pPr>
    </w:p>
    <w:p>
      <w:pPr>
        <w:pStyle w:val="ListParagraph"/>
        <w:numPr>
          <w:ilvl w:val="1"/>
          <w:numId w:val="148"/>
        </w:numPr>
        <w:tabs>
          <w:tab w:pos="2704" w:val="left" w:leader="none"/>
          <w:tab w:pos="2705" w:val="left" w:leader="none"/>
        </w:tabs>
        <w:spacing w:line="230" w:lineRule="auto" w:before="0" w:after="0"/>
        <w:ind w:left="1984" w:right="6083" w:firstLine="0"/>
        <w:jc w:val="left"/>
        <w:rPr>
          <w:sz w:val="20"/>
        </w:rPr>
      </w:pPr>
      <w:r>
        <w:rPr>
          <w:rFonts w:ascii="Stone Sans II ITC Std Bk"/>
          <w:b/>
          <w:w w:val="110"/>
          <w:sz w:val="20"/>
        </w:rPr>
        <w:t>Resource Sharing </w:t>
      </w:r>
      <w:r>
        <w:rPr>
          <w:rFonts w:ascii="Stone Sans II ITC Std Bk"/>
          <w:b/>
          <w:spacing w:val="-4"/>
          <w:w w:val="110"/>
          <w:sz w:val="20"/>
        </w:rPr>
        <w:t>Task </w:t>
      </w:r>
      <w:r>
        <w:rPr>
          <w:rFonts w:ascii="Stone Sans II ITC Std Bk"/>
          <w:b/>
          <w:w w:val="110"/>
          <w:sz w:val="20"/>
        </w:rPr>
        <w:t>Group </w:t>
      </w:r>
      <w:r>
        <w:rPr>
          <w:w w:val="120"/>
          <w:sz w:val="20"/>
        </w:rPr>
        <w:t>Convener: Revd David Grosch-Miller Secretary: Mr John</w:t>
      </w:r>
      <w:r>
        <w:rPr>
          <w:spacing w:val="2"/>
          <w:w w:val="120"/>
          <w:sz w:val="20"/>
        </w:rPr>
        <w:t> </w:t>
      </w:r>
      <w:r>
        <w:rPr>
          <w:w w:val="120"/>
          <w:sz w:val="20"/>
        </w:rPr>
        <w:t>Rea</w:t>
      </w:r>
    </w:p>
    <w:p>
      <w:pPr>
        <w:pStyle w:val="BodyText"/>
        <w:spacing w:line="238" w:lineRule="exact"/>
        <w:ind w:left="1984"/>
      </w:pPr>
      <w:r>
        <w:rPr>
          <w:w w:val="120"/>
        </w:rPr>
        <w:t>Treasurer: Revd Dick Gray</w:t>
      </w:r>
    </w:p>
    <w:p>
      <w:pPr>
        <w:pStyle w:val="BodyText"/>
        <w:tabs>
          <w:tab w:pos="5584" w:val="left" w:leader="none"/>
          <w:tab w:pos="8464" w:val="left" w:leader="none"/>
        </w:tabs>
        <w:spacing w:line="235" w:lineRule="auto" w:before="2"/>
        <w:ind w:left="1984" w:right="1346"/>
      </w:pPr>
      <w:r>
        <w:rPr>
          <w:w w:val="120"/>
        </w:rPr>
        <w:t>Miss</w:t>
      </w:r>
      <w:r>
        <w:rPr>
          <w:spacing w:val="-8"/>
          <w:w w:val="120"/>
        </w:rPr>
        <w:t> </w:t>
      </w:r>
      <w:r>
        <w:rPr>
          <w:w w:val="120"/>
        </w:rPr>
        <w:t>Margaret</w:t>
      </w:r>
      <w:r>
        <w:rPr>
          <w:spacing w:val="-7"/>
          <w:w w:val="120"/>
        </w:rPr>
        <w:t> </w:t>
      </w:r>
      <w:r>
        <w:rPr>
          <w:w w:val="120"/>
        </w:rPr>
        <w:t>Atkinson</w:t>
        <w:tab/>
        <w:t>Mr Richard</w:t>
      </w:r>
      <w:r>
        <w:rPr>
          <w:spacing w:val="1"/>
          <w:w w:val="120"/>
        </w:rPr>
        <w:t> </w:t>
      </w:r>
      <w:r>
        <w:rPr>
          <w:w w:val="120"/>
        </w:rPr>
        <w:t>Turnbull</w:t>
        <w:tab/>
        <w:t>Mrs Rachel</w:t>
      </w:r>
      <w:r>
        <w:rPr>
          <w:spacing w:val="-26"/>
          <w:w w:val="120"/>
        </w:rPr>
        <w:t> </w:t>
      </w:r>
      <w:r>
        <w:rPr>
          <w:spacing w:val="-3"/>
          <w:w w:val="120"/>
        </w:rPr>
        <w:t>Wakeman [</w:t>
      </w:r>
      <w:r>
        <w:rPr>
          <w:i/>
          <w:spacing w:val="-3"/>
          <w:w w:val="120"/>
        </w:rPr>
        <w:t>ex </w:t>
      </w:r>
      <w:r>
        <w:rPr>
          <w:i/>
          <w:w w:val="120"/>
        </w:rPr>
        <w:t>officio: </w:t>
      </w:r>
      <w:r>
        <w:rPr>
          <w:spacing w:val="2"/>
          <w:w w:val="120"/>
        </w:rPr>
        <w:t>Honorary</w:t>
      </w:r>
      <w:r>
        <w:rPr>
          <w:spacing w:val="1"/>
          <w:w w:val="120"/>
        </w:rPr>
        <w:t> </w:t>
      </w:r>
      <w:r>
        <w:rPr>
          <w:spacing w:val="-3"/>
          <w:w w:val="120"/>
        </w:rPr>
        <w:t>Treasurer]</w:t>
      </w:r>
    </w:p>
    <w:p>
      <w:pPr>
        <w:spacing w:after="0" w:line="235" w:lineRule="auto"/>
        <w:sectPr>
          <w:pgSz w:w="11910" w:h="16840"/>
          <w:pgMar w:header="0" w:footer="647" w:top="1060" w:bottom="840" w:left="0" w:right="0"/>
        </w:sectPr>
      </w:pPr>
    </w:p>
    <w:p>
      <w:pPr>
        <w:numPr>
          <w:ilvl w:val="1"/>
          <w:numId w:val="148"/>
        </w:numPr>
        <w:tabs>
          <w:tab w:pos="1853" w:val="left" w:leader="none"/>
          <w:tab w:pos="1854" w:val="left" w:leader="none"/>
        </w:tabs>
        <w:spacing w:before="91"/>
        <w:ind w:left="1853" w:right="0" w:hanging="721"/>
        <w:jc w:val="left"/>
        <w:rPr>
          <w:rFonts w:ascii="Stone Sans II ITC Std Bk"/>
          <w:b/>
          <w:sz w:val="20"/>
        </w:rPr>
      </w:pPr>
      <w:r>
        <w:rPr/>
        <w:pict>
          <v:rect style="position:absolute;margin-left:12.047pt;margin-top:8.496287pt;width:22.677pt;height:22.677pt;mso-position-horizontal-relative:page;mso-position-vertical-relative:paragraph;z-index:252204032" filled="true" fillcolor="#dae4ec" stroked="false">
            <v:fill opacity="32768f" type="solid"/>
            <w10:wrap type="none"/>
          </v:rect>
        </w:pict>
      </w:r>
      <w:r>
        <w:rPr>
          <w:rFonts w:ascii="Stone Sans II ITC Std Bk"/>
          <w:b/>
          <w:w w:val="110"/>
          <w:sz w:val="20"/>
        </w:rPr>
        <w:t>Human Sexuality </w:t>
      </w:r>
      <w:r>
        <w:rPr>
          <w:rFonts w:ascii="Stone Sans II ITC Std Bk"/>
          <w:b/>
          <w:spacing w:val="-4"/>
          <w:w w:val="110"/>
          <w:sz w:val="20"/>
        </w:rPr>
        <w:t>Task </w:t>
      </w:r>
      <w:r>
        <w:rPr>
          <w:rFonts w:ascii="Stone Sans II ITC Std Bk"/>
          <w:b/>
          <w:w w:val="110"/>
          <w:sz w:val="20"/>
        </w:rPr>
        <w:t>Group</w:t>
      </w:r>
      <w:r>
        <w:rPr>
          <w:rFonts w:ascii="Stone Sans II ITC Std Bk"/>
          <w:b/>
          <w:spacing w:val="3"/>
          <w:w w:val="110"/>
          <w:sz w:val="20"/>
        </w:rPr>
        <w:t> </w:t>
      </w:r>
      <w:r>
        <w:rPr>
          <w:rFonts w:ascii="Stone Sans II ITC Std Bk"/>
          <w:b/>
          <w:spacing w:val="-3"/>
          <w:w w:val="110"/>
          <w:sz w:val="20"/>
        </w:rPr>
        <w:t>(2008)</w:t>
      </w:r>
    </w:p>
    <w:tbl>
      <w:tblPr>
        <w:tblW w:w="0" w:type="auto"/>
        <w:jc w:val="left"/>
        <w:tblInd w:w="1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80"/>
        <w:gridCol w:w="3039"/>
        <w:gridCol w:w="1952"/>
      </w:tblGrid>
      <w:tr>
        <w:trPr>
          <w:trHeight w:val="239" w:hRule="atLeast"/>
        </w:trPr>
        <w:tc>
          <w:tcPr>
            <w:tcW w:w="3280" w:type="dxa"/>
          </w:tcPr>
          <w:p>
            <w:pPr>
              <w:pStyle w:val="TableParagraph"/>
              <w:spacing w:line="220" w:lineRule="exact"/>
              <w:ind w:left="50"/>
              <w:rPr>
                <w:sz w:val="20"/>
              </w:rPr>
            </w:pPr>
            <w:r>
              <w:rPr>
                <w:w w:val="120"/>
                <w:sz w:val="20"/>
              </w:rPr>
              <w:t>Convener: Revd John Waller</w:t>
            </w:r>
          </w:p>
        </w:tc>
        <w:tc>
          <w:tcPr>
            <w:tcW w:w="4991" w:type="dxa"/>
            <w:gridSpan w:val="2"/>
            <w:vMerge w:val="restart"/>
          </w:tcPr>
          <w:p>
            <w:pPr>
              <w:pStyle w:val="TableParagraph"/>
              <w:rPr>
                <w:rFonts w:ascii="Times New Roman"/>
                <w:sz w:val="22"/>
              </w:rPr>
            </w:pPr>
          </w:p>
        </w:tc>
      </w:tr>
      <w:tr>
        <w:trPr>
          <w:trHeight w:val="239" w:hRule="atLeast"/>
        </w:trPr>
        <w:tc>
          <w:tcPr>
            <w:tcW w:w="3280" w:type="dxa"/>
          </w:tcPr>
          <w:p>
            <w:pPr>
              <w:pStyle w:val="TableParagraph"/>
              <w:spacing w:line="220" w:lineRule="exact"/>
              <w:ind w:left="50"/>
              <w:rPr>
                <w:sz w:val="20"/>
              </w:rPr>
            </w:pPr>
            <w:r>
              <w:rPr>
                <w:w w:val="120"/>
                <w:sz w:val="20"/>
              </w:rPr>
              <w:t>Secretary: Revd Lucy Brierley</w:t>
            </w:r>
          </w:p>
        </w:tc>
        <w:tc>
          <w:tcPr>
            <w:tcW w:w="4991" w:type="dxa"/>
            <w:gridSpan w:val="2"/>
            <w:vMerge/>
            <w:tcBorders>
              <w:top w:val="nil"/>
            </w:tcBorders>
          </w:tcPr>
          <w:p>
            <w:pPr>
              <w:rPr>
                <w:sz w:val="2"/>
                <w:szCs w:val="2"/>
              </w:rPr>
            </w:pPr>
          </w:p>
        </w:tc>
      </w:tr>
      <w:tr>
        <w:trPr>
          <w:trHeight w:val="239" w:hRule="atLeast"/>
        </w:trPr>
        <w:tc>
          <w:tcPr>
            <w:tcW w:w="3280" w:type="dxa"/>
          </w:tcPr>
          <w:p>
            <w:pPr>
              <w:pStyle w:val="TableParagraph"/>
              <w:spacing w:line="220" w:lineRule="exact"/>
              <w:ind w:left="50"/>
              <w:rPr>
                <w:sz w:val="20"/>
              </w:rPr>
            </w:pPr>
            <w:r>
              <w:rPr>
                <w:w w:val="120"/>
                <w:sz w:val="20"/>
              </w:rPr>
              <w:t>Revd Dr John Bradbury</w:t>
            </w:r>
          </w:p>
        </w:tc>
        <w:tc>
          <w:tcPr>
            <w:tcW w:w="3039" w:type="dxa"/>
          </w:tcPr>
          <w:p>
            <w:pPr>
              <w:pStyle w:val="TableParagraph"/>
              <w:spacing w:line="220" w:lineRule="exact"/>
              <w:ind w:left="370"/>
              <w:rPr>
                <w:sz w:val="20"/>
              </w:rPr>
            </w:pPr>
            <w:r>
              <w:rPr>
                <w:w w:val="120"/>
                <w:sz w:val="20"/>
              </w:rPr>
              <w:t>Revd Richard Church</w:t>
            </w:r>
          </w:p>
        </w:tc>
        <w:tc>
          <w:tcPr>
            <w:tcW w:w="1952" w:type="dxa"/>
          </w:tcPr>
          <w:p>
            <w:pPr>
              <w:pStyle w:val="TableParagraph"/>
              <w:spacing w:line="220" w:lineRule="exact"/>
              <w:ind w:right="47"/>
              <w:jc w:val="right"/>
              <w:rPr>
                <w:sz w:val="20"/>
              </w:rPr>
            </w:pPr>
            <w:r>
              <w:rPr>
                <w:w w:val="120"/>
                <w:sz w:val="20"/>
              </w:rPr>
              <w:t>Ms Doreen Daley</w:t>
            </w:r>
          </w:p>
        </w:tc>
      </w:tr>
      <w:tr>
        <w:trPr>
          <w:trHeight w:val="239" w:hRule="atLeast"/>
        </w:trPr>
        <w:tc>
          <w:tcPr>
            <w:tcW w:w="3280" w:type="dxa"/>
          </w:tcPr>
          <w:p>
            <w:pPr>
              <w:pStyle w:val="TableParagraph"/>
              <w:spacing w:line="220" w:lineRule="exact"/>
              <w:ind w:left="50"/>
              <w:rPr>
                <w:sz w:val="20"/>
              </w:rPr>
            </w:pPr>
            <w:r>
              <w:rPr>
                <w:w w:val="125"/>
                <w:sz w:val="20"/>
              </w:rPr>
              <w:t>Sr M Cecily Boulding OP</w:t>
            </w:r>
          </w:p>
        </w:tc>
        <w:tc>
          <w:tcPr>
            <w:tcW w:w="3039" w:type="dxa"/>
          </w:tcPr>
          <w:p>
            <w:pPr>
              <w:pStyle w:val="TableParagraph"/>
              <w:spacing w:line="220" w:lineRule="exact"/>
              <w:ind w:left="370"/>
              <w:rPr>
                <w:sz w:val="20"/>
              </w:rPr>
            </w:pPr>
            <w:r>
              <w:rPr>
                <w:w w:val="120"/>
                <w:sz w:val="20"/>
              </w:rPr>
              <w:t>Revd Claire Gouldthorpe</w:t>
            </w:r>
          </w:p>
        </w:tc>
        <w:tc>
          <w:tcPr>
            <w:tcW w:w="1952" w:type="dxa"/>
          </w:tcPr>
          <w:p>
            <w:pPr>
              <w:pStyle w:val="TableParagraph"/>
              <w:spacing w:line="220" w:lineRule="exact"/>
              <w:ind w:right="64"/>
              <w:jc w:val="right"/>
              <w:rPr>
                <w:sz w:val="20"/>
              </w:rPr>
            </w:pPr>
            <w:r>
              <w:rPr>
                <w:w w:val="115"/>
                <w:sz w:val="20"/>
              </w:rPr>
              <w:t>Mrs Val Morrison</w:t>
            </w:r>
          </w:p>
        </w:tc>
      </w:tr>
    </w:tbl>
    <w:p>
      <w:pPr>
        <w:pStyle w:val="BodyText"/>
        <w:spacing w:before="1"/>
        <w:rPr>
          <w:rFonts w:ascii="Stone Sans II ITC Std Bk"/>
          <w:b/>
          <w:sz w:val="16"/>
        </w:rPr>
      </w:pPr>
    </w:p>
    <w:p>
      <w:pPr>
        <w:pStyle w:val="ListParagraph"/>
        <w:numPr>
          <w:ilvl w:val="1"/>
          <w:numId w:val="148"/>
        </w:numPr>
        <w:tabs>
          <w:tab w:pos="1853" w:val="left" w:leader="none"/>
          <w:tab w:pos="1854" w:val="left" w:leader="none"/>
        </w:tabs>
        <w:spacing w:line="230" w:lineRule="auto" w:before="0" w:after="0"/>
        <w:ind w:left="1133" w:right="7262" w:firstLine="0"/>
        <w:jc w:val="left"/>
        <w:rPr>
          <w:sz w:val="20"/>
        </w:rPr>
      </w:pPr>
      <w:r>
        <w:rPr>
          <w:rFonts w:ascii="Stone Sans II ITC Std Bk"/>
          <w:b/>
          <w:w w:val="115"/>
          <w:sz w:val="20"/>
        </w:rPr>
        <w:t>London</w:t>
      </w:r>
      <w:r>
        <w:rPr>
          <w:rFonts w:ascii="Stone Sans II ITC Std Bk"/>
          <w:b/>
          <w:spacing w:val="-36"/>
          <w:w w:val="115"/>
          <w:sz w:val="20"/>
        </w:rPr>
        <w:t> </w:t>
      </w:r>
      <w:r>
        <w:rPr>
          <w:rFonts w:ascii="Stone Sans II ITC Std Bk"/>
          <w:b/>
          <w:w w:val="115"/>
          <w:sz w:val="20"/>
        </w:rPr>
        <w:t>Synod</w:t>
      </w:r>
      <w:r>
        <w:rPr>
          <w:rFonts w:ascii="Stone Sans II ITC Std Bk"/>
          <w:b/>
          <w:spacing w:val="-36"/>
          <w:w w:val="115"/>
          <w:sz w:val="20"/>
        </w:rPr>
        <w:t> </w:t>
      </w:r>
      <w:r>
        <w:rPr>
          <w:rFonts w:ascii="Stone Sans II ITC Std Bk"/>
          <w:b/>
          <w:spacing w:val="-4"/>
          <w:w w:val="115"/>
          <w:sz w:val="20"/>
        </w:rPr>
        <w:t>Task</w:t>
      </w:r>
      <w:r>
        <w:rPr>
          <w:rFonts w:ascii="Stone Sans II ITC Std Bk"/>
          <w:b/>
          <w:spacing w:val="-36"/>
          <w:w w:val="115"/>
          <w:sz w:val="20"/>
        </w:rPr>
        <w:t> </w:t>
      </w:r>
      <w:r>
        <w:rPr>
          <w:rFonts w:ascii="Stone Sans II ITC Std Bk"/>
          <w:b/>
          <w:w w:val="115"/>
          <w:sz w:val="20"/>
        </w:rPr>
        <w:t>Group </w:t>
      </w:r>
      <w:r>
        <w:rPr>
          <w:w w:val="120"/>
          <w:sz w:val="20"/>
        </w:rPr>
        <w:t>Convener: Revd Bill Mahood Secretary: Mrs Sheila</w:t>
      </w:r>
      <w:r>
        <w:rPr>
          <w:spacing w:val="2"/>
          <w:w w:val="120"/>
          <w:sz w:val="20"/>
        </w:rPr>
        <w:t> </w:t>
      </w:r>
      <w:r>
        <w:rPr>
          <w:w w:val="120"/>
          <w:sz w:val="20"/>
        </w:rPr>
        <w:t>Brain</w:t>
      </w:r>
    </w:p>
    <w:p>
      <w:pPr>
        <w:pStyle w:val="BodyText"/>
        <w:tabs>
          <w:tab w:pos="4733" w:val="left" w:leader="none"/>
        </w:tabs>
        <w:spacing w:line="235" w:lineRule="auto"/>
        <w:ind w:left="1133" w:right="4642"/>
      </w:pPr>
      <w:r>
        <w:rPr>
          <w:w w:val="120"/>
        </w:rPr>
        <w:t>Revd Nicola</w:t>
      </w:r>
      <w:r>
        <w:rPr>
          <w:spacing w:val="19"/>
          <w:w w:val="120"/>
        </w:rPr>
        <w:t> </w:t>
      </w:r>
      <w:r>
        <w:rPr>
          <w:w w:val="120"/>
        </w:rPr>
        <w:t>Furley-Smith</w:t>
      </w:r>
      <w:r>
        <w:rPr>
          <w:spacing w:val="10"/>
          <w:w w:val="120"/>
        </w:rPr>
        <w:t> </w:t>
      </w:r>
      <w:r>
        <w:rPr>
          <w:spacing w:val="-14"/>
          <w:w w:val="120"/>
        </w:rPr>
        <w:t>(11)</w:t>
        <w:tab/>
      </w:r>
      <w:r>
        <w:rPr>
          <w:w w:val="120"/>
        </w:rPr>
        <w:t>Revd Raymond Singh </w:t>
      </w:r>
      <w:r>
        <w:rPr>
          <w:spacing w:val="-14"/>
          <w:w w:val="120"/>
        </w:rPr>
        <w:t>(11) </w:t>
      </w:r>
      <w:r>
        <w:rPr>
          <w:w w:val="120"/>
        </w:rPr>
        <w:t>Revd David</w:t>
      </w:r>
      <w:r>
        <w:rPr>
          <w:spacing w:val="23"/>
          <w:w w:val="120"/>
        </w:rPr>
        <w:t> </w:t>
      </w:r>
      <w:r>
        <w:rPr>
          <w:w w:val="120"/>
        </w:rPr>
        <w:t>Varco</w:t>
      </w:r>
      <w:r>
        <w:rPr>
          <w:spacing w:val="11"/>
          <w:w w:val="120"/>
        </w:rPr>
        <w:t> </w:t>
      </w:r>
      <w:r>
        <w:rPr>
          <w:spacing w:val="-9"/>
          <w:w w:val="120"/>
        </w:rPr>
        <w:t>(10)</w:t>
        <w:tab/>
      </w:r>
      <w:r>
        <w:rPr>
          <w:w w:val="120"/>
        </w:rPr>
        <w:t>Mr Keith Webster</w:t>
      </w:r>
      <w:r>
        <w:rPr>
          <w:spacing w:val="8"/>
          <w:w w:val="120"/>
        </w:rPr>
        <w:t> </w:t>
      </w:r>
      <w:r>
        <w:rPr>
          <w:spacing w:val="-9"/>
          <w:w w:val="120"/>
        </w:rPr>
        <w:t>(10)</w:t>
      </w:r>
    </w:p>
    <w:p>
      <w:pPr>
        <w:pStyle w:val="ListParagraph"/>
        <w:numPr>
          <w:ilvl w:val="0"/>
          <w:numId w:val="148"/>
        </w:numPr>
        <w:tabs>
          <w:tab w:pos="1814" w:val="left" w:leader="none"/>
          <w:tab w:pos="1815" w:val="left" w:leader="none"/>
        </w:tabs>
        <w:spacing w:line="240" w:lineRule="auto" w:before="214" w:after="0"/>
        <w:ind w:left="1814" w:right="0" w:hanging="682"/>
        <w:jc w:val="left"/>
        <w:rPr>
          <w:rFonts w:ascii="Stone Sans II ITC Std Bk"/>
          <w:b/>
          <w:sz w:val="29"/>
        </w:rPr>
      </w:pPr>
      <w:r>
        <w:rPr>
          <w:rFonts w:ascii="Stone Sans II ITC Std Bk"/>
          <w:b/>
          <w:color w:val="CA4F1B"/>
          <w:spacing w:val="3"/>
          <w:w w:val="110"/>
          <w:sz w:val="29"/>
        </w:rPr>
        <w:t>Mission</w:t>
      </w:r>
      <w:r>
        <w:rPr>
          <w:rFonts w:ascii="Stone Sans II ITC Std Bk"/>
          <w:b/>
          <w:color w:val="CA4F1B"/>
          <w:spacing w:val="12"/>
          <w:w w:val="110"/>
          <w:sz w:val="29"/>
        </w:rPr>
        <w:t> </w:t>
      </w:r>
      <w:r>
        <w:rPr>
          <w:rFonts w:ascii="Stone Sans II ITC Std Bk"/>
          <w:b/>
          <w:color w:val="CA4F1B"/>
          <w:spacing w:val="4"/>
          <w:w w:val="110"/>
          <w:sz w:val="29"/>
        </w:rPr>
        <w:t>department</w:t>
      </w:r>
    </w:p>
    <w:p>
      <w:pPr>
        <w:numPr>
          <w:ilvl w:val="1"/>
          <w:numId w:val="148"/>
        </w:numPr>
        <w:tabs>
          <w:tab w:pos="1814" w:val="left" w:leader="none"/>
          <w:tab w:pos="1815" w:val="left" w:leader="none"/>
        </w:tabs>
        <w:spacing w:line="261" w:lineRule="exact" w:before="179"/>
        <w:ind w:left="1814" w:right="0" w:hanging="682"/>
        <w:jc w:val="left"/>
        <w:rPr>
          <w:rFonts w:ascii="Stone Sans II ITC Std Bk"/>
          <w:b/>
          <w:sz w:val="20"/>
        </w:rPr>
      </w:pPr>
      <w:r>
        <w:rPr>
          <w:rFonts w:ascii="Stone Sans II ITC Std Bk"/>
          <w:b/>
          <w:w w:val="110"/>
          <w:sz w:val="20"/>
        </w:rPr>
        <w:t>Mission</w:t>
      </w:r>
      <w:r>
        <w:rPr>
          <w:rFonts w:ascii="Stone Sans II ITC Std Bk"/>
          <w:b/>
          <w:spacing w:val="-1"/>
          <w:w w:val="110"/>
          <w:sz w:val="20"/>
        </w:rPr>
        <w:t> </w:t>
      </w:r>
      <w:r>
        <w:rPr>
          <w:rFonts w:ascii="Stone Sans II ITC Std Bk"/>
          <w:b/>
          <w:w w:val="110"/>
          <w:sz w:val="20"/>
        </w:rPr>
        <w:t>Committee</w:t>
      </w:r>
    </w:p>
    <w:p>
      <w:pPr>
        <w:pStyle w:val="BodyText"/>
        <w:spacing w:line="233" w:lineRule="exact"/>
        <w:ind w:left="1133"/>
      </w:pPr>
      <w:r>
        <w:rPr>
          <w:w w:val="125"/>
        </w:rPr>
        <w:t>Convener: Revd Ed Cox [2012]</w:t>
      </w:r>
    </w:p>
    <w:p>
      <w:pPr>
        <w:pStyle w:val="BodyText"/>
        <w:spacing w:line="240" w:lineRule="exact"/>
        <w:ind w:left="1133"/>
      </w:pPr>
      <w:r>
        <w:rPr>
          <w:w w:val="120"/>
        </w:rPr>
        <w:t>Deputy Convener: Mr Peter Pay** [2012]</w:t>
      </w:r>
    </w:p>
    <w:p>
      <w:pPr>
        <w:pStyle w:val="BodyText"/>
        <w:tabs>
          <w:tab w:pos="4733" w:val="left" w:leader="none"/>
        </w:tabs>
        <w:spacing w:line="240" w:lineRule="exact"/>
        <w:ind w:left="1133"/>
      </w:pPr>
      <w:r>
        <w:rPr>
          <w:w w:val="125"/>
        </w:rPr>
        <w:t>Mrs Chris Eddowes</w:t>
      </w:r>
      <w:r>
        <w:rPr>
          <w:spacing w:val="-8"/>
          <w:w w:val="125"/>
        </w:rPr>
        <w:t> </w:t>
      </w:r>
      <w:r>
        <w:rPr>
          <w:spacing w:val="-11"/>
          <w:w w:val="125"/>
        </w:rPr>
        <w:t>(1)</w:t>
      </w:r>
      <w:r>
        <w:rPr>
          <w:spacing w:val="-2"/>
          <w:w w:val="125"/>
        </w:rPr>
        <w:t> </w:t>
      </w:r>
      <w:r>
        <w:rPr>
          <w:spacing w:val="-11"/>
          <w:w w:val="125"/>
        </w:rPr>
        <w:t>[2011]</w:t>
        <w:tab/>
      </w:r>
      <w:r>
        <w:rPr>
          <w:w w:val="125"/>
        </w:rPr>
        <w:t>Revd Michael Walsh </w:t>
      </w:r>
      <w:r>
        <w:rPr>
          <w:spacing w:val="-8"/>
          <w:w w:val="125"/>
        </w:rPr>
        <w:t>(2)</w:t>
      </w:r>
      <w:r>
        <w:rPr>
          <w:spacing w:val="-5"/>
          <w:w w:val="125"/>
        </w:rPr>
        <w:t> </w:t>
      </w:r>
      <w:r>
        <w:rPr>
          <w:spacing w:val="-8"/>
          <w:w w:val="125"/>
        </w:rPr>
        <w:t>[2012]</w:t>
      </w:r>
    </w:p>
    <w:p>
      <w:pPr>
        <w:pStyle w:val="BodyText"/>
        <w:tabs>
          <w:tab w:pos="4733" w:val="left" w:leader="none"/>
        </w:tabs>
        <w:spacing w:line="240" w:lineRule="exact"/>
        <w:ind w:left="1133"/>
      </w:pPr>
      <w:r>
        <w:rPr>
          <w:w w:val="125"/>
        </w:rPr>
        <w:t>Revd Andrew Willett†</w:t>
      </w:r>
      <w:r>
        <w:rPr>
          <w:spacing w:val="-20"/>
          <w:w w:val="125"/>
        </w:rPr>
        <w:t> </w:t>
      </w:r>
      <w:r>
        <w:rPr>
          <w:spacing w:val="-8"/>
          <w:w w:val="125"/>
        </w:rPr>
        <w:t>(3)</w:t>
      </w:r>
      <w:r>
        <w:rPr>
          <w:spacing w:val="-6"/>
          <w:w w:val="125"/>
        </w:rPr>
        <w:t> </w:t>
      </w:r>
      <w:r>
        <w:rPr>
          <w:spacing w:val="-8"/>
          <w:w w:val="125"/>
        </w:rPr>
        <w:t>[2014]</w:t>
        <w:tab/>
      </w:r>
      <w:r>
        <w:rPr>
          <w:w w:val="125"/>
        </w:rPr>
        <w:t>Mrs Anne Parker </w:t>
      </w:r>
      <w:r>
        <w:rPr>
          <w:spacing w:val="-10"/>
          <w:w w:val="125"/>
        </w:rPr>
        <w:t>(4)</w:t>
      </w:r>
      <w:r>
        <w:rPr>
          <w:spacing w:val="-4"/>
          <w:w w:val="125"/>
        </w:rPr>
        <w:t> </w:t>
      </w:r>
      <w:r>
        <w:rPr>
          <w:spacing w:val="-11"/>
          <w:w w:val="125"/>
        </w:rPr>
        <w:t>[2011]</w:t>
      </w:r>
    </w:p>
    <w:p>
      <w:pPr>
        <w:pStyle w:val="BodyText"/>
        <w:tabs>
          <w:tab w:pos="4733" w:val="left" w:leader="none"/>
        </w:tabs>
        <w:spacing w:line="240" w:lineRule="exact"/>
        <w:ind w:left="1133"/>
      </w:pPr>
      <w:r>
        <w:rPr>
          <w:w w:val="125"/>
        </w:rPr>
        <w:t>Revd Clare Downing</w:t>
      </w:r>
      <w:r>
        <w:rPr>
          <w:spacing w:val="10"/>
          <w:w w:val="125"/>
        </w:rPr>
        <w:t> </w:t>
      </w:r>
      <w:r>
        <w:rPr>
          <w:spacing w:val="-8"/>
          <w:w w:val="125"/>
        </w:rPr>
        <w:t>(5)</w:t>
      </w:r>
      <w:r>
        <w:rPr>
          <w:spacing w:val="4"/>
          <w:w w:val="125"/>
        </w:rPr>
        <w:t> </w:t>
      </w:r>
      <w:r>
        <w:rPr>
          <w:spacing w:val="-8"/>
          <w:w w:val="125"/>
        </w:rPr>
        <w:t>[2012]</w:t>
        <w:tab/>
      </w:r>
      <w:r>
        <w:rPr>
          <w:w w:val="125"/>
        </w:rPr>
        <w:t>Revd Louise Franklin† </w:t>
      </w:r>
      <w:r>
        <w:rPr>
          <w:spacing w:val="-7"/>
          <w:w w:val="125"/>
        </w:rPr>
        <w:t>(6)</w:t>
      </w:r>
      <w:r>
        <w:rPr>
          <w:spacing w:val="-4"/>
          <w:w w:val="125"/>
        </w:rPr>
        <w:t> </w:t>
      </w:r>
      <w:r>
        <w:rPr>
          <w:spacing w:val="-8"/>
          <w:w w:val="125"/>
        </w:rPr>
        <w:t>[2014]</w:t>
      </w:r>
    </w:p>
    <w:p>
      <w:pPr>
        <w:pStyle w:val="BodyText"/>
        <w:tabs>
          <w:tab w:pos="4733" w:val="left" w:leader="none"/>
        </w:tabs>
        <w:spacing w:line="240" w:lineRule="exact"/>
        <w:ind w:left="1133"/>
      </w:pPr>
      <w:r>
        <w:rPr>
          <w:w w:val="125"/>
        </w:rPr>
        <w:t>Revd Peter Ball</w:t>
      </w:r>
      <w:r>
        <w:rPr>
          <w:spacing w:val="-24"/>
          <w:w w:val="125"/>
        </w:rPr>
        <w:t> </w:t>
      </w:r>
      <w:r>
        <w:rPr>
          <w:w w:val="125"/>
        </w:rPr>
        <w:t>(7)</w:t>
      </w:r>
      <w:r>
        <w:rPr>
          <w:spacing w:val="-8"/>
          <w:w w:val="125"/>
        </w:rPr>
        <w:t> </w:t>
      </w:r>
      <w:r>
        <w:rPr>
          <w:spacing w:val="-11"/>
          <w:w w:val="125"/>
        </w:rPr>
        <w:t>[2011]</w:t>
        <w:tab/>
      </w:r>
      <w:r>
        <w:rPr>
          <w:w w:val="125"/>
        </w:rPr>
        <w:t>Revd </w:t>
      </w:r>
      <w:r>
        <w:rPr>
          <w:spacing w:val="-3"/>
          <w:w w:val="125"/>
        </w:rPr>
        <w:t>Tracey </w:t>
      </w:r>
      <w:r>
        <w:rPr>
          <w:w w:val="125"/>
        </w:rPr>
        <w:t>Lewis </w:t>
      </w:r>
      <w:r>
        <w:rPr>
          <w:spacing w:val="-8"/>
          <w:w w:val="125"/>
        </w:rPr>
        <w:t>(8)</w:t>
      </w:r>
      <w:r>
        <w:rPr>
          <w:spacing w:val="1"/>
          <w:w w:val="125"/>
        </w:rPr>
        <w:t> </w:t>
      </w:r>
      <w:r>
        <w:rPr>
          <w:spacing w:val="-8"/>
          <w:w w:val="125"/>
        </w:rPr>
        <w:t>[2012]</w:t>
      </w:r>
    </w:p>
    <w:p>
      <w:pPr>
        <w:pStyle w:val="BodyText"/>
        <w:tabs>
          <w:tab w:pos="4733" w:val="left" w:leader="none"/>
        </w:tabs>
        <w:spacing w:line="240" w:lineRule="exact"/>
        <w:ind w:left="1133"/>
      </w:pPr>
      <w:r>
        <w:rPr>
          <w:w w:val="125"/>
        </w:rPr>
        <w:t>Revd</w:t>
      </w:r>
      <w:r>
        <w:rPr>
          <w:spacing w:val="-17"/>
          <w:w w:val="125"/>
        </w:rPr>
        <w:t> </w:t>
      </w:r>
      <w:r>
        <w:rPr>
          <w:w w:val="125"/>
        </w:rPr>
        <w:t>Peter</w:t>
      </w:r>
      <w:r>
        <w:rPr>
          <w:spacing w:val="-17"/>
          <w:w w:val="125"/>
        </w:rPr>
        <w:t> </w:t>
      </w:r>
      <w:r>
        <w:rPr>
          <w:w w:val="125"/>
        </w:rPr>
        <w:t>Hurter**</w:t>
      </w:r>
      <w:r>
        <w:rPr>
          <w:spacing w:val="-17"/>
          <w:w w:val="125"/>
        </w:rPr>
        <w:t> </w:t>
      </w:r>
      <w:r>
        <w:rPr>
          <w:spacing w:val="-8"/>
          <w:w w:val="125"/>
        </w:rPr>
        <w:t>(9)</w:t>
      </w:r>
      <w:r>
        <w:rPr>
          <w:spacing w:val="-17"/>
          <w:w w:val="125"/>
        </w:rPr>
        <w:t> </w:t>
      </w:r>
      <w:r>
        <w:rPr>
          <w:spacing w:val="-8"/>
          <w:w w:val="125"/>
        </w:rPr>
        <w:t>[2014]</w:t>
        <w:tab/>
      </w:r>
      <w:r>
        <w:rPr>
          <w:w w:val="125"/>
        </w:rPr>
        <w:t>Revd John Macauley* </w:t>
      </w:r>
      <w:r>
        <w:rPr>
          <w:spacing w:val="-9"/>
          <w:w w:val="125"/>
        </w:rPr>
        <w:t>(10)</w:t>
      </w:r>
      <w:r>
        <w:rPr>
          <w:spacing w:val="-6"/>
          <w:w w:val="125"/>
        </w:rPr>
        <w:t> </w:t>
      </w:r>
      <w:r>
        <w:rPr>
          <w:spacing w:val="-11"/>
          <w:w w:val="125"/>
        </w:rPr>
        <w:t>[2011]</w:t>
      </w:r>
    </w:p>
    <w:p>
      <w:pPr>
        <w:pStyle w:val="BodyText"/>
        <w:tabs>
          <w:tab w:pos="4733" w:val="left" w:leader="none"/>
        </w:tabs>
        <w:spacing w:line="240" w:lineRule="exact"/>
        <w:ind w:left="1133"/>
      </w:pPr>
      <w:r>
        <w:rPr>
          <w:w w:val="130"/>
        </w:rPr>
        <w:t>Vacancy</w:t>
      </w:r>
      <w:r>
        <w:rPr>
          <w:spacing w:val="-17"/>
          <w:w w:val="130"/>
        </w:rPr>
        <w:t> </w:t>
      </w:r>
      <w:r>
        <w:rPr>
          <w:spacing w:val="-14"/>
          <w:w w:val="130"/>
        </w:rPr>
        <w:t>(11)</w:t>
      </w:r>
      <w:r>
        <w:rPr>
          <w:spacing w:val="-17"/>
          <w:w w:val="130"/>
        </w:rPr>
        <w:t> </w:t>
      </w:r>
      <w:r>
        <w:rPr>
          <w:spacing w:val="-8"/>
          <w:w w:val="130"/>
        </w:rPr>
        <w:t>[2012]</w:t>
        <w:tab/>
      </w:r>
      <w:r>
        <w:rPr>
          <w:w w:val="130"/>
        </w:rPr>
        <w:t>Vacancy </w:t>
      </w:r>
      <w:r>
        <w:rPr>
          <w:spacing w:val="-10"/>
          <w:w w:val="130"/>
        </w:rPr>
        <w:t>(12)</w:t>
      </w:r>
      <w:r>
        <w:rPr>
          <w:spacing w:val="-6"/>
          <w:w w:val="130"/>
        </w:rPr>
        <w:t> </w:t>
      </w:r>
      <w:r>
        <w:rPr>
          <w:spacing w:val="-8"/>
          <w:w w:val="130"/>
        </w:rPr>
        <w:t>[2014]</w:t>
      </w:r>
    </w:p>
    <w:p>
      <w:pPr>
        <w:pStyle w:val="BodyText"/>
        <w:spacing w:line="242" w:lineRule="exact"/>
        <w:ind w:left="1133"/>
      </w:pPr>
      <w:r>
        <w:rPr>
          <w:w w:val="125"/>
        </w:rPr>
        <w:t>Revd Lindsey Sanderson* (13) [2011]</w:t>
      </w:r>
    </w:p>
    <w:p>
      <w:pPr>
        <w:pStyle w:val="BodyText"/>
        <w:spacing w:before="4"/>
        <w:rPr>
          <w:sz w:val="18"/>
        </w:rPr>
      </w:pPr>
    </w:p>
    <w:p>
      <w:pPr>
        <w:numPr>
          <w:ilvl w:val="2"/>
          <w:numId w:val="148"/>
        </w:numPr>
        <w:tabs>
          <w:tab w:pos="1853" w:val="left" w:leader="none"/>
          <w:tab w:pos="1854" w:val="left" w:leader="none"/>
        </w:tabs>
        <w:spacing w:line="261" w:lineRule="exact" w:before="0"/>
        <w:ind w:left="1853" w:right="0" w:hanging="721"/>
        <w:jc w:val="left"/>
        <w:rPr>
          <w:rFonts w:ascii="Stone Sans II ITC Std Bk"/>
          <w:b/>
          <w:sz w:val="20"/>
        </w:rPr>
      </w:pPr>
      <w:r>
        <w:rPr>
          <w:rFonts w:ascii="Stone Sans II ITC Std Bk"/>
          <w:b/>
          <w:w w:val="110"/>
          <w:sz w:val="20"/>
        </w:rPr>
        <w:t>International Exchange Reference</w:t>
      </w:r>
      <w:r>
        <w:rPr>
          <w:rFonts w:ascii="Stone Sans II ITC Std Bk"/>
          <w:b/>
          <w:spacing w:val="-1"/>
          <w:w w:val="110"/>
          <w:sz w:val="20"/>
        </w:rPr>
        <w:t> </w:t>
      </w:r>
      <w:r>
        <w:rPr>
          <w:rFonts w:ascii="Stone Sans II ITC Std Bk"/>
          <w:b/>
          <w:w w:val="110"/>
          <w:sz w:val="20"/>
        </w:rPr>
        <w:t>Group</w:t>
      </w:r>
    </w:p>
    <w:p>
      <w:pPr>
        <w:pStyle w:val="BodyText"/>
        <w:tabs>
          <w:tab w:pos="5453" w:val="left" w:leader="none"/>
        </w:tabs>
        <w:spacing w:line="235" w:lineRule="auto"/>
        <w:ind w:left="1133" w:right="3859"/>
      </w:pPr>
      <w:r>
        <w:rPr>
          <w:w w:val="120"/>
        </w:rPr>
        <w:t>Convener: Revd Linda</w:t>
      </w:r>
      <w:r>
        <w:rPr>
          <w:spacing w:val="41"/>
          <w:w w:val="120"/>
        </w:rPr>
        <w:t> </w:t>
      </w:r>
      <w:r>
        <w:rPr>
          <w:w w:val="120"/>
        </w:rPr>
        <w:t>Elliott</w:t>
      </w:r>
      <w:r>
        <w:rPr>
          <w:spacing w:val="14"/>
          <w:w w:val="120"/>
        </w:rPr>
        <w:t> </w:t>
      </w:r>
      <w:r>
        <w:rPr>
          <w:spacing w:val="-11"/>
          <w:w w:val="120"/>
        </w:rPr>
        <w:t>[2011]</w:t>
        <w:tab/>
      </w:r>
      <w:r>
        <w:rPr>
          <w:w w:val="120"/>
        </w:rPr>
        <w:t>#Mr Chris Wright** </w:t>
      </w:r>
      <w:r>
        <w:rPr>
          <w:spacing w:val="-8"/>
          <w:w w:val="120"/>
        </w:rPr>
        <w:t>[2015] </w:t>
      </w:r>
      <w:r>
        <w:rPr>
          <w:w w:val="120"/>
        </w:rPr>
        <w:t>Secretary: Secretary for World Church</w:t>
      </w:r>
      <w:r>
        <w:rPr>
          <w:spacing w:val="9"/>
          <w:w w:val="120"/>
        </w:rPr>
        <w:t> </w:t>
      </w:r>
      <w:r>
        <w:rPr>
          <w:w w:val="120"/>
        </w:rPr>
        <w:t>Relations</w:t>
      </w:r>
    </w:p>
    <w:p>
      <w:pPr>
        <w:pStyle w:val="BodyText"/>
        <w:spacing w:line="235" w:lineRule="auto"/>
        <w:ind w:left="1133" w:right="4375"/>
      </w:pPr>
      <w:r>
        <w:rPr>
          <w:w w:val="120"/>
        </w:rPr>
        <w:t>Members: Revd Andrew Prasad ** (Synod Moderator) [2014] Miss Angela Quinn** (13) [2014]</w:t>
      </w:r>
    </w:p>
    <w:p>
      <w:pPr>
        <w:pStyle w:val="BodyText"/>
        <w:spacing w:before="1"/>
        <w:rPr>
          <w:sz w:val="18"/>
        </w:rPr>
      </w:pPr>
    </w:p>
    <w:p>
      <w:pPr>
        <w:pStyle w:val="ListParagraph"/>
        <w:numPr>
          <w:ilvl w:val="2"/>
          <w:numId w:val="148"/>
        </w:numPr>
        <w:tabs>
          <w:tab w:pos="1815" w:val="left" w:leader="none"/>
        </w:tabs>
        <w:spacing w:line="261" w:lineRule="exact" w:before="0" w:after="0"/>
        <w:ind w:left="1814" w:right="0" w:hanging="682"/>
        <w:jc w:val="left"/>
        <w:rPr>
          <w:rFonts w:ascii="Stone Sans II ITC Std Bk"/>
          <w:b/>
          <w:sz w:val="20"/>
        </w:rPr>
      </w:pPr>
      <w:r>
        <w:rPr>
          <w:rFonts w:ascii="Stone Sans II ITC Std Bk"/>
          <w:b/>
          <w:i/>
          <w:w w:val="110"/>
          <w:sz w:val="20"/>
        </w:rPr>
        <w:t>Commitment for Life </w:t>
      </w:r>
      <w:r>
        <w:rPr>
          <w:rFonts w:ascii="Stone Sans II ITC Std Bk"/>
          <w:b/>
          <w:w w:val="110"/>
          <w:sz w:val="20"/>
        </w:rPr>
        <w:t>Reference</w:t>
      </w:r>
      <w:r>
        <w:rPr>
          <w:rFonts w:ascii="Stone Sans II ITC Std Bk"/>
          <w:b/>
          <w:spacing w:val="-3"/>
          <w:w w:val="110"/>
          <w:sz w:val="20"/>
        </w:rPr>
        <w:t> </w:t>
      </w:r>
      <w:r>
        <w:rPr>
          <w:rFonts w:ascii="Stone Sans II ITC Std Bk"/>
          <w:b/>
          <w:w w:val="110"/>
          <w:sz w:val="20"/>
        </w:rPr>
        <w:t>Group</w:t>
      </w:r>
    </w:p>
    <w:p>
      <w:pPr>
        <w:pStyle w:val="BodyText"/>
        <w:spacing w:line="235" w:lineRule="exact"/>
        <w:ind w:left="1133"/>
      </w:pPr>
      <w:r>
        <w:rPr>
          <w:w w:val="120"/>
        </w:rPr>
        <w:t>Convener: Mrs Helen Lidgett [2012]</w:t>
      </w:r>
    </w:p>
    <w:p>
      <w:pPr>
        <w:pStyle w:val="BodyText"/>
        <w:spacing w:before="4"/>
        <w:rPr>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Methodist/URC Interfaith Reference</w:t>
      </w:r>
      <w:r>
        <w:rPr>
          <w:rFonts w:ascii="Stone Sans II ITC Std Bk"/>
          <w:b/>
          <w:spacing w:val="-1"/>
          <w:w w:val="110"/>
          <w:sz w:val="20"/>
        </w:rPr>
        <w:t> </w:t>
      </w:r>
      <w:r>
        <w:rPr>
          <w:rFonts w:ascii="Stone Sans II ITC Std Bk"/>
          <w:b/>
          <w:w w:val="110"/>
          <w:sz w:val="20"/>
        </w:rPr>
        <w:t>Group</w:t>
      </w:r>
    </w:p>
    <w:p>
      <w:pPr>
        <w:spacing w:line="233" w:lineRule="exact" w:before="0"/>
        <w:ind w:left="1133" w:right="0" w:firstLine="0"/>
        <w:jc w:val="left"/>
        <w:rPr>
          <w:i/>
          <w:sz w:val="20"/>
        </w:rPr>
      </w:pPr>
      <w:r>
        <w:rPr>
          <w:i/>
          <w:w w:val="110"/>
          <w:sz w:val="20"/>
        </w:rPr>
        <w:t>(Members normally serve for six years – in parallel with Methodist terms)</w:t>
      </w:r>
    </w:p>
    <w:p>
      <w:pPr>
        <w:pStyle w:val="BodyText"/>
        <w:spacing w:line="240" w:lineRule="exact"/>
        <w:ind w:left="1133"/>
      </w:pPr>
      <w:r>
        <w:rPr>
          <w:w w:val="120"/>
        </w:rPr>
        <w:t>Co-Convener: Revd Peter Brain [2013]</w:t>
      </w:r>
    </w:p>
    <w:p>
      <w:pPr>
        <w:pStyle w:val="BodyText"/>
        <w:tabs>
          <w:tab w:pos="4733" w:val="left" w:leader="none"/>
        </w:tabs>
        <w:spacing w:line="240" w:lineRule="exact"/>
        <w:ind w:left="1133"/>
      </w:pPr>
      <w:r>
        <w:rPr>
          <w:w w:val="125"/>
        </w:rPr>
        <w:t>Revd Clare Downing</w:t>
      </w:r>
      <w:r>
        <w:rPr>
          <w:spacing w:val="9"/>
          <w:w w:val="125"/>
        </w:rPr>
        <w:t> </w:t>
      </w:r>
      <w:r>
        <w:rPr>
          <w:spacing w:val="-8"/>
          <w:w w:val="125"/>
        </w:rPr>
        <w:t>(5)</w:t>
      </w:r>
      <w:r>
        <w:rPr>
          <w:spacing w:val="3"/>
          <w:w w:val="125"/>
        </w:rPr>
        <w:t> </w:t>
      </w:r>
      <w:r>
        <w:rPr>
          <w:spacing w:val="-9"/>
          <w:w w:val="125"/>
        </w:rPr>
        <w:t>[2013]</w:t>
        <w:tab/>
      </w:r>
      <w:r>
        <w:rPr>
          <w:w w:val="125"/>
        </w:rPr>
        <w:t>Mr David Jonathan </w:t>
      </w:r>
      <w:r>
        <w:rPr>
          <w:spacing w:val="-9"/>
          <w:w w:val="125"/>
        </w:rPr>
        <w:t>(10)</w:t>
      </w:r>
      <w:r>
        <w:rPr>
          <w:spacing w:val="-3"/>
          <w:w w:val="125"/>
        </w:rPr>
        <w:t> </w:t>
      </w:r>
      <w:r>
        <w:rPr>
          <w:spacing w:val="-8"/>
          <w:w w:val="125"/>
        </w:rPr>
        <w:t>[2014]</w:t>
      </w:r>
    </w:p>
    <w:p>
      <w:pPr>
        <w:pStyle w:val="BodyText"/>
        <w:tabs>
          <w:tab w:pos="4733" w:val="left" w:leader="none"/>
        </w:tabs>
        <w:spacing w:line="242" w:lineRule="exact"/>
        <w:ind w:left="1133"/>
      </w:pPr>
      <w:r>
        <w:rPr>
          <w:w w:val="125"/>
        </w:rPr>
        <w:t>Revd Bill Burgess</w:t>
      </w:r>
      <w:r>
        <w:rPr>
          <w:spacing w:val="-9"/>
          <w:w w:val="125"/>
        </w:rPr>
        <w:t> </w:t>
      </w:r>
      <w:r>
        <w:rPr>
          <w:spacing w:val="-8"/>
          <w:w w:val="125"/>
        </w:rPr>
        <w:t>(3)</w:t>
      </w:r>
      <w:r>
        <w:rPr>
          <w:spacing w:val="-3"/>
          <w:w w:val="125"/>
        </w:rPr>
        <w:t> </w:t>
      </w:r>
      <w:r>
        <w:rPr>
          <w:spacing w:val="-8"/>
          <w:w w:val="125"/>
        </w:rPr>
        <w:t>[2015]</w:t>
        <w:tab/>
      </w:r>
      <w:r>
        <w:rPr>
          <w:w w:val="125"/>
        </w:rPr>
        <w:t>Revd Tim Clarke </w:t>
      </w:r>
      <w:r>
        <w:rPr>
          <w:spacing w:val="-9"/>
          <w:w w:val="125"/>
        </w:rPr>
        <w:t>(10)</w:t>
      </w:r>
      <w:r>
        <w:rPr>
          <w:spacing w:val="-1"/>
          <w:w w:val="125"/>
        </w:rPr>
        <w:t> </w:t>
      </w:r>
      <w:r>
        <w:rPr>
          <w:spacing w:val="-8"/>
          <w:w w:val="125"/>
        </w:rPr>
        <w:t>[2015]</w:t>
      </w:r>
    </w:p>
    <w:p>
      <w:pPr>
        <w:pStyle w:val="BodyText"/>
        <w:spacing w:before="3"/>
        <w:rPr>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Joint Public Issues </w:t>
      </w:r>
      <w:r>
        <w:rPr>
          <w:rFonts w:ascii="Stone Sans II ITC Std Bk"/>
          <w:b/>
          <w:spacing w:val="-4"/>
          <w:w w:val="110"/>
          <w:sz w:val="20"/>
        </w:rPr>
        <w:t>Team </w:t>
      </w:r>
      <w:r>
        <w:rPr>
          <w:rFonts w:ascii="Stone Sans II ITC Std Bk"/>
          <w:b/>
          <w:w w:val="110"/>
          <w:sz w:val="20"/>
        </w:rPr>
        <w:t>Strategy and Policy</w:t>
      </w:r>
      <w:r>
        <w:rPr>
          <w:rFonts w:ascii="Stone Sans II ITC Std Bk"/>
          <w:b/>
          <w:spacing w:val="2"/>
          <w:w w:val="110"/>
          <w:sz w:val="20"/>
        </w:rPr>
        <w:t> </w:t>
      </w:r>
      <w:r>
        <w:rPr>
          <w:rFonts w:ascii="Stone Sans II ITC Std Bk"/>
          <w:b/>
          <w:w w:val="110"/>
          <w:sz w:val="20"/>
        </w:rPr>
        <w:t>Group</w:t>
      </w:r>
    </w:p>
    <w:p>
      <w:pPr>
        <w:pStyle w:val="BodyText"/>
        <w:spacing w:line="233" w:lineRule="exact"/>
        <w:ind w:left="1133"/>
      </w:pPr>
      <w:r>
        <w:rPr>
          <w:w w:val="120"/>
        </w:rPr>
        <w:t>Mr Simon Loveitt (Spokesperson on Public Issues for the URC)</w:t>
      </w:r>
    </w:p>
    <w:p>
      <w:pPr>
        <w:spacing w:line="242" w:lineRule="exact" w:before="0"/>
        <w:ind w:left="1133" w:right="0" w:firstLine="0"/>
        <w:jc w:val="left"/>
        <w:rPr>
          <w:i/>
          <w:sz w:val="20"/>
        </w:rPr>
      </w:pPr>
      <w:r>
        <w:rPr>
          <w:i/>
          <w:w w:val="110"/>
          <w:sz w:val="20"/>
        </w:rPr>
        <w:t>(Other members appointed by the Methodist Church and the Baptist Union of Great Britain.)</w:t>
      </w:r>
    </w:p>
    <w:p>
      <w:pPr>
        <w:pStyle w:val="BodyText"/>
        <w:spacing w:before="4"/>
        <w:rPr>
          <w:i/>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Rural Strategy Group</w:t>
      </w:r>
      <w:r>
        <w:rPr>
          <w:rFonts w:ascii="Stone Sans II ITC Std Bk"/>
          <w:b/>
          <w:spacing w:val="-1"/>
          <w:w w:val="110"/>
          <w:sz w:val="20"/>
        </w:rPr>
        <w:t> </w:t>
      </w:r>
      <w:r>
        <w:rPr>
          <w:rFonts w:ascii="Stone Sans II ITC Std Bk"/>
          <w:b/>
          <w:w w:val="110"/>
          <w:sz w:val="20"/>
        </w:rPr>
        <w:t>(URC/Methodist)</w:t>
      </w:r>
    </w:p>
    <w:p>
      <w:pPr>
        <w:pStyle w:val="BodyText"/>
        <w:tabs>
          <w:tab w:pos="4733" w:val="left" w:leader="none"/>
          <w:tab w:pos="7613" w:val="left" w:leader="none"/>
        </w:tabs>
        <w:spacing w:line="235" w:lineRule="exact"/>
        <w:ind w:left="1133"/>
      </w:pPr>
      <w:r>
        <w:rPr>
          <w:w w:val="120"/>
        </w:rPr>
        <w:t>Revd Peter</w:t>
      </w:r>
      <w:r>
        <w:rPr>
          <w:spacing w:val="22"/>
          <w:w w:val="120"/>
        </w:rPr>
        <w:t> </w:t>
      </w:r>
      <w:r>
        <w:rPr>
          <w:w w:val="120"/>
        </w:rPr>
        <w:t>Noble</w:t>
      </w:r>
      <w:r>
        <w:rPr>
          <w:spacing w:val="11"/>
          <w:w w:val="120"/>
        </w:rPr>
        <w:t> </w:t>
      </w:r>
      <w:r>
        <w:rPr>
          <w:w w:val="120"/>
        </w:rPr>
        <w:t>(Co-Chair)</w:t>
        <w:tab/>
        <w:t>Revd</w:t>
      </w:r>
      <w:r>
        <w:rPr>
          <w:spacing w:val="8"/>
          <w:w w:val="120"/>
        </w:rPr>
        <w:t> </w:t>
      </w:r>
      <w:r>
        <w:rPr>
          <w:w w:val="120"/>
        </w:rPr>
        <w:t>Elizabeth</w:t>
      </w:r>
      <w:r>
        <w:rPr>
          <w:spacing w:val="8"/>
          <w:w w:val="120"/>
        </w:rPr>
        <w:t> </w:t>
      </w:r>
      <w:r>
        <w:rPr>
          <w:w w:val="120"/>
        </w:rPr>
        <w:t>Caswell</w:t>
        <w:tab/>
        <w:t>Revd David</w:t>
      </w:r>
      <w:r>
        <w:rPr>
          <w:spacing w:val="5"/>
          <w:w w:val="120"/>
        </w:rPr>
        <w:t> </w:t>
      </w:r>
      <w:r>
        <w:rPr>
          <w:spacing w:val="2"/>
          <w:w w:val="120"/>
        </w:rPr>
        <w:t>Herbert</w:t>
      </w:r>
    </w:p>
    <w:p>
      <w:pPr>
        <w:pStyle w:val="ListParagraph"/>
        <w:numPr>
          <w:ilvl w:val="2"/>
          <w:numId w:val="148"/>
        </w:numPr>
        <w:tabs>
          <w:tab w:pos="1815" w:val="left" w:leader="none"/>
        </w:tabs>
        <w:spacing w:line="318" w:lineRule="exact" w:before="189" w:after="0"/>
        <w:ind w:left="1814" w:right="0" w:hanging="682"/>
        <w:jc w:val="left"/>
        <w:rPr>
          <w:rFonts w:ascii="Stone Sans II ITC Std Bk"/>
          <w:b/>
          <w:sz w:val="20"/>
        </w:rPr>
      </w:pPr>
      <w:r>
        <w:rPr/>
        <w:drawing>
          <wp:anchor distT="0" distB="0" distL="0" distR="0" allowOverlap="1" layoutInCell="1" locked="0" behindDoc="1" simplePos="0" relativeHeight="236097536">
            <wp:simplePos x="0" y="0"/>
            <wp:positionH relativeFrom="page">
              <wp:posOffset>1488878</wp:posOffset>
            </wp:positionH>
            <wp:positionV relativeFrom="paragraph">
              <wp:posOffset>143661</wp:posOffset>
            </wp:positionV>
            <wp:extent cx="232858" cy="181203"/>
            <wp:effectExtent l="0" t="0" r="0" b="0"/>
            <wp:wrapNone/>
            <wp:docPr id="165" name="image208.png"/>
            <wp:cNvGraphicFramePr>
              <a:graphicFrameLocks noChangeAspect="1"/>
            </wp:cNvGraphicFramePr>
            <a:graphic>
              <a:graphicData uri="http://schemas.openxmlformats.org/drawingml/2006/picture">
                <pic:pic>
                  <pic:nvPicPr>
                    <pic:cNvPr id="166" name="image208.png"/>
                    <pic:cNvPicPr/>
                  </pic:nvPicPr>
                  <pic:blipFill>
                    <a:blip r:embed="rId474" cstate="print"/>
                    <a:stretch>
                      <a:fillRect/>
                    </a:stretch>
                  </pic:blipFill>
                  <pic:spPr>
                    <a:xfrm>
                      <a:off x="0" y="0"/>
                      <a:ext cx="232858" cy="181203"/>
                    </a:xfrm>
                    <a:prstGeom prst="rect">
                      <a:avLst/>
                    </a:prstGeom>
                  </pic:spPr>
                </pic:pic>
              </a:graphicData>
            </a:graphic>
          </wp:anchor>
        </w:drawing>
      </w:r>
      <w:r>
        <w:rPr>
          <w:rFonts w:ascii="Arial Rounded MT Bold"/>
          <w:sz w:val="21"/>
        </w:rPr>
        <w:t>Vision4</w:t>
      </w:r>
      <w:r>
        <w:rPr>
          <w:rFonts w:ascii="Bradley Hand ITC"/>
          <w:color w:val="C20D19"/>
          <w:sz w:val="28"/>
        </w:rPr>
        <w:t>Life </w:t>
      </w:r>
      <w:r>
        <w:rPr>
          <w:rFonts w:ascii="Stone Sans II ITC Std Bk"/>
          <w:b/>
          <w:sz w:val="20"/>
        </w:rPr>
        <w:t>Steering</w:t>
      </w:r>
      <w:r>
        <w:rPr>
          <w:rFonts w:ascii="Stone Sans II ITC Std Bk"/>
          <w:b/>
          <w:spacing w:val="-19"/>
          <w:sz w:val="20"/>
        </w:rPr>
        <w:t> </w:t>
      </w:r>
      <w:r>
        <w:rPr>
          <w:rFonts w:ascii="Stone Sans II ITC Std Bk"/>
          <w:b/>
          <w:sz w:val="20"/>
        </w:rPr>
        <w:t>Group</w:t>
      </w:r>
    </w:p>
    <w:p>
      <w:pPr>
        <w:pStyle w:val="BodyText"/>
        <w:tabs>
          <w:tab w:pos="4733" w:val="left" w:leader="none"/>
        </w:tabs>
        <w:spacing w:line="211" w:lineRule="exact"/>
        <w:ind w:left="1133"/>
      </w:pPr>
      <w:r>
        <w:rPr>
          <w:w w:val="120"/>
        </w:rPr>
        <w:t>Revd Dr John</w:t>
      </w:r>
      <w:r>
        <w:rPr>
          <w:spacing w:val="33"/>
          <w:w w:val="120"/>
        </w:rPr>
        <w:t> </w:t>
      </w:r>
      <w:r>
        <w:rPr>
          <w:w w:val="120"/>
        </w:rPr>
        <w:t>Hall</w:t>
      </w:r>
      <w:r>
        <w:rPr>
          <w:spacing w:val="11"/>
          <w:w w:val="120"/>
        </w:rPr>
        <w:t> </w:t>
      </w:r>
      <w:r>
        <w:rPr>
          <w:w w:val="120"/>
        </w:rPr>
        <w:t>(Co-Chair)</w:t>
        <w:tab/>
        <w:t>Revd Roberta Rominger</w:t>
      </w:r>
      <w:r>
        <w:rPr>
          <w:spacing w:val="9"/>
          <w:w w:val="120"/>
        </w:rPr>
        <w:t> </w:t>
      </w:r>
      <w:r>
        <w:rPr>
          <w:w w:val="120"/>
        </w:rPr>
        <w:t>(Co-Chair)</w:t>
      </w:r>
    </w:p>
    <w:p>
      <w:pPr>
        <w:pStyle w:val="BodyText"/>
        <w:tabs>
          <w:tab w:pos="4733" w:val="left" w:leader="none"/>
        </w:tabs>
        <w:spacing w:line="240" w:lineRule="exact"/>
        <w:ind w:left="1133"/>
      </w:pPr>
      <w:r>
        <w:rPr>
          <w:w w:val="120"/>
        </w:rPr>
        <w:t>Ms Francis</w:t>
      </w:r>
      <w:r>
        <w:rPr>
          <w:spacing w:val="-5"/>
          <w:w w:val="120"/>
        </w:rPr>
        <w:t> </w:t>
      </w:r>
      <w:r>
        <w:rPr>
          <w:w w:val="120"/>
        </w:rPr>
        <w:t>Brienen</w:t>
      </w:r>
      <w:r>
        <w:rPr>
          <w:spacing w:val="-2"/>
          <w:w w:val="120"/>
        </w:rPr>
        <w:t> </w:t>
      </w:r>
      <w:r>
        <w:rPr>
          <w:w w:val="120"/>
        </w:rPr>
        <w:t>(Secretary)</w:t>
        <w:tab/>
        <w:t>Revd Dr Janet Lees</w:t>
      </w:r>
      <w:r>
        <w:rPr>
          <w:spacing w:val="10"/>
          <w:w w:val="120"/>
        </w:rPr>
        <w:t> </w:t>
      </w:r>
      <w:r>
        <w:rPr>
          <w:spacing w:val="-3"/>
          <w:w w:val="120"/>
        </w:rPr>
        <w:t>(Coordinator)</w:t>
      </w:r>
    </w:p>
    <w:p>
      <w:pPr>
        <w:pStyle w:val="BodyText"/>
        <w:tabs>
          <w:tab w:pos="4733" w:val="left" w:leader="none"/>
          <w:tab w:pos="7613" w:val="left" w:leader="none"/>
        </w:tabs>
        <w:spacing w:line="240" w:lineRule="exact"/>
        <w:ind w:left="1133"/>
      </w:pPr>
      <w:r>
        <w:rPr>
          <w:w w:val="120"/>
        </w:rPr>
        <w:t>Revd</w:t>
      </w:r>
      <w:r>
        <w:rPr>
          <w:spacing w:val="-2"/>
          <w:w w:val="120"/>
        </w:rPr>
        <w:t> </w:t>
      </w:r>
      <w:r>
        <w:rPr>
          <w:w w:val="120"/>
        </w:rPr>
        <w:t>Ray</w:t>
      </w:r>
      <w:r>
        <w:rPr>
          <w:spacing w:val="-1"/>
          <w:w w:val="120"/>
        </w:rPr>
        <w:t> </w:t>
      </w:r>
      <w:r>
        <w:rPr>
          <w:w w:val="120"/>
        </w:rPr>
        <w:t>Adams</w:t>
        <w:tab/>
        <w:t>Mr</w:t>
      </w:r>
      <w:r>
        <w:rPr>
          <w:spacing w:val="-3"/>
          <w:w w:val="120"/>
        </w:rPr>
        <w:t> </w:t>
      </w:r>
      <w:r>
        <w:rPr>
          <w:w w:val="120"/>
        </w:rPr>
        <w:t>John</w:t>
      </w:r>
      <w:r>
        <w:rPr>
          <w:spacing w:val="-2"/>
          <w:w w:val="120"/>
        </w:rPr>
        <w:t> </w:t>
      </w:r>
      <w:r>
        <w:rPr>
          <w:w w:val="120"/>
        </w:rPr>
        <w:t>Brown</w:t>
        <w:tab/>
        <w:t>Ms Denese</w:t>
      </w:r>
      <w:r>
        <w:rPr>
          <w:spacing w:val="-4"/>
          <w:w w:val="120"/>
        </w:rPr>
        <w:t> </w:t>
      </w:r>
      <w:r>
        <w:rPr>
          <w:w w:val="120"/>
        </w:rPr>
        <w:t>Chikwendu</w:t>
      </w:r>
    </w:p>
    <w:p>
      <w:pPr>
        <w:pStyle w:val="BodyText"/>
        <w:tabs>
          <w:tab w:pos="4733" w:val="left" w:leader="none"/>
          <w:tab w:pos="7613" w:val="left" w:leader="none"/>
        </w:tabs>
        <w:spacing w:line="235" w:lineRule="auto" w:before="2"/>
        <w:ind w:left="1133" w:right="2548"/>
      </w:pPr>
      <w:r>
        <w:rPr>
          <w:w w:val="120"/>
        </w:rPr>
        <w:t>Revd</w:t>
      </w:r>
      <w:r>
        <w:rPr>
          <w:spacing w:val="2"/>
          <w:w w:val="120"/>
        </w:rPr>
        <w:t> Robert</w:t>
      </w:r>
      <w:r>
        <w:rPr>
          <w:spacing w:val="3"/>
          <w:w w:val="120"/>
        </w:rPr>
        <w:t> </w:t>
      </w:r>
      <w:r>
        <w:rPr>
          <w:w w:val="120"/>
        </w:rPr>
        <w:t>Day</w:t>
        <w:tab/>
        <w:t>Revd Dr</w:t>
      </w:r>
      <w:r>
        <w:rPr>
          <w:spacing w:val="14"/>
          <w:w w:val="120"/>
        </w:rPr>
        <w:t> </w:t>
      </w:r>
      <w:r>
        <w:rPr>
          <w:w w:val="120"/>
        </w:rPr>
        <w:t>Susan</w:t>
      </w:r>
      <w:r>
        <w:rPr>
          <w:spacing w:val="7"/>
          <w:w w:val="120"/>
        </w:rPr>
        <w:t> </w:t>
      </w:r>
      <w:r>
        <w:rPr>
          <w:w w:val="120"/>
        </w:rPr>
        <w:t>Durber</w:t>
        <w:tab/>
        <w:t>Revd Brian Harley Revd Dr</w:t>
      </w:r>
      <w:r>
        <w:rPr>
          <w:spacing w:val="-3"/>
          <w:w w:val="120"/>
        </w:rPr>
        <w:t> </w:t>
      </w:r>
      <w:r>
        <w:rPr>
          <w:w w:val="120"/>
        </w:rPr>
        <w:t>Michael</w:t>
      </w:r>
      <w:r>
        <w:rPr>
          <w:spacing w:val="-2"/>
          <w:w w:val="120"/>
        </w:rPr>
        <w:t> </w:t>
      </w:r>
      <w:r>
        <w:rPr>
          <w:w w:val="120"/>
        </w:rPr>
        <w:t>Jagessar</w:t>
        <w:tab/>
        <w:t>Mr Lawrence</w:t>
      </w:r>
      <w:r>
        <w:rPr>
          <w:spacing w:val="-1"/>
          <w:w w:val="120"/>
        </w:rPr>
        <w:t> </w:t>
      </w:r>
      <w:r>
        <w:rPr>
          <w:w w:val="120"/>
        </w:rPr>
        <w:t>Moore</w:t>
        <w:tab/>
        <w:t>Revd Paul Snell Mr</w:t>
      </w:r>
      <w:r>
        <w:rPr>
          <w:spacing w:val="-5"/>
          <w:w w:val="120"/>
        </w:rPr>
        <w:t> </w:t>
      </w:r>
      <w:r>
        <w:rPr>
          <w:w w:val="120"/>
        </w:rPr>
        <w:t>Steve</w:t>
      </w:r>
      <w:r>
        <w:rPr>
          <w:spacing w:val="-4"/>
          <w:w w:val="120"/>
        </w:rPr>
        <w:t> </w:t>
      </w:r>
      <w:r>
        <w:rPr>
          <w:w w:val="120"/>
        </w:rPr>
        <w:t>Summers</w:t>
        <w:tab/>
        <w:t>Revd</w:t>
      </w:r>
      <w:r>
        <w:rPr>
          <w:spacing w:val="-6"/>
          <w:w w:val="120"/>
        </w:rPr>
        <w:t> </w:t>
      </w:r>
      <w:r>
        <w:rPr>
          <w:w w:val="120"/>
        </w:rPr>
        <w:t>Michael</w:t>
      </w:r>
      <w:r>
        <w:rPr>
          <w:spacing w:val="-5"/>
          <w:w w:val="120"/>
        </w:rPr>
        <w:t> </w:t>
      </w:r>
      <w:r>
        <w:rPr>
          <w:w w:val="120"/>
        </w:rPr>
        <w:t>Walsh</w:t>
        <w:tab/>
        <w:t>Revd Sally</w:t>
      </w:r>
      <w:r>
        <w:rPr>
          <w:spacing w:val="-2"/>
          <w:w w:val="120"/>
        </w:rPr>
        <w:t> </w:t>
      </w:r>
      <w:r>
        <w:rPr>
          <w:w w:val="120"/>
        </w:rPr>
        <w:t>Willett</w:t>
      </w:r>
    </w:p>
    <w:p>
      <w:pPr>
        <w:pStyle w:val="BodyText"/>
        <w:spacing w:before="6"/>
        <w:rPr>
          <w:sz w:val="18"/>
        </w:rPr>
      </w:pPr>
    </w:p>
    <w:p>
      <w:pPr>
        <w:pStyle w:val="ListParagraph"/>
        <w:numPr>
          <w:ilvl w:val="2"/>
          <w:numId w:val="148"/>
        </w:numPr>
        <w:tabs>
          <w:tab w:pos="1815" w:val="left" w:leader="none"/>
        </w:tabs>
        <w:spacing w:line="261" w:lineRule="exact" w:before="0" w:after="0"/>
        <w:ind w:left="1814" w:right="0" w:hanging="682"/>
        <w:jc w:val="left"/>
        <w:rPr>
          <w:rFonts w:ascii="Stone Sans II ITC Std Bk"/>
          <w:b/>
          <w:sz w:val="20"/>
        </w:rPr>
      </w:pPr>
      <w:r>
        <w:rPr>
          <w:rFonts w:ascii="Stone Sans II ITC Std Bk"/>
          <w:b/>
          <w:i/>
          <w:w w:val="110"/>
          <w:sz w:val="20"/>
        </w:rPr>
        <w:t>Marketing Campaign </w:t>
      </w:r>
      <w:r>
        <w:rPr>
          <w:rFonts w:ascii="Stone Sans II ITC Std Bk"/>
          <w:b/>
          <w:w w:val="110"/>
          <w:sz w:val="20"/>
        </w:rPr>
        <w:t>Steering</w:t>
      </w:r>
      <w:r>
        <w:rPr>
          <w:rFonts w:ascii="Stone Sans II ITC Std Bk"/>
          <w:b/>
          <w:spacing w:val="3"/>
          <w:w w:val="110"/>
          <w:sz w:val="20"/>
        </w:rPr>
        <w:t> </w:t>
      </w:r>
      <w:r>
        <w:rPr>
          <w:rFonts w:ascii="Stone Sans II ITC Std Bk"/>
          <w:b/>
          <w:w w:val="110"/>
          <w:sz w:val="20"/>
        </w:rPr>
        <w:t>Group</w:t>
      </w:r>
    </w:p>
    <w:p>
      <w:pPr>
        <w:pStyle w:val="BodyText"/>
        <w:spacing w:line="235" w:lineRule="exact"/>
        <w:ind w:left="1133"/>
      </w:pPr>
      <w:r>
        <w:rPr>
          <w:w w:val="120"/>
        </w:rPr>
        <w:t>Revd Roberta Rominger (Co-Chair) Mr Laurence Moore (Co-Chair)</w:t>
      </w:r>
    </w:p>
    <w:tbl>
      <w:tblPr>
        <w:tblW w:w="0" w:type="auto"/>
        <w:jc w:val="left"/>
        <w:tblInd w:w="1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13"/>
        <w:gridCol w:w="3110"/>
        <w:gridCol w:w="2649"/>
      </w:tblGrid>
      <w:tr>
        <w:trPr>
          <w:trHeight w:val="239" w:hRule="atLeast"/>
        </w:trPr>
        <w:tc>
          <w:tcPr>
            <w:tcW w:w="3113" w:type="dxa"/>
          </w:tcPr>
          <w:p>
            <w:pPr>
              <w:pStyle w:val="TableParagraph"/>
              <w:spacing w:line="220" w:lineRule="exact"/>
              <w:ind w:left="50"/>
              <w:rPr>
                <w:sz w:val="20"/>
              </w:rPr>
            </w:pPr>
            <w:r>
              <w:rPr>
                <w:w w:val="125"/>
                <w:sz w:val="20"/>
              </w:rPr>
              <w:t>Ms Lucy Berry (10)</w:t>
            </w:r>
          </w:p>
        </w:tc>
        <w:tc>
          <w:tcPr>
            <w:tcW w:w="3110" w:type="dxa"/>
          </w:tcPr>
          <w:p>
            <w:pPr>
              <w:pStyle w:val="TableParagraph"/>
              <w:spacing w:line="220" w:lineRule="exact"/>
              <w:ind w:left="537"/>
              <w:rPr>
                <w:sz w:val="20"/>
              </w:rPr>
            </w:pPr>
            <w:r>
              <w:rPr>
                <w:w w:val="120"/>
                <w:sz w:val="20"/>
              </w:rPr>
              <w:t>Ms Denese Chikwendu</w:t>
            </w:r>
          </w:p>
        </w:tc>
        <w:tc>
          <w:tcPr>
            <w:tcW w:w="2649" w:type="dxa"/>
          </w:tcPr>
          <w:p>
            <w:pPr>
              <w:pStyle w:val="TableParagraph"/>
              <w:spacing w:line="220" w:lineRule="exact"/>
              <w:ind w:left="307"/>
              <w:rPr>
                <w:sz w:val="20"/>
              </w:rPr>
            </w:pPr>
            <w:r>
              <w:rPr>
                <w:w w:val="115"/>
                <w:sz w:val="20"/>
              </w:rPr>
              <w:t>Ms Francis Brienen</w:t>
            </w:r>
          </w:p>
        </w:tc>
      </w:tr>
      <w:tr>
        <w:trPr>
          <w:trHeight w:val="239" w:hRule="atLeast"/>
        </w:trPr>
        <w:tc>
          <w:tcPr>
            <w:tcW w:w="3113" w:type="dxa"/>
          </w:tcPr>
          <w:p>
            <w:pPr>
              <w:pStyle w:val="TableParagraph"/>
              <w:spacing w:line="220" w:lineRule="exact"/>
              <w:ind w:left="50"/>
              <w:rPr>
                <w:sz w:val="20"/>
              </w:rPr>
            </w:pPr>
            <w:r>
              <w:rPr>
                <w:w w:val="120"/>
                <w:sz w:val="20"/>
              </w:rPr>
              <w:t>Revd Martin Hazell</w:t>
            </w:r>
          </w:p>
        </w:tc>
        <w:tc>
          <w:tcPr>
            <w:tcW w:w="3110" w:type="dxa"/>
          </w:tcPr>
          <w:p>
            <w:pPr>
              <w:pStyle w:val="TableParagraph"/>
              <w:spacing w:line="220" w:lineRule="exact"/>
              <w:ind w:left="537"/>
              <w:rPr>
                <w:sz w:val="20"/>
              </w:rPr>
            </w:pPr>
            <w:r>
              <w:rPr>
                <w:w w:val="125"/>
                <w:sz w:val="20"/>
              </w:rPr>
              <w:t>Mr Graham Law (6)</w:t>
            </w:r>
          </w:p>
        </w:tc>
        <w:tc>
          <w:tcPr>
            <w:tcW w:w="2649" w:type="dxa"/>
          </w:tcPr>
          <w:p>
            <w:pPr>
              <w:pStyle w:val="TableParagraph"/>
              <w:spacing w:line="220" w:lineRule="exact"/>
              <w:ind w:left="307"/>
              <w:rPr>
                <w:sz w:val="20"/>
              </w:rPr>
            </w:pPr>
            <w:r>
              <w:rPr>
                <w:w w:val="125"/>
                <w:sz w:val="20"/>
              </w:rPr>
              <w:t>Revd Peter Noble (12)</w:t>
            </w:r>
          </w:p>
        </w:tc>
      </w:tr>
      <w:tr>
        <w:trPr>
          <w:trHeight w:val="239" w:hRule="atLeast"/>
        </w:trPr>
        <w:tc>
          <w:tcPr>
            <w:tcW w:w="3113" w:type="dxa"/>
          </w:tcPr>
          <w:p>
            <w:pPr>
              <w:pStyle w:val="TableParagraph"/>
              <w:spacing w:line="220" w:lineRule="exact"/>
              <w:ind w:left="50"/>
              <w:rPr>
                <w:sz w:val="20"/>
              </w:rPr>
            </w:pPr>
            <w:r>
              <w:rPr>
                <w:w w:val="125"/>
                <w:sz w:val="20"/>
              </w:rPr>
              <w:t>Miss Victoria Paulding (7)</w:t>
            </w:r>
          </w:p>
        </w:tc>
        <w:tc>
          <w:tcPr>
            <w:tcW w:w="3110" w:type="dxa"/>
          </w:tcPr>
          <w:p>
            <w:pPr>
              <w:pStyle w:val="TableParagraph"/>
              <w:spacing w:line="220" w:lineRule="exact"/>
              <w:ind w:left="537"/>
              <w:rPr>
                <w:sz w:val="20"/>
              </w:rPr>
            </w:pPr>
            <w:r>
              <w:rPr>
                <w:w w:val="120"/>
                <w:sz w:val="20"/>
              </w:rPr>
              <w:t>Mr Simon Peters (13)</w:t>
            </w:r>
          </w:p>
        </w:tc>
        <w:tc>
          <w:tcPr>
            <w:tcW w:w="2649" w:type="dxa"/>
          </w:tcPr>
          <w:p>
            <w:pPr>
              <w:pStyle w:val="TableParagraph"/>
              <w:spacing w:line="220" w:lineRule="exact"/>
              <w:ind w:left="307"/>
              <w:rPr>
                <w:sz w:val="20"/>
              </w:rPr>
            </w:pPr>
            <w:r>
              <w:rPr>
                <w:w w:val="125"/>
                <w:sz w:val="20"/>
              </w:rPr>
              <w:t>Revd</w:t>
            </w:r>
            <w:r>
              <w:rPr>
                <w:spacing w:val="-21"/>
                <w:w w:val="125"/>
                <w:sz w:val="20"/>
              </w:rPr>
              <w:t> </w:t>
            </w:r>
            <w:r>
              <w:rPr>
                <w:w w:val="125"/>
                <w:sz w:val="20"/>
              </w:rPr>
              <w:t>Michael</w:t>
            </w:r>
            <w:r>
              <w:rPr>
                <w:spacing w:val="-21"/>
                <w:w w:val="125"/>
                <w:sz w:val="20"/>
              </w:rPr>
              <w:t> </w:t>
            </w:r>
            <w:r>
              <w:rPr>
                <w:w w:val="125"/>
                <w:sz w:val="20"/>
              </w:rPr>
              <w:t>Walsh</w:t>
            </w:r>
            <w:r>
              <w:rPr>
                <w:spacing w:val="-21"/>
                <w:w w:val="125"/>
                <w:sz w:val="20"/>
              </w:rPr>
              <w:t> </w:t>
            </w:r>
            <w:r>
              <w:rPr>
                <w:spacing w:val="-8"/>
                <w:w w:val="125"/>
                <w:sz w:val="20"/>
              </w:rPr>
              <w:t>(2)</w:t>
            </w:r>
          </w:p>
        </w:tc>
      </w:tr>
    </w:tbl>
    <w:p>
      <w:pPr>
        <w:spacing w:after="0" w:line="220" w:lineRule="exact"/>
        <w:rPr>
          <w:sz w:val="20"/>
        </w:rPr>
        <w:sectPr>
          <w:pgSz w:w="11910" w:h="16840"/>
          <w:pgMar w:header="0" w:footer="647" w:top="1060" w:bottom="840" w:left="0" w:right="0"/>
        </w:sectPr>
      </w:pPr>
    </w:p>
    <w:p>
      <w:pPr>
        <w:pStyle w:val="ListParagraph"/>
        <w:numPr>
          <w:ilvl w:val="0"/>
          <w:numId w:val="148"/>
        </w:numPr>
        <w:tabs>
          <w:tab w:pos="2664" w:val="left" w:leader="none"/>
          <w:tab w:pos="2665" w:val="left" w:leader="none"/>
        </w:tabs>
        <w:spacing w:line="240" w:lineRule="auto" w:before="84" w:after="0"/>
        <w:ind w:left="2664" w:right="0" w:hanging="681"/>
        <w:jc w:val="left"/>
        <w:rPr>
          <w:rFonts w:ascii="Stone Sans II ITC Std Bk"/>
          <w:b/>
          <w:sz w:val="29"/>
        </w:rPr>
      </w:pPr>
      <w:r>
        <w:rPr/>
        <w:pict>
          <v:rect style="position:absolute;margin-left:558.424988pt;margin-top:8.464775pt;width:22.677pt;height:22.677pt;mso-position-horizontal-relative:page;mso-position-vertical-relative:paragraph;z-index:252206080" filled="true" fillcolor="#dae4ec" stroked="false">
            <v:fill opacity="32768f" type="solid"/>
            <w10:wrap type="none"/>
          </v:rect>
        </w:pict>
      </w:r>
      <w:r>
        <w:rPr>
          <w:rFonts w:ascii="Stone Sans II ITC Std Bk"/>
          <w:b/>
          <w:color w:val="CA4F1B"/>
          <w:spacing w:val="3"/>
          <w:w w:val="110"/>
          <w:sz w:val="29"/>
        </w:rPr>
        <w:t>Ministries </w:t>
      </w:r>
      <w:r>
        <w:rPr>
          <w:rFonts w:ascii="Stone Sans II ITC Std Bk"/>
          <w:b/>
          <w:color w:val="CA4F1B"/>
          <w:w w:val="110"/>
          <w:sz w:val="29"/>
        </w:rPr>
        <w:t>of </w:t>
      </w:r>
      <w:r>
        <w:rPr>
          <w:rFonts w:ascii="Stone Sans II ITC Std Bk"/>
          <w:b/>
          <w:color w:val="CA4F1B"/>
          <w:spacing w:val="2"/>
          <w:w w:val="110"/>
          <w:sz w:val="29"/>
        </w:rPr>
        <w:t>the </w:t>
      </w:r>
      <w:r>
        <w:rPr>
          <w:rFonts w:ascii="Stone Sans II ITC Std Bk"/>
          <w:b/>
          <w:color w:val="CA4F1B"/>
          <w:spacing w:val="3"/>
          <w:w w:val="110"/>
          <w:sz w:val="29"/>
        </w:rPr>
        <w:t>church</w:t>
      </w:r>
      <w:r>
        <w:rPr>
          <w:rFonts w:ascii="Stone Sans II ITC Std Bk"/>
          <w:b/>
          <w:color w:val="CA4F1B"/>
          <w:spacing w:val="48"/>
          <w:w w:val="110"/>
          <w:sz w:val="29"/>
        </w:rPr>
        <w:t> </w:t>
      </w:r>
      <w:r>
        <w:rPr>
          <w:rFonts w:ascii="Stone Sans II ITC Std Bk"/>
          <w:b/>
          <w:color w:val="CA4F1B"/>
          <w:spacing w:val="4"/>
          <w:w w:val="110"/>
          <w:sz w:val="29"/>
        </w:rPr>
        <w:t>department</w:t>
      </w:r>
    </w:p>
    <w:p>
      <w:pPr>
        <w:pStyle w:val="ListParagraph"/>
        <w:numPr>
          <w:ilvl w:val="1"/>
          <w:numId w:val="148"/>
        </w:numPr>
        <w:tabs>
          <w:tab w:pos="2664" w:val="left" w:leader="none"/>
          <w:tab w:pos="2665" w:val="left" w:leader="none"/>
        </w:tabs>
        <w:spacing w:line="230" w:lineRule="auto" w:before="188" w:after="0"/>
        <w:ind w:left="1984" w:right="6018" w:firstLine="0"/>
        <w:jc w:val="left"/>
        <w:rPr>
          <w:sz w:val="20"/>
        </w:rPr>
      </w:pPr>
      <w:r>
        <w:rPr>
          <w:rFonts w:ascii="Stone Sans II ITC Std Bk"/>
          <w:b/>
          <w:w w:val="120"/>
          <w:sz w:val="20"/>
        </w:rPr>
        <w:t>Ministries Committee </w:t>
      </w:r>
      <w:r>
        <w:rPr>
          <w:w w:val="120"/>
          <w:sz w:val="20"/>
        </w:rPr>
        <w:t>Convener: Revd Ruth Whitehead </w:t>
      </w:r>
      <w:r>
        <w:rPr>
          <w:spacing w:val="-8"/>
          <w:w w:val="120"/>
          <w:sz w:val="20"/>
        </w:rPr>
        <w:t>[2014] </w:t>
      </w:r>
      <w:r>
        <w:rPr>
          <w:w w:val="120"/>
          <w:sz w:val="20"/>
        </w:rPr>
        <w:t>Secretary: Secretary for</w:t>
      </w:r>
      <w:r>
        <w:rPr>
          <w:spacing w:val="-1"/>
          <w:w w:val="120"/>
          <w:sz w:val="20"/>
        </w:rPr>
        <w:t> </w:t>
      </w:r>
      <w:r>
        <w:rPr>
          <w:w w:val="120"/>
          <w:sz w:val="20"/>
        </w:rPr>
        <w:t>Ministries</w:t>
      </w:r>
    </w:p>
    <w:p>
      <w:pPr>
        <w:pStyle w:val="BodyText"/>
        <w:tabs>
          <w:tab w:pos="5584" w:val="left" w:leader="none"/>
        </w:tabs>
        <w:spacing w:line="238" w:lineRule="exact"/>
        <w:ind w:left="1984"/>
      </w:pPr>
      <w:r>
        <w:rPr>
          <w:w w:val="125"/>
        </w:rPr>
        <w:t>Mrs Helen Renner</w:t>
      </w:r>
      <w:r>
        <w:rPr>
          <w:spacing w:val="-18"/>
          <w:w w:val="125"/>
        </w:rPr>
        <w:t> </w:t>
      </w:r>
      <w:r>
        <w:rPr>
          <w:spacing w:val="-8"/>
          <w:w w:val="125"/>
        </w:rPr>
        <w:t>(3)</w:t>
      </w:r>
      <w:r>
        <w:rPr>
          <w:spacing w:val="-6"/>
          <w:w w:val="125"/>
        </w:rPr>
        <w:t> </w:t>
      </w:r>
      <w:r>
        <w:rPr>
          <w:spacing w:val="-11"/>
          <w:w w:val="125"/>
        </w:rPr>
        <w:t>[2011]</w:t>
        <w:tab/>
      </w:r>
      <w:r>
        <w:rPr>
          <w:w w:val="125"/>
        </w:rPr>
        <w:t>Revd Yolande Burns </w:t>
      </w:r>
      <w:r>
        <w:rPr>
          <w:spacing w:val="-8"/>
          <w:w w:val="125"/>
        </w:rPr>
        <w:t>(2)</w:t>
      </w:r>
      <w:r>
        <w:rPr>
          <w:spacing w:val="-4"/>
          <w:w w:val="125"/>
        </w:rPr>
        <w:t> </w:t>
      </w:r>
      <w:r>
        <w:rPr>
          <w:spacing w:val="-8"/>
          <w:w w:val="125"/>
        </w:rPr>
        <w:t>[2012]</w:t>
      </w:r>
    </w:p>
    <w:p>
      <w:pPr>
        <w:pStyle w:val="BodyText"/>
        <w:tabs>
          <w:tab w:pos="5584" w:val="left" w:leader="none"/>
        </w:tabs>
        <w:spacing w:line="240" w:lineRule="exact"/>
        <w:ind w:left="1984"/>
      </w:pPr>
      <w:r>
        <w:rPr>
          <w:w w:val="125"/>
        </w:rPr>
        <w:t>Ms Brenda Jesse</w:t>
      </w:r>
      <w:r>
        <w:rPr>
          <w:spacing w:val="-35"/>
          <w:w w:val="125"/>
        </w:rPr>
        <w:t> </w:t>
      </w:r>
      <w:r>
        <w:rPr>
          <w:spacing w:val="-8"/>
          <w:w w:val="125"/>
        </w:rPr>
        <w:t>(8)</w:t>
      </w:r>
      <w:r>
        <w:rPr>
          <w:spacing w:val="-12"/>
          <w:w w:val="125"/>
        </w:rPr>
        <w:t> </w:t>
      </w:r>
      <w:r>
        <w:rPr>
          <w:spacing w:val="-9"/>
          <w:w w:val="125"/>
        </w:rPr>
        <w:t>[2013]</w:t>
        <w:tab/>
      </w:r>
      <w:r>
        <w:rPr>
          <w:w w:val="125"/>
        </w:rPr>
        <w:t>Revd David Skitt </w:t>
      </w:r>
      <w:r>
        <w:rPr>
          <w:spacing w:val="-14"/>
          <w:w w:val="125"/>
        </w:rPr>
        <w:t>(11)</w:t>
      </w:r>
      <w:r>
        <w:rPr>
          <w:spacing w:val="-1"/>
          <w:w w:val="125"/>
        </w:rPr>
        <w:t> </w:t>
      </w:r>
      <w:r>
        <w:rPr>
          <w:spacing w:val="-9"/>
          <w:w w:val="125"/>
        </w:rPr>
        <w:t>[2013]</w:t>
      </w:r>
    </w:p>
    <w:p>
      <w:pPr>
        <w:pStyle w:val="BodyText"/>
        <w:tabs>
          <w:tab w:pos="5584" w:val="left" w:leader="none"/>
        </w:tabs>
        <w:spacing w:line="235" w:lineRule="auto" w:before="2"/>
        <w:ind w:left="1984" w:right="3390"/>
      </w:pPr>
      <w:r>
        <w:rPr>
          <w:w w:val="120"/>
        </w:rPr>
        <w:t>Revd John Cox**</w:t>
      </w:r>
      <w:r>
        <w:rPr>
          <w:spacing w:val="21"/>
          <w:w w:val="120"/>
        </w:rPr>
        <w:t> </w:t>
      </w:r>
      <w:r>
        <w:rPr>
          <w:w w:val="120"/>
        </w:rPr>
        <w:t>(7)</w:t>
      </w:r>
      <w:r>
        <w:rPr>
          <w:spacing w:val="7"/>
          <w:w w:val="120"/>
        </w:rPr>
        <w:t> </w:t>
      </w:r>
      <w:r>
        <w:rPr>
          <w:spacing w:val="-8"/>
          <w:w w:val="120"/>
        </w:rPr>
        <w:t>[2014]</w:t>
        <w:tab/>
      </w:r>
      <w:r>
        <w:rPr>
          <w:w w:val="120"/>
        </w:rPr>
        <w:t>Mr Andy Buxton** </w:t>
      </w:r>
      <w:r>
        <w:rPr>
          <w:spacing w:val="-10"/>
          <w:w w:val="120"/>
        </w:rPr>
        <w:t>(12) </w:t>
      </w:r>
      <w:r>
        <w:rPr>
          <w:spacing w:val="-8"/>
          <w:w w:val="120"/>
        </w:rPr>
        <w:t>[2014] </w:t>
      </w:r>
      <w:r>
        <w:rPr>
          <w:spacing w:val="-3"/>
          <w:w w:val="120"/>
        </w:rPr>
        <w:t>Convener, </w:t>
      </w:r>
      <w:r>
        <w:rPr>
          <w:w w:val="120"/>
        </w:rPr>
        <w:t>Assessment</w:t>
      </w:r>
      <w:r>
        <w:rPr>
          <w:spacing w:val="7"/>
          <w:w w:val="120"/>
        </w:rPr>
        <w:t> </w:t>
      </w:r>
      <w:r>
        <w:rPr>
          <w:w w:val="120"/>
        </w:rPr>
        <w:t>Board</w:t>
      </w:r>
    </w:p>
    <w:p>
      <w:pPr>
        <w:pStyle w:val="BodyText"/>
        <w:spacing w:before="1"/>
        <w:rPr>
          <w:sz w:val="19"/>
        </w:rPr>
      </w:pPr>
    </w:p>
    <w:p>
      <w:pPr>
        <w:pStyle w:val="ListParagraph"/>
        <w:numPr>
          <w:ilvl w:val="2"/>
          <w:numId w:val="148"/>
        </w:numPr>
        <w:tabs>
          <w:tab w:pos="2665" w:val="left" w:leader="none"/>
        </w:tabs>
        <w:spacing w:line="230" w:lineRule="auto" w:before="0" w:after="0"/>
        <w:ind w:left="1984" w:right="4770" w:firstLine="0"/>
        <w:jc w:val="left"/>
        <w:rPr>
          <w:sz w:val="20"/>
        </w:rPr>
      </w:pPr>
      <w:r>
        <w:rPr>
          <w:rFonts w:ascii="Stone Sans II ITC Std Bk" w:hAnsi="Stone Sans II ITC Std Bk"/>
          <w:b/>
          <w:w w:val="110"/>
          <w:sz w:val="20"/>
        </w:rPr>
        <w:t>Ministries – Accreditation Sub-committee </w:t>
      </w:r>
      <w:r>
        <w:rPr>
          <w:w w:val="115"/>
          <w:sz w:val="20"/>
        </w:rPr>
        <w:t>Convener:  Revd  Geoffrey  Townsend  </w:t>
      </w:r>
      <w:r>
        <w:rPr>
          <w:spacing w:val="-9"/>
          <w:w w:val="115"/>
          <w:sz w:val="20"/>
        </w:rPr>
        <w:t>[2013] </w:t>
      </w:r>
      <w:r>
        <w:rPr>
          <w:w w:val="115"/>
          <w:sz w:val="20"/>
        </w:rPr>
        <w:t>Secretary: Secretary for</w:t>
      </w:r>
      <w:r>
        <w:rPr>
          <w:spacing w:val="21"/>
          <w:w w:val="115"/>
          <w:sz w:val="20"/>
        </w:rPr>
        <w:t> </w:t>
      </w:r>
      <w:r>
        <w:rPr>
          <w:w w:val="115"/>
          <w:sz w:val="20"/>
        </w:rPr>
        <w:t>Ministries</w:t>
      </w:r>
    </w:p>
    <w:p>
      <w:pPr>
        <w:pStyle w:val="BodyText"/>
        <w:spacing w:line="238" w:lineRule="exact"/>
        <w:ind w:left="1984"/>
      </w:pPr>
      <w:r>
        <w:rPr>
          <w:w w:val="125"/>
        </w:rPr>
        <w:t>Revd Sue Henderson (11) [2011]</w:t>
      </w:r>
    </w:p>
    <w:p>
      <w:pPr>
        <w:pStyle w:val="BodyText"/>
        <w:spacing w:line="240" w:lineRule="exact"/>
        <w:ind w:left="1984"/>
      </w:pPr>
      <w:r>
        <w:rPr>
          <w:w w:val="125"/>
        </w:rPr>
        <w:t>Revd Malcolm Fife (5) [2013]</w:t>
      </w:r>
    </w:p>
    <w:p>
      <w:pPr>
        <w:pStyle w:val="BodyText"/>
        <w:spacing w:line="235" w:lineRule="auto" w:before="2"/>
        <w:ind w:left="1984" w:right="5433"/>
      </w:pPr>
      <w:r>
        <w:rPr>
          <w:w w:val="125"/>
        </w:rPr>
        <w:t>Revd Terry Oakley </w:t>
      </w:r>
      <w:r>
        <w:rPr>
          <w:spacing w:val="-3"/>
          <w:w w:val="125"/>
        </w:rPr>
        <w:t>(Synod </w:t>
      </w:r>
      <w:r>
        <w:rPr>
          <w:w w:val="125"/>
        </w:rPr>
        <w:t>Moderator) </w:t>
      </w:r>
      <w:r>
        <w:rPr>
          <w:spacing w:val="-11"/>
          <w:w w:val="125"/>
        </w:rPr>
        <w:t>[2011] </w:t>
      </w:r>
      <w:r>
        <w:rPr>
          <w:w w:val="125"/>
        </w:rPr>
        <w:t>Mrs </w:t>
      </w:r>
      <w:r>
        <w:rPr>
          <w:spacing w:val="-3"/>
          <w:w w:val="125"/>
        </w:rPr>
        <w:t>Tessa </w:t>
      </w:r>
      <w:r>
        <w:rPr>
          <w:w w:val="125"/>
        </w:rPr>
        <w:t>Henry-Robinson (7) </w:t>
      </w:r>
      <w:r>
        <w:rPr>
          <w:spacing w:val="-9"/>
          <w:w w:val="125"/>
        </w:rPr>
        <w:t>[2013]</w:t>
      </w:r>
    </w:p>
    <w:p>
      <w:pPr>
        <w:pStyle w:val="BodyText"/>
        <w:spacing w:line="242" w:lineRule="exact"/>
        <w:ind w:left="1984"/>
      </w:pPr>
      <w:r>
        <w:rPr>
          <w:w w:val="120"/>
        </w:rPr>
        <w:t>Mr Jim Murison** (4) [2014]</w:t>
      </w:r>
    </w:p>
    <w:p>
      <w:pPr>
        <w:pStyle w:val="BodyText"/>
        <w:spacing w:before="3"/>
        <w:rPr>
          <w:sz w:val="18"/>
        </w:rPr>
      </w:pPr>
    </w:p>
    <w:p>
      <w:pPr>
        <w:numPr>
          <w:ilvl w:val="2"/>
          <w:numId w:val="148"/>
        </w:numPr>
        <w:tabs>
          <w:tab w:pos="2665" w:val="left" w:leader="none"/>
        </w:tabs>
        <w:spacing w:line="261" w:lineRule="exact" w:before="0"/>
        <w:ind w:left="2664" w:right="0" w:hanging="681"/>
        <w:jc w:val="left"/>
        <w:rPr>
          <w:rFonts w:ascii="Stone Sans II ITC Std Bk" w:hAnsi="Stone Sans II ITC Std Bk"/>
          <w:b/>
          <w:sz w:val="20"/>
        </w:rPr>
      </w:pPr>
      <w:r>
        <w:rPr>
          <w:rFonts w:ascii="Stone Sans II ITC Std Bk" w:hAnsi="Stone Sans II ITC Std Bk"/>
          <w:b/>
          <w:w w:val="110"/>
          <w:sz w:val="20"/>
        </w:rPr>
        <w:t>Ministries – </w:t>
      </w:r>
      <w:r>
        <w:rPr>
          <w:rFonts w:ascii="Stone Sans II ITC Std Bk" w:hAnsi="Stone Sans II ITC Std Bk"/>
          <w:b/>
          <w:spacing w:val="2"/>
          <w:w w:val="110"/>
          <w:sz w:val="20"/>
        </w:rPr>
        <w:t>CRCW </w:t>
      </w:r>
      <w:r>
        <w:rPr>
          <w:rFonts w:ascii="Stone Sans II ITC Std Bk" w:hAnsi="Stone Sans II ITC Std Bk"/>
          <w:b/>
          <w:w w:val="110"/>
          <w:sz w:val="20"/>
        </w:rPr>
        <w:t>Programme</w:t>
      </w:r>
      <w:r>
        <w:rPr>
          <w:rFonts w:ascii="Stone Sans II ITC Std Bk" w:hAnsi="Stone Sans II ITC Std Bk"/>
          <w:b/>
          <w:spacing w:val="-2"/>
          <w:w w:val="110"/>
          <w:sz w:val="20"/>
        </w:rPr>
        <w:t> </w:t>
      </w:r>
      <w:r>
        <w:rPr>
          <w:rFonts w:ascii="Stone Sans II ITC Std Bk" w:hAnsi="Stone Sans II ITC Std Bk"/>
          <w:b/>
          <w:w w:val="110"/>
          <w:sz w:val="20"/>
        </w:rPr>
        <w:t>Sub-committee</w:t>
      </w:r>
    </w:p>
    <w:p>
      <w:pPr>
        <w:pStyle w:val="BodyText"/>
        <w:spacing w:line="235" w:lineRule="auto"/>
        <w:ind w:left="1984" w:right="5549"/>
      </w:pPr>
      <w:r>
        <w:rPr>
          <w:w w:val="120"/>
        </w:rPr>
        <w:t>Convener: Revd Paul Whittle [2012] Secretaries: CRCW Development Workers</w:t>
      </w:r>
    </w:p>
    <w:p>
      <w:pPr>
        <w:pStyle w:val="BodyText"/>
        <w:tabs>
          <w:tab w:pos="5584" w:val="left" w:leader="none"/>
        </w:tabs>
        <w:spacing w:line="235" w:lineRule="auto"/>
        <w:ind w:left="1984" w:right="3258"/>
      </w:pPr>
      <w:r>
        <w:rPr>
          <w:w w:val="125"/>
        </w:rPr>
        <w:t>Ms Janine Atkinson (CRCW) </w:t>
      </w:r>
      <w:r>
        <w:rPr>
          <w:spacing w:val="-8"/>
          <w:w w:val="125"/>
        </w:rPr>
        <w:t>[2012]</w:t>
      </w:r>
      <w:r>
        <w:rPr>
          <w:spacing w:val="37"/>
          <w:w w:val="125"/>
        </w:rPr>
        <w:t> </w:t>
      </w:r>
      <w:r>
        <w:rPr>
          <w:w w:val="125"/>
        </w:rPr>
        <w:t>Revd Susan Macbeth </w:t>
      </w:r>
      <w:r>
        <w:rPr>
          <w:spacing w:val="-10"/>
          <w:w w:val="125"/>
        </w:rPr>
        <w:t>(4) </w:t>
      </w:r>
      <w:r>
        <w:rPr>
          <w:spacing w:val="-8"/>
          <w:w w:val="125"/>
        </w:rPr>
        <w:t>[2012] </w:t>
      </w:r>
      <w:r>
        <w:rPr>
          <w:w w:val="125"/>
        </w:rPr>
        <w:t>Ms Christine Smalligan</w:t>
      </w:r>
      <w:r>
        <w:rPr>
          <w:spacing w:val="-15"/>
          <w:w w:val="125"/>
        </w:rPr>
        <w:t> </w:t>
      </w:r>
      <w:r>
        <w:rPr>
          <w:spacing w:val="-9"/>
          <w:w w:val="125"/>
        </w:rPr>
        <w:t>(10)</w:t>
      </w:r>
      <w:r>
        <w:rPr>
          <w:spacing w:val="-5"/>
          <w:w w:val="125"/>
        </w:rPr>
        <w:t> </w:t>
      </w:r>
      <w:r>
        <w:rPr>
          <w:spacing w:val="-8"/>
          <w:w w:val="125"/>
        </w:rPr>
        <w:t>[2012]</w:t>
        <w:tab/>
      </w:r>
      <w:r>
        <w:rPr>
          <w:w w:val="125"/>
        </w:rPr>
        <w:t>Prof John Mellor </w:t>
      </w:r>
      <w:r>
        <w:rPr>
          <w:spacing w:val="-8"/>
          <w:w w:val="125"/>
        </w:rPr>
        <w:t>(9)</w:t>
      </w:r>
      <w:r>
        <w:rPr>
          <w:spacing w:val="-19"/>
          <w:w w:val="125"/>
        </w:rPr>
        <w:t> </w:t>
      </w:r>
      <w:r>
        <w:rPr>
          <w:spacing w:val="-9"/>
          <w:w w:val="125"/>
        </w:rPr>
        <w:t>[2013]</w:t>
      </w:r>
    </w:p>
    <w:p>
      <w:pPr>
        <w:pStyle w:val="BodyText"/>
        <w:spacing w:line="242" w:lineRule="exact"/>
        <w:ind w:left="1984"/>
      </w:pPr>
      <w:r>
        <w:rPr>
          <w:w w:val="125"/>
        </w:rPr>
        <w:t>Vacancy [2014]</w:t>
      </w:r>
    </w:p>
    <w:p>
      <w:pPr>
        <w:pStyle w:val="BodyText"/>
        <w:spacing w:before="6"/>
        <w:rPr>
          <w:sz w:val="19"/>
        </w:rPr>
      </w:pPr>
    </w:p>
    <w:p>
      <w:pPr>
        <w:pStyle w:val="ListParagraph"/>
        <w:numPr>
          <w:ilvl w:val="2"/>
          <w:numId w:val="148"/>
        </w:numPr>
        <w:tabs>
          <w:tab w:pos="2665" w:val="left" w:leader="none"/>
        </w:tabs>
        <w:spacing w:line="218" w:lineRule="auto" w:before="0" w:after="0"/>
        <w:ind w:left="1984" w:right="2866" w:firstLine="0"/>
        <w:jc w:val="left"/>
        <w:rPr>
          <w:sz w:val="20"/>
        </w:rPr>
      </w:pPr>
      <w:r>
        <w:rPr>
          <w:rFonts w:ascii="Stone Sans II ITC Std Bk" w:hAnsi="Stone Sans II ITC Std Bk"/>
          <w:b/>
          <w:w w:val="115"/>
          <w:sz w:val="20"/>
        </w:rPr>
        <w:t>Ministries – Leadership in Worship Sub-committee </w:t>
      </w:r>
      <w:r>
        <w:rPr>
          <w:w w:val="115"/>
          <w:sz w:val="20"/>
        </w:rPr>
        <w:t>Convener and Assembly Lay Preaching Advocate</w:t>
      </w:r>
      <w:r>
        <w:rPr>
          <w:rFonts w:ascii="Stone Sans II ITC Std Bk" w:hAnsi="Stone Sans II ITC Std Bk"/>
          <w:b/>
          <w:w w:val="115"/>
          <w:sz w:val="20"/>
        </w:rPr>
        <w:t>: </w:t>
      </w:r>
      <w:r>
        <w:rPr>
          <w:w w:val="115"/>
          <w:sz w:val="20"/>
        </w:rPr>
        <w:t>Mrs Jan Harper </w:t>
      </w:r>
      <w:r>
        <w:rPr>
          <w:spacing w:val="-11"/>
          <w:w w:val="115"/>
          <w:sz w:val="20"/>
        </w:rPr>
        <w:t>[2011]       </w:t>
      </w:r>
      <w:r>
        <w:rPr>
          <w:w w:val="115"/>
          <w:sz w:val="20"/>
        </w:rPr>
        <w:t># Mrs Judith Johnson** </w:t>
      </w:r>
      <w:r>
        <w:rPr>
          <w:spacing w:val="-11"/>
          <w:w w:val="115"/>
          <w:sz w:val="20"/>
        </w:rPr>
        <w:t>(1) </w:t>
      </w:r>
      <w:r>
        <w:rPr>
          <w:spacing w:val="-8"/>
          <w:w w:val="115"/>
          <w:sz w:val="20"/>
        </w:rPr>
        <w:t>[2015]</w:t>
      </w:r>
    </w:p>
    <w:p>
      <w:pPr>
        <w:pStyle w:val="BodyText"/>
        <w:spacing w:line="242" w:lineRule="exact"/>
        <w:ind w:left="1984"/>
      </w:pPr>
      <w:r>
        <w:rPr>
          <w:w w:val="125"/>
        </w:rPr>
        <w:t>Mr Ed Strachan (2) [2011]</w:t>
      </w:r>
    </w:p>
    <w:p>
      <w:pPr>
        <w:pStyle w:val="BodyText"/>
        <w:spacing w:line="240" w:lineRule="exact"/>
        <w:ind w:left="1984"/>
      </w:pPr>
      <w:r>
        <w:rPr>
          <w:w w:val="125"/>
        </w:rPr>
        <w:t>Revd Gwynfor Evans (3) [2011]</w:t>
      </w:r>
    </w:p>
    <w:p>
      <w:pPr>
        <w:pStyle w:val="BodyText"/>
        <w:spacing w:line="242" w:lineRule="exact"/>
        <w:ind w:left="1984"/>
      </w:pPr>
      <w:r>
        <w:rPr>
          <w:w w:val="125"/>
        </w:rPr>
        <w:t>Mr Alan Cotgreave (6) [2011]</w:t>
      </w:r>
    </w:p>
    <w:p>
      <w:pPr>
        <w:pStyle w:val="BodyText"/>
        <w:spacing w:before="3"/>
        <w:rPr>
          <w:sz w:val="18"/>
        </w:rPr>
      </w:pPr>
    </w:p>
    <w:p>
      <w:pPr>
        <w:numPr>
          <w:ilvl w:val="2"/>
          <w:numId w:val="148"/>
        </w:numPr>
        <w:tabs>
          <w:tab w:pos="2665" w:val="left" w:leader="none"/>
        </w:tabs>
        <w:spacing w:line="261" w:lineRule="exact" w:before="0"/>
        <w:ind w:left="2664" w:right="0" w:hanging="681"/>
        <w:jc w:val="left"/>
        <w:rPr>
          <w:rFonts w:ascii="Stone Sans II ITC Std Bk" w:hAnsi="Stone Sans II ITC Std Bk"/>
          <w:b/>
          <w:sz w:val="20"/>
        </w:rPr>
      </w:pPr>
      <w:r>
        <w:rPr>
          <w:rFonts w:ascii="Stone Sans II ITC Std Bk" w:hAnsi="Stone Sans II ITC Std Bk"/>
          <w:b/>
          <w:w w:val="110"/>
          <w:sz w:val="20"/>
        </w:rPr>
        <w:t>Ministries – Maintenance of Ministry Sub-committee</w:t>
      </w:r>
    </w:p>
    <w:p>
      <w:pPr>
        <w:pStyle w:val="BodyText"/>
        <w:spacing w:line="233" w:lineRule="exact"/>
        <w:ind w:left="1984"/>
      </w:pPr>
      <w:r>
        <w:rPr>
          <w:w w:val="120"/>
        </w:rPr>
        <w:t>Convener: Revd Dr Anthony Haws [2013]</w:t>
      </w:r>
    </w:p>
    <w:p>
      <w:pPr>
        <w:pStyle w:val="BodyText"/>
        <w:tabs>
          <w:tab w:pos="5584" w:val="left" w:leader="none"/>
        </w:tabs>
        <w:spacing w:line="240" w:lineRule="exact"/>
        <w:ind w:left="1984"/>
      </w:pPr>
      <w:r>
        <w:rPr>
          <w:w w:val="125"/>
        </w:rPr>
        <w:t>Mrs</w:t>
      </w:r>
      <w:r>
        <w:rPr>
          <w:spacing w:val="-17"/>
          <w:w w:val="125"/>
        </w:rPr>
        <w:t> </w:t>
      </w:r>
      <w:r>
        <w:rPr>
          <w:w w:val="125"/>
        </w:rPr>
        <w:t>Jane</w:t>
      </w:r>
      <w:r>
        <w:rPr>
          <w:spacing w:val="-16"/>
          <w:w w:val="125"/>
        </w:rPr>
        <w:t> </w:t>
      </w:r>
      <w:r>
        <w:rPr>
          <w:w w:val="125"/>
        </w:rPr>
        <w:t>Mackerness</w:t>
      </w:r>
      <w:r>
        <w:rPr>
          <w:spacing w:val="-17"/>
          <w:w w:val="125"/>
        </w:rPr>
        <w:t> </w:t>
      </w:r>
      <w:r>
        <w:rPr>
          <w:spacing w:val="-10"/>
          <w:w w:val="125"/>
        </w:rPr>
        <w:t>(12)</w:t>
      </w:r>
      <w:r>
        <w:rPr>
          <w:spacing w:val="-16"/>
          <w:w w:val="125"/>
        </w:rPr>
        <w:t> </w:t>
      </w:r>
      <w:r>
        <w:rPr>
          <w:spacing w:val="-11"/>
          <w:w w:val="125"/>
        </w:rPr>
        <w:t>[2011]</w:t>
        <w:tab/>
      </w:r>
      <w:r>
        <w:rPr>
          <w:w w:val="125"/>
        </w:rPr>
        <w:t>Miss Margaret Atkinson </w:t>
      </w:r>
      <w:r>
        <w:rPr>
          <w:spacing w:val="-10"/>
          <w:w w:val="125"/>
        </w:rPr>
        <w:t>(4)</w:t>
      </w:r>
      <w:r>
        <w:rPr>
          <w:spacing w:val="-8"/>
          <w:w w:val="125"/>
        </w:rPr>
        <w:t> [2012]</w:t>
      </w:r>
    </w:p>
    <w:p>
      <w:pPr>
        <w:pStyle w:val="BodyText"/>
        <w:tabs>
          <w:tab w:pos="5584" w:val="left" w:leader="none"/>
        </w:tabs>
        <w:spacing w:line="240" w:lineRule="exact"/>
        <w:ind w:left="1984"/>
      </w:pPr>
      <w:r>
        <w:rPr>
          <w:w w:val="125"/>
        </w:rPr>
        <w:t>Revd Catey Morrison</w:t>
      </w:r>
      <w:r>
        <w:rPr>
          <w:spacing w:val="-19"/>
          <w:w w:val="125"/>
        </w:rPr>
        <w:t> </w:t>
      </w:r>
      <w:r>
        <w:rPr>
          <w:spacing w:val="-11"/>
          <w:w w:val="125"/>
        </w:rPr>
        <w:t>(1)</w:t>
      </w:r>
      <w:r>
        <w:rPr>
          <w:spacing w:val="-6"/>
          <w:w w:val="125"/>
        </w:rPr>
        <w:t> </w:t>
      </w:r>
      <w:r>
        <w:rPr>
          <w:spacing w:val="-8"/>
          <w:w w:val="125"/>
        </w:rPr>
        <w:t>[2012]</w:t>
        <w:tab/>
      </w:r>
      <w:r>
        <w:rPr>
          <w:w w:val="125"/>
        </w:rPr>
        <w:t>Mr Andrew </w:t>
      </w:r>
      <w:r>
        <w:rPr>
          <w:spacing w:val="2"/>
          <w:w w:val="125"/>
        </w:rPr>
        <w:t>Martlew** </w:t>
      </w:r>
      <w:r>
        <w:rPr>
          <w:spacing w:val="-8"/>
          <w:w w:val="125"/>
        </w:rPr>
        <w:t>(3)</w:t>
      </w:r>
      <w:r>
        <w:rPr>
          <w:spacing w:val="-11"/>
          <w:w w:val="125"/>
        </w:rPr>
        <w:t> </w:t>
      </w:r>
      <w:r>
        <w:rPr>
          <w:spacing w:val="-8"/>
          <w:w w:val="125"/>
        </w:rPr>
        <w:t>[2014]</w:t>
      </w:r>
    </w:p>
    <w:p>
      <w:pPr>
        <w:pStyle w:val="BodyText"/>
        <w:spacing w:line="240" w:lineRule="exact"/>
        <w:ind w:left="1984"/>
      </w:pPr>
      <w:r>
        <w:rPr>
          <w:w w:val="125"/>
        </w:rPr>
        <w:t>Revd Alison Hall** (3) [2014]</w:t>
      </w:r>
    </w:p>
    <w:p>
      <w:pPr>
        <w:pStyle w:val="BodyText"/>
        <w:spacing w:line="242" w:lineRule="exact"/>
        <w:ind w:left="1984"/>
      </w:pPr>
      <w:r>
        <w:rPr>
          <w:w w:val="120"/>
        </w:rPr>
        <w:t>[</w:t>
      </w:r>
      <w:r>
        <w:rPr>
          <w:i/>
          <w:w w:val="120"/>
        </w:rPr>
        <w:t>ex officio</w:t>
      </w:r>
      <w:r>
        <w:rPr>
          <w:w w:val="120"/>
        </w:rPr>
        <w:t>: Honorary Treasurer, Convener, Pensions Executive]</w:t>
      </w:r>
    </w:p>
    <w:p>
      <w:pPr>
        <w:pStyle w:val="BodyText"/>
        <w:spacing w:before="4"/>
        <w:rPr>
          <w:sz w:val="18"/>
        </w:rPr>
      </w:pPr>
    </w:p>
    <w:p>
      <w:pPr>
        <w:numPr>
          <w:ilvl w:val="2"/>
          <w:numId w:val="148"/>
        </w:numPr>
        <w:tabs>
          <w:tab w:pos="2665" w:val="left" w:leader="none"/>
        </w:tabs>
        <w:spacing w:line="261" w:lineRule="exact" w:before="0"/>
        <w:ind w:left="2664" w:right="0" w:hanging="681"/>
        <w:jc w:val="left"/>
        <w:rPr>
          <w:rFonts w:ascii="Stone Sans II ITC Std Bk" w:hAnsi="Stone Sans II ITC Std Bk"/>
          <w:b/>
          <w:sz w:val="20"/>
        </w:rPr>
      </w:pPr>
      <w:r>
        <w:rPr>
          <w:rFonts w:ascii="Stone Sans II ITC Std Bk" w:hAnsi="Stone Sans II ITC Std Bk"/>
          <w:b/>
          <w:w w:val="110"/>
          <w:sz w:val="20"/>
        </w:rPr>
        <w:t>Ministries – Retired Ministers’ Housing Sub-committee</w:t>
      </w:r>
    </w:p>
    <w:p>
      <w:pPr>
        <w:spacing w:line="235" w:lineRule="auto" w:before="0"/>
        <w:ind w:left="1984" w:right="1573" w:firstLine="0"/>
        <w:jc w:val="left"/>
        <w:rPr>
          <w:i/>
          <w:sz w:val="20"/>
        </w:rPr>
      </w:pPr>
      <w:r>
        <w:rPr>
          <w:i/>
          <w:w w:val="110"/>
          <w:sz w:val="20"/>
        </w:rPr>
        <w:t>(In future, members will normally serve for four years but appointments may be extended for  </w:t>
      </w:r>
      <w:r>
        <w:rPr>
          <w:i/>
          <w:w w:val="110"/>
          <w:sz w:val="20"/>
        </w:rPr>
        <w:t>a further two</w:t>
      </w:r>
      <w:r>
        <w:rPr>
          <w:i/>
          <w:spacing w:val="11"/>
          <w:w w:val="110"/>
          <w:sz w:val="20"/>
        </w:rPr>
        <w:t> </w:t>
      </w:r>
      <w:r>
        <w:rPr>
          <w:i/>
          <w:spacing w:val="-3"/>
          <w:w w:val="110"/>
          <w:sz w:val="20"/>
        </w:rPr>
        <w:t>years.)</w:t>
      </w:r>
    </w:p>
    <w:p>
      <w:pPr>
        <w:pStyle w:val="BodyText"/>
        <w:spacing w:line="240" w:lineRule="exact"/>
        <w:ind w:left="1984"/>
      </w:pPr>
      <w:r>
        <w:rPr>
          <w:w w:val="125"/>
        </w:rPr>
        <w:t>Convener: Revd David Bedford [2015]</w:t>
      </w:r>
    </w:p>
    <w:p>
      <w:pPr>
        <w:pStyle w:val="BodyText"/>
        <w:spacing w:line="240" w:lineRule="exact"/>
        <w:ind w:left="1984"/>
      </w:pPr>
      <w:r>
        <w:rPr>
          <w:w w:val="120"/>
        </w:rPr>
        <w:t>Secretary: Secretary, Retired Ministers Housing Society Ltd</w:t>
      </w:r>
    </w:p>
    <w:p>
      <w:pPr>
        <w:pStyle w:val="BodyText"/>
        <w:tabs>
          <w:tab w:pos="5584" w:val="left" w:leader="none"/>
        </w:tabs>
        <w:spacing w:line="240" w:lineRule="exact"/>
        <w:ind w:left="1984"/>
      </w:pPr>
      <w:r>
        <w:rPr>
          <w:w w:val="125"/>
        </w:rPr>
        <w:t>Revd Michael Spencer</w:t>
      </w:r>
      <w:r>
        <w:rPr>
          <w:spacing w:val="-19"/>
          <w:w w:val="125"/>
        </w:rPr>
        <w:t> </w:t>
      </w:r>
      <w:r>
        <w:rPr>
          <w:spacing w:val="-7"/>
          <w:w w:val="125"/>
        </w:rPr>
        <w:t>(6)</w:t>
      </w:r>
      <w:r>
        <w:rPr>
          <w:spacing w:val="-6"/>
          <w:w w:val="125"/>
        </w:rPr>
        <w:t> </w:t>
      </w:r>
      <w:r>
        <w:rPr>
          <w:spacing w:val="-11"/>
          <w:w w:val="125"/>
        </w:rPr>
        <w:t>[2011]</w:t>
        <w:tab/>
      </w:r>
      <w:r>
        <w:rPr>
          <w:w w:val="125"/>
        </w:rPr>
        <w:t>Revd Nanette Lewis-Head </w:t>
      </w:r>
      <w:r>
        <w:rPr>
          <w:spacing w:val="-10"/>
          <w:w w:val="125"/>
        </w:rPr>
        <w:t>(12)</w:t>
      </w:r>
      <w:r>
        <w:rPr>
          <w:spacing w:val="-5"/>
          <w:w w:val="125"/>
        </w:rPr>
        <w:t> </w:t>
      </w:r>
      <w:r>
        <w:rPr>
          <w:spacing w:val="-8"/>
          <w:w w:val="125"/>
        </w:rPr>
        <w:t>[2012]</w:t>
      </w:r>
    </w:p>
    <w:p>
      <w:pPr>
        <w:pStyle w:val="BodyText"/>
        <w:tabs>
          <w:tab w:pos="5584" w:val="left" w:leader="none"/>
        </w:tabs>
        <w:spacing w:line="235" w:lineRule="auto"/>
        <w:ind w:left="1984" w:right="1573"/>
      </w:pPr>
      <w:r>
        <w:rPr>
          <w:w w:val="120"/>
        </w:rPr>
        <w:t>Revd Anne Bedford</w:t>
      </w:r>
      <w:r>
        <w:rPr>
          <w:spacing w:val="44"/>
          <w:w w:val="120"/>
        </w:rPr>
        <w:t> </w:t>
      </w:r>
      <w:r>
        <w:rPr>
          <w:spacing w:val="-8"/>
          <w:w w:val="120"/>
        </w:rPr>
        <w:t>3)</w:t>
      </w:r>
      <w:r>
        <w:rPr>
          <w:spacing w:val="14"/>
          <w:w w:val="120"/>
        </w:rPr>
        <w:t> </w:t>
      </w:r>
      <w:r>
        <w:rPr>
          <w:spacing w:val="-8"/>
          <w:w w:val="120"/>
        </w:rPr>
        <w:t>[2015]</w:t>
        <w:tab/>
      </w:r>
      <w:r>
        <w:rPr>
          <w:w w:val="120"/>
        </w:rPr>
        <w:t>Revd John Humphreys </w:t>
      </w:r>
      <w:r>
        <w:rPr>
          <w:spacing w:val="-3"/>
          <w:w w:val="120"/>
        </w:rPr>
        <w:t>(Synod </w:t>
      </w:r>
      <w:r>
        <w:rPr>
          <w:w w:val="120"/>
        </w:rPr>
        <w:t>Moderator) </w:t>
      </w:r>
      <w:r>
        <w:rPr>
          <w:spacing w:val="-9"/>
          <w:w w:val="120"/>
        </w:rPr>
        <w:t>[2013] </w:t>
      </w:r>
      <w:r>
        <w:rPr>
          <w:spacing w:val="-3"/>
          <w:w w:val="120"/>
        </w:rPr>
        <w:t>[</w:t>
      </w:r>
      <w:r>
        <w:rPr>
          <w:i/>
          <w:spacing w:val="-3"/>
          <w:w w:val="120"/>
        </w:rPr>
        <w:t>ex </w:t>
      </w:r>
      <w:r>
        <w:rPr>
          <w:i/>
          <w:w w:val="120"/>
        </w:rPr>
        <w:t>officio: </w:t>
      </w:r>
      <w:r>
        <w:rPr>
          <w:spacing w:val="2"/>
          <w:w w:val="120"/>
        </w:rPr>
        <w:t>Honorary</w:t>
      </w:r>
      <w:r>
        <w:rPr>
          <w:spacing w:val="1"/>
          <w:w w:val="120"/>
        </w:rPr>
        <w:t> </w:t>
      </w:r>
      <w:r>
        <w:rPr>
          <w:spacing w:val="-3"/>
          <w:w w:val="120"/>
        </w:rPr>
        <w:t>Treasurer]</w:t>
      </w:r>
    </w:p>
    <w:p>
      <w:pPr>
        <w:spacing w:line="230" w:lineRule="auto" w:before="0"/>
        <w:ind w:left="1984" w:right="1573" w:firstLine="0"/>
        <w:jc w:val="left"/>
        <w:rPr>
          <w:i/>
          <w:sz w:val="20"/>
        </w:rPr>
      </w:pPr>
      <w:r>
        <w:rPr>
          <w:i/>
          <w:w w:val="110"/>
          <w:sz w:val="20"/>
        </w:rPr>
        <w:t>(Properties are managed by a Company viz: </w:t>
      </w:r>
      <w:r>
        <w:rPr>
          <w:rFonts w:ascii="Stone Sans II ITC Std Bk" w:hAnsi="Stone Sans II ITC Std Bk"/>
          <w:b/>
          <w:i/>
          <w:w w:val="110"/>
          <w:sz w:val="20"/>
        </w:rPr>
        <w:t>Retired Ministers’ Housing Society </w:t>
      </w:r>
      <w:r>
        <w:rPr>
          <w:rFonts w:ascii="Stone Sans II ITC Std Bk" w:hAnsi="Stone Sans II ITC Std Bk"/>
          <w:b/>
          <w:i/>
          <w:spacing w:val="-4"/>
          <w:w w:val="110"/>
          <w:sz w:val="20"/>
        </w:rPr>
        <w:t>LTD.  </w:t>
      </w:r>
      <w:r>
        <w:rPr>
          <w:i/>
          <w:w w:val="110"/>
          <w:sz w:val="20"/>
        </w:rPr>
        <w:t>Details of the Members of the Board etc may be obtained from the secretary, Mr </w:t>
      </w:r>
      <w:r>
        <w:rPr>
          <w:i/>
          <w:spacing w:val="-5"/>
          <w:w w:val="110"/>
          <w:sz w:val="20"/>
        </w:rPr>
        <w:t>Tony </w:t>
      </w:r>
      <w:r>
        <w:rPr>
          <w:i/>
          <w:spacing w:val="-3"/>
          <w:w w:val="110"/>
          <w:sz w:val="20"/>
        </w:rPr>
        <w:t>Bayley, </w:t>
      </w:r>
      <w:r>
        <w:rPr>
          <w:i/>
          <w:w w:val="110"/>
          <w:sz w:val="20"/>
        </w:rPr>
        <w:t>at Church</w:t>
      </w:r>
      <w:r>
        <w:rPr>
          <w:i/>
          <w:spacing w:val="8"/>
          <w:w w:val="110"/>
          <w:sz w:val="20"/>
        </w:rPr>
        <w:t> </w:t>
      </w:r>
      <w:r>
        <w:rPr>
          <w:i/>
          <w:spacing w:val="-3"/>
          <w:w w:val="110"/>
          <w:sz w:val="20"/>
        </w:rPr>
        <w:t>House.)</w:t>
      </w:r>
    </w:p>
    <w:p>
      <w:pPr>
        <w:numPr>
          <w:ilvl w:val="2"/>
          <w:numId w:val="148"/>
        </w:numPr>
        <w:tabs>
          <w:tab w:pos="2665" w:val="left" w:leader="none"/>
        </w:tabs>
        <w:spacing w:line="261" w:lineRule="exact" w:before="213"/>
        <w:ind w:left="2664" w:right="0" w:hanging="681"/>
        <w:jc w:val="left"/>
        <w:rPr>
          <w:rFonts w:ascii="Stone Sans II ITC Std Bk"/>
          <w:b/>
          <w:sz w:val="20"/>
        </w:rPr>
      </w:pPr>
      <w:r>
        <w:rPr>
          <w:rFonts w:ascii="Stone Sans II ITC Std Bk"/>
          <w:b/>
          <w:w w:val="110"/>
          <w:sz w:val="20"/>
        </w:rPr>
        <w:t>Assessment</w:t>
      </w:r>
      <w:r>
        <w:rPr>
          <w:rFonts w:ascii="Stone Sans II ITC Std Bk"/>
          <w:b/>
          <w:spacing w:val="-1"/>
          <w:w w:val="110"/>
          <w:sz w:val="20"/>
        </w:rPr>
        <w:t> </w:t>
      </w:r>
      <w:r>
        <w:rPr>
          <w:rFonts w:ascii="Stone Sans II ITC Std Bk"/>
          <w:b/>
          <w:w w:val="110"/>
          <w:sz w:val="20"/>
        </w:rPr>
        <w:t>Board</w:t>
      </w:r>
    </w:p>
    <w:p>
      <w:pPr>
        <w:spacing w:line="233" w:lineRule="exact" w:before="0"/>
        <w:ind w:left="1984" w:right="0" w:firstLine="0"/>
        <w:jc w:val="left"/>
        <w:rPr>
          <w:i/>
          <w:sz w:val="20"/>
        </w:rPr>
      </w:pPr>
      <w:r>
        <w:rPr>
          <w:i/>
          <w:w w:val="110"/>
          <w:sz w:val="20"/>
        </w:rPr>
        <w:t>(Members normally serve for five years as training is required.)</w:t>
      </w:r>
    </w:p>
    <w:p>
      <w:pPr>
        <w:pStyle w:val="BodyText"/>
        <w:tabs>
          <w:tab w:pos="3424" w:val="left" w:leader="none"/>
        </w:tabs>
        <w:spacing w:line="240" w:lineRule="exact"/>
        <w:ind w:left="1984"/>
      </w:pPr>
      <w:r>
        <w:rPr>
          <w:w w:val="125"/>
        </w:rPr>
        <w:t>Convener:</w:t>
        <w:tab/>
        <w:t>Dr Graham Campling</w:t>
      </w:r>
      <w:r>
        <w:rPr>
          <w:spacing w:val="-1"/>
          <w:w w:val="125"/>
        </w:rPr>
        <w:t> </w:t>
      </w:r>
      <w:r>
        <w:rPr>
          <w:spacing w:val="-8"/>
          <w:w w:val="125"/>
        </w:rPr>
        <w:t>[2014]</w:t>
      </w:r>
    </w:p>
    <w:p>
      <w:pPr>
        <w:pStyle w:val="BodyText"/>
        <w:spacing w:line="235" w:lineRule="auto" w:before="2"/>
        <w:ind w:left="1984" w:right="1273"/>
      </w:pPr>
      <w:r>
        <w:rPr>
          <w:w w:val="120"/>
        </w:rPr>
        <w:t>Retiring 2011 Revd Jan Adamson (13), Revd Sian Collins (12), Mrs Wendy Smith (2) Retiring 2012 Mr Geoffrey Harrison (3), Mr James Horton (4), Mrs Margaret Jenkins (3),</w:t>
      </w:r>
    </w:p>
    <w:p>
      <w:pPr>
        <w:pStyle w:val="BodyText"/>
        <w:spacing w:line="240" w:lineRule="exact"/>
        <w:ind w:left="3424"/>
      </w:pPr>
      <w:r>
        <w:rPr>
          <w:w w:val="125"/>
        </w:rPr>
        <w:t>Revd Janet Maxwell (1), Revd William Young (6)</w:t>
      </w:r>
    </w:p>
    <w:p>
      <w:pPr>
        <w:pStyle w:val="BodyText"/>
        <w:spacing w:line="235" w:lineRule="auto" w:before="2"/>
        <w:ind w:left="3424" w:right="1997" w:hanging="1440"/>
      </w:pPr>
      <w:r>
        <w:rPr>
          <w:w w:val="120"/>
        </w:rPr>
        <w:t>Retiring 2013 Mrs Irene Wren (5), Revd Lis Mullen (2), Revd Gary McGowan (3), Revd Val Towler (1)</w:t>
      </w:r>
    </w:p>
    <w:p>
      <w:pPr>
        <w:spacing w:after="0" w:line="235" w:lineRule="auto"/>
        <w:sectPr>
          <w:pgSz w:w="11910" w:h="16840"/>
          <w:pgMar w:header="0" w:footer="647" w:top="1060" w:bottom="840" w:left="0" w:right="0"/>
        </w:sectPr>
      </w:pPr>
    </w:p>
    <w:p>
      <w:pPr>
        <w:pStyle w:val="BodyText"/>
        <w:spacing w:line="235" w:lineRule="auto" w:before="107"/>
        <w:ind w:left="2573" w:right="2573" w:hanging="1440"/>
      </w:pPr>
      <w:r>
        <w:rPr/>
        <w:pict>
          <v:rect style="position:absolute;margin-left:12.047pt;margin-top:8.477343pt;width:22.677pt;height:22.677pt;mso-position-horizontal-relative:page;mso-position-vertical-relative:paragraph;z-index:252207104" filled="true" fillcolor="#dae4ec" stroked="false">
            <v:fill opacity="32768f" type="solid"/>
            <w10:wrap type="none"/>
          </v:rect>
        </w:pict>
      </w:r>
      <w:r>
        <w:rPr>
          <w:w w:val="120"/>
        </w:rPr>
        <w:t>Retiring 2014 Mr Mark Hayes (7), Mr Robin Pencavel (8), Revd Jamie Kissack (4), Revd Paul Floe (12)</w:t>
      </w:r>
    </w:p>
    <w:p>
      <w:pPr>
        <w:pStyle w:val="BodyText"/>
        <w:spacing w:line="240" w:lineRule="exact"/>
        <w:ind w:left="1133"/>
      </w:pPr>
      <w:r>
        <w:rPr>
          <w:w w:val="120"/>
        </w:rPr>
        <w:t>Retiring 2015 Mrs Judith Garthwaite** (4), Mr Rod Morrison** (4),</w:t>
      </w:r>
    </w:p>
    <w:p>
      <w:pPr>
        <w:pStyle w:val="BodyText"/>
        <w:spacing w:line="242" w:lineRule="exact"/>
        <w:ind w:left="2573"/>
      </w:pPr>
      <w:r>
        <w:rPr>
          <w:w w:val="120"/>
        </w:rPr>
        <w:t>Ms Mercy Nimako** (11), Mrs Maureen Campbell** (10)</w:t>
      </w:r>
    </w:p>
    <w:p>
      <w:pPr>
        <w:pStyle w:val="BodyText"/>
        <w:spacing w:before="4"/>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w w:val="110"/>
          <w:sz w:val="20"/>
        </w:rPr>
        <w:t>Education and Learning</w:t>
      </w:r>
      <w:r>
        <w:rPr>
          <w:rFonts w:ascii="Stone Sans II ITC Std Bk"/>
          <w:b/>
          <w:spacing w:val="-1"/>
          <w:w w:val="110"/>
          <w:sz w:val="20"/>
        </w:rPr>
        <w:t> </w:t>
      </w:r>
      <w:r>
        <w:rPr>
          <w:rFonts w:ascii="Stone Sans II ITC Std Bk"/>
          <w:b/>
          <w:w w:val="110"/>
          <w:sz w:val="20"/>
        </w:rPr>
        <w:t>Committee</w:t>
      </w:r>
    </w:p>
    <w:p>
      <w:pPr>
        <w:pStyle w:val="BodyText"/>
        <w:tabs>
          <w:tab w:pos="6173" w:val="left" w:leader="none"/>
        </w:tabs>
        <w:spacing w:line="235" w:lineRule="auto"/>
        <w:ind w:left="1133" w:right="3105"/>
      </w:pPr>
      <w:r>
        <w:rPr>
          <w:w w:val="120"/>
        </w:rPr>
        <w:t>Convener: Professor Malcolm</w:t>
      </w:r>
      <w:r>
        <w:rPr>
          <w:spacing w:val="14"/>
          <w:w w:val="120"/>
        </w:rPr>
        <w:t> </w:t>
      </w:r>
      <w:r>
        <w:rPr>
          <w:w w:val="120"/>
        </w:rPr>
        <w:t>Johnson</w:t>
      </w:r>
      <w:r>
        <w:rPr>
          <w:spacing w:val="5"/>
          <w:w w:val="120"/>
        </w:rPr>
        <w:t> </w:t>
      </w:r>
      <w:r>
        <w:rPr>
          <w:spacing w:val="-11"/>
          <w:w w:val="120"/>
        </w:rPr>
        <w:t>[2011]</w:t>
        <w:tab/>
      </w:r>
      <w:r>
        <w:rPr>
          <w:w w:val="120"/>
        </w:rPr>
        <w:t>#Revd John Smith** </w:t>
      </w:r>
      <w:r>
        <w:rPr>
          <w:spacing w:val="-8"/>
          <w:w w:val="120"/>
        </w:rPr>
        <w:t>[2015] </w:t>
      </w:r>
      <w:r>
        <w:rPr>
          <w:w w:val="120"/>
        </w:rPr>
        <w:t>Secretary: Secretary for Education and</w:t>
      </w:r>
      <w:r>
        <w:rPr>
          <w:spacing w:val="12"/>
          <w:w w:val="120"/>
        </w:rPr>
        <w:t> </w:t>
      </w:r>
      <w:r>
        <w:rPr>
          <w:w w:val="120"/>
        </w:rPr>
        <w:t>Learning</w:t>
      </w:r>
    </w:p>
    <w:p>
      <w:pPr>
        <w:pStyle w:val="BodyText"/>
        <w:tabs>
          <w:tab w:pos="6173" w:val="left" w:leader="none"/>
        </w:tabs>
        <w:spacing w:line="240" w:lineRule="exact"/>
        <w:ind w:left="1133"/>
      </w:pPr>
      <w:r>
        <w:rPr>
          <w:w w:val="125"/>
        </w:rPr>
        <w:t>Revd Dr </w:t>
      </w:r>
      <w:r>
        <w:rPr>
          <w:spacing w:val="2"/>
          <w:w w:val="125"/>
        </w:rPr>
        <w:t>Robert </w:t>
      </w:r>
      <w:r>
        <w:rPr>
          <w:w w:val="125"/>
        </w:rPr>
        <w:t>Pope</w:t>
      </w:r>
      <w:r>
        <w:rPr>
          <w:spacing w:val="-16"/>
          <w:w w:val="125"/>
        </w:rPr>
        <w:t> </w:t>
      </w:r>
      <w:r>
        <w:rPr>
          <w:spacing w:val="-10"/>
          <w:w w:val="125"/>
        </w:rPr>
        <w:t>(12)</w:t>
      </w:r>
      <w:r>
        <w:rPr>
          <w:spacing w:val="-3"/>
          <w:w w:val="125"/>
        </w:rPr>
        <w:t> </w:t>
      </w:r>
      <w:r>
        <w:rPr>
          <w:spacing w:val="-11"/>
          <w:w w:val="125"/>
        </w:rPr>
        <w:t>[2011]</w:t>
        <w:tab/>
      </w:r>
      <w:r>
        <w:rPr>
          <w:w w:val="125"/>
        </w:rPr>
        <w:t>Revd</w:t>
      </w:r>
      <w:r>
        <w:rPr>
          <w:spacing w:val="-21"/>
          <w:w w:val="125"/>
        </w:rPr>
        <w:t> </w:t>
      </w:r>
      <w:r>
        <w:rPr>
          <w:w w:val="125"/>
        </w:rPr>
        <w:t>Jennifer</w:t>
      </w:r>
      <w:r>
        <w:rPr>
          <w:spacing w:val="-20"/>
          <w:w w:val="125"/>
        </w:rPr>
        <w:t> </w:t>
      </w:r>
      <w:r>
        <w:rPr>
          <w:w w:val="125"/>
        </w:rPr>
        <w:t>Snashall</w:t>
      </w:r>
      <w:r>
        <w:rPr>
          <w:spacing w:val="-21"/>
          <w:w w:val="125"/>
        </w:rPr>
        <w:t> </w:t>
      </w:r>
      <w:r>
        <w:rPr>
          <w:spacing w:val="-14"/>
          <w:w w:val="125"/>
        </w:rPr>
        <w:t>(11)</w:t>
      </w:r>
      <w:r>
        <w:rPr>
          <w:spacing w:val="-20"/>
          <w:w w:val="125"/>
        </w:rPr>
        <w:t> </w:t>
      </w:r>
      <w:r>
        <w:rPr>
          <w:spacing w:val="-8"/>
          <w:w w:val="125"/>
        </w:rPr>
        <w:t>[2012]</w:t>
      </w:r>
    </w:p>
    <w:p>
      <w:pPr>
        <w:pStyle w:val="BodyText"/>
        <w:tabs>
          <w:tab w:pos="6173" w:val="left" w:leader="none"/>
        </w:tabs>
        <w:spacing w:line="235" w:lineRule="auto"/>
        <w:ind w:left="1133" w:right="2093"/>
      </w:pPr>
      <w:r>
        <w:rPr>
          <w:w w:val="125"/>
        </w:rPr>
        <w:t>Revd Dr James Coleman</w:t>
      </w:r>
      <w:r>
        <w:rPr>
          <w:spacing w:val="-28"/>
          <w:w w:val="125"/>
        </w:rPr>
        <w:t> </w:t>
      </w:r>
      <w:r>
        <w:rPr>
          <w:spacing w:val="-10"/>
          <w:w w:val="125"/>
        </w:rPr>
        <w:t>(4)</w:t>
      </w:r>
      <w:r>
        <w:rPr>
          <w:spacing w:val="-7"/>
          <w:w w:val="125"/>
        </w:rPr>
        <w:t> </w:t>
      </w:r>
      <w:r>
        <w:rPr>
          <w:spacing w:val="-8"/>
          <w:w w:val="125"/>
        </w:rPr>
        <w:t>[2012]</w:t>
        <w:tab/>
      </w:r>
      <w:r>
        <w:rPr>
          <w:w w:val="125"/>
        </w:rPr>
        <w:t>Mrs</w:t>
      </w:r>
      <w:r>
        <w:rPr>
          <w:spacing w:val="-18"/>
          <w:w w:val="125"/>
        </w:rPr>
        <w:t> </w:t>
      </w:r>
      <w:r>
        <w:rPr>
          <w:w w:val="125"/>
        </w:rPr>
        <w:t>Fiona</w:t>
      </w:r>
      <w:r>
        <w:rPr>
          <w:spacing w:val="-19"/>
          <w:w w:val="125"/>
        </w:rPr>
        <w:t> </w:t>
      </w:r>
      <w:r>
        <w:rPr>
          <w:w w:val="125"/>
        </w:rPr>
        <w:t>Weighton-Smith</w:t>
      </w:r>
      <w:r>
        <w:rPr>
          <w:spacing w:val="-19"/>
          <w:w w:val="125"/>
        </w:rPr>
        <w:t> </w:t>
      </w:r>
      <w:r>
        <w:rPr>
          <w:spacing w:val="-10"/>
          <w:w w:val="125"/>
        </w:rPr>
        <w:t>(4)</w:t>
      </w:r>
      <w:r>
        <w:rPr>
          <w:spacing w:val="-18"/>
          <w:w w:val="125"/>
        </w:rPr>
        <w:t> </w:t>
      </w:r>
      <w:r>
        <w:rPr>
          <w:spacing w:val="-8"/>
          <w:w w:val="125"/>
        </w:rPr>
        <w:t>[2012] </w:t>
      </w:r>
      <w:r>
        <w:rPr>
          <w:w w:val="125"/>
        </w:rPr>
        <w:t>Revd</w:t>
      </w:r>
      <w:r>
        <w:rPr>
          <w:spacing w:val="-11"/>
          <w:w w:val="125"/>
        </w:rPr>
        <w:t> </w:t>
      </w:r>
      <w:r>
        <w:rPr>
          <w:w w:val="125"/>
        </w:rPr>
        <w:t>Dr</w:t>
      </w:r>
      <w:r>
        <w:rPr>
          <w:spacing w:val="-11"/>
          <w:w w:val="125"/>
        </w:rPr>
        <w:t> </w:t>
      </w:r>
      <w:r>
        <w:rPr>
          <w:w w:val="125"/>
        </w:rPr>
        <w:t>Susan</w:t>
      </w:r>
      <w:r>
        <w:rPr>
          <w:spacing w:val="-11"/>
          <w:w w:val="125"/>
        </w:rPr>
        <w:t> </w:t>
      </w:r>
      <w:r>
        <w:rPr>
          <w:w w:val="125"/>
        </w:rPr>
        <w:t>Durber</w:t>
      </w:r>
      <w:r>
        <w:rPr>
          <w:spacing w:val="-11"/>
          <w:w w:val="125"/>
        </w:rPr>
        <w:t> </w:t>
      </w:r>
      <w:r>
        <w:rPr>
          <w:w w:val="125"/>
        </w:rPr>
        <w:t>(Resource</w:t>
      </w:r>
      <w:r>
        <w:rPr>
          <w:spacing w:val="-11"/>
          <w:w w:val="125"/>
        </w:rPr>
        <w:t> </w:t>
      </w:r>
      <w:r>
        <w:rPr>
          <w:spacing w:val="-3"/>
          <w:w w:val="125"/>
        </w:rPr>
        <w:t>Centre)</w:t>
      </w:r>
      <w:r>
        <w:rPr>
          <w:spacing w:val="-11"/>
          <w:w w:val="125"/>
        </w:rPr>
        <w:t> </w:t>
      </w:r>
      <w:r>
        <w:rPr>
          <w:spacing w:val="-9"/>
          <w:w w:val="125"/>
        </w:rPr>
        <w:t>[2013]</w:t>
        <w:tab/>
      </w:r>
      <w:r>
        <w:rPr>
          <w:w w:val="125"/>
        </w:rPr>
        <w:t>Revd Dr David Whiting </w:t>
      </w:r>
      <w:r>
        <w:rPr>
          <w:spacing w:val="-11"/>
          <w:w w:val="125"/>
        </w:rPr>
        <w:t>(1)</w:t>
      </w:r>
      <w:r>
        <w:rPr>
          <w:spacing w:val="-1"/>
          <w:w w:val="125"/>
        </w:rPr>
        <w:t> </w:t>
      </w:r>
      <w:r>
        <w:rPr>
          <w:spacing w:val="-9"/>
          <w:w w:val="125"/>
        </w:rPr>
        <w:t>[2013]</w:t>
      </w:r>
    </w:p>
    <w:p>
      <w:pPr>
        <w:pStyle w:val="BodyText"/>
        <w:tabs>
          <w:tab w:pos="6173" w:val="left" w:leader="none"/>
        </w:tabs>
        <w:spacing w:line="240" w:lineRule="exact"/>
        <w:ind w:left="1133"/>
      </w:pPr>
      <w:r>
        <w:rPr>
          <w:w w:val="120"/>
        </w:rPr>
        <w:t>Mr Celvon Binns**</w:t>
      </w:r>
      <w:r>
        <w:rPr>
          <w:spacing w:val="19"/>
          <w:w w:val="120"/>
        </w:rPr>
        <w:t> </w:t>
      </w:r>
      <w:r>
        <w:rPr>
          <w:spacing w:val="-7"/>
          <w:w w:val="120"/>
        </w:rPr>
        <w:t>(6)</w:t>
      </w:r>
      <w:r>
        <w:rPr>
          <w:spacing w:val="6"/>
          <w:w w:val="120"/>
        </w:rPr>
        <w:t> </w:t>
      </w:r>
      <w:r>
        <w:rPr>
          <w:spacing w:val="-8"/>
          <w:w w:val="120"/>
        </w:rPr>
        <w:t>[2014]</w:t>
        <w:tab/>
      </w:r>
      <w:r>
        <w:rPr>
          <w:w w:val="120"/>
        </w:rPr>
        <w:t>Mrs Lindsey Cole** </w:t>
      </w:r>
      <w:r>
        <w:rPr>
          <w:spacing w:val="-8"/>
          <w:w w:val="120"/>
        </w:rPr>
        <w:t>(5)</w:t>
      </w:r>
      <w:r>
        <w:rPr>
          <w:spacing w:val="11"/>
          <w:w w:val="120"/>
        </w:rPr>
        <w:t> </w:t>
      </w:r>
      <w:r>
        <w:rPr>
          <w:spacing w:val="-8"/>
          <w:w w:val="120"/>
        </w:rPr>
        <w:t>[2014]</w:t>
      </w:r>
    </w:p>
    <w:p>
      <w:pPr>
        <w:pStyle w:val="BodyText"/>
        <w:spacing w:line="242" w:lineRule="exact"/>
        <w:ind w:left="1133"/>
      </w:pPr>
      <w:r>
        <w:rPr>
          <w:w w:val="120"/>
        </w:rPr>
        <w:t>Ms Sue Matthews** (6) [2014]</w:t>
      </w:r>
    </w:p>
    <w:p>
      <w:pPr>
        <w:pStyle w:val="BodyText"/>
        <w:rPr>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Windermere Management</w:t>
      </w:r>
      <w:r>
        <w:rPr>
          <w:rFonts w:ascii="Stone Sans II ITC Std Bk"/>
          <w:b/>
          <w:spacing w:val="-1"/>
          <w:w w:val="110"/>
          <w:sz w:val="20"/>
        </w:rPr>
        <w:t> </w:t>
      </w:r>
      <w:r>
        <w:rPr>
          <w:rFonts w:ascii="Stone Sans II ITC Std Bk"/>
          <w:b/>
          <w:w w:val="110"/>
          <w:sz w:val="20"/>
        </w:rPr>
        <w:t>Committee</w:t>
      </w:r>
    </w:p>
    <w:p>
      <w:pPr>
        <w:pStyle w:val="BodyText"/>
        <w:spacing w:line="233" w:lineRule="exact"/>
        <w:ind w:left="1133"/>
      </w:pPr>
      <w:r>
        <w:rPr>
          <w:w w:val="120"/>
        </w:rPr>
        <w:t>Convener: Revd Howard Sharp* [2013]</w:t>
      </w:r>
    </w:p>
    <w:p>
      <w:pPr>
        <w:pStyle w:val="BodyText"/>
        <w:spacing w:line="240" w:lineRule="exact"/>
        <w:ind w:left="1133"/>
      </w:pPr>
      <w:r>
        <w:rPr>
          <w:w w:val="120"/>
        </w:rPr>
        <w:t>Minute Secretary: Mrs Jenny Poulter ** (4) [2013]</w:t>
      </w:r>
    </w:p>
    <w:p>
      <w:pPr>
        <w:pStyle w:val="BodyText"/>
        <w:tabs>
          <w:tab w:pos="4013" w:val="left" w:leader="none"/>
        </w:tabs>
        <w:spacing w:line="235" w:lineRule="auto" w:before="2"/>
        <w:ind w:left="1133" w:right="2440"/>
      </w:pPr>
      <w:r>
        <w:rPr>
          <w:w w:val="125"/>
        </w:rPr>
        <w:t>Dr Peter Clarke</w:t>
      </w:r>
      <w:r>
        <w:rPr>
          <w:spacing w:val="-8"/>
          <w:w w:val="125"/>
        </w:rPr>
        <w:t> </w:t>
      </w:r>
      <w:r>
        <w:rPr>
          <w:spacing w:val="-11"/>
          <w:w w:val="125"/>
        </w:rPr>
        <w:t>(1)</w:t>
      </w:r>
      <w:r>
        <w:rPr>
          <w:spacing w:val="-3"/>
          <w:w w:val="125"/>
        </w:rPr>
        <w:t> </w:t>
      </w:r>
      <w:r>
        <w:rPr>
          <w:spacing w:val="-11"/>
          <w:w w:val="125"/>
        </w:rPr>
        <w:t>[2011]</w:t>
        <w:tab/>
      </w:r>
      <w:r>
        <w:rPr>
          <w:w w:val="125"/>
        </w:rPr>
        <w:t>Mr Nick Andrews </w:t>
      </w:r>
      <w:r>
        <w:rPr>
          <w:spacing w:val="-11"/>
          <w:w w:val="125"/>
        </w:rPr>
        <w:t>(1) [2011] </w:t>
      </w:r>
      <w:r>
        <w:rPr>
          <w:w w:val="125"/>
        </w:rPr>
        <w:t>Mr Graham Law </w:t>
      </w:r>
      <w:r>
        <w:rPr>
          <w:spacing w:val="-7"/>
          <w:w w:val="125"/>
        </w:rPr>
        <w:t>(6) </w:t>
      </w:r>
      <w:r>
        <w:rPr>
          <w:spacing w:val="-9"/>
          <w:w w:val="125"/>
        </w:rPr>
        <w:t>[2013] </w:t>
      </w:r>
      <w:r>
        <w:rPr>
          <w:w w:val="125"/>
        </w:rPr>
        <w:t>Mrs Joan Stocker (representative of Carver</w:t>
      </w:r>
      <w:r>
        <w:rPr>
          <w:spacing w:val="-19"/>
          <w:w w:val="125"/>
        </w:rPr>
        <w:t> </w:t>
      </w:r>
      <w:r>
        <w:rPr>
          <w:w w:val="125"/>
        </w:rPr>
        <w:t>URC)</w:t>
      </w:r>
    </w:p>
    <w:p>
      <w:pPr>
        <w:pStyle w:val="BodyText"/>
        <w:spacing w:line="240" w:lineRule="exact"/>
        <w:ind w:left="1133"/>
      </w:pPr>
      <w:r>
        <w:rPr>
          <w:w w:val="120"/>
        </w:rPr>
        <w:t>Secretary for Education and Learning</w:t>
      </w:r>
    </w:p>
    <w:p>
      <w:pPr>
        <w:spacing w:line="242" w:lineRule="exact" w:before="0"/>
        <w:ind w:left="1133" w:right="0" w:firstLine="0"/>
        <w:jc w:val="left"/>
        <w:rPr>
          <w:i/>
          <w:sz w:val="20"/>
        </w:rPr>
      </w:pPr>
      <w:r>
        <w:rPr>
          <w:i/>
          <w:w w:val="115"/>
          <w:sz w:val="20"/>
        </w:rPr>
        <w:t>(The number of members may change in the light of future experience.)</w:t>
      </w:r>
    </w:p>
    <w:p>
      <w:pPr>
        <w:pStyle w:val="BodyText"/>
        <w:spacing w:before="3"/>
        <w:rPr>
          <w:i/>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Education for Ministry Phase 2 and 3 </w:t>
      </w:r>
      <w:r>
        <w:rPr>
          <w:rFonts w:ascii="Stone Sans II ITC Std Bk"/>
          <w:b/>
          <w:spacing w:val="-4"/>
          <w:w w:val="110"/>
          <w:sz w:val="20"/>
        </w:rPr>
        <w:t>(EM2/3)</w:t>
      </w:r>
      <w:r>
        <w:rPr>
          <w:rFonts w:ascii="Stone Sans II ITC Std Bk"/>
          <w:b/>
          <w:spacing w:val="1"/>
          <w:w w:val="110"/>
          <w:sz w:val="20"/>
        </w:rPr>
        <w:t> </w:t>
      </w:r>
      <w:r>
        <w:rPr>
          <w:rFonts w:ascii="Stone Sans II ITC Std Bk"/>
          <w:b/>
          <w:w w:val="110"/>
          <w:sz w:val="20"/>
        </w:rPr>
        <w:t>Sub-committee</w:t>
      </w:r>
    </w:p>
    <w:p>
      <w:pPr>
        <w:pStyle w:val="BodyText"/>
        <w:spacing w:line="233" w:lineRule="exact"/>
        <w:ind w:left="1133"/>
      </w:pPr>
      <w:r>
        <w:rPr>
          <w:w w:val="120"/>
        </w:rPr>
        <w:t>Convener: Dr Ian Morrison</w:t>
      </w:r>
    </w:p>
    <w:p>
      <w:pPr>
        <w:pStyle w:val="BodyText"/>
        <w:spacing w:line="235" w:lineRule="auto" w:before="2"/>
        <w:ind w:left="1133" w:right="4859"/>
      </w:pPr>
      <w:r>
        <w:rPr>
          <w:w w:val="120"/>
        </w:rPr>
        <w:t>Minute Secretary: Revd Elizabeth Gray-King (EM2/3 Officer) Revd David Poulton (EM3 minister)</w:t>
      </w:r>
    </w:p>
    <w:p>
      <w:pPr>
        <w:pStyle w:val="BodyText"/>
        <w:spacing w:line="235" w:lineRule="auto" w:before="1"/>
        <w:ind w:left="1133" w:right="7546"/>
      </w:pPr>
      <w:r>
        <w:rPr>
          <w:w w:val="120"/>
        </w:rPr>
        <w:t>Revd Zam Walker (EM2 minister) Ms Pat Oliver (CRCW)</w:t>
      </w:r>
    </w:p>
    <w:p>
      <w:pPr>
        <w:pStyle w:val="BodyText"/>
        <w:spacing w:line="235" w:lineRule="auto" w:before="2"/>
        <w:ind w:left="1133" w:right="4859"/>
      </w:pPr>
      <w:r>
        <w:rPr>
          <w:w w:val="120"/>
        </w:rPr>
        <w:t>Revd Stephen Collinson (Training and Development Officer) Ms Sandra Wellington (Training and Development Officer)</w:t>
      </w:r>
    </w:p>
    <w:p>
      <w:pPr>
        <w:pStyle w:val="BodyText"/>
        <w:tabs>
          <w:tab w:pos="4733" w:val="left" w:leader="none"/>
        </w:tabs>
        <w:spacing w:line="240" w:lineRule="exact"/>
        <w:ind w:left="1133"/>
      </w:pPr>
      <w:r>
        <w:rPr>
          <w:w w:val="120"/>
        </w:rPr>
        <w:t>Vacancy</w:t>
      </w:r>
      <w:r>
        <w:rPr>
          <w:spacing w:val="9"/>
          <w:w w:val="120"/>
        </w:rPr>
        <w:t> </w:t>
      </w:r>
      <w:r>
        <w:rPr>
          <w:w w:val="120"/>
        </w:rPr>
        <w:t>(Resource</w:t>
      </w:r>
      <w:r>
        <w:rPr>
          <w:spacing w:val="10"/>
          <w:w w:val="120"/>
        </w:rPr>
        <w:t> </w:t>
      </w:r>
      <w:r>
        <w:rPr>
          <w:spacing w:val="-3"/>
          <w:w w:val="120"/>
        </w:rPr>
        <w:t>Centre)</w:t>
        <w:tab/>
      </w:r>
      <w:r>
        <w:rPr>
          <w:w w:val="120"/>
        </w:rPr>
        <w:t>Secretary for Education and</w:t>
      </w:r>
      <w:r>
        <w:rPr>
          <w:spacing w:val="9"/>
          <w:w w:val="120"/>
        </w:rPr>
        <w:t> </w:t>
      </w:r>
      <w:r>
        <w:rPr>
          <w:w w:val="120"/>
        </w:rPr>
        <w:t>Learning</w:t>
      </w:r>
    </w:p>
    <w:p>
      <w:pPr>
        <w:pStyle w:val="BodyText"/>
        <w:spacing w:line="242" w:lineRule="exact"/>
        <w:ind w:left="1133"/>
      </w:pPr>
      <w:r>
        <w:rPr>
          <w:w w:val="120"/>
        </w:rPr>
        <w:t>[</w:t>
      </w:r>
      <w:r>
        <w:rPr>
          <w:i/>
          <w:w w:val="120"/>
        </w:rPr>
        <w:t>ex officio: </w:t>
      </w:r>
      <w:r>
        <w:rPr>
          <w:w w:val="120"/>
        </w:rPr>
        <w:t>Convener, Education and Learning Committee Secretary for Ministries]</w:t>
      </w:r>
    </w:p>
    <w:p>
      <w:pPr>
        <w:pStyle w:val="BodyText"/>
        <w:spacing w:before="3"/>
        <w:rPr>
          <w:sz w:val="18"/>
        </w:rPr>
      </w:pPr>
    </w:p>
    <w:p>
      <w:pPr>
        <w:numPr>
          <w:ilvl w:val="2"/>
          <w:numId w:val="148"/>
        </w:numPr>
        <w:tabs>
          <w:tab w:pos="1815" w:val="left" w:leader="none"/>
        </w:tabs>
        <w:spacing w:line="261" w:lineRule="exact" w:before="0"/>
        <w:ind w:left="1814" w:right="0" w:hanging="682"/>
        <w:jc w:val="left"/>
        <w:rPr>
          <w:rFonts w:ascii="Stone Sans II ITC Std Bk"/>
          <w:b/>
          <w:sz w:val="20"/>
        </w:rPr>
      </w:pPr>
      <w:r>
        <w:rPr>
          <w:rFonts w:ascii="Stone Sans II ITC Std Bk"/>
          <w:b/>
          <w:w w:val="110"/>
          <w:sz w:val="20"/>
        </w:rPr>
        <w:t>Education and Learning Finance</w:t>
      </w:r>
      <w:r>
        <w:rPr>
          <w:rFonts w:ascii="Stone Sans II ITC Std Bk"/>
          <w:b/>
          <w:spacing w:val="-1"/>
          <w:w w:val="110"/>
          <w:sz w:val="20"/>
        </w:rPr>
        <w:t> </w:t>
      </w:r>
      <w:r>
        <w:rPr>
          <w:rFonts w:ascii="Stone Sans II ITC Std Bk"/>
          <w:b/>
          <w:w w:val="110"/>
          <w:sz w:val="20"/>
        </w:rPr>
        <w:t>Sub-committee</w:t>
      </w:r>
    </w:p>
    <w:p>
      <w:pPr>
        <w:pStyle w:val="BodyText"/>
        <w:spacing w:line="233" w:lineRule="exact"/>
        <w:ind w:left="1133"/>
      </w:pPr>
      <w:r>
        <w:rPr>
          <w:w w:val="120"/>
        </w:rPr>
        <w:t>Convener: Mr Mike Downing</w:t>
      </w:r>
    </w:p>
    <w:p>
      <w:pPr>
        <w:pStyle w:val="BodyText"/>
        <w:spacing w:line="240" w:lineRule="exact"/>
        <w:ind w:left="1133"/>
      </w:pPr>
      <w:r>
        <w:rPr>
          <w:w w:val="120"/>
        </w:rPr>
        <w:t>Minute Secretary: Secretary for Education and Learning</w:t>
      </w:r>
    </w:p>
    <w:p>
      <w:pPr>
        <w:pStyle w:val="BodyText"/>
        <w:spacing w:line="240" w:lineRule="exact"/>
        <w:ind w:left="1133"/>
      </w:pPr>
      <w:r>
        <w:rPr>
          <w:w w:val="120"/>
        </w:rPr>
        <w:t>Professor Malcolm Johnson (Convener, Education and Learning Committee)</w:t>
      </w:r>
    </w:p>
    <w:p>
      <w:pPr>
        <w:pStyle w:val="BodyText"/>
        <w:spacing w:line="240" w:lineRule="exact"/>
        <w:ind w:left="1133"/>
      </w:pPr>
      <w:r>
        <w:rPr>
          <w:w w:val="120"/>
        </w:rPr>
        <w:t>Mr Graham Law</w:t>
      </w:r>
    </w:p>
    <w:p>
      <w:pPr>
        <w:tabs>
          <w:tab w:pos="5453" w:val="left" w:leader="none"/>
        </w:tabs>
        <w:spacing w:line="242" w:lineRule="exact" w:before="0"/>
        <w:ind w:left="1133" w:right="0" w:firstLine="0"/>
        <w:jc w:val="left"/>
        <w:rPr>
          <w:sz w:val="20"/>
        </w:rPr>
      </w:pPr>
      <w:r>
        <w:rPr>
          <w:spacing w:val="-3"/>
          <w:w w:val="115"/>
          <w:sz w:val="20"/>
        </w:rPr>
        <w:t>[</w:t>
      </w:r>
      <w:r>
        <w:rPr>
          <w:i/>
          <w:spacing w:val="-3"/>
          <w:w w:val="115"/>
          <w:sz w:val="20"/>
        </w:rPr>
        <w:t>ex </w:t>
      </w:r>
      <w:r>
        <w:rPr>
          <w:i/>
          <w:w w:val="115"/>
          <w:sz w:val="20"/>
        </w:rPr>
        <w:t>officio:</w:t>
      </w:r>
      <w:r>
        <w:rPr>
          <w:i/>
          <w:spacing w:val="15"/>
          <w:w w:val="115"/>
          <w:sz w:val="20"/>
        </w:rPr>
        <w:t> </w:t>
      </w:r>
      <w:r>
        <w:rPr>
          <w:spacing w:val="2"/>
          <w:w w:val="115"/>
          <w:sz w:val="20"/>
        </w:rPr>
        <w:t>Honorary</w:t>
      </w:r>
      <w:r>
        <w:rPr>
          <w:spacing w:val="9"/>
          <w:w w:val="115"/>
          <w:sz w:val="20"/>
        </w:rPr>
        <w:t> </w:t>
      </w:r>
      <w:r>
        <w:rPr>
          <w:w w:val="115"/>
          <w:sz w:val="20"/>
        </w:rPr>
        <w:t>Treasurer</w:t>
        <w:tab/>
      </w:r>
      <w:r>
        <w:rPr>
          <w:i/>
          <w:w w:val="115"/>
          <w:sz w:val="20"/>
        </w:rPr>
        <w:t>In attendance: </w:t>
      </w:r>
      <w:r>
        <w:rPr>
          <w:w w:val="115"/>
          <w:sz w:val="20"/>
        </w:rPr>
        <w:t>Chief Finance</w:t>
      </w:r>
      <w:r>
        <w:rPr>
          <w:spacing w:val="14"/>
          <w:w w:val="115"/>
          <w:sz w:val="20"/>
        </w:rPr>
        <w:t> </w:t>
      </w:r>
      <w:r>
        <w:rPr>
          <w:w w:val="115"/>
          <w:sz w:val="20"/>
        </w:rPr>
        <w:t>Officer]</w:t>
      </w:r>
    </w:p>
    <w:p>
      <w:pPr>
        <w:pStyle w:val="BodyText"/>
        <w:spacing w:before="12"/>
        <w:rPr>
          <w:sz w:val="18"/>
        </w:rPr>
      </w:pPr>
    </w:p>
    <w:p>
      <w:pPr>
        <w:pStyle w:val="ListParagraph"/>
        <w:numPr>
          <w:ilvl w:val="1"/>
          <w:numId w:val="148"/>
        </w:numPr>
        <w:tabs>
          <w:tab w:pos="1814" w:val="left" w:leader="none"/>
          <w:tab w:pos="1815" w:val="left" w:leader="none"/>
        </w:tabs>
        <w:spacing w:line="230" w:lineRule="auto" w:before="0" w:after="0"/>
        <w:ind w:left="1134" w:right="5968" w:firstLine="0"/>
        <w:jc w:val="left"/>
        <w:rPr>
          <w:sz w:val="20"/>
        </w:rPr>
      </w:pPr>
      <w:r>
        <w:rPr>
          <w:rFonts w:ascii="Stone Sans II ITC Std Bk" w:hAnsi="Stone Sans II ITC Std Bk"/>
          <w:b/>
          <w:w w:val="110"/>
          <w:sz w:val="20"/>
        </w:rPr>
        <w:t>Youth and Children’s Work</w:t>
      </w:r>
      <w:r>
        <w:rPr>
          <w:rFonts w:ascii="Stone Sans II ITC Std Bk" w:hAnsi="Stone Sans II ITC Std Bk"/>
          <w:b/>
          <w:spacing w:val="-22"/>
          <w:w w:val="110"/>
          <w:sz w:val="20"/>
        </w:rPr>
        <w:t> </w:t>
      </w:r>
      <w:r>
        <w:rPr>
          <w:rFonts w:ascii="Stone Sans II ITC Std Bk" w:hAnsi="Stone Sans II ITC Std Bk"/>
          <w:b/>
          <w:w w:val="110"/>
          <w:sz w:val="20"/>
        </w:rPr>
        <w:t>Committee </w:t>
      </w:r>
      <w:r>
        <w:rPr>
          <w:w w:val="120"/>
          <w:sz w:val="20"/>
        </w:rPr>
        <w:t>Convener: Revd </w:t>
      </w:r>
      <w:r>
        <w:rPr>
          <w:spacing w:val="2"/>
          <w:w w:val="120"/>
          <w:sz w:val="20"/>
        </w:rPr>
        <w:t>Robert  </w:t>
      </w:r>
      <w:r>
        <w:rPr>
          <w:w w:val="120"/>
          <w:sz w:val="20"/>
        </w:rPr>
        <w:t>Weston  </w:t>
      </w:r>
      <w:r>
        <w:rPr>
          <w:spacing w:val="-9"/>
          <w:w w:val="120"/>
          <w:sz w:val="20"/>
        </w:rPr>
        <w:t>[2013] </w:t>
      </w:r>
      <w:r>
        <w:rPr>
          <w:w w:val="120"/>
          <w:sz w:val="20"/>
        </w:rPr>
        <w:t>Secretary: Children’s Work Development</w:t>
      </w:r>
      <w:r>
        <w:rPr>
          <w:spacing w:val="18"/>
          <w:w w:val="120"/>
          <w:sz w:val="20"/>
        </w:rPr>
        <w:t> </w:t>
      </w:r>
      <w:r>
        <w:rPr>
          <w:w w:val="120"/>
          <w:sz w:val="20"/>
        </w:rPr>
        <w:t>Officer</w:t>
      </w:r>
    </w:p>
    <w:p>
      <w:pPr>
        <w:pStyle w:val="BodyText"/>
        <w:tabs>
          <w:tab w:pos="6173" w:val="left" w:leader="none"/>
        </w:tabs>
        <w:spacing w:line="238" w:lineRule="exact"/>
        <w:ind w:left="1134"/>
      </w:pPr>
      <w:r>
        <w:rPr>
          <w:w w:val="125"/>
        </w:rPr>
        <w:t>Mrs Anthea Coates</w:t>
      </w:r>
      <w:r>
        <w:rPr>
          <w:spacing w:val="-26"/>
          <w:w w:val="125"/>
        </w:rPr>
        <w:t> </w:t>
      </w:r>
      <w:r>
        <w:rPr>
          <w:spacing w:val="-8"/>
          <w:w w:val="125"/>
        </w:rPr>
        <w:t>(8)</w:t>
      </w:r>
      <w:r>
        <w:rPr>
          <w:spacing w:val="-9"/>
          <w:w w:val="125"/>
        </w:rPr>
        <w:t> </w:t>
      </w:r>
      <w:r>
        <w:rPr>
          <w:spacing w:val="-11"/>
          <w:w w:val="125"/>
        </w:rPr>
        <w:t>[2011]</w:t>
        <w:tab/>
      </w:r>
      <w:r>
        <w:rPr>
          <w:w w:val="125"/>
        </w:rPr>
        <w:t>Mr Chris Gill </w:t>
      </w:r>
      <w:r>
        <w:rPr>
          <w:spacing w:val="-14"/>
          <w:w w:val="125"/>
        </w:rPr>
        <w:t>(11)</w:t>
      </w:r>
      <w:r>
        <w:rPr>
          <w:w w:val="125"/>
        </w:rPr>
        <w:t> </w:t>
      </w:r>
      <w:r>
        <w:rPr>
          <w:spacing w:val="-11"/>
          <w:w w:val="125"/>
        </w:rPr>
        <w:t>[2011]</w:t>
      </w:r>
    </w:p>
    <w:p>
      <w:pPr>
        <w:pStyle w:val="BodyText"/>
        <w:tabs>
          <w:tab w:pos="6173" w:val="left" w:leader="none"/>
        </w:tabs>
        <w:spacing w:line="240" w:lineRule="exact"/>
        <w:ind w:left="1134"/>
      </w:pPr>
      <w:r>
        <w:rPr>
          <w:w w:val="125"/>
        </w:rPr>
        <w:t>Mr Matthew Franks</w:t>
      </w:r>
      <w:r>
        <w:rPr>
          <w:spacing w:val="-37"/>
          <w:w w:val="125"/>
        </w:rPr>
        <w:t> </w:t>
      </w:r>
      <w:r>
        <w:rPr>
          <w:spacing w:val="-8"/>
          <w:w w:val="125"/>
        </w:rPr>
        <w:t>(8)</w:t>
      </w:r>
      <w:r>
        <w:rPr>
          <w:spacing w:val="-12"/>
          <w:w w:val="125"/>
        </w:rPr>
        <w:t> </w:t>
      </w:r>
      <w:r>
        <w:rPr>
          <w:spacing w:val="-11"/>
          <w:w w:val="125"/>
        </w:rPr>
        <w:t>[2011]</w:t>
        <w:tab/>
      </w:r>
      <w:r>
        <w:rPr>
          <w:w w:val="125"/>
        </w:rPr>
        <w:t>Mrs Memona Shahbaz </w:t>
      </w:r>
      <w:r>
        <w:rPr>
          <w:spacing w:val="-9"/>
          <w:w w:val="125"/>
        </w:rPr>
        <w:t>(10)</w:t>
      </w:r>
      <w:r>
        <w:rPr>
          <w:spacing w:val="-6"/>
          <w:w w:val="125"/>
        </w:rPr>
        <w:t> </w:t>
      </w:r>
      <w:r>
        <w:rPr>
          <w:spacing w:val="-8"/>
          <w:w w:val="125"/>
        </w:rPr>
        <w:t>[2012]</w:t>
      </w:r>
    </w:p>
    <w:p>
      <w:pPr>
        <w:pStyle w:val="BodyText"/>
        <w:tabs>
          <w:tab w:pos="6173" w:val="left" w:leader="none"/>
        </w:tabs>
        <w:spacing w:line="240" w:lineRule="exact"/>
        <w:ind w:left="1134"/>
      </w:pPr>
      <w:r>
        <w:rPr>
          <w:w w:val="125"/>
        </w:rPr>
        <w:t>Revd Stuart Radcliffe</w:t>
      </w:r>
      <w:r>
        <w:rPr>
          <w:spacing w:val="-31"/>
          <w:w w:val="125"/>
        </w:rPr>
        <w:t> </w:t>
      </w:r>
      <w:r>
        <w:rPr>
          <w:spacing w:val="-8"/>
          <w:w w:val="125"/>
        </w:rPr>
        <w:t>(2)</w:t>
      </w:r>
      <w:r>
        <w:rPr>
          <w:spacing w:val="-10"/>
          <w:w w:val="125"/>
        </w:rPr>
        <w:t> </w:t>
      </w:r>
      <w:r>
        <w:rPr>
          <w:spacing w:val="-8"/>
          <w:w w:val="125"/>
        </w:rPr>
        <w:t>[2012]</w:t>
        <w:tab/>
      </w:r>
      <w:r>
        <w:rPr>
          <w:w w:val="125"/>
        </w:rPr>
        <w:t>Mr Phillip Timson </w:t>
      </w:r>
      <w:r>
        <w:rPr>
          <w:spacing w:val="-8"/>
          <w:w w:val="125"/>
        </w:rPr>
        <w:t>(5)</w:t>
      </w:r>
      <w:r>
        <w:rPr>
          <w:spacing w:val="-3"/>
          <w:w w:val="125"/>
        </w:rPr>
        <w:t> </w:t>
      </w:r>
      <w:r>
        <w:rPr>
          <w:spacing w:val="-9"/>
          <w:w w:val="125"/>
        </w:rPr>
        <w:t>[2013]</w:t>
      </w:r>
    </w:p>
    <w:p>
      <w:pPr>
        <w:pStyle w:val="BodyText"/>
        <w:tabs>
          <w:tab w:pos="6173" w:val="left" w:leader="none"/>
        </w:tabs>
        <w:spacing w:line="240" w:lineRule="exact"/>
        <w:ind w:left="1134"/>
      </w:pPr>
      <w:r>
        <w:rPr>
          <w:w w:val="125"/>
        </w:rPr>
        <w:t>Revd Shirley Knibbs</w:t>
      </w:r>
      <w:r>
        <w:rPr>
          <w:spacing w:val="-7"/>
          <w:w w:val="125"/>
        </w:rPr>
        <w:t> </w:t>
      </w:r>
      <w:r>
        <w:rPr>
          <w:spacing w:val="-10"/>
          <w:w w:val="125"/>
        </w:rPr>
        <w:t>(4)</w:t>
      </w:r>
      <w:r>
        <w:rPr>
          <w:spacing w:val="-2"/>
          <w:w w:val="125"/>
        </w:rPr>
        <w:t> </w:t>
      </w:r>
      <w:r>
        <w:rPr>
          <w:spacing w:val="-9"/>
          <w:w w:val="125"/>
        </w:rPr>
        <w:t>[2013]</w:t>
        <w:tab/>
      </w:r>
      <w:r>
        <w:rPr>
          <w:w w:val="125"/>
        </w:rPr>
        <w:t>Revd Meg Robb </w:t>
      </w:r>
      <w:r>
        <w:rPr>
          <w:spacing w:val="-11"/>
          <w:w w:val="125"/>
        </w:rPr>
        <w:t>(1)</w:t>
      </w:r>
      <w:r>
        <w:rPr>
          <w:spacing w:val="-1"/>
          <w:w w:val="125"/>
        </w:rPr>
        <w:t> </w:t>
      </w:r>
      <w:r>
        <w:rPr>
          <w:spacing w:val="-9"/>
          <w:w w:val="125"/>
        </w:rPr>
        <w:t>[2013]</w:t>
      </w:r>
    </w:p>
    <w:p>
      <w:pPr>
        <w:pStyle w:val="BodyText"/>
        <w:tabs>
          <w:tab w:pos="6173" w:val="left" w:leader="none"/>
        </w:tabs>
        <w:spacing w:line="240" w:lineRule="exact"/>
        <w:ind w:left="1134"/>
      </w:pPr>
      <w:r>
        <w:rPr>
          <w:w w:val="125"/>
        </w:rPr>
        <w:t>Miss Tamara Oates</w:t>
      </w:r>
      <w:r>
        <w:rPr>
          <w:spacing w:val="-42"/>
          <w:w w:val="125"/>
        </w:rPr>
        <w:t> </w:t>
      </w:r>
      <w:r>
        <w:rPr>
          <w:spacing w:val="-8"/>
          <w:w w:val="125"/>
        </w:rPr>
        <w:t>(5)</w:t>
      </w:r>
      <w:r>
        <w:rPr>
          <w:spacing w:val="-13"/>
          <w:w w:val="125"/>
        </w:rPr>
        <w:t> </w:t>
      </w:r>
      <w:r>
        <w:rPr>
          <w:spacing w:val="-9"/>
          <w:w w:val="125"/>
        </w:rPr>
        <w:t>[2013]</w:t>
        <w:tab/>
      </w:r>
      <w:r>
        <w:rPr>
          <w:w w:val="125"/>
        </w:rPr>
        <w:t>Vacancy</w:t>
      </w:r>
      <w:r>
        <w:rPr>
          <w:spacing w:val="-1"/>
          <w:w w:val="125"/>
        </w:rPr>
        <w:t> </w:t>
      </w:r>
      <w:r>
        <w:rPr>
          <w:spacing w:val="-8"/>
          <w:w w:val="125"/>
        </w:rPr>
        <w:t>[2014]</w:t>
      </w:r>
    </w:p>
    <w:p>
      <w:pPr>
        <w:pStyle w:val="BodyText"/>
        <w:tabs>
          <w:tab w:pos="6173" w:val="left" w:leader="none"/>
        </w:tabs>
        <w:spacing w:line="242" w:lineRule="exact"/>
        <w:ind w:left="1134"/>
      </w:pPr>
      <w:r>
        <w:rPr>
          <w:w w:val="120"/>
        </w:rPr>
        <w:t>FURY</w:t>
      </w:r>
      <w:r>
        <w:rPr>
          <w:spacing w:val="1"/>
          <w:w w:val="120"/>
        </w:rPr>
        <w:t> </w:t>
      </w:r>
      <w:r>
        <w:rPr>
          <w:w w:val="120"/>
        </w:rPr>
        <w:t>Chair</w:t>
        <w:tab/>
        <w:t>FURY Council</w:t>
      </w:r>
      <w:r>
        <w:rPr>
          <w:spacing w:val="5"/>
          <w:w w:val="120"/>
        </w:rPr>
        <w:t> </w:t>
      </w:r>
      <w:r>
        <w:rPr>
          <w:w w:val="120"/>
        </w:rPr>
        <w:t>Member</w:t>
      </w:r>
    </w:p>
    <w:p>
      <w:pPr>
        <w:pStyle w:val="BodyText"/>
        <w:spacing w:before="3"/>
        <w:rPr>
          <w:sz w:val="18"/>
        </w:rPr>
      </w:pPr>
    </w:p>
    <w:p>
      <w:pPr>
        <w:numPr>
          <w:ilvl w:val="2"/>
          <w:numId w:val="148"/>
        </w:numPr>
        <w:tabs>
          <w:tab w:pos="1815" w:val="left" w:leader="none"/>
        </w:tabs>
        <w:spacing w:line="261" w:lineRule="exact" w:before="0"/>
        <w:ind w:left="1814" w:right="0" w:hanging="681"/>
        <w:jc w:val="left"/>
        <w:rPr>
          <w:rFonts w:ascii="Stone Sans II ITC Std Bk"/>
          <w:b/>
          <w:sz w:val="20"/>
        </w:rPr>
      </w:pPr>
      <w:r>
        <w:rPr>
          <w:rFonts w:ascii="Stone Sans II ITC Std Bk"/>
          <w:b/>
          <w:w w:val="110"/>
          <w:sz w:val="20"/>
        </w:rPr>
        <w:t>Pilots Management</w:t>
      </w:r>
      <w:r>
        <w:rPr>
          <w:rFonts w:ascii="Stone Sans II ITC Std Bk"/>
          <w:b/>
          <w:spacing w:val="-1"/>
          <w:w w:val="110"/>
          <w:sz w:val="20"/>
        </w:rPr>
        <w:t> </w:t>
      </w:r>
      <w:r>
        <w:rPr>
          <w:rFonts w:ascii="Stone Sans II ITC Std Bk"/>
          <w:b/>
          <w:w w:val="110"/>
          <w:sz w:val="20"/>
        </w:rPr>
        <w:t>Sub-committee</w:t>
      </w:r>
    </w:p>
    <w:p>
      <w:pPr>
        <w:pStyle w:val="BodyText"/>
        <w:tabs>
          <w:tab w:pos="6173" w:val="left" w:leader="none"/>
        </w:tabs>
        <w:spacing w:line="235" w:lineRule="auto"/>
        <w:ind w:left="1134" w:right="2988"/>
      </w:pPr>
      <w:r>
        <w:rPr>
          <w:w w:val="120"/>
        </w:rPr>
        <w:t>Convener: Revd David </w:t>
      </w:r>
      <w:r>
        <w:rPr>
          <w:spacing w:val="14"/>
          <w:w w:val="120"/>
        </w:rPr>
        <w:t> </w:t>
      </w:r>
      <w:r>
        <w:rPr>
          <w:w w:val="120"/>
        </w:rPr>
        <w:t>Downing</w:t>
      </w:r>
      <w:r>
        <w:rPr>
          <w:spacing w:val="23"/>
          <w:w w:val="120"/>
        </w:rPr>
        <w:t> </w:t>
      </w:r>
      <w:r>
        <w:rPr>
          <w:spacing w:val="-11"/>
          <w:w w:val="120"/>
        </w:rPr>
        <w:t>[2011]</w:t>
        <w:tab/>
      </w:r>
      <w:r>
        <w:rPr>
          <w:w w:val="120"/>
        </w:rPr>
        <w:t>#Mrs Soo Webster </w:t>
      </w:r>
      <w:r>
        <w:rPr>
          <w:spacing w:val="3"/>
          <w:w w:val="120"/>
        </w:rPr>
        <w:t>**</w:t>
      </w:r>
      <w:r>
        <w:rPr>
          <w:spacing w:val="-16"/>
          <w:w w:val="120"/>
        </w:rPr>
        <w:t> </w:t>
      </w:r>
      <w:r>
        <w:rPr>
          <w:spacing w:val="-8"/>
          <w:w w:val="120"/>
        </w:rPr>
        <w:t>[2015] </w:t>
      </w:r>
      <w:r>
        <w:rPr>
          <w:w w:val="120"/>
        </w:rPr>
        <w:t>Member: Mrs Marilyn Armstrong </w:t>
      </w:r>
      <w:r>
        <w:rPr>
          <w:spacing w:val="3"/>
          <w:w w:val="120"/>
        </w:rPr>
        <w:t>** </w:t>
      </w:r>
      <w:r>
        <w:rPr>
          <w:spacing w:val="-11"/>
          <w:w w:val="120"/>
        </w:rPr>
        <w:t>(1)</w:t>
      </w:r>
      <w:r>
        <w:rPr>
          <w:spacing w:val="10"/>
          <w:w w:val="120"/>
        </w:rPr>
        <w:t> </w:t>
      </w:r>
      <w:r>
        <w:rPr>
          <w:spacing w:val="-8"/>
          <w:w w:val="120"/>
        </w:rPr>
        <w:t>[2014]</w:t>
      </w:r>
    </w:p>
    <w:p>
      <w:pPr>
        <w:spacing w:line="235" w:lineRule="auto" w:before="0"/>
        <w:ind w:left="1134" w:right="2573" w:firstLine="0"/>
        <w:jc w:val="left"/>
        <w:rPr>
          <w:i/>
          <w:sz w:val="20"/>
        </w:rPr>
      </w:pPr>
      <w:r>
        <w:rPr>
          <w:i/>
          <w:w w:val="110"/>
          <w:sz w:val="20"/>
        </w:rPr>
        <w:t>(Other members of the sub-committee are appointed by the Youth and Children’s Work </w:t>
      </w:r>
      <w:r>
        <w:rPr>
          <w:i/>
          <w:w w:val="110"/>
          <w:sz w:val="20"/>
        </w:rPr>
        <w:t>Committee. The Congregational Federation also has two representatives.)</w:t>
      </w:r>
    </w:p>
    <w:p>
      <w:pPr>
        <w:spacing w:after="0" w:line="235" w:lineRule="auto"/>
        <w:jc w:val="left"/>
        <w:rPr>
          <w:sz w:val="20"/>
        </w:rPr>
        <w:sectPr>
          <w:pgSz w:w="11910" w:h="16840"/>
          <w:pgMar w:header="0" w:footer="647" w:top="1060" w:bottom="840" w:left="0" w:right="0"/>
        </w:sectPr>
      </w:pPr>
    </w:p>
    <w:p>
      <w:pPr>
        <w:pStyle w:val="ListParagraph"/>
        <w:numPr>
          <w:ilvl w:val="0"/>
          <w:numId w:val="148"/>
        </w:numPr>
        <w:tabs>
          <w:tab w:pos="2664" w:val="left" w:leader="none"/>
          <w:tab w:pos="2665" w:val="left" w:leader="none"/>
        </w:tabs>
        <w:spacing w:line="391" w:lineRule="exact" w:before="0" w:after="0"/>
        <w:ind w:left="2664" w:right="0" w:hanging="681"/>
        <w:jc w:val="left"/>
        <w:rPr>
          <w:rFonts w:ascii="Stone Sans II ITC Std Bk"/>
          <w:b/>
          <w:sz w:val="29"/>
        </w:rPr>
      </w:pPr>
      <w:r>
        <w:rPr/>
        <w:pict>
          <v:rect style="position:absolute;margin-left:558.424988pt;margin-top:8.504pt;width:22.677pt;height:22.677pt;mso-position-horizontal-relative:page;mso-position-vertical-relative:paragraph;z-index:252208128" filled="true" fillcolor="#dae4ec" stroked="false">
            <v:fill opacity="32768f" type="solid"/>
            <w10:wrap type="none"/>
          </v:rect>
        </w:pict>
      </w:r>
      <w:r>
        <w:rPr>
          <w:rFonts w:ascii="Stone Sans II ITC Std Bk"/>
          <w:b/>
          <w:color w:val="CA4F1B"/>
          <w:spacing w:val="3"/>
          <w:w w:val="110"/>
          <w:sz w:val="29"/>
        </w:rPr>
        <w:t>Administration and resources</w:t>
      </w:r>
      <w:r>
        <w:rPr>
          <w:rFonts w:ascii="Stone Sans II ITC Std Bk"/>
          <w:b/>
          <w:color w:val="CA4F1B"/>
          <w:spacing w:val="34"/>
          <w:w w:val="110"/>
          <w:sz w:val="29"/>
        </w:rPr>
        <w:t> </w:t>
      </w:r>
      <w:r>
        <w:rPr>
          <w:rFonts w:ascii="Stone Sans II ITC Std Bk"/>
          <w:b/>
          <w:color w:val="CA4F1B"/>
          <w:spacing w:val="4"/>
          <w:w w:val="110"/>
          <w:sz w:val="29"/>
        </w:rPr>
        <w:t>department</w:t>
      </w:r>
    </w:p>
    <w:p>
      <w:pPr>
        <w:pStyle w:val="ListParagraph"/>
        <w:numPr>
          <w:ilvl w:val="1"/>
          <w:numId w:val="148"/>
        </w:numPr>
        <w:tabs>
          <w:tab w:pos="2664" w:val="left" w:leader="none"/>
          <w:tab w:pos="2665" w:val="left" w:leader="none"/>
        </w:tabs>
        <w:spacing w:line="230" w:lineRule="auto" w:before="7" w:after="0"/>
        <w:ind w:left="1984" w:right="5370" w:firstLine="0"/>
        <w:jc w:val="left"/>
        <w:rPr>
          <w:sz w:val="20"/>
        </w:rPr>
      </w:pPr>
      <w:r>
        <w:rPr>
          <w:rFonts w:ascii="Stone Sans II ITC Std Bk"/>
          <w:b/>
          <w:w w:val="110"/>
          <w:sz w:val="20"/>
        </w:rPr>
        <w:t>Assembly Arrangements Committee </w:t>
      </w:r>
      <w:r>
        <w:rPr>
          <w:w w:val="120"/>
          <w:sz w:val="20"/>
        </w:rPr>
        <w:t>Convener: Dr David Robinson  </w:t>
      </w:r>
      <w:r>
        <w:rPr>
          <w:spacing w:val="-8"/>
          <w:w w:val="120"/>
          <w:sz w:val="20"/>
        </w:rPr>
        <w:t>[2012] </w:t>
      </w:r>
      <w:r>
        <w:rPr>
          <w:w w:val="120"/>
          <w:sz w:val="20"/>
        </w:rPr>
        <w:t>Secretary: Facilities</w:t>
      </w:r>
      <w:r>
        <w:rPr>
          <w:spacing w:val="2"/>
          <w:w w:val="120"/>
          <w:sz w:val="20"/>
        </w:rPr>
        <w:t> </w:t>
      </w:r>
      <w:r>
        <w:rPr>
          <w:w w:val="120"/>
          <w:sz w:val="20"/>
        </w:rPr>
        <w:t>Manager</w:t>
      </w:r>
    </w:p>
    <w:p>
      <w:pPr>
        <w:pStyle w:val="BodyText"/>
        <w:tabs>
          <w:tab w:pos="3424" w:val="left" w:leader="none"/>
          <w:tab w:pos="5584" w:val="left" w:leader="none"/>
          <w:tab w:pos="7743" w:val="left" w:leader="none"/>
        </w:tabs>
        <w:spacing w:line="235" w:lineRule="auto"/>
        <w:ind w:left="1984" w:right="1555"/>
      </w:pPr>
      <w:r>
        <w:rPr>
          <w:w w:val="120"/>
        </w:rPr>
        <w:t>Moderator</w:t>
        <w:tab/>
        <w:t>Moderators elect</w:t>
        <w:tab/>
        <w:t>General</w:t>
      </w:r>
      <w:r>
        <w:rPr>
          <w:spacing w:val="4"/>
          <w:w w:val="120"/>
        </w:rPr>
        <w:t> </w:t>
      </w:r>
      <w:r>
        <w:rPr>
          <w:w w:val="120"/>
        </w:rPr>
        <w:t>Secretary</w:t>
        <w:tab/>
        <w:t>Clerk to General Assembly </w:t>
      </w:r>
      <w:r>
        <w:rPr>
          <w:spacing w:val="-3"/>
          <w:w w:val="120"/>
        </w:rPr>
        <w:t>Convener, </w:t>
      </w:r>
      <w:r>
        <w:rPr>
          <w:w w:val="120"/>
        </w:rPr>
        <w:t>Local Arrangements</w:t>
      </w:r>
      <w:r>
        <w:rPr>
          <w:spacing w:val="11"/>
          <w:w w:val="120"/>
        </w:rPr>
        <w:t> </w:t>
      </w:r>
      <w:r>
        <w:rPr>
          <w:w w:val="120"/>
        </w:rPr>
        <w:t>Committee</w:t>
      </w:r>
    </w:p>
    <w:p>
      <w:pPr>
        <w:numPr>
          <w:ilvl w:val="2"/>
          <w:numId w:val="148"/>
        </w:numPr>
        <w:tabs>
          <w:tab w:pos="2665" w:val="left" w:leader="none"/>
        </w:tabs>
        <w:spacing w:line="213" w:lineRule="auto" w:before="208"/>
        <w:ind w:left="2664" w:right="2245" w:hanging="681"/>
        <w:jc w:val="left"/>
        <w:rPr>
          <w:rFonts w:ascii="Stone Sans II ITC Std Bk"/>
          <w:b/>
          <w:sz w:val="20"/>
        </w:rPr>
      </w:pPr>
      <w:r>
        <w:rPr>
          <w:rFonts w:ascii="Stone Sans II ITC Std Bk"/>
          <w:b/>
          <w:w w:val="110"/>
          <w:sz w:val="20"/>
        </w:rPr>
        <w:t>Tellers at Assembly </w:t>
      </w:r>
      <w:r>
        <w:rPr>
          <w:rFonts w:ascii="Stone Sans II ITC Std Bk"/>
          <w:b/>
          <w:spacing w:val="-5"/>
          <w:w w:val="110"/>
          <w:sz w:val="20"/>
        </w:rPr>
        <w:t>2010 </w:t>
      </w:r>
      <w:r>
        <w:rPr>
          <w:rFonts w:ascii="Stone Sans II ITC Std Bk"/>
          <w:b/>
          <w:w w:val="110"/>
          <w:sz w:val="20"/>
        </w:rPr>
        <w:t>for the election of the General Assembly Moderators</w:t>
      </w:r>
      <w:r>
        <w:rPr>
          <w:rFonts w:ascii="Stone Sans II ITC Std Bk"/>
          <w:b/>
          <w:spacing w:val="-1"/>
          <w:w w:val="110"/>
          <w:sz w:val="20"/>
        </w:rPr>
        <w:t> </w:t>
      </w:r>
      <w:r>
        <w:rPr>
          <w:rFonts w:ascii="Stone Sans II ITC Std Bk"/>
          <w:b/>
          <w:spacing w:val="-4"/>
          <w:w w:val="110"/>
          <w:sz w:val="20"/>
        </w:rPr>
        <w:t>2010-2014</w:t>
      </w:r>
    </w:p>
    <w:p>
      <w:pPr>
        <w:pStyle w:val="BodyText"/>
        <w:spacing w:line="231" w:lineRule="exact"/>
        <w:ind w:left="1984"/>
      </w:pPr>
      <w:r>
        <w:rPr>
          <w:w w:val="120"/>
        </w:rPr>
        <w:t>Dr Jim Merrilees (Convener), Mr Simon Fairnington, Mr Duncan Smith</w:t>
      </w:r>
    </w:p>
    <w:p>
      <w:pPr>
        <w:spacing w:line="242" w:lineRule="exact" w:before="0"/>
        <w:ind w:left="1984" w:right="0" w:firstLine="0"/>
        <w:jc w:val="left"/>
        <w:rPr>
          <w:i/>
          <w:sz w:val="20"/>
        </w:rPr>
      </w:pPr>
      <w:r>
        <w:rPr>
          <w:i/>
          <w:w w:val="110"/>
          <w:sz w:val="20"/>
        </w:rPr>
        <w:t>(These are all synod clerks who are appointed in rotation.)</w:t>
      </w:r>
    </w:p>
    <w:p>
      <w:pPr>
        <w:numPr>
          <w:ilvl w:val="1"/>
          <w:numId w:val="148"/>
        </w:numPr>
        <w:tabs>
          <w:tab w:pos="2664" w:val="left" w:leader="none"/>
          <w:tab w:pos="2665" w:val="left" w:leader="none"/>
        </w:tabs>
        <w:spacing w:line="261" w:lineRule="exact" w:before="183"/>
        <w:ind w:left="2664" w:right="0" w:hanging="681"/>
        <w:jc w:val="left"/>
        <w:rPr>
          <w:rFonts w:ascii="Stone Sans II ITC Std Bk"/>
          <w:b/>
          <w:sz w:val="20"/>
        </w:rPr>
      </w:pPr>
      <w:r>
        <w:rPr>
          <w:rFonts w:ascii="Stone Sans II ITC Std Bk"/>
          <w:b/>
          <w:w w:val="110"/>
          <w:sz w:val="20"/>
        </w:rPr>
        <w:t>Communications and Editorial</w:t>
      </w:r>
      <w:r>
        <w:rPr>
          <w:rFonts w:ascii="Stone Sans II ITC Std Bk"/>
          <w:b/>
          <w:spacing w:val="-1"/>
          <w:w w:val="110"/>
          <w:sz w:val="20"/>
        </w:rPr>
        <w:t> </w:t>
      </w:r>
      <w:r>
        <w:rPr>
          <w:rFonts w:ascii="Stone Sans II ITC Std Bk"/>
          <w:b/>
          <w:w w:val="110"/>
          <w:sz w:val="20"/>
        </w:rPr>
        <w:t>Committee</w:t>
      </w:r>
    </w:p>
    <w:p>
      <w:pPr>
        <w:pStyle w:val="BodyText"/>
        <w:tabs>
          <w:tab w:pos="6303" w:val="left" w:leader="none"/>
        </w:tabs>
        <w:spacing w:line="235" w:lineRule="auto"/>
        <w:ind w:left="1984" w:right="2184"/>
      </w:pPr>
      <w:r>
        <w:rPr>
          <w:w w:val="120"/>
        </w:rPr>
        <w:t>Convener: Revd Dr Kirsty </w:t>
      </w:r>
      <w:r>
        <w:rPr>
          <w:spacing w:val="12"/>
          <w:w w:val="120"/>
        </w:rPr>
        <w:t> </w:t>
      </w:r>
      <w:r>
        <w:rPr>
          <w:w w:val="120"/>
        </w:rPr>
        <w:t>Thorpe</w:t>
      </w:r>
      <w:r>
        <w:rPr>
          <w:spacing w:val="16"/>
          <w:w w:val="120"/>
        </w:rPr>
        <w:t> </w:t>
      </w:r>
      <w:r>
        <w:rPr>
          <w:spacing w:val="-11"/>
          <w:w w:val="120"/>
        </w:rPr>
        <w:t>[2011]</w:t>
        <w:tab/>
      </w:r>
      <w:r>
        <w:rPr>
          <w:w w:val="120"/>
        </w:rPr>
        <w:t>#Revd Richard Bittlestone** </w:t>
      </w:r>
      <w:r>
        <w:rPr>
          <w:spacing w:val="-8"/>
          <w:w w:val="120"/>
        </w:rPr>
        <w:t>[2015] </w:t>
      </w:r>
      <w:r>
        <w:rPr>
          <w:w w:val="120"/>
        </w:rPr>
        <w:t>Secretary: Director of</w:t>
      </w:r>
      <w:r>
        <w:rPr>
          <w:spacing w:val="7"/>
          <w:w w:val="120"/>
        </w:rPr>
        <w:t> </w:t>
      </w:r>
      <w:r>
        <w:rPr>
          <w:w w:val="120"/>
        </w:rPr>
        <w:t>Communications</w:t>
      </w:r>
    </w:p>
    <w:p>
      <w:pPr>
        <w:pStyle w:val="BodyText"/>
        <w:tabs>
          <w:tab w:pos="6303" w:val="left" w:leader="none"/>
        </w:tabs>
        <w:spacing w:line="240" w:lineRule="exact"/>
        <w:ind w:left="1984"/>
      </w:pPr>
      <w:r>
        <w:rPr>
          <w:w w:val="125"/>
        </w:rPr>
        <w:t>Mrs Esther Searle</w:t>
      </w:r>
      <w:r>
        <w:rPr>
          <w:spacing w:val="-27"/>
          <w:w w:val="125"/>
        </w:rPr>
        <w:t> </w:t>
      </w:r>
      <w:r>
        <w:rPr>
          <w:spacing w:val="-8"/>
          <w:w w:val="125"/>
        </w:rPr>
        <w:t>(8) </w:t>
      </w:r>
      <w:r>
        <w:rPr>
          <w:spacing w:val="-11"/>
          <w:w w:val="125"/>
        </w:rPr>
        <w:t>[2011]</w:t>
        <w:tab/>
      </w:r>
      <w:r>
        <w:rPr>
          <w:w w:val="125"/>
        </w:rPr>
        <w:t>Ms Lucy </w:t>
      </w:r>
      <w:r>
        <w:rPr>
          <w:spacing w:val="3"/>
          <w:w w:val="125"/>
        </w:rPr>
        <w:t>Berry </w:t>
      </w:r>
      <w:r>
        <w:rPr>
          <w:spacing w:val="-9"/>
          <w:w w:val="125"/>
        </w:rPr>
        <w:t>(10)</w:t>
      </w:r>
      <w:r>
        <w:rPr>
          <w:spacing w:val="-5"/>
          <w:w w:val="125"/>
        </w:rPr>
        <w:t> </w:t>
      </w:r>
      <w:r>
        <w:rPr>
          <w:spacing w:val="-8"/>
          <w:w w:val="125"/>
        </w:rPr>
        <w:t>[2012]</w:t>
      </w:r>
    </w:p>
    <w:p>
      <w:pPr>
        <w:pStyle w:val="BodyText"/>
        <w:tabs>
          <w:tab w:pos="6303" w:val="left" w:leader="none"/>
        </w:tabs>
        <w:spacing w:line="240" w:lineRule="exact"/>
        <w:ind w:left="1984"/>
      </w:pPr>
      <w:r>
        <w:rPr>
          <w:w w:val="125"/>
        </w:rPr>
        <w:t>Mr Andy Littlejohns</w:t>
      </w:r>
      <w:r>
        <w:rPr>
          <w:spacing w:val="-13"/>
          <w:w w:val="125"/>
        </w:rPr>
        <w:t> </w:t>
      </w:r>
      <w:r>
        <w:rPr>
          <w:spacing w:val="-14"/>
          <w:w w:val="125"/>
        </w:rPr>
        <w:t>(11)</w:t>
      </w:r>
      <w:r>
        <w:rPr>
          <w:spacing w:val="-5"/>
          <w:w w:val="125"/>
        </w:rPr>
        <w:t> </w:t>
      </w:r>
      <w:r>
        <w:rPr>
          <w:spacing w:val="-8"/>
          <w:w w:val="125"/>
        </w:rPr>
        <w:t>[2012]</w:t>
        <w:tab/>
      </w:r>
      <w:r>
        <w:rPr>
          <w:w w:val="125"/>
        </w:rPr>
        <w:t>Mr Justin Brierley </w:t>
      </w:r>
      <w:r>
        <w:rPr>
          <w:spacing w:val="-14"/>
          <w:w w:val="125"/>
        </w:rPr>
        <w:t>(11)</w:t>
      </w:r>
      <w:r>
        <w:rPr>
          <w:spacing w:val="-5"/>
          <w:w w:val="125"/>
        </w:rPr>
        <w:t> </w:t>
      </w:r>
      <w:r>
        <w:rPr>
          <w:spacing w:val="-8"/>
          <w:w w:val="125"/>
        </w:rPr>
        <w:t>[2012]</w:t>
      </w:r>
    </w:p>
    <w:p>
      <w:pPr>
        <w:pStyle w:val="BodyText"/>
        <w:tabs>
          <w:tab w:pos="6303" w:val="left" w:leader="none"/>
        </w:tabs>
        <w:spacing w:line="240" w:lineRule="exact"/>
        <w:ind w:left="1984"/>
      </w:pPr>
      <w:r>
        <w:rPr>
          <w:w w:val="125"/>
        </w:rPr>
        <w:t>Mr Stanley Hazell</w:t>
      </w:r>
      <w:r>
        <w:rPr>
          <w:spacing w:val="-17"/>
          <w:w w:val="125"/>
        </w:rPr>
        <w:t> </w:t>
      </w:r>
      <w:r>
        <w:rPr>
          <w:spacing w:val="-8"/>
          <w:w w:val="125"/>
        </w:rPr>
        <w:t>(8)</w:t>
      </w:r>
      <w:r>
        <w:rPr>
          <w:spacing w:val="-6"/>
          <w:w w:val="125"/>
        </w:rPr>
        <w:t> </w:t>
      </w:r>
      <w:r>
        <w:rPr>
          <w:spacing w:val="-8"/>
          <w:w w:val="125"/>
        </w:rPr>
        <w:t>[2012]</w:t>
        <w:tab/>
      </w:r>
      <w:r>
        <w:rPr>
          <w:w w:val="125"/>
        </w:rPr>
        <w:t>Revd Peter Lyth </w:t>
      </w:r>
      <w:r>
        <w:rPr>
          <w:spacing w:val="-8"/>
          <w:w w:val="125"/>
        </w:rPr>
        <w:t>(3)</w:t>
      </w:r>
      <w:r>
        <w:rPr>
          <w:spacing w:val="-3"/>
          <w:w w:val="125"/>
        </w:rPr>
        <w:t> </w:t>
      </w:r>
      <w:r>
        <w:rPr>
          <w:spacing w:val="-9"/>
          <w:w w:val="125"/>
        </w:rPr>
        <w:t>[2013]</w:t>
      </w:r>
    </w:p>
    <w:p>
      <w:pPr>
        <w:pStyle w:val="BodyText"/>
        <w:tabs>
          <w:tab w:pos="6303" w:val="left" w:leader="none"/>
        </w:tabs>
        <w:spacing w:line="240" w:lineRule="exact"/>
        <w:ind w:left="1984"/>
      </w:pPr>
      <w:r>
        <w:rPr>
          <w:w w:val="125"/>
        </w:rPr>
        <w:t>Mr Peter Ranscombe</w:t>
      </w:r>
      <w:r>
        <w:rPr>
          <w:spacing w:val="-39"/>
          <w:w w:val="125"/>
        </w:rPr>
        <w:t> </w:t>
      </w:r>
      <w:r>
        <w:rPr>
          <w:spacing w:val="-12"/>
          <w:w w:val="125"/>
        </w:rPr>
        <w:t>(13) </w:t>
      </w:r>
      <w:r>
        <w:rPr>
          <w:spacing w:val="-9"/>
          <w:w w:val="125"/>
        </w:rPr>
        <w:t>[2013]</w:t>
        <w:tab/>
      </w:r>
      <w:r>
        <w:rPr>
          <w:w w:val="125"/>
        </w:rPr>
        <w:t>Mr Orin Stephens </w:t>
      </w:r>
      <w:r>
        <w:rPr>
          <w:spacing w:val="-9"/>
          <w:w w:val="125"/>
        </w:rPr>
        <w:t>(10)</w:t>
      </w:r>
      <w:r>
        <w:rPr>
          <w:spacing w:val="-3"/>
          <w:w w:val="125"/>
        </w:rPr>
        <w:t> </w:t>
      </w:r>
      <w:r>
        <w:rPr>
          <w:spacing w:val="-9"/>
          <w:w w:val="125"/>
        </w:rPr>
        <w:t>[2013]</w:t>
      </w:r>
    </w:p>
    <w:p>
      <w:pPr>
        <w:pStyle w:val="BodyText"/>
        <w:spacing w:line="242" w:lineRule="exact"/>
        <w:ind w:left="1984"/>
      </w:pPr>
      <w:r>
        <w:rPr>
          <w:w w:val="125"/>
        </w:rPr>
        <w:t>Mrs Helen Jones (6) [2013]</w:t>
      </w:r>
    </w:p>
    <w:p>
      <w:pPr>
        <w:pStyle w:val="ListParagraph"/>
        <w:numPr>
          <w:ilvl w:val="1"/>
          <w:numId w:val="148"/>
        </w:numPr>
        <w:tabs>
          <w:tab w:pos="2664" w:val="left" w:leader="none"/>
          <w:tab w:pos="2665" w:val="left" w:leader="none"/>
        </w:tabs>
        <w:spacing w:line="230" w:lineRule="auto" w:before="186" w:after="0"/>
        <w:ind w:left="1984" w:right="5814" w:firstLine="0"/>
        <w:jc w:val="left"/>
        <w:rPr>
          <w:sz w:val="20"/>
        </w:rPr>
      </w:pPr>
      <w:r>
        <w:rPr>
          <w:rFonts w:ascii="Stone Sans II ITC Std Bk"/>
          <w:b/>
          <w:w w:val="110"/>
          <w:sz w:val="20"/>
        </w:rPr>
        <w:t>Equal Opportunities Committee </w:t>
      </w:r>
      <w:r>
        <w:rPr>
          <w:w w:val="120"/>
          <w:sz w:val="20"/>
        </w:rPr>
        <w:t>Convener: Revd Elizabeth Nash </w:t>
      </w:r>
      <w:r>
        <w:rPr>
          <w:spacing w:val="-8"/>
          <w:w w:val="120"/>
          <w:sz w:val="20"/>
        </w:rPr>
        <w:t>[2014] </w:t>
      </w:r>
      <w:r>
        <w:rPr>
          <w:w w:val="120"/>
          <w:sz w:val="20"/>
        </w:rPr>
        <w:t>Secretary: Mr Andrew Jack </w:t>
      </w:r>
      <w:r>
        <w:rPr>
          <w:spacing w:val="-9"/>
          <w:w w:val="120"/>
          <w:sz w:val="20"/>
        </w:rPr>
        <w:t>(10)</w:t>
      </w:r>
      <w:r>
        <w:rPr>
          <w:spacing w:val="35"/>
          <w:w w:val="120"/>
          <w:sz w:val="20"/>
        </w:rPr>
        <w:t> </w:t>
      </w:r>
      <w:r>
        <w:rPr>
          <w:spacing w:val="-9"/>
          <w:w w:val="120"/>
          <w:sz w:val="20"/>
        </w:rPr>
        <w:t>[2013]</w:t>
      </w:r>
    </w:p>
    <w:p>
      <w:pPr>
        <w:pStyle w:val="BodyText"/>
        <w:tabs>
          <w:tab w:pos="6303" w:val="left" w:leader="none"/>
        </w:tabs>
        <w:spacing w:line="238" w:lineRule="exact"/>
        <w:ind w:left="1984"/>
      </w:pPr>
      <w:r>
        <w:rPr>
          <w:w w:val="120"/>
        </w:rPr>
        <w:t>Ms </w:t>
      </w:r>
      <w:r>
        <w:rPr>
          <w:spacing w:val="2"/>
          <w:w w:val="120"/>
        </w:rPr>
        <w:t>Mary </w:t>
      </w:r>
      <w:r>
        <w:rPr>
          <w:w w:val="120"/>
        </w:rPr>
        <w:t>Jeremiah</w:t>
      </w:r>
      <w:r>
        <w:rPr>
          <w:spacing w:val="17"/>
          <w:w w:val="120"/>
        </w:rPr>
        <w:t> </w:t>
      </w:r>
      <w:r>
        <w:rPr>
          <w:spacing w:val="-10"/>
          <w:w w:val="120"/>
        </w:rPr>
        <w:t>(12)</w:t>
      </w:r>
      <w:r>
        <w:rPr>
          <w:spacing w:val="7"/>
          <w:w w:val="120"/>
        </w:rPr>
        <w:t> </w:t>
      </w:r>
      <w:r>
        <w:rPr>
          <w:spacing w:val="-8"/>
          <w:w w:val="120"/>
        </w:rPr>
        <w:t>[2012]</w:t>
        <w:tab/>
      </w:r>
      <w:r>
        <w:rPr>
          <w:w w:val="120"/>
        </w:rPr>
        <w:t>Revd Barbara Exley </w:t>
      </w:r>
      <w:r>
        <w:rPr>
          <w:spacing w:val="-14"/>
          <w:w w:val="120"/>
        </w:rPr>
        <w:t>(11)</w:t>
      </w:r>
      <w:r>
        <w:rPr>
          <w:spacing w:val="14"/>
          <w:w w:val="120"/>
        </w:rPr>
        <w:t> </w:t>
      </w:r>
      <w:r>
        <w:rPr>
          <w:spacing w:val="-8"/>
          <w:w w:val="120"/>
        </w:rPr>
        <w:t>[2012]</w:t>
      </w:r>
    </w:p>
    <w:p>
      <w:pPr>
        <w:pStyle w:val="BodyText"/>
        <w:tabs>
          <w:tab w:pos="6303" w:val="left" w:leader="none"/>
        </w:tabs>
        <w:spacing w:line="240" w:lineRule="exact"/>
        <w:ind w:left="1984"/>
      </w:pPr>
      <w:r>
        <w:rPr>
          <w:w w:val="125"/>
        </w:rPr>
        <w:t>Mrs Gwynneth Tilley</w:t>
      </w:r>
      <w:r>
        <w:rPr>
          <w:spacing w:val="-13"/>
          <w:w w:val="125"/>
        </w:rPr>
        <w:t> </w:t>
      </w:r>
      <w:r>
        <w:rPr>
          <w:w w:val="125"/>
        </w:rPr>
        <w:t>(7)</w:t>
      </w:r>
      <w:r>
        <w:rPr>
          <w:spacing w:val="-5"/>
          <w:w w:val="125"/>
        </w:rPr>
        <w:t> </w:t>
      </w:r>
      <w:r>
        <w:rPr>
          <w:spacing w:val="-9"/>
          <w:w w:val="125"/>
        </w:rPr>
        <w:t>[2013]</w:t>
        <w:tab/>
      </w:r>
      <w:r>
        <w:rPr>
          <w:w w:val="125"/>
        </w:rPr>
        <w:t>Mrs Tina Ashitey </w:t>
      </w:r>
      <w:r>
        <w:rPr>
          <w:spacing w:val="-9"/>
          <w:w w:val="125"/>
        </w:rPr>
        <w:t>(10)</w:t>
      </w:r>
      <w:r>
        <w:rPr>
          <w:spacing w:val="-4"/>
          <w:w w:val="125"/>
        </w:rPr>
        <w:t> </w:t>
      </w:r>
      <w:r>
        <w:rPr>
          <w:spacing w:val="-9"/>
          <w:w w:val="125"/>
        </w:rPr>
        <w:t>[2013]</w:t>
      </w:r>
    </w:p>
    <w:p>
      <w:pPr>
        <w:pStyle w:val="BodyText"/>
        <w:tabs>
          <w:tab w:pos="6303" w:val="left" w:leader="none"/>
        </w:tabs>
        <w:spacing w:line="242" w:lineRule="exact"/>
        <w:ind w:left="1984"/>
      </w:pPr>
      <w:r>
        <w:rPr>
          <w:w w:val="125"/>
        </w:rPr>
        <w:t>Revd </w:t>
      </w:r>
      <w:r>
        <w:rPr>
          <w:spacing w:val="-5"/>
          <w:w w:val="125"/>
        </w:rPr>
        <w:t>Tom </w:t>
      </w:r>
      <w:r>
        <w:rPr>
          <w:w w:val="125"/>
        </w:rPr>
        <w:t>Arthur</w:t>
      </w:r>
      <w:r>
        <w:rPr>
          <w:spacing w:val="-2"/>
          <w:w w:val="125"/>
        </w:rPr>
        <w:t> </w:t>
      </w:r>
      <w:r>
        <w:rPr>
          <w:spacing w:val="-10"/>
          <w:w w:val="125"/>
        </w:rPr>
        <w:t>(12)</w:t>
      </w:r>
      <w:r>
        <w:rPr>
          <w:spacing w:val="-2"/>
          <w:w w:val="125"/>
        </w:rPr>
        <w:t> </w:t>
      </w:r>
      <w:r>
        <w:rPr>
          <w:spacing w:val="-9"/>
          <w:w w:val="125"/>
        </w:rPr>
        <w:t>[2013]</w:t>
        <w:tab/>
      </w:r>
      <w:r>
        <w:rPr>
          <w:w w:val="125"/>
        </w:rPr>
        <w:t>Mr </w:t>
      </w:r>
      <w:r>
        <w:rPr>
          <w:spacing w:val="-3"/>
          <w:w w:val="125"/>
        </w:rPr>
        <w:t>Tunde </w:t>
      </w:r>
      <w:r>
        <w:rPr>
          <w:w w:val="125"/>
        </w:rPr>
        <w:t>Biyi** (7)</w:t>
      </w:r>
      <w:r>
        <w:rPr>
          <w:spacing w:val="-3"/>
          <w:w w:val="125"/>
        </w:rPr>
        <w:t> </w:t>
      </w:r>
      <w:r>
        <w:rPr>
          <w:spacing w:val="-8"/>
          <w:w w:val="125"/>
        </w:rPr>
        <w:t>[2014]</w:t>
      </w:r>
    </w:p>
    <w:p>
      <w:pPr>
        <w:pStyle w:val="ListParagraph"/>
        <w:numPr>
          <w:ilvl w:val="1"/>
          <w:numId w:val="148"/>
        </w:numPr>
        <w:tabs>
          <w:tab w:pos="2664" w:val="left" w:leader="none"/>
          <w:tab w:pos="2665" w:val="left" w:leader="none"/>
        </w:tabs>
        <w:spacing w:line="230" w:lineRule="auto" w:before="192" w:after="0"/>
        <w:ind w:left="1984" w:right="5687" w:firstLine="0"/>
        <w:jc w:val="left"/>
        <w:rPr>
          <w:sz w:val="20"/>
        </w:rPr>
      </w:pPr>
      <w:r>
        <w:rPr>
          <w:rFonts w:ascii="Stone Sans II ITC Std Bk"/>
          <w:b/>
          <w:w w:val="115"/>
          <w:sz w:val="20"/>
        </w:rPr>
        <w:t>Faith</w:t>
      </w:r>
      <w:r>
        <w:rPr>
          <w:rFonts w:ascii="Stone Sans II ITC Std Bk"/>
          <w:b/>
          <w:spacing w:val="-37"/>
          <w:w w:val="115"/>
          <w:sz w:val="20"/>
        </w:rPr>
        <w:t> </w:t>
      </w:r>
      <w:r>
        <w:rPr>
          <w:rFonts w:ascii="Stone Sans II ITC Std Bk"/>
          <w:b/>
          <w:w w:val="115"/>
          <w:sz w:val="20"/>
        </w:rPr>
        <w:t>and</w:t>
      </w:r>
      <w:r>
        <w:rPr>
          <w:rFonts w:ascii="Stone Sans II ITC Std Bk"/>
          <w:b/>
          <w:spacing w:val="-36"/>
          <w:w w:val="115"/>
          <w:sz w:val="20"/>
        </w:rPr>
        <w:t> </w:t>
      </w:r>
      <w:r>
        <w:rPr>
          <w:rFonts w:ascii="Stone Sans II ITC Std Bk"/>
          <w:b/>
          <w:w w:val="115"/>
          <w:sz w:val="20"/>
        </w:rPr>
        <w:t>Order</w:t>
      </w:r>
      <w:r>
        <w:rPr>
          <w:rFonts w:ascii="Stone Sans II ITC Std Bk"/>
          <w:b/>
          <w:spacing w:val="-36"/>
          <w:w w:val="115"/>
          <w:sz w:val="20"/>
        </w:rPr>
        <w:t> </w:t>
      </w:r>
      <w:r>
        <w:rPr>
          <w:rFonts w:ascii="Stone Sans II ITC Std Bk"/>
          <w:b/>
          <w:w w:val="115"/>
          <w:sz w:val="20"/>
        </w:rPr>
        <w:t>Reference</w:t>
      </w:r>
      <w:r>
        <w:rPr>
          <w:rFonts w:ascii="Stone Sans II ITC Std Bk"/>
          <w:b/>
          <w:spacing w:val="-36"/>
          <w:w w:val="115"/>
          <w:sz w:val="20"/>
        </w:rPr>
        <w:t> </w:t>
      </w:r>
      <w:r>
        <w:rPr>
          <w:rFonts w:ascii="Stone Sans II ITC Std Bk"/>
          <w:b/>
          <w:w w:val="115"/>
          <w:sz w:val="20"/>
        </w:rPr>
        <w:t>Group </w:t>
      </w:r>
      <w:r>
        <w:rPr>
          <w:i/>
          <w:w w:val="115"/>
          <w:sz w:val="20"/>
        </w:rPr>
        <w:t>(Members normally serve for six </w:t>
      </w:r>
      <w:r>
        <w:rPr>
          <w:i/>
          <w:spacing w:val="-3"/>
          <w:w w:val="115"/>
          <w:sz w:val="20"/>
        </w:rPr>
        <w:t>years.) </w:t>
      </w:r>
      <w:r>
        <w:rPr>
          <w:w w:val="115"/>
          <w:sz w:val="20"/>
        </w:rPr>
        <w:t>Convener: Revd Dr </w:t>
      </w:r>
      <w:r>
        <w:rPr>
          <w:spacing w:val="2"/>
          <w:w w:val="115"/>
          <w:sz w:val="20"/>
        </w:rPr>
        <w:t>Robert </w:t>
      </w:r>
      <w:r>
        <w:rPr>
          <w:w w:val="115"/>
          <w:sz w:val="20"/>
        </w:rPr>
        <w:t>Pope </w:t>
      </w:r>
      <w:r>
        <w:rPr>
          <w:spacing w:val="-8"/>
          <w:w w:val="115"/>
          <w:sz w:val="20"/>
        </w:rPr>
        <w:t>[2012] </w:t>
      </w:r>
      <w:r>
        <w:rPr>
          <w:w w:val="115"/>
          <w:sz w:val="20"/>
        </w:rPr>
        <w:t>Secretary: Deputy General</w:t>
      </w:r>
      <w:r>
        <w:rPr>
          <w:spacing w:val="49"/>
          <w:w w:val="115"/>
          <w:sz w:val="20"/>
        </w:rPr>
        <w:t> </w:t>
      </w:r>
      <w:r>
        <w:rPr>
          <w:w w:val="115"/>
          <w:sz w:val="20"/>
        </w:rPr>
        <w:t>Secretary</w:t>
      </w:r>
    </w:p>
    <w:p>
      <w:pPr>
        <w:pStyle w:val="BodyText"/>
        <w:tabs>
          <w:tab w:pos="6303" w:val="left" w:leader="none"/>
        </w:tabs>
        <w:spacing w:line="235" w:lineRule="auto" w:before="5"/>
        <w:ind w:left="1984" w:right="2446"/>
      </w:pPr>
      <w:r>
        <w:rPr>
          <w:w w:val="120"/>
        </w:rPr>
        <w:t>Revd Dr John</w:t>
      </w:r>
      <w:r>
        <w:rPr>
          <w:spacing w:val="38"/>
          <w:w w:val="120"/>
        </w:rPr>
        <w:t> </w:t>
      </w:r>
      <w:r>
        <w:rPr>
          <w:w w:val="120"/>
        </w:rPr>
        <w:t>Bradbury</w:t>
      </w:r>
      <w:r>
        <w:rPr>
          <w:spacing w:val="12"/>
          <w:w w:val="120"/>
        </w:rPr>
        <w:t> </w:t>
      </w:r>
      <w:r>
        <w:rPr>
          <w:spacing w:val="-8"/>
          <w:w w:val="120"/>
        </w:rPr>
        <w:t>[2012]</w:t>
        <w:tab/>
      </w:r>
      <w:r>
        <w:rPr>
          <w:w w:val="120"/>
        </w:rPr>
        <w:t>Revd Dr Susan Durber </w:t>
      </w:r>
      <w:r>
        <w:rPr>
          <w:spacing w:val="-8"/>
          <w:w w:val="120"/>
        </w:rPr>
        <w:t>[2012] </w:t>
      </w:r>
      <w:r>
        <w:rPr>
          <w:w w:val="120"/>
        </w:rPr>
        <w:t>Revd Fleur</w:t>
      </w:r>
      <w:r>
        <w:rPr>
          <w:spacing w:val="21"/>
          <w:w w:val="120"/>
        </w:rPr>
        <w:t> </w:t>
      </w:r>
      <w:r>
        <w:rPr>
          <w:w w:val="120"/>
        </w:rPr>
        <w:t>Houston</w:t>
      </w:r>
      <w:r>
        <w:rPr>
          <w:spacing w:val="10"/>
          <w:w w:val="120"/>
        </w:rPr>
        <w:t> </w:t>
      </w:r>
      <w:r>
        <w:rPr>
          <w:spacing w:val="-8"/>
          <w:w w:val="120"/>
        </w:rPr>
        <w:t>[2012]</w:t>
        <w:tab/>
      </w:r>
      <w:r>
        <w:rPr>
          <w:w w:val="120"/>
        </w:rPr>
        <w:t>Revd Dr Michael Jagessar</w:t>
      </w:r>
      <w:r>
        <w:rPr>
          <w:spacing w:val="31"/>
          <w:w w:val="120"/>
        </w:rPr>
        <w:t> </w:t>
      </w:r>
      <w:r>
        <w:rPr>
          <w:spacing w:val="-8"/>
          <w:w w:val="120"/>
        </w:rPr>
        <w:t>[2014]</w:t>
      </w:r>
    </w:p>
    <w:p>
      <w:pPr>
        <w:pStyle w:val="BodyText"/>
        <w:tabs>
          <w:tab w:pos="6303" w:val="left" w:leader="none"/>
        </w:tabs>
        <w:spacing w:line="242" w:lineRule="exact"/>
        <w:ind w:left="1984"/>
      </w:pPr>
      <w:r>
        <w:rPr>
          <w:w w:val="120"/>
        </w:rPr>
        <w:t>Revd Dr Sarah</w:t>
      </w:r>
      <w:r>
        <w:rPr>
          <w:spacing w:val="31"/>
          <w:w w:val="120"/>
        </w:rPr>
        <w:t> </w:t>
      </w:r>
      <w:r>
        <w:rPr>
          <w:w w:val="120"/>
        </w:rPr>
        <w:t>Hall</w:t>
      </w:r>
      <w:r>
        <w:rPr>
          <w:spacing w:val="11"/>
          <w:w w:val="120"/>
        </w:rPr>
        <w:t> </w:t>
      </w:r>
      <w:r>
        <w:rPr>
          <w:spacing w:val="-8"/>
          <w:w w:val="120"/>
        </w:rPr>
        <w:t>[2014]</w:t>
        <w:tab/>
      </w:r>
      <w:r>
        <w:rPr>
          <w:w w:val="120"/>
        </w:rPr>
        <w:t>Revd Dr Neil Messer</w:t>
      </w:r>
      <w:r>
        <w:rPr>
          <w:spacing w:val="10"/>
          <w:w w:val="120"/>
        </w:rPr>
        <w:t> </w:t>
      </w:r>
      <w:r>
        <w:rPr>
          <w:spacing w:val="-8"/>
          <w:w w:val="120"/>
        </w:rPr>
        <w:t>[2014]</w:t>
      </w:r>
    </w:p>
    <w:p>
      <w:pPr>
        <w:pStyle w:val="ListParagraph"/>
        <w:numPr>
          <w:ilvl w:val="1"/>
          <w:numId w:val="148"/>
        </w:numPr>
        <w:tabs>
          <w:tab w:pos="2664" w:val="left" w:leader="none"/>
          <w:tab w:pos="2665" w:val="left" w:leader="none"/>
        </w:tabs>
        <w:spacing w:line="230" w:lineRule="auto" w:before="191" w:after="0"/>
        <w:ind w:left="1984" w:right="6928" w:firstLine="0"/>
        <w:jc w:val="left"/>
        <w:rPr>
          <w:sz w:val="20"/>
        </w:rPr>
      </w:pPr>
      <w:r>
        <w:rPr>
          <w:rFonts w:ascii="Stone Sans II ITC Std Bk"/>
          <w:b/>
          <w:w w:val="115"/>
          <w:sz w:val="20"/>
        </w:rPr>
        <w:t>Finance Committee </w:t>
      </w:r>
      <w:r>
        <w:rPr>
          <w:w w:val="115"/>
          <w:sz w:val="20"/>
        </w:rPr>
        <w:t>Convener: </w:t>
      </w:r>
      <w:r>
        <w:rPr>
          <w:spacing w:val="2"/>
          <w:w w:val="115"/>
          <w:sz w:val="20"/>
        </w:rPr>
        <w:t>Honorary </w:t>
      </w:r>
      <w:r>
        <w:rPr>
          <w:w w:val="115"/>
          <w:sz w:val="20"/>
        </w:rPr>
        <w:t>Treasurer Chief Finance</w:t>
      </w:r>
      <w:r>
        <w:rPr>
          <w:spacing w:val="16"/>
          <w:w w:val="115"/>
          <w:sz w:val="20"/>
        </w:rPr>
        <w:t> </w:t>
      </w:r>
      <w:r>
        <w:rPr>
          <w:w w:val="115"/>
          <w:sz w:val="20"/>
        </w:rPr>
        <w:t>Officer</w:t>
      </w:r>
    </w:p>
    <w:p>
      <w:pPr>
        <w:pStyle w:val="BodyText"/>
        <w:tabs>
          <w:tab w:pos="6303" w:val="left" w:leader="none"/>
        </w:tabs>
        <w:spacing w:line="238" w:lineRule="exact"/>
        <w:ind w:left="1984"/>
      </w:pPr>
      <w:r>
        <w:rPr>
          <w:w w:val="125"/>
        </w:rPr>
        <w:t>Mrs Jane Humphreys</w:t>
      </w:r>
      <w:r>
        <w:rPr>
          <w:spacing w:val="-32"/>
          <w:w w:val="125"/>
        </w:rPr>
        <w:t> </w:t>
      </w:r>
      <w:r>
        <w:rPr>
          <w:w w:val="125"/>
        </w:rPr>
        <w:t>(7)</w:t>
      </w:r>
      <w:r>
        <w:rPr>
          <w:spacing w:val="-11"/>
          <w:w w:val="125"/>
        </w:rPr>
        <w:t> [2011]</w:t>
        <w:tab/>
      </w:r>
      <w:r>
        <w:rPr>
          <w:w w:val="125"/>
        </w:rPr>
        <w:t>Mr Brian Hosier </w:t>
      </w:r>
      <w:r>
        <w:rPr>
          <w:spacing w:val="-9"/>
          <w:w w:val="125"/>
        </w:rPr>
        <w:t>(10)</w:t>
      </w:r>
      <w:r>
        <w:rPr>
          <w:spacing w:val="-3"/>
          <w:w w:val="125"/>
        </w:rPr>
        <w:t> </w:t>
      </w:r>
      <w:r>
        <w:rPr>
          <w:spacing w:val="-11"/>
          <w:w w:val="125"/>
        </w:rPr>
        <w:t>[2011]</w:t>
      </w:r>
    </w:p>
    <w:p>
      <w:pPr>
        <w:pStyle w:val="BodyText"/>
        <w:tabs>
          <w:tab w:pos="6303" w:val="left" w:leader="none"/>
        </w:tabs>
        <w:spacing w:line="240" w:lineRule="exact"/>
        <w:ind w:left="1984"/>
      </w:pPr>
      <w:r>
        <w:rPr>
          <w:w w:val="125"/>
        </w:rPr>
        <w:t>Revd David Walton</w:t>
      </w:r>
      <w:r>
        <w:rPr>
          <w:spacing w:val="-16"/>
          <w:w w:val="125"/>
        </w:rPr>
        <w:t> </w:t>
      </w:r>
      <w:r>
        <w:rPr>
          <w:spacing w:val="-12"/>
          <w:w w:val="125"/>
        </w:rPr>
        <w:t>(13)</w:t>
      </w:r>
      <w:r>
        <w:rPr>
          <w:spacing w:val="-6"/>
          <w:w w:val="125"/>
        </w:rPr>
        <w:t> </w:t>
      </w:r>
      <w:r>
        <w:rPr>
          <w:spacing w:val="-8"/>
          <w:w w:val="125"/>
        </w:rPr>
        <w:t>[2012]</w:t>
        <w:tab/>
      </w:r>
      <w:r>
        <w:rPr>
          <w:w w:val="125"/>
        </w:rPr>
        <w:t>Mr Angus Massie</w:t>
      </w:r>
      <w:r>
        <w:rPr>
          <w:spacing w:val="-34"/>
          <w:w w:val="125"/>
        </w:rPr>
        <w:t> </w:t>
      </w:r>
      <w:r>
        <w:rPr>
          <w:spacing w:val="-9"/>
          <w:w w:val="125"/>
        </w:rPr>
        <w:t>(10) </w:t>
      </w:r>
      <w:r>
        <w:rPr>
          <w:spacing w:val="-8"/>
          <w:w w:val="125"/>
        </w:rPr>
        <w:t>[2012]</w:t>
      </w:r>
    </w:p>
    <w:p>
      <w:pPr>
        <w:pStyle w:val="BodyText"/>
        <w:tabs>
          <w:tab w:pos="6303" w:val="left" w:leader="none"/>
        </w:tabs>
        <w:spacing w:line="240" w:lineRule="exact"/>
        <w:ind w:left="1984"/>
      </w:pPr>
      <w:r>
        <w:rPr>
          <w:w w:val="125"/>
        </w:rPr>
        <w:t>Dr </w:t>
      </w:r>
      <w:r>
        <w:rPr>
          <w:spacing w:val="2"/>
          <w:w w:val="125"/>
        </w:rPr>
        <w:t>Harry </w:t>
      </w:r>
      <w:r>
        <w:rPr>
          <w:w w:val="125"/>
        </w:rPr>
        <w:t>Potter OBE</w:t>
      </w:r>
      <w:r>
        <w:rPr>
          <w:spacing w:val="-19"/>
          <w:w w:val="125"/>
        </w:rPr>
        <w:t> </w:t>
      </w:r>
      <w:r>
        <w:rPr>
          <w:spacing w:val="-8"/>
          <w:w w:val="125"/>
        </w:rPr>
        <w:t>(3)</w:t>
      </w:r>
      <w:r>
        <w:rPr>
          <w:spacing w:val="-4"/>
          <w:w w:val="125"/>
        </w:rPr>
        <w:t> </w:t>
      </w:r>
      <w:r>
        <w:rPr>
          <w:spacing w:val="-9"/>
          <w:w w:val="125"/>
        </w:rPr>
        <w:t>[2013]</w:t>
        <w:tab/>
      </w:r>
      <w:r>
        <w:rPr>
          <w:w w:val="125"/>
        </w:rPr>
        <w:t>Mr Richard Dewar </w:t>
      </w:r>
      <w:r>
        <w:rPr>
          <w:spacing w:val="-8"/>
          <w:w w:val="125"/>
        </w:rPr>
        <w:t>(9)</w:t>
      </w:r>
      <w:r>
        <w:rPr>
          <w:spacing w:val="-36"/>
          <w:w w:val="125"/>
        </w:rPr>
        <w:t> </w:t>
      </w:r>
      <w:r>
        <w:rPr>
          <w:spacing w:val="-9"/>
          <w:w w:val="125"/>
        </w:rPr>
        <w:t>[2013]</w:t>
      </w:r>
    </w:p>
    <w:p>
      <w:pPr>
        <w:pStyle w:val="BodyText"/>
        <w:tabs>
          <w:tab w:pos="6303" w:val="left" w:leader="none"/>
        </w:tabs>
        <w:spacing w:line="235" w:lineRule="auto" w:before="2"/>
        <w:ind w:left="1984" w:right="2191"/>
      </w:pPr>
      <w:r>
        <w:rPr>
          <w:w w:val="120"/>
        </w:rPr>
        <w:t>Mr David Aplin </w:t>
      </w:r>
      <w:r>
        <w:rPr>
          <w:spacing w:val="2"/>
          <w:w w:val="120"/>
        </w:rPr>
        <w:t> </w:t>
      </w:r>
      <w:r>
        <w:rPr>
          <w:spacing w:val="-9"/>
          <w:w w:val="120"/>
        </w:rPr>
        <w:t>(10)</w:t>
      </w:r>
      <w:r>
        <w:rPr>
          <w:spacing w:val="18"/>
          <w:w w:val="120"/>
        </w:rPr>
        <w:t> </w:t>
      </w:r>
      <w:r>
        <w:rPr>
          <w:spacing w:val="-9"/>
          <w:w w:val="120"/>
        </w:rPr>
        <w:t>[2013]</w:t>
        <w:tab/>
      </w:r>
      <w:r>
        <w:rPr>
          <w:w w:val="120"/>
        </w:rPr>
        <w:t>Revd Edward Sanniez** </w:t>
      </w:r>
      <w:r>
        <w:rPr>
          <w:spacing w:val="-9"/>
          <w:w w:val="120"/>
        </w:rPr>
        <w:t>(10) </w:t>
      </w:r>
      <w:r>
        <w:rPr>
          <w:spacing w:val="-8"/>
          <w:w w:val="120"/>
        </w:rPr>
        <w:t>[2014] </w:t>
      </w:r>
      <w:r>
        <w:rPr>
          <w:w w:val="120"/>
        </w:rPr>
        <w:t>Chairman of the</w:t>
      </w:r>
      <w:r>
        <w:rPr>
          <w:spacing w:val="5"/>
          <w:w w:val="120"/>
        </w:rPr>
        <w:t> </w:t>
      </w:r>
      <w:r>
        <w:rPr>
          <w:w w:val="120"/>
        </w:rPr>
        <w:t>Trustees</w:t>
      </w:r>
    </w:p>
    <w:p>
      <w:pPr>
        <w:numPr>
          <w:ilvl w:val="2"/>
          <w:numId w:val="148"/>
        </w:numPr>
        <w:tabs>
          <w:tab w:pos="2665" w:val="left" w:leader="none"/>
        </w:tabs>
        <w:spacing w:line="261" w:lineRule="exact" w:before="185"/>
        <w:ind w:left="2664" w:right="0" w:hanging="681"/>
        <w:jc w:val="left"/>
        <w:rPr>
          <w:rFonts w:ascii="Stone Sans II ITC Std Bk"/>
          <w:b/>
          <w:sz w:val="20"/>
        </w:rPr>
      </w:pPr>
      <w:r>
        <w:rPr>
          <w:rFonts w:ascii="Stone Sans II ITC Std Bk"/>
          <w:b/>
          <w:w w:val="110"/>
          <w:sz w:val="20"/>
        </w:rPr>
        <w:t>Stewardship</w:t>
      </w:r>
      <w:r>
        <w:rPr>
          <w:rFonts w:ascii="Stone Sans II ITC Std Bk"/>
          <w:b/>
          <w:spacing w:val="-1"/>
          <w:w w:val="110"/>
          <w:sz w:val="20"/>
        </w:rPr>
        <w:t> </w:t>
      </w:r>
      <w:r>
        <w:rPr>
          <w:rFonts w:ascii="Stone Sans II ITC Std Bk"/>
          <w:b/>
          <w:w w:val="110"/>
          <w:sz w:val="20"/>
        </w:rPr>
        <w:t>Sub-committee</w:t>
      </w:r>
    </w:p>
    <w:p>
      <w:pPr>
        <w:pStyle w:val="BodyText"/>
        <w:spacing w:line="233" w:lineRule="exact"/>
        <w:ind w:left="1984"/>
      </w:pPr>
      <w:r>
        <w:rPr>
          <w:w w:val="120"/>
        </w:rPr>
        <w:t>Convener: Mrs Faith Paulding [2013]</w:t>
      </w:r>
    </w:p>
    <w:p>
      <w:pPr>
        <w:pStyle w:val="BodyText"/>
        <w:tabs>
          <w:tab w:pos="6303" w:val="left" w:leader="none"/>
        </w:tabs>
        <w:spacing w:line="240" w:lineRule="exact"/>
        <w:ind w:left="1984"/>
      </w:pPr>
      <w:r>
        <w:rPr>
          <w:w w:val="125"/>
        </w:rPr>
        <w:t>Mr Gareth Curl</w:t>
      </w:r>
      <w:r>
        <w:rPr>
          <w:spacing w:val="-5"/>
          <w:w w:val="125"/>
        </w:rPr>
        <w:t> </w:t>
      </w:r>
      <w:r>
        <w:rPr>
          <w:spacing w:val="-8"/>
          <w:w w:val="125"/>
        </w:rPr>
        <w:t>(8)</w:t>
      </w:r>
      <w:r>
        <w:rPr>
          <w:spacing w:val="-1"/>
          <w:w w:val="125"/>
        </w:rPr>
        <w:t> </w:t>
      </w:r>
      <w:r>
        <w:rPr>
          <w:spacing w:val="-11"/>
          <w:w w:val="125"/>
        </w:rPr>
        <w:t>[2011]</w:t>
        <w:tab/>
      </w:r>
      <w:r>
        <w:rPr>
          <w:w w:val="125"/>
        </w:rPr>
        <w:t>Mr Keith </w:t>
      </w:r>
      <w:r>
        <w:rPr>
          <w:spacing w:val="3"/>
          <w:w w:val="125"/>
        </w:rPr>
        <w:t>Berry </w:t>
      </w:r>
      <w:r>
        <w:rPr>
          <w:spacing w:val="-9"/>
          <w:w w:val="125"/>
        </w:rPr>
        <w:t>(10)</w:t>
      </w:r>
      <w:r>
        <w:rPr>
          <w:spacing w:val="-7"/>
          <w:w w:val="125"/>
        </w:rPr>
        <w:t> </w:t>
      </w:r>
      <w:r>
        <w:rPr>
          <w:spacing w:val="-8"/>
          <w:w w:val="125"/>
        </w:rPr>
        <w:t>[2012]</w:t>
      </w:r>
    </w:p>
    <w:p>
      <w:pPr>
        <w:pStyle w:val="BodyText"/>
        <w:tabs>
          <w:tab w:pos="6303" w:val="left" w:leader="none"/>
        </w:tabs>
        <w:spacing w:line="240" w:lineRule="exact"/>
        <w:ind w:left="1984"/>
      </w:pPr>
      <w:r>
        <w:rPr>
          <w:w w:val="125"/>
        </w:rPr>
        <w:t>Revd Dick Gray</w:t>
      </w:r>
      <w:r>
        <w:rPr>
          <w:spacing w:val="2"/>
          <w:w w:val="125"/>
        </w:rPr>
        <w:t> </w:t>
      </w:r>
      <w:r>
        <w:rPr>
          <w:spacing w:val="-8"/>
          <w:w w:val="125"/>
        </w:rPr>
        <w:t>(8)</w:t>
      </w:r>
      <w:r>
        <w:rPr>
          <w:spacing w:val="1"/>
          <w:w w:val="125"/>
        </w:rPr>
        <w:t> </w:t>
      </w:r>
      <w:r>
        <w:rPr>
          <w:spacing w:val="-9"/>
          <w:w w:val="125"/>
        </w:rPr>
        <w:t>[2013]</w:t>
        <w:tab/>
      </w:r>
      <w:r>
        <w:rPr>
          <w:w w:val="125"/>
        </w:rPr>
        <w:t>Revd Leslie Morrison** </w:t>
      </w:r>
      <w:r>
        <w:rPr>
          <w:spacing w:val="-12"/>
          <w:w w:val="125"/>
        </w:rPr>
        <w:t>(13)</w:t>
      </w:r>
      <w:r>
        <w:rPr>
          <w:spacing w:val="-11"/>
          <w:w w:val="125"/>
        </w:rPr>
        <w:t> </w:t>
      </w:r>
      <w:r>
        <w:rPr>
          <w:spacing w:val="-8"/>
          <w:w w:val="125"/>
        </w:rPr>
        <w:t>[2014]</w:t>
      </w:r>
    </w:p>
    <w:p>
      <w:pPr>
        <w:spacing w:line="242" w:lineRule="exact" w:before="0"/>
        <w:ind w:left="1984" w:right="0" w:firstLine="0"/>
        <w:jc w:val="left"/>
        <w:rPr>
          <w:i/>
          <w:sz w:val="20"/>
        </w:rPr>
      </w:pPr>
      <w:r>
        <w:rPr>
          <w:i/>
          <w:w w:val="110"/>
          <w:sz w:val="20"/>
        </w:rPr>
        <w:t>(The members of this sub-committee are appointed by the Finance Committee.)</w:t>
      </w:r>
    </w:p>
    <w:p>
      <w:pPr>
        <w:numPr>
          <w:ilvl w:val="1"/>
          <w:numId w:val="148"/>
        </w:numPr>
        <w:tabs>
          <w:tab w:pos="2664" w:val="left" w:leader="none"/>
          <w:tab w:pos="2665" w:val="left" w:leader="none"/>
        </w:tabs>
        <w:spacing w:line="261" w:lineRule="exact" w:before="183"/>
        <w:ind w:left="2664" w:right="0" w:hanging="681"/>
        <w:jc w:val="left"/>
        <w:rPr>
          <w:rFonts w:ascii="Stone Sans II ITC Std Bk"/>
          <w:b/>
          <w:sz w:val="20"/>
        </w:rPr>
      </w:pPr>
      <w:r>
        <w:rPr>
          <w:rFonts w:ascii="Stone Sans II ITC Std Bk"/>
          <w:b/>
          <w:w w:val="110"/>
          <w:sz w:val="20"/>
        </w:rPr>
        <w:t>Nominations</w:t>
      </w:r>
      <w:r>
        <w:rPr>
          <w:rFonts w:ascii="Stone Sans II ITC Std Bk"/>
          <w:b/>
          <w:spacing w:val="1"/>
          <w:w w:val="110"/>
          <w:sz w:val="20"/>
        </w:rPr>
        <w:t> </w:t>
      </w:r>
      <w:r>
        <w:rPr>
          <w:rFonts w:ascii="Stone Sans II ITC Std Bk"/>
          <w:b/>
          <w:w w:val="110"/>
          <w:sz w:val="20"/>
        </w:rPr>
        <w:t>Committee</w:t>
      </w:r>
    </w:p>
    <w:p>
      <w:pPr>
        <w:spacing w:line="233" w:lineRule="exact" w:before="0"/>
        <w:ind w:left="1984" w:right="0" w:firstLine="0"/>
        <w:jc w:val="both"/>
        <w:rPr>
          <w:i/>
          <w:sz w:val="20"/>
        </w:rPr>
      </w:pPr>
      <w:r>
        <w:rPr>
          <w:i/>
          <w:w w:val="110"/>
          <w:sz w:val="20"/>
        </w:rPr>
        <w:t>(Synods appoint and decide terms for their </w:t>
      </w:r>
      <w:r>
        <w:rPr>
          <w:i/>
          <w:spacing w:val="8"/>
          <w:w w:val="110"/>
          <w:sz w:val="20"/>
        </w:rPr>
        <w:t> </w:t>
      </w:r>
      <w:r>
        <w:rPr>
          <w:i/>
          <w:w w:val="110"/>
          <w:sz w:val="20"/>
        </w:rPr>
        <w:t>representative.)</w:t>
      </w:r>
    </w:p>
    <w:p>
      <w:pPr>
        <w:pStyle w:val="BodyText"/>
        <w:spacing w:line="235" w:lineRule="auto" w:before="2"/>
        <w:ind w:left="1984" w:right="6452"/>
        <w:jc w:val="both"/>
      </w:pPr>
      <w:r>
        <w:rPr>
          <w:w w:val="120"/>
        </w:rPr>
        <w:t>Convener: Revd John Durell [2014] Secretary: Miss Sarah Dodds [2013] Synod Representatives:</w:t>
      </w:r>
    </w:p>
    <w:p>
      <w:pPr>
        <w:pStyle w:val="BodyText"/>
        <w:tabs>
          <w:tab w:pos="4863" w:val="left" w:leader="none"/>
          <w:tab w:pos="7743" w:val="left" w:leader="none"/>
        </w:tabs>
        <w:spacing w:line="235" w:lineRule="auto" w:before="2"/>
        <w:ind w:left="1984" w:right="1511"/>
      </w:pPr>
      <w:r>
        <w:rPr>
          <w:w w:val="125"/>
        </w:rPr>
        <w:t>Revd Val</w:t>
      </w:r>
      <w:r>
        <w:rPr>
          <w:spacing w:val="-14"/>
          <w:w w:val="125"/>
        </w:rPr>
        <w:t> </w:t>
      </w:r>
      <w:r>
        <w:rPr>
          <w:spacing w:val="-3"/>
          <w:w w:val="125"/>
        </w:rPr>
        <w:t>Towler</w:t>
      </w:r>
      <w:r>
        <w:rPr>
          <w:spacing w:val="-7"/>
          <w:w w:val="125"/>
        </w:rPr>
        <w:t> </w:t>
      </w:r>
      <w:r>
        <w:rPr>
          <w:spacing w:val="-11"/>
          <w:w w:val="125"/>
        </w:rPr>
        <w:t>(1)</w:t>
        <w:tab/>
      </w:r>
      <w:r>
        <w:rPr>
          <w:w w:val="125"/>
        </w:rPr>
        <w:t>Revd Chris</w:t>
      </w:r>
      <w:r>
        <w:rPr>
          <w:spacing w:val="-11"/>
          <w:w w:val="125"/>
        </w:rPr>
        <w:t> </w:t>
      </w:r>
      <w:r>
        <w:rPr>
          <w:w w:val="125"/>
        </w:rPr>
        <w:t>Weddle</w:t>
      </w:r>
      <w:r>
        <w:rPr>
          <w:spacing w:val="-6"/>
          <w:w w:val="125"/>
        </w:rPr>
        <w:t> </w:t>
      </w:r>
      <w:r>
        <w:rPr>
          <w:spacing w:val="-8"/>
          <w:w w:val="125"/>
        </w:rPr>
        <w:t>(2)</w:t>
        <w:tab/>
      </w:r>
      <w:r>
        <w:rPr>
          <w:w w:val="125"/>
        </w:rPr>
        <w:t>Revd John Oldershaw* </w:t>
      </w:r>
      <w:r>
        <w:rPr>
          <w:spacing w:val="-8"/>
          <w:w w:val="125"/>
        </w:rPr>
        <w:t>(3) </w:t>
      </w:r>
      <w:r>
        <w:rPr>
          <w:w w:val="125"/>
        </w:rPr>
        <w:t>Mr Chris</w:t>
      </w:r>
      <w:r>
        <w:rPr>
          <w:spacing w:val="-23"/>
          <w:w w:val="125"/>
        </w:rPr>
        <w:t> </w:t>
      </w:r>
      <w:r>
        <w:rPr>
          <w:w w:val="125"/>
        </w:rPr>
        <w:t>Reed*</w:t>
      </w:r>
      <w:r>
        <w:rPr>
          <w:spacing w:val="-12"/>
          <w:w w:val="125"/>
        </w:rPr>
        <w:t> </w:t>
      </w:r>
      <w:r>
        <w:rPr>
          <w:spacing w:val="-10"/>
          <w:w w:val="125"/>
        </w:rPr>
        <w:t>(4)</w:t>
        <w:tab/>
      </w:r>
      <w:r>
        <w:rPr>
          <w:w w:val="125"/>
        </w:rPr>
        <w:t>Mr Duncan</w:t>
      </w:r>
      <w:r>
        <w:rPr>
          <w:spacing w:val="-11"/>
          <w:w w:val="125"/>
        </w:rPr>
        <w:t> </w:t>
      </w:r>
      <w:r>
        <w:rPr>
          <w:w w:val="125"/>
        </w:rPr>
        <w:t>Smith</w:t>
      </w:r>
      <w:r>
        <w:rPr>
          <w:spacing w:val="-6"/>
          <w:w w:val="125"/>
        </w:rPr>
        <w:t> </w:t>
      </w:r>
      <w:r>
        <w:rPr>
          <w:spacing w:val="-8"/>
          <w:w w:val="125"/>
        </w:rPr>
        <w:t>(5)</w:t>
        <w:tab/>
      </w:r>
      <w:r>
        <w:rPr>
          <w:w w:val="120"/>
        </w:rPr>
        <w:t>Mrs Margaret Marshall*</w:t>
      </w:r>
      <w:r>
        <w:rPr>
          <w:spacing w:val="-34"/>
          <w:w w:val="120"/>
        </w:rPr>
        <w:t> </w:t>
      </w:r>
      <w:r>
        <w:rPr>
          <w:spacing w:val="-7"/>
          <w:w w:val="120"/>
        </w:rPr>
        <w:t>(6) </w:t>
      </w:r>
      <w:r>
        <w:rPr>
          <w:w w:val="125"/>
        </w:rPr>
        <w:t>Mr Mick</w:t>
      </w:r>
      <w:r>
        <w:rPr>
          <w:spacing w:val="-29"/>
          <w:w w:val="125"/>
        </w:rPr>
        <w:t> </w:t>
      </w:r>
      <w:r>
        <w:rPr>
          <w:w w:val="125"/>
        </w:rPr>
        <w:t>Barnes</w:t>
      </w:r>
      <w:r>
        <w:rPr>
          <w:spacing w:val="-14"/>
          <w:w w:val="125"/>
        </w:rPr>
        <w:t> </w:t>
      </w:r>
      <w:r>
        <w:rPr>
          <w:w w:val="125"/>
        </w:rPr>
        <w:t>(7)</w:t>
        <w:tab/>
        <w:t>Revd Roz</w:t>
      </w:r>
      <w:r>
        <w:rPr>
          <w:spacing w:val="-17"/>
          <w:w w:val="125"/>
        </w:rPr>
        <w:t> </w:t>
      </w:r>
      <w:r>
        <w:rPr>
          <w:w w:val="125"/>
        </w:rPr>
        <w:t>Harrison</w:t>
      </w:r>
      <w:r>
        <w:rPr>
          <w:spacing w:val="-8"/>
          <w:w w:val="125"/>
        </w:rPr>
        <w:t> (8)</w:t>
        <w:tab/>
      </w:r>
      <w:r>
        <w:rPr>
          <w:w w:val="125"/>
        </w:rPr>
        <w:t>Mr Peter Pay</w:t>
      </w:r>
      <w:r>
        <w:rPr>
          <w:spacing w:val="-11"/>
          <w:w w:val="125"/>
        </w:rPr>
        <w:t> </w:t>
      </w:r>
      <w:r>
        <w:rPr>
          <w:spacing w:val="-8"/>
          <w:w w:val="125"/>
        </w:rPr>
        <w:t>(9)</w:t>
      </w:r>
    </w:p>
    <w:p>
      <w:pPr>
        <w:pStyle w:val="BodyText"/>
        <w:tabs>
          <w:tab w:pos="4864" w:val="left" w:leader="none"/>
        </w:tabs>
        <w:spacing w:line="235" w:lineRule="auto" w:before="4"/>
        <w:ind w:left="1984" w:right="3291" w:hanging="1"/>
      </w:pPr>
      <w:r>
        <w:rPr>
          <w:w w:val="120"/>
        </w:rPr>
        <w:t>Mr Simon</w:t>
      </w:r>
      <w:r>
        <w:rPr>
          <w:spacing w:val="32"/>
          <w:w w:val="120"/>
        </w:rPr>
        <w:t> </w:t>
      </w:r>
      <w:r>
        <w:rPr>
          <w:w w:val="120"/>
        </w:rPr>
        <w:t>Fairnington</w:t>
      </w:r>
      <w:r>
        <w:rPr>
          <w:spacing w:val="16"/>
          <w:w w:val="120"/>
        </w:rPr>
        <w:t> </w:t>
      </w:r>
      <w:r>
        <w:rPr>
          <w:spacing w:val="-9"/>
          <w:w w:val="120"/>
        </w:rPr>
        <w:t>(10)</w:t>
        <w:tab/>
      </w:r>
      <w:r>
        <w:rPr>
          <w:spacing w:val="-3"/>
          <w:w w:val="120"/>
        </w:rPr>
        <w:t>Revd</w:t>
      </w:r>
      <w:r>
        <w:rPr>
          <w:spacing w:val="-12"/>
          <w:w w:val="120"/>
        </w:rPr>
        <w:t> </w:t>
      </w:r>
      <w:r>
        <w:rPr>
          <w:w w:val="120"/>
        </w:rPr>
        <w:t>Derrick</w:t>
      </w:r>
      <w:r>
        <w:rPr>
          <w:spacing w:val="-13"/>
          <w:w w:val="120"/>
        </w:rPr>
        <w:t> </w:t>
      </w:r>
      <w:r>
        <w:rPr>
          <w:w w:val="120"/>
        </w:rPr>
        <w:t>Sena</w:t>
      </w:r>
      <w:r>
        <w:rPr>
          <w:spacing w:val="-12"/>
          <w:w w:val="120"/>
        </w:rPr>
        <w:t> </w:t>
      </w:r>
      <w:r>
        <w:rPr>
          <w:w w:val="120"/>
        </w:rPr>
        <w:t>Dzandu-Hedidor</w:t>
      </w:r>
      <w:r>
        <w:rPr>
          <w:spacing w:val="-12"/>
          <w:w w:val="120"/>
        </w:rPr>
        <w:t> </w:t>
      </w:r>
      <w:r>
        <w:rPr>
          <w:spacing w:val="-15"/>
          <w:w w:val="120"/>
        </w:rPr>
        <w:t>(11) </w:t>
      </w:r>
      <w:r>
        <w:rPr>
          <w:w w:val="120"/>
        </w:rPr>
        <w:t>Dr Jean</w:t>
      </w:r>
      <w:r>
        <w:rPr>
          <w:spacing w:val="13"/>
          <w:w w:val="120"/>
        </w:rPr>
        <w:t> </w:t>
      </w:r>
      <w:r>
        <w:rPr>
          <w:w w:val="120"/>
        </w:rPr>
        <w:t>Silvan-Evans</w:t>
      </w:r>
      <w:r>
        <w:rPr>
          <w:spacing w:val="6"/>
          <w:w w:val="120"/>
        </w:rPr>
        <w:t> </w:t>
      </w:r>
      <w:r>
        <w:rPr>
          <w:spacing w:val="-10"/>
          <w:w w:val="120"/>
        </w:rPr>
        <w:t>(12)</w:t>
        <w:tab/>
      </w:r>
      <w:r>
        <w:rPr>
          <w:w w:val="120"/>
        </w:rPr>
        <w:t>Dr James Merrilees</w:t>
      </w:r>
      <w:r>
        <w:rPr>
          <w:spacing w:val="7"/>
          <w:w w:val="120"/>
        </w:rPr>
        <w:t> </w:t>
      </w:r>
      <w:r>
        <w:rPr>
          <w:spacing w:val="-12"/>
          <w:w w:val="120"/>
        </w:rPr>
        <w:t>(13)</w:t>
      </w:r>
    </w:p>
    <w:p>
      <w:pPr>
        <w:pStyle w:val="BodyText"/>
        <w:spacing w:line="242" w:lineRule="exact"/>
        <w:ind w:left="1984"/>
      </w:pPr>
      <w:r>
        <w:rPr>
          <w:w w:val="120"/>
        </w:rPr>
        <w:t>with the Immediate Past Moderator and the General Secretary.</w:t>
      </w:r>
    </w:p>
    <w:p>
      <w:pPr>
        <w:spacing w:after="0" w:line="242" w:lineRule="exact"/>
        <w:sectPr>
          <w:pgSz w:w="11910" w:h="16840"/>
          <w:pgMar w:header="0" w:footer="647" w:top="1060" w:bottom="840" w:left="0" w:right="0"/>
        </w:sectPr>
      </w:pPr>
    </w:p>
    <w:p>
      <w:pPr>
        <w:spacing w:line="261" w:lineRule="exact" w:before="91"/>
        <w:ind w:left="1133" w:right="0" w:firstLine="0"/>
        <w:jc w:val="left"/>
        <w:rPr>
          <w:rFonts w:ascii="Stone Sans II ITC Std Bk"/>
          <w:b/>
          <w:sz w:val="20"/>
        </w:rPr>
      </w:pPr>
      <w:r>
        <w:rPr/>
        <w:pict>
          <v:rect style="position:absolute;margin-left:12.047pt;margin-top:8.496287pt;width:22.677pt;height:22.677pt;mso-position-horizontal-relative:page;mso-position-vertical-relative:paragraph;z-index:252209152" filled="true" fillcolor="#dae4ec" stroked="false">
            <v:fill opacity="32768f" type="solid"/>
            <w10:wrap type="none"/>
          </v:rect>
        </w:pict>
      </w:r>
      <w:r>
        <w:rPr>
          <w:rFonts w:ascii="Stone Sans II ITC Std Bk"/>
          <w:b/>
          <w:w w:val="110"/>
          <w:sz w:val="20"/>
        </w:rPr>
        <w:t>4.6.1 Panel for General Assembly appointments</w:t>
      </w:r>
    </w:p>
    <w:p>
      <w:pPr>
        <w:spacing w:line="233" w:lineRule="exact" w:before="0"/>
        <w:ind w:left="1133" w:right="0" w:firstLine="0"/>
        <w:jc w:val="left"/>
        <w:rPr>
          <w:i/>
          <w:sz w:val="20"/>
        </w:rPr>
      </w:pPr>
      <w:r>
        <w:rPr>
          <w:i/>
          <w:w w:val="110"/>
          <w:sz w:val="20"/>
        </w:rPr>
        <w:t>(Members normally serve for five years as training is required.)</w:t>
      </w:r>
    </w:p>
    <w:p>
      <w:pPr>
        <w:pStyle w:val="BodyText"/>
        <w:spacing w:line="235" w:lineRule="auto" w:before="2"/>
        <w:ind w:left="2573" w:right="2573" w:hanging="1440"/>
      </w:pPr>
      <w:r>
        <w:rPr>
          <w:w w:val="125"/>
        </w:rPr>
        <w:t>Retiring </w:t>
      </w:r>
      <w:r>
        <w:rPr>
          <w:spacing w:val="-8"/>
          <w:w w:val="125"/>
        </w:rPr>
        <w:t>2011 </w:t>
      </w:r>
      <w:r>
        <w:rPr>
          <w:w w:val="125"/>
        </w:rPr>
        <w:t>Dr Graham Campling </w:t>
      </w:r>
      <w:r>
        <w:rPr>
          <w:spacing w:val="-12"/>
          <w:w w:val="125"/>
        </w:rPr>
        <w:t>(11), </w:t>
      </w:r>
      <w:r>
        <w:rPr>
          <w:w w:val="125"/>
        </w:rPr>
        <w:t>Mrs Janet Gray </w:t>
      </w:r>
      <w:r>
        <w:rPr>
          <w:spacing w:val="-8"/>
          <w:w w:val="125"/>
        </w:rPr>
        <w:t>(8), </w:t>
      </w:r>
      <w:r>
        <w:rPr>
          <w:w w:val="125"/>
        </w:rPr>
        <w:t>Revd Cecil White </w:t>
      </w:r>
      <w:r>
        <w:rPr>
          <w:spacing w:val="-3"/>
          <w:w w:val="125"/>
        </w:rPr>
        <w:t>(7), </w:t>
      </w:r>
      <w:r>
        <w:rPr>
          <w:w w:val="125"/>
        </w:rPr>
        <w:t>Revd </w:t>
      </w:r>
      <w:r>
        <w:rPr>
          <w:spacing w:val="2"/>
          <w:w w:val="125"/>
        </w:rPr>
        <w:t>Mary </w:t>
      </w:r>
      <w:r>
        <w:rPr>
          <w:w w:val="125"/>
        </w:rPr>
        <w:t>Buchanan </w:t>
      </w:r>
      <w:r>
        <w:rPr>
          <w:spacing w:val="-11"/>
          <w:w w:val="125"/>
        </w:rPr>
        <w:t>(13), </w:t>
      </w:r>
      <w:r>
        <w:rPr>
          <w:w w:val="125"/>
        </w:rPr>
        <w:t>Mrs Helen Brown </w:t>
      </w:r>
      <w:r>
        <w:rPr>
          <w:spacing w:val="-8"/>
          <w:w w:val="125"/>
        </w:rPr>
        <w:t>(3),</w:t>
      </w:r>
    </w:p>
    <w:p>
      <w:pPr>
        <w:pStyle w:val="BodyText"/>
        <w:spacing w:line="240" w:lineRule="exact"/>
        <w:ind w:left="2573"/>
      </w:pPr>
      <w:r>
        <w:rPr>
          <w:w w:val="125"/>
        </w:rPr>
        <w:t>Revd Nanette Lewis-Head (12)</w:t>
      </w:r>
    </w:p>
    <w:p>
      <w:pPr>
        <w:pStyle w:val="BodyText"/>
        <w:spacing w:line="240" w:lineRule="exact"/>
        <w:ind w:left="1133"/>
      </w:pPr>
      <w:r>
        <w:rPr>
          <w:w w:val="120"/>
        </w:rPr>
        <w:t>Retiring 2012 Revd Raymond Singh (11), Revd Lesley Charlton (11),</w:t>
      </w:r>
    </w:p>
    <w:p>
      <w:pPr>
        <w:pStyle w:val="BodyText"/>
        <w:spacing w:line="235" w:lineRule="auto" w:before="1"/>
        <w:ind w:left="2573" w:right="2191"/>
      </w:pPr>
      <w:r>
        <w:rPr>
          <w:w w:val="120"/>
        </w:rPr>
        <w:t>Mrs Sally Abbott (10), Mr Simon Rowntree (6), Dr Jean Silvan Evans (12), Mr Alun Jones (4)</w:t>
      </w:r>
    </w:p>
    <w:p>
      <w:pPr>
        <w:pStyle w:val="BodyText"/>
        <w:spacing w:line="235" w:lineRule="auto" w:before="2"/>
        <w:ind w:left="2573" w:right="2076" w:hanging="1440"/>
      </w:pPr>
      <w:r>
        <w:rPr>
          <w:w w:val="125"/>
        </w:rPr>
        <w:t>Retiring </w:t>
      </w:r>
      <w:r>
        <w:rPr>
          <w:spacing w:val="-8"/>
          <w:w w:val="125"/>
        </w:rPr>
        <w:t>2013 </w:t>
      </w:r>
      <w:r>
        <w:rPr>
          <w:w w:val="125"/>
        </w:rPr>
        <w:t>Revd John Durell </w:t>
      </w:r>
      <w:r>
        <w:rPr>
          <w:spacing w:val="-10"/>
          <w:w w:val="125"/>
        </w:rPr>
        <w:t>(1), </w:t>
      </w:r>
      <w:r>
        <w:rPr>
          <w:w w:val="125"/>
        </w:rPr>
        <w:t>Revd Roz Harrison </w:t>
      </w:r>
      <w:r>
        <w:rPr>
          <w:spacing w:val="-8"/>
          <w:w w:val="125"/>
        </w:rPr>
        <w:t>(8), </w:t>
      </w:r>
      <w:r>
        <w:rPr>
          <w:w w:val="125"/>
        </w:rPr>
        <w:t>Revd John Oldershaw </w:t>
      </w:r>
      <w:r>
        <w:rPr>
          <w:spacing w:val="-8"/>
          <w:w w:val="125"/>
        </w:rPr>
        <w:t>(3), </w:t>
      </w:r>
      <w:r>
        <w:rPr>
          <w:spacing w:val="-3"/>
          <w:w w:val="125"/>
        </w:rPr>
        <w:t>Revd</w:t>
      </w:r>
      <w:r>
        <w:rPr>
          <w:spacing w:val="-23"/>
          <w:w w:val="125"/>
        </w:rPr>
        <w:t> </w:t>
      </w:r>
      <w:r>
        <w:rPr>
          <w:w w:val="125"/>
        </w:rPr>
        <w:t>Deborah</w:t>
      </w:r>
      <w:r>
        <w:rPr>
          <w:spacing w:val="-22"/>
          <w:w w:val="125"/>
        </w:rPr>
        <w:t> </w:t>
      </w:r>
      <w:r>
        <w:rPr>
          <w:spacing w:val="-3"/>
          <w:w w:val="125"/>
        </w:rPr>
        <w:t>McVey</w:t>
      </w:r>
      <w:r>
        <w:rPr>
          <w:spacing w:val="-22"/>
          <w:w w:val="125"/>
        </w:rPr>
        <w:t> </w:t>
      </w:r>
      <w:r>
        <w:rPr>
          <w:spacing w:val="-5"/>
          <w:w w:val="125"/>
        </w:rPr>
        <w:t>(7),</w:t>
      </w:r>
      <w:r>
        <w:rPr>
          <w:spacing w:val="-23"/>
          <w:w w:val="125"/>
        </w:rPr>
        <w:t> </w:t>
      </w:r>
      <w:r>
        <w:rPr>
          <w:spacing w:val="-3"/>
          <w:w w:val="125"/>
        </w:rPr>
        <w:t>Revd</w:t>
      </w:r>
      <w:r>
        <w:rPr>
          <w:spacing w:val="-22"/>
          <w:w w:val="125"/>
        </w:rPr>
        <w:t> </w:t>
      </w:r>
      <w:r>
        <w:rPr>
          <w:w w:val="125"/>
        </w:rPr>
        <w:t>Robert</w:t>
      </w:r>
      <w:r>
        <w:rPr>
          <w:spacing w:val="-22"/>
          <w:w w:val="125"/>
        </w:rPr>
        <w:t> </w:t>
      </w:r>
      <w:r>
        <w:rPr>
          <w:spacing w:val="-3"/>
          <w:w w:val="125"/>
        </w:rPr>
        <w:t>Street</w:t>
      </w:r>
      <w:r>
        <w:rPr>
          <w:spacing w:val="-22"/>
          <w:w w:val="125"/>
        </w:rPr>
        <w:t> </w:t>
      </w:r>
      <w:r>
        <w:rPr>
          <w:spacing w:val="-10"/>
          <w:w w:val="125"/>
        </w:rPr>
        <w:t>(9),</w:t>
      </w:r>
      <w:r>
        <w:rPr>
          <w:spacing w:val="-23"/>
          <w:w w:val="125"/>
        </w:rPr>
        <w:t> </w:t>
      </w:r>
      <w:r>
        <w:rPr>
          <w:w w:val="125"/>
        </w:rPr>
        <w:t>Mrs</w:t>
      </w:r>
      <w:r>
        <w:rPr>
          <w:spacing w:val="-22"/>
          <w:w w:val="125"/>
        </w:rPr>
        <w:t> </w:t>
      </w:r>
      <w:r>
        <w:rPr>
          <w:w w:val="125"/>
        </w:rPr>
        <w:t>Susan</w:t>
      </w:r>
      <w:r>
        <w:rPr>
          <w:spacing w:val="-22"/>
          <w:w w:val="125"/>
        </w:rPr>
        <w:t> </w:t>
      </w:r>
      <w:r>
        <w:rPr>
          <w:w w:val="125"/>
        </w:rPr>
        <w:t>Wilkinson</w:t>
      </w:r>
      <w:r>
        <w:rPr>
          <w:spacing w:val="-23"/>
          <w:w w:val="125"/>
        </w:rPr>
        <w:t> </w:t>
      </w:r>
      <w:r>
        <w:rPr>
          <w:spacing w:val="-9"/>
          <w:w w:val="125"/>
        </w:rPr>
        <w:t>(2), </w:t>
      </w:r>
      <w:r>
        <w:rPr>
          <w:w w:val="125"/>
        </w:rPr>
        <w:t>Mrs Carol Dixon </w:t>
      </w:r>
      <w:r>
        <w:rPr>
          <w:spacing w:val="-10"/>
          <w:w w:val="125"/>
        </w:rPr>
        <w:t>(1), </w:t>
      </w:r>
      <w:r>
        <w:rPr>
          <w:w w:val="125"/>
        </w:rPr>
        <w:t>Revd John </w:t>
      </w:r>
      <w:r>
        <w:rPr>
          <w:spacing w:val="-3"/>
          <w:w w:val="125"/>
        </w:rPr>
        <w:t>Young</w:t>
      </w:r>
      <w:r>
        <w:rPr>
          <w:spacing w:val="4"/>
          <w:w w:val="125"/>
        </w:rPr>
        <w:t> </w:t>
      </w:r>
      <w:r>
        <w:rPr>
          <w:spacing w:val="-11"/>
          <w:w w:val="125"/>
        </w:rPr>
        <w:t>(13),</w:t>
      </w:r>
    </w:p>
    <w:p>
      <w:pPr>
        <w:pStyle w:val="BodyText"/>
        <w:spacing w:line="235" w:lineRule="auto" w:before="2"/>
        <w:ind w:left="2573" w:right="2573" w:hanging="1440"/>
      </w:pPr>
      <w:r>
        <w:rPr>
          <w:w w:val="120"/>
        </w:rPr>
        <w:t>Retiring 2015 Revd Terry Hinks** (9), Mr Chris Maple** (3), Mr Duncan Smith** (5), Ms Helen Stenson** (13)</w:t>
      </w:r>
    </w:p>
    <w:p>
      <w:pPr>
        <w:pStyle w:val="BodyText"/>
        <w:spacing w:before="5"/>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w w:val="110"/>
          <w:sz w:val="20"/>
        </w:rPr>
        <w:t>Pastoral Reference and Welfare</w:t>
      </w:r>
      <w:r>
        <w:rPr>
          <w:rFonts w:ascii="Stone Sans II ITC Std Bk"/>
          <w:b/>
          <w:spacing w:val="-1"/>
          <w:w w:val="110"/>
          <w:sz w:val="20"/>
        </w:rPr>
        <w:t> </w:t>
      </w:r>
      <w:r>
        <w:rPr>
          <w:rFonts w:ascii="Stone Sans II ITC Std Bk"/>
          <w:b/>
          <w:w w:val="110"/>
          <w:sz w:val="20"/>
        </w:rPr>
        <w:t>Committee</w:t>
      </w:r>
    </w:p>
    <w:p>
      <w:pPr>
        <w:pStyle w:val="BodyText"/>
        <w:spacing w:line="235" w:lineRule="auto"/>
        <w:ind w:left="1133" w:right="3289"/>
      </w:pPr>
      <w:r>
        <w:rPr>
          <w:w w:val="120"/>
        </w:rPr>
        <w:t>Convener: Revd Alasdair Pratt [2011]#Revd Sheila Maxey ** [2015] Secretary: Deputy General Secretary</w:t>
      </w:r>
    </w:p>
    <w:p>
      <w:pPr>
        <w:pStyle w:val="BodyText"/>
        <w:tabs>
          <w:tab w:pos="4733" w:val="left" w:leader="none"/>
        </w:tabs>
        <w:spacing w:line="235" w:lineRule="auto"/>
        <w:ind w:left="1133" w:right="2708"/>
      </w:pPr>
      <w:r>
        <w:rPr>
          <w:w w:val="125"/>
        </w:rPr>
        <w:t>Mrs Delyth Rees</w:t>
      </w:r>
      <w:r>
        <w:rPr>
          <w:spacing w:val="-13"/>
          <w:w w:val="125"/>
        </w:rPr>
        <w:t> </w:t>
      </w:r>
      <w:r>
        <w:rPr>
          <w:spacing w:val="-10"/>
          <w:w w:val="125"/>
        </w:rPr>
        <w:t>(12)</w:t>
      </w:r>
      <w:r>
        <w:rPr>
          <w:spacing w:val="-4"/>
          <w:w w:val="125"/>
        </w:rPr>
        <w:t> </w:t>
      </w:r>
      <w:r>
        <w:rPr>
          <w:spacing w:val="-11"/>
          <w:w w:val="125"/>
        </w:rPr>
        <w:t>[2011]</w:t>
        <w:tab/>
      </w:r>
      <w:r>
        <w:rPr>
          <w:w w:val="125"/>
        </w:rPr>
        <w:t>Revd</w:t>
      </w:r>
      <w:r>
        <w:rPr>
          <w:spacing w:val="-17"/>
          <w:w w:val="125"/>
        </w:rPr>
        <w:t> </w:t>
      </w:r>
      <w:r>
        <w:rPr>
          <w:w w:val="125"/>
        </w:rPr>
        <w:t>Adrian</w:t>
      </w:r>
      <w:r>
        <w:rPr>
          <w:spacing w:val="-18"/>
          <w:w w:val="125"/>
        </w:rPr>
        <w:t> </w:t>
      </w:r>
      <w:r>
        <w:rPr>
          <w:w w:val="125"/>
        </w:rPr>
        <w:t>Bulley</w:t>
      </w:r>
      <w:r>
        <w:rPr>
          <w:spacing w:val="-17"/>
          <w:w w:val="125"/>
        </w:rPr>
        <w:t> </w:t>
      </w:r>
      <w:r>
        <w:rPr>
          <w:spacing w:val="-3"/>
          <w:w w:val="125"/>
        </w:rPr>
        <w:t>(Synod</w:t>
      </w:r>
      <w:r>
        <w:rPr>
          <w:spacing w:val="-17"/>
          <w:w w:val="125"/>
        </w:rPr>
        <w:t> </w:t>
      </w:r>
      <w:r>
        <w:rPr>
          <w:w w:val="125"/>
        </w:rPr>
        <w:t>Moderator)</w:t>
      </w:r>
      <w:r>
        <w:rPr>
          <w:spacing w:val="-18"/>
          <w:w w:val="125"/>
        </w:rPr>
        <w:t> </w:t>
      </w:r>
      <w:r>
        <w:rPr>
          <w:spacing w:val="-11"/>
          <w:w w:val="125"/>
        </w:rPr>
        <w:t>[2011] </w:t>
      </w:r>
      <w:r>
        <w:rPr>
          <w:w w:val="125"/>
        </w:rPr>
        <w:t>Revd Birgit Ewald</w:t>
      </w:r>
      <w:r>
        <w:rPr>
          <w:spacing w:val="-9"/>
          <w:w w:val="125"/>
        </w:rPr>
        <w:t> </w:t>
      </w:r>
      <w:r>
        <w:rPr>
          <w:w w:val="125"/>
        </w:rPr>
        <w:t>(7)</w:t>
      </w:r>
      <w:r>
        <w:rPr>
          <w:spacing w:val="-2"/>
          <w:w w:val="125"/>
        </w:rPr>
        <w:t> </w:t>
      </w:r>
      <w:r>
        <w:rPr>
          <w:spacing w:val="-8"/>
          <w:w w:val="125"/>
        </w:rPr>
        <w:t>[2012]</w:t>
        <w:tab/>
      </w:r>
      <w:r>
        <w:rPr>
          <w:w w:val="125"/>
        </w:rPr>
        <w:t>Dr Paul Ashitey </w:t>
      </w:r>
      <w:r>
        <w:rPr>
          <w:spacing w:val="-9"/>
          <w:w w:val="125"/>
        </w:rPr>
        <w:t>(10)</w:t>
      </w:r>
      <w:r>
        <w:rPr>
          <w:spacing w:val="-4"/>
          <w:w w:val="125"/>
        </w:rPr>
        <w:t> </w:t>
      </w:r>
      <w:r>
        <w:rPr>
          <w:spacing w:val="-9"/>
          <w:w w:val="125"/>
        </w:rPr>
        <w:t>[2013]</w:t>
      </w:r>
    </w:p>
    <w:p>
      <w:pPr>
        <w:pStyle w:val="BodyText"/>
        <w:tabs>
          <w:tab w:pos="4733" w:val="left" w:leader="none"/>
          <w:tab w:pos="6893" w:val="left" w:leader="none"/>
        </w:tabs>
        <w:spacing w:line="242" w:lineRule="exact"/>
        <w:ind w:left="1133"/>
      </w:pPr>
      <w:r>
        <w:rPr>
          <w:spacing w:val="-3"/>
          <w:w w:val="115"/>
        </w:rPr>
        <w:t>[</w:t>
      </w:r>
      <w:r>
        <w:rPr>
          <w:i/>
          <w:spacing w:val="-3"/>
          <w:w w:val="115"/>
        </w:rPr>
        <w:t>ex </w:t>
      </w:r>
      <w:r>
        <w:rPr>
          <w:i/>
          <w:w w:val="115"/>
        </w:rPr>
        <w:t>officio:</w:t>
      </w:r>
      <w:r>
        <w:rPr>
          <w:i/>
          <w:spacing w:val="15"/>
          <w:w w:val="115"/>
        </w:rPr>
        <w:t> </w:t>
      </w:r>
      <w:r>
        <w:rPr>
          <w:spacing w:val="2"/>
          <w:w w:val="115"/>
        </w:rPr>
        <w:t>Honorary</w:t>
      </w:r>
      <w:r>
        <w:rPr>
          <w:spacing w:val="9"/>
          <w:w w:val="115"/>
        </w:rPr>
        <w:t> </w:t>
      </w:r>
      <w:r>
        <w:rPr>
          <w:w w:val="115"/>
        </w:rPr>
        <w:t>Treasurer</w:t>
        <w:tab/>
        <w:t>General</w:t>
      </w:r>
      <w:r>
        <w:rPr>
          <w:spacing w:val="29"/>
          <w:w w:val="115"/>
        </w:rPr>
        <w:t> </w:t>
      </w:r>
      <w:r>
        <w:rPr>
          <w:w w:val="115"/>
        </w:rPr>
        <w:t>Secretary</w:t>
        <w:tab/>
        <w:t>Secretary for</w:t>
      </w:r>
      <w:r>
        <w:rPr>
          <w:spacing w:val="10"/>
          <w:w w:val="115"/>
        </w:rPr>
        <w:t> </w:t>
      </w:r>
      <w:r>
        <w:rPr>
          <w:w w:val="115"/>
        </w:rPr>
        <w:t>Welfare]</w:t>
      </w:r>
    </w:p>
    <w:p>
      <w:pPr>
        <w:pStyle w:val="BodyText"/>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hAnsi="Stone Sans II ITC Std Bk"/>
          <w:b/>
          <w:sz w:val="20"/>
        </w:rPr>
      </w:pPr>
      <w:r>
        <w:rPr>
          <w:rFonts w:ascii="Stone Sans II ITC Std Bk" w:hAnsi="Stone Sans II ITC Std Bk"/>
          <w:b/>
          <w:w w:val="110"/>
          <w:sz w:val="20"/>
        </w:rPr>
        <w:t>Disciplinary Process – Commission</w:t>
      </w:r>
      <w:r>
        <w:rPr>
          <w:rFonts w:ascii="Stone Sans II ITC Std Bk" w:hAnsi="Stone Sans II ITC Std Bk"/>
          <w:b/>
          <w:spacing w:val="-1"/>
          <w:w w:val="110"/>
          <w:sz w:val="20"/>
        </w:rPr>
        <w:t> </w:t>
      </w:r>
      <w:r>
        <w:rPr>
          <w:rFonts w:ascii="Stone Sans II ITC Std Bk" w:hAnsi="Stone Sans II ITC Std Bk"/>
          <w:b/>
          <w:w w:val="110"/>
          <w:sz w:val="20"/>
        </w:rPr>
        <w:t>Panel</w:t>
      </w:r>
    </w:p>
    <w:p>
      <w:pPr>
        <w:spacing w:line="235" w:lineRule="auto" w:before="0"/>
        <w:ind w:left="1133" w:right="1997" w:firstLine="0"/>
        <w:jc w:val="left"/>
        <w:rPr>
          <w:i/>
          <w:sz w:val="20"/>
        </w:rPr>
      </w:pPr>
      <w:r>
        <w:rPr>
          <w:i/>
          <w:w w:val="110"/>
          <w:sz w:val="20"/>
        </w:rPr>
        <w:t>(Members serve for five years as regular training is required. They may be invited to continue </w:t>
      </w:r>
      <w:r>
        <w:rPr>
          <w:i/>
          <w:w w:val="110"/>
          <w:sz w:val="20"/>
        </w:rPr>
        <w:t>serving beyond this as experience is especially valuable on this panel. Members may not serve beyond the age of 70 for legal reasons.)</w:t>
      </w:r>
    </w:p>
    <w:p>
      <w:pPr>
        <w:pStyle w:val="BodyText"/>
        <w:spacing w:before="1"/>
        <w:rPr>
          <w:i/>
          <w:sz w:val="19"/>
        </w:rPr>
      </w:pPr>
    </w:p>
    <w:p>
      <w:pPr>
        <w:pStyle w:val="BodyText"/>
        <w:spacing w:line="242" w:lineRule="exact"/>
        <w:ind w:left="1133"/>
      </w:pPr>
      <w:r>
        <w:rPr>
          <w:w w:val="120"/>
        </w:rPr>
        <w:t>Convener: Miss Kathleen Cross [2014]</w:t>
      </w:r>
    </w:p>
    <w:p>
      <w:pPr>
        <w:pStyle w:val="BodyText"/>
        <w:spacing w:line="235" w:lineRule="auto" w:before="2"/>
        <w:ind w:left="1133" w:right="5549"/>
      </w:pPr>
      <w:r>
        <w:rPr>
          <w:w w:val="120"/>
        </w:rPr>
        <w:t>Deputy Convener: Revd Christine Craven [2014] Secretary: Mrs Wilma Frew [2011]</w:t>
      </w:r>
    </w:p>
    <w:p>
      <w:pPr>
        <w:pStyle w:val="BodyText"/>
        <w:spacing w:line="235" w:lineRule="auto" w:before="1"/>
        <w:ind w:left="1133" w:right="6811"/>
      </w:pPr>
      <w:r>
        <w:rPr>
          <w:w w:val="120"/>
        </w:rPr>
        <w:t>Secretary elect: Vacancy [2016] Members:</w:t>
      </w:r>
    </w:p>
    <w:p>
      <w:pPr>
        <w:pStyle w:val="BodyText"/>
        <w:spacing w:line="235" w:lineRule="auto" w:before="2"/>
        <w:ind w:left="2573" w:right="2573" w:hanging="1440"/>
      </w:pPr>
      <w:r>
        <w:rPr>
          <w:w w:val="120"/>
        </w:rPr>
        <w:t>Retiring 2011 Mr Geoffrey Milnes (5), Revd David Pattie (13), Mr Neil Robinson (4), Revd Yvonne Stone (6)</w:t>
      </w:r>
    </w:p>
    <w:p>
      <w:pPr>
        <w:pStyle w:val="BodyText"/>
        <w:spacing w:line="240" w:lineRule="exact"/>
        <w:ind w:left="1133"/>
      </w:pPr>
      <w:r>
        <w:rPr>
          <w:w w:val="120"/>
        </w:rPr>
        <w:t>Retiring 2012 Revd Nicholas Adlem (8), Revd Kay Cattell (5),</w:t>
      </w:r>
    </w:p>
    <w:p>
      <w:pPr>
        <w:pStyle w:val="BodyText"/>
        <w:spacing w:line="235" w:lineRule="auto" w:before="2"/>
        <w:ind w:left="2573" w:right="3673"/>
      </w:pPr>
      <w:r>
        <w:rPr>
          <w:w w:val="120"/>
        </w:rPr>
        <w:t>Revd Kenneth Chippindale </w:t>
      </w:r>
      <w:r>
        <w:rPr>
          <w:spacing w:val="-7"/>
          <w:w w:val="120"/>
        </w:rPr>
        <w:t>(6), </w:t>
      </w:r>
      <w:r>
        <w:rPr>
          <w:w w:val="120"/>
        </w:rPr>
        <w:t>Revd Alison  Davis  </w:t>
      </w:r>
      <w:r>
        <w:rPr>
          <w:spacing w:val="-3"/>
          <w:w w:val="120"/>
        </w:rPr>
        <w:t>(7), </w:t>
      </w:r>
      <w:r>
        <w:rPr>
          <w:w w:val="120"/>
        </w:rPr>
        <w:t>Revd John Du Bois </w:t>
      </w:r>
      <w:r>
        <w:rPr>
          <w:spacing w:val="-12"/>
          <w:w w:val="120"/>
        </w:rPr>
        <w:t>(11), </w:t>
      </w:r>
      <w:r>
        <w:rPr>
          <w:w w:val="120"/>
        </w:rPr>
        <w:t>Revd Joan Grindrod-Helmn </w:t>
      </w:r>
      <w:r>
        <w:rPr>
          <w:spacing w:val="-10"/>
          <w:w w:val="120"/>
        </w:rPr>
        <w:t>(1), </w:t>
      </w:r>
      <w:r>
        <w:rPr>
          <w:w w:val="120"/>
        </w:rPr>
        <w:t>Miss</w:t>
      </w:r>
      <w:r>
        <w:rPr>
          <w:spacing w:val="16"/>
          <w:w w:val="120"/>
        </w:rPr>
        <w:t> </w:t>
      </w:r>
      <w:r>
        <w:rPr>
          <w:w w:val="120"/>
        </w:rPr>
        <w:t>Judith</w:t>
      </w:r>
      <w:r>
        <w:rPr>
          <w:spacing w:val="16"/>
          <w:w w:val="120"/>
        </w:rPr>
        <w:t> </w:t>
      </w:r>
      <w:r>
        <w:rPr>
          <w:w w:val="120"/>
        </w:rPr>
        <w:t>Haughton</w:t>
      </w:r>
      <w:r>
        <w:rPr>
          <w:spacing w:val="16"/>
          <w:w w:val="120"/>
        </w:rPr>
        <w:t> </w:t>
      </w:r>
      <w:r>
        <w:rPr>
          <w:spacing w:val="-8"/>
          <w:w w:val="120"/>
        </w:rPr>
        <w:t>(2),</w:t>
      </w:r>
      <w:r>
        <w:rPr>
          <w:spacing w:val="16"/>
          <w:w w:val="120"/>
        </w:rPr>
        <w:t> </w:t>
      </w:r>
      <w:r>
        <w:rPr>
          <w:w w:val="120"/>
        </w:rPr>
        <w:t>Miss</w:t>
      </w:r>
      <w:r>
        <w:rPr>
          <w:spacing w:val="17"/>
          <w:w w:val="120"/>
        </w:rPr>
        <w:t> </w:t>
      </w:r>
      <w:r>
        <w:rPr>
          <w:w w:val="120"/>
        </w:rPr>
        <w:t>Elizabeth</w:t>
      </w:r>
      <w:r>
        <w:rPr>
          <w:spacing w:val="16"/>
          <w:w w:val="120"/>
        </w:rPr>
        <w:t> </w:t>
      </w:r>
      <w:r>
        <w:rPr>
          <w:w w:val="120"/>
        </w:rPr>
        <w:t>Lawson</w:t>
      </w:r>
      <w:r>
        <w:rPr>
          <w:spacing w:val="16"/>
          <w:w w:val="120"/>
        </w:rPr>
        <w:t> </w:t>
      </w:r>
      <w:r>
        <w:rPr>
          <w:w w:val="120"/>
        </w:rPr>
        <w:t>QC</w:t>
      </w:r>
      <w:r>
        <w:rPr>
          <w:spacing w:val="16"/>
          <w:w w:val="120"/>
        </w:rPr>
        <w:t> </w:t>
      </w:r>
      <w:r>
        <w:rPr>
          <w:spacing w:val="-9"/>
          <w:w w:val="120"/>
        </w:rPr>
        <w:t>(10),</w:t>
      </w:r>
    </w:p>
    <w:p>
      <w:pPr>
        <w:pStyle w:val="BodyText"/>
        <w:spacing w:line="240" w:lineRule="exact"/>
        <w:ind w:left="2573"/>
      </w:pPr>
      <w:r>
        <w:rPr>
          <w:w w:val="125"/>
        </w:rPr>
        <w:t>Revd Julian Macro (9),Dr Jim Merrilees† (13), Revd Colin Offor (1),</w:t>
      </w:r>
    </w:p>
    <w:p>
      <w:pPr>
        <w:pStyle w:val="BodyText"/>
        <w:spacing w:line="235" w:lineRule="auto" w:before="1"/>
        <w:ind w:left="2573" w:right="1997"/>
      </w:pPr>
      <w:r>
        <w:rPr>
          <w:w w:val="125"/>
        </w:rPr>
        <w:t>Mr Nicholas Pye </w:t>
      </w:r>
      <w:r>
        <w:rPr>
          <w:spacing w:val="-8"/>
          <w:w w:val="125"/>
        </w:rPr>
        <w:t>(3), </w:t>
      </w:r>
      <w:r>
        <w:rPr>
          <w:w w:val="125"/>
        </w:rPr>
        <w:t>Revd Raymond Singh </w:t>
      </w:r>
      <w:r>
        <w:rPr>
          <w:spacing w:val="-12"/>
          <w:w w:val="125"/>
        </w:rPr>
        <w:t>(11), </w:t>
      </w:r>
      <w:r>
        <w:rPr>
          <w:w w:val="125"/>
        </w:rPr>
        <w:t>Revd Carolyn Smyth </w:t>
      </w:r>
      <w:r>
        <w:rPr>
          <w:spacing w:val="-11"/>
          <w:w w:val="125"/>
        </w:rPr>
        <w:t>(13), </w:t>
      </w:r>
      <w:r>
        <w:rPr>
          <w:w w:val="125"/>
        </w:rPr>
        <w:t>Revd Prof David Thompson </w:t>
      </w:r>
      <w:r>
        <w:rPr>
          <w:spacing w:val="-3"/>
          <w:w w:val="125"/>
        </w:rPr>
        <w:t>(7), </w:t>
      </w:r>
      <w:r>
        <w:rPr>
          <w:w w:val="125"/>
        </w:rPr>
        <w:t>Mr David Westwood </w:t>
      </w:r>
      <w:r>
        <w:rPr>
          <w:spacing w:val="-10"/>
          <w:w w:val="125"/>
        </w:rPr>
        <w:t>(4)</w:t>
      </w:r>
    </w:p>
    <w:p>
      <w:pPr>
        <w:pStyle w:val="BodyText"/>
        <w:spacing w:line="235" w:lineRule="auto" w:before="2"/>
        <w:ind w:left="2573" w:right="3895" w:hanging="1440"/>
      </w:pPr>
      <w:r>
        <w:rPr>
          <w:w w:val="125"/>
        </w:rPr>
        <w:t>Retiring </w:t>
      </w:r>
      <w:r>
        <w:rPr>
          <w:spacing w:val="-8"/>
          <w:w w:val="125"/>
        </w:rPr>
        <w:t>2013 </w:t>
      </w:r>
      <w:r>
        <w:rPr>
          <w:w w:val="125"/>
        </w:rPr>
        <w:t>Revd Pauline Calderwood </w:t>
      </w:r>
      <w:r>
        <w:rPr>
          <w:spacing w:val="-10"/>
          <w:w w:val="125"/>
        </w:rPr>
        <w:t>(4), </w:t>
      </w:r>
      <w:r>
        <w:rPr>
          <w:w w:val="125"/>
        </w:rPr>
        <w:t>Revd Bill Bowman </w:t>
      </w:r>
      <w:r>
        <w:rPr>
          <w:spacing w:val="-12"/>
          <w:w w:val="125"/>
        </w:rPr>
        <w:t>(11), </w:t>
      </w:r>
      <w:r>
        <w:rPr>
          <w:w w:val="125"/>
        </w:rPr>
        <w:t>Dr Peter Campbell Smith </w:t>
      </w:r>
      <w:r>
        <w:rPr>
          <w:spacing w:val="-12"/>
          <w:w w:val="125"/>
        </w:rPr>
        <w:t>(11), </w:t>
      </w:r>
      <w:r>
        <w:rPr>
          <w:w w:val="125"/>
        </w:rPr>
        <w:t>Mr Roger </w:t>
      </w:r>
      <w:r>
        <w:rPr>
          <w:spacing w:val="-3"/>
          <w:w w:val="125"/>
        </w:rPr>
        <w:t>Tucker </w:t>
      </w:r>
      <w:r>
        <w:rPr>
          <w:spacing w:val="-8"/>
          <w:w w:val="125"/>
        </w:rPr>
        <w:t>(9)</w:t>
      </w:r>
    </w:p>
    <w:p>
      <w:pPr>
        <w:pStyle w:val="BodyText"/>
        <w:spacing w:line="240" w:lineRule="exact"/>
        <w:ind w:left="1133"/>
      </w:pPr>
      <w:r>
        <w:rPr>
          <w:w w:val="120"/>
        </w:rPr>
        <w:t>Retiring 2014 Revd Hazel Allen (8), Mr Mick Barnes (7), Revd James Brown (6),</w:t>
      </w:r>
    </w:p>
    <w:p>
      <w:pPr>
        <w:pStyle w:val="BodyText"/>
        <w:spacing w:line="235" w:lineRule="auto" w:before="2"/>
        <w:ind w:left="2573" w:right="2076"/>
      </w:pPr>
      <w:r>
        <w:rPr>
          <w:w w:val="125"/>
        </w:rPr>
        <w:t>Revd</w:t>
      </w:r>
      <w:r>
        <w:rPr>
          <w:spacing w:val="-15"/>
          <w:w w:val="125"/>
        </w:rPr>
        <w:t> </w:t>
      </w:r>
      <w:r>
        <w:rPr>
          <w:spacing w:val="2"/>
          <w:w w:val="125"/>
        </w:rPr>
        <w:t>Mary</w:t>
      </w:r>
      <w:r>
        <w:rPr>
          <w:spacing w:val="-14"/>
          <w:w w:val="125"/>
        </w:rPr>
        <w:t> </w:t>
      </w:r>
      <w:r>
        <w:rPr>
          <w:w w:val="125"/>
        </w:rPr>
        <w:t>Burgess</w:t>
      </w:r>
      <w:r>
        <w:rPr>
          <w:spacing w:val="-15"/>
          <w:w w:val="125"/>
        </w:rPr>
        <w:t> </w:t>
      </w:r>
      <w:r>
        <w:rPr>
          <w:spacing w:val="-8"/>
          <w:w w:val="125"/>
        </w:rPr>
        <w:t>(8),</w:t>
      </w:r>
      <w:r>
        <w:rPr>
          <w:spacing w:val="-14"/>
          <w:w w:val="125"/>
        </w:rPr>
        <w:t> </w:t>
      </w:r>
      <w:r>
        <w:rPr>
          <w:w w:val="125"/>
        </w:rPr>
        <w:t>Miss</w:t>
      </w:r>
      <w:r>
        <w:rPr>
          <w:spacing w:val="-15"/>
          <w:w w:val="125"/>
        </w:rPr>
        <w:t> </w:t>
      </w:r>
      <w:r>
        <w:rPr>
          <w:w w:val="125"/>
        </w:rPr>
        <w:t>Kathleen</w:t>
      </w:r>
      <w:r>
        <w:rPr>
          <w:spacing w:val="-14"/>
          <w:w w:val="125"/>
        </w:rPr>
        <w:t> </w:t>
      </w:r>
      <w:r>
        <w:rPr>
          <w:w w:val="125"/>
        </w:rPr>
        <w:t>Cross</w:t>
      </w:r>
      <w:r>
        <w:rPr>
          <w:spacing w:val="-14"/>
          <w:w w:val="125"/>
        </w:rPr>
        <w:t> </w:t>
      </w:r>
      <w:r>
        <w:rPr>
          <w:spacing w:val="-8"/>
          <w:w w:val="125"/>
        </w:rPr>
        <w:t>(2),</w:t>
      </w:r>
      <w:r>
        <w:rPr>
          <w:spacing w:val="-15"/>
          <w:w w:val="125"/>
        </w:rPr>
        <w:t> </w:t>
      </w:r>
      <w:r>
        <w:rPr>
          <w:w w:val="125"/>
        </w:rPr>
        <w:t>Mrs</w:t>
      </w:r>
      <w:r>
        <w:rPr>
          <w:spacing w:val="-14"/>
          <w:w w:val="125"/>
        </w:rPr>
        <w:t> </w:t>
      </w:r>
      <w:r>
        <w:rPr>
          <w:spacing w:val="2"/>
          <w:w w:val="125"/>
        </w:rPr>
        <w:t>Mary</w:t>
      </w:r>
      <w:r>
        <w:rPr>
          <w:spacing w:val="-15"/>
          <w:w w:val="125"/>
        </w:rPr>
        <w:t> </w:t>
      </w:r>
      <w:r>
        <w:rPr>
          <w:w w:val="125"/>
        </w:rPr>
        <w:t>Cummings</w:t>
      </w:r>
      <w:r>
        <w:rPr>
          <w:spacing w:val="-14"/>
          <w:w w:val="125"/>
        </w:rPr>
        <w:t> </w:t>
      </w:r>
      <w:r>
        <w:rPr>
          <w:spacing w:val="-7"/>
          <w:w w:val="125"/>
        </w:rPr>
        <w:t>(6), </w:t>
      </w:r>
      <w:r>
        <w:rPr>
          <w:w w:val="125"/>
        </w:rPr>
        <w:t>Mr Peter Etwell </w:t>
      </w:r>
      <w:r>
        <w:rPr>
          <w:spacing w:val="-10"/>
          <w:w w:val="125"/>
        </w:rPr>
        <w:t>(1), </w:t>
      </w:r>
      <w:r>
        <w:rPr>
          <w:w w:val="125"/>
        </w:rPr>
        <w:t>Revd Christine Fowler </w:t>
      </w:r>
      <w:r>
        <w:rPr>
          <w:spacing w:val="-8"/>
          <w:w w:val="125"/>
        </w:rPr>
        <w:t>(8), </w:t>
      </w:r>
      <w:r>
        <w:rPr>
          <w:w w:val="125"/>
        </w:rPr>
        <w:t>Mrs Barbara Groom </w:t>
      </w:r>
      <w:r>
        <w:rPr>
          <w:spacing w:val="-8"/>
          <w:w w:val="125"/>
        </w:rPr>
        <w:t>(8), </w:t>
      </w:r>
      <w:r>
        <w:rPr>
          <w:w w:val="125"/>
        </w:rPr>
        <w:t>Mr</w:t>
      </w:r>
      <w:r>
        <w:rPr>
          <w:spacing w:val="-6"/>
          <w:w w:val="125"/>
        </w:rPr>
        <w:t> </w:t>
      </w:r>
      <w:r>
        <w:rPr>
          <w:w w:val="125"/>
        </w:rPr>
        <w:t>Andrew</w:t>
      </w:r>
      <w:r>
        <w:rPr>
          <w:spacing w:val="-6"/>
          <w:w w:val="125"/>
        </w:rPr>
        <w:t> </w:t>
      </w:r>
      <w:r>
        <w:rPr>
          <w:w w:val="125"/>
        </w:rPr>
        <w:t>Harvey</w:t>
      </w:r>
      <w:r>
        <w:rPr>
          <w:spacing w:val="-5"/>
          <w:w w:val="125"/>
        </w:rPr>
        <w:t> </w:t>
      </w:r>
      <w:r>
        <w:rPr>
          <w:spacing w:val="-8"/>
          <w:w w:val="125"/>
        </w:rPr>
        <w:t>(8),</w:t>
      </w:r>
      <w:r>
        <w:rPr>
          <w:spacing w:val="-6"/>
          <w:w w:val="125"/>
        </w:rPr>
        <w:t> </w:t>
      </w:r>
      <w:r>
        <w:rPr>
          <w:w w:val="125"/>
        </w:rPr>
        <w:t>Revd</w:t>
      </w:r>
      <w:r>
        <w:rPr>
          <w:spacing w:val="-5"/>
          <w:w w:val="125"/>
        </w:rPr>
        <w:t> </w:t>
      </w:r>
      <w:r>
        <w:rPr>
          <w:w w:val="125"/>
        </w:rPr>
        <w:t>Naison</w:t>
      </w:r>
      <w:r>
        <w:rPr>
          <w:spacing w:val="-6"/>
          <w:w w:val="125"/>
        </w:rPr>
        <w:t> </w:t>
      </w:r>
      <w:r>
        <w:rPr>
          <w:w w:val="125"/>
        </w:rPr>
        <w:t>Hove</w:t>
      </w:r>
      <w:r>
        <w:rPr>
          <w:spacing w:val="-5"/>
          <w:w w:val="125"/>
        </w:rPr>
        <w:t> </w:t>
      </w:r>
      <w:r>
        <w:rPr>
          <w:spacing w:val="-9"/>
          <w:w w:val="125"/>
        </w:rPr>
        <w:t>(10),</w:t>
      </w:r>
      <w:r>
        <w:rPr>
          <w:spacing w:val="-6"/>
          <w:w w:val="125"/>
        </w:rPr>
        <w:t> </w:t>
      </w:r>
      <w:r>
        <w:rPr>
          <w:w w:val="125"/>
        </w:rPr>
        <w:t>Mr</w:t>
      </w:r>
      <w:r>
        <w:rPr>
          <w:spacing w:val="-5"/>
          <w:w w:val="125"/>
        </w:rPr>
        <w:t> </w:t>
      </w:r>
      <w:r>
        <w:rPr>
          <w:w w:val="125"/>
        </w:rPr>
        <w:t>Peter</w:t>
      </w:r>
      <w:r>
        <w:rPr>
          <w:spacing w:val="-6"/>
          <w:w w:val="125"/>
        </w:rPr>
        <w:t> </w:t>
      </w:r>
      <w:r>
        <w:rPr>
          <w:w w:val="125"/>
        </w:rPr>
        <w:t>Jolly</w:t>
      </w:r>
      <w:r>
        <w:rPr>
          <w:spacing w:val="-5"/>
          <w:w w:val="125"/>
        </w:rPr>
        <w:t> </w:t>
      </w:r>
      <w:r>
        <w:rPr>
          <w:spacing w:val="-8"/>
          <w:w w:val="125"/>
        </w:rPr>
        <w:t>(9),</w:t>
      </w:r>
    </w:p>
    <w:p>
      <w:pPr>
        <w:pStyle w:val="BodyText"/>
        <w:spacing w:line="235" w:lineRule="auto" w:before="2"/>
        <w:ind w:left="2573" w:right="1634"/>
      </w:pPr>
      <w:r>
        <w:rPr>
          <w:w w:val="125"/>
        </w:rPr>
        <w:t>Mrs</w:t>
      </w:r>
      <w:r>
        <w:rPr>
          <w:spacing w:val="-19"/>
          <w:w w:val="125"/>
        </w:rPr>
        <w:t> </w:t>
      </w:r>
      <w:r>
        <w:rPr>
          <w:w w:val="125"/>
        </w:rPr>
        <w:t>Barbara</w:t>
      </w:r>
      <w:r>
        <w:rPr>
          <w:spacing w:val="-18"/>
          <w:w w:val="125"/>
        </w:rPr>
        <w:t> </w:t>
      </w:r>
      <w:r>
        <w:rPr>
          <w:w w:val="125"/>
        </w:rPr>
        <w:t>Lancaster</w:t>
      </w:r>
      <w:r>
        <w:rPr>
          <w:spacing w:val="-18"/>
          <w:w w:val="125"/>
        </w:rPr>
        <w:t> </w:t>
      </w:r>
      <w:r>
        <w:rPr>
          <w:spacing w:val="-8"/>
          <w:w w:val="125"/>
        </w:rPr>
        <w:t>(2),</w:t>
      </w:r>
      <w:r>
        <w:rPr>
          <w:spacing w:val="-18"/>
          <w:w w:val="125"/>
        </w:rPr>
        <w:t> </w:t>
      </w:r>
      <w:r>
        <w:rPr>
          <w:w w:val="125"/>
        </w:rPr>
        <w:t>Mrs</w:t>
      </w:r>
      <w:r>
        <w:rPr>
          <w:spacing w:val="-18"/>
          <w:w w:val="125"/>
        </w:rPr>
        <w:t> </w:t>
      </w:r>
      <w:r>
        <w:rPr>
          <w:w w:val="125"/>
        </w:rPr>
        <w:t>Barbara</w:t>
      </w:r>
      <w:r>
        <w:rPr>
          <w:spacing w:val="-18"/>
          <w:w w:val="125"/>
        </w:rPr>
        <w:t> </w:t>
      </w:r>
      <w:r>
        <w:rPr>
          <w:w w:val="125"/>
        </w:rPr>
        <w:t>Madge</w:t>
      </w:r>
      <w:r>
        <w:rPr>
          <w:spacing w:val="-18"/>
          <w:w w:val="125"/>
        </w:rPr>
        <w:t> </w:t>
      </w:r>
      <w:r>
        <w:rPr>
          <w:spacing w:val="-8"/>
          <w:w w:val="125"/>
        </w:rPr>
        <w:t>(8),</w:t>
      </w:r>
      <w:r>
        <w:rPr>
          <w:spacing w:val="-19"/>
          <w:w w:val="125"/>
        </w:rPr>
        <w:t> </w:t>
      </w:r>
      <w:r>
        <w:rPr>
          <w:w w:val="125"/>
        </w:rPr>
        <w:t>Revd</w:t>
      </w:r>
      <w:r>
        <w:rPr>
          <w:spacing w:val="-18"/>
          <w:w w:val="125"/>
        </w:rPr>
        <w:t> </w:t>
      </w:r>
      <w:r>
        <w:rPr>
          <w:w w:val="125"/>
        </w:rPr>
        <w:t>Nicholas</w:t>
      </w:r>
      <w:r>
        <w:rPr>
          <w:spacing w:val="-18"/>
          <w:w w:val="125"/>
        </w:rPr>
        <w:t> </w:t>
      </w:r>
      <w:r>
        <w:rPr>
          <w:w w:val="125"/>
        </w:rPr>
        <w:t>Mark</w:t>
      </w:r>
      <w:r>
        <w:rPr>
          <w:spacing w:val="-18"/>
          <w:w w:val="125"/>
        </w:rPr>
        <w:t> </w:t>
      </w:r>
      <w:r>
        <w:rPr>
          <w:spacing w:val="-8"/>
          <w:w w:val="125"/>
        </w:rPr>
        <w:t>(5), </w:t>
      </w:r>
      <w:r>
        <w:rPr>
          <w:w w:val="125"/>
        </w:rPr>
        <w:t>Mrs</w:t>
      </w:r>
      <w:r>
        <w:rPr>
          <w:spacing w:val="-8"/>
          <w:w w:val="125"/>
        </w:rPr>
        <w:t> </w:t>
      </w:r>
      <w:r>
        <w:rPr>
          <w:w w:val="125"/>
        </w:rPr>
        <w:t>Pat</w:t>
      </w:r>
      <w:r>
        <w:rPr>
          <w:spacing w:val="-7"/>
          <w:w w:val="125"/>
        </w:rPr>
        <w:t> </w:t>
      </w:r>
      <w:r>
        <w:rPr>
          <w:w w:val="125"/>
        </w:rPr>
        <w:t>Poinen</w:t>
      </w:r>
      <w:r>
        <w:rPr>
          <w:spacing w:val="-7"/>
          <w:w w:val="125"/>
        </w:rPr>
        <w:t> </w:t>
      </w:r>
      <w:r>
        <w:rPr>
          <w:spacing w:val="-10"/>
          <w:w w:val="125"/>
        </w:rPr>
        <w:t>(1),</w:t>
      </w:r>
      <w:r>
        <w:rPr>
          <w:spacing w:val="-8"/>
          <w:w w:val="125"/>
        </w:rPr>
        <w:t> </w:t>
      </w:r>
      <w:r>
        <w:rPr>
          <w:w w:val="125"/>
        </w:rPr>
        <w:t>Revd</w:t>
      </w:r>
      <w:r>
        <w:rPr>
          <w:spacing w:val="-7"/>
          <w:w w:val="125"/>
        </w:rPr>
        <w:t> </w:t>
      </w:r>
      <w:r>
        <w:rPr>
          <w:w w:val="125"/>
        </w:rPr>
        <w:t>Shelagh</w:t>
      </w:r>
      <w:r>
        <w:rPr>
          <w:spacing w:val="-7"/>
          <w:w w:val="125"/>
        </w:rPr>
        <w:t> </w:t>
      </w:r>
      <w:r>
        <w:rPr>
          <w:w w:val="125"/>
        </w:rPr>
        <w:t>Pollard</w:t>
      </w:r>
      <w:r>
        <w:rPr>
          <w:spacing w:val="-7"/>
          <w:w w:val="125"/>
        </w:rPr>
        <w:t> </w:t>
      </w:r>
      <w:r>
        <w:rPr>
          <w:spacing w:val="-10"/>
          <w:w w:val="125"/>
        </w:rPr>
        <w:t>(12),</w:t>
      </w:r>
      <w:r>
        <w:rPr>
          <w:spacing w:val="-8"/>
          <w:w w:val="125"/>
        </w:rPr>
        <w:t> </w:t>
      </w:r>
      <w:r>
        <w:rPr>
          <w:w w:val="125"/>
        </w:rPr>
        <w:t>Mrs</w:t>
      </w:r>
      <w:r>
        <w:rPr>
          <w:spacing w:val="-7"/>
          <w:w w:val="125"/>
        </w:rPr>
        <w:t> </w:t>
      </w:r>
      <w:r>
        <w:rPr>
          <w:w w:val="125"/>
        </w:rPr>
        <w:t>Lynne</w:t>
      </w:r>
      <w:r>
        <w:rPr>
          <w:spacing w:val="-7"/>
          <w:w w:val="125"/>
        </w:rPr>
        <w:t> </w:t>
      </w:r>
      <w:r>
        <w:rPr>
          <w:w w:val="125"/>
        </w:rPr>
        <w:t>Upsdell</w:t>
      </w:r>
      <w:r>
        <w:rPr>
          <w:spacing w:val="-8"/>
          <w:w w:val="125"/>
        </w:rPr>
        <w:t> </w:t>
      </w:r>
      <w:r>
        <w:rPr>
          <w:spacing w:val="-10"/>
          <w:w w:val="125"/>
        </w:rPr>
        <w:t>(12),</w:t>
      </w:r>
    </w:p>
    <w:p>
      <w:pPr>
        <w:pStyle w:val="BodyText"/>
        <w:spacing w:line="240" w:lineRule="exact"/>
        <w:ind w:left="2573"/>
      </w:pPr>
      <w:r>
        <w:rPr>
          <w:w w:val="125"/>
        </w:rPr>
        <w:t>Ms Elizabeth Whitten (7)</w:t>
      </w:r>
    </w:p>
    <w:p>
      <w:pPr>
        <w:pStyle w:val="BodyText"/>
        <w:spacing w:line="235" w:lineRule="auto" w:before="1"/>
        <w:ind w:left="2573" w:right="2316" w:hanging="1440"/>
      </w:pPr>
      <w:r>
        <w:rPr>
          <w:w w:val="120"/>
        </w:rPr>
        <w:t>Retiring </w:t>
      </w:r>
      <w:r>
        <w:rPr>
          <w:spacing w:val="-7"/>
          <w:w w:val="120"/>
        </w:rPr>
        <w:t>2015   </w:t>
      </w:r>
      <w:r>
        <w:rPr>
          <w:w w:val="120"/>
        </w:rPr>
        <w:t>Revd </w:t>
      </w:r>
      <w:r>
        <w:rPr>
          <w:spacing w:val="2"/>
          <w:w w:val="120"/>
        </w:rPr>
        <w:t>Meryl </w:t>
      </w:r>
      <w:r>
        <w:rPr>
          <w:w w:val="120"/>
        </w:rPr>
        <w:t>Court† </w:t>
      </w:r>
      <w:r>
        <w:rPr>
          <w:spacing w:val="-9"/>
          <w:w w:val="120"/>
        </w:rPr>
        <w:t>(10),  </w:t>
      </w:r>
      <w:r>
        <w:rPr>
          <w:w w:val="120"/>
        </w:rPr>
        <w:t>Mrs Pat Crozier** </w:t>
      </w:r>
      <w:r>
        <w:rPr>
          <w:spacing w:val="-8"/>
          <w:w w:val="120"/>
        </w:rPr>
        <w:t>(3),  </w:t>
      </w:r>
      <w:r>
        <w:rPr>
          <w:w w:val="120"/>
        </w:rPr>
        <w:t>Dr Fiona Liddell† </w:t>
      </w:r>
      <w:r>
        <w:rPr>
          <w:spacing w:val="-10"/>
          <w:w w:val="120"/>
        </w:rPr>
        <w:t>(12),   </w:t>
      </w:r>
      <w:r>
        <w:rPr>
          <w:w w:val="120"/>
        </w:rPr>
        <w:t>Mr Colin Macbean** </w:t>
      </w:r>
      <w:r>
        <w:rPr>
          <w:spacing w:val="-8"/>
          <w:w w:val="120"/>
        </w:rPr>
        <w:t>(9), </w:t>
      </w:r>
      <w:r>
        <w:rPr>
          <w:w w:val="120"/>
        </w:rPr>
        <w:t>Mrs Pamela Sharp† </w:t>
      </w:r>
      <w:r>
        <w:rPr>
          <w:spacing w:val="-8"/>
          <w:w w:val="120"/>
        </w:rPr>
        <w:t>(3),</w:t>
      </w:r>
      <w:r>
        <w:rPr>
          <w:spacing w:val="10"/>
          <w:w w:val="120"/>
        </w:rPr>
        <w:t> </w:t>
      </w:r>
      <w:r>
        <w:rPr>
          <w:w w:val="120"/>
        </w:rPr>
        <w:t>Mr Patrick Smyth† </w:t>
      </w:r>
      <w:r>
        <w:rPr>
          <w:spacing w:val="-12"/>
          <w:w w:val="120"/>
        </w:rPr>
        <w:t>(13)</w:t>
      </w:r>
    </w:p>
    <w:p>
      <w:pPr>
        <w:pStyle w:val="BodyText"/>
        <w:spacing w:before="6"/>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w w:val="110"/>
          <w:sz w:val="20"/>
        </w:rPr>
        <w:t>Standing Panel for the Incapacity</w:t>
      </w:r>
      <w:r>
        <w:rPr>
          <w:rFonts w:ascii="Stone Sans II ITC Std Bk"/>
          <w:b/>
          <w:spacing w:val="-1"/>
          <w:w w:val="110"/>
          <w:sz w:val="20"/>
        </w:rPr>
        <w:t> </w:t>
      </w:r>
      <w:r>
        <w:rPr>
          <w:rFonts w:ascii="Stone Sans II ITC Std Bk"/>
          <w:b/>
          <w:w w:val="110"/>
          <w:sz w:val="20"/>
        </w:rPr>
        <w:t>Procedure</w:t>
      </w:r>
    </w:p>
    <w:p>
      <w:pPr>
        <w:spacing w:line="233" w:lineRule="exact" w:before="0"/>
        <w:ind w:left="1133" w:right="0" w:firstLine="0"/>
        <w:jc w:val="left"/>
        <w:rPr>
          <w:i/>
          <w:sz w:val="20"/>
        </w:rPr>
      </w:pPr>
      <w:r>
        <w:rPr>
          <w:i/>
          <w:w w:val="115"/>
          <w:sz w:val="20"/>
        </w:rPr>
        <w:t>(This panel is normally convened by the member with legal experience.,)</w:t>
      </w:r>
    </w:p>
    <w:p>
      <w:pPr>
        <w:pStyle w:val="BodyText"/>
        <w:spacing w:line="240" w:lineRule="exact"/>
        <w:ind w:left="1133"/>
      </w:pPr>
      <w:r>
        <w:rPr>
          <w:w w:val="120"/>
        </w:rPr>
        <w:t>Secretary: Revd Heather Kent [2012]</w:t>
      </w:r>
    </w:p>
    <w:p>
      <w:pPr>
        <w:pStyle w:val="BodyText"/>
        <w:spacing w:line="235" w:lineRule="auto" w:before="1"/>
        <w:ind w:left="1133" w:right="4239"/>
      </w:pPr>
      <w:r>
        <w:rPr>
          <w:w w:val="120"/>
        </w:rPr>
        <w:t>Revd Bill Mahood (Past Moderator of General Assembly) [2012] Revd Rowena Francis (Synod Moderator) [2013]</w:t>
      </w:r>
    </w:p>
    <w:p>
      <w:pPr>
        <w:pStyle w:val="BodyText"/>
        <w:spacing w:line="242" w:lineRule="exact"/>
        <w:ind w:left="1133"/>
      </w:pPr>
      <w:r>
        <w:rPr>
          <w:w w:val="125"/>
        </w:rPr>
        <w:t>Mr Donald Swift (Legal experience) [2013] Dr Gillian Patterson (GP) [2013]</w:t>
      </w:r>
    </w:p>
    <w:p>
      <w:pPr>
        <w:spacing w:after="0" w:line="242" w:lineRule="exact"/>
        <w:sectPr>
          <w:headerReference w:type="even" r:id="rId475"/>
          <w:headerReference w:type="default" r:id="rId476"/>
          <w:footerReference w:type="even" r:id="rId477"/>
          <w:footerReference w:type="default" r:id="rId478"/>
          <w:pgSz w:w="11910" w:h="16840"/>
          <w:pgMar w:header="0" w:footer="647" w:top="1060" w:bottom="840" w:left="0" w:right="0"/>
        </w:sectPr>
      </w:pPr>
    </w:p>
    <w:p>
      <w:pPr>
        <w:numPr>
          <w:ilvl w:val="1"/>
          <w:numId w:val="148"/>
        </w:numPr>
        <w:tabs>
          <w:tab w:pos="2664" w:val="left" w:leader="none"/>
          <w:tab w:pos="2665" w:val="left" w:leader="none"/>
        </w:tabs>
        <w:spacing w:line="213" w:lineRule="auto" w:before="97"/>
        <w:ind w:left="2719" w:right="2561" w:hanging="736"/>
        <w:jc w:val="left"/>
        <w:rPr>
          <w:rFonts w:ascii="Stone Sans II ITC Std Bk" w:hAnsi="Stone Sans II ITC Std Bk"/>
          <w:b/>
          <w:sz w:val="20"/>
        </w:rPr>
      </w:pPr>
      <w:r>
        <w:rPr/>
        <w:pict>
          <v:rect style="position:absolute;margin-left:558.424988pt;margin-top:8.505788pt;width:22.677pt;height:22.677pt;mso-position-horizontal-relative:page;mso-position-vertical-relative:paragraph;z-index:252210176" filled="true" fillcolor="#dae4ec" stroked="false">
            <v:fill opacity="32768f" type="solid"/>
            <w10:wrap type="none"/>
          </v:rect>
        </w:pict>
      </w:r>
      <w:r>
        <w:rPr>
          <w:rFonts w:ascii="Stone Sans II ITC Std Bk" w:hAnsi="Stone Sans II ITC Std Bk"/>
          <w:b/>
          <w:w w:val="110"/>
          <w:sz w:val="20"/>
        </w:rPr>
        <w:t>Criminal Records Bureau (Churches’ Agency for Safeguarding) Advisory</w:t>
      </w:r>
      <w:r>
        <w:rPr>
          <w:rFonts w:ascii="Stone Sans II ITC Std Bk" w:hAnsi="Stone Sans II ITC Std Bk"/>
          <w:b/>
          <w:spacing w:val="-1"/>
          <w:w w:val="110"/>
          <w:sz w:val="20"/>
        </w:rPr>
        <w:t> </w:t>
      </w:r>
      <w:r>
        <w:rPr>
          <w:rFonts w:ascii="Stone Sans II ITC Std Bk" w:hAnsi="Stone Sans II ITC Std Bk"/>
          <w:b/>
          <w:w w:val="110"/>
          <w:sz w:val="20"/>
        </w:rPr>
        <w:t>Group</w:t>
      </w:r>
    </w:p>
    <w:p>
      <w:pPr>
        <w:pStyle w:val="BodyText"/>
        <w:tabs>
          <w:tab w:pos="6304" w:val="left" w:leader="none"/>
        </w:tabs>
        <w:spacing w:line="235" w:lineRule="auto"/>
        <w:ind w:left="1984" w:right="1997"/>
      </w:pPr>
      <w:r>
        <w:rPr>
          <w:w w:val="120"/>
        </w:rPr>
        <w:t>Revd Adrian Bulley</w:t>
      </w:r>
      <w:r>
        <w:rPr>
          <w:spacing w:val="22"/>
          <w:w w:val="120"/>
        </w:rPr>
        <w:t> </w:t>
      </w:r>
      <w:r>
        <w:rPr>
          <w:spacing w:val="-3"/>
          <w:w w:val="120"/>
        </w:rPr>
        <w:t>(Synod</w:t>
      </w:r>
      <w:r>
        <w:rPr>
          <w:spacing w:val="8"/>
          <w:w w:val="120"/>
        </w:rPr>
        <w:t> </w:t>
      </w:r>
      <w:r>
        <w:rPr>
          <w:w w:val="120"/>
        </w:rPr>
        <w:t>Moderator)</w:t>
        <w:tab/>
        <w:t>Ms Liz Crocker </w:t>
      </w:r>
      <w:r>
        <w:rPr>
          <w:spacing w:val="-3"/>
          <w:w w:val="120"/>
        </w:rPr>
        <w:t>(Child </w:t>
      </w:r>
      <w:r>
        <w:rPr>
          <w:w w:val="120"/>
        </w:rPr>
        <w:t>Care Specialist) Mrs Wilma</w:t>
      </w:r>
      <w:r>
        <w:rPr>
          <w:spacing w:val="-13"/>
          <w:w w:val="120"/>
        </w:rPr>
        <w:t> </w:t>
      </w:r>
      <w:r>
        <w:rPr>
          <w:w w:val="120"/>
        </w:rPr>
        <w:t>Frew</w:t>
      </w:r>
      <w:r>
        <w:rPr>
          <w:spacing w:val="-6"/>
          <w:w w:val="120"/>
        </w:rPr>
        <w:t> </w:t>
      </w:r>
      <w:r>
        <w:rPr>
          <w:w w:val="120"/>
        </w:rPr>
        <w:t>(Magistrate)</w:t>
        <w:tab/>
      </w:r>
      <w:r>
        <w:rPr>
          <w:spacing w:val="-3"/>
          <w:w w:val="120"/>
        </w:rPr>
        <w:t>Youth </w:t>
      </w:r>
      <w:r>
        <w:rPr>
          <w:w w:val="120"/>
        </w:rPr>
        <w:t>Work Development Officer Children’s Work</w:t>
      </w:r>
      <w:r>
        <w:rPr>
          <w:spacing w:val="9"/>
          <w:w w:val="120"/>
        </w:rPr>
        <w:t> </w:t>
      </w:r>
      <w:r>
        <w:rPr>
          <w:w w:val="120"/>
        </w:rPr>
        <w:t>Development</w:t>
      </w:r>
      <w:r>
        <w:rPr>
          <w:spacing w:val="5"/>
          <w:w w:val="120"/>
        </w:rPr>
        <w:t> </w:t>
      </w:r>
      <w:r>
        <w:rPr>
          <w:w w:val="120"/>
        </w:rPr>
        <w:t>Officer</w:t>
        <w:tab/>
        <w:t>Deputy General</w:t>
      </w:r>
      <w:r>
        <w:rPr>
          <w:spacing w:val="7"/>
          <w:w w:val="120"/>
        </w:rPr>
        <w:t> </w:t>
      </w:r>
      <w:r>
        <w:rPr>
          <w:w w:val="120"/>
        </w:rPr>
        <w:t>Secretary</w:t>
      </w:r>
    </w:p>
    <w:p>
      <w:pPr>
        <w:pStyle w:val="BodyText"/>
        <w:spacing w:before="10"/>
        <w:rPr>
          <w:sz w:val="17"/>
        </w:rPr>
      </w:pPr>
    </w:p>
    <w:p>
      <w:pPr>
        <w:numPr>
          <w:ilvl w:val="1"/>
          <w:numId w:val="148"/>
        </w:numPr>
        <w:tabs>
          <w:tab w:pos="2664" w:val="left" w:leader="none"/>
          <w:tab w:pos="2665" w:val="left" w:leader="none"/>
        </w:tabs>
        <w:spacing w:line="261" w:lineRule="exact" w:before="1"/>
        <w:ind w:left="2664" w:right="0" w:hanging="681"/>
        <w:jc w:val="left"/>
        <w:rPr>
          <w:rFonts w:ascii="Stone Sans II ITC Std Bk"/>
          <w:b/>
          <w:sz w:val="20"/>
        </w:rPr>
      </w:pPr>
      <w:r>
        <w:rPr>
          <w:rFonts w:ascii="Stone Sans II ITC Std Bk"/>
          <w:b/>
          <w:w w:val="110"/>
          <w:sz w:val="20"/>
        </w:rPr>
        <w:t>United Reformed Church</w:t>
      </w:r>
      <w:r>
        <w:rPr>
          <w:rFonts w:ascii="Stone Sans II ITC Std Bk"/>
          <w:b/>
          <w:spacing w:val="-1"/>
          <w:w w:val="110"/>
          <w:sz w:val="20"/>
        </w:rPr>
        <w:t> </w:t>
      </w:r>
      <w:r>
        <w:rPr>
          <w:rFonts w:ascii="Stone Sans II ITC Std Bk"/>
          <w:b/>
          <w:w w:val="110"/>
          <w:sz w:val="20"/>
        </w:rPr>
        <w:t>Trust</w:t>
      </w:r>
    </w:p>
    <w:p>
      <w:pPr>
        <w:spacing w:line="235" w:lineRule="auto" w:before="0"/>
        <w:ind w:left="1984" w:right="1212" w:firstLine="0"/>
        <w:jc w:val="both"/>
        <w:rPr>
          <w:i/>
          <w:sz w:val="20"/>
        </w:rPr>
      </w:pPr>
      <w:r>
        <w:rPr>
          <w:i/>
          <w:w w:val="110"/>
          <w:sz w:val="20"/>
        </w:rPr>
        <w:t>(Directors normally serve for six years. The directors of the trust elect the chair from among their </w:t>
      </w:r>
      <w:r>
        <w:rPr>
          <w:i/>
          <w:w w:val="110"/>
          <w:sz w:val="20"/>
        </w:rPr>
        <w:t>own number and appoint a secretary and deputy secretary.)</w:t>
      </w:r>
    </w:p>
    <w:p>
      <w:pPr>
        <w:pStyle w:val="BodyText"/>
        <w:spacing w:line="240" w:lineRule="exact"/>
        <w:ind w:left="1984"/>
        <w:jc w:val="both"/>
      </w:pPr>
      <w:r>
        <w:rPr>
          <w:w w:val="120"/>
        </w:rPr>
        <w:t>Chair: Mr Alan Small</w:t>
      </w:r>
    </w:p>
    <w:p>
      <w:pPr>
        <w:pStyle w:val="BodyText"/>
        <w:spacing w:line="235" w:lineRule="auto"/>
        <w:ind w:left="1984" w:right="6580"/>
        <w:jc w:val="both"/>
      </w:pPr>
      <w:r>
        <w:rPr>
          <w:w w:val="120"/>
        </w:rPr>
        <w:t>Secretary: Ms Sandi Hallam-Jones Deputy Secretary: Mr Tony Bayley Directors:</w:t>
      </w:r>
    </w:p>
    <w:p>
      <w:pPr>
        <w:tabs>
          <w:tab w:pos="7024" w:val="left" w:leader="none"/>
        </w:tabs>
        <w:spacing w:line="240" w:lineRule="exact" w:before="0"/>
        <w:ind w:left="2664" w:right="0" w:firstLine="0"/>
        <w:jc w:val="left"/>
        <w:rPr>
          <w:i/>
          <w:sz w:val="20"/>
        </w:rPr>
      </w:pPr>
      <w:r>
        <w:rPr>
          <w:i/>
          <w:w w:val="115"/>
          <w:sz w:val="20"/>
        </w:rPr>
        <w:t>Group</w:t>
      </w:r>
      <w:r>
        <w:rPr>
          <w:i/>
          <w:spacing w:val="-1"/>
          <w:w w:val="115"/>
          <w:sz w:val="20"/>
        </w:rPr>
        <w:t> </w:t>
      </w:r>
      <w:r>
        <w:rPr>
          <w:i/>
          <w:w w:val="115"/>
          <w:sz w:val="20"/>
        </w:rPr>
        <w:t>1</w:t>
        <w:tab/>
        <w:t>Group</w:t>
      </w:r>
      <w:r>
        <w:rPr>
          <w:i/>
          <w:spacing w:val="1"/>
          <w:w w:val="115"/>
          <w:sz w:val="20"/>
        </w:rPr>
        <w:t> </w:t>
      </w:r>
      <w:r>
        <w:rPr>
          <w:i/>
          <w:w w:val="115"/>
          <w:sz w:val="20"/>
        </w:rPr>
        <w:t>2</w:t>
      </w:r>
    </w:p>
    <w:p>
      <w:pPr>
        <w:pStyle w:val="BodyText"/>
        <w:tabs>
          <w:tab w:pos="7024" w:val="left" w:leader="none"/>
        </w:tabs>
        <w:spacing w:line="240" w:lineRule="exact"/>
        <w:ind w:left="2664"/>
      </w:pPr>
      <w:r>
        <w:rPr>
          <w:w w:val="125"/>
        </w:rPr>
        <w:t>Mr Alan Small</w:t>
      </w:r>
      <w:r>
        <w:rPr>
          <w:spacing w:val="-14"/>
          <w:w w:val="125"/>
        </w:rPr>
        <w:t> </w:t>
      </w:r>
      <w:r>
        <w:rPr>
          <w:spacing w:val="-8"/>
          <w:w w:val="125"/>
        </w:rPr>
        <w:t>(3)</w:t>
      </w:r>
      <w:r>
        <w:rPr>
          <w:spacing w:val="-4"/>
          <w:w w:val="125"/>
        </w:rPr>
        <w:t> </w:t>
      </w:r>
      <w:r>
        <w:rPr>
          <w:spacing w:val="-8"/>
          <w:w w:val="125"/>
        </w:rPr>
        <w:t>[2012]</w:t>
        <w:tab/>
      </w:r>
      <w:r>
        <w:rPr>
          <w:w w:val="125"/>
        </w:rPr>
        <w:t>Dr Augur Pearce </w:t>
      </w:r>
      <w:r>
        <w:rPr>
          <w:spacing w:val="-10"/>
          <w:w w:val="125"/>
        </w:rPr>
        <w:t>(12)</w:t>
      </w:r>
      <w:r>
        <w:rPr>
          <w:spacing w:val="-2"/>
          <w:w w:val="125"/>
        </w:rPr>
        <w:t> </w:t>
      </w:r>
      <w:r>
        <w:rPr>
          <w:spacing w:val="-8"/>
          <w:w w:val="125"/>
        </w:rPr>
        <w:t>[2012]</w:t>
      </w:r>
    </w:p>
    <w:p>
      <w:pPr>
        <w:pStyle w:val="BodyText"/>
        <w:tabs>
          <w:tab w:pos="7024" w:val="left" w:leader="none"/>
        </w:tabs>
        <w:spacing w:line="240" w:lineRule="exact"/>
        <w:ind w:left="2664"/>
      </w:pPr>
      <w:r>
        <w:rPr>
          <w:w w:val="125"/>
        </w:rPr>
        <w:t>Dr David Robinson</w:t>
      </w:r>
      <w:r>
        <w:rPr>
          <w:spacing w:val="2"/>
          <w:w w:val="125"/>
        </w:rPr>
        <w:t> </w:t>
      </w:r>
      <w:r>
        <w:rPr>
          <w:spacing w:val="-10"/>
          <w:w w:val="125"/>
        </w:rPr>
        <w:t>(4)</w:t>
      </w:r>
      <w:r>
        <w:rPr>
          <w:spacing w:val="1"/>
          <w:w w:val="125"/>
        </w:rPr>
        <w:t> </w:t>
      </w:r>
      <w:r>
        <w:rPr>
          <w:spacing w:val="-8"/>
          <w:w w:val="125"/>
        </w:rPr>
        <w:t>[2014]</w:t>
        <w:tab/>
      </w:r>
      <w:r>
        <w:rPr>
          <w:w w:val="125"/>
        </w:rPr>
        <w:t>Mrs Rachel Wakeman </w:t>
      </w:r>
      <w:r>
        <w:rPr>
          <w:spacing w:val="-7"/>
          <w:w w:val="125"/>
        </w:rPr>
        <w:t>(6)</w:t>
      </w:r>
      <w:r>
        <w:rPr>
          <w:spacing w:val="-11"/>
          <w:w w:val="125"/>
        </w:rPr>
        <w:t> </w:t>
      </w:r>
      <w:r>
        <w:rPr>
          <w:spacing w:val="-8"/>
          <w:w w:val="125"/>
        </w:rPr>
        <w:t>[2014]</w:t>
      </w:r>
    </w:p>
    <w:p>
      <w:pPr>
        <w:pStyle w:val="BodyText"/>
        <w:tabs>
          <w:tab w:pos="7024" w:val="left" w:leader="none"/>
        </w:tabs>
        <w:spacing w:line="242" w:lineRule="exact"/>
        <w:ind w:left="2664"/>
      </w:pPr>
      <w:r>
        <w:rPr>
          <w:w w:val="125"/>
        </w:rPr>
        <w:t>Mr</w:t>
      </w:r>
      <w:r>
        <w:rPr>
          <w:spacing w:val="-18"/>
          <w:w w:val="125"/>
        </w:rPr>
        <w:t> </w:t>
      </w:r>
      <w:r>
        <w:rPr>
          <w:w w:val="125"/>
        </w:rPr>
        <w:t>Andrew</w:t>
      </w:r>
      <w:r>
        <w:rPr>
          <w:spacing w:val="-18"/>
          <w:w w:val="125"/>
        </w:rPr>
        <w:t> </w:t>
      </w:r>
      <w:r>
        <w:rPr>
          <w:w w:val="125"/>
        </w:rPr>
        <w:t>Atkinson**</w:t>
      </w:r>
      <w:r>
        <w:rPr>
          <w:spacing w:val="-18"/>
          <w:w w:val="125"/>
        </w:rPr>
        <w:t> </w:t>
      </w:r>
      <w:r>
        <w:rPr>
          <w:spacing w:val="-11"/>
          <w:w w:val="125"/>
        </w:rPr>
        <w:t>(1)</w:t>
      </w:r>
      <w:r>
        <w:rPr>
          <w:spacing w:val="-18"/>
          <w:w w:val="125"/>
        </w:rPr>
        <w:t> </w:t>
      </w:r>
      <w:r>
        <w:rPr>
          <w:spacing w:val="-7"/>
          <w:w w:val="125"/>
        </w:rPr>
        <w:t>[2016]</w:t>
        <w:tab/>
      </w:r>
      <w:r>
        <w:rPr>
          <w:w w:val="125"/>
        </w:rPr>
        <w:t>Revd Richard Gray** </w:t>
      </w:r>
      <w:r>
        <w:rPr>
          <w:spacing w:val="-8"/>
          <w:w w:val="125"/>
        </w:rPr>
        <w:t>(8)</w:t>
      </w:r>
      <w:r>
        <w:rPr>
          <w:spacing w:val="-10"/>
          <w:w w:val="125"/>
        </w:rPr>
        <w:t> </w:t>
      </w:r>
      <w:r>
        <w:rPr>
          <w:spacing w:val="-7"/>
          <w:w w:val="125"/>
        </w:rPr>
        <w:t>[2016]</w:t>
      </w:r>
    </w:p>
    <w:p>
      <w:pPr>
        <w:pStyle w:val="BodyText"/>
        <w:rPr>
          <w:sz w:val="19"/>
        </w:rPr>
      </w:pPr>
    </w:p>
    <w:p>
      <w:pPr>
        <w:spacing w:line="242" w:lineRule="exact" w:before="0"/>
        <w:ind w:left="4144" w:right="0" w:firstLine="0"/>
        <w:jc w:val="left"/>
        <w:rPr>
          <w:i/>
          <w:sz w:val="20"/>
        </w:rPr>
      </w:pPr>
      <w:r>
        <w:rPr>
          <w:i/>
          <w:w w:val="115"/>
          <w:sz w:val="20"/>
        </w:rPr>
        <w:t>Group 3</w:t>
      </w:r>
    </w:p>
    <w:p>
      <w:pPr>
        <w:pStyle w:val="BodyText"/>
        <w:spacing w:line="240" w:lineRule="exact"/>
        <w:ind w:left="4144"/>
      </w:pPr>
      <w:r>
        <w:rPr>
          <w:w w:val="125"/>
        </w:rPr>
        <w:t>Revd Prof David Thompson (7) [2012]</w:t>
      </w:r>
    </w:p>
    <w:p>
      <w:pPr>
        <w:pStyle w:val="BodyText"/>
        <w:spacing w:line="240" w:lineRule="exact"/>
        <w:ind w:left="4144"/>
      </w:pPr>
      <w:r>
        <w:rPr>
          <w:w w:val="125"/>
        </w:rPr>
        <w:t>Mr John Woodman (7) [2014]</w:t>
      </w:r>
    </w:p>
    <w:p>
      <w:pPr>
        <w:pStyle w:val="BodyText"/>
        <w:spacing w:line="242" w:lineRule="exact"/>
        <w:ind w:left="4144"/>
      </w:pPr>
      <w:r>
        <w:rPr>
          <w:w w:val="125"/>
        </w:rPr>
        <w:t>Revd Michael Davies** (11) [2014]</w:t>
      </w:r>
    </w:p>
    <w:p>
      <w:pPr>
        <w:pStyle w:val="BodyText"/>
        <w:spacing w:before="4"/>
        <w:rPr>
          <w:sz w:val="19"/>
        </w:rPr>
      </w:pPr>
    </w:p>
    <w:p>
      <w:pPr>
        <w:pStyle w:val="BodyText"/>
        <w:spacing w:line="242" w:lineRule="exact"/>
        <w:ind w:left="1984"/>
      </w:pPr>
      <w:r>
        <w:rPr>
          <w:w w:val="120"/>
        </w:rPr>
        <w:t>Mission Council nominated Directors:</w:t>
      </w:r>
    </w:p>
    <w:p>
      <w:pPr>
        <w:pStyle w:val="BodyText"/>
        <w:tabs>
          <w:tab w:pos="5584" w:val="left" w:leader="none"/>
        </w:tabs>
        <w:spacing w:line="235" w:lineRule="auto" w:before="2"/>
        <w:ind w:left="1984" w:right="1425"/>
      </w:pPr>
      <w:r>
        <w:rPr>
          <w:w w:val="120"/>
        </w:rPr>
        <w:t>Mrs Claudette</w:t>
      </w:r>
      <w:r>
        <w:rPr>
          <w:spacing w:val="19"/>
          <w:w w:val="120"/>
        </w:rPr>
        <w:t> </w:t>
      </w:r>
      <w:r>
        <w:rPr>
          <w:w w:val="120"/>
        </w:rPr>
        <w:t>Binns</w:t>
      </w:r>
      <w:r>
        <w:rPr>
          <w:spacing w:val="9"/>
          <w:w w:val="120"/>
        </w:rPr>
        <w:t> </w:t>
      </w:r>
      <w:r>
        <w:rPr>
          <w:spacing w:val="-8"/>
          <w:w w:val="120"/>
        </w:rPr>
        <w:t>[2014]</w:t>
        <w:tab/>
      </w:r>
      <w:r>
        <w:rPr>
          <w:w w:val="120"/>
        </w:rPr>
        <w:t>Vacancy for FURY nominated young person </w:t>
      </w:r>
      <w:r>
        <w:rPr>
          <w:spacing w:val="-7"/>
          <w:w w:val="120"/>
        </w:rPr>
        <w:t>[2016] </w:t>
      </w:r>
      <w:r>
        <w:rPr>
          <w:w w:val="120"/>
        </w:rPr>
        <w:t>Coopted</w:t>
      </w:r>
      <w:r>
        <w:rPr>
          <w:spacing w:val="2"/>
          <w:w w:val="120"/>
        </w:rPr>
        <w:t> </w:t>
      </w:r>
      <w:r>
        <w:rPr>
          <w:w w:val="120"/>
        </w:rPr>
        <w:t>Directors:</w:t>
      </w:r>
    </w:p>
    <w:p>
      <w:pPr>
        <w:pStyle w:val="BodyText"/>
        <w:tabs>
          <w:tab w:pos="7024" w:val="left" w:leader="none"/>
        </w:tabs>
        <w:spacing w:line="235" w:lineRule="auto" w:before="1"/>
        <w:ind w:left="1984" w:right="2230"/>
      </w:pPr>
      <w:r>
        <w:rPr>
          <w:w w:val="120"/>
        </w:rPr>
        <w:t>Miss Joyce</w:t>
      </w:r>
      <w:r>
        <w:rPr>
          <w:spacing w:val="2"/>
          <w:w w:val="120"/>
        </w:rPr>
        <w:t> </w:t>
      </w:r>
      <w:r>
        <w:rPr>
          <w:w w:val="120"/>
        </w:rPr>
        <w:t>Bain†</w:t>
      </w:r>
      <w:r>
        <w:rPr>
          <w:spacing w:val="2"/>
          <w:w w:val="120"/>
        </w:rPr>
        <w:t> </w:t>
      </w:r>
      <w:r>
        <w:rPr>
          <w:spacing w:val="-8"/>
          <w:w w:val="120"/>
        </w:rPr>
        <w:t>[2014]</w:t>
        <w:tab/>
      </w:r>
      <w:r>
        <w:rPr>
          <w:w w:val="120"/>
        </w:rPr>
        <w:t>Mr Brian Woodhall† </w:t>
      </w:r>
      <w:r>
        <w:rPr>
          <w:spacing w:val="-8"/>
          <w:w w:val="120"/>
        </w:rPr>
        <w:t>[2014] </w:t>
      </w:r>
      <w:r>
        <w:rPr>
          <w:spacing w:val="-3"/>
          <w:w w:val="120"/>
        </w:rPr>
        <w:t>[</w:t>
      </w:r>
      <w:r>
        <w:rPr>
          <w:i/>
          <w:spacing w:val="-3"/>
          <w:w w:val="120"/>
        </w:rPr>
        <w:t>ex </w:t>
      </w:r>
      <w:r>
        <w:rPr>
          <w:i/>
          <w:w w:val="120"/>
        </w:rPr>
        <w:t>officio</w:t>
      </w:r>
      <w:r>
        <w:rPr>
          <w:w w:val="120"/>
        </w:rPr>
        <w:t>: </w:t>
      </w:r>
      <w:r>
        <w:rPr>
          <w:spacing w:val="-2"/>
          <w:w w:val="120"/>
        </w:rPr>
        <w:t>Moderator(s) </w:t>
      </w:r>
      <w:r>
        <w:rPr>
          <w:w w:val="120"/>
        </w:rPr>
        <w:t>of</w:t>
      </w:r>
      <w:r>
        <w:rPr>
          <w:spacing w:val="-11"/>
          <w:w w:val="120"/>
        </w:rPr>
        <w:t> </w:t>
      </w:r>
      <w:r>
        <w:rPr>
          <w:w w:val="120"/>
        </w:rPr>
        <w:t>General</w:t>
      </w:r>
      <w:r>
        <w:rPr>
          <w:spacing w:val="-3"/>
          <w:w w:val="120"/>
        </w:rPr>
        <w:t> </w:t>
      </w:r>
      <w:r>
        <w:rPr>
          <w:w w:val="120"/>
        </w:rPr>
        <w:t>Assembly</w:t>
        <w:tab/>
        <w:t>General</w:t>
      </w:r>
      <w:r>
        <w:rPr>
          <w:spacing w:val="2"/>
          <w:w w:val="120"/>
        </w:rPr>
        <w:t> </w:t>
      </w:r>
      <w:r>
        <w:rPr>
          <w:w w:val="120"/>
        </w:rPr>
        <w:t>Secretary</w:t>
      </w:r>
    </w:p>
    <w:p>
      <w:pPr>
        <w:pStyle w:val="BodyText"/>
        <w:tabs>
          <w:tab w:pos="7024" w:val="left" w:leader="none"/>
        </w:tabs>
        <w:spacing w:line="235" w:lineRule="auto" w:before="2"/>
        <w:ind w:left="1984" w:right="2968"/>
      </w:pPr>
      <w:r>
        <w:rPr>
          <w:w w:val="120"/>
        </w:rPr>
        <w:t>Deputy</w:t>
      </w:r>
      <w:r>
        <w:rPr>
          <w:spacing w:val="10"/>
          <w:w w:val="120"/>
        </w:rPr>
        <w:t> </w:t>
      </w:r>
      <w:r>
        <w:rPr>
          <w:w w:val="120"/>
        </w:rPr>
        <w:t>General</w:t>
      </w:r>
      <w:r>
        <w:rPr>
          <w:spacing w:val="11"/>
          <w:w w:val="120"/>
        </w:rPr>
        <w:t> </w:t>
      </w:r>
      <w:r>
        <w:rPr>
          <w:w w:val="120"/>
        </w:rPr>
        <w:t>Secretary</w:t>
        <w:tab/>
      </w:r>
      <w:r>
        <w:rPr>
          <w:spacing w:val="2"/>
          <w:w w:val="120"/>
        </w:rPr>
        <w:t>Honorary </w:t>
      </w:r>
      <w:r>
        <w:rPr>
          <w:spacing w:val="-4"/>
          <w:w w:val="120"/>
        </w:rPr>
        <w:t>Treasurer </w:t>
      </w:r>
      <w:r>
        <w:rPr>
          <w:w w:val="120"/>
        </w:rPr>
        <w:t>Clerk to General</w:t>
      </w:r>
      <w:r>
        <w:rPr>
          <w:spacing w:val="6"/>
          <w:w w:val="120"/>
        </w:rPr>
        <w:t> </w:t>
      </w:r>
      <w:r>
        <w:rPr>
          <w:w w:val="120"/>
        </w:rPr>
        <w:t>Assembly</w:t>
      </w:r>
    </w:p>
    <w:p>
      <w:pPr>
        <w:spacing w:line="242" w:lineRule="exact" w:before="0"/>
        <w:ind w:left="1984" w:right="0" w:firstLine="0"/>
        <w:jc w:val="left"/>
        <w:rPr>
          <w:sz w:val="20"/>
        </w:rPr>
      </w:pPr>
      <w:r>
        <w:rPr>
          <w:i/>
          <w:w w:val="120"/>
          <w:sz w:val="20"/>
        </w:rPr>
        <w:t>In attendance: </w:t>
      </w:r>
      <w:r>
        <w:rPr>
          <w:w w:val="120"/>
          <w:sz w:val="20"/>
        </w:rPr>
        <w:t>Convener, Investment Committee]</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w w:val="110"/>
          <w:sz w:val="20"/>
        </w:rPr>
        <w:t>Church House Management</w:t>
      </w:r>
      <w:r>
        <w:rPr>
          <w:rFonts w:ascii="Stone Sans II ITC Std Bk"/>
          <w:b/>
          <w:spacing w:val="-1"/>
          <w:w w:val="110"/>
          <w:sz w:val="20"/>
        </w:rPr>
        <w:t> </w:t>
      </w:r>
      <w:r>
        <w:rPr>
          <w:rFonts w:ascii="Stone Sans II ITC Std Bk"/>
          <w:b/>
          <w:w w:val="110"/>
          <w:sz w:val="20"/>
        </w:rPr>
        <w:t>Group</w:t>
      </w:r>
    </w:p>
    <w:p>
      <w:pPr>
        <w:pStyle w:val="BodyText"/>
        <w:spacing w:line="233" w:lineRule="exact"/>
        <w:ind w:left="1984"/>
      </w:pPr>
      <w:r>
        <w:rPr>
          <w:w w:val="120"/>
        </w:rPr>
        <w:t>Convener: Mr Donald Swift</w:t>
      </w:r>
    </w:p>
    <w:p>
      <w:pPr>
        <w:pStyle w:val="BodyText"/>
        <w:tabs>
          <w:tab w:pos="7024" w:val="left" w:leader="none"/>
        </w:tabs>
        <w:spacing w:line="240" w:lineRule="exact"/>
        <w:ind w:left="1984"/>
      </w:pPr>
      <w:r>
        <w:rPr>
          <w:w w:val="120"/>
        </w:rPr>
        <w:t>Revd</w:t>
      </w:r>
      <w:r>
        <w:rPr>
          <w:spacing w:val="5"/>
          <w:w w:val="120"/>
        </w:rPr>
        <w:t> </w:t>
      </w:r>
      <w:r>
        <w:rPr>
          <w:spacing w:val="2"/>
          <w:w w:val="120"/>
        </w:rPr>
        <w:t>Meryl</w:t>
      </w:r>
      <w:r>
        <w:rPr>
          <w:spacing w:val="5"/>
          <w:w w:val="120"/>
        </w:rPr>
        <w:t> </w:t>
      </w:r>
      <w:r>
        <w:rPr>
          <w:w w:val="120"/>
        </w:rPr>
        <w:t>Court</w:t>
        <w:tab/>
        <w:t>Mr Mike</w:t>
      </w:r>
      <w:r>
        <w:rPr>
          <w:spacing w:val="4"/>
          <w:w w:val="120"/>
        </w:rPr>
        <w:t> </w:t>
      </w:r>
      <w:r>
        <w:rPr>
          <w:w w:val="120"/>
        </w:rPr>
        <w:t>Gould</w:t>
      </w:r>
    </w:p>
    <w:p>
      <w:pPr>
        <w:pStyle w:val="BodyText"/>
        <w:tabs>
          <w:tab w:pos="7024" w:val="left" w:leader="none"/>
        </w:tabs>
        <w:spacing w:line="240" w:lineRule="exact"/>
        <w:ind w:left="1984"/>
      </w:pPr>
      <w:r>
        <w:rPr>
          <w:w w:val="120"/>
        </w:rPr>
        <w:t>Mr</w:t>
      </w:r>
      <w:r>
        <w:rPr>
          <w:spacing w:val="-4"/>
          <w:w w:val="120"/>
        </w:rPr>
        <w:t> </w:t>
      </w:r>
      <w:r>
        <w:rPr>
          <w:w w:val="120"/>
        </w:rPr>
        <w:t>John</w:t>
      </w:r>
      <w:r>
        <w:rPr>
          <w:spacing w:val="-3"/>
          <w:w w:val="120"/>
        </w:rPr>
        <w:t> </w:t>
      </w:r>
      <w:r>
        <w:rPr>
          <w:w w:val="120"/>
        </w:rPr>
        <w:t>Woodman</w:t>
        <w:tab/>
        <w:t>Head of Human</w:t>
      </w:r>
      <w:r>
        <w:rPr>
          <w:spacing w:val="6"/>
          <w:w w:val="120"/>
        </w:rPr>
        <w:t> </w:t>
      </w:r>
      <w:r>
        <w:rPr>
          <w:w w:val="120"/>
        </w:rPr>
        <w:t>Resources</w:t>
      </w:r>
    </w:p>
    <w:p>
      <w:pPr>
        <w:pStyle w:val="BodyText"/>
        <w:tabs>
          <w:tab w:pos="5144" w:val="left" w:leader="none"/>
          <w:tab w:pos="7744" w:val="left" w:leader="none"/>
        </w:tabs>
        <w:spacing w:line="242" w:lineRule="exact"/>
        <w:ind w:left="1984"/>
      </w:pPr>
      <w:r>
        <w:rPr>
          <w:spacing w:val="-3"/>
          <w:w w:val="120"/>
        </w:rPr>
        <w:t>[</w:t>
      </w:r>
      <w:r>
        <w:rPr>
          <w:i/>
          <w:spacing w:val="-3"/>
          <w:w w:val="120"/>
        </w:rPr>
        <w:t>ex </w:t>
      </w:r>
      <w:r>
        <w:rPr>
          <w:i/>
          <w:w w:val="120"/>
        </w:rPr>
        <w:t>officio:</w:t>
      </w:r>
      <w:r>
        <w:rPr>
          <w:i/>
          <w:spacing w:val="-20"/>
          <w:w w:val="120"/>
        </w:rPr>
        <w:t> </w:t>
      </w:r>
      <w:r>
        <w:rPr>
          <w:w w:val="120"/>
        </w:rPr>
        <w:t>General</w:t>
      </w:r>
      <w:r>
        <w:rPr>
          <w:spacing w:val="-8"/>
          <w:w w:val="120"/>
        </w:rPr>
        <w:t> </w:t>
      </w:r>
      <w:r>
        <w:rPr>
          <w:w w:val="120"/>
        </w:rPr>
        <w:t>Secretary</w:t>
        <w:tab/>
        <w:t>Chief</w:t>
      </w:r>
      <w:r>
        <w:rPr>
          <w:spacing w:val="2"/>
          <w:w w:val="120"/>
        </w:rPr>
        <w:t> </w:t>
      </w:r>
      <w:r>
        <w:rPr>
          <w:w w:val="120"/>
        </w:rPr>
        <w:t>Finance</w:t>
      </w:r>
      <w:r>
        <w:rPr>
          <w:spacing w:val="1"/>
          <w:w w:val="120"/>
        </w:rPr>
        <w:t> </w:t>
      </w:r>
      <w:r>
        <w:rPr>
          <w:w w:val="120"/>
        </w:rPr>
        <w:t>Officer</w:t>
        <w:tab/>
        <w:t>Director of</w:t>
      </w:r>
      <w:r>
        <w:rPr>
          <w:spacing w:val="6"/>
          <w:w w:val="120"/>
        </w:rPr>
        <w:t> </w:t>
      </w:r>
      <w:r>
        <w:rPr>
          <w:w w:val="120"/>
        </w:rPr>
        <w:t>Communications]</w:t>
      </w:r>
    </w:p>
    <w:p>
      <w:pPr>
        <w:pStyle w:val="BodyText"/>
        <w:spacing w:before="12"/>
        <w:rPr>
          <w:sz w:val="18"/>
        </w:rPr>
      </w:pPr>
    </w:p>
    <w:p>
      <w:pPr>
        <w:pStyle w:val="ListParagraph"/>
        <w:numPr>
          <w:ilvl w:val="2"/>
          <w:numId w:val="148"/>
        </w:numPr>
        <w:tabs>
          <w:tab w:pos="2891" w:val="left" w:leader="none"/>
          <w:tab w:pos="2892" w:val="left" w:leader="none"/>
        </w:tabs>
        <w:spacing w:line="230" w:lineRule="auto" w:before="0" w:after="0"/>
        <w:ind w:left="1984" w:right="5759" w:firstLine="0"/>
        <w:jc w:val="left"/>
        <w:rPr>
          <w:sz w:val="20"/>
        </w:rPr>
      </w:pPr>
      <w:r>
        <w:rPr>
          <w:rFonts w:ascii="Stone Sans II ITC Std Bk"/>
          <w:b/>
          <w:w w:val="110"/>
          <w:sz w:val="20"/>
        </w:rPr>
        <w:t>Remuneration Sub-committee </w:t>
      </w:r>
      <w:r>
        <w:rPr>
          <w:w w:val="120"/>
          <w:sz w:val="20"/>
        </w:rPr>
        <w:t>Convener: Deputy General Secretary Secretary: Head of Human</w:t>
      </w:r>
      <w:r>
        <w:rPr>
          <w:spacing w:val="6"/>
          <w:w w:val="120"/>
          <w:sz w:val="20"/>
        </w:rPr>
        <w:t> </w:t>
      </w:r>
      <w:r>
        <w:rPr>
          <w:w w:val="120"/>
          <w:sz w:val="20"/>
        </w:rPr>
        <w:t>Resources</w:t>
      </w:r>
    </w:p>
    <w:p>
      <w:pPr>
        <w:pStyle w:val="BodyText"/>
        <w:tabs>
          <w:tab w:pos="7024" w:val="left" w:leader="none"/>
        </w:tabs>
        <w:spacing w:line="235" w:lineRule="auto"/>
        <w:ind w:left="1984" w:right="1878"/>
      </w:pPr>
      <w:r>
        <w:rPr>
          <w:w w:val="120"/>
        </w:rPr>
        <w:t>Ms Carmila Legarde</w:t>
      </w:r>
      <w:r>
        <w:rPr>
          <w:spacing w:val="27"/>
          <w:w w:val="120"/>
        </w:rPr>
        <w:t> </w:t>
      </w:r>
      <w:r>
        <w:rPr>
          <w:w w:val="120"/>
        </w:rPr>
        <w:t>(Methodist</w:t>
      </w:r>
      <w:r>
        <w:rPr>
          <w:spacing w:val="9"/>
          <w:w w:val="120"/>
        </w:rPr>
        <w:t> </w:t>
      </w:r>
      <w:r>
        <w:rPr>
          <w:spacing w:val="-3"/>
          <w:w w:val="120"/>
        </w:rPr>
        <w:t>HR)</w:t>
        <w:tab/>
      </w:r>
      <w:r>
        <w:rPr>
          <w:w w:val="120"/>
        </w:rPr>
        <w:t>Mr William McVey (URC elder) Mrs </w:t>
      </w:r>
      <w:r>
        <w:rPr>
          <w:spacing w:val="2"/>
          <w:w w:val="120"/>
        </w:rPr>
        <w:t>Mary </w:t>
      </w:r>
      <w:r>
        <w:rPr>
          <w:w w:val="120"/>
        </w:rPr>
        <w:t>Steele </w:t>
      </w:r>
      <w:r>
        <w:rPr>
          <w:spacing w:val="-3"/>
          <w:w w:val="120"/>
        </w:rPr>
        <w:t>(Church </w:t>
      </w:r>
      <w:r>
        <w:rPr>
          <w:w w:val="120"/>
        </w:rPr>
        <w:t>House Staff</w:t>
      </w:r>
      <w:r>
        <w:rPr>
          <w:spacing w:val="9"/>
          <w:w w:val="120"/>
        </w:rPr>
        <w:t> </w:t>
      </w:r>
      <w:r>
        <w:rPr>
          <w:w w:val="120"/>
        </w:rPr>
        <w:t>representative)</w:t>
      </w:r>
    </w:p>
    <w:p>
      <w:pPr>
        <w:pStyle w:val="BodyText"/>
        <w:tabs>
          <w:tab w:pos="7024" w:val="left" w:leader="none"/>
        </w:tabs>
        <w:spacing w:line="242" w:lineRule="exact"/>
        <w:ind w:left="1984"/>
      </w:pPr>
      <w:r>
        <w:rPr>
          <w:spacing w:val="2"/>
          <w:w w:val="120"/>
        </w:rPr>
        <w:t>Honorary</w:t>
      </w:r>
      <w:r>
        <w:rPr>
          <w:spacing w:val="-8"/>
          <w:w w:val="120"/>
        </w:rPr>
        <w:t> </w:t>
      </w:r>
      <w:r>
        <w:rPr>
          <w:w w:val="120"/>
        </w:rPr>
        <w:t>Treasurer</w:t>
        <w:tab/>
        <w:t>Chief Finance</w:t>
      </w:r>
      <w:r>
        <w:rPr>
          <w:spacing w:val="4"/>
          <w:w w:val="120"/>
        </w:rPr>
        <w:t> </w:t>
      </w:r>
      <w:r>
        <w:rPr>
          <w:w w:val="120"/>
        </w:rPr>
        <w:t>Officer</w:t>
      </w:r>
    </w:p>
    <w:p>
      <w:pPr>
        <w:pStyle w:val="BodyText"/>
        <w:spacing w:before="11"/>
        <w:rPr>
          <w:sz w:val="18"/>
        </w:rPr>
      </w:pPr>
    </w:p>
    <w:p>
      <w:pPr>
        <w:pStyle w:val="ListParagraph"/>
        <w:numPr>
          <w:ilvl w:val="1"/>
          <w:numId w:val="148"/>
        </w:numPr>
        <w:tabs>
          <w:tab w:pos="2891" w:val="left" w:leader="none"/>
          <w:tab w:pos="2892" w:val="left" w:leader="none"/>
        </w:tabs>
        <w:spacing w:line="230" w:lineRule="auto" w:before="0" w:after="0"/>
        <w:ind w:left="1984" w:right="1264" w:firstLine="0"/>
        <w:jc w:val="left"/>
        <w:rPr>
          <w:sz w:val="20"/>
        </w:rPr>
      </w:pPr>
      <w:r>
        <w:rPr>
          <w:rFonts w:ascii="Stone Sans II ITC Std Bk" w:hAnsi="Stone Sans II ITC Std Bk"/>
          <w:b/>
          <w:w w:val="110"/>
          <w:sz w:val="20"/>
        </w:rPr>
        <w:t>The</w:t>
      </w:r>
      <w:r>
        <w:rPr>
          <w:rFonts w:ascii="Stone Sans II ITC Std Bk" w:hAnsi="Stone Sans II ITC Std Bk"/>
          <w:b/>
          <w:spacing w:val="-10"/>
          <w:w w:val="110"/>
          <w:sz w:val="20"/>
        </w:rPr>
        <w:t> </w:t>
      </w:r>
      <w:r>
        <w:rPr>
          <w:rFonts w:ascii="Stone Sans II ITC Std Bk" w:hAnsi="Stone Sans II ITC Std Bk"/>
          <w:b/>
          <w:w w:val="110"/>
          <w:sz w:val="20"/>
        </w:rPr>
        <w:t>United</w:t>
      </w:r>
      <w:r>
        <w:rPr>
          <w:rFonts w:ascii="Stone Sans II ITC Std Bk" w:hAnsi="Stone Sans II ITC Std Bk"/>
          <w:b/>
          <w:spacing w:val="-10"/>
          <w:w w:val="110"/>
          <w:sz w:val="20"/>
        </w:rPr>
        <w:t> </w:t>
      </w:r>
      <w:r>
        <w:rPr>
          <w:rFonts w:ascii="Stone Sans II ITC Std Bk" w:hAnsi="Stone Sans II ITC Std Bk"/>
          <w:b/>
          <w:w w:val="110"/>
          <w:sz w:val="20"/>
        </w:rPr>
        <w:t>Reformed</w:t>
      </w:r>
      <w:r>
        <w:rPr>
          <w:rFonts w:ascii="Stone Sans II ITC Std Bk" w:hAnsi="Stone Sans II ITC Std Bk"/>
          <w:b/>
          <w:spacing w:val="-9"/>
          <w:w w:val="110"/>
          <w:sz w:val="20"/>
        </w:rPr>
        <w:t> </w:t>
      </w:r>
      <w:r>
        <w:rPr>
          <w:rFonts w:ascii="Stone Sans II ITC Std Bk" w:hAnsi="Stone Sans II ITC Std Bk"/>
          <w:b/>
          <w:w w:val="110"/>
          <w:sz w:val="20"/>
        </w:rPr>
        <w:t>Church</w:t>
      </w:r>
      <w:r>
        <w:rPr>
          <w:rFonts w:ascii="Stone Sans II ITC Std Bk" w:hAnsi="Stone Sans II ITC Std Bk"/>
          <w:b/>
          <w:spacing w:val="-10"/>
          <w:w w:val="110"/>
          <w:sz w:val="20"/>
        </w:rPr>
        <w:t> </w:t>
      </w:r>
      <w:r>
        <w:rPr>
          <w:rFonts w:ascii="Stone Sans II ITC Std Bk" w:hAnsi="Stone Sans II ITC Std Bk"/>
          <w:b/>
          <w:spacing w:val="-3"/>
          <w:w w:val="110"/>
          <w:sz w:val="20"/>
        </w:rPr>
        <w:t>Ministers’</w:t>
      </w:r>
      <w:r>
        <w:rPr>
          <w:rFonts w:ascii="Stone Sans II ITC Std Bk" w:hAnsi="Stone Sans II ITC Std Bk"/>
          <w:b/>
          <w:spacing w:val="-10"/>
          <w:w w:val="110"/>
          <w:sz w:val="20"/>
        </w:rPr>
        <w:t> </w:t>
      </w:r>
      <w:r>
        <w:rPr>
          <w:rFonts w:ascii="Stone Sans II ITC Std Bk" w:hAnsi="Stone Sans II ITC Std Bk"/>
          <w:b/>
          <w:w w:val="110"/>
          <w:sz w:val="20"/>
        </w:rPr>
        <w:t>Pension</w:t>
      </w:r>
      <w:r>
        <w:rPr>
          <w:rFonts w:ascii="Stone Sans II ITC Std Bk" w:hAnsi="Stone Sans II ITC Std Bk"/>
          <w:b/>
          <w:spacing w:val="-9"/>
          <w:w w:val="110"/>
          <w:sz w:val="20"/>
        </w:rPr>
        <w:t> </w:t>
      </w:r>
      <w:r>
        <w:rPr>
          <w:rFonts w:ascii="Stone Sans II ITC Std Bk" w:hAnsi="Stone Sans II ITC Std Bk"/>
          <w:b/>
          <w:spacing w:val="-4"/>
          <w:w w:val="110"/>
          <w:sz w:val="20"/>
        </w:rPr>
        <w:t>Trust</w:t>
      </w:r>
      <w:r>
        <w:rPr>
          <w:rFonts w:ascii="Stone Sans II ITC Std Bk" w:hAnsi="Stone Sans II ITC Std Bk"/>
          <w:b/>
          <w:spacing w:val="-10"/>
          <w:w w:val="110"/>
          <w:sz w:val="20"/>
        </w:rPr>
        <w:t> </w:t>
      </w:r>
      <w:r>
        <w:rPr>
          <w:rFonts w:ascii="Stone Sans II ITC Std Bk" w:hAnsi="Stone Sans II ITC Std Bk"/>
          <w:b/>
          <w:spacing w:val="-2"/>
          <w:w w:val="110"/>
          <w:sz w:val="20"/>
        </w:rPr>
        <w:t>Ltd</w:t>
      </w:r>
      <w:r>
        <w:rPr>
          <w:rFonts w:ascii="Stone Sans II ITC Std Bk" w:hAnsi="Stone Sans II ITC Std Bk"/>
          <w:b/>
          <w:spacing w:val="-10"/>
          <w:w w:val="110"/>
          <w:sz w:val="20"/>
        </w:rPr>
        <w:t> </w:t>
      </w:r>
      <w:r>
        <w:rPr>
          <w:rFonts w:ascii="Stone Sans II ITC Std Bk" w:hAnsi="Stone Sans II ITC Std Bk"/>
          <w:b/>
          <w:w w:val="110"/>
          <w:sz w:val="20"/>
        </w:rPr>
        <w:t>Board</w:t>
      </w:r>
      <w:r>
        <w:rPr>
          <w:rFonts w:ascii="Stone Sans II ITC Std Bk" w:hAnsi="Stone Sans II ITC Std Bk"/>
          <w:b/>
          <w:spacing w:val="-9"/>
          <w:w w:val="110"/>
          <w:sz w:val="20"/>
        </w:rPr>
        <w:t> </w:t>
      </w:r>
      <w:r>
        <w:rPr>
          <w:rFonts w:ascii="Stone Sans II ITC Std Bk" w:hAnsi="Stone Sans II ITC Std Bk"/>
          <w:b/>
          <w:w w:val="110"/>
          <w:sz w:val="20"/>
        </w:rPr>
        <w:t>Members </w:t>
      </w:r>
      <w:r>
        <w:rPr>
          <w:i/>
          <w:w w:val="110"/>
          <w:sz w:val="20"/>
        </w:rPr>
        <w:t>(Members normally serve for six years. </w:t>
      </w:r>
      <w:r>
        <w:rPr>
          <w:i/>
          <w:spacing w:val="-4"/>
          <w:w w:val="110"/>
          <w:sz w:val="20"/>
        </w:rPr>
        <w:t>Terms </w:t>
      </w:r>
      <w:r>
        <w:rPr>
          <w:i/>
          <w:w w:val="110"/>
          <w:sz w:val="20"/>
        </w:rPr>
        <w:t>run until the AGM in </w:t>
      </w:r>
      <w:r>
        <w:rPr>
          <w:i/>
          <w:spacing w:val="-3"/>
          <w:w w:val="110"/>
          <w:sz w:val="20"/>
        </w:rPr>
        <w:t>September. </w:t>
      </w:r>
      <w:r>
        <w:rPr>
          <w:i/>
          <w:w w:val="110"/>
          <w:sz w:val="20"/>
        </w:rPr>
        <w:t>The board </w:t>
      </w:r>
      <w:r>
        <w:rPr>
          <w:i/>
          <w:w w:val="110"/>
          <w:sz w:val="20"/>
        </w:rPr>
        <w:t>members elect the chair from among their own number and appoint the company secretary.) </w:t>
      </w:r>
      <w:r>
        <w:rPr>
          <w:w w:val="110"/>
          <w:sz w:val="20"/>
        </w:rPr>
        <w:t>Chair: Revd Rowena Francis</w:t>
      </w:r>
      <w:r>
        <w:rPr>
          <w:spacing w:val="38"/>
          <w:w w:val="110"/>
          <w:sz w:val="20"/>
        </w:rPr>
        <w:t> </w:t>
      </w:r>
      <w:r>
        <w:rPr>
          <w:spacing w:val="-8"/>
          <w:w w:val="110"/>
          <w:sz w:val="20"/>
        </w:rPr>
        <w:t>[2014]</w:t>
      </w:r>
    </w:p>
    <w:p>
      <w:pPr>
        <w:pStyle w:val="BodyText"/>
        <w:spacing w:line="242" w:lineRule="exact" w:before="2"/>
        <w:ind w:left="1984"/>
      </w:pPr>
      <w:r>
        <w:rPr>
          <w:w w:val="120"/>
        </w:rPr>
        <w:t>Secretary: Ms Sandi Hallam-Jones</w:t>
      </w:r>
    </w:p>
    <w:p>
      <w:pPr>
        <w:pStyle w:val="BodyText"/>
        <w:tabs>
          <w:tab w:pos="4144" w:val="left" w:leader="none"/>
          <w:tab w:pos="7024" w:val="left" w:leader="none"/>
        </w:tabs>
        <w:spacing w:line="235" w:lineRule="auto" w:before="2"/>
        <w:ind w:left="4144" w:right="1997" w:hanging="2160"/>
      </w:pPr>
      <w:r>
        <w:rPr>
          <w:w w:val="120"/>
        </w:rPr>
        <w:t>Members</w:t>
      </w:r>
      <w:r>
        <w:rPr>
          <w:spacing w:val="2"/>
          <w:w w:val="120"/>
        </w:rPr>
        <w:t> </w:t>
      </w:r>
      <w:r>
        <w:rPr>
          <w:w w:val="120"/>
        </w:rPr>
        <w:t>of</w:t>
      </w:r>
      <w:r>
        <w:rPr>
          <w:spacing w:val="2"/>
          <w:w w:val="120"/>
        </w:rPr>
        <w:t> </w:t>
      </w:r>
      <w:r>
        <w:rPr>
          <w:w w:val="120"/>
        </w:rPr>
        <w:t>URC:</w:t>
        <w:tab/>
        <w:t>Mr Andrew</w:t>
      </w:r>
      <w:r>
        <w:rPr>
          <w:spacing w:val="15"/>
          <w:w w:val="120"/>
        </w:rPr>
        <w:t> </w:t>
      </w:r>
      <w:r>
        <w:rPr>
          <w:w w:val="120"/>
        </w:rPr>
        <w:t>Perkins</w:t>
      </w:r>
      <w:r>
        <w:rPr>
          <w:spacing w:val="7"/>
          <w:w w:val="120"/>
        </w:rPr>
        <w:t> </w:t>
      </w:r>
      <w:r>
        <w:rPr>
          <w:spacing w:val="-11"/>
          <w:w w:val="120"/>
        </w:rPr>
        <w:t>[2011]</w:t>
        <w:tab/>
      </w:r>
      <w:r>
        <w:rPr>
          <w:w w:val="120"/>
        </w:rPr>
        <w:t>Revd Dr John Dyce </w:t>
      </w:r>
      <w:r>
        <w:rPr>
          <w:spacing w:val="-8"/>
          <w:w w:val="120"/>
        </w:rPr>
        <w:t>[2014] </w:t>
      </w:r>
      <w:r>
        <w:rPr>
          <w:w w:val="120"/>
        </w:rPr>
        <w:t>Revd Rowena Francis </w:t>
      </w:r>
      <w:r>
        <w:rPr>
          <w:spacing w:val="-8"/>
          <w:w w:val="120"/>
        </w:rPr>
        <w:t>[2014] </w:t>
      </w:r>
      <w:r>
        <w:rPr>
          <w:w w:val="120"/>
        </w:rPr>
        <w:t>Revd Roger Woodall**</w:t>
      </w:r>
      <w:r>
        <w:rPr>
          <w:spacing w:val="34"/>
          <w:w w:val="120"/>
        </w:rPr>
        <w:t> </w:t>
      </w:r>
      <w:r>
        <w:rPr>
          <w:spacing w:val="-7"/>
          <w:w w:val="120"/>
        </w:rPr>
        <w:t>[2016]</w:t>
      </w:r>
    </w:p>
    <w:p>
      <w:pPr>
        <w:pStyle w:val="BodyText"/>
        <w:tabs>
          <w:tab w:pos="4144" w:val="left" w:leader="none"/>
          <w:tab w:pos="7024" w:val="left" w:leader="none"/>
        </w:tabs>
        <w:spacing w:line="235" w:lineRule="auto" w:before="1"/>
        <w:ind w:left="4144" w:right="2191" w:hanging="2160"/>
      </w:pPr>
      <w:r>
        <w:rPr>
          <w:w w:val="120"/>
        </w:rPr>
        <w:t>Members</w:t>
      </w:r>
      <w:r>
        <w:rPr>
          <w:spacing w:val="-1"/>
          <w:w w:val="120"/>
        </w:rPr>
        <w:t> </w:t>
      </w:r>
      <w:r>
        <w:rPr>
          <w:w w:val="120"/>
        </w:rPr>
        <w:t>of Fund:</w:t>
        <w:tab/>
        <w:t>Revd Kate</w:t>
      </w:r>
      <w:r>
        <w:rPr>
          <w:spacing w:val="13"/>
          <w:w w:val="120"/>
        </w:rPr>
        <w:t> </w:t>
      </w:r>
      <w:r>
        <w:rPr>
          <w:w w:val="120"/>
        </w:rPr>
        <w:t>Gartside*</w:t>
      </w:r>
      <w:r>
        <w:rPr>
          <w:spacing w:val="7"/>
          <w:w w:val="120"/>
        </w:rPr>
        <w:t> </w:t>
      </w:r>
      <w:r>
        <w:rPr>
          <w:spacing w:val="-8"/>
          <w:w w:val="120"/>
        </w:rPr>
        <w:t>[2015]</w:t>
        <w:tab/>
      </w:r>
      <w:r>
        <w:rPr>
          <w:w w:val="120"/>
        </w:rPr>
        <w:t>Revd Duncan Wilson </w:t>
      </w:r>
      <w:r>
        <w:rPr>
          <w:spacing w:val="-8"/>
          <w:w w:val="120"/>
        </w:rPr>
        <w:t>[2012] </w:t>
      </w:r>
      <w:r>
        <w:rPr>
          <w:w w:val="120"/>
        </w:rPr>
        <w:t>Revd David</w:t>
      </w:r>
      <w:r>
        <w:rPr>
          <w:spacing w:val="30"/>
          <w:w w:val="120"/>
        </w:rPr>
        <w:t> </w:t>
      </w:r>
      <w:r>
        <w:rPr>
          <w:w w:val="120"/>
        </w:rPr>
        <w:t>Bedford</w:t>
      </w:r>
      <w:r>
        <w:rPr>
          <w:spacing w:val="16"/>
          <w:w w:val="120"/>
        </w:rPr>
        <w:t> </w:t>
      </w:r>
      <w:r>
        <w:rPr>
          <w:spacing w:val="-8"/>
          <w:w w:val="120"/>
        </w:rPr>
        <w:t>[2012]</w:t>
        <w:tab/>
      </w:r>
      <w:r>
        <w:rPr>
          <w:w w:val="120"/>
        </w:rPr>
        <w:t>Revd Jacky Embrey</w:t>
      </w:r>
      <w:r>
        <w:rPr>
          <w:spacing w:val="21"/>
          <w:w w:val="120"/>
        </w:rPr>
        <w:t> </w:t>
      </w:r>
      <w:r>
        <w:rPr>
          <w:spacing w:val="-8"/>
          <w:w w:val="120"/>
        </w:rPr>
        <w:t>[2014]</w:t>
      </w:r>
    </w:p>
    <w:p>
      <w:pPr>
        <w:pStyle w:val="BodyText"/>
        <w:tabs>
          <w:tab w:pos="6304" w:val="left" w:leader="none"/>
        </w:tabs>
        <w:spacing w:line="240" w:lineRule="exact"/>
        <w:ind w:left="1984"/>
      </w:pPr>
      <w:r>
        <w:rPr>
          <w:spacing w:val="-3"/>
          <w:w w:val="120"/>
        </w:rPr>
        <w:t>[</w:t>
      </w:r>
      <w:r>
        <w:rPr>
          <w:i/>
          <w:spacing w:val="-3"/>
          <w:w w:val="120"/>
        </w:rPr>
        <w:t>ex </w:t>
      </w:r>
      <w:r>
        <w:rPr>
          <w:i/>
          <w:w w:val="120"/>
        </w:rPr>
        <w:t>officio:</w:t>
      </w:r>
      <w:r>
        <w:rPr>
          <w:i/>
          <w:spacing w:val="-33"/>
          <w:w w:val="120"/>
        </w:rPr>
        <w:t> </w:t>
      </w:r>
      <w:r>
        <w:rPr>
          <w:spacing w:val="2"/>
          <w:w w:val="120"/>
        </w:rPr>
        <w:t>Honorary</w:t>
      </w:r>
      <w:r>
        <w:rPr>
          <w:spacing w:val="-16"/>
          <w:w w:val="120"/>
        </w:rPr>
        <w:t> </w:t>
      </w:r>
      <w:r>
        <w:rPr>
          <w:w w:val="120"/>
        </w:rPr>
        <w:t>Treasurer</w:t>
        <w:tab/>
      </w:r>
      <w:r>
        <w:rPr>
          <w:spacing w:val="-3"/>
          <w:w w:val="120"/>
        </w:rPr>
        <w:t>Convener, </w:t>
      </w:r>
      <w:r>
        <w:rPr>
          <w:w w:val="120"/>
        </w:rPr>
        <w:t>Investment</w:t>
      </w:r>
      <w:r>
        <w:rPr>
          <w:spacing w:val="8"/>
          <w:w w:val="120"/>
        </w:rPr>
        <w:t> </w:t>
      </w:r>
      <w:r>
        <w:rPr>
          <w:w w:val="120"/>
        </w:rPr>
        <w:t>Committee</w:t>
      </w:r>
    </w:p>
    <w:p>
      <w:pPr>
        <w:pStyle w:val="BodyText"/>
        <w:tabs>
          <w:tab w:pos="7744" w:val="left" w:leader="none"/>
        </w:tabs>
        <w:spacing w:line="242" w:lineRule="exact"/>
        <w:ind w:left="1984"/>
      </w:pPr>
      <w:r>
        <w:rPr>
          <w:spacing w:val="-3"/>
          <w:w w:val="120"/>
        </w:rPr>
        <w:t>Convener, </w:t>
      </w:r>
      <w:r>
        <w:rPr>
          <w:w w:val="120"/>
        </w:rPr>
        <w:t>Maintenance of</w:t>
      </w:r>
      <w:r>
        <w:rPr>
          <w:spacing w:val="17"/>
          <w:w w:val="120"/>
        </w:rPr>
        <w:t> </w:t>
      </w:r>
      <w:r>
        <w:rPr>
          <w:w w:val="120"/>
        </w:rPr>
        <w:t>Ministry</w:t>
      </w:r>
      <w:r>
        <w:rPr>
          <w:spacing w:val="5"/>
          <w:w w:val="120"/>
        </w:rPr>
        <w:t> </w:t>
      </w:r>
      <w:r>
        <w:rPr>
          <w:w w:val="120"/>
        </w:rPr>
        <w:t>Sub-committee</w:t>
        <w:tab/>
      </w:r>
      <w:r>
        <w:rPr>
          <w:spacing w:val="-3"/>
          <w:w w:val="120"/>
        </w:rPr>
        <w:t>Convener, </w:t>
      </w:r>
      <w:r>
        <w:rPr>
          <w:w w:val="120"/>
        </w:rPr>
        <w:t>Pensions</w:t>
      </w:r>
      <w:r>
        <w:rPr>
          <w:spacing w:val="9"/>
          <w:w w:val="120"/>
        </w:rPr>
        <w:t> </w:t>
      </w:r>
      <w:r>
        <w:rPr>
          <w:w w:val="120"/>
        </w:rPr>
        <w:t>Executive]</w:t>
      </w:r>
    </w:p>
    <w:p>
      <w:pPr>
        <w:spacing w:after="0" w:line="242" w:lineRule="exact"/>
        <w:sectPr>
          <w:pgSz w:w="11910" w:h="16840"/>
          <w:pgMar w:header="0" w:footer="647" w:top="1060" w:bottom="840" w:left="0" w:right="0"/>
        </w:sectPr>
      </w:pPr>
    </w:p>
    <w:p>
      <w:pPr>
        <w:pStyle w:val="ListParagraph"/>
        <w:numPr>
          <w:ilvl w:val="1"/>
          <w:numId w:val="148"/>
        </w:numPr>
        <w:tabs>
          <w:tab w:pos="1814" w:val="left" w:leader="none"/>
          <w:tab w:pos="1815" w:val="left" w:leader="none"/>
        </w:tabs>
        <w:spacing w:line="230" w:lineRule="auto" w:before="99" w:after="0"/>
        <w:ind w:left="1133" w:right="7193" w:firstLine="0"/>
        <w:jc w:val="left"/>
        <w:rPr>
          <w:sz w:val="20"/>
        </w:rPr>
      </w:pPr>
      <w:r>
        <w:rPr/>
        <w:pict>
          <v:rect style="position:absolute;margin-left:12.047pt;margin-top:8.490288pt;width:22.677pt;height:22.677pt;mso-position-horizontal-relative:page;mso-position-vertical-relative:paragraph;z-index:252211200" filled="true" fillcolor="#dae4ec" stroked="false">
            <v:fill opacity="32768f" type="solid"/>
            <w10:wrap type="none"/>
          </v:rect>
        </w:pict>
      </w:r>
      <w:r>
        <w:rPr>
          <w:rFonts w:ascii="Stone Sans II ITC Std Bk"/>
          <w:b/>
          <w:w w:val="120"/>
          <w:sz w:val="20"/>
        </w:rPr>
        <w:t>Pensions Executive </w:t>
      </w:r>
      <w:r>
        <w:rPr>
          <w:w w:val="120"/>
          <w:sz w:val="20"/>
        </w:rPr>
        <w:t>Convener: Mr Maurice Dyson </w:t>
      </w:r>
      <w:r>
        <w:rPr>
          <w:spacing w:val="-8"/>
          <w:w w:val="120"/>
          <w:sz w:val="20"/>
        </w:rPr>
        <w:t>[2012] </w:t>
      </w:r>
      <w:r>
        <w:rPr>
          <w:w w:val="120"/>
          <w:sz w:val="20"/>
        </w:rPr>
        <w:t>Secretary: Mrs Judy</w:t>
      </w:r>
      <w:r>
        <w:rPr>
          <w:spacing w:val="5"/>
          <w:w w:val="120"/>
          <w:sz w:val="20"/>
        </w:rPr>
        <w:t> </w:t>
      </w:r>
      <w:r>
        <w:rPr>
          <w:w w:val="120"/>
          <w:sz w:val="20"/>
        </w:rPr>
        <w:t>Stockings</w:t>
      </w:r>
    </w:p>
    <w:p>
      <w:pPr>
        <w:pStyle w:val="BodyText"/>
        <w:tabs>
          <w:tab w:pos="5453" w:val="left" w:leader="none"/>
        </w:tabs>
        <w:spacing w:line="238" w:lineRule="exact"/>
        <w:ind w:left="1133"/>
      </w:pPr>
      <w:r>
        <w:rPr>
          <w:w w:val="120"/>
        </w:rPr>
        <w:t>Members: Revd Kathryn</w:t>
      </w:r>
      <w:r>
        <w:rPr>
          <w:spacing w:val="29"/>
          <w:w w:val="120"/>
        </w:rPr>
        <w:t> </w:t>
      </w:r>
      <w:r>
        <w:rPr>
          <w:spacing w:val="-3"/>
          <w:w w:val="120"/>
        </w:rPr>
        <w:t>Taylor</w:t>
      </w:r>
      <w:r>
        <w:rPr>
          <w:spacing w:val="10"/>
          <w:w w:val="120"/>
        </w:rPr>
        <w:t> </w:t>
      </w:r>
      <w:r>
        <w:rPr>
          <w:spacing w:val="-8"/>
          <w:w w:val="120"/>
        </w:rPr>
        <w:t>[2012]</w:t>
        <w:tab/>
      </w:r>
      <w:r>
        <w:rPr>
          <w:w w:val="120"/>
        </w:rPr>
        <w:t>Revd Roger Woodall*</w:t>
      </w:r>
      <w:r>
        <w:rPr>
          <w:spacing w:val="7"/>
          <w:w w:val="120"/>
        </w:rPr>
        <w:t> </w:t>
      </w:r>
      <w:r>
        <w:rPr>
          <w:spacing w:val="-9"/>
          <w:w w:val="120"/>
        </w:rPr>
        <w:t>[2013]</w:t>
      </w:r>
    </w:p>
    <w:p>
      <w:pPr>
        <w:tabs>
          <w:tab w:pos="7462" w:val="left" w:leader="none"/>
        </w:tabs>
        <w:spacing w:line="235" w:lineRule="auto" w:before="2"/>
        <w:ind w:left="1133" w:right="2136" w:firstLine="0"/>
        <w:jc w:val="left"/>
        <w:rPr>
          <w:i/>
          <w:sz w:val="20"/>
        </w:rPr>
      </w:pPr>
      <w:r>
        <w:rPr>
          <w:spacing w:val="-3"/>
          <w:w w:val="115"/>
          <w:sz w:val="20"/>
        </w:rPr>
        <w:t>[</w:t>
      </w:r>
      <w:r>
        <w:rPr>
          <w:i/>
          <w:spacing w:val="-3"/>
          <w:w w:val="115"/>
          <w:sz w:val="20"/>
        </w:rPr>
        <w:t>ex </w:t>
      </w:r>
      <w:r>
        <w:rPr>
          <w:i/>
          <w:w w:val="115"/>
          <w:sz w:val="20"/>
        </w:rPr>
        <w:t>officio</w:t>
      </w:r>
      <w:r>
        <w:rPr>
          <w:w w:val="115"/>
          <w:sz w:val="20"/>
        </w:rPr>
        <w:t>: </w:t>
      </w:r>
      <w:r>
        <w:rPr>
          <w:spacing w:val="-3"/>
          <w:w w:val="115"/>
          <w:sz w:val="20"/>
        </w:rPr>
        <w:t>Convener,  </w:t>
      </w:r>
      <w:r>
        <w:rPr>
          <w:w w:val="115"/>
          <w:sz w:val="20"/>
        </w:rPr>
        <w:t>Maintenance of </w:t>
      </w:r>
      <w:r>
        <w:rPr>
          <w:spacing w:val="46"/>
          <w:w w:val="115"/>
          <w:sz w:val="20"/>
        </w:rPr>
        <w:t> </w:t>
      </w:r>
      <w:r>
        <w:rPr>
          <w:w w:val="115"/>
          <w:sz w:val="20"/>
        </w:rPr>
        <w:t>Ministry</w:t>
      </w:r>
      <w:r>
        <w:rPr>
          <w:spacing w:val="29"/>
          <w:w w:val="115"/>
          <w:sz w:val="20"/>
        </w:rPr>
        <w:t> </w:t>
      </w:r>
      <w:r>
        <w:rPr>
          <w:w w:val="115"/>
          <w:sz w:val="20"/>
        </w:rPr>
        <w:t>Sub-committee</w:t>
        <w:tab/>
      </w:r>
      <w:r>
        <w:rPr>
          <w:spacing w:val="2"/>
          <w:w w:val="115"/>
          <w:sz w:val="20"/>
        </w:rPr>
        <w:t>Honorary </w:t>
      </w:r>
      <w:r>
        <w:rPr>
          <w:spacing w:val="-3"/>
          <w:w w:val="115"/>
          <w:sz w:val="20"/>
        </w:rPr>
        <w:t>Treasurer] </w:t>
      </w:r>
      <w:r>
        <w:rPr>
          <w:i/>
          <w:w w:val="115"/>
          <w:sz w:val="20"/>
        </w:rPr>
        <w:t>(The</w:t>
      </w:r>
      <w:r>
        <w:rPr>
          <w:i/>
          <w:spacing w:val="-24"/>
          <w:w w:val="115"/>
          <w:sz w:val="20"/>
        </w:rPr>
        <w:t> </w:t>
      </w:r>
      <w:r>
        <w:rPr>
          <w:i/>
          <w:w w:val="115"/>
          <w:sz w:val="20"/>
        </w:rPr>
        <w:t>Pensions</w:t>
      </w:r>
      <w:r>
        <w:rPr>
          <w:i/>
          <w:spacing w:val="-23"/>
          <w:w w:val="115"/>
          <w:sz w:val="20"/>
        </w:rPr>
        <w:t> </w:t>
      </w:r>
      <w:r>
        <w:rPr>
          <w:i/>
          <w:w w:val="115"/>
          <w:sz w:val="20"/>
        </w:rPr>
        <w:t>Executive</w:t>
      </w:r>
      <w:r>
        <w:rPr>
          <w:i/>
          <w:spacing w:val="-24"/>
          <w:w w:val="115"/>
          <w:sz w:val="20"/>
        </w:rPr>
        <w:t> </w:t>
      </w:r>
      <w:r>
        <w:rPr>
          <w:i/>
          <w:w w:val="115"/>
          <w:sz w:val="20"/>
        </w:rPr>
        <w:t>reports</w:t>
      </w:r>
      <w:r>
        <w:rPr>
          <w:i/>
          <w:spacing w:val="-23"/>
          <w:w w:val="115"/>
          <w:sz w:val="20"/>
        </w:rPr>
        <w:t> </w:t>
      </w:r>
      <w:r>
        <w:rPr>
          <w:i/>
          <w:w w:val="115"/>
          <w:sz w:val="20"/>
        </w:rPr>
        <w:t>to</w:t>
      </w:r>
      <w:r>
        <w:rPr>
          <w:i/>
          <w:spacing w:val="-23"/>
          <w:w w:val="115"/>
          <w:sz w:val="20"/>
        </w:rPr>
        <w:t> </w:t>
      </w:r>
      <w:r>
        <w:rPr>
          <w:i/>
          <w:w w:val="115"/>
          <w:sz w:val="20"/>
        </w:rPr>
        <w:t>the</w:t>
      </w:r>
      <w:r>
        <w:rPr>
          <w:i/>
          <w:spacing w:val="-24"/>
          <w:w w:val="115"/>
          <w:sz w:val="20"/>
        </w:rPr>
        <w:t> </w:t>
      </w:r>
      <w:r>
        <w:rPr>
          <w:i/>
          <w:w w:val="115"/>
          <w:sz w:val="20"/>
        </w:rPr>
        <w:t>United</w:t>
      </w:r>
      <w:r>
        <w:rPr>
          <w:i/>
          <w:spacing w:val="-23"/>
          <w:w w:val="115"/>
          <w:sz w:val="20"/>
        </w:rPr>
        <w:t> </w:t>
      </w:r>
      <w:r>
        <w:rPr>
          <w:i/>
          <w:w w:val="115"/>
          <w:sz w:val="20"/>
        </w:rPr>
        <w:t>Reformed</w:t>
      </w:r>
      <w:r>
        <w:rPr>
          <w:i/>
          <w:spacing w:val="-24"/>
          <w:w w:val="115"/>
          <w:sz w:val="20"/>
        </w:rPr>
        <w:t> </w:t>
      </w:r>
      <w:r>
        <w:rPr>
          <w:i/>
          <w:w w:val="115"/>
          <w:sz w:val="20"/>
        </w:rPr>
        <w:t>Church</w:t>
      </w:r>
      <w:r>
        <w:rPr>
          <w:i/>
          <w:spacing w:val="-23"/>
          <w:w w:val="115"/>
          <w:sz w:val="20"/>
        </w:rPr>
        <w:t> </w:t>
      </w:r>
      <w:r>
        <w:rPr>
          <w:i/>
          <w:w w:val="115"/>
          <w:sz w:val="20"/>
        </w:rPr>
        <w:t>Ministers’</w:t>
      </w:r>
      <w:r>
        <w:rPr>
          <w:i/>
          <w:spacing w:val="-23"/>
          <w:w w:val="115"/>
          <w:sz w:val="20"/>
        </w:rPr>
        <w:t> </w:t>
      </w:r>
      <w:r>
        <w:rPr>
          <w:i/>
          <w:w w:val="115"/>
          <w:sz w:val="20"/>
        </w:rPr>
        <w:t>Pensions</w:t>
      </w:r>
      <w:r>
        <w:rPr>
          <w:i/>
          <w:spacing w:val="-24"/>
          <w:w w:val="115"/>
          <w:sz w:val="20"/>
        </w:rPr>
        <w:t> </w:t>
      </w:r>
      <w:r>
        <w:rPr>
          <w:i/>
          <w:spacing w:val="-3"/>
          <w:w w:val="115"/>
          <w:sz w:val="20"/>
        </w:rPr>
        <w:t>Trust</w:t>
      </w:r>
      <w:r>
        <w:rPr>
          <w:i/>
          <w:spacing w:val="-21"/>
          <w:w w:val="115"/>
          <w:sz w:val="20"/>
        </w:rPr>
        <w:t> </w:t>
      </w:r>
      <w:r>
        <w:rPr>
          <w:i/>
          <w:w w:val="115"/>
          <w:sz w:val="20"/>
        </w:rPr>
        <w:t>Board, </w:t>
      </w:r>
      <w:r>
        <w:rPr>
          <w:i/>
          <w:w w:val="115"/>
          <w:sz w:val="20"/>
        </w:rPr>
        <w:t>the Maintenance of Ministry Sub-committee and to the Finance</w:t>
      </w:r>
      <w:r>
        <w:rPr>
          <w:i/>
          <w:spacing w:val="-34"/>
          <w:w w:val="115"/>
          <w:sz w:val="20"/>
        </w:rPr>
        <w:t> </w:t>
      </w:r>
      <w:r>
        <w:rPr>
          <w:i/>
          <w:w w:val="115"/>
          <w:sz w:val="20"/>
        </w:rPr>
        <w:t>Committee.)</w:t>
      </w:r>
    </w:p>
    <w:p>
      <w:pPr>
        <w:pStyle w:val="BodyText"/>
        <w:spacing w:before="1"/>
        <w:rPr>
          <w:i/>
          <w:sz w:val="19"/>
        </w:rPr>
      </w:pPr>
    </w:p>
    <w:p>
      <w:pPr>
        <w:pStyle w:val="ListParagraph"/>
        <w:numPr>
          <w:ilvl w:val="1"/>
          <w:numId w:val="148"/>
        </w:numPr>
        <w:tabs>
          <w:tab w:pos="1814" w:val="left" w:leader="none"/>
          <w:tab w:pos="1815" w:val="left" w:leader="none"/>
        </w:tabs>
        <w:spacing w:line="230" w:lineRule="auto" w:before="1" w:after="0"/>
        <w:ind w:left="1133" w:right="7328" w:firstLine="0"/>
        <w:jc w:val="left"/>
        <w:rPr>
          <w:sz w:val="20"/>
        </w:rPr>
      </w:pPr>
      <w:r>
        <w:rPr>
          <w:rFonts w:ascii="Stone Sans II ITC Std Bk"/>
          <w:b/>
          <w:w w:val="115"/>
          <w:sz w:val="20"/>
        </w:rPr>
        <w:t>Investment Committee </w:t>
      </w:r>
      <w:r>
        <w:rPr>
          <w:w w:val="115"/>
          <w:sz w:val="20"/>
        </w:rPr>
        <w:t>Convener: Mr Richard Nunn </w:t>
      </w:r>
      <w:r>
        <w:rPr>
          <w:spacing w:val="-9"/>
          <w:w w:val="115"/>
          <w:sz w:val="20"/>
        </w:rPr>
        <w:t>[2013] </w:t>
      </w:r>
      <w:r>
        <w:rPr>
          <w:w w:val="115"/>
          <w:sz w:val="20"/>
        </w:rPr>
        <w:t>Secretary: Ms Sandi Hallam-Jones Members:</w:t>
      </w:r>
    </w:p>
    <w:p>
      <w:pPr>
        <w:pStyle w:val="BodyText"/>
        <w:tabs>
          <w:tab w:pos="6173" w:val="left" w:leader="none"/>
        </w:tabs>
        <w:spacing w:line="242" w:lineRule="exact" w:before="1"/>
        <w:ind w:left="1133"/>
      </w:pPr>
      <w:r>
        <w:rPr>
          <w:w w:val="120"/>
        </w:rPr>
        <w:t>Mr Michael</w:t>
      </w:r>
      <w:r>
        <w:rPr>
          <w:spacing w:val="20"/>
          <w:w w:val="120"/>
        </w:rPr>
        <w:t> </w:t>
      </w:r>
      <w:r>
        <w:rPr>
          <w:w w:val="120"/>
        </w:rPr>
        <w:t>Goldsmith</w:t>
      </w:r>
      <w:r>
        <w:rPr>
          <w:spacing w:val="10"/>
          <w:w w:val="120"/>
        </w:rPr>
        <w:t> </w:t>
      </w:r>
      <w:r>
        <w:rPr>
          <w:spacing w:val="-8"/>
          <w:w w:val="120"/>
        </w:rPr>
        <w:t>[2012]</w:t>
        <w:tab/>
      </w:r>
      <w:r>
        <w:rPr>
          <w:w w:val="120"/>
        </w:rPr>
        <w:t>Dr Brian Woodhall</w:t>
      </w:r>
      <w:r>
        <w:rPr>
          <w:spacing w:val="8"/>
          <w:w w:val="120"/>
        </w:rPr>
        <w:t> </w:t>
      </w:r>
      <w:r>
        <w:rPr>
          <w:spacing w:val="-8"/>
          <w:w w:val="120"/>
        </w:rPr>
        <w:t>[2012]</w:t>
      </w:r>
    </w:p>
    <w:p>
      <w:pPr>
        <w:pStyle w:val="BodyText"/>
        <w:tabs>
          <w:tab w:pos="6173" w:val="left" w:leader="none"/>
        </w:tabs>
        <w:spacing w:line="242" w:lineRule="exact"/>
        <w:ind w:left="1133"/>
      </w:pPr>
      <w:r>
        <w:rPr>
          <w:w w:val="120"/>
        </w:rPr>
        <w:t>Mr Malcolm</w:t>
      </w:r>
      <w:r>
        <w:rPr>
          <w:spacing w:val="8"/>
          <w:w w:val="120"/>
        </w:rPr>
        <w:t> </w:t>
      </w:r>
      <w:r>
        <w:rPr>
          <w:w w:val="120"/>
        </w:rPr>
        <w:t>Littlefair</w:t>
      </w:r>
      <w:r>
        <w:rPr>
          <w:spacing w:val="4"/>
          <w:w w:val="120"/>
        </w:rPr>
        <w:t> </w:t>
      </w:r>
      <w:r>
        <w:rPr>
          <w:spacing w:val="-9"/>
          <w:w w:val="120"/>
        </w:rPr>
        <w:t>[2013]</w:t>
        <w:tab/>
      </w:r>
      <w:r>
        <w:rPr>
          <w:w w:val="120"/>
        </w:rPr>
        <w:t>Mr Andrew Perkins</w:t>
      </w:r>
      <w:r>
        <w:rPr>
          <w:spacing w:val="7"/>
          <w:w w:val="120"/>
        </w:rPr>
        <w:t> </w:t>
      </w:r>
      <w:r>
        <w:rPr>
          <w:spacing w:val="-8"/>
          <w:w w:val="120"/>
        </w:rPr>
        <w:t>[2014]</w:t>
      </w:r>
    </w:p>
    <w:p>
      <w:pPr>
        <w:pStyle w:val="BodyText"/>
        <w:spacing w:before="10"/>
        <w:rPr>
          <w:sz w:val="33"/>
        </w:rPr>
      </w:pPr>
    </w:p>
    <w:p>
      <w:pPr>
        <w:pStyle w:val="ListParagraph"/>
        <w:numPr>
          <w:ilvl w:val="0"/>
          <w:numId w:val="148"/>
        </w:numPr>
        <w:tabs>
          <w:tab w:pos="1814" w:val="left" w:leader="none"/>
          <w:tab w:pos="1815" w:val="left" w:leader="none"/>
        </w:tabs>
        <w:spacing w:line="240" w:lineRule="auto" w:before="0" w:after="0"/>
        <w:ind w:left="1814" w:right="0" w:hanging="682"/>
        <w:jc w:val="left"/>
        <w:rPr>
          <w:rFonts w:ascii="Stone Sans II ITC Std Bk"/>
          <w:b/>
          <w:sz w:val="29"/>
        </w:rPr>
      </w:pPr>
      <w:r>
        <w:rPr>
          <w:rFonts w:ascii="Stone Sans II ITC Std Bk"/>
          <w:b/>
          <w:color w:val="CA4F1B"/>
          <w:spacing w:val="3"/>
          <w:w w:val="110"/>
          <w:sz w:val="29"/>
        </w:rPr>
        <w:t>Representatives </w:t>
      </w:r>
      <w:r>
        <w:rPr>
          <w:rFonts w:ascii="Stone Sans II ITC Std Bk"/>
          <w:b/>
          <w:color w:val="CA4F1B"/>
          <w:w w:val="110"/>
          <w:sz w:val="29"/>
        </w:rPr>
        <w:t>to </w:t>
      </w:r>
      <w:r>
        <w:rPr>
          <w:rFonts w:ascii="Stone Sans II ITC Std Bk"/>
          <w:b/>
          <w:color w:val="CA4F1B"/>
          <w:spacing w:val="3"/>
          <w:w w:val="110"/>
          <w:sz w:val="29"/>
        </w:rPr>
        <w:t>meetings </w:t>
      </w:r>
      <w:r>
        <w:rPr>
          <w:rFonts w:ascii="Stone Sans II ITC Std Bk"/>
          <w:b/>
          <w:color w:val="CA4F1B"/>
          <w:w w:val="110"/>
          <w:sz w:val="29"/>
        </w:rPr>
        <w:t>of </w:t>
      </w:r>
      <w:r>
        <w:rPr>
          <w:rFonts w:ascii="Stone Sans II ITC Std Bk"/>
          <w:b/>
          <w:color w:val="CA4F1B"/>
          <w:spacing w:val="2"/>
          <w:w w:val="110"/>
          <w:sz w:val="29"/>
        </w:rPr>
        <w:t>sister</w:t>
      </w:r>
      <w:r>
        <w:rPr>
          <w:rFonts w:ascii="Stone Sans II ITC Std Bk"/>
          <w:b/>
          <w:color w:val="CA4F1B"/>
          <w:spacing w:val="62"/>
          <w:w w:val="110"/>
          <w:sz w:val="29"/>
        </w:rPr>
        <w:t> </w:t>
      </w:r>
      <w:r>
        <w:rPr>
          <w:rFonts w:ascii="Stone Sans II ITC Std Bk"/>
          <w:b/>
          <w:color w:val="CA4F1B"/>
          <w:spacing w:val="3"/>
          <w:w w:val="110"/>
          <w:sz w:val="29"/>
        </w:rPr>
        <w:t>Churches</w:t>
      </w:r>
    </w:p>
    <w:p>
      <w:pPr>
        <w:pStyle w:val="ListParagraph"/>
        <w:numPr>
          <w:ilvl w:val="1"/>
          <w:numId w:val="148"/>
        </w:numPr>
        <w:tabs>
          <w:tab w:pos="1814" w:val="left" w:leader="none"/>
          <w:tab w:pos="1815" w:val="left" w:leader="none"/>
          <w:tab w:pos="6173" w:val="left" w:leader="none"/>
        </w:tabs>
        <w:spacing w:line="261" w:lineRule="exact" w:before="139" w:after="0"/>
        <w:ind w:left="1814" w:right="0" w:hanging="682"/>
        <w:jc w:val="left"/>
        <w:rPr>
          <w:sz w:val="20"/>
        </w:rPr>
      </w:pPr>
      <w:r>
        <w:rPr>
          <w:w w:val="120"/>
          <w:sz w:val="20"/>
        </w:rPr>
        <w:t>Presbyterian Church</w:t>
      </w:r>
      <w:r>
        <w:rPr>
          <w:spacing w:val="9"/>
          <w:w w:val="120"/>
          <w:sz w:val="20"/>
        </w:rPr>
        <w:t> </w:t>
      </w:r>
      <w:r>
        <w:rPr>
          <w:w w:val="120"/>
          <w:sz w:val="20"/>
        </w:rPr>
        <w:t>in</w:t>
      </w:r>
      <w:r>
        <w:rPr>
          <w:spacing w:val="5"/>
          <w:w w:val="120"/>
          <w:sz w:val="20"/>
        </w:rPr>
        <w:t> </w:t>
      </w:r>
      <w:r>
        <w:rPr>
          <w:w w:val="120"/>
          <w:sz w:val="20"/>
        </w:rPr>
        <w:t>Ireland</w:t>
        <w:tab/>
        <w:t>Mrs Val Morrison</w:t>
      </w:r>
      <w:r>
        <w:rPr>
          <w:spacing w:val="6"/>
          <w:w w:val="120"/>
          <w:sz w:val="20"/>
        </w:rPr>
        <w:t> </w:t>
      </w:r>
      <w:r>
        <w:rPr>
          <w:spacing w:val="-11"/>
          <w:w w:val="120"/>
          <w:sz w:val="20"/>
        </w:rPr>
        <w:t>[2011]</w:t>
      </w:r>
    </w:p>
    <w:p>
      <w:pPr>
        <w:pStyle w:val="BodyText"/>
        <w:spacing w:line="227" w:lineRule="exact"/>
        <w:ind w:left="6173"/>
      </w:pPr>
      <w:r>
        <w:rPr>
          <w:w w:val="120"/>
        </w:rPr>
        <w:t>Revd Dr James Coleman [2011]</w:t>
      </w:r>
    </w:p>
    <w:p>
      <w:pPr>
        <w:pStyle w:val="ListParagraph"/>
        <w:numPr>
          <w:ilvl w:val="1"/>
          <w:numId w:val="148"/>
        </w:numPr>
        <w:tabs>
          <w:tab w:pos="1814" w:val="left" w:leader="none"/>
          <w:tab w:pos="1815" w:val="left" w:leader="none"/>
          <w:tab w:pos="6173" w:val="left" w:leader="none"/>
        </w:tabs>
        <w:spacing w:line="247" w:lineRule="exact" w:before="0" w:after="0"/>
        <w:ind w:left="1814" w:right="0" w:hanging="682"/>
        <w:jc w:val="left"/>
        <w:rPr>
          <w:sz w:val="20"/>
        </w:rPr>
      </w:pPr>
      <w:r>
        <w:rPr>
          <w:w w:val="120"/>
          <w:sz w:val="20"/>
        </w:rPr>
        <w:t>General Synod of Church</w:t>
      </w:r>
      <w:r>
        <w:rPr>
          <w:spacing w:val="53"/>
          <w:w w:val="120"/>
          <w:sz w:val="20"/>
        </w:rPr>
        <w:t> </w:t>
      </w:r>
      <w:r>
        <w:rPr>
          <w:w w:val="120"/>
          <w:sz w:val="20"/>
        </w:rPr>
        <w:t>of</w:t>
      </w:r>
      <w:r>
        <w:rPr>
          <w:spacing w:val="13"/>
          <w:w w:val="120"/>
          <w:sz w:val="20"/>
        </w:rPr>
        <w:t> </w:t>
      </w:r>
      <w:r>
        <w:rPr>
          <w:w w:val="120"/>
          <w:sz w:val="20"/>
        </w:rPr>
        <w:t>England</w:t>
        <w:tab/>
        <w:t>Revd Graham Maskery</w:t>
      </w:r>
      <w:r>
        <w:rPr>
          <w:spacing w:val="8"/>
          <w:w w:val="120"/>
          <w:sz w:val="20"/>
        </w:rPr>
        <w:t> </w:t>
      </w:r>
      <w:r>
        <w:rPr>
          <w:spacing w:val="-9"/>
          <w:w w:val="120"/>
          <w:sz w:val="20"/>
        </w:rPr>
        <w:t>[2013]</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Methodist</w:t>
      </w:r>
      <w:r>
        <w:rPr>
          <w:spacing w:val="3"/>
          <w:w w:val="120"/>
          <w:sz w:val="20"/>
        </w:rPr>
        <w:t> </w:t>
      </w:r>
      <w:r>
        <w:rPr>
          <w:w w:val="120"/>
          <w:sz w:val="20"/>
        </w:rPr>
        <w:t>Conference</w:t>
        <w:tab/>
        <w:t>Secretary for Ecumenical</w:t>
      </w:r>
      <w:r>
        <w:rPr>
          <w:spacing w:val="4"/>
          <w:w w:val="120"/>
          <w:sz w:val="20"/>
        </w:rPr>
        <w:t> </w:t>
      </w:r>
      <w:r>
        <w:rPr>
          <w:w w:val="120"/>
          <w:sz w:val="20"/>
        </w:rPr>
        <w:t>Relations</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Congregational</w:t>
      </w:r>
      <w:r>
        <w:rPr>
          <w:spacing w:val="29"/>
          <w:w w:val="120"/>
          <w:sz w:val="20"/>
        </w:rPr>
        <w:t> </w:t>
      </w:r>
      <w:r>
        <w:rPr>
          <w:w w:val="120"/>
          <w:sz w:val="20"/>
        </w:rPr>
        <w:t>Federation</w:t>
        <w:tab/>
        <w:t>Secretary for Ecumenical</w:t>
      </w:r>
      <w:r>
        <w:rPr>
          <w:spacing w:val="5"/>
          <w:w w:val="120"/>
          <w:sz w:val="20"/>
        </w:rPr>
        <w:t> </w:t>
      </w:r>
      <w:r>
        <w:rPr>
          <w:w w:val="120"/>
          <w:sz w:val="20"/>
        </w:rPr>
        <w:t>Relations</w:t>
      </w:r>
    </w:p>
    <w:p>
      <w:pPr>
        <w:pStyle w:val="ListParagraph"/>
        <w:numPr>
          <w:ilvl w:val="1"/>
          <w:numId w:val="148"/>
        </w:numPr>
        <w:tabs>
          <w:tab w:pos="1814" w:val="left" w:leader="none"/>
          <w:tab w:pos="1815" w:val="left" w:leader="none"/>
        </w:tabs>
        <w:spacing w:line="246" w:lineRule="exact" w:before="0" w:after="0"/>
        <w:ind w:left="1814" w:right="0" w:hanging="682"/>
        <w:jc w:val="left"/>
        <w:rPr>
          <w:sz w:val="20"/>
        </w:rPr>
      </w:pPr>
      <w:r>
        <w:rPr>
          <w:w w:val="120"/>
          <w:sz w:val="20"/>
        </w:rPr>
        <w:t>General Assembly of Church of Scotland </w:t>
      </w:r>
      <w:r>
        <w:rPr>
          <w:spacing w:val="-4"/>
          <w:w w:val="120"/>
          <w:sz w:val="20"/>
        </w:rPr>
        <w:t>[note</w:t>
      </w:r>
      <w:r>
        <w:rPr>
          <w:spacing w:val="18"/>
          <w:w w:val="120"/>
          <w:sz w:val="20"/>
        </w:rPr>
        <w:t> </w:t>
      </w:r>
      <w:r>
        <w:rPr>
          <w:w w:val="120"/>
          <w:sz w:val="20"/>
        </w:rPr>
        <w:t>7]</w:t>
      </w:r>
    </w:p>
    <w:p>
      <w:pPr>
        <w:pStyle w:val="BodyText"/>
        <w:spacing w:line="233" w:lineRule="exact"/>
        <w:ind w:left="6173"/>
      </w:pPr>
      <w:r>
        <w:rPr>
          <w:w w:val="120"/>
        </w:rPr>
        <w:t>Mrs Val Morrison [2011]</w:t>
      </w:r>
    </w:p>
    <w:p>
      <w:pPr>
        <w:pStyle w:val="BodyText"/>
        <w:spacing w:line="235" w:lineRule="auto" w:before="2"/>
        <w:ind w:left="6173" w:right="2692"/>
      </w:pPr>
      <w:r>
        <w:rPr>
          <w:w w:val="120"/>
        </w:rPr>
        <w:t>Revd Dr James Coleman [2011] Revd Mitchell Bunting [2011]</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United Free Church of Scotland</w:t>
      </w:r>
      <w:r>
        <w:rPr>
          <w:spacing w:val="45"/>
          <w:w w:val="120"/>
          <w:sz w:val="20"/>
        </w:rPr>
        <w:t> </w:t>
      </w:r>
      <w:r>
        <w:rPr>
          <w:spacing w:val="-4"/>
          <w:w w:val="120"/>
          <w:sz w:val="20"/>
        </w:rPr>
        <w:t>[note</w:t>
      </w:r>
      <w:r>
        <w:rPr>
          <w:spacing w:val="9"/>
          <w:w w:val="120"/>
          <w:sz w:val="20"/>
        </w:rPr>
        <w:t> </w:t>
      </w:r>
      <w:r>
        <w:rPr>
          <w:w w:val="120"/>
          <w:sz w:val="20"/>
        </w:rPr>
        <w:t>7]</w:t>
        <w:tab/>
        <w:t>Revd John</w:t>
      </w:r>
      <w:r>
        <w:rPr>
          <w:spacing w:val="4"/>
          <w:w w:val="120"/>
          <w:sz w:val="20"/>
        </w:rPr>
        <w:t> </w:t>
      </w:r>
      <w:r>
        <w:rPr>
          <w:w w:val="120"/>
          <w:sz w:val="20"/>
        </w:rPr>
        <w:t>Humphreys</w:t>
      </w:r>
    </w:p>
    <w:p>
      <w:pPr>
        <w:pStyle w:val="ListParagraph"/>
        <w:numPr>
          <w:ilvl w:val="1"/>
          <w:numId w:val="148"/>
        </w:numPr>
        <w:tabs>
          <w:tab w:pos="1814" w:val="left" w:leader="none"/>
          <w:tab w:pos="1815" w:val="left" w:leader="none"/>
        </w:tabs>
        <w:spacing w:line="246" w:lineRule="exact" w:before="0" w:after="0"/>
        <w:ind w:left="1814" w:right="0" w:hanging="682"/>
        <w:jc w:val="left"/>
        <w:rPr>
          <w:sz w:val="20"/>
        </w:rPr>
      </w:pPr>
      <w:r>
        <w:rPr>
          <w:w w:val="125"/>
          <w:sz w:val="20"/>
        </w:rPr>
        <w:t>Scottish Assembly of the Congregational Federation </w:t>
      </w:r>
      <w:r>
        <w:rPr>
          <w:spacing w:val="-4"/>
          <w:w w:val="125"/>
          <w:sz w:val="20"/>
        </w:rPr>
        <w:t>[note</w:t>
      </w:r>
      <w:r>
        <w:rPr>
          <w:spacing w:val="-16"/>
          <w:w w:val="125"/>
          <w:sz w:val="20"/>
        </w:rPr>
        <w:t> </w:t>
      </w:r>
      <w:r>
        <w:rPr>
          <w:w w:val="125"/>
          <w:sz w:val="20"/>
        </w:rPr>
        <w:t>7]</w:t>
      </w:r>
    </w:p>
    <w:p>
      <w:pPr>
        <w:pStyle w:val="BodyText"/>
        <w:spacing w:line="227" w:lineRule="exact"/>
        <w:ind w:left="6173"/>
      </w:pPr>
      <w:r>
        <w:rPr>
          <w:w w:val="120"/>
        </w:rPr>
        <w:t>Revd John Humphreys</w:t>
      </w:r>
    </w:p>
    <w:p>
      <w:pPr>
        <w:pStyle w:val="ListParagraph"/>
        <w:numPr>
          <w:ilvl w:val="1"/>
          <w:numId w:val="148"/>
        </w:numPr>
        <w:tabs>
          <w:tab w:pos="1814" w:val="left" w:leader="none"/>
          <w:tab w:pos="1815" w:val="left" w:leader="none"/>
          <w:tab w:pos="6173" w:val="left" w:leader="none"/>
        </w:tabs>
        <w:spacing w:line="247" w:lineRule="exact" w:before="0" w:after="0"/>
        <w:ind w:left="1814" w:right="0" w:hanging="682"/>
        <w:jc w:val="left"/>
        <w:rPr>
          <w:sz w:val="20"/>
        </w:rPr>
      </w:pPr>
      <w:r>
        <w:rPr>
          <w:w w:val="120"/>
          <w:sz w:val="20"/>
        </w:rPr>
        <w:t>Scottish Episcopal Church</w:t>
      </w:r>
      <w:r>
        <w:rPr>
          <w:spacing w:val="49"/>
          <w:w w:val="120"/>
          <w:sz w:val="20"/>
        </w:rPr>
        <w:t> </w:t>
      </w:r>
      <w:r>
        <w:rPr>
          <w:spacing w:val="-4"/>
          <w:w w:val="120"/>
          <w:sz w:val="20"/>
        </w:rPr>
        <w:t>[note</w:t>
      </w:r>
      <w:r>
        <w:rPr>
          <w:spacing w:val="16"/>
          <w:w w:val="120"/>
          <w:sz w:val="20"/>
        </w:rPr>
        <w:t> </w:t>
      </w:r>
      <w:r>
        <w:rPr>
          <w:w w:val="120"/>
          <w:sz w:val="20"/>
        </w:rPr>
        <w:t>7]</w:t>
        <w:tab/>
        <w:t>Revd Mitchell</w:t>
      </w:r>
      <w:r>
        <w:rPr>
          <w:spacing w:val="5"/>
          <w:w w:val="120"/>
          <w:sz w:val="20"/>
        </w:rPr>
        <w:t> </w:t>
      </w:r>
      <w:r>
        <w:rPr>
          <w:w w:val="120"/>
          <w:sz w:val="20"/>
        </w:rPr>
        <w:t>Bunting</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Methodist Church in Scotland </w:t>
      </w:r>
      <w:r>
        <w:rPr>
          <w:spacing w:val="1"/>
          <w:w w:val="120"/>
          <w:sz w:val="20"/>
        </w:rPr>
        <w:t> </w:t>
      </w:r>
      <w:r>
        <w:rPr>
          <w:spacing w:val="-4"/>
          <w:w w:val="120"/>
          <w:sz w:val="20"/>
        </w:rPr>
        <w:t>[note</w:t>
      </w:r>
      <w:r>
        <w:rPr>
          <w:spacing w:val="14"/>
          <w:w w:val="120"/>
          <w:sz w:val="20"/>
        </w:rPr>
        <w:t> </w:t>
      </w:r>
      <w:r>
        <w:rPr>
          <w:w w:val="120"/>
          <w:sz w:val="20"/>
        </w:rPr>
        <w:t>7]</w:t>
        <w:tab/>
        <w:t>Revd J Ross</w:t>
      </w:r>
      <w:r>
        <w:rPr>
          <w:spacing w:val="5"/>
          <w:w w:val="120"/>
          <w:sz w:val="20"/>
        </w:rPr>
        <w:t> </w:t>
      </w:r>
      <w:r>
        <w:rPr>
          <w:w w:val="120"/>
          <w:sz w:val="20"/>
        </w:rPr>
        <w:t>McLaren</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Baptist Union of Scotland</w:t>
      </w:r>
      <w:r>
        <w:rPr>
          <w:spacing w:val="30"/>
          <w:w w:val="120"/>
          <w:sz w:val="20"/>
        </w:rPr>
        <w:t> </w:t>
      </w:r>
      <w:r>
        <w:rPr>
          <w:spacing w:val="-4"/>
          <w:w w:val="120"/>
          <w:sz w:val="20"/>
        </w:rPr>
        <w:t>[note</w:t>
      </w:r>
      <w:r>
        <w:rPr>
          <w:spacing w:val="8"/>
          <w:w w:val="120"/>
          <w:sz w:val="20"/>
        </w:rPr>
        <w:t> </w:t>
      </w:r>
      <w:r>
        <w:rPr>
          <w:w w:val="120"/>
          <w:sz w:val="20"/>
        </w:rPr>
        <w:t>7]</w:t>
        <w:tab/>
        <w:t>Revd John</w:t>
      </w:r>
      <w:r>
        <w:rPr>
          <w:spacing w:val="4"/>
          <w:w w:val="120"/>
          <w:sz w:val="20"/>
        </w:rPr>
        <w:t> </w:t>
      </w:r>
      <w:r>
        <w:rPr>
          <w:w w:val="120"/>
          <w:sz w:val="20"/>
        </w:rPr>
        <w:t>Humphreys</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Presbyterian Church of</w:t>
      </w:r>
      <w:r>
        <w:rPr>
          <w:spacing w:val="10"/>
          <w:w w:val="120"/>
          <w:sz w:val="20"/>
        </w:rPr>
        <w:t> </w:t>
      </w:r>
      <w:r>
        <w:rPr>
          <w:w w:val="120"/>
          <w:sz w:val="20"/>
        </w:rPr>
        <w:t>Wales</w:t>
      </w:r>
      <w:r>
        <w:rPr>
          <w:spacing w:val="4"/>
          <w:w w:val="120"/>
          <w:sz w:val="20"/>
        </w:rPr>
        <w:t> </w:t>
      </w:r>
      <w:r>
        <w:rPr>
          <w:spacing w:val="-4"/>
          <w:w w:val="120"/>
          <w:sz w:val="20"/>
        </w:rPr>
        <w:t>[note7]</w:t>
        <w:tab/>
      </w:r>
      <w:r>
        <w:rPr>
          <w:w w:val="120"/>
          <w:sz w:val="20"/>
        </w:rPr>
        <w:t>Revd Peter Noble/Revd Peter</w:t>
      </w:r>
      <w:r>
        <w:rPr>
          <w:spacing w:val="5"/>
          <w:w w:val="120"/>
          <w:sz w:val="20"/>
        </w:rPr>
        <w:t> </w:t>
      </w:r>
      <w:r>
        <w:rPr>
          <w:spacing w:val="-4"/>
          <w:w w:val="120"/>
          <w:sz w:val="20"/>
        </w:rPr>
        <w:t>Trow</w:t>
      </w:r>
    </w:p>
    <w:p>
      <w:pPr>
        <w:pStyle w:val="ListParagraph"/>
        <w:numPr>
          <w:ilvl w:val="1"/>
          <w:numId w:val="148"/>
        </w:numPr>
        <w:tabs>
          <w:tab w:pos="1814" w:val="left" w:leader="none"/>
          <w:tab w:pos="1815" w:val="left" w:leader="none"/>
          <w:tab w:pos="6173" w:val="left" w:leader="none"/>
        </w:tabs>
        <w:spacing w:line="240" w:lineRule="exact" w:before="0" w:after="0"/>
        <w:ind w:left="1814" w:right="0" w:hanging="682"/>
        <w:jc w:val="left"/>
        <w:rPr>
          <w:sz w:val="20"/>
        </w:rPr>
      </w:pPr>
      <w:r>
        <w:rPr>
          <w:w w:val="120"/>
          <w:sz w:val="20"/>
        </w:rPr>
        <w:t>Union of Welsh Independents</w:t>
      </w:r>
      <w:r>
        <w:rPr>
          <w:spacing w:val="31"/>
          <w:w w:val="120"/>
          <w:sz w:val="20"/>
        </w:rPr>
        <w:t> </w:t>
      </w:r>
      <w:r>
        <w:rPr>
          <w:spacing w:val="-4"/>
          <w:w w:val="120"/>
          <w:sz w:val="20"/>
        </w:rPr>
        <w:t>[note</w:t>
      </w:r>
      <w:r>
        <w:rPr>
          <w:spacing w:val="8"/>
          <w:w w:val="120"/>
          <w:sz w:val="20"/>
        </w:rPr>
        <w:t> </w:t>
      </w:r>
      <w:r>
        <w:rPr>
          <w:w w:val="120"/>
          <w:sz w:val="20"/>
        </w:rPr>
        <w:t>7]</w:t>
        <w:tab/>
        <w:t>Revd Peter Noble/Revd Peter</w:t>
      </w:r>
      <w:r>
        <w:rPr>
          <w:spacing w:val="6"/>
          <w:w w:val="120"/>
          <w:sz w:val="20"/>
        </w:rPr>
        <w:t> </w:t>
      </w:r>
      <w:r>
        <w:rPr>
          <w:spacing w:val="-4"/>
          <w:w w:val="120"/>
          <w:sz w:val="20"/>
        </w:rPr>
        <w:t>Trow</w:t>
      </w:r>
    </w:p>
    <w:p>
      <w:pPr>
        <w:pStyle w:val="ListParagraph"/>
        <w:numPr>
          <w:ilvl w:val="1"/>
          <w:numId w:val="148"/>
        </w:numPr>
        <w:tabs>
          <w:tab w:pos="1814" w:val="left" w:leader="none"/>
          <w:tab w:pos="1815" w:val="left" w:leader="none"/>
        </w:tabs>
        <w:spacing w:line="240" w:lineRule="exact" w:before="0" w:after="0"/>
        <w:ind w:left="1814" w:right="0" w:hanging="682"/>
        <w:jc w:val="left"/>
        <w:rPr>
          <w:sz w:val="20"/>
        </w:rPr>
      </w:pPr>
      <w:r>
        <w:rPr>
          <w:w w:val="120"/>
          <w:sz w:val="20"/>
        </w:rPr>
        <w:t>Church in Wales Governing Board </w:t>
      </w:r>
      <w:r>
        <w:rPr>
          <w:spacing w:val="-4"/>
          <w:w w:val="120"/>
          <w:sz w:val="20"/>
        </w:rPr>
        <w:t>[note </w:t>
      </w:r>
      <w:r>
        <w:rPr>
          <w:w w:val="120"/>
          <w:sz w:val="20"/>
        </w:rPr>
        <w:t>7] Revd Peter Noble/Revd Peter</w:t>
      </w:r>
      <w:r>
        <w:rPr>
          <w:spacing w:val="46"/>
          <w:w w:val="120"/>
          <w:sz w:val="20"/>
        </w:rPr>
        <w:t> </w:t>
      </w:r>
      <w:r>
        <w:rPr>
          <w:spacing w:val="-4"/>
          <w:w w:val="120"/>
          <w:sz w:val="20"/>
        </w:rPr>
        <w:t>Trow</w:t>
      </w:r>
    </w:p>
    <w:p>
      <w:pPr>
        <w:pStyle w:val="ListParagraph"/>
        <w:numPr>
          <w:ilvl w:val="1"/>
          <w:numId w:val="148"/>
        </w:numPr>
        <w:tabs>
          <w:tab w:pos="1814" w:val="left" w:leader="none"/>
          <w:tab w:pos="1815" w:val="left" w:leader="none"/>
          <w:tab w:pos="6173" w:val="left" w:leader="none"/>
        </w:tabs>
        <w:spacing w:line="255" w:lineRule="exact" w:before="0" w:after="0"/>
        <w:ind w:left="1814" w:right="0" w:hanging="682"/>
        <w:jc w:val="left"/>
        <w:rPr>
          <w:sz w:val="20"/>
        </w:rPr>
      </w:pPr>
      <w:r>
        <w:rPr>
          <w:w w:val="120"/>
          <w:sz w:val="20"/>
        </w:rPr>
        <w:t>Provincial Synod of the</w:t>
      </w:r>
      <w:r>
        <w:rPr>
          <w:spacing w:val="18"/>
          <w:w w:val="120"/>
          <w:sz w:val="20"/>
        </w:rPr>
        <w:t> </w:t>
      </w:r>
      <w:r>
        <w:rPr>
          <w:w w:val="120"/>
          <w:sz w:val="20"/>
        </w:rPr>
        <w:t>Moravian</w:t>
      </w:r>
      <w:r>
        <w:rPr>
          <w:spacing w:val="5"/>
          <w:w w:val="120"/>
          <w:sz w:val="20"/>
        </w:rPr>
        <w:t> </w:t>
      </w:r>
      <w:r>
        <w:rPr>
          <w:w w:val="120"/>
          <w:sz w:val="20"/>
        </w:rPr>
        <w:t>Church</w:t>
        <w:tab/>
      </w:r>
      <w:r>
        <w:rPr>
          <w:spacing w:val="-7"/>
          <w:w w:val="120"/>
          <w:sz w:val="20"/>
        </w:rPr>
        <w:t>To </w:t>
      </w:r>
      <w:r>
        <w:rPr>
          <w:w w:val="120"/>
          <w:sz w:val="20"/>
        </w:rPr>
        <w:t>be</w:t>
      </w:r>
      <w:r>
        <w:rPr>
          <w:spacing w:val="12"/>
          <w:w w:val="120"/>
          <w:sz w:val="20"/>
        </w:rPr>
        <w:t> </w:t>
      </w:r>
      <w:r>
        <w:rPr>
          <w:w w:val="120"/>
          <w:sz w:val="20"/>
        </w:rPr>
        <w:t>decided</w:t>
      </w:r>
    </w:p>
    <w:p>
      <w:pPr>
        <w:pStyle w:val="BodyText"/>
        <w:spacing w:before="8"/>
        <w:rPr>
          <w:sz w:val="32"/>
        </w:rPr>
      </w:pPr>
    </w:p>
    <w:p>
      <w:pPr>
        <w:pStyle w:val="ListParagraph"/>
        <w:numPr>
          <w:ilvl w:val="0"/>
          <w:numId w:val="148"/>
        </w:numPr>
        <w:tabs>
          <w:tab w:pos="1814" w:val="left" w:leader="none"/>
          <w:tab w:pos="1815" w:val="left" w:leader="none"/>
        </w:tabs>
        <w:spacing w:line="240" w:lineRule="auto" w:before="0" w:after="0"/>
        <w:ind w:left="1814" w:right="0" w:hanging="682"/>
        <w:jc w:val="left"/>
        <w:rPr>
          <w:rFonts w:ascii="Stone Sans II ITC Std Bk"/>
          <w:b/>
          <w:sz w:val="29"/>
        </w:rPr>
      </w:pPr>
      <w:r>
        <w:rPr>
          <w:rFonts w:ascii="Stone Sans II ITC Std Bk"/>
          <w:b/>
          <w:color w:val="CA4F1B"/>
          <w:spacing w:val="3"/>
          <w:w w:val="110"/>
          <w:sz w:val="29"/>
        </w:rPr>
        <w:t>Representatives </w:t>
      </w:r>
      <w:r>
        <w:rPr>
          <w:rFonts w:ascii="Stone Sans II ITC Std Bk"/>
          <w:b/>
          <w:color w:val="CA4F1B"/>
          <w:spacing w:val="2"/>
          <w:w w:val="110"/>
          <w:sz w:val="29"/>
        </w:rPr>
        <w:t>on </w:t>
      </w:r>
      <w:r>
        <w:rPr>
          <w:rFonts w:ascii="Stone Sans II ITC Std Bk"/>
          <w:b/>
          <w:color w:val="CA4F1B"/>
          <w:spacing w:val="3"/>
          <w:w w:val="110"/>
          <w:sz w:val="29"/>
        </w:rPr>
        <w:t>ecumenical Church</w:t>
      </w:r>
      <w:r>
        <w:rPr>
          <w:rFonts w:ascii="Stone Sans II ITC Std Bk"/>
          <w:b/>
          <w:color w:val="CA4F1B"/>
          <w:spacing w:val="45"/>
          <w:w w:val="110"/>
          <w:sz w:val="29"/>
        </w:rPr>
        <w:t> </w:t>
      </w:r>
      <w:r>
        <w:rPr>
          <w:rFonts w:ascii="Stone Sans II ITC Std Bk"/>
          <w:b/>
          <w:color w:val="CA4F1B"/>
          <w:spacing w:val="4"/>
          <w:w w:val="110"/>
          <w:sz w:val="29"/>
        </w:rPr>
        <w:t>bodies</w:t>
      </w:r>
    </w:p>
    <w:p>
      <w:pPr>
        <w:pStyle w:val="BodyText"/>
        <w:spacing w:line="235" w:lineRule="auto" w:before="155"/>
        <w:ind w:left="1133" w:right="2191"/>
      </w:pPr>
      <w:r>
        <w:rPr>
          <w:w w:val="120"/>
        </w:rPr>
        <w:t>The following have been nominated as URC representatives at the major gatherings of the Ecumenical Bodies listed.</w:t>
      </w:r>
    </w:p>
    <w:p>
      <w:pPr>
        <w:pStyle w:val="BodyText"/>
        <w:spacing w:before="6"/>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w w:val="110"/>
          <w:sz w:val="20"/>
        </w:rPr>
        <w:t>Council for World Mission (CWM) from Assembly</w:t>
      </w:r>
      <w:r>
        <w:rPr>
          <w:rFonts w:ascii="Stone Sans II ITC Std Bk"/>
          <w:b/>
          <w:spacing w:val="-2"/>
          <w:w w:val="110"/>
          <w:sz w:val="20"/>
        </w:rPr>
        <w:t> </w:t>
      </w:r>
      <w:r>
        <w:rPr>
          <w:rFonts w:ascii="Stone Sans II ITC Std Bk"/>
          <w:b/>
          <w:spacing w:val="-3"/>
          <w:w w:val="110"/>
          <w:sz w:val="20"/>
        </w:rPr>
        <w:t>2008-11</w:t>
      </w:r>
    </w:p>
    <w:p>
      <w:pPr>
        <w:pStyle w:val="BodyText"/>
        <w:spacing w:line="235" w:lineRule="auto"/>
        <w:ind w:left="1133" w:right="2950"/>
      </w:pPr>
      <w:r>
        <w:rPr>
          <w:w w:val="120"/>
        </w:rPr>
        <w:t>Revd Dr John Parry, Ms Patricia Akoli, Revd John Sanderson, Secretary for World Church Relations</w:t>
      </w:r>
    </w:p>
    <w:p>
      <w:pPr>
        <w:pStyle w:val="ListParagraph"/>
        <w:numPr>
          <w:ilvl w:val="2"/>
          <w:numId w:val="148"/>
        </w:numPr>
        <w:tabs>
          <w:tab w:pos="1854" w:val="left" w:leader="none"/>
        </w:tabs>
        <w:spacing w:line="273" w:lineRule="exact" w:before="210" w:after="0"/>
        <w:ind w:left="1853" w:right="0" w:hanging="721"/>
        <w:jc w:val="left"/>
        <w:rPr>
          <w:rFonts w:ascii="Stone Sans II ITC Std Bk"/>
          <w:b/>
          <w:sz w:val="21"/>
        </w:rPr>
      </w:pPr>
      <w:r>
        <w:rPr>
          <w:rFonts w:ascii="Stone Sans II ITC Std Bk"/>
          <w:b/>
          <w:spacing w:val="4"/>
          <w:w w:val="115"/>
          <w:sz w:val="21"/>
        </w:rPr>
        <w:t>CWM </w:t>
      </w:r>
      <w:r>
        <w:rPr>
          <w:rFonts w:ascii="Stone Sans II ITC Std Bk"/>
          <w:b/>
          <w:w w:val="115"/>
          <w:sz w:val="21"/>
        </w:rPr>
        <w:t>European Region Meeting</w:t>
      </w:r>
      <w:r>
        <w:rPr>
          <w:rFonts w:ascii="Stone Sans II ITC Std Bk"/>
          <w:b/>
          <w:spacing w:val="-11"/>
          <w:w w:val="115"/>
          <w:sz w:val="21"/>
        </w:rPr>
        <w:t> </w:t>
      </w:r>
      <w:r>
        <w:rPr>
          <w:rFonts w:ascii="Stone Sans II ITC Std Bk"/>
          <w:b/>
          <w:spacing w:val="-4"/>
          <w:w w:val="115"/>
          <w:sz w:val="21"/>
        </w:rPr>
        <w:t>2008-11</w:t>
      </w:r>
    </w:p>
    <w:p>
      <w:pPr>
        <w:pStyle w:val="BodyText"/>
        <w:spacing w:line="235" w:lineRule="auto"/>
        <w:ind w:left="1133" w:right="2950"/>
      </w:pPr>
      <w:r>
        <w:rPr>
          <w:w w:val="120"/>
        </w:rPr>
        <w:t>Revd Dr John Parry, Ms Patricia Akoli, Revd John Sanderson, Secretary for World Church Relations, Secretary for Mission</w:t>
      </w:r>
    </w:p>
    <w:p>
      <w:pPr>
        <w:pStyle w:val="BodyText"/>
        <w:spacing w:before="6"/>
        <w:rPr>
          <w:sz w:val="18"/>
        </w:rPr>
      </w:pPr>
    </w:p>
    <w:p>
      <w:pPr>
        <w:pStyle w:val="ListParagraph"/>
        <w:numPr>
          <w:ilvl w:val="1"/>
          <w:numId w:val="148"/>
        </w:numPr>
        <w:tabs>
          <w:tab w:pos="1814" w:val="left" w:leader="none"/>
          <w:tab w:pos="1815" w:val="left" w:leader="none"/>
        </w:tabs>
        <w:spacing w:line="230" w:lineRule="auto" w:before="0" w:after="0"/>
        <w:ind w:left="1133" w:right="2774" w:firstLine="0"/>
        <w:jc w:val="left"/>
        <w:rPr>
          <w:sz w:val="20"/>
        </w:rPr>
      </w:pPr>
      <w:r>
        <w:rPr>
          <w:rFonts w:ascii="Stone Sans II ITC Std Bk"/>
          <w:b/>
          <w:w w:val="115"/>
          <w:sz w:val="20"/>
        </w:rPr>
        <w:t>World</w:t>
      </w:r>
      <w:r>
        <w:rPr>
          <w:rFonts w:ascii="Stone Sans II ITC Std Bk"/>
          <w:b/>
          <w:spacing w:val="-32"/>
          <w:w w:val="115"/>
          <w:sz w:val="20"/>
        </w:rPr>
        <w:t> </w:t>
      </w:r>
      <w:r>
        <w:rPr>
          <w:rFonts w:ascii="Stone Sans II ITC Std Bk"/>
          <w:b/>
          <w:w w:val="115"/>
          <w:sz w:val="20"/>
        </w:rPr>
        <w:t>Communion</w:t>
      </w:r>
      <w:r>
        <w:rPr>
          <w:rFonts w:ascii="Stone Sans II ITC Std Bk"/>
          <w:b/>
          <w:spacing w:val="-32"/>
          <w:w w:val="115"/>
          <w:sz w:val="20"/>
        </w:rPr>
        <w:t> </w:t>
      </w:r>
      <w:r>
        <w:rPr>
          <w:rFonts w:ascii="Stone Sans II ITC Std Bk"/>
          <w:b/>
          <w:w w:val="115"/>
          <w:sz w:val="20"/>
        </w:rPr>
        <w:t>of</w:t>
      </w:r>
      <w:r>
        <w:rPr>
          <w:rFonts w:ascii="Stone Sans II ITC Std Bk"/>
          <w:b/>
          <w:spacing w:val="-32"/>
          <w:w w:val="115"/>
          <w:sz w:val="20"/>
        </w:rPr>
        <w:t> </w:t>
      </w:r>
      <w:r>
        <w:rPr>
          <w:rFonts w:ascii="Stone Sans II ITC Std Bk"/>
          <w:b/>
          <w:w w:val="115"/>
          <w:sz w:val="20"/>
        </w:rPr>
        <w:t>Reformed</w:t>
      </w:r>
      <w:r>
        <w:rPr>
          <w:rFonts w:ascii="Stone Sans II ITC Std Bk"/>
          <w:b/>
          <w:spacing w:val="-32"/>
          <w:w w:val="115"/>
          <w:sz w:val="20"/>
        </w:rPr>
        <w:t> </w:t>
      </w:r>
      <w:r>
        <w:rPr>
          <w:rFonts w:ascii="Stone Sans II ITC Std Bk"/>
          <w:b/>
          <w:w w:val="115"/>
          <w:sz w:val="20"/>
        </w:rPr>
        <w:t>Churches</w:t>
      </w:r>
      <w:r>
        <w:rPr>
          <w:rFonts w:ascii="Stone Sans II ITC Std Bk"/>
          <w:b/>
          <w:spacing w:val="-32"/>
          <w:w w:val="115"/>
          <w:sz w:val="20"/>
        </w:rPr>
        <w:t> </w:t>
      </w:r>
      <w:r>
        <w:rPr>
          <w:rFonts w:ascii="Stone Sans II ITC Std Bk"/>
          <w:b/>
          <w:w w:val="115"/>
          <w:sz w:val="20"/>
        </w:rPr>
        <w:t>(WCRC)</w:t>
      </w:r>
      <w:r>
        <w:rPr>
          <w:rFonts w:ascii="Stone Sans II ITC Std Bk"/>
          <w:b/>
          <w:spacing w:val="-32"/>
          <w:w w:val="115"/>
          <w:sz w:val="20"/>
        </w:rPr>
        <w:t> </w:t>
      </w:r>
      <w:r>
        <w:rPr>
          <w:rFonts w:ascii="Stone Sans II ITC Std Bk"/>
          <w:b/>
          <w:w w:val="115"/>
          <w:sz w:val="20"/>
        </w:rPr>
        <w:t>General</w:t>
      </w:r>
      <w:r>
        <w:rPr>
          <w:rFonts w:ascii="Stone Sans II ITC Std Bk"/>
          <w:b/>
          <w:spacing w:val="-32"/>
          <w:w w:val="115"/>
          <w:sz w:val="20"/>
        </w:rPr>
        <w:t> </w:t>
      </w:r>
      <w:r>
        <w:rPr>
          <w:rFonts w:ascii="Stone Sans II ITC Std Bk"/>
          <w:b/>
          <w:w w:val="115"/>
          <w:sz w:val="20"/>
        </w:rPr>
        <w:t>Council </w:t>
      </w:r>
      <w:r>
        <w:rPr>
          <w:w w:val="120"/>
          <w:sz w:val="20"/>
        </w:rPr>
        <w:t>Revd Dr Sarah Hall, Ms Emma Pugh, Revd Dr David Pickering, Secretary for World Church Relations, General</w:t>
      </w:r>
      <w:r>
        <w:rPr>
          <w:spacing w:val="6"/>
          <w:w w:val="120"/>
          <w:sz w:val="20"/>
        </w:rPr>
        <w:t> </w:t>
      </w:r>
      <w:r>
        <w:rPr>
          <w:w w:val="120"/>
          <w:sz w:val="20"/>
        </w:rPr>
        <w:t>Secretary</w:t>
      </w:r>
    </w:p>
    <w:p>
      <w:pPr>
        <w:pStyle w:val="BodyText"/>
        <w:spacing w:before="4"/>
        <w:rPr>
          <w:sz w:val="18"/>
        </w:rPr>
      </w:pPr>
    </w:p>
    <w:p>
      <w:pPr>
        <w:numPr>
          <w:ilvl w:val="1"/>
          <w:numId w:val="148"/>
        </w:numPr>
        <w:tabs>
          <w:tab w:pos="1814" w:val="left" w:leader="none"/>
          <w:tab w:pos="1815" w:val="left" w:leader="none"/>
        </w:tabs>
        <w:spacing w:line="261" w:lineRule="exact" w:before="0"/>
        <w:ind w:left="1814" w:right="0" w:hanging="682"/>
        <w:jc w:val="left"/>
        <w:rPr>
          <w:rFonts w:ascii="Stone Sans II ITC Std Bk"/>
          <w:b/>
          <w:sz w:val="20"/>
        </w:rPr>
      </w:pPr>
      <w:r>
        <w:rPr>
          <w:rFonts w:ascii="Stone Sans II ITC Std Bk"/>
          <w:b/>
          <w:w w:val="110"/>
          <w:sz w:val="20"/>
        </w:rPr>
        <w:t>World Council of Churches (WCC) Central</w:t>
      </w:r>
      <w:r>
        <w:rPr>
          <w:rFonts w:ascii="Stone Sans II ITC Std Bk"/>
          <w:b/>
          <w:spacing w:val="-2"/>
          <w:w w:val="110"/>
          <w:sz w:val="20"/>
        </w:rPr>
        <w:t> </w:t>
      </w:r>
      <w:r>
        <w:rPr>
          <w:rFonts w:ascii="Stone Sans II ITC Std Bk"/>
          <w:b/>
          <w:w w:val="110"/>
          <w:sz w:val="20"/>
        </w:rPr>
        <w:t>Committee</w:t>
      </w:r>
    </w:p>
    <w:p>
      <w:pPr>
        <w:pStyle w:val="BodyText"/>
        <w:spacing w:line="235" w:lineRule="exact"/>
        <w:ind w:left="1133"/>
      </w:pPr>
      <w:r>
        <w:rPr>
          <w:w w:val="120"/>
        </w:rPr>
        <w:t>Represented indirectly</w:t>
      </w:r>
    </w:p>
    <w:p>
      <w:pPr>
        <w:pStyle w:val="BodyText"/>
        <w:spacing w:before="3"/>
        <w:rPr>
          <w:sz w:val="18"/>
        </w:rPr>
      </w:pPr>
    </w:p>
    <w:p>
      <w:pPr>
        <w:numPr>
          <w:ilvl w:val="1"/>
          <w:numId w:val="148"/>
        </w:numPr>
        <w:tabs>
          <w:tab w:pos="1814" w:val="left" w:leader="none"/>
          <w:tab w:pos="1815" w:val="left" w:leader="none"/>
        </w:tabs>
        <w:spacing w:line="261" w:lineRule="exact" w:before="1"/>
        <w:ind w:left="1814" w:right="0" w:hanging="682"/>
        <w:jc w:val="left"/>
        <w:rPr>
          <w:rFonts w:ascii="Stone Sans II ITC Std Bk"/>
          <w:b/>
          <w:sz w:val="20"/>
        </w:rPr>
      </w:pPr>
      <w:r>
        <w:rPr>
          <w:rFonts w:ascii="Stone Sans II ITC Std Bk"/>
          <w:b/>
          <w:w w:val="110"/>
          <w:sz w:val="20"/>
        </w:rPr>
        <w:t>WCC Faith and Order</w:t>
      </w:r>
      <w:r>
        <w:rPr>
          <w:rFonts w:ascii="Stone Sans II ITC Std Bk"/>
          <w:b/>
          <w:spacing w:val="-2"/>
          <w:w w:val="110"/>
          <w:sz w:val="20"/>
        </w:rPr>
        <w:t> </w:t>
      </w:r>
      <w:r>
        <w:rPr>
          <w:rFonts w:ascii="Stone Sans II ITC Std Bk"/>
          <w:b/>
          <w:w w:val="110"/>
          <w:sz w:val="20"/>
        </w:rPr>
        <w:t>Commission</w:t>
      </w:r>
    </w:p>
    <w:p>
      <w:pPr>
        <w:pStyle w:val="BodyText"/>
        <w:spacing w:line="235" w:lineRule="exact"/>
        <w:ind w:left="1133"/>
      </w:pPr>
      <w:r>
        <w:rPr>
          <w:w w:val="120"/>
        </w:rPr>
        <w:t>Represented indirectly</w:t>
      </w:r>
    </w:p>
    <w:p>
      <w:pPr>
        <w:spacing w:after="0" w:line="235" w:lineRule="exact"/>
        <w:sectPr>
          <w:headerReference w:type="even" r:id="rId479"/>
          <w:headerReference w:type="default" r:id="rId480"/>
          <w:footerReference w:type="even" r:id="rId481"/>
          <w:footerReference w:type="default" r:id="rId482"/>
          <w:pgSz w:w="11910" w:h="16840"/>
          <w:pgMar w:header="0" w:footer="647" w:top="1060" w:bottom="840" w:left="0" w:right="0"/>
          <w:pgNumType w:start="182"/>
        </w:sectPr>
      </w:pPr>
    </w:p>
    <w:p>
      <w:pPr>
        <w:numPr>
          <w:ilvl w:val="1"/>
          <w:numId w:val="148"/>
        </w:numPr>
        <w:tabs>
          <w:tab w:pos="2891" w:val="left" w:leader="none"/>
          <w:tab w:pos="2892" w:val="left" w:leader="none"/>
        </w:tabs>
        <w:spacing w:line="261" w:lineRule="exact" w:before="74"/>
        <w:ind w:left="2891" w:right="0" w:hanging="908"/>
        <w:jc w:val="left"/>
        <w:rPr>
          <w:rFonts w:ascii="Stone Sans II ITC Std Bk"/>
          <w:b/>
          <w:sz w:val="20"/>
        </w:rPr>
      </w:pPr>
      <w:r>
        <w:rPr/>
        <w:pict>
          <v:rect style="position:absolute;margin-left:558.424988pt;margin-top:8.472287pt;width:22.677pt;height:22.677pt;mso-position-horizontal-relative:page;mso-position-vertical-relative:paragraph;z-index:252212224" filled="true" fillcolor="#dae4ec" stroked="false">
            <v:fill opacity="32768f" type="solid"/>
            <w10:wrap type="none"/>
          </v:rect>
        </w:pict>
      </w:r>
      <w:r>
        <w:rPr>
          <w:rFonts w:ascii="Stone Sans II ITC Std Bk"/>
          <w:b/>
          <w:w w:val="110"/>
          <w:sz w:val="20"/>
        </w:rPr>
        <w:t>Conference of European Churches</w:t>
      </w:r>
      <w:r>
        <w:rPr>
          <w:rFonts w:ascii="Stone Sans II ITC Std Bk"/>
          <w:b/>
          <w:spacing w:val="-1"/>
          <w:w w:val="110"/>
          <w:sz w:val="20"/>
        </w:rPr>
        <w:t> </w:t>
      </w:r>
      <w:r>
        <w:rPr>
          <w:rFonts w:ascii="Stone Sans II ITC Std Bk"/>
          <w:b/>
          <w:w w:val="110"/>
          <w:sz w:val="20"/>
        </w:rPr>
        <w:t>Assembly</w:t>
      </w:r>
    </w:p>
    <w:p>
      <w:pPr>
        <w:pStyle w:val="BodyText"/>
        <w:spacing w:line="235" w:lineRule="exact"/>
        <w:ind w:left="1984"/>
      </w:pPr>
      <w:r>
        <w:rPr>
          <w:w w:val="120"/>
        </w:rPr>
        <w:t>Secretary for Ecumenical Relations</w:t>
      </w:r>
    </w:p>
    <w:p>
      <w:pPr>
        <w:pStyle w:val="BodyText"/>
        <w:spacing w:before="4"/>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w w:val="110"/>
          <w:sz w:val="20"/>
        </w:rPr>
        <w:t>Churches Together in Britain and Ireland (CTBI) Church Leaders’</w:t>
      </w:r>
      <w:r>
        <w:rPr>
          <w:rFonts w:ascii="Stone Sans II ITC Std Bk" w:hAnsi="Stone Sans II ITC Std Bk"/>
          <w:b/>
          <w:spacing w:val="-1"/>
          <w:w w:val="110"/>
          <w:sz w:val="20"/>
        </w:rPr>
        <w:t> </w:t>
      </w:r>
      <w:r>
        <w:rPr>
          <w:rFonts w:ascii="Stone Sans II ITC Std Bk" w:hAnsi="Stone Sans II ITC Std Bk"/>
          <w:b/>
          <w:w w:val="110"/>
          <w:sz w:val="20"/>
        </w:rPr>
        <w:t>Meeting</w:t>
      </w:r>
    </w:p>
    <w:p>
      <w:pPr>
        <w:pStyle w:val="BodyText"/>
        <w:spacing w:line="235" w:lineRule="exact"/>
        <w:ind w:left="1984"/>
      </w:pPr>
      <w:r>
        <w:rPr>
          <w:w w:val="120"/>
        </w:rPr>
        <w:t>General Secretary</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3"/>
          <w:w w:val="110"/>
          <w:sz w:val="20"/>
        </w:rPr>
        <w:t>CTBI </w:t>
      </w:r>
      <w:r>
        <w:rPr>
          <w:rFonts w:ascii="Stone Sans II ITC Std Bk" w:hAnsi="Stone Sans II ITC Std Bk"/>
          <w:b/>
          <w:w w:val="110"/>
          <w:sz w:val="20"/>
        </w:rPr>
        <w:t>Senior Representatives’</w:t>
      </w:r>
      <w:r>
        <w:rPr>
          <w:rFonts w:ascii="Stone Sans II ITC Std Bk" w:hAnsi="Stone Sans II ITC Std Bk"/>
          <w:b/>
          <w:spacing w:val="-4"/>
          <w:w w:val="110"/>
          <w:sz w:val="20"/>
        </w:rPr>
        <w:t> </w:t>
      </w:r>
      <w:r>
        <w:rPr>
          <w:rFonts w:ascii="Stone Sans II ITC Std Bk" w:hAnsi="Stone Sans II ITC Std Bk"/>
          <w:b/>
          <w:w w:val="110"/>
          <w:sz w:val="20"/>
        </w:rPr>
        <w:t>Forum</w:t>
      </w:r>
    </w:p>
    <w:p>
      <w:pPr>
        <w:pStyle w:val="BodyText"/>
        <w:spacing w:line="235" w:lineRule="exact"/>
        <w:ind w:left="1984"/>
      </w:pPr>
      <w:r>
        <w:rPr>
          <w:w w:val="120"/>
        </w:rPr>
        <w:t>General Secretary, Secretary for Ecumenical Relations</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Environmental Issues</w:t>
      </w:r>
      <w:r>
        <w:rPr>
          <w:rFonts w:ascii="Stone Sans II ITC Std Bk"/>
          <w:b/>
          <w:spacing w:val="-4"/>
          <w:w w:val="110"/>
          <w:sz w:val="20"/>
        </w:rPr>
        <w:t> </w:t>
      </w:r>
      <w:r>
        <w:rPr>
          <w:rFonts w:ascii="Stone Sans II ITC Std Bk"/>
          <w:b/>
          <w:w w:val="110"/>
          <w:sz w:val="20"/>
        </w:rPr>
        <w:t>Network</w:t>
      </w:r>
    </w:p>
    <w:p>
      <w:pPr>
        <w:pStyle w:val="BodyText"/>
        <w:spacing w:line="235" w:lineRule="exact"/>
        <w:ind w:left="1984"/>
      </w:pPr>
      <w:r>
        <w:rPr>
          <w:w w:val="120"/>
        </w:rPr>
        <w:t>Revd David Coaker, Revd Dr David Pickering</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Church and Public Issues</w:t>
      </w:r>
      <w:r>
        <w:rPr>
          <w:rFonts w:ascii="Stone Sans II ITC Std Bk"/>
          <w:b/>
          <w:spacing w:val="-4"/>
          <w:w w:val="110"/>
          <w:sz w:val="20"/>
        </w:rPr>
        <w:t> </w:t>
      </w:r>
      <w:r>
        <w:rPr>
          <w:rFonts w:ascii="Stone Sans II ITC Std Bk"/>
          <w:b/>
          <w:w w:val="110"/>
          <w:sz w:val="20"/>
        </w:rPr>
        <w:t>Network</w:t>
      </w:r>
    </w:p>
    <w:p>
      <w:pPr>
        <w:pStyle w:val="BodyText"/>
        <w:spacing w:line="235" w:lineRule="exact"/>
        <w:ind w:left="1984"/>
      </w:pPr>
      <w:r>
        <w:rPr>
          <w:w w:val="120"/>
        </w:rPr>
        <w:t>Mr Simon Loveitt, Secretary for Church and Society</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3"/>
          <w:w w:val="110"/>
          <w:sz w:val="20"/>
        </w:rPr>
        <w:t>CTBI </w:t>
      </w:r>
      <w:r>
        <w:rPr>
          <w:rFonts w:ascii="Stone Sans II ITC Std Bk" w:hAnsi="Stone Sans II ITC Std Bk"/>
          <w:b/>
          <w:w w:val="110"/>
          <w:sz w:val="20"/>
        </w:rPr>
        <w:t>Churches’ Criminal Justice</w:t>
      </w:r>
      <w:r>
        <w:rPr>
          <w:rFonts w:ascii="Stone Sans II ITC Std Bk" w:hAnsi="Stone Sans II ITC Std Bk"/>
          <w:b/>
          <w:spacing w:val="-4"/>
          <w:w w:val="110"/>
          <w:sz w:val="20"/>
        </w:rPr>
        <w:t> </w:t>
      </w:r>
      <w:r>
        <w:rPr>
          <w:rFonts w:ascii="Stone Sans II ITC Std Bk" w:hAnsi="Stone Sans II ITC Std Bk"/>
          <w:b/>
          <w:w w:val="110"/>
          <w:sz w:val="20"/>
        </w:rPr>
        <w:t>Forum</w:t>
      </w:r>
    </w:p>
    <w:p>
      <w:pPr>
        <w:pStyle w:val="BodyText"/>
        <w:spacing w:line="235" w:lineRule="exact"/>
        <w:ind w:left="1984"/>
      </w:pPr>
      <w:r>
        <w:rPr>
          <w:w w:val="115"/>
        </w:rPr>
        <w:t>Mrs Wilma Frew</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Stewardship</w:t>
      </w:r>
      <w:r>
        <w:rPr>
          <w:rFonts w:ascii="Stone Sans II ITC Std Bk"/>
          <w:b/>
          <w:spacing w:val="-4"/>
          <w:w w:val="110"/>
          <w:sz w:val="20"/>
        </w:rPr>
        <w:t> </w:t>
      </w:r>
      <w:r>
        <w:rPr>
          <w:rFonts w:ascii="Stone Sans II ITC Std Bk"/>
          <w:b/>
          <w:w w:val="110"/>
          <w:sz w:val="20"/>
        </w:rPr>
        <w:t>Network</w:t>
      </w:r>
    </w:p>
    <w:p>
      <w:pPr>
        <w:pStyle w:val="BodyText"/>
        <w:spacing w:line="235" w:lineRule="exact"/>
        <w:ind w:left="1984"/>
      </w:pPr>
      <w:r>
        <w:rPr>
          <w:w w:val="120"/>
        </w:rPr>
        <w:t>Mrs Faith Paulding</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3"/>
          <w:w w:val="110"/>
          <w:sz w:val="20"/>
        </w:rPr>
        <w:t>CTBI </w:t>
      </w:r>
      <w:r>
        <w:rPr>
          <w:rFonts w:ascii="Stone Sans II ITC Std Bk" w:hAnsi="Stone Sans II ITC Std Bk"/>
          <w:b/>
          <w:w w:val="110"/>
          <w:sz w:val="20"/>
        </w:rPr>
        <w:t>Churches’ International Students’</w:t>
      </w:r>
      <w:r>
        <w:rPr>
          <w:rFonts w:ascii="Stone Sans II ITC Std Bk" w:hAnsi="Stone Sans II ITC Std Bk"/>
          <w:b/>
          <w:spacing w:val="-4"/>
          <w:w w:val="110"/>
          <w:sz w:val="20"/>
        </w:rPr>
        <w:t> </w:t>
      </w:r>
      <w:r>
        <w:rPr>
          <w:rFonts w:ascii="Stone Sans II ITC Std Bk" w:hAnsi="Stone Sans II ITC Std Bk"/>
          <w:b/>
          <w:w w:val="110"/>
          <w:sz w:val="20"/>
        </w:rPr>
        <w:t>Network</w:t>
      </w:r>
    </w:p>
    <w:p>
      <w:pPr>
        <w:pStyle w:val="BodyText"/>
        <w:spacing w:line="235" w:lineRule="exact"/>
        <w:ind w:left="1984"/>
      </w:pPr>
      <w:r>
        <w:rPr>
          <w:w w:val="120"/>
        </w:rPr>
        <w:t>Vacancy</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Consultative Group on Ministry amongst Children</w:t>
      </w:r>
      <w:r>
        <w:rPr>
          <w:rFonts w:ascii="Stone Sans II ITC Std Bk"/>
          <w:b/>
          <w:spacing w:val="-4"/>
          <w:w w:val="110"/>
          <w:sz w:val="20"/>
        </w:rPr>
        <w:t> </w:t>
      </w:r>
      <w:r>
        <w:rPr>
          <w:rFonts w:ascii="Stone Sans II ITC Std Bk"/>
          <w:b/>
          <w:w w:val="110"/>
          <w:sz w:val="20"/>
        </w:rPr>
        <w:t>(CGMC)</w:t>
      </w:r>
    </w:p>
    <w:p>
      <w:pPr>
        <w:pStyle w:val="BodyText"/>
        <w:spacing w:line="235" w:lineRule="exact"/>
        <w:ind w:left="1984"/>
      </w:pPr>
      <w:r>
        <w:rPr>
          <w:w w:val="120"/>
        </w:rPr>
        <w:t>Mrs Karen Bulley, Ms Jo Williams</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Inter-Religious</w:t>
      </w:r>
      <w:r>
        <w:rPr>
          <w:rFonts w:ascii="Stone Sans II ITC Std Bk"/>
          <w:b/>
          <w:spacing w:val="-4"/>
          <w:w w:val="110"/>
          <w:sz w:val="20"/>
        </w:rPr>
        <w:t> </w:t>
      </w:r>
      <w:r>
        <w:rPr>
          <w:rFonts w:ascii="Stone Sans II ITC Std Bk"/>
          <w:b/>
          <w:w w:val="110"/>
          <w:sz w:val="20"/>
        </w:rPr>
        <w:t>Network</w:t>
      </w:r>
    </w:p>
    <w:p>
      <w:pPr>
        <w:pStyle w:val="BodyText"/>
        <w:spacing w:line="235" w:lineRule="exact"/>
        <w:ind w:left="1984"/>
      </w:pPr>
      <w:r>
        <w:rPr>
          <w:w w:val="120"/>
        </w:rPr>
        <w:t>Secretary for Ecumenical Relations</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Racial Justice</w:t>
      </w:r>
      <w:r>
        <w:rPr>
          <w:rFonts w:ascii="Stone Sans II ITC Std Bk"/>
          <w:b/>
          <w:spacing w:val="-4"/>
          <w:w w:val="110"/>
          <w:sz w:val="20"/>
        </w:rPr>
        <w:t> </w:t>
      </w:r>
      <w:r>
        <w:rPr>
          <w:rFonts w:ascii="Stone Sans II ITC Std Bk"/>
          <w:b/>
          <w:w w:val="110"/>
          <w:sz w:val="20"/>
        </w:rPr>
        <w:t>Network</w:t>
      </w:r>
    </w:p>
    <w:p>
      <w:pPr>
        <w:pStyle w:val="BodyText"/>
        <w:spacing w:line="235" w:lineRule="exact"/>
        <w:ind w:left="1984"/>
      </w:pPr>
      <w:r>
        <w:rPr>
          <w:w w:val="120"/>
        </w:rPr>
        <w:t>Secretary for Racial Justice and Multicultural Ministry</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3"/>
          <w:w w:val="110"/>
          <w:sz w:val="20"/>
        </w:rPr>
        <w:t>CTBI </w:t>
      </w:r>
      <w:r>
        <w:rPr>
          <w:rFonts w:ascii="Stone Sans II ITC Std Bk" w:hAnsi="Stone Sans II ITC Std Bk"/>
          <w:b/>
          <w:w w:val="110"/>
          <w:sz w:val="20"/>
        </w:rPr>
        <w:t>Churches’ Network for</w:t>
      </w:r>
      <w:r>
        <w:rPr>
          <w:rFonts w:ascii="Stone Sans II ITC Std Bk" w:hAnsi="Stone Sans II ITC Std Bk"/>
          <w:b/>
          <w:spacing w:val="-4"/>
          <w:w w:val="110"/>
          <w:sz w:val="20"/>
        </w:rPr>
        <w:t> </w:t>
      </w:r>
      <w:r>
        <w:rPr>
          <w:rFonts w:ascii="Stone Sans II ITC Std Bk" w:hAnsi="Stone Sans II ITC Std Bk"/>
          <w:b/>
          <w:w w:val="110"/>
          <w:sz w:val="20"/>
        </w:rPr>
        <w:t>Mission</w:t>
      </w:r>
    </w:p>
    <w:p>
      <w:pPr>
        <w:pStyle w:val="BodyText"/>
        <w:spacing w:line="235" w:lineRule="exact"/>
        <w:ind w:left="1984"/>
      </w:pPr>
      <w:r>
        <w:rPr>
          <w:w w:val="115"/>
        </w:rPr>
        <w:t>Secretary for Mission</w:t>
      </w:r>
    </w:p>
    <w:p>
      <w:pPr>
        <w:pStyle w:val="BodyText"/>
        <w:spacing w:before="3"/>
        <w:rPr>
          <w:sz w:val="18"/>
        </w:rPr>
      </w:pPr>
    </w:p>
    <w:p>
      <w:pPr>
        <w:numPr>
          <w:ilvl w:val="2"/>
          <w:numId w:val="148"/>
        </w:numPr>
        <w:tabs>
          <w:tab w:pos="2891" w:val="left" w:leader="none"/>
          <w:tab w:pos="2892" w:val="left" w:leader="none"/>
        </w:tabs>
        <w:spacing w:line="261" w:lineRule="exact" w:before="1"/>
        <w:ind w:left="2891" w:right="0" w:hanging="908"/>
        <w:jc w:val="left"/>
        <w:rPr>
          <w:rFonts w:ascii="Stone Sans II ITC Std Bk"/>
          <w:b/>
          <w:sz w:val="20"/>
        </w:rPr>
      </w:pPr>
      <w:r>
        <w:rPr>
          <w:rFonts w:ascii="Stone Sans II ITC Std Bk"/>
          <w:b/>
          <w:spacing w:val="3"/>
          <w:w w:val="110"/>
          <w:sz w:val="20"/>
        </w:rPr>
        <w:t>CTBI </w:t>
      </w:r>
      <w:r>
        <w:rPr>
          <w:rFonts w:ascii="Stone Sans II ITC Std Bk"/>
          <w:b/>
          <w:w w:val="110"/>
          <w:sz w:val="20"/>
        </w:rPr>
        <w:t>China</w:t>
      </w:r>
      <w:r>
        <w:rPr>
          <w:rFonts w:ascii="Stone Sans II ITC Std Bk"/>
          <w:b/>
          <w:spacing w:val="-4"/>
          <w:w w:val="110"/>
          <w:sz w:val="20"/>
        </w:rPr>
        <w:t> </w:t>
      </w:r>
      <w:r>
        <w:rPr>
          <w:rFonts w:ascii="Stone Sans II ITC Std Bk"/>
          <w:b/>
          <w:w w:val="110"/>
          <w:sz w:val="20"/>
        </w:rPr>
        <w:t>Forum</w:t>
      </w:r>
    </w:p>
    <w:p>
      <w:pPr>
        <w:pStyle w:val="BodyText"/>
        <w:spacing w:line="235" w:lineRule="exact"/>
        <w:ind w:left="1984"/>
      </w:pPr>
      <w:r>
        <w:rPr>
          <w:w w:val="120"/>
        </w:rPr>
        <w:t>Revd Dr Walter Houston</w:t>
      </w:r>
    </w:p>
    <w:p>
      <w:pPr>
        <w:pStyle w:val="BodyText"/>
        <w:spacing w:before="3"/>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w w:val="110"/>
          <w:sz w:val="20"/>
        </w:rPr>
        <w:t>Churches Together in England (CTE) – from Forum</w:t>
      </w:r>
      <w:r>
        <w:rPr>
          <w:rFonts w:ascii="Stone Sans II ITC Std Bk" w:hAnsi="Stone Sans II ITC Std Bk"/>
          <w:b/>
          <w:spacing w:val="-2"/>
          <w:w w:val="110"/>
          <w:sz w:val="20"/>
        </w:rPr>
        <w:t> </w:t>
      </w:r>
      <w:r>
        <w:rPr>
          <w:rFonts w:ascii="Stone Sans II ITC Std Bk" w:hAnsi="Stone Sans II ITC Std Bk"/>
          <w:b/>
          <w:spacing w:val="-3"/>
          <w:w w:val="110"/>
          <w:sz w:val="20"/>
        </w:rPr>
        <w:t>2009-12</w:t>
      </w:r>
    </w:p>
    <w:p>
      <w:pPr>
        <w:pStyle w:val="BodyText"/>
        <w:spacing w:line="235" w:lineRule="auto"/>
        <w:ind w:left="1984" w:right="1901"/>
      </w:pPr>
      <w:r>
        <w:rPr>
          <w:w w:val="120"/>
        </w:rPr>
        <w:t>Mrs Val Morrison, Revd Dr Kirsty Thorpe, Revd Bernie Collins, Revd Ian Smith, Revd Stephen Wilkins, General Secretary, Deputy General Secretary, Secretary for</w:t>
      </w:r>
    </w:p>
    <w:p>
      <w:pPr>
        <w:pStyle w:val="BodyText"/>
        <w:spacing w:line="235" w:lineRule="auto"/>
        <w:ind w:left="1984" w:right="1120"/>
      </w:pPr>
      <w:r>
        <w:rPr>
          <w:w w:val="120"/>
        </w:rPr>
        <w:t>Ministries, Secretary for Mission, Secretary for Racial Justice and Multicultural Ministry, Secretary for Ecumenical Relations</w:t>
      </w:r>
    </w:p>
    <w:p>
      <w:pPr>
        <w:pStyle w:val="BodyText"/>
        <w:spacing w:before="1"/>
        <w:rPr>
          <w:sz w:val="18"/>
        </w:rPr>
      </w:pPr>
    </w:p>
    <w:p>
      <w:pPr>
        <w:numPr>
          <w:ilvl w:val="2"/>
          <w:numId w:val="148"/>
        </w:numPr>
        <w:tabs>
          <w:tab w:pos="2891" w:val="left" w:leader="none"/>
          <w:tab w:pos="2892" w:val="left" w:leader="none"/>
        </w:tabs>
        <w:spacing w:line="261" w:lineRule="exact" w:before="1"/>
        <w:ind w:left="2891"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Enabling</w:t>
      </w:r>
      <w:r>
        <w:rPr>
          <w:rFonts w:ascii="Stone Sans II ITC Std Bk" w:hAnsi="Stone Sans II ITC Std Bk"/>
          <w:b/>
          <w:spacing w:val="-5"/>
          <w:w w:val="110"/>
          <w:sz w:val="20"/>
        </w:rPr>
        <w:t> </w:t>
      </w:r>
      <w:r>
        <w:rPr>
          <w:rFonts w:ascii="Stone Sans II ITC Std Bk" w:hAnsi="Stone Sans II ITC Std Bk"/>
          <w:b/>
          <w:w w:val="110"/>
          <w:sz w:val="20"/>
        </w:rPr>
        <w:t>Group</w:t>
      </w:r>
    </w:p>
    <w:p>
      <w:pPr>
        <w:pStyle w:val="BodyText"/>
        <w:spacing w:line="235" w:lineRule="exact"/>
        <w:ind w:left="1984"/>
      </w:pPr>
      <w:r>
        <w:rPr>
          <w:w w:val="120"/>
        </w:rPr>
        <w:t>Secretary for Ecumenical Relations</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Coordinating Group for Local</w:t>
      </w:r>
      <w:r>
        <w:rPr>
          <w:rFonts w:ascii="Stone Sans II ITC Std Bk" w:hAnsi="Stone Sans II ITC Std Bk"/>
          <w:b/>
          <w:spacing w:val="-5"/>
          <w:w w:val="110"/>
          <w:sz w:val="20"/>
        </w:rPr>
        <w:t> </w:t>
      </w:r>
      <w:r>
        <w:rPr>
          <w:rFonts w:ascii="Stone Sans II ITC Std Bk" w:hAnsi="Stone Sans II ITC Std Bk"/>
          <w:b/>
          <w:w w:val="110"/>
          <w:sz w:val="20"/>
        </w:rPr>
        <w:t>Unity</w:t>
      </w:r>
    </w:p>
    <w:p>
      <w:pPr>
        <w:pStyle w:val="BodyText"/>
        <w:spacing w:line="235" w:lineRule="exact"/>
        <w:ind w:left="1984"/>
      </w:pPr>
      <w:r>
        <w:rPr>
          <w:w w:val="120"/>
        </w:rPr>
        <w:t>Revd Terry Oakley, Secretary for Ecumenical Relations</w:t>
      </w:r>
    </w:p>
    <w:p>
      <w:pPr>
        <w:pStyle w:val="BodyText"/>
        <w:spacing w:before="3"/>
        <w:rPr>
          <w:sz w:val="18"/>
        </w:rPr>
      </w:pPr>
    </w:p>
    <w:p>
      <w:pPr>
        <w:numPr>
          <w:ilvl w:val="2"/>
          <w:numId w:val="148"/>
        </w:numPr>
        <w:tabs>
          <w:tab w:pos="2891" w:val="left" w:leader="none"/>
          <w:tab w:pos="2892" w:val="left" w:leader="none"/>
        </w:tabs>
        <w:spacing w:line="261" w:lineRule="exact" w:before="1"/>
        <w:ind w:left="2891"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Churches Together for</w:t>
      </w:r>
      <w:r>
        <w:rPr>
          <w:rFonts w:ascii="Stone Sans II ITC Std Bk" w:hAnsi="Stone Sans II ITC Std Bk"/>
          <w:b/>
          <w:spacing w:val="-6"/>
          <w:w w:val="110"/>
          <w:sz w:val="20"/>
        </w:rPr>
        <w:t> </w:t>
      </w:r>
      <w:r>
        <w:rPr>
          <w:rFonts w:ascii="Stone Sans II ITC Std Bk" w:hAnsi="Stone Sans II ITC Std Bk"/>
          <w:b/>
          <w:w w:val="110"/>
          <w:sz w:val="20"/>
        </w:rPr>
        <w:t>Healing</w:t>
      </w:r>
    </w:p>
    <w:p>
      <w:pPr>
        <w:pStyle w:val="BodyText"/>
        <w:spacing w:line="235" w:lineRule="exact"/>
        <w:ind w:left="1984"/>
      </w:pPr>
      <w:r>
        <w:rPr>
          <w:w w:val="120"/>
        </w:rPr>
        <w:t>Revd Deborah McVey, Vacancy</w:t>
      </w:r>
    </w:p>
    <w:p>
      <w:pPr>
        <w:pStyle w:val="BodyText"/>
        <w:spacing w:before="3"/>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Churches’ Joint Education Policy</w:t>
      </w:r>
      <w:r>
        <w:rPr>
          <w:rFonts w:ascii="Stone Sans II ITC Std Bk" w:hAnsi="Stone Sans II ITC Std Bk"/>
          <w:b/>
          <w:spacing w:val="-6"/>
          <w:w w:val="110"/>
          <w:sz w:val="20"/>
        </w:rPr>
        <w:t> </w:t>
      </w:r>
      <w:r>
        <w:rPr>
          <w:rFonts w:ascii="Stone Sans II ITC Std Bk" w:hAnsi="Stone Sans II ITC Std Bk"/>
          <w:b/>
          <w:w w:val="110"/>
          <w:sz w:val="20"/>
        </w:rPr>
        <w:t>Committee</w:t>
      </w:r>
    </w:p>
    <w:p>
      <w:pPr>
        <w:pStyle w:val="BodyText"/>
        <w:spacing w:line="235" w:lineRule="exact"/>
        <w:ind w:left="1984"/>
      </w:pPr>
      <w:r>
        <w:rPr>
          <w:w w:val="120"/>
        </w:rPr>
        <w:t>Mr Graham Handscomb</w:t>
      </w:r>
    </w:p>
    <w:p>
      <w:pPr>
        <w:pStyle w:val="BodyText"/>
        <w:spacing w:before="4"/>
        <w:rPr>
          <w:sz w:val="18"/>
        </w:rPr>
      </w:pPr>
    </w:p>
    <w:p>
      <w:pPr>
        <w:numPr>
          <w:ilvl w:val="2"/>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Churches’ Theology and Unity</w:t>
      </w:r>
      <w:r>
        <w:rPr>
          <w:rFonts w:ascii="Stone Sans II ITC Std Bk" w:hAnsi="Stone Sans II ITC Std Bk"/>
          <w:b/>
          <w:spacing w:val="-5"/>
          <w:w w:val="110"/>
          <w:sz w:val="20"/>
        </w:rPr>
        <w:t> </w:t>
      </w:r>
      <w:r>
        <w:rPr>
          <w:rFonts w:ascii="Stone Sans II ITC Std Bk" w:hAnsi="Stone Sans II ITC Std Bk"/>
          <w:b/>
          <w:w w:val="110"/>
          <w:sz w:val="20"/>
        </w:rPr>
        <w:t>Group</w:t>
      </w:r>
    </w:p>
    <w:p>
      <w:pPr>
        <w:pStyle w:val="BodyText"/>
        <w:spacing w:line="235" w:lineRule="exact"/>
        <w:ind w:left="1984"/>
      </w:pPr>
      <w:r>
        <w:rPr>
          <w:w w:val="120"/>
        </w:rPr>
        <w:t>Secretary for Ecumenical Relations</w:t>
      </w:r>
    </w:p>
    <w:p>
      <w:pPr>
        <w:spacing w:after="0" w:line="235" w:lineRule="exact"/>
        <w:sectPr>
          <w:pgSz w:w="11910" w:h="16840"/>
          <w:pgMar w:header="0" w:footer="647" w:top="1060" w:bottom="840" w:left="0" w:right="0"/>
        </w:sectPr>
      </w:pPr>
    </w:p>
    <w:p>
      <w:pPr>
        <w:numPr>
          <w:ilvl w:val="2"/>
          <w:numId w:val="148"/>
        </w:numPr>
        <w:tabs>
          <w:tab w:pos="2040" w:val="left" w:leader="none"/>
          <w:tab w:pos="2041" w:val="left" w:leader="none"/>
        </w:tabs>
        <w:spacing w:line="261" w:lineRule="exact" w:before="91"/>
        <w:ind w:left="2040" w:right="0" w:hanging="908"/>
        <w:jc w:val="left"/>
        <w:rPr>
          <w:rFonts w:ascii="Stone Sans II ITC Std Bk" w:hAnsi="Stone Sans II ITC Std Bk"/>
          <w:b/>
          <w:sz w:val="20"/>
        </w:rPr>
      </w:pPr>
      <w:r>
        <w:rPr/>
        <w:pict>
          <v:rect style="position:absolute;margin-left:12.047pt;margin-top:8.496287pt;width:22.677pt;height:22.677pt;mso-position-horizontal-relative:page;mso-position-vertical-relative:paragraph;z-index:252213248" filled="true" fillcolor="#dae4ec" stroked="false">
            <v:fill opacity="32768f" type="solid"/>
            <w10:wrap type="none"/>
          </v:rect>
        </w:pict>
      </w:r>
      <w:r>
        <w:rPr>
          <w:rFonts w:ascii="Stone Sans II ITC Std Bk" w:hAnsi="Stone Sans II ITC Std Bk"/>
          <w:b/>
          <w:spacing w:val="4"/>
          <w:w w:val="110"/>
          <w:sz w:val="20"/>
        </w:rPr>
        <w:t>CTE </w:t>
      </w:r>
      <w:r>
        <w:rPr>
          <w:rFonts w:ascii="Stone Sans II ITC Std Bk" w:hAnsi="Stone Sans II ITC Std Bk"/>
          <w:b/>
          <w:w w:val="110"/>
          <w:sz w:val="20"/>
        </w:rPr>
        <w:t>– Group for</w:t>
      </w:r>
      <w:r>
        <w:rPr>
          <w:rFonts w:ascii="Stone Sans II ITC Std Bk" w:hAnsi="Stone Sans II ITC Std Bk"/>
          <w:b/>
          <w:spacing w:val="-5"/>
          <w:w w:val="110"/>
          <w:sz w:val="20"/>
        </w:rPr>
        <w:t> </w:t>
      </w:r>
      <w:r>
        <w:rPr>
          <w:rFonts w:ascii="Stone Sans II ITC Std Bk" w:hAnsi="Stone Sans II ITC Std Bk"/>
          <w:b/>
          <w:w w:val="110"/>
          <w:sz w:val="20"/>
        </w:rPr>
        <w:t>Evangelisation</w:t>
      </w:r>
    </w:p>
    <w:p>
      <w:pPr>
        <w:pStyle w:val="BodyText"/>
        <w:spacing w:line="235" w:lineRule="exact"/>
        <w:ind w:left="1133"/>
      </w:pPr>
      <w:r>
        <w:rPr>
          <w:w w:val="115"/>
        </w:rPr>
        <w:t>Secretary for Mission</w:t>
      </w:r>
    </w:p>
    <w:p>
      <w:pPr>
        <w:pStyle w:val="BodyText"/>
        <w:spacing w:before="3"/>
        <w:rPr>
          <w:sz w:val="18"/>
        </w:rPr>
      </w:pPr>
    </w:p>
    <w:p>
      <w:pPr>
        <w:numPr>
          <w:ilvl w:val="2"/>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Spirituality Coordinating</w:t>
      </w:r>
      <w:r>
        <w:rPr>
          <w:rFonts w:ascii="Stone Sans II ITC Std Bk" w:hAnsi="Stone Sans II ITC Std Bk"/>
          <w:b/>
          <w:spacing w:val="-5"/>
          <w:w w:val="110"/>
          <w:sz w:val="20"/>
        </w:rPr>
        <w:t> </w:t>
      </w:r>
      <w:r>
        <w:rPr>
          <w:rFonts w:ascii="Stone Sans II ITC Std Bk" w:hAnsi="Stone Sans II ITC Std Bk"/>
          <w:b/>
          <w:w w:val="110"/>
          <w:sz w:val="20"/>
        </w:rPr>
        <w:t>Group</w:t>
      </w:r>
    </w:p>
    <w:p>
      <w:pPr>
        <w:pStyle w:val="BodyText"/>
        <w:spacing w:line="235" w:lineRule="exact"/>
        <w:ind w:left="1133"/>
      </w:pPr>
      <w:r>
        <w:rPr>
          <w:w w:val="120"/>
        </w:rPr>
        <w:t>Revd Sue Henderson</w:t>
      </w:r>
    </w:p>
    <w:p>
      <w:pPr>
        <w:pStyle w:val="BodyText"/>
        <w:spacing w:before="4"/>
        <w:rPr>
          <w:sz w:val="18"/>
        </w:rPr>
      </w:pPr>
    </w:p>
    <w:p>
      <w:pPr>
        <w:numPr>
          <w:ilvl w:val="2"/>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Churches’ Rural</w:t>
      </w:r>
      <w:r>
        <w:rPr>
          <w:rFonts w:ascii="Stone Sans II ITC Std Bk" w:hAnsi="Stone Sans II ITC Std Bk"/>
          <w:b/>
          <w:spacing w:val="-6"/>
          <w:w w:val="110"/>
          <w:sz w:val="20"/>
        </w:rPr>
        <w:t> </w:t>
      </w:r>
      <w:r>
        <w:rPr>
          <w:rFonts w:ascii="Stone Sans II ITC Std Bk" w:hAnsi="Stone Sans II ITC Std Bk"/>
          <w:b/>
          <w:w w:val="110"/>
          <w:sz w:val="20"/>
        </w:rPr>
        <w:t>Group</w:t>
      </w:r>
    </w:p>
    <w:p>
      <w:pPr>
        <w:pStyle w:val="BodyText"/>
        <w:spacing w:line="235" w:lineRule="exact"/>
        <w:ind w:left="1133"/>
      </w:pPr>
      <w:r>
        <w:rPr>
          <w:w w:val="120"/>
        </w:rPr>
        <w:t>Revd David Herbert</w:t>
      </w:r>
    </w:p>
    <w:p>
      <w:pPr>
        <w:pStyle w:val="BodyText"/>
        <w:spacing w:before="3"/>
        <w:rPr>
          <w:sz w:val="18"/>
        </w:rPr>
      </w:pPr>
    </w:p>
    <w:p>
      <w:pPr>
        <w:numPr>
          <w:ilvl w:val="2"/>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spacing w:val="4"/>
          <w:w w:val="110"/>
          <w:sz w:val="20"/>
        </w:rPr>
        <w:t>CTE </w:t>
      </w:r>
      <w:r>
        <w:rPr>
          <w:rFonts w:ascii="Stone Sans II ITC Std Bk" w:hAnsi="Stone Sans II ITC Std Bk"/>
          <w:b/>
          <w:w w:val="110"/>
          <w:sz w:val="20"/>
        </w:rPr>
        <w:t>– Minority Ethnic Affairs</w:t>
      </w:r>
      <w:r>
        <w:rPr>
          <w:rFonts w:ascii="Stone Sans II ITC Std Bk" w:hAnsi="Stone Sans II ITC Std Bk"/>
          <w:b/>
          <w:spacing w:val="-5"/>
          <w:w w:val="110"/>
          <w:sz w:val="20"/>
        </w:rPr>
        <w:t> </w:t>
      </w:r>
      <w:r>
        <w:rPr>
          <w:rFonts w:ascii="Stone Sans II ITC Std Bk" w:hAnsi="Stone Sans II ITC Std Bk"/>
          <w:b/>
          <w:w w:val="110"/>
          <w:sz w:val="20"/>
        </w:rPr>
        <w:t>Group</w:t>
      </w:r>
    </w:p>
    <w:p>
      <w:pPr>
        <w:pStyle w:val="BodyText"/>
        <w:spacing w:line="235" w:lineRule="exact"/>
        <w:ind w:left="1133"/>
      </w:pPr>
      <w:r>
        <w:rPr>
          <w:w w:val="120"/>
        </w:rPr>
        <w:t>Revd John Danso, Secretary for Racial Justice and Multicultural Ministry</w:t>
      </w:r>
    </w:p>
    <w:p>
      <w:pPr>
        <w:pStyle w:val="BodyText"/>
        <w:spacing w:before="4"/>
        <w:rPr>
          <w:sz w:val="18"/>
        </w:rPr>
      </w:pPr>
    </w:p>
    <w:p>
      <w:pPr>
        <w:numPr>
          <w:ilvl w:val="2"/>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spacing w:val="4"/>
          <w:w w:val="110"/>
          <w:sz w:val="20"/>
        </w:rPr>
        <w:t>CTE </w:t>
      </w:r>
      <w:r>
        <w:rPr>
          <w:rFonts w:ascii="Stone Sans II ITC Std Bk"/>
          <w:b/>
          <w:w w:val="110"/>
          <w:sz w:val="20"/>
        </w:rPr>
        <w:t>Youth Work Matters</w:t>
      </w:r>
      <w:r>
        <w:rPr>
          <w:rFonts w:ascii="Stone Sans II ITC Std Bk"/>
          <w:b/>
          <w:spacing w:val="-6"/>
          <w:w w:val="110"/>
          <w:sz w:val="20"/>
        </w:rPr>
        <w:t> </w:t>
      </w:r>
      <w:r>
        <w:rPr>
          <w:rFonts w:ascii="Stone Sans II ITC Std Bk"/>
          <w:b/>
          <w:w w:val="110"/>
          <w:sz w:val="20"/>
        </w:rPr>
        <w:t>Group</w:t>
      </w:r>
    </w:p>
    <w:p>
      <w:pPr>
        <w:pStyle w:val="BodyText"/>
        <w:spacing w:line="235" w:lineRule="exact"/>
        <w:ind w:left="1133"/>
      </w:pPr>
      <w:r>
        <w:rPr>
          <w:w w:val="115"/>
        </w:rPr>
        <w:t>Secretary for Youth Work</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Action of Churches Together in Scotland (ACTS) Members</w:t>
      </w:r>
      <w:r>
        <w:rPr>
          <w:rFonts w:ascii="Stone Sans II ITC Std Bk"/>
          <w:b/>
          <w:spacing w:val="-1"/>
          <w:w w:val="110"/>
          <w:sz w:val="20"/>
        </w:rPr>
        <w:t> </w:t>
      </w:r>
      <w:r>
        <w:rPr>
          <w:rFonts w:ascii="Stone Sans II ITC Std Bk"/>
          <w:b/>
          <w:w w:val="110"/>
          <w:sz w:val="20"/>
        </w:rPr>
        <w:t>Meeting</w:t>
      </w:r>
    </w:p>
    <w:p>
      <w:pPr>
        <w:pStyle w:val="BodyText"/>
        <w:spacing w:line="233" w:lineRule="exact"/>
        <w:ind w:left="2040"/>
      </w:pPr>
      <w:r>
        <w:rPr>
          <w:w w:val="120"/>
        </w:rPr>
        <w:t>[see note 7]</w:t>
      </w:r>
    </w:p>
    <w:p>
      <w:pPr>
        <w:pStyle w:val="BodyText"/>
        <w:spacing w:line="242" w:lineRule="exact"/>
        <w:ind w:left="1133"/>
      </w:pPr>
      <w:r>
        <w:rPr>
          <w:w w:val="120"/>
        </w:rPr>
        <w:t>Revd John Humphreys, Revd Mitchell Bunting/Revd Sue Kirkbride</w:t>
      </w:r>
    </w:p>
    <w:p>
      <w:pPr>
        <w:pStyle w:val="BodyText"/>
        <w:spacing w:before="6"/>
        <w:rPr>
          <w:sz w:val="19"/>
        </w:rPr>
      </w:pPr>
    </w:p>
    <w:p>
      <w:pPr>
        <w:pStyle w:val="ListParagraph"/>
        <w:numPr>
          <w:ilvl w:val="1"/>
          <w:numId w:val="148"/>
        </w:numPr>
        <w:tabs>
          <w:tab w:pos="2040" w:val="left" w:leader="none"/>
          <w:tab w:pos="2041" w:val="left" w:leader="none"/>
        </w:tabs>
        <w:spacing w:line="223" w:lineRule="auto" w:before="0" w:after="0"/>
        <w:ind w:left="1133" w:right="4485" w:firstLine="0"/>
        <w:jc w:val="left"/>
        <w:rPr>
          <w:sz w:val="20"/>
        </w:rPr>
      </w:pPr>
      <w:r>
        <w:rPr>
          <w:rFonts w:ascii="Stone Sans II ITC Std Bk"/>
          <w:b/>
          <w:w w:val="115"/>
          <w:sz w:val="20"/>
        </w:rPr>
        <w:t>National</w:t>
      </w:r>
      <w:r>
        <w:rPr>
          <w:rFonts w:ascii="Stone Sans II ITC Std Bk"/>
          <w:b/>
          <w:spacing w:val="-18"/>
          <w:w w:val="115"/>
          <w:sz w:val="20"/>
        </w:rPr>
        <w:t> </w:t>
      </w:r>
      <w:r>
        <w:rPr>
          <w:rFonts w:ascii="Stone Sans II ITC Std Bk"/>
          <w:b/>
          <w:w w:val="115"/>
          <w:sz w:val="20"/>
        </w:rPr>
        <w:t>Sponsoring</w:t>
      </w:r>
      <w:r>
        <w:rPr>
          <w:rFonts w:ascii="Stone Sans II ITC Std Bk"/>
          <w:b/>
          <w:spacing w:val="-17"/>
          <w:w w:val="115"/>
          <w:sz w:val="20"/>
        </w:rPr>
        <w:t> </w:t>
      </w:r>
      <w:r>
        <w:rPr>
          <w:rFonts w:ascii="Stone Sans II ITC Std Bk"/>
          <w:b/>
          <w:w w:val="115"/>
          <w:sz w:val="20"/>
        </w:rPr>
        <w:t>Body</w:t>
      </w:r>
      <w:r>
        <w:rPr>
          <w:rFonts w:ascii="Stone Sans II ITC Std Bk"/>
          <w:b/>
          <w:spacing w:val="-17"/>
          <w:w w:val="115"/>
          <w:sz w:val="20"/>
        </w:rPr>
        <w:t> </w:t>
      </w:r>
      <w:r>
        <w:rPr>
          <w:rFonts w:ascii="Stone Sans II ITC Std Bk"/>
          <w:b/>
          <w:w w:val="115"/>
          <w:sz w:val="20"/>
        </w:rPr>
        <w:t>for</w:t>
      </w:r>
      <w:r>
        <w:rPr>
          <w:rFonts w:ascii="Stone Sans II ITC Std Bk"/>
          <w:b/>
          <w:spacing w:val="-17"/>
          <w:w w:val="115"/>
          <w:sz w:val="20"/>
        </w:rPr>
        <w:t> </w:t>
      </w:r>
      <w:r>
        <w:rPr>
          <w:rFonts w:ascii="Stone Sans II ITC Std Bk"/>
          <w:b/>
          <w:w w:val="115"/>
          <w:sz w:val="20"/>
        </w:rPr>
        <w:t>Scotland</w:t>
      </w:r>
      <w:r>
        <w:rPr>
          <w:rFonts w:ascii="Stone Sans II ITC Std Bk"/>
          <w:b/>
          <w:spacing w:val="-17"/>
          <w:w w:val="115"/>
          <w:sz w:val="20"/>
        </w:rPr>
        <w:t> </w:t>
      </w:r>
      <w:r>
        <w:rPr>
          <w:spacing w:val="-4"/>
          <w:w w:val="115"/>
          <w:sz w:val="20"/>
        </w:rPr>
        <w:t>[see</w:t>
      </w:r>
      <w:r>
        <w:rPr>
          <w:spacing w:val="-9"/>
          <w:w w:val="115"/>
          <w:sz w:val="20"/>
        </w:rPr>
        <w:t> </w:t>
      </w:r>
      <w:r>
        <w:rPr>
          <w:w w:val="115"/>
          <w:sz w:val="20"/>
        </w:rPr>
        <w:t>note</w:t>
      </w:r>
      <w:r>
        <w:rPr>
          <w:spacing w:val="-10"/>
          <w:w w:val="115"/>
          <w:sz w:val="20"/>
        </w:rPr>
        <w:t> </w:t>
      </w:r>
      <w:r>
        <w:rPr>
          <w:w w:val="115"/>
          <w:sz w:val="20"/>
        </w:rPr>
        <w:t>7] Revd John Humphreys, Revd Mitchell</w:t>
      </w:r>
      <w:r>
        <w:rPr>
          <w:spacing w:val="47"/>
          <w:w w:val="115"/>
          <w:sz w:val="20"/>
        </w:rPr>
        <w:t> </w:t>
      </w:r>
      <w:r>
        <w:rPr>
          <w:w w:val="115"/>
          <w:sz w:val="20"/>
        </w:rPr>
        <w:t>Bunting</w:t>
      </w:r>
    </w:p>
    <w:p>
      <w:pPr>
        <w:pStyle w:val="BodyText"/>
        <w:spacing w:before="9"/>
        <w:rPr>
          <w:sz w:val="19"/>
        </w:rPr>
      </w:pPr>
    </w:p>
    <w:p>
      <w:pPr>
        <w:pStyle w:val="ListParagraph"/>
        <w:numPr>
          <w:ilvl w:val="1"/>
          <w:numId w:val="148"/>
        </w:numPr>
        <w:tabs>
          <w:tab w:pos="2040" w:val="left" w:leader="none"/>
          <w:tab w:pos="2041" w:val="left" w:leader="none"/>
        </w:tabs>
        <w:spacing w:line="223" w:lineRule="auto" w:before="0" w:after="0"/>
        <w:ind w:left="1133" w:right="4653" w:firstLine="0"/>
        <w:jc w:val="left"/>
        <w:rPr>
          <w:sz w:val="20"/>
        </w:rPr>
      </w:pPr>
      <w:r>
        <w:rPr>
          <w:rFonts w:ascii="Stone Sans II ITC Std Bk"/>
          <w:b/>
          <w:w w:val="115"/>
          <w:sz w:val="20"/>
        </w:rPr>
        <w:t>Churches</w:t>
      </w:r>
      <w:r>
        <w:rPr>
          <w:rFonts w:ascii="Stone Sans II ITC Std Bk"/>
          <w:b/>
          <w:spacing w:val="-18"/>
          <w:w w:val="115"/>
          <w:sz w:val="20"/>
        </w:rPr>
        <w:t> </w:t>
      </w:r>
      <w:r>
        <w:rPr>
          <w:rFonts w:ascii="Stone Sans II ITC Std Bk"/>
          <w:b/>
          <w:w w:val="115"/>
          <w:sz w:val="20"/>
        </w:rPr>
        <w:t>Together</w:t>
      </w:r>
      <w:r>
        <w:rPr>
          <w:rFonts w:ascii="Stone Sans II ITC Std Bk"/>
          <w:b/>
          <w:spacing w:val="-18"/>
          <w:w w:val="115"/>
          <w:sz w:val="20"/>
        </w:rPr>
        <w:t> </w:t>
      </w:r>
      <w:r>
        <w:rPr>
          <w:rFonts w:ascii="Stone Sans II ITC Std Bk"/>
          <w:b/>
          <w:w w:val="115"/>
          <w:sz w:val="20"/>
        </w:rPr>
        <w:t>in</w:t>
      </w:r>
      <w:r>
        <w:rPr>
          <w:rFonts w:ascii="Stone Sans II ITC Std Bk"/>
          <w:b/>
          <w:spacing w:val="-18"/>
          <w:w w:val="115"/>
          <w:sz w:val="20"/>
        </w:rPr>
        <w:t> </w:t>
      </w:r>
      <w:r>
        <w:rPr>
          <w:rFonts w:ascii="Stone Sans II ITC Std Bk"/>
          <w:b/>
          <w:w w:val="115"/>
          <w:sz w:val="20"/>
        </w:rPr>
        <w:t>Wales</w:t>
      </w:r>
      <w:r>
        <w:rPr>
          <w:rFonts w:ascii="Stone Sans II ITC Std Bk"/>
          <w:b/>
          <w:spacing w:val="-18"/>
          <w:w w:val="115"/>
          <w:sz w:val="20"/>
        </w:rPr>
        <w:t> </w:t>
      </w:r>
      <w:r>
        <w:rPr>
          <w:rFonts w:ascii="Stone Sans II ITC Std Bk"/>
          <w:b/>
          <w:w w:val="115"/>
          <w:sz w:val="20"/>
        </w:rPr>
        <w:t>(CYTUN)</w:t>
      </w:r>
      <w:r>
        <w:rPr>
          <w:rFonts w:ascii="Stone Sans II ITC Std Bk"/>
          <w:b/>
          <w:spacing w:val="-18"/>
          <w:w w:val="115"/>
          <w:sz w:val="20"/>
        </w:rPr>
        <w:t> </w:t>
      </w:r>
      <w:r>
        <w:rPr>
          <w:spacing w:val="-4"/>
          <w:w w:val="115"/>
          <w:sz w:val="20"/>
        </w:rPr>
        <w:t>[see</w:t>
      </w:r>
      <w:r>
        <w:rPr>
          <w:spacing w:val="-10"/>
          <w:w w:val="115"/>
          <w:sz w:val="20"/>
        </w:rPr>
        <w:t> </w:t>
      </w:r>
      <w:r>
        <w:rPr>
          <w:w w:val="115"/>
          <w:sz w:val="20"/>
        </w:rPr>
        <w:t>note</w:t>
      </w:r>
      <w:r>
        <w:rPr>
          <w:spacing w:val="-10"/>
          <w:w w:val="115"/>
          <w:sz w:val="20"/>
        </w:rPr>
        <w:t> </w:t>
      </w:r>
      <w:r>
        <w:rPr>
          <w:w w:val="115"/>
          <w:sz w:val="20"/>
        </w:rPr>
        <w:t>7] Revd Peter Noble/Revd Peter</w:t>
      </w:r>
      <w:r>
        <w:rPr>
          <w:spacing w:val="25"/>
          <w:w w:val="115"/>
          <w:sz w:val="20"/>
        </w:rPr>
        <w:t> </w:t>
      </w:r>
      <w:r>
        <w:rPr>
          <w:spacing w:val="-4"/>
          <w:w w:val="115"/>
          <w:sz w:val="20"/>
        </w:rPr>
        <w:t>Trow</w:t>
      </w:r>
    </w:p>
    <w:p>
      <w:pPr>
        <w:pStyle w:val="BodyText"/>
        <w:spacing w:before="10"/>
        <w:rPr>
          <w:sz w:val="19"/>
        </w:rPr>
      </w:pPr>
    </w:p>
    <w:p>
      <w:pPr>
        <w:pStyle w:val="ListParagraph"/>
        <w:numPr>
          <w:ilvl w:val="1"/>
          <w:numId w:val="148"/>
        </w:numPr>
        <w:tabs>
          <w:tab w:pos="2040" w:val="left" w:leader="none"/>
          <w:tab w:pos="2041" w:val="left" w:leader="none"/>
        </w:tabs>
        <w:spacing w:line="223" w:lineRule="auto" w:before="0" w:after="0"/>
        <w:ind w:left="1133" w:right="4678" w:firstLine="0"/>
        <w:jc w:val="left"/>
        <w:rPr>
          <w:sz w:val="20"/>
        </w:rPr>
      </w:pPr>
      <w:r>
        <w:rPr>
          <w:rFonts w:ascii="Stone Sans II ITC Std Bk"/>
          <w:b/>
          <w:w w:val="115"/>
          <w:sz w:val="20"/>
        </w:rPr>
        <w:t>Commission</w:t>
      </w:r>
      <w:r>
        <w:rPr>
          <w:rFonts w:ascii="Stone Sans II ITC Std Bk"/>
          <w:b/>
          <w:spacing w:val="-23"/>
          <w:w w:val="115"/>
          <w:sz w:val="20"/>
        </w:rPr>
        <w:t> </w:t>
      </w:r>
      <w:r>
        <w:rPr>
          <w:rFonts w:ascii="Stone Sans II ITC Std Bk"/>
          <w:b/>
          <w:w w:val="115"/>
          <w:sz w:val="20"/>
        </w:rPr>
        <w:t>of</w:t>
      </w:r>
      <w:r>
        <w:rPr>
          <w:rFonts w:ascii="Stone Sans II ITC Std Bk"/>
          <w:b/>
          <w:spacing w:val="-22"/>
          <w:w w:val="115"/>
          <w:sz w:val="20"/>
        </w:rPr>
        <w:t> </w:t>
      </w:r>
      <w:r>
        <w:rPr>
          <w:rFonts w:ascii="Stone Sans II ITC Std Bk"/>
          <w:b/>
          <w:w w:val="115"/>
          <w:sz w:val="20"/>
        </w:rPr>
        <w:t>Covenanted</w:t>
      </w:r>
      <w:r>
        <w:rPr>
          <w:rFonts w:ascii="Stone Sans II ITC Std Bk"/>
          <w:b/>
          <w:spacing w:val="-23"/>
          <w:w w:val="115"/>
          <w:sz w:val="20"/>
        </w:rPr>
        <w:t> </w:t>
      </w:r>
      <w:r>
        <w:rPr>
          <w:rFonts w:ascii="Stone Sans II ITC Std Bk"/>
          <w:b/>
          <w:w w:val="115"/>
          <w:sz w:val="20"/>
        </w:rPr>
        <w:t>Churches</w:t>
      </w:r>
      <w:r>
        <w:rPr>
          <w:rFonts w:ascii="Stone Sans II ITC Std Bk"/>
          <w:b/>
          <w:spacing w:val="-22"/>
          <w:w w:val="115"/>
          <w:sz w:val="20"/>
        </w:rPr>
        <w:t> </w:t>
      </w:r>
      <w:r>
        <w:rPr>
          <w:spacing w:val="-4"/>
          <w:w w:val="115"/>
          <w:sz w:val="20"/>
        </w:rPr>
        <w:t>[see</w:t>
      </w:r>
      <w:r>
        <w:rPr>
          <w:spacing w:val="-15"/>
          <w:w w:val="115"/>
          <w:sz w:val="20"/>
        </w:rPr>
        <w:t> </w:t>
      </w:r>
      <w:r>
        <w:rPr>
          <w:w w:val="115"/>
          <w:sz w:val="20"/>
        </w:rPr>
        <w:t>note</w:t>
      </w:r>
      <w:r>
        <w:rPr>
          <w:spacing w:val="-14"/>
          <w:w w:val="115"/>
          <w:sz w:val="20"/>
        </w:rPr>
        <w:t> </w:t>
      </w:r>
      <w:r>
        <w:rPr>
          <w:w w:val="115"/>
          <w:sz w:val="20"/>
        </w:rPr>
        <w:t>7] Revd Peter Noble/ Revd Peter</w:t>
      </w:r>
      <w:r>
        <w:rPr>
          <w:spacing w:val="31"/>
          <w:w w:val="115"/>
          <w:sz w:val="20"/>
        </w:rPr>
        <w:t> </w:t>
      </w:r>
      <w:r>
        <w:rPr>
          <w:spacing w:val="-4"/>
          <w:w w:val="115"/>
          <w:sz w:val="20"/>
        </w:rPr>
        <w:t>Trow</w:t>
      </w:r>
    </w:p>
    <w:p>
      <w:pPr>
        <w:pStyle w:val="BodyText"/>
        <w:spacing w:before="7"/>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Joint Liturgical</w:t>
      </w:r>
      <w:r>
        <w:rPr>
          <w:rFonts w:ascii="Stone Sans II ITC Std Bk"/>
          <w:b/>
          <w:spacing w:val="-1"/>
          <w:w w:val="110"/>
          <w:sz w:val="20"/>
        </w:rPr>
        <w:t> </w:t>
      </w:r>
      <w:r>
        <w:rPr>
          <w:rFonts w:ascii="Stone Sans II ITC Std Bk"/>
          <w:b/>
          <w:w w:val="110"/>
          <w:sz w:val="20"/>
        </w:rPr>
        <w:t>Group</w:t>
      </w:r>
    </w:p>
    <w:p>
      <w:pPr>
        <w:pStyle w:val="BodyText"/>
        <w:spacing w:line="235" w:lineRule="exact"/>
        <w:ind w:left="1133"/>
      </w:pPr>
      <w:r>
        <w:rPr>
          <w:w w:val="115"/>
        </w:rPr>
        <w:t>Secretary for Mission</w:t>
      </w:r>
    </w:p>
    <w:p>
      <w:pPr>
        <w:pStyle w:val="BodyText"/>
        <w:spacing w:before="4"/>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Free Church Education</w:t>
      </w:r>
      <w:r>
        <w:rPr>
          <w:rFonts w:ascii="Stone Sans II ITC Std Bk"/>
          <w:b/>
          <w:spacing w:val="-1"/>
          <w:w w:val="110"/>
          <w:sz w:val="20"/>
        </w:rPr>
        <w:t> </w:t>
      </w:r>
      <w:r>
        <w:rPr>
          <w:rFonts w:ascii="Stone Sans II ITC Std Bk"/>
          <w:b/>
          <w:w w:val="110"/>
          <w:sz w:val="20"/>
        </w:rPr>
        <w:t>Committee</w:t>
      </w:r>
    </w:p>
    <w:p>
      <w:pPr>
        <w:pStyle w:val="BodyText"/>
        <w:spacing w:line="235" w:lineRule="exact"/>
        <w:ind w:left="1133"/>
      </w:pPr>
      <w:r>
        <w:rPr>
          <w:w w:val="120"/>
        </w:rPr>
        <w:t>Mr Graham Handscomb, Mrs Gillian Kingston</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European Churches’ Environmental</w:t>
      </w:r>
      <w:r>
        <w:rPr>
          <w:rFonts w:ascii="Stone Sans II ITC Std Bk" w:hAnsi="Stone Sans II ITC Std Bk"/>
          <w:b/>
          <w:spacing w:val="-1"/>
          <w:w w:val="110"/>
          <w:sz w:val="20"/>
        </w:rPr>
        <w:t> </w:t>
      </w:r>
      <w:r>
        <w:rPr>
          <w:rFonts w:ascii="Stone Sans II ITC Std Bk" w:hAnsi="Stone Sans II ITC Std Bk"/>
          <w:b/>
          <w:w w:val="110"/>
          <w:sz w:val="20"/>
        </w:rPr>
        <w:t>Network</w:t>
      </w:r>
    </w:p>
    <w:p>
      <w:pPr>
        <w:pStyle w:val="BodyText"/>
        <w:spacing w:line="235" w:lineRule="exact"/>
        <w:ind w:left="1133"/>
      </w:pPr>
      <w:r>
        <w:rPr>
          <w:w w:val="120"/>
        </w:rPr>
        <w:t>Revd David Coaker</w:t>
      </w:r>
    </w:p>
    <w:p>
      <w:pPr>
        <w:pStyle w:val="BodyText"/>
        <w:spacing w:before="4"/>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Churches’ Refugee</w:t>
      </w:r>
      <w:r>
        <w:rPr>
          <w:rFonts w:ascii="Stone Sans II ITC Std Bk" w:hAnsi="Stone Sans II ITC Std Bk"/>
          <w:b/>
          <w:spacing w:val="-1"/>
          <w:w w:val="110"/>
          <w:sz w:val="20"/>
        </w:rPr>
        <w:t> </w:t>
      </w:r>
      <w:r>
        <w:rPr>
          <w:rFonts w:ascii="Stone Sans II ITC Std Bk" w:hAnsi="Stone Sans II ITC Std Bk"/>
          <w:b/>
          <w:w w:val="110"/>
          <w:sz w:val="20"/>
        </w:rPr>
        <w:t>Network</w:t>
      </w:r>
    </w:p>
    <w:p>
      <w:pPr>
        <w:pStyle w:val="BodyText"/>
        <w:spacing w:line="235" w:lineRule="exact"/>
        <w:ind w:left="1133"/>
      </w:pPr>
      <w:r>
        <w:rPr>
          <w:w w:val="120"/>
        </w:rPr>
        <w:t>Mr Geoff Duncan, Revd Fleur Houston</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Churches’ Committee on Funerals and</w:t>
      </w:r>
      <w:r>
        <w:rPr>
          <w:rFonts w:ascii="Stone Sans II ITC Std Bk" w:hAnsi="Stone Sans II ITC Std Bk"/>
          <w:b/>
          <w:spacing w:val="-2"/>
          <w:w w:val="110"/>
          <w:sz w:val="20"/>
        </w:rPr>
        <w:t> </w:t>
      </w:r>
      <w:r>
        <w:rPr>
          <w:rFonts w:ascii="Stone Sans II ITC Std Bk" w:hAnsi="Stone Sans II ITC Std Bk"/>
          <w:b/>
          <w:w w:val="110"/>
          <w:sz w:val="20"/>
        </w:rPr>
        <w:t>Crematoria</w:t>
      </w:r>
    </w:p>
    <w:p>
      <w:pPr>
        <w:pStyle w:val="BodyText"/>
        <w:spacing w:line="235" w:lineRule="exact"/>
        <w:ind w:left="1133"/>
      </w:pPr>
      <w:r>
        <w:rPr>
          <w:w w:val="120"/>
        </w:rPr>
        <w:t>Revd Sally Thomas, Vacancy</w:t>
      </w:r>
    </w:p>
    <w:p>
      <w:pPr>
        <w:pStyle w:val="BodyText"/>
        <w:spacing w:before="4"/>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Churches’ Agency for</w:t>
      </w:r>
      <w:r>
        <w:rPr>
          <w:rFonts w:ascii="Stone Sans II ITC Std Bk" w:hAnsi="Stone Sans II ITC Std Bk"/>
          <w:b/>
          <w:spacing w:val="-1"/>
          <w:w w:val="110"/>
          <w:sz w:val="20"/>
        </w:rPr>
        <w:t> </w:t>
      </w:r>
      <w:r>
        <w:rPr>
          <w:rFonts w:ascii="Stone Sans II ITC Std Bk" w:hAnsi="Stone Sans II ITC Std Bk"/>
          <w:b/>
          <w:w w:val="110"/>
          <w:sz w:val="20"/>
        </w:rPr>
        <w:t>Safeguarding</w:t>
      </w:r>
    </w:p>
    <w:p>
      <w:pPr>
        <w:pStyle w:val="BodyText"/>
        <w:spacing w:line="235" w:lineRule="exact"/>
        <w:ind w:left="1133"/>
      </w:pPr>
      <w:r>
        <w:rPr>
          <w:w w:val="115"/>
        </w:rPr>
        <w:t>Secretary for Youth Work</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Churches’ Forum for</w:t>
      </w:r>
      <w:r>
        <w:rPr>
          <w:rFonts w:ascii="Stone Sans II ITC Std Bk" w:hAnsi="Stone Sans II ITC Std Bk"/>
          <w:b/>
          <w:spacing w:val="-1"/>
          <w:w w:val="110"/>
          <w:sz w:val="20"/>
        </w:rPr>
        <w:t> </w:t>
      </w:r>
      <w:r>
        <w:rPr>
          <w:rFonts w:ascii="Stone Sans II ITC Std Bk" w:hAnsi="Stone Sans II ITC Std Bk"/>
          <w:b/>
          <w:w w:val="110"/>
          <w:sz w:val="20"/>
        </w:rPr>
        <w:t>Safeguarding</w:t>
      </w:r>
    </w:p>
    <w:p>
      <w:pPr>
        <w:pStyle w:val="BodyText"/>
        <w:spacing w:line="235" w:lineRule="exact"/>
        <w:ind w:left="1133"/>
      </w:pPr>
      <w:r>
        <w:rPr>
          <w:w w:val="115"/>
        </w:rPr>
        <w:t>Secretary for Youth Work</w:t>
      </w:r>
    </w:p>
    <w:p>
      <w:pPr>
        <w:pStyle w:val="BodyText"/>
        <w:spacing w:before="4"/>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Churches’ Network for</w:t>
      </w:r>
      <w:r>
        <w:rPr>
          <w:rFonts w:ascii="Stone Sans II ITC Std Bk" w:hAnsi="Stone Sans II ITC Std Bk"/>
          <w:b/>
          <w:spacing w:val="-1"/>
          <w:w w:val="110"/>
          <w:sz w:val="20"/>
        </w:rPr>
        <w:t> </w:t>
      </w:r>
      <w:r>
        <w:rPr>
          <w:rFonts w:ascii="Stone Sans II ITC Std Bk" w:hAnsi="Stone Sans II ITC Std Bk"/>
          <w:b/>
          <w:w w:val="110"/>
          <w:sz w:val="20"/>
        </w:rPr>
        <w:t>Non-Violence</w:t>
      </w:r>
    </w:p>
    <w:p>
      <w:pPr>
        <w:pStyle w:val="BodyText"/>
        <w:spacing w:line="235" w:lineRule="exact"/>
        <w:ind w:left="1133"/>
      </w:pPr>
      <w:r>
        <w:rPr>
          <w:w w:val="115"/>
        </w:rPr>
        <w:t>Secretary for Youth Work</w:t>
      </w:r>
    </w:p>
    <w:p>
      <w:pPr>
        <w:pStyle w:val="BodyText"/>
        <w:spacing w:before="3"/>
        <w:rPr>
          <w:sz w:val="18"/>
        </w:rPr>
      </w:pPr>
    </w:p>
    <w:p>
      <w:pPr>
        <w:pStyle w:val="ListParagraph"/>
        <w:numPr>
          <w:ilvl w:val="1"/>
          <w:numId w:val="148"/>
        </w:numPr>
        <w:tabs>
          <w:tab w:pos="2040" w:val="left" w:leader="none"/>
          <w:tab w:pos="2041" w:val="left" w:leader="none"/>
        </w:tabs>
        <w:spacing w:line="261" w:lineRule="exact" w:before="0" w:after="0"/>
        <w:ind w:left="2040" w:right="0" w:hanging="908"/>
        <w:jc w:val="left"/>
        <w:rPr>
          <w:rFonts w:ascii="Stone Sans II ITC Std Bk"/>
          <w:b/>
          <w:i/>
          <w:sz w:val="20"/>
        </w:rPr>
      </w:pPr>
      <w:r>
        <w:rPr>
          <w:rFonts w:ascii="Stone Sans II ITC Std Bk"/>
          <w:b/>
          <w:i/>
          <w:w w:val="110"/>
          <w:sz w:val="20"/>
        </w:rPr>
        <w:t>Fresh</w:t>
      </w:r>
      <w:r>
        <w:rPr>
          <w:rFonts w:ascii="Stone Sans II ITC Std Bk"/>
          <w:b/>
          <w:i/>
          <w:spacing w:val="-1"/>
          <w:w w:val="110"/>
          <w:sz w:val="20"/>
        </w:rPr>
        <w:t> </w:t>
      </w:r>
      <w:r>
        <w:rPr>
          <w:rFonts w:ascii="Stone Sans II ITC Std Bk"/>
          <w:b/>
          <w:i/>
          <w:w w:val="110"/>
          <w:sz w:val="20"/>
        </w:rPr>
        <w:t>Expressions</w:t>
      </w:r>
    </w:p>
    <w:p>
      <w:pPr>
        <w:spacing w:line="235" w:lineRule="exact" w:before="0"/>
        <w:ind w:left="1133" w:right="0" w:firstLine="0"/>
        <w:jc w:val="left"/>
        <w:rPr>
          <w:i/>
          <w:sz w:val="20"/>
        </w:rPr>
      </w:pPr>
      <w:r>
        <w:rPr>
          <w:i/>
          <w:w w:val="115"/>
          <w:sz w:val="20"/>
        </w:rPr>
        <w:t>(Still under discussion)</w:t>
      </w:r>
    </w:p>
    <w:p>
      <w:pPr>
        <w:spacing w:after="0" w:line="235" w:lineRule="exact"/>
        <w:jc w:val="left"/>
        <w:rPr>
          <w:sz w:val="20"/>
        </w:rPr>
        <w:sectPr>
          <w:pgSz w:w="11910" w:h="16840"/>
          <w:pgMar w:header="0" w:footer="647" w:top="1060" w:bottom="840" w:left="0" w:right="0"/>
        </w:sectPr>
      </w:pPr>
    </w:p>
    <w:p>
      <w:pPr>
        <w:pStyle w:val="ListParagraph"/>
        <w:numPr>
          <w:ilvl w:val="0"/>
          <w:numId w:val="148"/>
        </w:numPr>
        <w:tabs>
          <w:tab w:pos="2664" w:val="left" w:leader="none"/>
          <w:tab w:pos="2665" w:val="left" w:leader="none"/>
        </w:tabs>
        <w:spacing w:line="196" w:lineRule="auto" w:before="52" w:after="0"/>
        <w:ind w:left="2664" w:right="2804" w:hanging="681"/>
        <w:jc w:val="left"/>
        <w:rPr>
          <w:rFonts w:ascii="Stone Sans II ITC Std Bk"/>
          <w:b/>
          <w:sz w:val="29"/>
        </w:rPr>
      </w:pPr>
      <w:r>
        <w:rPr/>
        <w:pict>
          <v:rect style="position:absolute;margin-left:558.424988pt;margin-top:8.467579pt;width:22.677pt;height:22.677pt;mso-position-horizontal-relative:page;mso-position-vertical-relative:paragraph;z-index:252214272" filled="true" fillcolor="#dae4ec" stroked="false">
            <v:fill opacity="32768f" type="solid"/>
            <w10:wrap type="none"/>
          </v:rect>
        </w:pict>
      </w:r>
      <w:r>
        <w:rPr>
          <w:rFonts w:ascii="Stone Sans II ITC Std Bk"/>
          <w:b/>
          <w:color w:val="CA4F1B"/>
          <w:spacing w:val="3"/>
          <w:w w:val="110"/>
          <w:sz w:val="29"/>
        </w:rPr>
        <w:t>Representatives </w:t>
      </w:r>
      <w:r>
        <w:rPr>
          <w:rFonts w:ascii="Stone Sans II ITC Std Bk"/>
          <w:b/>
          <w:color w:val="CA4F1B"/>
          <w:spacing w:val="2"/>
          <w:w w:val="110"/>
          <w:sz w:val="29"/>
        </w:rPr>
        <w:t>on </w:t>
      </w:r>
      <w:r>
        <w:rPr>
          <w:rFonts w:ascii="Stone Sans II ITC Std Bk"/>
          <w:b/>
          <w:color w:val="CA4F1B"/>
          <w:spacing w:val="4"/>
          <w:w w:val="110"/>
          <w:sz w:val="29"/>
        </w:rPr>
        <w:t>formal bi-lateral </w:t>
      </w:r>
      <w:r>
        <w:rPr>
          <w:rFonts w:ascii="Stone Sans II ITC Std Bk"/>
          <w:b/>
          <w:color w:val="CA4F1B"/>
          <w:spacing w:val="3"/>
          <w:w w:val="110"/>
          <w:sz w:val="29"/>
        </w:rPr>
        <w:t>and </w:t>
      </w:r>
      <w:r>
        <w:rPr>
          <w:rFonts w:ascii="Stone Sans II ITC Std Bk"/>
          <w:b/>
          <w:color w:val="CA4F1B"/>
          <w:spacing w:val="4"/>
          <w:w w:val="110"/>
          <w:sz w:val="29"/>
        </w:rPr>
        <w:t>multi-lateral</w:t>
      </w:r>
      <w:r>
        <w:rPr>
          <w:rFonts w:ascii="Stone Sans II ITC Std Bk"/>
          <w:b/>
          <w:color w:val="CA4F1B"/>
          <w:spacing w:val="13"/>
          <w:w w:val="110"/>
          <w:sz w:val="29"/>
        </w:rPr>
        <w:t> </w:t>
      </w:r>
      <w:r>
        <w:rPr>
          <w:rFonts w:ascii="Stone Sans II ITC Std Bk"/>
          <w:b/>
          <w:color w:val="CA4F1B"/>
          <w:spacing w:val="3"/>
          <w:w w:val="110"/>
          <w:sz w:val="29"/>
        </w:rPr>
        <w:t>committees</w:t>
      </w:r>
    </w:p>
    <w:p>
      <w:pPr>
        <w:numPr>
          <w:ilvl w:val="1"/>
          <w:numId w:val="148"/>
        </w:numPr>
        <w:tabs>
          <w:tab w:pos="2664" w:val="left" w:leader="none"/>
          <w:tab w:pos="2665" w:val="left" w:leader="none"/>
        </w:tabs>
        <w:spacing w:line="261" w:lineRule="exact" w:before="196"/>
        <w:ind w:left="2664" w:right="0" w:hanging="681"/>
        <w:jc w:val="left"/>
        <w:rPr>
          <w:rFonts w:ascii="Stone Sans II ITC Std Bk"/>
          <w:b/>
          <w:sz w:val="20"/>
        </w:rPr>
      </w:pPr>
      <w:r>
        <w:rPr>
          <w:rFonts w:ascii="Stone Sans II ITC Std Bk"/>
          <w:b/>
          <w:w w:val="110"/>
          <w:sz w:val="20"/>
        </w:rPr>
        <w:t>Methodist/United Reformed Church Liaison</w:t>
      </w:r>
      <w:r>
        <w:rPr>
          <w:rFonts w:ascii="Stone Sans II ITC Std Bk"/>
          <w:b/>
          <w:spacing w:val="-1"/>
          <w:w w:val="110"/>
          <w:sz w:val="20"/>
        </w:rPr>
        <w:t> </w:t>
      </w:r>
      <w:r>
        <w:rPr>
          <w:rFonts w:ascii="Stone Sans II ITC Std Bk"/>
          <w:b/>
          <w:w w:val="110"/>
          <w:sz w:val="20"/>
        </w:rPr>
        <w:t>Committee</w:t>
      </w:r>
    </w:p>
    <w:p>
      <w:pPr>
        <w:pStyle w:val="BodyText"/>
        <w:spacing w:line="233" w:lineRule="exact"/>
        <w:ind w:left="1984"/>
      </w:pPr>
      <w:r>
        <w:rPr>
          <w:w w:val="120"/>
        </w:rPr>
        <w:t>Co-Convener: Revd Terry Oakley (Synod Moderator)</w:t>
      </w:r>
    </w:p>
    <w:p>
      <w:pPr>
        <w:pStyle w:val="BodyText"/>
        <w:spacing w:line="235" w:lineRule="auto" w:before="2"/>
        <w:ind w:left="1984" w:right="1120"/>
      </w:pPr>
      <w:r>
        <w:rPr>
          <w:w w:val="120"/>
        </w:rPr>
        <w:t>Revd Kay Alberg, Miss Emma Pugh, Vacancy, Vacancy, Revd Peter Rand (co-opted) Secretary for Ecumenical Relations</w:t>
      </w:r>
    </w:p>
    <w:p>
      <w:pPr>
        <w:pStyle w:val="BodyText"/>
        <w:spacing w:before="1"/>
        <w:rPr>
          <w:sz w:val="19"/>
        </w:rPr>
      </w:pPr>
    </w:p>
    <w:p>
      <w:pPr>
        <w:pStyle w:val="ListParagraph"/>
        <w:numPr>
          <w:ilvl w:val="1"/>
          <w:numId w:val="148"/>
        </w:numPr>
        <w:tabs>
          <w:tab w:pos="2664" w:val="left" w:leader="none"/>
          <w:tab w:pos="2665" w:val="left" w:leader="none"/>
        </w:tabs>
        <w:spacing w:line="230" w:lineRule="auto" w:before="0" w:after="0"/>
        <w:ind w:left="1984" w:right="2628" w:firstLine="0"/>
        <w:jc w:val="left"/>
        <w:rPr>
          <w:sz w:val="20"/>
        </w:rPr>
      </w:pPr>
      <w:r>
        <w:rPr>
          <w:rFonts w:ascii="Stone Sans II ITC Std Bk" w:hAnsi="Stone Sans II ITC Std Bk"/>
          <w:b/>
          <w:w w:val="115"/>
          <w:sz w:val="20"/>
        </w:rPr>
        <w:t>Roman</w:t>
      </w:r>
      <w:r>
        <w:rPr>
          <w:rFonts w:ascii="Stone Sans II ITC Std Bk" w:hAnsi="Stone Sans II ITC Std Bk"/>
          <w:b/>
          <w:spacing w:val="-39"/>
          <w:w w:val="115"/>
          <w:sz w:val="20"/>
        </w:rPr>
        <w:t> </w:t>
      </w:r>
      <w:r>
        <w:rPr>
          <w:rFonts w:ascii="Stone Sans II ITC Std Bk" w:hAnsi="Stone Sans II ITC Std Bk"/>
          <w:b/>
          <w:w w:val="115"/>
          <w:sz w:val="20"/>
        </w:rPr>
        <w:t>Catholic</w:t>
      </w:r>
      <w:r>
        <w:rPr>
          <w:rFonts w:ascii="Stone Sans II ITC Std Bk" w:hAnsi="Stone Sans II ITC Std Bk"/>
          <w:b/>
          <w:spacing w:val="-39"/>
          <w:w w:val="115"/>
          <w:sz w:val="20"/>
        </w:rPr>
        <w:t> </w:t>
      </w:r>
      <w:r>
        <w:rPr>
          <w:rFonts w:ascii="Stone Sans II ITC Std Bk" w:hAnsi="Stone Sans II ITC Std Bk"/>
          <w:b/>
          <w:w w:val="115"/>
          <w:sz w:val="20"/>
        </w:rPr>
        <w:t>–</w:t>
      </w:r>
      <w:r>
        <w:rPr>
          <w:rFonts w:ascii="Stone Sans II ITC Std Bk" w:hAnsi="Stone Sans II ITC Std Bk"/>
          <w:b/>
          <w:spacing w:val="-38"/>
          <w:w w:val="115"/>
          <w:sz w:val="20"/>
        </w:rPr>
        <w:t> </w:t>
      </w:r>
      <w:r>
        <w:rPr>
          <w:rFonts w:ascii="Stone Sans II ITC Std Bk" w:hAnsi="Stone Sans II ITC Std Bk"/>
          <w:b/>
          <w:w w:val="115"/>
          <w:sz w:val="20"/>
        </w:rPr>
        <w:t>United</w:t>
      </w:r>
      <w:r>
        <w:rPr>
          <w:rFonts w:ascii="Stone Sans II ITC Std Bk" w:hAnsi="Stone Sans II ITC Std Bk"/>
          <w:b/>
          <w:spacing w:val="-39"/>
          <w:w w:val="115"/>
          <w:sz w:val="20"/>
        </w:rPr>
        <w:t> </w:t>
      </w:r>
      <w:r>
        <w:rPr>
          <w:rFonts w:ascii="Stone Sans II ITC Std Bk" w:hAnsi="Stone Sans II ITC Std Bk"/>
          <w:b/>
          <w:w w:val="115"/>
          <w:sz w:val="20"/>
        </w:rPr>
        <w:t>Reformed</w:t>
      </w:r>
      <w:r>
        <w:rPr>
          <w:rFonts w:ascii="Stone Sans II ITC Std Bk" w:hAnsi="Stone Sans II ITC Std Bk"/>
          <w:b/>
          <w:spacing w:val="-39"/>
          <w:w w:val="115"/>
          <w:sz w:val="20"/>
        </w:rPr>
        <w:t> </w:t>
      </w:r>
      <w:r>
        <w:rPr>
          <w:rFonts w:ascii="Stone Sans II ITC Std Bk" w:hAnsi="Stone Sans II ITC Std Bk"/>
          <w:b/>
          <w:w w:val="115"/>
          <w:sz w:val="20"/>
        </w:rPr>
        <w:t>Church</w:t>
      </w:r>
      <w:r>
        <w:rPr>
          <w:rFonts w:ascii="Stone Sans II ITC Std Bk" w:hAnsi="Stone Sans II ITC Std Bk"/>
          <w:b/>
          <w:spacing w:val="-38"/>
          <w:w w:val="115"/>
          <w:sz w:val="20"/>
        </w:rPr>
        <w:t> </w:t>
      </w:r>
      <w:r>
        <w:rPr>
          <w:rFonts w:ascii="Stone Sans II ITC Std Bk" w:hAnsi="Stone Sans II ITC Std Bk"/>
          <w:b/>
          <w:w w:val="115"/>
          <w:sz w:val="20"/>
        </w:rPr>
        <w:t>Bilateral</w:t>
      </w:r>
      <w:r>
        <w:rPr>
          <w:rFonts w:ascii="Stone Sans II ITC Std Bk" w:hAnsi="Stone Sans II ITC Std Bk"/>
          <w:b/>
          <w:spacing w:val="-39"/>
          <w:w w:val="115"/>
          <w:sz w:val="20"/>
        </w:rPr>
        <w:t> </w:t>
      </w:r>
      <w:r>
        <w:rPr>
          <w:rFonts w:ascii="Stone Sans II ITC Std Bk" w:hAnsi="Stone Sans II ITC Std Bk"/>
          <w:b/>
          <w:w w:val="115"/>
          <w:sz w:val="20"/>
        </w:rPr>
        <w:t>Dialogue </w:t>
      </w:r>
      <w:r>
        <w:rPr>
          <w:w w:val="120"/>
          <w:sz w:val="20"/>
        </w:rPr>
        <w:t>Revd Prof David Thompson, Revd Dr John Bradbury, Revd Dr Sarah Hall, Mrs Ann Shillaker, Mr Malcolm</w:t>
      </w:r>
      <w:r>
        <w:rPr>
          <w:spacing w:val="5"/>
          <w:w w:val="120"/>
          <w:sz w:val="20"/>
        </w:rPr>
        <w:t> </w:t>
      </w:r>
      <w:r>
        <w:rPr>
          <w:w w:val="120"/>
          <w:sz w:val="20"/>
        </w:rPr>
        <w:t>Townsend</w:t>
      </w:r>
    </w:p>
    <w:p>
      <w:pPr>
        <w:pStyle w:val="BodyText"/>
        <w:spacing w:line="240" w:lineRule="exact"/>
        <w:ind w:left="1984"/>
      </w:pPr>
      <w:r>
        <w:rPr>
          <w:w w:val="120"/>
        </w:rPr>
        <w:t>Staff Secretary responsible to be decided.</w:t>
      </w:r>
    </w:p>
    <w:p>
      <w:pPr>
        <w:pStyle w:val="BodyText"/>
        <w:spacing w:before="1"/>
      </w:pPr>
    </w:p>
    <w:p>
      <w:pPr>
        <w:numPr>
          <w:ilvl w:val="1"/>
          <w:numId w:val="148"/>
        </w:numPr>
        <w:tabs>
          <w:tab w:pos="2664" w:val="left" w:leader="none"/>
          <w:tab w:pos="2665" w:val="left" w:leader="none"/>
        </w:tabs>
        <w:spacing w:line="213" w:lineRule="auto" w:before="0"/>
        <w:ind w:left="2664" w:right="2333" w:hanging="681"/>
        <w:jc w:val="left"/>
        <w:rPr>
          <w:rFonts w:ascii="Stone Sans II ITC Std Bk" w:hAnsi="Stone Sans II ITC Std Bk"/>
          <w:b/>
          <w:sz w:val="20"/>
        </w:rPr>
      </w:pPr>
      <w:r>
        <w:rPr>
          <w:rFonts w:ascii="Stone Sans II ITC Std Bk" w:hAnsi="Stone Sans II ITC Std Bk"/>
          <w:b/>
          <w:w w:val="110"/>
          <w:sz w:val="20"/>
        </w:rPr>
        <w:t>Church of England – United Reformed Church Bilateral Dialogue </w:t>
      </w:r>
      <w:r>
        <w:rPr>
          <w:rFonts w:ascii="Stone Sans II ITC Std Bk" w:hAnsi="Stone Sans II ITC Std Bk"/>
          <w:b/>
          <w:spacing w:val="-3"/>
          <w:w w:val="110"/>
          <w:sz w:val="20"/>
        </w:rPr>
        <w:t>(‘God’s </w:t>
      </w:r>
      <w:r>
        <w:rPr>
          <w:rFonts w:ascii="Stone Sans II ITC Std Bk" w:hAnsi="Stone Sans II ITC Std Bk"/>
          <w:b/>
          <w:w w:val="110"/>
          <w:sz w:val="20"/>
        </w:rPr>
        <w:t>Reign and our</w:t>
      </w:r>
      <w:r>
        <w:rPr>
          <w:rFonts w:ascii="Stone Sans II ITC Std Bk" w:hAnsi="Stone Sans II ITC Std Bk"/>
          <w:b/>
          <w:spacing w:val="2"/>
          <w:w w:val="110"/>
          <w:sz w:val="20"/>
        </w:rPr>
        <w:t> </w:t>
      </w:r>
      <w:r>
        <w:rPr>
          <w:rFonts w:ascii="Stone Sans II ITC Std Bk" w:hAnsi="Stone Sans II ITC Std Bk"/>
          <w:b/>
          <w:w w:val="110"/>
          <w:sz w:val="20"/>
        </w:rPr>
        <w:t>Unity’)</w:t>
      </w:r>
    </w:p>
    <w:p>
      <w:pPr>
        <w:pStyle w:val="BodyText"/>
        <w:spacing w:line="235" w:lineRule="auto"/>
        <w:ind w:left="1984" w:right="5549"/>
      </w:pPr>
      <w:r>
        <w:rPr>
          <w:w w:val="120"/>
        </w:rPr>
        <w:t>Revd Elizabeth Welch, Revd Dr David Peel Deputy General</w:t>
      </w:r>
      <w:r>
        <w:rPr>
          <w:spacing w:val="6"/>
          <w:w w:val="120"/>
        </w:rPr>
        <w:t> </w:t>
      </w:r>
      <w:r>
        <w:rPr>
          <w:w w:val="120"/>
        </w:rPr>
        <w:t>Secretary</w:t>
      </w:r>
    </w:p>
    <w:p>
      <w:pPr>
        <w:pStyle w:val="BodyText"/>
        <w:spacing w:before="8"/>
        <w:rPr>
          <w:sz w:val="19"/>
        </w:rPr>
      </w:pPr>
    </w:p>
    <w:p>
      <w:pPr>
        <w:numPr>
          <w:ilvl w:val="1"/>
          <w:numId w:val="148"/>
        </w:numPr>
        <w:tabs>
          <w:tab w:pos="2664" w:val="left" w:leader="none"/>
          <w:tab w:pos="2665" w:val="left" w:leader="none"/>
        </w:tabs>
        <w:spacing w:line="213" w:lineRule="auto" w:before="0"/>
        <w:ind w:left="2664" w:right="1292" w:hanging="681"/>
        <w:jc w:val="left"/>
        <w:rPr>
          <w:rFonts w:ascii="Stone Sans II ITC Std Bk"/>
          <w:b/>
          <w:sz w:val="20"/>
        </w:rPr>
      </w:pPr>
      <w:r>
        <w:rPr>
          <w:rFonts w:ascii="Stone Sans II ITC Std Bk"/>
          <w:b/>
          <w:w w:val="110"/>
          <w:sz w:val="20"/>
        </w:rPr>
        <w:t>Partnership Conversations of the Scottish Episcopal Church, the Methodist Church and the National Synod of the United Reformed Church</w:t>
      </w:r>
    </w:p>
    <w:p>
      <w:pPr>
        <w:pStyle w:val="BodyText"/>
        <w:spacing w:line="233" w:lineRule="exact"/>
        <w:ind w:left="1984"/>
      </w:pPr>
      <w:r>
        <w:rPr>
          <w:w w:val="120"/>
        </w:rPr>
        <w:t>Revd John Humphreys, Revd Mary Buchanan, Revd John Young</w:t>
      </w:r>
    </w:p>
    <w:p>
      <w:pPr>
        <w:pStyle w:val="BodyText"/>
        <w:rPr>
          <w:sz w:val="24"/>
        </w:rPr>
      </w:pPr>
    </w:p>
    <w:p>
      <w:pPr>
        <w:pStyle w:val="ListParagraph"/>
        <w:numPr>
          <w:ilvl w:val="0"/>
          <w:numId w:val="148"/>
        </w:numPr>
        <w:tabs>
          <w:tab w:pos="2664" w:val="left" w:leader="none"/>
          <w:tab w:pos="2665" w:val="left" w:leader="none"/>
        </w:tabs>
        <w:spacing w:line="196" w:lineRule="auto" w:before="153" w:after="0"/>
        <w:ind w:left="2664" w:right="2133" w:hanging="681"/>
        <w:jc w:val="left"/>
        <w:rPr>
          <w:rFonts w:ascii="Stone Sans II ITC Std Bk"/>
          <w:b/>
          <w:sz w:val="29"/>
        </w:rPr>
      </w:pPr>
      <w:r>
        <w:rPr>
          <w:rFonts w:ascii="Stone Sans II ITC Std Bk"/>
          <w:b/>
          <w:color w:val="CA4F1B"/>
          <w:spacing w:val="3"/>
          <w:w w:val="110"/>
          <w:sz w:val="29"/>
        </w:rPr>
        <w:t>URC Representatives </w:t>
      </w:r>
      <w:r>
        <w:rPr>
          <w:rFonts w:ascii="Stone Sans II ITC Std Bk"/>
          <w:b/>
          <w:color w:val="CA4F1B"/>
          <w:spacing w:val="2"/>
          <w:w w:val="110"/>
          <w:sz w:val="29"/>
        </w:rPr>
        <w:t>on </w:t>
      </w:r>
      <w:r>
        <w:rPr>
          <w:rFonts w:ascii="Stone Sans II ITC Std Bk"/>
          <w:b/>
          <w:color w:val="CA4F1B"/>
          <w:spacing w:val="3"/>
          <w:w w:val="110"/>
          <w:sz w:val="29"/>
        </w:rPr>
        <w:t>Governing </w:t>
      </w:r>
      <w:r>
        <w:rPr>
          <w:rFonts w:ascii="Stone Sans II ITC Std Bk"/>
          <w:b/>
          <w:color w:val="CA4F1B"/>
          <w:spacing w:val="4"/>
          <w:w w:val="110"/>
          <w:sz w:val="29"/>
        </w:rPr>
        <w:t>Bodies </w:t>
      </w:r>
      <w:r>
        <w:rPr>
          <w:rFonts w:ascii="Stone Sans II ITC Std Bk"/>
          <w:b/>
          <w:color w:val="CA4F1B"/>
          <w:w w:val="110"/>
          <w:sz w:val="29"/>
        </w:rPr>
        <w:t>of </w:t>
      </w:r>
      <w:r>
        <w:rPr>
          <w:rFonts w:ascii="Stone Sans II ITC Std Bk"/>
          <w:b/>
          <w:color w:val="CA4F1B"/>
          <w:spacing w:val="4"/>
          <w:w w:val="110"/>
          <w:sz w:val="29"/>
        </w:rPr>
        <w:t>Theological </w:t>
      </w:r>
      <w:r>
        <w:rPr>
          <w:rFonts w:ascii="Stone Sans II ITC Std Bk"/>
          <w:b/>
          <w:color w:val="CA4F1B"/>
          <w:spacing w:val="3"/>
          <w:w w:val="110"/>
          <w:sz w:val="29"/>
        </w:rPr>
        <w:t>Colleges,</w:t>
      </w:r>
      <w:r>
        <w:rPr>
          <w:rFonts w:ascii="Stone Sans II ITC Std Bk"/>
          <w:b/>
          <w:color w:val="CA4F1B"/>
          <w:spacing w:val="22"/>
          <w:w w:val="110"/>
          <w:sz w:val="29"/>
        </w:rPr>
        <w:t> </w:t>
      </w:r>
      <w:r>
        <w:rPr>
          <w:rFonts w:ascii="Stone Sans II ITC Std Bk"/>
          <w:b/>
          <w:color w:val="CA4F1B"/>
          <w:w w:val="110"/>
          <w:sz w:val="29"/>
        </w:rPr>
        <w:t>Etc</w:t>
      </w:r>
    </w:p>
    <w:p>
      <w:pPr>
        <w:numPr>
          <w:ilvl w:val="1"/>
          <w:numId w:val="148"/>
        </w:numPr>
        <w:tabs>
          <w:tab w:pos="2664" w:val="left" w:leader="none"/>
          <w:tab w:pos="2665" w:val="left" w:leader="none"/>
        </w:tabs>
        <w:spacing w:line="261" w:lineRule="exact" w:before="195"/>
        <w:ind w:left="2664" w:right="0" w:hanging="681"/>
        <w:jc w:val="left"/>
        <w:rPr>
          <w:rFonts w:ascii="Stone Sans II ITC Std Bk"/>
          <w:b/>
          <w:sz w:val="20"/>
        </w:rPr>
      </w:pPr>
      <w:r>
        <w:rPr>
          <w:rFonts w:ascii="Stone Sans II ITC Std Bk"/>
          <w:b/>
          <w:w w:val="110"/>
          <w:sz w:val="20"/>
        </w:rPr>
        <w:t>Northern</w:t>
      </w:r>
      <w:r>
        <w:rPr>
          <w:rFonts w:ascii="Stone Sans II ITC Std Bk"/>
          <w:b/>
          <w:spacing w:val="-1"/>
          <w:w w:val="110"/>
          <w:sz w:val="20"/>
        </w:rPr>
        <w:t> </w:t>
      </w:r>
      <w:r>
        <w:rPr>
          <w:rFonts w:ascii="Stone Sans II ITC Std Bk"/>
          <w:b/>
          <w:w w:val="110"/>
          <w:sz w:val="20"/>
        </w:rPr>
        <w:t>College</w:t>
      </w:r>
    </w:p>
    <w:p>
      <w:pPr>
        <w:pStyle w:val="BodyText"/>
        <w:tabs>
          <w:tab w:pos="6304" w:val="left" w:leader="none"/>
        </w:tabs>
        <w:spacing w:line="235" w:lineRule="auto"/>
        <w:ind w:left="1984" w:right="3009" w:hanging="1"/>
      </w:pPr>
      <w:r>
        <w:rPr>
          <w:w w:val="120"/>
        </w:rPr>
        <w:t>Miss Margaret  Atkinson</w:t>
      </w:r>
      <w:r>
        <w:rPr>
          <w:spacing w:val="4"/>
          <w:w w:val="120"/>
        </w:rPr>
        <w:t> </w:t>
      </w:r>
      <w:r>
        <w:rPr>
          <w:spacing w:val="-9"/>
          <w:w w:val="120"/>
        </w:rPr>
        <w:t>(4)</w:t>
      </w:r>
      <w:r>
        <w:rPr>
          <w:spacing w:val="22"/>
          <w:w w:val="120"/>
        </w:rPr>
        <w:t> </w:t>
      </w:r>
      <w:r>
        <w:rPr>
          <w:spacing w:val="-9"/>
          <w:w w:val="120"/>
        </w:rPr>
        <w:t>[2011]</w:t>
        <w:tab/>
      </w:r>
      <w:r>
        <w:rPr>
          <w:spacing w:val="2"/>
          <w:w w:val="120"/>
        </w:rPr>
        <w:t>Mrs Helen </w:t>
      </w:r>
      <w:r>
        <w:rPr>
          <w:w w:val="120"/>
        </w:rPr>
        <w:t>Brown </w:t>
      </w:r>
      <w:r>
        <w:rPr>
          <w:spacing w:val="-9"/>
          <w:w w:val="120"/>
        </w:rPr>
        <w:t>[2011] </w:t>
      </w:r>
      <w:r>
        <w:rPr>
          <w:w w:val="120"/>
        </w:rPr>
        <w:t>Revd Dr </w:t>
      </w:r>
      <w:r>
        <w:rPr>
          <w:spacing w:val="3"/>
          <w:w w:val="120"/>
        </w:rPr>
        <w:t>Robert</w:t>
      </w:r>
      <w:r>
        <w:rPr>
          <w:spacing w:val="55"/>
          <w:w w:val="120"/>
        </w:rPr>
        <w:t> </w:t>
      </w:r>
      <w:r>
        <w:rPr>
          <w:w w:val="120"/>
        </w:rPr>
        <w:t>Pope</w:t>
      </w:r>
      <w:r>
        <w:rPr>
          <w:spacing w:val="18"/>
          <w:w w:val="120"/>
        </w:rPr>
        <w:t> </w:t>
      </w:r>
      <w:r>
        <w:rPr>
          <w:spacing w:val="-9"/>
          <w:w w:val="120"/>
        </w:rPr>
        <w:t>[2011]</w:t>
        <w:tab/>
      </w:r>
      <w:r>
        <w:rPr>
          <w:w w:val="120"/>
        </w:rPr>
        <w:t>Revd David Jenkins</w:t>
      </w:r>
      <w:r>
        <w:rPr>
          <w:spacing w:val="-28"/>
          <w:w w:val="120"/>
        </w:rPr>
        <w:t> </w:t>
      </w:r>
      <w:r>
        <w:rPr>
          <w:spacing w:val="-8"/>
          <w:w w:val="120"/>
        </w:rPr>
        <w:t>[2013]</w:t>
      </w:r>
    </w:p>
    <w:p>
      <w:pPr>
        <w:pStyle w:val="BodyText"/>
        <w:tabs>
          <w:tab w:pos="6304" w:val="left" w:leader="none"/>
        </w:tabs>
        <w:spacing w:line="242" w:lineRule="exact"/>
        <w:ind w:left="1984"/>
      </w:pPr>
      <w:r>
        <w:rPr>
          <w:w w:val="120"/>
        </w:rPr>
        <w:t>Mr Steve</w:t>
      </w:r>
      <w:r>
        <w:rPr>
          <w:spacing w:val="28"/>
          <w:w w:val="120"/>
        </w:rPr>
        <w:t> </w:t>
      </w:r>
      <w:r>
        <w:rPr>
          <w:w w:val="120"/>
        </w:rPr>
        <w:t>Wood</w:t>
      </w:r>
      <w:r>
        <w:rPr>
          <w:spacing w:val="14"/>
          <w:w w:val="120"/>
        </w:rPr>
        <w:t> </w:t>
      </w:r>
      <w:r>
        <w:rPr>
          <w:spacing w:val="-8"/>
          <w:w w:val="120"/>
        </w:rPr>
        <w:t>[2013]</w:t>
        <w:tab/>
      </w:r>
      <w:r>
        <w:rPr>
          <w:spacing w:val="3"/>
          <w:w w:val="120"/>
        </w:rPr>
        <w:t>Secretary </w:t>
      </w:r>
      <w:r>
        <w:rPr>
          <w:w w:val="120"/>
        </w:rPr>
        <w:t>for Education and</w:t>
      </w:r>
      <w:r>
        <w:rPr>
          <w:spacing w:val="16"/>
          <w:w w:val="120"/>
        </w:rPr>
        <w:t> </w:t>
      </w:r>
      <w:r>
        <w:rPr>
          <w:w w:val="120"/>
        </w:rPr>
        <w:t>Learning</w:t>
      </w:r>
    </w:p>
    <w:p>
      <w:pPr>
        <w:pStyle w:val="BodyText"/>
        <w:spacing w:before="10"/>
        <w:rPr>
          <w:sz w:val="17"/>
        </w:rPr>
      </w:pPr>
    </w:p>
    <w:p>
      <w:pPr>
        <w:numPr>
          <w:ilvl w:val="2"/>
          <w:numId w:val="148"/>
        </w:numPr>
        <w:tabs>
          <w:tab w:pos="2665" w:val="left" w:leader="none"/>
        </w:tabs>
        <w:spacing w:line="261" w:lineRule="exact" w:before="1"/>
        <w:ind w:left="2664" w:right="0" w:hanging="681"/>
        <w:jc w:val="left"/>
        <w:rPr>
          <w:rFonts w:ascii="Stone Sans II ITC Std Bk"/>
          <w:b/>
          <w:sz w:val="20"/>
        </w:rPr>
      </w:pPr>
      <w:r>
        <w:rPr>
          <w:rFonts w:ascii="Stone Sans II ITC Std Bk"/>
          <w:b/>
          <w:w w:val="110"/>
          <w:sz w:val="20"/>
        </w:rPr>
        <w:t>Luther King House Educational</w:t>
      </w:r>
      <w:r>
        <w:rPr>
          <w:rFonts w:ascii="Stone Sans II ITC Std Bk"/>
          <w:b/>
          <w:spacing w:val="-1"/>
          <w:w w:val="110"/>
          <w:sz w:val="20"/>
        </w:rPr>
        <w:t> </w:t>
      </w:r>
      <w:r>
        <w:rPr>
          <w:rFonts w:ascii="Stone Sans II ITC Std Bk"/>
          <w:b/>
          <w:w w:val="110"/>
          <w:sz w:val="20"/>
        </w:rPr>
        <w:t>Trust</w:t>
      </w:r>
    </w:p>
    <w:p>
      <w:pPr>
        <w:pStyle w:val="BodyText"/>
        <w:spacing w:line="235" w:lineRule="exact"/>
        <w:ind w:left="1984"/>
      </w:pPr>
      <w:r>
        <w:rPr>
          <w:w w:val="120"/>
        </w:rPr>
        <w:t>Secretary for Education and Learning</w:t>
      </w:r>
    </w:p>
    <w:p>
      <w:pPr>
        <w:pStyle w:val="BodyText"/>
        <w:spacing w:before="3"/>
        <w:rPr>
          <w:sz w:val="18"/>
        </w:rPr>
      </w:pPr>
    </w:p>
    <w:p>
      <w:pPr>
        <w:numPr>
          <w:ilvl w:val="1"/>
          <w:numId w:val="148"/>
        </w:numPr>
        <w:tabs>
          <w:tab w:pos="2664" w:val="left" w:leader="none"/>
          <w:tab w:pos="2665" w:val="left" w:leader="none"/>
        </w:tabs>
        <w:spacing w:line="261" w:lineRule="exact" w:before="0"/>
        <w:ind w:left="2664" w:right="0" w:hanging="681"/>
        <w:jc w:val="left"/>
        <w:rPr>
          <w:rFonts w:ascii="Stone Sans II ITC Std Bk"/>
          <w:b/>
          <w:sz w:val="20"/>
        </w:rPr>
      </w:pPr>
      <w:r>
        <w:rPr>
          <w:rFonts w:ascii="Stone Sans II ITC Std Bk"/>
          <w:b/>
          <w:w w:val="110"/>
          <w:sz w:val="20"/>
        </w:rPr>
        <w:t>Westminster College: Board of</w:t>
      </w:r>
      <w:r>
        <w:rPr>
          <w:rFonts w:ascii="Stone Sans II ITC Std Bk"/>
          <w:b/>
          <w:spacing w:val="-1"/>
          <w:w w:val="110"/>
          <w:sz w:val="20"/>
        </w:rPr>
        <w:t> </w:t>
      </w:r>
      <w:r>
        <w:rPr>
          <w:rFonts w:ascii="Stone Sans II ITC Std Bk"/>
          <w:b/>
          <w:w w:val="110"/>
          <w:sz w:val="20"/>
        </w:rPr>
        <w:t>Governors</w:t>
      </w:r>
    </w:p>
    <w:p>
      <w:pPr>
        <w:pStyle w:val="BodyText"/>
        <w:spacing w:line="233" w:lineRule="exact"/>
        <w:ind w:left="1984"/>
      </w:pPr>
      <w:r>
        <w:rPr>
          <w:w w:val="120"/>
        </w:rPr>
        <w:t>Convener: Professor Sir Anthony Bottoms [2014]</w:t>
      </w:r>
    </w:p>
    <w:p>
      <w:pPr>
        <w:pStyle w:val="BodyText"/>
        <w:tabs>
          <w:tab w:pos="6304" w:val="left" w:leader="none"/>
        </w:tabs>
        <w:spacing w:line="235" w:lineRule="auto" w:before="2"/>
        <w:ind w:left="1984" w:right="2061"/>
      </w:pPr>
      <w:r>
        <w:rPr>
          <w:w w:val="120"/>
        </w:rPr>
        <w:t>Clerk: Revd Cecil</w:t>
      </w:r>
      <w:r>
        <w:rPr>
          <w:spacing w:val="39"/>
          <w:w w:val="120"/>
        </w:rPr>
        <w:t> </w:t>
      </w:r>
      <w:r>
        <w:rPr>
          <w:w w:val="120"/>
        </w:rPr>
        <w:t>White</w:t>
      </w:r>
      <w:r>
        <w:rPr>
          <w:spacing w:val="13"/>
          <w:w w:val="120"/>
        </w:rPr>
        <w:t> </w:t>
      </w:r>
      <w:r>
        <w:rPr>
          <w:spacing w:val="-8"/>
          <w:w w:val="120"/>
        </w:rPr>
        <w:t>[2012]</w:t>
        <w:tab/>
      </w:r>
      <w:r>
        <w:rPr>
          <w:spacing w:val="2"/>
          <w:w w:val="120"/>
        </w:rPr>
        <w:t>Honorary </w:t>
      </w:r>
      <w:r>
        <w:rPr>
          <w:w w:val="120"/>
        </w:rPr>
        <w:t>Treasurer: Vacancy </w:t>
      </w:r>
      <w:r>
        <w:rPr>
          <w:spacing w:val="-7"/>
          <w:w w:val="120"/>
        </w:rPr>
        <w:t>[2016] </w:t>
      </w:r>
      <w:r>
        <w:rPr>
          <w:w w:val="120"/>
        </w:rPr>
        <w:t>Members: Dr Jean</w:t>
      </w:r>
      <w:r>
        <w:rPr>
          <w:spacing w:val="10"/>
          <w:w w:val="120"/>
        </w:rPr>
        <w:t> </w:t>
      </w:r>
      <w:r>
        <w:rPr>
          <w:w w:val="120"/>
        </w:rPr>
        <w:t>Stevenson</w:t>
      </w:r>
      <w:r>
        <w:rPr>
          <w:spacing w:val="3"/>
          <w:w w:val="120"/>
        </w:rPr>
        <w:t> </w:t>
      </w:r>
      <w:r>
        <w:rPr>
          <w:spacing w:val="-9"/>
          <w:w w:val="120"/>
        </w:rPr>
        <w:t>[2013]</w:t>
        <w:tab/>
      </w:r>
      <w:r>
        <w:rPr>
          <w:w w:val="120"/>
        </w:rPr>
        <w:t>Revd Craig Muir</w:t>
      </w:r>
      <w:r>
        <w:rPr>
          <w:spacing w:val="11"/>
          <w:w w:val="120"/>
        </w:rPr>
        <w:t> </w:t>
      </w:r>
      <w:r>
        <w:rPr>
          <w:spacing w:val="-8"/>
          <w:w w:val="120"/>
        </w:rPr>
        <w:t>[2015]</w:t>
      </w:r>
    </w:p>
    <w:p>
      <w:pPr>
        <w:pStyle w:val="BodyText"/>
        <w:tabs>
          <w:tab w:pos="6304" w:val="left" w:leader="none"/>
        </w:tabs>
        <w:spacing w:line="240" w:lineRule="exact"/>
        <w:ind w:left="1984"/>
      </w:pPr>
      <w:r>
        <w:rPr>
          <w:w w:val="125"/>
        </w:rPr>
        <w:t>Revd Nigel</w:t>
      </w:r>
      <w:r>
        <w:rPr>
          <w:spacing w:val="-5"/>
          <w:w w:val="125"/>
        </w:rPr>
        <w:t> </w:t>
      </w:r>
      <w:r>
        <w:rPr>
          <w:w w:val="125"/>
        </w:rPr>
        <w:t>Appleton</w:t>
      </w:r>
      <w:r>
        <w:rPr>
          <w:spacing w:val="-2"/>
          <w:w w:val="125"/>
        </w:rPr>
        <w:t> </w:t>
      </w:r>
      <w:r>
        <w:rPr>
          <w:spacing w:val="-8"/>
          <w:w w:val="125"/>
        </w:rPr>
        <w:t>[2015]</w:t>
        <w:tab/>
      </w:r>
      <w:r>
        <w:rPr>
          <w:w w:val="125"/>
        </w:rPr>
        <w:t>Vacancy </w:t>
      </w:r>
      <w:r>
        <w:rPr>
          <w:spacing w:val="-7"/>
          <w:w w:val="125"/>
        </w:rPr>
        <w:t>[2016]</w:t>
      </w:r>
    </w:p>
    <w:p>
      <w:pPr>
        <w:pStyle w:val="BodyText"/>
        <w:tabs>
          <w:tab w:pos="6304" w:val="left" w:leader="none"/>
        </w:tabs>
        <w:spacing w:line="242" w:lineRule="exact"/>
        <w:ind w:left="1984"/>
      </w:pPr>
      <w:r>
        <w:rPr>
          <w:w w:val="120"/>
        </w:rPr>
        <w:t>Vacancy</w:t>
      </w:r>
      <w:r>
        <w:rPr>
          <w:spacing w:val="17"/>
          <w:w w:val="120"/>
        </w:rPr>
        <w:t> </w:t>
      </w:r>
      <w:r>
        <w:rPr>
          <w:spacing w:val="-7"/>
          <w:w w:val="120"/>
        </w:rPr>
        <w:t>[2016]</w:t>
        <w:tab/>
      </w:r>
      <w:r>
        <w:rPr>
          <w:w w:val="120"/>
        </w:rPr>
        <w:t>Secretary for Education and</w:t>
      </w:r>
      <w:r>
        <w:rPr>
          <w:spacing w:val="10"/>
          <w:w w:val="120"/>
        </w:rPr>
        <w:t> </w:t>
      </w:r>
      <w:r>
        <w:rPr>
          <w:w w:val="120"/>
        </w:rPr>
        <w:t>Learning</w:t>
      </w:r>
    </w:p>
    <w:p>
      <w:pPr>
        <w:pStyle w:val="BodyText"/>
        <w:spacing w:before="3"/>
        <w:rPr>
          <w:sz w:val="18"/>
        </w:rPr>
      </w:pPr>
    </w:p>
    <w:p>
      <w:pPr>
        <w:numPr>
          <w:ilvl w:val="2"/>
          <w:numId w:val="148"/>
        </w:numPr>
        <w:tabs>
          <w:tab w:pos="2665" w:val="left" w:leader="none"/>
        </w:tabs>
        <w:spacing w:line="261" w:lineRule="exact" w:before="0"/>
        <w:ind w:left="2664" w:right="0" w:hanging="681"/>
        <w:jc w:val="left"/>
        <w:rPr>
          <w:rFonts w:ascii="Stone Sans II ITC Std Bk"/>
          <w:b/>
          <w:sz w:val="20"/>
        </w:rPr>
      </w:pPr>
      <w:r>
        <w:rPr>
          <w:rFonts w:ascii="Stone Sans II ITC Std Bk"/>
          <w:b/>
          <w:w w:val="110"/>
          <w:sz w:val="20"/>
        </w:rPr>
        <w:t>Cheshunt</w:t>
      </w:r>
      <w:r>
        <w:rPr>
          <w:rFonts w:ascii="Stone Sans II ITC Std Bk"/>
          <w:b/>
          <w:spacing w:val="-1"/>
          <w:w w:val="110"/>
          <w:sz w:val="20"/>
        </w:rPr>
        <w:t> </w:t>
      </w:r>
      <w:r>
        <w:rPr>
          <w:rFonts w:ascii="Stone Sans II ITC Std Bk"/>
          <w:b/>
          <w:w w:val="110"/>
          <w:sz w:val="20"/>
        </w:rPr>
        <w:t>Foundation</w:t>
      </w:r>
    </w:p>
    <w:p>
      <w:pPr>
        <w:pStyle w:val="BodyText"/>
        <w:tabs>
          <w:tab w:pos="6304" w:val="left" w:leader="none"/>
        </w:tabs>
        <w:spacing w:line="235" w:lineRule="exact"/>
        <w:ind w:left="1984"/>
      </w:pPr>
      <w:r>
        <w:rPr>
          <w:w w:val="120"/>
        </w:rPr>
        <w:t>Mr Guy</w:t>
      </w:r>
      <w:r>
        <w:rPr>
          <w:spacing w:val="-4"/>
          <w:w w:val="120"/>
        </w:rPr>
        <w:t> </w:t>
      </w:r>
      <w:r>
        <w:rPr>
          <w:spacing w:val="2"/>
          <w:w w:val="120"/>
        </w:rPr>
        <w:t>Morphett**</w:t>
      </w:r>
      <w:r>
        <w:rPr>
          <w:spacing w:val="-2"/>
          <w:w w:val="120"/>
        </w:rPr>
        <w:t> </w:t>
      </w:r>
      <w:r>
        <w:rPr>
          <w:spacing w:val="-9"/>
          <w:w w:val="120"/>
        </w:rPr>
        <w:t>[2013]</w:t>
        <w:tab/>
      </w:r>
      <w:r>
        <w:rPr>
          <w:w w:val="120"/>
        </w:rPr>
        <w:t>Revd Craig Muir</w:t>
      </w:r>
      <w:r>
        <w:rPr>
          <w:spacing w:val="10"/>
          <w:w w:val="120"/>
        </w:rPr>
        <w:t> </w:t>
      </w:r>
      <w:r>
        <w:rPr>
          <w:spacing w:val="-11"/>
          <w:w w:val="120"/>
        </w:rPr>
        <w:t>[2011]</w:t>
      </w:r>
    </w:p>
    <w:p>
      <w:pPr>
        <w:pStyle w:val="BodyText"/>
        <w:spacing w:before="4"/>
        <w:rPr>
          <w:sz w:val="18"/>
        </w:rPr>
      </w:pPr>
    </w:p>
    <w:p>
      <w:pPr>
        <w:numPr>
          <w:ilvl w:val="2"/>
          <w:numId w:val="148"/>
        </w:numPr>
        <w:tabs>
          <w:tab w:pos="2665" w:val="left" w:leader="none"/>
        </w:tabs>
        <w:spacing w:line="261" w:lineRule="exact" w:before="0"/>
        <w:ind w:left="2664" w:right="0" w:hanging="681"/>
        <w:jc w:val="left"/>
        <w:rPr>
          <w:rFonts w:ascii="Stone Sans II ITC Std Bk"/>
          <w:b/>
          <w:sz w:val="20"/>
        </w:rPr>
      </w:pPr>
      <w:r>
        <w:rPr>
          <w:rFonts w:ascii="Stone Sans II ITC Std Bk"/>
          <w:b/>
          <w:w w:val="110"/>
          <w:sz w:val="20"/>
        </w:rPr>
        <w:t>Cambridge Theological</w:t>
      </w:r>
      <w:r>
        <w:rPr>
          <w:rFonts w:ascii="Stone Sans II ITC Std Bk"/>
          <w:b/>
          <w:spacing w:val="-1"/>
          <w:w w:val="110"/>
          <w:sz w:val="20"/>
        </w:rPr>
        <w:t> </w:t>
      </w:r>
      <w:r>
        <w:rPr>
          <w:rFonts w:ascii="Stone Sans II ITC Std Bk"/>
          <w:b/>
          <w:w w:val="110"/>
          <w:sz w:val="20"/>
        </w:rPr>
        <w:t>Federation</w:t>
      </w:r>
    </w:p>
    <w:p>
      <w:pPr>
        <w:pStyle w:val="BodyText"/>
        <w:spacing w:line="235" w:lineRule="exact"/>
        <w:ind w:left="1984"/>
      </w:pPr>
      <w:r>
        <w:rPr>
          <w:w w:val="120"/>
        </w:rPr>
        <w:t>Convener, Westminster College Governors</w:t>
      </w:r>
    </w:p>
    <w:p>
      <w:pPr>
        <w:pStyle w:val="BodyText"/>
        <w:spacing w:before="3"/>
        <w:rPr>
          <w:sz w:val="18"/>
        </w:rPr>
      </w:pPr>
    </w:p>
    <w:p>
      <w:pPr>
        <w:numPr>
          <w:ilvl w:val="1"/>
          <w:numId w:val="148"/>
        </w:numPr>
        <w:tabs>
          <w:tab w:pos="2664" w:val="left" w:leader="none"/>
          <w:tab w:pos="2665" w:val="left" w:leader="none"/>
        </w:tabs>
        <w:spacing w:line="261" w:lineRule="exact" w:before="0"/>
        <w:ind w:left="2664" w:right="0" w:hanging="681"/>
        <w:jc w:val="left"/>
        <w:rPr>
          <w:rFonts w:ascii="Stone Sans II ITC Std Bk" w:hAnsi="Stone Sans II ITC Std Bk"/>
          <w:b/>
          <w:sz w:val="20"/>
        </w:rPr>
      </w:pPr>
      <w:r>
        <w:rPr>
          <w:rFonts w:ascii="Stone Sans II ITC Std Bk" w:hAnsi="Stone Sans II ITC Std Bk"/>
          <w:b/>
          <w:w w:val="110"/>
          <w:sz w:val="20"/>
        </w:rPr>
        <w:t>The Queen’s</w:t>
      </w:r>
      <w:r>
        <w:rPr>
          <w:rFonts w:ascii="Stone Sans II ITC Std Bk" w:hAnsi="Stone Sans II ITC Std Bk"/>
          <w:b/>
          <w:spacing w:val="-1"/>
          <w:w w:val="110"/>
          <w:sz w:val="20"/>
        </w:rPr>
        <w:t> </w:t>
      </w:r>
      <w:r>
        <w:rPr>
          <w:rFonts w:ascii="Stone Sans II ITC Std Bk" w:hAnsi="Stone Sans II ITC Std Bk"/>
          <w:b/>
          <w:w w:val="110"/>
          <w:sz w:val="20"/>
        </w:rPr>
        <w:t>Foundation</w:t>
      </w:r>
    </w:p>
    <w:p>
      <w:pPr>
        <w:pStyle w:val="BodyText"/>
        <w:tabs>
          <w:tab w:pos="6304" w:val="left" w:leader="none"/>
        </w:tabs>
        <w:spacing w:line="235" w:lineRule="auto"/>
        <w:ind w:left="1984" w:right="3637"/>
      </w:pPr>
      <w:r>
        <w:rPr>
          <w:w w:val="120"/>
        </w:rPr>
        <w:t>Revd</w:t>
      </w:r>
      <w:r>
        <w:rPr>
          <w:spacing w:val="1"/>
          <w:w w:val="120"/>
        </w:rPr>
        <w:t> </w:t>
      </w:r>
      <w:r>
        <w:rPr>
          <w:w w:val="120"/>
        </w:rPr>
        <w:t>Roy</w:t>
      </w:r>
      <w:r>
        <w:rPr>
          <w:spacing w:val="2"/>
          <w:w w:val="120"/>
        </w:rPr>
        <w:t> </w:t>
      </w:r>
      <w:r>
        <w:rPr>
          <w:w w:val="120"/>
        </w:rPr>
        <w:t>Lowes</w:t>
        <w:tab/>
        <w:t>Mr Simon Rowntree </w:t>
      </w:r>
      <w:r>
        <w:rPr>
          <w:spacing w:val="-3"/>
          <w:w w:val="120"/>
        </w:rPr>
        <w:t>[</w:t>
      </w:r>
      <w:r>
        <w:rPr>
          <w:i/>
          <w:spacing w:val="-3"/>
          <w:w w:val="120"/>
        </w:rPr>
        <w:t>In </w:t>
      </w:r>
      <w:r>
        <w:rPr>
          <w:i/>
          <w:w w:val="120"/>
        </w:rPr>
        <w:t>attendance</w:t>
      </w:r>
      <w:r>
        <w:rPr>
          <w:w w:val="120"/>
        </w:rPr>
        <w:t>: Secretary for Education and</w:t>
      </w:r>
      <w:r>
        <w:rPr>
          <w:spacing w:val="-21"/>
          <w:w w:val="120"/>
        </w:rPr>
        <w:t> </w:t>
      </w:r>
      <w:r>
        <w:rPr>
          <w:w w:val="120"/>
        </w:rPr>
        <w:t>Learning]</w:t>
      </w:r>
    </w:p>
    <w:p>
      <w:pPr>
        <w:pStyle w:val="BodyText"/>
        <w:rPr>
          <w:sz w:val="24"/>
        </w:rPr>
      </w:pPr>
    </w:p>
    <w:p>
      <w:pPr>
        <w:pStyle w:val="ListParagraph"/>
        <w:numPr>
          <w:ilvl w:val="0"/>
          <w:numId w:val="148"/>
        </w:numPr>
        <w:tabs>
          <w:tab w:pos="2664" w:val="left" w:leader="none"/>
          <w:tab w:pos="2665" w:val="left" w:leader="none"/>
        </w:tabs>
        <w:spacing w:line="196" w:lineRule="auto" w:before="170" w:after="0"/>
        <w:ind w:left="2664" w:right="1371" w:hanging="681"/>
        <w:jc w:val="left"/>
        <w:rPr>
          <w:rFonts w:ascii="Stone Sans II ITC Std Bk"/>
          <w:b/>
          <w:sz w:val="29"/>
        </w:rPr>
      </w:pPr>
      <w:r>
        <w:rPr>
          <w:rFonts w:ascii="Stone Sans II ITC Std Bk"/>
          <w:b/>
          <w:color w:val="CA4F1B"/>
          <w:spacing w:val="4"/>
          <w:w w:val="110"/>
          <w:sz w:val="29"/>
        </w:rPr>
        <w:t>Governors </w:t>
      </w:r>
      <w:r>
        <w:rPr>
          <w:rFonts w:ascii="Stone Sans II ITC Std Bk"/>
          <w:b/>
          <w:color w:val="CA4F1B"/>
          <w:w w:val="110"/>
          <w:sz w:val="29"/>
        </w:rPr>
        <w:t>of </w:t>
      </w:r>
      <w:r>
        <w:rPr>
          <w:rFonts w:ascii="Stone Sans II ITC Std Bk"/>
          <w:b/>
          <w:color w:val="CA4F1B"/>
          <w:spacing w:val="4"/>
          <w:w w:val="110"/>
          <w:sz w:val="29"/>
        </w:rPr>
        <w:t>colleges </w:t>
      </w:r>
      <w:r>
        <w:rPr>
          <w:rFonts w:ascii="Stone Sans II ITC Std Bk"/>
          <w:b/>
          <w:color w:val="CA4F1B"/>
          <w:spacing w:val="3"/>
          <w:w w:val="110"/>
          <w:sz w:val="29"/>
        </w:rPr>
        <w:t>and </w:t>
      </w:r>
      <w:r>
        <w:rPr>
          <w:rFonts w:ascii="Stone Sans II ITC Std Bk"/>
          <w:b/>
          <w:color w:val="CA4F1B"/>
          <w:spacing w:val="4"/>
          <w:w w:val="110"/>
          <w:sz w:val="29"/>
        </w:rPr>
        <w:t>schools </w:t>
      </w:r>
      <w:r>
        <w:rPr>
          <w:rFonts w:ascii="Stone Sans II ITC Std Bk"/>
          <w:b/>
          <w:color w:val="CA4F1B"/>
          <w:spacing w:val="2"/>
          <w:w w:val="110"/>
          <w:sz w:val="29"/>
        </w:rPr>
        <w:t>with </w:t>
      </w:r>
      <w:r>
        <w:rPr>
          <w:rFonts w:ascii="Stone Sans II ITC Std Bk"/>
          <w:b/>
          <w:color w:val="CA4F1B"/>
          <w:spacing w:val="3"/>
          <w:w w:val="110"/>
          <w:sz w:val="29"/>
        </w:rPr>
        <w:t>which </w:t>
      </w:r>
      <w:r>
        <w:rPr>
          <w:rFonts w:ascii="Stone Sans II ITC Std Bk"/>
          <w:b/>
          <w:color w:val="CA4F1B"/>
          <w:spacing w:val="2"/>
          <w:w w:val="110"/>
          <w:sz w:val="29"/>
        </w:rPr>
        <w:t>the </w:t>
      </w:r>
      <w:r>
        <w:rPr>
          <w:rFonts w:ascii="Stone Sans II ITC Std Bk"/>
          <w:b/>
          <w:color w:val="CA4F1B"/>
          <w:spacing w:val="3"/>
          <w:w w:val="110"/>
          <w:sz w:val="29"/>
        </w:rPr>
        <w:t>URC </w:t>
      </w:r>
      <w:r>
        <w:rPr>
          <w:rFonts w:ascii="Stone Sans II ITC Std Bk"/>
          <w:b/>
          <w:color w:val="CA4F1B"/>
          <w:w w:val="110"/>
          <w:sz w:val="29"/>
        </w:rPr>
        <w:t>is</w:t>
      </w:r>
      <w:r>
        <w:rPr>
          <w:rFonts w:ascii="Stone Sans II ITC Std Bk"/>
          <w:b/>
          <w:color w:val="CA4F1B"/>
          <w:spacing w:val="22"/>
          <w:w w:val="110"/>
          <w:sz w:val="29"/>
        </w:rPr>
        <w:t> </w:t>
      </w:r>
      <w:r>
        <w:rPr>
          <w:rFonts w:ascii="Stone Sans II ITC Std Bk"/>
          <w:b/>
          <w:color w:val="CA4F1B"/>
          <w:spacing w:val="3"/>
          <w:w w:val="110"/>
          <w:sz w:val="29"/>
        </w:rPr>
        <w:t>associated</w:t>
      </w:r>
    </w:p>
    <w:p>
      <w:pPr>
        <w:pStyle w:val="ListParagraph"/>
        <w:numPr>
          <w:ilvl w:val="1"/>
          <w:numId w:val="148"/>
        </w:numPr>
        <w:tabs>
          <w:tab w:pos="2664" w:val="left" w:leader="none"/>
          <w:tab w:pos="2665" w:val="left" w:leader="none"/>
          <w:tab w:pos="4864" w:val="left" w:leader="none"/>
        </w:tabs>
        <w:spacing w:line="240" w:lineRule="auto" w:before="195" w:after="0"/>
        <w:ind w:left="2664" w:right="0" w:hanging="681"/>
        <w:jc w:val="left"/>
        <w:rPr>
          <w:sz w:val="20"/>
        </w:rPr>
      </w:pPr>
      <w:r>
        <w:rPr>
          <w:rFonts w:ascii="Stone Sans II ITC Std Bk"/>
          <w:b/>
          <w:w w:val="115"/>
          <w:sz w:val="20"/>
        </w:rPr>
        <w:t>Caterham</w:t>
      </w:r>
      <w:r>
        <w:rPr>
          <w:rFonts w:ascii="Stone Sans II ITC Std Bk"/>
          <w:b/>
          <w:spacing w:val="-26"/>
          <w:w w:val="115"/>
          <w:sz w:val="20"/>
        </w:rPr>
        <w:t> </w:t>
      </w:r>
      <w:r>
        <w:rPr>
          <w:rFonts w:ascii="Stone Sans II ITC Std Bk"/>
          <w:b/>
          <w:w w:val="115"/>
          <w:sz w:val="20"/>
        </w:rPr>
        <w:t>School</w:t>
        <w:tab/>
      </w:r>
      <w:r>
        <w:rPr>
          <w:w w:val="120"/>
          <w:sz w:val="20"/>
        </w:rPr>
        <w:t>Revd Nigel Uden</w:t>
      </w:r>
      <w:r>
        <w:rPr>
          <w:spacing w:val="9"/>
          <w:w w:val="120"/>
          <w:sz w:val="20"/>
        </w:rPr>
        <w:t> </w:t>
      </w:r>
      <w:r>
        <w:rPr>
          <w:spacing w:val="-11"/>
          <w:w w:val="120"/>
          <w:sz w:val="20"/>
        </w:rPr>
        <w:t>[2011]</w:t>
      </w:r>
    </w:p>
    <w:p>
      <w:pPr>
        <w:pStyle w:val="ListParagraph"/>
        <w:numPr>
          <w:ilvl w:val="1"/>
          <w:numId w:val="148"/>
        </w:numPr>
        <w:tabs>
          <w:tab w:pos="2664" w:val="left" w:leader="none"/>
          <w:tab w:pos="2665" w:val="left" w:leader="none"/>
          <w:tab w:pos="4864" w:val="left" w:leader="none"/>
        </w:tabs>
        <w:spacing w:line="240" w:lineRule="auto" w:before="209" w:after="0"/>
        <w:ind w:left="2664" w:right="0" w:hanging="681"/>
        <w:jc w:val="left"/>
        <w:rPr>
          <w:sz w:val="20"/>
        </w:rPr>
      </w:pPr>
      <w:r>
        <w:rPr>
          <w:rFonts w:ascii="Stone Sans II ITC Std Bk"/>
          <w:b/>
          <w:w w:val="115"/>
          <w:sz w:val="20"/>
        </w:rPr>
        <w:t>Eltham</w:t>
      </w:r>
      <w:r>
        <w:rPr>
          <w:rFonts w:ascii="Stone Sans II ITC Std Bk"/>
          <w:b/>
          <w:spacing w:val="-23"/>
          <w:w w:val="115"/>
          <w:sz w:val="20"/>
        </w:rPr>
        <w:t> </w:t>
      </w:r>
      <w:r>
        <w:rPr>
          <w:rFonts w:ascii="Stone Sans II ITC Std Bk"/>
          <w:b/>
          <w:w w:val="115"/>
          <w:sz w:val="20"/>
        </w:rPr>
        <w:t>College</w:t>
        <w:tab/>
      </w:r>
      <w:r>
        <w:rPr>
          <w:w w:val="120"/>
          <w:sz w:val="20"/>
        </w:rPr>
        <w:t>Revd Terry Sparks</w:t>
      </w:r>
      <w:r>
        <w:rPr>
          <w:spacing w:val="7"/>
          <w:w w:val="120"/>
          <w:sz w:val="20"/>
        </w:rPr>
        <w:t> </w:t>
      </w:r>
      <w:r>
        <w:rPr>
          <w:spacing w:val="-11"/>
          <w:w w:val="120"/>
          <w:sz w:val="20"/>
        </w:rPr>
        <w:t>[2011]</w:t>
      </w:r>
    </w:p>
    <w:p>
      <w:pPr>
        <w:pStyle w:val="ListParagraph"/>
        <w:numPr>
          <w:ilvl w:val="1"/>
          <w:numId w:val="148"/>
        </w:numPr>
        <w:tabs>
          <w:tab w:pos="2664" w:val="left" w:leader="none"/>
          <w:tab w:pos="2665" w:val="left" w:leader="none"/>
          <w:tab w:pos="4864" w:val="left" w:leader="none"/>
        </w:tabs>
        <w:spacing w:line="240" w:lineRule="auto" w:before="210" w:after="0"/>
        <w:ind w:left="2664" w:right="0" w:hanging="681"/>
        <w:jc w:val="left"/>
        <w:rPr>
          <w:sz w:val="20"/>
        </w:rPr>
      </w:pPr>
      <w:r>
        <w:rPr>
          <w:rFonts w:ascii="Stone Sans II ITC Std Bk"/>
          <w:b/>
          <w:w w:val="115"/>
          <w:sz w:val="20"/>
        </w:rPr>
        <w:t>Walthamstow</w:t>
      </w:r>
      <w:r>
        <w:rPr>
          <w:rFonts w:ascii="Stone Sans II ITC Std Bk"/>
          <w:b/>
          <w:spacing w:val="-31"/>
          <w:w w:val="115"/>
          <w:sz w:val="20"/>
        </w:rPr>
        <w:t> </w:t>
      </w:r>
      <w:r>
        <w:rPr>
          <w:rFonts w:ascii="Stone Sans II ITC Std Bk"/>
          <w:b/>
          <w:w w:val="115"/>
          <w:sz w:val="20"/>
        </w:rPr>
        <w:t>Hall</w:t>
        <w:tab/>
      </w:r>
      <w:r>
        <w:rPr>
          <w:w w:val="115"/>
          <w:sz w:val="20"/>
        </w:rPr>
        <w:t>Mrs Isabel Heald</w:t>
      </w:r>
      <w:r>
        <w:rPr>
          <w:spacing w:val="17"/>
          <w:w w:val="115"/>
          <w:sz w:val="20"/>
        </w:rPr>
        <w:t> </w:t>
      </w:r>
      <w:r>
        <w:rPr>
          <w:spacing w:val="-11"/>
          <w:w w:val="115"/>
          <w:sz w:val="20"/>
        </w:rPr>
        <w:t>[2011]</w:t>
      </w:r>
    </w:p>
    <w:p>
      <w:pPr>
        <w:spacing w:after="0" w:line="240" w:lineRule="auto"/>
        <w:jc w:val="left"/>
        <w:rPr>
          <w:sz w:val="20"/>
        </w:rPr>
        <w:sectPr>
          <w:pgSz w:w="11910" w:h="16840"/>
          <w:pgMar w:header="0" w:footer="647" w:top="1060" w:bottom="840" w:left="0" w:right="0"/>
        </w:sectPr>
      </w:pPr>
    </w:p>
    <w:p>
      <w:pPr>
        <w:numPr>
          <w:ilvl w:val="1"/>
          <w:numId w:val="148"/>
        </w:numPr>
        <w:tabs>
          <w:tab w:pos="2040" w:val="left" w:leader="none"/>
          <w:tab w:pos="2041" w:val="left" w:leader="none"/>
        </w:tabs>
        <w:spacing w:line="255" w:lineRule="exact" w:before="91"/>
        <w:ind w:left="2040" w:right="0" w:hanging="908"/>
        <w:jc w:val="left"/>
        <w:rPr>
          <w:rFonts w:ascii="Stone Sans II ITC Std Bk"/>
          <w:b/>
          <w:sz w:val="20"/>
        </w:rPr>
      </w:pPr>
      <w:r>
        <w:rPr/>
        <w:pict>
          <v:rect style="position:absolute;margin-left:12.047pt;margin-top:8.496287pt;width:22.677pt;height:22.677pt;mso-position-horizontal-relative:page;mso-position-vertical-relative:paragraph;z-index:252215296" filled="true" fillcolor="#dae4ec" stroked="false">
            <v:fill opacity="32768f" type="solid"/>
            <w10:wrap type="none"/>
          </v:rect>
        </w:pict>
      </w:r>
      <w:r>
        <w:rPr>
          <w:rFonts w:ascii="Stone Sans II ITC Std Bk"/>
          <w:b/>
          <w:w w:val="110"/>
          <w:sz w:val="20"/>
        </w:rPr>
        <w:t>Milton Mount</w:t>
      </w:r>
      <w:r>
        <w:rPr>
          <w:rFonts w:ascii="Stone Sans II ITC Std Bk"/>
          <w:b/>
          <w:spacing w:val="-1"/>
          <w:w w:val="110"/>
          <w:sz w:val="20"/>
        </w:rPr>
        <w:t> </w:t>
      </w:r>
      <w:r>
        <w:rPr>
          <w:rFonts w:ascii="Stone Sans II ITC Std Bk"/>
          <w:b/>
          <w:w w:val="110"/>
          <w:sz w:val="20"/>
        </w:rPr>
        <w:t>Foundation</w:t>
      </w:r>
    </w:p>
    <w:p>
      <w:pPr>
        <w:pStyle w:val="BodyText"/>
        <w:tabs>
          <w:tab w:pos="4013" w:val="left" w:leader="none"/>
          <w:tab w:pos="6893" w:val="left" w:leader="none"/>
        </w:tabs>
        <w:spacing w:line="223" w:lineRule="auto"/>
        <w:ind w:left="1133" w:right="1997"/>
      </w:pPr>
      <w:r>
        <w:rPr>
          <w:w w:val="120"/>
        </w:rPr>
        <w:t>Mr Graham</w:t>
      </w:r>
      <w:r>
        <w:rPr>
          <w:spacing w:val="12"/>
          <w:w w:val="120"/>
        </w:rPr>
        <w:t> </w:t>
      </w:r>
      <w:r>
        <w:rPr>
          <w:w w:val="120"/>
        </w:rPr>
        <w:t>Rolfe</w:t>
      </w:r>
      <w:r>
        <w:rPr>
          <w:spacing w:val="7"/>
          <w:w w:val="120"/>
        </w:rPr>
        <w:t> </w:t>
      </w:r>
      <w:r>
        <w:rPr>
          <w:spacing w:val="-11"/>
          <w:w w:val="120"/>
        </w:rPr>
        <w:t>[2011]</w:t>
        <w:tab/>
      </w:r>
      <w:r>
        <w:rPr>
          <w:w w:val="120"/>
        </w:rPr>
        <w:t>Mr Brian</w:t>
      </w:r>
      <w:r>
        <w:rPr>
          <w:spacing w:val="-3"/>
          <w:w w:val="120"/>
        </w:rPr>
        <w:t> </w:t>
      </w:r>
      <w:r>
        <w:rPr>
          <w:w w:val="120"/>
        </w:rPr>
        <w:t>West</w:t>
      </w:r>
      <w:r>
        <w:rPr>
          <w:spacing w:val="-2"/>
          <w:w w:val="120"/>
        </w:rPr>
        <w:t> </w:t>
      </w:r>
      <w:r>
        <w:rPr>
          <w:spacing w:val="-10"/>
          <w:w w:val="120"/>
        </w:rPr>
        <w:t>[2011</w:t>
      </w:r>
      <w:r>
        <w:rPr>
          <w:rFonts w:ascii="Stone Sans II ITC Std Bk" w:hAnsi="Stone Sans II ITC Std Bk"/>
          <w:b/>
          <w:spacing w:val="-10"/>
          <w:w w:val="120"/>
        </w:rPr>
        <w:t>]</w:t>
        <w:tab/>
      </w:r>
      <w:r>
        <w:rPr>
          <w:spacing w:val="-3"/>
          <w:w w:val="120"/>
        </w:rPr>
        <w:t>Revd Nicola Furley-Smith </w:t>
      </w:r>
      <w:r>
        <w:rPr>
          <w:spacing w:val="-13"/>
          <w:w w:val="120"/>
        </w:rPr>
        <w:t>[2011] </w:t>
      </w:r>
      <w:r>
        <w:rPr>
          <w:w w:val="120"/>
        </w:rPr>
        <w:t>Ms Hilary</w:t>
      </w:r>
      <w:r>
        <w:rPr>
          <w:spacing w:val="14"/>
          <w:w w:val="120"/>
        </w:rPr>
        <w:t> </w:t>
      </w:r>
      <w:r>
        <w:rPr>
          <w:w w:val="120"/>
        </w:rPr>
        <w:t>Miles†</w:t>
      </w:r>
      <w:r>
        <w:rPr>
          <w:spacing w:val="8"/>
          <w:w w:val="120"/>
        </w:rPr>
        <w:t> </w:t>
      </w:r>
      <w:r>
        <w:rPr>
          <w:spacing w:val="-9"/>
          <w:w w:val="120"/>
        </w:rPr>
        <w:t>[2013]</w:t>
        <w:tab/>
      </w:r>
      <w:r>
        <w:rPr>
          <w:w w:val="120"/>
        </w:rPr>
        <w:t>Revd David Cuckson†</w:t>
      </w:r>
      <w:r>
        <w:rPr>
          <w:spacing w:val="10"/>
          <w:w w:val="120"/>
        </w:rPr>
        <w:t> </w:t>
      </w:r>
      <w:r>
        <w:rPr>
          <w:spacing w:val="-9"/>
          <w:w w:val="120"/>
        </w:rPr>
        <w:t>[2013]</w:t>
      </w:r>
    </w:p>
    <w:p>
      <w:pPr>
        <w:pStyle w:val="BodyText"/>
        <w:spacing w:before="6"/>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Silcoates</w:t>
      </w:r>
      <w:r>
        <w:rPr>
          <w:rFonts w:ascii="Stone Sans II ITC Std Bk"/>
          <w:b/>
          <w:spacing w:val="-1"/>
          <w:w w:val="110"/>
          <w:sz w:val="20"/>
        </w:rPr>
        <w:t> </w:t>
      </w:r>
      <w:r>
        <w:rPr>
          <w:rFonts w:ascii="Stone Sans II ITC Std Bk"/>
          <w:b/>
          <w:w w:val="110"/>
          <w:sz w:val="20"/>
        </w:rPr>
        <w:t>School</w:t>
      </w:r>
    </w:p>
    <w:p>
      <w:pPr>
        <w:pStyle w:val="BodyText"/>
        <w:tabs>
          <w:tab w:pos="4013" w:val="left" w:leader="none"/>
          <w:tab w:pos="6893" w:val="left" w:leader="none"/>
        </w:tabs>
        <w:spacing w:line="235" w:lineRule="auto"/>
        <w:ind w:left="1133" w:right="2849"/>
      </w:pPr>
      <w:r>
        <w:rPr>
          <w:w w:val="120"/>
        </w:rPr>
        <w:t>Prof Clyde</w:t>
      </w:r>
      <w:r>
        <w:rPr>
          <w:spacing w:val="26"/>
          <w:w w:val="120"/>
        </w:rPr>
        <w:t> </w:t>
      </w:r>
      <w:r>
        <w:rPr>
          <w:w w:val="120"/>
        </w:rPr>
        <w:t>Binfield</w:t>
      </w:r>
      <w:r>
        <w:rPr>
          <w:spacing w:val="14"/>
          <w:w w:val="120"/>
        </w:rPr>
        <w:t> </w:t>
      </w:r>
      <w:r>
        <w:rPr>
          <w:spacing w:val="-11"/>
          <w:w w:val="120"/>
        </w:rPr>
        <w:t>[2011]</w:t>
        <w:tab/>
      </w:r>
      <w:r>
        <w:rPr>
          <w:w w:val="120"/>
        </w:rPr>
        <w:t>Mrs Valerie</w:t>
      </w:r>
      <w:r>
        <w:rPr>
          <w:spacing w:val="1"/>
          <w:w w:val="120"/>
        </w:rPr>
        <w:t> </w:t>
      </w:r>
      <w:r>
        <w:rPr>
          <w:w w:val="120"/>
        </w:rPr>
        <w:t>Jenkins</w:t>
      </w:r>
      <w:r>
        <w:rPr>
          <w:spacing w:val="1"/>
          <w:w w:val="120"/>
        </w:rPr>
        <w:t> </w:t>
      </w:r>
      <w:r>
        <w:rPr>
          <w:spacing w:val="-11"/>
          <w:w w:val="120"/>
        </w:rPr>
        <w:t>[2011]</w:t>
        <w:tab/>
      </w:r>
      <w:r>
        <w:rPr>
          <w:w w:val="120"/>
        </w:rPr>
        <w:t>Dr Peter Clarke </w:t>
      </w:r>
      <w:r>
        <w:rPr>
          <w:spacing w:val="-11"/>
          <w:w w:val="120"/>
        </w:rPr>
        <w:t>[2013] </w:t>
      </w:r>
      <w:r>
        <w:rPr>
          <w:w w:val="120"/>
        </w:rPr>
        <w:t>Dr Moira</w:t>
      </w:r>
      <w:r>
        <w:rPr>
          <w:spacing w:val="27"/>
          <w:w w:val="120"/>
        </w:rPr>
        <w:t> </w:t>
      </w:r>
      <w:r>
        <w:rPr>
          <w:w w:val="120"/>
        </w:rPr>
        <w:t>Gallagher</w:t>
      </w:r>
      <w:r>
        <w:rPr>
          <w:spacing w:val="14"/>
          <w:w w:val="120"/>
        </w:rPr>
        <w:t> </w:t>
      </w:r>
      <w:r>
        <w:rPr>
          <w:spacing w:val="-9"/>
          <w:w w:val="120"/>
        </w:rPr>
        <w:t>[2013]</w:t>
        <w:tab/>
      </w:r>
      <w:r>
        <w:rPr>
          <w:w w:val="120"/>
        </w:rPr>
        <w:t>Revd Janet</w:t>
      </w:r>
      <w:r>
        <w:rPr>
          <w:spacing w:val="9"/>
          <w:w w:val="120"/>
        </w:rPr>
        <w:t> </w:t>
      </w:r>
      <w:r>
        <w:rPr>
          <w:w w:val="120"/>
        </w:rPr>
        <w:t>Lees</w:t>
      </w:r>
      <w:r>
        <w:rPr>
          <w:spacing w:val="5"/>
          <w:w w:val="120"/>
        </w:rPr>
        <w:t> </w:t>
      </w:r>
      <w:r>
        <w:rPr>
          <w:spacing w:val="-9"/>
          <w:w w:val="120"/>
        </w:rPr>
        <w:t>[2013]</w:t>
        <w:tab/>
      </w:r>
      <w:r>
        <w:rPr>
          <w:w w:val="120"/>
        </w:rPr>
        <w:t>Vacancy</w:t>
      </w:r>
      <w:r>
        <w:rPr>
          <w:spacing w:val="6"/>
          <w:w w:val="120"/>
        </w:rPr>
        <w:t> </w:t>
      </w:r>
      <w:r>
        <w:rPr>
          <w:spacing w:val="-8"/>
          <w:w w:val="120"/>
        </w:rPr>
        <w:t>[2014]</w:t>
      </w:r>
    </w:p>
    <w:p>
      <w:pPr>
        <w:pStyle w:val="BodyText"/>
        <w:rPr>
          <w:sz w:val="18"/>
        </w:rPr>
      </w:pPr>
    </w:p>
    <w:p>
      <w:pPr>
        <w:numPr>
          <w:ilvl w:val="1"/>
          <w:numId w:val="148"/>
        </w:numPr>
        <w:tabs>
          <w:tab w:pos="2040" w:val="left" w:leader="none"/>
          <w:tab w:pos="2041" w:val="left" w:leader="none"/>
        </w:tabs>
        <w:spacing w:line="261" w:lineRule="exact" w:before="1"/>
        <w:ind w:left="2040" w:right="0" w:hanging="908"/>
        <w:jc w:val="left"/>
        <w:rPr>
          <w:rFonts w:ascii="Stone Sans II ITC Std Bk"/>
          <w:b/>
          <w:sz w:val="20"/>
        </w:rPr>
      </w:pPr>
      <w:r>
        <w:rPr>
          <w:rFonts w:ascii="Stone Sans II ITC Std Bk"/>
          <w:b/>
          <w:spacing w:val="-3"/>
          <w:w w:val="110"/>
          <w:sz w:val="20"/>
        </w:rPr>
        <w:t>Taunton</w:t>
      </w:r>
      <w:r>
        <w:rPr>
          <w:rFonts w:ascii="Stone Sans II ITC Std Bk"/>
          <w:b/>
          <w:spacing w:val="-1"/>
          <w:w w:val="110"/>
          <w:sz w:val="20"/>
        </w:rPr>
        <w:t> </w:t>
      </w:r>
      <w:r>
        <w:rPr>
          <w:rFonts w:ascii="Stone Sans II ITC Std Bk"/>
          <w:b/>
          <w:w w:val="110"/>
          <w:sz w:val="20"/>
        </w:rPr>
        <w:t>School</w:t>
      </w:r>
    </w:p>
    <w:p>
      <w:pPr>
        <w:pStyle w:val="BodyText"/>
        <w:spacing w:line="235" w:lineRule="exact"/>
        <w:ind w:left="1133"/>
      </w:pPr>
      <w:r>
        <w:rPr>
          <w:w w:val="120"/>
        </w:rPr>
        <w:t>Revd David Grosch-Miller (Moderator, South Western Synod)</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Wentworth</w:t>
      </w:r>
      <w:r>
        <w:rPr>
          <w:rFonts w:ascii="Stone Sans II ITC Std Bk"/>
          <w:b/>
          <w:spacing w:val="-1"/>
          <w:w w:val="110"/>
          <w:sz w:val="20"/>
        </w:rPr>
        <w:t> </w:t>
      </w:r>
      <w:r>
        <w:rPr>
          <w:rFonts w:ascii="Stone Sans II ITC Std Bk"/>
          <w:b/>
          <w:w w:val="110"/>
          <w:sz w:val="20"/>
        </w:rPr>
        <w:t>College</w:t>
      </w:r>
    </w:p>
    <w:p>
      <w:pPr>
        <w:pStyle w:val="BodyText"/>
        <w:spacing w:line="235" w:lineRule="exact"/>
        <w:ind w:left="1133"/>
      </w:pPr>
      <w:r>
        <w:rPr>
          <w:w w:val="120"/>
        </w:rPr>
        <w:t>Revd Martin Ambler [2011]</w:t>
      </w:r>
    </w:p>
    <w:p>
      <w:pPr>
        <w:pStyle w:val="BodyText"/>
        <w:spacing w:before="3"/>
        <w:rPr>
          <w:sz w:val="18"/>
        </w:rPr>
      </w:pPr>
    </w:p>
    <w:p>
      <w:pPr>
        <w:numPr>
          <w:ilvl w:val="1"/>
          <w:numId w:val="148"/>
        </w:numPr>
        <w:tabs>
          <w:tab w:pos="2040" w:val="left" w:leader="none"/>
          <w:tab w:pos="2041" w:val="left" w:leader="none"/>
        </w:tabs>
        <w:spacing w:line="261" w:lineRule="exact" w:before="1"/>
        <w:ind w:left="2040" w:right="0" w:hanging="908"/>
        <w:jc w:val="left"/>
        <w:rPr>
          <w:rFonts w:ascii="Stone Sans II ITC Std Bk"/>
          <w:b/>
          <w:sz w:val="20"/>
        </w:rPr>
      </w:pPr>
      <w:r>
        <w:rPr>
          <w:rFonts w:ascii="Stone Sans II ITC Std Bk"/>
          <w:b/>
          <w:w w:val="110"/>
          <w:sz w:val="20"/>
        </w:rPr>
        <w:t>Bishops Stortford</w:t>
      </w:r>
      <w:r>
        <w:rPr>
          <w:rFonts w:ascii="Stone Sans II ITC Std Bk"/>
          <w:b/>
          <w:spacing w:val="-1"/>
          <w:w w:val="110"/>
          <w:sz w:val="20"/>
        </w:rPr>
        <w:t> </w:t>
      </w:r>
      <w:r>
        <w:rPr>
          <w:rFonts w:ascii="Stone Sans II ITC Std Bk"/>
          <w:b/>
          <w:w w:val="110"/>
          <w:sz w:val="20"/>
        </w:rPr>
        <w:t>College</w:t>
      </w:r>
    </w:p>
    <w:p>
      <w:pPr>
        <w:pStyle w:val="BodyText"/>
        <w:spacing w:line="235" w:lineRule="exact"/>
        <w:ind w:left="1133"/>
      </w:pPr>
      <w:r>
        <w:rPr>
          <w:w w:val="125"/>
        </w:rPr>
        <w:t>Mr Anthony Trigg [2011]</w:t>
      </w:r>
    </w:p>
    <w:p>
      <w:pPr>
        <w:pStyle w:val="BodyText"/>
        <w:rPr>
          <w:sz w:val="24"/>
        </w:rPr>
      </w:pPr>
    </w:p>
    <w:p>
      <w:pPr>
        <w:pStyle w:val="ListParagraph"/>
        <w:numPr>
          <w:ilvl w:val="0"/>
          <w:numId w:val="148"/>
        </w:numPr>
        <w:tabs>
          <w:tab w:pos="1814" w:val="left" w:leader="none"/>
          <w:tab w:pos="1815" w:val="left" w:leader="none"/>
        </w:tabs>
        <w:spacing w:line="240" w:lineRule="auto" w:before="159" w:after="0"/>
        <w:ind w:left="1814" w:right="0" w:hanging="682"/>
        <w:jc w:val="left"/>
        <w:rPr>
          <w:rFonts w:ascii="Stone Sans II ITC Std Bk"/>
          <w:b/>
          <w:sz w:val="29"/>
        </w:rPr>
      </w:pPr>
      <w:r>
        <w:rPr>
          <w:rFonts w:ascii="Stone Sans II ITC Std Bk"/>
          <w:b/>
          <w:color w:val="CA4F1B"/>
          <w:spacing w:val="3"/>
          <w:w w:val="110"/>
          <w:sz w:val="29"/>
        </w:rPr>
        <w:t>Miscellaneous</w:t>
      </w:r>
    </w:p>
    <w:p>
      <w:pPr>
        <w:pStyle w:val="BodyText"/>
        <w:spacing w:line="235" w:lineRule="auto" w:before="196"/>
        <w:ind w:left="1133" w:right="2440"/>
      </w:pPr>
      <w:r>
        <w:rPr>
          <w:w w:val="120"/>
        </w:rPr>
        <w:t>The URC is represented on a variety of other national organisations and committees as follows:</w:t>
      </w:r>
    </w:p>
    <w:p>
      <w:pPr>
        <w:pStyle w:val="BodyText"/>
        <w:spacing w:before="5"/>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Arthur Rank</w:t>
      </w:r>
      <w:r>
        <w:rPr>
          <w:rFonts w:ascii="Stone Sans II ITC Std Bk"/>
          <w:b/>
          <w:spacing w:val="-1"/>
          <w:w w:val="110"/>
          <w:sz w:val="20"/>
        </w:rPr>
        <w:t> </w:t>
      </w:r>
      <w:r>
        <w:rPr>
          <w:rFonts w:ascii="Stone Sans II ITC Std Bk"/>
          <w:b/>
          <w:w w:val="110"/>
          <w:sz w:val="20"/>
        </w:rPr>
        <w:t>Centre</w:t>
      </w:r>
    </w:p>
    <w:p>
      <w:pPr>
        <w:pStyle w:val="BodyText"/>
        <w:spacing w:line="235" w:lineRule="exact"/>
        <w:ind w:left="1133"/>
      </w:pPr>
      <w:r>
        <w:rPr>
          <w:w w:val="120"/>
        </w:rPr>
        <w:t>Revd David Herbert [April 2011]</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Churches Legislation Advisory</w:t>
      </w:r>
      <w:r>
        <w:rPr>
          <w:rFonts w:ascii="Stone Sans II ITC Std Bk"/>
          <w:b/>
          <w:spacing w:val="-1"/>
          <w:w w:val="110"/>
          <w:sz w:val="20"/>
        </w:rPr>
        <w:t> </w:t>
      </w:r>
      <w:r>
        <w:rPr>
          <w:rFonts w:ascii="Stone Sans II ITC Std Bk"/>
          <w:b/>
          <w:w w:val="110"/>
          <w:sz w:val="20"/>
        </w:rPr>
        <w:t>Service</w:t>
      </w:r>
    </w:p>
    <w:p>
      <w:pPr>
        <w:pStyle w:val="BodyText"/>
        <w:spacing w:line="235" w:lineRule="auto"/>
        <w:ind w:left="1133" w:right="8212"/>
      </w:pPr>
      <w:r>
        <w:rPr>
          <w:w w:val="120"/>
        </w:rPr>
        <w:t>Mrs Sheila Duncan General Secretary</w:t>
      </w:r>
    </w:p>
    <w:p>
      <w:pPr>
        <w:pStyle w:val="BodyText"/>
        <w:spacing w:line="242" w:lineRule="exact"/>
        <w:ind w:left="1133"/>
      </w:pPr>
      <w:r>
        <w:rPr>
          <w:w w:val="120"/>
        </w:rPr>
        <w:t>Deputy General Secretary</w:t>
      </w:r>
    </w:p>
    <w:p>
      <w:pPr>
        <w:pStyle w:val="BodyText"/>
        <w:spacing w:before="11"/>
        <w:rPr>
          <w:sz w:val="17"/>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Congregational Fund</w:t>
      </w:r>
      <w:r>
        <w:rPr>
          <w:rFonts w:ascii="Stone Sans II ITC Std Bk"/>
          <w:b/>
          <w:spacing w:val="-1"/>
          <w:w w:val="110"/>
          <w:sz w:val="20"/>
        </w:rPr>
        <w:t> </w:t>
      </w:r>
      <w:r>
        <w:rPr>
          <w:rFonts w:ascii="Stone Sans II ITC Std Bk"/>
          <w:b/>
          <w:w w:val="110"/>
          <w:sz w:val="20"/>
        </w:rPr>
        <w:t>Board</w:t>
      </w:r>
    </w:p>
    <w:p>
      <w:pPr>
        <w:pStyle w:val="BodyText"/>
        <w:spacing w:line="235" w:lineRule="auto"/>
        <w:ind w:left="1133" w:right="7546"/>
      </w:pPr>
      <w:r>
        <w:rPr>
          <w:w w:val="120"/>
        </w:rPr>
        <w:t>Revd Margaret Taylor [2012] Revd Eric Allen [2012]</w:t>
      </w:r>
    </w:p>
    <w:p>
      <w:pPr>
        <w:pStyle w:val="BodyText"/>
        <w:spacing w:line="235" w:lineRule="auto"/>
        <w:ind w:left="1133" w:right="7821"/>
      </w:pPr>
      <w:r>
        <w:rPr>
          <w:w w:val="120"/>
        </w:rPr>
        <w:t>Mr Anthony Bayley [2011] Revd Geoffrey Roper [2011] Mrs Jackie Haws [2013]</w:t>
      </w:r>
    </w:p>
    <w:p>
      <w:pPr>
        <w:pStyle w:val="BodyText"/>
        <w:spacing w:before="2"/>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Congregational Memorial Hall</w:t>
      </w:r>
      <w:r>
        <w:rPr>
          <w:rFonts w:ascii="Stone Sans II ITC Std Bk"/>
          <w:b/>
          <w:spacing w:val="-1"/>
          <w:w w:val="110"/>
          <w:sz w:val="20"/>
        </w:rPr>
        <w:t> </w:t>
      </w:r>
      <w:r>
        <w:rPr>
          <w:rFonts w:ascii="Stone Sans II ITC Std Bk"/>
          <w:b/>
          <w:w w:val="110"/>
          <w:sz w:val="20"/>
        </w:rPr>
        <w:t>Trust</w:t>
      </w:r>
    </w:p>
    <w:p>
      <w:pPr>
        <w:pStyle w:val="BodyText"/>
        <w:spacing w:line="235" w:lineRule="auto"/>
        <w:ind w:left="1133" w:right="6954"/>
      </w:pPr>
      <w:r>
        <w:rPr>
          <w:w w:val="120"/>
        </w:rPr>
        <w:t>Mr Hartley Oldham [from before </w:t>
      </w:r>
      <w:r>
        <w:rPr>
          <w:spacing w:val="-5"/>
          <w:w w:val="120"/>
        </w:rPr>
        <w:t>1999] </w:t>
      </w:r>
      <w:r>
        <w:rPr>
          <w:w w:val="120"/>
        </w:rPr>
        <w:t>Mr Graham Stacy [from before </w:t>
      </w:r>
      <w:r>
        <w:rPr>
          <w:spacing w:val="-5"/>
          <w:w w:val="120"/>
        </w:rPr>
        <w:t>1999] </w:t>
      </w:r>
      <w:r>
        <w:rPr>
          <w:w w:val="120"/>
        </w:rPr>
        <w:t>Dr John Thompson [from</w:t>
      </w:r>
      <w:r>
        <w:rPr>
          <w:spacing w:val="19"/>
          <w:w w:val="120"/>
        </w:rPr>
        <w:t> </w:t>
      </w:r>
      <w:r>
        <w:rPr>
          <w:w w:val="120"/>
        </w:rPr>
        <w:t>2004]</w:t>
      </w:r>
    </w:p>
    <w:p>
      <w:pPr>
        <w:pStyle w:val="BodyText"/>
        <w:spacing w:line="235" w:lineRule="auto"/>
        <w:ind w:left="1133" w:right="7546"/>
      </w:pPr>
      <w:r>
        <w:rPr>
          <w:w w:val="120"/>
        </w:rPr>
        <w:t>Dr Brian Woodhall [from 2006] Revd Derek Wales [2011] Vacancy</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Discipleship and Witness Board of</w:t>
      </w:r>
      <w:r>
        <w:rPr>
          <w:rFonts w:ascii="Stone Sans II ITC Std Bk"/>
          <w:b/>
          <w:spacing w:val="-2"/>
          <w:w w:val="110"/>
          <w:sz w:val="20"/>
        </w:rPr>
        <w:t> </w:t>
      </w:r>
      <w:r>
        <w:rPr>
          <w:rFonts w:ascii="Stone Sans II ITC Std Bk"/>
          <w:b/>
          <w:w w:val="110"/>
          <w:sz w:val="20"/>
        </w:rPr>
        <w:t>Trustees</w:t>
      </w:r>
    </w:p>
    <w:p>
      <w:pPr>
        <w:pStyle w:val="BodyText"/>
        <w:spacing w:line="235" w:lineRule="exact"/>
        <w:ind w:left="1133"/>
      </w:pPr>
      <w:r>
        <w:rPr>
          <w:w w:val="120"/>
        </w:rPr>
        <w:t>Mrs Patricia Hubbard [from before 1999]</w:t>
      </w:r>
    </w:p>
    <w:p>
      <w:pPr>
        <w:pStyle w:val="BodyText"/>
        <w:spacing w:before="4"/>
        <w:rPr>
          <w:sz w:val="18"/>
        </w:rPr>
      </w:pPr>
    </w:p>
    <w:p>
      <w:pPr>
        <w:numPr>
          <w:ilvl w:val="2"/>
          <w:numId w:val="148"/>
        </w:numPr>
        <w:tabs>
          <w:tab w:pos="2040" w:val="left" w:leader="none"/>
          <w:tab w:pos="2041" w:val="left" w:leader="none"/>
        </w:tabs>
        <w:spacing w:line="261" w:lineRule="exact" w:before="0"/>
        <w:ind w:left="2040" w:right="0" w:hanging="908"/>
        <w:jc w:val="left"/>
        <w:rPr>
          <w:rFonts w:ascii="Stone Sans II ITC Std Bk"/>
          <w:b/>
          <w:sz w:val="20"/>
        </w:rPr>
      </w:pPr>
      <w:r>
        <w:rPr>
          <w:rFonts w:ascii="Stone Sans II ITC Std Bk"/>
          <w:b/>
          <w:w w:val="110"/>
          <w:sz w:val="20"/>
        </w:rPr>
        <w:t>Publications Development</w:t>
      </w:r>
      <w:r>
        <w:rPr>
          <w:rFonts w:ascii="Stone Sans II ITC Std Bk"/>
          <w:b/>
          <w:spacing w:val="-1"/>
          <w:w w:val="110"/>
          <w:sz w:val="20"/>
        </w:rPr>
        <w:t> </w:t>
      </w:r>
      <w:r>
        <w:rPr>
          <w:rFonts w:ascii="Stone Sans II ITC Std Bk"/>
          <w:b/>
          <w:w w:val="110"/>
          <w:sz w:val="20"/>
        </w:rPr>
        <w:t>Group</w:t>
      </w:r>
    </w:p>
    <w:p>
      <w:pPr>
        <w:pStyle w:val="BodyText"/>
        <w:spacing w:line="235" w:lineRule="exact"/>
        <w:ind w:left="1133"/>
      </w:pPr>
      <w:r>
        <w:rPr>
          <w:w w:val="120"/>
        </w:rPr>
        <w:t>Ms Jo Williams [from 2008]</w:t>
      </w:r>
    </w:p>
    <w:p>
      <w:pPr>
        <w:pStyle w:val="BodyText"/>
        <w:spacing w:before="3"/>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English Heritage’s Places of Worship</w:t>
      </w:r>
      <w:r>
        <w:rPr>
          <w:rFonts w:ascii="Stone Sans II ITC Std Bk" w:hAnsi="Stone Sans II ITC Std Bk"/>
          <w:b/>
          <w:spacing w:val="-2"/>
          <w:w w:val="110"/>
          <w:sz w:val="20"/>
        </w:rPr>
        <w:t> </w:t>
      </w:r>
      <w:r>
        <w:rPr>
          <w:rFonts w:ascii="Stone Sans II ITC Std Bk" w:hAnsi="Stone Sans II ITC Std Bk"/>
          <w:b/>
          <w:w w:val="110"/>
          <w:sz w:val="20"/>
        </w:rPr>
        <w:t>Forum</w:t>
      </w:r>
    </w:p>
    <w:p>
      <w:pPr>
        <w:pStyle w:val="BodyText"/>
        <w:spacing w:line="235" w:lineRule="exact"/>
        <w:ind w:left="1133"/>
      </w:pPr>
      <w:r>
        <w:rPr>
          <w:w w:val="120"/>
        </w:rPr>
        <w:t>Mr Hartley Oldham (Convener of the Listed Buildings Advisory Group)</w:t>
      </w:r>
    </w:p>
    <w:p>
      <w:pPr>
        <w:pStyle w:val="BodyText"/>
        <w:spacing w:before="4"/>
        <w:rPr>
          <w:sz w:val="18"/>
        </w:rPr>
      </w:pPr>
    </w:p>
    <w:p>
      <w:pPr>
        <w:numPr>
          <w:ilvl w:val="1"/>
          <w:numId w:val="148"/>
        </w:numPr>
        <w:tabs>
          <w:tab w:pos="2040" w:val="left" w:leader="none"/>
          <w:tab w:pos="2041" w:val="left" w:leader="none"/>
        </w:tabs>
        <w:spacing w:line="261" w:lineRule="exact" w:before="0"/>
        <w:ind w:left="2040" w:right="0" w:hanging="908"/>
        <w:jc w:val="left"/>
        <w:rPr>
          <w:rFonts w:ascii="Stone Sans II ITC Std Bk" w:hAnsi="Stone Sans II ITC Std Bk"/>
          <w:b/>
          <w:sz w:val="20"/>
        </w:rPr>
      </w:pPr>
      <w:r>
        <w:rPr>
          <w:rFonts w:ascii="Stone Sans II ITC Std Bk" w:hAnsi="Stone Sans II ITC Std Bk"/>
          <w:b/>
          <w:w w:val="110"/>
          <w:sz w:val="20"/>
        </w:rPr>
        <w:t>Guides’ Religious Advisory</w:t>
      </w:r>
      <w:r>
        <w:rPr>
          <w:rFonts w:ascii="Stone Sans II ITC Std Bk" w:hAnsi="Stone Sans II ITC Std Bk"/>
          <w:b/>
          <w:spacing w:val="-1"/>
          <w:w w:val="110"/>
          <w:sz w:val="20"/>
        </w:rPr>
        <w:t> </w:t>
      </w:r>
      <w:r>
        <w:rPr>
          <w:rFonts w:ascii="Stone Sans II ITC Std Bk" w:hAnsi="Stone Sans II ITC Std Bk"/>
          <w:b/>
          <w:w w:val="110"/>
          <w:sz w:val="20"/>
        </w:rPr>
        <w:t>Panel</w:t>
      </w:r>
    </w:p>
    <w:p>
      <w:pPr>
        <w:pStyle w:val="BodyText"/>
        <w:spacing w:line="235" w:lineRule="exact"/>
        <w:ind w:left="1133"/>
      </w:pPr>
      <w:r>
        <w:rPr>
          <w:w w:val="120"/>
        </w:rPr>
        <w:t>Mrs Susan Walker [from before 1999]</w:t>
      </w:r>
    </w:p>
    <w:p>
      <w:pPr>
        <w:spacing w:after="0" w:line="235" w:lineRule="exact"/>
        <w:sectPr>
          <w:pgSz w:w="11910" w:h="16840"/>
          <w:pgMar w:header="0" w:footer="647" w:top="1060" w:bottom="840" w:left="0" w:right="0"/>
        </w:sectPr>
      </w:pPr>
    </w:p>
    <w:p>
      <w:pPr>
        <w:numPr>
          <w:ilvl w:val="1"/>
          <w:numId w:val="148"/>
        </w:numPr>
        <w:tabs>
          <w:tab w:pos="2891" w:val="left" w:leader="none"/>
          <w:tab w:pos="2892" w:val="left" w:leader="none"/>
        </w:tabs>
        <w:spacing w:line="261" w:lineRule="exact" w:before="74"/>
        <w:ind w:left="2891" w:right="0" w:hanging="908"/>
        <w:jc w:val="left"/>
        <w:rPr>
          <w:rFonts w:ascii="Stone Sans II ITC Std Bk" w:hAnsi="Stone Sans II ITC Std Bk"/>
          <w:b/>
          <w:sz w:val="20"/>
        </w:rPr>
      </w:pPr>
      <w:r>
        <w:rPr/>
        <w:pict>
          <v:rect style="position:absolute;margin-left:558.424988pt;margin-top:8.472287pt;width:22.677pt;height:22.677pt;mso-position-horizontal-relative:page;mso-position-vertical-relative:paragraph;z-index:252221440" filled="true" fillcolor="#dae4ec" stroked="false">
            <v:fill opacity="32768f" type="solid"/>
            <w10:wrap type="none"/>
          </v:rect>
        </w:pict>
      </w:r>
      <w:r>
        <w:rPr>
          <w:rFonts w:ascii="Stone Sans II ITC Std Bk" w:hAnsi="Stone Sans II ITC Std Bk"/>
          <w:b/>
          <w:w w:val="110"/>
          <w:sz w:val="20"/>
        </w:rPr>
        <w:t>Lord Wharton’s</w:t>
      </w:r>
      <w:r>
        <w:rPr>
          <w:rFonts w:ascii="Stone Sans II ITC Std Bk" w:hAnsi="Stone Sans II ITC Std Bk"/>
          <w:b/>
          <w:spacing w:val="-1"/>
          <w:w w:val="110"/>
          <w:sz w:val="20"/>
        </w:rPr>
        <w:t> </w:t>
      </w:r>
      <w:r>
        <w:rPr>
          <w:rFonts w:ascii="Stone Sans II ITC Std Bk" w:hAnsi="Stone Sans II ITC Std Bk"/>
          <w:b/>
          <w:w w:val="110"/>
          <w:sz w:val="20"/>
        </w:rPr>
        <w:t>Charity</w:t>
      </w:r>
    </w:p>
    <w:p>
      <w:pPr>
        <w:pStyle w:val="BodyText"/>
        <w:spacing w:line="235" w:lineRule="exact"/>
        <w:ind w:left="1984"/>
      </w:pPr>
      <w:r>
        <w:rPr>
          <w:w w:val="120"/>
        </w:rPr>
        <w:t>Dr John Thompson [2013]</w:t>
      </w:r>
    </w:p>
    <w:p>
      <w:pPr>
        <w:pStyle w:val="BodyText"/>
        <w:spacing w:before="4"/>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w w:val="110"/>
          <w:sz w:val="20"/>
        </w:rPr>
        <w:t>Retired Ministers’ and Widows’</w:t>
      </w:r>
      <w:r>
        <w:rPr>
          <w:rFonts w:ascii="Stone Sans II ITC Std Bk" w:hAnsi="Stone Sans II ITC Std Bk"/>
          <w:b/>
          <w:spacing w:val="-2"/>
          <w:w w:val="110"/>
          <w:sz w:val="20"/>
        </w:rPr>
        <w:t> </w:t>
      </w:r>
      <w:r>
        <w:rPr>
          <w:rFonts w:ascii="Stone Sans II ITC Std Bk" w:hAnsi="Stone Sans II ITC Std Bk"/>
          <w:b/>
          <w:w w:val="110"/>
          <w:sz w:val="20"/>
        </w:rPr>
        <w:t>Fund</w:t>
      </w:r>
    </w:p>
    <w:p>
      <w:pPr>
        <w:pStyle w:val="BodyText"/>
        <w:spacing w:line="235" w:lineRule="auto"/>
        <w:ind w:left="1984" w:right="6263"/>
      </w:pPr>
      <w:r>
        <w:rPr>
          <w:w w:val="120"/>
        </w:rPr>
        <w:t>Mr Ken Meekison [from before 1999] Mrs Jill Strong [from 1999]</w:t>
      </w:r>
    </w:p>
    <w:p>
      <w:pPr>
        <w:pStyle w:val="BodyText"/>
        <w:spacing w:line="242" w:lineRule="exact"/>
        <w:ind w:left="1984"/>
      </w:pPr>
      <w:r>
        <w:rPr>
          <w:w w:val="120"/>
        </w:rPr>
        <w:t>Revd Julian Macro [from 2004]</w:t>
      </w:r>
    </w:p>
    <w:p>
      <w:pPr>
        <w:pStyle w:val="BodyText"/>
        <w:spacing w:before="10"/>
        <w:rPr>
          <w:sz w:val="17"/>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w w:val="110"/>
          <w:sz w:val="20"/>
        </w:rPr>
        <w:t>Samuel Robinson’s</w:t>
      </w:r>
      <w:r>
        <w:rPr>
          <w:rFonts w:ascii="Stone Sans II ITC Std Bk" w:hAnsi="Stone Sans II ITC Std Bk"/>
          <w:b/>
          <w:spacing w:val="-1"/>
          <w:w w:val="110"/>
          <w:sz w:val="20"/>
        </w:rPr>
        <w:t> </w:t>
      </w:r>
      <w:r>
        <w:rPr>
          <w:rFonts w:ascii="Stone Sans II ITC Std Bk" w:hAnsi="Stone Sans II ITC Std Bk"/>
          <w:b/>
          <w:w w:val="110"/>
          <w:sz w:val="20"/>
        </w:rPr>
        <w:t>Charities</w:t>
      </w:r>
    </w:p>
    <w:p>
      <w:pPr>
        <w:pStyle w:val="BodyText"/>
        <w:spacing w:line="235" w:lineRule="exact"/>
        <w:ind w:left="1984"/>
      </w:pPr>
      <w:r>
        <w:rPr>
          <w:w w:val="120"/>
        </w:rPr>
        <w:t>Mr Tony Alderman [from 2004]</w:t>
      </w:r>
    </w:p>
    <w:p>
      <w:pPr>
        <w:pStyle w:val="BodyText"/>
        <w:spacing w:before="4"/>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hAnsi="Stone Sans II ITC Std Bk"/>
          <w:b/>
          <w:sz w:val="20"/>
        </w:rPr>
      </w:pPr>
      <w:r>
        <w:rPr>
          <w:rFonts w:ascii="Stone Sans II ITC Std Bk" w:hAnsi="Stone Sans II ITC Std Bk"/>
          <w:b/>
          <w:w w:val="110"/>
          <w:sz w:val="20"/>
        </w:rPr>
        <w:t>Scouts’ Religious Advisory</w:t>
      </w:r>
      <w:r>
        <w:rPr>
          <w:rFonts w:ascii="Stone Sans II ITC Std Bk" w:hAnsi="Stone Sans II ITC Std Bk"/>
          <w:b/>
          <w:spacing w:val="-1"/>
          <w:w w:val="110"/>
          <w:sz w:val="20"/>
        </w:rPr>
        <w:t> </w:t>
      </w:r>
      <w:r>
        <w:rPr>
          <w:rFonts w:ascii="Stone Sans II ITC Std Bk" w:hAnsi="Stone Sans II ITC Std Bk"/>
          <w:b/>
          <w:w w:val="110"/>
          <w:sz w:val="20"/>
        </w:rPr>
        <w:t>Group</w:t>
      </w:r>
    </w:p>
    <w:p>
      <w:pPr>
        <w:pStyle w:val="BodyText"/>
        <w:spacing w:line="235" w:lineRule="exact"/>
        <w:ind w:left="1984"/>
      </w:pPr>
      <w:r>
        <w:rPr>
          <w:w w:val="120"/>
        </w:rPr>
        <w:t>Revd David Marshall-Jones [from before 1999]</w:t>
      </w:r>
    </w:p>
    <w:p>
      <w:pPr>
        <w:pStyle w:val="BodyText"/>
        <w:spacing w:before="3"/>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w w:val="110"/>
          <w:sz w:val="20"/>
        </w:rPr>
        <w:t>United Reformed Church History Society Council</w:t>
      </w:r>
    </w:p>
    <w:p>
      <w:pPr>
        <w:pStyle w:val="BodyText"/>
        <w:spacing w:line="233" w:lineRule="exact"/>
        <w:ind w:left="1984"/>
        <w:jc w:val="both"/>
      </w:pPr>
      <w:r>
        <w:rPr>
          <w:w w:val="125"/>
        </w:rPr>
        <w:t>Vacancy [2012]</w:t>
      </w:r>
    </w:p>
    <w:p>
      <w:pPr>
        <w:pStyle w:val="BodyText"/>
        <w:spacing w:line="235" w:lineRule="auto" w:before="2"/>
        <w:ind w:left="1984" w:right="6994"/>
        <w:jc w:val="both"/>
      </w:pPr>
      <w:r>
        <w:rPr>
          <w:w w:val="120"/>
        </w:rPr>
        <w:t>Revd Michael </w:t>
      </w:r>
      <w:r>
        <w:rPr>
          <w:spacing w:val="2"/>
          <w:w w:val="120"/>
        </w:rPr>
        <w:t>Hopkins </w:t>
      </w:r>
      <w:r>
        <w:rPr>
          <w:spacing w:val="-6"/>
          <w:w w:val="120"/>
        </w:rPr>
        <w:t>[2012] </w:t>
      </w:r>
      <w:r>
        <w:rPr>
          <w:w w:val="120"/>
        </w:rPr>
        <w:t>Revd Dr </w:t>
      </w:r>
      <w:r>
        <w:rPr>
          <w:spacing w:val="3"/>
          <w:w w:val="120"/>
        </w:rPr>
        <w:t>Kirsty Thorpe </w:t>
      </w:r>
      <w:r>
        <w:rPr>
          <w:spacing w:val="-8"/>
          <w:w w:val="120"/>
        </w:rPr>
        <w:t>[2013] </w:t>
      </w:r>
      <w:r>
        <w:rPr>
          <w:w w:val="120"/>
        </w:rPr>
        <w:t>Dr David Robinson</w:t>
      </w:r>
      <w:r>
        <w:rPr>
          <w:spacing w:val="52"/>
          <w:w w:val="120"/>
        </w:rPr>
        <w:t> </w:t>
      </w:r>
      <w:r>
        <w:rPr>
          <w:spacing w:val="-9"/>
          <w:w w:val="120"/>
        </w:rPr>
        <w:t>[2011]</w:t>
      </w:r>
    </w:p>
    <w:p>
      <w:pPr>
        <w:pStyle w:val="BodyText"/>
        <w:spacing w:line="242" w:lineRule="exact"/>
        <w:ind w:left="1984"/>
        <w:jc w:val="both"/>
      </w:pPr>
      <w:r>
        <w:rPr>
          <w:w w:val="120"/>
        </w:rPr>
        <w:t>Revd Prof David Thompson† [2014]</w:t>
      </w:r>
    </w:p>
    <w:p>
      <w:pPr>
        <w:pStyle w:val="BodyText"/>
        <w:spacing w:before="4"/>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w w:val="110"/>
          <w:sz w:val="20"/>
        </w:rPr>
        <w:t>United Reformed Church Scout and Guide Fellowship</w:t>
      </w:r>
    </w:p>
    <w:p>
      <w:pPr>
        <w:pStyle w:val="BodyText"/>
        <w:spacing w:line="235" w:lineRule="exact"/>
        <w:ind w:left="2041"/>
        <w:jc w:val="both"/>
      </w:pPr>
      <w:r>
        <w:rPr>
          <w:w w:val="120"/>
        </w:rPr>
        <w:t>Revd David Marshall-Jones</w:t>
      </w:r>
    </w:p>
    <w:p>
      <w:pPr>
        <w:pStyle w:val="BodyText"/>
        <w:spacing w:before="3"/>
        <w:rPr>
          <w:sz w:val="18"/>
        </w:rPr>
      </w:pPr>
    </w:p>
    <w:p>
      <w:pPr>
        <w:numPr>
          <w:ilvl w:val="1"/>
          <w:numId w:val="148"/>
        </w:numPr>
        <w:tabs>
          <w:tab w:pos="2891" w:val="left" w:leader="none"/>
          <w:tab w:pos="2892" w:val="left" w:leader="none"/>
        </w:tabs>
        <w:spacing w:line="261" w:lineRule="exact" w:before="0"/>
        <w:ind w:left="2891" w:right="0" w:hanging="908"/>
        <w:jc w:val="left"/>
        <w:rPr>
          <w:rFonts w:ascii="Stone Sans II ITC Std Bk"/>
          <w:b/>
          <w:sz w:val="20"/>
        </w:rPr>
      </w:pPr>
      <w:r>
        <w:rPr>
          <w:rFonts w:ascii="Stone Sans II ITC Std Bk"/>
          <w:b/>
          <w:w w:val="110"/>
          <w:sz w:val="20"/>
        </w:rPr>
        <w:t>Westhill Endowment</w:t>
      </w:r>
      <w:r>
        <w:rPr>
          <w:rFonts w:ascii="Stone Sans II ITC Std Bk"/>
          <w:b/>
          <w:spacing w:val="-1"/>
          <w:w w:val="110"/>
          <w:sz w:val="20"/>
        </w:rPr>
        <w:t> </w:t>
      </w:r>
      <w:r>
        <w:rPr>
          <w:rFonts w:ascii="Stone Sans II ITC Std Bk"/>
          <w:b/>
          <w:w w:val="110"/>
          <w:sz w:val="20"/>
        </w:rPr>
        <w:t>Fund</w:t>
      </w:r>
    </w:p>
    <w:p>
      <w:pPr>
        <w:pStyle w:val="BodyText"/>
        <w:spacing w:line="233" w:lineRule="exact"/>
        <w:ind w:left="1984"/>
      </w:pPr>
      <w:r>
        <w:rPr>
          <w:w w:val="120"/>
        </w:rPr>
        <w:t>Mr Howard Bridge</w:t>
      </w:r>
    </w:p>
    <w:p>
      <w:pPr>
        <w:pStyle w:val="BodyText"/>
        <w:spacing w:line="240" w:lineRule="exact"/>
        <w:ind w:left="1984"/>
      </w:pPr>
      <w:r>
        <w:rPr>
          <w:w w:val="120"/>
        </w:rPr>
        <w:t>Revd Dr Stephen Orchard</w:t>
      </w:r>
    </w:p>
    <w:p>
      <w:pPr>
        <w:pStyle w:val="BodyText"/>
        <w:spacing w:line="242" w:lineRule="exact"/>
        <w:ind w:left="1984"/>
      </w:pPr>
      <w:r>
        <w:rPr>
          <w:w w:val="120"/>
        </w:rPr>
        <w:t>Revd Elizabeth Welch (co-opted)</w:t>
      </w:r>
    </w:p>
    <w:p>
      <w:pPr>
        <w:pStyle w:val="BodyText"/>
      </w:pPr>
    </w:p>
    <w:p>
      <w:pPr>
        <w:pStyle w:val="BodyText"/>
      </w:pPr>
    </w:p>
    <w:p>
      <w:pPr>
        <w:pStyle w:val="BodyText"/>
      </w:pPr>
    </w:p>
    <w:p>
      <w:pPr>
        <w:pStyle w:val="BodyText"/>
      </w:pPr>
    </w:p>
    <w:p>
      <w:pPr>
        <w:pStyle w:val="BodyText"/>
        <w:spacing w:before="9"/>
      </w:pPr>
      <w:r>
        <w:rPr/>
        <w:pict>
          <v:shape style="position:absolute;margin-left:99.212601pt;margin-top:20.975201pt;width:183.85pt;height:.1pt;mso-position-horizontal-relative:page;mso-position-vertical-relative:paragraph;z-index:-251100160;mso-wrap-distance-left:0;mso-wrap-distance-right:0" coordorigin="1984,420" coordsize="3677,0" path="m1984,420l5661,420e" filled="false" stroked="true" strokeweight=".5pt" strokecolor="#8ba8bd">
            <v:path arrowok="t"/>
            <v:stroke dashstyle="solid"/>
            <w10:wrap type="topAndBottom"/>
          </v:shape>
        </w:pict>
      </w:r>
      <w:r>
        <w:rPr/>
        <w:pict>
          <v:rect style="position:absolute;margin-left:293.385986pt;margin-top:14.653908pt;width:13.721pt;height:13.721pt;mso-position-horizontal-relative:page;mso-position-vertical-relative:paragraph;z-index:-251099136;mso-wrap-distance-left:0;mso-wrap-distance-right:0" filled="true" fillcolor="#8ba8bd" stroked="false">
            <v:fill type="solid"/>
            <w10:wrap type="topAndBottom"/>
          </v:rect>
        </w:pict>
      </w:r>
      <w:r>
        <w:rPr/>
        <w:pict>
          <v:rect style="position:absolute;margin-left:311.822998pt;margin-top:14.653908pt;width:13.721pt;height:13.721pt;mso-position-horizontal-relative:page;mso-position-vertical-relative:paragraph;z-index:-251098112;mso-wrap-distance-left:0;mso-wrap-distance-right:0" filled="true" fillcolor="#c2d2df" stroked="false">
            <v:fill type="solid"/>
            <w10:wrap type="topAndBottom"/>
          </v:rect>
        </w:pict>
      </w:r>
      <w:r>
        <w:rPr/>
        <w:pict>
          <v:rect style="position:absolute;margin-left:330.688995pt;margin-top:14.653908pt;width:13.721pt;height:13.721pt;mso-position-horizontal-relative:page;mso-position-vertical-relative:paragraph;z-index:-251097088;mso-wrap-distance-left:0;mso-wrap-distance-right:0" filled="true" fillcolor="#dae4ec" stroked="false">
            <v:fill opacity="32768f" type="solid"/>
            <w10:wrap type="topAndBottom"/>
          </v:rect>
        </w:pict>
      </w:r>
      <w:r>
        <w:rPr/>
        <w:pict>
          <v:shape style="position:absolute;margin-left:354.235992pt;margin-top:20.975201pt;width:184.35pt;height:.1pt;mso-position-horizontal-relative:page;mso-position-vertical-relative:paragraph;z-index:-251096064;mso-wrap-distance-left:0;mso-wrap-distance-right:0" coordorigin="7085,420" coordsize="3687,0" path="m7085,420l10772,420e" filled="false" stroked="true" strokeweight=".5pt" strokecolor="#8ba8bd">
            <v:path arrowok="t"/>
            <v:stroke dashstyle="solid"/>
            <w10:wrap type="topAndBottom"/>
          </v:shape>
        </w:pict>
      </w:r>
    </w:p>
    <w:p>
      <w:pPr>
        <w:spacing w:after="0"/>
        <w:sectPr>
          <w:pgSz w:w="11910" w:h="16840"/>
          <w:pgMar w:header="0" w:footer="647" w:top="1060" w:bottom="840" w:left="0" w:right="0"/>
        </w:sect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4"/>
        <w:rPr>
          <w:sz w:val="14"/>
        </w:rPr>
      </w:pPr>
    </w:p>
    <w:p>
      <w:pPr>
        <w:spacing w:before="0"/>
        <w:ind w:left="0" w:right="0" w:firstLine="0"/>
        <w:jc w:val="right"/>
        <w:rPr>
          <w:rFonts w:ascii="Times New Roman" w:hAnsi="Times New Roman"/>
          <w:sz w:val="9"/>
        </w:rPr>
      </w:pPr>
      <w:r>
        <w:rPr>
          <w:rFonts w:ascii="Times New Roman" w:hAnsi="Times New Roman"/>
          <w:color w:val="B8B8B8"/>
          <w:sz w:val="9"/>
        </w:rPr>
        <w:t>J, ; • ;</w:t>
      </w:r>
    </w:p>
    <w:p>
      <w:pPr>
        <w:spacing w:line="500" w:lineRule="exact" w:before="78"/>
        <w:ind w:left="0" w:right="796" w:firstLine="0"/>
        <w:jc w:val="right"/>
        <w:rPr>
          <w:rFonts w:ascii="Arial"/>
          <w:b/>
          <w:sz w:val="45"/>
        </w:rPr>
      </w:pPr>
      <w:r>
        <w:rPr/>
        <w:br w:type="column"/>
      </w:r>
      <w:r>
        <w:rPr>
          <w:rFonts w:ascii="Arial"/>
          <w:b/>
          <w:color w:val="5D180C"/>
          <w:w w:val="95"/>
          <w:sz w:val="45"/>
        </w:rPr>
        <w:t>Tasty</w:t>
      </w:r>
      <w:r>
        <w:rPr>
          <w:rFonts w:ascii="Arial"/>
          <w:b/>
          <w:color w:val="5D180C"/>
          <w:spacing w:val="-89"/>
          <w:w w:val="95"/>
          <w:sz w:val="45"/>
        </w:rPr>
        <w:t> </w:t>
      </w:r>
      <w:r>
        <w:rPr>
          <w:rFonts w:ascii="Arial"/>
          <w:b/>
          <w:color w:val="5D180C"/>
          <w:w w:val="95"/>
          <w:sz w:val="45"/>
        </w:rPr>
        <w:t>recipes</w:t>
      </w:r>
      <w:r>
        <w:rPr>
          <w:rFonts w:ascii="Arial"/>
          <w:b/>
          <w:color w:val="5D180C"/>
          <w:spacing w:val="-86"/>
          <w:w w:val="95"/>
          <w:sz w:val="45"/>
        </w:rPr>
        <w:t> </w:t>
      </w:r>
      <w:r>
        <w:rPr>
          <w:rFonts w:ascii="Arial"/>
          <w:b/>
          <w:color w:val="5D180C"/>
          <w:w w:val="95"/>
          <w:sz w:val="45"/>
        </w:rPr>
        <w:t>from</w:t>
      </w:r>
      <w:r>
        <w:rPr>
          <w:rFonts w:ascii="Arial"/>
          <w:b/>
          <w:color w:val="5D180C"/>
          <w:spacing w:val="-93"/>
          <w:w w:val="95"/>
          <w:sz w:val="45"/>
        </w:rPr>
        <w:t> </w:t>
      </w:r>
      <w:r>
        <w:rPr>
          <w:rFonts w:ascii="Arial"/>
          <w:b/>
          <w:color w:val="5D180C"/>
          <w:w w:val="95"/>
          <w:sz w:val="45"/>
        </w:rPr>
        <w:t>church</w:t>
      </w:r>
      <w:r>
        <w:rPr>
          <w:rFonts w:ascii="Arial"/>
          <w:b/>
          <w:color w:val="5D180C"/>
          <w:spacing w:val="-82"/>
          <w:w w:val="95"/>
          <w:sz w:val="45"/>
        </w:rPr>
        <w:t> </w:t>
      </w:r>
      <w:r>
        <w:rPr>
          <w:rFonts w:ascii="Arial"/>
          <w:b/>
          <w:color w:val="5D180C"/>
          <w:w w:val="95"/>
          <w:sz w:val="45"/>
        </w:rPr>
        <w:t>leaders</w:t>
      </w:r>
      <w:r>
        <w:rPr>
          <w:rFonts w:ascii="Arial"/>
          <w:b/>
          <w:color w:val="5D180C"/>
          <w:spacing w:val="-84"/>
          <w:w w:val="95"/>
          <w:sz w:val="45"/>
        </w:rPr>
        <w:t> </w:t>
      </w:r>
      <w:r>
        <w:rPr>
          <w:rFonts w:ascii="Arial"/>
          <w:b/>
          <w:color w:val="5D180C"/>
          <w:w w:val="95"/>
          <w:sz w:val="45"/>
        </w:rPr>
        <w:t>and</w:t>
      </w:r>
    </w:p>
    <w:p>
      <w:pPr>
        <w:spacing w:line="500" w:lineRule="exact" w:before="0"/>
        <w:ind w:left="0" w:right="824" w:firstLine="0"/>
        <w:jc w:val="right"/>
        <w:rPr>
          <w:rFonts w:ascii="Arial"/>
          <w:b/>
          <w:sz w:val="45"/>
        </w:rPr>
      </w:pPr>
      <w:r>
        <w:rPr>
          <w:rFonts w:ascii="Arial"/>
          <w:b/>
          <w:color w:val="5D180C"/>
          <w:w w:val="90"/>
          <w:sz w:val="45"/>
        </w:rPr>
        <w:t>cooking</w:t>
      </w:r>
      <w:r>
        <w:rPr>
          <w:rFonts w:ascii="Arial"/>
          <w:b/>
          <w:color w:val="5D180C"/>
          <w:spacing w:val="8"/>
          <w:w w:val="90"/>
          <w:sz w:val="45"/>
        </w:rPr>
        <w:t> </w:t>
      </w:r>
      <w:r>
        <w:rPr>
          <w:rFonts w:ascii="Arial"/>
          <w:b/>
          <w:color w:val="5D180C"/>
          <w:w w:val="90"/>
          <w:sz w:val="45"/>
        </w:rPr>
        <w:t>enthusiasts</w:t>
      </w:r>
    </w:p>
    <w:p>
      <w:pPr>
        <w:spacing w:after="0" w:line="500" w:lineRule="exact"/>
        <w:jc w:val="right"/>
        <w:rPr>
          <w:rFonts w:ascii="Arial"/>
          <w:sz w:val="45"/>
        </w:rPr>
        <w:sectPr>
          <w:headerReference w:type="even" r:id="rId483"/>
          <w:footerReference w:type="even" r:id="rId484"/>
          <w:pgSz w:w="11910" w:h="16840"/>
          <w:pgMar w:header="0" w:footer="0" w:top="1580" w:bottom="280" w:left="0" w:right="0"/>
          <w:cols w:num="2" w:equalWidth="0">
            <w:col w:w="2853" w:space="40"/>
            <w:col w:w="9017"/>
          </w:cols>
        </w:sectPr>
      </w:pPr>
    </w:p>
    <w:p>
      <w:pPr>
        <w:spacing w:before="123"/>
        <w:ind w:left="1897" w:right="0" w:firstLine="0"/>
        <w:jc w:val="left"/>
        <w:rPr>
          <w:rFonts w:ascii="Arial"/>
          <w:i/>
          <w:sz w:val="34"/>
        </w:rPr>
      </w:pPr>
      <w:r>
        <w:rPr/>
        <w:pict>
          <v:group style="position:absolute;margin-left:.001pt;margin-top:.000035pt;width:595.3pt;height:841.55pt;mso-position-horizontal-relative:page;mso-position-vertical-relative:page;z-index:-267201536" coordorigin="0,0" coordsize="11906,16831">
            <v:shape style="position:absolute;left:0;top:0;width:11906;height:16831" type="#_x0000_t75" stroked="false">
              <v:imagedata r:id="rId485" o:title=""/>
            </v:shape>
            <v:line style="position:absolute" from="6653,2791" to="7526,2791" stroked="true" strokeweight="1.081655pt" strokecolor="#000000">
              <v:stroke dashstyle="solid"/>
            </v:line>
            <v:shape style="position:absolute;left:2614;top:14130;width:250;height:2" coordorigin="2615,14131" coordsize="250,0" path="m2620,2711l2656,2711m2768,2711l2870,2711e" filled="false" stroked="true" strokeweight="1.001835pt" strokecolor="#b8b8b8">
              <v:path arrowok="t"/>
              <v:stroke dashstyle="solid"/>
            </v:shape>
            <w10:wrap type="none"/>
          </v:group>
        </w:pict>
      </w:r>
      <w:r>
        <w:rPr>
          <w:rFonts w:ascii="Arial"/>
          <w:i/>
          <w:color w:val="AE2F4B"/>
          <w:w w:val="105"/>
          <w:sz w:val="34"/>
        </w:rPr>
        <w:t>A.ppleand </w:t>
      </w:r>
      <w:r>
        <w:rPr>
          <w:rFonts w:ascii="Arial"/>
          <w:i/>
          <w:color w:val="AE2F4B"/>
          <w:w w:val="105"/>
          <w:position w:val="-26"/>
          <w:sz w:val="34"/>
        </w:rPr>
        <w:t>LeeksoU.p</w:t>
      </w:r>
    </w:p>
    <w:p>
      <w:pPr>
        <w:spacing w:after="0"/>
        <w:jc w:val="left"/>
        <w:rPr>
          <w:rFonts w:ascii="Arial"/>
          <w:sz w:val="34"/>
        </w:rPr>
        <w:sectPr>
          <w:type w:val="continuous"/>
          <w:pgSz w:w="11910" w:h="16840"/>
          <w:pgMar w:top="860" w:bottom="280" w:left="0" w:right="0"/>
        </w:sectPr>
      </w:pPr>
    </w:p>
    <w:p>
      <w:pPr>
        <w:spacing w:line="232" w:lineRule="exact" w:before="80"/>
        <w:ind w:left="2381" w:right="0" w:firstLine="0"/>
        <w:jc w:val="left"/>
        <w:rPr>
          <w:sz w:val="18"/>
        </w:rPr>
      </w:pPr>
      <w:r>
        <w:rPr/>
        <w:pict>
          <v:rect style="position:absolute;margin-left:0pt;margin-top:.000015pt;width:595.275pt;height:841.89pt;mso-position-horizontal-relative:page;mso-position-vertical-relative:page;z-index:-267200512" filled="true" fillcolor="#8ba8bd" stroked="false">
            <v:fill type="solid"/>
            <w10:wrap type="none"/>
          </v:rect>
        </w:pict>
      </w:r>
      <w:r>
        <w:rPr/>
        <w:pict>
          <v:group style="position:absolute;margin-left:75.826797pt;margin-top:.000015pt;width:519.4500pt;height:790.9pt;mso-position-horizontal-relative:page;mso-position-vertical-relative:page;z-index:-267199488"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2014;top:1201;width:7954;height:1638" coordorigin="2014,1202" coordsize="7954,1638" path="m2254,1202l2251,1341,2224,1412,2153,1438,2014,1442,2014,2599,2153,2603,2224,2629,2251,2700,2254,2839,9728,2839,9732,2700,9758,2629,9829,2603,9968,2599,9968,1442,9829,1438,9758,1412,9732,1341,9728,1202,2254,1202xe" filled="false" stroked="true" strokeweight="1pt" strokecolor="#8ba8bd">
              <v:path arrowok="t"/>
              <v:stroke dashstyle="solid"/>
            </v:shape>
            <w10:wrap type="none"/>
          </v:group>
        </w:pict>
      </w:r>
      <w:r>
        <w:rPr/>
        <w:pict>
          <v:shape style="position:absolute;margin-left:512.587891pt;margin-top:55.692715pt;width:47.4pt;height:624.6pt;mso-position-horizontal-relative:page;mso-position-vertical-relative:page;z-index:-26719846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12"/>
                      <w:w w:val="110"/>
                      <w:sz w:val="72"/>
                    </w:rPr>
                    <w:t>Pastoral </w:t>
                  </w:r>
                  <w:r>
                    <w:rPr>
                      <w:rFonts w:ascii="Stone Sans II ITC Std X Bd"/>
                      <w:b/>
                      <w:spacing w:val="-8"/>
                      <w:w w:val="110"/>
                      <w:sz w:val="72"/>
                    </w:rPr>
                    <w:t>Reference </w:t>
                  </w:r>
                  <w:r>
                    <w:rPr>
                      <w:rFonts w:ascii="Stone Sans II ITC Std X Bd"/>
                      <w:b/>
                      <w:spacing w:val="-6"/>
                      <w:w w:val="110"/>
                      <w:sz w:val="72"/>
                    </w:rPr>
                    <w:t>and</w:t>
                  </w:r>
                  <w:r>
                    <w:rPr>
                      <w:rFonts w:ascii="Stone Sans II ITC Std X Bd"/>
                      <w:b/>
                      <w:spacing w:val="150"/>
                      <w:w w:val="110"/>
                      <w:sz w:val="72"/>
                    </w:rPr>
                    <w:t> </w:t>
                  </w:r>
                  <w:r>
                    <w:rPr>
                      <w:rFonts w:ascii="Stone Sans II ITC Std X Bd"/>
                      <w:b/>
                      <w:spacing w:val="-9"/>
                      <w:w w:val="110"/>
                      <w:sz w:val="72"/>
                    </w:rPr>
                    <w:t>Welfare</w:t>
                  </w:r>
                </w:p>
              </w:txbxContent>
            </v:textbox>
            <w10:wrap type="none"/>
          </v:shape>
        </w:pict>
      </w:r>
      <w:r>
        <w:rPr>
          <w:rFonts w:ascii="Stone Sans II ITC Std Bk"/>
          <w:b/>
          <w:w w:val="115"/>
          <w:sz w:val="18"/>
        </w:rPr>
        <w:t>Convener: </w:t>
      </w:r>
      <w:r>
        <w:rPr>
          <w:w w:val="115"/>
          <w:sz w:val="18"/>
        </w:rPr>
        <w:t>Revd Alasdair Pratt</w:t>
      </w:r>
    </w:p>
    <w:p>
      <w:pPr>
        <w:spacing w:line="220" w:lineRule="exact" w:before="0"/>
        <w:ind w:left="2381" w:right="0" w:firstLine="0"/>
        <w:jc w:val="left"/>
        <w:rPr>
          <w:sz w:val="18"/>
        </w:rPr>
      </w:pPr>
      <w:r>
        <w:rPr>
          <w:rFonts w:ascii="Stone Sans II ITC Std Bk"/>
          <w:b/>
          <w:w w:val="120"/>
          <w:sz w:val="18"/>
        </w:rPr>
        <w:t>Secretaries: </w:t>
      </w:r>
      <w:r>
        <w:rPr>
          <w:w w:val="120"/>
          <w:sz w:val="18"/>
        </w:rPr>
        <w:t>Deputy General Secretary, Secretary for Welfare</w:t>
      </w:r>
    </w:p>
    <w:p>
      <w:pPr>
        <w:spacing w:line="228" w:lineRule="auto" w:before="0"/>
        <w:ind w:left="2381" w:right="2408" w:firstLine="0"/>
        <w:jc w:val="left"/>
        <w:rPr>
          <w:sz w:val="18"/>
        </w:rPr>
      </w:pPr>
      <w:r>
        <w:rPr>
          <w:rFonts w:ascii="Stone Sans II ITC Std Bk"/>
          <w:b/>
          <w:w w:val="120"/>
          <w:sz w:val="18"/>
        </w:rPr>
        <w:t>Committee members: </w:t>
      </w:r>
      <w:r>
        <w:rPr>
          <w:w w:val="120"/>
          <w:sz w:val="18"/>
        </w:rPr>
        <w:t>Dr Paul Ashitey, Revd Adrian Bulley, Revd Birgit Ewald, Margaret Carrick Smith (to 2009), Delyth Rees</w:t>
      </w:r>
    </w:p>
    <w:p>
      <w:pPr>
        <w:pStyle w:val="BodyText"/>
        <w:rPr>
          <w:sz w:val="22"/>
        </w:rPr>
      </w:pPr>
    </w:p>
    <w:p>
      <w:pPr>
        <w:pStyle w:val="BodyText"/>
        <w:rPr>
          <w:sz w:val="22"/>
        </w:rPr>
      </w:pPr>
    </w:p>
    <w:p>
      <w:pPr>
        <w:pStyle w:val="BodyText"/>
        <w:rPr>
          <w:sz w:val="22"/>
        </w:rPr>
      </w:pPr>
    </w:p>
    <w:p>
      <w:pPr>
        <w:pStyle w:val="BodyText"/>
        <w:spacing w:before="8"/>
        <w:rPr>
          <w:sz w:val="32"/>
        </w:rPr>
      </w:pPr>
    </w:p>
    <w:p>
      <w:pPr>
        <w:pStyle w:val="ListParagraph"/>
        <w:numPr>
          <w:ilvl w:val="0"/>
          <w:numId w:val="149"/>
        </w:numPr>
        <w:tabs>
          <w:tab w:pos="2664" w:val="left" w:leader="none"/>
          <w:tab w:pos="2665" w:val="left" w:leader="none"/>
        </w:tabs>
        <w:spacing w:line="235" w:lineRule="auto" w:before="1" w:after="0"/>
        <w:ind w:left="1984" w:right="2384" w:firstLine="0"/>
        <w:jc w:val="left"/>
        <w:rPr>
          <w:sz w:val="20"/>
        </w:rPr>
      </w:pPr>
      <w:r>
        <w:rPr>
          <w:spacing w:val="3"/>
          <w:w w:val="120"/>
          <w:sz w:val="20"/>
        </w:rPr>
        <w:t>The committee considers the cases </w:t>
      </w:r>
      <w:r>
        <w:rPr>
          <w:spacing w:val="2"/>
          <w:w w:val="120"/>
          <w:sz w:val="20"/>
        </w:rPr>
        <w:t>of </w:t>
      </w:r>
      <w:r>
        <w:rPr>
          <w:spacing w:val="3"/>
          <w:w w:val="120"/>
          <w:sz w:val="20"/>
        </w:rPr>
        <w:t>ministers and church related community </w:t>
      </w:r>
      <w:r>
        <w:rPr>
          <w:spacing w:val="4"/>
          <w:w w:val="120"/>
          <w:sz w:val="20"/>
        </w:rPr>
        <w:t>workers </w:t>
      </w:r>
      <w:r>
        <w:rPr>
          <w:spacing w:val="3"/>
          <w:w w:val="120"/>
          <w:sz w:val="20"/>
        </w:rPr>
        <w:t>which are </w:t>
      </w:r>
      <w:r>
        <w:rPr>
          <w:spacing w:val="4"/>
          <w:w w:val="120"/>
          <w:sz w:val="20"/>
        </w:rPr>
        <w:t>referred </w:t>
      </w:r>
      <w:r>
        <w:rPr>
          <w:w w:val="120"/>
          <w:sz w:val="20"/>
        </w:rPr>
        <w:t>to it by </w:t>
      </w:r>
      <w:r>
        <w:rPr>
          <w:spacing w:val="3"/>
          <w:w w:val="120"/>
          <w:sz w:val="20"/>
        </w:rPr>
        <w:t>officers </w:t>
      </w:r>
      <w:r>
        <w:rPr>
          <w:spacing w:val="2"/>
          <w:w w:val="120"/>
          <w:sz w:val="20"/>
        </w:rPr>
        <w:t>or councils of </w:t>
      </w:r>
      <w:r>
        <w:rPr>
          <w:spacing w:val="3"/>
          <w:w w:val="120"/>
          <w:sz w:val="20"/>
        </w:rPr>
        <w:t>the Church</w:t>
      </w:r>
      <w:r>
        <w:rPr>
          <w:spacing w:val="20"/>
          <w:w w:val="120"/>
          <w:sz w:val="20"/>
        </w:rPr>
        <w:t> </w:t>
      </w:r>
      <w:r>
        <w:rPr>
          <w:spacing w:val="3"/>
          <w:w w:val="120"/>
          <w:sz w:val="20"/>
        </w:rPr>
        <w:t>when</w:t>
      </w:r>
      <w:r>
        <w:rPr>
          <w:spacing w:val="21"/>
          <w:w w:val="120"/>
          <w:sz w:val="20"/>
        </w:rPr>
        <w:t> </w:t>
      </w:r>
      <w:r>
        <w:rPr>
          <w:spacing w:val="4"/>
          <w:w w:val="120"/>
          <w:sz w:val="20"/>
        </w:rPr>
        <w:t>there</w:t>
      </w:r>
      <w:r>
        <w:rPr>
          <w:spacing w:val="20"/>
          <w:w w:val="120"/>
          <w:sz w:val="20"/>
        </w:rPr>
        <w:t> </w:t>
      </w:r>
      <w:r>
        <w:rPr>
          <w:w w:val="120"/>
          <w:sz w:val="20"/>
        </w:rPr>
        <w:t>is</w:t>
      </w:r>
      <w:r>
        <w:rPr>
          <w:spacing w:val="21"/>
          <w:w w:val="120"/>
          <w:sz w:val="20"/>
        </w:rPr>
        <w:t> </w:t>
      </w:r>
      <w:r>
        <w:rPr>
          <w:spacing w:val="3"/>
          <w:w w:val="120"/>
          <w:sz w:val="20"/>
        </w:rPr>
        <w:t>perceived</w:t>
      </w:r>
      <w:r>
        <w:rPr>
          <w:spacing w:val="21"/>
          <w:w w:val="120"/>
          <w:sz w:val="20"/>
        </w:rPr>
        <w:t> </w:t>
      </w:r>
      <w:r>
        <w:rPr>
          <w:spacing w:val="4"/>
          <w:w w:val="120"/>
          <w:sz w:val="20"/>
        </w:rPr>
        <w:t>pastoral</w:t>
      </w:r>
      <w:r>
        <w:rPr>
          <w:spacing w:val="20"/>
          <w:w w:val="120"/>
          <w:sz w:val="20"/>
        </w:rPr>
        <w:t> </w:t>
      </w:r>
      <w:r>
        <w:rPr>
          <w:spacing w:val="3"/>
          <w:w w:val="120"/>
          <w:sz w:val="20"/>
        </w:rPr>
        <w:t>need.</w:t>
      </w:r>
      <w:r>
        <w:rPr>
          <w:spacing w:val="21"/>
          <w:w w:val="120"/>
          <w:sz w:val="20"/>
        </w:rPr>
        <w:t> </w:t>
      </w:r>
      <w:r>
        <w:rPr>
          <w:spacing w:val="2"/>
          <w:w w:val="120"/>
          <w:sz w:val="20"/>
        </w:rPr>
        <w:t>Such</w:t>
      </w:r>
      <w:r>
        <w:rPr>
          <w:spacing w:val="20"/>
          <w:w w:val="120"/>
          <w:sz w:val="20"/>
        </w:rPr>
        <w:t> </w:t>
      </w:r>
      <w:r>
        <w:rPr>
          <w:spacing w:val="3"/>
          <w:w w:val="120"/>
          <w:sz w:val="20"/>
        </w:rPr>
        <w:t>help</w:t>
      </w:r>
      <w:r>
        <w:rPr>
          <w:spacing w:val="21"/>
          <w:w w:val="120"/>
          <w:sz w:val="20"/>
        </w:rPr>
        <w:t> </w:t>
      </w:r>
      <w:r>
        <w:rPr>
          <w:spacing w:val="2"/>
          <w:w w:val="120"/>
          <w:sz w:val="20"/>
        </w:rPr>
        <w:t>may</w:t>
      </w:r>
      <w:r>
        <w:rPr>
          <w:spacing w:val="21"/>
          <w:w w:val="120"/>
          <w:sz w:val="20"/>
        </w:rPr>
        <w:t> </w:t>
      </w:r>
      <w:r>
        <w:rPr>
          <w:spacing w:val="3"/>
          <w:w w:val="120"/>
          <w:sz w:val="20"/>
        </w:rPr>
        <w:t>be</w:t>
      </w:r>
      <w:r>
        <w:rPr>
          <w:spacing w:val="20"/>
          <w:w w:val="120"/>
          <w:sz w:val="20"/>
        </w:rPr>
        <w:t> </w:t>
      </w:r>
      <w:r>
        <w:rPr>
          <w:spacing w:val="3"/>
          <w:w w:val="120"/>
          <w:sz w:val="20"/>
        </w:rPr>
        <w:t>sought:</w:t>
      </w:r>
    </w:p>
    <w:p>
      <w:pPr>
        <w:pStyle w:val="BodyText"/>
        <w:spacing w:before="10"/>
        <w:rPr>
          <w:sz w:val="19"/>
        </w:rPr>
      </w:pPr>
    </w:p>
    <w:p>
      <w:pPr>
        <w:pStyle w:val="ListParagraph"/>
        <w:numPr>
          <w:ilvl w:val="0"/>
          <w:numId w:val="150"/>
        </w:numPr>
        <w:tabs>
          <w:tab w:pos="2664" w:val="left" w:leader="none"/>
          <w:tab w:pos="2665" w:val="left" w:leader="none"/>
        </w:tabs>
        <w:spacing w:line="235" w:lineRule="auto" w:before="0" w:after="0"/>
        <w:ind w:left="2664" w:right="2219" w:hanging="681"/>
        <w:jc w:val="left"/>
        <w:rPr>
          <w:sz w:val="20"/>
        </w:rPr>
      </w:pPr>
      <w:r>
        <w:rPr>
          <w:spacing w:val="3"/>
          <w:w w:val="120"/>
          <w:sz w:val="20"/>
        </w:rPr>
        <w:t>when </w:t>
      </w:r>
      <w:r>
        <w:rPr>
          <w:spacing w:val="4"/>
          <w:w w:val="120"/>
          <w:sz w:val="20"/>
        </w:rPr>
        <w:t>there </w:t>
      </w:r>
      <w:r>
        <w:rPr>
          <w:w w:val="120"/>
          <w:sz w:val="20"/>
        </w:rPr>
        <w:t>is a </w:t>
      </w:r>
      <w:r>
        <w:rPr>
          <w:spacing w:val="3"/>
          <w:w w:val="120"/>
          <w:sz w:val="20"/>
        </w:rPr>
        <w:t>breakdown </w:t>
      </w:r>
      <w:r>
        <w:rPr>
          <w:w w:val="120"/>
          <w:sz w:val="20"/>
        </w:rPr>
        <w:t>in </w:t>
      </w:r>
      <w:r>
        <w:rPr>
          <w:spacing w:val="3"/>
          <w:w w:val="120"/>
          <w:sz w:val="20"/>
        </w:rPr>
        <w:t>relationship </w:t>
      </w:r>
      <w:r>
        <w:rPr>
          <w:spacing w:val="4"/>
          <w:w w:val="120"/>
          <w:sz w:val="20"/>
        </w:rPr>
        <w:t>between </w:t>
      </w:r>
      <w:r>
        <w:rPr>
          <w:spacing w:val="3"/>
          <w:w w:val="120"/>
          <w:sz w:val="20"/>
        </w:rPr>
        <w:t>the minister and </w:t>
      </w:r>
      <w:r>
        <w:rPr>
          <w:spacing w:val="4"/>
          <w:w w:val="120"/>
          <w:sz w:val="20"/>
        </w:rPr>
        <w:t>congregation </w:t>
      </w:r>
      <w:r>
        <w:rPr>
          <w:spacing w:val="2"/>
          <w:w w:val="120"/>
          <w:sz w:val="20"/>
        </w:rPr>
        <w:t>or </w:t>
      </w:r>
      <w:r>
        <w:rPr>
          <w:spacing w:val="3"/>
          <w:w w:val="120"/>
          <w:sz w:val="20"/>
        </w:rPr>
        <w:t>the wider</w:t>
      </w:r>
      <w:r>
        <w:rPr>
          <w:spacing w:val="40"/>
          <w:w w:val="120"/>
          <w:sz w:val="20"/>
        </w:rPr>
        <w:t> </w:t>
      </w:r>
      <w:r>
        <w:rPr>
          <w:spacing w:val="2"/>
          <w:w w:val="120"/>
          <w:sz w:val="20"/>
        </w:rPr>
        <w:t>Church;</w:t>
      </w:r>
    </w:p>
    <w:p>
      <w:pPr>
        <w:pStyle w:val="BodyText"/>
        <w:spacing w:before="5"/>
        <w:rPr>
          <w:sz w:val="19"/>
        </w:rPr>
      </w:pPr>
    </w:p>
    <w:p>
      <w:pPr>
        <w:pStyle w:val="ListParagraph"/>
        <w:numPr>
          <w:ilvl w:val="0"/>
          <w:numId w:val="150"/>
        </w:numPr>
        <w:tabs>
          <w:tab w:pos="2664" w:val="left" w:leader="none"/>
          <w:tab w:pos="2665" w:val="left" w:leader="none"/>
        </w:tabs>
        <w:spacing w:line="240" w:lineRule="auto" w:before="0" w:after="0"/>
        <w:ind w:left="2664" w:right="0" w:hanging="681"/>
        <w:jc w:val="left"/>
        <w:rPr>
          <w:sz w:val="20"/>
        </w:rPr>
      </w:pPr>
      <w:r>
        <w:rPr>
          <w:spacing w:val="3"/>
          <w:w w:val="120"/>
          <w:sz w:val="20"/>
        </w:rPr>
        <w:t>when </w:t>
      </w:r>
      <w:r>
        <w:rPr>
          <w:spacing w:val="4"/>
          <w:w w:val="120"/>
          <w:sz w:val="20"/>
        </w:rPr>
        <w:t>synod moderators </w:t>
      </w:r>
      <w:r>
        <w:rPr>
          <w:spacing w:val="2"/>
          <w:w w:val="120"/>
          <w:sz w:val="20"/>
        </w:rPr>
        <w:t>or </w:t>
      </w:r>
      <w:r>
        <w:rPr>
          <w:spacing w:val="4"/>
          <w:w w:val="120"/>
          <w:sz w:val="20"/>
        </w:rPr>
        <w:t>pastoral </w:t>
      </w:r>
      <w:r>
        <w:rPr>
          <w:spacing w:val="3"/>
          <w:w w:val="120"/>
          <w:sz w:val="20"/>
        </w:rPr>
        <w:t>committees seek</w:t>
      </w:r>
      <w:r>
        <w:rPr>
          <w:spacing w:val="54"/>
          <w:w w:val="120"/>
          <w:sz w:val="20"/>
        </w:rPr>
        <w:t> </w:t>
      </w:r>
      <w:r>
        <w:rPr>
          <w:spacing w:val="3"/>
          <w:w w:val="120"/>
          <w:sz w:val="20"/>
        </w:rPr>
        <w:t>assistance;</w:t>
      </w:r>
    </w:p>
    <w:p>
      <w:pPr>
        <w:pStyle w:val="BodyText"/>
        <w:spacing w:before="8"/>
        <w:rPr>
          <w:sz w:val="19"/>
        </w:rPr>
      </w:pPr>
    </w:p>
    <w:p>
      <w:pPr>
        <w:pStyle w:val="ListParagraph"/>
        <w:numPr>
          <w:ilvl w:val="0"/>
          <w:numId w:val="150"/>
        </w:numPr>
        <w:tabs>
          <w:tab w:pos="2664" w:val="left" w:leader="none"/>
          <w:tab w:pos="2665" w:val="left" w:leader="none"/>
        </w:tabs>
        <w:spacing w:line="235" w:lineRule="auto" w:before="0" w:after="0"/>
        <w:ind w:left="2664" w:right="2665" w:hanging="681"/>
        <w:jc w:val="left"/>
        <w:rPr>
          <w:sz w:val="20"/>
        </w:rPr>
      </w:pPr>
      <w:r>
        <w:rPr>
          <w:spacing w:val="3"/>
          <w:w w:val="120"/>
          <w:sz w:val="20"/>
        </w:rPr>
        <w:t>when the continuation </w:t>
      </w:r>
      <w:r>
        <w:rPr>
          <w:spacing w:val="2"/>
          <w:w w:val="120"/>
          <w:sz w:val="20"/>
        </w:rPr>
        <w:t>of </w:t>
      </w:r>
      <w:r>
        <w:rPr>
          <w:w w:val="120"/>
          <w:sz w:val="20"/>
        </w:rPr>
        <w:t>a </w:t>
      </w:r>
      <w:r>
        <w:rPr>
          <w:spacing w:val="2"/>
          <w:w w:val="120"/>
          <w:sz w:val="20"/>
        </w:rPr>
        <w:t>minister’s </w:t>
      </w:r>
      <w:r>
        <w:rPr>
          <w:spacing w:val="4"/>
          <w:w w:val="120"/>
          <w:sz w:val="20"/>
        </w:rPr>
        <w:t>service </w:t>
      </w:r>
      <w:r>
        <w:rPr>
          <w:spacing w:val="3"/>
          <w:w w:val="120"/>
          <w:sz w:val="20"/>
        </w:rPr>
        <w:t>within the </w:t>
      </w:r>
      <w:r>
        <w:rPr>
          <w:spacing w:val="4"/>
          <w:w w:val="120"/>
          <w:sz w:val="20"/>
        </w:rPr>
        <w:t>existing pastoral </w:t>
      </w:r>
      <w:r>
        <w:rPr>
          <w:spacing w:val="3"/>
          <w:w w:val="120"/>
          <w:sz w:val="20"/>
        </w:rPr>
        <w:t>charge, </w:t>
      </w:r>
      <w:r>
        <w:rPr>
          <w:spacing w:val="2"/>
          <w:w w:val="120"/>
          <w:sz w:val="20"/>
        </w:rPr>
        <w:t>or </w:t>
      </w:r>
      <w:r>
        <w:rPr>
          <w:spacing w:val="3"/>
          <w:w w:val="120"/>
          <w:sz w:val="20"/>
        </w:rPr>
        <w:t>the </w:t>
      </w:r>
      <w:r>
        <w:rPr>
          <w:spacing w:val="4"/>
          <w:w w:val="120"/>
          <w:sz w:val="20"/>
        </w:rPr>
        <w:t>URC </w:t>
      </w:r>
      <w:r>
        <w:rPr>
          <w:spacing w:val="3"/>
          <w:w w:val="120"/>
          <w:sz w:val="20"/>
        </w:rPr>
        <w:t>itself, </w:t>
      </w:r>
      <w:r>
        <w:rPr>
          <w:w w:val="120"/>
          <w:sz w:val="20"/>
        </w:rPr>
        <w:t>is in</w:t>
      </w:r>
      <w:r>
        <w:rPr>
          <w:spacing w:val="19"/>
          <w:w w:val="120"/>
          <w:sz w:val="20"/>
        </w:rPr>
        <w:t> </w:t>
      </w:r>
      <w:r>
        <w:rPr>
          <w:spacing w:val="4"/>
          <w:w w:val="120"/>
          <w:sz w:val="20"/>
        </w:rPr>
        <w:t>question;</w:t>
      </w:r>
    </w:p>
    <w:p>
      <w:pPr>
        <w:pStyle w:val="BodyText"/>
        <w:spacing w:before="6"/>
        <w:rPr>
          <w:sz w:val="19"/>
        </w:rPr>
      </w:pPr>
    </w:p>
    <w:p>
      <w:pPr>
        <w:pStyle w:val="ListParagraph"/>
        <w:numPr>
          <w:ilvl w:val="0"/>
          <w:numId w:val="150"/>
        </w:numPr>
        <w:tabs>
          <w:tab w:pos="2664" w:val="left" w:leader="none"/>
          <w:tab w:pos="2665" w:val="left" w:leader="none"/>
        </w:tabs>
        <w:spacing w:line="240" w:lineRule="auto" w:before="0" w:after="0"/>
        <w:ind w:left="2664" w:right="0" w:hanging="681"/>
        <w:jc w:val="left"/>
        <w:rPr>
          <w:sz w:val="20"/>
        </w:rPr>
      </w:pPr>
      <w:r>
        <w:rPr>
          <w:spacing w:val="3"/>
          <w:w w:val="120"/>
          <w:sz w:val="20"/>
        </w:rPr>
        <w:t>when financial assistance </w:t>
      </w:r>
      <w:r>
        <w:rPr>
          <w:w w:val="120"/>
          <w:sz w:val="20"/>
        </w:rPr>
        <w:t>is </w:t>
      </w:r>
      <w:r>
        <w:rPr>
          <w:spacing w:val="3"/>
          <w:w w:val="120"/>
          <w:sz w:val="20"/>
        </w:rPr>
        <w:t>sought </w:t>
      </w:r>
      <w:r>
        <w:rPr>
          <w:spacing w:val="4"/>
          <w:w w:val="120"/>
          <w:sz w:val="20"/>
        </w:rPr>
        <w:t>from welfare</w:t>
      </w:r>
      <w:r>
        <w:rPr>
          <w:spacing w:val="58"/>
          <w:w w:val="120"/>
          <w:sz w:val="20"/>
        </w:rPr>
        <w:t> </w:t>
      </w:r>
      <w:r>
        <w:rPr>
          <w:spacing w:val="4"/>
          <w:w w:val="120"/>
          <w:sz w:val="20"/>
        </w:rPr>
        <w:t>funds.</w:t>
      </w:r>
    </w:p>
    <w:p>
      <w:pPr>
        <w:pStyle w:val="BodyText"/>
        <w:spacing w:before="7"/>
        <w:rPr>
          <w:sz w:val="19"/>
        </w:rPr>
      </w:pPr>
    </w:p>
    <w:p>
      <w:pPr>
        <w:pStyle w:val="ListParagraph"/>
        <w:numPr>
          <w:ilvl w:val="0"/>
          <w:numId w:val="149"/>
        </w:numPr>
        <w:tabs>
          <w:tab w:pos="2664" w:val="left" w:leader="none"/>
          <w:tab w:pos="2665" w:val="left" w:leader="none"/>
        </w:tabs>
        <w:spacing w:line="235" w:lineRule="auto" w:before="0" w:after="0"/>
        <w:ind w:left="1984" w:right="2442" w:firstLine="0"/>
        <w:jc w:val="left"/>
        <w:rPr>
          <w:sz w:val="20"/>
        </w:rPr>
      </w:pPr>
      <w:r>
        <w:rPr>
          <w:spacing w:val="4"/>
          <w:w w:val="120"/>
          <w:sz w:val="20"/>
        </w:rPr>
        <w:t>There </w:t>
      </w:r>
      <w:r>
        <w:rPr>
          <w:spacing w:val="2"/>
          <w:w w:val="120"/>
          <w:sz w:val="20"/>
        </w:rPr>
        <w:t>has </w:t>
      </w:r>
      <w:r>
        <w:rPr>
          <w:spacing w:val="4"/>
          <w:w w:val="120"/>
          <w:sz w:val="20"/>
        </w:rPr>
        <w:t>been </w:t>
      </w:r>
      <w:r>
        <w:rPr>
          <w:w w:val="120"/>
          <w:sz w:val="20"/>
        </w:rPr>
        <w:t>a </w:t>
      </w:r>
      <w:r>
        <w:rPr>
          <w:spacing w:val="3"/>
          <w:w w:val="120"/>
          <w:sz w:val="20"/>
        </w:rPr>
        <w:t>perception that </w:t>
      </w:r>
      <w:r>
        <w:rPr>
          <w:spacing w:val="4"/>
          <w:w w:val="120"/>
          <w:sz w:val="20"/>
        </w:rPr>
        <w:t>response </w:t>
      </w:r>
      <w:r>
        <w:rPr>
          <w:w w:val="120"/>
          <w:sz w:val="20"/>
        </w:rPr>
        <w:t>to </w:t>
      </w:r>
      <w:r>
        <w:rPr>
          <w:spacing w:val="4"/>
          <w:w w:val="120"/>
          <w:sz w:val="20"/>
        </w:rPr>
        <w:t>welfare </w:t>
      </w:r>
      <w:r>
        <w:rPr>
          <w:spacing w:val="3"/>
          <w:w w:val="120"/>
          <w:sz w:val="20"/>
        </w:rPr>
        <w:t>applications </w:t>
      </w:r>
      <w:r>
        <w:rPr>
          <w:w w:val="120"/>
          <w:sz w:val="20"/>
        </w:rPr>
        <w:t>is </w:t>
      </w:r>
      <w:r>
        <w:rPr>
          <w:spacing w:val="3"/>
          <w:w w:val="120"/>
          <w:sz w:val="20"/>
        </w:rPr>
        <w:t>the </w:t>
      </w:r>
      <w:r>
        <w:rPr>
          <w:spacing w:val="5"/>
          <w:w w:val="120"/>
          <w:sz w:val="20"/>
        </w:rPr>
        <w:t>primary </w:t>
      </w:r>
      <w:r>
        <w:rPr>
          <w:spacing w:val="4"/>
          <w:w w:val="120"/>
          <w:sz w:val="20"/>
        </w:rPr>
        <w:t>purpose </w:t>
      </w:r>
      <w:r>
        <w:rPr>
          <w:spacing w:val="2"/>
          <w:w w:val="120"/>
          <w:sz w:val="20"/>
        </w:rPr>
        <w:t>of </w:t>
      </w:r>
      <w:r>
        <w:rPr>
          <w:spacing w:val="3"/>
          <w:w w:val="120"/>
          <w:sz w:val="20"/>
        </w:rPr>
        <w:t>the committee. This </w:t>
      </w:r>
      <w:r>
        <w:rPr>
          <w:spacing w:val="2"/>
          <w:w w:val="120"/>
          <w:sz w:val="20"/>
        </w:rPr>
        <w:t>is, </w:t>
      </w:r>
      <w:r>
        <w:rPr>
          <w:spacing w:val="3"/>
          <w:w w:val="120"/>
          <w:sz w:val="20"/>
        </w:rPr>
        <w:t>indeed, </w:t>
      </w:r>
      <w:r>
        <w:rPr>
          <w:spacing w:val="2"/>
          <w:w w:val="120"/>
          <w:sz w:val="20"/>
        </w:rPr>
        <w:t>an </w:t>
      </w:r>
      <w:r>
        <w:rPr>
          <w:spacing w:val="5"/>
          <w:w w:val="120"/>
          <w:sz w:val="20"/>
        </w:rPr>
        <w:t>important </w:t>
      </w:r>
      <w:r>
        <w:rPr>
          <w:spacing w:val="6"/>
          <w:w w:val="120"/>
          <w:sz w:val="20"/>
        </w:rPr>
        <w:t>part </w:t>
      </w:r>
      <w:r>
        <w:rPr>
          <w:spacing w:val="2"/>
          <w:w w:val="120"/>
          <w:sz w:val="20"/>
        </w:rPr>
        <w:t>of </w:t>
      </w:r>
      <w:r>
        <w:rPr>
          <w:spacing w:val="3"/>
          <w:w w:val="120"/>
          <w:sz w:val="20"/>
        </w:rPr>
        <w:t>the </w:t>
      </w:r>
      <w:r>
        <w:rPr>
          <w:spacing w:val="2"/>
          <w:w w:val="120"/>
          <w:sz w:val="20"/>
        </w:rPr>
        <w:t>committee’s </w:t>
      </w:r>
      <w:r>
        <w:rPr>
          <w:spacing w:val="3"/>
          <w:w w:val="120"/>
          <w:sz w:val="20"/>
        </w:rPr>
        <w:t>remit and </w:t>
      </w:r>
      <w:r>
        <w:rPr>
          <w:spacing w:val="5"/>
          <w:w w:val="120"/>
          <w:sz w:val="20"/>
        </w:rPr>
        <w:t>every </w:t>
      </w:r>
      <w:r>
        <w:rPr>
          <w:spacing w:val="3"/>
          <w:w w:val="120"/>
          <w:sz w:val="20"/>
        </w:rPr>
        <w:t>meeting receives </w:t>
      </w:r>
      <w:r>
        <w:rPr>
          <w:w w:val="120"/>
          <w:sz w:val="20"/>
        </w:rPr>
        <w:t>a </w:t>
      </w:r>
      <w:r>
        <w:rPr>
          <w:spacing w:val="5"/>
          <w:w w:val="120"/>
          <w:sz w:val="20"/>
        </w:rPr>
        <w:t>report </w:t>
      </w:r>
      <w:r>
        <w:rPr>
          <w:spacing w:val="4"/>
          <w:w w:val="120"/>
          <w:sz w:val="20"/>
        </w:rPr>
        <w:t>from </w:t>
      </w:r>
      <w:r>
        <w:rPr>
          <w:spacing w:val="3"/>
          <w:w w:val="120"/>
          <w:sz w:val="20"/>
        </w:rPr>
        <w:t>the Senior Finance Officer </w:t>
      </w:r>
      <w:r>
        <w:rPr>
          <w:spacing w:val="2"/>
          <w:w w:val="120"/>
          <w:sz w:val="20"/>
        </w:rPr>
        <w:t>on </w:t>
      </w:r>
      <w:r>
        <w:rPr>
          <w:spacing w:val="4"/>
          <w:w w:val="120"/>
          <w:sz w:val="20"/>
        </w:rPr>
        <w:t>specific </w:t>
      </w:r>
      <w:r>
        <w:rPr>
          <w:spacing w:val="5"/>
          <w:w w:val="120"/>
          <w:sz w:val="20"/>
        </w:rPr>
        <w:t>requests </w:t>
      </w:r>
      <w:r>
        <w:rPr>
          <w:spacing w:val="3"/>
          <w:w w:val="120"/>
          <w:sz w:val="20"/>
        </w:rPr>
        <w:t>for help that </w:t>
      </w:r>
      <w:r>
        <w:rPr>
          <w:spacing w:val="2"/>
          <w:w w:val="120"/>
          <w:sz w:val="20"/>
        </w:rPr>
        <w:t>have </w:t>
      </w:r>
      <w:r>
        <w:rPr>
          <w:spacing w:val="4"/>
          <w:w w:val="120"/>
          <w:sz w:val="20"/>
        </w:rPr>
        <w:t>been </w:t>
      </w:r>
      <w:r>
        <w:rPr>
          <w:spacing w:val="3"/>
          <w:w w:val="120"/>
          <w:sz w:val="20"/>
        </w:rPr>
        <w:t>received,</w:t>
      </w:r>
      <w:r>
        <w:rPr>
          <w:spacing w:val="14"/>
          <w:w w:val="120"/>
          <w:sz w:val="20"/>
        </w:rPr>
        <w:t> </w:t>
      </w:r>
      <w:r>
        <w:rPr>
          <w:w w:val="120"/>
          <w:sz w:val="20"/>
        </w:rPr>
        <w:t>as</w:t>
      </w:r>
      <w:r>
        <w:rPr>
          <w:spacing w:val="14"/>
          <w:w w:val="120"/>
          <w:sz w:val="20"/>
        </w:rPr>
        <w:t> </w:t>
      </w:r>
      <w:r>
        <w:rPr>
          <w:spacing w:val="2"/>
          <w:w w:val="120"/>
          <w:sz w:val="20"/>
        </w:rPr>
        <w:t>well</w:t>
      </w:r>
      <w:r>
        <w:rPr>
          <w:spacing w:val="14"/>
          <w:w w:val="120"/>
          <w:sz w:val="20"/>
        </w:rPr>
        <w:t> </w:t>
      </w:r>
      <w:r>
        <w:rPr>
          <w:w w:val="120"/>
          <w:sz w:val="20"/>
        </w:rPr>
        <w:t>as</w:t>
      </w:r>
      <w:r>
        <w:rPr>
          <w:spacing w:val="14"/>
          <w:w w:val="120"/>
          <w:sz w:val="20"/>
        </w:rPr>
        <w:t> </w:t>
      </w:r>
      <w:r>
        <w:rPr>
          <w:spacing w:val="3"/>
          <w:w w:val="120"/>
          <w:sz w:val="20"/>
        </w:rPr>
        <w:t>the</w:t>
      </w:r>
      <w:r>
        <w:rPr>
          <w:spacing w:val="14"/>
          <w:w w:val="120"/>
          <w:sz w:val="20"/>
        </w:rPr>
        <w:t> </w:t>
      </w:r>
      <w:r>
        <w:rPr>
          <w:spacing w:val="4"/>
          <w:w w:val="120"/>
          <w:sz w:val="20"/>
        </w:rPr>
        <w:t>administration</w:t>
      </w:r>
      <w:r>
        <w:rPr>
          <w:spacing w:val="14"/>
          <w:w w:val="120"/>
          <w:sz w:val="20"/>
        </w:rPr>
        <w:t> </w:t>
      </w:r>
      <w:r>
        <w:rPr>
          <w:spacing w:val="2"/>
          <w:w w:val="120"/>
          <w:sz w:val="20"/>
        </w:rPr>
        <w:t>of</w:t>
      </w:r>
      <w:r>
        <w:rPr>
          <w:spacing w:val="14"/>
          <w:w w:val="120"/>
          <w:sz w:val="20"/>
        </w:rPr>
        <w:t> </w:t>
      </w:r>
      <w:r>
        <w:rPr>
          <w:spacing w:val="4"/>
          <w:w w:val="120"/>
          <w:sz w:val="20"/>
        </w:rPr>
        <w:t>grants</w:t>
      </w:r>
      <w:r>
        <w:rPr>
          <w:spacing w:val="14"/>
          <w:w w:val="120"/>
          <w:sz w:val="20"/>
        </w:rPr>
        <w:t> </w:t>
      </w:r>
      <w:r>
        <w:rPr>
          <w:spacing w:val="4"/>
          <w:w w:val="120"/>
          <w:sz w:val="20"/>
        </w:rPr>
        <w:t>agreed</w:t>
      </w:r>
      <w:r>
        <w:rPr>
          <w:spacing w:val="14"/>
          <w:w w:val="120"/>
          <w:sz w:val="20"/>
        </w:rPr>
        <w:t> </w:t>
      </w:r>
      <w:r>
        <w:rPr>
          <w:w w:val="120"/>
          <w:sz w:val="20"/>
        </w:rPr>
        <w:t>by</w:t>
      </w:r>
      <w:r>
        <w:rPr>
          <w:spacing w:val="14"/>
          <w:w w:val="120"/>
          <w:sz w:val="20"/>
        </w:rPr>
        <w:t> </w:t>
      </w:r>
      <w:r>
        <w:rPr>
          <w:spacing w:val="3"/>
          <w:w w:val="120"/>
          <w:sz w:val="20"/>
        </w:rPr>
        <w:t>the</w:t>
      </w:r>
      <w:r>
        <w:rPr>
          <w:spacing w:val="14"/>
          <w:w w:val="120"/>
          <w:sz w:val="20"/>
        </w:rPr>
        <w:t> </w:t>
      </w:r>
      <w:r>
        <w:rPr>
          <w:spacing w:val="3"/>
          <w:w w:val="120"/>
          <w:sz w:val="20"/>
        </w:rPr>
        <w:t>Assembly.</w:t>
      </w:r>
    </w:p>
    <w:p>
      <w:pPr>
        <w:pStyle w:val="BodyText"/>
        <w:spacing w:line="235" w:lineRule="auto" w:before="4"/>
        <w:ind w:left="1984" w:right="2394"/>
      </w:pPr>
      <w:r>
        <w:rPr>
          <w:spacing w:val="2"/>
          <w:w w:val="120"/>
        </w:rPr>
        <w:t>However, </w:t>
      </w:r>
      <w:r>
        <w:rPr>
          <w:spacing w:val="4"/>
          <w:w w:val="120"/>
        </w:rPr>
        <w:t>from </w:t>
      </w:r>
      <w:r>
        <w:rPr>
          <w:spacing w:val="3"/>
          <w:w w:val="120"/>
        </w:rPr>
        <w:t>the time when the committee was </w:t>
      </w:r>
      <w:r>
        <w:rPr>
          <w:spacing w:val="2"/>
          <w:w w:val="120"/>
        </w:rPr>
        <w:t>set </w:t>
      </w:r>
      <w:r>
        <w:rPr>
          <w:w w:val="120"/>
        </w:rPr>
        <w:t>up, </w:t>
      </w:r>
      <w:r>
        <w:rPr>
          <w:spacing w:val="4"/>
          <w:w w:val="120"/>
        </w:rPr>
        <w:t>its </w:t>
      </w:r>
      <w:r>
        <w:rPr>
          <w:spacing w:val="5"/>
          <w:w w:val="120"/>
        </w:rPr>
        <w:t>primary </w:t>
      </w:r>
      <w:r>
        <w:rPr>
          <w:spacing w:val="4"/>
          <w:w w:val="120"/>
        </w:rPr>
        <w:t>function </w:t>
      </w:r>
      <w:r>
        <w:rPr>
          <w:spacing w:val="2"/>
          <w:w w:val="120"/>
        </w:rPr>
        <w:t>has </w:t>
      </w:r>
      <w:r>
        <w:rPr>
          <w:spacing w:val="4"/>
          <w:w w:val="120"/>
        </w:rPr>
        <w:t>been </w:t>
      </w:r>
      <w:r>
        <w:rPr>
          <w:w w:val="120"/>
        </w:rPr>
        <w:t>to </w:t>
      </w:r>
      <w:r>
        <w:rPr>
          <w:spacing w:val="3"/>
          <w:w w:val="120"/>
        </w:rPr>
        <w:t>be </w:t>
      </w:r>
      <w:r>
        <w:rPr>
          <w:w w:val="120"/>
        </w:rPr>
        <w:t>a </w:t>
      </w:r>
      <w:r>
        <w:rPr>
          <w:spacing w:val="4"/>
          <w:w w:val="120"/>
        </w:rPr>
        <w:t>body </w:t>
      </w:r>
      <w:r>
        <w:rPr>
          <w:w w:val="120"/>
        </w:rPr>
        <w:t>to </w:t>
      </w:r>
      <w:r>
        <w:rPr>
          <w:spacing w:val="3"/>
          <w:w w:val="120"/>
        </w:rPr>
        <w:t>which </w:t>
      </w:r>
      <w:r>
        <w:rPr>
          <w:spacing w:val="4"/>
          <w:w w:val="120"/>
        </w:rPr>
        <w:t>pastoral problems </w:t>
      </w:r>
      <w:r>
        <w:rPr>
          <w:spacing w:val="3"/>
          <w:w w:val="120"/>
        </w:rPr>
        <w:t>that cannot be </w:t>
      </w:r>
      <w:r>
        <w:rPr>
          <w:spacing w:val="4"/>
          <w:w w:val="120"/>
        </w:rPr>
        <w:t>resolved locally </w:t>
      </w:r>
      <w:r>
        <w:rPr>
          <w:spacing w:val="2"/>
          <w:w w:val="120"/>
        </w:rPr>
        <w:t>may </w:t>
      </w:r>
      <w:r>
        <w:rPr>
          <w:spacing w:val="3"/>
          <w:w w:val="120"/>
        </w:rPr>
        <w:t>be </w:t>
      </w:r>
      <w:r>
        <w:rPr>
          <w:spacing w:val="4"/>
          <w:w w:val="120"/>
        </w:rPr>
        <w:t>referred. </w:t>
      </w:r>
      <w:r>
        <w:rPr>
          <w:spacing w:val="3"/>
          <w:w w:val="120"/>
        </w:rPr>
        <w:t>The committee </w:t>
      </w:r>
      <w:r>
        <w:rPr>
          <w:w w:val="120"/>
        </w:rPr>
        <w:t>is </w:t>
      </w:r>
      <w:r>
        <w:rPr>
          <w:spacing w:val="3"/>
          <w:w w:val="120"/>
        </w:rPr>
        <w:t>available </w:t>
      </w:r>
      <w:r>
        <w:rPr>
          <w:w w:val="120"/>
        </w:rPr>
        <w:t>to </w:t>
      </w:r>
      <w:r>
        <w:rPr>
          <w:spacing w:val="3"/>
          <w:w w:val="120"/>
        </w:rPr>
        <w:t>consider  the issues and </w:t>
      </w:r>
      <w:r>
        <w:rPr>
          <w:w w:val="120"/>
        </w:rPr>
        <w:t>to </w:t>
      </w:r>
      <w:r>
        <w:rPr>
          <w:spacing w:val="2"/>
          <w:w w:val="120"/>
        </w:rPr>
        <w:t>consult </w:t>
      </w:r>
      <w:r>
        <w:rPr>
          <w:spacing w:val="3"/>
          <w:w w:val="120"/>
        </w:rPr>
        <w:t>with the </w:t>
      </w:r>
      <w:r>
        <w:rPr>
          <w:spacing w:val="5"/>
          <w:w w:val="120"/>
        </w:rPr>
        <w:t>parties </w:t>
      </w:r>
      <w:r>
        <w:rPr>
          <w:spacing w:val="3"/>
          <w:w w:val="120"/>
        </w:rPr>
        <w:t>involved. </w:t>
      </w:r>
      <w:r>
        <w:rPr>
          <w:spacing w:val="2"/>
          <w:w w:val="120"/>
        </w:rPr>
        <w:t>It will </w:t>
      </w:r>
      <w:r>
        <w:rPr>
          <w:spacing w:val="3"/>
          <w:w w:val="120"/>
        </w:rPr>
        <w:t>seek </w:t>
      </w:r>
      <w:r>
        <w:rPr>
          <w:spacing w:val="2"/>
          <w:w w:val="120"/>
        </w:rPr>
        <w:t>ways </w:t>
      </w:r>
      <w:r>
        <w:rPr>
          <w:w w:val="120"/>
        </w:rPr>
        <w:t>to </w:t>
      </w:r>
      <w:r>
        <w:rPr>
          <w:spacing w:val="4"/>
          <w:w w:val="120"/>
        </w:rPr>
        <w:t>enable </w:t>
      </w:r>
      <w:r>
        <w:rPr>
          <w:w w:val="120"/>
        </w:rPr>
        <w:t>a  </w:t>
      </w:r>
      <w:r>
        <w:rPr>
          <w:spacing w:val="2"/>
          <w:w w:val="120"/>
        </w:rPr>
        <w:t>minister’s </w:t>
      </w:r>
      <w:r>
        <w:rPr>
          <w:spacing w:val="4"/>
          <w:w w:val="120"/>
        </w:rPr>
        <w:t>service </w:t>
      </w:r>
      <w:r>
        <w:rPr>
          <w:spacing w:val="3"/>
          <w:w w:val="120"/>
        </w:rPr>
        <w:t>within the Church </w:t>
      </w:r>
      <w:r>
        <w:rPr>
          <w:w w:val="120"/>
        </w:rPr>
        <w:t>to  </w:t>
      </w:r>
      <w:r>
        <w:rPr>
          <w:spacing w:val="3"/>
          <w:w w:val="120"/>
        </w:rPr>
        <w:t>be continued </w:t>
      </w:r>
      <w:r>
        <w:rPr>
          <w:spacing w:val="2"/>
          <w:w w:val="120"/>
        </w:rPr>
        <w:t>if </w:t>
      </w:r>
      <w:r>
        <w:rPr>
          <w:spacing w:val="3"/>
          <w:w w:val="120"/>
        </w:rPr>
        <w:t>that </w:t>
      </w:r>
      <w:r>
        <w:rPr>
          <w:w w:val="120"/>
        </w:rPr>
        <w:t>is  </w:t>
      </w:r>
      <w:r>
        <w:rPr>
          <w:spacing w:val="3"/>
          <w:w w:val="120"/>
        </w:rPr>
        <w:t>seen </w:t>
      </w:r>
      <w:r>
        <w:rPr>
          <w:w w:val="120"/>
        </w:rPr>
        <w:t>to </w:t>
      </w:r>
      <w:r>
        <w:rPr>
          <w:spacing w:val="3"/>
          <w:w w:val="120"/>
        </w:rPr>
        <w:t>be appropriate. </w:t>
      </w:r>
      <w:r>
        <w:rPr>
          <w:spacing w:val="-5"/>
          <w:w w:val="120"/>
        </w:rPr>
        <w:t>To </w:t>
      </w:r>
      <w:r>
        <w:rPr>
          <w:spacing w:val="2"/>
          <w:w w:val="120"/>
        </w:rPr>
        <w:t>this </w:t>
      </w:r>
      <w:r>
        <w:rPr>
          <w:spacing w:val="3"/>
          <w:w w:val="120"/>
        </w:rPr>
        <w:t>end </w:t>
      </w:r>
      <w:r>
        <w:rPr>
          <w:w w:val="120"/>
        </w:rPr>
        <w:t>it </w:t>
      </w:r>
      <w:r>
        <w:rPr>
          <w:spacing w:val="2"/>
          <w:w w:val="120"/>
        </w:rPr>
        <w:t>may </w:t>
      </w:r>
      <w:r>
        <w:rPr>
          <w:spacing w:val="3"/>
          <w:w w:val="120"/>
        </w:rPr>
        <w:t>consider some financial </w:t>
      </w:r>
      <w:r>
        <w:rPr>
          <w:spacing w:val="5"/>
          <w:w w:val="120"/>
        </w:rPr>
        <w:t>support </w:t>
      </w:r>
      <w:r>
        <w:rPr>
          <w:spacing w:val="3"/>
          <w:w w:val="120"/>
        </w:rPr>
        <w:t>for courses </w:t>
      </w:r>
      <w:r>
        <w:rPr>
          <w:spacing w:val="2"/>
          <w:w w:val="120"/>
        </w:rPr>
        <w:t>of </w:t>
      </w:r>
      <w:r>
        <w:rPr>
          <w:spacing w:val="4"/>
          <w:w w:val="120"/>
        </w:rPr>
        <w:t>re-training, therapy </w:t>
      </w:r>
      <w:r>
        <w:rPr>
          <w:spacing w:val="2"/>
          <w:w w:val="120"/>
        </w:rPr>
        <w:t>or </w:t>
      </w:r>
      <w:r>
        <w:rPr>
          <w:spacing w:val="3"/>
          <w:w w:val="120"/>
        </w:rPr>
        <w:t>counselling. The </w:t>
      </w:r>
      <w:r>
        <w:rPr>
          <w:spacing w:val="2"/>
          <w:w w:val="120"/>
        </w:rPr>
        <w:t>committee’s </w:t>
      </w:r>
      <w:r>
        <w:rPr>
          <w:spacing w:val="3"/>
          <w:w w:val="120"/>
        </w:rPr>
        <w:t>work </w:t>
      </w:r>
      <w:r>
        <w:rPr>
          <w:w w:val="120"/>
        </w:rPr>
        <w:t>is </w:t>
      </w:r>
      <w:r>
        <w:rPr>
          <w:spacing w:val="3"/>
          <w:w w:val="120"/>
        </w:rPr>
        <w:t>always totally</w:t>
      </w:r>
      <w:r>
        <w:rPr>
          <w:spacing w:val="18"/>
          <w:w w:val="120"/>
        </w:rPr>
        <w:t> </w:t>
      </w:r>
      <w:r>
        <w:rPr>
          <w:spacing w:val="3"/>
          <w:w w:val="120"/>
        </w:rPr>
        <w:t>confidential.</w:t>
      </w:r>
    </w:p>
    <w:p>
      <w:pPr>
        <w:pStyle w:val="BodyText"/>
        <w:spacing w:before="1"/>
      </w:pPr>
    </w:p>
    <w:p>
      <w:pPr>
        <w:pStyle w:val="ListParagraph"/>
        <w:numPr>
          <w:ilvl w:val="0"/>
          <w:numId w:val="149"/>
        </w:numPr>
        <w:tabs>
          <w:tab w:pos="2664" w:val="left" w:leader="none"/>
          <w:tab w:pos="2665" w:val="left" w:leader="none"/>
        </w:tabs>
        <w:spacing w:line="235" w:lineRule="auto" w:before="1" w:after="0"/>
        <w:ind w:left="1984" w:right="2369" w:firstLine="0"/>
        <w:jc w:val="left"/>
        <w:rPr>
          <w:sz w:val="20"/>
        </w:rPr>
      </w:pPr>
      <w:r>
        <w:rPr>
          <w:spacing w:val="4"/>
          <w:w w:val="120"/>
          <w:sz w:val="20"/>
        </w:rPr>
        <w:t>During </w:t>
      </w:r>
      <w:r>
        <w:rPr>
          <w:spacing w:val="3"/>
          <w:w w:val="120"/>
          <w:sz w:val="20"/>
        </w:rPr>
        <w:t>the </w:t>
      </w:r>
      <w:r>
        <w:rPr>
          <w:spacing w:val="4"/>
          <w:w w:val="120"/>
          <w:sz w:val="20"/>
        </w:rPr>
        <w:t>past two </w:t>
      </w:r>
      <w:r>
        <w:rPr>
          <w:spacing w:val="3"/>
          <w:w w:val="120"/>
          <w:sz w:val="20"/>
        </w:rPr>
        <w:t>years the committee </w:t>
      </w:r>
      <w:r>
        <w:rPr>
          <w:spacing w:val="2"/>
          <w:w w:val="120"/>
          <w:sz w:val="20"/>
        </w:rPr>
        <w:t>has </w:t>
      </w:r>
      <w:r>
        <w:rPr>
          <w:spacing w:val="3"/>
          <w:w w:val="120"/>
          <w:sz w:val="20"/>
        </w:rPr>
        <w:t>reviewed </w:t>
      </w:r>
      <w:r>
        <w:rPr>
          <w:spacing w:val="4"/>
          <w:w w:val="120"/>
          <w:sz w:val="20"/>
        </w:rPr>
        <w:t>its </w:t>
      </w:r>
      <w:r>
        <w:rPr>
          <w:spacing w:val="3"/>
          <w:w w:val="120"/>
          <w:sz w:val="20"/>
        </w:rPr>
        <w:t>role. Initially </w:t>
      </w:r>
      <w:r>
        <w:rPr>
          <w:spacing w:val="2"/>
          <w:w w:val="120"/>
          <w:sz w:val="20"/>
        </w:rPr>
        <w:t>this </w:t>
      </w:r>
      <w:r>
        <w:rPr>
          <w:spacing w:val="3"/>
          <w:w w:val="120"/>
          <w:sz w:val="20"/>
        </w:rPr>
        <w:t>was </w:t>
      </w:r>
      <w:r>
        <w:rPr>
          <w:spacing w:val="5"/>
          <w:w w:val="120"/>
          <w:sz w:val="20"/>
        </w:rPr>
        <w:t>partly </w:t>
      </w:r>
      <w:r>
        <w:rPr>
          <w:spacing w:val="3"/>
          <w:w w:val="120"/>
          <w:sz w:val="20"/>
        </w:rPr>
        <w:t>because the </w:t>
      </w:r>
      <w:r>
        <w:rPr>
          <w:spacing w:val="4"/>
          <w:w w:val="120"/>
          <w:sz w:val="20"/>
        </w:rPr>
        <w:t>number </w:t>
      </w:r>
      <w:r>
        <w:rPr>
          <w:spacing w:val="2"/>
          <w:w w:val="120"/>
          <w:sz w:val="20"/>
        </w:rPr>
        <w:t>of </w:t>
      </w:r>
      <w:r>
        <w:rPr>
          <w:spacing w:val="4"/>
          <w:w w:val="120"/>
          <w:sz w:val="20"/>
        </w:rPr>
        <w:t>pastoral </w:t>
      </w:r>
      <w:r>
        <w:rPr>
          <w:spacing w:val="3"/>
          <w:w w:val="120"/>
          <w:sz w:val="20"/>
        </w:rPr>
        <w:t>situations </w:t>
      </w:r>
      <w:r>
        <w:rPr>
          <w:spacing w:val="4"/>
          <w:w w:val="120"/>
          <w:sz w:val="20"/>
        </w:rPr>
        <w:t>referred </w:t>
      </w:r>
      <w:r>
        <w:rPr>
          <w:spacing w:val="3"/>
          <w:w w:val="120"/>
          <w:sz w:val="20"/>
        </w:rPr>
        <w:t>had </w:t>
      </w:r>
      <w:r>
        <w:rPr>
          <w:spacing w:val="4"/>
          <w:w w:val="120"/>
          <w:sz w:val="20"/>
        </w:rPr>
        <w:t>significantly </w:t>
      </w:r>
      <w:r>
        <w:rPr>
          <w:spacing w:val="3"/>
          <w:w w:val="120"/>
          <w:sz w:val="20"/>
        </w:rPr>
        <w:t>reduced. </w:t>
      </w:r>
      <w:r>
        <w:rPr>
          <w:spacing w:val="2"/>
          <w:w w:val="120"/>
          <w:sz w:val="20"/>
        </w:rPr>
        <w:t>However, </w:t>
      </w:r>
      <w:r>
        <w:rPr>
          <w:spacing w:val="4"/>
          <w:w w:val="120"/>
          <w:sz w:val="20"/>
        </w:rPr>
        <w:t>there </w:t>
      </w:r>
      <w:r>
        <w:rPr>
          <w:spacing w:val="2"/>
          <w:w w:val="120"/>
          <w:sz w:val="20"/>
        </w:rPr>
        <w:t>has </w:t>
      </w:r>
      <w:r>
        <w:rPr>
          <w:spacing w:val="4"/>
          <w:w w:val="120"/>
          <w:sz w:val="20"/>
        </w:rPr>
        <w:t>been </w:t>
      </w:r>
      <w:r>
        <w:rPr>
          <w:spacing w:val="3"/>
          <w:w w:val="120"/>
          <w:sz w:val="20"/>
        </w:rPr>
        <w:t>consultation with the </w:t>
      </w:r>
      <w:r>
        <w:rPr>
          <w:spacing w:val="4"/>
          <w:w w:val="120"/>
          <w:sz w:val="20"/>
        </w:rPr>
        <w:t>moderators’ </w:t>
      </w:r>
      <w:r>
        <w:rPr>
          <w:spacing w:val="3"/>
          <w:w w:val="120"/>
          <w:sz w:val="20"/>
        </w:rPr>
        <w:t>meeting </w:t>
      </w:r>
      <w:r>
        <w:rPr>
          <w:w w:val="120"/>
          <w:sz w:val="20"/>
        </w:rPr>
        <w:t>to  </w:t>
      </w:r>
      <w:r>
        <w:rPr>
          <w:spacing w:val="4"/>
          <w:w w:val="120"/>
          <w:sz w:val="20"/>
        </w:rPr>
        <w:t>explore </w:t>
      </w:r>
      <w:r>
        <w:rPr>
          <w:spacing w:val="3"/>
          <w:w w:val="120"/>
          <w:sz w:val="20"/>
        </w:rPr>
        <w:t>possible areas </w:t>
      </w:r>
      <w:r>
        <w:rPr>
          <w:spacing w:val="2"/>
          <w:w w:val="120"/>
          <w:sz w:val="20"/>
        </w:rPr>
        <w:t>of  </w:t>
      </w:r>
      <w:r>
        <w:rPr>
          <w:spacing w:val="3"/>
          <w:w w:val="120"/>
          <w:sz w:val="20"/>
        </w:rPr>
        <w:t>closer </w:t>
      </w:r>
      <w:r>
        <w:rPr>
          <w:spacing w:val="4"/>
          <w:w w:val="120"/>
          <w:sz w:val="20"/>
        </w:rPr>
        <w:t>cooperation. </w:t>
      </w:r>
      <w:r>
        <w:rPr>
          <w:spacing w:val="5"/>
          <w:w w:val="120"/>
          <w:sz w:val="20"/>
        </w:rPr>
        <w:t>As  </w:t>
      </w:r>
      <w:r>
        <w:rPr>
          <w:w w:val="120"/>
          <w:sz w:val="20"/>
        </w:rPr>
        <w:t>a</w:t>
      </w:r>
      <w:r>
        <w:rPr>
          <w:spacing w:val="10"/>
          <w:w w:val="120"/>
          <w:sz w:val="20"/>
        </w:rPr>
        <w:t> </w:t>
      </w:r>
      <w:r>
        <w:rPr>
          <w:spacing w:val="3"/>
          <w:w w:val="120"/>
          <w:sz w:val="20"/>
        </w:rPr>
        <w:t>result</w:t>
      </w:r>
      <w:r>
        <w:rPr>
          <w:spacing w:val="10"/>
          <w:w w:val="120"/>
          <w:sz w:val="20"/>
        </w:rPr>
        <w:t> </w:t>
      </w:r>
      <w:r>
        <w:rPr>
          <w:spacing w:val="4"/>
          <w:w w:val="120"/>
          <w:sz w:val="20"/>
        </w:rPr>
        <w:t>several</w:t>
      </w:r>
      <w:r>
        <w:rPr>
          <w:spacing w:val="10"/>
          <w:w w:val="120"/>
          <w:sz w:val="20"/>
        </w:rPr>
        <w:t> </w:t>
      </w:r>
      <w:r>
        <w:rPr>
          <w:spacing w:val="3"/>
          <w:w w:val="120"/>
          <w:sz w:val="20"/>
        </w:rPr>
        <w:t>new</w:t>
      </w:r>
      <w:r>
        <w:rPr>
          <w:spacing w:val="11"/>
          <w:w w:val="120"/>
          <w:sz w:val="20"/>
        </w:rPr>
        <w:t> </w:t>
      </w:r>
      <w:r>
        <w:rPr>
          <w:spacing w:val="4"/>
          <w:w w:val="120"/>
          <w:sz w:val="20"/>
        </w:rPr>
        <w:t>referrals</w:t>
      </w:r>
      <w:r>
        <w:rPr>
          <w:spacing w:val="10"/>
          <w:w w:val="120"/>
          <w:sz w:val="20"/>
        </w:rPr>
        <w:t> </w:t>
      </w:r>
      <w:r>
        <w:rPr>
          <w:spacing w:val="2"/>
          <w:w w:val="120"/>
          <w:sz w:val="20"/>
        </w:rPr>
        <w:t>have</w:t>
      </w:r>
      <w:r>
        <w:rPr>
          <w:spacing w:val="10"/>
          <w:w w:val="120"/>
          <w:sz w:val="20"/>
        </w:rPr>
        <w:t> </w:t>
      </w:r>
      <w:r>
        <w:rPr>
          <w:spacing w:val="4"/>
          <w:w w:val="120"/>
          <w:sz w:val="20"/>
        </w:rPr>
        <w:t>been</w:t>
      </w:r>
      <w:r>
        <w:rPr>
          <w:spacing w:val="10"/>
          <w:w w:val="120"/>
          <w:sz w:val="20"/>
        </w:rPr>
        <w:t> </w:t>
      </w:r>
      <w:r>
        <w:rPr>
          <w:spacing w:val="3"/>
          <w:w w:val="120"/>
          <w:sz w:val="20"/>
        </w:rPr>
        <w:t>received,</w:t>
      </w:r>
      <w:r>
        <w:rPr>
          <w:spacing w:val="11"/>
          <w:w w:val="120"/>
          <w:sz w:val="20"/>
        </w:rPr>
        <w:t> </w:t>
      </w:r>
      <w:r>
        <w:rPr>
          <w:spacing w:val="3"/>
          <w:w w:val="120"/>
          <w:sz w:val="20"/>
        </w:rPr>
        <w:t>showing</w:t>
      </w:r>
      <w:r>
        <w:rPr>
          <w:spacing w:val="10"/>
          <w:w w:val="120"/>
          <w:sz w:val="20"/>
        </w:rPr>
        <w:t> </w:t>
      </w:r>
      <w:r>
        <w:rPr>
          <w:spacing w:val="3"/>
          <w:w w:val="120"/>
          <w:sz w:val="20"/>
        </w:rPr>
        <w:t>the</w:t>
      </w:r>
      <w:r>
        <w:rPr>
          <w:spacing w:val="10"/>
          <w:w w:val="120"/>
          <w:sz w:val="20"/>
        </w:rPr>
        <w:t> </w:t>
      </w:r>
      <w:r>
        <w:rPr>
          <w:spacing w:val="3"/>
          <w:w w:val="120"/>
          <w:sz w:val="20"/>
        </w:rPr>
        <w:t>value</w:t>
      </w:r>
      <w:r>
        <w:rPr>
          <w:spacing w:val="10"/>
          <w:w w:val="120"/>
          <w:sz w:val="20"/>
        </w:rPr>
        <w:t> </w:t>
      </w:r>
      <w:r>
        <w:rPr>
          <w:spacing w:val="2"/>
          <w:w w:val="120"/>
          <w:sz w:val="20"/>
        </w:rPr>
        <w:t>of</w:t>
      </w:r>
    </w:p>
    <w:p>
      <w:pPr>
        <w:pStyle w:val="BodyText"/>
        <w:spacing w:line="235" w:lineRule="auto" w:before="3"/>
        <w:ind w:left="1984" w:right="2394"/>
      </w:pPr>
      <w:r>
        <w:rPr>
          <w:w w:val="120"/>
        </w:rPr>
        <w:t>having a body which brings a more objective view of a conflict that seems intractable to those most closely involved. With that said, PRWC is advisory and has no authority to determine any minister’s future within the Church.</w:t>
      </w:r>
    </w:p>
    <w:p>
      <w:pPr>
        <w:pStyle w:val="BodyText"/>
        <w:spacing w:before="6"/>
        <w:rPr>
          <w:sz w:val="19"/>
        </w:rPr>
      </w:pPr>
    </w:p>
    <w:p>
      <w:pPr>
        <w:pStyle w:val="ListParagraph"/>
        <w:numPr>
          <w:ilvl w:val="0"/>
          <w:numId w:val="149"/>
        </w:numPr>
        <w:tabs>
          <w:tab w:pos="2664" w:val="left" w:leader="none"/>
          <w:tab w:pos="2665" w:val="left" w:leader="none"/>
        </w:tabs>
        <w:spacing w:line="242" w:lineRule="exact" w:before="1" w:after="0"/>
        <w:ind w:left="2664" w:right="0" w:hanging="681"/>
        <w:jc w:val="left"/>
        <w:rPr>
          <w:sz w:val="20"/>
        </w:rPr>
      </w:pPr>
      <w:r>
        <w:rPr>
          <w:spacing w:val="3"/>
          <w:w w:val="120"/>
          <w:sz w:val="20"/>
        </w:rPr>
        <w:t>One</w:t>
      </w:r>
      <w:r>
        <w:rPr>
          <w:spacing w:val="11"/>
          <w:w w:val="120"/>
          <w:sz w:val="20"/>
        </w:rPr>
        <w:t> </w:t>
      </w:r>
      <w:r>
        <w:rPr>
          <w:spacing w:val="2"/>
          <w:w w:val="120"/>
          <w:sz w:val="20"/>
        </w:rPr>
        <w:t>of</w:t>
      </w:r>
      <w:r>
        <w:rPr>
          <w:spacing w:val="11"/>
          <w:w w:val="120"/>
          <w:sz w:val="20"/>
        </w:rPr>
        <w:t> </w:t>
      </w:r>
      <w:r>
        <w:rPr>
          <w:spacing w:val="3"/>
          <w:w w:val="120"/>
          <w:sz w:val="20"/>
        </w:rPr>
        <w:t>the</w:t>
      </w:r>
      <w:r>
        <w:rPr>
          <w:spacing w:val="11"/>
          <w:w w:val="120"/>
          <w:sz w:val="20"/>
        </w:rPr>
        <w:t> </w:t>
      </w:r>
      <w:r>
        <w:rPr>
          <w:w w:val="120"/>
          <w:sz w:val="20"/>
        </w:rPr>
        <w:t>key</w:t>
      </w:r>
      <w:r>
        <w:rPr>
          <w:spacing w:val="12"/>
          <w:w w:val="120"/>
          <w:sz w:val="20"/>
        </w:rPr>
        <w:t> </w:t>
      </w:r>
      <w:r>
        <w:rPr>
          <w:spacing w:val="4"/>
          <w:w w:val="120"/>
          <w:sz w:val="20"/>
        </w:rPr>
        <w:t>questions</w:t>
      </w:r>
      <w:r>
        <w:rPr>
          <w:spacing w:val="11"/>
          <w:w w:val="120"/>
          <w:sz w:val="20"/>
        </w:rPr>
        <w:t> </w:t>
      </w:r>
      <w:r>
        <w:rPr>
          <w:w w:val="120"/>
          <w:sz w:val="20"/>
        </w:rPr>
        <w:t>to</w:t>
      </w:r>
      <w:r>
        <w:rPr>
          <w:spacing w:val="11"/>
          <w:w w:val="120"/>
          <w:sz w:val="20"/>
        </w:rPr>
        <w:t> </w:t>
      </w:r>
      <w:r>
        <w:rPr>
          <w:spacing w:val="2"/>
          <w:w w:val="120"/>
          <w:sz w:val="20"/>
        </w:rPr>
        <w:t>have</w:t>
      </w:r>
      <w:r>
        <w:rPr>
          <w:spacing w:val="11"/>
          <w:w w:val="120"/>
          <w:sz w:val="20"/>
        </w:rPr>
        <w:t> </w:t>
      </w:r>
      <w:r>
        <w:rPr>
          <w:spacing w:val="4"/>
          <w:w w:val="120"/>
          <w:sz w:val="20"/>
        </w:rPr>
        <w:t>been</w:t>
      </w:r>
      <w:r>
        <w:rPr>
          <w:spacing w:val="12"/>
          <w:w w:val="120"/>
          <w:sz w:val="20"/>
        </w:rPr>
        <w:t> </w:t>
      </w:r>
      <w:r>
        <w:rPr>
          <w:spacing w:val="4"/>
          <w:w w:val="120"/>
          <w:sz w:val="20"/>
        </w:rPr>
        <w:t>raised</w:t>
      </w:r>
      <w:r>
        <w:rPr>
          <w:spacing w:val="11"/>
          <w:w w:val="120"/>
          <w:sz w:val="20"/>
        </w:rPr>
        <w:t> </w:t>
      </w:r>
      <w:r>
        <w:rPr>
          <w:w w:val="120"/>
          <w:sz w:val="20"/>
        </w:rPr>
        <w:t>in</w:t>
      </w:r>
      <w:r>
        <w:rPr>
          <w:spacing w:val="11"/>
          <w:w w:val="120"/>
          <w:sz w:val="20"/>
        </w:rPr>
        <w:t> </w:t>
      </w:r>
      <w:r>
        <w:rPr>
          <w:spacing w:val="3"/>
          <w:w w:val="120"/>
          <w:sz w:val="20"/>
        </w:rPr>
        <w:t>recent</w:t>
      </w:r>
      <w:r>
        <w:rPr>
          <w:spacing w:val="11"/>
          <w:w w:val="120"/>
          <w:sz w:val="20"/>
        </w:rPr>
        <w:t> </w:t>
      </w:r>
      <w:r>
        <w:rPr>
          <w:spacing w:val="3"/>
          <w:w w:val="120"/>
          <w:sz w:val="20"/>
        </w:rPr>
        <w:t>months</w:t>
      </w:r>
      <w:r>
        <w:rPr>
          <w:spacing w:val="12"/>
          <w:w w:val="120"/>
          <w:sz w:val="20"/>
        </w:rPr>
        <w:t> </w:t>
      </w:r>
      <w:r>
        <w:rPr>
          <w:w w:val="120"/>
          <w:sz w:val="20"/>
        </w:rPr>
        <w:t>is</w:t>
      </w:r>
    </w:p>
    <w:p>
      <w:pPr>
        <w:pStyle w:val="BodyText"/>
        <w:spacing w:line="235" w:lineRule="auto" w:before="1"/>
        <w:ind w:left="1984" w:right="2394"/>
      </w:pPr>
      <w:r>
        <w:rPr>
          <w:w w:val="120"/>
        </w:rPr>
        <w:t>– where in the URC is there a ‘pastoral think-tank’? Increasingly, broader issues have emerged that have revealed gaps in the way the Church can respond to particular situations of pastoral breakdown. The committee and Church officers are exploring ways in which these challenges can</w:t>
      </w:r>
    </w:p>
    <w:p>
      <w:pPr>
        <w:pStyle w:val="BodyText"/>
        <w:spacing w:line="243" w:lineRule="exact"/>
        <w:ind w:left="1984"/>
      </w:pPr>
      <w:r>
        <w:rPr>
          <w:w w:val="120"/>
        </w:rPr>
        <w:t>be met.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7"/>
        </w:rPr>
      </w:pPr>
    </w:p>
    <w:p>
      <w:pPr>
        <w:tabs>
          <w:tab w:pos="10630" w:val="left" w:leader="none"/>
        </w:tabs>
        <w:spacing w:before="96"/>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189</w:t>
      </w:r>
    </w:p>
    <w:p>
      <w:pPr>
        <w:spacing w:after="0"/>
        <w:jc w:val="left"/>
        <w:rPr>
          <w:rFonts w:ascii="Stone Sans II ITC Std X Bd" w:hAnsi="Stone Sans II ITC Std X Bd"/>
          <w:sz w:val="24"/>
        </w:rPr>
        <w:sectPr>
          <w:headerReference w:type="default" r:id="rId486"/>
          <w:footerReference w:type="default" r:id="rId487"/>
          <w:pgSz w:w="11910" w:h="16840"/>
          <w:pgMar w:header="0" w:footer="0" w:top="1460" w:bottom="280" w:left="0" w:right="0"/>
        </w:sectPr>
      </w:pPr>
    </w:p>
    <w:p>
      <w:pPr>
        <w:pStyle w:val="BodyText"/>
        <w:ind w:left="240"/>
        <w:rPr>
          <w:rFonts w:ascii="Stone Sans II ITC Std X Bd"/>
        </w:rPr>
      </w:pPr>
      <w:r>
        <w:rPr/>
        <w:pict>
          <v:shape style="position:absolute;margin-left:39.685001pt;margin-top:799.537903pt;width:321.8pt;height:15.15pt;mso-position-horizontal-relative:page;mso-position-vertical-relative:page;z-index:-267191296" type="#_x0000_t202" filled="false" stroked="false">
            <v:textbox inset="0,0,0,0">
              <w:txbxContent>
                <w:p>
                  <w:pPr>
                    <w:tabs>
                      <w:tab w:pos="736" w:val="left" w:leader="none"/>
                    </w:tabs>
                    <w:spacing w:line="302" w:lineRule="exact" w:before="0"/>
                    <w:ind w:left="0" w:right="0" w:firstLine="0"/>
                    <w:jc w:val="left"/>
                    <w:rPr>
                      <w:sz w:val="23"/>
                    </w:rPr>
                  </w:pPr>
                  <w:r>
                    <w:rPr>
                      <w:rFonts w:ascii="Stone Sans II ITC Std X Bd" w:hAnsi="Stone Sans II ITC Std X Bd"/>
                      <w:b/>
                      <w:w w:val="110"/>
                      <w:sz w:val="24"/>
                    </w:rPr>
                    <w:t>190</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38"/>
                      <w:w w:val="110"/>
                      <w:sz w:val="23"/>
                    </w:rPr>
                    <w:t> </w:t>
                  </w:r>
                  <w:r>
                    <w:rPr>
                      <w:color w:val="8BA8BD"/>
                      <w:spacing w:val="-68"/>
                      <w:w w:val="110"/>
                      <w:sz w:val="23"/>
                    </w:rPr>
                    <w:t>2010</w:t>
                  </w:r>
                </w:p>
              </w:txbxContent>
            </v:textbox>
            <w10:wrap type="none"/>
          </v:shape>
        </w:pict>
      </w:r>
      <w:r>
        <w:rPr/>
        <w:pict>
          <v:group style="position:absolute;margin-left:0pt;margin-top:320.347626pt;width:595.3pt;height:521.5500pt;mso-position-horizontal-relative:page;mso-position-vertical-relative:page;z-index:-267188224" coordorigin="0,6407" coordsize="11906,10431">
            <v:shape style="position:absolute;left:0;top:6406;width:11906;height:10431" coordorigin="0,6407" coordsize="11906,10431" path="m11906,6410l11904,6486,11898,6561,11889,6635,11877,6708,11861,6779,11842,6850,11819,6919,11794,6986,11765,7052,11734,7116,11699,7179,11662,7240,11623,7299,11580,7355,11535,7410,11488,7463,11438,7513,11386,7561,11332,7607,11276,7650,11217,7691,11157,7729,11095,7764,11031,7796,10966,7826,10899,7852,10830,7876,10761,7896,10689,7913,10662,7918,0,7918,0,16838,11906,16838,11906,7946,11906,7918,11906,6410m11906,6407l11905,6407,11906,6409,11906,6407e" filled="true" fillcolor="#8ba8bd" stroked="false">
              <v:path arrowok="t"/>
              <v:fill type="solid"/>
            </v:shape>
            <v:rect style="position:absolute;left:0;top:7009;width:7741;height:9829" filled="true" fillcolor="#000000" stroked="false">
              <v:fill opacity="29491f" type="solid"/>
            </v:rect>
            <v:shape style="position:absolute;left:0;top:7067;width:7431;height:9771" type="#_x0000_t75" stroked="false">
              <v:imagedata r:id="rId490" o:title=""/>
            </v:shape>
            <v:rect style="position:absolute;left:6670;top:10524;width:4868;height:3384" filled="true" fillcolor="#000000" stroked="false">
              <v:fill opacity="30801f" type="solid"/>
            </v:rect>
            <v:shape style="position:absolute;left:6733;top:10587;width:4477;height:2997" type="#_x0000_t75" stroked="false">
              <v:imagedata r:id="rId491" o:title=""/>
            </v:shape>
            <v:shape style="position:absolute;left:6733;top:10587;width:4477;height:2997" coordorigin="6733,10587" coordsize="4477,2997" path="m11209,12616l11209,10587,7657,10587,7580,10600,7506,10619,7433,10642,7363,10670,7296,10703,7231,10740,7169,10781,7110,10827,7054,10876,7002,10929,6953,10985,6909,11044,6868,11107,6832,11172,6800,11241,6773,11311,6750,11384,6733,11459,6733,13584,10245,13584,10322,13575,10396,13560,10469,13540,10539,13516,10607,13486,10672,13453,10735,13415,10795,13372,10851,13326,10905,13276,10954,13223,11000,13166,11042,13106,11080,13044,11114,12978,11143,12910,11167,12840,11186,12767,11201,12692,11209,12616xe" filled="false" stroked="true" strokeweight=".461pt" strokecolor="#271f24">
              <v:path arrowok="t"/>
              <v:stroke dashstyle="solid"/>
            </v:shape>
            <w10:wrap type="none"/>
          </v:group>
        </w:pict>
      </w:r>
      <w:r>
        <w:rPr>
          <w:rFonts w:ascii="Stone Sans II ITC Std X Bd"/>
        </w:rPr>
        <w:pict>
          <v:group style="width:22.7pt;height:22.7pt;mso-position-horizontal-relative:char;mso-position-vertical-relative:line" coordorigin="0,0" coordsize="454,454">
            <v:rect style="position:absolute;left:0;top:0;width:454;height:454" filled="true" fillcolor="#8ba8bd"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233728" filled="true" fillcolor="#c2d2df" stroked="false">
            <v:fill type="solid"/>
            <w10:wrap type="none"/>
          </v:rect>
        </w:pict>
      </w:r>
      <w:r>
        <w:rPr>
          <w:color w:val="8BA8BD"/>
          <w:w w:val="110"/>
          <w:sz w:val="26"/>
        </w:rPr>
        <w:t>Pastoral Reference and Welfare</w:t>
      </w:r>
    </w:p>
    <w:p>
      <w:pPr>
        <w:pStyle w:val="ListParagraph"/>
        <w:numPr>
          <w:ilvl w:val="0"/>
          <w:numId w:val="149"/>
        </w:numPr>
        <w:tabs>
          <w:tab w:pos="1814" w:val="left" w:leader="none"/>
          <w:tab w:pos="1815" w:val="left" w:leader="none"/>
        </w:tabs>
        <w:spacing w:line="235" w:lineRule="auto" w:before="221" w:after="0"/>
        <w:ind w:left="1133" w:right="2046" w:firstLine="0"/>
        <w:jc w:val="left"/>
        <w:rPr>
          <w:sz w:val="20"/>
        </w:rPr>
      </w:pPr>
      <w:r>
        <w:rPr/>
        <w:pict>
          <v:rect style="position:absolute;margin-left:12.047pt;margin-top:14.177342pt;width:22.677pt;height:22.677pt;mso-position-horizontal-relative:page;mso-position-vertical-relative:paragraph;z-index:252234752" filled="true" fillcolor="#dae4ec" stroked="false">
            <v:fill opacity="32768f" type="solid"/>
            <w10:wrap type="none"/>
          </v:rect>
        </w:pict>
      </w:r>
      <w:r>
        <w:rPr>
          <w:w w:val="120"/>
          <w:sz w:val="20"/>
        </w:rPr>
        <w:t>When the Sexual Ethics Advisory Group came into being, one of the proposals agreed was the setting up of a Pastoral Response </w:t>
      </w:r>
      <w:r>
        <w:rPr>
          <w:spacing w:val="-4"/>
          <w:w w:val="120"/>
          <w:sz w:val="20"/>
        </w:rPr>
        <w:t>Team </w:t>
      </w:r>
      <w:r>
        <w:rPr>
          <w:w w:val="120"/>
          <w:sz w:val="20"/>
        </w:rPr>
        <w:t>that would be available to support congregations that have been through some specific trauma. Training for this programme took place in the latter months of 2009. The oversight of the work and development of the team has been given to PRWC, which will receive regular </w:t>
      </w:r>
      <w:r>
        <w:rPr>
          <w:spacing w:val="2"/>
          <w:w w:val="120"/>
          <w:sz w:val="20"/>
        </w:rPr>
        <w:t>reports </w:t>
      </w:r>
      <w:r>
        <w:rPr>
          <w:w w:val="120"/>
          <w:sz w:val="20"/>
        </w:rPr>
        <w:t>and give support to the</w:t>
      </w:r>
      <w:r>
        <w:rPr>
          <w:spacing w:val="8"/>
          <w:w w:val="120"/>
          <w:sz w:val="20"/>
        </w:rPr>
        <w:t> </w:t>
      </w:r>
      <w:r>
        <w:rPr>
          <w:w w:val="120"/>
          <w:sz w:val="20"/>
        </w:rPr>
        <w:t>coordinator.</w:t>
      </w:r>
    </w:p>
    <w:p>
      <w:pPr>
        <w:pStyle w:val="BodyText"/>
      </w:pPr>
    </w:p>
    <w:p>
      <w:pPr>
        <w:pStyle w:val="ListParagraph"/>
        <w:numPr>
          <w:ilvl w:val="0"/>
          <w:numId w:val="149"/>
        </w:numPr>
        <w:tabs>
          <w:tab w:pos="1814" w:val="left" w:leader="none"/>
          <w:tab w:pos="1815" w:val="left" w:leader="none"/>
        </w:tabs>
        <w:spacing w:line="235" w:lineRule="auto" w:before="0" w:after="0"/>
        <w:ind w:left="1133" w:right="2173" w:firstLine="0"/>
        <w:jc w:val="left"/>
        <w:rPr>
          <w:sz w:val="20"/>
        </w:rPr>
      </w:pPr>
      <w:r>
        <w:rPr>
          <w:w w:val="120"/>
          <w:sz w:val="20"/>
        </w:rPr>
        <w:t>We continue to commend the work of the Churches Ministerial Counselling </w:t>
      </w:r>
      <w:r>
        <w:rPr>
          <w:spacing w:val="3"/>
          <w:w w:val="120"/>
          <w:sz w:val="20"/>
        </w:rPr>
        <w:t>Service </w:t>
      </w:r>
      <w:r>
        <w:rPr>
          <w:spacing w:val="2"/>
          <w:w w:val="120"/>
          <w:sz w:val="20"/>
        </w:rPr>
        <w:t>from </w:t>
      </w:r>
      <w:r>
        <w:rPr>
          <w:w w:val="120"/>
          <w:sz w:val="20"/>
        </w:rPr>
        <w:t>which ministers – in </w:t>
      </w:r>
      <w:r>
        <w:rPr>
          <w:spacing w:val="2"/>
          <w:w w:val="120"/>
          <w:sz w:val="20"/>
        </w:rPr>
        <w:t>active service, </w:t>
      </w:r>
      <w:r>
        <w:rPr>
          <w:w w:val="120"/>
          <w:sz w:val="20"/>
        </w:rPr>
        <w:t>in </w:t>
      </w:r>
      <w:r>
        <w:rPr>
          <w:spacing w:val="2"/>
          <w:w w:val="120"/>
          <w:sz w:val="20"/>
        </w:rPr>
        <w:t>training </w:t>
      </w:r>
      <w:r>
        <w:rPr>
          <w:w w:val="120"/>
          <w:sz w:val="20"/>
        </w:rPr>
        <w:t>or in retirement – and   their families can receive completely confidential </w:t>
      </w:r>
      <w:r>
        <w:rPr>
          <w:spacing w:val="3"/>
          <w:w w:val="120"/>
          <w:sz w:val="20"/>
        </w:rPr>
        <w:t>support. </w:t>
      </w:r>
      <w:r>
        <w:rPr>
          <w:spacing w:val="2"/>
          <w:w w:val="120"/>
          <w:sz w:val="20"/>
        </w:rPr>
        <w:t>The </w:t>
      </w:r>
      <w:r>
        <w:rPr>
          <w:w w:val="120"/>
          <w:sz w:val="20"/>
        </w:rPr>
        <w:t>Church pays for this </w:t>
      </w:r>
      <w:r>
        <w:rPr>
          <w:spacing w:val="2"/>
          <w:w w:val="120"/>
          <w:sz w:val="20"/>
        </w:rPr>
        <w:t>service without </w:t>
      </w:r>
      <w:r>
        <w:rPr>
          <w:w w:val="120"/>
          <w:sz w:val="20"/>
        </w:rPr>
        <w:t>knowing who is in receipt of it. We also have links with </w:t>
      </w:r>
      <w:r>
        <w:rPr>
          <w:i/>
          <w:w w:val="120"/>
          <w:sz w:val="20"/>
        </w:rPr>
        <w:t>Broken Rites</w:t>
      </w:r>
      <w:r>
        <w:rPr>
          <w:w w:val="120"/>
          <w:sz w:val="20"/>
        </w:rPr>
        <w:t>, an ecumenical body set up to support the spouses of clergy families where there has</w:t>
      </w:r>
      <w:r>
        <w:rPr>
          <w:spacing w:val="7"/>
          <w:w w:val="120"/>
          <w:sz w:val="20"/>
        </w:rPr>
        <w:t> </w:t>
      </w:r>
      <w:r>
        <w:rPr>
          <w:w w:val="120"/>
          <w:sz w:val="20"/>
        </w:rPr>
        <w:t>been</w:t>
      </w:r>
    </w:p>
    <w:p>
      <w:pPr>
        <w:pStyle w:val="BodyText"/>
        <w:spacing w:line="235" w:lineRule="auto" w:before="4"/>
        <w:ind w:left="1133" w:right="1997"/>
      </w:pPr>
      <w:r>
        <w:rPr>
          <w:w w:val="120"/>
        </w:rPr>
        <w:t>separation or divorce. Though primarily for the female spouse, the organisation can now give advice and information to the male partner of a woman minister.</w:t>
      </w:r>
    </w:p>
    <w:p>
      <w:pPr>
        <w:pStyle w:val="BodyText"/>
      </w:pPr>
    </w:p>
    <w:p>
      <w:pPr>
        <w:pStyle w:val="BodyText"/>
      </w:pPr>
    </w:p>
    <w:p>
      <w:pPr>
        <w:pStyle w:val="BodyText"/>
      </w:pPr>
    </w:p>
    <w:p>
      <w:pPr>
        <w:pStyle w:val="BodyText"/>
        <w:spacing w:before="2"/>
        <w:rPr>
          <w:sz w:val="21"/>
        </w:rPr>
      </w:pPr>
      <w:r>
        <w:rPr/>
        <w:pict>
          <v:shape style="position:absolute;margin-left:56.692902pt;margin-top:21.232449pt;width:183.85pt;height:.1pt;mso-position-horizontal-relative:page;mso-position-vertical-relative:paragraph;z-index:-251088896;mso-wrap-distance-left:0;mso-wrap-distance-right:0" coordorigin="1134,425" coordsize="3677,0" path="m1134,425l4811,425e" filled="false" stroked="true" strokeweight=".5pt" strokecolor="#8ba8bd">
            <v:path arrowok="t"/>
            <v:stroke dashstyle="solid"/>
            <w10:wrap type="topAndBottom"/>
          </v:shape>
        </w:pict>
      </w:r>
      <w:r>
        <w:rPr/>
        <w:pict>
          <v:rect style="position:absolute;margin-left:250.865997pt;margin-top:14.911157pt;width:13.721pt;height:13.721pt;mso-position-horizontal-relative:page;mso-position-vertical-relative:paragraph;z-index:-251087872;mso-wrap-distance-left:0;mso-wrap-distance-right:0" filled="true" fillcolor="#8ba8bd" stroked="false">
            <v:fill type="solid"/>
            <w10:wrap type="topAndBottom"/>
          </v:rect>
        </w:pict>
      </w:r>
      <w:r>
        <w:rPr/>
        <w:pict>
          <v:rect style="position:absolute;margin-left:269.303009pt;margin-top:14.911157pt;width:13.721pt;height:13.721pt;mso-position-horizontal-relative:page;mso-position-vertical-relative:paragraph;z-index:-251086848;mso-wrap-distance-left:0;mso-wrap-distance-right:0" filled="true" fillcolor="#c2d2df" stroked="false">
            <v:fill type="solid"/>
            <w10:wrap type="topAndBottom"/>
          </v:rect>
        </w:pict>
      </w:r>
      <w:r>
        <w:rPr/>
        <w:pict>
          <v:rect style="position:absolute;margin-left:288.169006pt;margin-top:14.911157pt;width:13.721pt;height:13.721pt;mso-position-horizontal-relative:page;mso-position-vertical-relative:paragraph;z-index:-251085824;mso-wrap-distance-left:0;mso-wrap-distance-right:0" filled="true" fillcolor="#dae4ec" stroked="false">
            <v:fill opacity="32768f" type="solid"/>
            <w10:wrap type="topAndBottom"/>
          </v:rect>
        </w:pict>
      </w:r>
      <w:r>
        <w:rPr/>
        <w:pict>
          <v:shape style="position:absolute;margin-left:311.716003pt;margin-top:21.232449pt;width:184.35pt;height:.1pt;mso-position-horizontal-relative:page;mso-position-vertical-relative:paragraph;z-index:-251084800;mso-wrap-distance-left:0;mso-wrap-distance-right:0" coordorigin="6234,425" coordsize="3687,0" path="m6234,425l9921,425e" filled="false" stroked="true" strokeweight=".5pt" strokecolor="#8ba8bd">
            <v:path arrowok="t"/>
            <v:stroke dashstyle="solid"/>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3"/>
        </w:rPr>
      </w:pPr>
    </w:p>
    <w:p>
      <w:pPr>
        <w:spacing w:before="102"/>
        <w:ind w:left="7458" w:right="0" w:firstLine="0"/>
        <w:jc w:val="left"/>
        <w:rPr>
          <w:sz w:val="18"/>
        </w:rPr>
      </w:pPr>
      <w:r>
        <w:rPr>
          <w:color w:val="FFFFFF"/>
          <w:w w:val="110"/>
          <w:sz w:val="18"/>
        </w:rPr>
        <w:t>Worshipping at General Assembly 2008</w:t>
      </w:r>
    </w:p>
    <w:p>
      <w:pPr>
        <w:spacing w:after="0"/>
        <w:jc w:val="left"/>
        <w:rPr>
          <w:sz w:val="18"/>
        </w:rPr>
        <w:sectPr>
          <w:headerReference w:type="even" r:id="rId488"/>
          <w:footerReference w:type="even" r:id="rId489"/>
          <w:pgSz w:w="11910" w:h="16840"/>
          <w:pgMar w:header="0" w:footer="0" w:top="0" w:bottom="0" w:left="0" w:right="0"/>
        </w:sectPr>
      </w:pPr>
    </w:p>
    <w:p>
      <w:pPr>
        <w:spacing w:line="232" w:lineRule="exact" w:before="67"/>
        <w:ind w:left="2381" w:right="0" w:firstLine="0"/>
        <w:jc w:val="left"/>
        <w:rPr>
          <w:sz w:val="18"/>
        </w:rPr>
      </w:pPr>
      <w:r>
        <w:rPr/>
        <w:pict>
          <v:rect style="position:absolute;margin-left:0pt;margin-top:.000015pt;width:595.275pt;height:841.89pt;mso-position-horizontal-relative:page;mso-position-vertical-relative:page;z-index:-267187200" filled="true" fillcolor="#8ba8bd" stroked="false">
            <v:fill type="solid"/>
            <w10:wrap type="none"/>
          </v:rect>
        </w:pict>
      </w:r>
      <w:r>
        <w:rPr/>
        <w:pict>
          <v:group style="position:absolute;margin-left:75.826797pt;margin-top:.000015pt;width:519.4500pt;height:790.9pt;mso-position-horizontal-relative:page;mso-position-vertical-relative:page;z-index:-267186176"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v:shape style="position:absolute;left:6881;top:6187;width:367;height:286" type="#_x0000_t75" stroked="false">
              <v:imagedata r:id="rId495" o:title=""/>
            </v:shape>
            <v:shape style="position:absolute;left:2033;top:1143;width:8049;height:1965" coordorigin="2034,1144" coordsize="8049,1965" path="m2274,1144l2270,1283,2244,1354,2172,1380,2034,1384,2034,2868,2172,2872,2244,2898,2270,2969,2274,3108,9842,3108,9846,2969,9872,2898,9944,2872,10082,2868,10082,1384,9944,1380,9872,1354,9846,1283,9842,1144,2274,1144xe" filled="false" stroked="true" strokeweight="1pt" strokecolor="#8ba8bd">
              <v:path arrowok="t"/>
              <v:stroke dashstyle="solid"/>
            </v:shape>
            <w10:wrap type="none"/>
          </v:group>
        </w:pict>
      </w:r>
      <w:r>
        <w:rPr/>
        <w:pict>
          <v:shape style="position:absolute;margin-left:512.587891pt;margin-top:-9.208272pt;width:47.4pt;height:533.050pt;mso-position-horizontal-relative:page;mso-position-vertical-relative:paragraph;z-index:-267185152" type="#_x0000_t202" filled="false" stroked="false">
            <v:textbox inset="0,0,0,0" style="layout-flow:vertical">
              <w:txbxContent>
                <w:p>
                  <w:pPr>
                    <w:spacing w:line="937" w:lineRule="exact" w:before="10"/>
                    <w:ind w:left="20" w:right="0" w:firstLine="0"/>
                    <w:jc w:val="left"/>
                    <w:rPr>
                      <w:rFonts w:ascii="Stone Sans II ITC Std X Bd" w:hAnsi="Stone Sans II ITC Std X Bd"/>
                      <w:b/>
                      <w:sz w:val="72"/>
                    </w:rPr>
                  </w:pPr>
                  <w:r>
                    <w:rPr>
                      <w:rFonts w:ascii="Stone Sans II ITC Std X Bd" w:hAnsi="Stone Sans II ITC Std X Bd"/>
                      <w:b/>
                      <w:spacing w:val="-16"/>
                      <w:w w:val="110"/>
                      <w:sz w:val="72"/>
                    </w:rPr>
                    <w:t>Youth </w:t>
                  </w:r>
                  <w:r>
                    <w:rPr>
                      <w:rFonts w:ascii="Stone Sans II ITC Std X Bd" w:hAnsi="Stone Sans II ITC Std X Bd"/>
                      <w:b/>
                      <w:spacing w:val="-6"/>
                      <w:w w:val="110"/>
                      <w:sz w:val="72"/>
                    </w:rPr>
                    <w:t>and </w:t>
                  </w:r>
                  <w:r>
                    <w:rPr>
                      <w:rFonts w:ascii="Stone Sans II ITC Std X Bd" w:hAnsi="Stone Sans II ITC Std X Bd"/>
                      <w:b/>
                      <w:spacing w:val="-15"/>
                      <w:w w:val="110"/>
                      <w:sz w:val="72"/>
                    </w:rPr>
                    <w:t>Children’s</w:t>
                  </w:r>
                  <w:r>
                    <w:rPr>
                      <w:rFonts w:ascii="Stone Sans II ITC Std X Bd" w:hAnsi="Stone Sans II ITC Std X Bd"/>
                      <w:b/>
                      <w:spacing w:val="139"/>
                      <w:w w:val="110"/>
                      <w:sz w:val="72"/>
                    </w:rPr>
                    <w:t> </w:t>
                  </w:r>
                  <w:r>
                    <w:rPr>
                      <w:rFonts w:ascii="Stone Sans II ITC Std X Bd" w:hAnsi="Stone Sans II ITC Std X Bd"/>
                      <w:b/>
                      <w:spacing w:val="-10"/>
                      <w:w w:val="110"/>
                      <w:sz w:val="72"/>
                    </w:rPr>
                    <w:t>Work</w:t>
                  </w:r>
                </w:p>
              </w:txbxContent>
            </v:textbox>
            <w10:wrap type="none"/>
          </v:shape>
        </w:pict>
      </w:r>
      <w:r>
        <w:rPr>
          <w:rFonts w:ascii="Stone Sans II ITC Std Bk"/>
          <w:b/>
          <w:w w:val="115"/>
          <w:sz w:val="18"/>
        </w:rPr>
        <w:t>Convener</w:t>
      </w:r>
      <w:r>
        <w:rPr>
          <w:w w:val="115"/>
          <w:sz w:val="18"/>
        </w:rPr>
        <w:t>: Robert Weston</w:t>
      </w:r>
    </w:p>
    <w:p>
      <w:pPr>
        <w:spacing w:line="235" w:lineRule="auto" w:before="0"/>
        <w:ind w:left="2381" w:right="2828" w:firstLine="0"/>
        <w:jc w:val="left"/>
        <w:rPr>
          <w:sz w:val="18"/>
        </w:rPr>
      </w:pPr>
      <w:r>
        <w:rPr>
          <w:rFonts w:ascii="Stone Sans II ITC Std Sm" w:hAnsi="Stone Sans II ITC Std Sm"/>
          <w:b/>
          <w:w w:val="120"/>
          <w:sz w:val="18"/>
        </w:rPr>
        <w:t>Committee</w:t>
      </w:r>
      <w:r>
        <w:rPr>
          <w:rFonts w:ascii="Stone Sans II ITC Std Sm" w:hAnsi="Stone Sans II ITC Std Sm"/>
          <w:b/>
          <w:spacing w:val="-12"/>
          <w:w w:val="120"/>
          <w:sz w:val="18"/>
        </w:rPr>
        <w:t> </w:t>
      </w:r>
      <w:r>
        <w:rPr>
          <w:rFonts w:ascii="Stone Sans II ITC Std Sm" w:hAnsi="Stone Sans II ITC Std Sm"/>
          <w:b/>
          <w:w w:val="120"/>
          <w:sz w:val="18"/>
        </w:rPr>
        <w:t>members:</w:t>
      </w:r>
      <w:r>
        <w:rPr>
          <w:rFonts w:ascii="Stone Sans II ITC Std Sm" w:hAnsi="Stone Sans II ITC Std Sm"/>
          <w:b/>
          <w:spacing w:val="-13"/>
          <w:w w:val="120"/>
          <w:sz w:val="18"/>
        </w:rPr>
        <w:t> </w:t>
      </w:r>
      <w:r>
        <w:rPr>
          <w:w w:val="120"/>
          <w:sz w:val="18"/>
        </w:rPr>
        <w:t>Jo</w:t>
      </w:r>
      <w:r>
        <w:rPr>
          <w:spacing w:val="-5"/>
          <w:w w:val="120"/>
          <w:sz w:val="18"/>
        </w:rPr>
        <w:t> </w:t>
      </w:r>
      <w:r>
        <w:rPr>
          <w:w w:val="120"/>
          <w:sz w:val="18"/>
        </w:rPr>
        <w:t>Williams</w:t>
      </w:r>
      <w:r>
        <w:rPr>
          <w:spacing w:val="-5"/>
          <w:w w:val="120"/>
          <w:sz w:val="18"/>
        </w:rPr>
        <w:t> </w:t>
      </w:r>
      <w:r>
        <w:rPr>
          <w:spacing w:val="-3"/>
          <w:w w:val="120"/>
          <w:sz w:val="18"/>
        </w:rPr>
        <w:t>(Children’s</w:t>
      </w:r>
      <w:r>
        <w:rPr>
          <w:spacing w:val="-5"/>
          <w:w w:val="120"/>
          <w:sz w:val="18"/>
        </w:rPr>
        <w:t> </w:t>
      </w:r>
      <w:r>
        <w:rPr>
          <w:w w:val="120"/>
          <w:sz w:val="18"/>
        </w:rPr>
        <w:t>Work</w:t>
      </w:r>
      <w:r>
        <w:rPr>
          <w:spacing w:val="-5"/>
          <w:w w:val="120"/>
          <w:sz w:val="18"/>
        </w:rPr>
        <w:t> </w:t>
      </w:r>
      <w:r>
        <w:rPr>
          <w:w w:val="120"/>
          <w:sz w:val="18"/>
        </w:rPr>
        <w:t>Development</w:t>
      </w:r>
      <w:r>
        <w:rPr>
          <w:spacing w:val="-6"/>
          <w:w w:val="120"/>
          <w:sz w:val="18"/>
        </w:rPr>
        <w:t> </w:t>
      </w:r>
      <w:r>
        <w:rPr>
          <w:w w:val="120"/>
          <w:sz w:val="18"/>
        </w:rPr>
        <w:t>Officer), Karen Bulley (Pilots Work Development Officer), John Brown (Youth Work Development Officer), Anthea Coates, Dave Downing, Malcolm Evans,  David</w:t>
      </w:r>
      <w:r>
        <w:rPr>
          <w:spacing w:val="9"/>
          <w:w w:val="120"/>
          <w:sz w:val="18"/>
        </w:rPr>
        <w:t> </w:t>
      </w:r>
      <w:r>
        <w:rPr>
          <w:w w:val="120"/>
          <w:sz w:val="18"/>
        </w:rPr>
        <w:t>Harvey,</w:t>
      </w:r>
      <w:r>
        <w:rPr>
          <w:spacing w:val="10"/>
          <w:w w:val="120"/>
          <w:sz w:val="18"/>
        </w:rPr>
        <w:t> </w:t>
      </w:r>
      <w:r>
        <w:rPr>
          <w:w w:val="120"/>
          <w:sz w:val="18"/>
        </w:rPr>
        <w:t>Matthew</w:t>
      </w:r>
      <w:r>
        <w:rPr>
          <w:spacing w:val="10"/>
          <w:w w:val="120"/>
          <w:sz w:val="18"/>
        </w:rPr>
        <w:t> </w:t>
      </w:r>
      <w:r>
        <w:rPr>
          <w:w w:val="120"/>
          <w:sz w:val="18"/>
        </w:rPr>
        <w:t>Franks,</w:t>
      </w:r>
      <w:r>
        <w:rPr>
          <w:spacing w:val="10"/>
          <w:w w:val="120"/>
          <w:sz w:val="18"/>
        </w:rPr>
        <w:t> </w:t>
      </w:r>
      <w:r>
        <w:rPr>
          <w:w w:val="120"/>
          <w:sz w:val="18"/>
        </w:rPr>
        <w:t>Chris</w:t>
      </w:r>
      <w:r>
        <w:rPr>
          <w:spacing w:val="10"/>
          <w:w w:val="120"/>
          <w:sz w:val="18"/>
        </w:rPr>
        <w:t> </w:t>
      </w:r>
      <w:r>
        <w:rPr>
          <w:w w:val="120"/>
          <w:sz w:val="18"/>
        </w:rPr>
        <w:t>Gill,</w:t>
      </w:r>
      <w:r>
        <w:rPr>
          <w:spacing w:val="9"/>
          <w:w w:val="120"/>
          <w:sz w:val="18"/>
        </w:rPr>
        <w:t> </w:t>
      </w:r>
      <w:r>
        <w:rPr>
          <w:w w:val="120"/>
          <w:sz w:val="18"/>
        </w:rPr>
        <w:t>Shirley</w:t>
      </w:r>
      <w:r>
        <w:rPr>
          <w:spacing w:val="10"/>
          <w:w w:val="120"/>
          <w:sz w:val="18"/>
        </w:rPr>
        <w:t> </w:t>
      </w:r>
      <w:r>
        <w:rPr>
          <w:w w:val="120"/>
          <w:sz w:val="18"/>
        </w:rPr>
        <w:t>Knibbs,</w:t>
      </w:r>
      <w:r>
        <w:rPr>
          <w:spacing w:val="10"/>
          <w:w w:val="120"/>
          <w:sz w:val="18"/>
        </w:rPr>
        <w:t> </w:t>
      </w:r>
      <w:r>
        <w:rPr>
          <w:w w:val="120"/>
          <w:sz w:val="18"/>
        </w:rPr>
        <w:t>Tamara</w:t>
      </w:r>
      <w:r>
        <w:rPr>
          <w:spacing w:val="10"/>
          <w:w w:val="120"/>
          <w:sz w:val="18"/>
        </w:rPr>
        <w:t> </w:t>
      </w:r>
      <w:r>
        <w:rPr>
          <w:w w:val="120"/>
          <w:sz w:val="18"/>
        </w:rPr>
        <w:t>Oates,</w:t>
      </w:r>
    </w:p>
    <w:p>
      <w:pPr>
        <w:spacing w:before="0"/>
        <w:ind w:left="2381" w:right="2191" w:firstLine="0"/>
        <w:jc w:val="left"/>
        <w:rPr>
          <w:sz w:val="18"/>
        </w:rPr>
      </w:pPr>
      <w:r>
        <w:rPr>
          <w:w w:val="120"/>
          <w:sz w:val="18"/>
        </w:rPr>
        <w:t>Victoria Paulding, Meg Prowting, Stuart Radcliffe, Meg Robb, Memona Shahbaz, Philip Timson, Heather Whyte.</w:t>
      </w:r>
    </w:p>
    <w:p>
      <w:pPr>
        <w:pStyle w:val="BodyText"/>
        <w:rPr>
          <w:sz w:val="22"/>
        </w:rPr>
      </w:pPr>
    </w:p>
    <w:p>
      <w:pPr>
        <w:pStyle w:val="BodyText"/>
        <w:spacing w:before="3"/>
        <w:rPr>
          <w:sz w:val="28"/>
        </w:rPr>
      </w:pPr>
    </w:p>
    <w:p>
      <w:pPr>
        <w:numPr>
          <w:ilvl w:val="1"/>
          <w:numId w:val="149"/>
        </w:numPr>
        <w:tabs>
          <w:tab w:pos="2704" w:val="left" w:leader="none"/>
          <w:tab w:pos="2705" w:val="left" w:leader="none"/>
        </w:tabs>
        <w:spacing w:before="1"/>
        <w:ind w:left="2704" w:right="0" w:hanging="721"/>
        <w:jc w:val="left"/>
        <w:rPr>
          <w:rFonts w:ascii="Stone Sans II ITC Std Bk"/>
          <w:b/>
          <w:sz w:val="21"/>
        </w:rPr>
      </w:pPr>
      <w:r>
        <w:rPr>
          <w:rFonts w:ascii="Stone Sans II ITC Std Bk"/>
          <w:b/>
          <w:w w:val="115"/>
          <w:sz w:val="21"/>
        </w:rPr>
        <w:t>Introduction</w:t>
      </w:r>
    </w:p>
    <w:p>
      <w:pPr>
        <w:pStyle w:val="ListParagraph"/>
        <w:numPr>
          <w:ilvl w:val="2"/>
          <w:numId w:val="149"/>
        </w:numPr>
        <w:tabs>
          <w:tab w:pos="2664" w:val="left" w:leader="none"/>
          <w:tab w:pos="2665" w:val="left" w:leader="none"/>
        </w:tabs>
        <w:spacing w:line="235" w:lineRule="auto" w:before="222" w:after="0"/>
        <w:ind w:left="1984" w:right="1911" w:firstLine="0"/>
        <w:jc w:val="left"/>
        <w:rPr>
          <w:sz w:val="20"/>
        </w:rPr>
      </w:pPr>
      <w:r>
        <w:rPr>
          <w:w w:val="120"/>
          <w:sz w:val="20"/>
        </w:rPr>
        <w:t>Since we presented our vision document two years ago we have been  busy helping that vision become a reality in local United Reformed Churches across the United Kingdom. This </w:t>
      </w:r>
      <w:r>
        <w:rPr>
          <w:spacing w:val="2"/>
          <w:w w:val="120"/>
          <w:sz w:val="20"/>
        </w:rPr>
        <w:t>report </w:t>
      </w:r>
      <w:r>
        <w:rPr>
          <w:w w:val="120"/>
          <w:sz w:val="20"/>
        </w:rPr>
        <w:t>contains a flavour of the work that has been undertaken to support local churches through our programme of Assembly level activities, through the synod children and youth development officers and through the dedicated volunteers delivering excellent support to our young people week by</w:t>
      </w:r>
      <w:r>
        <w:rPr>
          <w:spacing w:val="6"/>
          <w:w w:val="120"/>
          <w:sz w:val="20"/>
        </w:rPr>
        <w:t> </w:t>
      </w:r>
      <w:r>
        <w:rPr>
          <w:w w:val="120"/>
          <w:sz w:val="20"/>
        </w:rPr>
        <w:t>week.</w:t>
      </w:r>
    </w:p>
    <w:p>
      <w:pPr>
        <w:pStyle w:val="BodyText"/>
        <w:spacing w:before="9"/>
        <w:rPr>
          <w:sz w:val="22"/>
        </w:rPr>
      </w:pPr>
    </w:p>
    <w:p>
      <w:pPr>
        <w:pStyle w:val="ListParagraph"/>
        <w:numPr>
          <w:ilvl w:val="2"/>
          <w:numId w:val="149"/>
        </w:numPr>
        <w:tabs>
          <w:tab w:pos="2664" w:val="left" w:leader="none"/>
          <w:tab w:pos="2665" w:val="left" w:leader="none"/>
        </w:tabs>
        <w:spacing w:line="194" w:lineRule="auto" w:before="0" w:after="0"/>
        <w:ind w:left="1984" w:right="1872" w:firstLine="0"/>
        <w:jc w:val="left"/>
        <w:rPr>
          <w:sz w:val="20"/>
        </w:rPr>
      </w:pPr>
      <w:r>
        <w:rPr>
          <w:w w:val="120"/>
          <w:sz w:val="20"/>
        </w:rPr>
        <w:t>The </w:t>
      </w:r>
      <w:r>
        <w:rPr>
          <w:spacing w:val="-3"/>
          <w:w w:val="120"/>
          <w:sz w:val="20"/>
        </w:rPr>
        <w:t>Youth </w:t>
      </w:r>
      <w:r>
        <w:rPr>
          <w:w w:val="120"/>
          <w:sz w:val="20"/>
        </w:rPr>
        <w:t>and Children’s Work Committee has been fully involved in other exciting initiatives within the URC including </w:t>
      </w:r>
      <w:r>
        <w:rPr>
          <w:rFonts w:ascii="Arial Rounded MT Bold" w:hAnsi="Arial Rounded MT Bold"/>
          <w:sz w:val="21"/>
        </w:rPr>
        <w:t>Vision4</w:t>
      </w:r>
      <w:r>
        <w:rPr>
          <w:rFonts w:ascii="Bradley Hand ITC" w:hAnsi="Bradley Hand ITC"/>
          <w:color w:val="C20D19"/>
          <w:sz w:val="28"/>
        </w:rPr>
        <w:t>Life</w:t>
      </w:r>
      <w:r>
        <w:rPr>
          <w:sz w:val="20"/>
        </w:rPr>
        <w:t>, </w:t>
      </w:r>
      <w:r>
        <w:rPr>
          <w:w w:val="120"/>
          <w:sz w:val="20"/>
        </w:rPr>
        <w:t>the </w:t>
      </w:r>
      <w:r>
        <w:rPr>
          <w:i/>
          <w:w w:val="120"/>
          <w:sz w:val="20"/>
        </w:rPr>
        <w:t>Marketing Campaign </w:t>
      </w:r>
      <w:r>
        <w:rPr>
          <w:w w:val="120"/>
          <w:sz w:val="20"/>
        </w:rPr>
        <w:t>and </w:t>
      </w:r>
      <w:r>
        <w:rPr>
          <w:i/>
          <w:spacing w:val="-3"/>
          <w:w w:val="120"/>
          <w:sz w:val="20"/>
        </w:rPr>
        <w:t>vision2020</w:t>
      </w:r>
      <w:r>
        <w:rPr>
          <w:spacing w:val="-3"/>
          <w:w w:val="120"/>
          <w:sz w:val="20"/>
        </w:rPr>
        <w:t>. </w:t>
      </w:r>
      <w:r>
        <w:rPr>
          <w:w w:val="120"/>
          <w:sz w:val="20"/>
        </w:rPr>
        <w:t>Children and young people are a vital element in each of</w:t>
      </w:r>
      <w:r>
        <w:rPr>
          <w:spacing w:val="37"/>
          <w:w w:val="120"/>
          <w:sz w:val="20"/>
        </w:rPr>
        <w:t> </w:t>
      </w:r>
      <w:r>
        <w:rPr>
          <w:w w:val="120"/>
          <w:sz w:val="20"/>
        </w:rPr>
        <w:t>these</w:t>
      </w:r>
    </w:p>
    <w:p>
      <w:pPr>
        <w:pStyle w:val="BodyText"/>
        <w:spacing w:line="235" w:lineRule="auto" w:before="9"/>
        <w:ind w:left="1984" w:right="1970"/>
      </w:pPr>
      <w:r>
        <w:rPr>
          <w:w w:val="120"/>
        </w:rPr>
        <w:t>initiatives and we are working to ensure that the voices of young people are incorporated in all the developments in our Church. </w:t>
      </w:r>
      <w:r>
        <w:rPr>
          <w:spacing w:val="3"/>
          <w:w w:val="120"/>
        </w:rPr>
        <w:t>As </w:t>
      </w:r>
      <w:r>
        <w:rPr>
          <w:w w:val="120"/>
        </w:rPr>
        <w:t>always, it is a great joy  and privilege to see young people involved at all levels of church life and witness, and we thank God for our young people who contribute in so many</w:t>
      </w:r>
      <w:r>
        <w:rPr>
          <w:spacing w:val="6"/>
          <w:w w:val="120"/>
        </w:rPr>
        <w:t> </w:t>
      </w:r>
      <w:r>
        <w:rPr>
          <w:w w:val="120"/>
        </w:rPr>
        <w:t>ways.</w:t>
      </w:r>
    </w:p>
    <w:p>
      <w:pPr>
        <w:pStyle w:val="BodyText"/>
        <w:spacing w:before="9"/>
        <w:rPr>
          <w:sz w:val="19"/>
        </w:rPr>
      </w:pPr>
    </w:p>
    <w:p>
      <w:pPr>
        <w:pStyle w:val="ListParagraph"/>
        <w:numPr>
          <w:ilvl w:val="2"/>
          <w:numId w:val="149"/>
        </w:numPr>
        <w:tabs>
          <w:tab w:pos="2664" w:val="left" w:leader="none"/>
          <w:tab w:pos="2665" w:val="left" w:leader="none"/>
        </w:tabs>
        <w:spacing w:line="223" w:lineRule="auto" w:before="0" w:after="0"/>
        <w:ind w:left="1984" w:right="2293" w:firstLine="0"/>
        <w:jc w:val="left"/>
        <w:rPr>
          <w:sz w:val="20"/>
        </w:rPr>
      </w:pPr>
      <w:r>
        <w:rPr>
          <w:spacing w:val="2"/>
          <w:w w:val="120"/>
          <w:sz w:val="20"/>
        </w:rPr>
        <w:t>The </w:t>
      </w:r>
      <w:r>
        <w:rPr>
          <w:w w:val="120"/>
          <w:sz w:val="20"/>
        </w:rPr>
        <w:t>Youth and Children’s Work Vision has five headings: </w:t>
      </w:r>
      <w:r>
        <w:rPr>
          <w:rFonts w:ascii="Stone Sans II ITC Std Bk" w:hAnsi="Stone Sans II ITC Std Bk"/>
          <w:b/>
          <w:w w:val="120"/>
          <w:sz w:val="20"/>
        </w:rPr>
        <w:t>worship, </w:t>
      </w:r>
      <w:r>
        <w:rPr>
          <w:rFonts w:ascii="Stone Sans II ITC Std Bk" w:hAnsi="Stone Sans II ITC Std Bk"/>
          <w:b/>
          <w:spacing w:val="2"/>
          <w:w w:val="115"/>
          <w:sz w:val="20"/>
        </w:rPr>
        <w:t>talking</w:t>
      </w:r>
      <w:r>
        <w:rPr>
          <w:rFonts w:ascii="Stone Sans II ITC Std Bk" w:hAnsi="Stone Sans II ITC Std Bk"/>
          <w:b/>
          <w:spacing w:val="-18"/>
          <w:w w:val="115"/>
          <w:sz w:val="20"/>
        </w:rPr>
        <w:t> </w:t>
      </w:r>
      <w:r>
        <w:rPr>
          <w:rFonts w:ascii="Stone Sans II ITC Std Bk" w:hAnsi="Stone Sans II ITC Std Bk"/>
          <w:b/>
          <w:spacing w:val="2"/>
          <w:w w:val="115"/>
          <w:sz w:val="20"/>
        </w:rPr>
        <w:t>about</w:t>
      </w:r>
      <w:r>
        <w:rPr>
          <w:rFonts w:ascii="Stone Sans II ITC Std Bk" w:hAnsi="Stone Sans II ITC Std Bk"/>
          <w:b/>
          <w:spacing w:val="-18"/>
          <w:w w:val="115"/>
          <w:sz w:val="20"/>
        </w:rPr>
        <w:t> </w:t>
      </w:r>
      <w:r>
        <w:rPr>
          <w:rFonts w:ascii="Stone Sans II ITC Std Bk" w:hAnsi="Stone Sans II ITC Std Bk"/>
          <w:b/>
          <w:spacing w:val="2"/>
          <w:w w:val="115"/>
          <w:sz w:val="20"/>
        </w:rPr>
        <w:t>God,</w:t>
      </w:r>
      <w:r>
        <w:rPr>
          <w:rFonts w:ascii="Stone Sans II ITC Std Bk" w:hAnsi="Stone Sans II ITC Std Bk"/>
          <w:b/>
          <w:spacing w:val="-17"/>
          <w:w w:val="115"/>
          <w:sz w:val="20"/>
        </w:rPr>
        <w:t> </w:t>
      </w:r>
      <w:r>
        <w:rPr>
          <w:rFonts w:ascii="Stone Sans II ITC Std Bk" w:hAnsi="Stone Sans II ITC Std Bk"/>
          <w:b/>
          <w:spacing w:val="2"/>
          <w:w w:val="115"/>
          <w:sz w:val="20"/>
        </w:rPr>
        <w:t>growth,</w:t>
      </w:r>
      <w:r>
        <w:rPr>
          <w:rFonts w:ascii="Stone Sans II ITC Std Bk" w:hAnsi="Stone Sans II ITC Std Bk"/>
          <w:b/>
          <w:spacing w:val="-18"/>
          <w:w w:val="115"/>
          <w:sz w:val="20"/>
        </w:rPr>
        <w:t> </w:t>
      </w:r>
      <w:r>
        <w:rPr>
          <w:rFonts w:ascii="Stone Sans II ITC Std Bk" w:hAnsi="Stone Sans II ITC Std Bk"/>
          <w:b/>
          <w:w w:val="115"/>
          <w:sz w:val="20"/>
        </w:rPr>
        <w:t>telling</w:t>
      </w:r>
      <w:r>
        <w:rPr>
          <w:rFonts w:ascii="Stone Sans II ITC Std Bk" w:hAnsi="Stone Sans II ITC Std Bk"/>
          <w:b/>
          <w:spacing w:val="-17"/>
          <w:w w:val="115"/>
          <w:sz w:val="20"/>
        </w:rPr>
        <w:t> </w:t>
      </w:r>
      <w:r>
        <w:rPr>
          <w:rFonts w:ascii="Stone Sans II ITC Std Bk" w:hAnsi="Stone Sans II ITC Std Bk"/>
          <w:b/>
          <w:w w:val="115"/>
          <w:sz w:val="20"/>
        </w:rPr>
        <w:t>our</w:t>
      </w:r>
      <w:r>
        <w:rPr>
          <w:rFonts w:ascii="Stone Sans II ITC Std Bk" w:hAnsi="Stone Sans II ITC Std Bk"/>
          <w:b/>
          <w:spacing w:val="-18"/>
          <w:w w:val="115"/>
          <w:sz w:val="20"/>
        </w:rPr>
        <w:t> </w:t>
      </w:r>
      <w:r>
        <w:rPr>
          <w:rFonts w:ascii="Stone Sans II ITC Std Bk" w:hAnsi="Stone Sans II ITC Std Bk"/>
          <w:b/>
          <w:w w:val="115"/>
          <w:sz w:val="20"/>
        </w:rPr>
        <w:t>stories,</w:t>
      </w:r>
      <w:r>
        <w:rPr>
          <w:rFonts w:ascii="Stone Sans II ITC Std Bk" w:hAnsi="Stone Sans II ITC Std Bk"/>
          <w:b/>
          <w:spacing w:val="-18"/>
          <w:w w:val="115"/>
          <w:sz w:val="20"/>
        </w:rPr>
        <w:t> </w:t>
      </w:r>
      <w:r>
        <w:rPr>
          <w:rFonts w:ascii="Stone Sans II ITC Std Bk" w:hAnsi="Stone Sans II ITC Std Bk"/>
          <w:b/>
          <w:w w:val="115"/>
          <w:sz w:val="20"/>
        </w:rPr>
        <w:t>and</w:t>
      </w:r>
      <w:r>
        <w:rPr>
          <w:rFonts w:ascii="Stone Sans II ITC Std Bk" w:hAnsi="Stone Sans II ITC Std Bk"/>
          <w:b/>
          <w:spacing w:val="-17"/>
          <w:w w:val="115"/>
          <w:sz w:val="20"/>
        </w:rPr>
        <w:t> </w:t>
      </w:r>
      <w:r>
        <w:rPr>
          <w:rFonts w:ascii="Stone Sans II ITC Std Bk" w:hAnsi="Stone Sans II ITC Std Bk"/>
          <w:b/>
          <w:w w:val="115"/>
          <w:sz w:val="20"/>
        </w:rPr>
        <w:t>community.</w:t>
      </w:r>
      <w:r>
        <w:rPr>
          <w:rFonts w:ascii="Stone Sans II ITC Std Bk" w:hAnsi="Stone Sans II ITC Std Bk"/>
          <w:b/>
          <w:spacing w:val="-17"/>
          <w:w w:val="115"/>
          <w:sz w:val="20"/>
        </w:rPr>
        <w:t> </w:t>
      </w:r>
      <w:r>
        <w:rPr>
          <w:spacing w:val="2"/>
          <w:w w:val="115"/>
          <w:sz w:val="20"/>
        </w:rPr>
        <w:t>These </w:t>
      </w:r>
      <w:r>
        <w:rPr>
          <w:w w:val="120"/>
          <w:sz w:val="20"/>
        </w:rPr>
        <w:t>are just some of the ways we’ve </w:t>
      </w:r>
      <w:r>
        <w:rPr>
          <w:spacing w:val="2"/>
          <w:w w:val="120"/>
          <w:sz w:val="20"/>
        </w:rPr>
        <w:t>been </w:t>
      </w:r>
      <w:r>
        <w:rPr>
          <w:w w:val="120"/>
          <w:sz w:val="20"/>
        </w:rPr>
        <w:t>turning the vision into a </w:t>
      </w:r>
      <w:r>
        <w:rPr>
          <w:spacing w:val="2"/>
          <w:w w:val="120"/>
          <w:sz w:val="20"/>
        </w:rPr>
        <w:t>reality </w:t>
      </w:r>
      <w:r>
        <w:rPr>
          <w:w w:val="120"/>
          <w:sz w:val="20"/>
        </w:rPr>
        <w:t>for the United </w:t>
      </w:r>
      <w:r>
        <w:rPr>
          <w:spacing w:val="2"/>
          <w:w w:val="120"/>
          <w:sz w:val="20"/>
        </w:rPr>
        <w:t>Reformed</w:t>
      </w:r>
      <w:r>
        <w:rPr>
          <w:spacing w:val="13"/>
          <w:w w:val="120"/>
          <w:sz w:val="20"/>
        </w:rPr>
        <w:t> </w:t>
      </w:r>
      <w:r>
        <w:rPr>
          <w:w w:val="120"/>
          <w:sz w:val="20"/>
        </w:rPr>
        <w:t>Church.</w:t>
      </w:r>
    </w:p>
    <w:p>
      <w:pPr>
        <w:pStyle w:val="BodyText"/>
        <w:spacing w:before="11"/>
        <w:rPr>
          <w:sz w:val="17"/>
        </w:rPr>
      </w:pPr>
    </w:p>
    <w:p>
      <w:pPr>
        <w:numPr>
          <w:ilvl w:val="1"/>
          <w:numId w:val="149"/>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Worship</w:t>
      </w:r>
    </w:p>
    <w:p>
      <w:pPr>
        <w:pStyle w:val="ListParagraph"/>
        <w:numPr>
          <w:ilvl w:val="2"/>
          <w:numId w:val="149"/>
        </w:numPr>
        <w:tabs>
          <w:tab w:pos="2664" w:val="left" w:leader="none"/>
          <w:tab w:pos="2665" w:val="left" w:leader="none"/>
        </w:tabs>
        <w:spacing w:line="227" w:lineRule="exact" w:before="219" w:after="0"/>
        <w:ind w:left="2664" w:right="0" w:hanging="681"/>
        <w:jc w:val="left"/>
        <w:rPr>
          <w:sz w:val="20"/>
        </w:rPr>
      </w:pPr>
      <w:r>
        <w:rPr>
          <w:w w:val="120"/>
          <w:sz w:val="20"/>
        </w:rPr>
        <w:t>Our worship should inspire and nurture all on their faith journey</w:t>
      </w:r>
      <w:r>
        <w:rPr>
          <w:spacing w:val="27"/>
          <w:w w:val="120"/>
          <w:sz w:val="20"/>
        </w:rPr>
        <w:t> </w:t>
      </w:r>
      <w:r>
        <w:rPr>
          <w:w w:val="120"/>
          <w:sz w:val="20"/>
        </w:rPr>
        <w:t>by:</w:t>
      </w:r>
    </w:p>
    <w:p>
      <w:pPr>
        <w:pStyle w:val="ListParagraph"/>
        <w:numPr>
          <w:ilvl w:val="0"/>
          <w:numId w:val="151"/>
        </w:numPr>
        <w:tabs>
          <w:tab w:pos="2664" w:val="left" w:leader="none"/>
          <w:tab w:pos="2665" w:val="left" w:leader="none"/>
        </w:tabs>
        <w:spacing w:line="264" w:lineRule="exact" w:before="0" w:after="0"/>
        <w:ind w:left="2664" w:right="0" w:hanging="681"/>
        <w:jc w:val="left"/>
        <w:rPr>
          <w:sz w:val="20"/>
        </w:rPr>
      </w:pPr>
      <w:r>
        <w:rPr>
          <w:w w:val="120"/>
          <w:sz w:val="20"/>
        </w:rPr>
        <w:t>being inclusive and open to</w:t>
      </w:r>
      <w:r>
        <w:rPr>
          <w:spacing w:val="11"/>
          <w:w w:val="120"/>
          <w:sz w:val="20"/>
        </w:rPr>
        <w:t> </w:t>
      </w:r>
      <w:r>
        <w:rPr>
          <w:w w:val="120"/>
          <w:sz w:val="20"/>
        </w:rPr>
        <w:t>all;</w:t>
      </w:r>
    </w:p>
    <w:p>
      <w:pPr>
        <w:pStyle w:val="ListParagraph"/>
        <w:numPr>
          <w:ilvl w:val="0"/>
          <w:numId w:val="151"/>
        </w:numPr>
        <w:tabs>
          <w:tab w:pos="2664" w:val="left" w:leader="none"/>
          <w:tab w:pos="2665" w:val="left" w:leader="none"/>
        </w:tabs>
        <w:spacing w:line="240" w:lineRule="exact" w:before="0" w:after="0"/>
        <w:ind w:left="2664" w:right="0" w:hanging="681"/>
        <w:jc w:val="left"/>
        <w:rPr>
          <w:sz w:val="20"/>
        </w:rPr>
      </w:pPr>
      <w:r>
        <w:rPr>
          <w:w w:val="120"/>
          <w:sz w:val="20"/>
        </w:rPr>
        <w:t>being meaningful, relevant to today and be the best it can</w:t>
      </w:r>
      <w:r>
        <w:rPr>
          <w:spacing w:val="31"/>
          <w:w w:val="120"/>
          <w:sz w:val="20"/>
        </w:rPr>
        <w:t> </w:t>
      </w:r>
      <w:r>
        <w:rPr>
          <w:w w:val="120"/>
          <w:sz w:val="20"/>
        </w:rPr>
        <w:t>be;</w:t>
      </w:r>
    </w:p>
    <w:p>
      <w:pPr>
        <w:pStyle w:val="ListParagraph"/>
        <w:numPr>
          <w:ilvl w:val="0"/>
          <w:numId w:val="151"/>
        </w:numPr>
        <w:tabs>
          <w:tab w:pos="2664" w:val="left" w:leader="none"/>
          <w:tab w:pos="2665" w:val="left" w:leader="none"/>
        </w:tabs>
        <w:spacing w:line="240" w:lineRule="exact" w:before="0" w:after="0"/>
        <w:ind w:left="2664" w:right="0" w:hanging="681"/>
        <w:jc w:val="left"/>
        <w:rPr>
          <w:sz w:val="20"/>
        </w:rPr>
      </w:pPr>
      <w:r>
        <w:rPr>
          <w:w w:val="120"/>
          <w:sz w:val="20"/>
        </w:rPr>
        <w:t>inspiring and building confidence in God’s presence and the</w:t>
      </w:r>
      <w:r>
        <w:rPr>
          <w:spacing w:val="39"/>
          <w:w w:val="120"/>
          <w:sz w:val="20"/>
        </w:rPr>
        <w:t> </w:t>
      </w:r>
      <w:r>
        <w:rPr>
          <w:w w:val="120"/>
          <w:sz w:val="20"/>
        </w:rPr>
        <w:t>gospel;</w:t>
      </w:r>
    </w:p>
    <w:p>
      <w:pPr>
        <w:pStyle w:val="ListParagraph"/>
        <w:numPr>
          <w:ilvl w:val="0"/>
          <w:numId w:val="151"/>
        </w:numPr>
        <w:tabs>
          <w:tab w:pos="2664" w:val="left" w:leader="none"/>
          <w:tab w:pos="2665" w:val="left" w:leader="none"/>
        </w:tabs>
        <w:spacing w:line="240" w:lineRule="exact" w:before="0" w:after="0"/>
        <w:ind w:left="2664" w:right="0" w:hanging="681"/>
        <w:jc w:val="left"/>
        <w:rPr>
          <w:sz w:val="20"/>
        </w:rPr>
      </w:pPr>
      <w:r>
        <w:rPr>
          <w:w w:val="120"/>
          <w:sz w:val="20"/>
        </w:rPr>
        <w:t>enabling children and young people to offer worship and</w:t>
      </w:r>
      <w:r>
        <w:rPr>
          <w:spacing w:val="32"/>
          <w:w w:val="120"/>
          <w:sz w:val="20"/>
        </w:rPr>
        <w:t> </w:t>
      </w:r>
      <w:r>
        <w:rPr>
          <w:w w:val="120"/>
          <w:sz w:val="20"/>
        </w:rPr>
        <w:t>leadership;</w:t>
      </w:r>
    </w:p>
    <w:p>
      <w:pPr>
        <w:pStyle w:val="ListParagraph"/>
        <w:numPr>
          <w:ilvl w:val="0"/>
          <w:numId w:val="151"/>
        </w:numPr>
        <w:tabs>
          <w:tab w:pos="2664" w:val="left" w:leader="none"/>
          <w:tab w:pos="2665" w:val="left" w:leader="none"/>
        </w:tabs>
        <w:spacing w:line="281" w:lineRule="exact" w:before="0" w:after="0"/>
        <w:ind w:left="2664" w:right="0" w:hanging="681"/>
        <w:jc w:val="left"/>
        <w:rPr>
          <w:sz w:val="20"/>
        </w:rPr>
      </w:pPr>
      <w:r>
        <w:rPr>
          <w:w w:val="120"/>
          <w:sz w:val="20"/>
        </w:rPr>
        <w:t>developing the spirituality of children and young</w:t>
      </w:r>
      <w:r>
        <w:rPr>
          <w:spacing w:val="23"/>
          <w:w w:val="120"/>
          <w:sz w:val="20"/>
        </w:rPr>
        <w:t> </w:t>
      </w:r>
      <w:r>
        <w:rPr>
          <w:w w:val="120"/>
          <w:sz w:val="20"/>
        </w:rPr>
        <w:t>people.</w:t>
      </w:r>
    </w:p>
    <w:p>
      <w:pPr>
        <w:pStyle w:val="ListParagraph"/>
        <w:numPr>
          <w:ilvl w:val="2"/>
          <w:numId w:val="149"/>
        </w:numPr>
        <w:tabs>
          <w:tab w:pos="2664" w:val="left" w:leader="none"/>
          <w:tab w:pos="2665" w:val="left" w:leader="none"/>
        </w:tabs>
        <w:spacing w:line="235" w:lineRule="auto" w:before="192" w:after="0"/>
        <w:ind w:left="1984" w:right="1807" w:firstLine="0"/>
        <w:jc w:val="left"/>
        <w:rPr>
          <w:sz w:val="20"/>
        </w:rPr>
      </w:pPr>
      <w:r>
        <w:rPr>
          <w:w w:val="120"/>
          <w:sz w:val="20"/>
        </w:rPr>
        <w:t>The Child Friendly Church Award encourages local churches to engage seriously with children and young people by reflecting on different aspects of worship. We are delighted that </w:t>
      </w:r>
      <w:r>
        <w:rPr>
          <w:spacing w:val="-4"/>
          <w:w w:val="120"/>
          <w:sz w:val="20"/>
        </w:rPr>
        <w:t>55 </w:t>
      </w:r>
      <w:r>
        <w:rPr>
          <w:w w:val="120"/>
          <w:sz w:val="20"/>
        </w:rPr>
        <w:t>churches have received the award and a further 60 are working towards this recognition. Local churches have already given us feedback to say that the award has attracted new families to the church and has improved their work with young</w:t>
      </w:r>
      <w:r>
        <w:rPr>
          <w:spacing w:val="14"/>
          <w:w w:val="120"/>
          <w:sz w:val="20"/>
        </w:rPr>
        <w:t> </w:t>
      </w:r>
      <w:r>
        <w:rPr>
          <w:w w:val="120"/>
          <w:sz w:val="20"/>
        </w:rPr>
        <w:t>people.</w:t>
      </w:r>
    </w:p>
    <w:p>
      <w:pPr>
        <w:pStyle w:val="BodyText"/>
      </w:pPr>
    </w:p>
    <w:p>
      <w:pPr>
        <w:pStyle w:val="ListParagraph"/>
        <w:numPr>
          <w:ilvl w:val="2"/>
          <w:numId w:val="149"/>
        </w:numPr>
        <w:tabs>
          <w:tab w:pos="2664" w:val="left" w:leader="none"/>
          <w:tab w:pos="2665" w:val="left" w:leader="none"/>
        </w:tabs>
        <w:spacing w:line="235" w:lineRule="auto" w:before="0" w:after="0"/>
        <w:ind w:left="1984" w:right="1862" w:hanging="1"/>
        <w:jc w:val="left"/>
        <w:rPr>
          <w:sz w:val="20"/>
        </w:rPr>
      </w:pPr>
      <w:r>
        <w:rPr>
          <w:w w:val="120"/>
          <w:sz w:val="20"/>
        </w:rPr>
        <w:t>One </w:t>
      </w:r>
      <w:r>
        <w:rPr>
          <w:spacing w:val="-2"/>
          <w:w w:val="120"/>
          <w:sz w:val="20"/>
        </w:rPr>
        <w:t>way </w:t>
      </w:r>
      <w:r>
        <w:rPr>
          <w:w w:val="120"/>
          <w:sz w:val="20"/>
        </w:rPr>
        <w:t>in which we can support </w:t>
      </w:r>
      <w:r>
        <w:rPr>
          <w:spacing w:val="-3"/>
          <w:w w:val="120"/>
          <w:sz w:val="20"/>
        </w:rPr>
        <w:t>children </w:t>
      </w:r>
      <w:r>
        <w:rPr>
          <w:w w:val="120"/>
          <w:sz w:val="20"/>
        </w:rPr>
        <w:t>and </w:t>
      </w:r>
      <w:r>
        <w:rPr>
          <w:spacing w:val="-3"/>
          <w:w w:val="120"/>
          <w:sz w:val="20"/>
        </w:rPr>
        <w:t>young </w:t>
      </w:r>
      <w:r>
        <w:rPr>
          <w:w w:val="120"/>
          <w:sz w:val="20"/>
        </w:rPr>
        <w:t>people in their </w:t>
      </w:r>
      <w:r>
        <w:rPr>
          <w:spacing w:val="-3"/>
          <w:w w:val="120"/>
          <w:sz w:val="20"/>
        </w:rPr>
        <w:t>involvement </w:t>
      </w:r>
      <w:r>
        <w:rPr>
          <w:w w:val="120"/>
          <w:sz w:val="20"/>
        </w:rPr>
        <w:t>in </w:t>
      </w:r>
      <w:r>
        <w:rPr>
          <w:spacing w:val="-3"/>
          <w:w w:val="120"/>
          <w:sz w:val="20"/>
        </w:rPr>
        <w:t>worship, </w:t>
      </w:r>
      <w:r>
        <w:rPr>
          <w:w w:val="120"/>
          <w:sz w:val="20"/>
        </w:rPr>
        <w:t>is by </w:t>
      </w:r>
      <w:r>
        <w:rPr>
          <w:spacing w:val="-2"/>
          <w:w w:val="120"/>
          <w:sz w:val="20"/>
        </w:rPr>
        <w:t>providing </w:t>
      </w:r>
      <w:r>
        <w:rPr>
          <w:w w:val="120"/>
          <w:sz w:val="20"/>
        </w:rPr>
        <w:t>opportunities for a range of </w:t>
      </w:r>
      <w:r>
        <w:rPr>
          <w:spacing w:val="-3"/>
          <w:w w:val="120"/>
          <w:sz w:val="20"/>
        </w:rPr>
        <w:t>worship </w:t>
      </w:r>
      <w:r>
        <w:rPr>
          <w:w w:val="120"/>
          <w:sz w:val="20"/>
        </w:rPr>
        <w:t>and reflection for </w:t>
      </w:r>
      <w:r>
        <w:rPr>
          <w:spacing w:val="-3"/>
          <w:w w:val="120"/>
          <w:sz w:val="20"/>
        </w:rPr>
        <w:t>children </w:t>
      </w:r>
      <w:r>
        <w:rPr>
          <w:w w:val="120"/>
          <w:sz w:val="20"/>
        </w:rPr>
        <w:t>at </w:t>
      </w:r>
      <w:r>
        <w:rPr>
          <w:spacing w:val="-5"/>
          <w:w w:val="120"/>
          <w:sz w:val="20"/>
        </w:rPr>
        <w:t>children’s </w:t>
      </w:r>
      <w:r>
        <w:rPr>
          <w:w w:val="120"/>
          <w:sz w:val="20"/>
        </w:rPr>
        <w:t>events. But we also need </w:t>
      </w:r>
      <w:r>
        <w:rPr>
          <w:spacing w:val="-3"/>
          <w:w w:val="120"/>
          <w:sz w:val="20"/>
        </w:rPr>
        <w:t>to empower children to </w:t>
      </w:r>
      <w:r>
        <w:rPr>
          <w:w w:val="120"/>
          <w:sz w:val="20"/>
        </w:rPr>
        <w:t>plan and lead </w:t>
      </w:r>
      <w:r>
        <w:rPr>
          <w:spacing w:val="-3"/>
          <w:w w:val="120"/>
          <w:sz w:val="20"/>
        </w:rPr>
        <w:t>worship </w:t>
      </w:r>
      <w:r>
        <w:rPr>
          <w:w w:val="120"/>
          <w:sz w:val="20"/>
        </w:rPr>
        <w:t>for and with </w:t>
      </w:r>
      <w:r>
        <w:rPr>
          <w:spacing w:val="-3"/>
          <w:w w:val="120"/>
          <w:sz w:val="20"/>
        </w:rPr>
        <w:t>children </w:t>
      </w:r>
      <w:r>
        <w:rPr>
          <w:w w:val="120"/>
          <w:sz w:val="20"/>
        </w:rPr>
        <w:t>and adults; </w:t>
      </w:r>
      <w:r>
        <w:rPr>
          <w:spacing w:val="-3"/>
          <w:w w:val="120"/>
          <w:sz w:val="20"/>
        </w:rPr>
        <w:t>this </w:t>
      </w:r>
      <w:r>
        <w:rPr>
          <w:w w:val="120"/>
          <w:sz w:val="20"/>
        </w:rPr>
        <w:t>is something that</w:t>
      </w:r>
      <w:r>
        <w:rPr>
          <w:spacing w:val="-39"/>
          <w:w w:val="120"/>
          <w:sz w:val="20"/>
        </w:rPr>
        <w:t> </w:t>
      </w:r>
      <w:r>
        <w:rPr>
          <w:w w:val="120"/>
          <w:sz w:val="20"/>
        </w:rPr>
        <w:t>we </w:t>
      </w:r>
      <w:r>
        <w:rPr>
          <w:spacing w:val="-3"/>
          <w:w w:val="120"/>
          <w:sz w:val="20"/>
        </w:rPr>
        <w:t>have </w:t>
      </w:r>
      <w:r>
        <w:rPr>
          <w:w w:val="120"/>
          <w:sz w:val="20"/>
        </w:rPr>
        <w:t>supported through synod </w:t>
      </w:r>
      <w:r>
        <w:rPr>
          <w:spacing w:val="-5"/>
          <w:w w:val="120"/>
          <w:sz w:val="20"/>
        </w:rPr>
        <w:t>children’s </w:t>
      </w:r>
      <w:r>
        <w:rPr>
          <w:w w:val="120"/>
          <w:sz w:val="20"/>
        </w:rPr>
        <w:t>events and at Assembly </w:t>
      </w:r>
      <w:r>
        <w:rPr>
          <w:spacing w:val="-3"/>
          <w:w w:val="120"/>
          <w:sz w:val="20"/>
        </w:rPr>
        <w:t>level </w:t>
      </w:r>
      <w:r>
        <w:rPr>
          <w:w w:val="120"/>
          <w:sz w:val="20"/>
        </w:rPr>
        <w:t>events</w:t>
      </w:r>
      <w:r>
        <w:rPr>
          <w:spacing w:val="-11"/>
          <w:w w:val="120"/>
          <w:sz w:val="20"/>
        </w:rPr>
        <w:t> </w:t>
      </w:r>
      <w:r>
        <w:rPr>
          <w:spacing w:val="-3"/>
          <w:w w:val="120"/>
          <w:sz w:val="20"/>
        </w:rPr>
        <w:t>too.</w:t>
      </w:r>
    </w:p>
    <w:p>
      <w:pPr>
        <w:pStyle w:val="BodyText"/>
      </w:pPr>
    </w:p>
    <w:p>
      <w:pPr>
        <w:pStyle w:val="ListParagraph"/>
        <w:numPr>
          <w:ilvl w:val="2"/>
          <w:numId w:val="149"/>
        </w:numPr>
        <w:tabs>
          <w:tab w:pos="2664" w:val="left" w:leader="none"/>
          <w:tab w:pos="2665" w:val="left" w:leader="none"/>
        </w:tabs>
        <w:spacing w:line="235" w:lineRule="auto" w:before="0" w:after="0"/>
        <w:ind w:left="1984" w:right="1932" w:firstLine="0"/>
        <w:jc w:val="left"/>
        <w:rPr>
          <w:sz w:val="20"/>
        </w:rPr>
      </w:pPr>
      <w:r>
        <w:rPr>
          <w:spacing w:val="-3"/>
          <w:w w:val="120"/>
          <w:sz w:val="20"/>
        </w:rPr>
        <w:t>We </w:t>
      </w:r>
      <w:r>
        <w:rPr>
          <w:w w:val="120"/>
          <w:sz w:val="20"/>
        </w:rPr>
        <w:t>are in the process of printing a new </w:t>
      </w:r>
      <w:r>
        <w:rPr>
          <w:spacing w:val="-3"/>
          <w:w w:val="120"/>
          <w:sz w:val="20"/>
        </w:rPr>
        <w:t>resource </w:t>
      </w:r>
      <w:r>
        <w:rPr>
          <w:w w:val="120"/>
          <w:sz w:val="20"/>
        </w:rPr>
        <w:t>for those local </w:t>
      </w:r>
      <w:r>
        <w:rPr>
          <w:spacing w:val="-3"/>
          <w:w w:val="120"/>
          <w:sz w:val="20"/>
        </w:rPr>
        <w:t>churches </w:t>
      </w:r>
      <w:r>
        <w:rPr>
          <w:w w:val="120"/>
          <w:sz w:val="20"/>
        </w:rPr>
        <w:t>thinking about </w:t>
      </w:r>
      <w:r>
        <w:rPr>
          <w:spacing w:val="-3"/>
          <w:w w:val="120"/>
          <w:sz w:val="20"/>
        </w:rPr>
        <w:t>children </w:t>
      </w:r>
      <w:r>
        <w:rPr>
          <w:w w:val="120"/>
          <w:sz w:val="20"/>
        </w:rPr>
        <w:t>and Holy </w:t>
      </w:r>
      <w:r>
        <w:rPr>
          <w:spacing w:val="-3"/>
          <w:w w:val="120"/>
          <w:sz w:val="20"/>
        </w:rPr>
        <w:t>Communion. </w:t>
      </w:r>
      <w:r>
        <w:rPr>
          <w:w w:val="120"/>
          <w:sz w:val="20"/>
        </w:rPr>
        <w:t>Over the past five years, </w:t>
      </w:r>
      <w:r>
        <w:rPr>
          <w:spacing w:val="-3"/>
          <w:w w:val="120"/>
          <w:sz w:val="20"/>
        </w:rPr>
        <w:t>many churches have </w:t>
      </w:r>
      <w:r>
        <w:rPr>
          <w:w w:val="120"/>
          <w:sz w:val="20"/>
        </w:rPr>
        <w:t>spent time </w:t>
      </w:r>
      <w:r>
        <w:rPr>
          <w:spacing w:val="-3"/>
          <w:w w:val="120"/>
          <w:sz w:val="20"/>
        </w:rPr>
        <w:t>discerning </w:t>
      </w:r>
      <w:r>
        <w:rPr>
          <w:w w:val="120"/>
          <w:sz w:val="20"/>
        </w:rPr>
        <w:t>an appropriate response and the </w:t>
      </w:r>
      <w:r>
        <w:rPr>
          <w:spacing w:val="-5"/>
          <w:w w:val="120"/>
          <w:sz w:val="20"/>
        </w:rPr>
        <w:t>Youth </w:t>
      </w:r>
      <w:r>
        <w:rPr>
          <w:w w:val="120"/>
          <w:sz w:val="20"/>
        </w:rPr>
        <w:t>and </w:t>
      </w:r>
      <w:r>
        <w:rPr>
          <w:spacing w:val="-5"/>
          <w:w w:val="120"/>
          <w:sz w:val="20"/>
        </w:rPr>
        <w:t>Children’s </w:t>
      </w:r>
      <w:r>
        <w:rPr>
          <w:w w:val="120"/>
          <w:sz w:val="20"/>
        </w:rPr>
        <w:t>Work </w:t>
      </w:r>
      <w:r>
        <w:rPr>
          <w:spacing w:val="-3"/>
          <w:w w:val="120"/>
          <w:sz w:val="20"/>
        </w:rPr>
        <w:t>Committee </w:t>
      </w:r>
      <w:r>
        <w:rPr>
          <w:w w:val="120"/>
          <w:sz w:val="20"/>
        </w:rPr>
        <w:t>will offer support </w:t>
      </w:r>
      <w:r>
        <w:rPr>
          <w:spacing w:val="-3"/>
          <w:w w:val="120"/>
          <w:sz w:val="20"/>
        </w:rPr>
        <w:t>to any </w:t>
      </w:r>
      <w:r>
        <w:rPr>
          <w:w w:val="120"/>
          <w:sz w:val="20"/>
        </w:rPr>
        <w:t>local </w:t>
      </w:r>
      <w:r>
        <w:rPr>
          <w:spacing w:val="-3"/>
          <w:w w:val="120"/>
          <w:sz w:val="20"/>
        </w:rPr>
        <w:t>church </w:t>
      </w:r>
      <w:r>
        <w:rPr>
          <w:w w:val="120"/>
          <w:sz w:val="20"/>
        </w:rPr>
        <w:t>that is</w:t>
      </w:r>
      <w:r>
        <w:rPr>
          <w:spacing w:val="1"/>
          <w:w w:val="120"/>
          <w:sz w:val="20"/>
        </w:rPr>
        <w:t> </w:t>
      </w:r>
      <w:r>
        <w:rPr>
          <w:spacing w:val="-3"/>
          <w:w w:val="120"/>
          <w:sz w:val="20"/>
        </w:rPr>
        <w:t>interested.</w:t>
      </w:r>
    </w:p>
    <w:p>
      <w:pPr>
        <w:pStyle w:val="BodyText"/>
      </w:pPr>
    </w:p>
    <w:p>
      <w:pPr>
        <w:pStyle w:val="BodyText"/>
        <w:spacing w:before="11"/>
        <w:rPr>
          <w:sz w:val="26"/>
        </w:rPr>
      </w:pPr>
    </w:p>
    <w:p>
      <w:pPr>
        <w:tabs>
          <w:tab w:pos="10630" w:val="left" w:leader="none"/>
        </w:tabs>
        <w:spacing w:before="97"/>
        <w:ind w:left="468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191</w:t>
      </w:r>
    </w:p>
    <w:p>
      <w:pPr>
        <w:spacing w:after="0"/>
        <w:jc w:val="left"/>
        <w:rPr>
          <w:rFonts w:ascii="Stone Sans II ITC Std X Bd" w:hAnsi="Stone Sans II ITC Std X Bd"/>
          <w:sz w:val="24"/>
        </w:rPr>
        <w:sectPr>
          <w:headerReference w:type="default" r:id="rId492"/>
          <w:headerReference w:type="even" r:id="rId493"/>
          <w:footerReference w:type="default" r:id="rId494"/>
          <w:pgSz w:w="11910" w:h="16840"/>
          <w:pgMar w:header="0" w:footer="0" w:top="1280" w:bottom="280" w:left="0" w:right="0"/>
        </w:sectPr>
      </w:pPr>
    </w:p>
    <w:p>
      <w:pPr>
        <w:pStyle w:val="BodyText"/>
        <w:rPr>
          <w:rFonts w:ascii="Stone Sans II ITC Std X Bd"/>
          <w:b/>
          <w:sz w:val="18"/>
        </w:rPr>
      </w:pPr>
    </w:p>
    <w:p>
      <w:pPr>
        <w:pStyle w:val="ListParagraph"/>
        <w:numPr>
          <w:ilvl w:val="2"/>
          <w:numId w:val="149"/>
        </w:numPr>
        <w:tabs>
          <w:tab w:pos="1814" w:val="left" w:leader="none"/>
          <w:tab w:pos="1815" w:val="left" w:leader="none"/>
        </w:tabs>
        <w:spacing w:line="235" w:lineRule="auto" w:before="104" w:after="0"/>
        <w:ind w:left="1133" w:right="2039" w:firstLine="0"/>
        <w:jc w:val="left"/>
        <w:rPr>
          <w:sz w:val="20"/>
        </w:rPr>
      </w:pPr>
      <w:r>
        <w:rPr/>
        <w:pict>
          <v:rect style="position:absolute;margin-left:12.047pt;margin-top:-3.672658pt;width:22.677pt;height:22.677pt;mso-position-horizontal-relative:page;mso-position-vertical-relative:paragraph;z-index:252239872" filled="true" fillcolor="#dae4ec" stroked="false">
            <v:fill opacity="32768f" type="solid"/>
            <w10:wrap type="none"/>
          </v:rect>
        </w:pict>
      </w:r>
      <w:r>
        <w:rPr>
          <w:w w:val="120"/>
          <w:sz w:val="20"/>
        </w:rPr>
        <w:t>We have continued to support publishing organisations such as Scripture Union, Roots and Bible Reading Fellowship, to ensure that a broad range of worship resources is available to churches. This has included writing, and finding other URC writers for Roots, to ensure a breadth of theology and that the needs of the URC are</w:t>
      </w:r>
      <w:r>
        <w:rPr>
          <w:spacing w:val="26"/>
          <w:w w:val="120"/>
          <w:sz w:val="20"/>
        </w:rPr>
        <w:t> </w:t>
      </w:r>
      <w:r>
        <w:rPr>
          <w:w w:val="120"/>
          <w:sz w:val="20"/>
        </w:rPr>
        <w:t>represented.</w:t>
      </w:r>
    </w:p>
    <w:p>
      <w:pPr>
        <w:pStyle w:val="BodyText"/>
        <w:spacing w:before="11"/>
        <w:rPr>
          <w:sz w:val="19"/>
        </w:rPr>
      </w:pPr>
    </w:p>
    <w:p>
      <w:pPr>
        <w:pStyle w:val="ListParagraph"/>
        <w:numPr>
          <w:ilvl w:val="2"/>
          <w:numId w:val="149"/>
        </w:numPr>
        <w:tabs>
          <w:tab w:pos="1814" w:val="left" w:leader="none"/>
          <w:tab w:pos="1815" w:val="left" w:leader="none"/>
        </w:tabs>
        <w:spacing w:line="235" w:lineRule="auto" w:before="0" w:after="0"/>
        <w:ind w:left="1133" w:right="2182" w:firstLine="0"/>
        <w:jc w:val="left"/>
        <w:rPr>
          <w:sz w:val="20"/>
        </w:rPr>
      </w:pPr>
      <w:r>
        <w:rPr>
          <w:w w:val="120"/>
          <w:sz w:val="20"/>
        </w:rPr>
        <w:t>Worship in the Pilots’ context continues to thrive in the mid week meetings with more and more Pilots companies leading worship in their churches, some on a regular basis, using the annual Pilots worship</w:t>
      </w:r>
      <w:r>
        <w:rPr>
          <w:spacing w:val="10"/>
          <w:w w:val="120"/>
          <w:sz w:val="20"/>
        </w:rPr>
        <w:t> </w:t>
      </w:r>
      <w:r>
        <w:rPr>
          <w:w w:val="120"/>
          <w:sz w:val="20"/>
        </w:rPr>
        <w:t>materials.</w:t>
      </w:r>
    </w:p>
    <w:p>
      <w:pPr>
        <w:pStyle w:val="BodyText"/>
        <w:spacing w:before="10"/>
        <w:rPr>
          <w:sz w:val="19"/>
        </w:rPr>
      </w:pPr>
    </w:p>
    <w:p>
      <w:pPr>
        <w:pStyle w:val="ListParagraph"/>
        <w:numPr>
          <w:ilvl w:val="2"/>
          <w:numId w:val="149"/>
        </w:numPr>
        <w:tabs>
          <w:tab w:pos="1814" w:val="left" w:leader="none"/>
          <w:tab w:pos="1815" w:val="left" w:leader="none"/>
        </w:tabs>
        <w:spacing w:line="235" w:lineRule="auto" w:before="0" w:after="0"/>
        <w:ind w:left="1133" w:right="2102" w:firstLine="0"/>
        <w:jc w:val="left"/>
        <w:rPr>
          <w:sz w:val="20"/>
        </w:rPr>
      </w:pPr>
      <w:r>
        <w:rPr>
          <w:w w:val="120"/>
          <w:sz w:val="20"/>
        </w:rPr>
        <w:t>At residential Pilots’ events, worship plays a key role and many Pilots are involved with the planning and delivery of worship in these contexts. Many of our Pilots are confident and competent worship leaders and enjoy the opportunities they are offered in their local church to participate in the life of the church in this</w:t>
      </w:r>
      <w:r>
        <w:rPr>
          <w:spacing w:val="29"/>
          <w:w w:val="120"/>
          <w:sz w:val="20"/>
        </w:rPr>
        <w:t> </w:t>
      </w:r>
      <w:r>
        <w:rPr>
          <w:spacing w:val="-4"/>
          <w:w w:val="120"/>
          <w:sz w:val="20"/>
        </w:rPr>
        <w:t>way.</w:t>
      </w:r>
    </w:p>
    <w:p>
      <w:pPr>
        <w:pStyle w:val="BodyText"/>
        <w:spacing w:before="11"/>
        <w:rPr>
          <w:sz w:val="19"/>
        </w:rPr>
      </w:pPr>
    </w:p>
    <w:p>
      <w:pPr>
        <w:pStyle w:val="ListParagraph"/>
        <w:numPr>
          <w:ilvl w:val="2"/>
          <w:numId w:val="149"/>
        </w:numPr>
        <w:tabs>
          <w:tab w:pos="1814" w:val="left" w:leader="none"/>
          <w:tab w:pos="1815" w:val="left" w:leader="none"/>
        </w:tabs>
        <w:spacing w:line="235" w:lineRule="auto" w:before="0" w:after="0"/>
        <w:ind w:left="1133" w:right="2011" w:firstLine="0"/>
        <w:jc w:val="left"/>
        <w:rPr>
          <w:sz w:val="20"/>
        </w:rPr>
      </w:pPr>
      <w:r>
        <w:rPr>
          <w:w w:val="120"/>
          <w:sz w:val="20"/>
        </w:rPr>
        <w:t>FURY Assembly in </w:t>
      </w:r>
      <w:r>
        <w:rPr>
          <w:spacing w:val="-6"/>
          <w:w w:val="120"/>
          <w:sz w:val="20"/>
        </w:rPr>
        <w:t>2010 </w:t>
      </w:r>
      <w:r>
        <w:rPr>
          <w:w w:val="120"/>
          <w:sz w:val="20"/>
        </w:rPr>
        <w:t>focused on prayer, as did the </w:t>
      </w:r>
      <w:r>
        <w:rPr>
          <w:spacing w:val="-5"/>
          <w:w w:val="120"/>
          <w:sz w:val="20"/>
        </w:rPr>
        <w:t>24/7 </w:t>
      </w:r>
      <w:r>
        <w:rPr>
          <w:w w:val="120"/>
          <w:sz w:val="20"/>
        </w:rPr>
        <w:t>prayer initiative during Holy Week in </w:t>
      </w:r>
      <w:r>
        <w:rPr>
          <w:spacing w:val="-5"/>
          <w:w w:val="120"/>
          <w:sz w:val="20"/>
        </w:rPr>
        <w:t>2010. </w:t>
      </w:r>
      <w:r>
        <w:rPr>
          <w:w w:val="120"/>
          <w:sz w:val="20"/>
        </w:rPr>
        <w:t>Throughout FURY Assembly the young people concentrated on the importance of prayer, reflecting that sometimes even the simplest act can be regarded   as prayer. Prayer was explored through </w:t>
      </w:r>
      <w:r>
        <w:rPr>
          <w:spacing w:val="2"/>
          <w:w w:val="120"/>
          <w:sz w:val="20"/>
        </w:rPr>
        <w:t>art, </w:t>
      </w:r>
      <w:r>
        <w:rPr>
          <w:w w:val="120"/>
          <w:sz w:val="20"/>
        </w:rPr>
        <w:t>drama and silence. The </w:t>
      </w:r>
      <w:r>
        <w:rPr>
          <w:spacing w:val="-5"/>
          <w:w w:val="120"/>
          <w:sz w:val="20"/>
        </w:rPr>
        <w:t>24/7 </w:t>
      </w:r>
      <w:r>
        <w:rPr>
          <w:w w:val="120"/>
          <w:sz w:val="20"/>
        </w:rPr>
        <w:t>week of prayer captured the imagination of the young people and the rest of the Church and it is hoped that this can be repeated in the</w:t>
      </w:r>
      <w:r>
        <w:rPr>
          <w:spacing w:val="12"/>
          <w:w w:val="120"/>
          <w:sz w:val="20"/>
        </w:rPr>
        <w:t> </w:t>
      </w:r>
      <w:r>
        <w:rPr>
          <w:w w:val="120"/>
          <w:sz w:val="20"/>
        </w:rPr>
        <w:t>future.</w:t>
      </w:r>
    </w:p>
    <w:p>
      <w:pPr>
        <w:pStyle w:val="BodyText"/>
      </w:pPr>
    </w:p>
    <w:p>
      <w:pPr>
        <w:pStyle w:val="ListParagraph"/>
        <w:numPr>
          <w:ilvl w:val="2"/>
          <w:numId w:val="149"/>
        </w:numPr>
        <w:tabs>
          <w:tab w:pos="1814" w:val="left" w:leader="none"/>
          <w:tab w:pos="1815" w:val="left" w:leader="none"/>
        </w:tabs>
        <w:spacing w:line="235" w:lineRule="auto" w:before="0" w:after="0"/>
        <w:ind w:left="1133" w:right="1990" w:firstLine="0"/>
        <w:jc w:val="left"/>
        <w:rPr>
          <w:sz w:val="20"/>
        </w:rPr>
      </w:pPr>
      <w:r>
        <w:rPr>
          <w:w w:val="120"/>
          <w:sz w:val="20"/>
        </w:rPr>
        <w:t>FURY Assembly over the past two years has offered a variety of ways into worship. In order to respond to the diversity of the young people attending, worship has included </w:t>
      </w:r>
      <w:r>
        <w:rPr>
          <w:spacing w:val="-4"/>
          <w:w w:val="120"/>
          <w:sz w:val="20"/>
        </w:rPr>
        <w:t>Taizé </w:t>
      </w:r>
      <w:r>
        <w:rPr>
          <w:w w:val="120"/>
          <w:sz w:val="20"/>
        </w:rPr>
        <w:t>style, a worship band, an elaborate labyrinth, gospel music,</w:t>
      </w:r>
      <w:r>
        <w:rPr>
          <w:spacing w:val="43"/>
          <w:w w:val="120"/>
          <w:sz w:val="20"/>
        </w:rPr>
        <w:t> </w:t>
      </w:r>
      <w:r>
        <w:rPr>
          <w:w w:val="120"/>
          <w:sz w:val="20"/>
        </w:rPr>
        <w:t>contemplative</w:t>
      </w:r>
    </w:p>
    <w:p>
      <w:pPr>
        <w:pStyle w:val="BodyText"/>
        <w:spacing w:line="235" w:lineRule="auto" w:before="2"/>
        <w:ind w:left="1133" w:right="1997"/>
      </w:pPr>
      <w:r>
        <w:rPr>
          <w:w w:val="120"/>
        </w:rPr>
        <w:t>prayer and traditional expressions. Through this variety we have seen young people encountering God.</w:t>
      </w:r>
    </w:p>
    <w:p>
      <w:pPr>
        <w:pStyle w:val="BodyText"/>
        <w:spacing w:before="8"/>
        <w:rPr>
          <w:sz w:val="17"/>
        </w:rPr>
      </w:pPr>
    </w:p>
    <w:p>
      <w:pPr>
        <w:numPr>
          <w:ilvl w:val="1"/>
          <w:numId w:val="149"/>
        </w:numPr>
        <w:tabs>
          <w:tab w:pos="1853" w:val="left" w:leader="none"/>
          <w:tab w:pos="1854" w:val="left" w:leader="none"/>
        </w:tabs>
        <w:spacing w:before="0"/>
        <w:ind w:left="1853" w:right="0" w:hanging="721"/>
        <w:jc w:val="left"/>
        <w:rPr>
          <w:rFonts w:ascii="Stone Sans II ITC Std Bk"/>
          <w:b/>
          <w:sz w:val="21"/>
        </w:rPr>
      </w:pPr>
      <w:r>
        <w:rPr>
          <w:rFonts w:ascii="Stone Sans II ITC Std Bk"/>
          <w:b/>
          <w:spacing w:val="-3"/>
          <w:w w:val="115"/>
          <w:sz w:val="21"/>
        </w:rPr>
        <w:t>Talking </w:t>
      </w:r>
      <w:r>
        <w:rPr>
          <w:rFonts w:ascii="Stone Sans II ITC Std Bk"/>
          <w:b/>
          <w:w w:val="115"/>
          <w:sz w:val="21"/>
        </w:rPr>
        <w:t>about God</w:t>
      </w:r>
    </w:p>
    <w:p>
      <w:pPr>
        <w:pStyle w:val="ListParagraph"/>
        <w:numPr>
          <w:ilvl w:val="2"/>
          <w:numId w:val="149"/>
        </w:numPr>
        <w:tabs>
          <w:tab w:pos="1814" w:val="left" w:leader="none"/>
          <w:tab w:pos="1815" w:val="left" w:leader="none"/>
        </w:tabs>
        <w:spacing w:line="227" w:lineRule="exact" w:before="219" w:after="0"/>
        <w:ind w:left="1814" w:right="0" w:hanging="682"/>
        <w:jc w:val="left"/>
        <w:rPr>
          <w:sz w:val="20"/>
        </w:rPr>
      </w:pPr>
      <w:r>
        <w:rPr>
          <w:w w:val="120"/>
          <w:sz w:val="20"/>
        </w:rPr>
        <w:t>We will enable and encourage </w:t>
      </w:r>
      <w:r>
        <w:rPr>
          <w:i/>
          <w:w w:val="120"/>
          <w:sz w:val="20"/>
        </w:rPr>
        <w:t>all </w:t>
      </w:r>
      <w:r>
        <w:rPr>
          <w:w w:val="120"/>
          <w:sz w:val="20"/>
        </w:rPr>
        <w:t>to talk about God</w:t>
      </w:r>
      <w:r>
        <w:rPr>
          <w:spacing w:val="20"/>
          <w:w w:val="120"/>
          <w:sz w:val="20"/>
        </w:rPr>
        <w:t> </w:t>
      </w:r>
      <w:r>
        <w:rPr>
          <w:w w:val="120"/>
          <w:sz w:val="20"/>
        </w:rPr>
        <w:t>by:</w:t>
      </w:r>
    </w:p>
    <w:p>
      <w:pPr>
        <w:pStyle w:val="ListParagraph"/>
        <w:numPr>
          <w:ilvl w:val="0"/>
          <w:numId w:val="152"/>
        </w:numPr>
        <w:tabs>
          <w:tab w:pos="1814" w:val="left" w:leader="none"/>
          <w:tab w:pos="1815" w:val="left" w:leader="none"/>
        </w:tabs>
        <w:spacing w:line="264" w:lineRule="exact" w:before="0" w:after="0"/>
        <w:ind w:left="1814" w:right="0" w:hanging="682"/>
        <w:jc w:val="left"/>
        <w:rPr>
          <w:sz w:val="20"/>
        </w:rPr>
      </w:pPr>
      <w:r>
        <w:rPr>
          <w:w w:val="120"/>
          <w:sz w:val="20"/>
        </w:rPr>
        <w:t>developing our understanding of</w:t>
      </w:r>
      <w:r>
        <w:rPr>
          <w:spacing w:val="11"/>
          <w:w w:val="120"/>
          <w:sz w:val="20"/>
        </w:rPr>
        <w:t> </w:t>
      </w:r>
      <w:r>
        <w:rPr>
          <w:w w:val="120"/>
          <w:sz w:val="20"/>
        </w:rPr>
        <w:t>God;</w:t>
      </w:r>
    </w:p>
    <w:p>
      <w:pPr>
        <w:pStyle w:val="ListParagraph"/>
        <w:numPr>
          <w:ilvl w:val="0"/>
          <w:numId w:val="152"/>
        </w:numPr>
        <w:tabs>
          <w:tab w:pos="1814" w:val="left" w:leader="none"/>
          <w:tab w:pos="1815" w:val="left" w:leader="none"/>
        </w:tabs>
        <w:spacing w:line="240" w:lineRule="exact" w:before="0" w:after="0"/>
        <w:ind w:left="1814" w:right="0" w:hanging="682"/>
        <w:jc w:val="left"/>
        <w:rPr>
          <w:sz w:val="20"/>
        </w:rPr>
      </w:pPr>
      <w:r>
        <w:rPr>
          <w:w w:val="120"/>
          <w:sz w:val="20"/>
        </w:rPr>
        <w:t>sharing the </w:t>
      </w:r>
      <w:r>
        <w:rPr>
          <w:spacing w:val="2"/>
          <w:w w:val="120"/>
          <w:sz w:val="20"/>
        </w:rPr>
        <w:t>story </w:t>
      </w:r>
      <w:r>
        <w:rPr>
          <w:w w:val="120"/>
          <w:sz w:val="20"/>
        </w:rPr>
        <w:t>of</w:t>
      </w:r>
      <w:r>
        <w:rPr>
          <w:spacing w:val="5"/>
          <w:w w:val="120"/>
          <w:sz w:val="20"/>
        </w:rPr>
        <w:t> </w:t>
      </w:r>
      <w:r>
        <w:rPr>
          <w:w w:val="120"/>
          <w:sz w:val="20"/>
        </w:rPr>
        <w:t>faith;</w:t>
      </w:r>
    </w:p>
    <w:p>
      <w:pPr>
        <w:pStyle w:val="ListParagraph"/>
        <w:numPr>
          <w:ilvl w:val="0"/>
          <w:numId w:val="152"/>
        </w:numPr>
        <w:tabs>
          <w:tab w:pos="1814" w:val="left" w:leader="none"/>
          <w:tab w:pos="1815" w:val="left" w:leader="none"/>
        </w:tabs>
        <w:spacing w:line="240" w:lineRule="exact" w:before="0" w:after="0"/>
        <w:ind w:left="1814" w:right="0" w:hanging="682"/>
        <w:jc w:val="left"/>
        <w:rPr>
          <w:sz w:val="20"/>
        </w:rPr>
      </w:pPr>
      <w:r>
        <w:rPr>
          <w:w w:val="120"/>
          <w:sz w:val="20"/>
        </w:rPr>
        <w:t>valuing the spirituality of children and young</w:t>
      </w:r>
      <w:r>
        <w:rPr>
          <w:spacing w:val="19"/>
          <w:w w:val="120"/>
          <w:sz w:val="20"/>
        </w:rPr>
        <w:t> </w:t>
      </w:r>
      <w:r>
        <w:rPr>
          <w:w w:val="120"/>
          <w:sz w:val="20"/>
        </w:rPr>
        <w:t>people;</w:t>
      </w:r>
    </w:p>
    <w:p>
      <w:pPr>
        <w:pStyle w:val="ListParagraph"/>
        <w:numPr>
          <w:ilvl w:val="0"/>
          <w:numId w:val="152"/>
        </w:numPr>
        <w:tabs>
          <w:tab w:pos="1814" w:val="left" w:leader="none"/>
          <w:tab w:pos="1815" w:val="left" w:leader="none"/>
        </w:tabs>
        <w:spacing w:line="196" w:lineRule="auto" w:before="0" w:after="0"/>
        <w:ind w:left="1814" w:right="2943" w:hanging="681"/>
        <w:jc w:val="left"/>
        <w:rPr>
          <w:sz w:val="20"/>
        </w:rPr>
      </w:pPr>
      <w:r>
        <w:rPr>
          <w:w w:val="120"/>
          <w:sz w:val="20"/>
        </w:rPr>
        <w:t>continuing to explore what it means for all ages to believe and belong in the United Reformed</w:t>
      </w:r>
      <w:r>
        <w:rPr>
          <w:spacing w:val="6"/>
          <w:w w:val="120"/>
          <w:sz w:val="20"/>
        </w:rPr>
        <w:t> </w:t>
      </w:r>
      <w:r>
        <w:rPr>
          <w:w w:val="120"/>
          <w:sz w:val="20"/>
        </w:rPr>
        <w:t>Church;</w:t>
      </w:r>
    </w:p>
    <w:p>
      <w:pPr>
        <w:pStyle w:val="ListParagraph"/>
        <w:numPr>
          <w:ilvl w:val="0"/>
          <w:numId w:val="152"/>
        </w:numPr>
        <w:tabs>
          <w:tab w:pos="1814" w:val="left" w:leader="none"/>
          <w:tab w:pos="1815" w:val="left" w:leader="none"/>
        </w:tabs>
        <w:spacing w:line="196" w:lineRule="auto" w:before="15" w:after="0"/>
        <w:ind w:left="1814" w:right="3296" w:hanging="681"/>
        <w:jc w:val="left"/>
        <w:rPr>
          <w:sz w:val="20"/>
        </w:rPr>
      </w:pPr>
      <w:r>
        <w:rPr>
          <w:w w:val="120"/>
          <w:sz w:val="20"/>
        </w:rPr>
        <w:t>creating opportunities for people to engage faithfully with the world around</w:t>
      </w:r>
      <w:r>
        <w:rPr>
          <w:spacing w:val="2"/>
          <w:w w:val="120"/>
          <w:sz w:val="20"/>
        </w:rPr>
        <w:t> </w:t>
      </w:r>
      <w:r>
        <w:rPr>
          <w:w w:val="120"/>
          <w:sz w:val="20"/>
        </w:rPr>
        <w:t>them.</w:t>
      </w:r>
    </w:p>
    <w:p>
      <w:pPr>
        <w:pStyle w:val="BodyText"/>
        <w:spacing w:before="6"/>
      </w:pPr>
    </w:p>
    <w:p>
      <w:pPr>
        <w:pStyle w:val="ListParagraph"/>
        <w:numPr>
          <w:ilvl w:val="2"/>
          <w:numId w:val="149"/>
        </w:numPr>
        <w:tabs>
          <w:tab w:pos="1814" w:val="left" w:leader="none"/>
          <w:tab w:pos="1815" w:val="left" w:leader="none"/>
        </w:tabs>
        <w:spacing w:line="235" w:lineRule="auto" w:before="0" w:after="0"/>
        <w:ind w:left="1133" w:right="2173" w:firstLine="0"/>
        <w:jc w:val="left"/>
        <w:rPr>
          <w:sz w:val="20"/>
        </w:rPr>
      </w:pPr>
      <w:r>
        <w:rPr>
          <w:w w:val="120"/>
          <w:sz w:val="20"/>
        </w:rPr>
        <w:t>The Pilots Worship pack: </w:t>
      </w:r>
      <w:r>
        <w:rPr>
          <w:i/>
          <w:w w:val="120"/>
          <w:sz w:val="20"/>
        </w:rPr>
        <w:t>All together now </w:t>
      </w:r>
      <w:r>
        <w:rPr>
          <w:w w:val="120"/>
          <w:sz w:val="20"/>
        </w:rPr>
        <w:t>produced in 2009 looked at the context of the local church, its mission in the local community and its relationship with the world. </w:t>
      </w:r>
      <w:r>
        <w:rPr>
          <w:i/>
          <w:w w:val="120"/>
          <w:sz w:val="20"/>
        </w:rPr>
        <w:t>The Trinity </w:t>
      </w:r>
      <w:r>
        <w:rPr>
          <w:w w:val="120"/>
          <w:sz w:val="20"/>
        </w:rPr>
        <w:t>pack produced in </w:t>
      </w:r>
      <w:r>
        <w:rPr>
          <w:spacing w:val="-6"/>
          <w:w w:val="120"/>
          <w:sz w:val="20"/>
        </w:rPr>
        <w:t>2010 </w:t>
      </w:r>
      <w:r>
        <w:rPr>
          <w:w w:val="120"/>
          <w:sz w:val="20"/>
        </w:rPr>
        <w:t>engages with the concept of the </w:t>
      </w:r>
      <w:r>
        <w:rPr>
          <w:spacing w:val="-3"/>
          <w:w w:val="120"/>
          <w:sz w:val="20"/>
        </w:rPr>
        <w:t>Trinity, </w:t>
      </w:r>
      <w:r>
        <w:rPr>
          <w:w w:val="120"/>
          <w:sz w:val="20"/>
        </w:rPr>
        <w:t>exploring the three aspects of God as we experience them in our day to day lives. Through a number of themed sections Pilots engage with the subject and culminate their understanding of the theme by leading their local church in worship on Pilots </w:t>
      </w:r>
      <w:r>
        <w:rPr>
          <w:spacing w:val="-3"/>
          <w:w w:val="120"/>
          <w:sz w:val="20"/>
        </w:rPr>
        <w:t>Sunday. </w:t>
      </w:r>
      <w:r>
        <w:rPr>
          <w:w w:val="120"/>
          <w:sz w:val="20"/>
        </w:rPr>
        <w:t>All Pilots materials are written for the ecumenical context in which Pilots</w:t>
      </w:r>
      <w:r>
        <w:rPr>
          <w:spacing w:val="5"/>
          <w:w w:val="120"/>
          <w:sz w:val="20"/>
        </w:rPr>
        <w:t> </w:t>
      </w:r>
      <w:r>
        <w:rPr>
          <w:w w:val="120"/>
          <w:sz w:val="20"/>
        </w:rPr>
        <w:t>serves</w:t>
      </w:r>
    </w:p>
    <w:p>
      <w:pPr>
        <w:pStyle w:val="BodyText"/>
        <w:spacing w:line="235" w:lineRule="auto" w:before="5"/>
        <w:ind w:left="1133" w:right="1997"/>
      </w:pPr>
      <w:r>
        <w:rPr>
          <w:w w:val="120"/>
        </w:rPr>
        <w:t>and is aimed at a predominantly non-church user group as the majority of Pilots are from our local communities and not from our local churches, initially.</w:t>
      </w:r>
    </w:p>
    <w:p>
      <w:pPr>
        <w:pStyle w:val="BodyText"/>
        <w:spacing w:before="9"/>
        <w:rPr>
          <w:sz w:val="19"/>
        </w:rPr>
      </w:pPr>
    </w:p>
    <w:p>
      <w:pPr>
        <w:pStyle w:val="ListParagraph"/>
        <w:numPr>
          <w:ilvl w:val="2"/>
          <w:numId w:val="149"/>
        </w:numPr>
        <w:tabs>
          <w:tab w:pos="1814" w:val="left" w:leader="none"/>
          <w:tab w:pos="1815" w:val="left" w:leader="none"/>
        </w:tabs>
        <w:spacing w:line="235" w:lineRule="auto" w:before="0" w:after="0"/>
        <w:ind w:left="1133" w:right="2278" w:firstLine="0"/>
        <w:jc w:val="left"/>
        <w:rPr>
          <w:sz w:val="20"/>
        </w:rPr>
      </w:pPr>
      <w:r>
        <w:rPr>
          <w:w w:val="120"/>
          <w:sz w:val="20"/>
        </w:rPr>
        <w:t>Creating space and environment for conversation about God is vital. At the summer residential event last </w:t>
      </w:r>
      <w:r>
        <w:rPr>
          <w:spacing w:val="-4"/>
          <w:w w:val="120"/>
          <w:sz w:val="20"/>
        </w:rPr>
        <w:t>year, </w:t>
      </w:r>
      <w:r>
        <w:rPr>
          <w:w w:val="120"/>
          <w:sz w:val="20"/>
        </w:rPr>
        <w:t>four Pilots engaged in a conversation about prayer. Their ages were between </w:t>
      </w:r>
      <w:r>
        <w:rPr>
          <w:spacing w:val="-11"/>
          <w:w w:val="120"/>
          <w:sz w:val="20"/>
        </w:rPr>
        <w:t>11 </w:t>
      </w:r>
      <w:r>
        <w:rPr>
          <w:w w:val="120"/>
          <w:sz w:val="20"/>
        </w:rPr>
        <w:t>and </w:t>
      </w:r>
      <w:r>
        <w:rPr>
          <w:spacing w:val="-11"/>
          <w:w w:val="120"/>
          <w:sz w:val="20"/>
        </w:rPr>
        <w:t>13 </w:t>
      </w:r>
      <w:r>
        <w:rPr>
          <w:w w:val="120"/>
          <w:sz w:val="20"/>
        </w:rPr>
        <w:t>and their backgrounds were no church, Roman Catholic, URC and Methodist. Their question was: why do the routes to God feel so complicated in their school or church situations when in Pilots they are all the</w:t>
      </w:r>
      <w:r>
        <w:rPr>
          <w:spacing w:val="7"/>
          <w:w w:val="120"/>
          <w:sz w:val="20"/>
        </w:rPr>
        <w:t> </w:t>
      </w:r>
      <w:r>
        <w:rPr>
          <w:w w:val="120"/>
          <w:sz w:val="20"/>
        </w:rPr>
        <w:t>same?</w:t>
      </w:r>
    </w:p>
    <w:p>
      <w:pPr>
        <w:pStyle w:val="BodyText"/>
        <w:spacing w:before="12"/>
        <w:rPr>
          <w:sz w:val="19"/>
        </w:rPr>
      </w:pPr>
    </w:p>
    <w:p>
      <w:pPr>
        <w:pStyle w:val="ListParagraph"/>
        <w:numPr>
          <w:ilvl w:val="2"/>
          <w:numId w:val="149"/>
        </w:numPr>
        <w:tabs>
          <w:tab w:pos="1814" w:val="left" w:leader="none"/>
          <w:tab w:pos="1815" w:val="left" w:leader="none"/>
        </w:tabs>
        <w:spacing w:line="235" w:lineRule="auto" w:before="0" w:after="0"/>
        <w:ind w:left="1133" w:right="2133" w:firstLine="0"/>
        <w:jc w:val="left"/>
        <w:rPr>
          <w:sz w:val="20"/>
        </w:rPr>
      </w:pPr>
      <w:r>
        <w:rPr>
          <w:i/>
          <w:w w:val="120"/>
          <w:sz w:val="20"/>
        </w:rPr>
        <w:t>God is still speaking </w:t>
      </w:r>
      <w:r>
        <w:rPr>
          <w:w w:val="120"/>
          <w:sz w:val="20"/>
        </w:rPr>
        <w:t>has been a major focus for the young people in our Church for the past </w:t>
      </w:r>
      <w:r>
        <w:rPr>
          <w:spacing w:val="-4"/>
          <w:w w:val="120"/>
          <w:sz w:val="20"/>
        </w:rPr>
        <w:t>year. </w:t>
      </w:r>
      <w:r>
        <w:rPr>
          <w:w w:val="120"/>
          <w:sz w:val="20"/>
        </w:rPr>
        <w:t>At FURY Assembly 2009 and ‘What Do </w:t>
      </w:r>
      <w:r>
        <w:rPr>
          <w:spacing w:val="-4"/>
          <w:w w:val="120"/>
          <w:sz w:val="20"/>
        </w:rPr>
        <w:t>You </w:t>
      </w:r>
      <w:r>
        <w:rPr>
          <w:w w:val="120"/>
          <w:sz w:val="20"/>
        </w:rPr>
        <w:t>Think?’ event in 2009 Ron Buford from the </w:t>
      </w:r>
      <w:r>
        <w:rPr>
          <w:i/>
          <w:w w:val="120"/>
          <w:sz w:val="20"/>
        </w:rPr>
        <w:t>God is still speaking </w:t>
      </w:r>
      <w:r>
        <w:rPr>
          <w:w w:val="120"/>
          <w:sz w:val="20"/>
        </w:rPr>
        <w:t>campaign in America gave a series of inputs which both excited and stimulated our young people. This culminated in groups of young people</w:t>
      </w:r>
      <w:r>
        <w:rPr>
          <w:spacing w:val="15"/>
          <w:w w:val="120"/>
          <w:sz w:val="20"/>
        </w:rPr>
        <w:t> </w:t>
      </w:r>
      <w:r>
        <w:rPr>
          <w:w w:val="120"/>
          <w:sz w:val="20"/>
        </w:rPr>
        <w:t>going</w:t>
      </w:r>
      <w:r>
        <w:rPr>
          <w:spacing w:val="16"/>
          <w:w w:val="120"/>
          <w:sz w:val="20"/>
        </w:rPr>
        <w:t> </w:t>
      </w:r>
      <w:r>
        <w:rPr>
          <w:w w:val="120"/>
          <w:sz w:val="20"/>
        </w:rPr>
        <w:t>back</w:t>
      </w:r>
      <w:r>
        <w:rPr>
          <w:spacing w:val="16"/>
          <w:w w:val="120"/>
          <w:sz w:val="20"/>
        </w:rPr>
        <w:t> </w:t>
      </w:r>
      <w:r>
        <w:rPr>
          <w:w w:val="120"/>
          <w:sz w:val="20"/>
        </w:rPr>
        <w:t>to</w:t>
      </w:r>
      <w:r>
        <w:rPr>
          <w:spacing w:val="16"/>
          <w:w w:val="120"/>
          <w:sz w:val="20"/>
        </w:rPr>
        <w:t> </w:t>
      </w:r>
      <w:r>
        <w:rPr>
          <w:w w:val="120"/>
          <w:sz w:val="20"/>
        </w:rPr>
        <w:t>their</w:t>
      </w:r>
      <w:r>
        <w:rPr>
          <w:spacing w:val="15"/>
          <w:w w:val="120"/>
          <w:sz w:val="20"/>
        </w:rPr>
        <w:t> </w:t>
      </w:r>
      <w:r>
        <w:rPr>
          <w:w w:val="120"/>
          <w:sz w:val="20"/>
        </w:rPr>
        <w:t>synods</w:t>
      </w:r>
      <w:r>
        <w:rPr>
          <w:spacing w:val="16"/>
          <w:w w:val="120"/>
          <w:sz w:val="20"/>
        </w:rPr>
        <w:t> </w:t>
      </w:r>
      <w:r>
        <w:rPr>
          <w:w w:val="120"/>
          <w:sz w:val="20"/>
        </w:rPr>
        <w:t>pledging</w:t>
      </w:r>
      <w:r>
        <w:rPr>
          <w:spacing w:val="16"/>
          <w:w w:val="120"/>
          <w:sz w:val="20"/>
        </w:rPr>
        <w:t> </w:t>
      </w:r>
      <w:r>
        <w:rPr>
          <w:w w:val="120"/>
          <w:sz w:val="20"/>
        </w:rPr>
        <w:t>to</w:t>
      </w:r>
      <w:r>
        <w:rPr>
          <w:spacing w:val="16"/>
          <w:w w:val="120"/>
          <w:sz w:val="20"/>
        </w:rPr>
        <w:t> </w:t>
      </w:r>
      <w:r>
        <w:rPr>
          <w:w w:val="120"/>
          <w:sz w:val="20"/>
        </w:rPr>
        <w:t>undertake</w:t>
      </w:r>
      <w:r>
        <w:rPr>
          <w:spacing w:val="15"/>
          <w:w w:val="120"/>
          <w:sz w:val="20"/>
        </w:rPr>
        <w:t> </w:t>
      </w:r>
      <w:r>
        <w:rPr>
          <w:w w:val="120"/>
          <w:sz w:val="20"/>
        </w:rPr>
        <w:t>particular</w:t>
      </w:r>
      <w:r>
        <w:rPr>
          <w:spacing w:val="16"/>
          <w:w w:val="120"/>
          <w:sz w:val="20"/>
        </w:rPr>
        <w:t> </w:t>
      </w:r>
      <w:r>
        <w:rPr>
          <w:w w:val="120"/>
          <w:sz w:val="20"/>
        </w:rPr>
        <w:t>projects</w:t>
      </w:r>
      <w:r>
        <w:rPr>
          <w:spacing w:val="16"/>
          <w:w w:val="120"/>
          <w:sz w:val="20"/>
        </w:rPr>
        <w:t> </w:t>
      </w:r>
      <w:r>
        <w:rPr>
          <w:w w:val="120"/>
          <w:sz w:val="20"/>
        </w:rPr>
        <w:t>and</w:t>
      </w:r>
      <w:r>
        <w:rPr>
          <w:spacing w:val="16"/>
          <w:w w:val="120"/>
          <w:sz w:val="20"/>
        </w:rPr>
        <w:t> </w:t>
      </w:r>
      <w:r>
        <w:rPr>
          <w:w w:val="120"/>
          <w:sz w:val="20"/>
        </w:rPr>
        <w:t>action</w:t>
      </w:r>
    </w:p>
    <w:p>
      <w:pPr>
        <w:spacing w:after="0" w:line="235" w:lineRule="auto"/>
        <w:jc w:val="left"/>
        <w:rPr>
          <w:sz w:val="20"/>
        </w:rPr>
        <w:sectPr>
          <w:headerReference w:type="even" r:id="rId496"/>
          <w:headerReference w:type="default" r:id="rId497"/>
          <w:footerReference w:type="even" r:id="rId498"/>
          <w:footerReference w:type="default" r:id="rId499"/>
          <w:pgSz w:w="11910" w:h="16840"/>
          <w:pgMar w:header="0" w:footer="647" w:top="1060" w:bottom="840" w:left="0" w:right="0"/>
          <w:pgNumType w:start="192"/>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2240896" filled="true" fillcolor="#dae4ec" stroked="false">
            <v:fill opacity="32768f" type="solid"/>
            <w10:wrap type="none"/>
          </v:rect>
        </w:pict>
      </w:r>
      <w:r>
        <w:rPr>
          <w:w w:val="120"/>
        </w:rPr>
        <w:t>plans. It also led to a motion being passed at FURY Assembly 2010 which stated that FURY Assembly supports the </w:t>
      </w:r>
      <w:r>
        <w:rPr>
          <w:i/>
          <w:w w:val="120"/>
        </w:rPr>
        <w:t>Marketing Campaign </w:t>
      </w:r>
      <w:r>
        <w:rPr>
          <w:w w:val="120"/>
        </w:rPr>
        <w:t>renewal programme and commits to promoting it.</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0" w:after="0"/>
        <w:ind w:left="1984" w:right="1419" w:firstLine="0"/>
        <w:jc w:val="left"/>
        <w:rPr>
          <w:sz w:val="20"/>
        </w:rPr>
      </w:pPr>
      <w:r>
        <w:rPr>
          <w:w w:val="120"/>
          <w:sz w:val="20"/>
        </w:rPr>
        <w:t>Churches Together in England (CTE) have </w:t>
      </w:r>
      <w:r>
        <w:rPr>
          <w:spacing w:val="3"/>
          <w:w w:val="120"/>
          <w:sz w:val="20"/>
        </w:rPr>
        <w:t>re-established </w:t>
      </w:r>
      <w:r>
        <w:rPr>
          <w:w w:val="120"/>
          <w:sz w:val="20"/>
        </w:rPr>
        <w:t>the Youth </w:t>
      </w:r>
      <w:r>
        <w:rPr>
          <w:spacing w:val="2"/>
          <w:w w:val="120"/>
          <w:sz w:val="20"/>
        </w:rPr>
        <w:t>Matters </w:t>
      </w:r>
      <w:r>
        <w:rPr>
          <w:spacing w:val="3"/>
          <w:w w:val="120"/>
          <w:sz w:val="20"/>
        </w:rPr>
        <w:t>Network. </w:t>
      </w:r>
      <w:r>
        <w:rPr>
          <w:w w:val="120"/>
          <w:sz w:val="20"/>
        </w:rPr>
        <w:t>Once again youth officers </w:t>
      </w:r>
      <w:r>
        <w:rPr>
          <w:spacing w:val="2"/>
          <w:w w:val="120"/>
          <w:sz w:val="20"/>
        </w:rPr>
        <w:t>from </w:t>
      </w:r>
      <w:r>
        <w:rPr>
          <w:w w:val="120"/>
          <w:sz w:val="20"/>
        </w:rPr>
        <w:t>all denominations and other organisations have had the </w:t>
      </w:r>
      <w:r>
        <w:rPr>
          <w:spacing w:val="3"/>
          <w:w w:val="120"/>
          <w:sz w:val="20"/>
        </w:rPr>
        <w:t>opportunity </w:t>
      </w:r>
      <w:r>
        <w:rPr>
          <w:w w:val="120"/>
          <w:sz w:val="20"/>
        </w:rPr>
        <w:t>to discuss ways in which we can </w:t>
      </w:r>
      <w:r>
        <w:rPr>
          <w:spacing w:val="3"/>
          <w:w w:val="120"/>
          <w:sz w:val="20"/>
        </w:rPr>
        <w:t>support </w:t>
      </w:r>
      <w:r>
        <w:rPr>
          <w:w w:val="120"/>
          <w:sz w:val="20"/>
        </w:rPr>
        <w:t>young </w:t>
      </w:r>
      <w:r>
        <w:rPr>
          <w:spacing w:val="2"/>
          <w:w w:val="120"/>
          <w:sz w:val="20"/>
        </w:rPr>
        <w:t>people </w:t>
      </w:r>
      <w:r>
        <w:rPr>
          <w:w w:val="120"/>
          <w:sz w:val="20"/>
        </w:rPr>
        <w:t>in their </w:t>
      </w:r>
      <w:r>
        <w:rPr>
          <w:spacing w:val="2"/>
          <w:w w:val="120"/>
          <w:sz w:val="20"/>
        </w:rPr>
        <w:t>faith </w:t>
      </w:r>
      <w:r>
        <w:rPr>
          <w:w w:val="120"/>
          <w:sz w:val="20"/>
        </w:rPr>
        <w:t>journey. This exciting and positive ecumenical venture can be followed on the </w:t>
      </w:r>
      <w:r>
        <w:rPr>
          <w:spacing w:val="5"/>
          <w:w w:val="120"/>
          <w:sz w:val="20"/>
        </w:rPr>
        <w:t>CTE</w:t>
      </w:r>
      <w:r>
        <w:rPr>
          <w:spacing w:val="12"/>
          <w:w w:val="120"/>
          <w:sz w:val="20"/>
        </w:rPr>
        <w:t> </w:t>
      </w:r>
      <w:r>
        <w:rPr>
          <w:w w:val="120"/>
          <w:sz w:val="20"/>
        </w:rPr>
        <w:t>website.</w:t>
      </w:r>
    </w:p>
    <w:p>
      <w:pPr>
        <w:pStyle w:val="BodyText"/>
        <w:spacing w:before="11"/>
        <w:rPr>
          <w:sz w:val="19"/>
        </w:rPr>
      </w:pPr>
    </w:p>
    <w:p>
      <w:pPr>
        <w:pStyle w:val="ListParagraph"/>
        <w:numPr>
          <w:ilvl w:val="2"/>
          <w:numId w:val="149"/>
        </w:numPr>
        <w:tabs>
          <w:tab w:pos="2664" w:val="left" w:leader="none"/>
          <w:tab w:pos="2665" w:val="left" w:leader="none"/>
        </w:tabs>
        <w:spacing w:line="235" w:lineRule="auto" w:before="1" w:after="0"/>
        <w:ind w:left="1984" w:right="1182" w:firstLine="0"/>
        <w:jc w:val="left"/>
        <w:rPr>
          <w:sz w:val="20"/>
        </w:rPr>
      </w:pPr>
      <w:r>
        <w:rPr>
          <w:w w:val="120"/>
          <w:sz w:val="20"/>
        </w:rPr>
        <w:t>At FURY Forum </w:t>
      </w:r>
      <w:r>
        <w:rPr>
          <w:i/>
          <w:w w:val="120"/>
          <w:sz w:val="20"/>
        </w:rPr>
        <w:t>Being Human </w:t>
      </w:r>
      <w:r>
        <w:rPr>
          <w:w w:val="120"/>
          <w:sz w:val="20"/>
        </w:rPr>
        <w:t>explored what it is like to live as a young Christian with workshops on human trafficking, Fair Trade, drama and what it means to be human. The</w:t>
      </w:r>
      <w:r>
        <w:rPr>
          <w:spacing w:val="9"/>
          <w:w w:val="120"/>
          <w:sz w:val="20"/>
        </w:rPr>
        <w:t> </w:t>
      </w:r>
      <w:r>
        <w:rPr>
          <w:w w:val="120"/>
          <w:sz w:val="20"/>
        </w:rPr>
        <w:t>Bible</w:t>
      </w:r>
      <w:r>
        <w:rPr>
          <w:spacing w:val="9"/>
          <w:w w:val="120"/>
          <w:sz w:val="20"/>
        </w:rPr>
        <w:t> </w:t>
      </w:r>
      <w:r>
        <w:rPr>
          <w:w w:val="120"/>
          <w:sz w:val="20"/>
        </w:rPr>
        <w:t>study</w:t>
      </w:r>
      <w:r>
        <w:rPr>
          <w:spacing w:val="9"/>
          <w:w w:val="120"/>
          <w:sz w:val="20"/>
        </w:rPr>
        <w:t> </w:t>
      </w:r>
      <w:r>
        <w:rPr>
          <w:w w:val="120"/>
          <w:sz w:val="20"/>
        </w:rPr>
        <w:t>allowed</w:t>
      </w:r>
      <w:r>
        <w:rPr>
          <w:spacing w:val="9"/>
          <w:w w:val="120"/>
          <w:sz w:val="20"/>
        </w:rPr>
        <w:t> </w:t>
      </w:r>
      <w:r>
        <w:rPr>
          <w:w w:val="120"/>
          <w:sz w:val="20"/>
        </w:rPr>
        <w:t>the</w:t>
      </w:r>
      <w:r>
        <w:rPr>
          <w:spacing w:val="10"/>
          <w:w w:val="120"/>
          <w:sz w:val="20"/>
        </w:rPr>
        <w:t> </w:t>
      </w:r>
      <w:r>
        <w:rPr>
          <w:w w:val="120"/>
          <w:sz w:val="20"/>
        </w:rPr>
        <w:t>young</w:t>
      </w:r>
      <w:r>
        <w:rPr>
          <w:spacing w:val="9"/>
          <w:w w:val="120"/>
          <w:sz w:val="20"/>
        </w:rPr>
        <w:t> </w:t>
      </w:r>
      <w:r>
        <w:rPr>
          <w:w w:val="120"/>
          <w:sz w:val="20"/>
        </w:rPr>
        <w:t>people</w:t>
      </w:r>
      <w:r>
        <w:rPr>
          <w:spacing w:val="9"/>
          <w:w w:val="120"/>
          <w:sz w:val="20"/>
        </w:rPr>
        <w:t> </w:t>
      </w:r>
      <w:r>
        <w:rPr>
          <w:w w:val="120"/>
          <w:sz w:val="20"/>
        </w:rPr>
        <w:t>to</w:t>
      </w:r>
      <w:r>
        <w:rPr>
          <w:spacing w:val="9"/>
          <w:w w:val="120"/>
          <w:sz w:val="20"/>
        </w:rPr>
        <w:t> </w:t>
      </w:r>
      <w:r>
        <w:rPr>
          <w:w w:val="120"/>
          <w:sz w:val="20"/>
        </w:rPr>
        <w:t>explore</w:t>
      </w:r>
      <w:r>
        <w:rPr>
          <w:spacing w:val="10"/>
          <w:w w:val="120"/>
          <w:sz w:val="20"/>
        </w:rPr>
        <w:t> </w:t>
      </w:r>
      <w:r>
        <w:rPr>
          <w:w w:val="120"/>
          <w:sz w:val="20"/>
        </w:rPr>
        <w:t>how</w:t>
      </w:r>
      <w:r>
        <w:rPr>
          <w:spacing w:val="9"/>
          <w:w w:val="120"/>
          <w:sz w:val="20"/>
        </w:rPr>
        <w:t> </w:t>
      </w:r>
      <w:r>
        <w:rPr>
          <w:w w:val="120"/>
          <w:sz w:val="20"/>
        </w:rPr>
        <w:t>God</w:t>
      </w:r>
      <w:r>
        <w:rPr>
          <w:spacing w:val="9"/>
          <w:w w:val="120"/>
          <w:sz w:val="20"/>
        </w:rPr>
        <w:t> </w:t>
      </w:r>
      <w:r>
        <w:rPr>
          <w:w w:val="120"/>
          <w:sz w:val="20"/>
        </w:rPr>
        <w:t>is</w:t>
      </w:r>
      <w:r>
        <w:rPr>
          <w:spacing w:val="9"/>
          <w:w w:val="120"/>
          <w:sz w:val="20"/>
        </w:rPr>
        <w:t> </w:t>
      </w:r>
      <w:r>
        <w:rPr>
          <w:w w:val="120"/>
          <w:sz w:val="20"/>
        </w:rPr>
        <w:t>speaking</w:t>
      </w:r>
      <w:r>
        <w:rPr>
          <w:spacing w:val="10"/>
          <w:w w:val="120"/>
          <w:sz w:val="20"/>
        </w:rPr>
        <w:t> </w:t>
      </w:r>
      <w:r>
        <w:rPr>
          <w:w w:val="120"/>
          <w:sz w:val="20"/>
        </w:rPr>
        <w:t>in</w:t>
      </w:r>
      <w:r>
        <w:rPr>
          <w:spacing w:val="9"/>
          <w:w w:val="120"/>
          <w:sz w:val="20"/>
        </w:rPr>
        <w:t> </w:t>
      </w:r>
      <w:r>
        <w:rPr>
          <w:w w:val="120"/>
          <w:sz w:val="20"/>
        </w:rPr>
        <w:t>their</w:t>
      </w:r>
      <w:r>
        <w:rPr>
          <w:spacing w:val="9"/>
          <w:w w:val="120"/>
          <w:sz w:val="20"/>
        </w:rPr>
        <w:t> </w:t>
      </w:r>
      <w:r>
        <w:rPr>
          <w:w w:val="120"/>
          <w:sz w:val="20"/>
        </w:rPr>
        <w:t>lives.</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0" w:after="0"/>
        <w:ind w:left="1984" w:right="1479" w:firstLine="0"/>
        <w:jc w:val="left"/>
        <w:rPr>
          <w:sz w:val="20"/>
        </w:rPr>
      </w:pPr>
      <w:r>
        <w:rPr>
          <w:i/>
          <w:w w:val="120"/>
          <w:sz w:val="20"/>
        </w:rPr>
        <w:t>My Church </w:t>
      </w:r>
      <w:r>
        <w:rPr>
          <w:i/>
          <w:spacing w:val="-3"/>
          <w:w w:val="120"/>
          <w:sz w:val="20"/>
        </w:rPr>
        <w:t>Children’s </w:t>
      </w:r>
      <w:r>
        <w:rPr>
          <w:i/>
          <w:w w:val="120"/>
          <w:sz w:val="20"/>
        </w:rPr>
        <w:t>Voices</w:t>
      </w:r>
      <w:r>
        <w:rPr>
          <w:w w:val="120"/>
          <w:sz w:val="20"/>
        </w:rPr>
        <w:t>, is an exciting piece of research that has been conducted across the URC to explore what children value, want and need from the Church. </w:t>
      </w:r>
      <w:r>
        <w:rPr>
          <w:spacing w:val="3"/>
          <w:w w:val="120"/>
          <w:sz w:val="20"/>
        </w:rPr>
        <w:t>As </w:t>
      </w:r>
      <w:r>
        <w:rPr>
          <w:w w:val="120"/>
          <w:sz w:val="20"/>
        </w:rPr>
        <w:t>well as a valuable piece of research this approach has been integrated into the child friendly church award to help churches hear the voices of</w:t>
      </w:r>
      <w:r>
        <w:rPr>
          <w:spacing w:val="38"/>
          <w:w w:val="120"/>
          <w:sz w:val="20"/>
        </w:rPr>
        <w:t> </w:t>
      </w:r>
      <w:r>
        <w:rPr>
          <w:w w:val="120"/>
          <w:sz w:val="20"/>
        </w:rPr>
        <w:t>children.</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1" w:after="0"/>
        <w:ind w:left="1984" w:right="1278" w:firstLine="0"/>
        <w:jc w:val="left"/>
        <w:rPr>
          <w:sz w:val="20"/>
        </w:rPr>
      </w:pPr>
      <w:r>
        <w:rPr>
          <w:w w:val="120"/>
          <w:sz w:val="20"/>
        </w:rPr>
        <w:t>The </w:t>
      </w:r>
      <w:r>
        <w:rPr>
          <w:spacing w:val="-3"/>
          <w:w w:val="120"/>
          <w:sz w:val="20"/>
        </w:rPr>
        <w:t>Youth </w:t>
      </w:r>
      <w:r>
        <w:rPr>
          <w:w w:val="120"/>
          <w:sz w:val="20"/>
        </w:rPr>
        <w:t>and Children’s Work Committee has been reflecting on other research about children, particularly the Children’s Society </w:t>
      </w:r>
      <w:r>
        <w:rPr>
          <w:spacing w:val="2"/>
          <w:w w:val="120"/>
          <w:sz w:val="20"/>
        </w:rPr>
        <w:t>report </w:t>
      </w:r>
      <w:r>
        <w:rPr>
          <w:w w:val="120"/>
          <w:sz w:val="20"/>
        </w:rPr>
        <w:t>entitled </w:t>
      </w:r>
      <w:r>
        <w:rPr>
          <w:spacing w:val="-8"/>
          <w:w w:val="120"/>
          <w:sz w:val="20"/>
        </w:rPr>
        <w:t>‘A </w:t>
      </w:r>
      <w:r>
        <w:rPr>
          <w:w w:val="120"/>
          <w:sz w:val="20"/>
        </w:rPr>
        <w:t>Good Childhood’. We are working with the Children’s Society on rolling out </w:t>
      </w:r>
      <w:r>
        <w:rPr>
          <w:i/>
          <w:w w:val="120"/>
          <w:sz w:val="20"/>
        </w:rPr>
        <w:t>Good Childhood Conversations </w:t>
      </w:r>
      <w:r>
        <w:rPr>
          <w:w w:val="120"/>
          <w:sz w:val="20"/>
        </w:rPr>
        <w:t>to help engage churches and their communities in thinking about children’s needs and how we can best respond to</w:t>
      </w:r>
      <w:r>
        <w:rPr>
          <w:spacing w:val="13"/>
          <w:w w:val="120"/>
          <w:sz w:val="20"/>
        </w:rPr>
        <w:t> </w:t>
      </w:r>
      <w:r>
        <w:rPr>
          <w:w w:val="120"/>
          <w:sz w:val="20"/>
        </w:rPr>
        <w:t>them.</w:t>
      </w:r>
    </w:p>
    <w:p>
      <w:pPr>
        <w:pStyle w:val="BodyText"/>
        <w:spacing w:before="10"/>
        <w:rPr>
          <w:sz w:val="17"/>
        </w:rPr>
      </w:pPr>
    </w:p>
    <w:p>
      <w:pPr>
        <w:numPr>
          <w:ilvl w:val="1"/>
          <w:numId w:val="149"/>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Growth</w:t>
      </w:r>
    </w:p>
    <w:p>
      <w:pPr>
        <w:pStyle w:val="ListParagraph"/>
        <w:numPr>
          <w:ilvl w:val="2"/>
          <w:numId w:val="149"/>
        </w:numPr>
        <w:tabs>
          <w:tab w:pos="2664" w:val="left" w:leader="none"/>
          <w:tab w:pos="2665" w:val="left" w:leader="none"/>
        </w:tabs>
        <w:spacing w:line="235" w:lineRule="auto" w:before="222" w:after="0"/>
        <w:ind w:left="1984" w:right="1374" w:firstLine="0"/>
        <w:jc w:val="left"/>
        <w:rPr>
          <w:sz w:val="20"/>
        </w:rPr>
      </w:pPr>
      <w:r>
        <w:rPr>
          <w:w w:val="120"/>
          <w:sz w:val="20"/>
        </w:rPr>
        <w:t>Growth is often seen numerically; we recognise that growth in quality is equally important:</w:t>
      </w:r>
    </w:p>
    <w:p>
      <w:pPr>
        <w:pStyle w:val="ListParagraph"/>
        <w:numPr>
          <w:ilvl w:val="0"/>
          <w:numId w:val="153"/>
        </w:numPr>
        <w:tabs>
          <w:tab w:pos="2664" w:val="left" w:leader="none"/>
          <w:tab w:pos="2665" w:val="left" w:leader="none"/>
        </w:tabs>
        <w:spacing w:line="248" w:lineRule="exact" w:before="0" w:after="0"/>
        <w:ind w:left="2664" w:right="0" w:hanging="681"/>
        <w:jc w:val="left"/>
        <w:rPr>
          <w:sz w:val="20"/>
        </w:rPr>
      </w:pPr>
      <w:r>
        <w:rPr>
          <w:w w:val="120"/>
          <w:sz w:val="20"/>
        </w:rPr>
        <w:t>growth of the</w:t>
      </w:r>
      <w:r>
        <w:rPr>
          <w:spacing w:val="6"/>
          <w:w w:val="120"/>
          <w:sz w:val="20"/>
        </w:rPr>
        <w:t> </w:t>
      </w:r>
      <w:r>
        <w:rPr>
          <w:w w:val="120"/>
          <w:sz w:val="20"/>
        </w:rPr>
        <w:t>individual;</w:t>
      </w:r>
    </w:p>
    <w:p>
      <w:pPr>
        <w:pStyle w:val="ListParagraph"/>
        <w:numPr>
          <w:ilvl w:val="0"/>
          <w:numId w:val="153"/>
        </w:numPr>
        <w:tabs>
          <w:tab w:pos="2664" w:val="left" w:leader="none"/>
          <w:tab w:pos="2665" w:val="left" w:leader="none"/>
        </w:tabs>
        <w:spacing w:line="240" w:lineRule="exact" w:before="0" w:after="0"/>
        <w:ind w:left="2664" w:right="0" w:hanging="681"/>
        <w:jc w:val="left"/>
        <w:rPr>
          <w:sz w:val="20"/>
        </w:rPr>
      </w:pPr>
      <w:r>
        <w:rPr>
          <w:w w:val="120"/>
          <w:sz w:val="20"/>
        </w:rPr>
        <w:t>growth of groups within the</w:t>
      </w:r>
      <w:r>
        <w:rPr>
          <w:spacing w:val="13"/>
          <w:w w:val="120"/>
          <w:sz w:val="20"/>
        </w:rPr>
        <w:t> </w:t>
      </w:r>
      <w:r>
        <w:rPr>
          <w:w w:val="120"/>
          <w:sz w:val="20"/>
        </w:rPr>
        <w:t>Church;</w:t>
      </w:r>
    </w:p>
    <w:p>
      <w:pPr>
        <w:pStyle w:val="ListParagraph"/>
        <w:numPr>
          <w:ilvl w:val="0"/>
          <w:numId w:val="153"/>
        </w:numPr>
        <w:tabs>
          <w:tab w:pos="2664" w:val="left" w:leader="none"/>
          <w:tab w:pos="2665" w:val="left" w:leader="none"/>
        </w:tabs>
        <w:spacing w:line="240" w:lineRule="exact" w:before="0" w:after="0"/>
        <w:ind w:left="2664" w:right="0" w:hanging="681"/>
        <w:jc w:val="left"/>
        <w:rPr>
          <w:sz w:val="20"/>
        </w:rPr>
      </w:pPr>
      <w:r>
        <w:rPr>
          <w:w w:val="120"/>
          <w:sz w:val="20"/>
        </w:rPr>
        <w:t>growth of engagement with the local community, including</w:t>
      </w:r>
      <w:r>
        <w:rPr>
          <w:spacing w:val="32"/>
          <w:w w:val="120"/>
          <w:sz w:val="20"/>
        </w:rPr>
        <w:t> </w:t>
      </w:r>
      <w:r>
        <w:rPr>
          <w:w w:val="120"/>
          <w:sz w:val="20"/>
        </w:rPr>
        <w:t>schools;</w:t>
      </w:r>
    </w:p>
    <w:p>
      <w:pPr>
        <w:pStyle w:val="ListParagraph"/>
        <w:numPr>
          <w:ilvl w:val="0"/>
          <w:numId w:val="153"/>
        </w:numPr>
        <w:tabs>
          <w:tab w:pos="2664" w:val="left" w:leader="none"/>
          <w:tab w:pos="2665" w:val="left" w:leader="none"/>
        </w:tabs>
        <w:spacing w:line="240" w:lineRule="exact" w:before="0" w:after="0"/>
        <w:ind w:left="2664" w:right="0" w:hanging="681"/>
        <w:jc w:val="left"/>
        <w:rPr>
          <w:sz w:val="20"/>
        </w:rPr>
      </w:pPr>
      <w:r>
        <w:rPr>
          <w:w w:val="120"/>
          <w:sz w:val="20"/>
        </w:rPr>
        <w:t>growth of the local</w:t>
      </w:r>
      <w:r>
        <w:rPr>
          <w:spacing w:val="8"/>
          <w:w w:val="120"/>
          <w:sz w:val="20"/>
        </w:rPr>
        <w:t> </w:t>
      </w:r>
      <w:r>
        <w:rPr>
          <w:w w:val="120"/>
          <w:sz w:val="20"/>
        </w:rPr>
        <w:t>church;</w:t>
      </w:r>
    </w:p>
    <w:p>
      <w:pPr>
        <w:pStyle w:val="ListParagraph"/>
        <w:numPr>
          <w:ilvl w:val="0"/>
          <w:numId w:val="153"/>
        </w:numPr>
        <w:tabs>
          <w:tab w:pos="2664" w:val="left" w:leader="none"/>
          <w:tab w:pos="2665" w:val="left" w:leader="none"/>
        </w:tabs>
        <w:spacing w:line="281" w:lineRule="exact" w:before="0" w:after="0"/>
        <w:ind w:left="2664" w:right="0" w:hanging="681"/>
        <w:jc w:val="left"/>
        <w:rPr>
          <w:sz w:val="20"/>
        </w:rPr>
      </w:pPr>
      <w:r>
        <w:rPr>
          <w:w w:val="125"/>
          <w:sz w:val="20"/>
        </w:rPr>
        <w:t>growth of God’s</w:t>
      </w:r>
      <w:r>
        <w:rPr>
          <w:spacing w:val="-2"/>
          <w:w w:val="125"/>
          <w:sz w:val="20"/>
        </w:rPr>
        <w:t> </w:t>
      </w:r>
      <w:r>
        <w:rPr>
          <w:w w:val="125"/>
          <w:sz w:val="20"/>
        </w:rPr>
        <w:t>kingdom.</w:t>
      </w:r>
    </w:p>
    <w:p>
      <w:pPr>
        <w:pStyle w:val="ListParagraph"/>
        <w:numPr>
          <w:ilvl w:val="2"/>
          <w:numId w:val="149"/>
        </w:numPr>
        <w:tabs>
          <w:tab w:pos="2664" w:val="left" w:leader="none"/>
          <w:tab w:pos="2665" w:val="left" w:leader="none"/>
        </w:tabs>
        <w:spacing w:line="235" w:lineRule="auto" w:before="193" w:after="0"/>
        <w:ind w:left="1984" w:right="1242" w:firstLine="0"/>
        <w:jc w:val="left"/>
        <w:rPr>
          <w:sz w:val="20"/>
        </w:rPr>
      </w:pPr>
      <w:r>
        <w:rPr>
          <w:w w:val="120"/>
          <w:sz w:val="20"/>
        </w:rPr>
        <w:t>We are delighted that growth is a </w:t>
      </w:r>
      <w:r>
        <w:rPr>
          <w:spacing w:val="2"/>
          <w:w w:val="120"/>
          <w:sz w:val="20"/>
        </w:rPr>
        <w:t>part </w:t>
      </w:r>
      <w:r>
        <w:rPr>
          <w:w w:val="120"/>
          <w:sz w:val="20"/>
        </w:rPr>
        <w:t>of the </w:t>
      </w:r>
      <w:r>
        <w:rPr>
          <w:i/>
          <w:w w:val="120"/>
          <w:sz w:val="20"/>
        </w:rPr>
        <w:t>vision2020 </w:t>
      </w:r>
      <w:r>
        <w:rPr>
          <w:w w:val="120"/>
          <w:sz w:val="20"/>
        </w:rPr>
        <w:t>framework. We have a vision for greater numbers of young people to be a </w:t>
      </w:r>
      <w:r>
        <w:rPr>
          <w:spacing w:val="2"/>
          <w:w w:val="120"/>
          <w:sz w:val="20"/>
        </w:rPr>
        <w:t>part </w:t>
      </w:r>
      <w:r>
        <w:rPr>
          <w:w w:val="120"/>
          <w:sz w:val="20"/>
        </w:rPr>
        <w:t>of our Church. We want to see more children and young people accessing the wide range of  Assembly,  synod  and local events. We are working to support children’s workers, family workers and youth workers across the URC by developing networks and gatherings to offer support and development. Our team of Children and </w:t>
      </w:r>
      <w:r>
        <w:rPr>
          <w:spacing w:val="-3"/>
          <w:w w:val="120"/>
          <w:sz w:val="20"/>
        </w:rPr>
        <w:t>Youth </w:t>
      </w:r>
      <w:r>
        <w:rPr>
          <w:w w:val="120"/>
          <w:sz w:val="20"/>
        </w:rPr>
        <w:t>Development Officers </w:t>
      </w:r>
      <w:r>
        <w:rPr>
          <w:spacing w:val="-3"/>
          <w:w w:val="120"/>
          <w:sz w:val="20"/>
        </w:rPr>
        <w:t>(CYDO) </w:t>
      </w:r>
      <w:r>
        <w:rPr>
          <w:w w:val="120"/>
          <w:sz w:val="20"/>
        </w:rPr>
        <w:t>across</w:t>
      </w:r>
      <w:r>
        <w:rPr>
          <w:spacing w:val="5"/>
          <w:w w:val="120"/>
          <w:sz w:val="20"/>
        </w:rPr>
        <w:t> </w:t>
      </w:r>
      <w:r>
        <w:rPr>
          <w:w w:val="120"/>
          <w:sz w:val="20"/>
        </w:rPr>
        <w:t>the</w:t>
      </w:r>
    </w:p>
    <w:p>
      <w:pPr>
        <w:pStyle w:val="BodyText"/>
        <w:ind w:left="1984"/>
      </w:pPr>
      <w:r>
        <w:rPr>
          <w:w w:val="120"/>
        </w:rPr>
        <w:t>United Kingdom are vitally important in helping to support and develop these networks.</w:t>
      </w:r>
    </w:p>
    <w:p>
      <w:pPr>
        <w:pStyle w:val="BodyText"/>
        <w:spacing w:before="8"/>
        <w:rPr>
          <w:sz w:val="19"/>
        </w:rPr>
      </w:pPr>
    </w:p>
    <w:p>
      <w:pPr>
        <w:pStyle w:val="ListParagraph"/>
        <w:numPr>
          <w:ilvl w:val="2"/>
          <w:numId w:val="149"/>
        </w:numPr>
        <w:tabs>
          <w:tab w:pos="2664" w:val="left" w:leader="none"/>
          <w:tab w:pos="2665" w:val="left" w:leader="none"/>
        </w:tabs>
        <w:spacing w:line="235" w:lineRule="auto" w:before="0" w:after="0"/>
        <w:ind w:left="1984" w:right="1194" w:firstLine="0"/>
        <w:jc w:val="left"/>
        <w:rPr>
          <w:sz w:val="20"/>
        </w:rPr>
      </w:pPr>
      <w:r>
        <w:rPr>
          <w:spacing w:val="-7"/>
          <w:w w:val="120"/>
          <w:sz w:val="20"/>
        </w:rPr>
        <w:t>To </w:t>
      </w:r>
      <w:r>
        <w:rPr>
          <w:w w:val="120"/>
          <w:sz w:val="20"/>
        </w:rPr>
        <w:t>enable growth we need to understand our context and this is where the research project </w:t>
      </w:r>
      <w:r>
        <w:rPr>
          <w:i/>
          <w:w w:val="120"/>
          <w:sz w:val="20"/>
        </w:rPr>
        <w:t>My Church </w:t>
      </w:r>
      <w:r>
        <w:rPr>
          <w:i/>
          <w:spacing w:val="-3"/>
          <w:w w:val="120"/>
          <w:sz w:val="20"/>
        </w:rPr>
        <w:t>Children’s </w:t>
      </w:r>
      <w:r>
        <w:rPr>
          <w:i/>
          <w:w w:val="120"/>
          <w:sz w:val="20"/>
        </w:rPr>
        <w:t>Voices </w:t>
      </w:r>
      <w:r>
        <w:rPr>
          <w:w w:val="120"/>
          <w:sz w:val="20"/>
        </w:rPr>
        <w:t>has much to offer us. The results of this research will be disseminated to local churches and synods to ensure that growth can be enabled and</w:t>
      </w:r>
      <w:r>
        <w:rPr>
          <w:spacing w:val="4"/>
          <w:w w:val="120"/>
          <w:sz w:val="20"/>
        </w:rPr>
        <w:t> </w:t>
      </w:r>
      <w:r>
        <w:rPr>
          <w:w w:val="120"/>
          <w:sz w:val="20"/>
        </w:rPr>
        <w:t>facilitated.</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1" w:after="0"/>
        <w:ind w:left="1984" w:right="1320" w:firstLine="0"/>
        <w:jc w:val="left"/>
        <w:rPr>
          <w:sz w:val="20"/>
        </w:rPr>
      </w:pPr>
      <w:r>
        <w:rPr>
          <w:w w:val="120"/>
          <w:sz w:val="20"/>
        </w:rPr>
        <w:t>New Pilots companies continue to open and many existing companies are experiencing growth at the local level, both in commitment and numbers. The number of Pilots companies in denominations outside the URC continues to rise</w:t>
      </w:r>
      <w:r>
        <w:rPr>
          <w:spacing w:val="19"/>
          <w:w w:val="120"/>
          <w:sz w:val="20"/>
        </w:rPr>
        <w:t> </w:t>
      </w:r>
      <w:r>
        <w:rPr>
          <w:w w:val="120"/>
          <w:sz w:val="20"/>
        </w:rPr>
        <w:t>steadily.</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0" w:after="0"/>
        <w:ind w:left="1984" w:right="1155" w:firstLine="0"/>
        <w:jc w:val="left"/>
        <w:rPr>
          <w:sz w:val="20"/>
        </w:rPr>
      </w:pPr>
      <w:r>
        <w:rPr>
          <w:w w:val="120"/>
          <w:sz w:val="20"/>
        </w:rPr>
        <w:t>Following the restructuring of FURY and the introduction of Children’s Assembly we have established a more integrated way of working. For the first time young people who had attended Children’s Assembly were seen to participate in both FURY Forum and FURY Assembly. This can only be good for the young people and for our Church as we   see young people developing on their faith</w:t>
      </w:r>
      <w:r>
        <w:rPr>
          <w:spacing w:val="19"/>
          <w:w w:val="120"/>
          <w:sz w:val="20"/>
        </w:rPr>
        <w:t> </w:t>
      </w:r>
      <w:r>
        <w:rPr>
          <w:w w:val="120"/>
          <w:sz w:val="20"/>
        </w:rPr>
        <w:t>journey.</w:t>
      </w:r>
    </w:p>
    <w:p>
      <w:pPr>
        <w:pStyle w:val="BodyText"/>
        <w:spacing w:before="11"/>
        <w:rPr>
          <w:sz w:val="19"/>
        </w:rPr>
      </w:pPr>
    </w:p>
    <w:p>
      <w:pPr>
        <w:pStyle w:val="ListParagraph"/>
        <w:numPr>
          <w:ilvl w:val="2"/>
          <w:numId w:val="149"/>
        </w:numPr>
        <w:tabs>
          <w:tab w:pos="2664" w:val="left" w:leader="none"/>
          <w:tab w:pos="2665" w:val="left" w:leader="none"/>
        </w:tabs>
        <w:spacing w:line="235" w:lineRule="auto" w:before="0" w:after="0"/>
        <w:ind w:left="1984" w:right="1629" w:firstLine="0"/>
        <w:jc w:val="left"/>
        <w:rPr>
          <w:sz w:val="20"/>
        </w:rPr>
      </w:pPr>
      <w:r>
        <w:rPr>
          <w:w w:val="120"/>
          <w:sz w:val="20"/>
        </w:rPr>
        <w:t>The introduction of the synod youth representative group has provided a valuable</w:t>
      </w:r>
      <w:r>
        <w:rPr>
          <w:spacing w:val="7"/>
          <w:w w:val="120"/>
          <w:sz w:val="20"/>
        </w:rPr>
        <w:t> </w:t>
      </w:r>
      <w:r>
        <w:rPr>
          <w:w w:val="120"/>
          <w:sz w:val="20"/>
        </w:rPr>
        <w:t>link</w:t>
      </w:r>
      <w:r>
        <w:rPr>
          <w:spacing w:val="7"/>
          <w:w w:val="120"/>
          <w:sz w:val="20"/>
        </w:rPr>
        <w:t> </w:t>
      </w:r>
      <w:r>
        <w:rPr>
          <w:w w:val="120"/>
          <w:sz w:val="20"/>
        </w:rPr>
        <w:t>with</w:t>
      </w:r>
      <w:r>
        <w:rPr>
          <w:spacing w:val="8"/>
          <w:w w:val="120"/>
          <w:sz w:val="20"/>
        </w:rPr>
        <w:t> </w:t>
      </w:r>
      <w:r>
        <w:rPr>
          <w:w w:val="120"/>
          <w:sz w:val="20"/>
        </w:rPr>
        <w:t>the</w:t>
      </w:r>
      <w:r>
        <w:rPr>
          <w:spacing w:val="7"/>
          <w:w w:val="120"/>
          <w:sz w:val="20"/>
        </w:rPr>
        <w:t> </w:t>
      </w:r>
      <w:r>
        <w:rPr>
          <w:w w:val="120"/>
          <w:sz w:val="20"/>
        </w:rPr>
        <w:t>structures</w:t>
      </w:r>
      <w:r>
        <w:rPr>
          <w:spacing w:val="8"/>
          <w:w w:val="120"/>
          <w:sz w:val="20"/>
        </w:rPr>
        <w:t> </w:t>
      </w:r>
      <w:r>
        <w:rPr>
          <w:w w:val="120"/>
          <w:sz w:val="20"/>
        </w:rPr>
        <w:t>operating</w:t>
      </w:r>
      <w:r>
        <w:rPr>
          <w:spacing w:val="7"/>
          <w:w w:val="120"/>
          <w:sz w:val="20"/>
        </w:rPr>
        <w:t> </w:t>
      </w:r>
      <w:r>
        <w:rPr>
          <w:w w:val="120"/>
          <w:sz w:val="20"/>
        </w:rPr>
        <w:t>in</w:t>
      </w:r>
      <w:r>
        <w:rPr>
          <w:spacing w:val="7"/>
          <w:w w:val="120"/>
          <w:sz w:val="20"/>
        </w:rPr>
        <w:t> </w:t>
      </w:r>
      <w:r>
        <w:rPr>
          <w:w w:val="120"/>
          <w:sz w:val="20"/>
        </w:rPr>
        <w:t>each</w:t>
      </w:r>
      <w:r>
        <w:rPr>
          <w:spacing w:val="8"/>
          <w:w w:val="120"/>
          <w:sz w:val="20"/>
        </w:rPr>
        <w:t> </w:t>
      </w:r>
      <w:r>
        <w:rPr>
          <w:w w:val="120"/>
          <w:sz w:val="20"/>
        </w:rPr>
        <w:t>synod.</w:t>
      </w:r>
      <w:r>
        <w:rPr>
          <w:spacing w:val="7"/>
          <w:w w:val="120"/>
          <w:sz w:val="20"/>
        </w:rPr>
        <w:t> </w:t>
      </w:r>
      <w:r>
        <w:rPr>
          <w:w w:val="120"/>
          <w:sz w:val="20"/>
        </w:rPr>
        <w:t>On</w:t>
      </w:r>
      <w:r>
        <w:rPr>
          <w:spacing w:val="8"/>
          <w:w w:val="120"/>
          <w:sz w:val="20"/>
        </w:rPr>
        <w:t> </w:t>
      </w:r>
      <w:r>
        <w:rPr>
          <w:w w:val="120"/>
          <w:sz w:val="20"/>
        </w:rPr>
        <w:t>many</w:t>
      </w:r>
      <w:r>
        <w:rPr>
          <w:spacing w:val="7"/>
          <w:w w:val="120"/>
          <w:sz w:val="20"/>
        </w:rPr>
        <w:t> </w:t>
      </w:r>
      <w:r>
        <w:rPr>
          <w:w w:val="120"/>
          <w:sz w:val="20"/>
        </w:rPr>
        <w:t>occasions</w:t>
      </w:r>
      <w:r>
        <w:rPr>
          <w:spacing w:val="7"/>
          <w:w w:val="120"/>
          <w:sz w:val="20"/>
        </w:rPr>
        <w:t> </w:t>
      </w:r>
      <w:r>
        <w:rPr>
          <w:w w:val="120"/>
          <w:sz w:val="20"/>
        </w:rPr>
        <w:t>we</w:t>
      </w:r>
      <w:r>
        <w:rPr>
          <w:spacing w:val="8"/>
          <w:w w:val="120"/>
          <w:sz w:val="20"/>
        </w:rPr>
        <w:t> </w:t>
      </w:r>
      <w:r>
        <w:rPr>
          <w:w w:val="120"/>
          <w:sz w:val="20"/>
        </w:rPr>
        <w:t>do</w:t>
      </w:r>
    </w:p>
    <w:p>
      <w:pPr>
        <w:spacing w:after="0" w:line="235" w:lineRule="auto"/>
        <w:jc w:val="left"/>
        <w:rPr>
          <w:sz w:val="20"/>
        </w:rPr>
        <w:sectPr>
          <w:pgSz w:w="11910" w:h="16840"/>
          <w:pgMar w:header="0" w:footer="647" w:top="1060" w:bottom="840" w:left="0" w:right="0"/>
        </w:sectPr>
      </w:pPr>
    </w:p>
    <w:p>
      <w:pPr>
        <w:pStyle w:val="BodyText"/>
        <w:spacing w:line="235" w:lineRule="auto" w:before="107"/>
        <w:ind w:left="1133" w:right="1997"/>
      </w:pPr>
      <w:r>
        <w:rPr/>
        <w:pict>
          <v:rect style="position:absolute;margin-left:12.047pt;margin-top:8.477343pt;width:22.677pt;height:22.677pt;mso-position-horizontal-relative:page;mso-position-vertical-relative:paragraph;z-index:252241920" filled="true" fillcolor="#dae4ec" stroked="false">
            <v:fill opacity="32768f" type="solid"/>
            <w10:wrap type="none"/>
          </v:rect>
        </w:pict>
      </w:r>
      <w:r>
        <w:rPr>
          <w:w w:val="120"/>
        </w:rPr>
        <w:t>not hear of the positive growth of young people’s activities associated within our Church. We are inclined to judge our young people’s activity in relation to how many sit in our local church on a Sunday. The synod youth representative group has shown the diversity of involvement and we encourage everyone to be inspired by our young people at the Assembly, synod and at the local church level.</w:t>
      </w:r>
    </w:p>
    <w:p>
      <w:pPr>
        <w:pStyle w:val="BodyText"/>
        <w:spacing w:before="12"/>
        <w:rPr>
          <w:sz w:val="19"/>
        </w:rPr>
      </w:pPr>
    </w:p>
    <w:p>
      <w:pPr>
        <w:pStyle w:val="ListParagraph"/>
        <w:numPr>
          <w:ilvl w:val="2"/>
          <w:numId w:val="149"/>
        </w:numPr>
        <w:tabs>
          <w:tab w:pos="1814" w:val="left" w:leader="none"/>
          <w:tab w:pos="1815" w:val="left" w:leader="none"/>
        </w:tabs>
        <w:spacing w:line="235" w:lineRule="auto" w:before="0" w:after="0"/>
        <w:ind w:left="1133" w:right="2191" w:firstLine="0"/>
        <w:jc w:val="left"/>
        <w:rPr>
          <w:sz w:val="20"/>
        </w:rPr>
      </w:pPr>
      <w:r>
        <w:rPr>
          <w:w w:val="120"/>
          <w:sz w:val="20"/>
        </w:rPr>
        <w:t>Growth has many aspects. The FURY Advisory Board have followed a series of training sessions on subjects such as communication skills, presentation skills, group work and learning to chair a group. They have also had the opportunity to prepare and lead their groups in various </w:t>
      </w:r>
      <w:r>
        <w:rPr>
          <w:spacing w:val="2"/>
          <w:w w:val="120"/>
          <w:sz w:val="20"/>
        </w:rPr>
        <w:t>acts </w:t>
      </w:r>
      <w:r>
        <w:rPr>
          <w:w w:val="120"/>
          <w:sz w:val="20"/>
        </w:rPr>
        <w:t>of</w:t>
      </w:r>
      <w:r>
        <w:rPr>
          <w:spacing w:val="12"/>
          <w:w w:val="120"/>
          <w:sz w:val="20"/>
        </w:rPr>
        <w:t> </w:t>
      </w:r>
      <w:r>
        <w:rPr>
          <w:w w:val="120"/>
          <w:sz w:val="20"/>
        </w:rPr>
        <w:t>worship.</w:t>
      </w:r>
    </w:p>
    <w:p>
      <w:pPr>
        <w:pStyle w:val="BodyText"/>
        <w:spacing w:before="9"/>
        <w:rPr>
          <w:sz w:val="17"/>
        </w:rPr>
      </w:pPr>
    </w:p>
    <w:p>
      <w:pPr>
        <w:numPr>
          <w:ilvl w:val="1"/>
          <w:numId w:val="149"/>
        </w:numPr>
        <w:tabs>
          <w:tab w:pos="1853" w:val="left" w:leader="none"/>
          <w:tab w:pos="1854" w:val="left" w:leader="none"/>
        </w:tabs>
        <w:spacing w:before="0"/>
        <w:ind w:left="1853" w:right="0" w:hanging="721"/>
        <w:jc w:val="left"/>
        <w:rPr>
          <w:rFonts w:ascii="Stone Sans II ITC Std Bk"/>
          <w:b/>
          <w:sz w:val="21"/>
        </w:rPr>
      </w:pPr>
      <w:r>
        <w:rPr>
          <w:rFonts w:ascii="Stone Sans II ITC Std Bk"/>
          <w:b/>
          <w:spacing w:val="-3"/>
          <w:w w:val="115"/>
          <w:sz w:val="21"/>
        </w:rPr>
        <w:t>Telling </w:t>
      </w:r>
      <w:r>
        <w:rPr>
          <w:rFonts w:ascii="Stone Sans II ITC Std Bk"/>
          <w:b/>
          <w:w w:val="115"/>
          <w:sz w:val="21"/>
        </w:rPr>
        <w:t>our stories</w:t>
      </w:r>
    </w:p>
    <w:p>
      <w:pPr>
        <w:pStyle w:val="ListParagraph"/>
        <w:numPr>
          <w:ilvl w:val="2"/>
          <w:numId w:val="149"/>
        </w:numPr>
        <w:tabs>
          <w:tab w:pos="1814" w:val="left" w:leader="none"/>
          <w:tab w:pos="1815" w:val="left" w:leader="none"/>
        </w:tabs>
        <w:spacing w:line="235" w:lineRule="auto" w:before="223" w:after="0"/>
        <w:ind w:left="1133" w:right="2586" w:firstLine="0"/>
        <w:jc w:val="left"/>
        <w:rPr>
          <w:sz w:val="20"/>
        </w:rPr>
      </w:pPr>
      <w:r>
        <w:rPr>
          <w:w w:val="120"/>
          <w:sz w:val="20"/>
        </w:rPr>
        <w:t>The United Reformed Church has a message of hope to share. We must communicate effectively to connect, advocate and support children, young people and</w:t>
      </w:r>
      <w:r>
        <w:rPr>
          <w:spacing w:val="1"/>
          <w:w w:val="120"/>
          <w:sz w:val="20"/>
        </w:rPr>
        <w:t> </w:t>
      </w:r>
      <w:r>
        <w:rPr>
          <w:w w:val="120"/>
          <w:sz w:val="20"/>
        </w:rPr>
        <w:t>leaders:</w:t>
      </w:r>
    </w:p>
    <w:p>
      <w:pPr>
        <w:pStyle w:val="ListParagraph"/>
        <w:numPr>
          <w:ilvl w:val="0"/>
          <w:numId w:val="152"/>
        </w:numPr>
        <w:tabs>
          <w:tab w:pos="1814" w:val="left" w:leader="none"/>
          <w:tab w:pos="1815" w:val="left" w:leader="none"/>
        </w:tabs>
        <w:spacing w:line="249" w:lineRule="exact" w:before="0" w:after="0"/>
        <w:ind w:left="1814" w:right="0" w:hanging="682"/>
        <w:jc w:val="left"/>
        <w:rPr>
          <w:sz w:val="20"/>
        </w:rPr>
      </w:pPr>
      <w:r>
        <w:rPr>
          <w:w w:val="120"/>
          <w:sz w:val="20"/>
        </w:rPr>
        <w:t>publications – both resources and</w:t>
      </w:r>
      <w:r>
        <w:rPr>
          <w:spacing w:val="12"/>
          <w:w w:val="120"/>
          <w:sz w:val="20"/>
        </w:rPr>
        <w:t> </w:t>
      </w:r>
      <w:r>
        <w:rPr>
          <w:w w:val="120"/>
          <w:sz w:val="20"/>
        </w:rPr>
        <w:t>advertising;</w:t>
      </w:r>
    </w:p>
    <w:p>
      <w:pPr>
        <w:pStyle w:val="ListParagraph"/>
        <w:numPr>
          <w:ilvl w:val="0"/>
          <w:numId w:val="152"/>
        </w:numPr>
        <w:tabs>
          <w:tab w:pos="1814" w:val="left" w:leader="none"/>
          <w:tab w:pos="1815" w:val="left" w:leader="none"/>
        </w:tabs>
        <w:spacing w:line="240" w:lineRule="exact" w:before="0" w:after="0"/>
        <w:ind w:left="1814" w:right="0" w:hanging="682"/>
        <w:jc w:val="left"/>
        <w:rPr>
          <w:sz w:val="20"/>
        </w:rPr>
      </w:pPr>
      <w:r>
        <w:rPr>
          <w:w w:val="120"/>
          <w:sz w:val="20"/>
        </w:rPr>
        <w:t>developing networks and resources for the whole</w:t>
      </w:r>
      <w:r>
        <w:rPr>
          <w:spacing w:val="18"/>
          <w:w w:val="120"/>
          <w:sz w:val="20"/>
        </w:rPr>
        <w:t> </w:t>
      </w:r>
      <w:r>
        <w:rPr>
          <w:w w:val="120"/>
          <w:sz w:val="20"/>
        </w:rPr>
        <w:t>Church;</w:t>
      </w:r>
    </w:p>
    <w:p>
      <w:pPr>
        <w:pStyle w:val="ListParagraph"/>
        <w:numPr>
          <w:ilvl w:val="0"/>
          <w:numId w:val="152"/>
        </w:numPr>
        <w:tabs>
          <w:tab w:pos="1814" w:val="left" w:leader="none"/>
          <w:tab w:pos="1815" w:val="left" w:leader="none"/>
        </w:tabs>
        <w:spacing w:line="240" w:lineRule="exact" w:before="0" w:after="0"/>
        <w:ind w:left="1814" w:right="0" w:hanging="682"/>
        <w:jc w:val="left"/>
        <w:rPr>
          <w:sz w:val="20"/>
        </w:rPr>
      </w:pPr>
      <w:r>
        <w:rPr>
          <w:w w:val="120"/>
          <w:sz w:val="20"/>
        </w:rPr>
        <w:t>using</w:t>
      </w:r>
      <w:r>
        <w:rPr>
          <w:spacing w:val="1"/>
          <w:w w:val="120"/>
          <w:sz w:val="20"/>
        </w:rPr>
        <w:t> </w:t>
      </w:r>
      <w:r>
        <w:rPr>
          <w:w w:val="120"/>
          <w:sz w:val="20"/>
        </w:rPr>
        <w:t>websites;</w:t>
      </w:r>
    </w:p>
    <w:p>
      <w:pPr>
        <w:pStyle w:val="ListParagraph"/>
        <w:numPr>
          <w:ilvl w:val="0"/>
          <w:numId w:val="152"/>
        </w:numPr>
        <w:tabs>
          <w:tab w:pos="1814" w:val="left" w:leader="none"/>
          <w:tab w:pos="1815" w:val="left" w:leader="none"/>
        </w:tabs>
        <w:spacing w:line="240" w:lineRule="exact" w:before="0" w:after="0"/>
        <w:ind w:left="1814" w:right="0" w:hanging="682"/>
        <w:jc w:val="left"/>
        <w:rPr>
          <w:sz w:val="20"/>
        </w:rPr>
      </w:pPr>
      <w:r>
        <w:rPr>
          <w:w w:val="120"/>
          <w:sz w:val="20"/>
        </w:rPr>
        <w:t>communicating</w:t>
      </w:r>
      <w:r>
        <w:rPr>
          <w:spacing w:val="2"/>
          <w:w w:val="120"/>
          <w:sz w:val="20"/>
        </w:rPr>
        <w:t> </w:t>
      </w:r>
      <w:r>
        <w:rPr>
          <w:w w:val="120"/>
          <w:sz w:val="20"/>
        </w:rPr>
        <w:t>ecumenically;</w:t>
      </w:r>
    </w:p>
    <w:p>
      <w:pPr>
        <w:pStyle w:val="ListParagraph"/>
        <w:numPr>
          <w:ilvl w:val="0"/>
          <w:numId w:val="152"/>
        </w:numPr>
        <w:tabs>
          <w:tab w:pos="1814" w:val="left" w:leader="none"/>
          <w:tab w:pos="1815" w:val="left" w:leader="none"/>
        </w:tabs>
        <w:spacing w:line="281" w:lineRule="exact" w:before="0" w:after="0"/>
        <w:ind w:left="1814" w:right="0" w:hanging="682"/>
        <w:jc w:val="left"/>
        <w:rPr>
          <w:sz w:val="20"/>
        </w:rPr>
      </w:pPr>
      <w:r>
        <w:rPr>
          <w:w w:val="120"/>
          <w:sz w:val="20"/>
        </w:rPr>
        <w:t>developing further communication</w:t>
      </w:r>
      <w:r>
        <w:rPr>
          <w:spacing w:val="7"/>
          <w:w w:val="120"/>
          <w:sz w:val="20"/>
        </w:rPr>
        <w:t> </w:t>
      </w:r>
      <w:r>
        <w:rPr>
          <w:w w:val="120"/>
          <w:sz w:val="20"/>
        </w:rPr>
        <w:t>methods.</w:t>
      </w:r>
    </w:p>
    <w:p>
      <w:pPr>
        <w:pStyle w:val="ListParagraph"/>
        <w:numPr>
          <w:ilvl w:val="2"/>
          <w:numId w:val="149"/>
        </w:numPr>
        <w:tabs>
          <w:tab w:pos="1814" w:val="left" w:leader="none"/>
          <w:tab w:pos="1815" w:val="left" w:leader="none"/>
        </w:tabs>
        <w:spacing w:line="235" w:lineRule="auto" w:before="192" w:after="0"/>
        <w:ind w:left="1133" w:right="2391" w:firstLine="0"/>
        <w:jc w:val="left"/>
        <w:rPr>
          <w:sz w:val="20"/>
        </w:rPr>
      </w:pPr>
      <w:r>
        <w:rPr>
          <w:w w:val="120"/>
          <w:sz w:val="20"/>
        </w:rPr>
        <w:t>Communication is an essential aspect of our work and we are aware of the tensions surrounding the transition from paper to computers. Some people have limited access to the internet, but children are increasingly dependent on electronic media – </w:t>
      </w:r>
      <w:r>
        <w:rPr>
          <w:spacing w:val="-8"/>
          <w:w w:val="120"/>
          <w:sz w:val="20"/>
        </w:rPr>
        <w:t>74% </w:t>
      </w:r>
      <w:r>
        <w:rPr>
          <w:w w:val="120"/>
          <w:sz w:val="20"/>
        </w:rPr>
        <w:t>of homes in the UK now have access to the internet, a </w:t>
      </w:r>
      <w:r>
        <w:rPr>
          <w:spacing w:val="2"/>
          <w:w w:val="120"/>
          <w:sz w:val="20"/>
        </w:rPr>
        <w:t>fact </w:t>
      </w:r>
      <w:r>
        <w:rPr>
          <w:w w:val="120"/>
          <w:sz w:val="20"/>
        </w:rPr>
        <w:t>that we must acknowledge as we seek to communicate more effectively with young</w:t>
      </w:r>
      <w:r>
        <w:rPr>
          <w:spacing w:val="45"/>
          <w:w w:val="120"/>
          <w:sz w:val="20"/>
        </w:rPr>
        <w:t> </w:t>
      </w:r>
      <w:r>
        <w:rPr>
          <w:w w:val="120"/>
          <w:sz w:val="20"/>
        </w:rPr>
        <w:t>people.</w:t>
      </w:r>
    </w:p>
    <w:p>
      <w:pPr>
        <w:pStyle w:val="BodyText"/>
        <w:spacing w:before="11"/>
        <w:rPr>
          <w:sz w:val="19"/>
        </w:rPr>
      </w:pPr>
    </w:p>
    <w:p>
      <w:pPr>
        <w:pStyle w:val="ListParagraph"/>
        <w:numPr>
          <w:ilvl w:val="2"/>
          <w:numId w:val="149"/>
        </w:numPr>
        <w:tabs>
          <w:tab w:pos="1815" w:val="left" w:leader="none"/>
        </w:tabs>
        <w:spacing w:line="235" w:lineRule="auto" w:before="0" w:after="0"/>
        <w:ind w:left="1133" w:right="2255" w:firstLine="0"/>
        <w:jc w:val="both"/>
        <w:rPr>
          <w:sz w:val="20"/>
        </w:rPr>
      </w:pPr>
      <w:r>
        <w:rPr>
          <w:w w:val="120"/>
          <w:sz w:val="20"/>
        </w:rPr>
        <w:t>The new URC website is now operational and we continue to look for new ways to communicate effectively; for example, the Children’s Assembly will use blogs</w:t>
      </w:r>
      <w:r>
        <w:rPr>
          <w:spacing w:val="42"/>
          <w:w w:val="120"/>
          <w:sz w:val="20"/>
        </w:rPr>
        <w:t> </w:t>
      </w:r>
      <w:r>
        <w:rPr>
          <w:w w:val="120"/>
          <w:sz w:val="20"/>
        </w:rPr>
        <w:t>and</w:t>
      </w:r>
    </w:p>
    <w:p>
      <w:pPr>
        <w:pStyle w:val="BodyText"/>
        <w:spacing w:line="235" w:lineRule="auto" w:before="2"/>
        <w:ind w:left="1133" w:right="2389"/>
        <w:jc w:val="both"/>
      </w:pPr>
      <w:r>
        <w:rPr>
          <w:w w:val="120"/>
        </w:rPr>
        <w:t>a Video Diary room and FURY Assembly reports can be found on YouTube. We have a programme in place to add new webpages to the youth and children’s section of the URC website. In addition, the Pilots web pages have been updated and refreshed.</w:t>
      </w:r>
    </w:p>
    <w:p>
      <w:pPr>
        <w:pStyle w:val="BodyText"/>
        <w:spacing w:before="10"/>
        <w:rPr>
          <w:sz w:val="19"/>
        </w:rPr>
      </w:pPr>
    </w:p>
    <w:p>
      <w:pPr>
        <w:pStyle w:val="ListParagraph"/>
        <w:numPr>
          <w:ilvl w:val="2"/>
          <w:numId w:val="149"/>
        </w:numPr>
        <w:tabs>
          <w:tab w:pos="1814" w:val="left" w:leader="none"/>
          <w:tab w:pos="1815" w:val="left" w:leader="none"/>
        </w:tabs>
        <w:spacing w:line="235" w:lineRule="auto" w:before="0" w:after="0"/>
        <w:ind w:left="1133" w:right="2059" w:firstLine="0"/>
        <w:jc w:val="left"/>
        <w:rPr>
          <w:sz w:val="20"/>
        </w:rPr>
      </w:pPr>
      <w:r>
        <w:rPr>
          <w:w w:val="120"/>
          <w:sz w:val="20"/>
        </w:rPr>
        <w:t>The</w:t>
      </w:r>
      <w:r>
        <w:rPr>
          <w:spacing w:val="-5"/>
          <w:w w:val="120"/>
          <w:sz w:val="20"/>
        </w:rPr>
        <w:t> </w:t>
      </w:r>
      <w:r>
        <w:rPr>
          <w:spacing w:val="-3"/>
          <w:w w:val="120"/>
          <w:sz w:val="20"/>
        </w:rPr>
        <w:t>Youth</w:t>
      </w:r>
      <w:r>
        <w:rPr>
          <w:spacing w:val="-4"/>
          <w:w w:val="120"/>
          <w:sz w:val="20"/>
        </w:rPr>
        <w:t> </w:t>
      </w:r>
      <w:r>
        <w:rPr>
          <w:w w:val="120"/>
          <w:sz w:val="20"/>
        </w:rPr>
        <w:t>and</w:t>
      </w:r>
      <w:r>
        <w:rPr>
          <w:spacing w:val="-5"/>
          <w:w w:val="120"/>
          <w:sz w:val="20"/>
        </w:rPr>
        <w:t> </w:t>
      </w:r>
      <w:r>
        <w:rPr>
          <w:w w:val="120"/>
          <w:sz w:val="20"/>
        </w:rPr>
        <w:t>Children’s</w:t>
      </w:r>
      <w:r>
        <w:rPr>
          <w:spacing w:val="-4"/>
          <w:w w:val="120"/>
          <w:sz w:val="20"/>
        </w:rPr>
        <w:t> </w:t>
      </w:r>
      <w:r>
        <w:rPr>
          <w:w w:val="120"/>
          <w:sz w:val="20"/>
        </w:rPr>
        <w:t>Work</w:t>
      </w:r>
      <w:r>
        <w:rPr>
          <w:spacing w:val="-5"/>
          <w:w w:val="120"/>
          <w:sz w:val="20"/>
        </w:rPr>
        <w:t> </w:t>
      </w:r>
      <w:r>
        <w:rPr>
          <w:w w:val="120"/>
          <w:sz w:val="20"/>
        </w:rPr>
        <w:t>Committee</w:t>
      </w:r>
      <w:r>
        <w:rPr>
          <w:spacing w:val="-5"/>
          <w:w w:val="120"/>
          <w:sz w:val="20"/>
        </w:rPr>
        <w:t> </w:t>
      </w:r>
      <w:r>
        <w:rPr>
          <w:w w:val="120"/>
          <w:sz w:val="20"/>
        </w:rPr>
        <w:t>has</w:t>
      </w:r>
      <w:r>
        <w:rPr>
          <w:spacing w:val="-4"/>
          <w:w w:val="120"/>
          <w:sz w:val="20"/>
        </w:rPr>
        <w:t> </w:t>
      </w:r>
      <w:r>
        <w:rPr>
          <w:w w:val="120"/>
          <w:sz w:val="20"/>
        </w:rPr>
        <w:t>a</w:t>
      </w:r>
      <w:r>
        <w:rPr>
          <w:spacing w:val="-5"/>
          <w:w w:val="120"/>
          <w:sz w:val="20"/>
        </w:rPr>
        <w:t> </w:t>
      </w:r>
      <w:r>
        <w:rPr>
          <w:w w:val="120"/>
          <w:sz w:val="20"/>
        </w:rPr>
        <w:t>new</w:t>
      </w:r>
      <w:r>
        <w:rPr>
          <w:spacing w:val="-4"/>
          <w:w w:val="120"/>
          <w:sz w:val="20"/>
        </w:rPr>
        <w:t> </w:t>
      </w:r>
      <w:r>
        <w:rPr>
          <w:w w:val="120"/>
          <w:sz w:val="20"/>
        </w:rPr>
        <w:t>initiative</w:t>
      </w:r>
      <w:r>
        <w:rPr>
          <w:spacing w:val="-5"/>
          <w:w w:val="120"/>
          <w:sz w:val="20"/>
        </w:rPr>
        <w:t> </w:t>
      </w:r>
      <w:r>
        <w:rPr>
          <w:w w:val="120"/>
          <w:sz w:val="20"/>
        </w:rPr>
        <w:t>called</w:t>
      </w:r>
      <w:r>
        <w:rPr>
          <w:spacing w:val="-4"/>
          <w:w w:val="120"/>
          <w:sz w:val="20"/>
        </w:rPr>
        <w:t> </w:t>
      </w:r>
      <w:r>
        <w:rPr>
          <w:i/>
          <w:w w:val="120"/>
          <w:sz w:val="20"/>
        </w:rPr>
        <w:t>Focus</w:t>
      </w:r>
      <w:r>
        <w:rPr>
          <w:i/>
          <w:spacing w:val="-7"/>
          <w:w w:val="120"/>
          <w:sz w:val="20"/>
        </w:rPr>
        <w:t> </w:t>
      </w:r>
      <w:r>
        <w:rPr>
          <w:i/>
          <w:w w:val="120"/>
          <w:sz w:val="20"/>
        </w:rPr>
        <w:t>Synods </w:t>
      </w:r>
      <w:r>
        <w:rPr>
          <w:w w:val="120"/>
          <w:sz w:val="20"/>
        </w:rPr>
        <w:t>in which our Assembly appointed staff rotate round the synods, offering support and encouragement. This approach allows us to share good news and good practice as we see and experience the range of inspirational work around the</w:t>
      </w:r>
      <w:r>
        <w:rPr>
          <w:spacing w:val="24"/>
          <w:w w:val="120"/>
          <w:sz w:val="20"/>
        </w:rPr>
        <w:t> </w:t>
      </w:r>
      <w:r>
        <w:rPr>
          <w:spacing w:val="2"/>
          <w:w w:val="120"/>
          <w:sz w:val="20"/>
        </w:rPr>
        <w:t>UK.</w:t>
      </w:r>
    </w:p>
    <w:p>
      <w:pPr>
        <w:pStyle w:val="BodyText"/>
        <w:spacing w:before="11"/>
        <w:rPr>
          <w:sz w:val="19"/>
        </w:rPr>
      </w:pPr>
    </w:p>
    <w:p>
      <w:pPr>
        <w:pStyle w:val="ListParagraph"/>
        <w:numPr>
          <w:ilvl w:val="2"/>
          <w:numId w:val="149"/>
        </w:numPr>
        <w:tabs>
          <w:tab w:pos="1814" w:val="left" w:leader="none"/>
          <w:tab w:pos="1815" w:val="left" w:leader="none"/>
        </w:tabs>
        <w:spacing w:line="235" w:lineRule="auto" w:before="0" w:after="0"/>
        <w:ind w:left="1133" w:right="2078" w:firstLine="0"/>
        <w:jc w:val="left"/>
        <w:rPr>
          <w:sz w:val="20"/>
        </w:rPr>
      </w:pPr>
      <w:r>
        <w:rPr>
          <w:w w:val="120"/>
          <w:sz w:val="20"/>
        </w:rPr>
        <w:t>Bridge magazine is produced to share the stories of Pilots companies and to   share information. The magazine is colourful and newsy and has become a great tool for sharing ideas and encouraging new ways of doing many</w:t>
      </w:r>
      <w:r>
        <w:rPr>
          <w:spacing w:val="35"/>
          <w:w w:val="120"/>
          <w:sz w:val="20"/>
        </w:rPr>
        <w:t> </w:t>
      </w:r>
      <w:r>
        <w:rPr>
          <w:w w:val="120"/>
          <w:sz w:val="20"/>
        </w:rPr>
        <w:t>things.</w:t>
      </w:r>
    </w:p>
    <w:p>
      <w:pPr>
        <w:pStyle w:val="BodyText"/>
        <w:spacing w:before="10"/>
        <w:rPr>
          <w:sz w:val="19"/>
        </w:rPr>
      </w:pPr>
    </w:p>
    <w:p>
      <w:pPr>
        <w:pStyle w:val="ListParagraph"/>
        <w:numPr>
          <w:ilvl w:val="2"/>
          <w:numId w:val="149"/>
        </w:numPr>
        <w:tabs>
          <w:tab w:pos="1814" w:val="left" w:leader="none"/>
          <w:tab w:pos="1815" w:val="left" w:leader="none"/>
        </w:tabs>
        <w:spacing w:line="235" w:lineRule="auto" w:before="0" w:after="0"/>
        <w:ind w:left="1133" w:right="2100" w:firstLine="0"/>
        <w:jc w:val="left"/>
        <w:rPr>
          <w:sz w:val="20"/>
        </w:rPr>
      </w:pPr>
      <w:r>
        <w:rPr>
          <w:w w:val="120"/>
          <w:sz w:val="20"/>
        </w:rPr>
        <w:t>Regional Pilots Officers </w:t>
      </w:r>
      <w:r>
        <w:rPr>
          <w:spacing w:val="-3"/>
          <w:w w:val="120"/>
          <w:sz w:val="20"/>
        </w:rPr>
        <w:t>(RPO) </w:t>
      </w:r>
      <w:r>
        <w:rPr>
          <w:w w:val="120"/>
          <w:sz w:val="20"/>
        </w:rPr>
        <w:t>are appointed in most of the URC synods and work across the denominations to engage with churches who are thinking about starting a Pilots </w:t>
      </w:r>
      <w:r>
        <w:rPr>
          <w:spacing w:val="-3"/>
          <w:w w:val="120"/>
          <w:sz w:val="20"/>
        </w:rPr>
        <w:t>company. </w:t>
      </w:r>
      <w:r>
        <w:rPr>
          <w:w w:val="120"/>
          <w:sz w:val="20"/>
        </w:rPr>
        <w:t>In many synods the RPO is the link between the existing companies and they work hard to create opportunities for Pilots to get together and to enable training for the</w:t>
      </w:r>
      <w:r>
        <w:rPr>
          <w:spacing w:val="3"/>
          <w:w w:val="120"/>
          <w:sz w:val="20"/>
        </w:rPr>
        <w:t> </w:t>
      </w:r>
      <w:r>
        <w:rPr>
          <w:w w:val="120"/>
          <w:sz w:val="20"/>
        </w:rPr>
        <w:t>leaders.</w:t>
      </w:r>
    </w:p>
    <w:p>
      <w:pPr>
        <w:pStyle w:val="BodyText"/>
        <w:spacing w:before="12"/>
        <w:rPr>
          <w:sz w:val="19"/>
        </w:rPr>
      </w:pPr>
    </w:p>
    <w:p>
      <w:pPr>
        <w:pStyle w:val="ListParagraph"/>
        <w:numPr>
          <w:ilvl w:val="2"/>
          <w:numId w:val="149"/>
        </w:numPr>
        <w:tabs>
          <w:tab w:pos="1814" w:val="left" w:leader="none"/>
          <w:tab w:pos="1815" w:val="left" w:leader="none"/>
        </w:tabs>
        <w:spacing w:line="235" w:lineRule="auto" w:before="0" w:after="0"/>
        <w:ind w:left="1133" w:right="2027" w:firstLine="0"/>
        <w:jc w:val="left"/>
        <w:rPr>
          <w:sz w:val="20"/>
        </w:rPr>
      </w:pPr>
      <w:r>
        <w:rPr>
          <w:w w:val="120"/>
          <w:sz w:val="20"/>
        </w:rPr>
        <w:t>The committee has recently produced a pack for new youth and children’s  workers in the church. Its aim is to enable them to fully embrace the activities of the URC and to encourage them to promote URC programmes and initiatives within the church   in which they are employed. This pack is available via the </w:t>
      </w:r>
      <w:r>
        <w:rPr>
          <w:spacing w:val="2"/>
          <w:w w:val="120"/>
          <w:sz w:val="20"/>
        </w:rPr>
        <w:t>CYDO </w:t>
      </w:r>
      <w:r>
        <w:rPr>
          <w:w w:val="120"/>
          <w:sz w:val="20"/>
        </w:rPr>
        <w:t>team and is not yet available online as it contains a number of leaflets and</w:t>
      </w:r>
      <w:r>
        <w:rPr>
          <w:spacing w:val="12"/>
          <w:w w:val="120"/>
          <w:sz w:val="20"/>
        </w:rPr>
        <w:t> </w:t>
      </w:r>
      <w:r>
        <w:rPr>
          <w:w w:val="120"/>
          <w:sz w:val="20"/>
        </w:rPr>
        <w:t>fliers.</w:t>
      </w:r>
    </w:p>
    <w:p>
      <w:pPr>
        <w:pStyle w:val="BodyText"/>
      </w:pPr>
    </w:p>
    <w:p>
      <w:pPr>
        <w:pStyle w:val="ListParagraph"/>
        <w:numPr>
          <w:ilvl w:val="2"/>
          <w:numId w:val="149"/>
        </w:numPr>
        <w:tabs>
          <w:tab w:pos="1815" w:val="left" w:leader="none"/>
        </w:tabs>
        <w:spacing w:line="235" w:lineRule="auto" w:before="0" w:after="0"/>
        <w:ind w:left="1133" w:right="2052" w:firstLine="0"/>
        <w:jc w:val="both"/>
        <w:rPr>
          <w:sz w:val="20"/>
        </w:rPr>
      </w:pPr>
      <w:r>
        <w:rPr>
          <w:w w:val="120"/>
          <w:sz w:val="20"/>
        </w:rPr>
        <w:t>Every three months the young people of the United Reformed Church produce </w:t>
      </w:r>
      <w:r>
        <w:rPr>
          <w:i/>
          <w:spacing w:val="-4"/>
          <w:w w:val="120"/>
          <w:sz w:val="20"/>
        </w:rPr>
        <w:t>F2</w:t>
      </w:r>
      <w:r>
        <w:rPr>
          <w:spacing w:val="-4"/>
          <w:w w:val="120"/>
          <w:sz w:val="20"/>
        </w:rPr>
        <w:t>. </w:t>
      </w:r>
      <w:r>
        <w:rPr>
          <w:w w:val="120"/>
          <w:sz w:val="20"/>
        </w:rPr>
        <w:t>This is a </w:t>
      </w:r>
      <w:r>
        <w:rPr>
          <w:spacing w:val="-3"/>
          <w:w w:val="120"/>
          <w:sz w:val="20"/>
        </w:rPr>
        <w:t>small </w:t>
      </w:r>
      <w:r>
        <w:rPr>
          <w:w w:val="120"/>
          <w:sz w:val="20"/>
        </w:rPr>
        <w:t>but colourful publication designed </w:t>
      </w:r>
      <w:r>
        <w:rPr>
          <w:spacing w:val="-3"/>
          <w:w w:val="120"/>
          <w:sz w:val="20"/>
        </w:rPr>
        <w:t>to </w:t>
      </w:r>
      <w:r>
        <w:rPr>
          <w:w w:val="120"/>
          <w:sz w:val="20"/>
        </w:rPr>
        <w:t>inform both </w:t>
      </w:r>
      <w:r>
        <w:rPr>
          <w:spacing w:val="-3"/>
          <w:w w:val="120"/>
          <w:sz w:val="20"/>
        </w:rPr>
        <w:t>young </w:t>
      </w:r>
      <w:r>
        <w:rPr>
          <w:w w:val="120"/>
          <w:sz w:val="20"/>
        </w:rPr>
        <w:t>people and adults what is going on in the Fellowship of United Reformed</w:t>
      </w:r>
      <w:r>
        <w:rPr>
          <w:spacing w:val="25"/>
          <w:w w:val="120"/>
          <w:sz w:val="20"/>
        </w:rPr>
        <w:t> </w:t>
      </w:r>
      <w:r>
        <w:rPr>
          <w:w w:val="120"/>
          <w:sz w:val="20"/>
        </w:rPr>
        <w:t>Youth.</w:t>
      </w:r>
    </w:p>
    <w:p>
      <w:pPr>
        <w:spacing w:after="0" w:line="235" w:lineRule="auto"/>
        <w:jc w:val="both"/>
        <w:rPr>
          <w:sz w:val="20"/>
        </w:rPr>
        <w:sectPr>
          <w:headerReference w:type="even" r:id="rId500"/>
          <w:headerReference w:type="default" r:id="rId501"/>
          <w:footerReference w:type="even" r:id="rId502"/>
          <w:footerReference w:type="default" r:id="rId503"/>
          <w:pgSz w:w="11910" w:h="16840"/>
          <w:pgMar w:header="0" w:footer="647" w:top="1060" w:bottom="840" w:left="0" w:right="0"/>
          <w:pgNumType w:start="194"/>
        </w:sectPr>
      </w:pPr>
    </w:p>
    <w:p>
      <w:pPr>
        <w:pStyle w:val="ListParagraph"/>
        <w:numPr>
          <w:ilvl w:val="2"/>
          <w:numId w:val="149"/>
        </w:numPr>
        <w:tabs>
          <w:tab w:pos="2665" w:val="left" w:leader="none"/>
        </w:tabs>
        <w:spacing w:line="235" w:lineRule="auto" w:before="91" w:after="0"/>
        <w:ind w:left="1984" w:right="1739" w:firstLine="0"/>
        <w:jc w:val="both"/>
        <w:rPr>
          <w:sz w:val="20"/>
        </w:rPr>
      </w:pPr>
      <w:r>
        <w:rPr/>
        <w:pict>
          <v:rect style="position:absolute;margin-left:558.424988pt;margin-top:8.503343pt;width:22.677pt;height:22.677pt;mso-position-horizontal-relative:page;mso-position-vertical-relative:paragraph;z-index:252242944" filled="true" fillcolor="#dae4ec" stroked="false">
            <v:fill opacity="32768f" type="solid"/>
            <w10:wrap type="none"/>
          </v:rect>
        </w:pict>
      </w:r>
      <w:r>
        <w:rPr>
          <w:w w:val="120"/>
          <w:sz w:val="20"/>
        </w:rPr>
        <w:t>Each Synod is encouraged to form a synod youth committee. A few of these committees have produced publications highlighting good practice in youth work. This has been a good exercise in promoting work within the</w:t>
      </w:r>
      <w:r>
        <w:rPr>
          <w:spacing w:val="44"/>
          <w:w w:val="120"/>
          <w:sz w:val="20"/>
        </w:rPr>
        <w:t> </w:t>
      </w:r>
      <w:r>
        <w:rPr>
          <w:w w:val="120"/>
          <w:sz w:val="20"/>
        </w:rPr>
        <w:t>synods.</w:t>
      </w:r>
    </w:p>
    <w:p>
      <w:pPr>
        <w:pStyle w:val="BodyText"/>
        <w:spacing w:before="10"/>
        <w:rPr>
          <w:sz w:val="19"/>
        </w:rPr>
      </w:pPr>
    </w:p>
    <w:p>
      <w:pPr>
        <w:pStyle w:val="ListParagraph"/>
        <w:numPr>
          <w:ilvl w:val="2"/>
          <w:numId w:val="149"/>
        </w:numPr>
        <w:tabs>
          <w:tab w:pos="2664" w:val="left" w:leader="none"/>
          <w:tab w:pos="2665" w:val="left" w:leader="none"/>
        </w:tabs>
        <w:spacing w:line="235" w:lineRule="auto" w:before="0" w:after="0"/>
        <w:ind w:left="1984" w:right="1773" w:firstLine="0"/>
        <w:jc w:val="left"/>
        <w:rPr>
          <w:sz w:val="20"/>
        </w:rPr>
      </w:pPr>
      <w:r>
        <w:rPr>
          <w:w w:val="120"/>
          <w:sz w:val="20"/>
        </w:rPr>
        <w:t>Through a few young people telling the </w:t>
      </w:r>
      <w:r>
        <w:rPr>
          <w:spacing w:val="2"/>
          <w:w w:val="120"/>
          <w:sz w:val="20"/>
        </w:rPr>
        <w:t>story </w:t>
      </w:r>
      <w:r>
        <w:rPr>
          <w:w w:val="120"/>
          <w:sz w:val="20"/>
        </w:rPr>
        <w:t>of human trafficking at FURY Assembly a small task group was set up and has produced a working pack for local churches to explore the issue. Copies of the pack are available to encourage others to become involved in the</w:t>
      </w:r>
      <w:r>
        <w:rPr>
          <w:spacing w:val="13"/>
          <w:w w:val="120"/>
          <w:sz w:val="20"/>
        </w:rPr>
        <w:t> </w:t>
      </w:r>
      <w:r>
        <w:rPr>
          <w:w w:val="120"/>
          <w:sz w:val="20"/>
        </w:rPr>
        <w:t>campaign.</w:t>
      </w:r>
    </w:p>
    <w:p>
      <w:pPr>
        <w:pStyle w:val="BodyText"/>
        <w:spacing w:before="9"/>
        <w:rPr>
          <w:sz w:val="17"/>
        </w:rPr>
      </w:pPr>
    </w:p>
    <w:p>
      <w:pPr>
        <w:numPr>
          <w:ilvl w:val="1"/>
          <w:numId w:val="149"/>
        </w:numPr>
        <w:tabs>
          <w:tab w:pos="2704" w:val="left" w:leader="none"/>
          <w:tab w:pos="2705" w:val="left" w:leader="none"/>
        </w:tabs>
        <w:spacing w:before="0"/>
        <w:ind w:left="2704" w:right="0" w:hanging="721"/>
        <w:jc w:val="left"/>
        <w:rPr>
          <w:rFonts w:ascii="Stone Sans II ITC Std Bk"/>
          <w:b/>
          <w:sz w:val="21"/>
        </w:rPr>
      </w:pPr>
      <w:r>
        <w:rPr>
          <w:rFonts w:ascii="Stone Sans II ITC Std Bk"/>
          <w:b/>
          <w:w w:val="115"/>
          <w:sz w:val="21"/>
        </w:rPr>
        <w:t>Community</w:t>
      </w:r>
    </w:p>
    <w:p>
      <w:pPr>
        <w:pStyle w:val="ListParagraph"/>
        <w:numPr>
          <w:ilvl w:val="2"/>
          <w:numId w:val="149"/>
        </w:numPr>
        <w:tabs>
          <w:tab w:pos="2664" w:val="left" w:leader="none"/>
          <w:tab w:pos="2665" w:val="left" w:leader="none"/>
        </w:tabs>
        <w:spacing w:line="235" w:lineRule="auto" w:before="223" w:after="0"/>
        <w:ind w:left="1984" w:right="1165" w:firstLine="0"/>
        <w:jc w:val="left"/>
        <w:rPr>
          <w:sz w:val="20"/>
        </w:rPr>
      </w:pPr>
      <w:r>
        <w:rPr>
          <w:w w:val="120"/>
          <w:sz w:val="20"/>
        </w:rPr>
        <w:t>All churches are based within communities. Our vision is to enable and encourage the Church to reach out to local and world</w:t>
      </w:r>
      <w:r>
        <w:rPr>
          <w:spacing w:val="23"/>
          <w:w w:val="120"/>
          <w:sz w:val="20"/>
        </w:rPr>
        <w:t> </w:t>
      </w:r>
      <w:r>
        <w:rPr>
          <w:w w:val="120"/>
          <w:sz w:val="20"/>
        </w:rPr>
        <w:t>communities:</w:t>
      </w:r>
    </w:p>
    <w:p>
      <w:pPr>
        <w:pStyle w:val="ListParagraph"/>
        <w:numPr>
          <w:ilvl w:val="0"/>
          <w:numId w:val="154"/>
        </w:numPr>
        <w:tabs>
          <w:tab w:pos="2664" w:val="left" w:leader="none"/>
          <w:tab w:pos="2665" w:val="left" w:leader="none"/>
        </w:tabs>
        <w:spacing w:line="196" w:lineRule="auto" w:before="7" w:after="0"/>
        <w:ind w:left="2664" w:right="1252" w:hanging="681"/>
        <w:jc w:val="left"/>
        <w:rPr>
          <w:sz w:val="20"/>
        </w:rPr>
      </w:pPr>
      <w:r>
        <w:rPr>
          <w:w w:val="120"/>
          <w:sz w:val="20"/>
        </w:rPr>
        <w:t>helping churches to build community through pastoral care, particularly of those on the</w:t>
      </w:r>
      <w:r>
        <w:rPr>
          <w:spacing w:val="4"/>
          <w:w w:val="120"/>
          <w:sz w:val="20"/>
        </w:rPr>
        <w:t> </w:t>
      </w:r>
      <w:r>
        <w:rPr>
          <w:w w:val="120"/>
          <w:sz w:val="20"/>
        </w:rPr>
        <w:t>fringe;</w:t>
      </w:r>
    </w:p>
    <w:p>
      <w:pPr>
        <w:pStyle w:val="ListParagraph"/>
        <w:numPr>
          <w:ilvl w:val="0"/>
          <w:numId w:val="154"/>
        </w:numPr>
        <w:tabs>
          <w:tab w:pos="2664" w:val="left" w:leader="none"/>
          <w:tab w:pos="2665" w:val="left" w:leader="none"/>
        </w:tabs>
        <w:spacing w:line="257" w:lineRule="exact" w:before="0" w:after="0"/>
        <w:ind w:left="2664" w:right="0" w:hanging="681"/>
        <w:jc w:val="left"/>
        <w:rPr>
          <w:sz w:val="20"/>
        </w:rPr>
      </w:pPr>
      <w:r>
        <w:rPr>
          <w:w w:val="120"/>
          <w:sz w:val="20"/>
        </w:rPr>
        <w:t>building the confidence of churches in their own Christian</w:t>
      </w:r>
      <w:r>
        <w:rPr>
          <w:spacing w:val="30"/>
          <w:w w:val="120"/>
          <w:sz w:val="20"/>
        </w:rPr>
        <w:t> </w:t>
      </w:r>
      <w:r>
        <w:rPr>
          <w:w w:val="120"/>
          <w:sz w:val="20"/>
        </w:rPr>
        <w:t>identity;</w:t>
      </w:r>
    </w:p>
    <w:p>
      <w:pPr>
        <w:pStyle w:val="ListParagraph"/>
        <w:numPr>
          <w:ilvl w:val="0"/>
          <w:numId w:val="154"/>
        </w:numPr>
        <w:tabs>
          <w:tab w:pos="2664" w:val="left" w:leader="none"/>
          <w:tab w:pos="2665" w:val="left" w:leader="none"/>
        </w:tabs>
        <w:spacing w:line="240" w:lineRule="exact" w:before="0" w:after="0"/>
        <w:ind w:left="2664" w:right="0" w:hanging="681"/>
        <w:jc w:val="left"/>
        <w:rPr>
          <w:sz w:val="20"/>
        </w:rPr>
      </w:pPr>
      <w:r>
        <w:rPr>
          <w:w w:val="120"/>
          <w:sz w:val="20"/>
        </w:rPr>
        <w:t>helping churches to engage in the community in which they</w:t>
      </w:r>
      <w:r>
        <w:rPr>
          <w:spacing w:val="36"/>
          <w:w w:val="120"/>
          <w:sz w:val="20"/>
        </w:rPr>
        <w:t> </w:t>
      </w:r>
      <w:r>
        <w:rPr>
          <w:w w:val="120"/>
          <w:sz w:val="20"/>
        </w:rPr>
        <w:t>serve;</w:t>
      </w:r>
    </w:p>
    <w:p>
      <w:pPr>
        <w:pStyle w:val="ListParagraph"/>
        <w:numPr>
          <w:ilvl w:val="0"/>
          <w:numId w:val="154"/>
        </w:numPr>
        <w:tabs>
          <w:tab w:pos="2664" w:val="left" w:leader="none"/>
          <w:tab w:pos="2665" w:val="left" w:leader="none"/>
        </w:tabs>
        <w:spacing w:line="240" w:lineRule="exact" w:before="0" w:after="0"/>
        <w:ind w:left="2664" w:right="0" w:hanging="681"/>
        <w:jc w:val="left"/>
        <w:rPr>
          <w:sz w:val="20"/>
        </w:rPr>
      </w:pPr>
      <w:r>
        <w:rPr>
          <w:w w:val="120"/>
          <w:sz w:val="20"/>
        </w:rPr>
        <w:t>involvement with the world</w:t>
      </w:r>
      <w:r>
        <w:rPr>
          <w:spacing w:val="9"/>
          <w:w w:val="120"/>
          <w:sz w:val="20"/>
        </w:rPr>
        <w:t> </w:t>
      </w:r>
      <w:r>
        <w:rPr>
          <w:w w:val="120"/>
          <w:sz w:val="20"/>
        </w:rPr>
        <w:t>Church;</w:t>
      </w:r>
    </w:p>
    <w:p>
      <w:pPr>
        <w:pStyle w:val="ListParagraph"/>
        <w:numPr>
          <w:ilvl w:val="0"/>
          <w:numId w:val="154"/>
        </w:numPr>
        <w:tabs>
          <w:tab w:pos="2664" w:val="left" w:leader="none"/>
          <w:tab w:pos="2665" w:val="left" w:leader="none"/>
        </w:tabs>
        <w:spacing w:line="281" w:lineRule="exact" w:before="0" w:after="0"/>
        <w:ind w:left="2664" w:right="0" w:hanging="681"/>
        <w:jc w:val="left"/>
        <w:rPr>
          <w:sz w:val="20"/>
        </w:rPr>
      </w:pPr>
      <w:r>
        <w:rPr>
          <w:w w:val="120"/>
          <w:sz w:val="20"/>
        </w:rPr>
        <w:t>recognition of the needs of different cultural/faith</w:t>
      </w:r>
      <w:r>
        <w:rPr>
          <w:spacing w:val="10"/>
          <w:w w:val="120"/>
          <w:sz w:val="20"/>
        </w:rPr>
        <w:t> </w:t>
      </w:r>
      <w:r>
        <w:rPr>
          <w:w w:val="120"/>
          <w:sz w:val="20"/>
        </w:rPr>
        <w:t>communities.</w:t>
      </w:r>
    </w:p>
    <w:p>
      <w:pPr>
        <w:pStyle w:val="ListParagraph"/>
        <w:numPr>
          <w:ilvl w:val="2"/>
          <w:numId w:val="149"/>
        </w:numPr>
        <w:tabs>
          <w:tab w:pos="2664" w:val="left" w:leader="none"/>
          <w:tab w:pos="2665" w:val="left" w:leader="none"/>
        </w:tabs>
        <w:spacing w:line="235" w:lineRule="auto" w:before="192" w:after="0"/>
        <w:ind w:left="1984" w:right="1155" w:firstLine="0"/>
        <w:jc w:val="left"/>
        <w:rPr>
          <w:sz w:val="20"/>
        </w:rPr>
      </w:pPr>
      <w:r>
        <w:rPr>
          <w:w w:val="120"/>
          <w:sz w:val="20"/>
        </w:rPr>
        <w:t>Pilots at Warwick Castle, May </w:t>
      </w:r>
      <w:r>
        <w:rPr>
          <w:spacing w:val="-6"/>
          <w:w w:val="120"/>
          <w:sz w:val="20"/>
        </w:rPr>
        <w:t>15</w:t>
      </w:r>
      <w:r>
        <w:rPr>
          <w:spacing w:val="-6"/>
          <w:w w:val="120"/>
          <w:position w:val="7"/>
          <w:sz w:val="11"/>
        </w:rPr>
        <w:t>th </w:t>
      </w:r>
      <w:r>
        <w:rPr>
          <w:spacing w:val="-5"/>
          <w:w w:val="120"/>
          <w:sz w:val="20"/>
        </w:rPr>
        <w:t>2010, </w:t>
      </w:r>
      <w:r>
        <w:rPr>
          <w:w w:val="120"/>
          <w:sz w:val="20"/>
        </w:rPr>
        <w:t>was an opportunity where the Pilots’ community, along with the whole Church community, could come together with their families and friends for a day of fun and fellowship and simply to be a people of God in one place together. </w:t>
      </w:r>
      <w:r>
        <w:rPr>
          <w:spacing w:val="3"/>
          <w:w w:val="120"/>
          <w:sz w:val="20"/>
        </w:rPr>
        <w:t>4000 </w:t>
      </w:r>
      <w:r>
        <w:rPr>
          <w:w w:val="120"/>
          <w:sz w:val="20"/>
        </w:rPr>
        <w:t>gathered to enjoy a fabulous site, the interactive Worship Zone and the </w:t>
      </w:r>
      <w:r>
        <w:rPr>
          <w:spacing w:val="-3"/>
          <w:w w:val="120"/>
          <w:sz w:val="20"/>
        </w:rPr>
        <w:t>‘all </w:t>
      </w:r>
      <w:r>
        <w:rPr>
          <w:w w:val="120"/>
          <w:sz w:val="20"/>
        </w:rPr>
        <w:t>together’ worship at the close of the</w:t>
      </w:r>
      <w:r>
        <w:rPr>
          <w:spacing w:val="25"/>
          <w:w w:val="120"/>
          <w:sz w:val="20"/>
        </w:rPr>
        <w:t> </w:t>
      </w:r>
      <w:r>
        <w:rPr>
          <w:spacing w:val="-4"/>
          <w:w w:val="120"/>
          <w:sz w:val="20"/>
        </w:rPr>
        <w:t>day.</w:t>
      </w:r>
    </w:p>
    <w:p>
      <w:pPr>
        <w:pStyle w:val="BodyText"/>
        <w:spacing w:before="11"/>
        <w:rPr>
          <w:sz w:val="19"/>
        </w:rPr>
      </w:pPr>
    </w:p>
    <w:p>
      <w:pPr>
        <w:pStyle w:val="ListParagraph"/>
        <w:numPr>
          <w:ilvl w:val="2"/>
          <w:numId w:val="149"/>
        </w:numPr>
        <w:tabs>
          <w:tab w:pos="2664" w:val="left" w:leader="none"/>
          <w:tab w:pos="2665" w:val="left" w:leader="none"/>
        </w:tabs>
        <w:spacing w:line="235" w:lineRule="auto" w:before="1" w:after="0"/>
        <w:ind w:left="1984" w:right="1144" w:firstLine="0"/>
        <w:jc w:val="left"/>
        <w:rPr>
          <w:sz w:val="20"/>
        </w:rPr>
      </w:pPr>
      <w:r>
        <w:rPr>
          <w:w w:val="120"/>
          <w:sz w:val="20"/>
        </w:rPr>
        <w:t>Voyagers and Navigators are Pilots aged </w:t>
      </w:r>
      <w:r>
        <w:rPr>
          <w:spacing w:val="-11"/>
          <w:w w:val="120"/>
          <w:sz w:val="20"/>
        </w:rPr>
        <w:t>11 </w:t>
      </w:r>
      <w:r>
        <w:rPr>
          <w:w w:val="120"/>
          <w:sz w:val="20"/>
        </w:rPr>
        <w:t>to </w:t>
      </w:r>
      <w:r>
        <w:rPr>
          <w:spacing w:val="-5"/>
          <w:w w:val="120"/>
          <w:sz w:val="20"/>
        </w:rPr>
        <w:t>18. </w:t>
      </w:r>
      <w:r>
        <w:rPr>
          <w:w w:val="120"/>
          <w:sz w:val="20"/>
        </w:rPr>
        <w:t>Each year a themed event is run for them in an old manor house in Kintbury, near Newbury. The event lasts for four days and the past two themes have been Christmas, a real look at the historical background and the main </w:t>
      </w:r>
      <w:r>
        <w:rPr>
          <w:spacing w:val="2"/>
          <w:w w:val="120"/>
          <w:sz w:val="20"/>
        </w:rPr>
        <w:t>story </w:t>
      </w:r>
      <w:r>
        <w:rPr>
          <w:w w:val="120"/>
          <w:sz w:val="20"/>
        </w:rPr>
        <w:t>itself and how it impacts on our lives today (August is the </w:t>
      </w:r>
      <w:r>
        <w:rPr>
          <w:spacing w:val="2"/>
          <w:w w:val="120"/>
          <w:sz w:val="20"/>
        </w:rPr>
        <w:t>perfect  </w:t>
      </w:r>
      <w:r>
        <w:rPr>
          <w:w w:val="120"/>
          <w:sz w:val="20"/>
        </w:rPr>
        <w:t>time in which to do </w:t>
      </w:r>
      <w:r>
        <w:rPr>
          <w:spacing w:val="-2"/>
          <w:w w:val="120"/>
          <w:sz w:val="20"/>
        </w:rPr>
        <w:t>this!) </w:t>
      </w:r>
      <w:r>
        <w:rPr>
          <w:w w:val="120"/>
          <w:sz w:val="20"/>
        </w:rPr>
        <w:t>and Choices – using the </w:t>
      </w:r>
      <w:r>
        <w:rPr>
          <w:spacing w:val="2"/>
          <w:w w:val="120"/>
          <w:sz w:val="20"/>
        </w:rPr>
        <w:t>Harry </w:t>
      </w:r>
      <w:r>
        <w:rPr>
          <w:w w:val="120"/>
          <w:sz w:val="20"/>
        </w:rPr>
        <w:t>Potter stories to explore the theme in the context of our lives and our faith. This event is generally fully booked within a week of tickets being offered. It is clearly meeting a need. This year we will be running the sixth event of this</w:t>
      </w:r>
      <w:r>
        <w:rPr>
          <w:spacing w:val="9"/>
          <w:w w:val="120"/>
          <w:sz w:val="20"/>
        </w:rPr>
        <w:t> </w:t>
      </w:r>
      <w:r>
        <w:rPr>
          <w:w w:val="120"/>
          <w:sz w:val="20"/>
        </w:rPr>
        <w:t>kind.</w:t>
      </w:r>
    </w:p>
    <w:p>
      <w:pPr>
        <w:pStyle w:val="BodyText"/>
        <w:spacing w:before="1"/>
      </w:pPr>
    </w:p>
    <w:p>
      <w:pPr>
        <w:pStyle w:val="ListParagraph"/>
        <w:numPr>
          <w:ilvl w:val="2"/>
          <w:numId w:val="149"/>
        </w:numPr>
        <w:tabs>
          <w:tab w:pos="2664" w:val="left" w:leader="none"/>
          <w:tab w:pos="2665" w:val="left" w:leader="none"/>
        </w:tabs>
        <w:spacing w:line="235" w:lineRule="auto" w:before="0" w:after="0"/>
        <w:ind w:left="1984" w:right="1134" w:firstLine="0"/>
        <w:jc w:val="left"/>
        <w:rPr>
          <w:sz w:val="20"/>
        </w:rPr>
      </w:pPr>
      <w:r>
        <w:rPr>
          <w:i/>
          <w:w w:val="120"/>
          <w:sz w:val="20"/>
        </w:rPr>
        <w:t>Peace Builders </w:t>
      </w:r>
      <w:r>
        <w:rPr>
          <w:w w:val="120"/>
          <w:sz w:val="20"/>
        </w:rPr>
        <w:t>was a collaborative project with the Methodist Church and focussed on peace in the context of our lives and not the context of being the alternative to </w:t>
      </w:r>
      <w:r>
        <w:rPr>
          <w:spacing w:val="-4"/>
          <w:w w:val="120"/>
          <w:sz w:val="20"/>
        </w:rPr>
        <w:t>war. </w:t>
      </w:r>
      <w:r>
        <w:rPr>
          <w:w w:val="120"/>
          <w:sz w:val="20"/>
        </w:rPr>
        <w:t>Pilots created peace boxes which they took into their communities and passed around asking for people’s prayers and wishes for peace. The boxes were embraced in far greater ways than we could have imagined and local newspapers reported their movements as they travelled around the</w:t>
      </w:r>
      <w:r>
        <w:rPr>
          <w:spacing w:val="8"/>
          <w:w w:val="120"/>
          <w:sz w:val="20"/>
        </w:rPr>
        <w:t> </w:t>
      </w:r>
      <w:r>
        <w:rPr>
          <w:w w:val="120"/>
          <w:sz w:val="20"/>
        </w:rPr>
        <w:t>communities.</w:t>
      </w:r>
    </w:p>
    <w:p>
      <w:pPr>
        <w:pStyle w:val="BodyText"/>
      </w:pPr>
    </w:p>
    <w:p>
      <w:pPr>
        <w:pStyle w:val="ListParagraph"/>
        <w:numPr>
          <w:ilvl w:val="2"/>
          <w:numId w:val="149"/>
        </w:numPr>
        <w:tabs>
          <w:tab w:pos="2664" w:val="left" w:leader="none"/>
          <w:tab w:pos="2665" w:val="left" w:leader="none"/>
        </w:tabs>
        <w:spacing w:line="235" w:lineRule="auto" w:before="0" w:after="0"/>
        <w:ind w:left="1984" w:right="1173" w:firstLine="0"/>
        <w:jc w:val="left"/>
        <w:rPr>
          <w:sz w:val="20"/>
        </w:rPr>
      </w:pPr>
      <w:r>
        <w:rPr>
          <w:w w:val="120"/>
          <w:sz w:val="20"/>
        </w:rPr>
        <w:t>Pilots has always been </w:t>
      </w:r>
      <w:r>
        <w:rPr>
          <w:spacing w:val="2"/>
          <w:w w:val="120"/>
          <w:sz w:val="20"/>
        </w:rPr>
        <w:t>part </w:t>
      </w:r>
      <w:r>
        <w:rPr>
          <w:w w:val="120"/>
          <w:sz w:val="20"/>
        </w:rPr>
        <w:t>of the communities in which it is based, both because most of those in the groups are resident there but also because many companies actively seek an involvement in the life of the community. In Bolton a plaque has been erected in the community commending the work of Red Lane Pilots who regularly pick litter up to keep their area litter</w:t>
      </w:r>
      <w:r>
        <w:rPr>
          <w:spacing w:val="6"/>
          <w:w w:val="120"/>
          <w:sz w:val="20"/>
        </w:rPr>
        <w:t> </w:t>
      </w:r>
      <w:r>
        <w:rPr>
          <w:w w:val="120"/>
          <w:sz w:val="20"/>
        </w:rPr>
        <w:t>free.</w:t>
      </w:r>
    </w:p>
    <w:p>
      <w:pPr>
        <w:pStyle w:val="BodyText"/>
        <w:spacing w:before="12"/>
        <w:rPr>
          <w:sz w:val="19"/>
        </w:rPr>
      </w:pPr>
    </w:p>
    <w:p>
      <w:pPr>
        <w:pStyle w:val="ListParagraph"/>
        <w:numPr>
          <w:ilvl w:val="2"/>
          <w:numId w:val="149"/>
        </w:numPr>
        <w:tabs>
          <w:tab w:pos="2664" w:val="left" w:leader="none"/>
          <w:tab w:pos="2665" w:val="left" w:leader="none"/>
        </w:tabs>
        <w:spacing w:line="235" w:lineRule="auto" w:before="0" w:after="0"/>
        <w:ind w:left="1984" w:right="1154" w:firstLine="0"/>
        <w:jc w:val="left"/>
        <w:rPr>
          <w:sz w:val="20"/>
        </w:rPr>
      </w:pPr>
      <w:r>
        <w:rPr>
          <w:w w:val="120"/>
          <w:sz w:val="20"/>
        </w:rPr>
        <w:t>For the past four years the </w:t>
      </w:r>
      <w:r>
        <w:rPr>
          <w:spacing w:val="-3"/>
          <w:w w:val="120"/>
          <w:sz w:val="20"/>
        </w:rPr>
        <w:t>Youth </w:t>
      </w:r>
      <w:r>
        <w:rPr>
          <w:w w:val="120"/>
          <w:sz w:val="20"/>
        </w:rPr>
        <w:t>and Children’s Work Committee has been supporting a project in the Holy Land called </w:t>
      </w:r>
      <w:r>
        <w:rPr>
          <w:i/>
          <w:w w:val="120"/>
          <w:sz w:val="20"/>
        </w:rPr>
        <w:t>Kids for Hope</w:t>
      </w:r>
      <w:r>
        <w:rPr>
          <w:w w:val="120"/>
          <w:sz w:val="20"/>
        </w:rPr>
        <w:t>. This has provided around 40 young Palestinian Christians the opportunity to participate in an educational and social programme. For many of the young people, mostly from West Bank villages, it is the only chance they get to meet with their</w:t>
      </w:r>
      <w:r>
        <w:rPr>
          <w:spacing w:val="14"/>
          <w:w w:val="120"/>
          <w:sz w:val="20"/>
        </w:rPr>
        <w:t> </w:t>
      </w:r>
      <w:r>
        <w:rPr>
          <w:w w:val="120"/>
          <w:sz w:val="20"/>
        </w:rPr>
        <w:t>peers.</w:t>
      </w:r>
    </w:p>
    <w:p>
      <w:pPr>
        <w:pStyle w:val="BodyText"/>
        <w:spacing w:before="11"/>
        <w:rPr>
          <w:sz w:val="19"/>
        </w:rPr>
      </w:pPr>
    </w:p>
    <w:p>
      <w:pPr>
        <w:pStyle w:val="ListParagraph"/>
        <w:numPr>
          <w:ilvl w:val="2"/>
          <w:numId w:val="149"/>
        </w:numPr>
        <w:tabs>
          <w:tab w:pos="2664" w:val="left" w:leader="none"/>
          <w:tab w:pos="2665" w:val="left" w:leader="none"/>
        </w:tabs>
        <w:spacing w:line="235" w:lineRule="auto" w:before="1" w:after="0"/>
        <w:ind w:left="1984" w:right="1157" w:firstLine="0"/>
        <w:jc w:val="left"/>
        <w:rPr>
          <w:sz w:val="20"/>
        </w:rPr>
      </w:pPr>
      <w:r>
        <w:rPr>
          <w:w w:val="120"/>
          <w:sz w:val="20"/>
        </w:rPr>
        <w:t>Safeguarding and child protection have been high on the priority list of the committee, working in close collaboration with the Ministries Committee. Having to develop an updated version of our Good Practice pack, coping with the introduction of the vetting and barring scheme, and sitting on the board of trustees for the Churches Agency for Safeguarding means a great deal of time is spent on this area of work which is important but not always</w:t>
      </w:r>
      <w:r>
        <w:rPr>
          <w:spacing w:val="8"/>
          <w:w w:val="120"/>
          <w:sz w:val="20"/>
        </w:rPr>
        <w:t> </w:t>
      </w:r>
      <w:r>
        <w:rPr>
          <w:w w:val="120"/>
          <w:sz w:val="20"/>
        </w:rPr>
        <w:t>visible.</w:t>
      </w:r>
    </w:p>
    <w:p>
      <w:pPr>
        <w:spacing w:after="0" w:line="235" w:lineRule="auto"/>
        <w:jc w:val="left"/>
        <w:rPr>
          <w:sz w:val="20"/>
        </w:rPr>
        <w:sectPr>
          <w:pgSz w:w="11910" w:h="16840"/>
          <w:pgMar w:header="0" w:footer="647" w:top="1060" w:bottom="840" w:left="0" w:right="0"/>
        </w:sectPr>
      </w:pPr>
    </w:p>
    <w:p>
      <w:pPr>
        <w:pStyle w:val="ListParagraph"/>
        <w:numPr>
          <w:ilvl w:val="2"/>
          <w:numId w:val="149"/>
        </w:numPr>
        <w:tabs>
          <w:tab w:pos="1814" w:val="left" w:leader="none"/>
          <w:tab w:pos="1815" w:val="left" w:leader="none"/>
        </w:tabs>
        <w:spacing w:line="235" w:lineRule="auto" w:before="107" w:after="0"/>
        <w:ind w:left="1133" w:right="2107" w:firstLine="0"/>
        <w:jc w:val="left"/>
        <w:rPr>
          <w:sz w:val="20"/>
        </w:rPr>
      </w:pPr>
      <w:r>
        <w:rPr/>
        <w:pict>
          <v:rect style="position:absolute;margin-left:12.047pt;margin-top:8.477343pt;width:22.677pt;height:22.677pt;mso-position-horizontal-relative:page;mso-position-vertical-relative:paragraph;z-index:252249088" filled="true" fillcolor="#dae4ec" stroked="false">
            <v:fill opacity="32768f" type="solid"/>
            <w10:wrap type="none"/>
          </v:rect>
        </w:pict>
      </w:r>
      <w:r>
        <w:rPr>
          <w:w w:val="120"/>
          <w:sz w:val="20"/>
        </w:rPr>
        <w:t>Some young people from the United Reformed Church are volunteering to participate in a nine month voluntary project in the </w:t>
      </w:r>
      <w:r>
        <w:rPr>
          <w:spacing w:val="3"/>
          <w:w w:val="120"/>
          <w:sz w:val="20"/>
        </w:rPr>
        <w:t>CWM </w:t>
      </w:r>
      <w:r>
        <w:rPr>
          <w:w w:val="120"/>
          <w:sz w:val="20"/>
        </w:rPr>
        <w:t>Mission House in Amsterdam. During this time they will work alongside established projects within the city and be linked to a local church for support and faith development. We celebrate the </w:t>
      </w:r>
      <w:r>
        <w:rPr>
          <w:spacing w:val="2"/>
          <w:w w:val="120"/>
          <w:sz w:val="20"/>
        </w:rPr>
        <w:t>fact </w:t>
      </w:r>
      <w:r>
        <w:rPr>
          <w:w w:val="120"/>
          <w:sz w:val="20"/>
        </w:rPr>
        <w:t>that one of the former URC volunteers now serves as the full time project</w:t>
      </w:r>
      <w:r>
        <w:rPr>
          <w:spacing w:val="18"/>
          <w:w w:val="120"/>
          <w:sz w:val="20"/>
        </w:rPr>
        <w:t> </w:t>
      </w:r>
      <w:r>
        <w:rPr>
          <w:w w:val="120"/>
          <w:sz w:val="20"/>
        </w:rPr>
        <w:t>manager,</w:t>
      </w:r>
    </w:p>
    <w:p>
      <w:pPr>
        <w:pStyle w:val="BodyText"/>
        <w:spacing w:line="244" w:lineRule="exact"/>
        <w:ind w:left="1133"/>
      </w:pPr>
      <w:r>
        <w:rPr>
          <w:w w:val="120"/>
        </w:rPr>
        <w:t>a testimony to the good work this project undertakes.</w:t>
      </w:r>
    </w:p>
    <w:p>
      <w:pPr>
        <w:pStyle w:val="BodyText"/>
        <w:spacing w:before="8"/>
        <w:rPr>
          <w:sz w:val="19"/>
        </w:rPr>
      </w:pPr>
    </w:p>
    <w:p>
      <w:pPr>
        <w:pStyle w:val="ListParagraph"/>
        <w:numPr>
          <w:ilvl w:val="2"/>
          <w:numId w:val="149"/>
        </w:numPr>
        <w:tabs>
          <w:tab w:pos="1814" w:val="left" w:leader="none"/>
          <w:tab w:pos="1815" w:val="left" w:leader="none"/>
        </w:tabs>
        <w:spacing w:line="235" w:lineRule="auto" w:before="0" w:after="0"/>
        <w:ind w:left="1133" w:right="2098" w:firstLine="0"/>
        <w:jc w:val="left"/>
        <w:rPr>
          <w:sz w:val="20"/>
        </w:rPr>
      </w:pPr>
      <w:r>
        <w:rPr>
          <w:w w:val="120"/>
          <w:sz w:val="20"/>
        </w:rPr>
        <w:t>We have continued to support the training of children’s workers, both volunteers and paid workers, through </w:t>
      </w:r>
      <w:r>
        <w:rPr>
          <w:i/>
          <w:w w:val="120"/>
          <w:sz w:val="20"/>
        </w:rPr>
        <w:t>CORE Skills</w:t>
      </w:r>
      <w:r>
        <w:rPr>
          <w:w w:val="120"/>
          <w:sz w:val="20"/>
        </w:rPr>
        <w:t>, an excellent ecumenical training </w:t>
      </w:r>
      <w:r>
        <w:rPr>
          <w:spacing w:val="2"/>
          <w:w w:val="120"/>
          <w:sz w:val="20"/>
        </w:rPr>
        <w:t>package </w:t>
      </w:r>
      <w:r>
        <w:rPr>
          <w:w w:val="120"/>
          <w:sz w:val="20"/>
        </w:rPr>
        <w:t>delivered</w:t>
      </w:r>
      <w:r>
        <w:rPr>
          <w:spacing w:val="13"/>
          <w:w w:val="120"/>
          <w:sz w:val="20"/>
        </w:rPr>
        <w:t> </w:t>
      </w:r>
      <w:r>
        <w:rPr>
          <w:w w:val="120"/>
          <w:sz w:val="20"/>
        </w:rPr>
        <w:t>by</w:t>
      </w:r>
      <w:r>
        <w:rPr>
          <w:spacing w:val="13"/>
          <w:w w:val="120"/>
          <w:sz w:val="20"/>
        </w:rPr>
        <w:t> </w:t>
      </w:r>
      <w:r>
        <w:rPr>
          <w:w w:val="120"/>
          <w:sz w:val="20"/>
        </w:rPr>
        <w:t>our</w:t>
      </w:r>
      <w:r>
        <w:rPr>
          <w:spacing w:val="14"/>
          <w:w w:val="120"/>
          <w:sz w:val="20"/>
        </w:rPr>
        <w:t> </w:t>
      </w:r>
      <w:r>
        <w:rPr>
          <w:spacing w:val="4"/>
          <w:w w:val="120"/>
          <w:sz w:val="20"/>
        </w:rPr>
        <w:t>CYDO</w:t>
      </w:r>
      <w:r>
        <w:rPr>
          <w:spacing w:val="13"/>
          <w:w w:val="120"/>
          <w:sz w:val="20"/>
        </w:rPr>
        <w:t> </w:t>
      </w:r>
      <w:r>
        <w:rPr>
          <w:w w:val="120"/>
          <w:sz w:val="20"/>
        </w:rPr>
        <w:t>team,</w:t>
      </w:r>
      <w:r>
        <w:rPr>
          <w:spacing w:val="13"/>
          <w:w w:val="120"/>
          <w:sz w:val="20"/>
        </w:rPr>
        <w:t> </w:t>
      </w:r>
      <w:r>
        <w:rPr>
          <w:spacing w:val="2"/>
          <w:w w:val="120"/>
          <w:sz w:val="20"/>
        </w:rPr>
        <w:t>often</w:t>
      </w:r>
      <w:r>
        <w:rPr>
          <w:spacing w:val="14"/>
          <w:w w:val="120"/>
          <w:sz w:val="20"/>
        </w:rPr>
        <w:t> </w:t>
      </w:r>
      <w:r>
        <w:rPr>
          <w:w w:val="120"/>
          <w:sz w:val="20"/>
        </w:rPr>
        <w:t>with</w:t>
      </w:r>
      <w:r>
        <w:rPr>
          <w:spacing w:val="13"/>
          <w:w w:val="120"/>
          <w:sz w:val="20"/>
        </w:rPr>
        <w:t> </w:t>
      </w:r>
      <w:r>
        <w:rPr>
          <w:w w:val="120"/>
          <w:sz w:val="20"/>
        </w:rPr>
        <w:t>colleagues</w:t>
      </w:r>
      <w:r>
        <w:rPr>
          <w:spacing w:val="14"/>
          <w:w w:val="120"/>
          <w:sz w:val="20"/>
        </w:rPr>
        <w:t> </w:t>
      </w:r>
      <w:r>
        <w:rPr>
          <w:spacing w:val="2"/>
          <w:w w:val="120"/>
          <w:sz w:val="20"/>
        </w:rPr>
        <w:t>from</w:t>
      </w:r>
      <w:r>
        <w:rPr>
          <w:spacing w:val="13"/>
          <w:w w:val="120"/>
          <w:sz w:val="20"/>
        </w:rPr>
        <w:t> </w:t>
      </w:r>
      <w:r>
        <w:rPr>
          <w:w w:val="120"/>
          <w:sz w:val="20"/>
        </w:rPr>
        <w:t>other</w:t>
      </w:r>
      <w:r>
        <w:rPr>
          <w:spacing w:val="13"/>
          <w:w w:val="120"/>
          <w:sz w:val="20"/>
        </w:rPr>
        <w:t> </w:t>
      </w:r>
      <w:r>
        <w:rPr>
          <w:w w:val="120"/>
          <w:sz w:val="20"/>
        </w:rPr>
        <w:t>denominations.</w:t>
      </w:r>
    </w:p>
    <w:p>
      <w:pPr>
        <w:pStyle w:val="BodyText"/>
        <w:spacing w:before="8"/>
        <w:rPr>
          <w:sz w:val="17"/>
        </w:rPr>
      </w:pPr>
    </w:p>
    <w:p>
      <w:pPr>
        <w:numPr>
          <w:ilvl w:val="1"/>
          <w:numId w:val="149"/>
        </w:numPr>
        <w:tabs>
          <w:tab w:pos="1853" w:val="left" w:leader="none"/>
          <w:tab w:pos="1854" w:val="left" w:leader="none"/>
        </w:tabs>
        <w:spacing w:before="0"/>
        <w:ind w:left="1853" w:right="0" w:hanging="721"/>
        <w:jc w:val="left"/>
        <w:rPr>
          <w:rFonts w:ascii="Stone Sans II ITC Std Bk"/>
          <w:b/>
          <w:sz w:val="21"/>
        </w:rPr>
      </w:pPr>
      <w:r>
        <w:rPr>
          <w:rFonts w:ascii="Stone Sans II ITC Std Bk"/>
          <w:b/>
          <w:w w:val="115"/>
          <w:sz w:val="21"/>
        </w:rPr>
        <w:t>Conclusion</w:t>
      </w:r>
    </w:p>
    <w:p>
      <w:pPr>
        <w:pStyle w:val="ListParagraph"/>
        <w:numPr>
          <w:ilvl w:val="2"/>
          <w:numId w:val="149"/>
        </w:numPr>
        <w:tabs>
          <w:tab w:pos="1815" w:val="left" w:leader="none"/>
        </w:tabs>
        <w:spacing w:line="235" w:lineRule="auto" w:before="223" w:after="0"/>
        <w:ind w:left="1133" w:right="2149" w:firstLine="0"/>
        <w:jc w:val="both"/>
        <w:rPr>
          <w:sz w:val="20"/>
        </w:rPr>
      </w:pPr>
      <w:r>
        <w:rPr>
          <w:w w:val="120"/>
          <w:sz w:val="20"/>
        </w:rPr>
        <w:t>There is much to celebrate with regards to the </w:t>
      </w:r>
      <w:r>
        <w:rPr>
          <w:spacing w:val="-3"/>
          <w:w w:val="120"/>
          <w:sz w:val="20"/>
        </w:rPr>
        <w:t>Youth </w:t>
      </w:r>
      <w:r>
        <w:rPr>
          <w:w w:val="120"/>
          <w:sz w:val="20"/>
        </w:rPr>
        <w:t>and Children’s Work in the United Reformed Church, whilst recognising the huge challenges we face together. We are blessed with dedicated professionals at all levels of our Church who enable the faith development of tens of thousands of young people in our</w:t>
      </w:r>
      <w:r>
        <w:rPr>
          <w:spacing w:val="30"/>
          <w:w w:val="120"/>
          <w:sz w:val="20"/>
        </w:rPr>
        <w:t> </w:t>
      </w:r>
      <w:r>
        <w:rPr>
          <w:w w:val="120"/>
          <w:sz w:val="20"/>
        </w:rPr>
        <w:t>communities.</w:t>
      </w:r>
    </w:p>
    <w:p>
      <w:pPr>
        <w:pStyle w:val="BodyText"/>
        <w:spacing w:before="11"/>
        <w:rPr>
          <w:sz w:val="19"/>
        </w:rPr>
      </w:pPr>
    </w:p>
    <w:p>
      <w:pPr>
        <w:pStyle w:val="ListParagraph"/>
        <w:numPr>
          <w:ilvl w:val="2"/>
          <w:numId w:val="149"/>
        </w:numPr>
        <w:tabs>
          <w:tab w:pos="1814" w:val="left" w:leader="none"/>
          <w:tab w:pos="1815" w:val="left" w:leader="none"/>
        </w:tabs>
        <w:spacing w:line="235" w:lineRule="auto" w:before="0" w:after="0"/>
        <w:ind w:left="1133" w:right="2036" w:firstLine="0"/>
        <w:jc w:val="left"/>
        <w:rPr>
          <w:sz w:val="20"/>
        </w:rPr>
      </w:pPr>
      <w:r>
        <w:rPr>
          <w:w w:val="120"/>
          <w:sz w:val="20"/>
        </w:rPr>
        <w:t>We want to record our immense gratitude to the </w:t>
      </w:r>
      <w:r>
        <w:rPr>
          <w:spacing w:val="2"/>
          <w:w w:val="120"/>
          <w:sz w:val="20"/>
        </w:rPr>
        <w:t>CYDO </w:t>
      </w:r>
      <w:r>
        <w:rPr>
          <w:w w:val="120"/>
          <w:sz w:val="20"/>
        </w:rPr>
        <w:t>task group that has completed the review of the </w:t>
      </w:r>
      <w:r>
        <w:rPr>
          <w:spacing w:val="2"/>
          <w:w w:val="120"/>
          <w:sz w:val="20"/>
        </w:rPr>
        <w:t>CYDO </w:t>
      </w:r>
      <w:r>
        <w:rPr>
          <w:w w:val="120"/>
          <w:sz w:val="20"/>
        </w:rPr>
        <w:t>programme and has produced the new </w:t>
      </w:r>
      <w:r>
        <w:rPr>
          <w:spacing w:val="2"/>
          <w:w w:val="120"/>
          <w:sz w:val="20"/>
        </w:rPr>
        <w:t>CYDO </w:t>
      </w:r>
      <w:r>
        <w:rPr>
          <w:w w:val="120"/>
          <w:sz w:val="20"/>
        </w:rPr>
        <w:t>handbook. We should also recognise and thank the team of </w:t>
      </w:r>
      <w:r>
        <w:rPr>
          <w:spacing w:val="2"/>
          <w:w w:val="120"/>
          <w:sz w:val="20"/>
        </w:rPr>
        <w:t>CYDO </w:t>
      </w:r>
      <w:r>
        <w:rPr>
          <w:w w:val="120"/>
          <w:sz w:val="20"/>
        </w:rPr>
        <w:t>managers who are appointed by synods to ensure the good management and support of each CYDO. Since the last </w:t>
      </w:r>
      <w:r>
        <w:rPr>
          <w:spacing w:val="2"/>
          <w:w w:val="120"/>
          <w:sz w:val="20"/>
        </w:rPr>
        <w:t>report </w:t>
      </w:r>
      <w:r>
        <w:rPr>
          <w:w w:val="120"/>
          <w:sz w:val="20"/>
        </w:rPr>
        <w:t>we have appointed four new members of the </w:t>
      </w:r>
      <w:r>
        <w:rPr>
          <w:spacing w:val="2"/>
          <w:w w:val="120"/>
          <w:sz w:val="20"/>
        </w:rPr>
        <w:t>CYDO </w:t>
      </w:r>
      <w:r>
        <w:rPr>
          <w:w w:val="120"/>
          <w:sz w:val="20"/>
        </w:rPr>
        <w:t>team across the </w:t>
      </w:r>
      <w:r>
        <w:rPr>
          <w:spacing w:val="2"/>
          <w:w w:val="120"/>
          <w:sz w:val="20"/>
        </w:rPr>
        <w:t>UK. </w:t>
      </w:r>
      <w:r>
        <w:rPr>
          <w:w w:val="120"/>
          <w:sz w:val="20"/>
        </w:rPr>
        <w:t>Only one synod has been unable to fund a </w:t>
      </w:r>
      <w:r>
        <w:rPr>
          <w:spacing w:val="2"/>
          <w:w w:val="120"/>
          <w:sz w:val="20"/>
        </w:rPr>
        <w:t>CYDO</w:t>
      </w:r>
      <w:r>
        <w:rPr>
          <w:spacing w:val="35"/>
          <w:w w:val="120"/>
          <w:sz w:val="20"/>
        </w:rPr>
        <w:t> </w:t>
      </w:r>
      <w:r>
        <w:rPr>
          <w:w w:val="120"/>
          <w:sz w:val="20"/>
        </w:rPr>
        <w:t>post.</w:t>
      </w:r>
    </w:p>
    <w:p>
      <w:pPr>
        <w:pStyle w:val="BodyText"/>
      </w:pPr>
    </w:p>
    <w:p>
      <w:pPr>
        <w:pStyle w:val="ListParagraph"/>
        <w:numPr>
          <w:ilvl w:val="2"/>
          <w:numId w:val="149"/>
        </w:numPr>
        <w:tabs>
          <w:tab w:pos="1814" w:val="left" w:leader="none"/>
          <w:tab w:pos="1815" w:val="left" w:leader="none"/>
        </w:tabs>
        <w:spacing w:line="235" w:lineRule="auto" w:before="0" w:after="0"/>
        <w:ind w:left="1133" w:right="2588" w:hanging="1"/>
        <w:jc w:val="left"/>
        <w:rPr>
          <w:sz w:val="20"/>
        </w:rPr>
      </w:pPr>
      <w:r>
        <w:rPr>
          <w:w w:val="120"/>
          <w:sz w:val="20"/>
        </w:rPr>
        <w:t>In </w:t>
      </w:r>
      <w:r>
        <w:rPr>
          <w:spacing w:val="-10"/>
          <w:w w:val="120"/>
          <w:sz w:val="20"/>
        </w:rPr>
        <w:t>2011, </w:t>
      </w:r>
      <w:r>
        <w:rPr>
          <w:w w:val="120"/>
          <w:sz w:val="20"/>
        </w:rPr>
        <w:t>Pilots will be celebrating its </w:t>
      </w:r>
      <w:r>
        <w:rPr>
          <w:spacing w:val="-4"/>
          <w:w w:val="120"/>
          <w:sz w:val="20"/>
        </w:rPr>
        <w:t>75</w:t>
      </w:r>
      <w:r>
        <w:rPr>
          <w:spacing w:val="-4"/>
          <w:w w:val="120"/>
          <w:position w:val="7"/>
          <w:sz w:val="11"/>
        </w:rPr>
        <w:t>th </w:t>
      </w:r>
      <w:r>
        <w:rPr>
          <w:w w:val="120"/>
          <w:sz w:val="20"/>
        </w:rPr>
        <w:t>anniversary and we look forward to joining in the many celebration activities that are planned around the</w:t>
      </w:r>
      <w:r>
        <w:rPr>
          <w:spacing w:val="37"/>
          <w:w w:val="120"/>
          <w:sz w:val="20"/>
        </w:rPr>
        <w:t> </w:t>
      </w:r>
      <w:r>
        <w:rPr>
          <w:w w:val="120"/>
          <w:sz w:val="20"/>
        </w:rPr>
        <w:t>country.</w:t>
      </w:r>
    </w:p>
    <w:p>
      <w:pPr>
        <w:pStyle w:val="BodyText"/>
        <w:spacing w:before="10"/>
        <w:rPr>
          <w:sz w:val="19"/>
        </w:rPr>
      </w:pPr>
    </w:p>
    <w:p>
      <w:pPr>
        <w:pStyle w:val="ListParagraph"/>
        <w:numPr>
          <w:ilvl w:val="2"/>
          <w:numId w:val="149"/>
        </w:numPr>
        <w:tabs>
          <w:tab w:pos="1814" w:val="left" w:leader="none"/>
          <w:tab w:pos="1815" w:val="left" w:leader="none"/>
        </w:tabs>
        <w:spacing w:line="235" w:lineRule="auto" w:before="0" w:after="0"/>
        <w:ind w:left="1133" w:right="2293" w:firstLine="0"/>
        <w:jc w:val="left"/>
        <w:rPr>
          <w:sz w:val="20"/>
        </w:rPr>
      </w:pPr>
      <w:r>
        <w:rPr>
          <w:w w:val="120"/>
          <w:sz w:val="20"/>
        </w:rPr>
        <w:t>In addition to supporting our links with Pilots, the </w:t>
      </w:r>
      <w:r>
        <w:rPr>
          <w:spacing w:val="-3"/>
          <w:w w:val="120"/>
          <w:sz w:val="20"/>
        </w:rPr>
        <w:t>Youth </w:t>
      </w:r>
      <w:r>
        <w:rPr>
          <w:w w:val="120"/>
          <w:sz w:val="20"/>
        </w:rPr>
        <w:t>and Children’s Work Committee maintains links with many other organisations including the Girl’s Brigade, Boy’s Brigade, Guiding and Scouting. We want to thank the many volunteers in our churches who support these</w:t>
      </w:r>
      <w:r>
        <w:rPr>
          <w:spacing w:val="10"/>
          <w:w w:val="120"/>
          <w:sz w:val="20"/>
        </w:rPr>
        <w:t> </w:t>
      </w:r>
      <w:r>
        <w:rPr>
          <w:w w:val="120"/>
          <w:sz w:val="20"/>
        </w:rPr>
        <w:t>groups.</w:t>
      </w:r>
    </w:p>
    <w:p>
      <w:pPr>
        <w:pStyle w:val="BodyText"/>
        <w:spacing w:before="10"/>
        <w:rPr>
          <w:sz w:val="19"/>
        </w:rPr>
      </w:pPr>
    </w:p>
    <w:p>
      <w:pPr>
        <w:pStyle w:val="ListParagraph"/>
        <w:numPr>
          <w:ilvl w:val="2"/>
          <w:numId w:val="149"/>
        </w:numPr>
        <w:tabs>
          <w:tab w:pos="1815" w:val="left" w:leader="none"/>
        </w:tabs>
        <w:spacing w:line="235" w:lineRule="auto" w:before="1" w:after="0"/>
        <w:ind w:left="1133" w:right="2183" w:firstLine="0"/>
        <w:jc w:val="both"/>
        <w:rPr>
          <w:sz w:val="20"/>
        </w:rPr>
      </w:pPr>
      <w:r>
        <w:rPr>
          <w:w w:val="120"/>
          <w:sz w:val="20"/>
        </w:rPr>
        <w:t>An area for further development is in helping churches think about and develop their involvement in local schools. We hope to develop greater awareness, training and resources over the next two</w:t>
      </w:r>
      <w:r>
        <w:rPr>
          <w:spacing w:val="8"/>
          <w:w w:val="120"/>
          <w:sz w:val="20"/>
        </w:rPr>
        <w:t> </w:t>
      </w:r>
      <w:r>
        <w:rPr>
          <w:w w:val="120"/>
          <w:sz w:val="20"/>
        </w:rPr>
        <w:t>years.</w:t>
      </w:r>
    </w:p>
    <w:p>
      <w:pPr>
        <w:pStyle w:val="BodyText"/>
      </w:pPr>
    </w:p>
    <w:p>
      <w:pPr>
        <w:pStyle w:val="BodyText"/>
      </w:pPr>
    </w:p>
    <w:p>
      <w:pPr>
        <w:pStyle w:val="BodyText"/>
      </w:pPr>
    </w:p>
    <w:p>
      <w:pPr>
        <w:pStyle w:val="BodyText"/>
        <w:spacing w:before="3"/>
        <w:rPr>
          <w:sz w:val="21"/>
        </w:rPr>
      </w:pPr>
      <w:r>
        <w:rPr/>
        <w:pict>
          <v:shape style="position:absolute;margin-left:56.692902pt;margin-top:21.25732pt;width:183.85pt;height:.1pt;mso-position-horizontal-relative:page;mso-position-vertical-relative:paragraph;z-index:-251072512;mso-wrap-distance-left:0;mso-wrap-distance-right:0" coordorigin="1134,425" coordsize="3677,0" path="m1134,425l4811,425e" filled="false" stroked="true" strokeweight=".5pt" strokecolor="#8ba8bd">
            <v:path arrowok="t"/>
            <v:stroke dashstyle="solid"/>
            <w10:wrap type="topAndBottom"/>
          </v:shape>
        </w:pict>
      </w:r>
      <w:r>
        <w:rPr/>
        <w:pict>
          <v:rect style="position:absolute;margin-left:250.865997pt;margin-top:14.936027pt;width:13.721pt;height:13.721pt;mso-position-horizontal-relative:page;mso-position-vertical-relative:paragraph;z-index:-251071488;mso-wrap-distance-left:0;mso-wrap-distance-right:0" filled="true" fillcolor="#8ba8bd" stroked="false">
            <v:fill type="solid"/>
            <w10:wrap type="topAndBottom"/>
          </v:rect>
        </w:pict>
      </w:r>
      <w:r>
        <w:rPr/>
        <w:pict>
          <v:rect style="position:absolute;margin-left:269.303009pt;margin-top:14.936027pt;width:13.721pt;height:13.721pt;mso-position-horizontal-relative:page;mso-position-vertical-relative:paragraph;z-index:-251070464;mso-wrap-distance-left:0;mso-wrap-distance-right:0" filled="true" fillcolor="#c2d2df" stroked="false">
            <v:fill type="solid"/>
            <w10:wrap type="topAndBottom"/>
          </v:rect>
        </w:pict>
      </w:r>
      <w:r>
        <w:rPr/>
        <w:pict>
          <v:rect style="position:absolute;margin-left:288.169006pt;margin-top:14.936027pt;width:13.721pt;height:13.721pt;mso-position-horizontal-relative:page;mso-position-vertical-relative:paragraph;z-index:-251069440;mso-wrap-distance-left:0;mso-wrap-distance-right:0" filled="true" fillcolor="#dae4ec" stroked="false">
            <v:fill opacity="32768f" type="solid"/>
            <w10:wrap type="topAndBottom"/>
          </v:rect>
        </w:pict>
      </w:r>
      <w:r>
        <w:rPr/>
        <w:pict>
          <v:shape style="position:absolute;margin-left:311.716003pt;margin-top:21.25732pt;width:184.35pt;height:.1pt;mso-position-horizontal-relative:page;mso-position-vertical-relative:paragraph;z-index:-251068416;mso-wrap-distance-left:0;mso-wrap-distance-right:0" coordorigin="6234,425" coordsize="3687,0" path="m6234,425l9921,425e" filled="false" stroked="true" strokeweight=".5pt" strokecolor="#8ba8bd">
            <v:path arrowok="t"/>
            <v:stroke dashstyle="solid"/>
            <w10:wrap type="topAndBottom"/>
          </v:shape>
        </w:pict>
      </w:r>
    </w:p>
    <w:p>
      <w:pPr>
        <w:spacing w:after="0"/>
        <w:rPr>
          <w:sz w:val="21"/>
        </w:rPr>
        <w:sectPr>
          <w:pgSz w:w="11910" w:h="16840"/>
          <w:pgMar w:header="0" w:footer="647" w:top="1060" w:bottom="840" w:left="0" w:right="0"/>
        </w:sectPr>
      </w:pPr>
    </w:p>
    <w:p>
      <w:pPr>
        <w:pStyle w:val="Heading2"/>
        <w:spacing w:before="77"/>
        <w:ind w:left="1955"/>
      </w:pPr>
      <w:r>
        <w:rPr/>
        <w:pict>
          <v:rect style="position:absolute;margin-left:0pt;margin-top:.000015pt;width:595.275pt;height:841.89pt;mso-position-horizontal-relative:page;mso-position-vertical-relative:page;z-index:-267173888" filled="true" fillcolor="#8ba8bd" stroked="false">
            <v:fill type="solid"/>
            <w10:wrap type="none"/>
          </v:rect>
        </w:pict>
      </w:r>
      <w:r>
        <w:rPr/>
        <w:pict>
          <v:group style="position:absolute;margin-left:75.826797pt;margin-top:.000015pt;width:519.4500pt;height:790.9pt;mso-position-horizontal-relative:page;mso-position-vertical-relative:page;z-index:-267172864"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8ba8bd" stroked="false">
              <v:path arrowok="t"/>
              <v:fill type="solid"/>
            </v:shape>
            <v:rect style="position:absolute;left:11168;top:625;width:454;height:454" filled="true" fillcolor="#c2d2df" stroked="false">
              <v:fill type="solid"/>
            </v:rect>
            <v:rect style="position:absolute;left:11168;top:1249;width:454;height:454" filled="true" fillcolor="#dae4ec" stroked="false">
              <v:fill opacity="32768f" type="solid"/>
            </v:rect>
            <w10:wrap type="none"/>
          </v:group>
        </w:pict>
      </w:r>
      <w:r>
        <w:rPr/>
        <w:pict>
          <v:shape style="position:absolute;margin-left:512.587891pt;margin-top:-.195017pt;width:47.4pt;height:317.25pt;mso-position-horizontal-relative:page;mso-position-vertical-relative:paragraph;z-index:-267171840"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9"/>
                      <w:w w:val="110"/>
                      <w:sz w:val="72"/>
                    </w:rPr>
                    <w:t>Church</w:t>
                  </w:r>
                  <w:r>
                    <w:rPr>
                      <w:rFonts w:ascii="Stone Sans II ITC Std X Bd"/>
                      <w:b/>
                      <w:spacing w:val="64"/>
                      <w:w w:val="110"/>
                      <w:sz w:val="72"/>
                    </w:rPr>
                    <w:t> </w:t>
                  </w:r>
                  <w:r>
                    <w:rPr>
                      <w:rFonts w:ascii="Stone Sans II ITC Std X Bd"/>
                      <w:b/>
                      <w:spacing w:val="-8"/>
                      <w:w w:val="110"/>
                      <w:sz w:val="72"/>
                    </w:rPr>
                    <w:t>changes</w:t>
                  </w:r>
                </w:p>
              </w:txbxContent>
            </v:textbox>
            <w10:wrap type="none"/>
          </v:shape>
        </w:pict>
      </w:r>
      <w:r>
        <w:rPr>
          <w:spacing w:val="-3"/>
          <w:w w:val="110"/>
        </w:rPr>
        <w:t>New  </w:t>
      </w:r>
      <w:r>
        <w:rPr>
          <w:spacing w:val="-6"/>
          <w:w w:val="110"/>
        </w:rPr>
        <w:t>Mission</w:t>
      </w:r>
      <w:r>
        <w:rPr>
          <w:spacing w:val="-30"/>
          <w:w w:val="110"/>
        </w:rPr>
        <w:t> </w:t>
      </w:r>
      <w:r>
        <w:rPr>
          <w:spacing w:val="-3"/>
          <w:w w:val="110"/>
        </w:rPr>
        <w:t>Projects</w:t>
      </w:r>
    </w:p>
    <w:p>
      <w:pPr>
        <w:pStyle w:val="Heading6"/>
        <w:spacing w:before="97"/>
        <w:ind w:left="1955"/>
      </w:pPr>
      <w:r>
        <w:rPr>
          <w:spacing w:val="4"/>
          <w:w w:val="110"/>
        </w:rPr>
        <w:t>Bournemouth </w:t>
      </w:r>
      <w:r>
        <w:rPr>
          <w:spacing w:val="3"/>
          <w:w w:val="110"/>
        </w:rPr>
        <w:t>International</w:t>
      </w:r>
      <w:r>
        <w:rPr>
          <w:spacing w:val="48"/>
          <w:w w:val="110"/>
        </w:rPr>
        <w:t> </w:t>
      </w:r>
      <w:r>
        <w:rPr>
          <w:spacing w:val="3"/>
          <w:w w:val="110"/>
        </w:rPr>
        <w:t>Church</w:t>
      </w:r>
    </w:p>
    <w:p>
      <w:pPr>
        <w:pStyle w:val="BodyText"/>
        <w:spacing w:line="235" w:lineRule="auto" w:before="195"/>
        <w:ind w:left="1955" w:right="2076"/>
      </w:pPr>
      <w:r>
        <w:rPr>
          <w:w w:val="120"/>
        </w:rPr>
        <w:t>The Bournemouth International Church was established in 2000. They meet in the premises of East Cliff United Reformed Church (Bournemouth) and worship in English. Their congregation is drawn from the international community in Bournemouth, especially language school, university and college students.</w:t>
      </w:r>
    </w:p>
    <w:p>
      <w:pPr>
        <w:pStyle w:val="BodyText"/>
        <w:spacing w:line="243" w:lineRule="exact"/>
        <w:ind w:left="1955"/>
      </w:pPr>
      <w:r>
        <w:rPr>
          <w:w w:val="120"/>
        </w:rPr>
        <w:t>This is a somewhat nomadic population.</w:t>
      </w:r>
    </w:p>
    <w:p>
      <w:pPr>
        <w:pStyle w:val="BodyText"/>
        <w:spacing w:before="8"/>
        <w:rPr>
          <w:sz w:val="19"/>
        </w:rPr>
      </w:pPr>
    </w:p>
    <w:p>
      <w:pPr>
        <w:pStyle w:val="BodyText"/>
        <w:spacing w:line="235" w:lineRule="auto"/>
        <w:ind w:left="1955" w:right="1996"/>
      </w:pPr>
      <w:r>
        <w:rPr>
          <w:w w:val="120"/>
        </w:rPr>
        <w:t>They are </w:t>
      </w:r>
      <w:r>
        <w:rPr>
          <w:spacing w:val="2"/>
          <w:w w:val="120"/>
        </w:rPr>
        <w:t>structured </w:t>
      </w:r>
      <w:r>
        <w:rPr>
          <w:w w:val="120"/>
        </w:rPr>
        <w:t>with a pastoral group consisting of senior pastor Joshua Han, an assistant pastor and an elder. Cell group leaders and worship group leaders   are also consulted. BIC’s vision is to reach all nations locally and internationally, training highly effective kingdom workers and sending lay missionaries to the world. They aim to build up a lively and firmly mission based church to be a witness to Jesus Christ, encouraging everyone to be involved and utilising their </w:t>
      </w:r>
      <w:r>
        <w:rPr>
          <w:spacing w:val="3"/>
          <w:w w:val="120"/>
        </w:rPr>
        <w:t>gifts</w:t>
      </w:r>
      <w:r>
        <w:rPr>
          <w:spacing w:val="6"/>
          <w:w w:val="120"/>
        </w:rPr>
        <w:t> </w:t>
      </w:r>
      <w:r>
        <w:rPr>
          <w:w w:val="120"/>
        </w:rPr>
        <w:t>and</w:t>
      </w:r>
      <w:r>
        <w:rPr>
          <w:spacing w:val="6"/>
          <w:w w:val="120"/>
        </w:rPr>
        <w:t> </w:t>
      </w:r>
      <w:r>
        <w:rPr>
          <w:w w:val="120"/>
        </w:rPr>
        <w:t>talents</w:t>
      </w:r>
      <w:r>
        <w:rPr>
          <w:spacing w:val="6"/>
          <w:w w:val="120"/>
        </w:rPr>
        <w:t> </w:t>
      </w:r>
      <w:r>
        <w:rPr>
          <w:w w:val="120"/>
        </w:rPr>
        <w:t>for</w:t>
      </w:r>
      <w:r>
        <w:rPr>
          <w:spacing w:val="6"/>
          <w:w w:val="120"/>
        </w:rPr>
        <w:t> </w:t>
      </w:r>
      <w:r>
        <w:rPr>
          <w:w w:val="120"/>
        </w:rPr>
        <w:t>God’s</w:t>
      </w:r>
      <w:r>
        <w:rPr>
          <w:spacing w:val="6"/>
          <w:w w:val="120"/>
        </w:rPr>
        <w:t> </w:t>
      </w:r>
      <w:r>
        <w:rPr>
          <w:w w:val="120"/>
        </w:rPr>
        <w:t>work</w:t>
      </w:r>
      <w:r>
        <w:rPr>
          <w:spacing w:val="6"/>
          <w:w w:val="120"/>
        </w:rPr>
        <w:t> </w:t>
      </w:r>
      <w:r>
        <w:rPr>
          <w:w w:val="120"/>
        </w:rPr>
        <w:t>in</w:t>
      </w:r>
      <w:r>
        <w:rPr>
          <w:spacing w:val="6"/>
          <w:w w:val="120"/>
        </w:rPr>
        <w:t> </w:t>
      </w:r>
      <w:r>
        <w:rPr>
          <w:w w:val="120"/>
        </w:rPr>
        <w:t>the</w:t>
      </w:r>
      <w:r>
        <w:rPr>
          <w:spacing w:val="6"/>
          <w:w w:val="120"/>
        </w:rPr>
        <w:t> </w:t>
      </w:r>
      <w:r>
        <w:rPr>
          <w:w w:val="120"/>
        </w:rPr>
        <w:t>church</w:t>
      </w:r>
      <w:r>
        <w:rPr>
          <w:spacing w:val="6"/>
          <w:w w:val="120"/>
        </w:rPr>
        <w:t> </w:t>
      </w:r>
      <w:r>
        <w:rPr>
          <w:w w:val="120"/>
        </w:rPr>
        <w:t>and</w:t>
      </w:r>
      <w:r>
        <w:rPr>
          <w:spacing w:val="6"/>
          <w:w w:val="120"/>
        </w:rPr>
        <w:t> </w:t>
      </w:r>
      <w:r>
        <w:rPr>
          <w:w w:val="120"/>
        </w:rPr>
        <w:t>in</w:t>
      </w:r>
      <w:r>
        <w:rPr>
          <w:spacing w:val="6"/>
          <w:w w:val="120"/>
        </w:rPr>
        <w:t> </w:t>
      </w:r>
      <w:r>
        <w:rPr>
          <w:w w:val="120"/>
        </w:rPr>
        <w:t>the</w:t>
      </w:r>
      <w:r>
        <w:rPr>
          <w:spacing w:val="6"/>
          <w:w w:val="120"/>
        </w:rPr>
        <w:t> </w:t>
      </w:r>
      <w:r>
        <w:rPr>
          <w:w w:val="120"/>
        </w:rPr>
        <w:t>community.</w:t>
      </w:r>
    </w:p>
    <w:p>
      <w:pPr>
        <w:pStyle w:val="BodyText"/>
        <w:spacing w:before="1"/>
      </w:pPr>
    </w:p>
    <w:p>
      <w:pPr>
        <w:pStyle w:val="BodyText"/>
        <w:spacing w:line="235" w:lineRule="auto"/>
        <w:ind w:left="1955" w:right="2053"/>
      </w:pPr>
      <w:r>
        <w:rPr>
          <w:w w:val="120"/>
        </w:rPr>
        <w:t>The leadership has long harboured a desire to integrate more fully into the  United Reformed Church, ultimately becoming a  member  church.  In  March </w:t>
      </w:r>
      <w:r>
        <w:rPr>
          <w:spacing w:val="-5"/>
          <w:w w:val="120"/>
        </w:rPr>
        <w:t>2010 </w:t>
      </w:r>
      <w:r>
        <w:rPr>
          <w:w w:val="120"/>
        </w:rPr>
        <w:t>Wessex Synod voted to request that General Assembly recognise the Bournemouth International Church as a Mission Project. The Synod will continue to</w:t>
      </w:r>
      <w:r>
        <w:rPr>
          <w:spacing w:val="7"/>
          <w:w w:val="120"/>
        </w:rPr>
        <w:t> </w:t>
      </w:r>
      <w:r>
        <w:rPr>
          <w:w w:val="120"/>
        </w:rPr>
        <w:t>work</w:t>
      </w:r>
      <w:r>
        <w:rPr>
          <w:spacing w:val="7"/>
          <w:w w:val="120"/>
        </w:rPr>
        <w:t> </w:t>
      </w:r>
      <w:r>
        <w:rPr>
          <w:w w:val="120"/>
        </w:rPr>
        <w:t>with</w:t>
      </w:r>
      <w:r>
        <w:rPr>
          <w:spacing w:val="7"/>
          <w:w w:val="120"/>
        </w:rPr>
        <w:t> </w:t>
      </w:r>
      <w:r>
        <w:rPr>
          <w:spacing w:val="2"/>
          <w:w w:val="120"/>
        </w:rPr>
        <w:t>BIC</w:t>
      </w:r>
      <w:r>
        <w:rPr>
          <w:spacing w:val="7"/>
          <w:w w:val="120"/>
        </w:rPr>
        <w:t> </w:t>
      </w:r>
      <w:r>
        <w:rPr>
          <w:w w:val="120"/>
        </w:rPr>
        <w:t>on</w:t>
      </w:r>
      <w:r>
        <w:rPr>
          <w:spacing w:val="7"/>
          <w:w w:val="120"/>
        </w:rPr>
        <w:t> </w:t>
      </w:r>
      <w:r>
        <w:rPr>
          <w:w w:val="120"/>
        </w:rPr>
        <w:t>a</w:t>
      </w:r>
      <w:r>
        <w:rPr>
          <w:spacing w:val="8"/>
          <w:w w:val="120"/>
        </w:rPr>
        <w:t> </w:t>
      </w:r>
      <w:r>
        <w:rPr>
          <w:w w:val="120"/>
        </w:rPr>
        <w:t>process</w:t>
      </w:r>
      <w:r>
        <w:rPr>
          <w:spacing w:val="7"/>
          <w:w w:val="120"/>
        </w:rPr>
        <w:t> </w:t>
      </w:r>
      <w:r>
        <w:rPr>
          <w:w w:val="120"/>
        </w:rPr>
        <w:t>of</w:t>
      </w:r>
      <w:r>
        <w:rPr>
          <w:spacing w:val="7"/>
          <w:w w:val="120"/>
        </w:rPr>
        <w:t> </w:t>
      </w:r>
      <w:r>
        <w:rPr>
          <w:w w:val="120"/>
        </w:rPr>
        <w:t>helping</w:t>
      </w:r>
      <w:r>
        <w:rPr>
          <w:spacing w:val="7"/>
          <w:w w:val="120"/>
        </w:rPr>
        <w:t> </w:t>
      </w:r>
      <w:r>
        <w:rPr>
          <w:w w:val="120"/>
        </w:rPr>
        <w:t>the</w:t>
      </w:r>
      <w:r>
        <w:rPr>
          <w:spacing w:val="7"/>
          <w:w w:val="120"/>
        </w:rPr>
        <w:t> </w:t>
      </w:r>
      <w:r>
        <w:rPr>
          <w:w w:val="120"/>
        </w:rPr>
        <w:t>church</w:t>
      </w:r>
      <w:r>
        <w:rPr>
          <w:spacing w:val="7"/>
          <w:w w:val="120"/>
        </w:rPr>
        <w:t> </w:t>
      </w:r>
      <w:r>
        <w:rPr>
          <w:w w:val="120"/>
        </w:rPr>
        <w:t>to</w:t>
      </w:r>
      <w:r>
        <w:rPr>
          <w:spacing w:val="8"/>
          <w:w w:val="120"/>
        </w:rPr>
        <w:t> </w:t>
      </w:r>
      <w:r>
        <w:rPr>
          <w:w w:val="120"/>
        </w:rPr>
        <w:t>prepare</w:t>
      </w:r>
      <w:r>
        <w:rPr>
          <w:spacing w:val="7"/>
          <w:w w:val="120"/>
        </w:rPr>
        <w:t> </w:t>
      </w:r>
      <w:r>
        <w:rPr>
          <w:spacing w:val="2"/>
          <w:w w:val="120"/>
        </w:rPr>
        <w:t>structurally</w:t>
      </w:r>
    </w:p>
    <w:p>
      <w:pPr>
        <w:pStyle w:val="BodyText"/>
        <w:spacing w:line="235" w:lineRule="auto" w:before="4"/>
        <w:ind w:left="1955" w:right="1997"/>
      </w:pPr>
      <w:r>
        <w:rPr>
          <w:w w:val="120"/>
        </w:rPr>
        <w:t>and financially to become a full member church by Assembly 2012. The Revds Michael Jagessar and Craig Bowman are advising on the separate but parallel process of recognising the ministry of Joshua Han within URC structures.</w:t>
      </w:r>
    </w:p>
    <w:p>
      <w:pPr>
        <w:pStyle w:val="BodyText"/>
        <w:rPr>
          <w:sz w:val="24"/>
        </w:rPr>
      </w:pPr>
    </w:p>
    <w:p>
      <w:pPr>
        <w:pStyle w:val="Heading6"/>
        <w:spacing w:before="162"/>
        <w:ind w:left="1955"/>
      </w:pPr>
      <w:r>
        <w:rPr>
          <w:w w:val="110"/>
        </w:rPr>
        <w:t>West London Asian Christian Fellowship</w:t>
      </w:r>
    </w:p>
    <w:p>
      <w:pPr>
        <w:pStyle w:val="BodyText"/>
        <w:spacing w:line="235" w:lineRule="auto" w:before="195"/>
        <w:ind w:left="1955" w:right="2251"/>
      </w:pPr>
      <w:r>
        <w:rPr>
          <w:w w:val="120"/>
        </w:rPr>
        <w:t>In </w:t>
      </w:r>
      <w:r>
        <w:rPr>
          <w:spacing w:val="2"/>
          <w:w w:val="120"/>
        </w:rPr>
        <w:t>2008 </w:t>
      </w:r>
      <w:r>
        <w:rPr>
          <w:w w:val="120"/>
        </w:rPr>
        <w:t>an approach was made to Heston United Reformed Church for the planting of a church to </w:t>
      </w:r>
      <w:r>
        <w:rPr>
          <w:spacing w:val="2"/>
          <w:w w:val="120"/>
        </w:rPr>
        <w:t>serve </w:t>
      </w:r>
      <w:r>
        <w:rPr>
          <w:w w:val="120"/>
        </w:rPr>
        <w:t>the Asian Christian community in the West   London area. The Thames </w:t>
      </w:r>
      <w:r>
        <w:rPr>
          <w:spacing w:val="3"/>
          <w:w w:val="120"/>
        </w:rPr>
        <w:t>North </w:t>
      </w:r>
      <w:r>
        <w:rPr>
          <w:w w:val="120"/>
        </w:rPr>
        <w:t>Synod agreed the establishment of a mission project that autumn and the first service was held on 7</w:t>
      </w:r>
      <w:r>
        <w:rPr>
          <w:w w:val="120"/>
          <w:position w:val="7"/>
          <w:sz w:val="11"/>
        </w:rPr>
        <w:t>th </w:t>
      </w:r>
      <w:r>
        <w:rPr>
          <w:w w:val="120"/>
        </w:rPr>
        <w:t>September under the leadership of the Revd Noble Samuel. On the 18</w:t>
      </w:r>
      <w:r>
        <w:rPr>
          <w:w w:val="120"/>
          <w:position w:val="7"/>
          <w:sz w:val="11"/>
        </w:rPr>
        <w:t>th </w:t>
      </w:r>
      <w:r>
        <w:rPr>
          <w:w w:val="120"/>
        </w:rPr>
        <w:t>October the Revd Dr Andrew Prasad, Moderator of the Thames </w:t>
      </w:r>
      <w:r>
        <w:rPr>
          <w:spacing w:val="3"/>
          <w:w w:val="120"/>
        </w:rPr>
        <w:t>North </w:t>
      </w:r>
      <w:r>
        <w:rPr>
          <w:w w:val="120"/>
        </w:rPr>
        <w:t>Synod, inducted Mr Samuel as</w:t>
      </w:r>
      <w:r>
        <w:rPr>
          <w:spacing w:val="8"/>
          <w:w w:val="120"/>
        </w:rPr>
        <w:t> </w:t>
      </w:r>
      <w:r>
        <w:rPr>
          <w:w w:val="120"/>
        </w:rPr>
        <w:t>the</w:t>
      </w:r>
    </w:p>
    <w:p>
      <w:pPr>
        <w:pStyle w:val="BodyText"/>
        <w:spacing w:line="235" w:lineRule="auto" w:before="5"/>
        <w:ind w:left="1955" w:right="2110"/>
      </w:pPr>
      <w:r>
        <w:rPr>
          <w:w w:val="120"/>
        </w:rPr>
        <w:t>minister of the project. Since then the group has experienced an exciting youth- oriented revival and the congregation continues to grow, in spirit and maturity   as well as numbers. An initial group of 22 now numbers </w:t>
      </w:r>
      <w:r>
        <w:rPr>
          <w:spacing w:val="-11"/>
          <w:w w:val="120"/>
        </w:rPr>
        <w:t>175 </w:t>
      </w:r>
      <w:r>
        <w:rPr>
          <w:w w:val="120"/>
        </w:rPr>
        <w:t>at festival services. They anticipate that they will soon outgrow the</w:t>
      </w:r>
      <w:r>
        <w:rPr>
          <w:spacing w:val="49"/>
          <w:w w:val="120"/>
        </w:rPr>
        <w:t> </w:t>
      </w:r>
      <w:r>
        <w:rPr>
          <w:w w:val="120"/>
        </w:rPr>
        <w:t>building.</w:t>
      </w:r>
    </w:p>
    <w:p>
      <w:pPr>
        <w:pStyle w:val="BodyText"/>
        <w:spacing w:before="10"/>
        <w:rPr>
          <w:sz w:val="19"/>
        </w:rPr>
      </w:pPr>
    </w:p>
    <w:p>
      <w:pPr>
        <w:pStyle w:val="BodyText"/>
        <w:spacing w:line="235" w:lineRule="auto" w:before="1"/>
        <w:ind w:left="1955" w:right="1997"/>
      </w:pPr>
      <w:r>
        <w:rPr>
          <w:w w:val="120"/>
        </w:rPr>
        <w:t>Since 2008 there have been three adult baptisms (converts from Islam and Hinduism), four marriage blessings and eighteen infant baptism services. Lent Bible studies focussing on Ephesians and Romans have been held for 30 to 40 people in five groups.</w:t>
      </w:r>
    </w:p>
    <w:p>
      <w:pPr>
        <w:pStyle w:val="BodyText"/>
        <w:spacing w:before="10"/>
        <w:rPr>
          <w:sz w:val="19"/>
        </w:rPr>
      </w:pPr>
    </w:p>
    <w:p>
      <w:pPr>
        <w:pStyle w:val="BodyText"/>
        <w:spacing w:line="235" w:lineRule="auto"/>
        <w:ind w:left="1955" w:right="2277"/>
      </w:pPr>
      <w:r>
        <w:rPr>
          <w:w w:val="120"/>
        </w:rPr>
        <w:t>The fellowship prays that they will soon be able to reinstate Mr Samuel’s  </w:t>
      </w:r>
      <w:r>
        <w:rPr>
          <w:i/>
          <w:w w:val="120"/>
        </w:rPr>
        <w:t>Asian Gospel </w:t>
      </w:r>
      <w:r>
        <w:rPr>
          <w:w w:val="120"/>
        </w:rPr>
        <w:t>television show which had to be suspended due to lack of funds. They</w:t>
      </w:r>
      <w:r>
        <w:rPr>
          <w:spacing w:val="9"/>
          <w:w w:val="120"/>
        </w:rPr>
        <w:t> </w:t>
      </w:r>
      <w:r>
        <w:rPr>
          <w:w w:val="120"/>
        </w:rPr>
        <w:t>also</w:t>
      </w:r>
      <w:r>
        <w:rPr>
          <w:spacing w:val="10"/>
          <w:w w:val="120"/>
        </w:rPr>
        <w:t> </w:t>
      </w:r>
      <w:r>
        <w:rPr>
          <w:w w:val="120"/>
        </w:rPr>
        <w:t>hope</w:t>
      </w:r>
      <w:r>
        <w:rPr>
          <w:spacing w:val="10"/>
          <w:w w:val="120"/>
        </w:rPr>
        <w:t> </w:t>
      </w:r>
      <w:r>
        <w:rPr>
          <w:w w:val="120"/>
        </w:rPr>
        <w:t>to</w:t>
      </w:r>
      <w:r>
        <w:rPr>
          <w:spacing w:val="10"/>
          <w:w w:val="120"/>
        </w:rPr>
        <w:t> </w:t>
      </w:r>
      <w:r>
        <w:rPr>
          <w:w w:val="120"/>
        </w:rPr>
        <w:t>reach</w:t>
      </w:r>
      <w:r>
        <w:rPr>
          <w:spacing w:val="10"/>
          <w:w w:val="120"/>
        </w:rPr>
        <w:t> </w:t>
      </w:r>
      <w:r>
        <w:rPr>
          <w:w w:val="120"/>
        </w:rPr>
        <w:t>out</w:t>
      </w:r>
      <w:r>
        <w:rPr>
          <w:spacing w:val="10"/>
          <w:w w:val="120"/>
        </w:rPr>
        <w:t> </w:t>
      </w:r>
      <w:r>
        <w:rPr>
          <w:w w:val="120"/>
        </w:rPr>
        <w:t>through</w:t>
      </w:r>
      <w:r>
        <w:rPr>
          <w:spacing w:val="10"/>
          <w:w w:val="120"/>
        </w:rPr>
        <w:t> </w:t>
      </w:r>
      <w:r>
        <w:rPr>
          <w:w w:val="120"/>
        </w:rPr>
        <w:t>international</w:t>
      </w:r>
      <w:r>
        <w:rPr>
          <w:spacing w:val="10"/>
          <w:w w:val="120"/>
        </w:rPr>
        <w:t> </w:t>
      </w:r>
      <w:r>
        <w:rPr>
          <w:w w:val="120"/>
        </w:rPr>
        <w:t>conventions</w:t>
      </w:r>
      <w:r>
        <w:rPr>
          <w:spacing w:val="10"/>
          <w:w w:val="120"/>
        </w:rPr>
        <w:t> </w:t>
      </w:r>
      <w:r>
        <w:rPr>
          <w:w w:val="120"/>
        </w:rPr>
        <w:t>and</w:t>
      </w:r>
      <w:r>
        <w:rPr>
          <w:spacing w:val="10"/>
          <w:w w:val="120"/>
        </w:rPr>
        <w:t> </w:t>
      </w:r>
      <w:r>
        <w:rPr>
          <w:w w:val="120"/>
        </w:rPr>
        <w:t>seminars.</w:t>
      </w:r>
    </w:p>
    <w:p>
      <w:pPr>
        <w:pStyle w:val="BodyText"/>
        <w:spacing w:before="10"/>
        <w:rPr>
          <w:sz w:val="19"/>
        </w:rPr>
      </w:pPr>
    </w:p>
    <w:p>
      <w:pPr>
        <w:pStyle w:val="BodyText"/>
        <w:spacing w:line="235" w:lineRule="auto" w:before="1"/>
        <w:ind w:left="1955" w:right="2305"/>
      </w:pPr>
      <w:r>
        <w:rPr>
          <w:w w:val="120"/>
        </w:rPr>
        <w:t>Their mission statement is, ‘We exist to preach, teach and live the redeeming love of God to a lost but changing world’. Immediate priorities include worship, fellowship/membership, care, discipleship education, spiritual gifts and evangelism.</w:t>
      </w:r>
    </w:p>
    <w:p>
      <w:pPr>
        <w:pStyle w:val="BodyText"/>
      </w:pPr>
    </w:p>
    <w:p>
      <w:pPr>
        <w:pStyle w:val="BodyText"/>
      </w:pPr>
    </w:p>
    <w:p>
      <w:pPr>
        <w:pStyle w:val="BodyText"/>
      </w:pPr>
    </w:p>
    <w:p>
      <w:pPr>
        <w:pStyle w:val="BodyText"/>
      </w:pPr>
    </w:p>
    <w:p>
      <w:pPr>
        <w:pStyle w:val="BodyText"/>
        <w:spacing w:before="1"/>
        <w:rPr>
          <w:sz w:val="23"/>
        </w:rPr>
      </w:pPr>
    </w:p>
    <w:p>
      <w:pPr>
        <w:tabs>
          <w:tab w:pos="10630" w:val="left" w:leader="none"/>
        </w:tabs>
        <w:spacing w:before="96"/>
        <w:ind w:left="468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197</w:t>
      </w:r>
    </w:p>
    <w:p>
      <w:pPr>
        <w:spacing w:after="0"/>
        <w:jc w:val="left"/>
        <w:rPr>
          <w:rFonts w:ascii="Stone Sans II ITC Std X Bd" w:hAnsi="Stone Sans II ITC Std X Bd"/>
          <w:sz w:val="24"/>
        </w:rPr>
        <w:sectPr>
          <w:headerReference w:type="default" r:id="rId504"/>
          <w:headerReference w:type="even" r:id="rId505"/>
          <w:footerReference w:type="default" r:id="rId506"/>
          <w:pgSz w:w="11910" w:h="16840"/>
          <w:pgMar w:header="0" w:footer="0" w:top="1100" w:bottom="280" w:left="0" w:right="0"/>
        </w:sectPr>
      </w:pPr>
    </w:p>
    <w:p>
      <w:pPr>
        <w:spacing w:before="131"/>
        <w:ind w:left="1133" w:right="0" w:firstLine="0"/>
        <w:jc w:val="left"/>
        <w:rPr>
          <w:rFonts w:ascii="Stone Sans II ITC Std Bk"/>
          <w:b/>
          <w:sz w:val="50"/>
        </w:rPr>
      </w:pPr>
      <w:r>
        <w:rPr/>
        <w:pict>
          <v:rect style="position:absolute;margin-left:12.047pt;margin-top:8.466283pt;width:22.677pt;height:22.677pt;mso-position-horizontal-relative:page;mso-position-vertical-relative:paragraph;z-index:252253184" filled="true" fillcolor="#dae4ec" stroked="false">
            <v:fill opacity="32768f" type="solid"/>
            <w10:wrap type="none"/>
          </v:rect>
        </w:pict>
      </w:r>
      <w:r>
        <w:rPr>
          <w:rFonts w:ascii="Stone Sans II ITC Std Bk"/>
          <w:b/>
          <w:w w:val="110"/>
          <w:sz w:val="50"/>
        </w:rPr>
        <w:t>Churches which have closed</w:t>
      </w:r>
    </w:p>
    <w:p>
      <w:pPr>
        <w:spacing w:line="196" w:lineRule="auto" w:before="151"/>
        <w:ind w:left="1133" w:right="5349" w:firstLine="0"/>
        <w:jc w:val="left"/>
        <w:rPr>
          <w:rFonts w:ascii="Stone Sans II ITC Std Bk"/>
          <w:b/>
          <w:sz w:val="29"/>
        </w:rPr>
      </w:pPr>
      <w:r>
        <w:rPr>
          <w:rFonts w:ascii="Stone Sans II ITC Std Bk"/>
          <w:b/>
          <w:w w:val="110"/>
          <w:sz w:val="29"/>
        </w:rPr>
        <w:t>Alfriston United Reformed Church Southern Synod</w:t>
      </w:r>
    </w:p>
    <w:p>
      <w:pPr>
        <w:pStyle w:val="BodyText"/>
        <w:spacing w:line="235" w:lineRule="auto" w:before="211"/>
        <w:ind w:left="1133" w:right="2329"/>
      </w:pPr>
      <w:r>
        <w:rPr>
          <w:w w:val="120"/>
        </w:rPr>
        <w:t>In </w:t>
      </w:r>
      <w:r>
        <w:rPr>
          <w:spacing w:val="-5"/>
          <w:w w:val="120"/>
        </w:rPr>
        <w:t>1801 </w:t>
      </w:r>
      <w:r>
        <w:rPr>
          <w:w w:val="120"/>
        </w:rPr>
        <w:t>a group of Sussex dissenters established an independent chapel in Alfriston, nestling in the Cuckmere Valley. It is an idyllic location for resident and tourist alike. Over two centuries of faithful and distinctive witness enriched the life of the village; the chapel and school room at the </w:t>
      </w:r>
      <w:r>
        <w:rPr>
          <w:spacing w:val="2"/>
          <w:w w:val="120"/>
        </w:rPr>
        <w:t>heart </w:t>
      </w:r>
      <w:r>
        <w:rPr>
          <w:w w:val="120"/>
        </w:rPr>
        <w:t>of the community were valued resources.  </w:t>
      </w:r>
      <w:r>
        <w:rPr>
          <w:spacing w:val="2"/>
          <w:w w:val="120"/>
        </w:rPr>
        <w:t>For </w:t>
      </w:r>
      <w:r>
        <w:rPr>
          <w:w w:val="120"/>
        </w:rPr>
        <w:t>a long time, but increasingly of recent years, ecumenical relationships have been significant.</w:t>
      </w:r>
      <w:r>
        <w:rPr>
          <w:spacing w:val="16"/>
          <w:w w:val="120"/>
        </w:rPr>
        <w:t> </w:t>
      </w:r>
      <w:r>
        <w:rPr>
          <w:w w:val="120"/>
        </w:rPr>
        <w:t>A</w:t>
      </w:r>
      <w:r>
        <w:rPr>
          <w:spacing w:val="17"/>
          <w:w w:val="120"/>
        </w:rPr>
        <w:t> </w:t>
      </w:r>
      <w:r>
        <w:rPr>
          <w:w w:val="120"/>
        </w:rPr>
        <w:t>covenant</w:t>
      </w:r>
      <w:r>
        <w:rPr>
          <w:spacing w:val="17"/>
          <w:w w:val="120"/>
        </w:rPr>
        <w:t> </w:t>
      </w:r>
      <w:r>
        <w:rPr>
          <w:w w:val="120"/>
        </w:rPr>
        <w:t>with</w:t>
      </w:r>
      <w:r>
        <w:rPr>
          <w:spacing w:val="16"/>
          <w:w w:val="120"/>
        </w:rPr>
        <w:t> </w:t>
      </w:r>
      <w:r>
        <w:rPr>
          <w:w w:val="120"/>
        </w:rPr>
        <w:t>St</w:t>
      </w:r>
      <w:r>
        <w:rPr>
          <w:spacing w:val="17"/>
          <w:w w:val="120"/>
        </w:rPr>
        <w:t> </w:t>
      </w:r>
      <w:r>
        <w:rPr>
          <w:w w:val="120"/>
        </w:rPr>
        <w:t>Andrew’s</w:t>
      </w:r>
      <w:r>
        <w:rPr>
          <w:spacing w:val="17"/>
          <w:w w:val="120"/>
        </w:rPr>
        <w:t> </w:t>
      </w:r>
      <w:r>
        <w:rPr>
          <w:w w:val="120"/>
        </w:rPr>
        <w:t>Parish</w:t>
      </w:r>
      <w:r>
        <w:rPr>
          <w:spacing w:val="17"/>
          <w:w w:val="120"/>
        </w:rPr>
        <w:t> </w:t>
      </w:r>
      <w:r>
        <w:rPr>
          <w:w w:val="120"/>
        </w:rPr>
        <w:t>Church</w:t>
      </w:r>
      <w:r>
        <w:rPr>
          <w:spacing w:val="16"/>
          <w:w w:val="120"/>
        </w:rPr>
        <w:t> </w:t>
      </w:r>
      <w:r>
        <w:rPr>
          <w:w w:val="120"/>
        </w:rPr>
        <w:t>deepened</w:t>
      </w:r>
      <w:r>
        <w:rPr>
          <w:spacing w:val="17"/>
          <w:w w:val="120"/>
        </w:rPr>
        <w:t> </w:t>
      </w:r>
      <w:r>
        <w:rPr>
          <w:w w:val="120"/>
        </w:rPr>
        <w:t>the</w:t>
      </w:r>
      <w:r>
        <w:rPr>
          <w:spacing w:val="17"/>
          <w:w w:val="120"/>
        </w:rPr>
        <w:t> </w:t>
      </w:r>
      <w:r>
        <w:rPr>
          <w:w w:val="120"/>
        </w:rPr>
        <w:t>congregations’</w:t>
      </w:r>
    </w:p>
    <w:p>
      <w:pPr>
        <w:pStyle w:val="BodyText"/>
        <w:spacing w:line="235" w:lineRule="auto" w:before="5"/>
        <w:ind w:left="1133" w:right="1997"/>
      </w:pPr>
      <w:r>
        <w:rPr>
          <w:w w:val="120"/>
        </w:rPr>
        <w:t>trust in each other’s goodwill. In 2008 it became clear that the United Reformed Church was so small that the responsibility of discrete witness was becoming burdensome.</w:t>
      </w:r>
    </w:p>
    <w:p>
      <w:pPr>
        <w:pStyle w:val="BodyText"/>
        <w:spacing w:line="235" w:lineRule="auto" w:before="1"/>
        <w:ind w:left="1133" w:right="2076"/>
      </w:pPr>
      <w:r>
        <w:rPr>
          <w:w w:val="120"/>
        </w:rPr>
        <w:t>The Anglicans’ signing of a Declaration of Ecumenical Welcome enabled the URC members to face the thought of closure confident of their place within the life of the parish church. They were not empty handed: serious discussions continue in an attempt to retain the listed Dissenters’ Chapel for use as a centre for nurturing the life of both church and</w:t>
      </w:r>
      <w:r>
        <w:rPr>
          <w:spacing w:val="8"/>
          <w:w w:val="120"/>
        </w:rPr>
        <w:t> </w:t>
      </w:r>
      <w:r>
        <w:rPr>
          <w:w w:val="120"/>
        </w:rPr>
        <w:t>community.</w:t>
      </w:r>
    </w:p>
    <w:p>
      <w:pPr>
        <w:pStyle w:val="BodyText"/>
        <w:spacing w:before="12"/>
        <w:rPr>
          <w:sz w:val="19"/>
        </w:rPr>
      </w:pPr>
    </w:p>
    <w:p>
      <w:pPr>
        <w:pStyle w:val="BodyText"/>
        <w:spacing w:line="235" w:lineRule="auto"/>
        <w:ind w:left="1133" w:right="2191"/>
      </w:pPr>
      <w:r>
        <w:rPr>
          <w:w w:val="120"/>
        </w:rPr>
        <w:t>At Pentecost 2009 a final service was held, thanking God for 208 years of mission and ministry and trusting that the Spirit of reconciliation will enable that united witness which is for the greater glory of God and blessing of the village.</w:t>
      </w:r>
    </w:p>
    <w:p>
      <w:pPr>
        <w:pStyle w:val="BodyText"/>
        <w:spacing w:before="11"/>
        <w:rPr>
          <w:sz w:val="21"/>
        </w:rPr>
      </w:pPr>
    </w:p>
    <w:p>
      <w:pPr>
        <w:pStyle w:val="Heading6"/>
        <w:spacing w:line="196" w:lineRule="auto"/>
        <w:ind w:right="4239"/>
      </w:pPr>
      <w:r>
        <w:rPr>
          <w:w w:val="110"/>
        </w:rPr>
        <w:t>Trinity Church, Baddesley Ensor (LEP) West Midlands Synod</w:t>
      </w:r>
    </w:p>
    <w:p>
      <w:pPr>
        <w:pStyle w:val="BodyText"/>
        <w:spacing w:line="235" w:lineRule="auto" w:before="212"/>
        <w:ind w:left="1133" w:right="2224"/>
      </w:pPr>
      <w:r>
        <w:rPr>
          <w:w w:val="120"/>
        </w:rPr>
        <w:t>In the mid 19</w:t>
      </w:r>
      <w:r>
        <w:rPr>
          <w:w w:val="120"/>
          <w:position w:val="7"/>
          <w:sz w:val="11"/>
        </w:rPr>
        <w:t>th </w:t>
      </w:r>
      <w:r>
        <w:rPr>
          <w:w w:val="120"/>
        </w:rPr>
        <w:t>Century, Baddesley Ensor was a thriving village. It relied on forestry, coal mining and the hatting </w:t>
      </w:r>
      <w:r>
        <w:rPr>
          <w:spacing w:val="2"/>
          <w:w w:val="120"/>
        </w:rPr>
        <w:t>industry </w:t>
      </w:r>
      <w:r>
        <w:rPr>
          <w:w w:val="120"/>
        </w:rPr>
        <w:t>in Atherstone. The mine was the main employer until    its closure in</w:t>
      </w:r>
      <w:r>
        <w:rPr>
          <w:spacing w:val="12"/>
          <w:w w:val="120"/>
        </w:rPr>
        <w:t> </w:t>
      </w:r>
      <w:r>
        <w:rPr>
          <w:spacing w:val="-6"/>
          <w:w w:val="120"/>
        </w:rPr>
        <w:t>1989.</w:t>
      </w:r>
    </w:p>
    <w:p>
      <w:pPr>
        <w:pStyle w:val="BodyText"/>
        <w:spacing w:before="10"/>
        <w:rPr>
          <w:sz w:val="19"/>
        </w:rPr>
      </w:pPr>
    </w:p>
    <w:p>
      <w:pPr>
        <w:pStyle w:val="BodyText"/>
        <w:spacing w:line="235" w:lineRule="auto"/>
        <w:ind w:left="1133" w:right="2394"/>
      </w:pPr>
      <w:r>
        <w:rPr>
          <w:w w:val="120"/>
        </w:rPr>
        <w:t>The Congregational chapel was built near Keys Hill in </w:t>
      </w:r>
      <w:r>
        <w:rPr>
          <w:spacing w:val="-5"/>
          <w:w w:val="120"/>
        </w:rPr>
        <w:t>1863  </w:t>
      </w:r>
      <w:r>
        <w:rPr>
          <w:w w:val="120"/>
        </w:rPr>
        <w:t>and was a thriving church.  It became </w:t>
      </w:r>
      <w:r>
        <w:rPr>
          <w:spacing w:val="3"/>
          <w:w w:val="120"/>
        </w:rPr>
        <w:t>part </w:t>
      </w:r>
      <w:r>
        <w:rPr>
          <w:w w:val="120"/>
        </w:rPr>
        <w:t>of the United Reformed Church in </w:t>
      </w:r>
      <w:r>
        <w:rPr>
          <w:spacing w:val="-5"/>
          <w:w w:val="120"/>
        </w:rPr>
        <w:t>1972. </w:t>
      </w:r>
      <w:r>
        <w:rPr>
          <w:w w:val="120"/>
        </w:rPr>
        <w:t>By </w:t>
      </w:r>
      <w:r>
        <w:rPr>
          <w:spacing w:val="-5"/>
          <w:w w:val="120"/>
        </w:rPr>
        <w:t>1995 </w:t>
      </w:r>
      <w:r>
        <w:rPr>
          <w:w w:val="120"/>
        </w:rPr>
        <w:t>an LEP was formed with</w:t>
      </w:r>
      <w:r>
        <w:rPr>
          <w:spacing w:val="10"/>
          <w:w w:val="120"/>
        </w:rPr>
        <w:t> </w:t>
      </w:r>
      <w:r>
        <w:rPr>
          <w:w w:val="120"/>
        </w:rPr>
        <w:t>the</w:t>
      </w:r>
      <w:r>
        <w:rPr>
          <w:spacing w:val="11"/>
          <w:w w:val="120"/>
        </w:rPr>
        <w:t> </w:t>
      </w:r>
      <w:r>
        <w:rPr>
          <w:w w:val="120"/>
        </w:rPr>
        <w:t>Methodist</w:t>
      </w:r>
      <w:r>
        <w:rPr>
          <w:spacing w:val="11"/>
          <w:w w:val="120"/>
        </w:rPr>
        <w:t> </w:t>
      </w:r>
      <w:r>
        <w:rPr>
          <w:w w:val="120"/>
        </w:rPr>
        <w:t>Church</w:t>
      </w:r>
      <w:r>
        <w:rPr>
          <w:spacing w:val="10"/>
          <w:w w:val="120"/>
        </w:rPr>
        <w:t> </w:t>
      </w:r>
      <w:r>
        <w:rPr>
          <w:w w:val="120"/>
        </w:rPr>
        <w:t>–</w:t>
      </w:r>
      <w:r>
        <w:rPr>
          <w:spacing w:val="11"/>
          <w:w w:val="120"/>
        </w:rPr>
        <w:t> </w:t>
      </w:r>
      <w:r>
        <w:rPr>
          <w:w w:val="120"/>
        </w:rPr>
        <w:t>the</w:t>
      </w:r>
      <w:r>
        <w:rPr>
          <w:spacing w:val="11"/>
          <w:w w:val="120"/>
        </w:rPr>
        <w:t> </w:t>
      </w:r>
      <w:r>
        <w:rPr>
          <w:w w:val="120"/>
        </w:rPr>
        <w:t>two</w:t>
      </w:r>
      <w:r>
        <w:rPr>
          <w:spacing w:val="11"/>
          <w:w w:val="120"/>
        </w:rPr>
        <w:t> </w:t>
      </w:r>
      <w:r>
        <w:rPr>
          <w:w w:val="120"/>
        </w:rPr>
        <w:t>Chapels</w:t>
      </w:r>
      <w:r>
        <w:rPr>
          <w:spacing w:val="10"/>
          <w:w w:val="120"/>
        </w:rPr>
        <w:t> </w:t>
      </w:r>
      <w:r>
        <w:rPr>
          <w:w w:val="120"/>
        </w:rPr>
        <w:t>were</w:t>
      </w:r>
      <w:r>
        <w:rPr>
          <w:spacing w:val="11"/>
          <w:w w:val="120"/>
        </w:rPr>
        <w:t> </w:t>
      </w:r>
      <w:r>
        <w:rPr>
          <w:w w:val="120"/>
        </w:rPr>
        <w:t>known</w:t>
      </w:r>
      <w:r>
        <w:rPr>
          <w:spacing w:val="11"/>
          <w:w w:val="120"/>
        </w:rPr>
        <w:t> </w:t>
      </w:r>
      <w:r>
        <w:rPr>
          <w:w w:val="120"/>
        </w:rPr>
        <w:t>as</w:t>
      </w:r>
      <w:r>
        <w:rPr>
          <w:spacing w:val="11"/>
          <w:w w:val="120"/>
        </w:rPr>
        <w:t> </w:t>
      </w:r>
      <w:r>
        <w:rPr>
          <w:spacing w:val="-3"/>
          <w:w w:val="120"/>
        </w:rPr>
        <w:t>‘Top’</w:t>
      </w:r>
      <w:r>
        <w:rPr>
          <w:spacing w:val="10"/>
          <w:w w:val="120"/>
        </w:rPr>
        <w:t> </w:t>
      </w:r>
      <w:r>
        <w:rPr>
          <w:w w:val="120"/>
        </w:rPr>
        <w:t>–</w:t>
      </w:r>
      <w:r>
        <w:rPr>
          <w:spacing w:val="11"/>
          <w:w w:val="120"/>
        </w:rPr>
        <w:t> </w:t>
      </w:r>
      <w:r>
        <w:rPr>
          <w:w w:val="120"/>
        </w:rPr>
        <w:t>(Methodist)</w:t>
      </w:r>
    </w:p>
    <w:p>
      <w:pPr>
        <w:pStyle w:val="BodyText"/>
        <w:spacing w:line="235" w:lineRule="auto" w:before="2"/>
        <w:ind w:left="1133" w:right="2394"/>
      </w:pPr>
      <w:r>
        <w:rPr>
          <w:w w:val="120"/>
        </w:rPr>
        <w:t>and ‘Bottom’ – (United Reformed) Chapels, with the combined chapels called Trinity.  A</w:t>
      </w:r>
      <w:r>
        <w:rPr>
          <w:spacing w:val="6"/>
          <w:w w:val="120"/>
        </w:rPr>
        <w:t> </w:t>
      </w:r>
      <w:r>
        <w:rPr>
          <w:w w:val="120"/>
        </w:rPr>
        <w:t>United</w:t>
      </w:r>
      <w:r>
        <w:rPr>
          <w:spacing w:val="7"/>
          <w:w w:val="120"/>
        </w:rPr>
        <w:t> </w:t>
      </w:r>
      <w:r>
        <w:rPr>
          <w:w w:val="120"/>
        </w:rPr>
        <w:t>Reformed</w:t>
      </w:r>
      <w:r>
        <w:rPr>
          <w:spacing w:val="7"/>
          <w:w w:val="120"/>
        </w:rPr>
        <w:t> </w:t>
      </w:r>
      <w:r>
        <w:rPr>
          <w:w w:val="120"/>
        </w:rPr>
        <w:t>minister</w:t>
      </w:r>
      <w:r>
        <w:rPr>
          <w:spacing w:val="7"/>
          <w:w w:val="120"/>
        </w:rPr>
        <w:t> </w:t>
      </w:r>
      <w:r>
        <w:rPr>
          <w:w w:val="120"/>
        </w:rPr>
        <w:t>was</w:t>
      </w:r>
      <w:r>
        <w:rPr>
          <w:spacing w:val="7"/>
          <w:w w:val="120"/>
        </w:rPr>
        <w:t> </w:t>
      </w:r>
      <w:r>
        <w:rPr>
          <w:w w:val="120"/>
        </w:rPr>
        <w:t>called</w:t>
      </w:r>
      <w:r>
        <w:rPr>
          <w:spacing w:val="7"/>
          <w:w w:val="120"/>
        </w:rPr>
        <w:t> </w:t>
      </w:r>
      <w:r>
        <w:rPr>
          <w:w w:val="120"/>
        </w:rPr>
        <w:t>in</w:t>
      </w:r>
      <w:r>
        <w:rPr>
          <w:spacing w:val="7"/>
          <w:w w:val="120"/>
        </w:rPr>
        <w:t> </w:t>
      </w:r>
      <w:r>
        <w:rPr>
          <w:w w:val="120"/>
        </w:rPr>
        <w:t>2004,</w:t>
      </w:r>
      <w:r>
        <w:rPr>
          <w:spacing w:val="7"/>
          <w:w w:val="120"/>
        </w:rPr>
        <w:t> </w:t>
      </w:r>
      <w:r>
        <w:rPr>
          <w:w w:val="120"/>
        </w:rPr>
        <w:t>the</w:t>
      </w:r>
      <w:r>
        <w:rPr>
          <w:spacing w:val="7"/>
          <w:w w:val="120"/>
        </w:rPr>
        <w:t> </w:t>
      </w:r>
      <w:r>
        <w:rPr>
          <w:w w:val="120"/>
        </w:rPr>
        <w:t>Revd</w:t>
      </w:r>
      <w:r>
        <w:rPr>
          <w:spacing w:val="7"/>
          <w:w w:val="120"/>
        </w:rPr>
        <w:t> </w:t>
      </w:r>
      <w:r>
        <w:rPr>
          <w:w w:val="120"/>
        </w:rPr>
        <w:t>David</w:t>
      </w:r>
      <w:r>
        <w:rPr>
          <w:spacing w:val="6"/>
          <w:w w:val="120"/>
        </w:rPr>
        <w:t> </w:t>
      </w:r>
      <w:r>
        <w:rPr>
          <w:spacing w:val="-3"/>
          <w:w w:val="120"/>
        </w:rPr>
        <w:t>Yeo</w:t>
      </w:r>
      <w:r>
        <w:rPr>
          <w:spacing w:val="7"/>
          <w:w w:val="120"/>
        </w:rPr>
        <w:t> </w:t>
      </w:r>
      <w:r>
        <w:rPr>
          <w:w w:val="120"/>
        </w:rPr>
        <w:t>Poulton.</w:t>
      </w:r>
    </w:p>
    <w:p>
      <w:pPr>
        <w:pStyle w:val="BodyText"/>
        <w:spacing w:before="10"/>
        <w:rPr>
          <w:sz w:val="19"/>
        </w:rPr>
      </w:pPr>
    </w:p>
    <w:p>
      <w:pPr>
        <w:pStyle w:val="BodyText"/>
        <w:spacing w:line="235" w:lineRule="auto"/>
        <w:ind w:left="1133" w:right="1997"/>
      </w:pPr>
      <w:r>
        <w:rPr>
          <w:w w:val="120"/>
        </w:rPr>
        <w:t>In that year meetings were held to discuss the future and the decision was taken to keep the church open. This situation continued until January 2009. Numbers of members</w:t>
      </w:r>
    </w:p>
    <w:p>
      <w:pPr>
        <w:pStyle w:val="BodyText"/>
        <w:spacing w:line="235" w:lineRule="auto" w:before="1"/>
        <w:ind w:left="1133" w:right="2191"/>
      </w:pPr>
      <w:r>
        <w:rPr>
          <w:w w:val="120"/>
        </w:rPr>
        <w:t>had continued to fall, over the years, until the church was left with only four active and three non-active members. After careful prayer and consideration, the decision was taken that church should seek to close. A service of celebration for the 146 years of witness in Baddesley Ensor took place on Sunday 7</w:t>
      </w:r>
      <w:r>
        <w:rPr>
          <w:w w:val="120"/>
          <w:position w:val="7"/>
          <w:sz w:val="11"/>
        </w:rPr>
        <w:t>th </w:t>
      </w:r>
      <w:r>
        <w:rPr>
          <w:w w:val="120"/>
        </w:rPr>
        <w:t>June 2009.</w:t>
      </w:r>
    </w:p>
    <w:p>
      <w:pPr>
        <w:pStyle w:val="BodyText"/>
        <w:rPr>
          <w:sz w:val="22"/>
        </w:rPr>
      </w:pPr>
    </w:p>
    <w:p>
      <w:pPr>
        <w:pStyle w:val="Heading6"/>
        <w:spacing w:line="196" w:lineRule="auto"/>
        <w:ind w:right="5549"/>
      </w:pPr>
      <w:r>
        <w:rPr>
          <w:w w:val="110"/>
        </w:rPr>
        <w:t>St Luke’s United Church, Bedford Thames North Synod</w:t>
      </w:r>
    </w:p>
    <w:p>
      <w:pPr>
        <w:pStyle w:val="BodyText"/>
        <w:spacing w:line="235" w:lineRule="auto" w:before="212"/>
        <w:ind w:left="1133" w:right="2440"/>
      </w:pPr>
      <w:r>
        <w:rPr>
          <w:w w:val="120"/>
        </w:rPr>
        <w:t>Bedford suffered an outbreak of smallpox in </w:t>
      </w:r>
      <w:r>
        <w:rPr>
          <w:spacing w:val="-5"/>
          <w:w w:val="120"/>
        </w:rPr>
        <w:t>1738, </w:t>
      </w:r>
      <w:r>
        <w:rPr>
          <w:w w:val="120"/>
        </w:rPr>
        <w:t>and contacts with Moravians in London brought welcome </w:t>
      </w:r>
      <w:r>
        <w:rPr>
          <w:spacing w:val="2"/>
          <w:w w:val="120"/>
        </w:rPr>
        <w:t>support. </w:t>
      </w:r>
      <w:r>
        <w:rPr>
          <w:spacing w:val="3"/>
          <w:w w:val="120"/>
        </w:rPr>
        <w:t>As </w:t>
      </w:r>
      <w:r>
        <w:rPr>
          <w:w w:val="120"/>
        </w:rPr>
        <w:t>a result the Moravians were offered land and the first church was </w:t>
      </w:r>
      <w:r>
        <w:rPr>
          <w:spacing w:val="2"/>
          <w:w w:val="120"/>
        </w:rPr>
        <w:t>started </w:t>
      </w:r>
      <w:r>
        <w:rPr>
          <w:w w:val="120"/>
        </w:rPr>
        <w:t>in </w:t>
      </w:r>
      <w:r>
        <w:rPr>
          <w:spacing w:val="-10"/>
          <w:w w:val="120"/>
        </w:rPr>
        <w:t>1745.  </w:t>
      </w:r>
      <w:r>
        <w:rPr>
          <w:w w:val="120"/>
        </w:rPr>
        <w:t>A boarding school for young ladies was opened   in </w:t>
      </w:r>
      <w:r>
        <w:rPr>
          <w:spacing w:val="-6"/>
          <w:w w:val="120"/>
        </w:rPr>
        <w:t>1801. </w:t>
      </w:r>
      <w:r>
        <w:rPr>
          <w:w w:val="120"/>
        </w:rPr>
        <w:t>A new Victorian Italianate church was built in </w:t>
      </w:r>
      <w:r>
        <w:rPr>
          <w:spacing w:val="-4"/>
          <w:w w:val="120"/>
        </w:rPr>
        <w:t>1865 </w:t>
      </w:r>
      <w:r>
        <w:rPr>
          <w:w w:val="120"/>
        </w:rPr>
        <w:t>and extended in 1888. </w:t>
      </w:r>
      <w:r>
        <w:rPr>
          <w:spacing w:val="-7"/>
          <w:w w:val="120"/>
        </w:rPr>
        <w:t>To </w:t>
      </w:r>
      <w:r>
        <w:rPr>
          <w:w w:val="120"/>
        </w:rPr>
        <w:t>celebrate the 150</w:t>
      </w:r>
      <w:r>
        <w:rPr>
          <w:w w:val="120"/>
          <w:position w:val="7"/>
          <w:sz w:val="11"/>
        </w:rPr>
        <w:t>th </w:t>
      </w:r>
      <w:r>
        <w:rPr>
          <w:w w:val="120"/>
        </w:rPr>
        <w:t>anniversary of the foundation a daughter church was opened to </w:t>
      </w:r>
      <w:r>
        <w:rPr>
          <w:spacing w:val="2"/>
          <w:w w:val="120"/>
        </w:rPr>
        <w:t>serve </w:t>
      </w:r>
      <w:r>
        <w:rPr>
          <w:w w:val="120"/>
        </w:rPr>
        <w:t>the industrial community to the west of the</w:t>
      </w:r>
      <w:r>
        <w:rPr>
          <w:spacing w:val="34"/>
          <w:w w:val="120"/>
        </w:rPr>
        <w:t> </w:t>
      </w:r>
      <w:r>
        <w:rPr>
          <w:w w:val="120"/>
        </w:rPr>
        <w:t>railway.</w:t>
      </w:r>
    </w:p>
    <w:p>
      <w:pPr>
        <w:pStyle w:val="BodyText"/>
      </w:pPr>
    </w:p>
    <w:p>
      <w:pPr>
        <w:pStyle w:val="BodyText"/>
        <w:spacing w:line="235" w:lineRule="auto"/>
        <w:ind w:left="1133" w:right="2375"/>
      </w:pPr>
      <w:r>
        <w:rPr>
          <w:w w:val="120"/>
        </w:rPr>
        <w:t>In </w:t>
      </w:r>
      <w:r>
        <w:rPr>
          <w:spacing w:val="-6"/>
          <w:w w:val="120"/>
        </w:rPr>
        <w:t>1942 </w:t>
      </w:r>
      <w:r>
        <w:rPr>
          <w:w w:val="120"/>
        </w:rPr>
        <w:t>a Presbyterian church was founded and found a welcome with the Moravians. Howard Congregational Church also joined. Thus began the high point of influence   and achievement, with music, drama and work with uniformed organisations. The constitution for St </w:t>
      </w:r>
      <w:r>
        <w:rPr>
          <w:spacing w:val="-3"/>
          <w:w w:val="120"/>
        </w:rPr>
        <w:t>Luke’s </w:t>
      </w:r>
      <w:r>
        <w:rPr>
          <w:w w:val="120"/>
        </w:rPr>
        <w:t>United Church was adopted in</w:t>
      </w:r>
      <w:r>
        <w:rPr>
          <w:spacing w:val="1"/>
          <w:w w:val="120"/>
        </w:rPr>
        <w:t> </w:t>
      </w:r>
      <w:r>
        <w:rPr>
          <w:spacing w:val="-3"/>
          <w:w w:val="120"/>
        </w:rPr>
        <w:t>1984.</w:t>
      </w:r>
    </w:p>
    <w:p>
      <w:pPr>
        <w:spacing w:after="0" w:line="235" w:lineRule="auto"/>
        <w:sectPr>
          <w:headerReference w:type="even" r:id="rId507"/>
          <w:headerReference w:type="default" r:id="rId508"/>
          <w:footerReference w:type="even" r:id="rId509"/>
          <w:footerReference w:type="default" r:id="rId510"/>
          <w:pgSz w:w="11910" w:h="16840"/>
          <w:pgMar w:header="0" w:footer="647" w:top="1060" w:bottom="840" w:left="0" w:right="0"/>
          <w:pgNumType w:start="198"/>
        </w:sectPr>
      </w:pPr>
    </w:p>
    <w:p>
      <w:pPr>
        <w:pStyle w:val="BodyText"/>
        <w:spacing w:line="235" w:lineRule="auto" w:before="91"/>
        <w:ind w:left="1984" w:right="1273"/>
      </w:pPr>
      <w:r>
        <w:rPr/>
        <w:pict>
          <v:rect style="position:absolute;margin-left:558.424988pt;margin-top:8.503343pt;width:22.677pt;height:22.677pt;mso-position-horizontal-relative:page;mso-position-vertical-relative:paragraph;z-index:252254208" filled="true" fillcolor="#dae4ec" stroked="false">
            <v:fill opacity="32768f" type="solid"/>
            <w10:wrap type="none"/>
          </v:rect>
        </w:pict>
      </w:r>
      <w:r>
        <w:rPr>
          <w:w w:val="120"/>
        </w:rPr>
        <w:t>As a town centre church, St Luke’s found its purpose as a ‘community’ church, serving the homeless and people with learning difficulties. A new hall was built but further resources needed to refurbish the older buildings proved elusive. Plans to set up an Ecumenical Partnership with the Parish Church never came to fruition.</w:t>
      </w:r>
    </w:p>
    <w:p>
      <w:pPr>
        <w:pStyle w:val="BodyText"/>
        <w:spacing w:before="10"/>
        <w:rPr>
          <w:sz w:val="19"/>
        </w:rPr>
      </w:pPr>
    </w:p>
    <w:p>
      <w:pPr>
        <w:pStyle w:val="BodyText"/>
        <w:spacing w:line="235" w:lineRule="auto" w:before="1"/>
        <w:ind w:left="1984" w:right="1369"/>
      </w:pPr>
      <w:r>
        <w:rPr>
          <w:w w:val="120"/>
        </w:rPr>
        <w:t>With an aging congregation and a tired  building,  closure  became  inevitable.  Over </w:t>
      </w:r>
      <w:r>
        <w:rPr>
          <w:spacing w:val="2"/>
          <w:w w:val="120"/>
        </w:rPr>
        <w:t>200 </w:t>
      </w:r>
      <w:r>
        <w:rPr>
          <w:w w:val="120"/>
        </w:rPr>
        <w:t>people came to the final service on 5</w:t>
      </w:r>
      <w:r>
        <w:rPr>
          <w:w w:val="120"/>
          <w:position w:val="7"/>
          <w:sz w:val="11"/>
        </w:rPr>
        <w:t>th  </w:t>
      </w:r>
      <w:r>
        <w:rPr>
          <w:w w:val="120"/>
        </w:rPr>
        <w:t>October </w:t>
      </w:r>
      <w:r>
        <w:rPr>
          <w:spacing w:val="2"/>
          <w:w w:val="120"/>
        </w:rPr>
        <w:t>2008 </w:t>
      </w:r>
      <w:r>
        <w:rPr>
          <w:w w:val="120"/>
        </w:rPr>
        <w:t>and the joyous sounds of    the</w:t>
      </w:r>
      <w:r>
        <w:rPr>
          <w:spacing w:val="12"/>
          <w:w w:val="120"/>
        </w:rPr>
        <w:t> </w:t>
      </w:r>
      <w:r>
        <w:rPr>
          <w:w w:val="120"/>
        </w:rPr>
        <w:t>Moravian</w:t>
      </w:r>
      <w:r>
        <w:rPr>
          <w:spacing w:val="12"/>
          <w:w w:val="120"/>
        </w:rPr>
        <w:t> </w:t>
      </w:r>
      <w:r>
        <w:rPr>
          <w:w w:val="120"/>
        </w:rPr>
        <w:t>‘Hosanna’</w:t>
      </w:r>
      <w:r>
        <w:rPr>
          <w:spacing w:val="12"/>
          <w:w w:val="120"/>
        </w:rPr>
        <w:t> </w:t>
      </w:r>
      <w:r>
        <w:rPr>
          <w:w w:val="120"/>
        </w:rPr>
        <w:t>anthems</w:t>
      </w:r>
      <w:r>
        <w:rPr>
          <w:spacing w:val="13"/>
          <w:w w:val="120"/>
        </w:rPr>
        <w:t> </w:t>
      </w:r>
      <w:r>
        <w:rPr>
          <w:w w:val="120"/>
        </w:rPr>
        <w:t>brought</w:t>
      </w:r>
      <w:r>
        <w:rPr>
          <w:spacing w:val="12"/>
          <w:w w:val="120"/>
        </w:rPr>
        <w:t> </w:t>
      </w:r>
      <w:r>
        <w:rPr>
          <w:w w:val="120"/>
        </w:rPr>
        <w:t>the</w:t>
      </w:r>
      <w:r>
        <w:rPr>
          <w:spacing w:val="12"/>
          <w:w w:val="120"/>
        </w:rPr>
        <w:t> </w:t>
      </w:r>
      <w:r>
        <w:rPr>
          <w:w w:val="120"/>
        </w:rPr>
        <w:t>worship</w:t>
      </w:r>
      <w:r>
        <w:rPr>
          <w:spacing w:val="13"/>
          <w:w w:val="120"/>
        </w:rPr>
        <w:t> </w:t>
      </w:r>
      <w:r>
        <w:rPr>
          <w:w w:val="120"/>
        </w:rPr>
        <w:t>to</w:t>
      </w:r>
      <w:r>
        <w:rPr>
          <w:spacing w:val="12"/>
          <w:w w:val="120"/>
        </w:rPr>
        <w:t> </w:t>
      </w:r>
      <w:r>
        <w:rPr>
          <w:w w:val="120"/>
        </w:rPr>
        <w:t>its</w:t>
      </w:r>
      <w:r>
        <w:rPr>
          <w:spacing w:val="12"/>
          <w:w w:val="120"/>
        </w:rPr>
        <w:t> </w:t>
      </w:r>
      <w:r>
        <w:rPr>
          <w:w w:val="120"/>
        </w:rPr>
        <w:t>close.</w:t>
      </w:r>
      <w:r>
        <w:rPr>
          <w:spacing w:val="13"/>
          <w:w w:val="120"/>
        </w:rPr>
        <w:t> </w:t>
      </w:r>
      <w:r>
        <w:rPr>
          <w:w w:val="120"/>
        </w:rPr>
        <w:t>The</w:t>
      </w:r>
      <w:r>
        <w:rPr>
          <w:spacing w:val="12"/>
          <w:w w:val="120"/>
        </w:rPr>
        <w:t> </w:t>
      </w:r>
      <w:r>
        <w:rPr>
          <w:w w:val="120"/>
        </w:rPr>
        <w:t>buildings</w:t>
      </w:r>
      <w:r>
        <w:rPr>
          <w:spacing w:val="12"/>
          <w:w w:val="120"/>
        </w:rPr>
        <w:t> </w:t>
      </w:r>
      <w:r>
        <w:rPr>
          <w:w w:val="120"/>
        </w:rPr>
        <w:t>were</w:t>
      </w:r>
    </w:p>
    <w:p>
      <w:pPr>
        <w:pStyle w:val="BodyText"/>
        <w:spacing w:line="235" w:lineRule="auto" w:before="2"/>
        <w:ind w:left="1984" w:right="1357"/>
      </w:pPr>
      <w:r>
        <w:rPr>
          <w:w w:val="120"/>
        </w:rPr>
        <w:t>bought by Bedford School, and they have promised to respect the history and integrity  of the buildings in their new</w:t>
      </w:r>
      <w:r>
        <w:rPr>
          <w:spacing w:val="26"/>
          <w:w w:val="120"/>
        </w:rPr>
        <w:t> </w:t>
      </w:r>
      <w:r>
        <w:rPr>
          <w:w w:val="120"/>
        </w:rPr>
        <w:t>future.</w:t>
      </w:r>
    </w:p>
    <w:p>
      <w:pPr>
        <w:pStyle w:val="BodyText"/>
        <w:spacing w:before="10"/>
        <w:rPr>
          <w:sz w:val="21"/>
        </w:rPr>
      </w:pPr>
    </w:p>
    <w:p>
      <w:pPr>
        <w:pStyle w:val="Heading6"/>
        <w:spacing w:line="196" w:lineRule="auto"/>
        <w:ind w:left="1984" w:right="1997"/>
      </w:pPr>
      <w:r>
        <w:rPr>
          <w:w w:val="110"/>
        </w:rPr>
        <w:t>Throop United Reformed Church, Bournemouth Wessex Synod</w:t>
      </w:r>
    </w:p>
    <w:p>
      <w:pPr>
        <w:pStyle w:val="BodyText"/>
        <w:spacing w:line="235" w:lineRule="auto" w:before="212"/>
        <w:ind w:left="1984" w:right="1273"/>
      </w:pPr>
      <w:r>
        <w:rPr>
          <w:w w:val="120"/>
        </w:rPr>
        <w:t>Since the </w:t>
      </w:r>
      <w:r>
        <w:rPr>
          <w:spacing w:val="-3"/>
          <w:w w:val="120"/>
        </w:rPr>
        <w:t>1800’s </w:t>
      </w:r>
      <w:r>
        <w:rPr>
          <w:w w:val="120"/>
        </w:rPr>
        <w:t>this little country church has been spreading the Word of God faithfully to the people of Throop and Muscliff in the Bournemouth  area  of  Dorset  including being the village school for many</w:t>
      </w:r>
      <w:r>
        <w:rPr>
          <w:spacing w:val="27"/>
          <w:w w:val="120"/>
        </w:rPr>
        <w:t> </w:t>
      </w:r>
      <w:r>
        <w:rPr>
          <w:w w:val="120"/>
        </w:rPr>
        <w:t>years.</w:t>
      </w:r>
    </w:p>
    <w:p>
      <w:pPr>
        <w:pStyle w:val="BodyText"/>
        <w:spacing w:before="10"/>
        <w:rPr>
          <w:sz w:val="19"/>
        </w:rPr>
      </w:pPr>
    </w:p>
    <w:p>
      <w:pPr>
        <w:pStyle w:val="BodyText"/>
        <w:spacing w:line="235" w:lineRule="auto"/>
        <w:ind w:left="1984" w:right="1273"/>
      </w:pPr>
      <w:r>
        <w:rPr>
          <w:w w:val="120"/>
        </w:rPr>
        <w:t>Now </w:t>
      </w:r>
      <w:r>
        <w:rPr>
          <w:spacing w:val="2"/>
          <w:w w:val="120"/>
        </w:rPr>
        <w:t>after </w:t>
      </w:r>
      <w:r>
        <w:rPr>
          <w:spacing w:val="-6"/>
          <w:w w:val="120"/>
        </w:rPr>
        <w:t>128 </w:t>
      </w:r>
      <w:r>
        <w:rPr>
          <w:w w:val="120"/>
        </w:rPr>
        <w:t>Years that ministry has come to an end, as, sadly, through the conditions of the building and the age of the worshippers it has been forced to close. The church has </w:t>
      </w:r>
      <w:r>
        <w:rPr>
          <w:spacing w:val="3"/>
          <w:w w:val="120"/>
        </w:rPr>
        <w:t>left </w:t>
      </w:r>
      <w:r>
        <w:rPr>
          <w:w w:val="120"/>
        </w:rPr>
        <w:t>a </w:t>
      </w:r>
      <w:r>
        <w:rPr>
          <w:spacing w:val="2"/>
          <w:w w:val="120"/>
        </w:rPr>
        <w:t>legacy </w:t>
      </w:r>
      <w:r>
        <w:rPr>
          <w:w w:val="120"/>
        </w:rPr>
        <w:t>that will be remembered by the people who have attended it through the</w:t>
      </w:r>
      <w:r>
        <w:rPr>
          <w:spacing w:val="3"/>
          <w:w w:val="120"/>
        </w:rPr>
        <w:t> </w:t>
      </w:r>
      <w:r>
        <w:rPr>
          <w:w w:val="120"/>
        </w:rPr>
        <w:t>years.</w:t>
      </w:r>
    </w:p>
    <w:p>
      <w:pPr>
        <w:pStyle w:val="BodyText"/>
        <w:rPr>
          <w:sz w:val="22"/>
        </w:rPr>
      </w:pPr>
    </w:p>
    <w:p>
      <w:pPr>
        <w:pStyle w:val="Heading6"/>
        <w:spacing w:line="196" w:lineRule="auto"/>
        <w:ind w:left="1984" w:right="6332"/>
      </w:pPr>
      <w:r>
        <w:rPr>
          <w:w w:val="110"/>
        </w:rPr>
        <w:t>Felton Chapel, Bristol South Western Synod</w:t>
      </w:r>
    </w:p>
    <w:p>
      <w:pPr>
        <w:spacing w:before="208"/>
        <w:ind w:left="1984" w:right="0" w:firstLine="0"/>
        <w:jc w:val="left"/>
        <w:rPr>
          <w:i/>
          <w:sz w:val="20"/>
        </w:rPr>
      </w:pPr>
      <w:r>
        <w:rPr>
          <w:i/>
          <w:w w:val="110"/>
          <w:sz w:val="20"/>
        </w:rPr>
        <w:t>No statement was submitted on behalf of this church.</w:t>
      </w:r>
    </w:p>
    <w:p>
      <w:pPr>
        <w:pStyle w:val="BodyText"/>
        <w:spacing w:before="8"/>
        <w:rPr>
          <w:i/>
          <w:sz w:val="21"/>
        </w:rPr>
      </w:pPr>
    </w:p>
    <w:p>
      <w:pPr>
        <w:pStyle w:val="Heading6"/>
        <w:spacing w:line="196" w:lineRule="auto" w:before="1"/>
        <w:ind w:left="1984" w:right="4239"/>
      </w:pPr>
      <w:r>
        <w:rPr>
          <w:w w:val="110"/>
        </w:rPr>
        <w:t>Bushey United Reformed Church Thames North Synod</w:t>
      </w:r>
    </w:p>
    <w:p>
      <w:pPr>
        <w:pStyle w:val="BodyText"/>
        <w:spacing w:line="235" w:lineRule="auto" w:before="211"/>
        <w:ind w:left="1984" w:right="1273"/>
      </w:pPr>
      <w:r>
        <w:rPr>
          <w:w w:val="120"/>
        </w:rPr>
        <w:t>Founded as a Congregational fellowship in </w:t>
      </w:r>
      <w:r>
        <w:rPr>
          <w:spacing w:val="-5"/>
          <w:w w:val="120"/>
        </w:rPr>
        <w:t>1809, </w:t>
      </w:r>
      <w:r>
        <w:rPr>
          <w:w w:val="120"/>
        </w:rPr>
        <w:t>Bushey United Reformed Church’s building stood proudly at the top of Bushey High Street for </w:t>
      </w:r>
      <w:r>
        <w:rPr>
          <w:spacing w:val="-6"/>
          <w:w w:val="120"/>
        </w:rPr>
        <w:t>150 </w:t>
      </w:r>
      <w:r>
        <w:rPr>
          <w:w w:val="120"/>
        </w:rPr>
        <w:t>years. In latter years the church’s premises were widely used for community activities, from maternity clinics to recording episodes of Eastenders. Redevelopment gave the church building a new lease of life, with welcoming worship space, hall and a variety of</w:t>
      </w:r>
      <w:r>
        <w:rPr>
          <w:spacing w:val="2"/>
          <w:w w:val="120"/>
        </w:rPr>
        <w:t> </w:t>
      </w:r>
      <w:r>
        <w:rPr>
          <w:w w:val="120"/>
        </w:rPr>
        <w:t>rooms.</w:t>
      </w:r>
    </w:p>
    <w:p>
      <w:pPr>
        <w:pStyle w:val="BodyText"/>
      </w:pPr>
    </w:p>
    <w:p>
      <w:pPr>
        <w:pStyle w:val="BodyText"/>
        <w:spacing w:line="235" w:lineRule="auto"/>
        <w:ind w:left="1984" w:right="1684"/>
      </w:pPr>
      <w:r>
        <w:rPr>
          <w:w w:val="120"/>
        </w:rPr>
        <w:t>Though a small number of new members joined the church in its last years, the age structure of the congregation took its toll. Within a period of three years the Sunday congregation halved through a combination of death, infirmity and members  moving</w:t>
      </w:r>
      <w:r>
        <w:rPr>
          <w:spacing w:val="2"/>
          <w:w w:val="120"/>
        </w:rPr>
        <w:t> </w:t>
      </w:r>
      <w:r>
        <w:rPr>
          <w:spacing w:val="-4"/>
          <w:w w:val="120"/>
        </w:rPr>
        <w:t>away.</w:t>
      </w:r>
    </w:p>
    <w:p>
      <w:pPr>
        <w:pStyle w:val="BodyText"/>
        <w:spacing w:before="10"/>
        <w:rPr>
          <w:sz w:val="19"/>
        </w:rPr>
      </w:pPr>
    </w:p>
    <w:p>
      <w:pPr>
        <w:pStyle w:val="BodyText"/>
        <w:spacing w:line="235" w:lineRule="auto" w:before="1"/>
        <w:ind w:left="1984" w:right="1573"/>
      </w:pPr>
      <w:r>
        <w:rPr>
          <w:w w:val="120"/>
        </w:rPr>
        <w:t>Despite these problems, in its last few years the church experimented widely with   new activities to attempt to </w:t>
      </w:r>
      <w:r>
        <w:rPr>
          <w:spacing w:val="2"/>
          <w:w w:val="120"/>
        </w:rPr>
        <w:t>bridge </w:t>
      </w:r>
      <w:r>
        <w:rPr>
          <w:w w:val="120"/>
        </w:rPr>
        <w:t>the gap to the local community. An annual </w:t>
      </w:r>
      <w:r>
        <w:rPr>
          <w:spacing w:val="3"/>
          <w:w w:val="120"/>
        </w:rPr>
        <w:t>craft  </w:t>
      </w:r>
      <w:r>
        <w:rPr>
          <w:w w:val="120"/>
        </w:rPr>
        <w:t>fair proved highly successful, with the entire proceeds going to </w:t>
      </w:r>
      <w:r>
        <w:rPr>
          <w:spacing w:val="2"/>
          <w:w w:val="120"/>
        </w:rPr>
        <w:t>support </w:t>
      </w:r>
      <w:r>
        <w:rPr>
          <w:w w:val="120"/>
        </w:rPr>
        <w:t>a home for disabled children in Calcutta. In </w:t>
      </w:r>
      <w:r>
        <w:rPr>
          <w:spacing w:val="2"/>
          <w:w w:val="120"/>
        </w:rPr>
        <w:t>2009 </w:t>
      </w:r>
      <w:r>
        <w:rPr>
          <w:w w:val="120"/>
        </w:rPr>
        <w:t>the church celebrated </w:t>
      </w:r>
      <w:r>
        <w:rPr>
          <w:spacing w:val="2"/>
          <w:w w:val="120"/>
        </w:rPr>
        <w:t>200 </w:t>
      </w:r>
      <w:r>
        <w:rPr>
          <w:w w:val="120"/>
        </w:rPr>
        <w:t>years as a fellowship with a variety of successful</w:t>
      </w:r>
      <w:r>
        <w:rPr>
          <w:spacing w:val="19"/>
          <w:w w:val="120"/>
        </w:rPr>
        <w:t> </w:t>
      </w:r>
      <w:r>
        <w:rPr>
          <w:w w:val="120"/>
        </w:rPr>
        <w:t>events.</w:t>
      </w:r>
    </w:p>
    <w:p>
      <w:pPr>
        <w:pStyle w:val="BodyText"/>
        <w:spacing w:before="11"/>
        <w:rPr>
          <w:sz w:val="19"/>
        </w:rPr>
      </w:pPr>
    </w:p>
    <w:p>
      <w:pPr>
        <w:pStyle w:val="BodyText"/>
        <w:spacing w:line="235" w:lineRule="auto"/>
        <w:ind w:left="1984" w:right="1218"/>
      </w:pPr>
      <w:r>
        <w:rPr>
          <w:w w:val="120"/>
        </w:rPr>
        <w:t>A Church Meeting in </w:t>
      </w:r>
      <w:r>
        <w:rPr>
          <w:spacing w:val="2"/>
          <w:w w:val="120"/>
        </w:rPr>
        <w:t>January </w:t>
      </w:r>
      <w:r>
        <w:rPr>
          <w:spacing w:val="-5"/>
          <w:w w:val="120"/>
        </w:rPr>
        <w:t>2010 </w:t>
      </w:r>
      <w:r>
        <w:rPr>
          <w:w w:val="120"/>
        </w:rPr>
        <w:t>confirmed the Elders’ recommendation that the church cease to meet for worship </w:t>
      </w:r>
      <w:r>
        <w:rPr>
          <w:spacing w:val="2"/>
          <w:w w:val="120"/>
        </w:rPr>
        <w:t>after </w:t>
      </w:r>
      <w:r>
        <w:rPr>
          <w:w w:val="120"/>
        </w:rPr>
        <w:t>Easter </w:t>
      </w:r>
      <w:r>
        <w:rPr>
          <w:spacing w:val="-4"/>
          <w:w w:val="120"/>
        </w:rPr>
        <w:t>2010. </w:t>
      </w:r>
      <w:r>
        <w:rPr>
          <w:w w:val="120"/>
        </w:rPr>
        <w:t>Paradoxically, the last months of the church were among its happiest in recent years, as friends and well-wishers attended to lament the passing of </w:t>
      </w:r>
      <w:r>
        <w:rPr>
          <w:i/>
          <w:w w:val="120"/>
        </w:rPr>
        <w:t>their </w:t>
      </w:r>
      <w:r>
        <w:rPr>
          <w:w w:val="120"/>
        </w:rPr>
        <w:t>church. There were tears and hugs but also a real</w:t>
      </w:r>
      <w:r>
        <w:rPr>
          <w:spacing w:val="1"/>
          <w:w w:val="120"/>
        </w:rPr>
        <w:t> </w:t>
      </w:r>
      <w:r>
        <w:rPr>
          <w:w w:val="120"/>
        </w:rPr>
        <w:t>sense</w:t>
      </w:r>
    </w:p>
    <w:p>
      <w:pPr>
        <w:pStyle w:val="BodyText"/>
        <w:spacing w:line="243" w:lineRule="exact"/>
        <w:ind w:left="1984"/>
      </w:pPr>
      <w:r>
        <w:rPr>
          <w:w w:val="120"/>
        </w:rPr>
        <w:t>of release – with a joyous final service on Easter Sunday bursting at the seams.</w:t>
      </w:r>
    </w:p>
    <w:p>
      <w:pPr>
        <w:spacing w:after="0" w:line="243" w:lineRule="exact"/>
        <w:sectPr>
          <w:pgSz w:w="11910" w:h="16840"/>
          <w:pgMar w:header="0" w:footer="647" w:top="1060" w:bottom="840" w:left="0" w:right="0"/>
        </w:sectPr>
      </w:pPr>
    </w:p>
    <w:p>
      <w:pPr>
        <w:pStyle w:val="Heading6"/>
        <w:spacing w:line="196" w:lineRule="auto" w:before="154"/>
        <w:ind w:right="5349"/>
      </w:pPr>
      <w:r>
        <w:rPr/>
        <w:pict>
          <v:rect style="position:absolute;margin-left:12.047pt;margin-top:8.489625pt;width:22.677pt;height:22.677pt;mso-position-horizontal-relative:page;mso-position-vertical-relative:paragraph;z-index:252255232" filled="true" fillcolor="#dae4ec" stroked="false">
            <v:fill opacity="32768f" type="solid"/>
            <w10:wrap type="none"/>
          </v:rect>
        </w:pict>
      </w:r>
      <w:r>
        <w:rPr>
          <w:w w:val="110"/>
        </w:rPr>
        <w:t>Cannock United Reformed Church West Midlands Synod</w:t>
      </w:r>
    </w:p>
    <w:p>
      <w:pPr>
        <w:pStyle w:val="BodyText"/>
        <w:spacing w:line="235" w:lineRule="auto" w:before="212"/>
        <w:ind w:left="1133" w:right="2191"/>
      </w:pPr>
      <w:r>
        <w:rPr>
          <w:w w:val="120"/>
        </w:rPr>
        <w:t>Founded in 1814, the church was the oldest nonconformist church in Cannock. Worship commenced 1816 in an adapted barn known as the Independent Meeting House. The flock worshipped there until completion of the church building in 1824. The fortunes of the church revolved round the rise of coal mining industry in Cannock area in the mid 1800s with an influx of miners from the south of the county, and was most prosperous during this expansion.</w:t>
      </w:r>
    </w:p>
    <w:p>
      <w:pPr>
        <w:pStyle w:val="BodyText"/>
      </w:pPr>
    </w:p>
    <w:p>
      <w:pPr>
        <w:pStyle w:val="BodyText"/>
        <w:spacing w:line="235" w:lineRule="auto"/>
        <w:ind w:left="1133" w:right="2052"/>
      </w:pPr>
      <w:r>
        <w:rPr>
          <w:w w:val="120"/>
        </w:rPr>
        <w:t>The church never had more than 50 members at any one time but survived the    pressure of many coal strikes. One minister resigned in the eighteen seventies to relieve the church of its duty to pay his stipend. The church held a prominent role in the religious life of Cannock until gradual decline coincided with the demise of the coal mining </w:t>
      </w:r>
      <w:r>
        <w:rPr>
          <w:spacing w:val="2"/>
          <w:w w:val="120"/>
        </w:rPr>
        <w:t>industry </w:t>
      </w:r>
      <w:r>
        <w:rPr>
          <w:w w:val="120"/>
        </w:rPr>
        <w:t>in the </w:t>
      </w:r>
      <w:r>
        <w:rPr>
          <w:spacing w:val="-3"/>
          <w:w w:val="120"/>
        </w:rPr>
        <w:t>1960s </w:t>
      </w:r>
      <w:r>
        <w:rPr>
          <w:w w:val="120"/>
        </w:rPr>
        <w:t>and the closure of all the pits and large </w:t>
      </w:r>
      <w:r>
        <w:rPr>
          <w:spacing w:val="2"/>
          <w:w w:val="120"/>
        </w:rPr>
        <w:t>industry </w:t>
      </w:r>
      <w:r>
        <w:rPr>
          <w:w w:val="120"/>
        </w:rPr>
        <w:t>in the   area. A </w:t>
      </w:r>
      <w:r>
        <w:rPr>
          <w:spacing w:val="2"/>
          <w:w w:val="120"/>
        </w:rPr>
        <w:t>Grade </w:t>
      </w:r>
      <w:r>
        <w:rPr>
          <w:w w:val="120"/>
        </w:rPr>
        <w:t>2 listed building sited in a Conservation Area and surrounded by recent development, the building is hemmed in on all boundaries and unable to provide expansion, car parking and modern</w:t>
      </w:r>
      <w:r>
        <w:rPr>
          <w:spacing w:val="24"/>
          <w:w w:val="120"/>
        </w:rPr>
        <w:t> </w:t>
      </w:r>
      <w:r>
        <w:rPr>
          <w:w w:val="120"/>
        </w:rPr>
        <w:t>facilities.</w:t>
      </w:r>
    </w:p>
    <w:p>
      <w:pPr>
        <w:pStyle w:val="BodyText"/>
        <w:spacing w:before="1"/>
      </w:pPr>
    </w:p>
    <w:p>
      <w:pPr>
        <w:pStyle w:val="BodyText"/>
        <w:spacing w:line="235" w:lineRule="auto"/>
        <w:ind w:left="1133" w:right="1924"/>
      </w:pPr>
      <w:r>
        <w:rPr>
          <w:w w:val="120"/>
        </w:rPr>
        <w:t>For the remaining six elderly members, decisions had to be made about the future. On 16</w:t>
      </w:r>
      <w:r>
        <w:rPr>
          <w:w w:val="120"/>
          <w:position w:val="7"/>
          <w:sz w:val="11"/>
        </w:rPr>
        <w:t>th </w:t>
      </w:r>
      <w:r>
        <w:rPr>
          <w:w w:val="120"/>
        </w:rPr>
        <w:t>August 2009 they voted to close and all have since found worship in other churches.</w:t>
      </w:r>
    </w:p>
    <w:p>
      <w:pPr>
        <w:pStyle w:val="BodyText"/>
        <w:spacing w:before="11"/>
        <w:rPr>
          <w:sz w:val="21"/>
        </w:rPr>
      </w:pPr>
    </w:p>
    <w:p>
      <w:pPr>
        <w:pStyle w:val="Heading6"/>
        <w:spacing w:line="196" w:lineRule="auto"/>
        <w:ind w:right="4942"/>
      </w:pPr>
      <w:r>
        <w:rPr>
          <w:w w:val="110"/>
        </w:rPr>
        <w:t>Cefn Mawr United Reformed Church Synod of Wales</w:t>
      </w:r>
    </w:p>
    <w:p>
      <w:pPr>
        <w:pStyle w:val="BodyText"/>
        <w:spacing w:line="235" w:lineRule="auto" w:before="212"/>
        <w:ind w:left="1133" w:right="1997"/>
      </w:pPr>
      <w:r>
        <w:rPr>
          <w:w w:val="120"/>
        </w:rPr>
        <w:t>In 1865 John Garside moved from Ashton-under-Lyne to Cefn Mawr to take up employment in the local iron works. With 12 relatives and friends he planted a new church. Bible classes started in the foundry at the iron works and later moved to a room over a shop. Eventually the money was raised, £400, to build an independent chapel.</w:t>
      </w:r>
    </w:p>
    <w:p>
      <w:pPr>
        <w:pStyle w:val="BodyText"/>
        <w:spacing w:before="11"/>
        <w:rPr>
          <w:sz w:val="19"/>
        </w:rPr>
      </w:pPr>
    </w:p>
    <w:p>
      <w:pPr>
        <w:pStyle w:val="BodyText"/>
        <w:spacing w:line="235" w:lineRule="auto"/>
        <w:ind w:left="1133" w:right="2110"/>
      </w:pPr>
      <w:r>
        <w:rPr>
          <w:w w:val="120"/>
        </w:rPr>
        <w:t>The chapel opened in </w:t>
      </w:r>
      <w:r>
        <w:rPr>
          <w:spacing w:val="-3"/>
          <w:w w:val="120"/>
        </w:rPr>
        <w:t>1866 </w:t>
      </w:r>
      <w:r>
        <w:rPr>
          <w:w w:val="120"/>
        </w:rPr>
        <w:t>with </w:t>
      </w:r>
      <w:r>
        <w:rPr>
          <w:spacing w:val="-7"/>
          <w:w w:val="120"/>
        </w:rPr>
        <w:t>16  </w:t>
      </w:r>
      <w:r>
        <w:rPr>
          <w:w w:val="120"/>
        </w:rPr>
        <w:t>members. In March </w:t>
      </w:r>
      <w:r>
        <w:rPr>
          <w:spacing w:val="-6"/>
          <w:w w:val="120"/>
        </w:rPr>
        <w:t>1891  </w:t>
      </w:r>
      <w:r>
        <w:rPr>
          <w:w w:val="120"/>
        </w:rPr>
        <w:t>a new school room  opened, offering space for prayer meetings, choir practice, sewing classes, the ‘Good Templars’(?), concerts and lectures. A Young Worshippers League and a Mother’s Union branch</w:t>
      </w:r>
      <w:r>
        <w:rPr>
          <w:spacing w:val="8"/>
          <w:w w:val="120"/>
        </w:rPr>
        <w:t> </w:t>
      </w:r>
      <w:r>
        <w:rPr>
          <w:w w:val="120"/>
        </w:rPr>
        <w:t>were</w:t>
      </w:r>
      <w:r>
        <w:rPr>
          <w:spacing w:val="8"/>
          <w:w w:val="120"/>
        </w:rPr>
        <w:t> </w:t>
      </w:r>
      <w:r>
        <w:rPr>
          <w:w w:val="120"/>
        </w:rPr>
        <w:t>formed</w:t>
      </w:r>
      <w:r>
        <w:rPr>
          <w:spacing w:val="8"/>
          <w:w w:val="120"/>
        </w:rPr>
        <w:t> </w:t>
      </w:r>
      <w:r>
        <w:rPr>
          <w:w w:val="120"/>
        </w:rPr>
        <w:t>and</w:t>
      </w:r>
      <w:r>
        <w:rPr>
          <w:spacing w:val="9"/>
          <w:w w:val="120"/>
        </w:rPr>
        <w:t> </w:t>
      </w:r>
      <w:r>
        <w:rPr>
          <w:w w:val="120"/>
        </w:rPr>
        <w:t>in</w:t>
      </w:r>
      <w:r>
        <w:rPr>
          <w:spacing w:val="8"/>
          <w:w w:val="120"/>
        </w:rPr>
        <w:t> </w:t>
      </w:r>
      <w:r>
        <w:rPr>
          <w:spacing w:val="-3"/>
          <w:w w:val="120"/>
        </w:rPr>
        <w:t>1909</w:t>
      </w:r>
      <w:r>
        <w:rPr>
          <w:spacing w:val="8"/>
          <w:w w:val="120"/>
        </w:rPr>
        <w:t> </w:t>
      </w:r>
      <w:r>
        <w:rPr>
          <w:w w:val="120"/>
        </w:rPr>
        <w:t>Sunday</w:t>
      </w:r>
      <w:r>
        <w:rPr>
          <w:spacing w:val="9"/>
          <w:w w:val="120"/>
        </w:rPr>
        <w:t> </w:t>
      </w:r>
      <w:r>
        <w:rPr>
          <w:w w:val="120"/>
        </w:rPr>
        <w:t>School</w:t>
      </w:r>
      <w:r>
        <w:rPr>
          <w:spacing w:val="8"/>
          <w:w w:val="120"/>
        </w:rPr>
        <w:t> </w:t>
      </w:r>
      <w:r>
        <w:rPr>
          <w:w w:val="120"/>
        </w:rPr>
        <w:t>attendance</w:t>
      </w:r>
      <w:r>
        <w:rPr>
          <w:spacing w:val="8"/>
          <w:w w:val="120"/>
        </w:rPr>
        <w:t> </w:t>
      </w:r>
      <w:r>
        <w:rPr>
          <w:w w:val="120"/>
        </w:rPr>
        <w:t>hit</w:t>
      </w:r>
      <w:r>
        <w:rPr>
          <w:spacing w:val="9"/>
          <w:w w:val="120"/>
        </w:rPr>
        <w:t> </w:t>
      </w:r>
      <w:r>
        <w:rPr>
          <w:w w:val="120"/>
        </w:rPr>
        <w:t>a</w:t>
      </w:r>
      <w:r>
        <w:rPr>
          <w:spacing w:val="8"/>
          <w:w w:val="120"/>
        </w:rPr>
        <w:t> </w:t>
      </w:r>
      <w:r>
        <w:rPr>
          <w:w w:val="120"/>
        </w:rPr>
        <w:t>high</w:t>
      </w:r>
      <w:r>
        <w:rPr>
          <w:spacing w:val="8"/>
          <w:w w:val="120"/>
        </w:rPr>
        <w:t> </w:t>
      </w:r>
      <w:r>
        <w:rPr>
          <w:w w:val="120"/>
        </w:rPr>
        <w:t>of</w:t>
      </w:r>
      <w:r>
        <w:rPr>
          <w:spacing w:val="8"/>
          <w:w w:val="120"/>
        </w:rPr>
        <w:t> </w:t>
      </w:r>
      <w:r>
        <w:rPr>
          <w:spacing w:val="-14"/>
          <w:w w:val="120"/>
        </w:rPr>
        <w:t>137.</w:t>
      </w:r>
    </w:p>
    <w:p>
      <w:pPr>
        <w:pStyle w:val="BodyText"/>
        <w:spacing w:before="11"/>
        <w:rPr>
          <w:sz w:val="19"/>
        </w:rPr>
      </w:pPr>
    </w:p>
    <w:p>
      <w:pPr>
        <w:pStyle w:val="BodyText"/>
        <w:spacing w:line="235" w:lineRule="auto"/>
        <w:ind w:left="1133" w:right="1997"/>
      </w:pPr>
      <w:r>
        <w:rPr>
          <w:w w:val="120"/>
        </w:rPr>
        <w:t>In 1918 the local men who had survived ‘The Great War’ returned home. Many of them were forced to ‘take to the hills’ scratching for coal on pit waste heaps. To support them the church fitted the school room with a billiard table, rope quoits and a library. During World War II the local council used the school room to organise billeting and rationing.</w:t>
      </w:r>
    </w:p>
    <w:p>
      <w:pPr>
        <w:pStyle w:val="BodyText"/>
        <w:spacing w:before="11"/>
        <w:rPr>
          <w:sz w:val="19"/>
        </w:rPr>
      </w:pPr>
    </w:p>
    <w:p>
      <w:pPr>
        <w:pStyle w:val="BodyText"/>
        <w:spacing w:line="235" w:lineRule="auto"/>
        <w:ind w:left="1133" w:right="2191"/>
      </w:pPr>
      <w:r>
        <w:rPr>
          <w:w w:val="120"/>
        </w:rPr>
        <w:t>In </w:t>
      </w:r>
      <w:r>
        <w:rPr>
          <w:spacing w:val="-3"/>
          <w:w w:val="120"/>
        </w:rPr>
        <w:t>1940 </w:t>
      </w:r>
      <w:r>
        <w:rPr>
          <w:w w:val="120"/>
        </w:rPr>
        <w:t>the pastorate grew to three churches who shared ministry. A 25 year </w:t>
      </w:r>
      <w:r>
        <w:rPr>
          <w:spacing w:val="2"/>
          <w:w w:val="120"/>
        </w:rPr>
        <w:t>vacancy </w:t>
      </w:r>
      <w:r>
        <w:rPr>
          <w:spacing w:val="-4"/>
          <w:w w:val="120"/>
        </w:rPr>
        <w:t>1968 </w:t>
      </w:r>
      <w:r>
        <w:rPr>
          <w:w w:val="120"/>
        </w:rPr>
        <w:t>to </w:t>
      </w:r>
      <w:r>
        <w:rPr>
          <w:spacing w:val="-6"/>
          <w:w w:val="120"/>
        </w:rPr>
        <w:t>1993  </w:t>
      </w:r>
      <w:r>
        <w:rPr>
          <w:w w:val="120"/>
        </w:rPr>
        <w:t>finally ended when the church joined the URC and the Wrexham  Pastorate. </w:t>
      </w:r>
      <w:r>
        <w:rPr>
          <w:spacing w:val="2"/>
          <w:w w:val="120"/>
        </w:rPr>
        <w:t>History </w:t>
      </w:r>
      <w:r>
        <w:rPr>
          <w:w w:val="120"/>
        </w:rPr>
        <w:t>went full circle when their last minister was ordained in </w:t>
      </w:r>
      <w:r>
        <w:rPr>
          <w:spacing w:val="-3"/>
          <w:w w:val="120"/>
        </w:rPr>
        <w:t>2001. </w:t>
      </w:r>
      <w:r>
        <w:rPr>
          <w:w w:val="120"/>
        </w:rPr>
        <w:t>At that service the charge was preached by the Revd Lorraine Mycroft who had gone into the ministry from Albion URC,</w:t>
      </w:r>
      <w:r>
        <w:rPr>
          <w:spacing w:val="19"/>
          <w:w w:val="120"/>
        </w:rPr>
        <w:t> </w:t>
      </w:r>
      <w:r>
        <w:rPr>
          <w:w w:val="120"/>
        </w:rPr>
        <w:t>Ashton-under-Lyne!</w:t>
      </w:r>
    </w:p>
    <w:p>
      <w:pPr>
        <w:pStyle w:val="BodyText"/>
        <w:rPr>
          <w:sz w:val="22"/>
        </w:rPr>
      </w:pPr>
    </w:p>
    <w:p>
      <w:pPr>
        <w:pStyle w:val="Heading6"/>
        <w:spacing w:line="196" w:lineRule="auto"/>
        <w:ind w:right="3166"/>
      </w:pPr>
      <w:r>
        <w:rPr>
          <w:w w:val="110"/>
        </w:rPr>
        <w:t>Carr Vale United Reformed Church, Chesterfield East Midlands Synod</w:t>
      </w:r>
    </w:p>
    <w:p>
      <w:pPr>
        <w:pStyle w:val="BodyText"/>
        <w:spacing w:line="235" w:lineRule="auto" w:before="212"/>
        <w:ind w:left="1133" w:right="2019"/>
      </w:pPr>
      <w:r>
        <w:rPr>
          <w:w w:val="120"/>
        </w:rPr>
        <w:t>In common with many churches, this church fellowship mirrors the growth and decline   of local industry. Carr Vale was a pit village and the housing round the church were     built by the mine owners. With the demise of the industry, Carr Vale is no longer a close mining</w:t>
      </w:r>
      <w:r>
        <w:rPr>
          <w:spacing w:val="4"/>
          <w:w w:val="120"/>
        </w:rPr>
        <w:t> </w:t>
      </w:r>
      <w:r>
        <w:rPr>
          <w:w w:val="120"/>
        </w:rPr>
        <w:t>community.</w:t>
      </w:r>
    </w:p>
    <w:p>
      <w:pPr>
        <w:pStyle w:val="BodyText"/>
        <w:spacing w:before="11"/>
        <w:rPr>
          <w:sz w:val="19"/>
        </w:rPr>
      </w:pPr>
    </w:p>
    <w:p>
      <w:pPr>
        <w:pStyle w:val="BodyText"/>
        <w:spacing w:line="235" w:lineRule="auto"/>
        <w:ind w:left="1133" w:right="2191"/>
      </w:pPr>
      <w:r>
        <w:rPr>
          <w:w w:val="120"/>
        </w:rPr>
        <w:t>With the creation of the United Reformed Church, Carr Vale was in a joint pastorate with Bolsover and Rose Hill United Reformed Churches and later with Calow URC.</w:t>
      </w:r>
    </w:p>
    <w:p>
      <w:pPr>
        <w:spacing w:after="0" w:line="235" w:lineRule="auto"/>
        <w:sectPr>
          <w:pgSz w:w="11910" w:h="16840"/>
          <w:pgMar w:header="0" w:footer="647" w:top="1060" w:bottom="840" w:left="0" w:right="0"/>
        </w:sectPr>
      </w:pPr>
    </w:p>
    <w:p>
      <w:pPr>
        <w:pStyle w:val="BodyText"/>
        <w:spacing w:line="235" w:lineRule="auto" w:before="91"/>
        <w:ind w:left="1984" w:right="1518"/>
      </w:pPr>
      <w:r>
        <w:rPr/>
        <w:pict>
          <v:rect style="position:absolute;margin-left:558.424988pt;margin-top:8.503343pt;width:22.677pt;height:22.677pt;mso-position-horizontal-relative:page;mso-position-vertical-relative:paragraph;z-index:252256256" filled="true" fillcolor="#dae4ec" stroked="false">
            <v:fill opacity="32768f" type="solid"/>
            <w10:wrap type="none"/>
          </v:rect>
        </w:pict>
      </w:r>
      <w:r>
        <w:rPr>
          <w:w w:val="120"/>
        </w:rPr>
        <w:t>The original church was replaced in </w:t>
      </w:r>
      <w:r>
        <w:rPr>
          <w:spacing w:val="-9"/>
          <w:w w:val="120"/>
        </w:rPr>
        <w:t>1975 </w:t>
      </w:r>
      <w:r>
        <w:rPr>
          <w:w w:val="120"/>
        </w:rPr>
        <w:t>by a  prefabricated  building  attached  to ’the</w:t>
      </w:r>
      <w:r>
        <w:rPr>
          <w:spacing w:val="8"/>
          <w:w w:val="120"/>
        </w:rPr>
        <w:t> </w:t>
      </w:r>
      <w:r>
        <w:rPr>
          <w:w w:val="120"/>
        </w:rPr>
        <w:t>Tabernacle’.</w:t>
      </w:r>
      <w:r>
        <w:rPr>
          <w:spacing w:val="9"/>
          <w:w w:val="120"/>
        </w:rPr>
        <w:t> </w:t>
      </w:r>
      <w:r>
        <w:rPr>
          <w:w w:val="120"/>
        </w:rPr>
        <w:t>In</w:t>
      </w:r>
      <w:r>
        <w:rPr>
          <w:spacing w:val="8"/>
          <w:w w:val="120"/>
        </w:rPr>
        <w:t> </w:t>
      </w:r>
      <w:r>
        <w:rPr>
          <w:w w:val="120"/>
        </w:rPr>
        <w:t>the</w:t>
      </w:r>
      <w:r>
        <w:rPr>
          <w:spacing w:val="9"/>
          <w:w w:val="120"/>
        </w:rPr>
        <w:t> </w:t>
      </w:r>
      <w:r>
        <w:rPr>
          <w:w w:val="120"/>
        </w:rPr>
        <w:t>early</w:t>
      </w:r>
      <w:r>
        <w:rPr>
          <w:spacing w:val="9"/>
          <w:w w:val="120"/>
        </w:rPr>
        <w:t> </w:t>
      </w:r>
      <w:r>
        <w:rPr>
          <w:spacing w:val="-3"/>
          <w:w w:val="120"/>
        </w:rPr>
        <w:t>1990</w:t>
      </w:r>
      <w:r>
        <w:rPr>
          <w:spacing w:val="8"/>
          <w:w w:val="120"/>
        </w:rPr>
        <w:t> </w:t>
      </w:r>
      <w:r>
        <w:rPr>
          <w:w w:val="120"/>
        </w:rPr>
        <w:t>the</w:t>
      </w:r>
      <w:r>
        <w:rPr>
          <w:spacing w:val="9"/>
          <w:w w:val="120"/>
        </w:rPr>
        <w:t> </w:t>
      </w:r>
      <w:r>
        <w:rPr>
          <w:w w:val="120"/>
        </w:rPr>
        <w:t>older</w:t>
      </w:r>
      <w:r>
        <w:rPr>
          <w:spacing w:val="8"/>
          <w:w w:val="120"/>
        </w:rPr>
        <w:t> </w:t>
      </w:r>
      <w:r>
        <w:rPr>
          <w:spacing w:val="3"/>
          <w:w w:val="120"/>
        </w:rPr>
        <w:t>part</w:t>
      </w:r>
      <w:r>
        <w:rPr>
          <w:spacing w:val="9"/>
          <w:w w:val="120"/>
        </w:rPr>
        <w:t> </w:t>
      </w:r>
      <w:r>
        <w:rPr>
          <w:w w:val="120"/>
        </w:rPr>
        <w:t>of</w:t>
      </w:r>
      <w:r>
        <w:rPr>
          <w:spacing w:val="9"/>
          <w:w w:val="120"/>
        </w:rPr>
        <w:t> </w:t>
      </w:r>
      <w:r>
        <w:rPr>
          <w:w w:val="120"/>
        </w:rPr>
        <w:t>the</w:t>
      </w:r>
      <w:r>
        <w:rPr>
          <w:spacing w:val="8"/>
          <w:w w:val="120"/>
        </w:rPr>
        <w:t> </w:t>
      </w:r>
      <w:r>
        <w:rPr>
          <w:w w:val="120"/>
        </w:rPr>
        <w:t>building</w:t>
      </w:r>
      <w:r>
        <w:rPr>
          <w:spacing w:val="9"/>
          <w:w w:val="120"/>
        </w:rPr>
        <w:t> </w:t>
      </w:r>
      <w:r>
        <w:rPr>
          <w:w w:val="120"/>
        </w:rPr>
        <w:t>was</w:t>
      </w:r>
      <w:r>
        <w:rPr>
          <w:spacing w:val="8"/>
          <w:w w:val="120"/>
        </w:rPr>
        <w:t> </w:t>
      </w:r>
      <w:r>
        <w:rPr>
          <w:w w:val="120"/>
        </w:rPr>
        <w:t>declared</w:t>
      </w:r>
      <w:r>
        <w:rPr>
          <w:spacing w:val="9"/>
          <w:w w:val="120"/>
        </w:rPr>
        <w:t> </w:t>
      </w:r>
      <w:r>
        <w:rPr>
          <w:w w:val="120"/>
        </w:rPr>
        <w:t>unsafe</w:t>
      </w:r>
    </w:p>
    <w:p>
      <w:pPr>
        <w:pStyle w:val="BodyText"/>
        <w:spacing w:line="235" w:lineRule="auto" w:before="1"/>
        <w:ind w:left="1984" w:right="1120"/>
      </w:pPr>
      <w:r>
        <w:rPr>
          <w:w w:val="120"/>
        </w:rPr>
        <w:t>and fund-raising began to build a new sanctuary adjoining the prefabricated building, which became the church hall. The new building was opened in 1998.</w:t>
      </w:r>
    </w:p>
    <w:p>
      <w:pPr>
        <w:pStyle w:val="BodyText"/>
        <w:spacing w:before="9"/>
        <w:rPr>
          <w:sz w:val="19"/>
        </w:rPr>
      </w:pPr>
    </w:p>
    <w:p>
      <w:pPr>
        <w:pStyle w:val="BodyText"/>
        <w:spacing w:line="235" w:lineRule="auto" w:before="1"/>
        <w:ind w:left="1984" w:right="1273"/>
      </w:pPr>
      <w:r>
        <w:rPr>
          <w:w w:val="120"/>
        </w:rPr>
        <w:t>Despite a dwindling and elderly congregation, the church continued to be viable until 2005 and Carr Vale was joined with Rose Hill as one church worshipping on two sites. This arrangement continued until June 2008 when the decision was made to close the building. The premises have been sold and although most of the members are now housebound they remain within the pastoral care of Rose Hill.</w:t>
      </w:r>
    </w:p>
    <w:p>
      <w:pPr>
        <w:pStyle w:val="BodyText"/>
        <w:rPr>
          <w:sz w:val="22"/>
        </w:rPr>
      </w:pPr>
    </w:p>
    <w:p>
      <w:pPr>
        <w:pStyle w:val="Heading6"/>
        <w:spacing w:line="196" w:lineRule="auto"/>
        <w:ind w:left="1984" w:right="4239"/>
      </w:pPr>
      <w:r>
        <w:rPr>
          <w:w w:val="110"/>
        </w:rPr>
        <w:t>St Mark’s LEP, Coulby Newham Northern Synod</w:t>
      </w:r>
    </w:p>
    <w:p>
      <w:pPr>
        <w:pStyle w:val="BodyText"/>
        <w:spacing w:line="235" w:lineRule="auto" w:before="212"/>
        <w:ind w:left="1984" w:right="1120"/>
      </w:pPr>
      <w:r>
        <w:rPr>
          <w:w w:val="120"/>
        </w:rPr>
        <w:t>St Mark’s was the first church founded in this new Local Authority development south of Middlesbrough. A few of the first residents began to meet for worship in one another’s homes, then in a local hall. In June 1978 St Mark’s was established as a Local Ecumenical Project of the Church of England, Methodist Church and United Reformed Church.</w:t>
      </w:r>
    </w:p>
    <w:p>
      <w:pPr>
        <w:pStyle w:val="BodyText"/>
        <w:spacing w:before="11"/>
        <w:rPr>
          <w:sz w:val="19"/>
        </w:rPr>
      </w:pPr>
    </w:p>
    <w:p>
      <w:pPr>
        <w:pStyle w:val="BodyText"/>
        <w:spacing w:line="235" w:lineRule="auto"/>
        <w:ind w:left="1984" w:right="1823"/>
      </w:pPr>
      <w:r>
        <w:rPr>
          <w:w w:val="120"/>
        </w:rPr>
        <w:t>In its early days the church saw the absence of a building as one of its strengths:  the</w:t>
      </w:r>
      <w:r>
        <w:rPr>
          <w:spacing w:val="7"/>
          <w:w w:val="120"/>
        </w:rPr>
        <w:t> </w:t>
      </w:r>
      <w:r>
        <w:rPr>
          <w:w w:val="120"/>
        </w:rPr>
        <w:t>congregation</w:t>
      </w:r>
      <w:r>
        <w:rPr>
          <w:spacing w:val="8"/>
          <w:w w:val="120"/>
        </w:rPr>
        <w:t> </w:t>
      </w:r>
      <w:r>
        <w:rPr>
          <w:w w:val="120"/>
        </w:rPr>
        <w:t>were</w:t>
      </w:r>
      <w:r>
        <w:rPr>
          <w:spacing w:val="8"/>
          <w:w w:val="120"/>
        </w:rPr>
        <w:t> </w:t>
      </w:r>
      <w:r>
        <w:rPr>
          <w:w w:val="120"/>
        </w:rPr>
        <w:t>able</w:t>
      </w:r>
      <w:r>
        <w:rPr>
          <w:spacing w:val="7"/>
          <w:w w:val="120"/>
        </w:rPr>
        <w:t> </w:t>
      </w:r>
      <w:r>
        <w:rPr>
          <w:w w:val="120"/>
        </w:rPr>
        <w:t>to</w:t>
      </w:r>
      <w:r>
        <w:rPr>
          <w:spacing w:val="8"/>
          <w:w w:val="120"/>
        </w:rPr>
        <w:t> </w:t>
      </w:r>
      <w:r>
        <w:rPr>
          <w:w w:val="120"/>
        </w:rPr>
        <w:t>concentrate</w:t>
      </w:r>
      <w:r>
        <w:rPr>
          <w:spacing w:val="8"/>
          <w:w w:val="120"/>
        </w:rPr>
        <w:t> </w:t>
      </w:r>
      <w:r>
        <w:rPr>
          <w:w w:val="120"/>
        </w:rPr>
        <w:t>on</w:t>
      </w:r>
      <w:r>
        <w:rPr>
          <w:spacing w:val="7"/>
          <w:w w:val="120"/>
        </w:rPr>
        <w:t> </w:t>
      </w:r>
      <w:r>
        <w:rPr>
          <w:w w:val="120"/>
        </w:rPr>
        <w:t>service</w:t>
      </w:r>
      <w:r>
        <w:rPr>
          <w:spacing w:val="8"/>
          <w:w w:val="120"/>
        </w:rPr>
        <w:t> </w:t>
      </w:r>
      <w:r>
        <w:rPr>
          <w:w w:val="120"/>
        </w:rPr>
        <w:t>to</w:t>
      </w:r>
      <w:r>
        <w:rPr>
          <w:spacing w:val="8"/>
          <w:w w:val="120"/>
        </w:rPr>
        <w:t> </w:t>
      </w:r>
      <w:r>
        <w:rPr>
          <w:w w:val="120"/>
        </w:rPr>
        <w:t>the</w:t>
      </w:r>
      <w:r>
        <w:rPr>
          <w:spacing w:val="7"/>
          <w:w w:val="120"/>
        </w:rPr>
        <w:t> </w:t>
      </w:r>
      <w:r>
        <w:rPr>
          <w:w w:val="120"/>
        </w:rPr>
        <w:t>growing</w:t>
      </w:r>
      <w:r>
        <w:rPr>
          <w:spacing w:val="8"/>
          <w:w w:val="120"/>
        </w:rPr>
        <w:t> </w:t>
      </w:r>
      <w:r>
        <w:rPr>
          <w:w w:val="120"/>
        </w:rPr>
        <w:t>community.</w:t>
      </w:r>
    </w:p>
    <w:p>
      <w:pPr>
        <w:pStyle w:val="BodyText"/>
        <w:spacing w:line="235" w:lineRule="auto" w:before="1"/>
        <w:ind w:left="1984" w:right="1120"/>
      </w:pPr>
      <w:r>
        <w:rPr>
          <w:w w:val="125"/>
        </w:rPr>
        <w:t>But over the years the church seemed to regret this lack of bricks and mortar, while acknowledging</w:t>
      </w:r>
      <w:r>
        <w:rPr>
          <w:spacing w:val="-13"/>
          <w:w w:val="125"/>
        </w:rPr>
        <w:t> </w:t>
      </w:r>
      <w:r>
        <w:rPr>
          <w:w w:val="125"/>
        </w:rPr>
        <w:t>that</w:t>
      </w:r>
      <w:r>
        <w:rPr>
          <w:spacing w:val="-13"/>
          <w:w w:val="125"/>
        </w:rPr>
        <w:t> </w:t>
      </w:r>
      <w:r>
        <w:rPr>
          <w:w w:val="125"/>
        </w:rPr>
        <w:t>it</w:t>
      </w:r>
      <w:r>
        <w:rPr>
          <w:spacing w:val="-13"/>
          <w:w w:val="125"/>
        </w:rPr>
        <w:t> </w:t>
      </w:r>
      <w:r>
        <w:rPr>
          <w:w w:val="125"/>
        </w:rPr>
        <w:t>was</w:t>
      </w:r>
      <w:r>
        <w:rPr>
          <w:spacing w:val="-13"/>
          <w:w w:val="125"/>
        </w:rPr>
        <w:t> </w:t>
      </w:r>
      <w:r>
        <w:rPr>
          <w:w w:val="125"/>
        </w:rPr>
        <w:t>now</w:t>
      </w:r>
      <w:r>
        <w:rPr>
          <w:spacing w:val="-13"/>
          <w:w w:val="125"/>
        </w:rPr>
        <w:t> </w:t>
      </w:r>
      <w:r>
        <w:rPr>
          <w:w w:val="125"/>
        </w:rPr>
        <w:t>too</w:t>
      </w:r>
      <w:r>
        <w:rPr>
          <w:spacing w:val="-13"/>
          <w:w w:val="125"/>
        </w:rPr>
        <w:t> </w:t>
      </w:r>
      <w:r>
        <w:rPr>
          <w:w w:val="125"/>
        </w:rPr>
        <w:t>late</w:t>
      </w:r>
      <w:r>
        <w:rPr>
          <w:spacing w:val="-13"/>
          <w:w w:val="125"/>
        </w:rPr>
        <w:t> </w:t>
      </w:r>
      <w:r>
        <w:rPr>
          <w:w w:val="125"/>
        </w:rPr>
        <w:t>to</w:t>
      </w:r>
      <w:r>
        <w:rPr>
          <w:spacing w:val="-13"/>
          <w:w w:val="125"/>
        </w:rPr>
        <w:t> </w:t>
      </w:r>
      <w:r>
        <w:rPr>
          <w:w w:val="125"/>
        </w:rPr>
        <w:t>go</w:t>
      </w:r>
      <w:r>
        <w:rPr>
          <w:spacing w:val="-13"/>
          <w:w w:val="125"/>
        </w:rPr>
        <w:t> </w:t>
      </w:r>
      <w:r>
        <w:rPr>
          <w:w w:val="125"/>
        </w:rPr>
        <w:t>down</w:t>
      </w:r>
      <w:r>
        <w:rPr>
          <w:spacing w:val="-13"/>
          <w:w w:val="125"/>
        </w:rPr>
        <w:t> </w:t>
      </w:r>
      <w:r>
        <w:rPr>
          <w:w w:val="125"/>
        </w:rPr>
        <w:t>the</w:t>
      </w:r>
      <w:r>
        <w:rPr>
          <w:spacing w:val="-13"/>
          <w:w w:val="125"/>
        </w:rPr>
        <w:t> </w:t>
      </w:r>
      <w:r>
        <w:rPr>
          <w:w w:val="125"/>
        </w:rPr>
        <w:t>building</w:t>
      </w:r>
      <w:r>
        <w:rPr>
          <w:spacing w:val="-12"/>
          <w:w w:val="125"/>
        </w:rPr>
        <w:t> </w:t>
      </w:r>
      <w:r>
        <w:rPr>
          <w:w w:val="125"/>
        </w:rPr>
        <w:t>route.</w:t>
      </w:r>
      <w:r>
        <w:rPr>
          <w:spacing w:val="-13"/>
          <w:w w:val="125"/>
        </w:rPr>
        <w:t> </w:t>
      </w:r>
      <w:r>
        <w:rPr>
          <w:w w:val="125"/>
        </w:rPr>
        <w:t>It</w:t>
      </w:r>
      <w:r>
        <w:rPr>
          <w:spacing w:val="-13"/>
          <w:w w:val="125"/>
        </w:rPr>
        <w:t> </w:t>
      </w:r>
      <w:r>
        <w:rPr>
          <w:w w:val="125"/>
        </w:rPr>
        <w:t>seemed</w:t>
      </w:r>
      <w:r>
        <w:rPr>
          <w:spacing w:val="-13"/>
          <w:w w:val="125"/>
        </w:rPr>
        <w:t> </w:t>
      </w:r>
      <w:r>
        <w:rPr>
          <w:w w:val="125"/>
        </w:rPr>
        <w:t>people were</w:t>
      </w:r>
      <w:r>
        <w:rPr>
          <w:spacing w:val="-15"/>
          <w:w w:val="125"/>
        </w:rPr>
        <w:t> </w:t>
      </w:r>
      <w:r>
        <w:rPr>
          <w:w w:val="125"/>
        </w:rPr>
        <w:t>more</w:t>
      </w:r>
      <w:r>
        <w:rPr>
          <w:spacing w:val="-15"/>
          <w:w w:val="125"/>
        </w:rPr>
        <w:t> </w:t>
      </w:r>
      <w:r>
        <w:rPr>
          <w:w w:val="125"/>
        </w:rPr>
        <w:t>ready</w:t>
      </w:r>
      <w:r>
        <w:rPr>
          <w:spacing w:val="-15"/>
          <w:w w:val="125"/>
        </w:rPr>
        <w:t> </w:t>
      </w:r>
      <w:r>
        <w:rPr>
          <w:w w:val="125"/>
        </w:rPr>
        <w:t>to</w:t>
      </w:r>
      <w:r>
        <w:rPr>
          <w:spacing w:val="-15"/>
          <w:w w:val="125"/>
        </w:rPr>
        <w:t> </w:t>
      </w:r>
      <w:r>
        <w:rPr>
          <w:w w:val="125"/>
        </w:rPr>
        <w:t>attend</w:t>
      </w:r>
      <w:r>
        <w:rPr>
          <w:spacing w:val="-15"/>
          <w:w w:val="125"/>
        </w:rPr>
        <w:t> </w:t>
      </w:r>
      <w:r>
        <w:rPr>
          <w:w w:val="125"/>
        </w:rPr>
        <w:t>‘real’</w:t>
      </w:r>
      <w:r>
        <w:rPr>
          <w:spacing w:val="-15"/>
          <w:w w:val="125"/>
        </w:rPr>
        <w:t> </w:t>
      </w:r>
      <w:r>
        <w:rPr>
          <w:w w:val="125"/>
        </w:rPr>
        <w:t>churches</w:t>
      </w:r>
      <w:r>
        <w:rPr>
          <w:spacing w:val="-15"/>
          <w:w w:val="125"/>
        </w:rPr>
        <w:t> </w:t>
      </w:r>
      <w:r>
        <w:rPr>
          <w:w w:val="125"/>
        </w:rPr>
        <w:t>outside</w:t>
      </w:r>
      <w:r>
        <w:rPr>
          <w:spacing w:val="-15"/>
          <w:w w:val="125"/>
        </w:rPr>
        <w:t> </w:t>
      </w:r>
      <w:r>
        <w:rPr>
          <w:w w:val="125"/>
        </w:rPr>
        <w:t>the</w:t>
      </w:r>
      <w:r>
        <w:rPr>
          <w:spacing w:val="-15"/>
          <w:w w:val="125"/>
        </w:rPr>
        <w:t> </w:t>
      </w:r>
      <w:r>
        <w:rPr>
          <w:w w:val="125"/>
        </w:rPr>
        <w:t>community</w:t>
      </w:r>
      <w:r>
        <w:rPr>
          <w:spacing w:val="-15"/>
          <w:w w:val="125"/>
        </w:rPr>
        <w:t> </w:t>
      </w:r>
      <w:r>
        <w:rPr>
          <w:w w:val="125"/>
        </w:rPr>
        <w:t>than</w:t>
      </w:r>
      <w:r>
        <w:rPr>
          <w:spacing w:val="-15"/>
          <w:w w:val="125"/>
        </w:rPr>
        <w:t> </w:t>
      </w:r>
      <w:r>
        <w:rPr>
          <w:w w:val="125"/>
        </w:rPr>
        <w:t>worship</w:t>
      </w:r>
      <w:r>
        <w:rPr>
          <w:spacing w:val="-15"/>
          <w:w w:val="125"/>
        </w:rPr>
        <w:t> </w:t>
      </w:r>
      <w:r>
        <w:rPr>
          <w:w w:val="125"/>
        </w:rPr>
        <w:t>with</w:t>
      </w:r>
    </w:p>
    <w:p>
      <w:pPr>
        <w:pStyle w:val="BodyText"/>
        <w:spacing w:line="235" w:lineRule="auto" w:before="2"/>
        <w:ind w:left="1984" w:right="1273"/>
      </w:pPr>
      <w:r>
        <w:rPr>
          <w:spacing w:val="-3"/>
          <w:w w:val="120"/>
        </w:rPr>
        <w:t>St Mark’s </w:t>
      </w:r>
      <w:r>
        <w:rPr>
          <w:w w:val="120"/>
        </w:rPr>
        <w:t>in the local school. Other changes in the neighbourhood, </w:t>
      </w:r>
      <w:r>
        <w:rPr>
          <w:spacing w:val="-3"/>
          <w:w w:val="120"/>
        </w:rPr>
        <w:t>including </w:t>
      </w:r>
      <w:r>
        <w:rPr>
          <w:w w:val="120"/>
        </w:rPr>
        <w:t>the   building</w:t>
      </w:r>
      <w:r>
        <w:rPr>
          <w:spacing w:val="-7"/>
          <w:w w:val="120"/>
        </w:rPr>
        <w:t> </w:t>
      </w:r>
      <w:r>
        <w:rPr>
          <w:w w:val="120"/>
        </w:rPr>
        <w:t>of</w:t>
      </w:r>
      <w:r>
        <w:rPr>
          <w:spacing w:val="-7"/>
          <w:w w:val="120"/>
        </w:rPr>
        <w:t> </w:t>
      </w:r>
      <w:r>
        <w:rPr>
          <w:w w:val="120"/>
        </w:rPr>
        <w:t>a</w:t>
      </w:r>
      <w:r>
        <w:rPr>
          <w:spacing w:val="-7"/>
          <w:w w:val="120"/>
        </w:rPr>
        <w:t> </w:t>
      </w:r>
      <w:r>
        <w:rPr>
          <w:w w:val="120"/>
        </w:rPr>
        <w:t>new</w:t>
      </w:r>
      <w:r>
        <w:rPr>
          <w:spacing w:val="-6"/>
          <w:w w:val="120"/>
        </w:rPr>
        <w:t> </w:t>
      </w:r>
      <w:r>
        <w:rPr>
          <w:w w:val="120"/>
        </w:rPr>
        <w:t>Roman</w:t>
      </w:r>
      <w:r>
        <w:rPr>
          <w:spacing w:val="-7"/>
          <w:w w:val="120"/>
        </w:rPr>
        <w:t> </w:t>
      </w:r>
      <w:r>
        <w:rPr>
          <w:w w:val="120"/>
        </w:rPr>
        <w:t>Catholic</w:t>
      </w:r>
      <w:r>
        <w:rPr>
          <w:spacing w:val="-7"/>
          <w:w w:val="120"/>
        </w:rPr>
        <w:t> </w:t>
      </w:r>
      <w:r>
        <w:rPr>
          <w:w w:val="120"/>
        </w:rPr>
        <w:t>cathedral</w:t>
      </w:r>
      <w:r>
        <w:rPr>
          <w:spacing w:val="-7"/>
          <w:w w:val="120"/>
        </w:rPr>
        <w:t> </w:t>
      </w:r>
      <w:r>
        <w:rPr>
          <w:w w:val="120"/>
        </w:rPr>
        <w:t>on</w:t>
      </w:r>
      <w:r>
        <w:rPr>
          <w:spacing w:val="-6"/>
          <w:w w:val="120"/>
        </w:rPr>
        <w:t> </w:t>
      </w:r>
      <w:r>
        <w:rPr>
          <w:w w:val="120"/>
        </w:rPr>
        <w:t>the</w:t>
      </w:r>
      <w:r>
        <w:rPr>
          <w:spacing w:val="-7"/>
          <w:w w:val="120"/>
        </w:rPr>
        <w:t> </w:t>
      </w:r>
      <w:r>
        <w:rPr>
          <w:w w:val="120"/>
        </w:rPr>
        <w:t>doorstep,</w:t>
      </w:r>
      <w:r>
        <w:rPr>
          <w:spacing w:val="-7"/>
          <w:w w:val="120"/>
        </w:rPr>
        <w:t> </w:t>
      </w:r>
      <w:r>
        <w:rPr>
          <w:w w:val="120"/>
        </w:rPr>
        <w:t>and</w:t>
      </w:r>
      <w:r>
        <w:rPr>
          <w:spacing w:val="-6"/>
          <w:w w:val="120"/>
        </w:rPr>
        <w:t> </w:t>
      </w:r>
      <w:r>
        <w:rPr>
          <w:w w:val="120"/>
        </w:rPr>
        <w:t>the</w:t>
      </w:r>
      <w:r>
        <w:rPr>
          <w:spacing w:val="-7"/>
          <w:w w:val="120"/>
        </w:rPr>
        <w:t> </w:t>
      </w:r>
      <w:r>
        <w:rPr>
          <w:w w:val="120"/>
        </w:rPr>
        <w:t>establishment</w:t>
      </w:r>
      <w:r>
        <w:rPr>
          <w:spacing w:val="-7"/>
          <w:w w:val="120"/>
        </w:rPr>
        <w:t> </w:t>
      </w:r>
      <w:r>
        <w:rPr>
          <w:w w:val="120"/>
        </w:rPr>
        <w:t>of</w:t>
      </w:r>
      <w:r>
        <w:rPr>
          <w:spacing w:val="-7"/>
          <w:w w:val="120"/>
        </w:rPr>
        <w:t> </w:t>
      </w:r>
      <w:r>
        <w:rPr>
          <w:w w:val="120"/>
        </w:rPr>
        <w:t>an evangelical Christian faith </w:t>
      </w:r>
      <w:r>
        <w:rPr>
          <w:spacing w:val="-3"/>
          <w:w w:val="120"/>
        </w:rPr>
        <w:t>school, </w:t>
      </w:r>
      <w:r>
        <w:rPr>
          <w:w w:val="120"/>
        </w:rPr>
        <w:t>also had their effect on the </w:t>
      </w:r>
      <w:r>
        <w:rPr>
          <w:spacing w:val="-4"/>
          <w:w w:val="120"/>
        </w:rPr>
        <w:t>congregation’s</w:t>
      </w:r>
      <w:r>
        <w:rPr>
          <w:spacing w:val="-26"/>
          <w:w w:val="120"/>
        </w:rPr>
        <w:t> </w:t>
      </w:r>
      <w:r>
        <w:rPr>
          <w:spacing w:val="-3"/>
          <w:w w:val="120"/>
        </w:rPr>
        <w:t>potential.</w:t>
      </w:r>
    </w:p>
    <w:p>
      <w:pPr>
        <w:pStyle w:val="BodyText"/>
        <w:spacing w:before="10"/>
        <w:rPr>
          <w:sz w:val="19"/>
        </w:rPr>
      </w:pPr>
    </w:p>
    <w:p>
      <w:pPr>
        <w:pStyle w:val="BodyText"/>
        <w:spacing w:line="235" w:lineRule="auto" w:before="1"/>
        <w:ind w:left="1984" w:right="1686"/>
      </w:pPr>
      <w:r>
        <w:rPr>
          <w:w w:val="120"/>
        </w:rPr>
        <w:t>A review by the sponsoring body in 2007 gave the LEP the courage it needed to  make the necessary hard decisions. They resolved to close, but to do so in a spirit of celebration and thanksgiving for </w:t>
      </w:r>
      <w:r>
        <w:rPr>
          <w:spacing w:val="2"/>
          <w:w w:val="120"/>
        </w:rPr>
        <w:t>thirty </w:t>
      </w:r>
      <w:r>
        <w:rPr>
          <w:w w:val="120"/>
        </w:rPr>
        <w:t>years of life and witness – and at the point when a new Anglican </w:t>
      </w:r>
      <w:r>
        <w:rPr>
          <w:i/>
          <w:w w:val="120"/>
        </w:rPr>
        <w:t>Fresh Expressions </w:t>
      </w:r>
      <w:r>
        <w:rPr>
          <w:w w:val="120"/>
        </w:rPr>
        <w:t>ministry was being promised to the</w:t>
      </w:r>
      <w:r>
        <w:rPr>
          <w:spacing w:val="16"/>
          <w:w w:val="120"/>
        </w:rPr>
        <w:t> </w:t>
      </w:r>
      <w:r>
        <w:rPr>
          <w:w w:val="120"/>
        </w:rPr>
        <w:t>area.</w:t>
      </w:r>
    </w:p>
    <w:p>
      <w:pPr>
        <w:pStyle w:val="BodyText"/>
        <w:spacing w:line="244" w:lineRule="exact"/>
        <w:ind w:left="1984"/>
      </w:pPr>
      <w:r>
        <w:rPr>
          <w:w w:val="120"/>
        </w:rPr>
        <w:t>The closing service was held on 9</w:t>
      </w:r>
      <w:r>
        <w:rPr>
          <w:w w:val="120"/>
          <w:position w:val="7"/>
          <w:sz w:val="11"/>
        </w:rPr>
        <w:t>th </w:t>
      </w:r>
      <w:r>
        <w:rPr>
          <w:w w:val="120"/>
        </w:rPr>
        <w:t>May 2008.</w:t>
      </w:r>
    </w:p>
    <w:p>
      <w:pPr>
        <w:pStyle w:val="BodyText"/>
        <w:spacing w:before="8"/>
        <w:rPr>
          <w:sz w:val="21"/>
        </w:rPr>
      </w:pPr>
    </w:p>
    <w:p>
      <w:pPr>
        <w:pStyle w:val="Heading6"/>
        <w:spacing w:line="196" w:lineRule="auto"/>
        <w:ind w:left="1984" w:right="4239"/>
      </w:pPr>
      <w:r>
        <w:rPr>
          <w:w w:val="110"/>
        </w:rPr>
        <w:t>East Howe United Reformed Church Wessex Synod</w:t>
      </w:r>
    </w:p>
    <w:p>
      <w:pPr>
        <w:pStyle w:val="BodyText"/>
        <w:spacing w:line="235" w:lineRule="auto" w:before="212"/>
        <w:ind w:left="1984" w:right="1357"/>
      </w:pPr>
      <w:r>
        <w:rPr>
          <w:w w:val="120"/>
        </w:rPr>
        <w:t>A chapel was planted in the village of East Howe by Skinner Street Congregational   Church in </w:t>
      </w:r>
      <w:r>
        <w:rPr>
          <w:spacing w:val="-5"/>
          <w:w w:val="120"/>
        </w:rPr>
        <w:t>1834  </w:t>
      </w:r>
      <w:r>
        <w:rPr>
          <w:w w:val="120"/>
        </w:rPr>
        <w:t>and in due course a chapel was built. Oversight was given by the chapel  in the nearby village of Throop. In </w:t>
      </w:r>
      <w:r>
        <w:rPr>
          <w:spacing w:val="-3"/>
          <w:w w:val="120"/>
        </w:rPr>
        <w:t>1905 </w:t>
      </w:r>
      <w:r>
        <w:rPr>
          <w:w w:val="120"/>
        </w:rPr>
        <w:t>the William Saunders Memorial Church was   built. The village developed between the wars and due to the tremendous increase in population and need in what had now become </w:t>
      </w:r>
      <w:r>
        <w:rPr>
          <w:spacing w:val="3"/>
          <w:w w:val="120"/>
        </w:rPr>
        <w:t>part </w:t>
      </w:r>
      <w:r>
        <w:rPr>
          <w:w w:val="120"/>
        </w:rPr>
        <w:t>of Bournemouth a new and more commodious building came into existence. Again over the years there was a need to expand further. In </w:t>
      </w:r>
      <w:r>
        <w:rPr>
          <w:spacing w:val="-5"/>
          <w:w w:val="120"/>
        </w:rPr>
        <w:t>1956, </w:t>
      </w:r>
      <w:r>
        <w:rPr>
          <w:w w:val="120"/>
        </w:rPr>
        <w:t>the </w:t>
      </w:r>
      <w:r>
        <w:rPr>
          <w:spacing w:val="-3"/>
          <w:w w:val="120"/>
        </w:rPr>
        <w:t>1905 </w:t>
      </w:r>
      <w:r>
        <w:rPr>
          <w:w w:val="120"/>
        </w:rPr>
        <w:t>church became the church hall and a larger separate church on the same site was built. In the </w:t>
      </w:r>
      <w:r>
        <w:rPr>
          <w:spacing w:val="-3"/>
          <w:w w:val="120"/>
        </w:rPr>
        <w:t>1960s </w:t>
      </w:r>
      <w:r>
        <w:rPr>
          <w:w w:val="120"/>
        </w:rPr>
        <w:t>there was a strong family orientated congregation having many youth organisations such as Boys Brigade, Life Brigade and Cabin Boys as well as Guides and Brownies. It declined in the 70s and 80s in spite of the district’s </w:t>
      </w:r>
      <w:r>
        <w:rPr>
          <w:spacing w:val="3"/>
          <w:w w:val="120"/>
        </w:rPr>
        <w:t>efforts </w:t>
      </w:r>
      <w:r>
        <w:rPr>
          <w:w w:val="120"/>
        </w:rPr>
        <w:t>to keep it going to meet the needs of the</w:t>
      </w:r>
      <w:r>
        <w:rPr>
          <w:spacing w:val="47"/>
          <w:w w:val="120"/>
        </w:rPr>
        <w:t> </w:t>
      </w:r>
      <w:r>
        <w:rPr>
          <w:w w:val="120"/>
        </w:rPr>
        <w:t>area.</w:t>
      </w:r>
    </w:p>
    <w:p>
      <w:pPr>
        <w:pStyle w:val="BodyText"/>
        <w:spacing w:before="3"/>
      </w:pPr>
    </w:p>
    <w:p>
      <w:pPr>
        <w:pStyle w:val="BodyText"/>
        <w:spacing w:line="235" w:lineRule="auto" w:before="1"/>
        <w:ind w:left="1984" w:right="1466"/>
      </w:pPr>
      <w:r>
        <w:rPr>
          <w:w w:val="120"/>
        </w:rPr>
        <w:t>In 1996, a Church of England congregation asked if it would be possible for them to share the premises. The two congregations never met together for worship or social functions and in 2006 the Sharing Agreement was terminated. The buildings suffered increasing vandalism which made it impossible for the small congregation to maintain them and in 2008 the church was closed and the members moved to other churches.</w:t>
      </w:r>
    </w:p>
    <w:p>
      <w:pPr>
        <w:spacing w:after="0" w:line="235" w:lineRule="auto"/>
        <w:sectPr>
          <w:pgSz w:w="11910" w:h="16840"/>
          <w:pgMar w:header="0" w:footer="647" w:top="1060" w:bottom="840" w:left="0" w:right="0"/>
        </w:sectPr>
      </w:pPr>
    </w:p>
    <w:p>
      <w:pPr>
        <w:pStyle w:val="Heading6"/>
        <w:spacing w:line="196" w:lineRule="auto" w:before="154"/>
        <w:ind w:right="4239"/>
      </w:pPr>
      <w:r>
        <w:rPr/>
        <w:pict>
          <v:rect style="position:absolute;margin-left:12.047pt;margin-top:8.489625pt;width:22.677pt;height:22.677pt;mso-position-horizontal-relative:page;mso-position-vertical-relative:paragraph;z-index:252257280" filled="true" fillcolor="#dae4ec" stroked="false">
            <v:fill opacity="32768f" type="solid"/>
            <w10:wrap type="none"/>
          </v:rect>
        </w:pict>
      </w:r>
      <w:r>
        <w:rPr>
          <w:w w:val="110"/>
        </w:rPr>
        <w:t>Frizinghall United Reformed Church Yorkshire Synod</w:t>
      </w:r>
    </w:p>
    <w:p>
      <w:pPr>
        <w:pStyle w:val="BodyText"/>
        <w:spacing w:line="235" w:lineRule="auto" w:before="212"/>
        <w:ind w:left="1133" w:right="2191"/>
      </w:pPr>
      <w:r>
        <w:rPr>
          <w:w w:val="120"/>
        </w:rPr>
        <w:t>In </w:t>
      </w:r>
      <w:r>
        <w:rPr>
          <w:spacing w:val="-10"/>
          <w:w w:val="120"/>
        </w:rPr>
        <w:t>1877,  </w:t>
      </w:r>
      <w:r>
        <w:rPr>
          <w:w w:val="120"/>
        </w:rPr>
        <w:t>a preaching station was established at Airedale College Hall. Church  membership increased, a Mission Hall was built and a Sunday School began </w:t>
      </w:r>
      <w:r>
        <w:rPr>
          <w:spacing w:val="2"/>
          <w:w w:val="120"/>
        </w:rPr>
        <w:t>serving </w:t>
      </w:r>
      <w:r>
        <w:rPr>
          <w:w w:val="120"/>
        </w:rPr>
        <w:t>the employees of Lister’s Mill. By </w:t>
      </w:r>
      <w:r>
        <w:rPr>
          <w:spacing w:val="-3"/>
          <w:w w:val="120"/>
        </w:rPr>
        <w:t>1886 </w:t>
      </w:r>
      <w:r>
        <w:rPr>
          <w:w w:val="120"/>
        </w:rPr>
        <w:t>it was decided that a new building was needed. The opening service was held in March </w:t>
      </w:r>
      <w:r>
        <w:rPr>
          <w:spacing w:val="-9"/>
          <w:w w:val="120"/>
        </w:rPr>
        <w:t>1887, </w:t>
      </w:r>
      <w:r>
        <w:rPr>
          <w:w w:val="120"/>
        </w:rPr>
        <w:t>the total cost being £4000. By </w:t>
      </w:r>
      <w:r>
        <w:rPr>
          <w:spacing w:val="-6"/>
          <w:w w:val="120"/>
        </w:rPr>
        <w:t>1897 </w:t>
      </w:r>
      <w:r>
        <w:rPr>
          <w:w w:val="120"/>
        </w:rPr>
        <w:t>average attendance</w:t>
      </w:r>
      <w:r>
        <w:rPr>
          <w:spacing w:val="8"/>
          <w:w w:val="120"/>
        </w:rPr>
        <w:t> </w:t>
      </w:r>
      <w:r>
        <w:rPr>
          <w:w w:val="120"/>
        </w:rPr>
        <w:t>at</w:t>
      </w:r>
      <w:r>
        <w:rPr>
          <w:spacing w:val="8"/>
          <w:w w:val="120"/>
        </w:rPr>
        <w:t> </w:t>
      </w:r>
      <w:r>
        <w:rPr>
          <w:w w:val="120"/>
        </w:rPr>
        <w:t>morning</w:t>
      </w:r>
      <w:r>
        <w:rPr>
          <w:spacing w:val="9"/>
          <w:w w:val="120"/>
        </w:rPr>
        <w:t> </w:t>
      </w:r>
      <w:r>
        <w:rPr>
          <w:w w:val="120"/>
        </w:rPr>
        <w:t>worship</w:t>
      </w:r>
      <w:r>
        <w:rPr>
          <w:spacing w:val="8"/>
          <w:w w:val="120"/>
        </w:rPr>
        <w:t> </w:t>
      </w:r>
      <w:r>
        <w:rPr>
          <w:w w:val="120"/>
        </w:rPr>
        <w:t>was</w:t>
      </w:r>
      <w:r>
        <w:rPr>
          <w:spacing w:val="9"/>
          <w:w w:val="120"/>
        </w:rPr>
        <w:t> </w:t>
      </w:r>
      <w:r>
        <w:rPr>
          <w:w w:val="120"/>
        </w:rPr>
        <w:t>23</w:t>
      </w:r>
      <w:r>
        <w:rPr>
          <w:spacing w:val="8"/>
          <w:w w:val="120"/>
        </w:rPr>
        <w:t> </w:t>
      </w:r>
      <w:r>
        <w:rPr>
          <w:w w:val="120"/>
        </w:rPr>
        <w:t>with</w:t>
      </w:r>
      <w:r>
        <w:rPr>
          <w:spacing w:val="9"/>
          <w:w w:val="120"/>
        </w:rPr>
        <w:t> </w:t>
      </w:r>
      <w:r>
        <w:rPr>
          <w:w w:val="120"/>
        </w:rPr>
        <w:t>that</w:t>
      </w:r>
      <w:r>
        <w:rPr>
          <w:spacing w:val="8"/>
          <w:w w:val="120"/>
        </w:rPr>
        <w:t> </w:t>
      </w:r>
      <w:r>
        <w:rPr>
          <w:w w:val="120"/>
        </w:rPr>
        <w:t>at</w:t>
      </w:r>
      <w:r>
        <w:rPr>
          <w:spacing w:val="9"/>
          <w:w w:val="120"/>
        </w:rPr>
        <w:t> </w:t>
      </w:r>
      <w:r>
        <w:rPr>
          <w:w w:val="120"/>
        </w:rPr>
        <w:t>evening</w:t>
      </w:r>
      <w:r>
        <w:rPr>
          <w:spacing w:val="8"/>
          <w:w w:val="120"/>
        </w:rPr>
        <w:t> </w:t>
      </w:r>
      <w:r>
        <w:rPr>
          <w:w w:val="120"/>
        </w:rPr>
        <w:t>worship</w:t>
      </w:r>
      <w:r>
        <w:rPr>
          <w:spacing w:val="9"/>
          <w:w w:val="120"/>
        </w:rPr>
        <w:t> </w:t>
      </w:r>
      <w:r>
        <w:rPr>
          <w:w w:val="120"/>
        </w:rPr>
        <w:t>being</w:t>
      </w:r>
      <w:r>
        <w:rPr>
          <w:spacing w:val="8"/>
          <w:w w:val="120"/>
        </w:rPr>
        <w:t> </w:t>
      </w:r>
      <w:r>
        <w:rPr>
          <w:spacing w:val="-5"/>
          <w:w w:val="120"/>
        </w:rPr>
        <w:t>29.</w:t>
      </w:r>
    </w:p>
    <w:p>
      <w:pPr>
        <w:pStyle w:val="BodyText"/>
        <w:spacing w:before="11"/>
        <w:rPr>
          <w:sz w:val="19"/>
        </w:rPr>
      </w:pPr>
    </w:p>
    <w:p>
      <w:pPr>
        <w:pStyle w:val="BodyText"/>
        <w:spacing w:line="235" w:lineRule="auto"/>
        <w:ind w:left="1133" w:right="2140"/>
      </w:pPr>
      <w:r>
        <w:rPr>
          <w:w w:val="120"/>
        </w:rPr>
        <w:t>In </w:t>
      </w:r>
      <w:r>
        <w:rPr>
          <w:spacing w:val="-5"/>
          <w:w w:val="120"/>
        </w:rPr>
        <w:t>1907 </w:t>
      </w:r>
      <w:r>
        <w:rPr>
          <w:w w:val="120"/>
        </w:rPr>
        <w:t>a Diaconate was formed with six men (though by </w:t>
      </w:r>
      <w:r>
        <w:rPr>
          <w:spacing w:val="-11"/>
          <w:w w:val="120"/>
        </w:rPr>
        <w:t>1911 </w:t>
      </w:r>
      <w:r>
        <w:rPr>
          <w:w w:val="120"/>
        </w:rPr>
        <w:t>it had been decided that women were eligible to join as well). By </w:t>
      </w:r>
      <w:r>
        <w:rPr>
          <w:spacing w:val="-6"/>
          <w:w w:val="120"/>
        </w:rPr>
        <w:t>1923 </w:t>
      </w:r>
      <w:r>
        <w:rPr>
          <w:w w:val="120"/>
        </w:rPr>
        <w:t>the average attendance at the principal Sunday service was </w:t>
      </w:r>
      <w:r>
        <w:rPr>
          <w:spacing w:val="-5"/>
          <w:w w:val="120"/>
        </w:rPr>
        <w:t>150,  </w:t>
      </w:r>
      <w:r>
        <w:rPr>
          <w:w w:val="120"/>
        </w:rPr>
        <w:t>with 90 attending the Sunday School. Finance has always been   a concern at Frizinghall and membership numbers have fluctuated over the years. There were twelve ministers in total during the first 100 years with the number of years in </w:t>
      </w:r>
      <w:r>
        <w:rPr>
          <w:spacing w:val="2"/>
          <w:w w:val="120"/>
        </w:rPr>
        <w:t>vacancy </w:t>
      </w:r>
      <w:r>
        <w:rPr>
          <w:w w:val="120"/>
        </w:rPr>
        <w:t>being almost equivalent to the number with</w:t>
      </w:r>
      <w:r>
        <w:rPr>
          <w:spacing w:val="40"/>
          <w:w w:val="120"/>
        </w:rPr>
        <w:t> </w:t>
      </w:r>
      <w:r>
        <w:rPr>
          <w:w w:val="120"/>
        </w:rPr>
        <w:t>ministry.</w:t>
      </w:r>
    </w:p>
    <w:p>
      <w:pPr>
        <w:pStyle w:val="BodyText"/>
      </w:pPr>
    </w:p>
    <w:p>
      <w:pPr>
        <w:pStyle w:val="BodyText"/>
        <w:spacing w:line="235" w:lineRule="auto" w:before="1"/>
        <w:ind w:left="1133" w:right="2070"/>
        <w:jc w:val="both"/>
      </w:pPr>
      <w:r>
        <w:rPr>
          <w:w w:val="125"/>
        </w:rPr>
        <w:t>Frizinghall</w:t>
      </w:r>
      <w:r>
        <w:rPr>
          <w:spacing w:val="-16"/>
          <w:w w:val="125"/>
        </w:rPr>
        <w:t> </w:t>
      </w:r>
      <w:r>
        <w:rPr>
          <w:w w:val="125"/>
        </w:rPr>
        <w:t>joined</w:t>
      </w:r>
      <w:r>
        <w:rPr>
          <w:spacing w:val="-16"/>
          <w:w w:val="125"/>
        </w:rPr>
        <w:t> </w:t>
      </w:r>
      <w:r>
        <w:rPr>
          <w:w w:val="125"/>
        </w:rPr>
        <w:t>the</w:t>
      </w:r>
      <w:r>
        <w:rPr>
          <w:spacing w:val="-16"/>
          <w:w w:val="125"/>
        </w:rPr>
        <w:t> </w:t>
      </w:r>
      <w:r>
        <w:rPr>
          <w:w w:val="125"/>
        </w:rPr>
        <w:t>United</w:t>
      </w:r>
      <w:r>
        <w:rPr>
          <w:spacing w:val="-16"/>
          <w:w w:val="125"/>
        </w:rPr>
        <w:t> </w:t>
      </w:r>
      <w:r>
        <w:rPr>
          <w:w w:val="125"/>
        </w:rPr>
        <w:t>Reformed</w:t>
      </w:r>
      <w:r>
        <w:rPr>
          <w:spacing w:val="-16"/>
          <w:w w:val="125"/>
        </w:rPr>
        <w:t> </w:t>
      </w:r>
      <w:r>
        <w:rPr>
          <w:w w:val="125"/>
        </w:rPr>
        <w:t>Church</w:t>
      </w:r>
      <w:r>
        <w:rPr>
          <w:spacing w:val="-16"/>
          <w:w w:val="125"/>
        </w:rPr>
        <w:t> </w:t>
      </w:r>
      <w:r>
        <w:rPr>
          <w:w w:val="125"/>
        </w:rPr>
        <w:t>in</w:t>
      </w:r>
      <w:r>
        <w:rPr>
          <w:spacing w:val="-16"/>
          <w:w w:val="125"/>
        </w:rPr>
        <w:t> </w:t>
      </w:r>
      <w:r>
        <w:rPr>
          <w:w w:val="125"/>
        </w:rPr>
        <w:t>June</w:t>
      </w:r>
      <w:r>
        <w:rPr>
          <w:spacing w:val="-15"/>
          <w:w w:val="125"/>
        </w:rPr>
        <w:t> </w:t>
      </w:r>
      <w:r>
        <w:rPr>
          <w:spacing w:val="-5"/>
          <w:w w:val="125"/>
        </w:rPr>
        <w:t>1973.</w:t>
      </w:r>
      <w:r>
        <w:rPr>
          <w:spacing w:val="-16"/>
          <w:w w:val="125"/>
        </w:rPr>
        <w:t> </w:t>
      </w:r>
      <w:r>
        <w:rPr>
          <w:spacing w:val="2"/>
          <w:w w:val="125"/>
        </w:rPr>
        <w:t>Ministry</w:t>
      </w:r>
      <w:r>
        <w:rPr>
          <w:spacing w:val="-16"/>
          <w:w w:val="125"/>
        </w:rPr>
        <w:t> </w:t>
      </w:r>
      <w:r>
        <w:rPr>
          <w:w w:val="125"/>
        </w:rPr>
        <w:t>was</w:t>
      </w:r>
      <w:r>
        <w:rPr>
          <w:spacing w:val="-16"/>
          <w:w w:val="125"/>
        </w:rPr>
        <w:t> </w:t>
      </w:r>
      <w:r>
        <w:rPr>
          <w:w w:val="125"/>
        </w:rPr>
        <w:t>shared</w:t>
      </w:r>
      <w:r>
        <w:rPr>
          <w:spacing w:val="-16"/>
          <w:w w:val="125"/>
        </w:rPr>
        <w:t> </w:t>
      </w:r>
      <w:r>
        <w:rPr>
          <w:w w:val="125"/>
        </w:rPr>
        <w:t>with</w:t>
      </w:r>
      <w:r>
        <w:rPr>
          <w:spacing w:val="-16"/>
          <w:w w:val="125"/>
        </w:rPr>
        <w:t> </w:t>
      </w:r>
      <w:r>
        <w:rPr>
          <w:w w:val="125"/>
        </w:rPr>
        <w:t>a neighbouring church. A declining and aging congregation eventually made the painful decision to close and the final service was held on 5</w:t>
      </w:r>
      <w:r>
        <w:rPr>
          <w:w w:val="125"/>
          <w:position w:val="7"/>
          <w:sz w:val="11"/>
        </w:rPr>
        <w:t>th </w:t>
      </w:r>
      <w:r>
        <w:rPr>
          <w:w w:val="125"/>
        </w:rPr>
        <w:t>October</w:t>
      </w:r>
      <w:r>
        <w:rPr>
          <w:spacing w:val="-21"/>
          <w:w w:val="125"/>
        </w:rPr>
        <w:t> </w:t>
      </w:r>
      <w:r>
        <w:rPr>
          <w:spacing w:val="2"/>
          <w:w w:val="125"/>
        </w:rPr>
        <w:t>2008.</w:t>
      </w:r>
    </w:p>
    <w:p>
      <w:pPr>
        <w:pStyle w:val="BodyText"/>
        <w:spacing w:before="11"/>
        <w:rPr>
          <w:sz w:val="21"/>
        </w:rPr>
      </w:pPr>
    </w:p>
    <w:p>
      <w:pPr>
        <w:pStyle w:val="Heading6"/>
        <w:spacing w:line="196" w:lineRule="auto"/>
        <w:ind w:right="1997"/>
      </w:pPr>
      <w:r>
        <w:rPr>
          <w:w w:val="110"/>
        </w:rPr>
        <w:t>Brighton Road United Reformed Church, Gateshead Northern Synod</w:t>
      </w:r>
    </w:p>
    <w:p>
      <w:pPr>
        <w:pStyle w:val="BodyText"/>
        <w:spacing w:line="235" w:lineRule="auto" w:before="212"/>
        <w:ind w:left="1133" w:right="1997"/>
      </w:pPr>
      <w:r>
        <w:rPr>
          <w:w w:val="120"/>
        </w:rPr>
        <w:t>In 1899, Park Road Presbyterian Church was unable to accommodate all those attending worship and the Presbytery decided to open a church in the Bensham area of Gateshead. Beginning in Brighton Ave School, they erected their first church building on Brighton Road three years later. In the same year the Presbytery agreed that a full time minister should be called. In 1908 the second minister, Revd James Gilmour, was called and his</w:t>
      </w:r>
    </w:p>
    <w:p>
      <w:pPr>
        <w:pStyle w:val="BodyText"/>
        <w:spacing w:line="244" w:lineRule="exact"/>
        <w:ind w:left="1133"/>
      </w:pPr>
      <w:r>
        <w:rPr>
          <w:w w:val="120"/>
        </w:rPr>
        <w:t>23 years of service culminated in the opening of a new church sanctuary in 1931.</w:t>
      </w:r>
    </w:p>
    <w:p>
      <w:pPr>
        <w:pStyle w:val="BodyText"/>
        <w:spacing w:before="7"/>
        <w:rPr>
          <w:sz w:val="19"/>
        </w:rPr>
      </w:pPr>
    </w:p>
    <w:p>
      <w:pPr>
        <w:pStyle w:val="BodyText"/>
        <w:spacing w:line="235" w:lineRule="auto"/>
        <w:ind w:left="1133" w:right="2191"/>
      </w:pPr>
      <w:r>
        <w:rPr>
          <w:w w:val="120"/>
        </w:rPr>
        <w:t>In addition to the Sunday School and youth groups, the church was fortunate to have active and lively Boys Brigade and Girls Brigade companies. Indeed, the Girls Brigade were able to celebrate their centenary in 2009. Although the Boys Brigade company closed, a scout troop, who were looking for a new home, were welcomed into the church community.</w:t>
      </w:r>
    </w:p>
    <w:p>
      <w:pPr>
        <w:pStyle w:val="BodyText"/>
      </w:pPr>
    </w:p>
    <w:p>
      <w:pPr>
        <w:pStyle w:val="BodyText"/>
        <w:spacing w:line="235" w:lineRule="auto"/>
        <w:ind w:left="1133" w:right="2074"/>
      </w:pPr>
      <w:r>
        <w:rPr>
          <w:w w:val="120"/>
        </w:rPr>
        <w:t>Sadly the cost of maintenance of the </w:t>
      </w:r>
      <w:r>
        <w:rPr>
          <w:spacing w:val="2"/>
          <w:w w:val="120"/>
        </w:rPr>
        <w:t>sanctuary </w:t>
      </w:r>
      <w:r>
        <w:rPr>
          <w:w w:val="120"/>
        </w:rPr>
        <w:t>became unsustainable and the church meeting decided to sell the building to a housing trust and it was demolished in </w:t>
      </w:r>
      <w:r>
        <w:rPr>
          <w:spacing w:val="-3"/>
          <w:w w:val="120"/>
        </w:rPr>
        <w:t>1986. </w:t>
      </w:r>
      <w:r>
        <w:rPr>
          <w:w w:val="120"/>
        </w:rPr>
        <w:t>The congregation went back to worshipping in the hall of the original building, naming the</w:t>
      </w:r>
      <w:r>
        <w:rPr>
          <w:spacing w:val="12"/>
          <w:w w:val="120"/>
        </w:rPr>
        <w:t> </w:t>
      </w:r>
      <w:r>
        <w:rPr>
          <w:w w:val="120"/>
        </w:rPr>
        <w:t>worship</w:t>
      </w:r>
      <w:r>
        <w:rPr>
          <w:spacing w:val="13"/>
          <w:w w:val="120"/>
        </w:rPr>
        <w:t> </w:t>
      </w:r>
      <w:r>
        <w:rPr>
          <w:w w:val="120"/>
        </w:rPr>
        <w:t>space</w:t>
      </w:r>
      <w:r>
        <w:rPr>
          <w:spacing w:val="13"/>
          <w:w w:val="120"/>
        </w:rPr>
        <w:t> </w:t>
      </w:r>
      <w:r>
        <w:rPr>
          <w:w w:val="120"/>
        </w:rPr>
        <w:t>‘the</w:t>
      </w:r>
      <w:r>
        <w:rPr>
          <w:spacing w:val="13"/>
          <w:w w:val="120"/>
        </w:rPr>
        <w:t> </w:t>
      </w:r>
      <w:r>
        <w:rPr>
          <w:w w:val="120"/>
        </w:rPr>
        <w:t>upper</w:t>
      </w:r>
      <w:r>
        <w:rPr>
          <w:spacing w:val="13"/>
          <w:w w:val="120"/>
        </w:rPr>
        <w:t> </w:t>
      </w:r>
      <w:r>
        <w:rPr>
          <w:w w:val="120"/>
        </w:rPr>
        <w:t>room’</w:t>
      </w:r>
      <w:r>
        <w:rPr>
          <w:spacing w:val="12"/>
          <w:w w:val="120"/>
        </w:rPr>
        <w:t> </w:t>
      </w:r>
      <w:r>
        <w:rPr>
          <w:w w:val="120"/>
        </w:rPr>
        <w:t>and</w:t>
      </w:r>
      <w:r>
        <w:rPr>
          <w:spacing w:val="13"/>
          <w:w w:val="120"/>
        </w:rPr>
        <w:t> </w:t>
      </w:r>
      <w:r>
        <w:rPr>
          <w:w w:val="120"/>
        </w:rPr>
        <w:t>began</w:t>
      </w:r>
      <w:r>
        <w:rPr>
          <w:spacing w:val="13"/>
          <w:w w:val="120"/>
        </w:rPr>
        <w:t> </w:t>
      </w:r>
      <w:r>
        <w:rPr>
          <w:w w:val="120"/>
        </w:rPr>
        <w:t>to</w:t>
      </w:r>
      <w:r>
        <w:rPr>
          <w:spacing w:val="13"/>
          <w:w w:val="120"/>
        </w:rPr>
        <w:t> </w:t>
      </w:r>
      <w:r>
        <w:rPr>
          <w:w w:val="120"/>
        </w:rPr>
        <w:t>share</w:t>
      </w:r>
      <w:r>
        <w:rPr>
          <w:spacing w:val="13"/>
          <w:w w:val="120"/>
        </w:rPr>
        <w:t> </w:t>
      </w:r>
      <w:r>
        <w:rPr>
          <w:w w:val="120"/>
        </w:rPr>
        <w:t>ministry</w:t>
      </w:r>
      <w:r>
        <w:rPr>
          <w:spacing w:val="13"/>
          <w:w w:val="120"/>
        </w:rPr>
        <w:t> </w:t>
      </w:r>
      <w:r>
        <w:rPr>
          <w:w w:val="120"/>
        </w:rPr>
        <w:t>with</w:t>
      </w:r>
      <w:r>
        <w:rPr>
          <w:spacing w:val="12"/>
          <w:w w:val="120"/>
        </w:rPr>
        <w:t> </w:t>
      </w:r>
      <w:r>
        <w:rPr>
          <w:w w:val="120"/>
        </w:rPr>
        <w:t>Cromer</w:t>
      </w:r>
      <w:r>
        <w:rPr>
          <w:spacing w:val="13"/>
          <w:w w:val="120"/>
        </w:rPr>
        <w:t> </w:t>
      </w:r>
      <w:r>
        <w:rPr>
          <w:w w:val="120"/>
        </w:rPr>
        <w:t>Ave</w:t>
      </w:r>
      <w:r>
        <w:rPr>
          <w:spacing w:val="13"/>
          <w:w w:val="120"/>
        </w:rPr>
        <w:t> </w:t>
      </w:r>
      <w:r>
        <w:rPr>
          <w:w w:val="120"/>
        </w:rPr>
        <w:t>URC.</w:t>
      </w:r>
    </w:p>
    <w:p>
      <w:pPr>
        <w:pStyle w:val="BodyText"/>
        <w:spacing w:before="11"/>
        <w:rPr>
          <w:sz w:val="19"/>
        </w:rPr>
      </w:pPr>
    </w:p>
    <w:p>
      <w:pPr>
        <w:pStyle w:val="BodyText"/>
        <w:spacing w:line="235" w:lineRule="auto"/>
        <w:ind w:left="1133" w:right="1998"/>
        <w:jc w:val="both"/>
      </w:pPr>
      <w:r>
        <w:rPr>
          <w:w w:val="120"/>
        </w:rPr>
        <w:t>With a declining membership, the congregation felt that good stewardship required a decision to close. A service of celebration and thanksgiving was held on 15</w:t>
      </w:r>
      <w:r>
        <w:rPr>
          <w:w w:val="120"/>
          <w:position w:val="7"/>
          <w:sz w:val="11"/>
        </w:rPr>
        <w:t>th </w:t>
      </w:r>
      <w:r>
        <w:rPr>
          <w:w w:val="120"/>
        </w:rPr>
        <w:t>March 2009.</w:t>
      </w:r>
    </w:p>
    <w:p>
      <w:pPr>
        <w:pStyle w:val="BodyText"/>
        <w:spacing w:before="10"/>
        <w:rPr>
          <w:sz w:val="21"/>
        </w:rPr>
      </w:pPr>
    </w:p>
    <w:p>
      <w:pPr>
        <w:pStyle w:val="Heading6"/>
        <w:spacing w:line="196" w:lineRule="auto" w:before="1"/>
        <w:ind w:right="2573"/>
      </w:pPr>
      <w:r>
        <w:rPr>
          <w:w w:val="110"/>
        </w:rPr>
        <w:t>Blackheath United Reformed Church, Halesowen West Midlands Synod</w:t>
      </w:r>
    </w:p>
    <w:p>
      <w:pPr>
        <w:pStyle w:val="BodyText"/>
        <w:spacing w:line="235" w:lineRule="auto" w:before="211"/>
        <w:ind w:left="1133" w:right="2251"/>
      </w:pPr>
      <w:r>
        <w:rPr>
          <w:w w:val="125"/>
        </w:rPr>
        <w:t>Blackheath </w:t>
      </w:r>
      <w:r>
        <w:rPr>
          <w:spacing w:val="-3"/>
          <w:w w:val="125"/>
        </w:rPr>
        <w:t>Congregational Church </w:t>
      </w:r>
      <w:r>
        <w:rPr>
          <w:w w:val="125"/>
        </w:rPr>
        <w:t>was founded in </w:t>
      </w:r>
      <w:r>
        <w:rPr>
          <w:spacing w:val="-4"/>
          <w:w w:val="125"/>
        </w:rPr>
        <w:t>1900 </w:t>
      </w:r>
      <w:r>
        <w:rPr>
          <w:w w:val="125"/>
        </w:rPr>
        <w:t>through the </w:t>
      </w:r>
      <w:r>
        <w:rPr>
          <w:spacing w:val="-3"/>
          <w:w w:val="125"/>
        </w:rPr>
        <w:t>vision </w:t>
      </w:r>
      <w:r>
        <w:rPr>
          <w:w w:val="125"/>
        </w:rPr>
        <w:t>of </w:t>
      </w:r>
      <w:r>
        <w:rPr>
          <w:spacing w:val="-3"/>
          <w:w w:val="125"/>
        </w:rPr>
        <w:t>Revd </w:t>
      </w:r>
      <w:r>
        <w:rPr>
          <w:spacing w:val="2"/>
          <w:w w:val="125"/>
        </w:rPr>
        <w:t>CT</w:t>
      </w:r>
      <w:r>
        <w:rPr>
          <w:spacing w:val="-23"/>
          <w:w w:val="125"/>
        </w:rPr>
        <w:t> </w:t>
      </w:r>
      <w:r>
        <w:rPr>
          <w:w w:val="125"/>
        </w:rPr>
        <w:t>Plank</w:t>
      </w:r>
      <w:r>
        <w:rPr>
          <w:spacing w:val="-22"/>
          <w:w w:val="125"/>
        </w:rPr>
        <w:t> </w:t>
      </w:r>
      <w:r>
        <w:rPr>
          <w:w w:val="125"/>
        </w:rPr>
        <w:t>of</w:t>
      </w:r>
      <w:r>
        <w:rPr>
          <w:spacing w:val="-22"/>
          <w:w w:val="125"/>
        </w:rPr>
        <w:t> </w:t>
      </w:r>
      <w:r>
        <w:rPr>
          <w:spacing w:val="-3"/>
          <w:w w:val="125"/>
        </w:rPr>
        <w:t>Halesowen</w:t>
      </w:r>
      <w:r>
        <w:rPr>
          <w:spacing w:val="-22"/>
          <w:w w:val="125"/>
        </w:rPr>
        <w:t> </w:t>
      </w:r>
      <w:r>
        <w:rPr>
          <w:spacing w:val="-3"/>
          <w:w w:val="125"/>
        </w:rPr>
        <w:t>Congregational</w:t>
      </w:r>
      <w:r>
        <w:rPr>
          <w:spacing w:val="-22"/>
          <w:w w:val="125"/>
        </w:rPr>
        <w:t> </w:t>
      </w:r>
      <w:r>
        <w:rPr>
          <w:w w:val="125"/>
        </w:rPr>
        <w:t>and</w:t>
      </w:r>
      <w:r>
        <w:rPr>
          <w:spacing w:val="-22"/>
          <w:w w:val="125"/>
        </w:rPr>
        <w:t> </w:t>
      </w:r>
      <w:r>
        <w:rPr>
          <w:spacing w:val="-4"/>
          <w:w w:val="125"/>
        </w:rPr>
        <w:t>TG</w:t>
      </w:r>
      <w:r>
        <w:rPr>
          <w:spacing w:val="-22"/>
          <w:w w:val="125"/>
        </w:rPr>
        <w:t> </w:t>
      </w:r>
      <w:r>
        <w:rPr>
          <w:w w:val="125"/>
        </w:rPr>
        <w:t>Vinson</w:t>
      </w:r>
      <w:r>
        <w:rPr>
          <w:spacing w:val="-22"/>
          <w:w w:val="125"/>
        </w:rPr>
        <w:t> </w:t>
      </w:r>
      <w:r>
        <w:rPr>
          <w:w w:val="125"/>
        </w:rPr>
        <w:t>of</w:t>
      </w:r>
      <w:r>
        <w:rPr>
          <w:spacing w:val="-23"/>
          <w:w w:val="125"/>
        </w:rPr>
        <w:t> </w:t>
      </w:r>
      <w:r>
        <w:rPr>
          <w:spacing w:val="-6"/>
          <w:w w:val="125"/>
        </w:rPr>
        <w:t>Lye</w:t>
      </w:r>
      <w:r>
        <w:rPr>
          <w:spacing w:val="-22"/>
          <w:w w:val="125"/>
        </w:rPr>
        <w:t> </w:t>
      </w:r>
      <w:r>
        <w:rPr>
          <w:w w:val="125"/>
        </w:rPr>
        <w:t>who</w:t>
      </w:r>
      <w:r>
        <w:rPr>
          <w:spacing w:val="-22"/>
          <w:w w:val="125"/>
        </w:rPr>
        <w:t> </w:t>
      </w:r>
      <w:r>
        <w:rPr>
          <w:w w:val="125"/>
        </w:rPr>
        <w:t>brought</w:t>
      </w:r>
      <w:r>
        <w:rPr>
          <w:spacing w:val="-22"/>
          <w:w w:val="125"/>
        </w:rPr>
        <w:t> </w:t>
      </w:r>
      <w:r>
        <w:rPr>
          <w:w w:val="125"/>
        </w:rPr>
        <w:t>the</w:t>
      </w:r>
      <w:r>
        <w:rPr>
          <w:spacing w:val="-22"/>
          <w:w w:val="125"/>
        </w:rPr>
        <w:t> </w:t>
      </w:r>
      <w:r>
        <w:rPr>
          <w:w w:val="125"/>
        </w:rPr>
        <w:t>spiritual</w:t>
      </w:r>
    </w:p>
    <w:p>
      <w:pPr>
        <w:pStyle w:val="BodyText"/>
        <w:spacing w:line="235" w:lineRule="auto" w:before="2"/>
        <w:ind w:left="1133" w:right="1997"/>
      </w:pPr>
      <w:r>
        <w:rPr>
          <w:w w:val="120"/>
        </w:rPr>
        <w:t>needs of Blackheath </w:t>
      </w:r>
      <w:r>
        <w:rPr>
          <w:spacing w:val="-3"/>
          <w:w w:val="120"/>
        </w:rPr>
        <w:t>to </w:t>
      </w:r>
      <w:r>
        <w:rPr>
          <w:w w:val="120"/>
        </w:rPr>
        <w:t>the attention of the </w:t>
      </w:r>
      <w:r>
        <w:rPr>
          <w:spacing w:val="-3"/>
          <w:w w:val="120"/>
        </w:rPr>
        <w:t>Worcestershire Congregational </w:t>
      </w:r>
      <w:r>
        <w:rPr>
          <w:w w:val="120"/>
        </w:rPr>
        <w:t>Union. There had been a </w:t>
      </w:r>
      <w:r>
        <w:rPr>
          <w:spacing w:val="-3"/>
          <w:w w:val="120"/>
        </w:rPr>
        <w:t>tented mission </w:t>
      </w:r>
      <w:r>
        <w:rPr>
          <w:w w:val="120"/>
        </w:rPr>
        <w:t>in the area for Independents. This was soon </w:t>
      </w:r>
      <w:r>
        <w:rPr>
          <w:spacing w:val="-3"/>
          <w:w w:val="120"/>
        </w:rPr>
        <w:t>replaced </w:t>
      </w:r>
      <w:r>
        <w:rPr>
          <w:w w:val="120"/>
        </w:rPr>
        <w:t>by a ‘Tin Chapel’ which served </w:t>
      </w:r>
      <w:r>
        <w:rPr>
          <w:spacing w:val="-3"/>
          <w:w w:val="120"/>
        </w:rPr>
        <w:t>until </w:t>
      </w:r>
      <w:r>
        <w:rPr>
          <w:spacing w:val="-4"/>
          <w:w w:val="120"/>
        </w:rPr>
        <w:t>1908 </w:t>
      </w:r>
      <w:r>
        <w:rPr>
          <w:w w:val="120"/>
        </w:rPr>
        <w:t>when the </w:t>
      </w:r>
      <w:r>
        <w:rPr>
          <w:spacing w:val="-3"/>
          <w:w w:val="120"/>
        </w:rPr>
        <w:t>congregation moved to </w:t>
      </w:r>
      <w:r>
        <w:rPr>
          <w:w w:val="120"/>
        </w:rPr>
        <w:t>the present </w:t>
      </w:r>
      <w:r>
        <w:rPr>
          <w:spacing w:val="-3"/>
          <w:w w:val="120"/>
        </w:rPr>
        <w:t>building.</w:t>
      </w:r>
    </w:p>
    <w:p>
      <w:pPr>
        <w:pStyle w:val="BodyText"/>
        <w:spacing w:before="10"/>
        <w:rPr>
          <w:sz w:val="19"/>
        </w:rPr>
      </w:pPr>
    </w:p>
    <w:p>
      <w:pPr>
        <w:pStyle w:val="BodyText"/>
        <w:spacing w:line="235" w:lineRule="auto"/>
        <w:ind w:left="1133" w:right="2262"/>
      </w:pPr>
      <w:r>
        <w:rPr>
          <w:w w:val="120"/>
        </w:rPr>
        <w:t>An interregnum of 20 years ensued, followed by a 20 year ministry. In </w:t>
      </w:r>
      <w:r>
        <w:rPr>
          <w:spacing w:val="-8"/>
          <w:w w:val="120"/>
        </w:rPr>
        <w:t>1975, </w:t>
      </w:r>
      <w:r>
        <w:rPr>
          <w:w w:val="120"/>
        </w:rPr>
        <w:t>Blackheath decided to join with Halesowen United Church – this arrangement having been    rejected</w:t>
      </w:r>
      <w:r>
        <w:rPr>
          <w:spacing w:val="6"/>
          <w:w w:val="120"/>
        </w:rPr>
        <w:t> </w:t>
      </w:r>
      <w:r>
        <w:rPr>
          <w:w w:val="120"/>
        </w:rPr>
        <w:t>some</w:t>
      </w:r>
      <w:r>
        <w:rPr>
          <w:spacing w:val="6"/>
          <w:w w:val="120"/>
        </w:rPr>
        <w:t> </w:t>
      </w:r>
      <w:r>
        <w:rPr>
          <w:w w:val="120"/>
        </w:rPr>
        <w:t>50</w:t>
      </w:r>
      <w:r>
        <w:rPr>
          <w:spacing w:val="6"/>
          <w:w w:val="120"/>
        </w:rPr>
        <w:t> </w:t>
      </w:r>
      <w:r>
        <w:rPr>
          <w:w w:val="120"/>
        </w:rPr>
        <w:t>years</w:t>
      </w:r>
      <w:r>
        <w:rPr>
          <w:spacing w:val="6"/>
          <w:w w:val="120"/>
        </w:rPr>
        <w:t> </w:t>
      </w:r>
      <w:r>
        <w:rPr>
          <w:w w:val="120"/>
        </w:rPr>
        <w:t>earlier!</w:t>
      </w:r>
      <w:r>
        <w:rPr>
          <w:spacing w:val="6"/>
          <w:w w:val="120"/>
        </w:rPr>
        <w:t> </w:t>
      </w:r>
      <w:r>
        <w:rPr>
          <w:w w:val="120"/>
        </w:rPr>
        <w:t>A</w:t>
      </w:r>
      <w:r>
        <w:rPr>
          <w:spacing w:val="6"/>
          <w:w w:val="120"/>
        </w:rPr>
        <w:t> </w:t>
      </w:r>
      <w:r>
        <w:rPr>
          <w:w w:val="120"/>
        </w:rPr>
        <w:t>Methodist</w:t>
      </w:r>
      <w:r>
        <w:rPr>
          <w:spacing w:val="6"/>
          <w:w w:val="120"/>
        </w:rPr>
        <w:t> </w:t>
      </w:r>
      <w:r>
        <w:rPr>
          <w:w w:val="120"/>
        </w:rPr>
        <w:t>minister</w:t>
      </w:r>
      <w:r>
        <w:rPr>
          <w:spacing w:val="7"/>
          <w:w w:val="120"/>
        </w:rPr>
        <w:t> </w:t>
      </w:r>
      <w:r>
        <w:rPr>
          <w:w w:val="120"/>
        </w:rPr>
        <w:t>led</w:t>
      </w:r>
      <w:r>
        <w:rPr>
          <w:spacing w:val="6"/>
          <w:w w:val="120"/>
        </w:rPr>
        <w:t> </w:t>
      </w:r>
      <w:r>
        <w:rPr>
          <w:w w:val="120"/>
        </w:rPr>
        <w:t>both</w:t>
      </w:r>
      <w:r>
        <w:rPr>
          <w:spacing w:val="6"/>
          <w:w w:val="120"/>
        </w:rPr>
        <w:t> </w:t>
      </w:r>
      <w:r>
        <w:rPr>
          <w:w w:val="120"/>
        </w:rPr>
        <w:t>churches</w:t>
      </w:r>
      <w:r>
        <w:rPr>
          <w:spacing w:val="6"/>
          <w:w w:val="120"/>
        </w:rPr>
        <w:t> </w:t>
      </w:r>
      <w:r>
        <w:rPr>
          <w:w w:val="120"/>
        </w:rPr>
        <w:t>in</w:t>
      </w:r>
      <w:r>
        <w:rPr>
          <w:spacing w:val="6"/>
          <w:w w:val="120"/>
        </w:rPr>
        <w:t> </w:t>
      </w:r>
      <w:r>
        <w:rPr>
          <w:w w:val="120"/>
        </w:rPr>
        <w:t>the</w:t>
      </w:r>
      <w:r>
        <w:rPr>
          <w:spacing w:val="6"/>
          <w:w w:val="120"/>
        </w:rPr>
        <w:t> </w:t>
      </w:r>
      <w:r>
        <w:rPr>
          <w:w w:val="120"/>
        </w:rPr>
        <w:t>1990s.</w:t>
      </w:r>
    </w:p>
    <w:p>
      <w:pPr>
        <w:spacing w:after="0" w:line="235" w:lineRule="auto"/>
        <w:sectPr>
          <w:pgSz w:w="11910" w:h="16840"/>
          <w:pgMar w:header="0" w:footer="647" w:top="1060" w:bottom="840" w:left="0" w:right="0"/>
        </w:sectPr>
      </w:pPr>
    </w:p>
    <w:p>
      <w:pPr>
        <w:pStyle w:val="BodyText"/>
        <w:spacing w:line="235" w:lineRule="auto" w:before="91"/>
        <w:ind w:left="1984" w:right="1333"/>
      </w:pPr>
      <w:r>
        <w:rPr/>
        <w:pict>
          <v:rect style="position:absolute;margin-left:558.424988pt;margin-top:8.503343pt;width:22.677pt;height:22.677pt;mso-position-horizontal-relative:page;mso-position-vertical-relative:paragraph;z-index:252258304" filled="true" fillcolor="#dae4ec" stroked="false">
            <v:fill opacity="32768f" type="solid"/>
            <w10:wrap type="none"/>
          </v:rect>
        </w:pict>
      </w:r>
      <w:r>
        <w:rPr>
          <w:w w:val="120"/>
        </w:rPr>
        <w:t>Eventually the church meeting came to the unanimous decision that </w:t>
      </w:r>
      <w:r>
        <w:rPr>
          <w:spacing w:val="2"/>
          <w:w w:val="120"/>
        </w:rPr>
        <w:t>after </w:t>
      </w:r>
      <w:r>
        <w:rPr>
          <w:w w:val="120"/>
        </w:rPr>
        <w:t>a presence of over 100 years, the church should close. The remaining members had already decided  to disperse to other local congregations while they were able. The final service at Blackheath was held on Sunday </w:t>
      </w:r>
      <w:r>
        <w:rPr>
          <w:spacing w:val="-3"/>
          <w:w w:val="120"/>
        </w:rPr>
        <w:t>12</w:t>
      </w:r>
      <w:r>
        <w:rPr>
          <w:spacing w:val="-3"/>
          <w:w w:val="120"/>
          <w:position w:val="7"/>
          <w:sz w:val="11"/>
        </w:rPr>
        <w:t>th </w:t>
      </w:r>
      <w:r>
        <w:rPr>
          <w:w w:val="120"/>
        </w:rPr>
        <w:t>October</w:t>
      </w:r>
      <w:r>
        <w:rPr>
          <w:spacing w:val="38"/>
          <w:w w:val="120"/>
        </w:rPr>
        <w:t> </w:t>
      </w:r>
      <w:r>
        <w:rPr>
          <w:spacing w:val="2"/>
          <w:w w:val="120"/>
        </w:rPr>
        <w:t>2008.</w:t>
      </w:r>
    </w:p>
    <w:p>
      <w:pPr>
        <w:pStyle w:val="BodyText"/>
        <w:spacing w:before="11"/>
        <w:rPr>
          <w:sz w:val="21"/>
        </w:rPr>
      </w:pPr>
    </w:p>
    <w:p>
      <w:pPr>
        <w:pStyle w:val="Heading6"/>
        <w:spacing w:line="196" w:lineRule="auto" w:before="1"/>
        <w:ind w:left="1984" w:right="3166"/>
      </w:pPr>
      <w:r>
        <w:rPr>
          <w:w w:val="110"/>
        </w:rPr>
        <w:t>Haltwhistle United Reformed Church Northern Synod</w:t>
      </w:r>
    </w:p>
    <w:p>
      <w:pPr>
        <w:pStyle w:val="BodyText"/>
        <w:spacing w:line="235" w:lineRule="auto" w:before="211"/>
        <w:ind w:left="1984" w:right="1120"/>
      </w:pPr>
      <w:r>
        <w:rPr>
          <w:w w:val="120"/>
        </w:rPr>
        <w:t>Situated two miles south of the Roman wall, Haltwhistle Presbyterian Church was the proud possessor of a pair of pewter communion cups dated 1745. The congregation comprised mainly of farmers and shepherds and was small in comparison with other churches in the area, but when the town had a period of prosperity in the 1890s the members moved from their small eighteenth century church to a more commodious building, complete with spire, on the Main Street.</w:t>
      </w:r>
    </w:p>
    <w:p>
      <w:pPr>
        <w:pStyle w:val="BodyText"/>
      </w:pPr>
    </w:p>
    <w:p>
      <w:pPr>
        <w:pStyle w:val="BodyText"/>
        <w:spacing w:line="235" w:lineRule="auto"/>
        <w:ind w:left="1984" w:right="1174"/>
        <w:jc w:val="both"/>
      </w:pPr>
      <w:r>
        <w:rPr>
          <w:w w:val="120"/>
        </w:rPr>
        <w:t>A time of growth was followed by years when the members had to </w:t>
      </w:r>
      <w:r>
        <w:rPr>
          <w:spacing w:val="2"/>
          <w:w w:val="120"/>
        </w:rPr>
        <w:t>struggle </w:t>
      </w:r>
      <w:r>
        <w:rPr>
          <w:w w:val="120"/>
        </w:rPr>
        <w:t>to keep the church as a vibrant living organisation. Decrease in the number of farms due to forestry, the closure of the coal mines, and the movement away of young people were all </w:t>
      </w:r>
      <w:r>
        <w:rPr>
          <w:spacing w:val="2"/>
          <w:w w:val="120"/>
        </w:rPr>
        <w:t>factors </w:t>
      </w:r>
      <w:r>
        <w:rPr>
          <w:w w:val="120"/>
        </w:rPr>
        <w:t>in a gradual decline in</w:t>
      </w:r>
      <w:r>
        <w:rPr>
          <w:spacing w:val="23"/>
          <w:w w:val="120"/>
        </w:rPr>
        <w:t> </w:t>
      </w:r>
      <w:r>
        <w:rPr>
          <w:w w:val="120"/>
        </w:rPr>
        <w:t>numbers.</w:t>
      </w:r>
    </w:p>
    <w:p>
      <w:pPr>
        <w:pStyle w:val="BodyText"/>
        <w:spacing w:before="11"/>
        <w:rPr>
          <w:sz w:val="19"/>
        </w:rPr>
      </w:pPr>
    </w:p>
    <w:p>
      <w:pPr>
        <w:pStyle w:val="BodyText"/>
        <w:spacing w:line="235" w:lineRule="auto"/>
        <w:ind w:left="1984" w:right="1332"/>
      </w:pPr>
      <w:r>
        <w:rPr>
          <w:w w:val="120"/>
        </w:rPr>
        <w:t>In </w:t>
      </w:r>
      <w:r>
        <w:rPr>
          <w:spacing w:val="-3"/>
          <w:w w:val="120"/>
        </w:rPr>
        <w:t>1990  </w:t>
      </w:r>
      <w:r>
        <w:rPr>
          <w:w w:val="120"/>
        </w:rPr>
        <w:t>the Roman Catholic Diocese bought into the equity of the building, leading      to building adopting the name </w:t>
      </w:r>
      <w:r>
        <w:rPr>
          <w:spacing w:val="-3"/>
          <w:w w:val="120"/>
        </w:rPr>
        <w:t>‘Two </w:t>
      </w:r>
      <w:r>
        <w:rPr>
          <w:w w:val="120"/>
        </w:rPr>
        <w:t>Churches’, and a </w:t>
      </w:r>
      <w:r>
        <w:rPr>
          <w:spacing w:val="2"/>
          <w:w w:val="120"/>
        </w:rPr>
        <w:t>very </w:t>
      </w:r>
      <w:r>
        <w:rPr>
          <w:w w:val="120"/>
        </w:rPr>
        <w:t>harmonious relationship between</w:t>
      </w:r>
      <w:r>
        <w:rPr>
          <w:spacing w:val="15"/>
          <w:w w:val="120"/>
        </w:rPr>
        <w:t> </w:t>
      </w:r>
      <w:r>
        <w:rPr>
          <w:w w:val="120"/>
        </w:rPr>
        <w:t>the</w:t>
      </w:r>
      <w:r>
        <w:rPr>
          <w:spacing w:val="16"/>
          <w:w w:val="120"/>
        </w:rPr>
        <w:t> </w:t>
      </w:r>
      <w:r>
        <w:rPr>
          <w:w w:val="120"/>
        </w:rPr>
        <w:t>two</w:t>
      </w:r>
      <w:r>
        <w:rPr>
          <w:spacing w:val="16"/>
          <w:w w:val="120"/>
        </w:rPr>
        <w:t> </w:t>
      </w:r>
      <w:r>
        <w:rPr>
          <w:w w:val="120"/>
        </w:rPr>
        <w:t>congregations.</w:t>
      </w:r>
      <w:r>
        <w:rPr>
          <w:spacing w:val="16"/>
          <w:w w:val="120"/>
        </w:rPr>
        <w:t> </w:t>
      </w:r>
      <w:r>
        <w:rPr>
          <w:w w:val="120"/>
        </w:rPr>
        <w:t>However,</w:t>
      </w:r>
      <w:r>
        <w:rPr>
          <w:spacing w:val="16"/>
          <w:w w:val="120"/>
        </w:rPr>
        <w:t> </w:t>
      </w:r>
      <w:r>
        <w:rPr>
          <w:w w:val="120"/>
        </w:rPr>
        <w:t>faced</w:t>
      </w:r>
      <w:r>
        <w:rPr>
          <w:spacing w:val="16"/>
          <w:w w:val="120"/>
        </w:rPr>
        <w:t> </w:t>
      </w:r>
      <w:r>
        <w:rPr>
          <w:w w:val="120"/>
        </w:rPr>
        <w:t>with</w:t>
      </w:r>
      <w:r>
        <w:rPr>
          <w:spacing w:val="16"/>
          <w:w w:val="120"/>
        </w:rPr>
        <w:t> </w:t>
      </w:r>
      <w:r>
        <w:rPr>
          <w:w w:val="120"/>
        </w:rPr>
        <w:t>another</w:t>
      </w:r>
      <w:r>
        <w:rPr>
          <w:spacing w:val="16"/>
          <w:w w:val="120"/>
        </w:rPr>
        <w:t> </w:t>
      </w:r>
      <w:r>
        <w:rPr>
          <w:spacing w:val="2"/>
          <w:w w:val="120"/>
        </w:rPr>
        <w:t>vacancy</w:t>
      </w:r>
      <w:r>
        <w:rPr>
          <w:spacing w:val="16"/>
          <w:w w:val="120"/>
        </w:rPr>
        <w:t> </w:t>
      </w:r>
      <w:r>
        <w:rPr>
          <w:w w:val="120"/>
        </w:rPr>
        <w:t>and</w:t>
      </w:r>
      <w:r>
        <w:rPr>
          <w:spacing w:val="16"/>
          <w:w w:val="120"/>
        </w:rPr>
        <w:t> </w:t>
      </w:r>
      <w:r>
        <w:rPr>
          <w:w w:val="120"/>
        </w:rPr>
        <w:t>increasing</w:t>
      </w:r>
    </w:p>
    <w:p>
      <w:pPr>
        <w:pStyle w:val="BodyText"/>
        <w:spacing w:line="235" w:lineRule="auto" w:before="3"/>
        <w:ind w:left="1984" w:right="1273"/>
      </w:pPr>
      <w:r>
        <w:rPr>
          <w:w w:val="120"/>
        </w:rPr>
        <w:t>costs, the aging congregation felt that they had no option but to close. They held their final service on 3I</w:t>
      </w:r>
      <w:r>
        <w:rPr>
          <w:w w:val="120"/>
          <w:position w:val="7"/>
          <w:sz w:val="11"/>
        </w:rPr>
        <w:t>st </w:t>
      </w:r>
      <w:r>
        <w:rPr>
          <w:w w:val="120"/>
        </w:rPr>
        <w:t>May 2009 when all the local churches plus many former members, who had moved away, joined with them in giving thanks for over 250 years of Christian witness. In keeping with the good ecumenical relations in the town, the majority of members have moved across the road to worship with their Methodist friends.</w:t>
      </w:r>
    </w:p>
    <w:p>
      <w:pPr>
        <w:pStyle w:val="BodyText"/>
        <w:rPr>
          <w:sz w:val="22"/>
        </w:rPr>
      </w:pPr>
    </w:p>
    <w:p>
      <w:pPr>
        <w:pStyle w:val="Heading6"/>
        <w:spacing w:line="196" w:lineRule="auto"/>
        <w:ind w:left="1984" w:right="5549"/>
      </w:pPr>
      <w:r>
        <w:rPr>
          <w:w w:val="110"/>
        </w:rPr>
        <w:t>Houghton Chapel Centre Eastern Synod</w:t>
      </w:r>
    </w:p>
    <w:p>
      <w:pPr>
        <w:spacing w:before="208"/>
        <w:ind w:left="1984" w:right="0" w:firstLine="0"/>
        <w:jc w:val="both"/>
        <w:rPr>
          <w:i/>
          <w:sz w:val="20"/>
        </w:rPr>
      </w:pPr>
      <w:r>
        <w:rPr>
          <w:i/>
          <w:w w:val="110"/>
          <w:sz w:val="20"/>
        </w:rPr>
        <w:t>No statement was submitted on behalf of this church.</w:t>
      </w:r>
    </w:p>
    <w:p>
      <w:pPr>
        <w:pStyle w:val="BodyText"/>
        <w:spacing w:before="9"/>
        <w:rPr>
          <w:i/>
          <w:sz w:val="21"/>
        </w:rPr>
      </w:pPr>
    </w:p>
    <w:p>
      <w:pPr>
        <w:pStyle w:val="Heading6"/>
        <w:spacing w:line="196" w:lineRule="auto"/>
        <w:ind w:left="1984" w:right="4942"/>
      </w:pPr>
      <w:r>
        <w:rPr>
          <w:w w:val="110"/>
        </w:rPr>
        <w:t>Laira United Reformed Church South Western Synod</w:t>
      </w:r>
    </w:p>
    <w:p>
      <w:pPr>
        <w:pStyle w:val="BodyText"/>
        <w:spacing w:line="235" w:lineRule="auto" w:before="212"/>
        <w:ind w:left="1984" w:right="1273"/>
      </w:pPr>
      <w:r>
        <w:rPr>
          <w:w w:val="120"/>
        </w:rPr>
        <w:t>The first chapel in Laira was constructed in 1850 on the edge of the newly arrived railway. At that time Laira was just a village, and a church plant from Norley, now Sherwell United Church, went from strength to strength.</w:t>
      </w:r>
    </w:p>
    <w:p>
      <w:pPr>
        <w:pStyle w:val="BodyText"/>
        <w:spacing w:before="10"/>
        <w:rPr>
          <w:sz w:val="19"/>
        </w:rPr>
      </w:pPr>
    </w:p>
    <w:p>
      <w:pPr>
        <w:pStyle w:val="BodyText"/>
        <w:spacing w:line="235" w:lineRule="auto"/>
        <w:ind w:left="1984" w:right="1120"/>
      </w:pPr>
      <w:r>
        <w:rPr>
          <w:w w:val="120"/>
        </w:rPr>
        <w:t>A second building was opened with great celebration in December 1886. In 1895 there were 98 members and over 160 children, with youth clubs, a sick club to support the poorly paid, and the Band of Hope.</w:t>
      </w:r>
    </w:p>
    <w:p>
      <w:pPr>
        <w:pStyle w:val="BodyText"/>
        <w:spacing w:before="10"/>
        <w:rPr>
          <w:sz w:val="19"/>
        </w:rPr>
      </w:pPr>
    </w:p>
    <w:p>
      <w:pPr>
        <w:pStyle w:val="BodyText"/>
        <w:spacing w:line="235" w:lineRule="auto"/>
        <w:ind w:left="1984" w:right="1634"/>
      </w:pPr>
      <w:r>
        <w:rPr>
          <w:w w:val="120"/>
        </w:rPr>
        <w:t>The third and current church was built directly opposite in </w:t>
      </w:r>
      <w:r>
        <w:rPr>
          <w:spacing w:val="-7"/>
          <w:w w:val="120"/>
        </w:rPr>
        <w:t>1935, </w:t>
      </w:r>
      <w:r>
        <w:rPr>
          <w:w w:val="120"/>
        </w:rPr>
        <w:t>with a hall added in </w:t>
      </w:r>
      <w:r>
        <w:rPr>
          <w:spacing w:val="-11"/>
          <w:w w:val="120"/>
        </w:rPr>
        <w:t>1957. </w:t>
      </w:r>
      <w:r>
        <w:rPr>
          <w:w w:val="120"/>
        </w:rPr>
        <w:t>Throughout the 60s and 70s Guiding and Scouting groups, run by members,  were</w:t>
      </w:r>
      <w:r>
        <w:rPr>
          <w:spacing w:val="5"/>
          <w:w w:val="120"/>
        </w:rPr>
        <w:t> </w:t>
      </w:r>
      <w:r>
        <w:rPr>
          <w:spacing w:val="2"/>
          <w:w w:val="120"/>
        </w:rPr>
        <w:t>very</w:t>
      </w:r>
      <w:r>
        <w:rPr>
          <w:spacing w:val="6"/>
          <w:w w:val="120"/>
        </w:rPr>
        <w:t> </w:t>
      </w:r>
      <w:r>
        <w:rPr>
          <w:w w:val="120"/>
        </w:rPr>
        <w:t>much</w:t>
      </w:r>
      <w:r>
        <w:rPr>
          <w:spacing w:val="6"/>
          <w:w w:val="120"/>
        </w:rPr>
        <w:t> </w:t>
      </w:r>
      <w:r>
        <w:rPr>
          <w:spacing w:val="3"/>
          <w:w w:val="120"/>
        </w:rPr>
        <w:t>part</w:t>
      </w:r>
      <w:r>
        <w:rPr>
          <w:spacing w:val="5"/>
          <w:w w:val="120"/>
        </w:rPr>
        <w:t> </w:t>
      </w:r>
      <w:r>
        <w:rPr>
          <w:w w:val="120"/>
        </w:rPr>
        <w:t>of</w:t>
      </w:r>
      <w:r>
        <w:rPr>
          <w:spacing w:val="6"/>
          <w:w w:val="120"/>
        </w:rPr>
        <w:t> </w:t>
      </w:r>
      <w:r>
        <w:rPr>
          <w:w w:val="120"/>
        </w:rPr>
        <w:t>the</w:t>
      </w:r>
      <w:r>
        <w:rPr>
          <w:spacing w:val="6"/>
          <w:w w:val="120"/>
        </w:rPr>
        <w:t> </w:t>
      </w:r>
      <w:r>
        <w:rPr>
          <w:w w:val="120"/>
        </w:rPr>
        <w:t>church.</w:t>
      </w:r>
      <w:r>
        <w:rPr>
          <w:spacing w:val="5"/>
          <w:w w:val="120"/>
        </w:rPr>
        <w:t> </w:t>
      </w:r>
      <w:r>
        <w:rPr>
          <w:w w:val="120"/>
        </w:rPr>
        <w:t>There</w:t>
      </w:r>
      <w:r>
        <w:rPr>
          <w:spacing w:val="6"/>
          <w:w w:val="120"/>
        </w:rPr>
        <w:t> </w:t>
      </w:r>
      <w:r>
        <w:rPr>
          <w:w w:val="120"/>
        </w:rPr>
        <w:t>was</w:t>
      </w:r>
      <w:r>
        <w:rPr>
          <w:spacing w:val="6"/>
          <w:w w:val="120"/>
        </w:rPr>
        <w:t> </w:t>
      </w:r>
      <w:r>
        <w:rPr>
          <w:w w:val="120"/>
        </w:rPr>
        <w:t>also</w:t>
      </w:r>
      <w:r>
        <w:rPr>
          <w:spacing w:val="5"/>
          <w:w w:val="120"/>
        </w:rPr>
        <w:t> </w:t>
      </w:r>
      <w:r>
        <w:rPr>
          <w:w w:val="120"/>
        </w:rPr>
        <w:t>a</w:t>
      </w:r>
      <w:r>
        <w:rPr>
          <w:spacing w:val="6"/>
          <w:w w:val="120"/>
        </w:rPr>
        <w:t> </w:t>
      </w:r>
      <w:r>
        <w:rPr>
          <w:w w:val="120"/>
        </w:rPr>
        <w:t>strong</w:t>
      </w:r>
      <w:r>
        <w:rPr>
          <w:spacing w:val="6"/>
          <w:w w:val="120"/>
        </w:rPr>
        <w:t> </w:t>
      </w:r>
      <w:r>
        <w:rPr>
          <w:w w:val="120"/>
        </w:rPr>
        <w:t>youth</w:t>
      </w:r>
      <w:r>
        <w:rPr>
          <w:spacing w:val="5"/>
          <w:w w:val="120"/>
        </w:rPr>
        <w:t> </w:t>
      </w:r>
      <w:r>
        <w:rPr>
          <w:w w:val="120"/>
        </w:rPr>
        <w:t>club.</w:t>
      </w:r>
    </w:p>
    <w:p>
      <w:pPr>
        <w:pStyle w:val="BodyText"/>
        <w:spacing w:before="10"/>
        <w:rPr>
          <w:sz w:val="19"/>
        </w:rPr>
      </w:pPr>
    </w:p>
    <w:p>
      <w:pPr>
        <w:pStyle w:val="BodyText"/>
        <w:spacing w:line="235" w:lineRule="auto"/>
        <w:ind w:left="1984" w:right="1514"/>
      </w:pPr>
      <w:r>
        <w:rPr>
          <w:w w:val="120"/>
        </w:rPr>
        <w:t>The fellowship at Zion Methodist Church came to share the building in </w:t>
      </w:r>
      <w:r>
        <w:rPr>
          <w:spacing w:val="-4"/>
          <w:w w:val="120"/>
        </w:rPr>
        <w:t>1992. </w:t>
      </w:r>
      <w:r>
        <w:rPr>
          <w:w w:val="120"/>
        </w:rPr>
        <w:t>Sadly the joining of the two churches only gave a brief respite. Membership numbers declined    as the nature of the area around the church changed. </w:t>
      </w:r>
      <w:r>
        <w:rPr>
          <w:spacing w:val="2"/>
          <w:w w:val="120"/>
        </w:rPr>
        <w:t>Large </w:t>
      </w:r>
      <w:r>
        <w:rPr>
          <w:w w:val="120"/>
        </w:rPr>
        <w:t>family houses turned into flats and bed-sits and a Naval estate gave way to council and trust houses. The church </w:t>
      </w:r>
      <w:r>
        <w:rPr>
          <w:spacing w:val="2"/>
          <w:w w:val="120"/>
        </w:rPr>
        <w:t>struggled </w:t>
      </w:r>
      <w:r>
        <w:rPr>
          <w:w w:val="120"/>
        </w:rPr>
        <w:t>to find ways to take the gospel out to the</w:t>
      </w:r>
      <w:r>
        <w:rPr>
          <w:spacing w:val="2"/>
          <w:w w:val="120"/>
        </w:rPr>
        <w:t> </w:t>
      </w:r>
      <w:r>
        <w:rPr>
          <w:w w:val="120"/>
        </w:rPr>
        <w:t>community.</w:t>
      </w:r>
    </w:p>
    <w:p>
      <w:pPr>
        <w:pStyle w:val="BodyText"/>
        <w:spacing w:before="12"/>
        <w:rPr>
          <w:sz w:val="19"/>
        </w:rPr>
      </w:pPr>
    </w:p>
    <w:p>
      <w:pPr>
        <w:pStyle w:val="BodyText"/>
        <w:spacing w:line="235" w:lineRule="auto"/>
        <w:ind w:left="1984" w:right="1684"/>
      </w:pPr>
      <w:r>
        <w:rPr>
          <w:w w:val="120"/>
        </w:rPr>
        <w:t>In the last 20 years the building suffered vandalism that depleted the congregation’s resources. Faced with a </w:t>
      </w:r>
      <w:r>
        <w:rPr>
          <w:spacing w:val="2"/>
          <w:w w:val="120"/>
        </w:rPr>
        <w:t>very </w:t>
      </w:r>
      <w:r>
        <w:rPr>
          <w:w w:val="120"/>
        </w:rPr>
        <w:t>small elderly congregation and a building that needed increasing maintenance they decided to close. A thanksgiving service was held on     7</w:t>
      </w:r>
      <w:r>
        <w:rPr>
          <w:w w:val="120"/>
          <w:position w:val="7"/>
          <w:sz w:val="11"/>
        </w:rPr>
        <w:t>th </w:t>
      </w:r>
      <w:r>
        <w:rPr>
          <w:spacing w:val="3"/>
          <w:w w:val="120"/>
        </w:rPr>
        <w:t>February</w:t>
      </w:r>
      <w:r>
        <w:rPr>
          <w:spacing w:val="2"/>
          <w:w w:val="120"/>
        </w:rPr>
        <w:t> </w:t>
      </w:r>
      <w:r>
        <w:rPr>
          <w:spacing w:val="-4"/>
          <w:w w:val="120"/>
        </w:rPr>
        <w:t>2010.</w:t>
      </w:r>
    </w:p>
    <w:p>
      <w:pPr>
        <w:spacing w:after="0" w:line="235" w:lineRule="auto"/>
        <w:sectPr>
          <w:pgSz w:w="11910" w:h="16840"/>
          <w:pgMar w:header="0" w:footer="647" w:top="1060" w:bottom="840" w:left="0" w:right="0"/>
        </w:sectPr>
      </w:pPr>
    </w:p>
    <w:p>
      <w:pPr>
        <w:pStyle w:val="Heading6"/>
        <w:spacing w:line="196" w:lineRule="auto" w:before="154"/>
        <w:ind w:right="2573"/>
      </w:pPr>
      <w:r>
        <w:rPr/>
        <w:pict>
          <v:rect style="position:absolute;margin-left:12.047pt;margin-top:8.489625pt;width:22.677pt;height:22.677pt;mso-position-horizontal-relative:page;mso-position-vertical-relative:paragraph;z-index:252259328" filled="true" fillcolor="#dae4ec" stroked="false">
            <v:fill opacity="32768f" type="solid"/>
            <w10:wrap type="none"/>
          </v:rect>
        </w:pict>
      </w:r>
      <w:r>
        <w:rPr>
          <w:w w:val="110"/>
        </w:rPr>
        <w:t>Earle Road United Reformed Church, Liverpool Mersey Synod</w:t>
      </w:r>
    </w:p>
    <w:p>
      <w:pPr>
        <w:pStyle w:val="BodyText"/>
        <w:spacing w:line="235" w:lineRule="auto" w:before="212"/>
        <w:ind w:left="1133" w:right="2244"/>
        <w:jc w:val="both"/>
      </w:pPr>
      <w:r>
        <w:rPr>
          <w:w w:val="120"/>
        </w:rPr>
        <w:t>Founded by </w:t>
      </w:r>
      <w:r>
        <w:rPr>
          <w:spacing w:val="2"/>
          <w:w w:val="120"/>
        </w:rPr>
        <w:t>Sefton </w:t>
      </w:r>
      <w:r>
        <w:rPr>
          <w:w w:val="120"/>
        </w:rPr>
        <w:t>Park Presbyterian Church, the church opened in </w:t>
      </w:r>
      <w:r>
        <w:rPr>
          <w:spacing w:val="-4"/>
          <w:w w:val="120"/>
        </w:rPr>
        <w:t>1883  </w:t>
      </w:r>
      <w:r>
        <w:rPr>
          <w:w w:val="120"/>
        </w:rPr>
        <w:t>and in </w:t>
      </w:r>
      <w:r>
        <w:rPr>
          <w:spacing w:val="-10"/>
          <w:w w:val="120"/>
        </w:rPr>
        <w:t>1912   </w:t>
      </w:r>
      <w:r>
        <w:rPr>
          <w:w w:val="120"/>
        </w:rPr>
        <w:t>it became a sanctioned charge with </w:t>
      </w:r>
      <w:r>
        <w:rPr>
          <w:spacing w:val="-6"/>
          <w:w w:val="120"/>
        </w:rPr>
        <w:t>424 </w:t>
      </w:r>
      <w:r>
        <w:rPr>
          <w:w w:val="120"/>
        </w:rPr>
        <w:t>members and adherents. Numbers increased requiring</w:t>
      </w:r>
      <w:r>
        <w:rPr>
          <w:spacing w:val="6"/>
          <w:w w:val="120"/>
        </w:rPr>
        <w:t> </w:t>
      </w:r>
      <w:r>
        <w:rPr>
          <w:w w:val="120"/>
        </w:rPr>
        <w:t>a</w:t>
      </w:r>
      <w:r>
        <w:rPr>
          <w:spacing w:val="7"/>
          <w:w w:val="120"/>
        </w:rPr>
        <w:t> </w:t>
      </w:r>
      <w:r>
        <w:rPr>
          <w:w w:val="120"/>
        </w:rPr>
        <w:t>large</w:t>
      </w:r>
      <w:r>
        <w:rPr>
          <w:spacing w:val="7"/>
          <w:w w:val="120"/>
        </w:rPr>
        <w:t> </w:t>
      </w:r>
      <w:r>
        <w:rPr>
          <w:w w:val="120"/>
        </w:rPr>
        <w:t>extension</w:t>
      </w:r>
      <w:r>
        <w:rPr>
          <w:spacing w:val="6"/>
          <w:w w:val="120"/>
        </w:rPr>
        <w:t> </w:t>
      </w:r>
      <w:r>
        <w:rPr>
          <w:w w:val="120"/>
        </w:rPr>
        <w:t>in</w:t>
      </w:r>
      <w:r>
        <w:rPr>
          <w:spacing w:val="7"/>
          <w:w w:val="120"/>
        </w:rPr>
        <w:t> </w:t>
      </w:r>
      <w:r>
        <w:rPr>
          <w:spacing w:val="-4"/>
          <w:w w:val="120"/>
        </w:rPr>
        <w:t>1894</w:t>
      </w:r>
      <w:r>
        <w:rPr>
          <w:spacing w:val="7"/>
          <w:w w:val="120"/>
        </w:rPr>
        <w:t> </w:t>
      </w:r>
      <w:r>
        <w:rPr>
          <w:w w:val="120"/>
        </w:rPr>
        <w:t>and</w:t>
      </w:r>
      <w:r>
        <w:rPr>
          <w:spacing w:val="6"/>
          <w:w w:val="120"/>
        </w:rPr>
        <w:t> </w:t>
      </w:r>
      <w:r>
        <w:rPr>
          <w:w w:val="120"/>
        </w:rPr>
        <w:t>the</w:t>
      </w:r>
      <w:r>
        <w:rPr>
          <w:spacing w:val="7"/>
          <w:w w:val="120"/>
        </w:rPr>
        <w:t> </w:t>
      </w:r>
      <w:r>
        <w:rPr>
          <w:w w:val="120"/>
        </w:rPr>
        <w:t>purchase</w:t>
      </w:r>
      <w:r>
        <w:rPr>
          <w:spacing w:val="7"/>
          <w:w w:val="120"/>
        </w:rPr>
        <w:t> </w:t>
      </w:r>
      <w:r>
        <w:rPr>
          <w:w w:val="120"/>
        </w:rPr>
        <w:t>of</w:t>
      </w:r>
      <w:r>
        <w:rPr>
          <w:spacing w:val="6"/>
          <w:w w:val="120"/>
        </w:rPr>
        <w:t> </w:t>
      </w:r>
      <w:r>
        <w:rPr>
          <w:w w:val="120"/>
        </w:rPr>
        <w:t>a</w:t>
      </w:r>
      <w:r>
        <w:rPr>
          <w:spacing w:val="7"/>
          <w:w w:val="120"/>
        </w:rPr>
        <w:t> </w:t>
      </w:r>
      <w:r>
        <w:rPr>
          <w:w w:val="120"/>
        </w:rPr>
        <w:t>manse</w:t>
      </w:r>
      <w:r>
        <w:rPr>
          <w:spacing w:val="7"/>
          <w:w w:val="120"/>
        </w:rPr>
        <w:t> </w:t>
      </w:r>
      <w:r>
        <w:rPr>
          <w:w w:val="120"/>
        </w:rPr>
        <w:t>in</w:t>
      </w:r>
      <w:r>
        <w:rPr>
          <w:spacing w:val="7"/>
          <w:w w:val="120"/>
        </w:rPr>
        <w:t> </w:t>
      </w:r>
      <w:r>
        <w:rPr>
          <w:spacing w:val="-5"/>
          <w:w w:val="120"/>
        </w:rPr>
        <w:t>1926.</w:t>
      </w:r>
    </w:p>
    <w:p>
      <w:pPr>
        <w:pStyle w:val="BodyText"/>
        <w:spacing w:before="10"/>
        <w:rPr>
          <w:sz w:val="19"/>
        </w:rPr>
      </w:pPr>
    </w:p>
    <w:p>
      <w:pPr>
        <w:pStyle w:val="BodyText"/>
        <w:spacing w:line="235" w:lineRule="auto"/>
        <w:ind w:left="1133" w:right="2305"/>
      </w:pPr>
      <w:r>
        <w:rPr>
          <w:w w:val="120"/>
        </w:rPr>
        <w:t>The church was in the centre of a dense area of mainly terraced </w:t>
      </w:r>
      <w:r>
        <w:rPr>
          <w:spacing w:val="2"/>
          <w:w w:val="120"/>
        </w:rPr>
        <w:t>streets. </w:t>
      </w:r>
      <w:r>
        <w:rPr>
          <w:w w:val="120"/>
        </w:rPr>
        <w:t>It was  damaged by enemy action in </w:t>
      </w:r>
      <w:r>
        <w:rPr>
          <w:spacing w:val="-7"/>
          <w:w w:val="120"/>
        </w:rPr>
        <w:t>1941  </w:t>
      </w:r>
      <w:r>
        <w:rPr>
          <w:w w:val="120"/>
        </w:rPr>
        <w:t>but repaired, but many houses were lost. In </w:t>
      </w:r>
      <w:r>
        <w:rPr>
          <w:spacing w:val="-5"/>
          <w:w w:val="120"/>
        </w:rPr>
        <w:t>1965  </w:t>
      </w:r>
      <w:r>
        <w:rPr>
          <w:w w:val="120"/>
        </w:rPr>
        <w:t>the Hartington Road Congregational Church united with Earle Road and their deacons became</w:t>
      </w:r>
      <w:r>
        <w:rPr>
          <w:spacing w:val="9"/>
          <w:w w:val="120"/>
        </w:rPr>
        <w:t> </w:t>
      </w:r>
      <w:r>
        <w:rPr>
          <w:w w:val="120"/>
        </w:rPr>
        <w:t>elders.</w:t>
      </w:r>
      <w:r>
        <w:rPr>
          <w:spacing w:val="10"/>
          <w:w w:val="120"/>
        </w:rPr>
        <w:t> </w:t>
      </w:r>
      <w:r>
        <w:rPr>
          <w:w w:val="120"/>
        </w:rPr>
        <w:t>In</w:t>
      </w:r>
      <w:r>
        <w:rPr>
          <w:spacing w:val="10"/>
          <w:w w:val="120"/>
        </w:rPr>
        <w:t> </w:t>
      </w:r>
      <w:r>
        <w:rPr>
          <w:spacing w:val="-4"/>
          <w:w w:val="120"/>
        </w:rPr>
        <w:t>1994</w:t>
      </w:r>
      <w:r>
        <w:rPr>
          <w:spacing w:val="9"/>
          <w:w w:val="120"/>
        </w:rPr>
        <w:t> </w:t>
      </w:r>
      <w:r>
        <w:rPr>
          <w:w w:val="120"/>
        </w:rPr>
        <w:t>talks</w:t>
      </w:r>
      <w:r>
        <w:rPr>
          <w:spacing w:val="10"/>
          <w:w w:val="120"/>
        </w:rPr>
        <w:t> </w:t>
      </w:r>
      <w:r>
        <w:rPr>
          <w:w w:val="120"/>
        </w:rPr>
        <w:t>began</w:t>
      </w:r>
      <w:r>
        <w:rPr>
          <w:spacing w:val="10"/>
          <w:w w:val="120"/>
        </w:rPr>
        <w:t> </w:t>
      </w:r>
      <w:r>
        <w:rPr>
          <w:w w:val="120"/>
        </w:rPr>
        <w:t>with</w:t>
      </w:r>
      <w:r>
        <w:rPr>
          <w:spacing w:val="10"/>
          <w:w w:val="120"/>
        </w:rPr>
        <w:t> </w:t>
      </w:r>
      <w:r>
        <w:rPr>
          <w:w w:val="120"/>
        </w:rPr>
        <w:t>the</w:t>
      </w:r>
      <w:r>
        <w:rPr>
          <w:spacing w:val="9"/>
          <w:w w:val="120"/>
        </w:rPr>
        <w:t> </w:t>
      </w:r>
      <w:r>
        <w:rPr>
          <w:w w:val="120"/>
        </w:rPr>
        <w:t>Anglican</w:t>
      </w:r>
      <w:r>
        <w:rPr>
          <w:spacing w:val="10"/>
          <w:w w:val="120"/>
        </w:rPr>
        <w:t> </w:t>
      </w:r>
      <w:r>
        <w:rPr>
          <w:w w:val="120"/>
        </w:rPr>
        <w:t>Church</w:t>
      </w:r>
      <w:r>
        <w:rPr>
          <w:spacing w:val="10"/>
          <w:w w:val="120"/>
        </w:rPr>
        <w:t> </w:t>
      </w:r>
      <w:r>
        <w:rPr>
          <w:w w:val="120"/>
        </w:rPr>
        <w:t>to</w:t>
      </w:r>
      <w:r>
        <w:rPr>
          <w:spacing w:val="10"/>
          <w:w w:val="120"/>
        </w:rPr>
        <w:t> </w:t>
      </w:r>
      <w:r>
        <w:rPr>
          <w:w w:val="120"/>
        </w:rPr>
        <w:t>form</w:t>
      </w:r>
      <w:r>
        <w:rPr>
          <w:spacing w:val="9"/>
          <w:w w:val="120"/>
        </w:rPr>
        <w:t> </w:t>
      </w:r>
      <w:r>
        <w:rPr>
          <w:w w:val="120"/>
        </w:rPr>
        <w:t>an</w:t>
      </w:r>
      <w:r>
        <w:rPr>
          <w:spacing w:val="10"/>
          <w:w w:val="120"/>
        </w:rPr>
        <w:t> </w:t>
      </w:r>
      <w:r>
        <w:rPr>
          <w:w w:val="120"/>
        </w:rPr>
        <w:t>LEP</w:t>
      </w:r>
      <w:r>
        <w:rPr>
          <w:spacing w:val="10"/>
          <w:w w:val="120"/>
        </w:rPr>
        <w:t> </w:t>
      </w:r>
      <w:r>
        <w:rPr>
          <w:w w:val="120"/>
        </w:rPr>
        <w:t>on</w:t>
      </w:r>
    </w:p>
    <w:p>
      <w:pPr>
        <w:pStyle w:val="BodyText"/>
        <w:spacing w:line="235" w:lineRule="auto" w:before="3"/>
        <w:ind w:left="1133" w:right="2533"/>
      </w:pPr>
      <w:r>
        <w:rPr>
          <w:w w:val="120"/>
        </w:rPr>
        <w:t>St Dunstan’s site but these came to nothing. Most of the houses around the church had been demolished but replaced with a few modern houses built for the now multi-ethnic population.</w:t>
      </w:r>
    </w:p>
    <w:p>
      <w:pPr>
        <w:pStyle w:val="BodyText"/>
        <w:spacing w:before="10"/>
        <w:rPr>
          <w:sz w:val="19"/>
        </w:rPr>
      </w:pPr>
    </w:p>
    <w:p>
      <w:pPr>
        <w:pStyle w:val="BodyText"/>
        <w:spacing w:line="235" w:lineRule="auto"/>
        <w:ind w:left="1133" w:right="2191"/>
      </w:pPr>
      <w:r>
        <w:rPr>
          <w:w w:val="120"/>
        </w:rPr>
        <w:t>In 2003, the building was sold and the congregation moved into the recently vacated and modernised Salvation Army hall. They had a mission to the local community and worked hard at that mission, telling many good news stories.</w:t>
      </w:r>
    </w:p>
    <w:p>
      <w:pPr>
        <w:pStyle w:val="BodyText"/>
        <w:spacing w:before="10"/>
        <w:rPr>
          <w:sz w:val="19"/>
        </w:rPr>
      </w:pPr>
    </w:p>
    <w:p>
      <w:pPr>
        <w:pStyle w:val="BodyText"/>
        <w:spacing w:line="235" w:lineRule="auto"/>
        <w:ind w:left="1133" w:right="2191"/>
      </w:pPr>
      <w:r>
        <w:rPr>
          <w:w w:val="120"/>
        </w:rPr>
        <w:t>At that time the church shared a minister with the City Centre special category chaplaincy. In 2007, the few remaining members felt that they could not face another vacancy and a decision was made to close. The congregation dispersed to other Liverpool churches leaving the inner city with no URC presence. However, a full time special category ministry has recently been inducted to the City Centre.</w:t>
      </w:r>
    </w:p>
    <w:p>
      <w:pPr>
        <w:pStyle w:val="BodyText"/>
        <w:spacing w:before="1"/>
        <w:rPr>
          <w:sz w:val="22"/>
        </w:rPr>
      </w:pPr>
    </w:p>
    <w:p>
      <w:pPr>
        <w:pStyle w:val="Heading6"/>
        <w:spacing w:line="196" w:lineRule="auto"/>
        <w:ind w:right="1997"/>
      </w:pPr>
      <w:r>
        <w:rPr>
          <w:w w:val="110"/>
        </w:rPr>
        <w:t>Westminster Road United Reformed Church, Liverpool Mersey Synod</w:t>
      </w:r>
    </w:p>
    <w:p>
      <w:pPr>
        <w:pStyle w:val="BodyText"/>
        <w:spacing w:line="235" w:lineRule="auto" w:before="212"/>
        <w:ind w:left="1133" w:right="2284"/>
      </w:pPr>
      <w:r>
        <w:rPr>
          <w:w w:val="120"/>
        </w:rPr>
        <w:t>In 1866, the Revd John Jones </w:t>
      </w:r>
      <w:r>
        <w:rPr>
          <w:spacing w:val="3"/>
          <w:w w:val="120"/>
        </w:rPr>
        <w:t>left </w:t>
      </w:r>
      <w:r>
        <w:rPr>
          <w:w w:val="120"/>
        </w:rPr>
        <w:t>Claremont Chapel with </w:t>
      </w:r>
      <w:r>
        <w:rPr>
          <w:spacing w:val="3"/>
          <w:w w:val="120"/>
        </w:rPr>
        <w:t>part </w:t>
      </w:r>
      <w:r>
        <w:rPr>
          <w:w w:val="120"/>
        </w:rPr>
        <w:t>of the congregation and built an iron church at Chadwick Mount. Within a few years this had been replaced by    a new church and lecture hall. Despite </w:t>
      </w:r>
      <w:r>
        <w:rPr>
          <w:spacing w:val="2"/>
          <w:w w:val="120"/>
        </w:rPr>
        <w:t>wartime </w:t>
      </w:r>
      <w:r>
        <w:rPr>
          <w:w w:val="120"/>
        </w:rPr>
        <w:t>damage, worship continued there until </w:t>
      </w:r>
      <w:r>
        <w:rPr>
          <w:spacing w:val="-10"/>
          <w:w w:val="120"/>
        </w:rPr>
        <w:t>1974 </w:t>
      </w:r>
      <w:r>
        <w:rPr>
          <w:w w:val="120"/>
        </w:rPr>
        <w:t>when the lecture hall was refurbished as a chapel and the previous </w:t>
      </w:r>
      <w:r>
        <w:rPr>
          <w:spacing w:val="2"/>
          <w:w w:val="120"/>
        </w:rPr>
        <w:t>sanctuary </w:t>
      </w:r>
      <w:r>
        <w:rPr>
          <w:w w:val="120"/>
        </w:rPr>
        <w:t>as a large games</w:t>
      </w:r>
      <w:r>
        <w:rPr>
          <w:spacing w:val="8"/>
          <w:w w:val="120"/>
        </w:rPr>
        <w:t> </w:t>
      </w:r>
      <w:r>
        <w:rPr>
          <w:w w:val="120"/>
        </w:rPr>
        <w:t>hall.</w:t>
      </w:r>
    </w:p>
    <w:p>
      <w:pPr>
        <w:pStyle w:val="BodyText"/>
        <w:spacing w:before="11"/>
        <w:rPr>
          <w:sz w:val="19"/>
        </w:rPr>
      </w:pPr>
    </w:p>
    <w:p>
      <w:pPr>
        <w:pStyle w:val="BodyText"/>
        <w:spacing w:line="235" w:lineRule="auto"/>
        <w:ind w:left="1133" w:right="2097"/>
      </w:pPr>
      <w:r>
        <w:rPr>
          <w:w w:val="120"/>
        </w:rPr>
        <w:t>In recent years many members moved out of the area and found travel hard, particularly the elderly, and various options for use of the building were considered. Eventually it was concluded that the only real option was to close the building and for the fellowship to</w:t>
      </w:r>
      <w:r>
        <w:rPr>
          <w:spacing w:val="7"/>
          <w:w w:val="120"/>
        </w:rPr>
        <w:t> </w:t>
      </w:r>
      <w:r>
        <w:rPr>
          <w:w w:val="120"/>
        </w:rPr>
        <w:t>disperse</w:t>
      </w:r>
      <w:r>
        <w:rPr>
          <w:spacing w:val="8"/>
          <w:w w:val="120"/>
        </w:rPr>
        <w:t> </w:t>
      </w:r>
      <w:r>
        <w:rPr>
          <w:w w:val="120"/>
        </w:rPr>
        <w:t>to</w:t>
      </w:r>
      <w:r>
        <w:rPr>
          <w:spacing w:val="7"/>
          <w:w w:val="120"/>
        </w:rPr>
        <w:t> </w:t>
      </w:r>
      <w:r>
        <w:rPr>
          <w:w w:val="120"/>
        </w:rPr>
        <w:t>other</w:t>
      </w:r>
      <w:r>
        <w:rPr>
          <w:spacing w:val="8"/>
          <w:w w:val="120"/>
        </w:rPr>
        <w:t> </w:t>
      </w:r>
      <w:r>
        <w:rPr>
          <w:w w:val="120"/>
        </w:rPr>
        <w:t>congregations.</w:t>
      </w:r>
      <w:r>
        <w:rPr>
          <w:spacing w:val="7"/>
          <w:w w:val="120"/>
        </w:rPr>
        <w:t> </w:t>
      </w:r>
      <w:r>
        <w:rPr>
          <w:w w:val="120"/>
        </w:rPr>
        <w:t>The</w:t>
      </w:r>
      <w:r>
        <w:rPr>
          <w:spacing w:val="8"/>
          <w:w w:val="120"/>
        </w:rPr>
        <w:t> </w:t>
      </w:r>
      <w:r>
        <w:rPr>
          <w:w w:val="120"/>
        </w:rPr>
        <w:t>final</w:t>
      </w:r>
      <w:r>
        <w:rPr>
          <w:spacing w:val="7"/>
          <w:w w:val="120"/>
        </w:rPr>
        <w:t> </w:t>
      </w:r>
      <w:r>
        <w:rPr>
          <w:w w:val="120"/>
        </w:rPr>
        <w:t>service</w:t>
      </w:r>
      <w:r>
        <w:rPr>
          <w:spacing w:val="8"/>
          <w:w w:val="120"/>
        </w:rPr>
        <w:t> </w:t>
      </w:r>
      <w:r>
        <w:rPr>
          <w:w w:val="120"/>
        </w:rPr>
        <w:t>was</w:t>
      </w:r>
      <w:r>
        <w:rPr>
          <w:spacing w:val="7"/>
          <w:w w:val="120"/>
        </w:rPr>
        <w:t> </w:t>
      </w:r>
      <w:r>
        <w:rPr>
          <w:w w:val="120"/>
        </w:rPr>
        <w:t>held</w:t>
      </w:r>
      <w:r>
        <w:rPr>
          <w:spacing w:val="8"/>
          <w:w w:val="120"/>
        </w:rPr>
        <w:t> </w:t>
      </w:r>
      <w:r>
        <w:rPr>
          <w:w w:val="120"/>
        </w:rPr>
        <w:t>on</w:t>
      </w:r>
      <w:r>
        <w:rPr>
          <w:spacing w:val="7"/>
          <w:w w:val="120"/>
        </w:rPr>
        <w:t> </w:t>
      </w:r>
      <w:r>
        <w:rPr>
          <w:spacing w:val="-3"/>
          <w:w w:val="120"/>
        </w:rPr>
        <w:t>12</w:t>
      </w:r>
      <w:r>
        <w:rPr>
          <w:spacing w:val="-3"/>
          <w:w w:val="120"/>
          <w:position w:val="7"/>
          <w:sz w:val="11"/>
        </w:rPr>
        <w:t>th</w:t>
      </w:r>
      <w:r>
        <w:rPr>
          <w:spacing w:val="6"/>
          <w:w w:val="120"/>
          <w:position w:val="7"/>
          <w:sz w:val="11"/>
        </w:rPr>
        <w:t> </w:t>
      </w:r>
      <w:r>
        <w:rPr>
          <w:w w:val="120"/>
        </w:rPr>
        <w:t>October</w:t>
      </w:r>
      <w:r>
        <w:rPr>
          <w:spacing w:val="8"/>
          <w:w w:val="120"/>
        </w:rPr>
        <w:t> </w:t>
      </w:r>
      <w:r>
        <w:rPr>
          <w:w w:val="120"/>
        </w:rPr>
        <w:t>2008.</w:t>
      </w:r>
    </w:p>
    <w:p>
      <w:pPr>
        <w:pStyle w:val="BodyText"/>
        <w:rPr>
          <w:sz w:val="22"/>
        </w:rPr>
      </w:pPr>
    </w:p>
    <w:p>
      <w:pPr>
        <w:pStyle w:val="Heading6"/>
        <w:spacing w:line="196" w:lineRule="auto"/>
        <w:ind w:right="4859"/>
      </w:pPr>
      <w:r>
        <w:rPr>
          <w:w w:val="110"/>
        </w:rPr>
        <w:t>Long Sutton United Reformed Church East Midlands Synod</w:t>
      </w:r>
    </w:p>
    <w:p>
      <w:pPr>
        <w:pStyle w:val="BodyText"/>
        <w:spacing w:line="235" w:lineRule="auto" w:before="212"/>
        <w:ind w:left="1133" w:right="2165"/>
      </w:pPr>
      <w:r>
        <w:rPr>
          <w:w w:val="120"/>
        </w:rPr>
        <w:t>Beginning in </w:t>
      </w:r>
      <w:r>
        <w:rPr>
          <w:spacing w:val="-11"/>
          <w:w w:val="120"/>
        </w:rPr>
        <w:t>1817  </w:t>
      </w:r>
      <w:r>
        <w:rPr>
          <w:w w:val="120"/>
        </w:rPr>
        <w:t>a minister from Wisbech travelled to Long Sutton to offer   independent worship in a barn fitted for that purpose. ‘Attendance proving </w:t>
      </w:r>
      <w:r>
        <w:rPr>
          <w:spacing w:val="2"/>
          <w:w w:val="120"/>
        </w:rPr>
        <w:t>very </w:t>
      </w:r>
      <w:r>
        <w:rPr>
          <w:w w:val="120"/>
        </w:rPr>
        <w:t>numerous’, a student minister was called who presided over the building of a chapel for </w:t>
      </w:r>
      <w:r>
        <w:rPr>
          <w:spacing w:val="2"/>
          <w:w w:val="120"/>
        </w:rPr>
        <w:t>300 </w:t>
      </w:r>
      <w:r>
        <w:rPr>
          <w:w w:val="120"/>
        </w:rPr>
        <w:t>people at a cost of </w:t>
      </w:r>
      <w:r>
        <w:rPr>
          <w:spacing w:val="-8"/>
          <w:w w:val="120"/>
        </w:rPr>
        <w:t>£1,134.16s.</w:t>
      </w:r>
      <w:r>
        <w:rPr>
          <w:spacing w:val="31"/>
          <w:w w:val="120"/>
        </w:rPr>
        <w:t> </w:t>
      </w:r>
      <w:r>
        <w:rPr>
          <w:w w:val="120"/>
        </w:rPr>
        <w:t>5d.</w:t>
      </w:r>
    </w:p>
    <w:p>
      <w:pPr>
        <w:pStyle w:val="BodyText"/>
        <w:spacing w:before="11"/>
        <w:rPr>
          <w:sz w:val="19"/>
        </w:rPr>
      </w:pPr>
    </w:p>
    <w:p>
      <w:pPr>
        <w:pStyle w:val="BodyText"/>
        <w:spacing w:line="235" w:lineRule="auto"/>
        <w:ind w:left="1133" w:right="2076"/>
      </w:pPr>
      <w:r>
        <w:rPr>
          <w:w w:val="120"/>
        </w:rPr>
        <w:t>The chapel became part of the Congregational Union and flourished as it served the people of Long Sutton. At the beginning of the twentieth century an additional building was constructed to provide for the growing Sunday School, Women’s Group, the first Girls’ Brigade company in Long Sutton and a very popular youth club. There was a stage for plays and concerts. Spring, Autumn and Christmas bazaars were held. Every year the church organized a sponsored walk to Gorefield, approximately nine miles away.</w:t>
      </w:r>
    </w:p>
    <w:p>
      <w:pPr>
        <w:pStyle w:val="BodyText"/>
      </w:pPr>
    </w:p>
    <w:p>
      <w:pPr>
        <w:pStyle w:val="BodyText"/>
        <w:spacing w:line="235" w:lineRule="auto"/>
        <w:ind w:left="1133" w:right="2394"/>
      </w:pPr>
      <w:r>
        <w:rPr>
          <w:w w:val="120"/>
        </w:rPr>
        <w:t>In the early 1970s the chapel building was found to have severe rot problems. It was sold and the members moved across the road to the school building. In 1972 they joined the newly formed United Reformed Church and later shared ministry with Wisbech URC. Unfortunately in recent times the number of people attending the</w:t>
      </w:r>
    </w:p>
    <w:p>
      <w:pPr>
        <w:spacing w:after="0" w:line="235" w:lineRule="auto"/>
        <w:sectPr>
          <w:pgSz w:w="11910" w:h="16840"/>
          <w:pgMar w:header="0" w:footer="647" w:top="1060" w:bottom="840" w:left="0" w:right="0"/>
        </w:sectPr>
      </w:pPr>
    </w:p>
    <w:p>
      <w:pPr>
        <w:pStyle w:val="BodyText"/>
        <w:spacing w:line="235" w:lineRule="auto" w:before="91"/>
        <w:ind w:left="1984" w:right="1425"/>
      </w:pPr>
      <w:r>
        <w:rPr/>
        <w:pict>
          <v:rect style="position:absolute;margin-left:558.424988pt;margin-top:8.503343pt;width:22.677pt;height:22.677pt;mso-position-horizontal-relative:page;mso-position-vertical-relative:paragraph;z-index:252260352" filled="true" fillcolor="#dae4ec" stroked="false">
            <v:fill opacity="32768f" type="solid"/>
            <w10:wrap type="none"/>
          </v:rect>
        </w:pict>
      </w:r>
      <w:r>
        <w:rPr>
          <w:w w:val="120"/>
        </w:rPr>
        <w:t>church declined due to age and frailty. The congregation realized that the building   could no longer be maintained and decided to merge with the Wisbech church, which was undergoing extensive refurbishment to maintain its mission to the community. On </w:t>
      </w:r>
      <w:r>
        <w:rPr>
          <w:spacing w:val="-4"/>
          <w:w w:val="120"/>
        </w:rPr>
        <w:t>1</w:t>
      </w:r>
      <w:r>
        <w:rPr>
          <w:spacing w:val="-4"/>
          <w:w w:val="120"/>
          <w:position w:val="7"/>
          <w:sz w:val="11"/>
        </w:rPr>
        <w:t>st </w:t>
      </w:r>
      <w:r>
        <w:rPr>
          <w:w w:val="120"/>
        </w:rPr>
        <w:t>August </w:t>
      </w:r>
      <w:r>
        <w:rPr>
          <w:spacing w:val="2"/>
          <w:w w:val="120"/>
        </w:rPr>
        <w:t>2008 </w:t>
      </w:r>
      <w:r>
        <w:rPr>
          <w:w w:val="120"/>
        </w:rPr>
        <w:t>members from Long Sutton joined members at Wisbech to form Castle Square United Reformed</w:t>
      </w:r>
      <w:r>
        <w:rPr>
          <w:spacing w:val="13"/>
          <w:w w:val="120"/>
        </w:rPr>
        <w:t> </w:t>
      </w:r>
      <w:r>
        <w:rPr>
          <w:w w:val="120"/>
        </w:rPr>
        <w:t>Church.</w:t>
      </w:r>
    </w:p>
    <w:p>
      <w:pPr>
        <w:pStyle w:val="BodyText"/>
        <w:rPr>
          <w:sz w:val="22"/>
        </w:rPr>
      </w:pPr>
    </w:p>
    <w:p>
      <w:pPr>
        <w:pStyle w:val="Heading6"/>
        <w:spacing w:line="196" w:lineRule="auto"/>
        <w:ind w:left="1984" w:right="4239"/>
      </w:pPr>
      <w:r>
        <w:rPr>
          <w:w w:val="110"/>
        </w:rPr>
        <w:t>Llandeilo United Reformed Church Synod of Wales</w:t>
      </w:r>
    </w:p>
    <w:p>
      <w:pPr>
        <w:pStyle w:val="BodyText"/>
        <w:spacing w:line="235" w:lineRule="auto" w:before="212"/>
        <w:ind w:left="1984" w:right="1120"/>
      </w:pPr>
      <w:r>
        <w:rPr>
          <w:w w:val="120"/>
        </w:rPr>
        <w:t>In 1882 the deacons of Tabernacl Welsh Congregational Church agreed to establish an English speaking congregation in the town of Llandeilo. Services were held in ‘The Davies Memorial Hall’, erected by Tabernacl in 1874 in memory of a well loved former minister.</w:t>
      </w:r>
    </w:p>
    <w:p>
      <w:pPr>
        <w:pStyle w:val="BodyText"/>
        <w:spacing w:before="10"/>
        <w:rPr>
          <w:sz w:val="19"/>
        </w:rPr>
      </w:pPr>
    </w:p>
    <w:p>
      <w:pPr>
        <w:pStyle w:val="BodyText"/>
        <w:spacing w:line="235" w:lineRule="auto"/>
        <w:ind w:left="1984" w:right="1120"/>
      </w:pPr>
      <w:r>
        <w:rPr>
          <w:w w:val="120"/>
        </w:rPr>
        <w:t>The cause was formally established on </w:t>
      </w:r>
      <w:r>
        <w:rPr>
          <w:spacing w:val="2"/>
          <w:w w:val="120"/>
        </w:rPr>
        <w:t>30</w:t>
      </w:r>
      <w:r>
        <w:rPr>
          <w:spacing w:val="2"/>
          <w:w w:val="120"/>
          <w:position w:val="7"/>
          <w:sz w:val="11"/>
        </w:rPr>
        <w:t>th </w:t>
      </w:r>
      <w:r>
        <w:rPr>
          <w:spacing w:val="2"/>
          <w:w w:val="120"/>
        </w:rPr>
        <w:t>January </w:t>
      </w:r>
      <w:r>
        <w:rPr>
          <w:spacing w:val="-4"/>
          <w:w w:val="120"/>
        </w:rPr>
        <w:t>1883 </w:t>
      </w:r>
      <w:r>
        <w:rPr>
          <w:w w:val="120"/>
        </w:rPr>
        <w:t>with a membership of 34. The church appointed it’s own full time minister </w:t>
      </w:r>
      <w:r>
        <w:rPr>
          <w:spacing w:val="2"/>
          <w:w w:val="120"/>
        </w:rPr>
        <w:t>shortly afterwards </w:t>
      </w:r>
      <w:r>
        <w:rPr>
          <w:w w:val="120"/>
        </w:rPr>
        <w:t>and membership grew until it reached it’s peak in </w:t>
      </w:r>
      <w:r>
        <w:rPr>
          <w:spacing w:val="-3"/>
          <w:w w:val="120"/>
        </w:rPr>
        <w:t>1944 </w:t>
      </w:r>
      <w:r>
        <w:rPr>
          <w:w w:val="120"/>
        </w:rPr>
        <w:t>at a total of </w:t>
      </w:r>
      <w:r>
        <w:rPr>
          <w:spacing w:val="-4"/>
          <w:w w:val="120"/>
        </w:rPr>
        <w:t>102.</w:t>
      </w:r>
    </w:p>
    <w:p>
      <w:pPr>
        <w:pStyle w:val="BodyText"/>
        <w:spacing w:before="10"/>
        <w:rPr>
          <w:sz w:val="19"/>
        </w:rPr>
      </w:pPr>
    </w:p>
    <w:p>
      <w:pPr>
        <w:pStyle w:val="BodyText"/>
        <w:spacing w:line="235" w:lineRule="auto"/>
        <w:ind w:left="1984" w:right="1120"/>
      </w:pPr>
      <w:r>
        <w:rPr>
          <w:w w:val="120"/>
        </w:rPr>
        <w:t>In 2004, the church was confronted with the prospect of significant expenditure to bring Memorial Hall up to modern standards. Members felt that this was not a responsible</w:t>
      </w:r>
    </w:p>
    <w:p>
      <w:pPr>
        <w:pStyle w:val="BodyText"/>
        <w:spacing w:line="235" w:lineRule="auto" w:before="2"/>
        <w:ind w:left="1984" w:right="1120"/>
      </w:pPr>
      <w:r>
        <w:rPr>
          <w:w w:val="120"/>
        </w:rPr>
        <w:t>use of funds since the church was about people and not bricks and mortar. Alternative venues were explored and following a final service in Memorial Hall on </w:t>
      </w:r>
      <w:r>
        <w:rPr>
          <w:spacing w:val="-5"/>
          <w:w w:val="120"/>
        </w:rPr>
        <w:t>15</w:t>
      </w:r>
      <w:r>
        <w:rPr>
          <w:spacing w:val="-5"/>
          <w:w w:val="120"/>
          <w:position w:val="7"/>
          <w:sz w:val="11"/>
        </w:rPr>
        <w:t>th </w:t>
      </w:r>
      <w:r>
        <w:rPr>
          <w:w w:val="120"/>
        </w:rPr>
        <w:t>August 2004 the congregation moved to worship once again at Tabernacl as Llandeilo</w:t>
      </w:r>
      <w:r>
        <w:rPr>
          <w:spacing w:val="52"/>
          <w:w w:val="120"/>
        </w:rPr>
        <w:t> </w:t>
      </w:r>
      <w:r>
        <w:rPr>
          <w:w w:val="120"/>
        </w:rPr>
        <w:t>URC.</w:t>
      </w:r>
    </w:p>
    <w:p>
      <w:pPr>
        <w:pStyle w:val="BodyText"/>
        <w:spacing w:before="10"/>
        <w:rPr>
          <w:sz w:val="19"/>
        </w:rPr>
      </w:pPr>
    </w:p>
    <w:p>
      <w:pPr>
        <w:pStyle w:val="BodyText"/>
        <w:spacing w:line="235" w:lineRule="auto"/>
        <w:ind w:left="1984" w:right="1273"/>
      </w:pPr>
      <w:r>
        <w:rPr>
          <w:w w:val="120"/>
        </w:rPr>
        <w:t>Declining membership in recent years led the church to the conclusion that its work had been done and that it was time to close. The final service took place on 23</w:t>
      </w:r>
      <w:r>
        <w:rPr>
          <w:w w:val="120"/>
          <w:position w:val="7"/>
          <w:sz w:val="11"/>
        </w:rPr>
        <w:t>rd </w:t>
      </w:r>
      <w:r>
        <w:rPr>
          <w:w w:val="120"/>
        </w:rPr>
        <w:t>November 2008 bringing to an end 126 years of witness through  the  medium  of  English  and service to the community.</w:t>
      </w:r>
    </w:p>
    <w:p>
      <w:pPr>
        <w:pStyle w:val="BodyText"/>
        <w:rPr>
          <w:sz w:val="22"/>
        </w:rPr>
      </w:pPr>
    </w:p>
    <w:p>
      <w:pPr>
        <w:pStyle w:val="Heading6"/>
        <w:spacing w:line="196" w:lineRule="auto"/>
        <w:ind w:left="1984" w:right="3166"/>
      </w:pPr>
      <w:r>
        <w:rPr>
          <w:w w:val="110"/>
        </w:rPr>
        <w:t>Morley Green United Reformed Church North Western Synod</w:t>
      </w:r>
    </w:p>
    <w:p>
      <w:pPr>
        <w:pStyle w:val="BodyText"/>
        <w:spacing w:line="235" w:lineRule="auto" w:before="212"/>
        <w:ind w:left="1984" w:right="1634"/>
      </w:pPr>
      <w:r>
        <w:rPr>
          <w:w w:val="120"/>
        </w:rPr>
        <w:t>In </w:t>
      </w:r>
      <w:r>
        <w:rPr>
          <w:spacing w:val="-4"/>
          <w:w w:val="120"/>
        </w:rPr>
        <w:t>1862, </w:t>
      </w:r>
      <w:r>
        <w:rPr>
          <w:w w:val="120"/>
        </w:rPr>
        <w:t>the village of Morley Green consisted of 80 families, a deprived agricultural community. Manchester City Mission held cottage meetings offering worship and Sunday School teaching. In </w:t>
      </w:r>
      <w:r>
        <w:rPr>
          <w:spacing w:val="-5"/>
          <w:w w:val="120"/>
        </w:rPr>
        <w:t>1869  </w:t>
      </w:r>
      <w:r>
        <w:rPr>
          <w:w w:val="120"/>
        </w:rPr>
        <w:t>a chapel was built, in </w:t>
      </w:r>
      <w:r>
        <w:rPr>
          <w:spacing w:val="-10"/>
          <w:w w:val="120"/>
        </w:rPr>
        <w:t>1874  </w:t>
      </w:r>
      <w:r>
        <w:rPr>
          <w:w w:val="120"/>
        </w:rPr>
        <w:t>a day school began on    the same premises, and in </w:t>
      </w:r>
      <w:r>
        <w:rPr>
          <w:spacing w:val="-4"/>
          <w:w w:val="120"/>
        </w:rPr>
        <w:t>1883 </w:t>
      </w:r>
      <w:r>
        <w:rPr>
          <w:w w:val="120"/>
        </w:rPr>
        <w:t>the building was expanded to accommodate more children. In </w:t>
      </w:r>
      <w:r>
        <w:rPr>
          <w:spacing w:val="-11"/>
          <w:w w:val="120"/>
        </w:rPr>
        <w:t>1917 </w:t>
      </w:r>
      <w:r>
        <w:rPr>
          <w:w w:val="120"/>
        </w:rPr>
        <w:t>the day school closed, but was reopened for evacuees during World War II, </w:t>
      </w:r>
      <w:r>
        <w:rPr>
          <w:spacing w:val="2"/>
          <w:w w:val="120"/>
        </w:rPr>
        <w:t>after </w:t>
      </w:r>
      <w:r>
        <w:rPr>
          <w:w w:val="120"/>
        </w:rPr>
        <w:t>which it remained in use as a </w:t>
      </w:r>
      <w:r>
        <w:rPr>
          <w:spacing w:val="2"/>
          <w:w w:val="120"/>
        </w:rPr>
        <w:t>primary </w:t>
      </w:r>
      <w:r>
        <w:rPr>
          <w:w w:val="120"/>
        </w:rPr>
        <w:t>school until the</w:t>
      </w:r>
      <w:r>
        <w:rPr>
          <w:spacing w:val="53"/>
          <w:w w:val="120"/>
        </w:rPr>
        <w:t> </w:t>
      </w:r>
      <w:r>
        <w:rPr>
          <w:spacing w:val="-4"/>
          <w:w w:val="120"/>
        </w:rPr>
        <w:t>1970s.</w:t>
      </w:r>
    </w:p>
    <w:p>
      <w:pPr>
        <w:pStyle w:val="BodyText"/>
      </w:pPr>
    </w:p>
    <w:p>
      <w:pPr>
        <w:pStyle w:val="BodyText"/>
        <w:spacing w:line="235" w:lineRule="auto"/>
        <w:ind w:left="1984" w:right="1273"/>
      </w:pPr>
      <w:r>
        <w:rPr>
          <w:w w:val="120"/>
        </w:rPr>
        <w:t>The chapel was always closely linked with and supported by the nearby Wilmslow congregation, while maintaining its own independent identity. In </w:t>
      </w:r>
      <w:r>
        <w:rPr>
          <w:spacing w:val="-8"/>
          <w:w w:val="120"/>
        </w:rPr>
        <w:t>1957 </w:t>
      </w:r>
      <w:r>
        <w:rPr>
          <w:w w:val="120"/>
        </w:rPr>
        <w:t>it had </w:t>
      </w:r>
      <w:r>
        <w:rPr>
          <w:spacing w:val="-3"/>
          <w:w w:val="120"/>
        </w:rPr>
        <w:t>45  </w:t>
      </w:r>
      <w:r>
        <w:rPr>
          <w:w w:val="120"/>
        </w:rPr>
        <w:t>members, but all the young people who grew up in the community had to leave to find work, as agriculture no longer needed large numbers of people. </w:t>
      </w:r>
      <w:r>
        <w:rPr>
          <w:spacing w:val="2"/>
          <w:w w:val="120"/>
        </w:rPr>
        <w:t>For </w:t>
      </w:r>
      <w:r>
        <w:rPr>
          <w:w w:val="120"/>
        </w:rPr>
        <w:t>the last years of the 20</w:t>
      </w:r>
      <w:r>
        <w:rPr>
          <w:w w:val="120"/>
          <w:position w:val="7"/>
          <w:sz w:val="11"/>
        </w:rPr>
        <w:t>th </w:t>
      </w:r>
      <w:r>
        <w:rPr>
          <w:w w:val="120"/>
        </w:rPr>
        <w:t>century the chapel maintained its place in the local community, while membership slowly fell and an increasing number of the congregation travelled in from outside. The reluctant decision to close was accelerated by the problems of an ageing building and a lack of potential</w:t>
      </w:r>
      <w:r>
        <w:rPr>
          <w:spacing w:val="12"/>
          <w:w w:val="120"/>
        </w:rPr>
        <w:t> </w:t>
      </w:r>
      <w:r>
        <w:rPr>
          <w:w w:val="120"/>
        </w:rPr>
        <w:t>elders.</w:t>
      </w:r>
    </w:p>
    <w:p>
      <w:pPr>
        <w:pStyle w:val="BodyText"/>
        <w:spacing w:before="1"/>
      </w:pPr>
    </w:p>
    <w:p>
      <w:pPr>
        <w:pStyle w:val="BodyText"/>
        <w:spacing w:line="235" w:lineRule="auto" w:before="1"/>
        <w:ind w:left="1984" w:right="1493"/>
      </w:pPr>
      <w:r>
        <w:rPr>
          <w:w w:val="120"/>
        </w:rPr>
        <w:t>From the impoverished community of </w:t>
      </w:r>
      <w:r>
        <w:rPr>
          <w:spacing w:val="-6"/>
          <w:w w:val="120"/>
        </w:rPr>
        <w:t>150 </w:t>
      </w:r>
      <w:r>
        <w:rPr>
          <w:w w:val="120"/>
        </w:rPr>
        <w:t>years ago Morley has become a commuter hamlet with a number of homes behind </w:t>
      </w:r>
      <w:r>
        <w:rPr>
          <w:spacing w:val="2"/>
          <w:w w:val="120"/>
        </w:rPr>
        <w:t>electric </w:t>
      </w:r>
      <w:r>
        <w:rPr>
          <w:w w:val="120"/>
        </w:rPr>
        <w:t>gates, where one family may now live in accommodation that previously housed three. Morley Green </w:t>
      </w:r>
      <w:r>
        <w:rPr>
          <w:spacing w:val="-3"/>
          <w:w w:val="120"/>
        </w:rPr>
        <w:t>URC’s  </w:t>
      </w:r>
      <w:r>
        <w:rPr>
          <w:spacing w:val="3"/>
          <w:w w:val="120"/>
        </w:rPr>
        <w:t>story </w:t>
      </w:r>
      <w:r>
        <w:rPr>
          <w:w w:val="120"/>
        </w:rPr>
        <w:t>was one   of a mission to agricultural families that was successfully completed with a service of thanksgiving on 25</w:t>
      </w:r>
      <w:r>
        <w:rPr>
          <w:w w:val="120"/>
          <w:position w:val="7"/>
          <w:sz w:val="11"/>
        </w:rPr>
        <w:t>th </w:t>
      </w:r>
      <w:r>
        <w:rPr>
          <w:w w:val="120"/>
        </w:rPr>
        <w:t>April</w:t>
      </w:r>
      <w:r>
        <w:rPr>
          <w:spacing w:val="14"/>
          <w:w w:val="120"/>
        </w:rPr>
        <w:t> </w:t>
      </w:r>
      <w:r>
        <w:rPr>
          <w:spacing w:val="-4"/>
          <w:w w:val="120"/>
        </w:rPr>
        <w:t>2010.</w:t>
      </w:r>
    </w:p>
    <w:p>
      <w:pPr>
        <w:spacing w:after="0" w:line="235" w:lineRule="auto"/>
        <w:sectPr>
          <w:pgSz w:w="11910" w:h="16840"/>
          <w:pgMar w:header="0" w:footer="647" w:top="1060" w:bottom="840" w:left="0" w:right="0"/>
        </w:sectPr>
      </w:pPr>
    </w:p>
    <w:p>
      <w:pPr>
        <w:pStyle w:val="Heading6"/>
        <w:spacing w:line="196" w:lineRule="auto" w:before="154"/>
        <w:ind w:right="3166"/>
      </w:pPr>
      <w:r>
        <w:rPr/>
        <w:pict>
          <v:rect style="position:absolute;margin-left:12.047pt;margin-top:8.489625pt;width:22.677pt;height:22.677pt;mso-position-horizontal-relative:page;mso-position-vertical-relative:paragraph;z-index:252261376" filled="true" fillcolor="#dae4ec" stroked="false">
            <v:fill opacity="32768f" type="solid"/>
            <w10:wrap type="none"/>
          </v:rect>
        </w:pict>
      </w:r>
      <w:r>
        <w:rPr>
          <w:w w:val="110"/>
        </w:rPr>
        <w:t>Tabernacl United Reformed Church, Narberth Synod of Wales</w:t>
      </w:r>
    </w:p>
    <w:p>
      <w:pPr>
        <w:spacing w:before="208"/>
        <w:ind w:left="1133" w:right="0" w:firstLine="0"/>
        <w:jc w:val="left"/>
        <w:rPr>
          <w:i/>
          <w:sz w:val="20"/>
        </w:rPr>
      </w:pPr>
      <w:r>
        <w:rPr>
          <w:i/>
          <w:w w:val="110"/>
          <w:sz w:val="20"/>
        </w:rPr>
        <w:t>No statement was submitted on behalf of this church.</w:t>
      </w:r>
    </w:p>
    <w:p>
      <w:pPr>
        <w:pStyle w:val="BodyText"/>
        <w:spacing w:before="8"/>
        <w:rPr>
          <w:i/>
          <w:sz w:val="21"/>
        </w:rPr>
      </w:pPr>
    </w:p>
    <w:p>
      <w:pPr>
        <w:pStyle w:val="Heading6"/>
        <w:spacing w:line="196" w:lineRule="auto" w:before="1"/>
        <w:ind w:right="4942"/>
      </w:pPr>
      <w:r>
        <w:rPr>
          <w:w w:val="110"/>
        </w:rPr>
        <w:t>Netherfield United Reformed Church East Midlands Synod</w:t>
      </w:r>
    </w:p>
    <w:p>
      <w:pPr>
        <w:pStyle w:val="BodyText"/>
        <w:spacing w:line="235" w:lineRule="auto" w:before="211"/>
        <w:ind w:left="1133" w:right="2224"/>
      </w:pPr>
      <w:r>
        <w:rPr>
          <w:w w:val="120"/>
        </w:rPr>
        <w:t>During </w:t>
      </w:r>
      <w:r>
        <w:rPr>
          <w:spacing w:val="-6"/>
          <w:w w:val="120"/>
        </w:rPr>
        <w:t>1841 </w:t>
      </w:r>
      <w:r>
        <w:rPr>
          <w:w w:val="120"/>
        </w:rPr>
        <w:t>seventeen members of the Church of Christ meeting in Barker Gate Nottingham were ‘dismissed’ to form a separate church in Carlton. This grew   significantly in the 1890s and the church looked to acquire its own building, purchasing    a site on Foster Street in the growing neighbourhood of </w:t>
      </w:r>
      <w:r>
        <w:rPr>
          <w:spacing w:val="2"/>
          <w:w w:val="120"/>
        </w:rPr>
        <w:t>Netherfield </w:t>
      </w:r>
      <w:r>
        <w:rPr>
          <w:w w:val="120"/>
        </w:rPr>
        <w:t>in </w:t>
      </w:r>
      <w:r>
        <w:rPr>
          <w:spacing w:val="-10"/>
          <w:w w:val="120"/>
        </w:rPr>
        <w:t>1897. </w:t>
      </w:r>
      <w:r>
        <w:rPr>
          <w:w w:val="120"/>
        </w:rPr>
        <w:t>The chapel opened on </w:t>
      </w:r>
      <w:r>
        <w:rPr>
          <w:spacing w:val="2"/>
          <w:w w:val="120"/>
        </w:rPr>
        <w:t>9</w:t>
      </w:r>
      <w:r>
        <w:rPr>
          <w:spacing w:val="2"/>
          <w:w w:val="120"/>
          <w:position w:val="7"/>
          <w:sz w:val="11"/>
        </w:rPr>
        <w:t>th </w:t>
      </w:r>
      <w:r>
        <w:rPr>
          <w:spacing w:val="2"/>
          <w:w w:val="120"/>
        </w:rPr>
        <w:t>January</w:t>
      </w:r>
      <w:r>
        <w:rPr>
          <w:spacing w:val="7"/>
          <w:w w:val="120"/>
        </w:rPr>
        <w:t> </w:t>
      </w:r>
      <w:r>
        <w:rPr>
          <w:w w:val="120"/>
        </w:rPr>
        <w:t>1904.</w:t>
      </w:r>
    </w:p>
    <w:p>
      <w:pPr>
        <w:pStyle w:val="BodyText"/>
      </w:pPr>
    </w:p>
    <w:p>
      <w:pPr>
        <w:pStyle w:val="BodyText"/>
        <w:spacing w:line="235" w:lineRule="auto"/>
        <w:ind w:left="1133" w:right="1997"/>
      </w:pPr>
      <w:r>
        <w:rPr>
          <w:w w:val="120"/>
        </w:rPr>
        <w:t>In 1932 land was purchased at the rear and a new building opened in 1935, providing extra accommodation for the Sunday school and also for the evening Gospel services (average attendance 160) which had outgrown the chapel. During the war the hall was requisitioned by the army. In the centenary year a membership of 215 was recorded.</w:t>
      </w:r>
    </w:p>
    <w:p>
      <w:pPr>
        <w:pStyle w:val="BodyText"/>
        <w:spacing w:line="235" w:lineRule="auto" w:before="3"/>
        <w:ind w:left="1133" w:right="1997"/>
      </w:pPr>
      <w:r>
        <w:rPr>
          <w:w w:val="120"/>
        </w:rPr>
        <w:t>At this time fifteen members were serving in the armed forces, but several of the men registered as conscientious objectors and two joined the Friends ambulance unit.</w:t>
      </w:r>
    </w:p>
    <w:p>
      <w:pPr>
        <w:pStyle w:val="BodyText"/>
        <w:spacing w:before="9"/>
        <w:rPr>
          <w:sz w:val="19"/>
        </w:rPr>
      </w:pPr>
    </w:p>
    <w:p>
      <w:pPr>
        <w:pStyle w:val="BodyText"/>
        <w:spacing w:line="235" w:lineRule="auto"/>
        <w:ind w:left="1133" w:right="2600"/>
      </w:pPr>
      <w:r>
        <w:rPr>
          <w:w w:val="120"/>
        </w:rPr>
        <w:t>In </w:t>
      </w:r>
      <w:r>
        <w:rPr>
          <w:spacing w:val="-6"/>
          <w:w w:val="120"/>
        </w:rPr>
        <w:t>1981  </w:t>
      </w:r>
      <w:r>
        <w:rPr>
          <w:w w:val="120"/>
        </w:rPr>
        <w:t>the chapel became </w:t>
      </w:r>
      <w:r>
        <w:rPr>
          <w:spacing w:val="3"/>
          <w:w w:val="120"/>
        </w:rPr>
        <w:t>part </w:t>
      </w:r>
      <w:r>
        <w:rPr>
          <w:w w:val="120"/>
        </w:rPr>
        <w:t>of the United Reformed Church. Becoming </w:t>
      </w:r>
      <w:r>
        <w:rPr>
          <w:spacing w:val="3"/>
          <w:w w:val="120"/>
        </w:rPr>
        <w:t>part </w:t>
      </w:r>
      <w:r>
        <w:rPr>
          <w:w w:val="120"/>
        </w:rPr>
        <w:t>of   a much larger </w:t>
      </w:r>
      <w:r>
        <w:rPr>
          <w:spacing w:val="2"/>
          <w:w w:val="120"/>
        </w:rPr>
        <w:t>structured </w:t>
      </w:r>
      <w:r>
        <w:rPr>
          <w:w w:val="120"/>
        </w:rPr>
        <w:t>denomination was hard for some. By </w:t>
      </w:r>
      <w:r>
        <w:rPr>
          <w:spacing w:val="-3"/>
          <w:w w:val="120"/>
        </w:rPr>
        <w:t>1999 </w:t>
      </w:r>
      <w:r>
        <w:rPr>
          <w:w w:val="120"/>
        </w:rPr>
        <w:t>members were already talking about how long they could continue, but were encouraged to keep going. During 2001 Revd </w:t>
      </w:r>
      <w:r>
        <w:rPr>
          <w:spacing w:val="3"/>
          <w:w w:val="120"/>
        </w:rPr>
        <w:t>Barry </w:t>
      </w:r>
      <w:r>
        <w:rPr>
          <w:w w:val="120"/>
        </w:rPr>
        <w:t>Drake became the interim minister and there were times when things looked more promising with work with the young people in the youth church, the annual playscheme and in the local</w:t>
      </w:r>
      <w:r>
        <w:rPr>
          <w:spacing w:val="51"/>
          <w:w w:val="120"/>
        </w:rPr>
        <w:t> </w:t>
      </w:r>
      <w:r>
        <w:rPr>
          <w:w w:val="120"/>
        </w:rPr>
        <w:t>school.</w:t>
      </w:r>
    </w:p>
    <w:p>
      <w:pPr>
        <w:pStyle w:val="BodyText"/>
      </w:pPr>
    </w:p>
    <w:p>
      <w:pPr>
        <w:pStyle w:val="BodyText"/>
        <w:spacing w:line="235" w:lineRule="auto" w:before="1"/>
        <w:ind w:left="1133" w:right="2251" w:hanging="1"/>
      </w:pPr>
      <w:r>
        <w:rPr>
          <w:w w:val="120"/>
        </w:rPr>
        <w:t>The church </w:t>
      </w:r>
      <w:r>
        <w:rPr>
          <w:spacing w:val="2"/>
          <w:w w:val="120"/>
        </w:rPr>
        <w:t>doors </w:t>
      </w:r>
      <w:r>
        <w:rPr>
          <w:w w:val="120"/>
        </w:rPr>
        <w:t>finally closed for Sunday worship on </w:t>
      </w:r>
      <w:r>
        <w:rPr>
          <w:spacing w:val="-6"/>
          <w:w w:val="120"/>
        </w:rPr>
        <w:t>31</w:t>
      </w:r>
      <w:r>
        <w:rPr>
          <w:spacing w:val="-6"/>
          <w:w w:val="120"/>
          <w:position w:val="7"/>
          <w:sz w:val="11"/>
        </w:rPr>
        <w:t>st </w:t>
      </w:r>
      <w:r>
        <w:rPr>
          <w:w w:val="120"/>
        </w:rPr>
        <w:t>August 2009. A final service  of thanksgiving was conducted on 10</w:t>
      </w:r>
      <w:r>
        <w:rPr>
          <w:w w:val="120"/>
          <w:position w:val="7"/>
          <w:sz w:val="11"/>
        </w:rPr>
        <w:t>th </w:t>
      </w:r>
      <w:r>
        <w:rPr>
          <w:w w:val="120"/>
        </w:rPr>
        <w:t>October</w:t>
      </w:r>
      <w:r>
        <w:rPr>
          <w:spacing w:val="39"/>
          <w:w w:val="120"/>
        </w:rPr>
        <w:t> </w:t>
      </w:r>
      <w:r>
        <w:rPr>
          <w:w w:val="120"/>
        </w:rPr>
        <w:t>2009.</w:t>
      </w:r>
    </w:p>
    <w:p>
      <w:pPr>
        <w:pStyle w:val="BodyText"/>
        <w:spacing w:before="10"/>
        <w:rPr>
          <w:sz w:val="21"/>
        </w:rPr>
      </w:pPr>
    </w:p>
    <w:p>
      <w:pPr>
        <w:pStyle w:val="Heading6"/>
        <w:spacing w:line="196" w:lineRule="auto"/>
        <w:ind w:right="4239"/>
      </w:pPr>
      <w:r>
        <w:rPr>
          <w:w w:val="110"/>
        </w:rPr>
        <w:t>Portland United Reformed Church, Dorset Wessex Synod</w:t>
      </w:r>
    </w:p>
    <w:p>
      <w:pPr>
        <w:spacing w:before="208"/>
        <w:ind w:left="1133" w:right="0" w:firstLine="0"/>
        <w:jc w:val="left"/>
        <w:rPr>
          <w:i/>
          <w:sz w:val="20"/>
        </w:rPr>
      </w:pPr>
      <w:r>
        <w:rPr>
          <w:i/>
          <w:w w:val="110"/>
          <w:sz w:val="20"/>
        </w:rPr>
        <w:t>No statement was submitted on behalf of this church.</w:t>
      </w:r>
    </w:p>
    <w:p>
      <w:pPr>
        <w:pStyle w:val="BodyText"/>
        <w:spacing w:before="8"/>
        <w:rPr>
          <w:i/>
          <w:sz w:val="21"/>
        </w:rPr>
      </w:pPr>
    </w:p>
    <w:p>
      <w:pPr>
        <w:pStyle w:val="Heading6"/>
        <w:spacing w:line="196" w:lineRule="auto" w:before="1"/>
        <w:ind w:right="4239"/>
      </w:pPr>
      <w:r>
        <w:rPr>
          <w:w w:val="110"/>
        </w:rPr>
        <w:t>Roath Park United Reformed Church Synod of Wales</w:t>
      </w:r>
    </w:p>
    <w:p>
      <w:pPr>
        <w:spacing w:before="207"/>
        <w:ind w:left="1133" w:right="0" w:firstLine="0"/>
        <w:jc w:val="left"/>
        <w:rPr>
          <w:i/>
          <w:sz w:val="20"/>
        </w:rPr>
      </w:pPr>
      <w:r>
        <w:rPr>
          <w:i/>
          <w:w w:val="110"/>
          <w:sz w:val="20"/>
        </w:rPr>
        <w:t>No statement was submitted on behalf of this church.</w:t>
      </w:r>
    </w:p>
    <w:p>
      <w:pPr>
        <w:pStyle w:val="BodyText"/>
        <w:spacing w:before="9"/>
        <w:rPr>
          <w:i/>
          <w:sz w:val="21"/>
        </w:rPr>
      </w:pPr>
    </w:p>
    <w:p>
      <w:pPr>
        <w:pStyle w:val="Heading6"/>
        <w:spacing w:line="196" w:lineRule="auto"/>
        <w:ind w:right="5549"/>
      </w:pPr>
      <w:r>
        <w:rPr>
          <w:w w:val="110"/>
        </w:rPr>
        <w:t>Ryton United Reformed Church Northern Synod</w:t>
      </w:r>
    </w:p>
    <w:p>
      <w:pPr>
        <w:pStyle w:val="BodyText"/>
        <w:spacing w:line="235" w:lineRule="auto" w:before="212"/>
        <w:ind w:left="1133" w:right="2394"/>
      </w:pPr>
      <w:r>
        <w:rPr>
          <w:w w:val="120"/>
        </w:rPr>
        <w:t>The church stemmed from the spiritual instruction by Joseph Lamb at a school which met in a joiner’s shop near the Tollgate in Crawcrook in </w:t>
      </w:r>
      <w:r>
        <w:rPr>
          <w:spacing w:val="-6"/>
          <w:w w:val="120"/>
        </w:rPr>
        <w:t>1833. </w:t>
      </w:r>
      <w:r>
        <w:rPr>
          <w:w w:val="120"/>
        </w:rPr>
        <w:t>Somewhat surprisingly, Mr Lamb obtained a licence from the Bishop of Durham to open a Congregational chapel, which duly took place on 24</w:t>
      </w:r>
      <w:r>
        <w:rPr>
          <w:w w:val="120"/>
          <w:position w:val="7"/>
          <w:sz w:val="11"/>
        </w:rPr>
        <w:t>th </w:t>
      </w:r>
      <w:r>
        <w:rPr>
          <w:w w:val="120"/>
        </w:rPr>
        <w:t>October </w:t>
      </w:r>
      <w:r>
        <w:rPr>
          <w:spacing w:val="-11"/>
          <w:w w:val="120"/>
        </w:rPr>
        <w:t>1837. </w:t>
      </w:r>
      <w:r>
        <w:rPr>
          <w:w w:val="120"/>
        </w:rPr>
        <w:t>Originally a </w:t>
      </w:r>
      <w:r>
        <w:rPr>
          <w:spacing w:val="2"/>
          <w:w w:val="120"/>
        </w:rPr>
        <w:t>rural </w:t>
      </w:r>
      <w:r>
        <w:rPr>
          <w:w w:val="120"/>
        </w:rPr>
        <w:t>area, </w:t>
      </w:r>
      <w:r>
        <w:rPr>
          <w:spacing w:val="2"/>
          <w:w w:val="120"/>
        </w:rPr>
        <w:t>Ryton </w:t>
      </w:r>
      <w:r>
        <w:rPr>
          <w:w w:val="120"/>
        </w:rPr>
        <w:t>was </w:t>
      </w:r>
      <w:r>
        <w:rPr>
          <w:spacing w:val="2"/>
          <w:w w:val="120"/>
        </w:rPr>
        <w:t>transformed </w:t>
      </w:r>
      <w:r>
        <w:rPr>
          <w:w w:val="120"/>
        </w:rPr>
        <w:t>with the advent of coal mining. The first minister was appointed in </w:t>
      </w:r>
      <w:r>
        <w:rPr>
          <w:spacing w:val="-4"/>
          <w:w w:val="120"/>
        </w:rPr>
        <w:t>1845 </w:t>
      </w:r>
      <w:r>
        <w:rPr>
          <w:w w:val="120"/>
        </w:rPr>
        <w:t>and in </w:t>
      </w:r>
      <w:r>
        <w:rPr>
          <w:spacing w:val="-6"/>
          <w:w w:val="120"/>
        </w:rPr>
        <w:t>1861 </w:t>
      </w:r>
      <w:r>
        <w:rPr>
          <w:w w:val="120"/>
        </w:rPr>
        <w:t>the church </w:t>
      </w:r>
      <w:r>
        <w:rPr>
          <w:spacing w:val="2"/>
          <w:w w:val="120"/>
        </w:rPr>
        <w:t>sanctuary </w:t>
      </w:r>
      <w:r>
        <w:rPr>
          <w:w w:val="120"/>
        </w:rPr>
        <w:t>was built and</w:t>
      </w:r>
      <w:r>
        <w:rPr>
          <w:spacing w:val="53"/>
          <w:w w:val="120"/>
        </w:rPr>
        <w:t> </w:t>
      </w:r>
      <w:r>
        <w:rPr>
          <w:w w:val="120"/>
        </w:rPr>
        <w:t>opened.</w:t>
      </w:r>
    </w:p>
    <w:p>
      <w:pPr>
        <w:pStyle w:val="BodyText"/>
      </w:pPr>
    </w:p>
    <w:p>
      <w:pPr>
        <w:pStyle w:val="BodyText"/>
        <w:spacing w:line="235" w:lineRule="auto"/>
        <w:ind w:left="1133" w:right="2191"/>
      </w:pPr>
      <w:r>
        <w:rPr>
          <w:w w:val="120"/>
        </w:rPr>
        <w:t>During the early years the congregation was a mixture of miners and a remarkable number of men with means! In the 1880s more comfortable pews were installed and the Sunday School building enlarged. An innovation in the early 1900s was a monthly young people’s service. Membership </w:t>
      </w:r>
      <w:r>
        <w:rPr>
          <w:spacing w:val="2"/>
          <w:w w:val="120"/>
        </w:rPr>
        <w:t>after </w:t>
      </w:r>
      <w:r>
        <w:rPr>
          <w:w w:val="120"/>
        </w:rPr>
        <w:t>the First World War was </w:t>
      </w:r>
      <w:r>
        <w:rPr>
          <w:spacing w:val="-6"/>
          <w:w w:val="120"/>
        </w:rPr>
        <w:t>239.</w:t>
      </w:r>
    </w:p>
    <w:p>
      <w:pPr>
        <w:spacing w:after="0" w:line="235" w:lineRule="auto"/>
        <w:sectPr>
          <w:pgSz w:w="11910" w:h="16840"/>
          <w:pgMar w:header="0" w:footer="647" w:top="1060" w:bottom="840" w:left="0" w:right="0"/>
        </w:sectPr>
      </w:pPr>
    </w:p>
    <w:p>
      <w:pPr>
        <w:pStyle w:val="BodyText"/>
        <w:spacing w:line="235" w:lineRule="auto" w:before="91"/>
        <w:ind w:left="1955" w:right="1200" w:hanging="1"/>
      </w:pPr>
      <w:r>
        <w:rPr/>
        <w:pict>
          <v:rect style="position:absolute;margin-left:558.424988pt;margin-top:8.503343pt;width:22.677pt;height:22.677pt;mso-position-horizontal-relative:page;mso-position-vertical-relative:paragraph;z-index:252262400" filled="true" fillcolor="#dae4ec" stroked="false">
            <v:fill opacity="32768f" type="solid"/>
            <w10:wrap type="none"/>
          </v:rect>
        </w:pict>
      </w:r>
      <w:r>
        <w:rPr>
          <w:w w:val="120"/>
        </w:rPr>
        <w:t>During the 20</w:t>
      </w:r>
      <w:r>
        <w:rPr>
          <w:w w:val="120"/>
          <w:position w:val="7"/>
          <w:sz w:val="11"/>
        </w:rPr>
        <w:t>th </w:t>
      </w:r>
      <w:r>
        <w:rPr>
          <w:w w:val="120"/>
        </w:rPr>
        <w:t>century activities played a large  role:  young  peoples’  fellowship, including exchange visits to the Lutheran Church in Germany; a thriving Sunday school with coach trips to the seaside; Girls’ and Boys’ Brigade companies; followed by Brownies and Girl Guides; Ladies’ meetings; and a </w:t>
      </w:r>
      <w:r>
        <w:rPr>
          <w:spacing w:val="-3"/>
          <w:w w:val="120"/>
        </w:rPr>
        <w:t>choir. </w:t>
      </w:r>
      <w:r>
        <w:rPr>
          <w:w w:val="120"/>
        </w:rPr>
        <w:t>Recently there has been a new initiative with Ryton Churches Together in the hosting of their </w:t>
      </w:r>
      <w:r>
        <w:rPr>
          <w:spacing w:val="-5"/>
          <w:w w:val="120"/>
        </w:rPr>
        <w:t>24/7 </w:t>
      </w:r>
      <w:r>
        <w:rPr>
          <w:w w:val="120"/>
        </w:rPr>
        <w:t>prayer event using the halls for a prayer room, creative activities, sleeping accommodation and</w:t>
      </w:r>
      <w:r>
        <w:rPr>
          <w:spacing w:val="19"/>
          <w:w w:val="120"/>
        </w:rPr>
        <w:t> </w:t>
      </w:r>
      <w:r>
        <w:rPr>
          <w:w w:val="120"/>
        </w:rPr>
        <w:t>refreshments.</w:t>
      </w:r>
    </w:p>
    <w:p>
      <w:pPr>
        <w:pStyle w:val="BodyText"/>
      </w:pPr>
    </w:p>
    <w:p>
      <w:pPr>
        <w:pStyle w:val="BodyText"/>
        <w:spacing w:line="235" w:lineRule="auto"/>
        <w:ind w:left="1955" w:right="1150"/>
      </w:pPr>
      <w:r>
        <w:rPr>
          <w:w w:val="120"/>
        </w:rPr>
        <w:t>Finance and reduced numbers led the congregation to agree closure in May </w:t>
      </w:r>
      <w:r>
        <w:rPr>
          <w:spacing w:val="-5"/>
          <w:w w:val="120"/>
        </w:rPr>
        <w:t>2010. </w:t>
      </w:r>
      <w:r>
        <w:rPr>
          <w:w w:val="120"/>
        </w:rPr>
        <w:t>We  give thanks for the witness of the Christian faith in the community over these many</w:t>
      </w:r>
      <w:r>
        <w:rPr>
          <w:spacing w:val="-4"/>
          <w:w w:val="120"/>
        </w:rPr>
        <w:t> </w:t>
      </w:r>
      <w:r>
        <w:rPr>
          <w:w w:val="120"/>
        </w:rPr>
        <w:t>years.</w:t>
      </w:r>
    </w:p>
    <w:p>
      <w:pPr>
        <w:pStyle w:val="BodyText"/>
        <w:spacing w:before="10"/>
        <w:rPr>
          <w:sz w:val="21"/>
        </w:rPr>
      </w:pPr>
    </w:p>
    <w:p>
      <w:pPr>
        <w:pStyle w:val="Heading6"/>
        <w:spacing w:line="196" w:lineRule="auto"/>
        <w:ind w:left="1955" w:right="2573"/>
      </w:pPr>
      <w:r>
        <w:rPr>
          <w:w w:val="110"/>
        </w:rPr>
        <w:t>Trinity United Reformed Church, Swansea Synod of Wales</w:t>
      </w:r>
    </w:p>
    <w:p>
      <w:pPr>
        <w:spacing w:before="208"/>
        <w:ind w:left="1955" w:right="0" w:firstLine="0"/>
        <w:jc w:val="left"/>
        <w:rPr>
          <w:i/>
          <w:sz w:val="20"/>
        </w:rPr>
      </w:pPr>
      <w:r>
        <w:rPr>
          <w:i/>
          <w:w w:val="110"/>
          <w:sz w:val="20"/>
        </w:rPr>
        <w:t>No statement was submitted on behalf of this church.</w:t>
      </w:r>
    </w:p>
    <w:p>
      <w:pPr>
        <w:pStyle w:val="BodyText"/>
        <w:spacing w:before="9"/>
        <w:rPr>
          <w:i/>
          <w:sz w:val="21"/>
        </w:rPr>
      </w:pPr>
    </w:p>
    <w:p>
      <w:pPr>
        <w:pStyle w:val="Heading6"/>
        <w:spacing w:line="196" w:lineRule="auto"/>
        <w:ind w:left="1955" w:right="1120"/>
      </w:pPr>
      <w:r>
        <w:rPr>
          <w:w w:val="110"/>
        </w:rPr>
        <w:t>Hampton Road United Reformed Church, Southport Mersey Synod</w:t>
      </w:r>
    </w:p>
    <w:p>
      <w:pPr>
        <w:pStyle w:val="BodyText"/>
        <w:spacing w:line="235" w:lineRule="auto" w:before="212"/>
        <w:ind w:left="1955" w:right="1466"/>
      </w:pPr>
      <w:r>
        <w:rPr>
          <w:w w:val="120"/>
        </w:rPr>
        <w:t>In 1855 land was donated by four men for a place of worship and in 1889 a foundation stone was laid for the Mission Hall and a pastor was appointed. Revd Tom B Baker ministered for 20 years including the time of the Great War when 20 members gave their lives.</w:t>
      </w:r>
    </w:p>
    <w:p>
      <w:pPr>
        <w:pStyle w:val="BodyText"/>
        <w:spacing w:before="10"/>
        <w:rPr>
          <w:sz w:val="19"/>
        </w:rPr>
      </w:pPr>
    </w:p>
    <w:p>
      <w:pPr>
        <w:pStyle w:val="BodyText"/>
        <w:spacing w:line="235" w:lineRule="auto" w:before="1"/>
        <w:ind w:left="1955" w:right="1466"/>
      </w:pPr>
      <w:r>
        <w:rPr>
          <w:w w:val="120"/>
        </w:rPr>
        <w:t>In </w:t>
      </w:r>
      <w:r>
        <w:rPr>
          <w:spacing w:val="-8"/>
          <w:w w:val="120"/>
        </w:rPr>
        <w:t>1924 </w:t>
      </w:r>
      <w:r>
        <w:rPr>
          <w:w w:val="120"/>
        </w:rPr>
        <w:t>a kitchen extension was opened and in </w:t>
      </w:r>
      <w:r>
        <w:rPr>
          <w:spacing w:val="-6"/>
          <w:w w:val="120"/>
        </w:rPr>
        <w:t>1926  </w:t>
      </w:r>
      <w:r>
        <w:rPr>
          <w:w w:val="120"/>
        </w:rPr>
        <w:t>the church became independent  of its founding church. The first wedding was that of the church secretary. A choir was formed in </w:t>
      </w:r>
      <w:r>
        <w:rPr>
          <w:spacing w:val="-6"/>
          <w:w w:val="120"/>
        </w:rPr>
        <w:t>1936 </w:t>
      </w:r>
      <w:r>
        <w:rPr>
          <w:w w:val="120"/>
        </w:rPr>
        <w:t>and in </w:t>
      </w:r>
      <w:r>
        <w:rPr>
          <w:spacing w:val="-9"/>
          <w:w w:val="120"/>
        </w:rPr>
        <w:t>1937 </w:t>
      </w:r>
      <w:r>
        <w:rPr>
          <w:w w:val="120"/>
        </w:rPr>
        <w:t>a sisterhood, later the women’s guild. A mixed fellowship group was formed which continued till closure and in </w:t>
      </w:r>
      <w:r>
        <w:rPr>
          <w:spacing w:val="-9"/>
          <w:w w:val="120"/>
        </w:rPr>
        <w:t>1974, </w:t>
      </w:r>
      <w:r>
        <w:rPr>
          <w:w w:val="120"/>
        </w:rPr>
        <w:t>a wives</w:t>
      </w:r>
      <w:r>
        <w:rPr>
          <w:spacing w:val="13"/>
          <w:w w:val="120"/>
        </w:rPr>
        <w:t> </w:t>
      </w:r>
      <w:r>
        <w:rPr>
          <w:w w:val="120"/>
        </w:rPr>
        <w:t>group.</w:t>
      </w:r>
    </w:p>
    <w:p>
      <w:pPr>
        <w:pStyle w:val="BodyText"/>
        <w:spacing w:before="10"/>
        <w:rPr>
          <w:sz w:val="19"/>
        </w:rPr>
      </w:pPr>
    </w:p>
    <w:p>
      <w:pPr>
        <w:pStyle w:val="BodyText"/>
        <w:spacing w:line="235" w:lineRule="auto"/>
        <w:ind w:left="1955" w:right="1120"/>
      </w:pPr>
      <w:r>
        <w:rPr>
          <w:w w:val="120"/>
        </w:rPr>
        <w:t>Over the years there was a Sunday school, noted for success in the Scripture Examination, and there were holiday clubs attended by 70 children. In 1971 Guide and Brownie packs were formed after the closure of a nearby Methodist church. A Mother and Toddler Club started in 1998, now continuing at Lord Street West URC/ Methodist church. An elder, Graham Knights, entered Northern College and was ordained in South Wales in 1990, retiring eventually from Poulton-le-Fylde.</w:t>
      </w:r>
    </w:p>
    <w:p>
      <w:pPr>
        <w:pStyle w:val="BodyText"/>
      </w:pPr>
    </w:p>
    <w:p>
      <w:pPr>
        <w:pStyle w:val="BodyText"/>
        <w:spacing w:line="235" w:lineRule="auto" w:before="1"/>
        <w:ind w:left="1955" w:right="1247"/>
      </w:pPr>
      <w:r>
        <w:rPr>
          <w:w w:val="120"/>
        </w:rPr>
        <w:t>In later years the church was </w:t>
      </w:r>
      <w:r>
        <w:rPr>
          <w:spacing w:val="3"/>
          <w:w w:val="120"/>
        </w:rPr>
        <w:t>part </w:t>
      </w:r>
      <w:r>
        <w:rPr>
          <w:w w:val="120"/>
        </w:rPr>
        <w:t>of joint pastorates within </w:t>
      </w:r>
      <w:r>
        <w:rPr>
          <w:spacing w:val="2"/>
          <w:w w:val="120"/>
        </w:rPr>
        <w:t>Southport. </w:t>
      </w:r>
      <w:r>
        <w:rPr>
          <w:w w:val="120"/>
        </w:rPr>
        <w:t>The last minister, Revd Peter Lyth, was shared with Churchtown. The building required major </w:t>
      </w:r>
      <w:r>
        <w:rPr>
          <w:spacing w:val="2"/>
          <w:w w:val="120"/>
        </w:rPr>
        <w:t>works </w:t>
      </w:r>
      <w:r>
        <w:rPr>
          <w:w w:val="120"/>
        </w:rPr>
        <w:t>and the congregation, feeling unable to cope, decided upon closure in </w:t>
      </w:r>
      <w:r>
        <w:rPr>
          <w:spacing w:val="2"/>
          <w:w w:val="120"/>
        </w:rPr>
        <w:t>2008. </w:t>
      </w:r>
      <w:r>
        <w:rPr>
          <w:w w:val="120"/>
        </w:rPr>
        <w:t>A final service was conducted on 4</w:t>
      </w:r>
      <w:r>
        <w:rPr>
          <w:w w:val="120"/>
          <w:position w:val="7"/>
          <w:sz w:val="11"/>
        </w:rPr>
        <w:t>th </w:t>
      </w:r>
      <w:r>
        <w:rPr>
          <w:spacing w:val="2"/>
          <w:w w:val="120"/>
        </w:rPr>
        <w:t>January 2009 </w:t>
      </w:r>
      <w:r>
        <w:rPr>
          <w:w w:val="120"/>
        </w:rPr>
        <w:t>by the minister and was attended by the moderator and many</w:t>
      </w:r>
      <w:r>
        <w:rPr>
          <w:spacing w:val="8"/>
          <w:w w:val="120"/>
        </w:rPr>
        <w:t> </w:t>
      </w:r>
      <w:r>
        <w:rPr>
          <w:w w:val="120"/>
        </w:rPr>
        <w:t>friends.</w:t>
      </w:r>
    </w:p>
    <w:p>
      <w:pPr>
        <w:pStyle w:val="BodyText"/>
        <w:rPr>
          <w:sz w:val="22"/>
        </w:rPr>
      </w:pPr>
    </w:p>
    <w:p>
      <w:pPr>
        <w:pStyle w:val="Heading6"/>
        <w:spacing w:line="196" w:lineRule="auto"/>
        <w:ind w:left="1955" w:right="4239"/>
      </w:pPr>
      <w:r>
        <w:rPr>
          <w:w w:val="110"/>
        </w:rPr>
        <w:t>Three Mile Cross United Church Wessex Synod</w:t>
      </w:r>
    </w:p>
    <w:p>
      <w:pPr>
        <w:spacing w:before="208"/>
        <w:ind w:left="1955" w:right="0" w:firstLine="0"/>
        <w:jc w:val="left"/>
        <w:rPr>
          <w:i/>
          <w:sz w:val="20"/>
        </w:rPr>
      </w:pPr>
      <w:r>
        <w:rPr>
          <w:i/>
          <w:w w:val="110"/>
          <w:sz w:val="20"/>
        </w:rPr>
        <w:t>No statement was submitted on behalf of this church.</w:t>
      </w:r>
    </w:p>
    <w:p>
      <w:pPr>
        <w:pStyle w:val="BodyText"/>
        <w:spacing w:before="9"/>
        <w:rPr>
          <w:i/>
          <w:sz w:val="21"/>
        </w:rPr>
      </w:pPr>
    </w:p>
    <w:p>
      <w:pPr>
        <w:pStyle w:val="Heading6"/>
        <w:spacing w:line="196" w:lineRule="auto"/>
        <w:ind w:left="1955" w:right="4239"/>
      </w:pPr>
      <w:r>
        <w:rPr>
          <w:w w:val="110"/>
        </w:rPr>
        <w:t>Welling United Reformed Church Southern Synod</w:t>
      </w:r>
    </w:p>
    <w:p>
      <w:pPr>
        <w:pStyle w:val="BodyText"/>
        <w:spacing w:line="235" w:lineRule="auto" w:before="212"/>
        <w:ind w:left="1955" w:right="1442"/>
      </w:pPr>
      <w:r>
        <w:rPr>
          <w:w w:val="120"/>
        </w:rPr>
        <w:t>This acknowledges the work of Mr Douglas Anderson, on whose history of the church this note draws heavily. In </w:t>
      </w:r>
      <w:r>
        <w:rPr>
          <w:spacing w:val="-4"/>
          <w:w w:val="120"/>
        </w:rPr>
        <w:t>1825 </w:t>
      </w:r>
      <w:r>
        <w:rPr>
          <w:w w:val="120"/>
        </w:rPr>
        <w:t>a few earnest Christians began holding meetings for prayer in each other’s houses. In time, needing a larger room, they met in the back of a silk weaver’s shop. But the need for a purpose built chapel increased. A public meeting was held which raised £40 on the spot. A site was secured in Danson </w:t>
      </w:r>
      <w:r>
        <w:rPr>
          <w:spacing w:val="2"/>
          <w:w w:val="120"/>
        </w:rPr>
        <w:t>Lane </w:t>
      </w:r>
      <w:r>
        <w:rPr>
          <w:w w:val="120"/>
        </w:rPr>
        <w:t>and the building of ‘Providence Chapel’ seating about </w:t>
      </w:r>
      <w:r>
        <w:rPr>
          <w:spacing w:val="-6"/>
          <w:w w:val="120"/>
        </w:rPr>
        <w:t>120  </w:t>
      </w:r>
      <w:r>
        <w:rPr>
          <w:w w:val="120"/>
        </w:rPr>
        <w:t>people was </w:t>
      </w:r>
      <w:r>
        <w:rPr>
          <w:spacing w:val="2"/>
          <w:w w:val="120"/>
        </w:rPr>
        <w:t>started </w:t>
      </w:r>
      <w:r>
        <w:rPr>
          <w:w w:val="120"/>
        </w:rPr>
        <w:t>in </w:t>
      </w:r>
      <w:r>
        <w:rPr>
          <w:spacing w:val="-9"/>
          <w:w w:val="120"/>
        </w:rPr>
        <w:t>1831.  </w:t>
      </w:r>
      <w:r>
        <w:rPr>
          <w:w w:val="120"/>
        </w:rPr>
        <w:t>In </w:t>
      </w:r>
      <w:r>
        <w:rPr>
          <w:spacing w:val="-4"/>
          <w:w w:val="120"/>
        </w:rPr>
        <w:t>1899    </w:t>
      </w:r>
      <w:r>
        <w:rPr>
          <w:w w:val="120"/>
        </w:rPr>
        <w:t>a new church was built in New Road. The name ‘Providence Sunday School’ can still be seen on the wall of what is now the Pentecostal</w:t>
      </w:r>
      <w:r>
        <w:rPr>
          <w:spacing w:val="41"/>
          <w:w w:val="120"/>
        </w:rPr>
        <w:t> </w:t>
      </w:r>
      <w:r>
        <w:rPr>
          <w:w w:val="120"/>
        </w:rPr>
        <w:t>church.</w:t>
      </w:r>
    </w:p>
    <w:p>
      <w:pPr>
        <w:spacing w:after="0" w:line="235" w:lineRule="auto"/>
        <w:sectPr>
          <w:pgSz w:w="11910" w:h="16840"/>
          <w:pgMar w:header="0" w:footer="647" w:top="1060" w:bottom="840" w:left="0" w:right="0"/>
        </w:sectPr>
      </w:pPr>
    </w:p>
    <w:p>
      <w:pPr>
        <w:pStyle w:val="BodyText"/>
        <w:spacing w:line="235" w:lineRule="auto" w:before="107"/>
        <w:ind w:left="1133" w:right="2305"/>
      </w:pPr>
      <w:r>
        <w:rPr/>
        <w:pict>
          <v:rect style="position:absolute;margin-left:12.047pt;margin-top:8.477343pt;width:22.677pt;height:22.677pt;mso-position-horizontal-relative:page;mso-position-vertical-relative:paragraph;z-index:252263424" filled="true" fillcolor="#dae4ec" stroked="false">
            <v:fill opacity="32768f" type="solid"/>
            <w10:wrap type="none"/>
          </v:rect>
        </w:pict>
      </w:r>
      <w:r>
        <w:rPr>
          <w:w w:val="120"/>
        </w:rPr>
        <w:t>Again larger premises were needed and in </w:t>
      </w:r>
      <w:r>
        <w:rPr>
          <w:spacing w:val="-6"/>
          <w:w w:val="120"/>
        </w:rPr>
        <w:t>1936 </w:t>
      </w:r>
      <w:r>
        <w:rPr>
          <w:w w:val="120"/>
        </w:rPr>
        <w:t>the church received the offer of a site  in Kelvin Road, Belle Grove. War breaking out prevented building until </w:t>
      </w:r>
      <w:r>
        <w:rPr>
          <w:spacing w:val="-7"/>
          <w:w w:val="120"/>
        </w:rPr>
        <w:t>1955, </w:t>
      </w:r>
      <w:r>
        <w:rPr>
          <w:w w:val="120"/>
        </w:rPr>
        <w:t>when the new church hall was completed. With help from war damage compensation from a bombed church at West Dulwich the </w:t>
      </w:r>
      <w:r>
        <w:rPr>
          <w:spacing w:val="2"/>
          <w:w w:val="120"/>
        </w:rPr>
        <w:t>sanctuary </w:t>
      </w:r>
      <w:r>
        <w:rPr>
          <w:w w:val="120"/>
        </w:rPr>
        <w:t>was added in</w:t>
      </w:r>
      <w:r>
        <w:rPr>
          <w:spacing w:val="8"/>
          <w:w w:val="120"/>
        </w:rPr>
        <w:t> </w:t>
      </w:r>
      <w:r>
        <w:rPr>
          <w:spacing w:val="-3"/>
          <w:w w:val="120"/>
        </w:rPr>
        <w:t>1960.</w:t>
      </w:r>
    </w:p>
    <w:p>
      <w:pPr>
        <w:pStyle w:val="BodyText"/>
        <w:spacing w:before="11"/>
        <w:rPr>
          <w:sz w:val="19"/>
        </w:rPr>
      </w:pPr>
    </w:p>
    <w:p>
      <w:pPr>
        <w:pStyle w:val="BodyText"/>
        <w:spacing w:line="235" w:lineRule="auto"/>
        <w:ind w:left="1133" w:right="1997"/>
      </w:pPr>
      <w:r>
        <w:rPr>
          <w:w w:val="120"/>
        </w:rPr>
        <w:t>Faithful ministry has been offered over the years. Playgroups, a concert group, crafts groups and Bible study have all flourished. Banners and hand-crafted furniture have all been given for the glory of God.</w:t>
      </w:r>
    </w:p>
    <w:p>
      <w:pPr>
        <w:pStyle w:val="BodyText"/>
        <w:spacing w:before="10"/>
        <w:rPr>
          <w:sz w:val="19"/>
        </w:rPr>
      </w:pPr>
    </w:p>
    <w:p>
      <w:pPr>
        <w:pStyle w:val="BodyText"/>
        <w:spacing w:line="235" w:lineRule="auto"/>
        <w:ind w:left="1133" w:right="2573"/>
      </w:pPr>
      <w:r>
        <w:rPr>
          <w:spacing w:val="2"/>
          <w:w w:val="120"/>
        </w:rPr>
        <w:t>After </w:t>
      </w:r>
      <w:r>
        <w:rPr>
          <w:w w:val="120"/>
        </w:rPr>
        <w:t>much </w:t>
      </w:r>
      <w:r>
        <w:rPr>
          <w:spacing w:val="2"/>
          <w:w w:val="120"/>
        </w:rPr>
        <w:t>prayerful </w:t>
      </w:r>
      <w:r>
        <w:rPr>
          <w:w w:val="120"/>
        </w:rPr>
        <w:t>consideration, and for the wellbeing of those involved, the decision was made that the church should close. A service of thanksgiving, looking both to the past and the future, was held on 10</w:t>
      </w:r>
      <w:r>
        <w:rPr>
          <w:w w:val="120"/>
          <w:position w:val="7"/>
          <w:sz w:val="11"/>
        </w:rPr>
        <w:t>th </w:t>
      </w:r>
      <w:r>
        <w:rPr>
          <w:spacing w:val="2"/>
          <w:w w:val="120"/>
        </w:rPr>
        <w:t>January </w:t>
      </w:r>
      <w:r>
        <w:rPr>
          <w:w w:val="120"/>
        </w:rPr>
        <w:t>2009.</w:t>
      </w:r>
    </w:p>
    <w:p>
      <w:pPr>
        <w:pStyle w:val="BodyText"/>
        <w:spacing w:before="12"/>
        <w:rPr>
          <w:sz w:val="21"/>
        </w:rPr>
      </w:pPr>
    </w:p>
    <w:p>
      <w:pPr>
        <w:pStyle w:val="Heading6"/>
        <w:spacing w:line="196" w:lineRule="auto"/>
        <w:ind w:right="2573"/>
      </w:pPr>
      <w:r>
        <w:rPr>
          <w:w w:val="110"/>
        </w:rPr>
        <w:t>Trinity United Reformed Church, Whitley Bay Northern Synod</w:t>
      </w:r>
    </w:p>
    <w:p>
      <w:pPr>
        <w:pStyle w:val="BodyText"/>
        <w:spacing w:line="235" w:lineRule="auto" w:before="211"/>
        <w:ind w:left="1133" w:right="2305"/>
      </w:pPr>
      <w:r>
        <w:rPr>
          <w:w w:val="120"/>
        </w:rPr>
        <w:t>On </w:t>
      </w:r>
      <w:r>
        <w:rPr>
          <w:spacing w:val="-3"/>
          <w:w w:val="120"/>
        </w:rPr>
        <w:t>18</w:t>
      </w:r>
      <w:r>
        <w:rPr>
          <w:spacing w:val="-3"/>
          <w:w w:val="120"/>
          <w:position w:val="7"/>
          <w:sz w:val="11"/>
        </w:rPr>
        <w:t>th </w:t>
      </w:r>
      <w:r>
        <w:rPr>
          <w:w w:val="120"/>
        </w:rPr>
        <w:t>May </w:t>
      </w:r>
      <w:r>
        <w:rPr>
          <w:spacing w:val="-4"/>
          <w:w w:val="120"/>
        </w:rPr>
        <w:t>1894 </w:t>
      </w:r>
      <w:r>
        <w:rPr>
          <w:w w:val="120"/>
        </w:rPr>
        <w:t>a plot of land was purchased in the Esplanade, Whitley </w:t>
      </w:r>
      <w:r>
        <w:rPr>
          <w:spacing w:val="-3"/>
          <w:w w:val="120"/>
        </w:rPr>
        <w:t>Bay. </w:t>
      </w:r>
      <w:r>
        <w:rPr>
          <w:w w:val="120"/>
        </w:rPr>
        <w:t>Plans  were drawn up for a church and hall. On </w:t>
      </w:r>
      <w:r>
        <w:rPr>
          <w:spacing w:val="-6"/>
          <w:w w:val="120"/>
        </w:rPr>
        <w:t>31</w:t>
      </w:r>
      <w:r>
        <w:rPr>
          <w:spacing w:val="-6"/>
          <w:w w:val="120"/>
          <w:position w:val="7"/>
          <w:sz w:val="11"/>
        </w:rPr>
        <w:t>st   </w:t>
      </w:r>
      <w:r>
        <w:rPr>
          <w:w w:val="120"/>
        </w:rPr>
        <w:t>July </w:t>
      </w:r>
      <w:r>
        <w:rPr>
          <w:spacing w:val="-5"/>
          <w:w w:val="120"/>
        </w:rPr>
        <w:t>1895  </w:t>
      </w:r>
      <w:r>
        <w:rPr>
          <w:w w:val="120"/>
        </w:rPr>
        <w:t>Sir George Barclay Bruce laid    the memorial stone for the hall, which opened for public worship on the 8</w:t>
      </w:r>
      <w:r>
        <w:rPr>
          <w:w w:val="120"/>
          <w:position w:val="7"/>
          <w:sz w:val="11"/>
        </w:rPr>
        <w:t>th </w:t>
      </w:r>
      <w:r>
        <w:rPr>
          <w:w w:val="120"/>
        </w:rPr>
        <w:t>November </w:t>
      </w:r>
      <w:r>
        <w:rPr>
          <w:spacing w:val="-5"/>
          <w:w w:val="120"/>
        </w:rPr>
        <w:t>1895 </w:t>
      </w:r>
      <w:r>
        <w:rPr>
          <w:w w:val="120"/>
        </w:rPr>
        <w:t>at a cost of £1600. There were </w:t>
      </w:r>
      <w:r>
        <w:rPr>
          <w:spacing w:val="-4"/>
          <w:w w:val="120"/>
        </w:rPr>
        <w:t>55 </w:t>
      </w:r>
      <w:r>
        <w:rPr>
          <w:w w:val="120"/>
        </w:rPr>
        <w:t>members and </w:t>
      </w:r>
      <w:r>
        <w:rPr>
          <w:spacing w:val="-4"/>
          <w:w w:val="120"/>
        </w:rPr>
        <w:t>21 </w:t>
      </w:r>
      <w:r>
        <w:rPr>
          <w:w w:val="120"/>
        </w:rPr>
        <w:t>adherents and on the 25</w:t>
      </w:r>
      <w:r>
        <w:rPr>
          <w:w w:val="120"/>
          <w:position w:val="7"/>
          <w:sz w:val="11"/>
        </w:rPr>
        <w:t>th </w:t>
      </w:r>
      <w:r>
        <w:rPr>
          <w:w w:val="120"/>
        </w:rPr>
        <w:t>November 1900 the church itself was</w:t>
      </w:r>
      <w:r>
        <w:rPr>
          <w:spacing w:val="29"/>
          <w:w w:val="120"/>
        </w:rPr>
        <w:t> </w:t>
      </w:r>
      <w:r>
        <w:rPr>
          <w:w w:val="120"/>
        </w:rPr>
        <w:t>opened.</w:t>
      </w:r>
    </w:p>
    <w:p>
      <w:pPr>
        <w:pStyle w:val="BodyText"/>
      </w:pPr>
    </w:p>
    <w:p>
      <w:pPr>
        <w:pStyle w:val="BodyText"/>
        <w:spacing w:line="235" w:lineRule="auto"/>
        <w:ind w:left="1133" w:right="2241"/>
      </w:pPr>
      <w:r>
        <w:rPr>
          <w:w w:val="120"/>
        </w:rPr>
        <w:t>By the </w:t>
      </w:r>
      <w:r>
        <w:rPr>
          <w:spacing w:val="-4"/>
          <w:w w:val="120"/>
        </w:rPr>
        <w:t>1930s </w:t>
      </w:r>
      <w:r>
        <w:rPr>
          <w:w w:val="120"/>
        </w:rPr>
        <w:t>the membership reached a peak of more than 900, the largest  Presbyterian congregation in the area. At the Diamond Jubilee the celebrations   included the renaming of the church as St Cuthbert’s United Reformed Church, and on </w:t>
      </w:r>
      <w:r>
        <w:rPr>
          <w:spacing w:val="-4"/>
          <w:w w:val="120"/>
        </w:rPr>
        <w:t>1</w:t>
      </w:r>
      <w:r>
        <w:rPr>
          <w:spacing w:val="-4"/>
          <w:w w:val="120"/>
          <w:position w:val="7"/>
          <w:sz w:val="11"/>
        </w:rPr>
        <w:t>st </w:t>
      </w:r>
      <w:r>
        <w:rPr>
          <w:w w:val="120"/>
        </w:rPr>
        <w:t>July </w:t>
      </w:r>
      <w:r>
        <w:rPr>
          <w:spacing w:val="-9"/>
          <w:w w:val="120"/>
        </w:rPr>
        <w:t>1975 </w:t>
      </w:r>
      <w:r>
        <w:rPr>
          <w:w w:val="120"/>
        </w:rPr>
        <w:t>the church joined forces with the Park Avenue Congregational church and became Trinity United Reformed Church, </w:t>
      </w:r>
      <w:r>
        <w:rPr>
          <w:spacing w:val="3"/>
          <w:w w:val="120"/>
        </w:rPr>
        <w:t>part </w:t>
      </w:r>
      <w:r>
        <w:rPr>
          <w:w w:val="120"/>
        </w:rPr>
        <w:t>of the coast group of Churches. Latterly   it</w:t>
      </w:r>
      <w:r>
        <w:rPr>
          <w:spacing w:val="10"/>
          <w:w w:val="120"/>
        </w:rPr>
        <w:t> </w:t>
      </w:r>
      <w:r>
        <w:rPr>
          <w:w w:val="120"/>
        </w:rPr>
        <w:t>was</w:t>
      </w:r>
      <w:r>
        <w:rPr>
          <w:spacing w:val="11"/>
          <w:w w:val="120"/>
        </w:rPr>
        <w:t> </w:t>
      </w:r>
      <w:r>
        <w:rPr>
          <w:w w:val="120"/>
        </w:rPr>
        <w:t>linked</w:t>
      </w:r>
      <w:r>
        <w:rPr>
          <w:spacing w:val="10"/>
          <w:w w:val="120"/>
        </w:rPr>
        <w:t> </w:t>
      </w:r>
      <w:r>
        <w:rPr>
          <w:w w:val="120"/>
        </w:rPr>
        <w:t>as</w:t>
      </w:r>
      <w:r>
        <w:rPr>
          <w:spacing w:val="11"/>
          <w:w w:val="120"/>
        </w:rPr>
        <w:t> </w:t>
      </w:r>
      <w:r>
        <w:rPr>
          <w:w w:val="120"/>
        </w:rPr>
        <w:t>a</w:t>
      </w:r>
      <w:r>
        <w:rPr>
          <w:spacing w:val="10"/>
          <w:w w:val="120"/>
        </w:rPr>
        <w:t> </w:t>
      </w:r>
      <w:r>
        <w:rPr>
          <w:w w:val="120"/>
        </w:rPr>
        <w:t>single</w:t>
      </w:r>
      <w:r>
        <w:rPr>
          <w:spacing w:val="11"/>
          <w:w w:val="120"/>
        </w:rPr>
        <w:t> </w:t>
      </w:r>
      <w:r>
        <w:rPr>
          <w:w w:val="120"/>
        </w:rPr>
        <w:t>pastorate</w:t>
      </w:r>
      <w:r>
        <w:rPr>
          <w:spacing w:val="10"/>
          <w:w w:val="120"/>
        </w:rPr>
        <w:t> </w:t>
      </w:r>
      <w:r>
        <w:rPr>
          <w:w w:val="120"/>
        </w:rPr>
        <w:t>with</w:t>
      </w:r>
      <w:r>
        <w:rPr>
          <w:spacing w:val="11"/>
          <w:w w:val="120"/>
        </w:rPr>
        <w:t> </w:t>
      </w:r>
      <w:r>
        <w:rPr>
          <w:w w:val="120"/>
        </w:rPr>
        <w:t>St</w:t>
      </w:r>
      <w:r>
        <w:rPr>
          <w:spacing w:val="10"/>
          <w:w w:val="120"/>
        </w:rPr>
        <w:t> </w:t>
      </w:r>
      <w:r>
        <w:rPr>
          <w:w w:val="120"/>
        </w:rPr>
        <w:t>Andrew’s</w:t>
      </w:r>
      <w:r>
        <w:rPr>
          <w:spacing w:val="11"/>
          <w:w w:val="120"/>
        </w:rPr>
        <w:t> </w:t>
      </w:r>
      <w:r>
        <w:rPr>
          <w:w w:val="120"/>
        </w:rPr>
        <w:t>URC</w:t>
      </w:r>
      <w:r>
        <w:rPr>
          <w:spacing w:val="10"/>
          <w:w w:val="120"/>
        </w:rPr>
        <w:t> </w:t>
      </w:r>
      <w:r>
        <w:rPr>
          <w:w w:val="120"/>
        </w:rPr>
        <w:t>in</w:t>
      </w:r>
      <w:r>
        <w:rPr>
          <w:spacing w:val="11"/>
          <w:w w:val="120"/>
        </w:rPr>
        <w:t> </w:t>
      </w:r>
      <w:r>
        <w:rPr>
          <w:w w:val="120"/>
        </w:rPr>
        <w:t>neighbouring</w:t>
      </w:r>
      <w:r>
        <w:rPr>
          <w:spacing w:val="10"/>
          <w:w w:val="120"/>
        </w:rPr>
        <w:t> </w:t>
      </w:r>
      <w:r>
        <w:rPr>
          <w:w w:val="120"/>
        </w:rPr>
        <w:t>Monkseaton.</w:t>
      </w:r>
    </w:p>
    <w:p>
      <w:pPr>
        <w:pStyle w:val="BodyText"/>
      </w:pPr>
    </w:p>
    <w:p>
      <w:pPr>
        <w:pStyle w:val="BodyText"/>
        <w:spacing w:line="235" w:lineRule="auto"/>
        <w:ind w:left="1133" w:right="2504"/>
      </w:pPr>
      <w:r>
        <w:rPr>
          <w:w w:val="120"/>
        </w:rPr>
        <w:t>In </w:t>
      </w:r>
      <w:r>
        <w:rPr>
          <w:spacing w:val="2"/>
          <w:w w:val="120"/>
        </w:rPr>
        <w:t>2008 </w:t>
      </w:r>
      <w:r>
        <w:rPr>
          <w:w w:val="120"/>
        </w:rPr>
        <w:t>the decision was taken to close, and the congregation dispersed amongst    the other local churches. It was a brave decision; the Church was both physically and financially</w:t>
      </w:r>
      <w:r>
        <w:rPr>
          <w:spacing w:val="7"/>
          <w:w w:val="120"/>
        </w:rPr>
        <w:t> </w:t>
      </w:r>
      <w:r>
        <w:rPr>
          <w:w w:val="120"/>
        </w:rPr>
        <w:t>sound,</w:t>
      </w:r>
      <w:r>
        <w:rPr>
          <w:spacing w:val="8"/>
          <w:w w:val="120"/>
        </w:rPr>
        <w:t> </w:t>
      </w:r>
      <w:r>
        <w:rPr>
          <w:w w:val="120"/>
        </w:rPr>
        <w:t>but</w:t>
      </w:r>
      <w:r>
        <w:rPr>
          <w:spacing w:val="7"/>
          <w:w w:val="120"/>
        </w:rPr>
        <w:t> </w:t>
      </w:r>
      <w:r>
        <w:rPr>
          <w:w w:val="120"/>
        </w:rPr>
        <w:t>age</w:t>
      </w:r>
      <w:r>
        <w:rPr>
          <w:spacing w:val="8"/>
          <w:w w:val="120"/>
        </w:rPr>
        <w:t> </w:t>
      </w:r>
      <w:r>
        <w:rPr>
          <w:w w:val="120"/>
        </w:rPr>
        <w:t>and</w:t>
      </w:r>
      <w:r>
        <w:rPr>
          <w:spacing w:val="7"/>
          <w:w w:val="120"/>
        </w:rPr>
        <w:t> </w:t>
      </w:r>
      <w:r>
        <w:rPr>
          <w:spacing w:val="2"/>
          <w:w w:val="120"/>
        </w:rPr>
        <w:t>mortality</w:t>
      </w:r>
      <w:r>
        <w:rPr>
          <w:spacing w:val="8"/>
          <w:w w:val="120"/>
        </w:rPr>
        <w:t> </w:t>
      </w:r>
      <w:r>
        <w:rPr>
          <w:w w:val="120"/>
        </w:rPr>
        <w:t>were</w:t>
      </w:r>
      <w:r>
        <w:rPr>
          <w:spacing w:val="7"/>
          <w:w w:val="120"/>
        </w:rPr>
        <w:t> </w:t>
      </w:r>
      <w:r>
        <w:rPr>
          <w:w w:val="120"/>
        </w:rPr>
        <w:t>taking</w:t>
      </w:r>
      <w:r>
        <w:rPr>
          <w:spacing w:val="8"/>
          <w:w w:val="120"/>
        </w:rPr>
        <w:t> </w:t>
      </w:r>
      <w:r>
        <w:rPr>
          <w:w w:val="120"/>
        </w:rPr>
        <w:t>their</w:t>
      </w:r>
      <w:r>
        <w:rPr>
          <w:spacing w:val="7"/>
          <w:w w:val="120"/>
        </w:rPr>
        <w:t> </w:t>
      </w:r>
      <w:r>
        <w:rPr>
          <w:w w:val="120"/>
        </w:rPr>
        <w:t>toll</w:t>
      </w:r>
      <w:r>
        <w:rPr>
          <w:spacing w:val="8"/>
          <w:w w:val="120"/>
        </w:rPr>
        <w:t> </w:t>
      </w:r>
      <w:r>
        <w:rPr>
          <w:w w:val="120"/>
        </w:rPr>
        <w:t>of</w:t>
      </w:r>
      <w:r>
        <w:rPr>
          <w:spacing w:val="8"/>
          <w:w w:val="120"/>
        </w:rPr>
        <w:t> </w:t>
      </w:r>
      <w:r>
        <w:rPr>
          <w:w w:val="120"/>
        </w:rPr>
        <w:t>the</w:t>
      </w:r>
      <w:r>
        <w:rPr>
          <w:spacing w:val="7"/>
          <w:w w:val="120"/>
        </w:rPr>
        <w:t> </w:t>
      </w:r>
      <w:r>
        <w:rPr>
          <w:w w:val="120"/>
        </w:rPr>
        <w:t>leadership.</w:t>
      </w:r>
    </w:p>
    <w:p>
      <w:pPr>
        <w:pStyle w:val="BodyText"/>
        <w:spacing w:line="235" w:lineRule="auto" w:before="2"/>
        <w:ind w:left="1133" w:right="2191"/>
      </w:pPr>
      <w:r>
        <w:rPr>
          <w:w w:val="120"/>
        </w:rPr>
        <w:t>Northern Synod decided not to sell the premises; instead they have been offered for lease and will almost certainly be occupied by one or another of various interested community groups. This means that 113 years of witness and service will continue, albeit with a different form and name.</w:t>
      </w:r>
    </w:p>
    <w:p>
      <w:pPr>
        <w:pStyle w:val="BodyText"/>
        <w:rPr>
          <w:sz w:val="22"/>
        </w:rPr>
      </w:pPr>
    </w:p>
    <w:p>
      <w:pPr>
        <w:pStyle w:val="Heading6"/>
        <w:spacing w:line="196" w:lineRule="auto"/>
        <w:ind w:right="5549"/>
      </w:pPr>
      <w:r>
        <w:rPr>
          <w:w w:val="110"/>
        </w:rPr>
        <w:t>Wigton United Reformed Church North Western Synod</w:t>
      </w:r>
    </w:p>
    <w:p>
      <w:pPr>
        <w:pStyle w:val="BodyText"/>
        <w:spacing w:line="235" w:lineRule="auto" w:before="212"/>
        <w:ind w:left="1133" w:right="2305"/>
      </w:pPr>
      <w:r>
        <w:rPr>
          <w:w w:val="120"/>
        </w:rPr>
        <w:t>Non-conformist witness in Wigton was certainly evident from </w:t>
      </w:r>
      <w:r>
        <w:rPr>
          <w:spacing w:val="-4"/>
          <w:w w:val="120"/>
        </w:rPr>
        <w:t>1666, </w:t>
      </w:r>
      <w:r>
        <w:rPr>
          <w:w w:val="120"/>
        </w:rPr>
        <w:t>possibly the result of restoration legislation or the </w:t>
      </w:r>
      <w:r>
        <w:rPr>
          <w:spacing w:val="-5"/>
          <w:w w:val="120"/>
        </w:rPr>
        <w:t>1665 </w:t>
      </w:r>
      <w:r>
        <w:rPr>
          <w:w w:val="120"/>
        </w:rPr>
        <w:t>Five-Mile Act. Whatever buildings in the town may have been used, in </w:t>
      </w:r>
      <w:r>
        <w:rPr>
          <w:spacing w:val="-10"/>
          <w:w w:val="120"/>
        </w:rPr>
        <w:t>1819 </w:t>
      </w:r>
      <w:r>
        <w:rPr>
          <w:w w:val="120"/>
        </w:rPr>
        <w:t>a new stone chapel was built. However in </w:t>
      </w:r>
      <w:r>
        <w:rPr>
          <w:spacing w:val="-6"/>
          <w:w w:val="120"/>
        </w:rPr>
        <w:t>1830 </w:t>
      </w:r>
      <w:r>
        <w:rPr>
          <w:w w:val="120"/>
        </w:rPr>
        <w:t>the Revd Edward Leighton could write – ‘About ten years ago the Independent Congregation erected for themselves a small place of worship capable of containing 290 persons…’</w:t>
      </w:r>
      <w:r>
        <w:rPr>
          <w:spacing w:val="53"/>
          <w:w w:val="120"/>
        </w:rPr>
        <w:t> </w:t>
      </w:r>
      <w:r>
        <w:rPr>
          <w:w w:val="120"/>
        </w:rPr>
        <w:t>:</w:t>
      </w:r>
    </w:p>
    <w:p>
      <w:pPr>
        <w:pStyle w:val="BodyText"/>
        <w:spacing w:line="235" w:lineRule="auto" w:before="4"/>
        <w:ind w:left="1133" w:right="2176"/>
      </w:pPr>
      <w:r>
        <w:rPr>
          <w:w w:val="120"/>
        </w:rPr>
        <w:t>he then continued to emphasise its inadequacy, citing the need to provide for some 200 children. By October </w:t>
      </w:r>
      <w:r>
        <w:rPr>
          <w:spacing w:val="-6"/>
          <w:w w:val="120"/>
        </w:rPr>
        <w:t>1834  </w:t>
      </w:r>
      <w:r>
        <w:rPr>
          <w:w w:val="120"/>
        </w:rPr>
        <w:t>the problems had been solved when the present building    was opened with seating for 600, a burial ground, which remained open for 20 years,  and a separate schoolroom, which served as a British School for some </w:t>
      </w:r>
      <w:r>
        <w:rPr>
          <w:spacing w:val="-4"/>
          <w:w w:val="120"/>
        </w:rPr>
        <w:t>45</w:t>
      </w:r>
      <w:r>
        <w:rPr>
          <w:spacing w:val="22"/>
          <w:w w:val="120"/>
        </w:rPr>
        <w:t> </w:t>
      </w:r>
      <w:r>
        <w:rPr>
          <w:w w:val="120"/>
        </w:rPr>
        <w:t>years.</w:t>
      </w:r>
    </w:p>
    <w:p>
      <w:pPr>
        <w:pStyle w:val="BodyText"/>
        <w:spacing w:before="10"/>
        <w:rPr>
          <w:sz w:val="19"/>
        </w:rPr>
      </w:pPr>
    </w:p>
    <w:p>
      <w:pPr>
        <w:pStyle w:val="BodyText"/>
        <w:spacing w:line="235" w:lineRule="auto"/>
        <w:ind w:left="1133" w:right="2160"/>
      </w:pPr>
      <w:r>
        <w:rPr>
          <w:w w:val="120"/>
        </w:rPr>
        <w:t>A vigorous fellowship continued into the twentieth century. Worship was well attended, a notable event being the </w:t>
      </w:r>
      <w:r>
        <w:rPr>
          <w:spacing w:val="3"/>
          <w:w w:val="120"/>
        </w:rPr>
        <w:t>300</w:t>
      </w:r>
      <w:r>
        <w:rPr>
          <w:spacing w:val="3"/>
          <w:w w:val="120"/>
          <w:position w:val="7"/>
          <w:sz w:val="11"/>
        </w:rPr>
        <w:t>th  </w:t>
      </w:r>
      <w:r>
        <w:rPr>
          <w:w w:val="120"/>
        </w:rPr>
        <w:t>Anniversary. The former day schoolroom was used by     a lively and well led Sunday school, also </w:t>
      </w:r>
      <w:r>
        <w:rPr>
          <w:spacing w:val="2"/>
          <w:w w:val="120"/>
        </w:rPr>
        <w:t>serving </w:t>
      </w:r>
      <w:r>
        <w:rPr>
          <w:w w:val="120"/>
        </w:rPr>
        <w:t>during the week as a centre for the wider</w:t>
      </w:r>
      <w:r>
        <w:rPr>
          <w:spacing w:val="4"/>
          <w:w w:val="120"/>
        </w:rPr>
        <w:t> </w:t>
      </w:r>
      <w:r>
        <w:rPr>
          <w:w w:val="120"/>
        </w:rPr>
        <w:t>community.</w:t>
      </w:r>
    </w:p>
    <w:p>
      <w:pPr>
        <w:spacing w:after="0" w:line="235" w:lineRule="auto"/>
        <w:sectPr>
          <w:pgSz w:w="11910" w:h="16840"/>
          <w:pgMar w:header="0" w:footer="647" w:top="1060" w:bottom="840" w:left="0" w:right="0"/>
        </w:sectPr>
      </w:pPr>
    </w:p>
    <w:p>
      <w:pPr>
        <w:pStyle w:val="BodyText"/>
        <w:spacing w:line="235" w:lineRule="auto" w:before="91"/>
        <w:ind w:left="1984" w:right="1466"/>
      </w:pPr>
      <w:r>
        <w:rPr/>
        <w:pict>
          <v:rect style="position:absolute;margin-left:558.424988pt;margin-top:8.503343pt;width:22.677pt;height:22.677pt;mso-position-horizontal-relative:page;mso-position-vertical-relative:paragraph;z-index:252269568" filled="true" fillcolor="#dae4ec" stroked="false">
            <v:fill opacity="32768f" type="solid"/>
            <w10:wrap type="none"/>
          </v:rect>
        </w:pict>
      </w:r>
      <w:r>
        <w:rPr>
          <w:w w:val="120"/>
        </w:rPr>
        <w:t>The last full time Minister died in office in </w:t>
      </w:r>
      <w:r>
        <w:rPr>
          <w:spacing w:val="-10"/>
          <w:w w:val="120"/>
        </w:rPr>
        <w:t>1967. </w:t>
      </w:r>
      <w:r>
        <w:rPr>
          <w:w w:val="120"/>
        </w:rPr>
        <w:t>There followed a period of joint pastorates with neighbouring churches. Unfortunately, over the last </w:t>
      </w:r>
      <w:r>
        <w:rPr>
          <w:spacing w:val="2"/>
          <w:w w:val="120"/>
        </w:rPr>
        <w:t>fifteen </w:t>
      </w:r>
      <w:r>
        <w:rPr>
          <w:w w:val="120"/>
        </w:rPr>
        <w:t>years, problems with the </w:t>
      </w:r>
      <w:r>
        <w:rPr>
          <w:spacing w:val="2"/>
          <w:w w:val="120"/>
        </w:rPr>
        <w:t>fabric </w:t>
      </w:r>
      <w:r>
        <w:rPr>
          <w:w w:val="120"/>
        </w:rPr>
        <w:t>of the building, the lack of resources, and above all a  dwindling and ageing membership made it difficult to continue. </w:t>
      </w:r>
      <w:r>
        <w:rPr>
          <w:spacing w:val="2"/>
          <w:w w:val="120"/>
        </w:rPr>
        <w:t>After </w:t>
      </w:r>
      <w:r>
        <w:rPr>
          <w:w w:val="120"/>
        </w:rPr>
        <w:t>much discussion and prayer for guidance, it was resolved to close. The final service of thanksgiving was held on 28</w:t>
      </w:r>
      <w:r>
        <w:rPr>
          <w:w w:val="120"/>
          <w:position w:val="7"/>
          <w:sz w:val="11"/>
        </w:rPr>
        <w:t>th </w:t>
      </w:r>
      <w:r>
        <w:rPr>
          <w:w w:val="120"/>
        </w:rPr>
        <w:t>June,</w:t>
      </w:r>
      <w:r>
        <w:rPr>
          <w:spacing w:val="11"/>
          <w:w w:val="120"/>
        </w:rPr>
        <w:t> </w:t>
      </w:r>
      <w:r>
        <w:rPr>
          <w:w w:val="120"/>
        </w:rPr>
        <w:t>2009.</w:t>
      </w:r>
    </w:p>
    <w:p>
      <w:pPr>
        <w:pStyle w:val="BodyText"/>
        <w:spacing w:before="1"/>
        <w:rPr>
          <w:sz w:val="22"/>
        </w:rPr>
      </w:pPr>
    </w:p>
    <w:p>
      <w:pPr>
        <w:pStyle w:val="Heading6"/>
        <w:spacing w:line="196" w:lineRule="auto"/>
        <w:ind w:left="1984" w:right="3166"/>
      </w:pPr>
      <w:r>
        <w:rPr>
          <w:w w:val="110"/>
        </w:rPr>
        <w:t>Woodbridge United Reformed Church Eastern Synod</w:t>
      </w:r>
    </w:p>
    <w:p>
      <w:pPr>
        <w:pStyle w:val="BodyText"/>
        <w:spacing w:line="235" w:lineRule="auto" w:before="212"/>
        <w:ind w:left="1984" w:right="1120"/>
      </w:pPr>
      <w:r>
        <w:rPr>
          <w:w w:val="120"/>
        </w:rPr>
        <w:t>In 1651, the Revd Frederic Woodhall led a group of 55 dissenters to leave the Anglican church of St Mary’s, Woodbridge. The new congregation met in an ‘upper room’ at the bottom of Quay Street, and although Woodhall was subsequently imprisoned, this site became home to the first dissenting congregation in Woodbridge.</w:t>
      </w:r>
    </w:p>
    <w:p>
      <w:pPr>
        <w:pStyle w:val="BodyText"/>
        <w:spacing w:before="10"/>
        <w:rPr>
          <w:sz w:val="19"/>
        </w:rPr>
      </w:pPr>
    </w:p>
    <w:p>
      <w:pPr>
        <w:pStyle w:val="BodyText"/>
        <w:spacing w:line="235" w:lineRule="auto" w:before="1"/>
        <w:ind w:left="1984" w:right="1120"/>
      </w:pPr>
      <w:r>
        <w:rPr>
          <w:w w:val="120"/>
        </w:rPr>
        <w:t>The premises in Quay Street have been improved, extended, flattened, rebuilt and reordered a number of times over its 350-plus years of history. The people who worshipped on the site eventually became the local URC congregation.</w:t>
      </w:r>
    </w:p>
    <w:p>
      <w:pPr>
        <w:pStyle w:val="BodyText"/>
        <w:spacing w:before="10"/>
        <w:rPr>
          <w:sz w:val="19"/>
        </w:rPr>
      </w:pPr>
    </w:p>
    <w:p>
      <w:pPr>
        <w:pStyle w:val="BodyText"/>
        <w:spacing w:line="235" w:lineRule="auto"/>
        <w:ind w:left="1984" w:right="1634"/>
      </w:pPr>
      <w:r>
        <w:rPr>
          <w:w w:val="120"/>
        </w:rPr>
        <w:t>In 1780 Mr Jonathan Beaumont saw a need for a second dissenting chapel in Woodbridge and he left Quay Street. Travelling back up Church Street to Market Hill he gained a licence for preaching and by 1787 a chapel, which eventually became Beaumont Baptist Church, was built in what is now Chapel Street.</w:t>
      </w:r>
    </w:p>
    <w:p>
      <w:pPr>
        <w:pStyle w:val="BodyText"/>
        <w:spacing w:before="10"/>
        <w:rPr>
          <w:sz w:val="19"/>
        </w:rPr>
      </w:pPr>
    </w:p>
    <w:p>
      <w:pPr>
        <w:pStyle w:val="BodyText"/>
        <w:spacing w:line="235" w:lineRule="auto" w:before="1"/>
        <w:ind w:left="1984" w:right="1147"/>
      </w:pPr>
      <w:r>
        <w:rPr>
          <w:w w:val="120"/>
        </w:rPr>
        <w:t>In May 2005 those </w:t>
      </w:r>
      <w:r>
        <w:rPr>
          <w:spacing w:val="2"/>
          <w:w w:val="120"/>
        </w:rPr>
        <w:t>serving </w:t>
      </w:r>
      <w:r>
        <w:rPr>
          <w:w w:val="120"/>
        </w:rPr>
        <w:t>as leaders in these two congregations met to explore   whether the URC premises in Quay Street could be made available on </w:t>
      </w:r>
      <w:r>
        <w:rPr>
          <w:spacing w:val="2"/>
          <w:w w:val="120"/>
        </w:rPr>
        <w:t>temporary </w:t>
      </w:r>
      <w:r>
        <w:rPr>
          <w:w w:val="120"/>
        </w:rPr>
        <w:t>loan    to the Baptist congregation on Sunday </w:t>
      </w:r>
      <w:r>
        <w:rPr>
          <w:spacing w:val="2"/>
          <w:w w:val="120"/>
        </w:rPr>
        <w:t>afternoons. </w:t>
      </w:r>
      <w:r>
        <w:rPr>
          <w:w w:val="120"/>
        </w:rPr>
        <w:t>From there conversation progressed, with an invitation to explore amalgamating the two congregations. This process was unanimously welcomed by both </w:t>
      </w:r>
      <w:r>
        <w:rPr>
          <w:spacing w:val="2"/>
          <w:w w:val="120"/>
        </w:rPr>
        <w:t>parties </w:t>
      </w:r>
      <w:r>
        <w:rPr>
          <w:w w:val="120"/>
        </w:rPr>
        <w:t>and the journey has led to the point where the new Woodbridge Quay Church has been established. Formally this has been a church closure, for the URC congregation (which was </w:t>
      </w:r>
      <w:r>
        <w:rPr>
          <w:spacing w:val="2"/>
          <w:w w:val="120"/>
        </w:rPr>
        <w:t>very </w:t>
      </w:r>
      <w:r>
        <w:rPr>
          <w:w w:val="120"/>
        </w:rPr>
        <w:t>much the smaller partner) has    wound up its membership and sold its building to the</w:t>
      </w:r>
      <w:r>
        <w:rPr>
          <w:spacing w:val="9"/>
          <w:w w:val="120"/>
        </w:rPr>
        <w:t> </w:t>
      </w:r>
      <w:r>
        <w:rPr>
          <w:w w:val="120"/>
        </w:rPr>
        <w:t>Baptists.</w:t>
      </w:r>
    </w:p>
    <w:p>
      <w:pPr>
        <w:pStyle w:val="BodyText"/>
      </w:pPr>
    </w:p>
    <w:p>
      <w:pPr>
        <w:pStyle w:val="BodyText"/>
      </w:pPr>
    </w:p>
    <w:p>
      <w:pPr>
        <w:pStyle w:val="BodyText"/>
      </w:pPr>
    </w:p>
    <w:p>
      <w:pPr>
        <w:pStyle w:val="BodyText"/>
      </w:pPr>
    </w:p>
    <w:p>
      <w:pPr>
        <w:pStyle w:val="BodyText"/>
      </w:pPr>
    </w:p>
    <w:p>
      <w:pPr>
        <w:pStyle w:val="BodyText"/>
        <w:spacing w:before="11"/>
      </w:pPr>
      <w:r>
        <w:rPr/>
        <w:pict>
          <v:shape style="position:absolute;margin-left:99.212601pt;margin-top:21.035538pt;width:183.85pt;height:.1pt;mso-position-horizontal-relative:page;mso-position-vertical-relative:paragraph;z-index:-251052032;mso-wrap-distance-left:0;mso-wrap-distance-right:0" coordorigin="1984,421" coordsize="3677,0" path="m1984,421l5661,421e" filled="false" stroked="true" strokeweight=".5pt" strokecolor="#8ba8bd">
            <v:path arrowok="t"/>
            <v:stroke dashstyle="solid"/>
            <w10:wrap type="topAndBottom"/>
          </v:shape>
        </w:pict>
      </w:r>
      <w:r>
        <w:rPr/>
        <w:pict>
          <v:rect style="position:absolute;margin-left:293.385986pt;margin-top:14.714245pt;width:13.721pt;height:13.721pt;mso-position-horizontal-relative:page;mso-position-vertical-relative:paragraph;z-index:-251051008;mso-wrap-distance-left:0;mso-wrap-distance-right:0" filled="true" fillcolor="#8ba8bd" stroked="false">
            <v:fill type="solid"/>
            <w10:wrap type="topAndBottom"/>
          </v:rect>
        </w:pict>
      </w:r>
      <w:r>
        <w:rPr/>
        <w:pict>
          <v:rect style="position:absolute;margin-left:311.822998pt;margin-top:14.714245pt;width:13.721pt;height:13.721pt;mso-position-horizontal-relative:page;mso-position-vertical-relative:paragraph;z-index:-251049984;mso-wrap-distance-left:0;mso-wrap-distance-right:0" filled="true" fillcolor="#c2d2df" stroked="false">
            <v:fill type="solid"/>
            <w10:wrap type="topAndBottom"/>
          </v:rect>
        </w:pict>
      </w:r>
      <w:r>
        <w:rPr/>
        <w:pict>
          <v:rect style="position:absolute;margin-left:330.688995pt;margin-top:14.714245pt;width:13.721pt;height:13.721pt;mso-position-horizontal-relative:page;mso-position-vertical-relative:paragraph;z-index:-251048960;mso-wrap-distance-left:0;mso-wrap-distance-right:0" filled="true" fillcolor="#dae4ec" stroked="false">
            <v:fill opacity="32768f" type="solid"/>
            <w10:wrap type="topAndBottom"/>
          </v:rect>
        </w:pict>
      </w:r>
      <w:r>
        <w:rPr/>
        <w:pict>
          <v:shape style="position:absolute;margin-left:354.235992pt;margin-top:21.035538pt;width:184.35pt;height:.1pt;mso-position-horizontal-relative:page;mso-position-vertical-relative:paragraph;z-index:-251047936;mso-wrap-distance-left:0;mso-wrap-distance-right:0" coordorigin="7085,421" coordsize="3687,0" path="m7085,421l10772,421e" filled="false" stroked="true" strokeweight=".5pt" strokecolor="#8ba8bd">
            <v:path arrowok="t"/>
            <v:stroke dashstyle="solid"/>
            <w10:wrap type="topAndBottom"/>
          </v:shape>
        </w:pict>
      </w:r>
    </w:p>
    <w:p>
      <w:pPr>
        <w:spacing w:after="0"/>
        <w:sectPr>
          <w:pgSz w:w="11910" w:h="16840"/>
          <w:pgMar w:header="0" w:footer="647" w:top="1060" w:bottom="840" w:left="0" w:right="0"/>
        </w:sectPr>
      </w:pPr>
    </w:p>
    <w:p>
      <w:pPr>
        <w:pStyle w:val="BodyText"/>
        <w:ind w:left="240"/>
      </w:pPr>
      <w:r>
        <w:rPr/>
        <w:pict>
          <v:rect style="position:absolute;margin-left:12.047pt;margin-top:30.471001pt;width:22.677pt;height:22.677pt;mso-position-horizontal-relative:page;mso-position-vertical-relative:paragraph;z-index:-251044864;mso-wrap-distance-left:0;mso-wrap-distance-right:0" filled="true" fillcolor="#ffffff" stroked="false">
            <v:fill type="solid"/>
            <w10:wrap type="topAndBottom"/>
          </v:rect>
        </w:pict>
      </w:r>
      <w:r>
        <w:rPr/>
        <w:pict>
          <v:rect style="position:absolute;margin-left:12.047pt;margin-top:61.653pt;width:22.677pt;height:22.677pt;mso-position-horizontal-relative:page;mso-position-vertical-relative:paragraph;z-index:-251043840;mso-wrap-distance-left:0;mso-wrap-distance-right:0" filled="true" fillcolor="#ffffff" stroked="false">
            <v:fill opacity="32768f" type="solid"/>
            <w10:wrap type="topAndBottom"/>
          </v:rect>
        </w:pict>
      </w:r>
      <w:r>
        <w:rPr/>
        <w:pict>
          <v:rect style="position:absolute;margin-left:0pt;margin-top:.000015pt;width:595.275pt;height:841.89pt;mso-position-horizontal-relative:page;mso-position-vertical-relative:page;z-index:-267149312" filled="true" fillcolor="#a1bf37" stroked="false">
            <v:fill type="solid"/>
            <w10:wrap type="none"/>
          </v:rect>
        </w:pict>
      </w:r>
      <w:r>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
    </w:p>
    <w:p>
      <w:pPr>
        <w:pStyle w:val="BodyText"/>
        <w:spacing w:before="4"/>
        <w:rPr>
          <w:sz w:val="8"/>
        </w:r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1"/>
        </w:rPr>
      </w:pPr>
      <w:r>
        <w:rPr/>
        <w:drawing>
          <wp:anchor distT="0" distB="0" distL="0" distR="0" allowOverlap="1" layoutInCell="1" locked="0" behindDoc="0" simplePos="0" relativeHeight="601">
            <wp:simplePos x="0" y="0"/>
            <wp:positionH relativeFrom="page">
              <wp:posOffset>557951</wp:posOffset>
            </wp:positionH>
            <wp:positionV relativeFrom="paragraph">
              <wp:posOffset>191652</wp:posOffset>
            </wp:positionV>
            <wp:extent cx="2836043" cy="1249013"/>
            <wp:effectExtent l="0" t="0" r="0" b="0"/>
            <wp:wrapTopAndBottom/>
            <wp:docPr id="167" name="image108.png"/>
            <wp:cNvGraphicFramePr>
              <a:graphicFrameLocks noChangeAspect="1"/>
            </wp:cNvGraphicFramePr>
            <a:graphic>
              <a:graphicData uri="http://schemas.openxmlformats.org/drawingml/2006/picture">
                <pic:pic>
                  <pic:nvPicPr>
                    <pic:cNvPr id="168" name="image108.png"/>
                    <pic:cNvPicPr/>
                  </pic:nvPicPr>
                  <pic:blipFill>
                    <a:blip r:embed="rId240" cstate="print"/>
                    <a:stretch>
                      <a:fillRect/>
                    </a:stretch>
                  </pic:blipFill>
                  <pic:spPr>
                    <a:xfrm>
                      <a:off x="0" y="0"/>
                      <a:ext cx="2836043" cy="1249013"/>
                    </a:xfrm>
                    <a:prstGeom prst="rect">
                      <a:avLst/>
                    </a:prstGeom>
                  </pic:spPr>
                </pic:pic>
              </a:graphicData>
            </a:graphic>
          </wp:anchor>
        </w:drawing>
      </w:r>
    </w:p>
    <w:p>
      <w:pPr>
        <w:spacing w:after="0"/>
        <w:rPr>
          <w:sz w:val="21"/>
        </w:rPr>
        <w:sectPr>
          <w:headerReference w:type="even" r:id="rId511"/>
          <w:footerReference w:type="even" r:id="rId512"/>
          <w:pgSz w:w="11910" w:h="16840"/>
          <w:pgMar w:header="0" w:footer="0" w:top="0" w:bottom="280" w:left="0" w:right="0"/>
        </w:sectPr>
      </w:pPr>
    </w:p>
    <w:p>
      <w:pPr>
        <w:pStyle w:val="Heading2"/>
        <w:spacing w:line="213" w:lineRule="auto" w:before="132"/>
        <w:ind w:right="2573"/>
      </w:pPr>
      <w:r>
        <w:rPr/>
        <w:pict>
          <v:shape style="position:absolute;margin-left:512.587891pt;margin-top:-.236267pt;width:47.4pt;height:231pt;mso-position-horizontal-relative:page;mso-position-vertical-relative:paragraph;z-index:-267146240"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w w:val="110"/>
                      <w:sz w:val="72"/>
                    </w:rPr>
                    <w:t>Appendix 1</w:t>
                  </w:r>
                </w:p>
              </w:txbxContent>
            </v:textbox>
            <w10:wrap type="none"/>
          </v:shape>
        </w:pict>
      </w:r>
      <w:r>
        <w:rPr>
          <w:w w:val="110"/>
        </w:rPr>
        <w:t>Education for Ministry Phase 1 Students</w:t>
      </w:r>
    </w:p>
    <w:p>
      <w:pPr>
        <w:pStyle w:val="BodyText"/>
        <w:spacing w:line="242" w:lineRule="exact"/>
        <w:ind w:left="1984"/>
      </w:pPr>
      <w:r>
        <w:rPr>
          <w:w w:val="120"/>
        </w:rPr>
        <w:t>(Information as of 31 March 2010, listed under home synods)</w:t>
      </w:r>
    </w:p>
    <w:p>
      <w:pPr>
        <w:pStyle w:val="BodyText"/>
        <w:spacing w:before="10"/>
        <w:rPr>
          <w:sz w:val="29"/>
        </w:rPr>
      </w:pPr>
    </w:p>
    <w:p>
      <w:pPr>
        <w:spacing w:after="0"/>
        <w:rPr>
          <w:sz w:val="29"/>
        </w:rPr>
        <w:sectPr>
          <w:headerReference w:type="default" r:id="rId513"/>
          <w:footerReference w:type="default" r:id="rId514"/>
          <w:pgSz w:w="11910" w:h="16840"/>
          <w:pgMar w:header="0" w:footer="0" w:top="1100" w:bottom="280" w:left="0" w:right="0"/>
        </w:sectPr>
      </w:pPr>
    </w:p>
    <w:p>
      <w:pPr>
        <w:spacing w:before="100"/>
        <w:ind w:left="1984" w:right="0" w:firstLine="0"/>
        <w:jc w:val="left"/>
        <w:rPr>
          <w:rFonts w:ascii="Stone Sans II ITC Std Bk"/>
          <w:b/>
          <w:i/>
          <w:sz w:val="20"/>
        </w:rPr>
      </w:pPr>
      <w:r>
        <w:rPr>
          <w:rFonts w:ascii="Stone Sans II ITC Std Bk"/>
          <w:b/>
          <w:i/>
          <w:color w:val="A1BF37"/>
          <w:w w:val="110"/>
          <w:sz w:val="20"/>
        </w:rPr>
        <w:t>Northern</w:t>
      </w:r>
    </w:p>
    <w:p>
      <w:pPr>
        <w:spacing w:line="261" w:lineRule="exact" w:before="89"/>
        <w:ind w:left="1984" w:right="0" w:firstLine="0"/>
        <w:jc w:val="left"/>
        <w:rPr>
          <w:rFonts w:ascii="Stone Sans II ITC Std Bk"/>
          <w:b/>
          <w:sz w:val="20"/>
        </w:rPr>
      </w:pPr>
      <w:r>
        <w:rPr>
          <w:rFonts w:ascii="Stone Sans II ITC Std Bk"/>
          <w:b/>
          <w:w w:val="110"/>
          <w:sz w:val="20"/>
        </w:rPr>
        <w:t>Non-Stipendiary</w:t>
      </w:r>
    </w:p>
    <w:p>
      <w:pPr>
        <w:pStyle w:val="BodyText"/>
        <w:spacing w:line="235" w:lineRule="auto"/>
        <w:ind w:left="1984" w:right="1223"/>
      </w:pPr>
      <w:r>
        <w:rPr>
          <w:w w:val="120"/>
        </w:rPr>
        <w:t>Kate Baxter (Westminster) Alison Mills (NEOC)</w:t>
      </w:r>
    </w:p>
    <w:p>
      <w:pPr>
        <w:pStyle w:val="BodyText"/>
        <w:rPr>
          <w:sz w:val="24"/>
        </w:rPr>
      </w:pPr>
    </w:p>
    <w:p>
      <w:pPr>
        <w:spacing w:before="167"/>
        <w:ind w:left="1984" w:right="0" w:firstLine="0"/>
        <w:jc w:val="left"/>
        <w:rPr>
          <w:rFonts w:ascii="Stone Sans II ITC Std Bk"/>
          <w:b/>
          <w:i/>
          <w:sz w:val="20"/>
        </w:rPr>
      </w:pPr>
      <w:r>
        <w:rPr>
          <w:rFonts w:ascii="Stone Sans II ITC Std Bk"/>
          <w:b/>
          <w:i/>
          <w:color w:val="A1BF37"/>
          <w:w w:val="110"/>
          <w:sz w:val="20"/>
        </w:rPr>
        <w:t>North Western</w:t>
      </w:r>
    </w:p>
    <w:p>
      <w:pPr>
        <w:spacing w:line="252" w:lineRule="exact" w:before="90"/>
        <w:ind w:left="1984" w:right="0" w:firstLine="0"/>
        <w:jc w:val="left"/>
        <w:rPr>
          <w:rFonts w:ascii="Stone Sans II ITC Std Bk"/>
          <w:b/>
          <w:sz w:val="20"/>
        </w:rPr>
      </w:pPr>
      <w:r>
        <w:rPr>
          <w:rFonts w:ascii="Stone Sans II ITC Std Bk"/>
          <w:b/>
          <w:w w:val="110"/>
          <w:sz w:val="20"/>
        </w:rPr>
        <w:t>Stipendiary</w:t>
      </w:r>
    </w:p>
    <w:p>
      <w:pPr>
        <w:spacing w:line="213" w:lineRule="auto" w:before="4"/>
        <w:ind w:left="1984" w:right="1223" w:firstLine="0"/>
        <w:jc w:val="left"/>
        <w:rPr>
          <w:sz w:val="22"/>
        </w:rPr>
      </w:pPr>
      <w:r>
        <w:rPr>
          <w:w w:val="110"/>
          <w:sz w:val="22"/>
        </w:rPr>
        <w:t>Mark Bates (Northern) Ruth Watson (Northern) Anthea Wickens</w:t>
      </w:r>
      <w:r>
        <w:rPr>
          <w:spacing w:val="-27"/>
          <w:w w:val="110"/>
          <w:sz w:val="22"/>
        </w:rPr>
        <w:t> </w:t>
      </w:r>
      <w:r>
        <w:rPr>
          <w:w w:val="110"/>
          <w:sz w:val="22"/>
        </w:rPr>
        <w:t>(Northern) Kaze </w:t>
      </w:r>
      <w:r>
        <w:rPr>
          <w:spacing w:val="-3"/>
          <w:w w:val="110"/>
          <w:sz w:val="22"/>
        </w:rPr>
        <w:t>Yemtsa</w:t>
      </w:r>
      <w:r>
        <w:rPr>
          <w:spacing w:val="2"/>
          <w:w w:val="110"/>
          <w:sz w:val="22"/>
        </w:rPr>
        <w:t> </w:t>
      </w:r>
      <w:r>
        <w:rPr>
          <w:w w:val="110"/>
          <w:sz w:val="22"/>
        </w:rPr>
        <w:t>(Northern)</w:t>
      </w:r>
    </w:p>
    <w:p>
      <w:pPr>
        <w:spacing w:line="250" w:lineRule="exact" w:before="0"/>
        <w:ind w:left="1984" w:right="0" w:firstLine="0"/>
        <w:jc w:val="left"/>
        <w:rPr>
          <w:sz w:val="22"/>
        </w:rPr>
      </w:pPr>
      <w:r>
        <w:rPr>
          <w:w w:val="110"/>
          <w:sz w:val="22"/>
        </w:rPr>
        <w:t>Alan McGougan (Northern)</w:t>
      </w:r>
    </w:p>
    <w:p>
      <w:pPr>
        <w:pStyle w:val="BodyText"/>
        <w:spacing w:before="6"/>
        <w:rPr>
          <w:sz w:val="37"/>
        </w:rPr>
      </w:pPr>
    </w:p>
    <w:p>
      <w:pPr>
        <w:spacing w:before="1"/>
        <w:ind w:left="1984" w:right="0" w:firstLine="0"/>
        <w:jc w:val="left"/>
        <w:rPr>
          <w:rFonts w:ascii="Stone Sans II ITC Std Bk"/>
          <w:b/>
          <w:i/>
          <w:sz w:val="20"/>
        </w:rPr>
      </w:pPr>
      <w:r>
        <w:rPr>
          <w:rFonts w:ascii="Stone Sans II ITC Std Bk"/>
          <w:b/>
          <w:i/>
          <w:color w:val="A1BF37"/>
          <w:w w:val="110"/>
          <w:sz w:val="20"/>
        </w:rPr>
        <w:t>Mersey</w:t>
      </w:r>
    </w:p>
    <w:p>
      <w:pPr>
        <w:spacing w:line="261" w:lineRule="exact" w:before="89"/>
        <w:ind w:left="1984" w:right="0" w:firstLine="0"/>
        <w:jc w:val="left"/>
        <w:rPr>
          <w:rFonts w:ascii="Stone Sans II ITC Std Bk"/>
          <w:b/>
          <w:sz w:val="20"/>
        </w:rPr>
      </w:pPr>
      <w:r>
        <w:rPr>
          <w:rFonts w:ascii="Stone Sans II ITC Std Bk"/>
          <w:b/>
          <w:w w:val="110"/>
          <w:sz w:val="20"/>
        </w:rPr>
        <w:t>Stipendiary</w:t>
      </w:r>
    </w:p>
    <w:p>
      <w:pPr>
        <w:pStyle w:val="BodyText"/>
        <w:spacing w:line="235" w:lineRule="auto"/>
        <w:ind w:left="1984"/>
      </w:pPr>
      <w:r>
        <w:rPr>
          <w:w w:val="120"/>
        </w:rPr>
        <w:t>Lorraine Aizlewood-Threlfall (Northern) Jeff Hughes (Northern)</w:t>
      </w:r>
    </w:p>
    <w:p>
      <w:pPr>
        <w:pStyle w:val="BodyText"/>
        <w:spacing w:before="10"/>
        <w:rPr>
          <w:sz w:val="27"/>
        </w:rPr>
      </w:pPr>
    </w:p>
    <w:p>
      <w:pPr>
        <w:spacing w:line="261" w:lineRule="exact" w:before="1"/>
        <w:ind w:left="1984" w:right="0" w:firstLine="0"/>
        <w:jc w:val="left"/>
        <w:rPr>
          <w:rFonts w:ascii="Stone Sans II ITC Std Bk"/>
          <w:b/>
          <w:sz w:val="20"/>
        </w:rPr>
      </w:pPr>
      <w:r>
        <w:rPr>
          <w:rFonts w:ascii="Stone Sans II ITC Std Bk"/>
          <w:b/>
          <w:w w:val="110"/>
          <w:sz w:val="20"/>
        </w:rPr>
        <w:t>Non-Stipendiary</w:t>
      </w:r>
    </w:p>
    <w:p>
      <w:pPr>
        <w:pStyle w:val="BodyText"/>
        <w:spacing w:line="235" w:lineRule="exact"/>
        <w:ind w:left="1984"/>
      </w:pPr>
      <w:r>
        <w:rPr>
          <w:w w:val="120"/>
        </w:rPr>
        <w:t>Allison Claxton (Northern)</w:t>
      </w:r>
    </w:p>
    <w:p>
      <w:pPr>
        <w:pStyle w:val="BodyText"/>
        <w:rPr>
          <w:sz w:val="24"/>
        </w:rPr>
      </w:pPr>
    </w:p>
    <w:p>
      <w:pPr>
        <w:spacing w:before="170"/>
        <w:ind w:left="1984" w:right="0" w:firstLine="0"/>
        <w:jc w:val="left"/>
        <w:rPr>
          <w:rFonts w:ascii="Stone Sans II ITC Std Bk"/>
          <w:b/>
          <w:i/>
          <w:sz w:val="20"/>
        </w:rPr>
      </w:pPr>
      <w:r>
        <w:rPr>
          <w:rFonts w:ascii="Stone Sans II ITC Std Bk"/>
          <w:b/>
          <w:i/>
          <w:color w:val="A1BF37"/>
          <w:w w:val="110"/>
          <w:sz w:val="20"/>
        </w:rPr>
        <w:t>Yorkshire</w:t>
      </w:r>
    </w:p>
    <w:p>
      <w:pPr>
        <w:spacing w:line="261" w:lineRule="exact" w:before="89"/>
        <w:ind w:left="1984" w:right="0" w:firstLine="0"/>
        <w:jc w:val="left"/>
        <w:rPr>
          <w:rFonts w:ascii="Stone Sans II ITC Std Bk"/>
          <w:b/>
          <w:sz w:val="20"/>
        </w:rPr>
      </w:pPr>
      <w:r>
        <w:rPr>
          <w:rFonts w:ascii="Stone Sans II ITC Std Bk"/>
          <w:b/>
          <w:w w:val="110"/>
          <w:sz w:val="20"/>
        </w:rPr>
        <w:t>Stipendiary</w:t>
      </w:r>
    </w:p>
    <w:p>
      <w:pPr>
        <w:pStyle w:val="BodyText"/>
        <w:spacing w:line="235" w:lineRule="auto"/>
        <w:ind w:left="1984"/>
      </w:pPr>
      <w:r>
        <w:rPr>
          <w:w w:val="120"/>
        </w:rPr>
        <w:t>Christopher Kemshell (Westminster) Catherine Lewis-Smith (Westminster) Paul Robinson (Northern)</w:t>
      </w:r>
    </w:p>
    <w:p>
      <w:pPr>
        <w:pStyle w:val="BodyText"/>
        <w:rPr>
          <w:sz w:val="24"/>
        </w:rPr>
      </w:pPr>
    </w:p>
    <w:p>
      <w:pPr>
        <w:spacing w:before="168"/>
        <w:ind w:left="1984" w:right="0" w:firstLine="0"/>
        <w:jc w:val="left"/>
        <w:rPr>
          <w:rFonts w:ascii="Stone Sans II ITC Std Bk"/>
          <w:b/>
          <w:i/>
          <w:sz w:val="20"/>
        </w:rPr>
      </w:pPr>
      <w:r>
        <w:rPr>
          <w:rFonts w:ascii="Stone Sans II ITC Std Bk"/>
          <w:b/>
          <w:i/>
          <w:color w:val="A1BF37"/>
          <w:w w:val="110"/>
          <w:sz w:val="20"/>
        </w:rPr>
        <w:t>East Midlands</w:t>
      </w:r>
    </w:p>
    <w:p>
      <w:pPr>
        <w:spacing w:before="90"/>
        <w:ind w:left="1984" w:right="0" w:firstLine="0"/>
        <w:jc w:val="left"/>
        <w:rPr>
          <w:rFonts w:ascii="Stone Sans II ITC Std Bk"/>
          <w:b/>
          <w:sz w:val="20"/>
        </w:rPr>
      </w:pPr>
      <w:r>
        <w:rPr>
          <w:rFonts w:ascii="Stone Sans II ITC Std Bk"/>
          <w:b/>
          <w:w w:val="110"/>
          <w:sz w:val="20"/>
        </w:rPr>
        <w:t>Stipendiary</w:t>
      </w:r>
    </w:p>
    <w:p>
      <w:pPr>
        <w:pStyle w:val="BodyText"/>
        <w:spacing w:line="235" w:lineRule="auto" w:before="105"/>
        <w:ind w:left="1984" w:right="207"/>
      </w:pPr>
      <w:r>
        <w:rPr>
          <w:w w:val="120"/>
        </w:rPr>
        <w:t>Julian Sanders (Westminster) Elizabeth Thomson (Westminster)</w:t>
      </w:r>
    </w:p>
    <w:p>
      <w:pPr>
        <w:pStyle w:val="BodyText"/>
        <w:spacing w:before="4"/>
        <w:rPr>
          <w:sz w:val="28"/>
        </w:rPr>
      </w:pPr>
    </w:p>
    <w:p>
      <w:pPr>
        <w:spacing w:before="0"/>
        <w:ind w:left="1984" w:right="0" w:firstLine="0"/>
        <w:jc w:val="left"/>
        <w:rPr>
          <w:rFonts w:ascii="Stone Sans II ITC Std Bk"/>
          <w:b/>
          <w:sz w:val="20"/>
        </w:rPr>
      </w:pPr>
      <w:r>
        <w:rPr>
          <w:rFonts w:ascii="Stone Sans II ITC Std Bk"/>
          <w:b/>
          <w:w w:val="110"/>
          <w:sz w:val="20"/>
        </w:rPr>
        <w:t>Non-Stipendiary</w:t>
      </w:r>
    </w:p>
    <w:p>
      <w:pPr>
        <w:spacing w:before="83"/>
        <w:ind w:left="1984" w:right="0" w:firstLine="0"/>
        <w:jc w:val="left"/>
        <w:rPr>
          <w:sz w:val="22"/>
        </w:rPr>
      </w:pPr>
      <w:r>
        <w:rPr>
          <w:w w:val="110"/>
          <w:sz w:val="22"/>
        </w:rPr>
        <w:t>Heather-Ann Adlem (Westminster)</w:t>
      </w:r>
    </w:p>
    <w:p>
      <w:pPr>
        <w:pStyle w:val="BodyText"/>
        <w:spacing w:before="9"/>
        <w:rPr>
          <w:sz w:val="27"/>
        </w:rPr>
      </w:pPr>
    </w:p>
    <w:p>
      <w:pPr>
        <w:spacing w:line="261" w:lineRule="exact" w:before="0"/>
        <w:ind w:left="1984" w:right="0" w:firstLine="0"/>
        <w:jc w:val="left"/>
        <w:rPr>
          <w:rFonts w:ascii="Stone Sans II ITC Std Bk"/>
          <w:b/>
          <w:sz w:val="20"/>
        </w:rPr>
      </w:pPr>
      <w:r>
        <w:rPr>
          <w:rFonts w:ascii="Stone Sans II ITC Std Bk"/>
          <w:b/>
          <w:w w:val="110"/>
          <w:sz w:val="20"/>
        </w:rPr>
        <w:t>CRCW</w:t>
      </w:r>
    </w:p>
    <w:p>
      <w:pPr>
        <w:pStyle w:val="BodyText"/>
        <w:spacing w:line="235" w:lineRule="exact"/>
        <w:ind w:left="1984"/>
      </w:pPr>
      <w:r>
        <w:rPr>
          <w:w w:val="120"/>
        </w:rPr>
        <w:t>Jennie Crane (Northern)</w:t>
      </w:r>
    </w:p>
    <w:p>
      <w:pPr>
        <w:spacing w:before="92"/>
        <w:ind w:left="438" w:right="0" w:firstLine="0"/>
        <w:jc w:val="left"/>
        <w:rPr>
          <w:rFonts w:ascii="Stone Sans II ITC Std Bk"/>
          <w:b/>
          <w:i/>
          <w:sz w:val="20"/>
        </w:rPr>
      </w:pPr>
      <w:r>
        <w:rPr/>
        <w:br w:type="column"/>
      </w:r>
      <w:r>
        <w:rPr>
          <w:rFonts w:ascii="Stone Sans II ITC Std Bk"/>
          <w:b/>
          <w:i/>
          <w:color w:val="A1BF37"/>
          <w:w w:val="110"/>
          <w:sz w:val="20"/>
        </w:rPr>
        <w:t>West Midlands</w:t>
      </w:r>
    </w:p>
    <w:p>
      <w:pPr>
        <w:spacing w:line="261" w:lineRule="exact" w:before="90"/>
        <w:ind w:left="438" w:right="0" w:firstLine="0"/>
        <w:jc w:val="left"/>
        <w:rPr>
          <w:rFonts w:ascii="Stone Sans II ITC Std Bk"/>
          <w:b/>
          <w:sz w:val="20"/>
        </w:rPr>
      </w:pPr>
      <w:r>
        <w:rPr>
          <w:rFonts w:ascii="Stone Sans II ITC Std Bk"/>
          <w:b/>
          <w:w w:val="110"/>
          <w:sz w:val="20"/>
        </w:rPr>
        <w:t>Stipendiary</w:t>
      </w:r>
    </w:p>
    <w:p>
      <w:pPr>
        <w:pStyle w:val="BodyText"/>
        <w:spacing w:line="235" w:lineRule="auto"/>
        <w:ind w:left="438" w:right="2667"/>
      </w:pPr>
      <w:r>
        <w:rPr>
          <w:w w:val="120"/>
        </w:rPr>
        <w:t>Helen Carr  </w:t>
      </w:r>
      <w:r>
        <w:rPr>
          <w:spacing w:val="-6"/>
          <w:w w:val="120"/>
        </w:rPr>
        <w:t>(Queen’s) </w:t>
      </w:r>
      <w:r>
        <w:rPr>
          <w:w w:val="120"/>
        </w:rPr>
        <w:t>Melanie Frew (Westminster) Mhari Mclintock (Northern) Kim Plumpton</w:t>
      </w:r>
      <w:r>
        <w:rPr>
          <w:spacing w:val="7"/>
          <w:w w:val="120"/>
        </w:rPr>
        <w:t> </w:t>
      </w:r>
      <w:r>
        <w:rPr>
          <w:w w:val="120"/>
        </w:rPr>
        <w:t>(Westminster)</w:t>
      </w:r>
    </w:p>
    <w:p>
      <w:pPr>
        <w:pStyle w:val="BodyText"/>
        <w:spacing w:before="1"/>
        <w:rPr>
          <w:sz w:val="18"/>
        </w:rPr>
      </w:pPr>
    </w:p>
    <w:p>
      <w:pPr>
        <w:spacing w:line="261" w:lineRule="exact" w:before="0"/>
        <w:ind w:left="438" w:right="0" w:firstLine="0"/>
        <w:jc w:val="left"/>
        <w:rPr>
          <w:rFonts w:ascii="Stone Sans II ITC Std Bk"/>
          <w:b/>
          <w:sz w:val="20"/>
        </w:rPr>
      </w:pPr>
      <w:r>
        <w:rPr>
          <w:rFonts w:ascii="Stone Sans II ITC Std Bk"/>
          <w:b/>
          <w:w w:val="110"/>
          <w:sz w:val="20"/>
        </w:rPr>
        <w:t>Non-Stipendiary</w:t>
      </w:r>
    </w:p>
    <w:p>
      <w:pPr>
        <w:pStyle w:val="BodyText"/>
        <w:spacing w:line="235" w:lineRule="exact"/>
        <w:ind w:left="438"/>
      </w:pPr>
      <w:r>
        <w:rPr>
          <w:w w:val="125"/>
        </w:rPr>
        <w:t>Chris Burgham (Northern)</w:t>
      </w:r>
    </w:p>
    <w:p>
      <w:pPr>
        <w:pStyle w:val="BodyText"/>
        <w:rPr>
          <w:sz w:val="24"/>
        </w:rPr>
      </w:pPr>
    </w:p>
    <w:p>
      <w:pPr>
        <w:spacing w:before="171"/>
        <w:ind w:left="438" w:right="0" w:firstLine="0"/>
        <w:jc w:val="left"/>
        <w:rPr>
          <w:rFonts w:ascii="Stone Sans II ITC Std Bk"/>
          <w:b/>
          <w:i/>
          <w:sz w:val="20"/>
        </w:rPr>
      </w:pPr>
      <w:r>
        <w:rPr>
          <w:rFonts w:ascii="Stone Sans II ITC Std Bk"/>
          <w:b/>
          <w:i/>
          <w:color w:val="A1BF37"/>
          <w:w w:val="110"/>
          <w:sz w:val="20"/>
        </w:rPr>
        <w:t>Eastern</w:t>
      </w:r>
    </w:p>
    <w:p>
      <w:pPr>
        <w:spacing w:line="261" w:lineRule="exact" w:before="89"/>
        <w:ind w:left="438" w:right="0" w:firstLine="0"/>
        <w:jc w:val="left"/>
        <w:rPr>
          <w:rFonts w:ascii="Stone Sans II ITC Std Bk"/>
          <w:b/>
          <w:sz w:val="20"/>
        </w:rPr>
      </w:pPr>
      <w:r>
        <w:rPr>
          <w:rFonts w:ascii="Stone Sans II ITC Std Bk"/>
          <w:b/>
          <w:w w:val="110"/>
          <w:sz w:val="20"/>
        </w:rPr>
        <w:t>Stipendiary</w:t>
      </w:r>
    </w:p>
    <w:p>
      <w:pPr>
        <w:pStyle w:val="BodyText"/>
        <w:spacing w:line="235" w:lineRule="auto"/>
        <w:ind w:left="438" w:right="2174"/>
      </w:pPr>
      <w:r>
        <w:rPr>
          <w:w w:val="120"/>
        </w:rPr>
        <w:t>James Church (Westminster) Matthew Stone (Westminster) James Taylor (Westminster)</w:t>
      </w:r>
    </w:p>
    <w:p>
      <w:pPr>
        <w:pStyle w:val="BodyText"/>
        <w:rPr>
          <w:sz w:val="24"/>
        </w:rPr>
      </w:pPr>
    </w:p>
    <w:p>
      <w:pPr>
        <w:spacing w:before="168"/>
        <w:ind w:left="438" w:right="0" w:firstLine="0"/>
        <w:jc w:val="left"/>
        <w:rPr>
          <w:rFonts w:ascii="Stone Sans II ITC Std Bk"/>
          <w:b/>
          <w:i/>
          <w:sz w:val="20"/>
        </w:rPr>
      </w:pPr>
      <w:r>
        <w:rPr>
          <w:rFonts w:ascii="Stone Sans II ITC Std Bk"/>
          <w:b/>
          <w:i/>
          <w:color w:val="A1BF37"/>
          <w:w w:val="110"/>
          <w:sz w:val="20"/>
        </w:rPr>
        <w:t>South Western</w:t>
      </w:r>
    </w:p>
    <w:p>
      <w:pPr>
        <w:spacing w:line="261" w:lineRule="exact" w:before="89"/>
        <w:ind w:left="438" w:right="0" w:firstLine="0"/>
        <w:jc w:val="left"/>
        <w:rPr>
          <w:rFonts w:ascii="Stone Sans II ITC Std Bk"/>
          <w:b/>
          <w:sz w:val="20"/>
        </w:rPr>
      </w:pPr>
      <w:r>
        <w:rPr>
          <w:rFonts w:ascii="Stone Sans II ITC Std Bk"/>
          <w:b/>
          <w:w w:val="110"/>
          <w:sz w:val="20"/>
        </w:rPr>
        <w:t>Non-Stipendiary</w:t>
      </w:r>
    </w:p>
    <w:p>
      <w:pPr>
        <w:pStyle w:val="BodyText"/>
        <w:spacing w:line="235" w:lineRule="auto"/>
        <w:ind w:left="438" w:right="3051"/>
      </w:pPr>
      <w:r>
        <w:rPr>
          <w:w w:val="125"/>
        </w:rPr>
        <w:t>Sue Cossey (STETS) </w:t>
      </w:r>
      <w:r>
        <w:rPr>
          <w:w w:val="120"/>
        </w:rPr>
        <w:t>Meryl White (Northern)</w:t>
      </w:r>
    </w:p>
    <w:p>
      <w:pPr>
        <w:pStyle w:val="BodyText"/>
        <w:rPr>
          <w:sz w:val="24"/>
        </w:rPr>
      </w:pPr>
    </w:p>
    <w:p>
      <w:pPr>
        <w:spacing w:before="167"/>
        <w:ind w:left="438" w:right="0" w:firstLine="0"/>
        <w:jc w:val="left"/>
        <w:rPr>
          <w:rFonts w:ascii="Stone Sans II ITC Std Bk"/>
          <w:b/>
          <w:i/>
          <w:sz w:val="20"/>
        </w:rPr>
      </w:pPr>
      <w:r>
        <w:rPr>
          <w:rFonts w:ascii="Stone Sans II ITC Std Bk"/>
          <w:b/>
          <w:i/>
          <w:color w:val="A1BF37"/>
          <w:w w:val="110"/>
          <w:sz w:val="20"/>
        </w:rPr>
        <w:t>Wessex</w:t>
      </w:r>
    </w:p>
    <w:p>
      <w:pPr>
        <w:spacing w:line="252" w:lineRule="exact" w:before="90"/>
        <w:ind w:left="438" w:right="0" w:firstLine="0"/>
        <w:jc w:val="left"/>
        <w:rPr>
          <w:rFonts w:ascii="Stone Sans II ITC Std Bk"/>
          <w:b/>
          <w:sz w:val="20"/>
        </w:rPr>
      </w:pPr>
      <w:r>
        <w:rPr>
          <w:rFonts w:ascii="Stone Sans II ITC Std Bk"/>
          <w:b/>
          <w:w w:val="110"/>
          <w:sz w:val="20"/>
        </w:rPr>
        <w:t>Stipendiary</w:t>
      </w:r>
    </w:p>
    <w:p>
      <w:pPr>
        <w:spacing w:line="236" w:lineRule="exact" w:before="0"/>
        <w:ind w:left="438" w:right="0" w:firstLine="0"/>
        <w:jc w:val="left"/>
        <w:rPr>
          <w:sz w:val="22"/>
        </w:rPr>
      </w:pPr>
      <w:r>
        <w:rPr>
          <w:w w:val="110"/>
          <w:sz w:val="22"/>
        </w:rPr>
        <w:t>Andrew Hall (Northern)</w:t>
      </w:r>
    </w:p>
    <w:p>
      <w:pPr>
        <w:spacing w:line="254" w:lineRule="exact" w:before="0"/>
        <w:ind w:left="438" w:right="0" w:firstLine="0"/>
        <w:jc w:val="left"/>
        <w:rPr>
          <w:sz w:val="22"/>
        </w:rPr>
      </w:pPr>
      <w:r>
        <w:rPr>
          <w:w w:val="110"/>
          <w:sz w:val="22"/>
        </w:rPr>
        <w:t>Kay Blackwell (Westminster)</w:t>
      </w:r>
    </w:p>
    <w:p>
      <w:pPr>
        <w:pStyle w:val="BodyText"/>
        <w:spacing w:before="8"/>
        <w:rPr>
          <w:sz w:val="27"/>
        </w:rPr>
      </w:pPr>
    </w:p>
    <w:p>
      <w:pPr>
        <w:spacing w:line="261" w:lineRule="exact" w:before="0"/>
        <w:ind w:left="438" w:right="0" w:firstLine="0"/>
        <w:jc w:val="left"/>
        <w:rPr>
          <w:rFonts w:ascii="Stone Sans II ITC Std Bk"/>
          <w:b/>
          <w:sz w:val="20"/>
        </w:rPr>
      </w:pPr>
      <w:r>
        <w:rPr>
          <w:rFonts w:ascii="Stone Sans II ITC Std Bk"/>
          <w:b/>
          <w:w w:val="110"/>
          <w:sz w:val="20"/>
        </w:rPr>
        <w:t>Non-Stipendiary</w:t>
      </w:r>
    </w:p>
    <w:p>
      <w:pPr>
        <w:pStyle w:val="BodyText"/>
        <w:spacing w:line="235" w:lineRule="auto"/>
        <w:ind w:left="438" w:right="2667"/>
      </w:pPr>
      <w:r>
        <w:rPr>
          <w:w w:val="120"/>
        </w:rPr>
        <w:t>Graham Dadd (Northern) Nicky Gilbert (Westminster) John Lee (STETS)</w:t>
      </w:r>
    </w:p>
    <w:p>
      <w:pPr>
        <w:pStyle w:val="BodyText"/>
        <w:rPr>
          <w:sz w:val="24"/>
        </w:rPr>
      </w:pPr>
    </w:p>
    <w:p>
      <w:pPr>
        <w:spacing w:before="168"/>
        <w:ind w:left="438" w:right="0" w:firstLine="0"/>
        <w:jc w:val="left"/>
        <w:rPr>
          <w:rFonts w:ascii="Stone Sans II ITC Std Bk"/>
          <w:b/>
          <w:i/>
          <w:sz w:val="20"/>
        </w:rPr>
      </w:pPr>
      <w:r>
        <w:rPr>
          <w:rFonts w:ascii="Stone Sans II ITC Std Bk"/>
          <w:b/>
          <w:i/>
          <w:color w:val="A1BF37"/>
          <w:w w:val="110"/>
          <w:sz w:val="20"/>
        </w:rPr>
        <w:t>Thames North</w:t>
      </w:r>
    </w:p>
    <w:p>
      <w:pPr>
        <w:spacing w:line="261" w:lineRule="exact" w:before="89"/>
        <w:ind w:left="438" w:right="0" w:firstLine="0"/>
        <w:jc w:val="left"/>
        <w:rPr>
          <w:rFonts w:ascii="Stone Sans II ITC Std Bk"/>
          <w:b/>
          <w:sz w:val="20"/>
        </w:rPr>
      </w:pPr>
      <w:r>
        <w:rPr>
          <w:rFonts w:ascii="Stone Sans II ITC Std Bk"/>
          <w:b/>
          <w:w w:val="110"/>
          <w:sz w:val="20"/>
        </w:rPr>
        <w:t>Stipendiary</w:t>
      </w:r>
    </w:p>
    <w:p>
      <w:pPr>
        <w:pStyle w:val="BodyText"/>
        <w:spacing w:line="233" w:lineRule="exact"/>
        <w:ind w:left="438"/>
      </w:pPr>
      <w:r>
        <w:rPr>
          <w:w w:val="125"/>
        </w:rPr>
        <w:t>Lucy Berry (Northern)</w:t>
      </w:r>
    </w:p>
    <w:p>
      <w:pPr>
        <w:pStyle w:val="BodyText"/>
        <w:spacing w:line="235" w:lineRule="auto" w:before="2"/>
        <w:ind w:left="438" w:right="2174"/>
      </w:pPr>
      <w:r>
        <w:rPr>
          <w:w w:val="120"/>
        </w:rPr>
        <w:t>Heather Cadoux (Westminster) Felicitas Grabe (Westminster) Anne Lewitt (Westminster)</w:t>
      </w:r>
    </w:p>
    <w:p>
      <w:pPr>
        <w:pStyle w:val="BodyText"/>
        <w:spacing w:line="235" w:lineRule="auto" w:before="2"/>
        <w:ind w:left="438" w:right="2174"/>
      </w:pPr>
      <w:r>
        <w:rPr>
          <w:w w:val="120"/>
        </w:rPr>
        <w:t>Sue McCoan (Westminster) Bridget Powell (Westminster) Matthew Prevett (Westminster)</w:t>
      </w:r>
    </w:p>
    <w:p>
      <w:pPr>
        <w:spacing w:after="0" w:line="235" w:lineRule="auto"/>
        <w:sectPr>
          <w:type w:val="continuous"/>
          <w:pgSz w:w="11910" w:h="16840"/>
          <w:pgMar w:top="860" w:bottom="280" w:left="0" w:right="0"/>
          <w:cols w:num="2" w:equalWidth="0">
            <w:col w:w="5900" w:space="40"/>
            <w:col w:w="5970"/>
          </w:cols>
        </w:sectPr>
      </w:pPr>
    </w:p>
    <w:p>
      <w:pPr>
        <w:pStyle w:val="BodyText"/>
      </w:pPr>
      <w:r>
        <w:rPr/>
        <w:pict>
          <v:rect style="position:absolute;margin-left:0pt;margin-top:.000015pt;width:595.275pt;height:841.89pt;mso-position-horizontal-relative:page;mso-position-vertical-relative:page;z-index:-267148288" filled="true" fillcolor="#a1bf37" stroked="false">
            <v:fill type="solid"/>
            <w10:wrap type="none"/>
          </v:rect>
        </w:pict>
      </w:r>
      <w:r>
        <w:rPr/>
        <w:pict>
          <v:group style="position:absolute;margin-left:75.826797pt;margin-top:.000015pt;width:519.4500pt;height:790.9pt;mso-position-horizontal-relative:page;mso-position-vertical-relative:page;z-index:-267147264"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w10:wrap type="none"/>
          </v:group>
        </w:pict>
      </w:r>
    </w:p>
    <w:p>
      <w:pPr>
        <w:pStyle w:val="BodyText"/>
      </w:pPr>
    </w:p>
    <w:p>
      <w:pPr>
        <w:pStyle w:val="BodyText"/>
      </w:pPr>
    </w:p>
    <w:p>
      <w:pPr>
        <w:pStyle w:val="BodyText"/>
      </w:pPr>
    </w:p>
    <w:p>
      <w:pPr>
        <w:pStyle w:val="BodyText"/>
      </w:pPr>
    </w:p>
    <w:p>
      <w:pPr>
        <w:pStyle w:val="BodyText"/>
        <w:spacing w:before="5"/>
        <w:rPr>
          <w:sz w:val="18"/>
        </w:rPr>
      </w:pPr>
    </w:p>
    <w:p>
      <w:pPr>
        <w:tabs>
          <w:tab w:pos="10630" w:val="left" w:leader="none"/>
        </w:tabs>
        <w:spacing w:before="97"/>
        <w:ind w:left="468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211</w:t>
      </w:r>
    </w:p>
    <w:p>
      <w:pPr>
        <w:spacing w:after="0"/>
        <w:jc w:val="left"/>
        <w:rPr>
          <w:rFonts w:ascii="Stone Sans II ITC Std X Bd" w:hAnsi="Stone Sans II ITC Std X Bd"/>
          <w:sz w:val="24"/>
        </w:rPr>
        <w:sectPr>
          <w:type w:val="continuous"/>
          <w:pgSz w:w="11910" w:h="16840"/>
          <w:pgMar w:top="860" w:bottom="280" w:left="0" w:right="0"/>
        </w:sectPr>
      </w:pP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a1bf37"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284928" filled="true" fillcolor="#d3de9d" stroked="false">
            <v:fill type="solid"/>
            <w10:wrap type="none"/>
          </v:rect>
        </w:pict>
      </w:r>
      <w:r>
        <w:rPr>
          <w:color w:val="A1BF37"/>
          <w:w w:val="120"/>
          <w:sz w:val="26"/>
        </w:rPr>
        <w:t>Appendix 1</w:t>
      </w:r>
    </w:p>
    <w:p>
      <w:pPr>
        <w:spacing w:before="205"/>
        <w:ind w:left="1133" w:right="0" w:firstLine="0"/>
        <w:jc w:val="left"/>
        <w:rPr>
          <w:rFonts w:ascii="Stone Sans II ITC Std Bk"/>
          <w:b/>
          <w:i/>
          <w:sz w:val="20"/>
        </w:rPr>
      </w:pPr>
      <w:r>
        <w:rPr/>
        <w:pict>
          <v:rect style="position:absolute;margin-left:12.047pt;margin-top:14.196287pt;width:22.677pt;height:22.677pt;mso-position-horizontal-relative:page;mso-position-vertical-relative:paragraph;z-index:252285952" filled="true" fillcolor="#e4ebc6" stroked="false">
            <v:fill opacity="32768f" type="solid"/>
            <w10:wrap type="none"/>
          </v:rect>
        </w:pict>
      </w:r>
      <w:r>
        <w:rPr>
          <w:rFonts w:ascii="Stone Sans II ITC Std Bk"/>
          <w:b/>
          <w:i/>
          <w:color w:val="A1BF37"/>
          <w:w w:val="110"/>
          <w:sz w:val="20"/>
        </w:rPr>
        <w:t>Southern</w:t>
      </w:r>
    </w:p>
    <w:p>
      <w:pPr>
        <w:spacing w:line="261" w:lineRule="exact" w:before="89"/>
        <w:ind w:left="1133" w:right="0" w:firstLine="0"/>
        <w:jc w:val="left"/>
        <w:rPr>
          <w:rFonts w:ascii="Stone Sans II ITC Std Bk"/>
          <w:b/>
          <w:sz w:val="20"/>
        </w:rPr>
      </w:pPr>
      <w:r>
        <w:rPr>
          <w:rFonts w:ascii="Stone Sans II ITC Std Bk"/>
          <w:b/>
          <w:w w:val="110"/>
          <w:sz w:val="20"/>
        </w:rPr>
        <w:t>Stipendiary</w:t>
      </w:r>
    </w:p>
    <w:p>
      <w:pPr>
        <w:pStyle w:val="BodyText"/>
        <w:spacing w:line="235" w:lineRule="auto"/>
        <w:ind w:left="1133" w:right="7821"/>
      </w:pPr>
      <w:r>
        <w:rPr>
          <w:w w:val="120"/>
        </w:rPr>
        <w:t>Sue Fender (Westminster) Mark Robinson (Westminster) Phil Wall (Westminster)</w:t>
      </w:r>
    </w:p>
    <w:p>
      <w:pPr>
        <w:pStyle w:val="BodyText"/>
        <w:spacing w:before="11"/>
        <w:rPr>
          <w:sz w:val="27"/>
        </w:rPr>
      </w:pPr>
    </w:p>
    <w:p>
      <w:pPr>
        <w:spacing w:line="261" w:lineRule="exact" w:before="0"/>
        <w:ind w:left="1133" w:right="0" w:firstLine="0"/>
        <w:jc w:val="left"/>
        <w:rPr>
          <w:rFonts w:ascii="Stone Sans II ITC Std Bk"/>
          <w:b/>
          <w:sz w:val="20"/>
        </w:rPr>
      </w:pPr>
      <w:r>
        <w:rPr>
          <w:rFonts w:ascii="Stone Sans II ITC Std Bk"/>
          <w:b/>
          <w:w w:val="110"/>
          <w:sz w:val="20"/>
        </w:rPr>
        <w:t>Non-Stipendiary</w:t>
      </w:r>
    </w:p>
    <w:p>
      <w:pPr>
        <w:pStyle w:val="BodyText"/>
        <w:spacing w:line="235" w:lineRule="auto"/>
        <w:ind w:left="1133" w:right="8110"/>
      </w:pPr>
      <w:r>
        <w:rPr>
          <w:w w:val="120"/>
        </w:rPr>
        <w:t>Bernard Fidder (STETS) Emma Perry (Westminster) Rosemary Shirley (STETS)</w:t>
      </w:r>
    </w:p>
    <w:p>
      <w:pPr>
        <w:pStyle w:val="BodyText"/>
        <w:rPr>
          <w:sz w:val="24"/>
        </w:rPr>
      </w:pPr>
    </w:p>
    <w:p>
      <w:pPr>
        <w:spacing w:before="168"/>
        <w:ind w:left="1133" w:right="0" w:firstLine="0"/>
        <w:jc w:val="left"/>
        <w:rPr>
          <w:rFonts w:ascii="Stone Sans II ITC Std Bk"/>
          <w:b/>
          <w:i/>
          <w:sz w:val="20"/>
        </w:rPr>
      </w:pPr>
      <w:r>
        <w:rPr>
          <w:rFonts w:ascii="Stone Sans II ITC Std Bk"/>
          <w:b/>
          <w:i/>
          <w:color w:val="A1BF37"/>
          <w:w w:val="110"/>
          <w:sz w:val="20"/>
        </w:rPr>
        <w:t>Wales</w:t>
      </w:r>
    </w:p>
    <w:p>
      <w:pPr>
        <w:spacing w:line="261" w:lineRule="exact" w:before="89"/>
        <w:ind w:left="1133" w:right="0" w:firstLine="0"/>
        <w:jc w:val="left"/>
        <w:rPr>
          <w:rFonts w:ascii="Stone Sans II ITC Std Bk"/>
          <w:b/>
          <w:sz w:val="20"/>
        </w:rPr>
      </w:pPr>
      <w:r>
        <w:rPr>
          <w:rFonts w:ascii="Stone Sans II ITC Std Bk"/>
          <w:b/>
          <w:w w:val="110"/>
          <w:sz w:val="20"/>
        </w:rPr>
        <w:t>CRCW</w:t>
      </w:r>
    </w:p>
    <w:p>
      <w:pPr>
        <w:pStyle w:val="BodyText"/>
        <w:spacing w:line="235" w:lineRule="exact"/>
        <w:ind w:left="1133"/>
      </w:pPr>
      <w:r>
        <w:rPr>
          <w:w w:val="120"/>
        </w:rPr>
        <w:t>Laura Collins (Northern)</w:t>
      </w:r>
    </w:p>
    <w:p>
      <w:pPr>
        <w:pStyle w:val="BodyText"/>
        <w:rPr>
          <w:sz w:val="24"/>
        </w:rPr>
      </w:pPr>
    </w:p>
    <w:p>
      <w:pPr>
        <w:spacing w:before="171"/>
        <w:ind w:left="1133" w:right="0" w:firstLine="0"/>
        <w:jc w:val="left"/>
        <w:rPr>
          <w:rFonts w:ascii="Stone Sans II ITC Std Bk"/>
          <w:b/>
          <w:i/>
          <w:sz w:val="20"/>
        </w:rPr>
      </w:pPr>
      <w:r>
        <w:rPr>
          <w:rFonts w:ascii="Stone Sans II ITC Std Bk"/>
          <w:b/>
          <w:i/>
          <w:color w:val="A1BF37"/>
          <w:w w:val="110"/>
          <w:sz w:val="20"/>
        </w:rPr>
        <w:t>Scotland</w:t>
      </w:r>
    </w:p>
    <w:p>
      <w:pPr>
        <w:spacing w:line="261" w:lineRule="exact" w:before="89"/>
        <w:ind w:left="1133" w:right="0" w:firstLine="0"/>
        <w:jc w:val="left"/>
        <w:rPr>
          <w:rFonts w:ascii="Stone Sans II ITC Std Bk"/>
          <w:b/>
          <w:sz w:val="20"/>
        </w:rPr>
      </w:pPr>
      <w:r>
        <w:rPr>
          <w:rFonts w:ascii="Stone Sans II ITC Std Bk"/>
          <w:b/>
          <w:w w:val="110"/>
          <w:sz w:val="20"/>
        </w:rPr>
        <w:t>Stipendiary</w:t>
      </w:r>
    </w:p>
    <w:p>
      <w:pPr>
        <w:pStyle w:val="BodyText"/>
        <w:spacing w:line="235" w:lineRule="auto"/>
        <w:ind w:left="1133" w:right="8212"/>
      </w:pPr>
      <w:r>
        <w:rPr>
          <w:w w:val="125"/>
        </w:rPr>
        <w:t>Nick Brindley (SURCC) William Young (SURCC)</w:t>
      </w:r>
    </w:p>
    <w:p>
      <w:pPr>
        <w:pStyle w:val="BodyText"/>
      </w:pPr>
    </w:p>
    <w:p>
      <w:pPr>
        <w:pStyle w:val="BodyText"/>
      </w:pPr>
    </w:p>
    <w:p>
      <w:pPr>
        <w:pStyle w:val="BodyText"/>
      </w:pPr>
    </w:p>
    <w:p>
      <w:pPr>
        <w:pStyle w:val="BodyText"/>
      </w:pPr>
    </w:p>
    <w:p>
      <w:pPr>
        <w:pStyle w:val="BodyText"/>
      </w:pPr>
    </w:p>
    <w:p>
      <w:pPr>
        <w:pStyle w:val="BodyText"/>
        <w:spacing w:before="2"/>
      </w:pPr>
      <w:r>
        <w:rPr/>
        <w:pict>
          <v:shape style="position:absolute;margin-left:56.692902pt;margin-top:20.598175pt;width:183.85pt;height:.1pt;mso-position-horizontal-relative:page;mso-position-vertical-relative:paragraph;z-index:-251036672;mso-wrap-distance-left:0;mso-wrap-distance-right:0" coordorigin="1134,412" coordsize="3677,0" path="m1134,412l4811,412e" filled="false" stroked="true" strokeweight=".5pt" strokecolor="#8ba8bd">
            <v:path arrowok="t"/>
            <v:stroke dashstyle="solid"/>
            <w10:wrap type="topAndBottom"/>
          </v:shape>
        </w:pict>
      </w:r>
      <w:r>
        <w:rPr/>
        <w:pict>
          <v:rect style="position:absolute;margin-left:250.865997pt;margin-top:14.276881pt;width:13.721pt;height:13.721pt;mso-position-horizontal-relative:page;mso-position-vertical-relative:paragraph;z-index:-251035648;mso-wrap-distance-left:0;mso-wrap-distance-right:0" filled="true" fillcolor="#8ba8bd" stroked="false">
            <v:fill type="solid"/>
            <w10:wrap type="topAndBottom"/>
          </v:rect>
        </w:pict>
      </w:r>
      <w:r>
        <w:rPr/>
        <w:pict>
          <v:rect style="position:absolute;margin-left:269.303009pt;margin-top:14.276881pt;width:13.721pt;height:13.721pt;mso-position-horizontal-relative:page;mso-position-vertical-relative:paragraph;z-index:-251034624;mso-wrap-distance-left:0;mso-wrap-distance-right:0" filled="true" fillcolor="#c2d2df" stroked="false">
            <v:fill type="solid"/>
            <w10:wrap type="topAndBottom"/>
          </v:rect>
        </w:pict>
      </w:r>
      <w:r>
        <w:rPr/>
        <w:pict>
          <v:rect style="position:absolute;margin-left:288.169006pt;margin-top:14.276881pt;width:13.721pt;height:13.721pt;mso-position-horizontal-relative:page;mso-position-vertical-relative:paragraph;z-index:-251033600;mso-wrap-distance-left:0;mso-wrap-distance-right:0" filled="true" fillcolor="#dae4ec" stroked="false">
            <v:fill opacity="32768f" type="solid"/>
            <w10:wrap type="topAndBottom"/>
          </v:rect>
        </w:pict>
      </w:r>
      <w:r>
        <w:rPr/>
        <w:pict>
          <v:shape style="position:absolute;margin-left:311.716003pt;margin-top:20.598175pt;width:184.35pt;height:.1pt;mso-position-horizontal-relative:page;mso-position-vertical-relative:paragraph;z-index:-251032576;mso-wrap-distance-left:0;mso-wrap-distance-right:0" coordorigin="6234,412" coordsize="3687,0" path="m6234,412l9921,412e" filled="false" stroked="true" strokeweight=".5pt" strokecolor="#8ba8bd">
            <v:path arrowok="t"/>
            <v:stroke dashstyle="solid"/>
            <w10:wrap type="topAndBottom"/>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tabs>
          <w:tab w:pos="1529" w:val="left" w:leader="none"/>
        </w:tabs>
        <w:spacing w:before="97"/>
        <w:ind w:left="793" w:right="0" w:firstLine="0"/>
        <w:jc w:val="left"/>
        <w:rPr>
          <w:sz w:val="23"/>
        </w:rPr>
      </w:pPr>
      <w:r>
        <w:rPr>
          <w:rFonts w:ascii="Stone Sans II ITC Std X Bd" w:hAnsi="Stone Sans II ITC Std X Bd"/>
          <w:b/>
          <w:w w:val="110"/>
          <w:sz w:val="24"/>
        </w:rPr>
        <w:t>212</w:t>
        <w:tab/>
      </w: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5"/>
          <w:w w:val="110"/>
          <w:sz w:val="23"/>
        </w:rPr>
        <w:t> </w:t>
      </w:r>
      <w:r>
        <w:rPr>
          <w:color w:val="8BA8BD"/>
          <w:w w:val="110"/>
          <w:sz w:val="23"/>
        </w:rPr>
        <w:t>2010</w:t>
      </w:r>
    </w:p>
    <w:p>
      <w:pPr>
        <w:spacing w:after="0"/>
        <w:jc w:val="left"/>
        <w:rPr>
          <w:sz w:val="23"/>
        </w:rPr>
        <w:sectPr>
          <w:headerReference w:type="even" r:id="rId515"/>
          <w:footerReference w:type="even" r:id="rId516"/>
          <w:pgSz w:w="11910" w:h="16840"/>
          <w:pgMar w:header="0" w:footer="0" w:top="0" w:bottom="280" w:left="0" w:right="0"/>
        </w:sectPr>
      </w:pPr>
    </w:p>
    <w:p>
      <w:pPr>
        <w:spacing w:line="196" w:lineRule="auto" w:before="120"/>
        <w:ind w:left="1984" w:right="1997" w:firstLine="0"/>
        <w:jc w:val="left"/>
        <w:rPr>
          <w:rFonts w:ascii="Stone Sans II ITC Std Bk"/>
          <w:b/>
          <w:sz w:val="29"/>
        </w:rPr>
      </w:pPr>
      <w:r>
        <w:rPr/>
        <w:pict>
          <v:shape style="position:absolute;margin-left:512.587891pt;margin-top:5.78908pt;width:47.4pt;height:231pt;mso-position-horizontal-relative:page;mso-position-vertical-relative:paragraph;z-index:-267134976"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w w:val="110"/>
                      <w:sz w:val="72"/>
                    </w:rPr>
                    <w:t>Appendix 2</w:t>
                  </w:r>
                </w:p>
              </w:txbxContent>
            </v:textbox>
            <w10:wrap type="none"/>
          </v:shape>
        </w:pict>
      </w:r>
      <w:r>
        <w:rPr>
          <w:rFonts w:ascii="Stone Sans II ITC Std Bk"/>
          <w:b/>
          <w:w w:val="110"/>
          <w:sz w:val="29"/>
        </w:rPr>
        <w:t>Statistics of students in Education for Ministry Phase 1</w:t>
      </w:r>
    </w:p>
    <w:p>
      <w:pPr>
        <w:pStyle w:val="BodyText"/>
        <w:spacing w:before="8"/>
        <w:rPr>
          <w:rFonts w:ascii="Stone Sans II ITC Std Bk"/>
          <w:b/>
          <w:sz w:val="17"/>
        </w:rPr>
      </w:pPr>
    </w:p>
    <w:tbl>
      <w:tblPr>
        <w:tblW w:w="0" w:type="auto"/>
        <w:jc w:val="left"/>
        <w:tblInd w:w="1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86"/>
        <w:gridCol w:w="726"/>
        <w:gridCol w:w="839"/>
        <w:gridCol w:w="726"/>
        <w:gridCol w:w="726"/>
        <w:gridCol w:w="727"/>
        <w:gridCol w:w="797"/>
        <w:gridCol w:w="772"/>
      </w:tblGrid>
      <w:tr>
        <w:trPr>
          <w:trHeight w:val="566" w:hRule="atLeast"/>
        </w:trPr>
        <w:tc>
          <w:tcPr>
            <w:tcW w:w="2886" w:type="dxa"/>
            <w:shd w:val="clear" w:color="auto" w:fill="A1BF37"/>
          </w:tcPr>
          <w:p>
            <w:pPr>
              <w:pStyle w:val="TableParagraph"/>
              <w:rPr>
                <w:rFonts w:ascii="Times New Roman"/>
                <w:sz w:val="22"/>
              </w:rPr>
            </w:pPr>
          </w:p>
        </w:tc>
        <w:tc>
          <w:tcPr>
            <w:tcW w:w="2291" w:type="dxa"/>
            <w:gridSpan w:val="3"/>
            <w:shd w:val="clear" w:color="auto" w:fill="A1BF37"/>
          </w:tcPr>
          <w:p>
            <w:pPr>
              <w:pStyle w:val="TableParagraph"/>
              <w:spacing w:before="72"/>
              <w:ind w:left="77"/>
              <w:rPr>
                <w:rFonts w:ascii="Stone Sans II ITC Std Bk"/>
                <w:b/>
                <w:sz w:val="20"/>
              </w:rPr>
            </w:pPr>
            <w:r>
              <w:rPr>
                <w:rFonts w:ascii="Stone Sans II ITC Std Bk"/>
                <w:b/>
                <w:color w:val="FFFFFF"/>
                <w:w w:val="110"/>
                <w:sz w:val="20"/>
              </w:rPr>
              <w:t>Students in training</w:t>
            </w:r>
          </w:p>
        </w:tc>
        <w:tc>
          <w:tcPr>
            <w:tcW w:w="3022" w:type="dxa"/>
            <w:gridSpan w:val="4"/>
            <w:shd w:val="clear" w:color="auto" w:fill="A1BF37"/>
          </w:tcPr>
          <w:p>
            <w:pPr>
              <w:pStyle w:val="TableParagraph"/>
              <w:spacing w:line="240" w:lineRule="exact" w:before="83"/>
              <w:ind w:left="886" w:right="222" w:hanging="475"/>
              <w:rPr>
                <w:rFonts w:ascii="Stone Sans II ITC Std Bk"/>
                <w:b/>
                <w:sz w:val="20"/>
              </w:rPr>
            </w:pPr>
            <w:r>
              <w:rPr>
                <w:rFonts w:ascii="Stone Sans II ITC Std Bk"/>
                <w:b/>
                <w:color w:val="FFFFFF"/>
                <w:w w:val="110"/>
                <w:sz w:val="20"/>
              </w:rPr>
              <w:t>Anticipated entry into URC service</w:t>
            </w:r>
          </w:p>
        </w:tc>
      </w:tr>
      <w:tr>
        <w:trPr>
          <w:trHeight w:val="526" w:hRule="atLeast"/>
        </w:trPr>
        <w:tc>
          <w:tcPr>
            <w:tcW w:w="2886" w:type="dxa"/>
            <w:shd w:val="clear" w:color="auto" w:fill="FFFFFF"/>
          </w:tcPr>
          <w:p>
            <w:pPr>
              <w:pStyle w:val="TableParagraph"/>
              <w:rPr>
                <w:rFonts w:ascii="Times New Roman"/>
                <w:sz w:val="22"/>
              </w:rPr>
            </w:pPr>
          </w:p>
        </w:tc>
        <w:tc>
          <w:tcPr>
            <w:tcW w:w="726" w:type="dxa"/>
            <w:shd w:val="clear" w:color="auto" w:fill="FFFFFF"/>
          </w:tcPr>
          <w:p>
            <w:pPr>
              <w:pStyle w:val="TableParagraph"/>
              <w:spacing w:line="240" w:lineRule="exact" w:before="31"/>
              <w:ind w:left="83" w:right="51" w:firstLine="89"/>
              <w:rPr>
                <w:rFonts w:ascii="Stone Sans II ITC Std Bk"/>
                <w:b/>
                <w:sz w:val="20"/>
              </w:rPr>
            </w:pPr>
            <w:r>
              <w:rPr>
                <w:rFonts w:ascii="Stone Sans II ITC Std Bk"/>
                <w:b/>
                <w:w w:val="110"/>
                <w:sz w:val="20"/>
              </w:rPr>
              <w:t>Feb 2007</w:t>
            </w:r>
          </w:p>
        </w:tc>
        <w:tc>
          <w:tcPr>
            <w:tcW w:w="839" w:type="dxa"/>
            <w:shd w:val="clear" w:color="auto" w:fill="FFFFFF"/>
          </w:tcPr>
          <w:p>
            <w:pPr>
              <w:pStyle w:val="TableParagraph"/>
              <w:spacing w:line="240" w:lineRule="exact" w:before="31"/>
              <w:ind w:left="134" w:right="113" w:firstLine="95"/>
              <w:rPr>
                <w:rFonts w:ascii="Stone Sans II ITC Std Bk"/>
                <w:b/>
                <w:sz w:val="20"/>
              </w:rPr>
            </w:pPr>
            <w:r>
              <w:rPr>
                <w:rFonts w:ascii="Stone Sans II ITC Std Bk"/>
                <w:b/>
                <w:w w:val="110"/>
                <w:sz w:val="20"/>
              </w:rPr>
              <w:t>Feb 2008</w:t>
            </w:r>
          </w:p>
        </w:tc>
        <w:tc>
          <w:tcPr>
            <w:tcW w:w="726" w:type="dxa"/>
            <w:shd w:val="clear" w:color="auto" w:fill="FFFFFF"/>
          </w:tcPr>
          <w:p>
            <w:pPr>
              <w:pStyle w:val="TableParagraph"/>
              <w:spacing w:line="240" w:lineRule="exact" w:before="31"/>
              <w:ind w:left="90" w:firstLine="61"/>
              <w:rPr>
                <w:rFonts w:ascii="Stone Sans II ITC Std Bk"/>
                <w:b/>
                <w:sz w:val="20"/>
              </w:rPr>
            </w:pPr>
            <w:r>
              <w:rPr>
                <w:rFonts w:ascii="Stone Sans II ITC Std Bk"/>
                <w:b/>
                <w:w w:val="110"/>
                <w:sz w:val="20"/>
              </w:rPr>
              <w:t>Mar 2010</w:t>
            </w:r>
          </w:p>
        </w:tc>
        <w:tc>
          <w:tcPr>
            <w:tcW w:w="726" w:type="dxa"/>
            <w:shd w:val="clear" w:color="auto" w:fill="FFFFFF"/>
          </w:tcPr>
          <w:p>
            <w:pPr>
              <w:pStyle w:val="TableParagraph"/>
              <w:spacing w:before="3"/>
              <w:rPr>
                <w:rFonts w:ascii="Stone Sans II ITC Std Bk"/>
                <w:b/>
                <w:sz w:val="19"/>
              </w:rPr>
            </w:pPr>
          </w:p>
          <w:p>
            <w:pPr>
              <w:pStyle w:val="TableParagraph"/>
              <w:spacing w:line="247" w:lineRule="exact"/>
              <w:ind w:left="62" w:right="52"/>
              <w:jc w:val="center"/>
              <w:rPr>
                <w:rFonts w:ascii="Stone Sans II ITC Std Bk"/>
                <w:b/>
                <w:sz w:val="20"/>
              </w:rPr>
            </w:pPr>
            <w:r>
              <w:rPr>
                <w:rFonts w:ascii="Stone Sans II ITC Std Bk"/>
                <w:b/>
                <w:w w:val="110"/>
                <w:sz w:val="20"/>
              </w:rPr>
              <w:t>2010</w:t>
            </w:r>
          </w:p>
        </w:tc>
        <w:tc>
          <w:tcPr>
            <w:tcW w:w="727" w:type="dxa"/>
            <w:shd w:val="clear" w:color="auto" w:fill="FFFFFF"/>
          </w:tcPr>
          <w:p>
            <w:pPr>
              <w:pStyle w:val="TableParagraph"/>
              <w:spacing w:before="3"/>
              <w:rPr>
                <w:rFonts w:ascii="Stone Sans II ITC Std Bk"/>
                <w:b/>
                <w:sz w:val="19"/>
              </w:rPr>
            </w:pPr>
          </w:p>
          <w:p>
            <w:pPr>
              <w:pStyle w:val="TableParagraph"/>
              <w:spacing w:line="247" w:lineRule="exact"/>
              <w:ind w:left="62" w:right="52"/>
              <w:jc w:val="center"/>
              <w:rPr>
                <w:rFonts w:ascii="Stone Sans II ITC Std Bk"/>
                <w:b/>
                <w:sz w:val="20"/>
              </w:rPr>
            </w:pPr>
            <w:r>
              <w:rPr>
                <w:rFonts w:ascii="Stone Sans II ITC Std Bk"/>
                <w:b/>
                <w:w w:val="110"/>
                <w:sz w:val="20"/>
              </w:rPr>
              <w:t>2011</w:t>
            </w:r>
          </w:p>
        </w:tc>
        <w:tc>
          <w:tcPr>
            <w:tcW w:w="797" w:type="dxa"/>
            <w:shd w:val="clear" w:color="auto" w:fill="FFFFFF"/>
          </w:tcPr>
          <w:p>
            <w:pPr>
              <w:pStyle w:val="TableParagraph"/>
              <w:spacing w:before="3"/>
              <w:rPr>
                <w:rFonts w:ascii="Stone Sans II ITC Std Bk"/>
                <w:b/>
                <w:sz w:val="19"/>
              </w:rPr>
            </w:pPr>
          </w:p>
          <w:p>
            <w:pPr>
              <w:pStyle w:val="TableParagraph"/>
              <w:spacing w:line="247" w:lineRule="exact"/>
              <w:ind w:left="97" w:right="87"/>
              <w:jc w:val="center"/>
              <w:rPr>
                <w:rFonts w:ascii="Stone Sans II ITC Std Bk"/>
                <w:b/>
                <w:sz w:val="20"/>
              </w:rPr>
            </w:pPr>
            <w:r>
              <w:rPr>
                <w:rFonts w:ascii="Stone Sans II ITC Std Bk"/>
                <w:b/>
                <w:w w:val="110"/>
                <w:sz w:val="20"/>
              </w:rPr>
              <w:t>2012</w:t>
            </w:r>
          </w:p>
        </w:tc>
        <w:tc>
          <w:tcPr>
            <w:tcW w:w="772" w:type="dxa"/>
            <w:shd w:val="clear" w:color="auto" w:fill="FFFFFF"/>
          </w:tcPr>
          <w:p>
            <w:pPr>
              <w:pStyle w:val="TableParagraph"/>
              <w:spacing w:before="3"/>
              <w:rPr>
                <w:rFonts w:ascii="Stone Sans II ITC Std Bk"/>
                <w:b/>
                <w:sz w:val="19"/>
              </w:rPr>
            </w:pPr>
          </w:p>
          <w:p>
            <w:pPr>
              <w:pStyle w:val="TableParagraph"/>
              <w:spacing w:line="247" w:lineRule="exact"/>
              <w:ind w:left="85" w:right="74"/>
              <w:jc w:val="center"/>
              <w:rPr>
                <w:rFonts w:ascii="Stone Sans II ITC Std Bk"/>
                <w:b/>
                <w:sz w:val="20"/>
              </w:rPr>
            </w:pPr>
            <w:r>
              <w:rPr>
                <w:rFonts w:ascii="Stone Sans II ITC Std Bk"/>
                <w:b/>
                <w:w w:val="110"/>
                <w:sz w:val="20"/>
              </w:rPr>
              <w:t>2013</w:t>
            </w:r>
          </w:p>
        </w:tc>
      </w:tr>
      <w:tr>
        <w:trPr>
          <w:trHeight w:val="326" w:hRule="atLeast"/>
        </w:trPr>
        <w:tc>
          <w:tcPr>
            <w:tcW w:w="2886" w:type="dxa"/>
            <w:shd w:val="clear" w:color="auto" w:fill="EDF2DA"/>
          </w:tcPr>
          <w:p>
            <w:pPr>
              <w:pStyle w:val="TableParagraph"/>
              <w:spacing w:line="235" w:lineRule="exact" w:before="72"/>
              <w:ind w:left="56"/>
              <w:rPr>
                <w:rFonts w:ascii="Stone Sans II ITC Std X Bd"/>
                <w:b/>
                <w:sz w:val="20"/>
              </w:rPr>
            </w:pPr>
            <w:r>
              <w:rPr>
                <w:rFonts w:ascii="Stone Sans II ITC Std X Bd"/>
                <w:b/>
                <w:w w:val="110"/>
                <w:sz w:val="20"/>
              </w:rPr>
              <w:t>Stipendiary</w:t>
            </w:r>
          </w:p>
        </w:tc>
        <w:tc>
          <w:tcPr>
            <w:tcW w:w="726" w:type="dxa"/>
            <w:shd w:val="clear" w:color="auto" w:fill="EDF2DA"/>
          </w:tcPr>
          <w:p>
            <w:pPr>
              <w:pStyle w:val="TableParagraph"/>
              <w:rPr>
                <w:rFonts w:ascii="Times New Roman"/>
                <w:sz w:val="22"/>
              </w:rPr>
            </w:pPr>
          </w:p>
        </w:tc>
        <w:tc>
          <w:tcPr>
            <w:tcW w:w="839"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7" w:type="dxa"/>
            <w:shd w:val="clear" w:color="auto" w:fill="EDF2DA"/>
          </w:tcPr>
          <w:p>
            <w:pPr>
              <w:pStyle w:val="TableParagraph"/>
              <w:rPr>
                <w:rFonts w:ascii="Times New Roman"/>
                <w:sz w:val="22"/>
              </w:rPr>
            </w:pPr>
          </w:p>
        </w:tc>
        <w:tc>
          <w:tcPr>
            <w:tcW w:w="797" w:type="dxa"/>
            <w:shd w:val="clear" w:color="auto" w:fill="EDF2DA"/>
          </w:tcPr>
          <w:p>
            <w:pPr>
              <w:pStyle w:val="TableParagraph"/>
              <w:rPr>
                <w:rFonts w:ascii="Times New Roman"/>
                <w:sz w:val="22"/>
              </w:rPr>
            </w:pPr>
          </w:p>
        </w:tc>
        <w:tc>
          <w:tcPr>
            <w:tcW w:w="772" w:type="dxa"/>
            <w:shd w:val="clear" w:color="auto" w:fill="EDF2DA"/>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2" w:lineRule="exact" w:before="84"/>
              <w:ind w:left="56"/>
              <w:rPr>
                <w:i/>
                <w:sz w:val="20"/>
              </w:rPr>
            </w:pPr>
            <w:r>
              <w:rPr>
                <w:i/>
                <w:w w:val="110"/>
                <w:sz w:val="20"/>
              </w:rPr>
              <w:t>Full-time courses</w:t>
            </w:r>
          </w:p>
        </w:tc>
        <w:tc>
          <w:tcPr>
            <w:tcW w:w="726" w:type="dxa"/>
            <w:shd w:val="clear" w:color="auto" w:fill="FFFFFF"/>
          </w:tcPr>
          <w:p>
            <w:pPr>
              <w:pStyle w:val="TableParagraph"/>
              <w:rPr>
                <w:rFonts w:ascii="Times New Roman"/>
                <w:sz w:val="22"/>
              </w:rPr>
            </w:pPr>
          </w:p>
        </w:tc>
        <w:tc>
          <w:tcPr>
            <w:tcW w:w="839"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7" w:type="dxa"/>
            <w:shd w:val="clear" w:color="auto" w:fill="FFFFFF"/>
          </w:tcPr>
          <w:p>
            <w:pPr>
              <w:pStyle w:val="TableParagraph"/>
              <w:rPr>
                <w:rFonts w:ascii="Times New Roman"/>
                <w:sz w:val="22"/>
              </w:rPr>
            </w:pPr>
          </w:p>
        </w:tc>
        <w:tc>
          <w:tcPr>
            <w:tcW w:w="797" w:type="dxa"/>
            <w:shd w:val="clear" w:color="auto" w:fill="FFFFFF"/>
          </w:tcPr>
          <w:p>
            <w:pPr>
              <w:pStyle w:val="TableParagraph"/>
              <w:rPr>
                <w:rFonts w:ascii="Times New Roman"/>
                <w:sz w:val="22"/>
              </w:rPr>
            </w:pPr>
          </w:p>
        </w:tc>
        <w:tc>
          <w:tcPr>
            <w:tcW w:w="772" w:type="dxa"/>
            <w:shd w:val="clear" w:color="auto" w:fill="FFFFFF"/>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2" w:lineRule="exact" w:before="84"/>
              <w:ind w:left="56"/>
              <w:rPr>
                <w:sz w:val="20"/>
              </w:rPr>
            </w:pPr>
            <w:r>
              <w:rPr>
                <w:w w:val="120"/>
                <w:sz w:val="20"/>
              </w:rPr>
              <w:t>Mansfield College</w:t>
            </w:r>
          </w:p>
        </w:tc>
        <w:tc>
          <w:tcPr>
            <w:tcW w:w="726" w:type="dxa"/>
            <w:shd w:val="clear" w:color="auto" w:fill="FFFFFF"/>
          </w:tcPr>
          <w:p>
            <w:pPr>
              <w:pStyle w:val="TableParagraph"/>
              <w:spacing w:line="222" w:lineRule="exact" w:before="84"/>
              <w:ind w:left="10"/>
              <w:jc w:val="center"/>
              <w:rPr>
                <w:sz w:val="20"/>
              </w:rPr>
            </w:pPr>
            <w:r>
              <w:rPr>
                <w:w w:val="125"/>
                <w:sz w:val="20"/>
              </w:rPr>
              <w:t>5</w:t>
            </w:r>
          </w:p>
        </w:tc>
        <w:tc>
          <w:tcPr>
            <w:tcW w:w="839" w:type="dxa"/>
            <w:shd w:val="clear" w:color="auto" w:fill="FFFFFF"/>
          </w:tcPr>
          <w:p>
            <w:pPr>
              <w:pStyle w:val="TableParagraph"/>
              <w:spacing w:line="222" w:lineRule="exact" w:before="84"/>
              <w:ind w:left="10"/>
              <w:jc w:val="center"/>
              <w:rPr>
                <w:sz w:val="20"/>
              </w:rPr>
            </w:pPr>
            <w:r>
              <w:rPr>
                <w:w w:val="125"/>
                <w:sz w:val="20"/>
              </w:rPr>
              <w:t>3</w:t>
            </w:r>
          </w:p>
        </w:tc>
        <w:tc>
          <w:tcPr>
            <w:tcW w:w="726" w:type="dxa"/>
            <w:shd w:val="clear" w:color="auto" w:fill="FFFFFF"/>
          </w:tcPr>
          <w:p>
            <w:pPr>
              <w:pStyle w:val="TableParagraph"/>
              <w:spacing w:line="222" w:lineRule="exact" w:before="84"/>
              <w:ind w:left="10"/>
              <w:jc w:val="center"/>
              <w:rPr>
                <w:sz w:val="20"/>
              </w:rPr>
            </w:pPr>
            <w:r>
              <w:rPr>
                <w:w w:val="114"/>
                <w:sz w:val="20"/>
              </w:rPr>
              <w:t>-</w:t>
            </w:r>
          </w:p>
        </w:tc>
        <w:tc>
          <w:tcPr>
            <w:tcW w:w="726" w:type="dxa"/>
            <w:shd w:val="clear" w:color="auto" w:fill="FFFFFF"/>
          </w:tcPr>
          <w:p>
            <w:pPr>
              <w:pStyle w:val="TableParagraph"/>
              <w:spacing w:line="222" w:lineRule="exact" w:before="84"/>
              <w:ind w:left="10"/>
              <w:jc w:val="center"/>
              <w:rPr>
                <w:sz w:val="20"/>
              </w:rPr>
            </w:pPr>
            <w:r>
              <w:rPr>
                <w:w w:val="114"/>
                <w:sz w:val="20"/>
              </w:rPr>
              <w:t>-</w:t>
            </w:r>
          </w:p>
        </w:tc>
        <w:tc>
          <w:tcPr>
            <w:tcW w:w="727" w:type="dxa"/>
            <w:shd w:val="clear" w:color="auto" w:fill="FFFFFF"/>
          </w:tcPr>
          <w:p>
            <w:pPr>
              <w:pStyle w:val="TableParagraph"/>
              <w:spacing w:line="222" w:lineRule="exact" w:before="84"/>
              <w:ind w:left="10"/>
              <w:jc w:val="center"/>
              <w:rPr>
                <w:sz w:val="20"/>
              </w:rPr>
            </w:pPr>
            <w:r>
              <w:rPr>
                <w:w w:val="114"/>
                <w:sz w:val="20"/>
              </w:rPr>
              <w:t>-</w:t>
            </w:r>
          </w:p>
        </w:tc>
        <w:tc>
          <w:tcPr>
            <w:tcW w:w="797" w:type="dxa"/>
            <w:shd w:val="clear" w:color="auto" w:fill="FFFFFF"/>
          </w:tcPr>
          <w:p>
            <w:pPr>
              <w:pStyle w:val="TableParagraph"/>
              <w:spacing w:line="222" w:lineRule="exact" w:before="84"/>
              <w:ind w:left="10"/>
              <w:jc w:val="center"/>
              <w:rPr>
                <w:sz w:val="20"/>
              </w:rPr>
            </w:pPr>
            <w:r>
              <w:rPr>
                <w:w w:val="114"/>
                <w:sz w:val="20"/>
              </w:rPr>
              <w:t>-</w:t>
            </w:r>
          </w:p>
        </w:tc>
        <w:tc>
          <w:tcPr>
            <w:tcW w:w="772" w:type="dxa"/>
            <w:shd w:val="clear" w:color="auto" w:fill="FFFFFF"/>
          </w:tcPr>
          <w:p>
            <w:pPr>
              <w:pStyle w:val="TableParagraph"/>
              <w:spacing w:line="222" w:lineRule="exact" w:before="84"/>
              <w:ind w:left="11"/>
              <w:jc w:val="center"/>
              <w:rPr>
                <w:sz w:val="20"/>
              </w:rPr>
            </w:pPr>
            <w:r>
              <w:rPr>
                <w:w w:val="114"/>
                <w:sz w:val="20"/>
              </w:rPr>
              <w:t>-</w:t>
            </w:r>
          </w:p>
        </w:tc>
      </w:tr>
      <w:tr>
        <w:trPr>
          <w:trHeight w:val="326" w:hRule="atLeast"/>
        </w:trPr>
        <w:tc>
          <w:tcPr>
            <w:tcW w:w="2886" w:type="dxa"/>
            <w:shd w:val="clear" w:color="auto" w:fill="FFFFFF"/>
          </w:tcPr>
          <w:p>
            <w:pPr>
              <w:pStyle w:val="TableParagraph"/>
              <w:spacing w:line="222" w:lineRule="exact" w:before="84"/>
              <w:ind w:left="56"/>
              <w:rPr>
                <w:sz w:val="20"/>
              </w:rPr>
            </w:pPr>
            <w:r>
              <w:rPr>
                <w:w w:val="125"/>
                <w:sz w:val="20"/>
              </w:rPr>
              <w:t>Northern College (RCL)</w:t>
            </w:r>
          </w:p>
        </w:tc>
        <w:tc>
          <w:tcPr>
            <w:tcW w:w="726" w:type="dxa"/>
            <w:shd w:val="clear" w:color="auto" w:fill="FFFFFF"/>
          </w:tcPr>
          <w:p>
            <w:pPr>
              <w:pStyle w:val="TableParagraph"/>
              <w:spacing w:line="222" w:lineRule="exact" w:before="84"/>
              <w:ind w:left="62" w:right="52"/>
              <w:jc w:val="center"/>
              <w:rPr>
                <w:sz w:val="20"/>
              </w:rPr>
            </w:pPr>
            <w:r>
              <w:rPr>
                <w:w w:val="125"/>
                <w:sz w:val="20"/>
              </w:rPr>
              <w:t>14</w:t>
            </w:r>
          </w:p>
        </w:tc>
        <w:tc>
          <w:tcPr>
            <w:tcW w:w="839" w:type="dxa"/>
            <w:shd w:val="clear" w:color="auto" w:fill="FFFFFF"/>
          </w:tcPr>
          <w:p>
            <w:pPr>
              <w:pStyle w:val="TableParagraph"/>
              <w:spacing w:line="222" w:lineRule="exact" w:before="84"/>
              <w:ind w:left="272" w:right="262"/>
              <w:jc w:val="center"/>
              <w:rPr>
                <w:sz w:val="20"/>
              </w:rPr>
            </w:pPr>
            <w:r>
              <w:rPr>
                <w:w w:val="125"/>
                <w:sz w:val="20"/>
              </w:rPr>
              <w:t>10</w:t>
            </w:r>
          </w:p>
        </w:tc>
        <w:tc>
          <w:tcPr>
            <w:tcW w:w="726" w:type="dxa"/>
            <w:shd w:val="clear" w:color="auto" w:fill="FFFFFF"/>
          </w:tcPr>
          <w:p>
            <w:pPr>
              <w:pStyle w:val="TableParagraph"/>
              <w:spacing w:line="222" w:lineRule="exact" w:before="84"/>
              <w:ind w:left="10"/>
              <w:jc w:val="center"/>
              <w:rPr>
                <w:sz w:val="20"/>
              </w:rPr>
            </w:pPr>
            <w:r>
              <w:rPr>
                <w:w w:val="125"/>
                <w:sz w:val="20"/>
              </w:rPr>
              <w:t>8</w:t>
            </w:r>
          </w:p>
        </w:tc>
        <w:tc>
          <w:tcPr>
            <w:tcW w:w="726" w:type="dxa"/>
            <w:shd w:val="clear" w:color="auto" w:fill="FFFFFF"/>
          </w:tcPr>
          <w:p>
            <w:pPr>
              <w:pStyle w:val="TableParagraph"/>
              <w:spacing w:line="222" w:lineRule="exact" w:before="84"/>
              <w:ind w:left="10"/>
              <w:jc w:val="center"/>
              <w:rPr>
                <w:sz w:val="20"/>
              </w:rPr>
            </w:pPr>
            <w:r>
              <w:rPr>
                <w:w w:val="125"/>
                <w:sz w:val="20"/>
              </w:rPr>
              <w:t>3</w:t>
            </w:r>
          </w:p>
        </w:tc>
        <w:tc>
          <w:tcPr>
            <w:tcW w:w="727" w:type="dxa"/>
            <w:shd w:val="clear" w:color="auto" w:fill="FFFFFF"/>
          </w:tcPr>
          <w:p>
            <w:pPr>
              <w:pStyle w:val="TableParagraph"/>
              <w:spacing w:line="222" w:lineRule="exact" w:before="84"/>
              <w:ind w:left="10"/>
              <w:jc w:val="center"/>
              <w:rPr>
                <w:sz w:val="20"/>
              </w:rPr>
            </w:pPr>
            <w:r>
              <w:rPr>
                <w:w w:val="125"/>
                <w:sz w:val="20"/>
              </w:rPr>
              <w:t>1</w:t>
            </w:r>
          </w:p>
        </w:tc>
        <w:tc>
          <w:tcPr>
            <w:tcW w:w="797" w:type="dxa"/>
            <w:shd w:val="clear" w:color="auto" w:fill="FFFFFF"/>
          </w:tcPr>
          <w:p>
            <w:pPr>
              <w:pStyle w:val="TableParagraph"/>
              <w:spacing w:line="222" w:lineRule="exact" w:before="84"/>
              <w:ind w:left="10"/>
              <w:jc w:val="center"/>
              <w:rPr>
                <w:sz w:val="20"/>
              </w:rPr>
            </w:pPr>
            <w:r>
              <w:rPr>
                <w:w w:val="125"/>
                <w:sz w:val="20"/>
              </w:rPr>
              <w:t>1</w:t>
            </w:r>
          </w:p>
        </w:tc>
        <w:tc>
          <w:tcPr>
            <w:tcW w:w="772" w:type="dxa"/>
            <w:shd w:val="clear" w:color="auto" w:fill="FFFFFF"/>
          </w:tcPr>
          <w:p>
            <w:pPr>
              <w:pStyle w:val="TableParagraph"/>
              <w:spacing w:line="222" w:lineRule="exact" w:before="84"/>
              <w:ind w:left="11"/>
              <w:jc w:val="center"/>
              <w:rPr>
                <w:sz w:val="20"/>
              </w:rPr>
            </w:pPr>
            <w:r>
              <w:rPr>
                <w:w w:val="125"/>
                <w:sz w:val="20"/>
              </w:rPr>
              <w:t>3</w:t>
            </w:r>
          </w:p>
        </w:tc>
      </w:tr>
      <w:tr>
        <w:trPr>
          <w:trHeight w:val="326" w:hRule="atLeast"/>
        </w:trPr>
        <w:tc>
          <w:tcPr>
            <w:tcW w:w="2886" w:type="dxa"/>
            <w:shd w:val="clear" w:color="auto" w:fill="FFFFFF"/>
          </w:tcPr>
          <w:p>
            <w:pPr>
              <w:pStyle w:val="TableParagraph"/>
              <w:spacing w:line="223" w:lineRule="exact" w:before="84"/>
              <w:ind w:left="56"/>
              <w:rPr>
                <w:sz w:val="20"/>
              </w:rPr>
            </w:pPr>
            <w:r>
              <w:rPr>
                <w:w w:val="120"/>
                <w:sz w:val="20"/>
              </w:rPr>
              <w:t>Queen’s Foundation</w:t>
            </w:r>
          </w:p>
        </w:tc>
        <w:tc>
          <w:tcPr>
            <w:tcW w:w="726" w:type="dxa"/>
            <w:shd w:val="clear" w:color="auto" w:fill="FFFFFF"/>
          </w:tcPr>
          <w:p>
            <w:pPr>
              <w:pStyle w:val="TableParagraph"/>
              <w:spacing w:line="223" w:lineRule="exact" w:before="84"/>
              <w:ind w:left="11"/>
              <w:jc w:val="center"/>
              <w:rPr>
                <w:sz w:val="20"/>
              </w:rPr>
            </w:pPr>
            <w:r>
              <w:rPr>
                <w:w w:val="125"/>
                <w:sz w:val="20"/>
              </w:rPr>
              <w:t>3</w:t>
            </w:r>
          </w:p>
        </w:tc>
        <w:tc>
          <w:tcPr>
            <w:tcW w:w="839" w:type="dxa"/>
            <w:shd w:val="clear" w:color="auto" w:fill="FFFFFF"/>
          </w:tcPr>
          <w:p>
            <w:pPr>
              <w:pStyle w:val="TableParagraph"/>
              <w:spacing w:line="223" w:lineRule="exact" w:before="84"/>
              <w:ind w:left="10"/>
              <w:jc w:val="center"/>
              <w:rPr>
                <w:sz w:val="20"/>
              </w:rPr>
            </w:pPr>
            <w:r>
              <w:rPr>
                <w:w w:val="125"/>
                <w:sz w:val="20"/>
              </w:rPr>
              <w:t>3</w:t>
            </w:r>
          </w:p>
        </w:tc>
        <w:tc>
          <w:tcPr>
            <w:tcW w:w="726" w:type="dxa"/>
            <w:shd w:val="clear" w:color="auto" w:fill="FFFFFF"/>
          </w:tcPr>
          <w:p>
            <w:pPr>
              <w:pStyle w:val="TableParagraph"/>
              <w:spacing w:line="223" w:lineRule="exact" w:before="84"/>
              <w:ind w:left="10"/>
              <w:jc w:val="center"/>
              <w:rPr>
                <w:sz w:val="20"/>
              </w:rPr>
            </w:pPr>
            <w:r>
              <w:rPr>
                <w:w w:val="125"/>
                <w:sz w:val="20"/>
              </w:rPr>
              <w:t>1</w:t>
            </w:r>
          </w:p>
        </w:tc>
        <w:tc>
          <w:tcPr>
            <w:tcW w:w="726" w:type="dxa"/>
            <w:shd w:val="clear" w:color="auto" w:fill="FFFFFF"/>
          </w:tcPr>
          <w:p>
            <w:pPr>
              <w:pStyle w:val="TableParagraph"/>
              <w:spacing w:line="223" w:lineRule="exact" w:before="84"/>
              <w:ind w:left="10"/>
              <w:jc w:val="center"/>
              <w:rPr>
                <w:sz w:val="20"/>
              </w:rPr>
            </w:pPr>
            <w:r>
              <w:rPr>
                <w:w w:val="125"/>
                <w:sz w:val="20"/>
              </w:rPr>
              <w:t>1</w:t>
            </w:r>
          </w:p>
        </w:tc>
        <w:tc>
          <w:tcPr>
            <w:tcW w:w="727" w:type="dxa"/>
            <w:shd w:val="clear" w:color="auto" w:fill="FFFFFF"/>
          </w:tcPr>
          <w:p>
            <w:pPr>
              <w:pStyle w:val="TableParagraph"/>
              <w:spacing w:line="223" w:lineRule="exact" w:before="84"/>
              <w:ind w:left="10"/>
              <w:jc w:val="center"/>
              <w:rPr>
                <w:sz w:val="20"/>
              </w:rPr>
            </w:pPr>
            <w:r>
              <w:rPr>
                <w:w w:val="114"/>
                <w:sz w:val="20"/>
              </w:rPr>
              <w:t>-</w:t>
            </w:r>
          </w:p>
        </w:tc>
        <w:tc>
          <w:tcPr>
            <w:tcW w:w="797" w:type="dxa"/>
            <w:shd w:val="clear" w:color="auto" w:fill="FFFFFF"/>
          </w:tcPr>
          <w:p>
            <w:pPr>
              <w:pStyle w:val="TableParagraph"/>
              <w:spacing w:line="223" w:lineRule="exact" w:before="84"/>
              <w:ind w:left="11"/>
              <w:jc w:val="center"/>
              <w:rPr>
                <w:sz w:val="20"/>
              </w:rPr>
            </w:pPr>
            <w:r>
              <w:rPr>
                <w:w w:val="114"/>
                <w:sz w:val="20"/>
              </w:rPr>
              <w:t>-</w:t>
            </w:r>
          </w:p>
        </w:tc>
        <w:tc>
          <w:tcPr>
            <w:tcW w:w="772" w:type="dxa"/>
            <w:shd w:val="clear" w:color="auto" w:fill="FFFFFF"/>
          </w:tcPr>
          <w:p>
            <w:pPr>
              <w:pStyle w:val="TableParagraph"/>
              <w:spacing w:line="223" w:lineRule="exact" w:before="84"/>
              <w:ind w:left="12"/>
              <w:jc w:val="center"/>
              <w:rPr>
                <w:sz w:val="20"/>
              </w:rPr>
            </w:pPr>
            <w:r>
              <w:rPr>
                <w:w w:val="114"/>
                <w:sz w:val="20"/>
              </w:rPr>
              <w:t>-</w:t>
            </w:r>
          </w:p>
        </w:tc>
      </w:tr>
      <w:tr>
        <w:trPr>
          <w:trHeight w:val="326" w:hRule="atLeast"/>
        </w:trPr>
        <w:tc>
          <w:tcPr>
            <w:tcW w:w="2886" w:type="dxa"/>
            <w:shd w:val="clear" w:color="auto" w:fill="FFFFFF"/>
          </w:tcPr>
          <w:p>
            <w:pPr>
              <w:pStyle w:val="TableParagraph"/>
              <w:spacing w:line="223" w:lineRule="exact" w:before="84"/>
              <w:ind w:left="57"/>
              <w:rPr>
                <w:sz w:val="20"/>
              </w:rPr>
            </w:pPr>
            <w:r>
              <w:rPr>
                <w:w w:val="130"/>
                <w:sz w:val="20"/>
              </w:rPr>
              <w:t>SURCC (RCL)</w:t>
            </w:r>
          </w:p>
        </w:tc>
        <w:tc>
          <w:tcPr>
            <w:tcW w:w="726" w:type="dxa"/>
            <w:shd w:val="clear" w:color="auto" w:fill="FFFFFF"/>
          </w:tcPr>
          <w:p>
            <w:pPr>
              <w:pStyle w:val="TableParagraph"/>
              <w:spacing w:line="223" w:lineRule="exact" w:before="84"/>
              <w:ind w:left="11"/>
              <w:jc w:val="center"/>
              <w:rPr>
                <w:sz w:val="20"/>
              </w:rPr>
            </w:pPr>
            <w:r>
              <w:rPr>
                <w:w w:val="125"/>
                <w:sz w:val="20"/>
              </w:rPr>
              <w:t>1</w:t>
            </w:r>
          </w:p>
        </w:tc>
        <w:tc>
          <w:tcPr>
            <w:tcW w:w="839" w:type="dxa"/>
            <w:shd w:val="clear" w:color="auto" w:fill="FFFFFF"/>
          </w:tcPr>
          <w:p>
            <w:pPr>
              <w:pStyle w:val="TableParagraph"/>
              <w:spacing w:line="223" w:lineRule="exact" w:before="84"/>
              <w:ind w:left="11"/>
              <w:jc w:val="center"/>
              <w:rPr>
                <w:sz w:val="20"/>
              </w:rPr>
            </w:pPr>
            <w:r>
              <w:rPr>
                <w:w w:val="125"/>
                <w:sz w:val="20"/>
              </w:rPr>
              <w:t>2</w:t>
            </w:r>
          </w:p>
        </w:tc>
        <w:tc>
          <w:tcPr>
            <w:tcW w:w="726" w:type="dxa"/>
            <w:shd w:val="clear" w:color="auto" w:fill="FFFFFF"/>
          </w:tcPr>
          <w:p>
            <w:pPr>
              <w:pStyle w:val="TableParagraph"/>
              <w:spacing w:line="223" w:lineRule="exact" w:before="84"/>
              <w:ind w:left="10"/>
              <w:jc w:val="center"/>
              <w:rPr>
                <w:sz w:val="20"/>
              </w:rPr>
            </w:pPr>
            <w:r>
              <w:rPr>
                <w:w w:val="125"/>
                <w:sz w:val="20"/>
              </w:rPr>
              <w:t>2</w:t>
            </w:r>
          </w:p>
        </w:tc>
        <w:tc>
          <w:tcPr>
            <w:tcW w:w="726" w:type="dxa"/>
            <w:shd w:val="clear" w:color="auto" w:fill="FFFFFF"/>
          </w:tcPr>
          <w:p>
            <w:pPr>
              <w:pStyle w:val="TableParagraph"/>
              <w:spacing w:line="223" w:lineRule="exact" w:before="84"/>
              <w:ind w:left="11"/>
              <w:jc w:val="center"/>
              <w:rPr>
                <w:sz w:val="20"/>
              </w:rPr>
            </w:pPr>
            <w:r>
              <w:rPr>
                <w:w w:val="114"/>
                <w:sz w:val="20"/>
              </w:rPr>
              <w:t>-</w:t>
            </w:r>
          </w:p>
        </w:tc>
        <w:tc>
          <w:tcPr>
            <w:tcW w:w="727" w:type="dxa"/>
            <w:shd w:val="clear" w:color="auto" w:fill="FFFFFF"/>
          </w:tcPr>
          <w:p>
            <w:pPr>
              <w:pStyle w:val="TableParagraph"/>
              <w:spacing w:line="223" w:lineRule="exact" w:before="84"/>
              <w:ind w:left="11"/>
              <w:jc w:val="center"/>
              <w:rPr>
                <w:sz w:val="20"/>
              </w:rPr>
            </w:pPr>
            <w:r>
              <w:rPr>
                <w:w w:val="125"/>
                <w:sz w:val="20"/>
              </w:rPr>
              <w:t>1</w:t>
            </w:r>
          </w:p>
        </w:tc>
        <w:tc>
          <w:tcPr>
            <w:tcW w:w="797" w:type="dxa"/>
            <w:shd w:val="clear" w:color="auto" w:fill="FFFFFF"/>
          </w:tcPr>
          <w:p>
            <w:pPr>
              <w:pStyle w:val="TableParagraph"/>
              <w:spacing w:line="223" w:lineRule="exact" w:before="84"/>
              <w:ind w:left="11"/>
              <w:jc w:val="center"/>
              <w:rPr>
                <w:sz w:val="20"/>
              </w:rPr>
            </w:pPr>
            <w:r>
              <w:rPr>
                <w:w w:val="114"/>
                <w:sz w:val="20"/>
              </w:rPr>
              <w:t>-</w:t>
            </w:r>
          </w:p>
        </w:tc>
        <w:tc>
          <w:tcPr>
            <w:tcW w:w="772" w:type="dxa"/>
            <w:shd w:val="clear" w:color="auto" w:fill="FFFFFF"/>
          </w:tcPr>
          <w:p>
            <w:pPr>
              <w:pStyle w:val="TableParagraph"/>
              <w:spacing w:line="223" w:lineRule="exact" w:before="84"/>
              <w:ind w:left="12"/>
              <w:jc w:val="center"/>
              <w:rPr>
                <w:sz w:val="20"/>
              </w:rPr>
            </w:pPr>
            <w:r>
              <w:rPr>
                <w:w w:val="125"/>
                <w:sz w:val="20"/>
              </w:rPr>
              <w:t>1</w:t>
            </w:r>
          </w:p>
        </w:tc>
      </w:tr>
      <w:tr>
        <w:trPr>
          <w:trHeight w:val="326" w:hRule="atLeast"/>
        </w:trPr>
        <w:tc>
          <w:tcPr>
            <w:tcW w:w="2886" w:type="dxa"/>
            <w:shd w:val="clear" w:color="auto" w:fill="FFFFFF"/>
          </w:tcPr>
          <w:p>
            <w:pPr>
              <w:pStyle w:val="TableParagraph"/>
              <w:spacing w:line="223" w:lineRule="exact" w:before="84"/>
              <w:ind w:left="57"/>
              <w:rPr>
                <w:sz w:val="20"/>
              </w:rPr>
            </w:pPr>
            <w:r>
              <w:rPr>
                <w:w w:val="125"/>
                <w:sz w:val="20"/>
              </w:rPr>
              <w:t>Westminster College (RCL)</w:t>
            </w:r>
          </w:p>
        </w:tc>
        <w:tc>
          <w:tcPr>
            <w:tcW w:w="726" w:type="dxa"/>
            <w:shd w:val="clear" w:color="auto" w:fill="FFFFFF"/>
          </w:tcPr>
          <w:p>
            <w:pPr>
              <w:pStyle w:val="TableParagraph"/>
              <w:spacing w:line="223" w:lineRule="exact" w:before="84"/>
              <w:ind w:left="62" w:right="51"/>
              <w:jc w:val="center"/>
              <w:rPr>
                <w:sz w:val="20"/>
              </w:rPr>
            </w:pPr>
            <w:r>
              <w:rPr>
                <w:w w:val="125"/>
                <w:sz w:val="20"/>
              </w:rPr>
              <w:t>20</w:t>
            </w:r>
          </w:p>
        </w:tc>
        <w:tc>
          <w:tcPr>
            <w:tcW w:w="839" w:type="dxa"/>
            <w:shd w:val="clear" w:color="auto" w:fill="FFFFFF"/>
          </w:tcPr>
          <w:p>
            <w:pPr>
              <w:pStyle w:val="TableParagraph"/>
              <w:spacing w:line="223" w:lineRule="exact" w:before="84"/>
              <w:ind w:left="272" w:right="261"/>
              <w:jc w:val="center"/>
              <w:rPr>
                <w:sz w:val="20"/>
              </w:rPr>
            </w:pPr>
            <w:r>
              <w:rPr>
                <w:w w:val="125"/>
                <w:sz w:val="20"/>
              </w:rPr>
              <w:t>19</w:t>
            </w:r>
          </w:p>
        </w:tc>
        <w:tc>
          <w:tcPr>
            <w:tcW w:w="726" w:type="dxa"/>
            <w:shd w:val="clear" w:color="auto" w:fill="FFFFFF"/>
          </w:tcPr>
          <w:p>
            <w:pPr>
              <w:pStyle w:val="TableParagraph"/>
              <w:spacing w:line="223" w:lineRule="exact" w:before="84"/>
              <w:ind w:right="229"/>
              <w:jc w:val="right"/>
              <w:rPr>
                <w:sz w:val="20"/>
              </w:rPr>
            </w:pPr>
            <w:r>
              <w:rPr>
                <w:w w:val="125"/>
                <w:sz w:val="20"/>
              </w:rPr>
              <w:t>18</w:t>
            </w:r>
          </w:p>
        </w:tc>
        <w:tc>
          <w:tcPr>
            <w:tcW w:w="726" w:type="dxa"/>
            <w:shd w:val="clear" w:color="auto" w:fill="FFFFFF"/>
          </w:tcPr>
          <w:p>
            <w:pPr>
              <w:pStyle w:val="TableParagraph"/>
              <w:spacing w:line="223" w:lineRule="exact" w:before="84"/>
              <w:ind w:left="11"/>
              <w:jc w:val="center"/>
              <w:rPr>
                <w:sz w:val="20"/>
              </w:rPr>
            </w:pPr>
            <w:r>
              <w:rPr>
                <w:w w:val="125"/>
                <w:sz w:val="20"/>
              </w:rPr>
              <w:t>8</w:t>
            </w:r>
          </w:p>
        </w:tc>
        <w:tc>
          <w:tcPr>
            <w:tcW w:w="727" w:type="dxa"/>
            <w:shd w:val="clear" w:color="auto" w:fill="FFFFFF"/>
          </w:tcPr>
          <w:p>
            <w:pPr>
              <w:pStyle w:val="TableParagraph"/>
              <w:spacing w:line="223" w:lineRule="exact" w:before="84"/>
              <w:ind w:left="11"/>
              <w:jc w:val="center"/>
              <w:rPr>
                <w:sz w:val="20"/>
              </w:rPr>
            </w:pPr>
            <w:r>
              <w:rPr>
                <w:w w:val="125"/>
                <w:sz w:val="20"/>
              </w:rPr>
              <w:t>4</w:t>
            </w:r>
          </w:p>
        </w:tc>
        <w:tc>
          <w:tcPr>
            <w:tcW w:w="797" w:type="dxa"/>
            <w:shd w:val="clear" w:color="auto" w:fill="FFFFFF"/>
          </w:tcPr>
          <w:p>
            <w:pPr>
              <w:pStyle w:val="TableParagraph"/>
              <w:spacing w:line="223" w:lineRule="exact" w:before="84"/>
              <w:ind w:left="11"/>
              <w:jc w:val="center"/>
              <w:rPr>
                <w:sz w:val="20"/>
              </w:rPr>
            </w:pPr>
            <w:r>
              <w:rPr>
                <w:w w:val="125"/>
                <w:sz w:val="20"/>
              </w:rPr>
              <w:t>3</w:t>
            </w:r>
          </w:p>
        </w:tc>
        <w:tc>
          <w:tcPr>
            <w:tcW w:w="772" w:type="dxa"/>
            <w:shd w:val="clear" w:color="auto" w:fill="FFFFFF"/>
          </w:tcPr>
          <w:p>
            <w:pPr>
              <w:pStyle w:val="TableParagraph"/>
              <w:spacing w:line="223" w:lineRule="exact" w:before="84"/>
              <w:ind w:left="12"/>
              <w:jc w:val="center"/>
              <w:rPr>
                <w:sz w:val="20"/>
              </w:rPr>
            </w:pPr>
            <w:r>
              <w:rPr>
                <w:w w:val="125"/>
                <w:sz w:val="20"/>
              </w:rPr>
              <w:t>3</w:t>
            </w:r>
          </w:p>
        </w:tc>
      </w:tr>
      <w:tr>
        <w:trPr>
          <w:trHeight w:val="326" w:hRule="atLeast"/>
        </w:trPr>
        <w:tc>
          <w:tcPr>
            <w:tcW w:w="2886" w:type="dxa"/>
            <w:shd w:val="clear" w:color="auto" w:fill="FFFFFF"/>
          </w:tcPr>
          <w:p>
            <w:pPr>
              <w:pStyle w:val="TableParagraph"/>
              <w:spacing w:line="223" w:lineRule="exact" w:before="84"/>
              <w:ind w:left="57"/>
              <w:rPr>
                <w:i/>
                <w:sz w:val="20"/>
              </w:rPr>
            </w:pPr>
            <w:r>
              <w:rPr>
                <w:i/>
                <w:w w:val="110"/>
                <w:sz w:val="20"/>
              </w:rPr>
              <w:t>Part-time courses</w:t>
            </w:r>
          </w:p>
        </w:tc>
        <w:tc>
          <w:tcPr>
            <w:tcW w:w="726" w:type="dxa"/>
            <w:shd w:val="clear" w:color="auto" w:fill="FFFFFF"/>
          </w:tcPr>
          <w:p>
            <w:pPr>
              <w:pStyle w:val="TableParagraph"/>
              <w:rPr>
                <w:rFonts w:ascii="Times New Roman"/>
                <w:sz w:val="22"/>
              </w:rPr>
            </w:pPr>
          </w:p>
        </w:tc>
        <w:tc>
          <w:tcPr>
            <w:tcW w:w="839"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7" w:type="dxa"/>
            <w:shd w:val="clear" w:color="auto" w:fill="FFFFFF"/>
          </w:tcPr>
          <w:p>
            <w:pPr>
              <w:pStyle w:val="TableParagraph"/>
              <w:rPr>
                <w:rFonts w:ascii="Times New Roman"/>
                <w:sz w:val="22"/>
              </w:rPr>
            </w:pPr>
          </w:p>
        </w:tc>
        <w:tc>
          <w:tcPr>
            <w:tcW w:w="797" w:type="dxa"/>
            <w:shd w:val="clear" w:color="auto" w:fill="FFFFFF"/>
          </w:tcPr>
          <w:p>
            <w:pPr>
              <w:pStyle w:val="TableParagraph"/>
              <w:rPr>
                <w:rFonts w:ascii="Times New Roman"/>
                <w:sz w:val="22"/>
              </w:rPr>
            </w:pPr>
          </w:p>
        </w:tc>
        <w:tc>
          <w:tcPr>
            <w:tcW w:w="772" w:type="dxa"/>
            <w:shd w:val="clear" w:color="auto" w:fill="FFFFFF"/>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3" w:lineRule="exact" w:before="83"/>
              <w:ind w:left="57"/>
              <w:rPr>
                <w:sz w:val="20"/>
              </w:rPr>
            </w:pPr>
            <w:r>
              <w:rPr>
                <w:w w:val="130"/>
                <w:sz w:val="20"/>
              </w:rPr>
              <w:t>NEOC</w:t>
            </w:r>
          </w:p>
        </w:tc>
        <w:tc>
          <w:tcPr>
            <w:tcW w:w="726" w:type="dxa"/>
            <w:shd w:val="clear" w:color="auto" w:fill="FFFFFF"/>
          </w:tcPr>
          <w:p>
            <w:pPr>
              <w:pStyle w:val="TableParagraph"/>
              <w:spacing w:line="223" w:lineRule="exact" w:before="83"/>
              <w:ind w:left="12"/>
              <w:jc w:val="center"/>
              <w:rPr>
                <w:sz w:val="20"/>
              </w:rPr>
            </w:pPr>
            <w:r>
              <w:rPr>
                <w:w w:val="125"/>
                <w:sz w:val="20"/>
              </w:rPr>
              <w:t>1</w:t>
            </w:r>
          </w:p>
        </w:tc>
        <w:tc>
          <w:tcPr>
            <w:tcW w:w="839" w:type="dxa"/>
            <w:shd w:val="clear" w:color="auto" w:fill="FFFFFF"/>
          </w:tcPr>
          <w:p>
            <w:pPr>
              <w:pStyle w:val="TableParagraph"/>
              <w:spacing w:line="223" w:lineRule="exact" w:before="83"/>
              <w:ind w:left="11"/>
              <w:jc w:val="center"/>
              <w:rPr>
                <w:sz w:val="20"/>
              </w:rPr>
            </w:pPr>
            <w:r>
              <w:rPr>
                <w:w w:val="114"/>
                <w:sz w:val="20"/>
              </w:rPr>
              <w:t>-</w:t>
            </w:r>
          </w:p>
        </w:tc>
        <w:tc>
          <w:tcPr>
            <w:tcW w:w="726" w:type="dxa"/>
            <w:shd w:val="clear" w:color="auto" w:fill="FFFFFF"/>
          </w:tcPr>
          <w:p>
            <w:pPr>
              <w:pStyle w:val="TableParagraph"/>
              <w:spacing w:line="223" w:lineRule="exact" w:before="83"/>
              <w:ind w:left="11"/>
              <w:jc w:val="center"/>
              <w:rPr>
                <w:sz w:val="20"/>
              </w:rPr>
            </w:pPr>
            <w:r>
              <w:rPr>
                <w:w w:val="114"/>
                <w:sz w:val="20"/>
              </w:rPr>
              <w:t>-</w:t>
            </w:r>
          </w:p>
        </w:tc>
        <w:tc>
          <w:tcPr>
            <w:tcW w:w="726" w:type="dxa"/>
            <w:shd w:val="clear" w:color="auto" w:fill="FFFFFF"/>
          </w:tcPr>
          <w:p>
            <w:pPr>
              <w:pStyle w:val="TableParagraph"/>
              <w:spacing w:line="223" w:lineRule="exact" w:before="83"/>
              <w:ind w:left="11"/>
              <w:jc w:val="center"/>
              <w:rPr>
                <w:sz w:val="20"/>
              </w:rPr>
            </w:pPr>
            <w:r>
              <w:rPr>
                <w:w w:val="114"/>
                <w:sz w:val="20"/>
              </w:rPr>
              <w:t>-</w:t>
            </w:r>
          </w:p>
        </w:tc>
        <w:tc>
          <w:tcPr>
            <w:tcW w:w="727" w:type="dxa"/>
            <w:shd w:val="clear" w:color="auto" w:fill="FFFFFF"/>
          </w:tcPr>
          <w:p>
            <w:pPr>
              <w:pStyle w:val="TableParagraph"/>
              <w:spacing w:line="223" w:lineRule="exact" w:before="83"/>
              <w:ind w:left="11"/>
              <w:jc w:val="center"/>
              <w:rPr>
                <w:sz w:val="20"/>
              </w:rPr>
            </w:pPr>
            <w:r>
              <w:rPr>
                <w:w w:val="114"/>
                <w:sz w:val="20"/>
              </w:rPr>
              <w:t>-</w:t>
            </w:r>
          </w:p>
        </w:tc>
        <w:tc>
          <w:tcPr>
            <w:tcW w:w="797" w:type="dxa"/>
            <w:shd w:val="clear" w:color="auto" w:fill="FFFFFF"/>
          </w:tcPr>
          <w:p>
            <w:pPr>
              <w:pStyle w:val="TableParagraph"/>
              <w:spacing w:line="223" w:lineRule="exact" w:before="83"/>
              <w:ind w:left="12"/>
              <w:jc w:val="center"/>
              <w:rPr>
                <w:sz w:val="20"/>
              </w:rPr>
            </w:pPr>
            <w:r>
              <w:rPr>
                <w:w w:val="114"/>
                <w:sz w:val="20"/>
              </w:rPr>
              <w:t>-</w:t>
            </w:r>
          </w:p>
        </w:tc>
        <w:tc>
          <w:tcPr>
            <w:tcW w:w="772" w:type="dxa"/>
            <w:shd w:val="clear" w:color="auto" w:fill="FFFFFF"/>
          </w:tcPr>
          <w:p>
            <w:pPr>
              <w:pStyle w:val="TableParagraph"/>
              <w:spacing w:line="223" w:lineRule="exact" w:before="83"/>
              <w:ind w:left="12"/>
              <w:jc w:val="center"/>
              <w:rPr>
                <w:sz w:val="20"/>
              </w:rPr>
            </w:pPr>
            <w:r>
              <w:rPr>
                <w:w w:val="114"/>
                <w:sz w:val="20"/>
              </w:rPr>
              <w:t>-</w:t>
            </w:r>
          </w:p>
        </w:tc>
      </w:tr>
      <w:tr>
        <w:trPr>
          <w:trHeight w:val="326" w:hRule="atLeast"/>
        </w:trPr>
        <w:tc>
          <w:tcPr>
            <w:tcW w:w="2886" w:type="dxa"/>
            <w:shd w:val="clear" w:color="auto" w:fill="FFFFFF"/>
          </w:tcPr>
          <w:p>
            <w:pPr>
              <w:pStyle w:val="TableParagraph"/>
              <w:spacing w:line="223" w:lineRule="exact" w:before="83"/>
              <w:ind w:left="57"/>
              <w:rPr>
                <w:sz w:val="20"/>
              </w:rPr>
            </w:pPr>
            <w:r>
              <w:rPr>
                <w:w w:val="125"/>
                <w:sz w:val="20"/>
              </w:rPr>
              <w:t>Northern College (RCL)</w:t>
            </w:r>
          </w:p>
        </w:tc>
        <w:tc>
          <w:tcPr>
            <w:tcW w:w="726" w:type="dxa"/>
            <w:shd w:val="clear" w:color="auto" w:fill="FFFFFF"/>
          </w:tcPr>
          <w:p>
            <w:pPr>
              <w:pStyle w:val="TableParagraph"/>
              <w:spacing w:line="223" w:lineRule="exact" w:before="83"/>
              <w:ind w:left="12"/>
              <w:jc w:val="center"/>
              <w:rPr>
                <w:sz w:val="20"/>
              </w:rPr>
            </w:pPr>
            <w:r>
              <w:rPr>
                <w:w w:val="125"/>
                <w:sz w:val="20"/>
              </w:rPr>
              <w:t>3</w:t>
            </w:r>
          </w:p>
        </w:tc>
        <w:tc>
          <w:tcPr>
            <w:tcW w:w="839" w:type="dxa"/>
            <w:shd w:val="clear" w:color="auto" w:fill="FFFFFF"/>
          </w:tcPr>
          <w:p>
            <w:pPr>
              <w:pStyle w:val="TableParagraph"/>
              <w:spacing w:line="223" w:lineRule="exact" w:before="83"/>
              <w:ind w:left="12"/>
              <w:jc w:val="center"/>
              <w:rPr>
                <w:sz w:val="20"/>
              </w:rPr>
            </w:pPr>
            <w:r>
              <w:rPr>
                <w:w w:val="125"/>
                <w:sz w:val="20"/>
              </w:rPr>
              <w:t>2</w:t>
            </w:r>
          </w:p>
        </w:tc>
        <w:tc>
          <w:tcPr>
            <w:tcW w:w="726" w:type="dxa"/>
            <w:shd w:val="clear" w:color="auto" w:fill="FFFFFF"/>
          </w:tcPr>
          <w:p>
            <w:pPr>
              <w:pStyle w:val="TableParagraph"/>
              <w:spacing w:line="223" w:lineRule="exact" w:before="83"/>
              <w:ind w:left="11"/>
              <w:jc w:val="center"/>
              <w:rPr>
                <w:sz w:val="20"/>
              </w:rPr>
            </w:pPr>
            <w:r>
              <w:rPr>
                <w:w w:val="125"/>
                <w:sz w:val="20"/>
              </w:rPr>
              <w:t>2</w:t>
            </w:r>
          </w:p>
        </w:tc>
        <w:tc>
          <w:tcPr>
            <w:tcW w:w="726" w:type="dxa"/>
            <w:shd w:val="clear" w:color="auto" w:fill="FFFFFF"/>
          </w:tcPr>
          <w:p>
            <w:pPr>
              <w:pStyle w:val="TableParagraph"/>
              <w:spacing w:line="223" w:lineRule="exact" w:before="83"/>
              <w:ind w:left="11"/>
              <w:jc w:val="center"/>
              <w:rPr>
                <w:sz w:val="20"/>
              </w:rPr>
            </w:pPr>
            <w:r>
              <w:rPr>
                <w:w w:val="125"/>
                <w:sz w:val="20"/>
              </w:rPr>
              <w:t>1</w:t>
            </w:r>
          </w:p>
        </w:tc>
        <w:tc>
          <w:tcPr>
            <w:tcW w:w="727" w:type="dxa"/>
            <w:shd w:val="clear" w:color="auto" w:fill="FFFFFF"/>
          </w:tcPr>
          <w:p>
            <w:pPr>
              <w:pStyle w:val="TableParagraph"/>
              <w:spacing w:line="223" w:lineRule="exact" w:before="83"/>
              <w:ind w:left="11"/>
              <w:jc w:val="center"/>
              <w:rPr>
                <w:sz w:val="20"/>
              </w:rPr>
            </w:pPr>
            <w:r>
              <w:rPr>
                <w:w w:val="125"/>
                <w:sz w:val="20"/>
              </w:rPr>
              <w:t>1</w:t>
            </w:r>
          </w:p>
        </w:tc>
        <w:tc>
          <w:tcPr>
            <w:tcW w:w="797" w:type="dxa"/>
            <w:shd w:val="clear" w:color="auto" w:fill="FFFFFF"/>
          </w:tcPr>
          <w:p>
            <w:pPr>
              <w:pStyle w:val="TableParagraph"/>
              <w:spacing w:line="223" w:lineRule="exact" w:before="83"/>
              <w:ind w:left="12"/>
              <w:jc w:val="center"/>
              <w:rPr>
                <w:sz w:val="20"/>
              </w:rPr>
            </w:pPr>
            <w:r>
              <w:rPr>
                <w:w w:val="114"/>
                <w:sz w:val="20"/>
              </w:rPr>
              <w:t>-</w:t>
            </w:r>
          </w:p>
        </w:tc>
        <w:tc>
          <w:tcPr>
            <w:tcW w:w="772" w:type="dxa"/>
            <w:shd w:val="clear" w:color="auto" w:fill="FFFFFF"/>
          </w:tcPr>
          <w:p>
            <w:pPr>
              <w:pStyle w:val="TableParagraph"/>
              <w:spacing w:line="223" w:lineRule="exact" w:before="83"/>
              <w:ind w:left="12"/>
              <w:jc w:val="center"/>
              <w:rPr>
                <w:sz w:val="20"/>
              </w:rPr>
            </w:pPr>
            <w:r>
              <w:rPr>
                <w:w w:val="114"/>
                <w:sz w:val="20"/>
              </w:rPr>
              <w:t>-</w:t>
            </w:r>
          </w:p>
        </w:tc>
      </w:tr>
      <w:tr>
        <w:trPr>
          <w:trHeight w:val="326" w:hRule="atLeast"/>
        </w:trPr>
        <w:tc>
          <w:tcPr>
            <w:tcW w:w="2886" w:type="dxa"/>
            <w:shd w:val="clear" w:color="auto" w:fill="FFFFFF"/>
          </w:tcPr>
          <w:p>
            <w:pPr>
              <w:pStyle w:val="TableParagraph"/>
              <w:spacing w:line="223" w:lineRule="exact" w:before="83"/>
              <w:ind w:left="57"/>
              <w:rPr>
                <w:sz w:val="20"/>
              </w:rPr>
            </w:pPr>
            <w:r>
              <w:rPr>
                <w:w w:val="125"/>
                <w:sz w:val="20"/>
              </w:rPr>
              <w:t>SWMTC</w:t>
            </w:r>
          </w:p>
        </w:tc>
        <w:tc>
          <w:tcPr>
            <w:tcW w:w="726" w:type="dxa"/>
            <w:shd w:val="clear" w:color="auto" w:fill="FFFFFF"/>
          </w:tcPr>
          <w:p>
            <w:pPr>
              <w:pStyle w:val="TableParagraph"/>
              <w:spacing w:line="223" w:lineRule="exact" w:before="83"/>
              <w:ind w:left="12"/>
              <w:jc w:val="center"/>
              <w:rPr>
                <w:sz w:val="20"/>
              </w:rPr>
            </w:pPr>
            <w:r>
              <w:rPr>
                <w:w w:val="125"/>
                <w:sz w:val="20"/>
              </w:rPr>
              <w:t>1</w:t>
            </w:r>
          </w:p>
        </w:tc>
        <w:tc>
          <w:tcPr>
            <w:tcW w:w="839" w:type="dxa"/>
            <w:shd w:val="clear" w:color="auto" w:fill="FFFFFF"/>
          </w:tcPr>
          <w:p>
            <w:pPr>
              <w:pStyle w:val="TableParagraph"/>
              <w:spacing w:line="223" w:lineRule="exact" w:before="83"/>
              <w:ind w:left="12"/>
              <w:jc w:val="center"/>
              <w:rPr>
                <w:sz w:val="20"/>
              </w:rPr>
            </w:pPr>
            <w:r>
              <w:rPr>
                <w:w w:val="125"/>
                <w:sz w:val="20"/>
              </w:rPr>
              <w:t>1</w:t>
            </w:r>
          </w:p>
        </w:tc>
        <w:tc>
          <w:tcPr>
            <w:tcW w:w="726" w:type="dxa"/>
            <w:shd w:val="clear" w:color="auto" w:fill="FFFFFF"/>
          </w:tcPr>
          <w:p>
            <w:pPr>
              <w:pStyle w:val="TableParagraph"/>
              <w:spacing w:line="223" w:lineRule="exact" w:before="83"/>
              <w:ind w:left="12"/>
              <w:jc w:val="center"/>
              <w:rPr>
                <w:sz w:val="20"/>
              </w:rPr>
            </w:pPr>
            <w:r>
              <w:rPr>
                <w:w w:val="114"/>
                <w:sz w:val="20"/>
              </w:rPr>
              <w:t>-</w:t>
            </w:r>
          </w:p>
        </w:tc>
        <w:tc>
          <w:tcPr>
            <w:tcW w:w="726" w:type="dxa"/>
            <w:shd w:val="clear" w:color="auto" w:fill="FFFFFF"/>
          </w:tcPr>
          <w:p>
            <w:pPr>
              <w:pStyle w:val="TableParagraph"/>
              <w:spacing w:line="223" w:lineRule="exact" w:before="83"/>
              <w:ind w:left="12"/>
              <w:jc w:val="center"/>
              <w:rPr>
                <w:sz w:val="20"/>
              </w:rPr>
            </w:pPr>
            <w:r>
              <w:rPr>
                <w:w w:val="114"/>
                <w:sz w:val="20"/>
              </w:rPr>
              <w:t>-</w:t>
            </w:r>
          </w:p>
        </w:tc>
        <w:tc>
          <w:tcPr>
            <w:tcW w:w="727" w:type="dxa"/>
            <w:shd w:val="clear" w:color="auto" w:fill="FFFFFF"/>
          </w:tcPr>
          <w:p>
            <w:pPr>
              <w:pStyle w:val="TableParagraph"/>
              <w:spacing w:line="223" w:lineRule="exact" w:before="83"/>
              <w:ind w:left="11"/>
              <w:jc w:val="center"/>
              <w:rPr>
                <w:sz w:val="20"/>
              </w:rPr>
            </w:pPr>
            <w:r>
              <w:rPr>
                <w:w w:val="114"/>
                <w:sz w:val="20"/>
              </w:rPr>
              <w:t>-</w:t>
            </w:r>
          </w:p>
        </w:tc>
        <w:tc>
          <w:tcPr>
            <w:tcW w:w="797" w:type="dxa"/>
            <w:shd w:val="clear" w:color="auto" w:fill="FFFFFF"/>
          </w:tcPr>
          <w:p>
            <w:pPr>
              <w:pStyle w:val="TableParagraph"/>
              <w:spacing w:line="223" w:lineRule="exact" w:before="83"/>
              <w:ind w:left="12"/>
              <w:jc w:val="center"/>
              <w:rPr>
                <w:sz w:val="20"/>
              </w:rPr>
            </w:pPr>
            <w:r>
              <w:rPr>
                <w:w w:val="114"/>
                <w:sz w:val="20"/>
              </w:rPr>
              <w:t>-</w:t>
            </w:r>
          </w:p>
        </w:tc>
        <w:tc>
          <w:tcPr>
            <w:tcW w:w="772" w:type="dxa"/>
            <w:shd w:val="clear" w:color="auto" w:fill="FFFFFF"/>
          </w:tcPr>
          <w:p>
            <w:pPr>
              <w:pStyle w:val="TableParagraph"/>
              <w:spacing w:line="223" w:lineRule="exact" w:before="83"/>
              <w:ind w:left="13"/>
              <w:jc w:val="center"/>
              <w:rPr>
                <w:sz w:val="20"/>
              </w:rPr>
            </w:pPr>
            <w:r>
              <w:rPr>
                <w:w w:val="114"/>
                <w:sz w:val="20"/>
              </w:rPr>
              <w:t>-</w:t>
            </w:r>
          </w:p>
        </w:tc>
      </w:tr>
      <w:tr>
        <w:trPr>
          <w:trHeight w:val="326" w:hRule="atLeast"/>
        </w:trPr>
        <w:tc>
          <w:tcPr>
            <w:tcW w:w="2886" w:type="dxa"/>
            <w:shd w:val="clear" w:color="auto" w:fill="FFFFFF"/>
          </w:tcPr>
          <w:p>
            <w:pPr>
              <w:pStyle w:val="TableParagraph"/>
              <w:spacing w:line="223" w:lineRule="exact" w:before="83"/>
              <w:ind w:left="57"/>
              <w:rPr>
                <w:sz w:val="20"/>
              </w:rPr>
            </w:pPr>
            <w:r>
              <w:rPr>
                <w:w w:val="120"/>
                <w:sz w:val="20"/>
              </w:rPr>
              <w:t>Subtotal</w:t>
            </w:r>
          </w:p>
        </w:tc>
        <w:tc>
          <w:tcPr>
            <w:tcW w:w="726" w:type="dxa"/>
            <w:shd w:val="clear" w:color="auto" w:fill="FFFFFF"/>
          </w:tcPr>
          <w:p>
            <w:pPr>
              <w:pStyle w:val="TableParagraph"/>
              <w:spacing w:line="236" w:lineRule="exact" w:before="71"/>
              <w:ind w:left="62" w:right="50"/>
              <w:jc w:val="center"/>
              <w:rPr>
                <w:rFonts w:ascii="Stone Sans II ITC Std Bk"/>
                <w:b/>
                <w:sz w:val="20"/>
              </w:rPr>
            </w:pPr>
            <w:r>
              <w:rPr>
                <w:rFonts w:ascii="Stone Sans II ITC Std Bk"/>
                <w:b/>
                <w:w w:val="110"/>
                <w:sz w:val="20"/>
              </w:rPr>
              <w:t>48</w:t>
            </w:r>
          </w:p>
        </w:tc>
        <w:tc>
          <w:tcPr>
            <w:tcW w:w="839" w:type="dxa"/>
            <w:shd w:val="clear" w:color="auto" w:fill="FFFFFF"/>
          </w:tcPr>
          <w:p>
            <w:pPr>
              <w:pStyle w:val="TableParagraph"/>
              <w:spacing w:line="236" w:lineRule="exact" w:before="71"/>
              <w:ind w:right="264"/>
              <w:jc w:val="right"/>
              <w:rPr>
                <w:rFonts w:ascii="Stone Sans II ITC Std Bk"/>
                <w:b/>
                <w:sz w:val="20"/>
              </w:rPr>
            </w:pPr>
            <w:r>
              <w:rPr>
                <w:rFonts w:ascii="Stone Sans II ITC Std Bk"/>
                <w:b/>
                <w:w w:val="110"/>
                <w:sz w:val="20"/>
              </w:rPr>
              <w:t>40</w:t>
            </w:r>
          </w:p>
        </w:tc>
        <w:tc>
          <w:tcPr>
            <w:tcW w:w="726" w:type="dxa"/>
            <w:shd w:val="clear" w:color="auto" w:fill="FFFFFF"/>
          </w:tcPr>
          <w:p>
            <w:pPr>
              <w:pStyle w:val="TableParagraph"/>
              <w:spacing w:line="236" w:lineRule="exact" w:before="71"/>
              <w:ind w:right="216"/>
              <w:jc w:val="right"/>
              <w:rPr>
                <w:rFonts w:ascii="Stone Sans II ITC Std Bk"/>
                <w:b/>
                <w:sz w:val="20"/>
              </w:rPr>
            </w:pPr>
            <w:r>
              <w:rPr>
                <w:rFonts w:ascii="Stone Sans II ITC Std Bk"/>
                <w:b/>
                <w:w w:val="110"/>
                <w:sz w:val="20"/>
              </w:rPr>
              <w:t>31</w:t>
            </w:r>
          </w:p>
        </w:tc>
        <w:tc>
          <w:tcPr>
            <w:tcW w:w="726" w:type="dxa"/>
            <w:shd w:val="clear" w:color="auto" w:fill="FFFFFF"/>
          </w:tcPr>
          <w:p>
            <w:pPr>
              <w:pStyle w:val="TableParagraph"/>
              <w:spacing w:line="236" w:lineRule="exact" w:before="71"/>
              <w:ind w:left="62" w:right="50"/>
              <w:jc w:val="center"/>
              <w:rPr>
                <w:rFonts w:ascii="Stone Sans II ITC Std Bk"/>
                <w:b/>
                <w:sz w:val="20"/>
              </w:rPr>
            </w:pPr>
            <w:r>
              <w:rPr>
                <w:rFonts w:ascii="Stone Sans II ITC Std Bk"/>
                <w:b/>
                <w:w w:val="110"/>
                <w:sz w:val="20"/>
              </w:rPr>
              <w:t>13</w:t>
            </w:r>
          </w:p>
        </w:tc>
        <w:tc>
          <w:tcPr>
            <w:tcW w:w="727" w:type="dxa"/>
            <w:shd w:val="clear" w:color="auto" w:fill="FFFFFF"/>
          </w:tcPr>
          <w:p>
            <w:pPr>
              <w:pStyle w:val="TableParagraph"/>
              <w:spacing w:line="236" w:lineRule="exact" w:before="71"/>
              <w:ind w:left="12"/>
              <w:jc w:val="center"/>
              <w:rPr>
                <w:rFonts w:ascii="Stone Sans II ITC Std Bk"/>
                <w:b/>
                <w:sz w:val="20"/>
              </w:rPr>
            </w:pPr>
            <w:r>
              <w:rPr>
                <w:rFonts w:ascii="Stone Sans II ITC Std Bk"/>
                <w:b/>
                <w:w w:val="110"/>
                <w:sz w:val="20"/>
              </w:rPr>
              <w:t>7</w:t>
            </w:r>
          </w:p>
        </w:tc>
        <w:tc>
          <w:tcPr>
            <w:tcW w:w="797" w:type="dxa"/>
            <w:shd w:val="clear" w:color="auto" w:fill="FFFFFF"/>
          </w:tcPr>
          <w:p>
            <w:pPr>
              <w:pStyle w:val="TableParagraph"/>
              <w:spacing w:line="236" w:lineRule="exact" w:before="71"/>
              <w:ind w:left="13"/>
              <w:jc w:val="center"/>
              <w:rPr>
                <w:rFonts w:ascii="Stone Sans II ITC Std Bk"/>
                <w:b/>
                <w:sz w:val="20"/>
              </w:rPr>
            </w:pPr>
            <w:r>
              <w:rPr>
                <w:rFonts w:ascii="Stone Sans II ITC Std Bk"/>
                <w:b/>
                <w:w w:val="110"/>
                <w:sz w:val="20"/>
              </w:rPr>
              <w:t>4</w:t>
            </w:r>
          </w:p>
        </w:tc>
        <w:tc>
          <w:tcPr>
            <w:tcW w:w="772" w:type="dxa"/>
            <w:shd w:val="clear" w:color="auto" w:fill="FFFFFF"/>
          </w:tcPr>
          <w:p>
            <w:pPr>
              <w:pStyle w:val="TableParagraph"/>
              <w:spacing w:line="236" w:lineRule="exact" w:before="71"/>
              <w:ind w:left="14"/>
              <w:jc w:val="center"/>
              <w:rPr>
                <w:rFonts w:ascii="Stone Sans II ITC Std Bk"/>
                <w:b/>
                <w:sz w:val="20"/>
              </w:rPr>
            </w:pPr>
            <w:r>
              <w:rPr>
                <w:rFonts w:ascii="Stone Sans II ITC Std Bk"/>
                <w:b/>
                <w:w w:val="110"/>
                <w:sz w:val="20"/>
              </w:rPr>
              <w:t>7</w:t>
            </w:r>
          </w:p>
        </w:tc>
      </w:tr>
      <w:tr>
        <w:trPr>
          <w:trHeight w:val="184" w:hRule="atLeast"/>
        </w:trPr>
        <w:tc>
          <w:tcPr>
            <w:tcW w:w="288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839"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7" w:type="dxa"/>
            <w:shd w:val="clear" w:color="auto" w:fill="FFFFFF"/>
          </w:tcPr>
          <w:p>
            <w:pPr>
              <w:pStyle w:val="TableParagraph"/>
              <w:rPr>
                <w:rFonts w:ascii="Times New Roman"/>
                <w:sz w:val="12"/>
              </w:rPr>
            </w:pPr>
          </w:p>
        </w:tc>
        <w:tc>
          <w:tcPr>
            <w:tcW w:w="797" w:type="dxa"/>
            <w:shd w:val="clear" w:color="auto" w:fill="FFFFFF"/>
          </w:tcPr>
          <w:p>
            <w:pPr>
              <w:pStyle w:val="TableParagraph"/>
              <w:rPr>
                <w:rFonts w:ascii="Times New Roman"/>
                <w:sz w:val="12"/>
              </w:rPr>
            </w:pPr>
          </w:p>
        </w:tc>
        <w:tc>
          <w:tcPr>
            <w:tcW w:w="772" w:type="dxa"/>
            <w:shd w:val="clear" w:color="auto" w:fill="FFFFFF"/>
          </w:tcPr>
          <w:p>
            <w:pPr>
              <w:pStyle w:val="TableParagraph"/>
              <w:rPr>
                <w:rFonts w:ascii="Times New Roman"/>
                <w:sz w:val="12"/>
              </w:rPr>
            </w:pPr>
          </w:p>
        </w:tc>
      </w:tr>
      <w:tr>
        <w:trPr>
          <w:trHeight w:val="326" w:hRule="atLeast"/>
        </w:trPr>
        <w:tc>
          <w:tcPr>
            <w:tcW w:w="2886" w:type="dxa"/>
            <w:shd w:val="clear" w:color="auto" w:fill="EDF2DA"/>
          </w:tcPr>
          <w:p>
            <w:pPr>
              <w:pStyle w:val="TableParagraph"/>
              <w:spacing w:line="236" w:lineRule="exact" w:before="71"/>
              <w:ind w:left="58"/>
              <w:rPr>
                <w:rFonts w:ascii="Stone Sans II ITC Std X Bd"/>
                <w:b/>
                <w:sz w:val="20"/>
              </w:rPr>
            </w:pPr>
            <w:r>
              <w:rPr>
                <w:rFonts w:ascii="Stone Sans II ITC Std X Bd"/>
                <w:b/>
                <w:w w:val="110"/>
                <w:sz w:val="20"/>
              </w:rPr>
              <w:t>CRCW</w:t>
            </w:r>
          </w:p>
        </w:tc>
        <w:tc>
          <w:tcPr>
            <w:tcW w:w="726" w:type="dxa"/>
            <w:shd w:val="clear" w:color="auto" w:fill="EDF2DA"/>
          </w:tcPr>
          <w:p>
            <w:pPr>
              <w:pStyle w:val="TableParagraph"/>
              <w:rPr>
                <w:rFonts w:ascii="Times New Roman"/>
                <w:sz w:val="22"/>
              </w:rPr>
            </w:pPr>
          </w:p>
        </w:tc>
        <w:tc>
          <w:tcPr>
            <w:tcW w:w="839"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7" w:type="dxa"/>
            <w:shd w:val="clear" w:color="auto" w:fill="EDF2DA"/>
          </w:tcPr>
          <w:p>
            <w:pPr>
              <w:pStyle w:val="TableParagraph"/>
              <w:rPr>
                <w:rFonts w:ascii="Times New Roman"/>
                <w:sz w:val="22"/>
              </w:rPr>
            </w:pPr>
          </w:p>
        </w:tc>
        <w:tc>
          <w:tcPr>
            <w:tcW w:w="797" w:type="dxa"/>
            <w:shd w:val="clear" w:color="auto" w:fill="EDF2DA"/>
          </w:tcPr>
          <w:p>
            <w:pPr>
              <w:pStyle w:val="TableParagraph"/>
              <w:rPr>
                <w:rFonts w:ascii="Times New Roman"/>
                <w:sz w:val="22"/>
              </w:rPr>
            </w:pPr>
          </w:p>
        </w:tc>
        <w:tc>
          <w:tcPr>
            <w:tcW w:w="772" w:type="dxa"/>
            <w:shd w:val="clear" w:color="auto" w:fill="EDF2DA"/>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3" w:lineRule="exact" w:before="83"/>
              <w:ind w:left="58"/>
              <w:rPr>
                <w:sz w:val="20"/>
              </w:rPr>
            </w:pPr>
            <w:r>
              <w:rPr>
                <w:w w:val="125"/>
                <w:sz w:val="20"/>
              </w:rPr>
              <w:t>Northern College (RCL)</w:t>
            </w:r>
          </w:p>
        </w:tc>
        <w:tc>
          <w:tcPr>
            <w:tcW w:w="726" w:type="dxa"/>
            <w:shd w:val="clear" w:color="auto" w:fill="FFFFFF"/>
          </w:tcPr>
          <w:p>
            <w:pPr>
              <w:pStyle w:val="TableParagraph"/>
              <w:spacing w:line="223" w:lineRule="exact" w:before="83"/>
              <w:ind w:left="13"/>
              <w:jc w:val="center"/>
              <w:rPr>
                <w:sz w:val="20"/>
              </w:rPr>
            </w:pPr>
            <w:r>
              <w:rPr>
                <w:w w:val="125"/>
                <w:sz w:val="20"/>
              </w:rPr>
              <w:t>4</w:t>
            </w:r>
          </w:p>
        </w:tc>
        <w:tc>
          <w:tcPr>
            <w:tcW w:w="839" w:type="dxa"/>
            <w:shd w:val="clear" w:color="auto" w:fill="FFFFFF"/>
          </w:tcPr>
          <w:p>
            <w:pPr>
              <w:pStyle w:val="TableParagraph"/>
              <w:spacing w:line="223" w:lineRule="exact" w:before="83"/>
              <w:ind w:left="13"/>
              <w:jc w:val="center"/>
              <w:rPr>
                <w:sz w:val="20"/>
              </w:rPr>
            </w:pPr>
            <w:r>
              <w:rPr>
                <w:w w:val="125"/>
                <w:sz w:val="20"/>
              </w:rPr>
              <w:t>4</w:t>
            </w:r>
          </w:p>
        </w:tc>
        <w:tc>
          <w:tcPr>
            <w:tcW w:w="726" w:type="dxa"/>
            <w:shd w:val="clear" w:color="auto" w:fill="FFFFFF"/>
          </w:tcPr>
          <w:p>
            <w:pPr>
              <w:pStyle w:val="TableParagraph"/>
              <w:spacing w:line="223" w:lineRule="exact" w:before="83"/>
              <w:ind w:left="12"/>
              <w:jc w:val="center"/>
              <w:rPr>
                <w:sz w:val="20"/>
              </w:rPr>
            </w:pPr>
            <w:r>
              <w:rPr>
                <w:w w:val="125"/>
                <w:sz w:val="20"/>
              </w:rPr>
              <w:t>2</w:t>
            </w:r>
          </w:p>
        </w:tc>
        <w:tc>
          <w:tcPr>
            <w:tcW w:w="726" w:type="dxa"/>
            <w:shd w:val="clear" w:color="auto" w:fill="FFFFFF"/>
          </w:tcPr>
          <w:p>
            <w:pPr>
              <w:pStyle w:val="TableParagraph"/>
              <w:spacing w:line="223" w:lineRule="exact" w:before="83"/>
              <w:ind w:left="12"/>
              <w:jc w:val="center"/>
              <w:rPr>
                <w:sz w:val="20"/>
              </w:rPr>
            </w:pPr>
            <w:r>
              <w:rPr>
                <w:w w:val="114"/>
                <w:sz w:val="20"/>
              </w:rPr>
              <w:t>-</w:t>
            </w:r>
          </w:p>
        </w:tc>
        <w:tc>
          <w:tcPr>
            <w:tcW w:w="727" w:type="dxa"/>
            <w:shd w:val="clear" w:color="auto" w:fill="FFFFFF"/>
          </w:tcPr>
          <w:p>
            <w:pPr>
              <w:pStyle w:val="TableParagraph"/>
              <w:spacing w:line="223" w:lineRule="exact" w:before="83"/>
              <w:ind w:left="13"/>
              <w:jc w:val="center"/>
              <w:rPr>
                <w:sz w:val="20"/>
              </w:rPr>
            </w:pPr>
            <w:r>
              <w:rPr>
                <w:w w:val="125"/>
                <w:sz w:val="20"/>
              </w:rPr>
              <w:t>1</w:t>
            </w:r>
          </w:p>
        </w:tc>
        <w:tc>
          <w:tcPr>
            <w:tcW w:w="797" w:type="dxa"/>
            <w:shd w:val="clear" w:color="auto" w:fill="FFFFFF"/>
          </w:tcPr>
          <w:p>
            <w:pPr>
              <w:pStyle w:val="TableParagraph"/>
              <w:spacing w:line="223" w:lineRule="exact" w:before="83"/>
              <w:ind w:left="13"/>
              <w:jc w:val="center"/>
              <w:rPr>
                <w:sz w:val="20"/>
              </w:rPr>
            </w:pPr>
            <w:r>
              <w:rPr>
                <w:w w:val="125"/>
                <w:sz w:val="20"/>
              </w:rPr>
              <w:t>1</w:t>
            </w:r>
          </w:p>
        </w:tc>
        <w:tc>
          <w:tcPr>
            <w:tcW w:w="772" w:type="dxa"/>
            <w:shd w:val="clear" w:color="auto" w:fill="FFFFFF"/>
          </w:tcPr>
          <w:p>
            <w:pPr>
              <w:pStyle w:val="TableParagraph"/>
              <w:spacing w:line="223" w:lineRule="exact" w:before="83"/>
              <w:ind w:left="14"/>
              <w:jc w:val="center"/>
              <w:rPr>
                <w:sz w:val="20"/>
              </w:rPr>
            </w:pPr>
            <w:r>
              <w:rPr>
                <w:w w:val="114"/>
                <w:sz w:val="20"/>
              </w:rPr>
              <w:t>-</w:t>
            </w:r>
          </w:p>
        </w:tc>
      </w:tr>
      <w:tr>
        <w:trPr>
          <w:trHeight w:val="184" w:hRule="atLeast"/>
        </w:trPr>
        <w:tc>
          <w:tcPr>
            <w:tcW w:w="288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839"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7" w:type="dxa"/>
            <w:shd w:val="clear" w:color="auto" w:fill="FFFFFF"/>
          </w:tcPr>
          <w:p>
            <w:pPr>
              <w:pStyle w:val="TableParagraph"/>
              <w:rPr>
                <w:rFonts w:ascii="Times New Roman"/>
                <w:sz w:val="12"/>
              </w:rPr>
            </w:pPr>
          </w:p>
        </w:tc>
        <w:tc>
          <w:tcPr>
            <w:tcW w:w="797" w:type="dxa"/>
            <w:shd w:val="clear" w:color="auto" w:fill="FFFFFF"/>
          </w:tcPr>
          <w:p>
            <w:pPr>
              <w:pStyle w:val="TableParagraph"/>
              <w:rPr>
                <w:rFonts w:ascii="Times New Roman"/>
                <w:sz w:val="12"/>
              </w:rPr>
            </w:pPr>
          </w:p>
        </w:tc>
        <w:tc>
          <w:tcPr>
            <w:tcW w:w="772" w:type="dxa"/>
            <w:shd w:val="clear" w:color="auto" w:fill="FFFFFF"/>
          </w:tcPr>
          <w:p>
            <w:pPr>
              <w:pStyle w:val="TableParagraph"/>
              <w:rPr>
                <w:rFonts w:ascii="Times New Roman"/>
                <w:sz w:val="12"/>
              </w:rPr>
            </w:pPr>
          </w:p>
        </w:tc>
      </w:tr>
      <w:tr>
        <w:trPr>
          <w:trHeight w:val="326" w:hRule="atLeast"/>
        </w:trPr>
        <w:tc>
          <w:tcPr>
            <w:tcW w:w="2886" w:type="dxa"/>
            <w:shd w:val="clear" w:color="auto" w:fill="EDF2DA"/>
          </w:tcPr>
          <w:p>
            <w:pPr>
              <w:pStyle w:val="TableParagraph"/>
              <w:spacing w:line="236" w:lineRule="exact" w:before="70"/>
              <w:ind w:left="58"/>
              <w:rPr>
                <w:rFonts w:ascii="Stone Sans II ITC Std X Bd"/>
                <w:b/>
                <w:sz w:val="20"/>
              </w:rPr>
            </w:pPr>
            <w:r>
              <w:rPr>
                <w:rFonts w:ascii="Stone Sans II ITC Std X Bd"/>
                <w:b/>
                <w:w w:val="110"/>
                <w:sz w:val="20"/>
              </w:rPr>
              <w:t>Non-stipendiary</w:t>
            </w:r>
          </w:p>
        </w:tc>
        <w:tc>
          <w:tcPr>
            <w:tcW w:w="726" w:type="dxa"/>
            <w:shd w:val="clear" w:color="auto" w:fill="EDF2DA"/>
          </w:tcPr>
          <w:p>
            <w:pPr>
              <w:pStyle w:val="TableParagraph"/>
              <w:rPr>
                <w:rFonts w:ascii="Times New Roman"/>
                <w:sz w:val="22"/>
              </w:rPr>
            </w:pPr>
          </w:p>
        </w:tc>
        <w:tc>
          <w:tcPr>
            <w:tcW w:w="839"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6" w:type="dxa"/>
            <w:shd w:val="clear" w:color="auto" w:fill="EDF2DA"/>
          </w:tcPr>
          <w:p>
            <w:pPr>
              <w:pStyle w:val="TableParagraph"/>
              <w:rPr>
                <w:rFonts w:ascii="Times New Roman"/>
                <w:sz w:val="22"/>
              </w:rPr>
            </w:pPr>
          </w:p>
        </w:tc>
        <w:tc>
          <w:tcPr>
            <w:tcW w:w="727" w:type="dxa"/>
            <w:shd w:val="clear" w:color="auto" w:fill="EDF2DA"/>
          </w:tcPr>
          <w:p>
            <w:pPr>
              <w:pStyle w:val="TableParagraph"/>
              <w:rPr>
                <w:rFonts w:ascii="Times New Roman"/>
                <w:sz w:val="22"/>
              </w:rPr>
            </w:pPr>
          </w:p>
        </w:tc>
        <w:tc>
          <w:tcPr>
            <w:tcW w:w="797" w:type="dxa"/>
            <w:shd w:val="clear" w:color="auto" w:fill="EDF2DA"/>
          </w:tcPr>
          <w:p>
            <w:pPr>
              <w:pStyle w:val="TableParagraph"/>
              <w:rPr>
                <w:rFonts w:ascii="Times New Roman"/>
                <w:sz w:val="22"/>
              </w:rPr>
            </w:pPr>
          </w:p>
        </w:tc>
        <w:tc>
          <w:tcPr>
            <w:tcW w:w="772" w:type="dxa"/>
            <w:shd w:val="clear" w:color="auto" w:fill="EDF2DA"/>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3" w:lineRule="exact" w:before="83"/>
              <w:ind w:left="58"/>
              <w:rPr>
                <w:i/>
                <w:sz w:val="20"/>
              </w:rPr>
            </w:pPr>
            <w:r>
              <w:rPr>
                <w:i/>
                <w:w w:val="110"/>
                <w:sz w:val="20"/>
              </w:rPr>
              <w:t>Full-time courses</w:t>
            </w:r>
          </w:p>
        </w:tc>
        <w:tc>
          <w:tcPr>
            <w:tcW w:w="726" w:type="dxa"/>
            <w:shd w:val="clear" w:color="auto" w:fill="FFFFFF"/>
          </w:tcPr>
          <w:p>
            <w:pPr>
              <w:pStyle w:val="TableParagraph"/>
              <w:rPr>
                <w:rFonts w:ascii="Times New Roman"/>
                <w:sz w:val="22"/>
              </w:rPr>
            </w:pPr>
          </w:p>
        </w:tc>
        <w:tc>
          <w:tcPr>
            <w:tcW w:w="839"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7" w:type="dxa"/>
            <w:shd w:val="clear" w:color="auto" w:fill="FFFFFF"/>
          </w:tcPr>
          <w:p>
            <w:pPr>
              <w:pStyle w:val="TableParagraph"/>
              <w:rPr>
                <w:rFonts w:ascii="Times New Roman"/>
                <w:sz w:val="22"/>
              </w:rPr>
            </w:pPr>
          </w:p>
        </w:tc>
        <w:tc>
          <w:tcPr>
            <w:tcW w:w="797" w:type="dxa"/>
            <w:shd w:val="clear" w:color="auto" w:fill="FFFFFF"/>
          </w:tcPr>
          <w:p>
            <w:pPr>
              <w:pStyle w:val="TableParagraph"/>
              <w:rPr>
                <w:rFonts w:ascii="Times New Roman"/>
                <w:sz w:val="22"/>
              </w:rPr>
            </w:pPr>
          </w:p>
        </w:tc>
        <w:tc>
          <w:tcPr>
            <w:tcW w:w="772" w:type="dxa"/>
            <w:shd w:val="clear" w:color="auto" w:fill="FFFFFF"/>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4" w:lineRule="exact" w:before="83"/>
              <w:ind w:left="58"/>
              <w:rPr>
                <w:sz w:val="20"/>
              </w:rPr>
            </w:pPr>
            <w:r>
              <w:rPr>
                <w:w w:val="125"/>
                <w:sz w:val="20"/>
              </w:rPr>
              <w:t>Westminster College (RCL)</w:t>
            </w:r>
          </w:p>
        </w:tc>
        <w:tc>
          <w:tcPr>
            <w:tcW w:w="726" w:type="dxa"/>
            <w:shd w:val="clear" w:color="auto" w:fill="FFFFFF"/>
          </w:tcPr>
          <w:p>
            <w:pPr>
              <w:pStyle w:val="TableParagraph"/>
              <w:spacing w:line="224" w:lineRule="exact" w:before="83"/>
              <w:ind w:left="14"/>
              <w:jc w:val="center"/>
              <w:rPr>
                <w:sz w:val="20"/>
              </w:rPr>
            </w:pPr>
            <w:r>
              <w:rPr>
                <w:w w:val="114"/>
                <w:sz w:val="20"/>
              </w:rPr>
              <w:t>-</w:t>
            </w:r>
          </w:p>
        </w:tc>
        <w:tc>
          <w:tcPr>
            <w:tcW w:w="839" w:type="dxa"/>
            <w:shd w:val="clear" w:color="auto" w:fill="FFFFFF"/>
          </w:tcPr>
          <w:p>
            <w:pPr>
              <w:pStyle w:val="TableParagraph"/>
              <w:spacing w:line="224" w:lineRule="exact" w:before="83"/>
              <w:ind w:left="13"/>
              <w:jc w:val="center"/>
              <w:rPr>
                <w:sz w:val="20"/>
              </w:rPr>
            </w:pPr>
            <w:r>
              <w:rPr>
                <w:w w:val="114"/>
                <w:sz w:val="20"/>
              </w:rPr>
              <w:t>-</w:t>
            </w:r>
          </w:p>
        </w:tc>
        <w:tc>
          <w:tcPr>
            <w:tcW w:w="726" w:type="dxa"/>
            <w:shd w:val="clear" w:color="auto" w:fill="FFFFFF"/>
          </w:tcPr>
          <w:p>
            <w:pPr>
              <w:pStyle w:val="TableParagraph"/>
              <w:spacing w:line="224" w:lineRule="exact" w:before="83"/>
              <w:ind w:left="13"/>
              <w:jc w:val="center"/>
              <w:rPr>
                <w:sz w:val="20"/>
              </w:rPr>
            </w:pPr>
            <w:r>
              <w:rPr>
                <w:w w:val="125"/>
                <w:sz w:val="20"/>
              </w:rPr>
              <w:t>2</w:t>
            </w:r>
          </w:p>
        </w:tc>
        <w:tc>
          <w:tcPr>
            <w:tcW w:w="726" w:type="dxa"/>
            <w:shd w:val="clear" w:color="auto" w:fill="FFFFFF"/>
          </w:tcPr>
          <w:p>
            <w:pPr>
              <w:pStyle w:val="TableParagraph"/>
              <w:spacing w:line="224" w:lineRule="exact" w:before="83"/>
              <w:ind w:left="13"/>
              <w:jc w:val="center"/>
              <w:rPr>
                <w:sz w:val="20"/>
              </w:rPr>
            </w:pPr>
            <w:r>
              <w:rPr>
                <w:w w:val="125"/>
                <w:sz w:val="20"/>
              </w:rPr>
              <w:t>1</w:t>
            </w:r>
          </w:p>
        </w:tc>
        <w:tc>
          <w:tcPr>
            <w:tcW w:w="727" w:type="dxa"/>
            <w:shd w:val="clear" w:color="auto" w:fill="FFFFFF"/>
          </w:tcPr>
          <w:p>
            <w:pPr>
              <w:pStyle w:val="TableParagraph"/>
              <w:spacing w:line="224" w:lineRule="exact" w:before="83"/>
              <w:ind w:left="13"/>
              <w:jc w:val="center"/>
              <w:rPr>
                <w:sz w:val="20"/>
              </w:rPr>
            </w:pPr>
            <w:r>
              <w:rPr>
                <w:w w:val="114"/>
                <w:sz w:val="20"/>
              </w:rPr>
              <w:t>-</w:t>
            </w:r>
          </w:p>
        </w:tc>
        <w:tc>
          <w:tcPr>
            <w:tcW w:w="797" w:type="dxa"/>
            <w:shd w:val="clear" w:color="auto" w:fill="FFFFFF"/>
          </w:tcPr>
          <w:p>
            <w:pPr>
              <w:pStyle w:val="TableParagraph"/>
              <w:spacing w:line="224" w:lineRule="exact" w:before="83"/>
              <w:ind w:left="14"/>
              <w:jc w:val="center"/>
              <w:rPr>
                <w:sz w:val="20"/>
              </w:rPr>
            </w:pPr>
            <w:r>
              <w:rPr>
                <w:w w:val="114"/>
                <w:sz w:val="20"/>
              </w:rPr>
              <w:t>-</w:t>
            </w:r>
          </w:p>
        </w:tc>
        <w:tc>
          <w:tcPr>
            <w:tcW w:w="772" w:type="dxa"/>
            <w:shd w:val="clear" w:color="auto" w:fill="FFFFFF"/>
          </w:tcPr>
          <w:p>
            <w:pPr>
              <w:pStyle w:val="TableParagraph"/>
              <w:spacing w:line="224" w:lineRule="exact" w:before="83"/>
              <w:ind w:left="14"/>
              <w:jc w:val="center"/>
              <w:rPr>
                <w:sz w:val="20"/>
              </w:rPr>
            </w:pPr>
            <w:r>
              <w:rPr>
                <w:w w:val="125"/>
                <w:sz w:val="20"/>
              </w:rPr>
              <w:t>1</w:t>
            </w:r>
          </w:p>
        </w:tc>
      </w:tr>
      <w:tr>
        <w:trPr>
          <w:trHeight w:val="326" w:hRule="atLeast"/>
        </w:trPr>
        <w:tc>
          <w:tcPr>
            <w:tcW w:w="2886" w:type="dxa"/>
            <w:shd w:val="clear" w:color="auto" w:fill="FFFFFF"/>
          </w:tcPr>
          <w:p>
            <w:pPr>
              <w:pStyle w:val="TableParagraph"/>
              <w:spacing w:line="224" w:lineRule="exact" w:before="83"/>
              <w:ind w:left="58"/>
              <w:rPr>
                <w:i/>
                <w:sz w:val="20"/>
              </w:rPr>
            </w:pPr>
            <w:r>
              <w:rPr>
                <w:i/>
                <w:w w:val="110"/>
                <w:sz w:val="20"/>
              </w:rPr>
              <w:t>Part-time courses</w:t>
            </w:r>
          </w:p>
        </w:tc>
        <w:tc>
          <w:tcPr>
            <w:tcW w:w="726" w:type="dxa"/>
            <w:shd w:val="clear" w:color="auto" w:fill="FFFFFF"/>
          </w:tcPr>
          <w:p>
            <w:pPr>
              <w:pStyle w:val="TableParagraph"/>
              <w:rPr>
                <w:rFonts w:ascii="Times New Roman"/>
                <w:sz w:val="22"/>
              </w:rPr>
            </w:pPr>
          </w:p>
        </w:tc>
        <w:tc>
          <w:tcPr>
            <w:tcW w:w="839"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6" w:type="dxa"/>
            <w:shd w:val="clear" w:color="auto" w:fill="FFFFFF"/>
          </w:tcPr>
          <w:p>
            <w:pPr>
              <w:pStyle w:val="TableParagraph"/>
              <w:rPr>
                <w:rFonts w:ascii="Times New Roman"/>
                <w:sz w:val="22"/>
              </w:rPr>
            </w:pPr>
          </w:p>
        </w:tc>
        <w:tc>
          <w:tcPr>
            <w:tcW w:w="727" w:type="dxa"/>
            <w:shd w:val="clear" w:color="auto" w:fill="FFFFFF"/>
          </w:tcPr>
          <w:p>
            <w:pPr>
              <w:pStyle w:val="TableParagraph"/>
              <w:rPr>
                <w:rFonts w:ascii="Times New Roman"/>
                <w:sz w:val="22"/>
              </w:rPr>
            </w:pPr>
          </w:p>
        </w:tc>
        <w:tc>
          <w:tcPr>
            <w:tcW w:w="797" w:type="dxa"/>
            <w:shd w:val="clear" w:color="auto" w:fill="FFFFFF"/>
          </w:tcPr>
          <w:p>
            <w:pPr>
              <w:pStyle w:val="TableParagraph"/>
              <w:rPr>
                <w:rFonts w:ascii="Times New Roman"/>
                <w:sz w:val="22"/>
              </w:rPr>
            </w:pPr>
          </w:p>
        </w:tc>
        <w:tc>
          <w:tcPr>
            <w:tcW w:w="772" w:type="dxa"/>
            <w:shd w:val="clear" w:color="auto" w:fill="FFFFFF"/>
          </w:tcPr>
          <w:p>
            <w:pPr>
              <w:pStyle w:val="TableParagraph"/>
              <w:rPr>
                <w:rFonts w:ascii="Times New Roman"/>
                <w:sz w:val="22"/>
              </w:rPr>
            </w:pPr>
          </w:p>
        </w:tc>
      </w:tr>
      <w:tr>
        <w:trPr>
          <w:trHeight w:val="326" w:hRule="atLeast"/>
        </w:trPr>
        <w:tc>
          <w:tcPr>
            <w:tcW w:w="2886" w:type="dxa"/>
            <w:shd w:val="clear" w:color="auto" w:fill="FFFFFF"/>
          </w:tcPr>
          <w:p>
            <w:pPr>
              <w:pStyle w:val="TableParagraph"/>
              <w:spacing w:line="224" w:lineRule="exact" w:before="83"/>
              <w:ind w:left="58"/>
              <w:rPr>
                <w:sz w:val="20"/>
              </w:rPr>
            </w:pPr>
            <w:r>
              <w:rPr>
                <w:w w:val="120"/>
                <w:sz w:val="20"/>
              </w:rPr>
              <w:t>ERMC</w:t>
            </w:r>
          </w:p>
        </w:tc>
        <w:tc>
          <w:tcPr>
            <w:tcW w:w="726" w:type="dxa"/>
            <w:shd w:val="clear" w:color="auto" w:fill="FFFFFF"/>
          </w:tcPr>
          <w:p>
            <w:pPr>
              <w:pStyle w:val="TableParagraph"/>
              <w:spacing w:line="224" w:lineRule="exact" w:before="83"/>
              <w:ind w:left="14"/>
              <w:jc w:val="center"/>
              <w:rPr>
                <w:sz w:val="20"/>
              </w:rPr>
            </w:pPr>
            <w:r>
              <w:rPr>
                <w:w w:val="125"/>
                <w:sz w:val="20"/>
              </w:rPr>
              <w:t>1</w:t>
            </w:r>
          </w:p>
        </w:tc>
        <w:tc>
          <w:tcPr>
            <w:tcW w:w="839" w:type="dxa"/>
            <w:shd w:val="clear" w:color="auto" w:fill="FFFFFF"/>
          </w:tcPr>
          <w:p>
            <w:pPr>
              <w:pStyle w:val="TableParagraph"/>
              <w:spacing w:line="224" w:lineRule="exact" w:before="83"/>
              <w:ind w:left="13"/>
              <w:jc w:val="center"/>
              <w:rPr>
                <w:sz w:val="20"/>
              </w:rPr>
            </w:pPr>
            <w:r>
              <w:rPr>
                <w:w w:val="125"/>
                <w:sz w:val="20"/>
              </w:rPr>
              <w:t>1</w:t>
            </w:r>
          </w:p>
        </w:tc>
        <w:tc>
          <w:tcPr>
            <w:tcW w:w="726" w:type="dxa"/>
            <w:shd w:val="clear" w:color="auto" w:fill="FFFFFF"/>
          </w:tcPr>
          <w:p>
            <w:pPr>
              <w:pStyle w:val="TableParagraph"/>
              <w:spacing w:line="224" w:lineRule="exact" w:before="83"/>
              <w:ind w:left="13"/>
              <w:jc w:val="center"/>
              <w:rPr>
                <w:sz w:val="20"/>
              </w:rPr>
            </w:pPr>
            <w:r>
              <w:rPr>
                <w:w w:val="114"/>
                <w:sz w:val="20"/>
              </w:rPr>
              <w:t>-</w:t>
            </w:r>
          </w:p>
        </w:tc>
        <w:tc>
          <w:tcPr>
            <w:tcW w:w="726" w:type="dxa"/>
            <w:shd w:val="clear" w:color="auto" w:fill="FFFFFF"/>
          </w:tcPr>
          <w:p>
            <w:pPr>
              <w:pStyle w:val="TableParagraph"/>
              <w:spacing w:line="224" w:lineRule="exact" w:before="83"/>
              <w:ind w:left="13"/>
              <w:jc w:val="center"/>
              <w:rPr>
                <w:sz w:val="20"/>
              </w:rPr>
            </w:pPr>
            <w:r>
              <w:rPr>
                <w:w w:val="114"/>
                <w:sz w:val="20"/>
              </w:rPr>
              <w:t>-</w:t>
            </w:r>
          </w:p>
        </w:tc>
        <w:tc>
          <w:tcPr>
            <w:tcW w:w="727" w:type="dxa"/>
            <w:shd w:val="clear" w:color="auto" w:fill="FFFFFF"/>
          </w:tcPr>
          <w:p>
            <w:pPr>
              <w:pStyle w:val="TableParagraph"/>
              <w:spacing w:line="224" w:lineRule="exact" w:before="83"/>
              <w:ind w:left="13"/>
              <w:jc w:val="center"/>
              <w:rPr>
                <w:sz w:val="20"/>
              </w:rPr>
            </w:pPr>
            <w:r>
              <w:rPr>
                <w:w w:val="114"/>
                <w:sz w:val="20"/>
              </w:rPr>
              <w:t>-</w:t>
            </w:r>
          </w:p>
        </w:tc>
        <w:tc>
          <w:tcPr>
            <w:tcW w:w="797" w:type="dxa"/>
            <w:shd w:val="clear" w:color="auto" w:fill="FFFFFF"/>
          </w:tcPr>
          <w:p>
            <w:pPr>
              <w:pStyle w:val="TableParagraph"/>
              <w:spacing w:line="224" w:lineRule="exact" w:before="83"/>
              <w:ind w:left="14"/>
              <w:jc w:val="center"/>
              <w:rPr>
                <w:sz w:val="20"/>
              </w:rPr>
            </w:pPr>
            <w:r>
              <w:rPr>
                <w:w w:val="114"/>
                <w:sz w:val="20"/>
              </w:rPr>
              <w:t>-</w:t>
            </w:r>
          </w:p>
        </w:tc>
        <w:tc>
          <w:tcPr>
            <w:tcW w:w="772" w:type="dxa"/>
            <w:shd w:val="clear" w:color="auto" w:fill="FFFFFF"/>
          </w:tcPr>
          <w:p>
            <w:pPr>
              <w:pStyle w:val="TableParagraph"/>
              <w:spacing w:line="224" w:lineRule="exact" w:before="83"/>
              <w:ind w:left="15"/>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3"/>
              <w:ind w:left="58"/>
              <w:rPr>
                <w:sz w:val="20"/>
              </w:rPr>
            </w:pPr>
            <w:r>
              <w:rPr>
                <w:w w:val="120"/>
                <w:sz w:val="20"/>
              </w:rPr>
              <w:t>EMMTC</w:t>
            </w:r>
          </w:p>
        </w:tc>
        <w:tc>
          <w:tcPr>
            <w:tcW w:w="726" w:type="dxa"/>
            <w:shd w:val="clear" w:color="auto" w:fill="FFFFFF"/>
          </w:tcPr>
          <w:p>
            <w:pPr>
              <w:pStyle w:val="TableParagraph"/>
              <w:spacing w:line="224" w:lineRule="exact" w:before="83"/>
              <w:ind w:left="14"/>
              <w:jc w:val="center"/>
              <w:rPr>
                <w:sz w:val="20"/>
              </w:rPr>
            </w:pPr>
            <w:r>
              <w:rPr>
                <w:w w:val="125"/>
                <w:sz w:val="20"/>
              </w:rPr>
              <w:t>1</w:t>
            </w:r>
          </w:p>
        </w:tc>
        <w:tc>
          <w:tcPr>
            <w:tcW w:w="839" w:type="dxa"/>
            <w:shd w:val="clear" w:color="auto" w:fill="FFFFFF"/>
          </w:tcPr>
          <w:p>
            <w:pPr>
              <w:pStyle w:val="TableParagraph"/>
              <w:spacing w:line="224" w:lineRule="exact" w:before="83"/>
              <w:ind w:left="14"/>
              <w:jc w:val="center"/>
              <w:rPr>
                <w:sz w:val="20"/>
              </w:rPr>
            </w:pPr>
            <w:r>
              <w:rPr>
                <w:w w:val="125"/>
                <w:sz w:val="20"/>
              </w:rPr>
              <w:t>1</w:t>
            </w:r>
          </w:p>
        </w:tc>
        <w:tc>
          <w:tcPr>
            <w:tcW w:w="726" w:type="dxa"/>
            <w:shd w:val="clear" w:color="auto" w:fill="FFFFFF"/>
          </w:tcPr>
          <w:p>
            <w:pPr>
              <w:pStyle w:val="TableParagraph"/>
              <w:spacing w:line="224" w:lineRule="exact" w:before="83"/>
              <w:ind w:left="14"/>
              <w:jc w:val="center"/>
              <w:rPr>
                <w:sz w:val="20"/>
              </w:rPr>
            </w:pPr>
            <w:r>
              <w:rPr>
                <w:w w:val="114"/>
                <w:sz w:val="20"/>
              </w:rPr>
              <w:t>-</w:t>
            </w:r>
          </w:p>
        </w:tc>
        <w:tc>
          <w:tcPr>
            <w:tcW w:w="726" w:type="dxa"/>
            <w:shd w:val="clear" w:color="auto" w:fill="FFFFFF"/>
          </w:tcPr>
          <w:p>
            <w:pPr>
              <w:pStyle w:val="TableParagraph"/>
              <w:spacing w:line="224" w:lineRule="exact" w:before="83"/>
              <w:ind w:left="14"/>
              <w:jc w:val="center"/>
              <w:rPr>
                <w:sz w:val="20"/>
              </w:rPr>
            </w:pPr>
            <w:r>
              <w:rPr>
                <w:w w:val="114"/>
                <w:sz w:val="20"/>
              </w:rPr>
              <w:t>-</w:t>
            </w:r>
          </w:p>
        </w:tc>
        <w:tc>
          <w:tcPr>
            <w:tcW w:w="727" w:type="dxa"/>
            <w:shd w:val="clear" w:color="auto" w:fill="FFFFFF"/>
          </w:tcPr>
          <w:p>
            <w:pPr>
              <w:pStyle w:val="TableParagraph"/>
              <w:spacing w:line="224" w:lineRule="exact" w:before="83"/>
              <w:ind w:left="14"/>
              <w:jc w:val="center"/>
              <w:rPr>
                <w:sz w:val="20"/>
              </w:rPr>
            </w:pPr>
            <w:r>
              <w:rPr>
                <w:w w:val="114"/>
                <w:sz w:val="20"/>
              </w:rPr>
              <w:t>-</w:t>
            </w:r>
          </w:p>
        </w:tc>
        <w:tc>
          <w:tcPr>
            <w:tcW w:w="797" w:type="dxa"/>
            <w:shd w:val="clear" w:color="auto" w:fill="FFFFFF"/>
          </w:tcPr>
          <w:p>
            <w:pPr>
              <w:pStyle w:val="TableParagraph"/>
              <w:spacing w:line="224" w:lineRule="exact" w:before="83"/>
              <w:ind w:left="14"/>
              <w:jc w:val="center"/>
              <w:rPr>
                <w:sz w:val="20"/>
              </w:rPr>
            </w:pPr>
            <w:r>
              <w:rPr>
                <w:w w:val="114"/>
                <w:sz w:val="20"/>
              </w:rPr>
              <w:t>-</w:t>
            </w:r>
          </w:p>
        </w:tc>
        <w:tc>
          <w:tcPr>
            <w:tcW w:w="772" w:type="dxa"/>
            <w:shd w:val="clear" w:color="auto" w:fill="FFFFFF"/>
          </w:tcPr>
          <w:p>
            <w:pPr>
              <w:pStyle w:val="TableParagraph"/>
              <w:spacing w:line="224" w:lineRule="exact" w:before="83"/>
              <w:ind w:left="15"/>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3"/>
              <w:ind w:left="58"/>
              <w:rPr>
                <w:sz w:val="20"/>
              </w:rPr>
            </w:pPr>
            <w:r>
              <w:rPr>
                <w:w w:val="125"/>
                <w:sz w:val="20"/>
              </w:rPr>
              <w:t>Northern College (RCL)</w:t>
            </w:r>
          </w:p>
        </w:tc>
        <w:tc>
          <w:tcPr>
            <w:tcW w:w="726" w:type="dxa"/>
            <w:shd w:val="clear" w:color="auto" w:fill="FFFFFF"/>
          </w:tcPr>
          <w:p>
            <w:pPr>
              <w:pStyle w:val="TableParagraph"/>
              <w:spacing w:line="224" w:lineRule="exact" w:before="83"/>
              <w:ind w:left="15"/>
              <w:jc w:val="center"/>
              <w:rPr>
                <w:sz w:val="20"/>
              </w:rPr>
            </w:pPr>
            <w:r>
              <w:rPr>
                <w:w w:val="125"/>
                <w:sz w:val="20"/>
              </w:rPr>
              <w:t>3</w:t>
            </w:r>
          </w:p>
        </w:tc>
        <w:tc>
          <w:tcPr>
            <w:tcW w:w="839" w:type="dxa"/>
            <w:shd w:val="clear" w:color="auto" w:fill="FFFFFF"/>
          </w:tcPr>
          <w:p>
            <w:pPr>
              <w:pStyle w:val="TableParagraph"/>
              <w:spacing w:line="224" w:lineRule="exact" w:before="83"/>
              <w:ind w:left="14"/>
              <w:jc w:val="center"/>
              <w:rPr>
                <w:sz w:val="20"/>
              </w:rPr>
            </w:pPr>
            <w:r>
              <w:rPr>
                <w:w w:val="125"/>
                <w:sz w:val="20"/>
              </w:rPr>
              <w:t>4</w:t>
            </w:r>
          </w:p>
        </w:tc>
        <w:tc>
          <w:tcPr>
            <w:tcW w:w="726" w:type="dxa"/>
            <w:shd w:val="clear" w:color="auto" w:fill="FFFFFF"/>
          </w:tcPr>
          <w:p>
            <w:pPr>
              <w:pStyle w:val="TableParagraph"/>
              <w:spacing w:line="224" w:lineRule="exact" w:before="83"/>
              <w:ind w:left="14"/>
              <w:jc w:val="center"/>
              <w:rPr>
                <w:sz w:val="20"/>
              </w:rPr>
            </w:pPr>
            <w:r>
              <w:rPr>
                <w:w w:val="125"/>
                <w:sz w:val="20"/>
              </w:rPr>
              <w:t>5</w:t>
            </w:r>
          </w:p>
        </w:tc>
        <w:tc>
          <w:tcPr>
            <w:tcW w:w="726" w:type="dxa"/>
            <w:shd w:val="clear" w:color="auto" w:fill="FFFFFF"/>
          </w:tcPr>
          <w:p>
            <w:pPr>
              <w:pStyle w:val="TableParagraph"/>
              <w:spacing w:line="224" w:lineRule="exact" w:before="83"/>
              <w:ind w:left="14"/>
              <w:jc w:val="center"/>
              <w:rPr>
                <w:sz w:val="20"/>
              </w:rPr>
            </w:pPr>
            <w:r>
              <w:rPr>
                <w:w w:val="114"/>
                <w:sz w:val="20"/>
              </w:rPr>
              <w:t>-</w:t>
            </w:r>
          </w:p>
        </w:tc>
        <w:tc>
          <w:tcPr>
            <w:tcW w:w="727" w:type="dxa"/>
            <w:shd w:val="clear" w:color="auto" w:fill="FFFFFF"/>
          </w:tcPr>
          <w:p>
            <w:pPr>
              <w:pStyle w:val="TableParagraph"/>
              <w:spacing w:line="224" w:lineRule="exact" w:before="83"/>
              <w:ind w:left="14"/>
              <w:jc w:val="center"/>
              <w:rPr>
                <w:sz w:val="20"/>
              </w:rPr>
            </w:pPr>
            <w:r>
              <w:rPr>
                <w:w w:val="125"/>
                <w:sz w:val="20"/>
              </w:rPr>
              <w:t>2</w:t>
            </w:r>
          </w:p>
        </w:tc>
        <w:tc>
          <w:tcPr>
            <w:tcW w:w="797" w:type="dxa"/>
            <w:shd w:val="clear" w:color="auto" w:fill="FFFFFF"/>
          </w:tcPr>
          <w:p>
            <w:pPr>
              <w:pStyle w:val="TableParagraph"/>
              <w:spacing w:line="224" w:lineRule="exact" w:before="83"/>
              <w:ind w:left="15"/>
              <w:jc w:val="center"/>
              <w:rPr>
                <w:sz w:val="20"/>
              </w:rPr>
            </w:pPr>
            <w:r>
              <w:rPr>
                <w:w w:val="125"/>
                <w:sz w:val="20"/>
              </w:rPr>
              <w:t>1</w:t>
            </w:r>
          </w:p>
        </w:tc>
        <w:tc>
          <w:tcPr>
            <w:tcW w:w="772" w:type="dxa"/>
            <w:shd w:val="clear" w:color="auto" w:fill="FFFFFF"/>
          </w:tcPr>
          <w:p>
            <w:pPr>
              <w:pStyle w:val="TableParagraph"/>
              <w:spacing w:line="224" w:lineRule="exact" w:before="83"/>
              <w:ind w:left="16"/>
              <w:jc w:val="center"/>
              <w:rPr>
                <w:sz w:val="20"/>
              </w:rPr>
            </w:pPr>
            <w:r>
              <w:rPr>
                <w:w w:val="125"/>
                <w:sz w:val="20"/>
              </w:rPr>
              <w:t>2</w:t>
            </w:r>
          </w:p>
        </w:tc>
      </w:tr>
      <w:tr>
        <w:trPr>
          <w:trHeight w:val="326" w:hRule="atLeast"/>
        </w:trPr>
        <w:tc>
          <w:tcPr>
            <w:tcW w:w="2886" w:type="dxa"/>
            <w:shd w:val="clear" w:color="auto" w:fill="FFFFFF"/>
          </w:tcPr>
          <w:p>
            <w:pPr>
              <w:pStyle w:val="TableParagraph"/>
              <w:spacing w:line="224" w:lineRule="exact" w:before="82"/>
              <w:ind w:left="59"/>
              <w:rPr>
                <w:sz w:val="20"/>
              </w:rPr>
            </w:pPr>
            <w:r>
              <w:rPr>
                <w:w w:val="130"/>
                <w:sz w:val="20"/>
              </w:rPr>
              <w:t>NEOC</w:t>
            </w:r>
          </w:p>
        </w:tc>
        <w:tc>
          <w:tcPr>
            <w:tcW w:w="726" w:type="dxa"/>
            <w:shd w:val="clear" w:color="auto" w:fill="FFFFFF"/>
          </w:tcPr>
          <w:p>
            <w:pPr>
              <w:pStyle w:val="TableParagraph"/>
              <w:spacing w:line="224" w:lineRule="exact" w:before="82"/>
              <w:ind w:left="15"/>
              <w:jc w:val="center"/>
              <w:rPr>
                <w:sz w:val="20"/>
              </w:rPr>
            </w:pPr>
            <w:r>
              <w:rPr>
                <w:w w:val="125"/>
                <w:sz w:val="20"/>
              </w:rPr>
              <w:t>2</w:t>
            </w:r>
          </w:p>
        </w:tc>
        <w:tc>
          <w:tcPr>
            <w:tcW w:w="839" w:type="dxa"/>
            <w:shd w:val="clear" w:color="auto" w:fill="FFFFFF"/>
          </w:tcPr>
          <w:p>
            <w:pPr>
              <w:pStyle w:val="TableParagraph"/>
              <w:spacing w:line="224" w:lineRule="exact" w:before="82"/>
              <w:ind w:left="15"/>
              <w:jc w:val="center"/>
              <w:rPr>
                <w:sz w:val="20"/>
              </w:rPr>
            </w:pPr>
            <w:r>
              <w:rPr>
                <w:w w:val="125"/>
                <w:sz w:val="20"/>
              </w:rPr>
              <w:t>2</w:t>
            </w:r>
          </w:p>
        </w:tc>
        <w:tc>
          <w:tcPr>
            <w:tcW w:w="726" w:type="dxa"/>
            <w:shd w:val="clear" w:color="auto" w:fill="FFFFFF"/>
          </w:tcPr>
          <w:p>
            <w:pPr>
              <w:pStyle w:val="TableParagraph"/>
              <w:spacing w:line="224" w:lineRule="exact" w:before="82"/>
              <w:ind w:left="14"/>
              <w:jc w:val="center"/>
              <w:rPr>
                <w:sz w:val="20"/>
              </w:rPr>
            </w:pPr>
            <w:r>
              <w:rPr>
                <w:w w:val="125"/>
                <w:sz w:val="20"/>
              </w:rPr>
              <w:t>1</w:t>
            </w:r>
          </w:p>
        </w:tc>
        <w:tc>
          <w:tcPr>
            <w:tcW w:w="726" w:type="dxa"/>
            <w:shd w:val="clear" w:color="auto" w:fill="FFFFFF"/>
          </w:tcPr>
          <w:p>
            <w:pPr>
              <w:pStyle w:val="TableParagraph"/>
              <w:spacing w:line="224" w:lineRule="exact" w:before="82"/>
              <w:ind w:left="14"/>
              <w:jc w:val="center"/>
              <w:rPr>
                <w:sz w:val="20"/>
              </w:rPr>
            </w:pPr>
            <w:r>
              <w:rPr>
                <w:w w:val="125"/>
                <w:sz w:val="20"/>
              </w:rPr>
              <w:t>1</w:t>
            </w:r>
          </w:p>
        </w:tc>
        <w:tc>
          <w:tcPr>
            <w:tcW w:w="727" w:type="dxa"/>
            <w:shd w:val="clear" w:color="auto" w:fill="FFFFFF"/>
          </w:tcPr>
          <w:p>
            <w:pPr>
              <w:pStyle w:val="TableParagraph"/>
              <w:spacing w:line="224" w:lineRule="exact" w:before="82"/>
              <w:ind w:left="14"/>
              <w:jc w:val="center"/>
              <w:rPr>
                <w:sz w:val="20"/>
              </w:rPr>
            </w:pPr>
            <w:r>
              <w:rPr>
                <w:w w:val="114"/>
                <w:sz w:val="20"/>
              </w:rPr>
              <w:t>-</w:t>
            </w:r>
          </w:p>
        </w:tc>
        <w:tc>
          <w:tcPr>
            <w:tcW w:w="797" w:type="dxa"/>
            <w:shd w:val="clear" w:color="auto" w:fill="FFFFFF"/>
          </w:tcPr>
          <w:p>
            <w:pPr>
              <w:pStyle w:val="TableParagraph"/>
              <w:spacing w:line="224" w:lineRule="exact" w:before="82"/>
              <w:ind w:left="15"/>
              <w:jc w:val="center"/>
              <w:rPr>
                <w:sz w:val="20"/>
              </w:rPr>
            </w:pPr>
            <w:r>
              <w:rPr>
                <w:w w:val="114"/>
                <w:sz w:val="20"/>
              </w:rPr>
              <w:t>-</w:t>
            </w:r>
          </w:p>
        </w:tc>
        <w:tc>
          <w:tcPr>
            <w:tcW w:w="772" w:type="dxa"/>
            <w:shd w:val="clear" w:color="auto" w:fill="FFFFFF"/>
          </w:tcPr>
          <w:p>
            <w:pPr>
              <w:pStyle w:val="TableParagraph"/>
              <w:spacing w:line="224" w:lineRule="exact" w:before="82"/>
              <w:ind w:left="16"/>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2"/>
              <w:ind w:left="59"/>
              <w:rPr>
                <w:sz w:val="20"/>
              </w:rPr>
            </w:pPr>
            <w:r>
              <w:rPr>
                <w:w w:val="120"/>
                <w:sz w:val="20"/>
              </w:rPr>
              <w:t>SEITE</w:t>
            </w:r>
          </w:p>
        </w:tc>
        <w:tc>
          <w:tcPr>
            <w:tcW w:w="726" w:type="dxa"/>
            <w:shd w:val="clear" w:color="auto" w:fill="FFFFFF"/>
          </w:tcPr>
          <w:p>
            <w:pPr>
              <w:pStyle w:val="TableParagraph"/>
              <w:spacing w:line="224" w:lineRule="exact" w:before="82"/>
              <w:ind w:left="16"/>
              <w:jc w:val="center"/>
              <w:rPr>
                <w:sz w:val="20"/>
              </w:rPr>
            </w:pPr>
            <w:r>
              <w:rPr>
                <w:w w:val="125"/>
                <w:sz w:val="20"/>
              </w:rPr>
              <w:t>2</w:t>
            </w:r>
          </w:p>
        </w:tc>
        <w:tc>
          <w:tcPr>
            <w:tcW w:w="839" w:type="dxa"/>
            <w:shd w:val="clear" w:color="auto" w:fill="FFFFFF"/>
          </w:tcPr>
          <w:p>
            <w:pPr>
              <w:pStyle w:val="TableParagraph"/>
              <w:spacing w:line="224" w:lineRule="exact" w:before="82"/>
              <w:ind w:left="15"/>
              <w:jc w:val="center"/>
              <w:rPr>
                <w:sz w:val="20"/>
              </w:rPr>
            </w:pPr>
            <w:r>
              <w:rPr>
                <w:w w:val="114"/>
                <w:sz w:val="20"/>
              </w:rPr>
              <w:t>-</w:t>
            </w:r>
          </w:p>
        </w:tc>
        <w:tc>
          <w:tcPr>
            <w:tcW w:w="726" w:type="dxa"/>
            <w:shd w:val="clear" w:color="auto" w:fill="FFFFFF"/>
          </w:tcPr>
          <w:p>
            <w:pPr>
              <w:pStyle w:val="TableParagraph"/>
              <w:spacing w:line="224" w:lineRule="exact" w:before="82"/>
              <w:ind w:left="15"/>
              <w:jc w:val="center"/>
              <w:rPr>
                <w:sz w:val="20"/>
              </w:rPr>
            </w:pPr>
            <w:r>
              <w:rPr>
                <w:w w:val="114"/>
                <w:sz w:val="20"/>
              </w:rPr>
              <w:t>-</w:t>
            </w:r>
          </w:p>
        </w:tc>
        <w:tc>
          <w:tcPr>
            <w:tcW w:w="726" w:type="dxa"/>
            <w:shd w:val="clear" w:color="auto" w:fill="FFFFFF"/>
          </w:tcPr>
          <w:p>
            <w:pPr>
              <w:pStyle w:val="TableParagraph"/>
              <w:spacing w:line="224" w:lineRule="exact" w:before="82"/>
              <w:ind w:left="15"/>
              <w:jc w:val="center"/>
              <w:rPr>
                <w:sz w:val="20"/>
              </w:rPr>
            </w:pPr>
            <w:r>
              <w:rPr>
                <w:w w:val="114"/>
                <w:sz w:val="20"/>
              </w:rPr>
              <w:t>-</w:t>
            </w:r>
          </w:p>
        </w:tc>
        <w:tc>
          <w:tcPr>
            <w:tcW w:w="727" w:type="dxa"/>
            <w:shd w:val="clear" w:color="auto" w:fill="FFFFFF"/>
          </w:tcPr>
          <w:p>
            <w:pPr>
              <w:pStyle w:val="TableParagraph"/>
              <w:spacing w:line="224" w:lineRule="exact" w:before="82"/>
              <w:ind w:left="15"/>
              <w:jc w:val="center"/>
              <w:rPr>
                <w:sz w:val="20"/>
              </w:rPr>
            </w:pPr>
            <w:r>
              <w:rPr>
                <w:w w:val="114"/>
                <w:sz w:val="20"/>
              </w:rPr>
              <w:t>-</w:t>
            </w:r>
          </w:p>
        </w:tc>
        <w:tc>
          <w:tcPr>
            <w:tcW w:w="797" w:type="dxa"/>
            <w:shd w:val="clear" w:color="auto" w:fill="FFFFFF"/>
          </w:tcPr>
          <w:p>
            <w:pPr>
              <w:pStyle w:val="TableParagraph"/>
              <w:spacing w:line="224" w:lineRule="exact" w:before="82"/>
              <w:ind w:left="16"/>
              <w:jc w:val="center"/>
              <w:rPr>
                <w:sz w:val="20"/>
              </w:rPr>
            </w:pPr>
            <w:r>
              <w:rPr>
                <w:w w:val="114"/>
                <w:sz w:val="20"/>
              </w:rPr>
              <w:t>-</w:t>
            </w:r>
          </w:p>
        </w:tc>
        <w:tc>
          <w:tcPr>
            <w:tcW w:w="772" w:type="dxa"/>
            <w:shd w:val="clear" w:color="auto" w:fill="FFFFFF"/>
          </w:tcPr>
          <w:p>
            <w:pPr>
              <w:pStyle w:val="TableParagraph"/>
              <w:spacing w:line="224" w:lineRule="exact" w:before="82"/>
              <w:ind w:left="16"/>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2"/>
              <w:ind w:left="59"/>
              <w:rPr>
                <w:sz w:val="20"/>
              </w:rPr>
            </w:pPr>
            <w:r>
              <w:rPr>
                <w:w w:val="125"/>
                <w:sz w:val="20"/>
              </w:rPr>
              <w:t>STETS</w:t>
            </w:r>
          </w:p>
        </w:tc>
        <w:tc>
          <w:tcPr>
            <w:tcW w:w="726" w:type="dxa"/>
            <w:shd w:val="clear" w:color="auto" w:fill="FFFFFF"/>
          </w:tcPr>
          <w:p>
            <w:pPr>
              <w:pStyle w:val="TableParagraph"/>
              <w:spacing w:line="224" w:lineRule="exact" w:before="82"/>
              <w:ind w:left="16"/>
              <w:jc w:val="center"/>
              <w:rPr>
                <w:sz w:val="20"/>
              </w:rPr>
            </w:pPr>
            <w:r>
              <w:rPr>
                <w:w w:val="125"/>
                <w:sz w:val="20"/>
              </w:rPr>
              <w:t>7</w:t>
            </w:r>
          </w:p>
        </w:tc>
        <w:tc>
          <w:tcPr>
            <w:tcW w:w="839" w:type="dxa"/>
            <w:shd w:val="clear" w:color="auto" w:fill="FFFFFF"/>
          </w:tcPr>
          <w:p>
            <w:pPr>
              <w:pStyle w:val="TableParagraph"/>
              <w:spacing w:line="224" w:lineRule="exact" w:before="82"/>
              <w:ind w:left="16"/>
              <w:jc w:val="center"/>
              <w:rPr>
                <w:sz w:val="20"/>
              </w:rPr>
            </w:pPr>
            <w:r>
              <w:rPr>
                <w:w w:val="125"/>
                <w:sz w:val="20"/>
              </w:rPr>
              <w:t>6</w:t>
            </w:r>
          </w:p>
        </w:tc>
        <w:tc>
          <w:tcPr>
            <w:tcW w:w="726" w:type="dxa"/>
            <w:shd w:val="clear" w:color="auto" w:fill="FFFFFF"/>
          </w:tcPr>
          <w:p>
            <w:pPr>
              <w:pStyle w:val="TableParagraph"/>
              <w:spacing w:line="224" w:lineRule="exact" w:before="82"/>
              <w:ind w:left="15"/>
              <w:jc w:val="center"/>
              <w:rPr>
                <w:sz w:val="20"/>
              </w:rPr>
            </w:pPr>
            <w:r>
              <w:rPr>
                <w:w w:val="125"/>
                <w:sz w:val="20"/>
              </w:rPr>
              <w:t>4</w:t>
            </w:r>
          </w:p>
        </w:tc>
        <w:tc>
          <w:tcPr>
            <w:tcW w:w="726" w:type="dxa"/>
            <w:shd w:val="clear" w:color="auto" w:fill="FFFFFF"/>
          </w:tcPr>
          <w:p>
            <w:pPr>
              <w:pStyle w:val="TableParagraph"/>
              <w:spacing w:line="224" w:lineRule="exact" w:before="82"/>
              <w:ind w:left="15"/>
              <w:jc w:val="center"/>
              <w:rPr>
                <w:sz w:val="20"/>
              </w:rPr>
            </w:pPr>
            <w:r>
              <w:rPr>
                <w:w w:val="125"/>
                <w:sz w:val="20"/>
              </w:rPr>
              <w:t>4</w:t>
            </w:r>
          </w:p>
        </w:tc>
        <w:tc>
          <w:tcPr>
            <w:tcW w:w="727" w:type="dxa"/>
            <w:shd w:val="clear" w:color="auto" w:fill="FFFFFF"/>
          </w:tcPr>
          <w:p>
            <w:pPr>
              <w:pStyle w:val="TableParagraph"/>
              <w:spacing w:line="224" w:lineRule="exact" w:before="82"/>
              <w:ind w:left="15"/>
              <w:jc w:val="center"/>
              <w:rPr>
                <w:sz w:val="20"/>
              </w:rPr>
            </w:pPr>
            <w:r>
              <w:rPr>
                <w:w w:val="114"/>
                <w:sz w:val="20"/>
              </w:rPr>
              <w:t>-</w:t>
            </w:r>
          </w:p>
        </w:tc>
        <w:tc>
          <w:tcPr>
            <w:tcW w:w="797" w:type="dxa"/>
            <w:shd w:val="clear" w:color="auto" w:fill="FFFFFF"/>
          </w:tcPr>
          <w:p>
            <w:pPr>
              <w:pStyle w:val="TableParagraph"/>
              <w:spacing w:line="224" w:lineRule="exact" w:before="82"/>
              <w:ind w:left="16"/>
              <w:jc w:val="center"/>
              <w:rPr>
                <w:sz w:val="20"/>
              </w:rPr>
            </w:pPr>
            <w:r>
              <w:rPr>
                <w:w w:val="114"/>
                <w:sz w:val="20"/>
              </w:rPr>
              <w:t>-</w:t>
            </w:r>
          </w:p>
        </w:tc>
        <w:tc>
          <w:tcPr>
            <w:tcW w:w="772" w:type="dxa"/>
            <w:shd w:val="clear" w:color="auto" w:fill="FFFFFF"/>
          </w:tcPr>
          <w:p>
            <w:pPr>
              <w:pStyle w:val="TableParagraph"/>
              <w:spacing w:line="224" w:lineRule="exact" w:before="82"/>
              <w:ind w:left="17"/>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2"/>
              <w:ind w:left="59"/>
              <w:rPr>
                <w:sz w:val="20"/>
              </w:rPr>
            </w:pPr>
            <w:r>
              <w:rPr>
                <w:w w:val="125"/>
                <w:sz w:val="20"/>
              </w:rPr>
              <w:t>Synod</w:t>
            </w:r>
          </w:p>
        </w:tc>
        <w:tc>
          <w:tcPr>
            <w:tcW w:w="726" w:type="dxa"/>
            <w:shd w:val="clear" w:color="auto" w:fill="FFFFFF"/>
          </w:tcPr>
          <w:p>
            <w:pPr>
              <w:pStyle w:val="TableParagraph"/>
              <w:spacing w:line="224" w:lineRule="exact" w:before="82"/>
              <w:ind w:left="16"/>
              <w:jc w:val="center"/>
              <w:rPr>
                <w:sz w:val="20"/>
              </w:rPr>
            </w:pPr>
            <w:r>
              <w:rPr>
                <w:w w:val="125"/>
                <w:sz w:val="20"/>
              </w:rPr>
              <w:t>3</w:t>
            </w:r>
          </w:p>
        </w:tc>
        <w:tc>
          <w:tcPr>
            <w:tcW w:w="839" w:type="dxa"/>
            <w:shd w:val="clear" w:color="auto" w:fill="FFFFFF"/>
          </w:tcPr>
          <w:p>
            <w:pPr>
              <w:pStyle w:val="TableParagraph"/>
              <w:spacing w:line="224" w:lineRule="exact" w:before="82"/>
              <w:ind w:left="16"/>
              <w:jc w:val="center"/>
              <w:rPr>
                <w:sz w:val="20"/>
              </w:rPr>
            </w:pPr>
            <w:r>
              <w:rPr>
                <w:w w:val="125"/>
                <w:sz w:val="20"/>
              </w:rPr>
              <w:t>3</w:t>
            </w:r>
          </w:p>
        </w:tc>
        <w:tc>
          <w:tcPr>
            <w:tcW w:w="726" w:type="dxa"/>
            <w:shd w:val="clear" w:color="auto" w:fill="FFFFFF"/>
          </w:tcPr>
          <w:p>
            <w:pPr>
              <w:pStyle w:val="TableParagraph"/>
              <w:spacing w:line="224" w:lineRule="exact" w:before="82"/>
              <w:ind w:left="16"/>
              <w:jc w:val="center"/>
              <w:rPr>
                <w:sz w:val="20"/>
              </w:rPr>
            </w:pPr>
            <w:r>
              <w:rPr>
                <w:w w:val="114"/>
                <w:sz w:val="20"/>
              </w:rPr>
              <w:t>-</w:t>
            </w:r>
          </w:p>
        </w:tc>
        <w:tc>
          <w:tcPr>
            <w:tcW w:w="726" w:type="dxa"/>
            <w:shd w:val="clear" w:color="auto" w:fill="FFFFFF"/>
          </w:tcPr>
          <w:p>
            <w:pPr>
              <w:pStyle w:val="TableParagraph"/>
              <w:spacing w:line="224" w:lineRule="exact" w:before="82"/>
              <w:ind w:left="16"/>
              <w:jc w:val="center"/>
              <w:rPr>
                <w:sz w:val="20"/>
              </w:rPr>
            </w:pPr>
            <w:r>
              <w:rPr>
                <w:w w:val="114"/>
                <w:sz w:val="20"/>
              </w:rPr>
              <w:t>-</w:t>
            </w:r>
          </w:p>
        </w:tc>
        <w:tc>
          <w:tcPr>
            <w:tcW w:w="727" w:type="dxa"/>
            <w:shd w:val="clear" w:color="auto" w:fill="FFFFFF"/>
          </w:tcPr>
          <w:p>
            <w:pPr>
              <w:pStyle w:val="TableParagraph"/>
              <w:spacing w:line="224" w:lineRule="exact" w:before="82"/>
              <w:ind w:left="16"/>
              <w:jc w:val="center"/>
              <w:rPr>
                <w:sz w:val="20"/>
              </w:rPr>
            </w:pPr>
            <w:r>
              <w:rPr>
                <w:w w:val="114"/>
                <w:sz w:val="20"/>
              </w:rPr>
              <w:t>-</w:t>
            </w:r>
          </w:p>
        </w:tc>
        <w:tc>
          <w:tcPr>
            <w:tcW w:w="797" w:type="dxa"/>
            <w:shd w:val="clear" w:color="auto" w:fill="FFFFFF"/>
          </w:tcPr>
          <w:p>
            <w:pPr>
              <w:pStyle w:val="TableParagraph"/>
              <w:spacing w:line="224" w:lineRule="exact" w:before="82"/>
              <w:ind w:left="16"/>
              <w:jc w:val="center"/>
              <w:rPr>
                <w:sz w:val="20"/>
              </w:rPr>
            </w:pPr>
            <w:r>
              <w:rPr>
                <w:w w:val="114"/>
                <w:sz w:val="20"/>
              </w:rPr>
              <w:t>-</w:t>
            </w:r>
          </w:p>
        </w:tc>
        <w:tc>
          <w:tcPr>
            <w:tcW w:w="772" w:type="dxa"/>
            <w:shd w:val="clear" w:color="auto" w:fill="FFFFFF"/>
          </w:tcPr>
          <w:p>
            <w:pPr>
              <w:pStyle w:val="TableParagraph"/>
              <w:spacing w:line="224" w:lineRule="exact" w:before="82"/>
              <w:ind w:left="17"/>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2"/>
              <w:ind w:left="60"/>
              <w:rPr>
                <w:sz w:val="20"/>
              </w:rPr>
            </w:pPr>
            <w:r>
              <w:rPr>
                <w:w w:val="125"/>
                <w:sz w:val="20"/>
              </w:rPr>
              <w:t>Westminster College (RCL)</w:t>
            </w:r>
          </w:p>
        </w:tc>
        <w:tc>
          <w:tcPr>
            <w:tcW w:w="726" w:type="dxa"/>
            <w:shd w:val="clear" w:color="auto" w:fill="FFFFFF"/>
          </w:tcPr>
          <w:p>
            <w:pPr>
              <w:pStyle w:val="TableParagraph"/>
              <w:spacing w:line="224" w:lineRule="exact" w:before="82"/>
              <w:ind w:left="17"/>
              <w:jc w:val="center"/>
              <w:rPr>
                <w:sz w:val="20"/>
              </w:rPr>
            </w:pPr>
            <w:r>
              <w:rPr>
                <w:w w:val="125"/>
                <w:sz w:val="20"/>
              </w:rPr>
              <w:t>1</w:t>
            </w:r>
          </w:p>
        </w:tc>
        <w:tc>
          <w:tcPr>
            <w:tcW w:w="839" w:type="dxa"/>
            <w:shd w:val="clear" w:color="auto" w:fill="FFFFFF"/>
          </w:tcPr>
          <w:p>
            <w:pPr>
              <w:pStyle w:val="TableParagraph"/>
              <w:spacing w:line="224" w:lineRule="exact" w:before="82"/>
              <w:ind w:left="17"/>
              <w:jc w:val="center"/>
              <w:rPr>
                <w:sz w:val="20"/>
              </w:rPr>
            </w:pPr>
            <w:r>
              <w:rPr>
                <w:w w:val="125"/>
                <w:sz w:val="20"/>
              </w:rPr>
              <w:t>3</w:t>
            </w:r>
          </w:p>
        </w:tc>
        <w:tc>
          <w:tcPr>
            <w:tcW w:w="726" w:type="dxa"/>
            <w:shd w:val="clear" w:color="auto" w:fill="FFFFFF"/>
          </w:tcPr>
          <w:p>
            <w:pPr>
              <w:pStyle w:val="TableParagraph"/>
              <w:spacing w:line="224" w:lineRule="exact" w:before="82"/>
              <w:ind w:left="16"/>
              <w:jc w:val="center"/>
              <w:rPr>
                <w:sz w:val="20"/>
              </w:rPr>
            </w:pPr>
            <w:r>
              <w:rPr>
                <w:w w:val="125"/>
                <w:sz w:val="20"/>
              </w:rPr>
              <w:t>3</w:t>
            </w:r>
          </w:p>
        </w:tc>
        <w:tc>
          <w:tcPr>
            <w:tcW w:w="726" w:type="dxa"/>
            <w:shd w:val="clear" w:color="auto" w:fill="FFFFFF"/>
          </w:tcPr>
          <w:p>
            <w:pPr>
              <w:pStyle w:val="TableParagraph"/>
              <w:spacing w:line="224" w:lineRule="exact" w:before="82"/>
              <w:ind w:left="16"/>
              <w:jc w:val="center"/>
              <w:rPr>
                <w:sz w:val="20"/>
              </w:rPr>
            </w:pPr>
            <w:r>
              <w:rPr>
                <w:w w:val="114"/>
                <w:sz w:val="20"/>
              </w:rPr>
              <w:t>-</w:t>
            </w:r>
          </w:p>
        </w:tc>
        <w:tc>
          <w:tcPr>
            <w:tcW w:w="727" w:type="dxa"/>
            <w:shd w:val="clear" w:color="auto" w:fill="FFFFFF"/>
          </w:tcPr>
          <w:p>
            <w:pPr>
              <w:pStyle w:val="TableParagraph"/>
              <w:spacing w:line="224" w:lineRule="exact" w:before="82"/>
              <w:ind w:left="16"/>
              <w:jc w:val="center"/>
              <w:rPr>
                <w:sz w:val="20"/>
              </w:rPr>
            </w:pPr>
            <w:r>
              <w:rPr>
                <w:w w:val="125"/>
                <w:sz w:val="20"/>
              </w:rPr>
              <w:t>2</w:t>
            </w:r>
          </w:p>
        </w:tc>
        <w:tc>
          <w:tcPr>
            <w:tcW w:w="797" w:type="dxa"/>
            <w:shd w:val="clear" w:color="auto" w:fill="FFFFFF"/>
          </w:tcPr>
          <w:p>
            <w:pPr>
              <w:pStyle w:val="TableParagraph"/>
              <w:spacing w:line="224" w:lineRule="exact" w:before="82"/>
              <w:ind w:left="17"/>
              <w:jc w:val="center"/>
              <w:rPr>
                <w:sz w:val="20"/>
              </w:rPr>
            </w:pPr>
            <w:r>
              <w:rPr>
                <w:w w:val="125"/>
                <w:sz w:val="20"/>
              </w:rPr>
              <w:t>1</w:t>
            </w:r>
          </w:p>
        </w:tc>
        <w:tc>
          <w:tcPr>
            <w:tcW w:w="772" w:type="dxa"/>
            <w:shd w:val="clear" w:color="auto" w:fill="FFFFFF"/>
          </w:tcPr>
          <w:p>
            <w:pPr>
              <w:pStyle w:val="TableParagraph"/>
              <w:spacing w:line="224" w:lineRule="exact" w:before="82"/>
              <w:ind w:left="18"/>
              <w:jc w:val="center"/>
              <w:rPr>
                <w:sz w:val="20"/>
              </w:rPr>
            </w:pPr>
            <w:r>
              <w:rPr>
                <w:w w:val="114"/>
                <w:sz w:val="20"/>
              </w:rPr>
              <w:t>-</w:t>
            </w:r>
          </w:p>
        </w:tc>
      </w:tr>
      <w:tr>
        <w:trPr>
          <w:trHeight w:val="326" w:hRule="atLeast"/>
        </w:trPr>
        <w:tc>
          <w:tcPr>
            <w:tcW w:w="2886" w:type="dxa"/>
            <w:shd w:val="clear" w:color="auto" w:fill="FFFFFF"/>
          </w:tcPr>
          <w:p>
            <w:pPr>
              <w:pStyle w:val="TableParagraph"/>
              <w:spacing w:line="224" w:lineRule="exact" w:before="82"/>
              <w:ind w:left="60"/>
              <w:rPr>
                <w:sz w:val="20"/>
              </w:rPr>
            </w:pPr>
            <w:r>
              <w:rPr>
                <w:w w:val="120"/>
                <w:sz w:val="20"/>
              </w:rPr>
              <w:t>Subtotal</w:t>
            </w:r>
          </w:p>
        </w:tc>
        <w:tc>
          <w:tcPr>
            <w:tcW w:w="726" w:type="dxa"/>
            <w:shd w:val="clear" w:color="auto" w:fill="FFFFFF"/>
          </w:tcPr>
          <w:p>
            <w:pPr>
              <w:pStyle w:val="TableParagraph"/>
              <w:spacing w:line="237" w:lineRule="exact" w:before="69"/>
              <w:ind w:left="62" w:right="45"/>
              <w:jc w:val="center"/>
              <w:rPr>
                <w:rFonts w:ascii="Stone Sans II ITC Std Bk"/>
                <w:b/>
                <w:sz w:val="20"/>
              </w:rPr>
            </w:pPr>
            <w:r>
              <w:rPr>
                <w:rFonts w:ascii="Stone Sans II ITC Std Bk"/>
                <w:b/>
                <w:w w:val="110"/>
                <w:sz w:val="20"/>
              </w:rPr>
              <w:t>20</w:t>
            </w:r>
          </w:p>
        </w:tc>
        <w:tc>
          <w:tcPr>
            <w:tcW w:w="839" w:type="dxa"/>
            <w:shd w:val="clear" w:color="auto" w:fill="FFFFFF"/>
          </w:tcPr>
          <w:p>
            <w:pPr>
              <w:pStyle w:val="TableParagraph"/>
              <w:spacing w:line="237" w:lineRule="exact" w:before="69"/>
              <w:ind w:right="262"/>
              <w:jc w:val="right"/>
              <w:rPr>
                <w:rFonts w:ascii="Stone Sans II ITC Std Bk"/>
                <w:b/>
                <w:sz w:val="20"/>
              </w:rPr>
            </w:pPr>
            <w:r>
              <w:rPr>
                <w:rFonts w:ascii="Stone Sans II ITC Std Bk"/>
                <w:b/>
                <w:w w:val="110"/>
                <w:sz w:val="20"/>
              </w:rPr>
              <w:t>20</w:t>
            </w:r>
          </w:p>
        </w:tc>
        <w:tc>
          <w:tcPr>
            <w:tcW w:w="726" w:type="dxa"/>
            <w:shd w:val="clear" w:color="auto" w:fill="FFFFFF"/>
          </w:tcPr>
          <w:p>
            <w:pPr>
              <w:pStyle w:val="TableParagraph"/>
              <w:spacing w:line="237" w:lineRule="exact" w:before="69"/>
              <w:ind w:right="214"/>
              <w:jc w:val="right"/>
              <w:rPr>
                <w:rFonts w:ascii="Stone Sans II ITC Std Bk"/>
                <w:b/>
                <w:sz w:val="20"/>
              </w:rPr>
            </w:pPr>
            <w:r>
              <w:rPr>
                <w:rFonts w:ascii="Stone Sans II ITC Std Bk"/>
                <w:b/>
                <w:w w:val="110"/>
                <w:sz w:val="20"/>
              </w:rPr>
              <w:t>15</w:t>
            </w:r>
          </w:p>
        </w:tc>
        <w:tc>
          <w:tcPr>
            <w:tcW w:w="726" w:type="dxa"/>
            <w:shd w:val="clear" w:color="auto" w:fill="FFFFFF"/>
          </w:tcPr>
          <w:p>
            <w:pPr>
              <w:pStyle w:val="TableParagraph"/>
              <w:spacing w:line="237" w:lineRule="exact" w:before="69"/>
              <w:ind w:left="17"/>
              <w:jc w:val="center"/>
              <w:rPr>
                <w:rFonts w:ascii="Stone Sans II ITC Std Bk"/>
                <w:b/>
                <w:sz w:val="20"/>
              </w:rPr>
            </w:pPr>
            <w:r>
              <w:rPr>
                <w:rFonts w:ascii="Stone Sans II ITC Std Bk"/>
                <w:b/>
                <w:w w:val="110"/>
                <w:sz w:val="20"/>
              </w:rPr>
              <w:t>6</w:t>
            </w:r>
          </w:p>
        </w:tc>
        <w:tc>
          <w:tcPr>
            <w:tcW w:w="727" w:type="dxa"/>
            <w:shd w:val="clear" w:color="auto" w:fill="FFFFFF"/>
          </w:tcPr>
          <w:p>
            <w:pPr>
              <w:pStyle w:val="TableParagraph"/>
              <w:spacing w:line="237" w:lineRule="exact" w:before="69"/>
              <w:ind w:left="16"/>
              <w:jc w:val="center"/>
              <w:rPr>
                <w:rFonts w:ascii="Stone Sans II ITC Std Bk"/>
                <w:b/>
                <w:sz w:val="20"/>
              </w:rPr>
            </w:pPr>
            <w:r>
              <w:rPr>
                <w:rFonts w:ascii="Stone Sans II ITC Std Bk"/>
                <w:b/>
                <w:w w:val="110"/>
                <w:sz w:val="20"/>
              </w:rPr>
              <w:t>4</w:t>
            </w:r>
          </w:p>
        </w:tc>
        <w:tc>
          <w:tcPr>
            <w:tcW w:w="797" w:type="dxa"/>
            <w:shd w:val="clear" w:color="auto" w:fill="FFFFFF"/>
          </w:tcPr>
          <w:p>
            <w:pPr>
              <w:pStyle w:val="TableParagraph"/>
              <w:spacing w:line="237" w:lineRule="exact" w:before="69"/>
              <w:ind w:left="17"/>
              <w:jc w:val="center"/>
              <w:rPr>
                <w:rFonts w:ascii="Stone Sans II ITC Std Bk"/>
                <w:b/>
                <w:sz w:val="20"/>
              </w:rPr>
            </w:pPr>
            <w:r>
              <w:rPr>
                <w:rFonts w:ascii="Stone Sans II ITC Std Bk"/>
                <w:b/>
                <w:w w:val="110"/>
                <w:sz w:val="20"/>
              </w:rPr>
              <w:t>2</w:t>
            </w:r>
          </w:p>
        </w:tc>
        <w:tc>
          <w:tcPr>
            <w:tcW w:w="772" w:type="dxa"/>
            <w:shd w:val="clear" w:color="auto" w:fill="FFFFFF"/>
          </w:tcPr>
          <w:p>
            <w:pPr>
              <w:pStyle w:val="TableParagraph"/>
              <w:spacing w:line="237" w:lineRule="exact" w:before="69"/>
              <w:ind w:left="18"/>
              <w:jc w:val="center"/>
              <w:rPr>
                <w:rFonts w:ascii="Stone Sans II ITC Std Bk"/>
                <w:b/>
                <w:sz w:val="20"/>
              </w:rPr>
            </w:pPr>
            <w:r>
              <w:rPr>
                <w:rFonts w:ascii="Stone Sans II ITC Std Bk"/>
                <w:b/>
                <w:w w:val="110"/>
                <w:sz w:val="20"/>
              </w:rPr>
              <w:t>3</w:t>
            </w:r>
          </w:p>
        </w:tc>
      </w:tr>
      <w:tr>
        <w:trPr>
          <w:trHeight w:val="184" w:hRule="atLeast"/>
        </w:trPr>
        <w:tc>
          <w:tcPr>
            <w:tcW w:w="288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839"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6" w:type="dxa"/>
            <w:shd w:val="clear" w:color="auto" w:fill="FFFFFF"/>
          </w:tcPr>
          <w:p>
            <w:pPr>
              <w:pStyle w:val="TableParagraph"/>
              <w:rPr>
                <w:rFonts w:ascii="Times New Roman"/>
                <w:sz w:val="12"/>
              </w:rPr>
            </w:pPr>
          </w:p>
        </w:tc>
        <w:tc>
          <w:tcPr>
            <w:tcW w:w="727" w:type="dxa"/>
            <w:shd w:val="clear" w:color="auto" w:fill="FFFFFF"/>
          </w:tcPr>
          <w:p>
            <w:pPr>
              <w:pStyle w:val="TableParagraph"/>
              <w:rPr>
                <w:rFonts w:ascii="Times New Roman"/>
                <w:sz w:val="12"/>
              </w:rPr>
            </w:pPr>
          </w:p>
        </w:tc>
        <w:tc>
          <w:tcPr>
            <w:tcW w:w="797" w:type="dxa"/>
            <w:shd w:val="clear" w:color="auto" w:fill="FFFFFF"/>
          </w:tcPr>
          <w:p>
            <w:pPr>
              <w:pStyle w:val="TableParagraph"/>
              <w:rPr>
                <w:rFonts w:ascii="Times New Roman"/>
                <w:sz w:val="12"/>
              </w:rPr>
            </w:pPr>
          </w:p>
        </w:tc>
        <w:tc>
          <w:tcPr>
            <w:tcW w:w="772" w:type="dxa"/>
            <w:shd w:val="clear" w:color="auto" w:fill="FFFFFF"/>
          </w:tcPr>
          <w:p>
            <w:pPr>
              <w:pStyle w:val="TableParagraph"/>
              <w:rPr>
                <w:rFonts w:ascii="Times New Roman"/>
                <w:sz w:val="12"/>
              </w:rPr>
            </w:pPr>
          </w:p>
        </w:tc>
      </w:tr>
      <w:tr>
        <w:trPr>
          <w:trHeight w:val="326" w:hRule="atLeast"/>
        </w:trPr>
        <w:tc>
          <w:tcPr>
            <w:tcW w:w="2886" w:type="dxa"/>
            <w:shd w:val="clear" w:color="auto" w:fill="EDF2DA"/>
          </w:tcPr>
          <w:p>
            <w:pPr>
              <w:pStyle w:val="TableParagraph"/>
              <w:spacing w:line="237" w:lineRule="exact" w:before="69"/>
              <w:ind w:left="60"/>
              <w:rPr>
                <w:rFonts w:ascii="Stone Sans II ITC Std Bk"/>
                <w:b/>
                <w:sz w:val="20"/>
              </w:rPr>
            </w:pPr>
            <w:r>
              <w:rPr>
                <w:rFonts w:ascii="Stone Sans II ITC Std Bk"/>
                <w:b/>
                <w:w w:val="110"/>
                <w:sz w:val="20"/>
              </w:rPr>
              <w:t>Grand total</w:t>
            </w:r>
          </w:p>
        </w:tc>
        <w:tc>
          <w:tcPr>
            <w:tcW w:w="726" w:type="dxa"/>
            <w:shd w:val="clear" w:color="auto" w:fill="EDF2DA"/>
          </w:tcPr>
          <w:p>
            <w:pPr>
              <w:pStyle w:val="TableParagraph"/>
              <w:spacing w:line="237" w:lineRule="exact" w:before="69"/>
              <w:ind w:left="62" w:right="45"/>
              <w:jc w:val="center"/>
              <w:rPr>
                <w:rFonts w:ascii="Stone Sans II ITC Std Bk"/>
                <w:b/>
                <w:sz w:val="20"/>
              </w:rPr>
            </w:pPr>
            <w:r>
              <w:rPr>
                <w:rFonts w:ascii="Stone Sans II ITC Std Bk"/>
                <w:b/>
                <w:w w:val="110"/>
                <w:sz w:val="20"/>
              </w:rPr>
              <w:t>72</w:t>
            </w:r>
          </w:p>
        </w:tc>
        <w:tc>
          <w:tcPr>
            <w:tcW w:w="839" w:type="dxa"/>
            <w:shd w:val="clear" w:color="auto" w:fill="EDF2DA"/>
          </w:tcPr>
          <w:p>
            <w:pPr>
              <w:pStyle w:val="TableParagraph"/>
              <w:spacing w:line="237" w:lineRule="exact" w:before="69"/>
              <w:ind w:right="261"/>
              <w:jc w:val="right"/>
              <w:rPr>
                <w:rFonts w:ascii="Stone Sans II ITC Std Bk"/>
                <w:b/>
                <w:sz w:val="20"/>
              </w:rPr>
            </w:pPr>
            <w:r>
              <w:rPr>
                <w:rFonts w:ascii="Stone Sans II ITC Std Bk"/>
                <w:b/>
                <w:w w:val="110"/>
                <w:sz w:val="20"/>
              </w:rPr>
              <w:t>64</w:t>
            </w:r>
          </w:p>
        </w:tc>
        <w:tc>
          <w:tcPr>
            <w:tcW w:w="726" w:type="dxa"/>
            <w:shd w:val="clear" w:color="auto" w:fill="EDF2DA"/>
          </w:tcPr>
          <w:p>
            <w:pPr>
              <w:pStyle w:val="TableParagraph"/>
              <w:spacing w:line="237" w:lineRule="exact" w:before="69"/>
              <w:ind w:right="205"/>
              <w:jc w:val="right"/>
              <w:rPr>
                <w:rFonts w:ascii="Stone Sans II ITC Std Bk"/>
                <w:b/>
                <w:sz w:val="20"/>
              </w:rPr>
            </w:pPr>
            <w:r>
              <w:rPr>
                <w:rFonts w:ascii="Stone Sans II ITC Std Bk"/>
                <w:b/>
                <w:w w:val="110"/>
                <w:sz w:val="20"/>
              </w:rPr>
              <w:t>48</w:t>
            </w:r>
          </w:p>
        </w:tc>
        <w:tc>
          <w:tcPr>
            <w:tcW w:w="726" w:type="dxa"/>
            <w:shd w:val="clear" w:color="auto" w:fill="EDF2DA"/>
          </w:tcPr>
          <w:p>
            <w:pPr>
              <w:pStyle w:val="TableParagraph"/>
              <w:spacing w:line="237" w:lineRule="exact" w:before="69"/>
              <w:ind w:left="62" w:right="45"/>
              <w:jc w:val="center"/>
              <w:rPr>
                <w:rFonts w:ascii="Stone Sans II ITC Std Bk"/>
                <w:b/>
                <w:sz w:val="20"/>
              </w:rPr>
            </w:pPr>
            <w:r>
              <w:rPr>
                <w:rFonts w:ascii="Stone Sans II ITC Std Bk"/>
                <w:b/>
                <w:w w:val="110"/>
                <w:sz w:val="20"/>
              </w:rPr>
              <w:t>19</w:t>
            </w:r>
          </w:p>
        </w:tc>
        <w:tc>
          <w:tcPr>
            <w:tcW w:w="727" w:type="dxa"/>
            <w:shd w:val="clear" w:color="auto" w:fill="EDF2DA"/>
          </w:tcPr>
          <w:p>
            <w:pPr>
              <w:pStyle w:val="TableParagraph"/>
              <w:spacing w:line="237" w:lineRule="exact" w:before="69"/>
              <w:ind w:left="62" w:right="45"/>
              <w:jc w:val="center"/>
              <w:rPr>
                <w:rFonts w:ascii="Stone Sans II ITC Std Bk"/>
                <w:b/>
                <w:sz w:val="20"/>
              </w:rPr>
            </w:pPr>
            <w:r>
              <w:rPr>
                <w:rFonts w:ascii="Stone Sans II ITC Std Bk"/>
                <w:b/>
                <w:w w:val="110"/>
                <w:sz w:val="20"/>
              </w:rPr>
              <w:t>12</w:t>
            </w:r>
          </w:p>
        </w:tc>
        <w:tc>
          <w:tcPr>
            <w:tcW w:w="797" w:type="dxa"/>
            <w:shd w:val="clear" w:color="auto" w:fill="EDF2DA"/>
          </w:tcPr>
          <w:p>
            <w:pPr>
              <w:pStyle w:val="TableParagraph"/>
              <w:spacing w:line="237" w:lineRule="exact" w:before="69"/>
              <w:ind w:left="17"/>
              <w:jc w:val="center"/>
              <w:rPr>
                <w:rFonts w:ascii="Stone Sans II ITC Std Bk"/>
                <w:b/>
                <w:sz w:val="20"/>
              </w:rPr>
            </w:pPr>
            <w:r>
              <w:rPr>
                <w:rFonts w:ascii="Stone Sans II ITC Std Bk"/>
                <w:b/>
                <w:w w:val="110"/>
                <w:sz w:val="20"/>
              </w:rPr>
              <w:t>7</w:t>
            </w:r>
          </w:p>
        </w:tc>
        <w:tc>
          <w:tcPr>
            <w:tcW w:w="772" w:type="dxa"/>
            <w:shd w:val="clear" w:color="auto" w:fill="EDF2DA"/>
          </w:tcPr>
          <w:p>
            <w:pPr>
              <w:pStyle w:val="TableParagraph"/>
              <w:spacing w:line="237" w:lineRule="exact" w:before="69"/>
              <w:ind w:left="85" w:right="67"/>
              <w:jc w:val="center"/>
              <w:rPr>
                <w:rFonts w:ascii="Stone Sans II ITC Std Bk"/>
                <w:b/>
                <w:sz w:val="20"/>
              </w:rPr>
            </w:pPr>
            <w:r>
              <w:rPr>
                <w:rFonts w:ascii="Stone Sans II ITC Std Bk"/>
                <w:b/>
                <w:w w:val="110"/>
                <w:sz w:val="20"/>
              </w:rPr>
              <w:t>10</w:t>
            </w:r>
          </w:p>
        </w:tc>
      </w:tr>
    </w:tbl>
    <w:p>
      <w:pPr>
        <w:pStyle w:val="BodyText"/>
        <w:spacing w:before="3"/>
        <w:rPr>
          <w:rFonts w:ascii="Stone Sans II ITC Std Bk"/>
          <w:b/>
          <w:sz w:val="18"/>
        </w:rPr>
      </w:pPr>
    </w:p>
    <w:p>
      <w:pPr>
        <w:spacing w:after="0"/>
        <w:rPr>
          <w:rFonts w:ascii="Stone Sans II ITC Std Bk"/>
          <w:sz w:val="18"/>
        </w:rPr>
        <w:sectPr>
          <w:headerReference w:type="default" r:id="rId517"/>
          <w:footerReference w:type="default" r:id="rId518"/>
          <w:pgSz w:w="11910" w:h="16840"/>
          <w:pgMar w:header="0" w:footer="0" w:top="980" w:bottom="280" w:left="0" w:right="0"/>
        </w:sectPr>
      </w:pPr>
    </w:p>
    <w:p>
      <w:pPr>
        <w:tabs>
          <w:tab w:pos="3024" w:val="left" w:leader="none"/>
        </w:tabs>
        <w:spacing w:before="102"/>
        <w:ind w:left="1984" w:right="1403" w:firstLine="0"/>
        <w:jc w:val="left"/>
        <w:rPr>
          <w:sz w:val="18"/>
        </w:rPr>
      </w:pPr>
      <w:r>
        <w:rPr>
          <w:w w:val="120"/>
          <w:sz w:val="18"/>
        </w:rPr>
        <w:t>ERMC</w:t>
        <w:tab/>
        <w:t>Eastern Region Ministry  Course EMMTC</w:t>
        <w:tab/>
        <w:t>East Midlands Ministry Training Course NEOC</w:t>
        <w:tab/>
      </w:r>
      <w:r>
        <w:rPr>
          <w:spacing w:val="2"/>
          <w:w w:val="120"/>
          <w:sz w:val="18"/>
        </w:rPr>
        <w:t>North </w:t>
      </w:r>
      <w:r>
        <w:rPr>
          <w:w w:val="120"/>
          <w:sz w:val="18"/>
        </w:rPr>
        <w:t>East Ordination</w:t>
      </w:r>
      <w:r>
        <w:rPr>
          <w:spacing w:val="13"/>
          <w:w w:val="120"/>
          <w:sz w:val="18"/>
        </w:rPr>
        <w:t> </w:t>
      </w:r>
      <w:r>
        <w:rPr>
          <w:w w:val="120"/>
          <w:sz w:val="18"/>
        </w:rPr>
        <w:t>Course</w:t>
      </w:r>
    </w:p>
    <w:p>
      <w:pPr>
        <w:tabs>
          <w:tab w:pos="3024" w:val="left" w:leader="none"/>
        </w:tabs>
        <w:spacing w:before="1"/>
        <w:ind w:left="1984" w:right="0" w:firstLine="0"/>
        <w:jc w:val="left"/>
        <w:rPr>
          <w:sz w:val="18"/>
        </w:rPr>
      </w:pPr>
      <w:r>
        <w:rPr>
          <w:w w:val="125"/>
          <w:sz w:val="18"/>
        </w:rPr>
        <w:t>SURCC</w:t>
        <w:tab/>
        <w:t>Scottish United Reformed and Congregational</w:t>
      </w:r>
      <w:r>
        <w:rPr>
          <w:spacing w:val="-23"/>
          <w:w w:val="125"/>
          <w:sz w:val="18"/>
        </w:rPr>
        <w:t> </w:t>
      </w:r>
      <w:r>
        <w:rPr>
          <w:w w:val="125"/>
          <w:sz w:val="18"/>
        </w:rPr>
        <w:t>College SEITE</w:t>
        <w:tab/>
        <w:t>South East Institute for Theological</w:t>
      </w:r>
      <w:r>
        <w:rPr>
          <w:spacing w:val="-19"/>
          <w:w w:val="125"/>
          <w:sz w:val="18"/>
        </w:rPr>
        <w:t> </w:t>
      </w:r>
      <w:r>
        <w:rPr>
          <w:w w:val="125"/>
          <w:sz w:val="18"/>
        </w:rPr>
        <w:t>Education</w:t>
      </w:r>
    </w:p>
    <w:p>
      <w:pPr>
        <w:tabs>
          <w:tab w:pos="3024" w:val="left" w:leader="none"/>
        </w:tabs>
        <w:spacing w:before="0"/>
        <w:ind w:left="1984" w:right="65" w:firstLine="0"/>
        <w:jc w:val="left"/>
        <w:rPr>
          <w:sz w:val="18"/>
        </w:rPr>
      </w:pPr>
      <w:r>
        <w:rPr>
          <w:spacing w:val="2"/>
          <w:w w:val="125"/>
          <w:sz w:val="18"/>
        </w:rPr>
        <w:t>STETS</w:t>
        <w:tab/>
      </w:r>
      <w:r>
        <w:rPr>
          <w:w w:val="125"/>
          <w:sz w:val="18"/>
        </w:rPr>
        <w:t>Southern Theological Education and Training</w:t>
      </w:r>
      <w:r>
        <w:rPr>
          <w:spacing w:val="-28"/>
          <w:w w:val="125"/>
          <w:sz w:val="18"/>
        </w:rPr>
        <w:t> </w:t>
      </w:r>
      <w:r>
        <w:rPr>
          <w:w w:val="125"/>
          <w:sz w:val="18"/>
        </w:rPr>
        <w:t>Scheme SWMTC</w:t>
        <w:tab/>
        <w:t>South West Ministry Training</w:t>
      </w:r>
      <w:r>
        <w:rPr>
          <w:spacing w:val="-9"/>
          <w:w w:val="125"/>
          <w:sz w:val="18"/>
        </w:rPr>
        <w:t> </w:t>
      </w:r>
      <w:r>
        <w:rPr>
          <w:w w:val="125"/>
          <w:sz w:val="18"/>
        </w:rPr>
        <w:t>Course</w:t>
      </w:r>
    </w:p>
    <w:p>
      <w:pPr>
        <w:tabs>
          <w:tab w:pos="3024" w:val="left" w:leader="none"/>
        </w:tabs>
        <w:spacing w:before="1"/>
        <w:ind w:left="1984" w:right="0" w:firstLine="0"/>
        <w:jc w:val="left"/>
        <w:rPr>
          <w:sz w:val="18"/>
        </w:rPr>
      </w:pPr>
      <w:r>
        <w:rPr>
          <w:w w:val="120"/>
          <w:sz w:val="18"/>
        </w:rPr>
        <w:t>RCL</w:t>
        <w:tab/>
        <w:t>Resource Centre for</w:t>
      </w:r>
      <w:r>
        <w:rPr>
          <w:spacing w:val="8"/>
          <w:w w:val="120"/>
          <w:sz w:val="18"/>
        </w:rPr>
        <w:t> </w:t>
      </w:r>
      <w:r>
        <w:rPr>
          <w:w w:val="120"/>
          <w:sz w:val="18"/>
        </w:rPr>
        <w:t>Learning</w:t>
      </w:r>
    </w:p>
    <w:p>
      <w:pPr>
        <w:pStyle w:val="BodyText"/>
        <w:spacing w:before="10"/>
        <w:rPr>
          <w:sz w:val="18"/>
        </w:rPr>
      </w:pPr>
      <w:r>
        <w:rPr/>
        <w:br w:type="column"/>
      </w:r>
      <w:r>
        <w:rPr>
          <w:sz w:val="18"/>
        </w:rPr>
      </w:r>
    </w:p>
    <w:p>
      <w:pPr>
        <w:pStyle w:val="BodyText"/>
        <w:spacing w:line="235" w:lineRule="auto"/>
        <w:ind w:left="367" w:right="727"/>
      </w:pPr>
      <w:r>
        <w:rPr>
          <w:color w:val="A1BF37"/>
          <w:w w:val="120"/>
        </w:rPr>
        <w:t>Anticipated entry does not take into account those who have been selected at recent assessment conferences but who have not yet formally begun their studies through one of the RCLs.</w:t>
      </w:r>
    </w:p>
    <w:p>
      <w:pPr>
        <w:spacing w:after="0" w:line="235" w:lineRule="auto"/>
        <w:sectPr>
          <w:type w:val="continuous"/>
          <w:pgSz w:w="11910" w:h="16840"/>
          <w:pgMar w:top="860" w:bottom="280" w:left="0" w:right="0"/>
          <w:cols w:num="2" w:equalWidth="0">
            <w:col w:w="7938" w:space="40"/>
            <w:col w:w="3932"/>
          </w:cols>
        </w:sectPr>
      </w:pPr>
    </w:p>
    <w:p>
      <w:pPr>
        <w:pStyle w:val="BodyText"/>
      </w:pPr>
      <w:r>
        <w:rPr/>
        <w:pict>
          <v:rect style="position:absolute;margin-left:0pt;margin-top:.000015pt;width:595.275pt;height:841.89pt;mso-position-horizontal-relative:page;mso-position-vertical-relative:page;z-index:-267137024" filled="true" fillcolor="#a1bf37" stroked="false">
            <v:fill type="solid"/>
            <w10:wrap type="none"/>
          </v:rect>
        </w:pict>
      </w:r>
      <w:r>
        <w:rPr/>
        <w:pict>
          <v:group style="position:absolute;margin-left:75.826797pt;margin-top:.000015pt;width:519.4500pt;height:790.9pt;mso-position-horizontal-relative:page;mso-position-vertical-relative:page;z-index:-267136000"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w10:wrap type="none"/>
          </v:group>
        </w:pict>
      </w:r>
    </w:p>
    <w:p>
      <w:pPr>
        <w:pStyle w:val="BodyText"/>
        <w:spacing w:before="7"/>
        <w:rPr>
          <w:sz w:val="29"/>
        </w:rPr>
      </w:pPr>
    </w:p>
    <w:p>
      <w:pPr>
        <w:tabs>
          <w:tab w:pos="10630" w:val="left" w:leader="none"/>
        </w:tabs>
        <w:spacing w:before="97"/>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213</w:t>
      </w:r>
    </w:p>
    <w:p>
      <w:pPr>
        <w:spacing w:after="0"/>
        <w:jc w:val="left"/>
        <w:rPr>
          <w:rFonts w:ascii="Stone Sans II ITC Std X Bd" w:hAnsi="Stone Sans II ITC Std X Bd"/>
          <w:sz w:val="24"/>
        </w:rPr>
        <w:sectPr>
          <w:type w:val="continuous"/>
          <w:pgSz w:w="11910" w:h="16840"/>
          <w:pgMar w:top="860" w:bottom="280" w:left="0" w:right="0"/>
        </w:sectPr>
      </w:pPr>
    </w:p>
    <w:p>
      <w:pPr>
        <w:pStyle w:val="BodyText"/>
        <w:ind w:left="240"/>
        <w:rPr>
          <w:rFonts w:ascii="Stone Sans II ITC Std X Bd"/>
        </w:rPr>
      </w:pPr>
      <w:r>
        <w:rPr/>
        <w:pict>
          <v:rect style="position:absolute;margin-left:12.047pt;margin-top:30.471001pt;width:22.677pt;height:22.677pt;mso-position-horizontal-relative:page;mso-position-vertical-relative:paragraph;z-index:-251025408;mso-wrap-distance-left:0;mso-wrap-distance-right:0" filled="true" fillcolor="#ffffff" stroked="false">
            <v:fill type="solid"/>
            <w10:wrap type="topAndBottom"/>
          </v:rect>
        </w:pict>
      </w:r>
      <w:r>
        <w:rPr/>
        <w:pict>
          <v:rect style="position:absolute;margin-left:12.047pt;margin-top:61.653pt;width:22.677pt;height:22.677pt;mso-position-horizontal-relative:page;mso-position-vertical-relative:paragraph;z-index:-251024384;mso-wrap-distance-left:0;mso-wrap-distance-right:0" filled="true" fillcolor="#ffffff" stroked="false">
            <v:fill opacity="32768f" type="solid"/>
            <w10:wrap type="topAndBottom"/>
          </v:rect>
        </w:pict>
      </w:r>
      <w:r>
        <w:rPr/>
        <w:pict>
          <v:rect style="position:absolute;margin-left:0pt;margin-top:.000015pt;width:595.275pt;height:841.89pt;mso-position-horizontal-relative:page;mso-position-vertical-relative:page;z-index:-267129856" filled="true" fillcolor="#a1bf37" stroked="false">
            <v:fill type="solid"/>
            <w10:wrap type="none"/>
          </v:rect>
        </w:pict>
      </w:r>
      <w:r>
        <w:rPr>
          <w:rFonts w:ascii="Stone Sans II ITC Std X Bd"/>
        </w:rPr>
        <w:pict>
          <v:group style="width:22.7pt;height:22.7pt;mso-position-horizontal-relative:char;mso-position-vertical-relative:line" coordorigin="0,0" coordsize="454,454">
            <v:rect style="position:absolute;left:0;top:0;width:454;height:454" filled="true" fillcolor="#ffffff" stroked="false">
              <v:fill type="solid"/>
            </v:rect>
          </v:group>
        </w:pict>
      </w:r>
      <w:r>
        <w:rPr>
          <w:rFonts w:ascii="Stone Sans II ITC Std X Bd"/>
        </w:rPr>
      </w:r>
    </w:p>
    <w:p>
      <w:pPr>
        <w:pStyle w:val="BodyText"/>
        <w:spacing w:before="7"/>
        <w:rPr>
          <w:rFonts w:ascii="Stone Sans II ITC Std X Bd"/>
          <w:b/>
          <w:sz w:val="7"/>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3"/>
        <w:rPr>
          <w:rFonts w:ascii="Stone Sans II ITC Std X Bd"/>
          <w:b/>
          <w:sz w:val="24"/>
        </w:rPr>
      </w:pPr>
      <w:r>
        <w:rPr/>
        <w:drawing>
          <wp:anchor distT="0" distB="0" distL="0" distR="0" allowOverlap="1" layoutInCell="1" locked="0" behindDoc="0" simplePos="0" relativeHeight="620">
            <wp:simplePos x="0" y="0"/>
            <wp:positionH relativeFrom="page">
              <wp:posOffset>557951</wp:posOffset>
            </wp:positionH>
            <wp:positionV relativeFrom="paragraph">
              <wp:posOffset>233111</wp:posOffset>
            </wp:positionV>
            <wp:extent cx="2836043" cy="1249013"/>
            <wp:effectExtent l="0" t="0" r="0" b="0"/>
            <wp:wrapTopAndBottom/>
            <wp:docPr id="169" name="image108.png"/>
            <wp:cNvGraphicFramePr>
              <a:graphicFrameLocks noChangeAspect="1"/>
            </wp:cNvGraphicFramePr>
            <a:graphic>
              <a:graphicData uri="http://schemas.openxmlformats.org/drawingml/2006/picture">
                <pic:pic>
                  <pic:nvPicPr>
                    <pic:cNvPr id="170" name="image108.png"/>
                    <pic:cNvPicPr/>
                  </pic:nvPicPr>
                  <pic:blipFill>
                    <a:blip r:embed="rId240" cstate="print"/>
                    <a:stretch>
                      <a:fillRect/>
                    </a:stretch>
                  </pic:blipFill>
                  <pic:spPr>
                    <a:xfrm>
                      <a:off x="0" y="0"/>
                      <a:ext cx="2836043" cy="1249013"/>
                    </a:xfrm>
                    <a:prstGeom prst="rect">
                      <a:avLst/>
                    </a:prstGeom>
                  </pic:spPr>
                </pic:pic>
              </a:graphicData>
            </a:graphic>
          </wp:anchor>
        </w:drawing>
      </w:r>
    </w:p>
    <w:p>
      <w:pPr>
        <w:spacing w:after="0"/>
        <w:rPr>
          <w:rFonts w:ascii="Stone Sans II ITC Std X Bd"/>
          <w:sz w:val="24"/>
        </w:rPr>
        <w:sectPr>
          <w:headerReference w:type="even" r:id="rId519"/>
          <w:footerReference w:type="even" r:id="rId520"/>
          <w:pgSz w:w="11910" w:h="16840"/>
          <w:pgMar w:header="0" w:footer="0" w:top="0" w:bottom="280" w:left="0" w:right="0"/>
        </w:sectPr>
      </w:pPr>
    </w:p>
    <w:p>
      <w:pPr>
        <w:spacing w:line="199" w:lineRule="auto" w:before="163"/>
        <w:ind w:left="1984" w:right="1997" w:firstLine="0"/>
        <w:jc w:val="left"/>
        <w:rPr>
          <w:rFonts w:ascii="Stone Sans II ITC Std Bk"/>
          <w:b/>
          <w:sz w:val="50"/>
        </w:rPr>
      </w:pPr>
      <w:r>
        <w:rPr/>
        <w:pict>
          <v:rect style="position:absolute;margin-left:0pt;margin-top:.000015pt;width:595.275pt;height:841.89pt;mso-position-horizontal-relative:page;mso-position-vertical-relative:page;z-index:-267128832" filled="true" fillcolor="#a1bf37" stroked="false">
            <v:fill type="solid"/>
            <w10:wrap type="none"/>
          </v:rect>
        </w:pict>
      </w:r>
      <w:r>
        <w:rPr/>
        <w:pict>
          <v:group style="position:absolute;margin-left:75.826797pt;margin-top:.000015pt;width:519.4500pt;height:790.9pt;mso-position-horizontal-relative:page;mso-position-vertical-relative:page;z-index:-267127808"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w10:wrap type="none"/>
          </v:group>
        </w:pict>
      </w:r>
      <w:r>
        <w:rPr/>
        <w:pict>
          <v:shape style="position:absolute;margin-left:512.587891pt;margin-top:-.208767pt;width:47.4pt;height:253.55pt;mso-position-horizontal-relative:page;mso-position-vertical-relative:paragraph;z-index:-267126784"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spacing w:val="-5"/>
                      <w:w w:val="110"/>
                      <w:sz w:val="72"/>
                    </w:rPr>
                    <w:t>Appendix </w:t>
                  </w:r>
                  <w:r>
                    <w:rPr>
                      <w:rFonts w:ascii="Stone Sans II ITC Std X Bd"/>
                      <w:b/>
                      <w:color w:val="A1BF37"/>
                      <w:spacing w:val="-13"/>
                      <w:w w:val="110"/>
                      <w:sz w:val="72"/>
                    </w:rPr>
                    <w:t>3a</w:t>
                  </w:r>
                </w:p>
              </w:txbxContent>
            </v:textbox>
            <w10:wrap type="none"/>
          </v:shape>
        </w:pict>
      </w:r>
      <w:r>
        <w:rPr>
          <w:rFonts w:ascii="Stone Sans II ITC Std Bk"/>
          <w:b/>
          <w:w w:val="110"/>
          <w:sz w:val="50"/>
        </w:rPr>
        <w:t>Guidelines on conduct and behaviour for Ministers of Word and Sacrament</w:t>
      </w:r>
    </w:p>
    <w:p>
      <w:pPr>
        <w:numPr>
          <w:ilvl w:val="0"/>
          <w:numId w:val="155"/>
        </w:numPr>
        <w:tabs>
          <w:tab w:pos="2664" w:val="left" w:leader="none"/>
          <w:tab w:pos="2665" w:val="left" w:leader="none"/>
        </w:tabs>
        <w:spacing w:line="261" w:lineRule="exact" w:before="375"/>
        <w:ind w:left="2664" w:right="0" w:hanging="681"/>
        <w:jc w:val="left"/>
        <w:rPr>
          <w:rFonts w:ascii="Stone Sans II ITC Std Bk"/>
          <w:b/>
          <w:sz w:val="20"/>
        </w:rPr>
      </w:pPr>
      <w:r>
        <w:rPr>
          <w:rFonts w:ascii="Stone Sans II ITC Std Bk"/>
          <w:b/>
          <w:w w:val="110"/>
          <w:sz w:val="20"/>
        </w:rPr>
        <w:t>Introduction</w:t>
      </w:r>
    </w:p>
    <w:p>
      <w:pPr>
        <w:pStyle w:val="BodyText"/>
        <w:spacing w:line="235" w:lineRule="auto"/>
        <w:ind w:left="1984" w:right="1634"/>
      </w:pPr>
      <w:r>
        <w:rPr>
          <w:w w:val="120"/>
        </w:rPr>
        <w:t>This paper sets down expectations of ministers of Word and Sacrament within the United Reformed Church. Parallel papers about the expectations of church related community workers and elders and local churches are to be read alongside this document.</w:t>
      </w:r>
    </w:p>
    <w:p>
      <w:pPr>
        <w:pStyle w:val="BodyText"/>
        <w:spacing w:before="1"/>
        <w:rPr>
          <w:sz w:val="18"/>
        </w:rPr>
      </w:pPr>
    </w:p>
    <w:p>
      <w:pPr>
        <w:numPr>
          <w:ilvl w:val="0"/>
          <w:numId w:val="155"/>
        </w:numPr>
        <w:tabs>
          <w:tab w:pos="2664" w:val="left" w:leader="none"/>
          <w:tab w:pos="2665" w:val="left" w:leader="none"/>
        </w:tabs>
        <w:spacing w:line="261" w:lineRule="exact" w:before="1"/>
        <w:ind w:left="2664" w:right="0" w:hanging="681"/>
        <w:jc w:val="left"/>
        <w:rPr>
          <w:rFonts w:ascii="Stone Sans II ITC Std Bk"/>
          <w:b/>
          <w:sz w:val="20"/>
        </w:rPr>
      </w:pPr>
      <w:r>
        <w:rPr>
          <w:rFonts w:ascii="Stone Sans II ITC Std Bk"/>
          <w:b/>
          <w:w w:val="110"/>
          <w:sz w:val="20"/>
        </w:rPr>
        <w:t>Basis of</w:t>
      </w:r>
      <w:r>
        <w:rPr>
          <w:rFonts w:ascii="Stone Sans II ITC Std Bk"/>
          <w:b/>
          <w:spacing w:val="-1"/>
          <w:w w:val="110"/>
          <w:sz w:val="20"/>
        </w:rPr>
        <w:t> </w:t>
      </w:r>
      <w:r>
        <w:rPr>
          <w:rFonts w:ascii="Stone Sans II ITC Std Bk"/>
          <w:b/>
          <w:w w:val="110"/>
          <w:sz w:val="20"/>
        </w:rPr>
        <w:t>Union</w:t>
      </w:r>
    </w:p>
    <w:p>
      <w:pPr>
        <w:pStyle w:val="BodyText"/>
        <w:spacing w:line="235" w:lineRule="auto"/>
        <w:ind w:left="1984" w:right="1120"/>
      </w:pPr>
      <w:r>
        <w:rPr>
          <w:w w:val="120"/>
        </w:rPr>
        <w:t>The foundation for the conduct of ministers is in the Basis of Union, summarised in Schedule E paragraph 2,</w:t>
      </w:r>
    </w:p>
    <w:p>
      <w:pPr>
        <w:pStyle w:val="BodyText"/>
        <w:spacing w:line="235" w:lineRule="auto"/>
        <w:ind w:left="2732" w:right="2879"/>
      </w:pPr>
      <w:r>
        <w:rPr>
          <w:w w:val="120"/>
        </w:rPr>
        <w:t>‘Ministers must conduct themselves and exercise all aspects of their ministries in a manner which is compatible with the unity and peace of the United Reformed Church and the affirmation made by ministers at ordination and induction  (Schedule  C) and the Statement concerning the nature, faith and order of</w:t>
      </w:r>
      <w:r>
        <w:rPr>
          <w:spacing w:val="10"/>
          <w:w w:val="120"/>
        </w:rPr>
        <w:t> </w:t>
      </w:r>
      <w:r>
        <w:rPr>
          <w:w w:val="120"/>
        </w:rPr>
        <w:t>the</w:t>
      </w:r>
    </w:p>
    <w:p>
      <w:pPr>
        <w:pStyle w:val="BodyText"/>
        <w:spacing w:line="235" w:lineRule="auto"/>
        <w:ind w:left="2732" w:right="2573"/>
      </w:pPr>
      <w:r>
        <w:rPr>
          <w:w w:val="120"/>
        </w:rPr>
        <w:t>United Reformed Church (Schedule D) in accordance with which ministers undertake to exercise their ministry.’</w:t>
      </w:r>
    </w:p>
    <w:p>
      <w:pPr>
        <w:pStyle w:val="BodyText"/>
        <w:spacing w:before="5"/>
        <w:rPr>
          <w:sz w:val="19"/>
        </w:rPr>
      </w:pPr>
    </w:p>
    <w:p>
      <w:pPr>
        <w:pStyle w:val="BodyText"/>
        <w:spacing w:line="242" w:lineRule="exact"/>
        <w:ind w:left="1984"/>
      </w:pPr>
      <w:r>
        <w:rPr>
          <w:w w:val="125"/>
        </w:rPr>
        <w:t>The relevant promises in Schedule C are:</w:t>
      </w:r>
    </w:p>
    <w:p>
      <w:pPr>
        <w:pStyle w:val="ListParagraph"/>
        <w:numPr>
          <w:ilvl w:val="1"/>
          <w:numId w:val="155"/>
        </w:numPr>
        <w:tabs>
          <w:tab w:pos="3092" w:val="left" w:leader="none"/>
          <w:tab w:pos="3093" w:val="left" w:leader="none"/>
        </w:tabs>
        <w:spacing w:line="235" w:lineRule="auto" w:before="2" w:after="0"/>
        <w:ind w:left="3118" w:right="3220" w:hanging="567"/>
        <w:jc w:val="left"/>
        <w:rPr>
          <w:sz w:val="20"/>
        </w:rPr>
      </w:pPr>
      <w:r>
        <w:rPr>
          <w:w w:val="120"/>
          <w:sz w:val="20"/>
        </w:rPr>
        <w:t>‘to live a holy life and to maintain the truth of the Gospel whatever trouble or persecution may</w:t>
      </w:r>
      <w:r>
        <w:rPr>
          <w:spacing w:val="7"/>
          <w:w w:val="120"/>
          <w:sz w:val="20"/>
        </w:rPr>
        <w:t> </w:t>
      </w:r>
      <w:r>
        <w:rPr>
          <w:spacing w:val="-3"/>
          <w:w w:val="120"/>
          <w:sz w:val="20"/>
        </w:rPr>
        <w:t>arise’;</w:t>
      </w:r>
    </w:p>
    <w:p>
      <w:pPr>
        <w:pStyle w:val="ListParagraph"/>
        <w:numPr>
          <w:ilvl w:val="1"/>
          <w:numId w:val="155"/>
        </w:numPr>
        <w:tabs>
          <w:tab w:pos="3092" w:val="left" w:leader="none"/>
          <w:tab w:pos="3093" w:val="left" w:leader="none"/>
        </w:tabs>
        <w:spacing w:line="235" w:lineRule="auto" w:before="1" w:after="0"/>
        <w:ind w:left="3118" w:right="2543" w:hanging="567"/>
        <w:jc w:val="left"/>
        <w:rPr>
          <w:sz w:val="20"/>
        </w:rPr>
      </w:pPr>
      <w:r>
        <w:rPr>
          <w:w w:val="120"/>
          <w:sz w:val="20"/>
        </w:rPr>
        <w:t>‘to fulfil the duties of your charge faithfully, to lead the church in worship, to preach the Word and administer the Sacraments, to exercise pastoral care and oversight, to take your </w:t>
      </w:r>
      <w:r>
        <w:rPr>
          <w:spacing w:val="2"/>
          <w:w w:val="120"/>
          <w:sz w:val="20"/>
        </w:rPr>
        <w:t>part </w:t>
      </w:r>
      <w:r>
        <w:rPr>
          <w:w w:val="120"/>
          <w:sz w:val="20"/>
        </w:rPr>
        <w:t>in the councils of the Church, and to give leadership to the church in its mission to the world;</w:t>
      </w:r>
      <w:r>
        <w:rPr>
          <w:spacing w:val="9"/>
          <w:w w:val="120"/>
          <w:sz w:val="20"/>
        </w:rPr>
        <w:t> </w:t>
      </w:r>
      <w:r>
        <w:rPr>
          <w:w w:val="120"/>
          <w:sz w:val="20"/>
        </w:rPr>
        <w:t>and</w:t>
      </w:r>
    </w:p>
    <w:p>
      <w:pPr>
        <w:pStyle w:val="ListParagraph"/>
        <w:numPr>
          <w:ilvl w:val="1"/>
          <w:numId w:val="155"/>
        </w:numPr>
        <w:tabs>
          <w:tab w:pos="3092" w:val="left" w:leader="none"/>
          <w:tab w:pos="3093" w:val="left" w:leader="none"/>
        </w:tabs>
        <w:spacing w:line="235" w:lineRule="auto" w:before="4" w:after="0"/>
        <w:ind w:left="3118" w:right="2803" w:hanging="567"/>
        <w:jc w:val="left"/>
        <w:rPr>
          <w:sz w:val="20"/>
        </w:rPr>
      </w:pPr>
      <w:r>
        <w:rPr>
          <w:w w:val="120"/>
          <w:sz w:val="20"/>
        </w:rPr>
        <w:t>as a minister of the United Reformed Church ‘to seek its well- being, purity and peace, to cherish love towards all other churches and to endeavour always to build up the one, </w:t>
      </w:r>
      <w:r>
        <w:rPr>
          <w:spacing w:val="-3"/>
          <w:w w:val="120"/>
          <w:sz w:val="20"/>
        </w:rPr>
        <w:t>holy, </w:t>
      </w:r>
      <w:r>
        <w:rPr>
          <w:w w:val="120"/>
          <w:sz w:val="20"/>
        </w:rPr>
        <w:t>catholic and apostolic</w:t>
      </w:r>
      <w:r>
        <w:rPr>
          <w:spacing w:val="9"/>
          <w:w w:val="120"/>
          <w:sz w:val="20"/>
        </w:rPr>
        <w:t> </w:t>
      </w:r>
      <w:r>
        <w:rPr>
          <w:spacing w:val="-4"/>
          <w:w w:val="120"/>
          <w:sz w:val="20"/>
        </w:rPr>
        <w:t>Church’.</w:t>
      </w:r>
    </w:p>
    <w:p>
      <w:pPr>
        <w:pStyle w:val="BodyText"/>
        <w:spacing w:before="6"/>
        <w:rPr>
          <w:sz w:val="18"/>
        </w:rPr>
      </w:pPr>
    </w:p>
    <w:p>
      <w:pPr>
        <w:numPr>
          <w:ilvl w:val="0"/>
          <w:numId w:val="155"/>
        </w:numPr>
        <w:tabs>
          <w:tab w:pos="2664" w:val="left" w:leader="none"/>
          <w:tab w:pos="2665" w:val="left" w:leader="none"/>
        </w:tabs>
        <w:spacing w:before="1"/>
        <w:ind w:left="2664" w:right="0" w:hanging="681"/>
        <w:jc w:val="left"/>
        <w:rPr>
          <w:rFonts w:ascii="Stone Sans II ITC Std Bk"/>
          <w:b/>
          <w:sz w:val="20"/>
        </w:rPr>
      </w:pPr>
      <w:r>
        <w:rPr>
          <w:rFonts w:ascii="Stone Sans II ITC Std Bk"/>
          <w:b/>
          <w:w w:val="110"/>
          <w:sz w:val="20"/>
        </w:rPr>
        <w:t>Standards of professional</w:t>
      </w:r>
      <w:r>
        <w:rPr>
          <w:rFonts w:ascii="Stone Sans II ITC Std Bk"/>
          <w:b/>
          <w:spacing w:val="-1"/>
          <w:w w:val="110"/>
          <w:sz w:val="20"/>
        </w:rPr>
        <w:t> </w:t>
      </w:r>
      <w:r>
        <w:rPr>
          <w:rFonts w:ascii="Stone Sans II ITC Std Bk"/>
          <w:b/>
          <w:w w:val="110"/>
          <w:sz w:val="20"/>
        </w:rPr>
        <w:t>behaviour</w:t>
      </w:r>
    </w:p>
    <w:p>
      <w:pPr>
        <w:tabs>
          <w:tab w:pos="2664" w:val="left" w:leader="none"/>
        </w:tabs>
        <w:spacing w:line="247" w:lineRule="exact" w:before="209"/>
        <w:ind w:left="1984" w:right="0" w:firstLine="0"/>
        <w:jc w:val="left"/>
        <w:rPr>
          <w:rFonts w:ascii="Stone Sans II ITC Std Bk"/>
          <w:b/>
          <w:i/>
          <w:sz w:val="20"/>
        </w:rPr>
      </w:pPr>
      <w:r>
        <w:rPr>
          <w:rFonts w:ascii="Stone Sans II ITC Std Bk"/>
          <w:b/>
          <w:i/>
          <w:w w:val="110"/>
          <w:sz w:val="20"/>
        </w:rPr>
        <w:t>3a</w:t>
        <w:tab/>
        <w:t>Personal integrity and</w:t>
      </w:r>
      <w:r>
        <w:rPr>
          <w:rFonts w:ascii="Stone Sans II ITC Std Bk"/>
          <w:b/>
          <w:i/>
          <w:spacing w:val="-3"/>
          <w:w w:val="110"/>
          <w:sz w:val="20"/>
        </w:rPr>
        <w:t> </w:t>
      </w:r>
      <w:r>
        <w:rPr>
          <w:rFonts w:ascii="Stone Sans II ITC Std Bk"/>
          <w:b/>
          <w:i/>
          <w:w w:val="110"/>
          <w:sz w:val="20"/>
        </w:rPr>
        <w:t>health</w:t>
      </w:r>
    </w:p>
    <w:p>
      <w:pPr>
        <w:pStyle w:val="ListParagraph"/>
        <w:numPr>
          <w:ilvl w:val="0"/>
          <w:numId w:val="156"/>
        </w:numPr>
        <w:tabs>
          <w:tab w:pos="2664" w:val="left" w:leader="none"/>
          <w:tab w:pos="2665" w:val="left" w:leader="none"/>
        </w:tabs>
        <w:spacing w:line="257" w:lineRule="exact" w:before="0" w:after="0"/>
        <w:ind w:left="2664" w:right="0" w:hanging="681"/>
        <w:jc w:val="left"/>
        <w:rPr>
          <w:sz w:val="20"/>
        </w:rPr>
      </w:pPr>
      <w:r>
        <w:rPr>
          <w:spacing w:val="-7"/>
          <w:w w:val="120"/>
          <w:sz w:val="20"/>
        </w:rPr>
        <w:t>To </w:t>
      </w:r>
      <w:r>
        <w:rPr>
          <w:w w:val="120"/>
          <w:sz w:val="20"/>
        </w:rPr>
        <w:t>live a Christian life as a person of prayer and</w:t>
      </w:r>
      <w:r>
        <w:rPr>
          <w:spacing w:val="28"/>
          <w:w w:val="120"/>
          <w:sz w:val="20"/>
        </w:rPr>
        <w:t> </w:t>
      </w:r>
      <w:r>
        <w:rPr>
          <w:w w:val="120"/>
          <w:sz w:val="20"/>
        </w:rPr>
        <w:t>integrity.</w:t>
      </w:r>
    </w:p>
    <w:p>
      <w:pPr>
        <w:pStyle w:val="ListParagraph"/>
        <w:numPr>
          <w:ilvl w:val="0"/>
          <w:numId w:val="156"/>
        </w:numPr>
        <w:tabs>
          <w:tab w:pos="2664" w:val="left" w:leader="none"/>
          <w:tab w:pos="2665" w:val="left" w:leader="none"/>
        </w:tabs>
        <w:spacing w:line="196" w:lineRule="auto" w:before="0" w:after="0"/>
        <w:ind w:left="2664" w:right="1910" w:hanging="681"/>
        <w:jc w:val="left"/>
        <w:rPr>
          <w:sz w:val="20"/>
        </w:rPr>
      </w:pPr>
      <w:r>
        <w:rPr>
          <w:spacing w:val="-7"/>
          <w:w w:val="120"/>
          <w:sz w:val="20"/>
        </w:rPr>
        <w:t>To </w:t>
      </w:r>
      <w:r>
        <w:rPr>
          <w:w w:val="120"/>
          <w:sz w:val="20"/>
        </w:rPr>
        <w:t>be aware of the need to have appropriate boundaries that safeguard personal health and welfare and which promote healthy relationships</w:t>
      </w:r>
      <w:r>
        <w:rPr>
          <w:spacing w:val="16"/>
          <w:w w:val="120"/>
          <w:sz w:val="20"/>
        </w:rPr>
        <w:t> </w:t>
      </w:r>
      <w:r>
        <w:rPr>
          <w:w w:val="120"/>
          <w:sz w:val="20"/>
        </w:rPr>
        <w:t>with</w:t>
      </w:r>
    </w:p>
    <w:p>
      <w:pPr>
        <w:pStyle w:val="BodyText"/>
        <w:spacing w:line="227" w:lineRule="exact" w:before="5"/>
        <w:ind w:left="2664"/>
      </w:pPr>
      <w:r>
        <w:rPr>
          <w:w w:val="120"/>
        </w:rPr>
        <w:t>others.</w:t>
      </w:r>
    </w:p>
    <w:p>
      <w:pPr>
        <w:pStyle w:val="ListParagraph"/>
        <w:numPr>
          <w:ilvl w:val="0"/>
          <w:numId w:val="156"/>
        </w:numPr>
        <w:tabs>
          <w:tab w:pos="2664" w:val="left" w:leader="none"/>
          <w:tab w:pos="2665" w:val="left" w:leader="none"/>
        </w:tabs>
        <w:spacing w:line="216" w:lineRule="auto" w:before="5" w:after="0"/>
        <w:ind w:left="2664" w:right="2307" w:hanging="681"/>
        <w:jc w:val="left"/>
        <w:rPr>
          <w:sz w:val="20"/>
        </w:rPr>
      </w:pPr>
      <w:r>
        <w:rPr>
          <w:spacing w:val="-7"/>
          <w:w w:val="120"/>
          <w:sz w:val="20"/>
        </w:rPr>
        <w:t>To </w:t>
      </w:r>
      <w:r>
        <w:rPr>
          <w:w w:val="120"/>
          <w:sz w:val="20"/>
        </w:rPr>
        <w:t>recognise the need for and have concern for a healthy lifestyle, to balance availability and accessibility to ministry demands with time for family and friends, personal renewal and rest and spiritual</w:t>
      </w:r>
      <w:r>
        <w:rPr>
          <w:spacing w:val="27"/>
          <w:w w:val="120"/>
          <w:sz w:val="20"/>
        </w:rPr>
        <w:t> </w:t>
      </w:r>
      <w:r>
        <w:rPr>
          <w:w w:val="120"/>
          <w:sz w:val="20"/>
        </w:rPr>
        <w:t>growth.</w:t>
      </w:r>
    </w:p>
    <w:p>
      <w:pPr>
        <w:pStyle w:val="ListParagraph"/>
        <w:numPr>
          <w:ilvl w:val="0"/>
          <w:numId w:val="156"/>
        </w:numPr>
        <w:tabs>
          <w:tab w:pos="2664" w:val="left" w:leader="none"/>
          <w:tab w:pos="2665" w:val="left" w:leader="none"/>
        </w:tabs>
        <w:spacing w:line="216" w:lineRule="auto" w:before="0" w:after="0"/>
        <w:ind w:left="2664" w:right="1958" w:hanging="681"/>
        <w:jc w:val="left"/>
        <w:rPr>
          <w:sz w:val="20"/>
        </w:rPr>
      </w:pPr>
      <w:r>
        <w:rPr>
          <w:spacing w:val="-7"/>
          <w:w w:val="120"/>
          <w:sz w:val="20"/>
        </w:rPr>
        <w:t>To </w:t>
      </w:r>
      <w:r>
        <w:rPr>
          <w:w w:val="120"/>
          <w:sz w:val="20"/>
        </w:rPr>
        <w:t>maintain strict confidentiality of all matters shared with them in confidence, except when required by law to do otherwise, eg with regard to the safety of</w:t>
      </w:r>
      <w:r>
        <w:rPr>
          <w:spacing w:val="7"/>
          <w:w w:val="120"/>
          <w:sz w:val="20"/>
        </w:rPr>
        <w:t> </w:t>
      </w:r>
      <w:r>
        <w:rPr>
          <w:w w:val="120"/>
          <w:sz w:val="20"/>
        </w:rPr>
        <w:t>children.</w:t>
      </w:r>
    </w:p>
    <w:p>
      <w:pPr>
        <w:pStyle w:val="ListParagraph"/>
        <w:numPr>
          <w:ilvl w:val="0"/>
          <w:numId w:val="156"/>
        </w:numPr>
        <w:tabs>
          <w:tab w:pos="2664" w:val="left" w:leader="none"/>
          <w:tab w:pos="2665" w:val="left" w:leader="none"/>
        </w:tabs>
        <w:spacing w:line="196" w:lineRule="auto" w:before="0" w:after="0"/>
        <w:ind w:left="2664" w:right="2042" w:hanging="681"/>
        <w:jc w:val="left"/>
        <w:rPr>
          <w:sz w:val="20"/>
        </w:rPr>
      </w:pPr>
      <w:r>
        <w:rPr>
          <w:spacing w:val="-7"/>
          <w:w w:val="120"/>
          <w:sz w:val="20"/>
        </w:rPr>
        <w:t>To </w:t>
      </w:r>
      <w:r>
        <w:rPr>
          <w:w w:val="120"/>
          <w:sz w:val="20"/>
        </w:rPr>
        <w:t>exercise care and sensitivity in seeking counsel from colleagues and to protect the identity of third parties unless permission has been</w:t>
      </w:r>
      <w:r>
        <w:rPr>
          <w:spacing w:val="41"/>
          <w:w w:val="120"/>
          <w:sz w:val="20"/>
        </w:rPr>
        <w:t> </w:t>
      </w:r>
      <w:r>
        <w:rPr>
          <w:w w:val="120"/>
          <w:sz w:val="20"/>
        </w:rPr>
        <w:t>granted.</w:t>
      </w:r>
    </w:p>
    <w:p>
      <w:pPr>
        <w:pStyle w:val="ListParagraph"/>
        <w:numPr>
          <w:ilvl w:val="0"/>
          <w:numId w:val="156"/>
        </w:numPr>
        <w:tabs>
          <w:tab w:pos="2664" w:val="left" w:leader="none"/>
          <w:tab w:pos="2665" w:val="left" w:leader="none"/>
        </w:tabs>
        <w:spacing w:line="196" w:lineRule="auto" w:before="16" w:after="0"/>
        <w:ind w:left="2664" w:right="1818" w:hanging="681"/>
        <w:jc w:val="left"/>
        <w:rPr>
          <w:sz w:val="20"/>
        </w:rPr>
      </w:pPr>
      <w:r>
        <w:rPr>
          <w:spacing w:val="-7"/>
          <w:w w:val="120"/>
          <w:sz w:val="20"/>
        </w:rPr>
        <w:t>To </w:t>
      </w:r>
      <w:r>
        <w:rPr>
          <w:w w:val="120"/>
          <w:sz w:val="20"/>
        </w:rPr>
        <w:t>attend meetings, respond to correspondence and keep appropriate records efficiently and effectively, having regard to the Data Protection</w:t>
      </w:r>
      <w:r>
        <w:rPr>
          <w:spacing w:val="20"/>
          <w:w w:val="120"/>
          <w:sz w:val="20"/>
        </w:rPr>
        <w:t> </w:t>
      </w:r>
      <w:r>
        <w:rPr>
          <w:w w:val="120"/>
          <w:sz w:val="20"/>
        </w:rPr>
        <w:t>Act.</w:t>
      </w:r>
    </w:p>
    <w:p>
      <w:pPr>
        <w:pStyle w:val="ListParagraph"/>
        <w:numPr>
          <w:ilvl w:val="0"/>
          <w:numId w:val="156"/>
        </w:numPr>
        <w:tabs>
          <w:tab w:pos="2664" w:val="left" w:leader="none"/>
          <w:tab w:pos="2665" w:val="left" w:leader="none"/>
        </w:tabs>
        <w:spacing w:line="257" w:lineRule="exact" w:before="0" w:after="0"/>
        <w:ind w:left="2664" w:right="0" w:hanging="681"/>
        <w:jc w:val="left"/>
        <w:rPr>
          <w:sz w:val="20"/>
        </w:rPr>
      </w:pPr>
      <w:r>
        <w:rPr>
          <w:spacing w:val="-7"/>
          <w:w w:val="120"/>
          <w:sz w:val="20"/>
        </w:rPr>
        <w:t>To </w:t>
      </w:r>
      <w:r>
        <w:rPr>
          <w:w w:val="120"/>
          <w:sz w:val="20"/>
        </w:rPr>
        <w:t>account carefully for expenses and any funds held on behalf of</w:t>
      </w:r>
      <w:r>
        <w:rPr>
          <w:spacing w:val="30"/>
          <w:w w:val="120"/>
          <w:sz w:val="20"/>
        </w:rPr>
        <w:t> </w:t>
      </w:r>
      <w:r>
        <w:rPr>
          <w:w w:val="120"/>
          <w:sz w:val="20"/>
        </w:rPr>
        <w:t>others.</w:t>
      </w:r>
    </w:p>
    <w:p>
      <w:pPr>
        <w:pStyle w:val="ListParagraph"/>
        <w:numPr>
          <w:ilvl w:val="0"/>
          <w:numId w:val="156"/>
        </w:numPr>
        <w:tabs>
          <w:tab w:pos="2664" w:val="left" w:leader="none"/>
          <w:tab w:pos="2665" w:val="left" w:leader="none"/>
        </w:tabs>
        <w:spacing w:line="196" w:lineRule="auto" w:before="0" w:after="0"/>
        <w:ind w:left="2664" w:right="2062" w:hanging="681"/>
        <w:jc w:val="left"/>
        <w:rPr>
          <w:sz w:val="20"/>
        </w:rPr>
      </w:pPr>
      <w:r>
        <w:rPr>
          <w:w w:val="120"/>
          <w:sz w:val="20"/>
        </w:rPr>
        <w:t>Not to undertake duties whilst under the influence of alcohol or drugs or when medically advised not to do</w:t>
      </w:r>
      <w:r>
        <w:rPr>
          <w:spacing w:val="15"/>
          <w:w w:val="120"/>
          <w:sz w:val="20"/>
        </w:rPr>
        <w:t> </w:t>
      </w:r>
      <w:r>
        <w:rPr>
          <w:w w:val="120"/>
          <w:sz w:val="20"/>
        </w:rPr>
        <w:t>so.</w:t>
      </w:r>
    </w:p>
    <w:p>
      <w:pPr>
        <w:pStyle w:val="BodyText"/>
      </w:pPr>
    </w:p>
    <w:p>
      <w:pPr>
        <w:pStyle w:val="BodyText"/>
        <w:spacing w:before="6"/>
        <w:rPr>
          <w:sz w:val="24"/>
        </w:rPr>
      </w:pPr>
    </w:p>
    <w:p>
      <w:pPr>
        <w:tabs>
          <w:tab w:pos="10630" w:val="left" w:leader="none"/>
        </w:tabs>
        <w:spacing w:before="97"/>
        <w:ind w:left="468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215</w:t>
      </w:r>
    </w:p>
    <w:p>
      <w:pPr>
        <w:spacing w:after="0"/>
        <w:jc w:val="left"/>
        <w:rPr>
          <w:rFonts w:ascii="Stone Sans II ITC Std X Bd" w:hAnsi="Stone Sans II ITC Std X Bd"/>
          <w:sz w:val="24"/>
        </w:rPr>
        <w:sectPr>
          <w:headerReference w:type="default" r:id="rId521"/>
          <w:footerReference w:type="default" r:id="rId522"/>
          <w:pgSz w:w="11910" w:h="16840"/>
          <w:pgMar w:header="0" w:footer="0" w:top="1100" w:bottom="280" w:left="0" w:right="0"/>
        </w:sectPr>
      </w:pP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a1bf37"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304384" filled="true" fillcolor="#d3de9d" stroked="false">
            <v:fill type="solid"/>
            <w10:wrap type="none"/>
          </v:rect>
        </w:pict>
      </w:r>
      <w:r>
        <w:rPr>
          <w:color w:val="A1BF37"/>
          <w:w w:val="115"/>
          <w:sz w:val="26"/>
        </w:rPr>
        <w:t>Appendix 3a</w:t>
      </w:r>
    </w:p>
    <w:p>
      <w:pPr>
        <w:pStyle w:val="ListParagraph"/>
        <w:numPr>
          <w:ilvl w:val="0"/>
          <w:numId w:val="157"/>
        </w:numPr>
        <w:tabs>
          <w:tab w:pos="1814" w:val="left" w:leader="none"/>
          <w:tab w:pos="1815" w:val="left" w:leader="none"/>
        </w:tabs>
        <w:spacing w:line="196" w:lineRule="auto" w:before="250" w:after="0"/>
        <w:ind w:left="1814" w:right="2295" w:hanging="681"/>
        <w:jc w:val="left"/>
        <w:rPr>
          <w:sz w:val="20"/>
        </w:rPr>
      </w:pPr>
      <w:r>
        <w:rPr/>
        <w:pict>
          <v:rect style="position:absolute;margin-left:12.047pt;margin-top:14.173555pt;width:22.677pt;height:22.677pt;mso-position-horizontal-relative:page;mso-position-vertical-relative:paragraph;z-index:252305408" filled="true" fillcolor="#e4ebc6" stroked="false">
            <v:fill opacity="32768f" type="solid"/>
            <w10:wrap type="none"/>
          </v:rect>
        </w:pict>
      </w:r>
      <w:r>
        <w:rPr>
          <w:spacing w:val="-8"/>
          <w:w w:val="115"/>
          <w:sz w:val="20"/>
        </w:rPr>
        <w:t>To </w:t>
      </w:r>
      <w:r>
        <w:rPr>
          <w:w w:val="115"/>
          <w:sz w:val="20"/>
        </w:rPr>
        <w:t>refrain from using privilege or power for personal advantage or gain, whether financial, emotional, sexual or</w:t>
      </w:r>
      <w:r>
        <w:rPr>
          <w:spacing w:val="17"/>
          <w:w w:val="115"/>
          <w:sz w:val="20"/>
        </w:rPr>
        <w:t> </w:t>
      </w:r>
      <w:r>
        <w:rPr>
          <w:w w:val="115"/>
          <w:sz w:val="20"/>
        </w:rPr>
        <w:t>material.</w:t>
      </w:r>
    </w:p>
    <w:p>
      <w:pPr>
        <w:pStyle w:val="ListParagraph"/>
        <w:numPr>
          <w:ilvl w:val="0"/>
          <w:numId w:val="157"/>
        </w:numPr>
        <w:tabs>
          <w:tab w:pos="1814" w:val="left" w:leader="none"/>
          <w:tab w:pos="1815" w:val="left" w:leader="none"/>
        </w:tabs>
        <w:spacing w:line="298" w:lineRule="exact" w:before="0" w:after="0"/>
        <w:ind w:left="1814" w:right="0" w:hanging="682"/>
        <w:jc w:val="left"/>
        <w:rPr>
          <w:sz w:val="20"/>
        </w:rPr>
      </w:pPr>
      <w:r>
        <w:rPr>
          <w:w w:val="120"/>
          <w:sz w:val="20"/>
        </w:rPr>
        <w:t>Not to do anything to undermine the spiritual health of</w:t>
      </w:r>
      <w:r>
        <w:rPr>
          <w:spacing w:val="3"/>
          <w:w w:val="120"/>
          <w:sz w:val="20"/>
        </w:rPr>
        <w:t> </w:t>
      </w:r>
      <w:r>
        <w:rPr>
          <w:w w:val="120"/>
          <w:sz w:val="20"/>
        </w:rPr>
        <w:t>another.</w:t>
      </w:r>
    </w:p>
    <w:p>
      <w:pPr>
        <w:tabs>
          <w:tab w:pos="1814" w:val="left" w:leader="none"/>
        </w:tabs>
        <w:spacing w:line="261" w:lineRule="exact" w:before="176"/>
        <w:ind w:left="1133" w:right="0" w:firstLine="0"/>
        <w:jc w:val="left"/>
        <w:rPr>
          <w:rFonts w:ascii="Stone Sans II ITC Std Bk"/>
          <w:b/>
          <w:i/>
          <w:sz w:val="20"/>
        </w:rPr>
      </w:pPr>
      <w:r>
        <w:rPr>
          <w:rFonts w:ascii="Stone Sans II ITC Std Bk"/>
          <w:b/>
          <w:i/>
          <w:w w:val="110"/>
          <w:sz w:val="20"/>
        </w:rPr>
        <w:t>3b</w:t>
        <w:tab/>
        <w:t>Relationships with ministerial</w:t>
      </w:r>
      <w:r>
        <w:rPr>
          <w:rFonts w:ascii="Stone Sans II ITC Std Bk"/>
          <w:b/>
          <w:i/>
          <w:spacing w:val="-3"/>
          <w:w w:val="110"/>
          <w:sz w:val="20"/>
        </w:rPr>
        <w:t> </w:t>
      </w:r>
      <w:r>
        <w:rPr>
          <w:rFonts w:ascii="Stone Sans II ITC Std Bk"/>
          <w:b/>
          <w:i/>
          <w:w w:val="110"/>
          <w:sz w:val="20"/>
        </w:rPr>
        <w:t>colleagues</w:t>
      </w:r>
    </w:p>
    <w:p>
      <w:pPr>
        <w:pStyle w:val="BodyText"/>
        <w:spacing w:line="218" w:lineRule="exact"/>
        <w:ind w:left="1133"/>
      </w:pPr>
      <w:r>
        <w:rPr>
          <w:w w:val="120"/>
        </w:rPr>
        <w:t>All ministers:</w:t>
      </w:r>
    </w:p>
    <w:p>
      <w:pPr>
        <w:pStyle w:val="ListParagraph"/>
        <w:numPr>
          <w:ilvl w:val="0"/>
          <w:numId w:val="157"/>
        </w:numPr>
        <w:tabs>
          <w:tab w:pos="1814" w:val="left" w:leader="none"/>
          <w:tab w:pos="1815" w:val="left" w:leader="none"/>
        </w:tabs>
        <w:spacing w:line="196" w:lineRule="auto" w:before="22" w:after="0"/>
        <w:ind w:left="1814" w:right="2716" w:hanging="681"/>
        <w:jc w:val="left"/>
        <w:rPr>
          <w:sz w:val="20"/>
        </w:rPr>
      </w:pPr>
      <w:r>
        <w:rPr>
          <w:spacing w:val="-8"/>
          <w:w w:val="115"/>
          <w:sz w:val="20"/>
        </w:rPr>
        <w:t>To </w:t>
      </w:r>
      <w:r>
        <w:rPr>
          <w:w w:val="115"/>
          <w:sz w:val="20"/>
        </w:rPr>
        <w:t>strive to protect colleagues from prejudicial discrimination on the basis of gender, race, age, disability or sexual</w:t>
      </w:r>
      <w:r>
        <w:rPr>
          <w:spacing w:val="36"/>
          <w:w w:val="115"/>
          <w:sz w:val="20"/>
        </w:rPr>
        <w:t> </w:t>
      </w:r>
      <w:r>
        <w:rPr>
          <w:w w:val="115"/>
          <w:sz w:val="20"/>
        </w:rPr>
        <w:t>orientation.</w:t>
      </w:r>
    </w:p>
    <w:p>
      <w:pPr>
        <w:pStyle w:val="ListParagraph"/>
        <w:numPr>
          <w:ilvl w:val="0"/>
          <w:numId w:val="157"/>
        </w:numPr>
        <w:tabs>
          <w:tab w:pos="1814" w:val="left" w:leader="none"/>
          <w:tab w:pos="1815" w:val="left" w:leader="none"/>
        </w:tabs>
        <w:spacing w:line="216" w:lineRule="auto" w:before="0" w:after="0"/>
        <w:ind w:left="1814" w:right="2027" w:hanging="681"/>
        <w:jc w:val="left"/>
        <w:rPr>
          <w:sz w:val="20"/>
        </w:rPr>
      </w:pPr>
      <w:r>
        <w:rPr>
          <w:spacing w:val="-8"/>
          <w:w w:val="115"/>
          <w:sz w:val="20"/>
        </w:rPr>
        <w:t>To </w:t>
      </w:r>
      <w:r>
        <w:rPr>
          <w:w w:val="115"/>
          <w:sz w:val="20"/>
        </w:rPr>
        <w:t>consider very carefully taking any position of responsibility in a pastorate served  by another minister and to support the direction of church life initiated through the leadership of the</w:t>
      </w:r>
      <w:r>
        <w:rPr>
          <w:spacing w:val="13"/>
          <w:w w:val="115"/>
          <w:sz w:val="20"/>
        </w:rPr>
        <w:t> </w:t>
      </w:r>
      <w:r>
        <w:rPr>
          <w:w w:val="115"/>
          <w:sz w:val="20"/>
        </w:rPr>
        <w:t>pastorate.</w:t>
      </w:r>
    </w:p>
    <w:p>
      <w:pPr>
        <w:pStyle w:val="ListParagraph"/>
        <w:numPr>
          <w:ilvl w:val="0"/>
          <w:numId w:val="157"/>
        </w:numPr>
        <w:tabs>
          <w:tab w:pos="1814" w:val="left" w:leader="none"/>
          <w:tab w:pos="1815" w:val="left" w:leader="none"/>
        </w:tabs>
        <w:spacing w:line="196" w:lineRule="auto" w:before="7" w:after="0"/>
        <w:ind w:left="1814" w:right="2560" w:hanging="681"/>
        <w:jc w:val="left"/>
        <w:rPr>
          <w:sz w:val="20"/>
        </w:rPr>
      </w:pPr>
      <w:r>
        <w:rPr>
          <w:spacing w:val="-8"/>
          <w:w w:val="115"/>
          <w:sz w:val="20"/>
        </w:rPr>
        <w:t>To </w:t>
      </w:r>
      <w:r>
        <w:rPr>
          <w:w w:val="115"/>
          <w:sz w:val="20"/>
        </w:rPr>
        <w:t>respect the work of predecessors and successors and deal honourably with their</w:t>
      </w:r>
      <w:r>
        <w:rPr>
          <w:spacing w:val="4"/>
          <w:w w:val="115"/>
          <w:sz w:val="20"/>
        </w:rPr>
        <w:t> </w:t>
      </w:r>
      <w:r>
        <w:rPr>
          <w:w w:val="115"/>
          <w:sz w:val="20"/>
        </w:rPr>
        <w:t>record.</w:t>
      </w:r>
    </w:p>
    <w:p>
      <w:pPr>
        <w:pStyle w:val="ListParagraph"/>
        <w:numPr>
          <w:ilvl w:val="0"/>
          <w:numId w:val="157"/>
        </w:numPr>
        <w:tabs>
          <w:tab w:pos="1814" w:val="left" w:leader="none"/>
          <w:tab w:pos="1815" w:val="left" w:leader="none"/>
        </w:tabs>
        <w:spacing w:line="196" w:lineRule="auto" w:before="16" w:after="0"/>
        <w:ind w:left="1814" w:right="2159" w:hanging="681"/>
        <w:jc w:val="left"/>
        <w:rPr>
          <w:sz w:val="20"/>
        </w:rPr>
      </w:pPr>
      <w:r>
        <w:rPr>
          <w:spacing w:val="-7"/>
          <w:w w:val="120"/>
          <w:sz w:val="20"/>
        </w:rPr>
        <w:t>To </w:t>
      </w:r>
      <w:r>
        <w:rPr>
          <w:w w:val="120"/>
          <w:sz w:val="20"/>
        </w:rPr>
        <w:t>consider carefully the location of retirement housing and </w:t>
      </w:r>
      <w:r>
        <w:rPr>
          <w:spacing w:val="3"/>
          <w:w w:val="120"/>
          <w:sz w:val="20"/>
        </w:rPr>
        <w:t>try </w:t>
      </w:r>
      <w:r>
        <w:rPr>
          <w:w w:val="120"/>
          <w:sz w:val="20"/>
        </w:rPr>
        <w:t>to avoid living in the immediate area of past</w:t>
      </w:r>
      <w:r>
        <w:rPr>
          <w:spacing w:val="6"/>
          <w:w w:val="120"/>
          <w:sz w:val="20"/>
        </w:rPr>
        <w:t> </w:t>
      </w:r>
      <w:r>
        <w:rPr>
          <w:w w:val="120"/>
          <w:sz w:val="20"/>
        </w:rPr>
        <w:t>pastorates.</w:t>
      </w:r>
    </w:p>
    <w:p>
      <w:pPr>
        <w:pStyle w:val="BodyText"/>
        <w:spacing w:before="2"/>
      </w:pPr>
    </w:p>
    <w:p>
      <w:pPr>
        <w:pStyle w:val="BodyText"/>
        <w:spacing w:line="227" w:lineRule="exact"/>
        <w:ind w:left="1133"/>
      </w:pPr>
      <w:r>
        <w:rPr>
          <w:w w:val="120"/>
        </w:rPr>
        <w:t>Ministers in pastoral charge:</w:t>
      </w:r>
    </w:p>
    <w:p>
      <w:pPr>
        <w:pStyle w:val="ListParagraph"/>
        <w:numPr>
          <w:ilvl w:val="0"/>
          <w:numId w:val="157"/>
        </w:numPr>
        <w:tabs>
          <w:tab w:pos="1814" w:val="left" w:leader="none"/>
          <w:tab w:pos="1815" w:val="left" w:leader="none"/>
        </w:tabs>
        <w:spacing w:line="196" w:lineRule="auto" w:before="23" w:after="0"/>
        <w:ind w:left="1814" w:right="2426" w:hanging="681"/>
        <w:jc w:val="left"/>
        <w:rPr>
          <w:sz w:val="20"/>
        </w:rPr>
      </w:pPr>
      <w:r>
        <w:rPr>
          <w:spacing w:val="-8"/>
          <w:w w:val="115"/>
          <w:sz w:val="20"/>
        </w:rPr>
        <w:t>To </w:t>
      </w:r>
      <w:r>
        <w:rPr>
          <w:w w:val="115"/>
          <w:sz w:val="20"/>
        </w:rPr>
        <w:t>support the ministry of other ministers and not interfere with the conduct of ministry or the direction of church life of other pastorates.</w:t>
      </w:r>
    </w:p>
    <w:p>
      <w:pPr>
        <w:pStyle w:val="ListParagraph"/>
        <w:numPr>
          <w:ilvl w:val="0"/>
          <w:numId w:val="157"/>
        </w:numPr>
        <w:tabs>
          <w:tab w:pos="1814" w:val="left" w:leader="none"/>
          <w:tab w:pos="1815" w:val="left" w:leader="none"/>
        </w:tabs>
        <w:spacing w:line="196" w:lineRule="auto" w:before="16" w:after="0"/>
        <w:ind w:left="1814" w:right="2465" w:hanging="681"/>
        <w:jc w:val="left"/>
        <w:rPr>
          <w:sz w:val="20"/>
        </w:rPr>
      </w:pPr>
      <w:r>
        <w:rPr>
          <w:spacing w:val="-8"/>
          <w:w w:val="115"/>
          <w:sz w:val="20"/>
        </w:rPr>
        <w:t>To </w:t>
      </w:r>
      <w:r>
        <w:rPr>
          <w:w w:val="115"/>
          <w:sz w:val="20"/>
        </w:rPr>
        <w:t>sever all professional ties with a previous pastorate and refer any requests or enquires</w:t>
      </w:r>
      <w:r>
        <w:rPr>
          <w:spacing w:val="8"/>
          <w:w w:val="115"/>
          <w:sz w:val="20"/>
        </w:rPr>
        <w:t> </w:t>
      </w:r>
      <w:r>
        <w:rPr>
          <w:w w:val="115"/>
          <w:sz w:val="20"/>
        </w:rPr>
        <w:t>of</w:t>
      </w:r>
      <w:r>
        <w:rPr>
          <w:spacing w:val="8"/>
          <w:w w:val="115"/>
          <w:sz w:val="20"/>
        </w:rPr>
        <w:t> </w:t>
      </w:r>
      <w:r>
        <w:rPr>
          <w:w w:val="115"/>
          <w:sz w:val="20"/>
        </w:rPr>
        <w:t>previous</w:t>
      </w:r>
      <w:r>
        <w:rPr>
          <w:spacing w:val="8"/>
          <w:w w:val="115"/>
          <w:sz w:val="20"/>
        </w:rPr>
        <w:t> </w:t>
      </w:r>
      <w:r>
        <w:rPr>
          <w:w w:val="115"/>
          <w:sz w:val="20"/>
        </w:rPr>
        <w:t>pastorates</w:t>
      </w:r>
      <w:r>
        <w:rPr>
          <w:spacing w:val="9"/>
          <w:w w:val="115"/>
          <w:sz w:val="20"/>
        </w:rPr>
        <w:t> </w:t>
      </w:r>
      <w:r>
        <w:rPr>
          <w:w w:val="115"/>
          <w:sz w:val="20"/>
        </w:rPr>
        <w:t>to</w:t>
      </w:r>
      <w:r>
        <w:rPr>
          <w:spacing w:val="8"/>
          <w:w w:val="115"/>
          <w:sz w:val="20"/>
        </w:rPr>
        <w:t> </w:t>
      </w:r>
      <w:r>
        <w:rPr>
          <w:w w:val="115"/>
          <w:sz w:val="20"/>
        </w:rPr>
        <w:t>the</w:t>
      </w:r>
      <w:r>
        <w:rPr>
          <w:spacing w:val="8"/>
          <w:w w:val="115"/>
          <w:sz w:val="20"/>
        </w:rPr>
        <w:t> </w:t>
      </w:r>
      <w:r>
        <w:rPr>
          <w:w w:val="115"/>
          <w:sz w:val="20"/>
        </w:rPr>
        <w:t>interim</w:t>
      </w:r>
      <w:r>
        <w:rPr>
          <w:spacing w:val="9"/>
          <w:w w:val="115"/>
          <w:sz w:val="20"/>
        </w:rPr>
        <w:t> </w:t>
      </w:r>
      <w:r>
        <w:rPr>
          <w:w w:val="115"/>
          <w:sz w:val="20"/>
        </w:rPr>
        <w:t>moderator</w:t>
      </w:r>
      <w:r>
        <w:rPr>
          <w:spacing w:val="8"/>
          <w:w w:val="115"/>
          <w:sz w:val="20"/>
        </w:rPr>
        <w:t> </w:t>
      </w:r>
      <w:r>
        <w:rPr>
          <w:w w:val="115"/>
          <w:sz w:val="20"/>
        </w:rPr>
        <w:t>or</w:t>
      </w:r>
      <w:r>
        <w:rPr>
          <w:spacing w:val="8"/>
          <w:w w:val="115"/>
          <w:sz w:val="20"/>
        </w:rPr>
        <w:t> </w:t>
      </w:r>
      <w:r>
        <w:rPr>
          <w:w w:val="115"/>
          <w:sz w:val="20"/>
        </w:rPr>
        <w:t>new</w:t>
      </w:r>
      <w:r>
        <w:rPr>
          <w:spacing w:val="9"/>
          <w:w w:val="115"/>
          <w:sz w:val="20"/>
        </w:rPr>
        <w:t> </w:t>
      </w:r>
      <w:r>
        <w:rPr>
          <w:spacing w:val="-3"/>
          <w:w w:val="115"/>
          <w:sz w:val="20"/>
        </w:rPr>
        <w:t>minister.</w:t>
      </w:r>
    </w:p>
    <w:p>
      <w:pPr>
        <w:pStyle w:val="ListParagraph"/>
        <w:numPr>
          <w:ilvl w:val="0"/>
          <w:numId w:val="157"/>
        </w:numPr>
        <w:tabs>
          <w:tab w:pos="1814" w:val="left" w:leader="none"/>
          <w:tab w:pos="1815" w:val="left" w:leader="none"/>
        </w:tabs>
        <w:spacing w:line="196" w:lineRule="auto" w:before="16" w:after="0"/>
        <w:ind w:left="1814" w:right="2322" w:hanging="681"/>
        <w:jc w:val="left"/>
        <w:rPr>
          <w:sz w:val="20"/>
        </w:rPr>
      </w:pPr>
      <w:r>
        <w:rPr>
          <w:spacing w:val="-7"/>
          <w:w w:val="120"/>
          <w:sz w:val="20"/>
        </w:rPr>
        <w:t>To </w:t>
      </w:r>
      <w:r>
        <w:rPr>
          <w:w w:val="120"/>
          <w:sz w:val="20"/>
        </w:rPr>
        <w:t>welcome retired colleagues and those ministers serving the wider church as members and worshippers in the</w:t>
      </w:r>
      <w:r>
        <w:rPr>
          <w:spacing w:val="10"/>
          <w:w w:val="120"/>
          <w:sz w:val="20"/>
        </w:rPr>
        <w:t> </w:t>
      </w:r>
      <w:r>
        <w:rPr>
          <w:w w:val="120"/>
          <w:sz w:val="20"/>
        </w:rPr>
        <w:t>pastorate.</w:t>
      </w:r>
    </w:p>
    <w:p>
      <w:pPr>
        <w:pStyle w:val="BodyText"/>
        <w:spacing w:before="1"/>
        <w:rPr>
          <w:sz w:val="19"/>
        </w:rPr>
      </w:pPr>
    </w:p>
    <w:p>
      <w:pPr>
        <w:tabs>
          <w:tab w:pos="1814" w:val="left" w:leader="none"/>
        </w:tabs>
        <w:spacing w:line="246" w:lineRule="exact" w:before="0"/>
        <w:ind w:left="1133" w:right="0" w:firstLine="0"/>
        <w:jc w:val="left"/>
        <w:rPr>
          <w:rFonts w:ascii="Stone Sans II ITC Std Bk"/>
          <w:b/>
          <w:i/>
          <w:sz w:val="20"/>
        </w:rPr>
      </w:pPr>
      <w:r>
        <w:rPr>
          <w:rFonts w:ascii="Stone Sans II ITC Std Bk"/>
          <w:b/>
          <w:i/>
          <w:w w:val="110"/>
          <w:sz w:val="20"/>
        </w:rPr>
        <w:t>3c</w:t>
        <w:tab/>
        <w:t>Relationship with elders, members and</w:t>
      </w:r>
      <w:r>
        <w:rPr>
          <w:rFonts w:ascii="Stone Sans II ITC Std Bk"/>
          <w:b/>
          <w:i/>
          <w:spacing w:val="-4"/>
          <w:w w:val="110"/>
          <w:sz w:val="20"/>
        </w:rPr>
        <w:t> </w:t>
      </w:r>
      <w:r>
        <w:rPr>
          <w:rFonts w:ascii="Stone Sans II ITC Std Bk"/>
          <w:b/>
          <w:i/>
          <w:w w:val="110"/>
          <w:sz w:val="20"/>
        </w:rPr>
        <w:t>others</w:t>
      </w:r>
    </w:p>
    <w:p>
      <w:pPr>
        <w:pStyle w:val="ListParagraph"/>
        <w:numPr>
          <w:ilvl w:val="0"/>
          <w:numId w:val="157"/>
        </w:numPr>
        <w:tabs>
          <w:tab w:pos="1814" w:val="left" w:leader="none"/>
          <w:tab w:pos="1815" w:val="left" w:leader="none"/>
        </w:tabs>
        <w:spacing w:line="257" w:lineRule="exact" w:before="0" w:after="0"/>
        <w:ind w:left="1814" w:right="0" w:hanging="682"/>
        <w:jc w:val="left"/>
        <w:rPr>
          <w:sz w:val="20"/>
        </w:rPr>
      </w:pPr>
      <w:r>
        <w:rPr>
          <w:spacing w:val="-7"/>
          <w:w w:val="120"/>
          <w:sz w:val="20"/>
        </w:rPr>
        <w:t>To  </w:t>
      </w:r>
      <w:r>
        <w:rPr>
          <w:w w:val="120"/>
          <w:sz w:val="20"/>
        </w:rPr>
        <w:t>regard all persons with equal love and</w:t>
      </w:r>
      <w:r>
        <w:rPr>
          <w:spacing w:val="20"/>
          <w:w w:val="120"/>
          <w:sz w:val="20"/>
        </w:rPr>
        <w:t> </w:t>
      </w:r>
      <w:r>
        <w:rPr>
          <w:w w:val="120"/>
          <w:sz w:val="20"/>
        </w:rPr>
        <w:t>concern.</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uphold values of faithfulness, trust and</w:t>
      </w:r>
      <w:r>
        <w:rPr>
          <w:spacing w:val="28"/>
          <w:w w:val="120"/>
          <w:sz w:val="20"/>
        </w:rPr>
        <w:t> </w:t>
      </w:r>
      <w:r>
        <w:rPr>
          <w:w w:val="120"/>
          <w:sz w:val="20"/>
        </w:rPr>
        <w:t>respect.</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share leadership and pastoral care with others called to these</w:t>
      </w:r>
      <w:r>
        <w:rPr>
          <w:spacing w:val="28"/>
          <w:w w:val="120"/>
          <w:sz w:val="20"/>
        </w:rPr>
        <w:t> </w:t>
      </w:r>
      <w:r>
        <w:rPr>
          <w:w w:val="120"/>
          <w:sz w:val="20"/>
        </w:rPr>
        <w:t>purposes.</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w w:val="120"/>
          <w:sz w:val="20"/>
        </w:rPr>
        <w:t>Not to seek to influence inappropriately a pastorate in the call of a new</w:t>
      </w:r>
      <w:r>
        <w:rPr>
          <w:spacing w:val="13"/>
          <w:w w:val="120"/>
          <w:sz w:val="20"/>
        </w:rPr>
        <w:t> </w:t>
      </w:r>
      <w:r>
        <w:rPr>
          <w:w w:val="120"/>
          <w:sz w:val="20"/>
        </w:rPr>
        <w:t>minister.</w:t>
      </w:r>
    </w:p>
    <w:p>
      <w:pPr>
        <w:pStyle w:val="ListParagraph"/>
        <w:numPr>
          <w:ilvl w:val="0"/>
          <w:numId w:val="157"/>
        </w:numPr>
        <w:tabs>
          <w:tab w:pos="1814" w:val="left" w:leader="none"/>
          <w:tab w:pos="1815" w:val="left" w:leader="none"/>
        </w:tabs>
        <w:spacing w:line="196" w:lineRule="auto" w:before="0" w:after="0"/>
        <w:ind w:left="1814" w:right="2388" w:hanging="681"/>
        <w:jc w:val="left"/>
        <w:rPr>
          <w:sz w:val="20"/>
        </w:rPr>
      </w:pPr>
      <w:r>
        <w:rPr>
          <w:spacing w:val="-7"/>
          <w:w w:val="120"/>
          <w:sz w:val="20"/>
        </w:rPr>
        <w:t>To </w:t>
      </w:r>
      <w:r>
        <w:rPr>
          <w:w w:val="120"/>
          <w:sz w:val="20"/>
        </w:rPr>
        <w:t>work collaboratively and safeguard the contribution of the whole church in decision-making</w:t>
      </w:r>
      <w:r>
        <w:rPr>
          <w:spacing w:val="2"/>
          <w:w w:val="120"/>
          <w:sz w:val="20"/>
        </w:rPr>
        <w:t> </w:t>
      </w:r>
      <w:r>
        <w:rPr>
          <w:w w:val="120"/>
          <w:sz w:val="20"/>
        </w:rPr>
        <w:t>processes.</w:t>
      </w:r>
    </w:p>
    <w:p>
      <w:pPr>
        <w:pStyle w:val="ListParagraph"/>
        <w:numPr>
          <w:ilvl w:val="0"/>
          <w:numId w:val="157"/>
        </w:numPr>
        <w:tabs>
          <w:tab w:pos="1814" w:val="left" w:leader="none"/>
          <w:tab w:pos="1815" w:val="left" w:leader="none"/>
        </w:tabs>
        <w:spacing w:line="196" w:lineRule="auto" w:before="15" w:after="0"/>
        <w:ind w:left="1814" w:right="2431" w:hanging="681"/>
        <w:jc w:val="left"/>
        <w:rPr>
          <w:sz w:val="20"/>
        </w:rPr>
      </w:pPr>
      <w:r>
        <w:rPr>
          <w:spacing w:val="-7"/>
          <w:w w:val="120"/>
          <w:sz w:val="20"/>
        </w:rPr>
        <w:t>To </w:t>
      </w:r>
      <w:r>
        <w:rPr>
          <w:w w:val="120"/>
          <w:sz w:val="20"/>
        </w:rPr>
        <w:t>seek advice from colleagues or other professionals who may offer specialist advice if in doubt about </w:t>
      </w:r>
      <w:r>
        <w:rPr>
          <w:spacing w:val="-3"/>
          <w:w w:val="120"/>
          <w:sz w:val="20"/>
        </w:rPr>
        <w:t>one’s </w:t>
      </w:r>
      <w:r>
        <w:rPr>
          <w:w w:val="120"/>
          <w:sz w:val="20"/>
        </w:rPr>
        <w:t>competence to deal with any issue or</w:t>
      </w:r>
      <w:r>
        <w:rPr>
          <w:spacing w:val="44"/>
          <w:w w:val="120"/>
          <w:sz w:val="20"/>
        </w:rPr>
        <w:t> </w:t>
      </w:r>
      <w:r>
        <w:rPr>
          <w:w w:val="120"/>
          <w:sz w:val="20"/>
        </w:rPr>
        <w:t>situation.</w:t>
      </w:r>
    </w:p>
    <w:p>
      <w:pPr>
        <w:pStyle w:val="ListParagraph"/>
        <w:numPr>
          <w:ilvl w:val="0"/>
          <w:numId w:val="157"/>
        </w:numPr>
        <w:tabs>
          <w:tab w:pos="1814" w:val="left" w:leader="none"/>
          <w:tab w:pos="1815" w:val="left" w:leader="none"/>
        </w:tabs>
        <w:spacing w:line="196" w:lineRule="auto" w:before="16" w:after="0"/>
        <w:ind w:left="1814" w:right="2346" w:hanging="681"/>
        <w:jc w:val="left"/>
        <w:rPr>
          <w:sz w:val="20"/>
        </w:rPr>
      </w:pPr>
      <w:r>
        <w:rPr>
          <w:spacing w:val="-7"/>
          <w:w w:val="120"/>
          <w:sz w:val="20"/>
        </w:rPr>
        <w:t>To </w:t>
      </w:r>
      <w:r>
        <w:rPr>
          <w:w w:val="120"/>
          <w:sz w:val="20"/>
        </w:rPr>
        <w:t>consult with colleagues, elders and others as appropriate when considering taking on </w:t>
      </w:r>
      <w:r>
        <w:rPr>
          <w:spacing w:val="2"/>
          <w:w w:val="120"/>
          <w:sz w:val="20"/>
        </w:rPr>
        <w:t>extra</w:t>
      </w:r>
      <w:r>
        <w:rPr>
          <w:spacing w:val="6"/>
          <w:w w:val="120"/>
          <w:sz w:val="20"/>
        </w:rPr>
        <w:t> </w:t>
      </w:r>
      <w:r>
        <w:rPr>
          <w:w w:val="120"/>
          <w:sz w:val="20"/>
        </w:rPr>
        <w:t>work.</w:t>
      </w:r>
    </w:p>
    <w:p>
      <w:pPr>
        <w:pStyle w:val="ListParagraph"/>
        <w:numPr>
          <w:ilvl w:val="0"/>
          <w:numId w:val="157"/>
        </w:numPr>
        <w:tabs>
          <w:tab w:pos="1814" w:val="left" w:leader="none"/>
          <w:tab w:pos="1815" w:val="left" w:leader="none"/>
        </w:tabs>
        <w:spacing w:line="196" w:lineRule="auto" w:before="16" w:after="0"/>
        <w:ind w:left="1814" w:right="2615" w:hanging="681"/>
        <w:jc w:val="left"/>
        <w:rPr>
          <w:sz w:val="20"/>
        </w:rPr>
      </w:pPr>
      <w:r>
        <w:rPr>
          <w:spacing w:val="-7"/>
          <w:w w:val="120"/>
          <w:sz w:val="20"/>
        </w:rPr>
        <w:t>To </w:t>
      </w:r>
      <w:r>
        <w:rPr>
          <w:w w:val="120"/>
          <w:sz w:val="20"/>
        </w:rPr>
        <w:t>observe proper boundaries in relationships and not to enter into a sexual relationship with anyone in their</w:t>
      </w:r>
      <w:r>
        <w:rPr>
          <w:spacing w:val="9"/>
          <w:w w:val="120"/>
          <w:sz w:val="20"/>
        </w:rPr>
        <w:t> </w:t>
      </w:r>
      <w:r>
        <w:rPr>
          <w:w w:val="120"/>
          <w:sz w:val="20"/>
        </w:rPr>
        <w:t>care.</w:t>
      </w:r>
    </w:p>
    <w:p>
      <w:pPr>
        <w:pStyle w:val="ListParagraph"/>
        <w:numPr>
          <w:ilvl w:val="0"/>
          <w:numId w:val="157"/>
        </w:numPr>
        <w:tabs>
          <w:tab w:pos="1814" w:val="left" w:leader="none"/>
          <w:tab w:pos="1815" w:val="left" w:leader="none"/>
        </w:tabs>
        <w:spacing w:line="196" w:lineRule="auto" w:before="16" w:after="0"/>
        <w:ind w:left="1814" w:right="2059" w:hanging="681"/>
        <w:jc w:val="left"/>
        <w:rPr>
          <w:sz w:val="20"/>
        </w:rPr>
      </w:pPr>
      <w:r>
        <w:rPr>
          <w:w w:val="120"/>
          <w:sz w:val="20"/>
        </w:rPr>
        <w:t>Not to be alone with a child or children or young people in a place quite separate from</w:t>
      </w:r>
      <w:r>
        <w:rPr>
          <w:spacing w:val="1"/>
          <w:w w:val="120"/>
          <w:sz w:val="20"/>
        </w:rPr>
        <w:t> </w:t>
      </w:r>
      <w:r>
        <w:rPr>
          <w:w w:val="120"/>
          <w:sz w:val="20"/>
        </w:rPr>
        <w:t>others.</w:t>
      </w:r>
    </w:p>
    <w:p>
      <w:pPr>
        <w:pStyle w:val="BodyText"/>
        <w:spacing w:before="1"/>
        <w:rPr>
          <w:sz w:val="19"/>
        </w:rPr>
      </w:pPr>
    </w:p>
    <w:p>
      <w:pPr>
        <w:tabs>
          <w:tab w:pos="1814" w:val="left" w:leader="none"/>
        </w:tabs>
        <w:spacing w:line="246" w:lineRule="exact" w:before="1"/>
        <w:ind w:left="1133" w:right="0" w:firstLine="0"/>
        <w:jc w:val="left"/>
        <w:rPr>
          <w:rFonts w:ascii="Stone Sans II ITC Std Bk"/>
          <w:b/>
          <w:i/>
          <w:sz w:val="20"/>
        </w:rPr>
      </w:pPr>
      <w:r>
        <w:rPr>
          <w:rFonts w:ascii="Stone Sans II ITC Std Bk"/>
          <w:b/>
          <w:i/>
          <w:w w:val="110"/>
          <w:sz w:val="20"/>
        </w:rPr>
        <w:t>3d</w:t>
        <w:tab/>
        <w:t>Relationship with Councils of the</w:t>
      </w:r>
      <w:r>
        <w:rPr>
          <w:rFonts w:ascii="Stone Sans II ITC Std Bk"/>
          <w:b/>
          <w:i/>
          <w:spacing w:val="-5"/>
          <w:w w:val="110"/>
          <w:sz w:val="20"/>
        </w:rPr>
        <w:t> </w:t>
      </w:r>
      <w:r>
        <w:rPr>
          <w:rFonts w:ascii="Stone Sans II ITC Std Bk"/>
          <w:b/>
          <w:i/>
          <w:w w:val="110"/>
          <w:sz w:val="20"/>
        </w:rPr>
        <w:t>Church</w:t>
      </w:r>
    </w:p>
    <w:p>
      <w:pPr>
        <w:pStyle w:val="ListParagraph"/>
        <w:numPr>
          <w:ilvl w:val="0"/>
          <w:numId w:val="157"/>
        </w:numPr>
        <w:tabs>
          <w:tab w:pos="1814" w:val="left" w:leader="none"/>
          <w:tab w:pos="1815" w:val="left" w:leader="none"/>
        </w:tabs>
        <w:spacing w:line="257" w:lineRule="exact" w:before="0" w:after="0"/>
        <w:ind w:left="1814" w:right="0" w:hanging="682"/>
        <w:jc w:val="left"/>
        <w:rPr>
          <w:sz w:val="20"/>
        </w:rPr>
      </w:pPr>
      <w:r>
        <w:rPr>
          <w:spacing w:val="-8"/>
          <w:w w:val="120"/>
          <w:sz w:val="20"/>
        </w:rPr>
        <w:t>To </w:t>
      </w:r>
      <w:r>
        <w:rPr>
          <w:w w:val="120"/>
          <w:sz w:val="20"/>
        </w:rPr>
        <w:t>be active in the councils of the</w:t>
      </w:r>
      <w:r>
        <w:rPr>
          <w:spacing w:val="21"/>
          <w:w w:val="120"/>
          <w:sz w:val="20"/>
        </w:rPr>
        <w:t> </w:t>
      </w:r>
      <w:r>
        <w:rPr>
          <w:w w:val="120"/>
          <w:sz w:val="20"/>
        </w:rPr>
        <w:t>Church.</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8"/>
          <w:w w:val="115"/>
          <w:sz w:val="20"/>
        </w:rPr>
        <w:t>To </w:t>
      </w:r>
      <w:r>
        <w:rPr>
          <w:w w:val="115"/>
          <w:sz w:val="20"/>
        </w:rPr>
        <w:t>accept the oversight of synod and the pastoral care of synod</w:t>
      </w:r>
      <w:r>
        <w:rPr>
          <w:spacing w:val="47"/>
          <w:w w:val="115"/>
          <w:sz w:val="20"/>
        </w:rPr>
        <w:t> </w:t>
      </w:r>
      <w:r>
        <w:rPr>
          <w:w w:val="115"/>
          <w:sz w:val="20"/>
        </w:rPr>
        <w:t>moderators.</w:t>
      </w:r>
    </w:p>
    <w:p>
      <w:pPr>
        <w:pStyle w:val="ListParagraph"/>
        <w:numPr>
          <w:ilvl w:val="0"/>
          <w:numId w:val="157"/>
        </w:numPr>
        <w:tabs>
          <w:tab w:pos="1814" w:val="left" w:leader="none"/>
          <w:tab w:pos="1815" w:val="left" w:leader="none"/>
        </w:tabs>
        <w:spacing w:line="196" w:lineRule="auto" w:before="0" w:after="0"/>
        <w:ind w:left="1814" w:right="2229" w:hanging="681"/>
        <w:jc w:val="left"/>
        <w:rPr>
          <w:sz w:val="20"/>
        </w:rPr>
      </w:pPr>
      <w:r>
        <w:rPr>
          <w:spacing w:val="-8"/>
          <w:w w:val="120"/>
          <w:sz w:val="20"/>
        </w:rPr>
        <w:t>To </w:t>
      </w:r>
      <w:r>
        <w:rPr>
          <w:w w:val="120"/>
          <w:sz w:val="20"/>
        </w:rPr>
        <w:t>submit to disciplinary procedures when initiated by the councils of the church and</w:t>
      </w:r>
      <w:r>
        <w:rPr>
          <w:spacing w:val="-9"/>
          <w:w w:val="120"/>
          <w:sz w:val="20"/>
        </w:rPr>
        <w:t> </w:t>
      </w:r>
      <w:r>
        <w:rPr>
          <w:w w:val="120"/>
          <w:sz w:val="20"/>
        </w:rPr>
        <w:t>to</w:t>
      </w:r>
      <w:r>
        <w:rPr>
          <w:spacing w:val="-8"/>
          <w:w w:val="120"/>
          <w:sz w:val="20"/>
        </w:rPr>
        <w:t> </w:t>
      </w:r>
      <w:r>
        <w:rPr>
          <w:w w:val="120"/>
          <w:sz w:val="20"/>
        </w:rPr>
        <w:t>inform</w:t>
      </w:r>
      <w:r>
        <w:rPr>
          <w:spacing w:val="-8"/>
          <w:w w:val="120"/>
          <w:sz w:val="20"/>
        </w:rPr>
        <w:t> </w:t>
      </w:r>
      <w:r>
        <w:rPr>
          <w:w w:val="120"/>
          <w:sz w:val="20"/>
        </w:rPr>
        <w:t>as</w:t>
      </w:r>
      <w:r>
        <w:rPr>
          <w:spacing w:val="-8"/>
          <w:w w:val="120"/>
          <w:sz w:val="20"/>
        </w:rPr>
        <w:t> </w:t>
      </w:r>
      <w:r>
        <w:rPr>
          <w:w w:val="120"/>
          <w:sz w:val="20"/>
        </w:rPr>
        <w:t>soon</w:t>
      </w:r>
      <w:r>
        <w:rPr>
          <w:spacing w:val="-8"/>
          <w:w w:val="120"/>
          <w:sz w:val="20"/>
        </w:rPr>
        <w:t> </w:t>
      </w:r>
      <w:r>
        <w:rPr>
          <w:w w:val="120"/>
          <w:sz w:val="20"/>
        </w:rPr>
        <w:t>as</w:t>
      </w:r>
      <w:r>
        <w:rPr>
          <w:spacing w:val="-8"/>
          <w:w w:val="120"/>
          <w:sz w:val="20"/>
        </w:rPr>
        <w:t> </w:t>
      </w:r>
      <w:r>
        <w:rPr>
          <w:w w:val="120"/>
          <w:sz w:val="20"/>
        </w:rPr>
        <w:t>possible</w:t>
      </w:r>
      <w:r>
        <w:rPr>
          <w:spacing w:val="-8"/>
          <w:w w:val="120"/>
          <w:sz w:val="20"/>
        </w:rPr>
        <w:t> </w:t>
      </w:r>
      <w:r>
        <w:rPr>
          <w:w w:val="120"/>
          <w:sz w:val="20"/>
        </w:rPr>
        <w:t>the</w:t>
      </w:r>
      <w:r>
        <w:rPr>
          <w:spacing w:val="-8"/>
          <w:w w:val="120"/>
          <w:sz w:val="20"/>
        </w:rPr>
        <w:t> </w:t>
      </w:r>
      <w:r>
        <w:rPr>
          <w:w w:val="120"/>
          <w:sz w:val="20"/>
        </w:rPr>
        <w:t>synod</w:t>
      </w:r>
      <w:r>
        <w:rPr>
          <w:spacing w:val="-8"/>
          <w:w w:val="120"/>
          <w:sz w:val="20"/>
        </w:rPr>
        <w:t> </w:t>
      </w:r>
      <w:r>
        <w:rPr>
          <w:w w:val="120"/>
          <w:sz w:val="20"/>
        </w:rPr>
        <w:t>clerk</w:t>
      </w:r>
      <w:r>
        <w:rPr>
          <w:spacing w:val="-8"/>
          <w:w w:val="120"/>
          <w:sz w:val="20"/>
        </w:rPr>
        <w:t> </w:t>
      </w:r>
      <w:r>
        <w:rPr>
          <w:w w:val="120"/>
          <w:sz w:val="20"/>
        </w:rPr>
        <w:t>and</w:t>
      </w:r>
      <w:r>
        <w:rPr>
          <w:spacing w:val="-8"/>
          <w:w w:val="120"/>
          <w:sz w:val="20"/>
        </w:rPr>
        <w:t> </w:t>
      </w:r>
      <w:r>
        <w:rPr>
          <w:w w:val="120"/>
          <w:sz w:val="20"/>
        </w:rPr>
        <w:t>synod</w:t>
      </w:r>
      <w:r>
        <w:rPr>
          <w:spacing w:val="-8"/>
          <w:w w:val="120"/>
          <w:sz w:val="20"/>
        </w:rPr>
        <w:t> </w:t>
      </w:r>
      <w:r>
        <w:rPr>
          <w:w w:val="120"/>
          <w:sz w:val="20"/>
        </w:rPr>
        <w:t>moderator,</w:t>
      </w:r>
      <w:r>
        <w:rPr>
          <w:spacing w:val="-8"/>
          <w:w w:val="120"/>
          <w:sz w:val="20"/>
        </w:rPr>
        <w:t> </w:t>
      </w:r>
      <w:r>
        <w:rPr>
          <w:w w:val="120"/>
          <w:sz w:val="20"/>
        </w:rPr>
        <w:t>or</w:t>
      </w:r>
      <w:r>
        <w:rPr>
          <w:spacing w:val="-8"/>
          <w:w w:val="120"/>
          <w:sz w:val="20"/>
        </w:rPr>
        <w:t> </w:t>
      </w:r>
      <w:r>
        <w:rPr>
          <w:w w:val="120"/>
          <w:sz w:val="20"/>
        </w:rPr>
        <w:t>where</w:t>
      </w:r>
    </w:p>
    <w:p>
      <w:pPr>
        <w:pStyle w:val="BodyText"/>
        <w:spacing w:line="235" w:lineRule="auto" w:before="9"/>
        <w:ind w:left="1814" w:right="2191"/>
      </w:pPr>
      <w:r>
        <w:rPr>
          <w:w w:val="120"/>
        </w:rPr>
        <w:t>appropriate the deputy general secretary, when involved in legal proceedings (civil or criminal).</w:t>
      </w:r>
    </w:p>
    <w:p>
      <w:pPr>
        <w:pStyle w:val="ListParagraph"/>
        <w:numPr>
          <w:ilvl w:val="0"/>
          <w:numId w:val="157"/>
        </w:numPr>
        <w:tabs>
          <w:tab w:pos="1814" w:val="left" w:leader="none"/>
          <w:tab w:pos="1815" w:val="left" w:leader="none"/>
        </w:tabs>
        <w:spacing w:line="248" w:lineRule="exact" w:before="0" w:after="0"/>
        <w:ind w:left="1814" w:right="0" w:hanging="682"/>
        <w:jc w:val="left"/>
        <w:rPr>
          <w:sz w:val="20"/>
        </w:rPr>
      </w:pPr>
      <w:r>
        <w:rPr>
          <w:spacing w:val="-8"/>
          <w:w w:val="120"/>
          <w:sz w:val="20"/>
        </w:rPr>
        <w:t>To </w:t>
      </w:r>
      <w:r>
        <w:rPr>
          <w:w w:val="120"/>
          <w:sz w:val="20"/>
        </w:rPr>
        <w:t>participate in accompanied self-appraisal and review as</w:t>
      </w:r>
      <w:r>
        <w:rPr>
          <w:spacing w:val="6"/>
          <w:w w:val="120"/>
          <w:sz w:val="20"/>
        </w:rPr>
        <w:t> </w:t>
      </w:r>
      <w:r>
        <w:rPr>
          <w:w w:val="120"/>
          <w:sz w:val="20"/>
        </w:rPr>
        <w:t>appropriate.</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8"/>
          <w:w w:val="115"/>
          <w:sz w:val="20"/>
        </w:rPr>
        <w:t>To </w:t>
      </w:r>
      <w:r>
        <w:rPr>
          <w:w w:val="115"/>
          <w:sz w:val="20"/>
        </w:rPr>
        <w:t>work to the agreed terms of</w:t>
      </w:r>
      <w:r>
        <w:rPr>
          <w:spacing w:val="41"/>
          <w:w w:val="115"/>
          <w:sz w:val="20"/>
        </w:rPr>
        <w:t> </w:t>
      </w:r>
      <w:r>
        <w:rPr>
          <w:w w:val="115"/>
          <w:sz w:val="20"/>
        </w:rPr>
        <w:t>settlement.</w:t>
      </w:r>
    </w:p>
    <w:p>
      <w:pPr>
        <w:pStyle w:val="ListParagraph"/>
        <w:numPr>
          <w:ilvl w:val="0"/>
          <w:numId w:val="157"/>
        </w:numPr>
        <w:tabs>
          <w:tab w:pos="1814" w:val="left" w:leader="none"/>
          <w:tab w:pos="1815" w:val="left" w:leader="none"/>
        </w:tabs>
        <w:spacing w:line="196" w:lineRule="auto" w:before="0" w:after="0"/>
        <w:ind w:left="1814" w:right="2607" w:hanging="681"/>
        <w:jc w:val="left"/>
        <w:rPr>
          <w:sz w:val="20"/>
        </w:rPr>
      </w:pPr>
      <w:r>
        <w:rPr>
          <w:spacing w:val="-7"/>
          <w:w w:val="120"/>
          <w:sz w:val="20"/>
        </w:rPr>
        <w:t>To </w:t>
      </w:r>
      <w:r>
        <w:rPr>
          <w:w w:val="120"/>
          <w:sz w:val="20"/>
        </w:rPr>
        <w:t>be aware of the guidelines for on-going ministerial training issued by the Education and Learning</w:t>
      </w:r>
      <w:r>
        <w:rPr>
          <w:spacing w:val="8"/>
          <w:w w:val="120"/>
          <w:sz w:val="20"/>
        </w:rPr>
        <w:t> </w:t>
      </w:r>
      <w:r>
        <w:rPr>
          <w:w w:val="120"/>
          <w:sz w:val="20"/>
        </w:rPr>
        <w:t>Committee.</w:t>
      </w:r>
    </w:p>
    <w:p>
      <w:pPr>
        <w:pStyle w:val="BodyText"/>
      </w:pPr>
    </w:p>
    <w:p>
      <w:pPr>
        <w:pStyle w:val="BodyText"/>
      </w:pPr>
    </w:p>
    <w:p>
      <w:pPr>
        <w:pStyle w:val="BodyText"/>
      </w:pPr>
    </w:p>
    <w:p>
      <w:pPr>
        <w:pStyle w:val="BodyText"/>
        <w:spacing w:before="9"/>
        <w:rPr>
          <w:sz w:val="21"/>
        </w:rPr>
      </w:pPr>
      <w:r>
        <w:rPr/>
        <w:pict>
          <v:shape style="position:absolute;margin-left:56.692902pt;margin-top:21.584064pt;width:183.85pt;height:.1pt;mso-position-horizontal-relative:page;mso-position-vertical-relative:paragraph;z-index:-251017216;mso-wrap-distance-left:0;mso-wrap-distance-right:0" coordorigin="1134,432" coordsize="3677,0" path="m1134,432l4811,432e" filled="false" stroked="true" strokeweight=".5pt" strokecolor="#8ba8bd">
            <v:path arrowok="t"/>
            <v:stroke dashstyle="solid"/>
            <w10:wrap type="topAndBottom"/>
          </v:shape>
        </w:pict>
      </w:r>
      <w:r>
        <w:rPr/>
        <w:pict>
          <v:rect style="position:absolute;margin-left:250.865997pt;margin-top:15.261766pt;width:13.721pt;height:13.721pt;mso-position-horizontal-relative:page;mso-position-vertical-relative:paragraph;z-index:-251016192;mso-wrap-distance-left:0;mso-wrap-distance-right:0" filled="true" fillcolor="#8ba8bd" stroked="false">
            <v:fill type="solid"/>
            <w10:wrap type="topAndBottom"/>
          </v:rect>
        </w:pict>
      </w:r>
      <w:r>
        <w:rPr/>
        <w:pict>
          <v:rect style="position:absolute;margin-left:269.303009pt;margin-top:15.261766pt;width:13.721pt;height:13.721pt;mso-position-horizontal-relative:page;mso-position-vertical-relative:paragraph;z-index:-251015168;mso-wrap-distance-left:0;mso-wrap-distance-right:0" filled="true" fillcolor="#c2d2df" stroked="false">
            <v:fill type="solid"/>
            <w10:wrap type="topAndBottom"/>
          </v:rect>
        </w:pict>
      </w:r>
      <w:r>
        <w:rPr/>
        <w:pict>
          <v:rect style="position:absolute;margin-left:288.169006pt;margin-top:15.261766pt;width:13.721pt;height:13.721pt;mso-position-horizontal-relative:page;mso-position-vertical-relative:paragraph;z-index:-251014144;mso-wrap-distance-left:0;mso-wrap-distance-right:0" filled="true" fillcolor="#dae4ec" stroked="false">
            <v:fill opacity="32768f" type="solid"/>
            <w10:wrap type="topAndBottom"/>
          </v:rect>
        </w:pict>
      </w:r>
      <w:r>
        <w:rPr/>
        <w:pict>
          <v:shape style="position:absolute;margin-left:311.716003pt;margin-top:21.584064pt;width:184.35pt;height:.1pt;mso-position-horizontal-relative:page;mso-position-vertical-relative:paragraph;z-index:-251013120;mso-wrap-distance-left:0;mso-wrap-distance-right:0" coordorigin="6234,432" coordsize="3687,0" path="m6234,432l9921,432e" filled="false" stroked="true" strokeweight=".5pt" strokecolor="#8ba8bd">
            <v:path arrowok="t"/>
            <v:stroke dashstyle="solid"/>
            <w10:wrap type="topAndBottom"/>
          </v:shape>
        </w:pict>
      </w:r>
    </w:p>
    <w:p>
      <w:pPr>
        <w:spacing w:after="0"/>
        <w:rPr>
          <w:sz w:val="21"/>
        </w:rPr>
        <w:sectPr>
          <w:headerReference w:type="even" r:id="rId523"/>
          <w:footerReference w:type="even" r:id="rId524"/>
          <w:pgSz w:w="11910" w:h="16840"/>
          <w:pgMar w:header="0" w:footer="647" w:top="0" w:bottom="840" w:left="0" w:right="0"/>
          <w:pgNumType w:start="216"/>
        </w:sectPr>
      </w:pPr>
    </w:p>
    <w:p>
      <w:pPr>
        <w:pStyle w:val="Heading2"/>
        <w:spacing w:line="213" w:lineRule="auto" w:before="132"/>
        <w:ind w:right="1997"/>
      </w:pPr>
      <w:r>
        <w:rPr/>
        <w:pict>
          <v:rect style="position:absolute;margin-left:0pt;margin-top:.000015pt;width:595.275pt;height:841.89pt;mso-position-horizontal-relative:page;mso-position-vertical-relative:page;z-index:-267117568" filled="true" fillcolor="#a1bf37" stroked="false">
            <v:fill type="solid"/>
            <w10:wrap type="none"/>
          </v:rect>
        </w:pict>
      </w:r>
      <w:r>
        <w:rPr/>
        <w:pict>
          <v:group style="position:absolute;margin-left:75.826797pt;margin-top:.000015pt;width:519.4500pt;height:790.9pt;mso-position-horizontal-relative:page;mso-position-vertical-relative:page;z-index:-267116544"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w10:wrap type="none"/>
          </v:group>
        </w:pict>
      </w:r>
      <w:r>
        <w:rPr/>
        <w:pict>
          <v:shape style="position:absolute;margin-left:512.587891pt;margin-top:-.236267pt;width:47.4pt;height:256.2pt;mso-position-horizontal-relative:page;mso-position-vertical-relative:paragraph;z-index:-267115520"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spacing w:val="-5"/>
                      <w:w w:val="110"/>
                      <w:sz w:val="72"/>
                    </w:rPr>
                    <w:t>Appendix</w:t>
                  </w:r>
                  <w:r>
                    <w:rPr>
                      <w:rFonts w:ascii="Stone Sans II ITC Std X Bd"/>
                      <w:b/>
                      <w:color w:val="A1BF37"/>
                      <w:spacing w:val="46"/>
                      <w:w w:val="110"/>
                      <w:sz w:val="72"/>
                    </w:rPr>
                    <w:t> </w:t>
                  </w:r>
                  <w:r>
                    <w:rPr>
                      <w:rFonts w:ascii="Stone Sans II ITC Std X Bd"/>
                      <w:b/>
                      <w:color w:val="A1BF37"/>
                      <w:spacing w:val="-13"/>
                      <w:w w:val="110"/>
                      <w:sz w:val="72"/>
                    </w:rPr>
                    <w:t>3b</w:t>
                  </w:r>
                </w:p>
              </w:txbxContent>
            </v:textbox>
            <w10:wrap type="none"/>
          </v:shape>
        </w:pict>
      </w:r>
      <w:r>
        <w:rPr>
          <w:w w:val="110"/>
        </w:rPr>
        <w:t>Guidelines on conduct and behaviour for Church Related Community Workers</w:t>
      </w:r>
    </w:p>
    <w:p>
      <w:pPr>
        <w:pStyle w:val="ListParagraph"/>
        <w:numPr>
          <w:ilvl w:val="0"/>
          <w:numId w:val="158"/>
        </w:numPr>
        <w:tabs>
          <w:tab w:pos="2664" w:val="left" w:leader="none"/>
          <w:tab w:pos="2665" w:val="left" w:leader="none"/>
        </w:tabs>
        <w:spacing w:line="242" w:lineRule="exact" w:before="377" w:after="0"/>
        <w:ind w:left="2664" w:right="0" w:hanging="681"/>
        <w:jc w:val="left"/>
        <w:rPr>
          <w:sz w:val="20"/>
        </w:rPr>
      </w:pPr>
      <w:r>
        <w:rPr>
          <w:w w:val="120"/>
          <w:sz w:val="20"/>
        </w:rPr>
        <w:t>Introduction</w:t>
      </w:r>
    </w:p>
    <w:p>
      <w:pPr>
        <w:pStyle w:val="BodyText"/>
        <w:spacing w:line="235" w:lineRule="auto" w:before="2"/>
        <w:ind w:left="1984" w:right="1997"/>
      </w:pPr>
      <w:r>
        <w:rPr>
          <w:w w:val="120"/>
        </w:rPr>
        <w:t>This paper sets down expectations of church related community workers within the United Reformed Church. Parallel papers about the expectations of ministers of Word and Sacrament and elders and local churches are to be read alongside this document.</w:t>
      </w:r>
    </w:p>
    <w:p>
      <w:pPr>
        <w:pStyle w:val="BodyText"/>
        <w:spacing w:before="6"/>
        <w:rPr>
          <w:sz w:val="18"/>
        </w:rPr>
      </w:pPr>
    </w:p>
    <w:p>
      <w:pPr>
        <w:numPr>
          <w:ilvl w:val="0"/>
          <w:numId w:val="158"/>
        </w:numPr>
        <w:tabs>
          <w:tab w:pos="2664" w:val="left" w:leader="none"/>
          <w:tab w:pos="2665" w:val="left" w:leader="none"/>
        </w:tabs>
        <w:spacing w:line="261" w:lineRule="exact" w:before="0"/>
        <w:ind w:left="2664" w:right="0" w:hanging="681"/>
        <w:jc w:val="left"/>
        <w:rPr>
          <w:rFonts w:ascii="Stone Sans II ITC Std Bk"/>
          <w:b/>
          <w:sz w:val="20"/>
        </w:rPr>
      </w:pPr>
      <w:r>
        <w:rPr>
          <w:rFonts w:ascii="Stone Sans II ITC Std Bk"/>
          <w:b/>
          <w:w w:val="110"/>
          <w:sz w:val="20"/>
        </w:rPr>
        <w:t>Basis of</w:t>
      </w:r>
      <w:r>
        <w:rPr>
          <w:rFonts w:ascii="Stone Sans II ITC Std Bk"/>
          <w:b/>
          <w:spacing w:val="-1"/>
          <w:w w:val="110"/>
          <w:sz w:val="20"/>
        </w:rPr>
        <w:t> </w:t>
      </w:r>
      <w:r>
        <w:rPr>
          <w:rFonts w:ascii="Stone Sans II ITC Std Bk"/>
          <w:b/>
          <w:w w:val="110"/>
          <w:sz w:val="20"/>
        </w:rPr>
        <w:t>Union</w:t>
      </w:r>
    </w:p>
    <w:p>
      <w:pPr>
        <w:pStyle w:val="BodyText"/>
        <w:spacing w:line="235" w:lineRule="auto"/>
        <w:ind w:left="1984" w:right="1634"/>
      </w:pPr>
      <w:r>
        <w:rPr>
          <w:w w:val="120"/>
        </w:rPr>
        <w:t>The foundation for the conduct of church related community workers is in the Basis of Union, Paragraph 22,</w:t>
      </w:r>
    </w:p>
    <w:p>
      <w:pPr>
        <w:pStyle w:val="BodyText"/>
        <w:spacing w:line="235" w:lineRule="auto"/>
        <w:ind w:left="2664" w:right="1752"/>
      </w:pPr>
      <w:r>
        <w:rPr>
          <w:w w:val="120"/>
        </w:rPr>
        <w:t>‘Some are called </w:t>
      </w:r>
      <w:r>
        <w:rPr>
          <w:spacing w:val="-3"/>
          <w:w w:val="120"/>
        </w:rPr>
        <w:t>to </w:t>
      </w:r>
      <w:r>
        <w:rPr>
          <w:w w:val="120"/>
        </w:rPr>
        <w:t>the ministry of </w:t>
      </w:r>
      <w:r>
        <w:rPr>
          <w:spacing w:val="-3"/>
          <w:w w:val="120"/>
        </w:rPr>
        <w:t>church related community </w:t>
      </w:r>
      <w:r>
        <w:rPr>
          <w:w w:val="120"/>
        </w:rPr>
        <w:t>work. After approved preparation and training, they </w:t>
      </w:r>
      <w:r>
        <w:rPr>
          <w:spacing w:val="-3"/>
          <w:w w:val="120"/>
        </w:rPr>
        <w:t>may </w:t>
      </w:r>
      <w:r>
        <w:rPr>
          <w:w w:val="120"/>
        </w:rPr>
        <w:t>be called </w:t>
      </w:r>
      <w:r>
        <w:rPr>
          <w:spacing w:val="-3"/>
          <w:w w:val="120"/>
        </w:rPr>
        <w:t>to </w:t>
      </w:r>
      <w:r>
        <w:rPr>
          <w:w w:val="120"/>
        </w:rPr>
        <w:t>be </w:t>
      </w:r>
      <w:r>
        <w:rPr>
          <w:spacing w:val="-3"/>
          <w:w w:val="120"/>
        </w:rPr>
        <w:t>church related community </w:t>
      </w:r>
      <w:r>
        <w:rPr>
          <w:w w:val="120"/>
        </w:rPr>
        <w:t>workers in a post approved by the </w:t>
      </w:r>
      <w:r>
        <w:rPr>
          <w:spacing w:val="-3"/>
          <w:w w:val="120"/>
        </w:rPr>
        <w:t>United </w:t>
      </w:r>
      <w:r>
        <w:rPr>
          <w:w w:val="120"/>
        </w:rPr>
        <w:t>Reformed </w:t>
      </w:r>
      <w:r>
        <w:rPr>
          <w:spacing w:val="-3"/>
          <w:w w:val="120"/>
        </w:rPr>
        <w:t>Church, </w:t>
      </w:r>
      <w:r>
        <w:rPr>
          <w:w w:val="120"/>
        </w:rPr>
        <w:t>are then </w:t>
      </w:r>
      <w:r>
        <w:rPr>
          <w:spacing w:val="-3"/>
          <w:w w:val="120"/>
        </w:rPr>
        <w:t>commissioned </w:t>
      </w:r>
      <w:r>
        <w:rPr>
          <w:w w:val="120"/>
        </w:rPr>
        <w:t>and inducted </w:t>
      </w:r>
      <w:r>
        <w:rPr>
          <w:spacing w:val="-3"/>
          <w:w w:val="120"/>
        </w:rPr>
        <w:t>to </w:t>
      </w:r>
      <w:r>
        <w:rPr>
          <w:w w:val="120"/>
        </w:rPr>
        <w:t>their office </w:t>
      </w:r>
      <w:r>
        <w:rPr>
          <w:spacing w:val="-3"/>
          <w:w w:val="120"/>
        </w:rPr>
        <w:t>to </w:t>
      </w:r>
      <w:r>
        <w:rPr>
          <w:w w:val="120"/>
        </w:rPr>
        <w:t>serve for a </w:t>
      </w:r>
      <w:r>
        <w:rPr>
          <w:spacing w:val="-3"/>
          <w:w w:val="120"/>
        </w:rPr>
        <w:t>designated </w:t>
      </w:r>
      <w:r>
        <w:rPr>
          <w:w w:val="120"/>
        </w:rPr>
        <w:t>period. This </w:t>
      </w:r>
      <w:r>
        <w:rPr>
          <w:spacing w:val="-3"/>
          <w:w w:val="120"/>
        </w:rPr>
        <w:t>commissioning </w:t>
      </w:r>
      <w:r>
        <w:rPr>
          <w:w w:val="120"/>
        </w:rPr>
        <w:t>and induction </w:t>
      </w:r>
      <w:r>
        <w:rPr>
          <w:spacing w:val="-3"/>
          <w:w w:val="120"/>
        </w:rPr>
        <w:t>shall </w:t>
      </w:r>
      <w:r>
        <w:rPr>
          <w:w w:val="120"/>
        </w:rPr>
        <w:t>be in </w:t>
      </w:r>
      <w:r>
        <w:rPr>
          <w:spacing w:val="-4"/>
          <w:w w:val="120"/>
        </w:rPr>
        <w:t>accord </w:t>
      </w:r>
      <w:r>
        <w:rPr>
          <w:w w:val="120"/>
        </w:rPr>
        <w:t>with Schedules   D and </w:t>
      </w:r>
      <w:r>
        <w:rPr>
          <w:spacing w:val="-9"/>
          <w:w w:val="120"/>
        </w:rPr>
        <w:t>F. </w:t>
      </w:r>
      <w:r>
        <w:rPr>
          <w:spacing w:val="-3"/>
          <w:w w:val="120"/>
        </w:rPr>
        <w:t>Church related community </w:t>
      </w:r>
      <w:r>
        <w:rPr>
          <w:w w:val="120"/>
        </w:rPr>
        <w:t>workers are </w:t>
      </w:r>
      <w:r>
        <w:rPr>
          <w:spacing w:val="-3"/>
          <w:w w:val="120"/>
        </w:rPr>
        <w:t>commissioned to </w:t>
      </w:r>
      <w:r>
        <w:rPr>
          <w:w w:val="120"/>
        </w:rPr>
        <w:t>care </w:t>
      </w:r>
      <w:r>
        <w:rPr>
          <w:spacing w:val="-5"/>
          <w:w w:val="120"/>
        </w:rPr>
        <w:t>for, </w:t>
      </w:r>
      <w:r>
        <w:rPr>
          <w:spacing w:val="-3"/>
          <w:w w:val="120"/>
        </w:rPr>
        <w:t>to </w:t>
      </w:r>
      <w:r>
        <w:rPr>
          <w:w w:val="120"/>
        </w:rPr>
        <w:t>challenge and </w:t>
      </w:r>
      <w:r>
        <w:rPr>
          <w:spacing w:val="-3"/>
          <w:w w:val="120"/>
        </w:rPr>
        <w:t>to </w:t>
      </w:r>
      <w:r>
        <w:rPr>
          <w:w w:val="120"/>
        </w:rPr>
        <w:t>pray for the </w:t>
      </w:r>
      <w:r>
        <w:rPr>
          <w:spacing w:val="-4"/>
          <w:w w:val="120"/>
        </w:rPr>
        <w:t>community, </w:t>
      </w:r>
      <w:r>
        <w:rPr>
          <w:spacing w:val="-3"/>
          <w:w w:val="120"/>
        </w:rPr>
        <w:t>to discern </w:t>
      </w:r>
      <w:r>
        <w:rPr>
          <w:w w:val="120"/>
        </w:rPr>
        <w:t>with others </w:t>
      </w:r>
      <w:r>
        <w:rPr>
          <w:spacing w:val="-4"/>
          <w:w w:val="120"/>
        </w:rPr>
        <w:t>God’s </w:t>
      </w:r>
      <w:r>
        <w:rPr>
          <w:w w:val="120"/>
        </w:rPr>
        <w:t>will  for the well-being of the </w:t>
      </w:r>
      <w:r>
        <w:rPr>
          <w:spacing w:val="-4"/>
          <w:w w:val="120"/>
        </w:rPr>
        <w:t>community, </w:t>
      </w:r>
      <w:r>
        <w:rPr>
          <w:w w:val="120"/>
        </w:rPr>
        <w:t>and </w:t>
      </w:r>
      <w:r>
        <w:rPr>
          <w:spacing w:val="-3"/>
          <w:w w:val="120"/>
        </w:rPr>
        <w:t>to endeavour to </w:t>
      </w:r>
      <w:r>
        <w:rPr>
          <w:w w:val="120"/>
        </w:rPr>
        <w:t>enable the </w:t>
      </w:r>
      <w:r>
        <w:rPr>
          <w:spacing w:val="-3"/>
          <w:w w:val="120"/>
        </w:rPr>
        <w:t>church to live </w:t>
      </w:r>
      <w:r>
        <w:rPr>
          <w:w w:val="120"/>
        </w:rPr>
        <w:t>out its calling </w:t>
      </w:r>
      <w:r>
        <w:rPr>
          <w:spacing w:val="-3"/>
          <w:w w:val="120"/>
        </w:rPr>
        <w:t>to </w:t>
      </w:r>
      <w:r>
        <w:rPr>
          <w:w w:val="120"/>
        </w:rPr>
        <w:t>proclaim the </w:t>
      </w:r>
      <w:r>
        <w:rPr>
          <w:spacing w:val="-3"/>
          <w:w w:val="120"/>
        </w:rPr>
        <w:t>love </w:t>
      </w:r>
      <w:r>
        <w:rPr>
          <w:w w:val="120"/>
        </w:rPr>
        <w:t>and mercy of God through working with others in both </w:t>
      </w:r>
      <w:r>
        <w:rPr>
          <w:spacing w:val="-3"/>
          <w:w w:val="120"/>
        </w:rPr>
        <w:t>church </w:t>
      </w:r>
      <w:r>
        <w:rPr>
          <w:w w:val="120"/>
        </w:rPr>
        <w:t>and </w:t>
      </w:r>
      <w:r>
        <w:rPr>
          <w:spacing w:val="-3"/>
          <w:w w:val="120"/>
        </w:rPr>
        <w:t>community </w:t>
      </w:r>
      <w:r>
        <w:rPr>
          <w:w w:val="120"/>
        </w:rPr>
        <w:t>for </w:t>
      </w:r>
      <w:r>
        <w:rPr>
          <w:spacing w:val="-3"/>
          <w:w w:val="120"/>
        </w:rPr>
        <w:t>peace </w:t>
      </w:r>
      <w:r>
        <w:rPr>
          <w:w w:val="120"/>
        </w:rPr>
        <w:t>and </w:t>
      </w:r>
      <w:r>
        <w:rPr>
          <w:spacing w:val="-3"/>
          <w:w w:val="120"/>
        </w:rPr>
        <w:t>justice </w:t>
      </w:r>
      <w:r>
        <w:rPr>
          <w:w w:val="120"/>
        </w:rPr>
        <w:t>in the</w:t>
      </w:r>
      <w:r>
        <w:rPr>
          <w:spacing w:val="8"/>
          <w:w w:val="120"/>
        </w:rPr>
        <w:t> </w:t>
      </w:r>
      <w:r>
        <w:rPr>
          <w:w w:val="120"/>
        </w:rPr>
        <w:t>world.</w:t>
      </w:r>
    </w:p>
    <w:p>
      <w:pPr>
        <w:pStyle w:val="BodyText"/>
        <w:spacing w:line="235" w:lineRule="auto" w:before="4"/>
        <w:ind w:left="2664" w:right="1539"/>
      </w:pPr>
      <w:r>
        <w:rPr>
          <w:w w:val="120"/>
        </w:rPr>
        <w:t>Their service </w:t>
      </w:r>
      <w:r>
        <w:rPr>
          <w:spacing w:val="-3"/>
          <w:w w:val="120"/>
        </w:rPr>
        <w:t>may </w:t>
      </w:r>
      <w:r>
        <w:rPr>
          <w:w w:val="120"/>
        </w:rPr>
        <w:t>be stipendiary or non-stipendiary, and in the latter case their service is given</w:t>
      </w:r>
      <w:r>
        <w:rPr>
          <w:spacing w:val="-3"/>
          <w:w w:val="120"/>
        </w:rPr>
        <w:t> within </w:t>
      </w:r>
      <w:r>
        <w:rPr>
          <w:w w:val="120"/>
        </w:rPr>
        <w:t>the area of a synod and in a context it has </w:t>
      </w:r>
      <w:r>
        <w:rPr>
          <w:spacing w:val="-4"/>
          <w:w w:val="120"/>
        </w:rPr>
        <w:t>approved.’</w:t>
      </w:r>
    </w:p>
    <w:p>
      <w:pPr>
        <w:pStyle w:val="BodyText"/>
        <w:spacing w:before="9"/>
        <w:rPr>
          <w:sz w:val="19"/>
        </w:rPr>
      </w:pPr>
    </w:p>
    <w:p>
      <w:pPr>
        <w:pStyle w:val="BodyText"/>
        <w:spacing w:line="235" w:lineRule="auto"/>
        <w:ind w:left="2664" w:right="1860"/>
      </w:pPr>
      <w:r>
        <w:rPr>
          <w:w w:val="120"/>
        </w:rPr>
        <w:t>CRCWs make promises as laid out in Schedule </w:t>
      </w:r>
      <w:r>
        <w:rPr>
          <w:spacing w:val="-8"/>
          <w:w w:val="120"/>
        </w:rPr>
        <w:t>F, </w:t>
      </w:r>
      <w:r>
        <w:rPr>
          <w:w w:val="120"/>
        </w:rPr>
        <w:t>in particular they promise, ‘to live a holy life, and to maintain the truth of the gospel, whatever  trouble or persecution may arise; to care </w:t>
      </w:r>
      <w:r>
        <w:rPr>
          <w:spacing w:val="-3"/>
          <w:w w:val="120"/>
        </w:rPr>
        <w:t>for, </w:t>
      </w:r>
      <w:r>
        <w:rPr>
          <w:w w:val="120"/>
        </w:rPr>
        <w:t>to challenge and to pray for the community, to discern with others God’s will for the well-being of the community; to take their </w:t>
      </w:r>
      <w:r>
        <w:rPr>
          <w:spacing w:val="2"/>
          <w:w w:val="120"/>
        </w:rPr>
        <w:t>part </w:t>
      </w:r>
      <w:r>
        <w:rPr>
          <w:w w:val="120"/>
        </w:rPr>
        <w:t>in the councils of the Church and to enable the church to live out its calling to proclaim the love and mercy of God through</w:t>
      </w:r>
      <w:r>
        <w:rPr>
          <w:spacing w:val="9"/>
          <w:w w:val="120"/>
        </w:rPr>
        <w:t> </w:t>
      </w:r>
      <w:r>
        <w:rPr>
          <w:w w:val="120"/>
        </w:rPr>
        <w:t>working</w:t>
      </w:r>
      <w:r>
        <w:rPr>
          <w:spacing w:val="10"/>
          <w:w w:val="120"/>
        </w:rPr>
        <w:t> </w:t>
      </w:r>
      <w:r>
        <w:rPr>
          <w:w w:val="120"/>
        </w:rPr>
        <w:t>with</w:t>
      </w:r>
      <w:r>
        <w:rPr>
          <w:spacing w:val="10"/>
          <w:w w:val="120"/>
        </w:rPr>
        <w:t> </w:t>
      </w:r>
      <w:r>
        <w:rPr>
          <w:w w:val="120"/>
        </w:rPr>
        <w:t>others</w:t>
      </w:r>
      <w:r>
        <w:rPr>
          <w:spacing w:val="10"/>
          <w:w w:val="120"/>
        </w:rPr>
        <w:t> </w:t>
      </w:r>
      <w:r>
        <w:rPr>
          <w:w w:val="120"/>
        </w:rPr>
        <w:t>in</w:t>
      </w:r>
      <w:r>
        <w:rPr>
          <w:spacing w:val="10"/>
          <w:w w:val="120"/>
        </w:rPr>
        <w:t> </w:t>
      </w:r>
      <w:r>
        <w:rPr>
          <w:w w:val="120"/>
        </w:rPr>
        <w:t>both</w:t>
      </w:r>
      <w:r>
        <w:rPr>
          <w:spacing w:val="10"/>
          <w:w w:val="120"/>
        </w:rPr>
        <w:t> </w:t>
      </w:r>
      <w:r>
        <w:rPr>
          <w:w w:val="120"/>
        </w:rPr>
        <w:t>church</w:t>
      </w:r>
      <w:r>
        <w:rPr>
          <w:spacing w:val="10"/>
          <w:w w:val="120"/>
        </w:rPr>
        <w:t> </w:t>
      </w:r>
      <w:r>
        <w:rPr>
          <w:w w:val="120"/>
        </w:rPr>
        <w:t>and</w:t>
      </w:r>
      <w:r>
        <w:rPr>
          <w:spacing w:val="10"/>
          <w:w w:val="120"/>
        </w:rPr>
        <w:t> </w:t>
      </w:r>
      <w:r>
        <w:rPr>
          <w:w w:val="120"/>
        </w:rPr>
        <w:t>community</w:t>
      </w:r>
      <w:r>
        <w:rPr>
          <w:spacing w:val="10"/>
          <w:w w:val="120"/>
        </w:rPr>
        <w:t> </w:t>
      </w:r>
      <w:r>
        <w:rPr>
          <w:w w:val="120"/>
        </w:rPr>
        <w:t>for</w:t>
      </w:r>
      <w:r>
        <w:rPr>
          <w:spacing w:val="9"/>
          <w:w w:val="120"/>
        </w:rPr>
        <w:t> </w:t>
      </w:r>
      <w:r>
        <w:rPr>
          <w:w w:val="120"/>
        </w:rPr>
        <w:t>peace</w:t>
      </w:r>
      <w:r>
        <w:rPr>
          <w:spacing w:val="10"/>
          <w:w w:val="120"/>
        </w:rPr>
        <w:t> </w:t>
      </w:r>
      <w:r>
        <w:rPr>
          <w:w w:val="120"/>
        </w:rPr>
        <w:t>and</w:t>
      </w:r>
    </w:p>
    <w:p>
      <w:pPr>
        <w:pStyle w:val="BodyText"/>
        <w:spacing w:line="235" w:lineRule="auto" w:before="5"/>
        <w:ind w:left="2664" w:right="1693"/>
      </w:pPr>
      <w:r>
        <w:rPr>
          <w:w w:val="120"/>
        </w:rPr>
        <w:t>justice in the world, and as a church related community worker of the United Reformed Church to seek its well-being, purity and peace, to cherish love towards all other churches and to endeavour always to build up the one, </w:t>
      </w:r>
      <w:r>
        <w:rPr>
          <w:spacing w:val="-3"/>
          <w:w w:val="120"/>
        </w:rPr>
        <w:t>holy, </w:t>
      </w:r>
      <w:r>
        <w:rPr>
          <w:w w:val="120"/>
        </w:rPr>
        <w:t>catholic and apostolic</w:t>
      </w:r>
      <w:r>
        <w:rPr>
          <w:spacing w:val="15"/>
          <w:w w:val="120"/>
        </w:rPr>
        <w:t> </w:t>
      </w:r>
      <w:r>
        <w:rPr>
          <w:spacing w:val="-3"/>
          <w:w w:val="120"/>
        </w:rPr>
        <w:t>Church.’</w:t>
      </w:r>
    </w:p>
    <w:p>
      <w:pPr>
        <w:pStyle w:val="ListParagraph"/>
        <w:numPr>
          <w:ilvl w:val="0"/>
          <w:numId w:val="158"/>
        </w:numPr>
        <w:tabs>
          <w:tab w:pos="2664" w:val="left" w:leader="none"/>
          <w:tab w:pos="2665" w:val="left" w:leader="none"/>
        </w:tabs>
        <w:spacing w:line="440" w:lineRule="atLeast" w:before="157" w:after="0"/>
        <w:ind w:left="1984" w:right="5385" w:firstLine="0"/>
        <w:jc w:val="left"/>
        <w:rPr>
          <w:rFonts w:ascii="Stone Sans II ITC Std Bk"/>
          <w:b/>
          <w:i/>
          <w:sz w:val="20"/>
        </w:rPr>
      </w:pPr>
      <w:r>
        <w:rPr>
          <w:rFonts w:ascii="Stone Sans II ITC Std Bk"/>
          <w:b/>
          <w:w w:val="110"/>
          <w:sz w:val="20"/>
        </w:rPr>
        <w:t>Standards of professional behaviour 3a</w:t>
        <w:tab/>
      </w:r>
      <w:r>
        <w:rPr>
          <w:rFonts w:ascii="Stone Sans II ITC Std Bk"/>
          <w:b/>
          <w:i/>
          <w:w w:val="110"/>
          <w:sz w:val="20"/>
        </w:rPr>
        <w:t>Personal integrity and</w:t>
      </w:r>
      <w:r>
        <w:rPr>
          <w:rFonts w:ascii="Stone Sans II ITC Std Bk"/>
          <w:b/>
          <w:i/>
          <w:spacing w:val="-1"/>
          <w:w w:val="110"/>
          <w:sz w:val="20"/>
        </w:rPr>
        <w:t> </w:t>
      </w:r>
      <w:r>
        <w:rPr>
          <w:rFonts w:ascii="Stone Sans II ITC Std Bk"/>
          <w:b/>
          <w:i/>
          <w:w w:val="110"/>
          <w:sz w:val="20"/>
        </w:rPr>
        <w:t>health</w:t>
      </w:r>
    </w:p>
    <w:p>
      <w:pPr>
        <w:pStyle w:val="ListParagraph"/>
        <w:numPr>
          <w:ilvl w:val="1"/>
          <w:numId w:val="157"/>
        </w:numPr>
        <w:tabs>
          <w:tab w:pos="2664" w:val="left" w:leader="none"/>
          <w:tab w:pos="2665" w:val="left" w:leader="none"/>
        </w:tabs>
        <w:spacing w:line="281" w:lineRule="exact" w:before="53" w:after="0"/>
        <w:ind w:left="2664" w:right="0" w:hanging="681"/>
        <w:jc w:val="left"/>
        <w:rPr>
          <w:sz w:val="20"/>
        </w:rPr>
      </w:pPr>
      <w:r>
        <w:rPr>
          <w:spacing w:val="-7"/>
          <w:w w:val="120"/>
          <w:sz w:val="20"/>
        </w:rPr>
        <w:t>To </w:t>
      </w:r>
      <w:r>
        <w:rPr>
          <w:w w:val="120"/>
          <w:sz w:val="20"/>
        </w:rPr>
        <w:t>live a Christian life as a person of prayer and</w:t>
      </w:r>
      <w:r>
        <w:rPr>
          <w:spacing w:val="28"/>
          <w:w w:val="120"/>
          <w:sz w:val="20"/>
        </w:rPr>
        <w:t> </w:t>
      </w:r>
      <w:r>
        <w:rPr>
          <w:w w:val="120"/>
          <w:sz w:val="20"/>
        </w:rPr>
        <w:t>integrity.</w:t>
      </w:r>
    </w:p>
    <w:p>
      <w:pPr>
        <w:pStyle w:val="ListParagraph"/>
        <w:numPr>
          <w:ilvl w:val="1"/>
          <w:numId w:val="157"/>
        </w:numPr>
        <w:tabs>
          <w:tab w:pos="2664" w:val="left" w:leader="none"/>
          <w:tab w:pos="2665" w:val="left" w:leader="none"/>
        </w:tabs>
        <w:spacing w:line="196" w:lineRule="auto" w:before="0" w:after="0"/>
        <w:ind w:left="2664" w:right="2191" w:hanging="681"/>
        <w:jc w:val="left"/>
        <w:rPr>
          <w:sz w:val="20"/>
        </w:rPr>
      </w:pPr>
      <w:r>
        <w:rPr>
          <w:spacing w:val="-7"/>
          <w:w w:val="120"/>
          <w:sz w:val="20"/>
        </w:rPr>
        <w:t>To </w:t>
      </w:r>
      <w:r>
        <w:rPr>
          <w:w w:val="120"/>
          <w:sz w:val="20"/>
        </w:rPr>
        <w:t>be aware of the need to have appropriate boundaries that safeguard personal health and welfare and which promote healthy</w:t>
      </w:r>
      <w:r>
        <w:rPr>
          <w:spacing w:val="12"/>
          <w:w w:val="120"/>
          <w:sz w:val="20"/>
        </w:rPr>
        <w:t> </w:t>
      </w:r>
      <w:r>
        <w:rPr>
          <w:w w:val="120"/>
          <w:sz w:val="20"/>
        </w:rPr>
        <w:t>relationships</w:t>
      </w:r>
    </w:p>
    <w:p>
      <w:pPr>
        <w:pStyle w:val="BodyText"/>
        <w:spacing w:line="227" w:lineRule="exact" w:before="5"/>
        <w:ind w:left="2664"/>
      </w:pPr>
      <w:r>
        <w:rPr>
          <w:w w:val="120"/>
        </w:rPr>
        <w:t>with others.</w:t>
      </w:r>
    </w:p>
    <w:p>
      <w:pPr>
        <w:pStyle w:val="ListParagraph"/>
        <w:numPr>
          <w:ilvl w:val="1"/>
          <w:numId w:val="157"/>
        </w:numPr>
        <w:tabs>
          <w:tab w:pos="2664" w:val="left" w:leader="none"/>
          <w:tab w:pos="2665" w:val="left" w:leader="none"/>
        </w:tabs>
        <w:spacing w:line="216" w:lineRule="auto" w:before="5" w:after="0"/>
        <w:ind w:left="2664" w:right="1679" w:hanging="681"/>
        <w:jc w:val="left"/>
        <w:rPr>
          <w:sz w:val="20"/>
        </w:rPr>
      </w:pPr>
      <w:r>
        <w:rPr>
          <w:spacing w:val="-7"/>
          <w:w w:val="120"/>
          <w:sz w:val="20"/>
        </w:rPr>
        <w:t>To </w:t>
      </w:r>
      <w:r>
        <w:rPr>
          <w:w w:val="120"/>
          <w:sz w:val="20"/>
        </w:rPr>
        <w:t>recognise the need for and have concern for a healthy lifestyle, to balance availability and accessibility to ministry demands with time for family and friends, personal renewal and rest and spiritual</w:t>
      </w:r>
      <w:r>
        <w:rPr>
          <w:spacing w:val="17"/>
          <w:w w:val="120"/>
          <w:sz w:val="20"/>
        </w:rPr>
        <w:t> </w:t>
      </w:r>
      <w:r>
        <w:rPr>
          <w:w w:val="120"/>
          <w:sz w:val="20"/>
        </w:rPr>
        <w:t>growth.</w:t>
      </w:r>
    </w:p>
    <w:p>
      <w:pPr>
        <w:pStyle w:val="ListParagraph"/>
        <w:numPr>
          <w:ilvl w:val="1"/>
          <w:numId w:val="157"/>
        </w:numPr>
        <w:tabs>
          <w:tab w:pos="2664" w:val="left" w:leader="none"/>
          <w:tab w:pos="2665" w:val="left" w:leader="none"/>
        </w:tabs>
        <w:spacing w:line="216" w:lineRule="auto" w:before="0" w:after="0"/>
        <w:ind w:left="2664" w:right="1806" w:hanging="681"/>
        <w:jc w:val="left"/>
        <w:rPr>
          <w:sz w:val="20"/>
        </w:rPr>
      </w:pPr>
      <w:r>
        <w:rPr>
          <w:spacing w:val="-6"/>
          <w:w w:val="120"/>
          <w:sz w:val="20"/>
        </w:rPr>
        <w:t>To </w:t>
      </w:r>
      <w:r>
        <w:rPr>
          <w:w w:val="120"/>
          <w:sz w:val="20"/>
        </w:rPr>
        <w:t>maintain </w:t>
      </w:r>
      <w:r>
        <w:rPr>
          <w:spacing w:val="3"/>
          <w:w w:val="120"/>
          <w:sz w:val="20"/>
        </w:rPr>
        <w:t>strict </w:t>
      </w:r>
      <w:r>
        <w:rPr>
          <w:w w:val="120"/>
          <w:sz w:val="20"/>
        </w:rPr>
        <w:t>confidentiality of all </w:t>
      </w:r>
      <w:r>
        <w:rPr>
          <w:spacing w:val="2"/>
          <w:w w:val="120"/>
          <w:sz w:val="20"/>
        </w:rPr>
        <w:t>matters </w:t>
      </w:r>
      <w:r>
        <w:rPr>
          <w:w w:val="120"/>
          <w:sz w:val="20"/>
        </w:rPr>
        <w:t>shared with them in confidence, except when </w:t>
      </w:r>
      <w:r>
        <w:rPr>
          <w:spacing w:val="2"/>
          <w:w w:val="120"/>
          <w:sz w:val="20"/>
        </w:rPr>
        <w:t>required </w:t>
      </w:r>
      <w:r>
        <w:rPr>
          <w:w w:val="120"/>
          <w:sz w:val="20"/>
        </w:rPr>
        <w:t>by law to do </w:t>
      </w:r>
      <w:r>
        <w:rPr>
          <w:spacing w:val="2"/>
          <w:w w:val="120"/>
          <w:sz w:val="20"/>
        </w:rPr>
        <w:t>otherwise, </w:t>
      </w:r>
      <w:r>
        <w:rPr>
          <w:w w:val="120"/>
          <w:sz w:val="20"/>
        </w:rPr>
        <w:t>eg with </w:t>
      </w:r>
      <w:r>
        <w:rPr>
          <w:spacing w:val="2"/>
          <w:w w:val="120"/>
          <w:sz w:val="20"/>
        </w:rPr>
        <w:t>regard </w:t>
      </w:r>
      <w:r>
        <w:rPr>
          <w:w w:val="120"/>
          <w:sz w:val="20"/>
        </w:rPr>
        <w:t>to the </w:t>
      </w:r>
      <w:r>
        <w:rPr>
          <w:spacing w:val="2"/>
          <w:w w:val="120"/>
          <w:sz w:val="20"/>
        </w:rPr>
        <w:t>safety </w:t>
      </w:r>
      <w:r>
        <w:rPr>
          <w:w w:val="120"/>
          <w:sz w:val="20"/>
        </w:rPr>
        <w:t>of</w:t>
      </w:r>
      <w:r>
        <w:rPr>
          <w:spacing w:val="22"/>
          <w:w w:val="120"/>
          <w:sz w:val="20"/>
        </w:rPr>
        <w:t> </w:t>
      </w:r>
      <w:r>
        <w:rPr>
          <w:w w:val="120"/>
          <w:sz w:val="20"/>
        </w:rPr>
        <w:t>children.</w:t>
      </w:r>
    </w:p>
    <w:p>
      <w:pPr>
        <w:pStyle w:val="BodyText"/>
      </w:pPr>
    </w:p>
    <w:p>
      <w:pPr>
        <w:pStyle w:val="BodyText"/>
      </w:pPr>
    </w:p>
    <w:p>
      <w:pPr>
        <w:pStyle w:val="BodyText"/>
      </w:pPr>
    </w:p>
    <w:p>
      <w:pPr>
        <w:pStyle w:val="BodyText"/>
        <w:spacing w:before="8"/>
        <w:rPr>
          <w:sz w:val="22"/>
        </w:rPr>
      </w:pPr>
    </w:p>
    <w:p>
      <w:pPr>
        <w:tabs>
          <w:tab w:pos="10630" w:val="left" w:leader="none"/>
        </w:tabs>
        <w:spacing w:before="96"/>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8"/>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217</w:t>
      </w:r>
    </w:p>
    <w:p>
      <w:pPr>
        <w:spacing w:after="0"/>
        <w:jc w:val="left"/>
        <w:rPr>
          <w:rFonts w:ascii="Stone Sans II ITC Std X Bd" w:hAnsi="Stone Sans II ITC Std X Bd"/>
          <w:sz w:val="24"/>
        </w:rPr>
        <w:sectPr>
          <w:headerReference w:type="default" r:id="rId525"/>
          <w:footerReference w:type="default" r:id="rId526"/>
          <w:pgSz w:w="11910" w:h="16840"/>
          <w:pgMar w:header="0" w:footer="0" w:top="1100" w:bottom="280" w:left="0" w:right="0"/>
        </w:sectPr>
      </w:pP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a1bf37"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315648" filled="true" fillcolor="#d3de9d" stroked="false">
            <v:fill type="solid"/>
            <w10:wrap type="none"/>
          </v:rect>
        </w:pict>
      </w:r>
      <w:r>
        <w:rPr>
          <w:color w:val="A1BF37"/>
          <w:w w:val="120"/>
          <w:sz w:val="26"/>
        </w:rPr>
        <w:t>Appendix 3b</w:t>
      </w:r>
    </w:p>
    <w:p>
      <w:pPr>
        <w:pStyle w:val="ListParagraph"/>
        <w:numPr>
          <w:ilvl w:val="0"/>
          <w:numId w:val="157"/>
        </w:numPr>
        <w:tabs>
          <w:tab w:pos="1814" w:val="left" w:leader="none"/>
          <w:tab w:pos="1815" w:val="left" w:leader="none"/>
        </w:tabs>
        <w:spacing w:line="196" w:lineRule="auto" w:before="250" w:after="0"/>
        <w:ind w:left="1814" w:right="2374" w:hanging="681"/>
        <w:jc w:val="left"/>
        <w:rPr>
          <w:sz w:val="20"/>
        </w:rPr>
      </w:pPr>
      <w:r>
        <w:rPr/>
        <w:pict>
          <v:rect style="position:absolute;margin-left:12.047pt;margin-top:14.173555pt;width:22.677pt;height:22.677pt;mso-position-horizontal-relative:page;mso-position-vertical-relative:paragraph;z-index:252316672" filled="true" fillcolor="#e4ebc6" stroked="false">
            <v:fill opacity="32768f" type="solid"/>
            <w10:wrap type="none"/>
          </v:rect>
        </w:pict>
      </w:r>
      <w:r>
        <w:rPr>
          <w:w w:val="120"/>
          <w:sz w:val="20"/>
        </w:rPr>
        <w:t>In</w:t>
      </w:r>
      <w:r>
        <w:rPr>
          <w:spacing w:val="-5"/>
          <w:w w:val="120"/>
          <w:sz w:val="20"/>
        </w:rPr>
        <w:t> </w:t>
      </w:r>
      <w:r>
        <w:rPr>
          <w:w w:val="120"/>
          <w:sz w:val="20"/>
        </w:rPr>
        <w:t>seeking</w:t>
      </w:r>
      <w:r>
        <w:rPr>
          <w:spacing w:val="-5"/>
          <w:w w:val="120"/>
          <w:sz w:val="20"/>
        </w:rPr>
        <w:t> </w:t>
      </w:r>
      <w:r>
        <w:rPr>
          <w:spacing w:val="-3"/>
          <w:w w:val="120"/>
          <w:sz w:val="20"/>
        </w:rPr>
        <w:t>counsel</w:t>
      </w:r>
      <w:r>
        <w:rPr>
          <w:spacing w:val="-5"/>
          <w:w w:val="120"/>
          <w:sz w:val="20"/>
        </w:rPr>
        <w:t> </w:t>
      </w:r>
      <w:r>
        <w:rPr>
          <w:w w:val="120"/>
          <w:sz w:val="20"/>
        </w:rPr>
        <w:t>from</w:t>
      </w:r>
      <w:r>
        <w:rPr>
          <w:spacing w:val="-5"/>
          <w:w w:val="120"/>
          <w:sz w:val="20"/>
        </w:rPr>
        <w:t> </w:t>
      </w:r>
      <w:r>
        <w:rPr>
          <w:spacing w:val="-3"/>
          <w:w w:val="120"/>
          <w:sz w:val="20"/>
        </w:rPr>
        <w:t>colleagues</w:t>
      </w:r>
      <w:r>
        <w:rPr>
          <w:spacing w:val="-5"/>
          <w:w w:val="120"/>
          <w:sz w:val="20"/>
        </w:rPr>
        <w:t> </w:t>
      </w:r>
      <w:r>
        <w:rPr>
          <w:w w:val="120"/>
          <w:sz w:val="20"/>
        </w:rPr>
        <w:t>care</w:t>
      </w:r>
      <w:r>
        <w:rPr>
          <w:spacing w:val="-5"/>
          <w:w w:val="120"/>
          <w:sz w:val="20"/>
        </w:rPr>
        <w:t> </w:t>
      </w:r>
      <w:r>
        <w:rPr>
          <w:w w:val="120"/>
          <w:sz w:val="20"/>
        </w:rPr>
        <w:t>and</w:t>
      </w:r>
      <w:r>
        <w:rPr>
          <w:spacing w:val="-5"/>
          <w:w w:val="120"/>
          <w:sz w:val="20"/>
        </w:rPr>
        <w:t> </w:t>
      </w:r>
      <w:r>
        <w:rPr>
          <w:w w:val="120"/>
          <w:sz w:val="20"/>
        </w:rPr>
        <w:t>sensitivity</w:t>
      </w:r>
      <w:r>
        <w:rPr>
          <w:spacing w:val="-5"/>
          <w:w w:val="120"/>
          <w:sz w:val="20"/>
        </w:rPr>
        <w:t> </w:t>
      </w:r>
      <w:r>
        <w:rPr>
          <w:w w:val="120"/>
          <w:sz w:val="20"/>
        </w:rPr>
        <w:t>will</w:t>
      </w:r>
      <w:r>
        <w:rPr>
          <w:spacing w:val="-5"/>
          <w:w w:val="120"/>
          <w:sz w:val="20"/>
        </w:rPr>
        <w:t> </w:t>
      </w:r>
      <w:r>
        <w:rPr>
          <w:w w:val="120"/>
          <w:sz w:val="20"/>
        </w:rPr>
        <w:t>be</w:t>
      </w:r>
      <w:r>
        <w:rPr>
          <w:spacing w:val="-5"/>
          <w:w w:val="120"/>
          <w:sz w:val="20"/>
        </w:rPr>
        <w:t> </w:t>
      </w:r>
      <w:r>
        <w:rPr>
          <w:w w:val="120"/>
          <w:sz w:val="20"/>
        </w:rPr>
        <w:t>exercised</w:t>
      </w:r>
      <w:r>
        <w:rPr>
          <w:spacing w:val="-5"/>
          <w:w w:val="120"/>
          <w:sz w:val="20"/>
        </w:rPr>
        <w:t> </w:t>
      </w:r>
      <w:r>
        <w:rPr>
          <w:w w:val="120"/>
          <w:sz w:val="20"/>
        </w:rPr>
        <w:t>and</w:t>
      </w:r>
      <w:r>
        <w:rPr>
          <w:spacing w:val="-5"/>
          <w:w w:val="120"/>
          <w:sz w:val="20"/>
        </w:rPr>
        <w:t> </w:t>
      </w:r>
      <w:r>
        <w:rPr>
          <w:w w:val="120"/>
          <w:sz w:val="20"/>
        </w:rPr>
        <w:t>the identity</w:t>
      </w:r>
      <w:r>
        <w:rPr>
          <w:spacing w:val="-7"/>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person</w:t>
      </w:r>
      <w:r>
        <w:rPr>
          <w:spacing w:val="-7"/>
          <w:w w:val="120"/>
          <w:sz w:val="20"/>
        </w:rPr>
        <w:t> </w:t>
      </w:r>
      <w:r>
        <w:rPr>
          <w:spacing w:val="-3"/>
          <w:w w:val="120"/>
          <w:sz w:val="20"/>
        </w:rPr>
        <w:t>shall</w:t>
      </w:r>
      <w:r>
        <w:rPr>
          <w:spacing w:val="-6"/>
          <w:w w:val="120"/>
          <w:sz w:val="20"/>
        </w:rPr>
        <w:t> </w:t>
      </w:r>
      <w:r>
        <w:rPr>
          <w:spacing w:val="-2"/>
          <w:w w:val="120"/>
          <w:sz w:val="20"/>
        </w:rPr>
        <w:t>not</w:t>
      </w:r>
      <w:r>
        <w:rPr>
          <w:spacing w:val="-6"/>
          <w:w w:val="120"/>
          <w:sz w:val="20"/>
        </w:rPr>
        <w:t> </w:t>
      </w:r>
      <w:r>
        <w:rPr>
          <w:w w:val="120"/>
          <w:sz w:val="20"/>
        </w:rPr>
        <w:t>be</w:t>
      </w:r>
      <w:r>
        <w:rPr>
          <w:spacing w:val="-7"/>
          <w:w w:val="120"/>
          <w:sz w:val="20"/>
        </w:rPr>
        <w:t> </w:t>
      </w:r>
      <w:r>
        <w:rPr>
          <w:spacing w:val="-3"/>
          <w:w w:val="120"/>
          <w:sz w:val="20"/>
        </w:rPr>
        <w:t>revealed</w:t>
      </w:r>
      <w:r>
        <w:rPr>
          <w:spacing w:val="-6"/>
          <w:w w:val="120"/>
          <w:sz w:val="20"/>
        </w:rPr>
        <w:t> </w:t>
      </w:r>
      <w:r>
        <w:rPr>
          <w:w w:val="120"/>
          <w:sz w:val="20"/>
        </w:rPr>
        <w:t>unless</w:t>
      </w:r>
      <w:r>
        <w:rPr>
          <w:spacing w:val="-6"/>
          <w:w w:val="120"/>
          <w:sz w:val="20"/>
        </w:rPr>
        <w:t> </w:t>
      </w:r>
      <w:r>
        <w:rPr>
          <w:w w:val="120"/>
          <w:sz w:val="20"/>
        </w:rPr>
        <w:t>permission</w:t>
      </w:r>
      <w:r>
        <w:rPr>
          <w:spacing w:val="-7"/>
          <w:w w:val="120"/>
          <w:sz w:val="20"/>
        </w:rPr>
        <w:t> </w:t>
      </w:r>
      <w:r>
        <w:rPr>
          <w:w w:val="120"/>
          <w:sz w:val="20"/>
        </w:rPr>
        <w:t>has</w:t>
      </w:r>
      <w:r>
        <w:rPr>
          <w:spacing w:val="-6"/>
          <w:w w:val="120"/>
          <w:sz w:val="20"/>
        </w:rPr>
        <w:t> </w:t>
      </w:r>
      <w:r>
        <w:rPr>
          <w:w w:val="120"/>
          <w:sz w:val="20"/>
        </w:rPr>
        <w:t>been</w:t>
      </w:r>
      <w:r>
        <w:rPr>
          <w:spacing w:val="-6"/>
          <w:w w:val="120"/>
          <w:sz w:val="20"/>
        </w:rPr>
        <w:t> </w:t>
      </w:r>
      <w:r>
        <w:rPr>
          <w:w w:val="120"/>
          <w:sz w:val="20"/>
        </w:rPr>
        <w:t>granted.</w:t>
      </w:r>
    </w:p>
    <w:p>
      <w:pPr>
        <w:pStyle w:val="ListParagraph"/>
        <w:numPr>
          <w:ilvl w:val="0"/>
          <w:numId w:val="157"/>
        </w:numPr>
        <w:tabs>
          <w:tab w:pos="1814" w:val="left" w:leader="none"/>
          <w:tab w:pos="1815" w:val="left" w:leader="none"/>
        </w:tabs>
        <w:spacing w:line="196" w:lineRule="auto" w:before="16" w:after="0"/>
        <w:ind w:left="1814" w:right="2329" w:hanging="681"/>
        <w:jc w:val="left"/>
        <w:rPr>
          <w:sz w:val="20"/>
        </w:rPr>
      </w:pPr>
      <w:r>
        <w:rPr>
          <w:spacing w:val="-7"/>
          <w:w w:val="120"/>
          <w:sz w:val="20"/>
        </w:rPr>
        <w:t>To </w:t>
      </w:r>
      <w:r>
        <w:rPr>
          <w:w w:val="120"/>
          <w:sz w:val="20"/>
        </w:rPr>
        <w:t>attend meetings, respond to correspondence and keep appropriate records efficiently and effectively, having regard to the Data Protection</w:t>
      </w:r>
      <w:r>
        <w:rPr>
          <w:spacing w:val="18"/>
          <w:w w:val="120"/>
          <w:sz w:val="20"/>
        </w:rPr>
        <w:t> </w:t>
      </w:r>
      <w:r>
        <w:rPr>
          <w:w w:val="120"/>
          <w:sz w:val="20"/>
        </w:rPr>
        <w:t>Act.</w:t>
      </w:r>
    </w:p>
    <w:p>
      <w:pPr>
        <w:pStyle w:val="ListParagraph"/>
        <w:numPr>
          <w:ilvl w:val="0"/>
          <w:numId w:val="157"/>
        </w:numPr>
        <w:tabs>
          <w:tab w:pos="1814" w:val="left" w:leader="none"/>
          <w:tab w:pos="1815" w:val="left" w:leader="none"/>
        </w:tabs>
        <w:spacing w:line="257" w:lineRule="exact" w:before="0" w:after="0"/>
        <w:ind w:left="1814" w:right="0" w:hanging="682"/>
        <w:jc w:val="left"/>
        <w:rPr>
          <w:sz w:val="20"/>
        </w:rPr>
      </w:pPr>
      <w:r>
        <w:rPr>
          <w:spacing w:val="-7"/>
          <w:w w:val="120"/>
          <w:sz w:val="20"/>
        </w:rPr>
        <w:t>To </w:t>
      </w:r>
      <w:r>
        <w:rPr>
          <w:w w:val="120"/>
          <w:sz w:val="20"/>
        </w:rPr>
        <w:t>account carefully for expenses and any funds held on behalf of</w:t>
      </w:r>
      <w:r>
        <w:rPr>
          <w:spacing w:val="30"/>
          <w:w w:val="120"/>
          <w:sz w:val="20"/>
        </w:rPr>
        <w:t> </w:t>
      </w:r>
      <w:r>
        <w:rPr>
          <w:w w:val="120"/>
          <w:sz w:val="20"/>
        </w:rPr>
        <w:t>others.</w:t>
      </w:r>
    </w:p>
    <w:p>
      <w:pPr>
        <w:pStyle w:val="ListParagraph"/>
        <w:numPr>
          <w:ilvl w:val="0"/>
          <w:numId w:val="157"/>
        </w:numPr>
        <w:tabs>
          <w:tab w:pos="1814" w:val="left" w:leader="none"/>
          <w:tab w:pos="1815" w:val="left" w:leader="none"/>
        </w:tabs>
        <w:spacing w:line="196" w:lineRule="auto" w:before="0" w:after="0"/>
        <w:ind w:left="1814" w:right="2303" w:hanging="681"/>
        <w:jc w:val="left"/>
        <w:rPr>
          <w:sz w:val="20"/>
        </w:rPr>
      </w:pPr>
      <w:r>
        <w:rPr>
          <w:w w:val="120"/>
          <w:sz w:val="20"/>
        </w:rPr>
        <w:t>Not to undertake duties whilst under the influence of alcohol or drugs or when medically advised not to do</w:t>
      </w:r>
      <w:r>
        <w:rPr>
          <w:spacing w:val="11"/>
          <w:w w:val="120"/>
          <w:sz w:val="20"/>
        </w:rPr>
        <w:t> </w:t>
      </w:r>
      <w:r>
        <w:rPr>
          <w:w w:val="120"/>
          <w:sz w:val="20"/>
        </w:rPr>
        <w:t>so.</w:t>
      </w:r>
    </w:p>
    <w:p>
      <w:pPr>
        <w:pStyle w:val="ListParagraph"/>
        <w:numPr>
          <w:ilvl w:val="0"/>
          <w:numId w:val="157"/>
        </w:numPr>
        <w:tabs>
          <w:tab w:pos="1814" w:val="left" w:leader="none"/>
          <w:tab w:pos="1815" w:val="left" w:leader="none"/>
        </w:tabs>
        <w:spacing w:line="196" w:lineRule="auto" w:before="15" w:after="0"/>
        <w:ind w:left="1814" w:right="2112" w:hanging="681"/>
        <w:jc w:val="left"/>
        <w:rPr>
          <w:sz w:val="20"/>
        </w:rPr>
      </w:pPr>
      <w:r>
        <w:rPr>
          <w:spacing w:val="-7"/>
          <w:w w:val="120"/>
          <w:sz w:val="20"/>
        </w:rPr>
        <w:t>To </w:t>
      </w:r>
      <w:r>
        <w:rPr>
          <w:w w:val="120"/>
          <w:sz w:val="20"/>
        </w:rPr>
        <w:t>refrain from using privilege or power for personal advantage or gain, whether financial, emotional, sexual or</w:t>
      </w:r>
      <w:r>
        <w:rPr>
          <w:spacing w:val="5"/>
          <w:w w:val="120"/>
          <w:sz w:val="20"/>
        </w:rPr>
        <w:t> </w:t>
      </w:r>
      <w:r>
        <w:rPr>
          <w:w w:val="120"/>
          <w:sz w:val="20"/>
        </w:rPr>
        <w:t>material.</w:t>
      </w:r>
    </w:p>
    <w:p>
      <w:pPr>
        <w:pStyle w:val="ListParagraph"/>
        <w:numPr>
          <w:ilvl w:val="0"/>
          <w:numId w:val="157"/>
        </w:numPr>
        <w:tabs>
          <w:tab w:pos="1814" w:val="left" w:leader="none"/>
          <w:tab w:pos="1815" w:val="left" w:leader="none"/>
        </w:tabs>
        <w:spacing w:line="298" w:lineRule="exact" w:before="0" w:after="0"/>
        <w:ind w:left="1814" w:right="0" w:hanging="682"/>
        <w:jc w:val="left"/>
        <w:rPr>
          <w:sz w:val="20"/>
        </w:rPr>
      </w:pPr>
      <w:r>
        <w:rPr>
          <w:w w:val="120"/>
          <w:sz w:val="20"/>
        </w:rPr>
        <w:t>Not to do anything to undermine the spiritual health of</w:t>
      </w:r>
      <w:r>
        <w:rPr>
          <w:spacing w:val="21"/>
          <w:w w:val="120"/>
          <w:sz w:val="20"/>
        </w:rPr>
        <w:t> </w:t>
      </w:r>
      <w:r>
        <w:rPr>
          <w:w w:val="120"/>
          <w:sz w:val="20"/>
        </w:rPr>
        <w:t>another.</w:t>
      </w:r>
    </w:p>
    <w:p>
      <w:pPr>
        <w:tabs>
          <w:tab w:pos="1814" w:val="left" w:leader="none"/>
        </w:tabs>
        <w:spacing w:before="275"/>
        <w:ind w:left="1133" w:right="0" w:firstLine="0"/>
        <w:jc w:val="left"/>
        <w:rPr>
          <w:rFonts w:ascii="Stone Sans II ITC Std Bk"/>
          <w:b/>
          <w:i/>
          <w:sz w:val="20"/>
        </w:rPr>
      </w:pPr>
      <w:r>
        <w:rPr>
          <w:rFonts w:ascii="Stone Sans II ITC Std Bk"/>
          <w:b/>
          <w:w w:val="110"/>
          <w:sz w:val="20"/>
        </w:rPr>
        <w:t>3b</w:t>
        <w:tab/>
      </w:r>
      <w:r>
        <w:rPr>
          <w:rFonts w:ascii="Stone Sans II ITC Std Bk"/>
          <w:b/>
          <w:i/>
          <w:w w:val="110"/>
          <w:sz w:val="20"/>
        </w:rPr>
        <w:t>Relationships with</w:t>
      </w:r>
      <w:r>
        <w:rPr>
          <w:rFonts w:ascii="Stone Sans II ITC Std Bk"/>
          <w:b/>
          <w:i/>
          <w:spacing w:val="-2"/>
          <w:w w:val="110"/>
          <w:sz w:val="20"/>
        </w:rPr>
        <w:t> </w:t>
      </w:r>
      <w:r>
        <w:rPr>
          <w:rFonts w:ascii="Stone Sans II ITC Std Bk"/>
          <w:b/>
          <w:i/>
          <w:w w:val="110"/>
          <w:sz w:val="20"/>
        </w:rPr>
        <w:t>colleagues</w:t>
      </w:r>
    </w:p>
    <w:p>
      <w:pPr>
        <w:pStyle w:val="ListParagraph"/>
        <w:numPr>
          <w:ilvl w:val="0"/>
          <w:numId w:val="157"/>
        </w:numPr>
        <w:tabs>
          <w:tab w:pos="1815" w:val="left" w:leader="none"/>
        </w:tabs>
        <w:spacing w:line="216" w:lineRule="auto" w:before="74" w:after="0"/>
        <w:ind w:left="1814" w:right="2192" w:hanging="681"/>
        <w:jc w:val="both"/>
        <w:rPr>
          <w:sz w:val="20"/>
        </w:rPr>
      </w:pPr>
      <w:r>
        <w:rPr>
          <w:spacing w:val="-6"/>
          <w:w w:val="120"/>
          <w:sz w:val="20"/>
        </w:rPr>
        <w:t>To </w:t>
      </w:r>
      <w:r>
        <w:rPr>
          <w:spacing w:val="3"/>
          <w:w w:val="120"/>
          <w:sz w:val="20"/>
        </w:rPr>
        <w:t>support </w:t>
      </w:r>
      <w:r>
        <w:rPr>
          <w:w w:val="120"/>
          <w:sz w:val="20"/>
        </w:rPr>
        <w:t>the </w:t>
      </w:r>
      <w:r>
        <w:rPr>
          <w:spacing w:val="2"/>
          <w:w w:val="120"/>
          <w:sz w:val="20"/>
        </w:rPr>
        <w:t>ministry </w:t>
      </w:r>
      <w:r>
        <w:rPr>
          <w:w w:val="120"/>
          <w:sz w:val="20"/>
        </w:rPr>
        <w:t>of other CRCWs and ministers of Word and </w:t>
      </w:r>
      <w:r>
        <w:rPr>
          <w:spacing w:val="2"/>
          <w:w w:val="120"/>
          <w:sz w:val="20"/>
        </w:rPr>
        <w:t>Sacrament </w:t>
      </w:r>
      <w:r>
        <w:rPr>
          <w:w w:val="120"/>
          <w:sz w:val="20"/>
        </w:rPr>
        <w:t>and not </w:t>
      </w:r>
      <w:r>
        <w:rPr>
          <w:spacing w:val="2"/>
          <w:w w:val="120"/>
          <w:sz w:val="20"/>
        </w:rPr>
        <w:t>interfere </w:t>
      </w:r>
      <w:r>
        <w:rPr>
          <w:w w:val="120"/>
          <w:sz w:val="20"/>
        </w:rPr>
        <w:t>with the </w:t>
      </w:r>
      <w:r>
        <w:rPr>
          <w:spacing w:val="2"/>
          <w:w w:val="120"/>
          <w:sz w:val="20"/>
        </w:rPr>
        <w:t>conduct </w:t>
      </w:r>
      <w:r>
        <w:rPr>
          <w:w w:val="120"/>
          <w:sz w:val="20"/>
        </w:rPr>
        <w:t>of </w:t>
      </w:r>
      <w:r>
        <w:rPr>
          <w:spacing w:val="2"/>
          <w:w w:val="120"/>
          <w:sz w:val="20"/>
        </w:rPr>
        <w:t>ministry </w:t>
      </w:r>
      <w:r>
        <w:rPr>
          <w:w w:val="120"/>
          <w:sz w:val="20"/>
        </w:rPr>
        <w:t>or the </w:t>
      </w:r>
      <w:r>
        <w:rPr>
          <w:spacing w:val="2"/>
          <w:w w:val="120"/>
          <w:sz w:val="20"/>
        </w:rPr>
        <w:t>direction </w:t>
      </w:r>
      <w:r>
        <w:rPr>
          <w:w w:val="120"/>
          <w:sz w:val="20"/>
        </w:rPr>
        <w:t>of church life of other</w:t>
      </w:r>
      <w:r>
        <w:rPr>
          <w:spacing w:val="5"/>
          <w:w w:val="120"/>
          <w:sz w:val="20"/>
        </w:rPr>
        <w:t> </w:t>
      </w:r>
      <w:r>
        <w:rPr>
          <w:spacing w:val="2"/>
          <w:w w:val="120"/>
          <w:sz w:val="20"/>
        </w:rPr>
        <w:t>pastorates.</w:t>
      </w:r>
    </w:p>
    <w:p>
      <w:pPr>
        <w:pStyle w:val="ListParagraph"/>
        <w:numPr>
          <w:ilvl w:val="0"/>
          <w:numId w:val="157"/>
        </w:numPr>
        <w:tabs>
          <w:tab w:pos="1814" w:val="left" w:leader="none"/>
          <w:tab w:pos="1815" w:val="left" w:leader="none"/>
        </w:tabs>
        <w:spacing w:line="196" w:lineRule="auto" w:before="9" w:after="0"/>
        <w:ind w:left="1814" w:right="2549" w:hanging="681"/>
        <w:jc w:val="left"/>
        <w:rPr>
          <w:sz w:val="20"/>
        </w:rPr>
      </w:pPr>
      <w:r>
        <w:rPr>
          <w:spacing w:val="-7"/>
          <w:w w:val="120"/>
          <w:sz w:val="20"/>
        </w:rPr>
        <w:t>To </w:t>
      </w:r>
      <w:r>
        <w:rPr>
          <w:w w:val="120"/>
          <w:sz w:val="20"/>
        </w:rPr>
        <w:t>strive to protect colleagues from prejudicial discrimination on the basis of gender, race, age, disability or sexual</w:t>
      </w:r>
      <w:r>
        <w:rPr>
          <w:spacing w:val="14"/>
          <w:w w:val="120"/>
          <w:sz w:val="20"/>
        </w:rPr>
        <w:t> </w:t>
      </w:r>
      <w:r>
        <w:rPr>
          <w:w w:val="120"/>
          <w:sz w:val="20"/>
        </w:rPr>
        <w:t>orientation.</w:t>
      </w:r>
    </w:p>
    <w:p>
      <w:pPr>
        <w:pStyle w:val="ListParagraph"/>
        <w:numPr>
          <w:ilvl w:val="0"/>
          <w:numId w:val="157"/>
        </w:numPr>
        <w:tabs>
          <w:tab w:pos="1814" w:val="left" w:leader="none"/>
          <w:tab w:pos="1815" w:val="left" w:leader="none"/>
        </w:tabs>
        <w:spacing w:line="196" w:lineRule="auto" w:before="16" w:after="0"/>
        <w:ind w:left="1814" w:right="2786" w:hanging="681"/>
        <w:jc w:val="left"/>
        <w:rPr>
          <w:sz w:val="20"/>
        </w:rPr>
      </w:pPr>
      <w:r>
        <w:rPr>
          <w:spacing w:val="-7"/>
          <w:w w:val="120"/>
          <w:sz w:val="20"/>
        </w:rPr>
        <w:t>To </w:t>
      </w:r>
      <w:r>
        <w:rPr>
          <w:w w:val="120"/>
          <w:sz w:val="20"/>
        </w:rPr>
        <w:t>sever all professional ties with a previous post and refer any requests or enquires of previous posts to the interim moderator or new</w:t>
      </w:r>
      <w:r>
        <w:rPr>
          <w:spacing w:val="28"/>
          <w:w w:val="120"/>
          <w:sz w:val="20"/>
        </w:rPr>
        <w:t> </w:t>
      </w:r>
      <w:r>
        <w:rPr>
          <w:w w:val="120"/>
          <w:sz w:val="20"/>
        </w:rPr>
        <w:t>CRCW.</w:t>
      </w:r>
    </w:p>
    <w:p>
      <w:pPr>
        <w:pStyle w:val="ListParagraph"/>
        <w:numPr>
          <w:ilvl w:val="0"/>
          <w:numId w:val="157"/>
        </w:numPr>
        <w:tabs>
          <w:tab w:pos="1814" w:val="left" w:leader="none"/>
          <w:tab w:pos="1815" w:val="left" w:leader="none"/>
        </w:tabs>
        <w:spacing w:line="196" w:lineRule="auto" w:before="16" w:after="0"/>
        <w:ind w:left="1814" w:right="2252" w:hanging="681"/>
        <w:jc w:val="left"/>
        <w:rPr>
          <w:sz w:val="20"/>
        </w:rPr>
      </w:pPr>
      <w:r>
        <w:rPr>
          <w:spacing w:val="-6"/>
          <w:w w:val="120"/>
          <w:sz w:val="20"/>
        </w:rPr>
        <w:t>To </w:t>
      </w:r>
      <w:r>
        <w:rPr>
          <w:spacing w:val="3"/>
          <w:w w:val="120"/>
          <w:sz w:val="20"/>
        </w:rPr>
        <w:t>respect </w:t>
      </w:r>
      <w:r>
        <w:rPr>
          <w:w w:val="120"/>
          <w:sz w:val="20"/>
        </w:rPr>
        <w:t>the work of </w:t>
      </w:r>
      <w:r>
        <w:rPr>
          <w:spacing w:val="2"/>
          <w:w w:val="120"/>
          <w:sz w:val="20"/>
        </w:rPr>
        <w:t>predecessors </w:t>
      </w:r>
      <w:r>
        <w:rPr>
          <w:w w:val="120"/>
          <w:sz w:val="20"/>
        </w:rPr>
        <w:t>and successors and deal </w:t>
      </w:r>
      <w:r>
        <w:rPr>
          <w:spacing w:val="2"/>
          <w:w w:val="120"/>
          <w:sz w:val="20"/>
        </w:rPr>
        <w:t>honourably </w:t>
      </w:r>
      <w:r>
        <w:rPr>
          <w:w w:val="120"/>
          <w:sz w:val="20"/>
        </w:rPr>
        <w:t>with their</w:t>
      </w:r>
      <w:r>
        <w:rPr>
          <w:spacing w:val="6"/>
          <w:w w:val="120"/>
          <w:sz w:val="20"/>
        </w:rPr>
        <w:t> </w:t>
      </w:r>
      <w:r>
        <w:rPr>
          <w:w w:val="120"/>
          <w:sz w:val="20"/>
        </w:rPr>
        <w:t>record.</w:t>
      </w:r>
    </w:p>
    <w:p>
      <w:pPr>
        <w:pStyle w:val="ListParagraph"/>
        <w:numPr>
          <w:ilvl w:val="0"/>
          <w:numId w:val="157"/>
        </w:numPr>
        <w:tabs>
          <w:tab w:pos="1814" w:val="left" w:leader="none"/>
          <w:tab w:pos="1815" w:val="left" w:leader="none"/>
        </w:tabs>
        <w:spacing w:line="196" w:lineRule="auto" w:before="16" w:after="0"/>
        <w:ind w:left="1814" w:right="2159" w:hanging="681"/>
        <w:jc w:val="left"/>
        <w:rPr>
          <w:sz w:val="20"/>
        </w:rPr>
      </w:pPr>
      <w:r>
        <w:rPr>
          <w:spacing w:val="-7"/>
          <w:w w:val="120"/>
          <w:sz w:val="20"/>
        </w:rPr>
        <w:t>To </w:t>
      </w:r>
      <w:r>
        <w:rPr>
          <w:w w:val="120"/>
          <w:sz w:val="20"/>
        </w:rPr>
        <w:t>consider carefully the location of retirement housing and </w:t>
      </w:r>
      <w:r>
        <w:rPr>
          <w:spacing w:val="3"/>
          <w:w w:val="120"/>
          <w:sz w:val="20"/>
        </w:rPr>
        <w:t>try </w:t>
      </w:r>
      <w:r>
        <w:rPr>
          <w:w w:val="120"/>
          <w:sz w:val="20"/>
        </w:rPr>
        <w:t>to avoid living in the immediate area of past</w:t>
      </w:r>
      <w:r>
        <w:rPr>
          <w:spacing w:val="8"/>
          <w:w w:val="120"/>
          <w:sz w:val="20"/>
        </w:rPr>
        <w:t> </w:t>
      </w:r>
      <w:r>
        <w:rPr>
          <w:w w:val="120"/>
          <w:sz w:val="20"/>
        </w:rPr>
        <w:t>posts.</w:t>
      </w:r>
    </w:p>
    <w:p>
      <w:pPr>
        <w:pStyle w:val="ListParagraph"/>
        <w:numPr>
          <w:ilvl w:val="0"/>
          <w:numId w:val="157"/>
        </w:numPr>
        <w:tabs>
          <w:tab w:pos="1814" w:val="left" w:leader="none"/>
          <w:tab w:pos="1815" w:val="left" w:leader="none"/>
        </w:tabs>
        <w:spacing w:line="298" w:lineRule="exact" w:before="0" w:after="0"/>
        <w:ind w:left="1814" w:right="0" w:hanging="682"/>
        <w:jc w:val="left"/>
        <w:rPr>
          <w:sz w:val="20"/>
        </w:rPr>
      </w:pPr>
      <w:r>
        <w:rPr>
          <w:spacing w:val="-7"/>
          <w:w w:val="120"/>
          <w:sz w:val="20"/>
        </w:rPr>
        <w:t>To </w:t>
      </w:r>
      <w:r>
        <w:rPr>
          <w:w w:val="120"/>
          <w:sz w:val="20"/>
        </w:rPr>
        <w:t>welcome retired colleagues as members of the</w:t>
      </w:r>
      <w:r>
        <w:rPr>
          <w:spacing w:val="22"/>
          <w:w w:val="120"/>
          <w:sz w:val="20"/>
        </w:rPr>
        <w:t> </w:t>
      </w:r>
      <w:r>
        <w:rPr>
          <w:w w:val="120"/>
          <w:sz w:val="20"/>
        </w:rPr>
        <w:t>pastorate.</w:t>
      </w:r>
    </w:p>
    <w:p>
      <w:pPr>
        <w:tabs>
          <w:tab w:pos="1814" w:val="left" w:leader="none"/>
        </w:tabs>
        <w:spacing w:before="275"/>
        <w:ind w:left="1133" w:right="0" w:firstLine="0"/>
        <w:jc w:val="left"/>
        <w:rPr>
          <w:rFonts w:ascii="Stone Sans II ITC Std Bk"/>
          <w:b/>
          <w:i/>
          <w:sz w:val="20"/>
        </w:rPr>
      </w:pPr>
      <w:r>
        <w:rPr>
          <w:rFonts w:ascii="Stone Sans II ITC Std Bk"/>
          <w:b/>
          <w:w w:val="110"/>
          <w:sz w:val="20"/>
        </w:rPr>
        <w:t>3c</w:t>
        <w:tab/>
      </w:r>
      <w:r>
        <w:rPr>
          <w:rFonts w:ascii="Stone Sans II ITC Std Bk"/>
          <w:b/>
          <w:i/>
          <w:w w:val="110"/>
          <w:sz w:val="20"/>
        </w:rPr>
        <w:t>Relationship with elders, members and</w:t>
      </w:r>
      <w:r>
        <w:rPr>
          <w:rFonts w:ascii="Stone Sans II ITC Std Bk"/>
          <w:b/>
          <w:i/>
          <w:spacing w:val="-4"/>
          <w:w w:val="110"/>
          <w:sz w:val="20"/>
        </w:rPr>
        <w:t> </w:t>
      </w:r>
      <w:r>
        <w:rPr>
          <w:rFonts w:ascii="Stone Sans II ITC Std Bk"/>
          <w:b/>
          <w:i/>
          <w:w w:val="110"/>
          <w:sz w:val="20"/>
        </w:rPr>
        <w:t>others</w:t>
      </w:r>
    </w:p>
    <w:p>
      <w:pPr>
        <w:pStyle w:val="ListParagraph"/>
        <w:numPr>
          <w:ilvl w:val="0"/>
          <w:numId w:val="157"/>
        </w:numPr>
        <w:tabs>
          <w:tab w:pos="1814" w:val="left" w:leader="none"/>
          <w:tab w:pos="1815" w:val="left" w:leader="none"/>
        </w:tabs>
        <w:spacing w:line="281" w:lineRule="exact" w:before="52" w:after="0"/>
        <w:ind w:left="1814" w:right="0" w:hanging="682"/>
        <w:jc w:val="left"/>
        <w:rPr>
          <w:sz w:val="20"/>
        </w:rPr>
      </w:pPr>
      <w:r>
        <w:rPr>
          <w:spacing w:val="-7"/>
          <w:w w:val="120"/>
          <w:sz w:val="20"/>
        </w:rPr>
        <w:t>To  </w:t>
      </w:r>
      <w:r>
        <w:rPr>
          <w:w w:val="120"/>
          <w:sz w:val="20"/>
        </w:rPr>
        <w:t>regard all persons with equal love and</w:t>
      </w:r>
      <w:r>
        <w:rPr>
          <w:spacing w:val="20"/>
          <w:w w:val="120"/>
          <w:sz w:val="20"/>
        </w:rPr>
        <w:t> </w:t>
      </w:r>
      <w:r>
        <w:rPr>
          <w:w w:val="120"/>
          <w:sz w:val="20"/>
        </w:rPr>
        <w:t>concern.</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uphold values of faithfulness, trust and</w:t>
      </w:r>
      <w:r>
        <w:rPr>
          <w:spacing w:val="28"/>
          <w:w w:val="120"/>
          <w:sz w:val="20"/>
        </w:rPr>
        <w:t> </w:t>
      </w:r>
      <w:r>
        <w:rPr>
          <w:w w:val="120"/>
          <w:sz w:val="20"/>
        </w:rPr>
        <w:t>respect.</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share leadership and pastoral care with others called to these</w:t>
      </w:r>
      <w:r>
        <w:rPr>
          <w:spacing w:val="28"/>
          <w:w w:val="120"/>
          <w:sz w:val="20"/>
        </w:rPr>
        <w:t> </w:t>
      </w:r>
      <w:r>
        <w:rPr>
          <w:w w:val="120"/>
          <w:sz w:val="20"/>
        </w:rPr>
        <w:t>purposes.</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w w:val="120"/>
          <w:sz w:val="20"/>
        </w:rPr>
        <w:t>Not to seek to influence inappropriately a pastorate in the call of a new</w:t>
      </w:r>
      <w:r>
        <w:rPr>
          <w:spacing w:val="13"/>
          <w:w w:val="120"/>
          <w:sz w:val="20"/>
        </w:rPr>
        <w:t> </w:t>
      </w:r>
      <w:r>
        <w:rPr>
          <w:w w:val="120"/>
          <w:sz w:val="20"/>
        </w:rPr>
        <w:t>minister.</w:t>
      </w:r>
    </w:p>
    <w:p>
      <w:pPr>
        <w:pStyle w:val="ListParagraph"/>
        <w:numPr>
          <w:ilvl w:val="0"/>
          <w:numId w:val="157"/>
        </w:numPr>
        <w:tabs>
          <w:tab w:pos="1814" w:val="left" w:leader="none"/>
          <w:tab w:pos="1815" w:val="left" w:leader="none"/>
        </w:tabs>
        <w:spacing w:line="196" w:lineRule="auto" w:before="0" w:after="0"/>
        <w:ind w:left="1814" w:right="2025" w:hanging="681"/>
        <w:jc w:val="left"/>
        <w:rPr>
          <w:sz w:val="20"/>
        </w:rPr>
      </w:pPr>
      <w:r>
        <w:rPr>
          <w:spacing w:val="-7"/>
          <w:w w:val="120"/>
          <w:sz w:val="20"/>
        </w:rPr>
        <w:t>To </w:t>
      </w:r>
      <w:r>
        <w:rPr>
          <w:w w:val="120"/>
          <w:sz w:val="20"/>
        </w:rPr>
        <w:t>consider very carefully taking any position of responsibility in a pastorate served by another CRCW or a minister of Word and Sacrament and to support</w:t>
      </w:r>
      <w:r>
        <w:rPr>
          <w:spacing w:val="2"/>
          <w:w w:val="120"/>
          <w:sz w:val="20"/>
        </w:rPr>
        <w:t> </w:t>
      </w:r>
      <w:r>
        <w:rPr>
          <w:w w:val="120"/>
          <w:sz w:val="20"/>
        </w:rPr>
        <w:t>the</w:t>
      </w:r>
    </w:p>
    <w:p>
      <w:pPr>
        <w:pStyle w:val="BodyText"/>
        <w:spacing w:line="227" w:lineRule="exact" w:before="6"/>
        <w:ind w:left="1814"/>
      </w:pPr>
      <w:r>
        <w:rPr>
          <w:w w:val="120"/>
        </w:rPr>
        <w:t>direction of church life initiated through the leadership of the pastorate.</w:t>
      </w:r>
    </w:p>
    <w:p>
      <w:pPr>
        <w:pStyle w:val="ListParagraph"/>
        <w:numPr>
          <w:ilvl w:val="0"/>
          <w:numId w:val="157"/>
        </w:numPr>
        <w:tabs>
          <w:tab w:pos="1814" w:val="left" w:leader="none"/>
          <w:tab w:pos="1815" w:val="left" w:leader="none"/>
        </w:tabs>
        <w:spacing w:line="196" w:lineRule="auto" w:before="22" w:after="0"/>
        <w:ind w:left="1814" w:right="2388" w:hanging="681"/>
        <w:jc w:val="left"/>
        <w:rPr>
          <w:sz w:val="20"/>
        </w:rPr>
      </w:pPr>
      <w:r>
        <w:rPr>
          <w:spacing w:val="-7"/>
          <w:w w:val="120"/>
          <w:sz w:val="20"/>
        </w:rPr>
        <w:t>To </w:t>
      </w:r>
      <w:r>
        <w:rPr>
          <w:w w:val="120"/>
          <w:sz w:val="20"/>
        </w:rPr>
        <w:t>work collaboratively and safeguard the contribution of the whole church in decision-making</w:t>
      </w:r>
      <w:r>
        <w:rPr>
          <w:spacing w:val="2"/>
          <w:w w:val="120"/>
          <w:sz w:val="20"/>
        </w:rPr>
        <w:t> </w:t>
      </w:r>
      <w:r>
        <w:rPr>
          <w:w w:val="120"/>
          <w:sz w:val="20"/>
        </w:rPr>
        <w:t>processes.</w:t>
      </w:r>
    </w:p>
    <w:p>
      <w:pPr>
        <w:pStyle w:val="ListParagraph"/>
        <w:numPr>
          <w:ilvl w:val="0"/>
          <w:numId w:val="157"/>
        </w:numPr>
        <w:tabs>
          <w:tab w:pos="1814" w:val="left" w:leader="none"/>
          <w:tab w:pos="1815" w:val="left" w:leader="none"/>
        </w:tabs>
        <w:spacing w:line="196" w:lineRule="auto" w:before="16" w:after="0"/>
        <w:ind w:left="1814" w:right="2431" w:hanging="681"/>
        <w:jc w:val="left"/>
        <w:rPr>
          <w:sz w:val="20"/>
        </w:rPr>
      </w:pPr>
      <w:r>
        <w:rPr>
          <w:spacing w:val="-7"/>
          <w:w w:val="120"/>
          <w:sz w:val="20"/>
        </w:rPr>
        <w:t>To </w:t>
      </w:r>
      <w:r>
        <w:rPr>
          <w:w w:val="120"/>
          <w:sz w:val="20"/>
        </w:rPr>
        <w:t>seek advice from colleagues or other professionals who may offer specialist advice if in doubt about </w:t>
      </w:r>
      <w:r>
        <w:rPr>
          <w:spacing w:val="-3"/>
          <w:w w:val="120"/>
          <w:sz w:val="20"/>
        </w:rPr>
        <w:t>one’s </w:t>
      </w:r>
      <w:r>
        <w:rPr>
          <w:w w:val="120"/>
          <w:sz w:val="20"/>
        </w:rPr>
        <w:t>competence to deal with any issue or</w:t>
      </w:r>
      <w:r>
        <w:rPr>
          <w:spacing w:val="44"/>
          <w:w w:val="120"/>
          <w:sz w:val="20"/>
        </w:rPr>
        <w:t> </w:t>
      </w:r>
      <w:r>
        <w:rPr>
          <w:w w:val="120"/>
          <w:sz w:val="20"/>
        </w:rPr>
        <w:t>situation.</w:t>
      </w:r>
    </w:p>
    <w:p>
      <w:pPr>
        <w:pStyle w:val="ListParagraph"/>
        <w:numPr>
          <w:ilvl w:val="0"/>
          <w:numId w:val="157"/>
        </w:numPr>
        <w:tabs>
          <w:tab w:pos="1814" w:val="left" w:leader="none"/>
          <w:tab w:pos="1815" w:val="left" w:leader="none"/>
        </w:tabs>
        <w:spacing w:line="196" w:lineRule="auto" w:before="16" w:after="0"/>
        <w:ind w:left="1814" w:right="2346" w:hanging="681"/>
        <w:jc w:val="left"/>
        <w:rPr>
          <w:sz w:val="20"/>
        </w:rPr>
      </w:pPr>
      <w:r>
        <w:rPr>
          <w:spacing w:val="-7"/>
          <w:w w:val="120"/>
          <w:sz w:val="20"/>
        </w:rPr>
        <w:t>To </w:t>
      </w:r>
      <w:r>
        <w:rPr>
          <w:w w:val="120"/>
          <w:sz w:val="20"/>
        </w:rPr>
        <w:t>consult with colleagues, elders and others as appropriate when considering taking on </w:t>
      </w:r>
      <w:r>
        <w:rPr>
          <w:spacing w:val="2"/>
          <w:w w:val="120"/>
          <w:sz w:val="20"/>
        </w:rPr>
        <w:t>extra</w:t>
      </w:r>
      <w:r>
        <w:rPr>
          <w:spacing w:val="6"/>
          <w:w w:val="120"/>
          <w:sz w:val="20"/>
        </w:rPr>
        <w:t> </w:t>
      </w:r>
      <w:r>
        <w:rPr>
          <w:w w:val="120"/>
          <w:sz w:val="20"/>
        </w:rPr>
        <w:t>work.</w:t>
      </w:r>
    </w:p>
    <w:p>
      <w:pPr>
        <w:pStyle w:val="ListParagraph"/>
        <w:numPr>
          <w:ilvl w:val="0"/>
          <w:numId w:val="157"/>
        </w:numPr>
        <w:tabs>
          <w:tab w:pos="1814" w:val="left" w:leader="none"/>
          <w:tab w:pos="1815" w:val="left" w:leader="none"/>
        </w:tabs>
        <w:spacing w:line="196" w:lineRule="auto" w:before="16" w:after="0"/>
        <w:ind w:left="1814" w:right="2615" w:hanging="681"/>
        <w:jc w:val="left"/>
        <w:rPr>
          <w:sz w:val="20"/>
        </w:rPr>
      </w:pPr>
      <w:r>
        <w:rPr>
          <w:spacing w:val="-7"/>
          <w:w w:val="120"/>
          <w:sz w:val="20"/>
        </w:rPr>
        <w:t>To </w:t>
      </w:r>
      <w:r>
        <w:rPr>
          <w:w w:val="120"/>
          <w:sz w:val="20"/>
        </w:rPr>
        <w:t>observe proper boundaries in relationships and not to enter into a sexual relationship with anyone in their</w:t>
      </w:r>
      <w:r>
        <w:rPr>
          <w:spacing w:val="9"/>
          <w:w w:val="120"/>
          <w:sz w:val="20"/>
        </w:rPr>
        <w:t> </w:t>
      </w:r>
      <w:r>
        <w:rPr>
          <w:w w:val="120"/>
          <w:sz w:val="20"/>
        </w:rPr>
        <w:t>care.</w:t>
      </w:r>
    </w:p>
    <w:p>
      <w:pPr>
        <w:pStyle w:val="ListParagraph"/>
        <w:numPr>
          <w:ilvl w:val="0"/>
          <w:numId w:val="157"/>
        </w:numPr>
        <w:tabs>
          <w:tab w:pos="1814" w:val="left" w:leader="none"/>
          <w:tab w:pos="1815" w:val="left" w:leader="none"/>
        </w:tabs>
        <w:spacing w:line="196" w:lineRule="auto" w:before="16" w:after="0"/>
        <w:ind w:left="1814" w:right="2059" w:hanging="681"/>
        <w:jc w:val="left"/>
        <w:rPr>
          <w:sz w:val="20"/>
        </w:rPr>
      </w:pPr>
      <w:r>
        <w:rPr>
          <w:w w:val="120"/>
          <w:sz w:val="20"/>
        </w:rPr>
        <w:t>Not to be alone with a child or children or young people in a place quite separate from</w:t>
      </w:r>
      <w:r>
        <w:rPr>
          <w:spacing w:val="1"/>
          <w:w w:val="120"/>
          <w:sz w:val="20"/>
        </w:rPr>
        <w:t> </w:t>
      </w:r>
      <w:r>
        <w:rPr>
          <w:w w:val="120"/>
          <w:sz w:val="20"/>
        </w:rPr>
        <w:t>others.</w:t>
      </w:r>
    </w:p>
    <w:p>
      <w:pPr>
        <w:pStyle w:val="BodyText"/>
        <w:spacing w:before="4"/>
        <w:rPr>
          <w:sz w:val="27"/>
        </w:rPr>
      </w:pPr>
    </w:p>
    <w:p>
      <w:pPr>
        <w:tabs>
          <w:tab w:pos="1814" w:val="left" w:leader="none"/>
        </w:tabs>
        <w:spacing w:before="0"/>
        <w:ind w:left="1133" w:right="0" w:firstLine="0"/>
        <w:jc w:val="left"/>
        <w:rPr>
          <w:rFonts w:ascii="Stone Sans II ITC Std Bk"/>
          <w:b/>
          <w:i/>
          <w:sz w:val="20"/>
        </w:rPr>
      </w:pPr>
      <w:r>
        <w:rPr>
          <w:rFonts w:ascii="Stone Sans II ITC Std Bk"/>
          <w:b/>
          <w:w w:val="110"/>
          <w:sz w:val="20"/>
        </w:rPr>
        <w:t>3d</w:t>
        <w:tab/>
      </w:r>
      <w:r>
        <w:rPr>
          <w:rFonts w:ascii="Stone Sans II ITC Std Bk"/>
          <w:b/>
          <w:i/>
          <w:w w:val="110"/>
          <w:sz w:val="20"/>
        </w:rPr>
        <w:t>Relationship with councils of the</w:t>
      </w:r>
      <w:r>
        <w:rPr>
          <w:rFonts w:ascii="Stone Sans II ITC Std Bk"/>
          <w:b/>
          <w:i/>
          <w:spacing w:val="-5"/>
          <w:w w:val="110"/>
          <w:sz w:val="20"/>
        </w:rPr>
        <w:t> </w:t>
      </w:r>
      <w:r>
        <w:rPr>
          <w:rFonts w:ascii="Stone Sans II ITC Std Bk"/>
          <w:b/>
          <w:i/>
          <w:w w:val="110"/>
          <w:sz w:val="20"/>
        </w:rPr>
        <w:t>Church</w:t>
      </w:r>
    </w:p>
    <w:p>
      <w:pPr>
        <w:pStyle w:val="ListParagraph"/>
        <w:numPr>
          <w:ilvl w:val="0"/>
          <w:numId w:val="157"/>
        </w:numPr>
        <w:tabs>
          <w:tab w:pos="1814" w:val="left" w:leader="none"/>
          <w:tab w:pos="1815" w:val="left" w:leader="none"/>
        </w:tabs>
        <w:spacing w:line="281" w:lineRule="exact" w:before="52" w:after="0"/>
        <w:ind w:left="1814" w:right="0" w:hanging="682"/>
        <w:jc w:val="left"/>
        <w:rPr>
          <w:sz w:val="20"/>
        </w:rPr>
      </w:pPr>
      <w:r>
        <w:rPr>
          <w:spacing w:val="-8"/>
          <w:w w:val="120"/>
          <w:sz w:val="20"/>
        </w:rPr>
        <w:t>To </w:t>
      </w:r>
      <w:r>
        <w:rPr>
          <w:w w:val="120"/>
          <w:sz w:val="20"/>
        </w:rPr>
        <w:t>be active in the councils of the</w:t>
      </w:r>
      <w:r>
        <w:rPr>
          <w:spacing w:val="21"/>
          <w:w w:val="120"/>
          <w:sz w:val="20"/>
        </w:rPr>
        <w:t> </w:t>
      </w:r>
      <w:r>
        <w:rPr>
          <w:w w:val="120"/>
          <w:sz w:val="20"/>
        </w:rPr>
        <w:t>Church.</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8"/>
          <w:w w:val="115"/>
          <w:sz w:val="20"/>
        </w:rPr>
        <w:t>To </w:t>
      </w:r>
      <w:r>
        <w:rPr>
          <w:w w:val="115"/>
          <w:sz w:val="20"/>
        </w:rPr>
        <w:t>accept the oversight of synod and pastoral care of synod</w:t>
      </w:r>
      <w:r>
        <w:rPr>
          <w:spacing w:val="37"/>
          <w:w w:val="115"/>
          <w:sz w:val="20"/>
        </w:rPr>
        <w:t> </w:t>
      </w:r>
      <w:r>
        <w:rPr>
          <w:w w:val="115"/>
          <w:sz w:val="20"/>
        </w:rPr>
        <w:t>moderators.</w:t>
      </w:r>
    </w:p>
    <w:p>
      <w:pPr>
        <w:pStyle w:val="ListParagraph"/>
        <w:numPr>
          <w:ilvl w:val="0"/>
          <w:numId w:val="157"/>
        </w:numPr>
        <w:tabs>
          <w:tab w:pos="1814" w:val="left" w:leader="none"/>
          <w:tab w:pos="1815" w:val="left" w:leader="none"/>
        </w:tabs>
        <w:spacing w:line="196" w:lineRule="auto" w:before="0" w:after="0"/>
        <w:ind w:left="1814" w:right="2279" w:hanging="681"/>
        <w:jc w:val="left"/>
        <w:rPr>
          <w:sz w:val="20"/>
        </w:rPr>
      </w:pPr>
      <w:r>
        <w:rPr>
          <w:spacing w:val="-8"/>
          <w:w w:val="120"/>
          <w:sz w:val="20"/>
        </w:rPr>
        <w:t>To</w:t>
      </w:r>
      <w:r>
        <w:rPr>
          <w:spacing w:val="-7"/>
          <w:w w:val="120"/>
          <w:sz w:val="20"/>
        </w:rPr>
        <w:t> </w:t>
      </w:r>
      <w:r>
        <w:rPr>
          <w:w w:val="120"/>
          <w:sz w:val="20"/>
        </w:rPr>
        <w:t>submit</w:t>
      </w:r>
      <w:r>
        <w:rPr>
          <w:spacing w:val="-6"/>
          <w:w w:val="120"/>
          <w:sz w:val="20"/>
        </w:rPr>
        <w:t> </w:t>
      </w:r>
      <w:r>
        <w:rPr>
          <w:w w:val="120"/>
          <w:sz w:val="20"/>
        </w:rPr>
        <w:t>to</w:t>
      </w:r>
      <w:r>
        <w:rPr>
          <w:spacing w:val="-6"/>
          <w:w w:val="120"/>
          <w:sz w:val="20"/>
        </w:rPr>
        <w:t> </w:t>
      </w:r>
      <w:r>
        <w:rPr>
          <w:w w:val="120"/>
          <w:sz w:val="20"/>
        </w:rPr>
        <w:t>disciplinary</w:t>
      </w:r>
      <w:r>
        <w:rPr>
          <w:spacing w:val="-6"/>
          <w:w w:val="120"/>
          <w:sz w:val="20"/>
        </w:rPr>
        <w:t> </w:t>
      </w:r>
      <w:r>
        <w:rPr>
          <w:w w:val="120"/>
          <w:sz w:val="20"/>
        </w:rPr>
        <w:t>procedures</w:t>
      </w:r>
      <w:r>
        <w:rPr>
          <w:spacing w:val="-6"/>
          <w:w w:val="120"/>
          <w:sz w:val="20"/>
        </w:rPr>
        <w:t> </w:t>
      </w:r>
      <w:r>
        <w:rPr>
          <w:w w:val="120"/>
          <w:sz w:val="20"/>
        </w:rPr>
        <w:t>when</w:t>
      </w:r>
      <w:r>
        <w:rPr>
          <w:spacing w:val="-6"/>
          <w:w w:val="120"/>
          <w:sz w:val="20"/>
        </w:rPr>
        <w:t> </w:t>
      </w:r>
      <w:r>
        <w:rPr>
          <w:w w:val="120"/>
          <w:sz w:val="20"/>
        </w:rPr>
        <w:t>initiated</w:t>
      </w:r>
      <w:r>
        <w:rPr>
          <w:spacing w:val="-6"/>
          <w:w w:val="120"/>
          <w:sz w:val="20"/>
        </w:rPr>
        <w:t> </w:t>
      </w:r>
      <w:r>
        <w:rPr>
          <w:w w:val="120"/>
          <w:sz w:val="20"/>
        </w:rPr>
        <w:t>by</w:t>
      </w:r>
      <w:r>
        <w:rPr>
          <w:spacing w:val="-6"/>
          <w:w w:val="120"/>
          <w:sz w:val="20"/>
        </w:rPr>
        <w:t> </w:t>
      </w:r>
      <w:r>
        <w:rPr>
          <w:w w:val="120"/>
          <w:sz w:val="20"/>
        </w:rPr>
        <w:t>the</w:t>
      </w:r>
      <w:r>
        <w:rPr>
          <w:spacing w:val="-6"/>
          <w:w w:val="120"/>
          <w:sz w:val="20"/>
        </w:rPr>
        <w:t> </w:t>
      </w:r>
      <w:r>
        <w:rPr>
          <w:w w:val="120"/>
          <w:sz w:val="20"/>
        </w:rPr>
        <w:t>councils</w:t>
      </w:r>
      <w:r>
        <w:rPr>
          <w:spacing w:val="-6"/>
          <w:w w:val="120"/>
          <w:sz w:val="20"/>
        </w:rPr>
        <w:t> </w:t>
      </w:r>
      <w:r>
        <w:rPr>
          <w:w w:val="120"/>
          <w:sz w:val="20"/>
        </w:rPr>
        <w:t>of</w:t>
      </w:r>
      <w:r>
        <w:rPr>
          <w:spacing w:val="-7"/>
          <w:w w:val="120"/>
          <w:sz w:val="20"/>
        </w:rPr>
        <w:t> </w:t>
      </w:r>
      <w:r>
        <w:rPr>
          <w:w w:val="120"/>
          <w:sz w:val="20"/>
        </w:rPr>
        <w:t>the</w:t>
      </w:r>
      <w:r>
        <w:rPr>
          <w:spacing w:val="-6"/>
          <w:w w:val="120"/>
          <w:sz w:val="20"/>
        </w:rPr>
        <w:t> </w:t>
      </w:r>
      <w:r>
        <w:rPr>
          <w:w w:val="120"/>
          <w:sz w:val="20"/>
        </w:rPr>
        <w:t>church and</w:t>
      </w:r>
      <w:r>
        <w:rPr>
          <w:spacing w:val="-5"/>
          <w:w w:val="120"/>
          <w:sz w:val="20"/>
        </w:rPr>
        <w:t> </w:t>
      </w:r>
      <w:r>
        <w:rPr>
          <w:w w:val="120"/>
          <w:sz w:val="20"/>
        </w:rPr>
        <w:t>to</w:t>
      </w:r>
      <w:r>
        <w:rPr>
          <w:spacing w:val="-4"/>
          <w:w w:val="120"/>
          <w:sz w:val="20"/>
        </w:rPr>
        <w:t> </w:t>
      </w:r>
      <w:r>
        <w:rPr>
          <w:w w:val="120"/>
          <w:sz w:val="20"/>
        </w:rPr>
        <w:t>inform</w:t>
      </w:r>
      <w:r>
        <w:rPr>
          <w:spacing w:val="-4"/>
          <w:w w:val="120"/>
          <w:sz w:val="20"/>
        </w:rPr>
        <w:t> </w:t>
      </w:r>
      <w:r>
        <w:rPr>
          <w:w w:val="120"/>
          <w:sz w:val="20"/>
        </w:rPr>
        <w:t>as</w:t>
      </w:r>
      <w:r>
        <w:rPr>
          <w:spacing w:val="-4"/>
          <w:w w:val="120"/>
          <w:sz w:val="20"/>
        </w:rPr>
        <w:t> </w:t>
      </w:r>
      <w:r>
        <w:rPr>
          <w:w w:val="120"/>
          <w:sz w:val="20"/>
        </w:rPr>
        <w:t>soon</w:t>
      </w:r>
      <w:r>
        <w:rPr>
          <w:spacing w:val="-4"/>
          <w:w w:val="120"/>
          <w:sz w:val="20"/>
        </w:rPr>
        <w:t> </w:t>
      </w:r>
      <w:r>
        <w:rPr>
          <w:w w:val="120"/>
          <w:sz w:val="20"/>
        </w:rPr>
        <w:t>as</w:t>
      </w:r>
      <w:r>
        <w:rPr>
          <w:spacing w:val="-4"/>
          <w:w w:val="120"/>
          <w:sz w:val="20"/>
        </w:rPr>
        <w:t> </w:t>
      </w:r>
      <w:r>
        <w:rPr>
          <w:w w:val="120"/>
          <w:sz w:val="20"/>
        </w:rPr>
        <w:t>possible</w:t>
      </w:r>
      <w:r>
        <w:rPr>
          <w:spacing w:val="-5"/>
          <w:w w:val="120"/>
          <w:sz w:val="20"/>
        </w:rPr>
        <w:t> </w:t>
      </w:r>
      <w:r>
        <w:rPr>
          <w:w w:val="120"/>
          <w:sz w:val="20"/>
        </w:rPr>
        <w:t>the</w:t>
      </w:r>
      <w:r>
        <w:rPr>
          <w:spacing w:val="-4"/>
          <w:w w:val="120"/>
          <w:sz w:val="20"/>
        </w:rPr>
        <w:t> </w:t>
      </w:r>
      <w:r>
        <w:rPr>
          <w:w w:val="120"/>
          <w:sz w:val="20"/>
        </w:rPr>
        <w:t>synod</w:t>
      </w:r>
      <w:r>
        <w:rPr>
          <w:spacing w:val="-4"/>
          <w:w w:val="120"/>
          <w:sz w:val="20"/>
        </w:rPr>
        <w:t> </w:t>
      </w:r>
      <w:r>
        <w:rPr>
          <w:w w:val="120"/>
          <w:sz w:val="20"/>
        </w:rPr>
        <w:t>clerk</w:t>
      </w:r>
      <w:r>
        <w:rPr>
          <w:spacing w:val="-4"/>
          <w:w w:val="120"/>
          <w:sz w:val="20"/>
        </w:rPr>
        <w:t> </w:t>
      </w:r>
      <w:r>
        <w:rPr>
          <w:w w:val="120"/>
          <w:sz w:val="20"/>
        </w:rPr>
        <w:t>and</w:t>
      </w:r>
      <w:r>
        <w:rPr>
          <w:spacing w:val="-4"/>
          <w:w w:val="120"/>
          <w:sz w:val="20"/>
        </w:rPr>
        <w:t> </w:t>
      </w:r>
      <w:r>
        <w:rPr>
          <w:w w:val="120"/>
          <w:sz w:val="20"/>
        </w:rPr>
        <w:t>synod</w:t>
      </w:r>
      <w:r>
        <w:rPr>
          <w:spacing w:val="-4"/>
          <w:w w:val="120"/>
          <w:sz w:val="20"/>
        </w:rPr>
        <w:t> </w:t>
      </w:r>
      <w:r>
        <w:rPr>
          <w:w w:val="120"/>
          <w:sz w:val="20"/>
        </w:rPr>
        <w:t>moderator</w:t>
      </w:r>
      <w:r>
        <w:rPr>
          <w:spacing w:val="-5"/>
          <w:w w:val="120"/>
          <w:sz w:val="20"/>
        </w:rPr>
        <w:t> </w:t>
      </w:r>
      <w:r>
        <w:rPr>
          <w:w w:val="120"/>
          <w:sz w:val="20"/>
        </w:rPr>
        <w:t>when</w:t>
      </w:r>
    </w:p>
    <w:p>
      <w:pPr>
        <w:pStyle w:val="BodyText"/>
        <w:spacing w:line="227" w:lineRule="exact" w:before="5"/>
        <w:ind w:left="1814"/>
      </w:pPr>
      <w:r>
        <w:rPr>
          <w:w w:val="120"/>
        </w:rPr>
        <w:t>involved in legal proceedings (civil or criminal).</w:t>
      </w:r>
    </w:p>
    <w:p>
      <w:pPr>
        <w:pStyle w:val="ListParagraph"/>
        <w:numPr>
          <w:ilvl w:val="0"/>
          <w:numId w:val="157"/>
        </w:numPr>
        <w:tabs>
          <w:tab w:pos="1814" w:val="left" w:leader="none"/>
          <w:tab w:pos="1815" w:val="left" w:leader="none"/>
        </w:tabs>
        <w:spacing w:line="264" w:lineRule="exact" w:before="0" w:after="0"/>
        <w:ind w:left="1814" w:right="0" w:hanging="682"/>
        <w:jc w:val="left"/>
        <w:rPr>
          <w:sz w:val="20"/>
        </w:rPr>
      </w:pPr>
      <w:r>
        <w:rPr>
          <w:spacing w:val="-8"/>
          <w:w w:val="120"/>
          <w:sz w:val="20"/>
        </w:rPr>
        <w:t>To </w:t>
      </w:r>
      <w:r>
        <w:rPr>
          <w:w w:val="120"/>
          <w:sz w:val="20"/>
        </w:rPr>
        <w:t>participate in accompanied self-appraisal and review as</w:t>
      </w:r>
      <w:r>
        <w:rPr>
          <w:spacing w:val="6"/>
          <w:w w:val="120"/>
          <w:sz w:val="20"/>
        </w:rPr>
        <w:t> </w:t>
      </w:r>
      <w:r>
        <w:rPr>
          <w:w w:val="120"/>
          <w:sz w:val="20"/>
        </w:rPr>
        <w:t>appropriate.</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8"/>
          <w:w w:val="115"/>
          <w:sz w:val="20"/>
        </w:rPr>
        <w:t>To </w:t>
      </w:r>
      <w:r>
        <w:rPr>
          <w:w w:val="115"/>
          <w:sz w:val="20"/>
        </w:rPr>
        <w:t>work to the agreed terms of</w:t>
      </w:r>
      <w:r>
        <w:rPr>
          <w:spacing w:val="41"/>
          <w:w w:val="115"/>
          <w:sz w:val="20"/>
        </w:rPr>
        <w:t> </w:t>
      </w:r>
      <w:r>
        <w:rPr>
          <w:w w:val="115"/>
          <w:sz w:val="20"/>
        </w:rPr>
        <w:t>settlement.</w:t>
      </w:r>
    </w:p>
    <w:p>
      <w:pPr>
        <w:pStyle w:val="ListParagraph"/>
        <w:numPr>
          <w:ilvl w:val="0"/>
          <w:numId w:val="157"/>
        </w:numPr>
        <w:tabs>
          <w:tab w:pos="1814" w:val="left" w:leader="none"/>
          <w:tab w:pos="1815" w:val="left" w:leader="none"/>
        </w:tabs>
        <w:spacing w:line="196" w:lineRule="auto" w:before="0" w:after="0"/>
        <w:ind w:left="1814" w:right="2208" w:hanging="681"/>
        <w:jc w:val="left"/>
        <w:rPr>
          <w:sz w:val="20"/>
        </w:rPr>
      </w:pPr>
      <w:r>
        <w:rPr>
          <w:spacing w:val="-7"/>
          <w:w w:val="120"/>
          <w:sz w:val="20"/>
        </w:rPr>
        <w:t>To </w:t>
      </w:r>
      <w:r>
        <w:rPr>
          <w:w w:val="120"/>
          <w:sz w:val="20"/>
        </w:rPr>
        <w:t>be aware of the guidelines for on-going training issued by the Education and Learning</w:t>
      </w:r>
      <w:r>
        <w:rPr>
          <w:spacing w:val="2"/>
          <w:w w:val="120"/>
          <w:sz w:val="20"/>
        </w:rPr>
        <w:t> </w:t>
      </w:r>
      <w:r>
        <w:rPr>
          <w:w w:val="120"/>
          <w:sz w:val="20"/>
        </w:rPr>
        <w:t>committee.</w:t>
      </w:r>
    </w:p>
    <w:p>
      <w:pPr>
        <w:pStyle w:val="BodyText"/>
      </w:pPr>
    </w:p>
    <w:p>
      <w:pPr>
        <w:pStyle w:val="BodyText"/>
        <w:spacing w:before="6"/>
        <w:rPr>
          <w:sz w:val="22"/>
        </w:rPr>
      </w:pPr>
      <w:r>
        <w:rPr/>
        <w:pict>
          <v:shape style="position:absolute;margin-left:56.692902pt;margin-top:22.016552pt;width:183.85pt;height:.1pt;mso-position-horizontal-relative:page;mso-position-vertical-relative:paragraph;z-index:-251005952;mso-wrap-distance-left:0;mso-wrap-distance-right:0" coordorigin="1134,440" coordsize="3677,0" path="m1134,440l4811,440e" filled="false" stroked="true" strokeweight=".5pt" strokecolor="#8ba8bd">
            <v:path arrowok="t"/>
            <v:stroke dashstyle="solid"/>
            <w10:wrap type="topAndBottom"/>
          </v:shape>
        </w:pict>
      </w:r>
      <w:r>
        <w:rPr/>
        <w:pict>
          <v:rect style="position:absolute;margin-left:250.865997pt;margin-top:15.694254pt;width:13.721pt;height:13.721pt;mso-position-horizontal-relative:page;mso-position-vertical-relative:paragraph;z-index:-251004928;mso-wrap-distance-left:0;mso-wrap-distance-right:0" filled="true" fillcolor="#8ba8bd" stroked="false">
            <v:fill type="solid"/>
            <w10:wrap type="topAndBottom"/>
          </v:rect>
        </w:pict>
      </w:r>
      <w:r>
        <w:rPr/>
        <w:pict>
          <v:rect style="position:absolute;margin-left:269.303009pt;margin-top:15.694254pt;width:13.721pt;height:13.721pt;mso-position-horizontal-relative:page;mso-position-vertical-relative:paragraph;z-index:-251003904;mso-wrap-distance-left:0;mso-wrap-distance-right:0" filled="true" fillcolor="#c2d2df" stroked="false">
            <v:fill type="solid"/>
            <w10:wrap type="topAndBottom"/>
          </v:rect>
        </w:pict>
      </w:r>
      <w:r>
        <w:rPr/>
        <w:pict>
          <v:rect style="position:absolute;margin-left:288.169006pt;margin-top:15.694254pt;width:13.721pt;height:13.721pt;mso-position-horizontal-relative:page;mso-position-vertical-relative:paragraph;z-index:-251002880;mso-wrap-distance-left:0;mso-wrap-distance-right:0" filled="true" fillcolor="#dae4ec" stroked="false">
            <v:fill opacity="32768f" type="solid"/>
            <w10:wrap type="topAndBottom"/>
          </v:rect>
        </w:pict>
      </w:r>
      <w:r>
        <w:rPr/>
        <w:pict>
          <v:shape style="position:absolute;margin-left:311.716003pt;margin-top:22.016552pt;width:184.35pt;height:.1pt;mso-position-horizontal-relative:page;mso-position-vertical-relative:paragraph;z-index:-251001856;mso-wrap-distance-left:0;mso-wrap-distance-right:0" coordorigin="6234,440" coordsize="3687,0" path="m6234,440l9921,440e" filled="false" stroked="true" strokeweight=".5pt" strokecolor="#8ba8bd">
            <v:path arrowok="t"/>
            <v:stroke dashstyle="solid"/>
            <w10:wrap type="topAndBottom"/>
          </v:shape>
        </w:pict>
      </w:r>
    </w:p>
    <w:p>
      <w:pPr>
        <w:spacing w:after="0"/>
        <w:rPr>
          <w:sz w:val="22"/>
        </w:rPr>
        <w:sectPr>
          <w:headerReference w:type="even" r:id="rId527"/>
          <w:footerReference w:type="even" r:id="rId528"/>
          <w:pgSz w:w="11910" w:h="16840"/>
          <w:pgMar w:header="0" w:footer="647" w:top="0" w:bottom="840" w:left="0" w:right="0"/>
          <w:pgNumType w:start="218"/>
        </w:sectPr>
      </w:pPr>
    </w:p>
    <w:p>
      <w:pPr>
        <w:pStyle w:val="Heading2"/>
        <w:spacing w:line="213" w:lineRule="auto" w:before="132"/>
        <w:ind w:right="1997"/>
      </w:pPr>
      <w:r>
        <w:rPr/>
        <w:pict>
          <v:rect style="position:absolute;margin-left:0pt;margin-top:.000015pt;width:595.275pt;height:841.89pt;mso-position-horizontal-relative:page;mso-position-vertical-relative:page;z-index:-267106304" filled="true" fillcolor="#a1bf37" stroked="false">
            <v:fill type="solid"/>
            <w10:wrap type="none"/>
          </v:rect>
        </w:pict>
      </w:r>
      <w:r>
        <w:rPr/>
        <w:pict>
          <v:group style="position:absolute;margin-left:75.826797pt;margin-top:.000015pt;width:519.4500pt;height:790.9pt;mso-position-horizontal-relative:page;mso-position-vertical-relative:page;z-index:-267105280"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w10:wrap type="none"/>
          </v:group>
        </w:pict>
      </w:r>
      <w:r>
        <w:rPr/>
        <w:pict>
          <v:shape style="position:absolute;margin-left:512.587891pt;margin-top:-.236267pt;width:47.4pt;height:249.95pt;mso-position-horizontal-relative:page;mso-position-vertical-relative:paragraph;z-index:-267104256"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spacing w:val="-5"/>
                      <w:w w:val="110"/>
                      <w:sz w:val="72"/>
                    </w:rPr>
                    <w:t>Appendix</w:t>
                  </w:r>
                  <w:r>
                    <w:rPr>
                      <w:rFonts w:ascii="Stone Sans II ITC Std X Bd"/>
                      <w:b/>
                      <w:color w:val="A1BF37"/>
                      <w:spacing w:val="46"/>
                      <w:w w:val="110"/>
                      <w:sz w:val="72"/>
                    </w:rPr>
                    <w:t> </w:t>
                  </w:r>
                  <w:r>
                    <w:rPr>
                      <w:rFonts w:ascii="Stone Sans II ITC Std X Bd"/>
                      <w:b/>
                      <w:color w:val="A1BF37"/>
                      <w:spacing w:val="-13"/>
                      <w:w w:val="110"/>
                      <w:sz w:val="72"/>
                    </w:rPr>
                    <w:t>3c</w:t>
                  </w:r>
                </w:p>
              </w:txbxContent>
            </v:textbox>
            <w10:wrap type="none"/>
          </v:shape>
        </w:pict>
      </w:r>
      <w:r>
        <w:rPr>
          <w:w w:val="110"/>
        </w:rPr>
        <w:t>Guidelines on conduct and behaviour for elders</w:t>
      </w:r>
    </w:p>
    <w:p>
      <w:pPr>
        <w:numPr>
          <w:ilvl w:val="0"/>
          <w:numId w:val="159"/>
        </w:numPr>
        <w:tabs>
          <w:tab w:pos="2664" w:val="left" w:leader="none"/>
          <w:tab w:pos="2665" w:val="left" w:leader="none"/>
        </w:tabs>
        <w:spacing w:line="261" w:lineRule="exact" w:before="446"/>
        <w:ind w:left="2664" w:right="0" w:hanging="681"/>
        <w:jc w:val="left"/>
        <w:rPr>
          <w:rFonts w:ascii="Stone Sans II ITC Std Bk"/>
          <w:b/>
          <w:sz w:val="20"/>
        </w:rPr>
      </w:pPr>
      <w:r>
        <w:rPr>
          <w:rFonts w:ascii="Stone Sans II ITC Std Bk"/>
          <w:b/>
          <w:w w:val="110"/>
          <w:sz w:val="20"/>
        </w:rPr>
        <w:t>Introduction</w:t>
      </w:r>
    </w:p>
    <w:p>
      <w:pPr>
        <w:pStyle w:val="BodyText"/>
        <w:spacing w:line="235" w:lineRule="auto"/>
        <w:ind w:left="1984" w:right="1901"/>
      </w:pPr>
      <w:r>
        <w:rPr>
          <w:w w:val="120"/>
        </w:rPr>
        <w:t>This paper sets down expectations of elders in relation to ministers of Word and Sacrament and church related community workers (CRCWs) within the United Reformed Church. Parallel papers about the expectations of ministers and CRCWs are to be read alongside this document.</w:t>
      </w:r>
    </w:p>
    <w:p>
      <w:pPr>
        <w:pStyle w:val="BodyText"/>
        <w:spacing w:before="1"/>
        <w:rPr>
          <w:sz w:val="18"/>
        </w:rPr>
      </w:pPr>
    </w:p>
    <w:p>
      <w:pPr>
        <w:numPr>
          <w:ilvl w:val="0"/>
          <w:numId w:val="159"/>
        </w:numPr>
        <w:tabs>
          <w:tab w:pos="2664" w:val="left" w:leader="none"/>
          <w:tab w:pos="2665" w:val="left" w:leader="none"/>
        </w:tabs>
        <w:spacing w:line="261" w:lineRule="exact" w:before="0"/>
        <w:ind w:left="2664" w:right="0" w:hanging="681"/>
        <w:jc w:val="left"/>
        <w:rPr>
          <w:rFonts w:ascii="Stone Sans II ITC Std Bk"/>
          <w:b/>
          <w:sz w:val="20"/>
        </w:rPr>
      </w:pPr>
      <w:r>
        <w:rPr>
          <w:rFonts w:ascii="Stone Sans II ITC Std Bk"/>
          <w:b/>
          <w:w w:val="110"/>
          <w:sz w:val="20"/>
        </w:rPr>
        <w:t>Basis of</w:t>
      </w:r>
      <w:r>
        <w:rPr>
          <w:rFonts w:ascii="Stone Sans II ITC Std Bk"/>
          <w:b/>
          <w:spacing w:val="-1"/>
          <w:w w:val="110"/>
          <w:sz w:val="20"/>
        </w:rPr>
        <w:t> </w:t>
      </w:r>
      <w:r>
        <w:rPr>
          <w:rFonts w:ascii="Stone Sans II ITC Std Bk"/>
          <w:b/>
          <w:w w:val="110"/>
          <w:sz w:val="20"/>
        </w:rPr>
        <w:t>Union</w:t>
      </w:r>
    </w:p>
    <w:p>
      <w:pPr>
        <w:pStyle w:val="BodyText"/>
        <w:spacing w:line="235" w:lineRule="auto"/>
        <w:ind w:left="1984" w:right="1997"/>
      </w:pPr>
      <w:r>
        <w:rPr>
          <w:w w:val="120"/>
        </w:rPr>
        <w:t>The foundation for the conduct of ministers is in the Basis of Union, summarised in Schedule E paragraph 2,</w:t>
      </w:r>
    </w:p>
    <w:p>
      <w:pPr>
        <w:pStyle w:val="BodyText"/>
        <w:spacing w:line="235" w:lineRule="auto" w:before="27"/>
        <w:ind w:left="2551" w:right="2402"/>
      </w:pPr>
      <w:r>
        <w:rPr>
          <w:w w:val="120"/>
        </w:rPr>
        <w:t>‘Ministers must conduct </w:t>
      </w:r>
      <w:r>
        <w:rPr>
          <w:spacing w:val="-3"/>
          <w:w w:val="120"/>
        </w:rPr>
        <w:t>themselves </w:t>
      </w:r>
      <w:r>
        <w:rPr>
          <w:w w:val="120"/>
        </w:rPr>
        <w:t>and </w:t>
      </w:r>
      <w:r>
        <w:rPr>
          <w:spacing w:val="-3"/>
          <w:w w:val="120"/>
        </w:rPr>
        <w:t>exercise </w:t>
      </w:r>
      <w:r>
        <w:rPr>
          <w:w w:val="120"/>
        </w:rPr>
        <w:t>all aspects of their ministries in a manner which is </w:t>
      </w:r>
      <w:r>
        <w:rPr>
          <w:spacing w:val="-3"/>
          <w:w w:val="120"/>
        </w:rPr>
        <w:t>compatible </w:t>
      </w:r>
      <w:r>
        <w:rPr>
          <w:w w:val="120"/>
        </w:rPr>
        <w:t>with the unity and </w:t>
      </w:r>
      <w:r>
        <w:rPr>
          <w:spacing w:val="-3"/>
          <w:w w:val="120"/>
        </w:rPr>
        <w:t>peace </w:t>
      </w:r>
      <w:r>
        <w:rPr>
          <w:w w:val="120"/>
        </w:rPr>
        <w:t>of the </w:t>
      </w:r>
      <w:r>
        <w:rPr>
          <w:spacing w:val="-3"/>
          <w:w w:val="120"/>
        </w:rPr>
        <w:t>United </w:t>
      </w:r>
      <w:r>
        <w:rPr>
          <w:w w:val="120"/>
        </w:rPr>
        <w:t>Reformed </w:t>
      </w:r>
      <w:r>
        <w:rPr>
          <w:spacing w:val="-3"/>
          <w:w w:val="120"/>
        </w:rPr>
        <w:t>Church </w:t>
      </w:r>
      <w:r>
        <w:rPr>
          <w:w w:val="120"/>
        </w:rPr>
        <w:t>and the affirmation made by </w:t>
      </w:r>
      <w:r>
        <w:rPr>
          <w:spacing w:val="-3"/>
          <w:w w:val="120"/>
        </w:rPr>
        <w:t>ministers </w:t>
      </w:r>
      <w:r>
        <w:rPr>
          <w:w w:val="120"/>
        </w:rPr>
        <w:t>at </w:t>
      </w:r>
      <w:r>
        <w:rPr>
          <w:spacing w:val="-3"/>
          <w:w w:val="120"/>
        </w:rPr>
        <w:t>ordination </w:t>
      </w:r>
      <w:r>
        <w:rPr>
          <w:w w:val="120"/>
        </w:rPr>
        <w:t>and induction </w:t>
      </w:r>
      <w:r>
        <w:rPr>
          <w:spacing w:val="-4"/>
          <w:w w:val="120"/>
        </w:rPr>
        <w:t>(Schedule </w:t>
      </w:r>
      <w:r>
        <w:rPr>
          <w:spacing w:val="-3"/>
          <w:w w:val="120"/>
        </w:rPr>
        <w:t>C) </w:t>
      </w:r>
      <w:r>
        <w:rPr>
          <w:w w:val="120"/>
        </w:rPr>
        <w:t>and the </w:t>
      </w:r>
      <w:r>
        <w:rPr>
          <w:spacing w:val="-3"/>
          <w:w w:val="120"/>
        </w:rPr>
        <w:t>Statement concerning  </w:t>
      </w:r>
      <w:r>
        <w:rPr>
          <w:w w:val="120"/>
        </w:rPr>
        <w:t>the </w:t>
      </w:r>
      <w:r>
        <w:rPr>
          <w:spacing w:val="-3"/>
          <w:w w:val="120"/>
        </w:rPr>
        <w:t>nature, </w:t>
      </w:r>
      <w:r>
        <w:rPr>
          <w:w w:val="120"/>
        </w:rPr>
        <w:t>faith and order of the </w:t>
      </w:r>
      <w:r>
        <w:rPr>
          <w:spacing w:val="-3"/>
          <w:w w:val="120"/>
        </w:rPr>
        <w:t>United </w:t>
      </w:r>
      <w:r>
        <w:rPr>
          <w:w w:val="120"/>
        </w:rPr>
        <w:t>Reformed </w:t>
      </w:r>
      <w:r>
        <w:rPr>
          <w:spacing w:val="-3"/>
          <w:w w:val="120"/>
        </w:rPr>
        <w:t>Church </w:t>
      </w:r>
      <w:r>
        <w:rPr>
          <w:spacing w:val="-4"/>
          <w:w w:val="120"/>
        </w:rPr>
        <w:t>(Schedule </w:t>
      </w:r>
      <w:r>
        <w:rPr>
          <w:spacing w:val="-8"/>
          <w:w w:val="120"/>
        </w:rPr>
        <w:t>D) </w:t>
      </w:r>
      <w:r>
        <w:rPr>
          <w:w w:val="120"/>
        </w:rPr>
        <w:t>in </w:t>
      </w:r>
      <w:r>
        <w:rPr>
          <w:spacing w:val="-4"/>
          <w:w w:val="120"/>
        </w:rPr>
        <w:t>accordance </w:t>
      </w:r>
      <w:r>
        <w:rPr>
          <w:w w:val="120"/>
        </w:rPr>
        <w:t>with which </w:t>
      </w:r>
      <w:r>
        <w:rPr>
          <w:spacing w:val="-3"/>
          <w:w w:val="120"/>
        </w:rPr>
        <w:t>ministers </w:t>
      </w:r>
      <w:r>
        <w:rPr>
          <w:w w:val="120"/>
        </w:rPr>
        <w:t>undertake </w:t>
      </w:r>
      <w:r>
        <w:rPr>
          <w:spacing w:val="-3"/>
          <w:w w:val="120"/>
        </w:rPr>
        <w:t>to exercise </w:t>
      </w:r>
      <w:r>
        <w:rPr>
          <w:w w:val="120"/>
        </w:rPr>
        <w:t>their</w:t>
      </w:r>
      <w:r>
        <w:rPr>
          <w:spacing w:val="-13"/>
          <w:w w:val="120"/>
        </w:rPr>
        <w:t> </w:t>
      </w:r>
      <w:r>
        <w:rPr>
          <w:spacing w:val="-4"/>
          <w:w w:val="120"/>
        </w:rPr>
        <w:t>ministry.’</w:t>
      </w:r>
    </w:p>
    <w:p>
      <w:pPr>
        <w:pStyle w:val="BodyText"/>
        <w:spacing w:before="8"/>
        <w:rPr>
          <w:sz w:val="19"/>
        </w:rPr>
      </w:pPr>
    </w:p>
    <w:p>
      <w:pPr>
        <w:pStyle w:val="BodyText"/>
        <w:spacing w:line="242" w:lineRule="exact"/>
        <w:ind w:left="1984"/>
      </w:pPr>
      <w:r>
        <w:rPr>
          <w:w w:val="125"/>
        </w:rPr>
        <w:t>The relevant promises in Schedule C are</w:t>
      </w:r>
    </w:p>
    <w:p>
      <w:pPr>
        <w:pStyle w:val="ListParagraph"/>
        <w:numPr>
          <w:ilvl w:val="1"/>
          <w:numId w:val="159"/>
        </w:numPr>
        <w:tabs>
          <w:tab w:pos="3092" w:val="left" w:leader="none"/>
          <w:tab w:pos="3093" w:val="left" w:leader="none"/>
        </w:tabs>
        <w:spacing w:line="235" w:lineRule="auto" w:before="2" w:after="0"/>
        <w:ind w:left="3118" w:right="3220" w:hanging="567"/>
        <w:jc w:val="left"/>
        <w:rPr>
          <w:sz w:val="20"/>
        </w:rPr>
      </w:pPr>
      <w:r>
        <w:rPr>
          <w:w w:val="120"/>
          <w:sz w:val="20"/>
        </w:rPr>
        <w:t>‘to live a holy life and to maintain the truth of the Gospel whatever trouble or persecution may</w:t>
      </w:r>
      <w:r>
        <w:rPr>
          <w:spacing w:val="9"/>
          <w:w w:val="120"/>
          <w:sz w:val="20"/>
        </w:rPr>
        <w:t> </w:t>
      </w:r>
      <w:r>
        <w:rPr>
          <w:spacing w:val="-4"/>
          <w:w w:val="120"/>
          <w:sz w:val="20"/>
        </w:rPr>
        <w:t>arise’,</w:t>
      </w:r>
    </w:p>
    <w:p>
      <w:pPr>
        <w:pStyle w:val="BodyText"/>
        <w:spacing w:before="9"/>
        <w:rPr>
          <w:sz w:val="19"/>
        </w:rPr>
      </w:pPr>
    </w:p>
    <w:p>
      <w:pPr>
        <w:pStyle w:val="ListParagraph"/>
        <w:numPr>
          <w:ilvl w:val="1"/>
          <w:numId w:val="159"/>
        </w:numPr>
        <w:tabs>
          <w:tab w:pos="3092" w:val="left" w:leader="none"/>
          <w:tab w:pos="3093" w:val="left" w:leader="none"/>
        </w:tabs>
        <w:spacing w:line="235" w:lineRule="auto" w:before="1" w:after="0"/>
        <w:ind w:left="3118" w:right="2543" w:hanging="567"/>
        <w:jc w:val="left"/>
        <w:rPr>
          <w:sz w:val="20"/>
        </w:rPr>
      </w:pPr>
      <w:r>
        <w:rPr>
          <w:w w:val="120"/>
          <w:sz w:val="20"/>
        </w:rPr>
        <w:t>‘to fulfil the duties of your charge faithfully, to lead the church in worship, to preach the Word and administer the Sacraments, to exercise pastoral care and oversight, to take your </w:t>
      </w:r>
      <w:r>
        <w:rPr>
          <w:spacing w:val="2"/>
          <w:w w:val="120"/>
          <w:sz w:val="20"/>
        </w:rPr>
        <w:t>part </w:t>
      </w:r>
      <w:r>
        <w:rPr>
          <w:w w:val="120"/>
          <w:sz w:val="20"/>
        </w:rPr>
        <w:t>in the councils of the Church, and to give leadership to the church in its mission to the world,</w:t>
      </w:r>
      <w:r>
        <w:rPr>
          <w:spacing w:val="10"/>
          <w:w w:val="120"/>
          <w:sz w:val="20"/>
        </w:rPr>
        <w:t> </w:t>
      </w:r>
      <w:r>
        <w:rPr>
          <w:w w:val="120"/>
          <w:sz w:val="20"/>
        </w:rPr>
        <w:t>and</w:t>
      </w:r>
    </w:p>
    <w:p>
      <w:pPr>
        <w:pStyle w:val="BodyText"/>
        <w:spacing w:before="11"/>
        <w:rPr>
          <w:sz w:val="19"/>
        </w:rPr>
      </w:pPr>
    </w:p>
    <w:p>
      <w:pPr>
        <w:pStyle w:val="ListParagraph"/>
        <w:numPr>
          <w:ilvl w:val="1"/>
          <w:numId w:val="159"/>
        </w:numPr>
        <w:tabs>
          <w:tab w:pos="3092" w:val="left" w:leader="none"/>
          <w:tab w:pos="3093" w:val="left" w:leader="none"/>
        </w:tabs>
        <w:spacing w:line="235" w:lineRule="auto" w:before="0" w:after="0"/>
        <w:ind w:left="3118" w:right="2351" w:hanging="567"/>
        <w:jc w:val="left"/>
        <w:rPr>
          <w:sz w:val="20"/>
        </w:rPr>
      </w:pPr>
      <w:r>
        <w:rPr>
          <w:w w:val="120"/>
          <w:sz w:val="20"/>
        </w:rPr>
        <w:t>as a </w:t>
      </w:r>
      <w:r>
        <w:rPr>
          <w:spacing w:val="-3"/>
          <w:w w:val="120"/>
          <w:sz w:val="20"/>
        </w:rPr>
        <w:t>minister </w:t>
      </w:r>
      <w:r>
        <w:rPr>
          <w:w w:val="120"/>
          <w:sz w:val="20"/>
        </w:rPr>
        <w:t>of the </w:t>
      </w:r>
      <w:r>
        <w:rPr>
          <w:spacing w:val="-3"/>
          <w:w w:val="120"/>
          <w:sz w:val="20"/>
        </w:rPr>
        <w:t>United </w:t>
      </w:r>
      <w:r>
        <w:rPr>
          <w:w w:val="120"/>
          <w:sz w:val="20"/>
        </w:rPr>
        <w:t>Reformed </w:t>
      </w:r>
      <w:r>
        <w:rPr>
          <w:spacing w:val="-3"/>
          <w:w w:val="120"/>
          <w:sz w:val="20"/>
        </w:rPr>
        <w:t>Church ‘to </w:t>
      </w:r>
      <w:r>
        <w:rPr>
          <w:w w:val="120"/>
          <w:sz w:val="20"/>
        </w:rPr>
        <w:t>seek its well- being, purity and </w:t>
      </w:r>
      <w:r>
        <w:rPr>
          <w:spacing w:val="-3"/>
          <w:w w:val="120"/>
          <w:sz w:val="20"/>
        </w:rPr>
        <w:t>peace, to </w:t>
      </w:r>
      <w:r>
        <w:rPr>
          <w:w w:val="120"/>
          <w:sz w:val="20"/>
        </w:rPr>
        <w:t>cherish </w:t>
      </w:r>
      <w:r>
        <w:rPr>
          <w:spacing w:val="-3"/>
          <w:w w:val="120"/>
          <w:sz w:val="20"/>
        </w:rPr>
        <w:t>love towards </w:t>
      </w:r>
      <w:r>
        <w:rPr>
          <w:w w:val="120"/>
          <w:sz w:val="20"/>
        </w:rPr>
        <w:t>all other </w:t>
      </w:r>
      <w:r>
        <w:rPr>
          <w:spacing w:val="-3"/>
          <w:w w:val="120"/>
          <w:sz w:val="20"/>
        </w:rPr>
        <w:t>churches </w:t>
      </w:r>
      <w:r>
        <w:rPr>
          <w:w w:val="120"/>
          <w:sz w:val="20"/>
        </w:rPr>
        <w:t>and </w:t>
      </w:r>
      <w:r>
        <w:rPr>
          <w:spacing w:val="-3"/>
          <w:w w:val="120"/>
          <w:sz w:val="20"/>
        </w:rPr>
        <w:t>to endeavour always to </w:t>
      </w:r>
      <w:r>
        <w:rPr>
          <w:w w:val="120"/>
          <w:sz w:val="20"/>
        </w:rPr>
        <w:t>build up the one, </w:t>
      </w:r>
      <w:r>
        <w:rPr>
          <w:spacing w:val="-5"/>
          <w:w w:val="120"/>
          <w:sz w:val="20"/>
        </w:rPr>
        <w:t>holy, </w:t>
      </w:r>
      <w:r>
        <w:rPr>
          <w:w w:val="120"/>
          <w:sz w:val="20"/>
        </w:rPr>
        <w:t>catholic and apostolic</w:t>
      </w:r>
      <w:r>
        <w:rPr>
          <w:spacing w:val="-2"/>
          <w:w w:val="120"/>
          <w:sz w:val="20"/>
        </w:rPr>
        <w:t> </w:t>
      </w:r>
      <w:r>
        <w:rPr>
          <w:spacing w:val="-6"/>
          <w:w w:val="120"/>
          <w:sz w:val="20"/>
        </w:rPr>
        <w:t>Church’.</w:t>
      </w:r>
    </w:p>
    <w:p>
      <w:pPr>
        <w:pStyle w:val="BodyText"/>
        <w:spacing w:before="11"/>
        <w:rPr>
          <w:sz w:val="19"/>
        </w:rPr>
      </w:pPr>
    </w:p>
    <w:p>
      <w:pPr>
        <w:pStyle w:val="BodyText"/>
        <w:spacing w:line="235" w:lineRule="auto"/>
        <w:ind w:left="1984" w:right="1716"/>
      </w:pPr>
      <w:r>
        <w:rPr>
          <w:w w:val="120"/>
        </w:rPr>
        <w:t>Elders </w:t>
      </w:r>
      <w:r>
        <w:rPr>
          <w:spacing w:val="-4"/>
          <w:w w:val="120"/>
        </w:rPr>
        <w:t>‘share </w:t>
      </w:r>
      <w:r>
        <w:rPr>
          <w:w w:val="120"/>
        </w:rPr>
        <w:t>with </w:t>
      </w:r>
      <w:r>
        <w:rPr>
          <w:spacing w:val="-3"/>
          <w:w w:val="120"/>
        </w:rPr>
        <w:t>ministers </w:t>
      </w:r>
      <w:r>
        <w:rPr>
          <w:w w:val="120"/>
        </w:rPr>
        <w:t>of the </w:t>
      </w:r>
      <w:r>
        <w:rPr>
          <w:spacing w:val="-3"/>
          <w:w w:val="120"/>
        </w:rPr>
        <w:t>Word </w:t>
      </w:r>
      <w:r>
        <w:rPr>
          <w:w w:val="120"/>
        </w:rPr>
        <w:t>and Sacrament in the pastoral </w:t>
      </w:r>
      <w:r>
        <w:rPr>
          <w:spacing w:val="-3"/>
          <w:w w:val="120"/>
        </w:rPr>
        <w:t>oversight </w:t>
      </w:r>
      <w:r>
        <w:rPr>
          <w:w w:val="120"/>
        </w:rPr>
        <w:t>and leadership of the local </w:t>
      </w:r>
      <w:r>
        <w:rPr>
          <w:spacing w:val="-3"/>
          <w:w w:val="120"/>
        </w:rPr>
        <w:t>churches, </w:t>
      </w:r>
      <w:r>
        <w:rPr>
          <w:w w:val="120"/>
        </w:rPr>
        <w:t>taking </w:t>
      </w:r>
      <w:r>
        <w:rPr>
          <w:spacing w:val="-3"/>
          <w:w w:val="120"/>
        </w:rPr>
        <w:t>counsel </w:t>
      </w:r>
      <w:r>
        <w:rPr>
          <w:w w:val="120"/>
        </w:rPr>
        <w:t>together in the elders’ meeting for the whole </w:t>
      </w:r>
      <w:r>
        <w:rPr>
          <w:spacing w:val="-3"/>
          <w:w w:val="120"/>
        </w:rPr>
        <w:t>church </w:t>
      </w:r>
      <w:r>
        <w:rPr>
          <w:w w:val="120"/>
        </w:rPr>
        <w:t>and </w:t>
      </w:r>
      <w:r>
        <w:rPr>
          <w:spacing w:val="-3"/>
          <w:w w:val="120"/>
        </w:rPr>
        <w:t>having </w:t>
      </w:r>
      <w:r>
        <w:rPr>
          <w:w w:val="120"/>
        </w:rPr>
        <w:t>severally </w:t>
      </w:r>
      <w:r>
        <w:rPr>
          <w:spacing w:val="-3"/>
          <w:w w:val="120"/>
        </w:rPr>
        <w:t>groups </w:t>
      </w:r>
      <w:r>
        <w:rPr>
          <w:w w:val="120"/>
        </w:rPr>
        <w:t>of members particularly entrusted</w:t>
      </w:r>
    </w:p>
    <w:p>
      <w:pPr>
        <w:pStyle w:val="BodyText"/>
        <w:spacing w:line="235" w:lineRule="auto" w:before="2"/>
        <w:ind w:left="1984" w:right="2061"/>
      </w:pPr>
      <w:r>
        <w:rPr>
          <w:spacing w:val="-3"/>
          <w:w w:val="120"/>
        </w:rPr>
        <w:t>to </w:t>
      </w:r>
      <w:r>
        <w:rPr>
          <w:w w:val="120"/>
        </w:rPr>
        <w:t>their pastoral care. They are </w:t>
      </w:r>
      <w:r>
        <w:rPr>
          <w:spacing w:val="-4"/>
          <w:w w:val="120"/>
        </w:rPr>
        <w:t>‘associated </w:t>
      </w:r>
      <w:r>
        <w:rPr>
          <w:w w:val="120"/>
        </w:rPr>
        <w:t>with </w:t>
      </w:r>
      <w:r>
        <w:rPr>
          <w:spacing w:val="-3"/>
          <w:w w:val="120"/>
        </w:rPr>
        <w:t>ministers </w:t>
      </w:r>
      <w:r>
        <w:rPr>
          <w:w w:val="120"/>
        </w:rPr>
        <w:t>in all the </w:t>
      </w:r>
      <w:r>
        <w:rPr>
          <w:spacing w:val="-3"/>
          <w:w w:val="120"/>
        </w:rPr>
        <w:t>councils </w:t>
      </w:r>
      <w:r>
        <w:rPr>
          <w:w w:val="120"/>
        </w:rPr>
        <w:t>of the </w:t>
      </w:r>
      <w:r>
        <w:rPr>
          <w:spacing w:val="-6"/>
          <w:w w:val="120"/>
        </w:rPr>
        <w:t>Church’. </w:t>
      </w:r>
      <w:r>
        <w:rPr>
          <w:w w:val="120"/>
        </w:rPr>
        <w:t>Elders promise at their </w:t>
      </w:r>
      <w:r>
        <w:rPr>
          <w:spacing w:val="-3"/>
          <w:w w:val="120"/>
        </w:rPr>
        <w:t>ordination to </w:t>
      </w:r>
      <w:r>
        <w:rPr>
          <w:spacing w:val="-5"/>
          <w:w w:val="120"/>
        </w:rPr>
        <w:t>‘accept </w:t>
      </w:r>
      <w:r>
        <w:rPr>
          <w:w w:val="120"/>
        </w:rPr>
        <w:t>the office of elder of the </w:t>
      </w:r>
      <w:r>
        <w:rPr>
          <w:spacing w:val="-3"/>
          <w:w w:val="120"/>
        </w:rPr>
        <w:t>United </w:t>
      </w:r>
      <w:r>
        <w:rPr>
          <w:w w:val="120"/>
        </w:rPr>
        <w:t>Reformed </w:t>
      </w:r>
      <w:r>
        <w:rPr>
          <w:spacing w:val="-4"/>
          <w:w w:val="120"/>
        </w:rPr>
        <w:t>Church’ </w:t>
      </w:r>
      <w:r>
        <w:rPr>
          <w:w w:val="120"/>
        </w:rPr>
        <w:t>and promise </w:t>
      </w:r>
      <w:r>
        <w:rPr>
          <w:spacing w:val="-3"/>
          <w:w w:val="120"/>
        </w:rPr>
        <w:t>‘to </w:t>
      </w:r>
      <w:r>
        <w:rPr>
          <w:w w:val="120"/>
        </w:rPr>
        <w:t>perform its duties </w:t>
      </w:r>
      <w:r>
        <w:rPr>
          <w:spacing w:val="-4"/>
          <w:w w:val="120"/>
        </w:rPr>
        <w:t>faithfully’.</w:t>
      </w:r>
    </w:p>
    <w:p>
      <w:pPr>
        <w:pStyle w:val="BodyText"/>
        <w:spacing w:before="10"/>
        <w:rPr>
          <w:sz w:val="19"/>
        </w:rPr>
      </w:pPr>
    </w:p>
    <w:p>
      <w:pPr>
        <w:pStyle w:val="BodyText"/>
        <w:spacing w:line="235" w:lineRule="auto" w:before="1"/>
        <w:ind w:left="1984" w:right="1901"/>
      </w:pPr>
      <w:r>
        <w:rPr>
          <w:w w:val="120"/>
        </w:rPr>
        <w:t>Elders and members receive ministers at their induction or CRCWs at their commissioning ‘as from God’ to serve among them and with them in the world. They promise to pray for the minister/CRCW, to seek together the will of God and ‘give due honour, consideration and encouragement, building one another up in faith, hope and love’.</w:t>
      </w:r>
    </w:p>
    <w:p>
      <w:pPr>
        <w:pStyle w:val="BodyText"/>
        <w:spacing w:before="11"/>
        <w:rPr>
          <w:sz w:val="19"/>
        </w:rPr>
      </w:pPr>
    </w:p>
    <w:p>
      <w:pPr>
        <w:pStyle w:val="BodyText"/>
        <w:spacing w:line="235" w:lineRule="auto"/>
        <w:ind w:left="1984" w:right="1813"/>
      </w:pPr>
      <w:r>
        <w:rPr>
          <w:w w:val="120"/>
        </w:rPr>
        <w:t>Members promise, ‘in dependence on God’s grace, to be faithful in private and public worship, to live in the fellowship of the church and to share in its </w:t>
      </w:r>
      <w:r>
        <w:rPr>
          <w:spacing w:val="-3"/>
          <w:w w:val="120"/>
        </w:rPr>
        <w:t>work’,   </w:t>
      </w:r>
      <w:r>
        <w:rPr>
          <w:w w:val="120"/>
        </w:rPr>
        <w:t>and to give and serve, as God enables them, ‘for the advancement of his kingdom throughout the world’ They also promise </w:t>
      </w:r>
      <w:r>
        <w:rPr>
          <w:spacing w:val="-2"/>
          <w:w w:val="120"/>
        </w:rPr>
        <w:t>‘by </w:t>
      </w:r>
      <w:r>
        <w:rPr>
          <w:w w:val="120"/>
        </w:rPr>
        <w:t>that same grace, to follow Christ and to seek to do and to bear his will’ all the days of their</w:t>
      </w:r>
      <w:r>
        <w:rPr>
          <w:spacing w:val="19"/>
          <w:w w:val="120"/>
        </w:rPr>
        <w:t> </w:t>
      </w:r>
      <w:r>
        <w:rPr>
          <w:w w:val="120"/>
        </w:rPr>
        <w:t>life’</w:t>
      </w:r>
    </w:p>
    <w:p>
      <w:pPr>
        <w:pStyle w:val="BodyText"/>
      </w:pPr>
    </w:p>
    <w:p>
      <w:pPr>
        <w:pStyle w:val="BodyText"/>
      </w:pPr>
    </w:p>
    <w:p>
      <w:pPr>
        <w:pStyle w:val="BodyText"/>
      </w:pPr>
    </w:p>
    <w:p>
      <w:pPr>
        <w:pStyle w:val="BodyText"/>
      </w:pPr>
    </w:p>
    <w:p>
      <w:pPr>
        <w:pStyle w:val="BodyText"/>
        <w:spacing w:before="6"/>
        <w:rPr>
          <w:sz w:val="17"/>
        </w:rPr>
      </w:pPr>
    </w:p>
    <w:p>
      <w:pPr>
        <w:tabs>
          <w:tab w:pos="10630" w:val="left" w:leader="none"/>
        </w:tabs>
        <w:spacing w:before="97"/>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219</w:t>
      </w:r>
    </w:p>
    <w:p>
      <w:pPr>
        <w:spacing w:after="0"/>
        <w:jc w:val="left"/>
        <w:rPr>
          <w:rFonts w:ascii="Stone Sans II ITC Std X Bd" w:hAnsi="Stone Sans II ITC Std X Bd"/>
          <w:sz w:val="24"/>
        </w:rPr>
        <w:sectPr>
          <w:headerReference w:type="default" r:id="rId529"/>
          <w:footerReference w:type="default" r:id="rId530"/>
          <w:pgSz w:w="11910" w:h="16840"/>
          <w:pgMar w:header="0" w:footer="0" w:top="1100" w:bottom="280" w:left="0" w:right="0"/>
        </w:sectPr>
      </w:pP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a1bf37" stroked="false">
              <v:fill type="solid"/>
            </v:rect>
          </v:group>
        </w:pict>
      </w:r>
      <w:r>
        <w:rPr>
          <w:rFonts w:ascii="Stone Sans II ITC Std X Bd"/>
        </w:rPr>
      </w:r>
    </w:p>
    <w:p>
      <w:pPr>
        <w:spacing w:before="124"/>
        <w:ind w:left="935" w:right="0" w:firstLine="0"/>
        <w:jc w:val="left"/>
        <w:rPr>
          <w:sz w:val="26"/>
        </w:rPr>
      </w:pPr>
      <w:r>
        <w:rPr/>
        <w:pict>
          <v:rect style="position:absolute;margin-left:12.047pt;margin-top:5.076312pt;width:22.677pt;height:22.677pt;mso-position-horizontal-relative:page;mso-position-vertical-relative:paragraph;z-index:252321792" filled="true" fillcolor="#d3de9d" stroked="false">
            <v:fill type="solid"/>
            <w10:wrap type="none"/>
          </v:rect>
        </w:pict>
      </w:r>
      <w:r>
        <w:rPr>
          <w:color w:val="A1BF37"/>
          <w:w w:val="120"/>
          <w:sz w:val="26"/>
        </w:rPr>
        <w:t>Appendix 3c</w:t>
      </w:r>
    </w:p>
    <w:p>
      <w:pPr>
        <w:pStyle w:val="ListParagraph"/>
        <w:numPr>
          <w:ilvl w:val="0"/>
          <w:numId w:val="159"/>
        </w:numPr>
        <w:tabs>
          <w:tab w:pos="1814" w:val="left" w:leader="none"/>
          <w:tab w:pos="1815" w:val="left" w:leader="none"/>
        </w:tabs>
        <w:spacing w:line="480" w:lineRule="exact" w:before="24" w:after="0"/>
        <w:ind w:left="1133" w:right="6567" w:firstLine="0"/>
        <w:jc w:val="left"/>
        <w:rPr>
          <w:rFonts w:ascii="Stone Sans II ITC Std Bk"/>
          <w:b/>
          <w:i/>
          <w:sz w:val="20"/>
        </w:rPr>
      </w:pPr>
      <w:r>
        <w:rPr/>
        <w:pict>
          <v:rect style="position:absolute;margin-left:12.047pt;margin-top:14.196287pt;width:22.677pt;height:22.677pt;mso-position-horizontal-relative:page;mso-position-vertical-relative:paragraph;z-index:252322816" filled="true" fillcolor="#e4ebc6" stroked="false">
            <v:fill opacity="32768f" type="solid"/>
            <w10:wrap type="none"/>
          </v:rect>
        </w:pict>
      </w:r>
      <w:r>
        <w:rPr>
          <w:rFonts w:ascii="Stone Sans II ITC Std Bk"/>
          <w:b/>
          <w:w w:val="110"/>
          <w:sz w:val="20"/>
        </w:rPr>
        <w:t>Standards of Christian Behaviour 3a</w:t>
        <w:tab/>
      </w:r>
      <w:r>
        <w:rPr>
          <w:rFonts w:ascii="Stone Sans II ITC Std Bk"/>
          <w:b/>
          <w:i/>
          <w:w w:val="110"/>
          <w:sz w:val="20"/>
        </w:rPr>
        <w:t>Personal integrity and health</w:t>
      </w:r>
    </w:p>
    <w:p>
      <w:pPr>
        <w:pStyle w:val="ListParagraph"/>
        <w:numPr>
          <w:ilvl w:val="0"/>
          <w:numId w:val="157"/>
        </w:numPr>
        <w:tabs>
          <w:tab w:pos="1814" w:val="left" w:leader="none"/>
          <w:tab w:pos="1815" w:val="left" w:leader="none"/>
        </w:tabs>
        <w:spacing w:line="204" w:lineRule="exact" w:before="0" w:after="0"/>
        <w:ind w:left="1814" w:right="0" w:hanging="682"/>
        <w:jc w:val="left"/>
        <w:rPr>
          <w:sz w:val="20"/>
        </w:rPr>
      </w:pPr>
      <w:r>
        <w:rPr>
          <w:spacing w:val="-7"/>
          <w:w w:val="120"/>
          <w:sz w:val="20"/>
        </w:rPr>
        <w:t>To </w:t>
      </w:r>
      <w:r>
        <w:rPr>
          <w:w w:val="120"/>
          <w:sz w:val="20"/>
        </w:rPr>
        <w:t>live a Christian life as persons of prayer and</w:t>
      </w:r>
      <w:r>
        <w:rPr>
          <w:spacing w:val="26"/>
          <w:w w:val="120"/>
          <w:sz w:val="20"/>
        </w:rPr>
        <w:t> </w:t>
      </w:r>
      <w:r>
        <w:rPr>
          <w:w w:val="120"/>
          <w:sz w:val="20"/>
        </w:rPr>
        <w:t>integrity.</w:t>
      </w:r>
    </w:p>
    <w:p>
      <w:pPr>
        <w:pStyle w:val="ListParagraph"/>
        <w:numPr>
          <w:ilvl w:val="0"/>
          <w:numId w:val="157"/>
        </w:numPr>
        <w:tabs>
          <w:tab w:pos="1814" w:val="left" w:leader="none"/>
          <w:tab w:pos="1815" w:val="left" w:leader="none"/>
        </w:tabs>
        <w:spacing w:line="196" w:lineRule="auto" w:before="0" w:after="0"/>
        <w:ind w:left="1814" w:right="1855" w:hanging="681"/>
        <w:jc w:val="left"/>
        <w:rPr>
          <w:sz w:val="20"/>
        </w:rPr>
      </w:pPr>
      <w:r>
        <w:rPr>
          <w:spacing w:val="-7"/>
          <w:w w:val="120"/>
          <w:sz w:val="20"/>
        </w:rPr>
        <w:t>To </w:t>
      </w:r>
      <w:r>
        <w:rPr>
          <w:w w:val="120"/>
          <w:sz w:val="20"/>
        </w:rPr>
        <w:t>be committed to growing in faith and discipleship and developing the </w:t>
      </w:r>
      <w:r>
        <w:rPr>
          <w:spacing w:val="2"/>
          <w:w w:val="120"/>
          <w:sz w:val="20"/>
        </w:rPr>
        <w:t>gifts </w:t>
      </w:r>
      <w:r>
        <w:rPr>
          <w:w w:val="120"/>
          <w:sz w:val="20"/>
        </w:rPr>
        <w:t>each has been</w:t>
      </w:r>
      <w:r>
        <w:rPr>
          <w:spacing w:val="4"/>
          <w:w w:val="120"/>
          <w:sz w:val="20"/>
        </w:rPr>
        <w:t> </w:t>
      </w:r>
      <w:r>
        <w:rPr>
          <w:w w:val="120"/>
          <w:sz w:val="20"/>
        </w:rPr>
        <w:t>given.</w:t>
      </w:r>
    </w:p>
    <w:p>
      <w:pPr>
        <w:pStyle w:val="ListParagraph"/>
        <w:numPr>
          <w:ilvl w:val="0"/>
          <w:numId w:val="157"/>
        </w:numPr>
        <w:tabs>
          <w:tab w:pos="1814" w:val="left" w:leader="none"/>
          <w:tab w:pos="1815" w:val="left" w:leader="none"/>
        </w:tabs>
        <w:spacing w:line="216" w:lineRule="auto" w:before="0" w:after="0"/>
        <w:ind w:left="1814" w:right="1903" w:hanging="681"/>
        <w:jc w:val="left"/>
        <w:rPr>
          <w:sz w:val="20"/>
        </w:rPr>
      </w:pPr>
      <w:r>
        <w:rPr>
          <w:spacing w:val="-7"/>
          <w:w w:val="120"/>
          <w:sz w:val="20"/>
        </w:rPr>
        <w:t>To </w:t>
      </w:r>
      <w:r>
        <w:rPr>
          <w:w w:val="120"/>
          <w:sz w:val="20"/>
        </w:rPr>
        <w:t>be aware of the need of ministers, elders and members to have appropriate boundaries that safeguard personal and spiritual health and welfare, to promote healthy relationships with others and not to do anything to undermine the</w:t>
      </w:r>
      <w:r>
        <w:rPr>
          <w:spacing w:val="42"/>
          <w:w w:val="120"/>
          <w:sz w:val="20"/>
        </w:rPr>
        <w:t> </w:t>
      </w:r>
      <w:r>
        <w:rPr>
          <w:w w:val="120"/>
          <w:sz w:val="20"/>
        </w:rPr>
        <w:t>spiritual</w:t>
      </w:r>
    </w:p>
    <w:p>
      <w:pPr>
        <w:pStyle w:val="BodyText"/>
        <w:spacing w:line="226" w:lineRule="exact"/>
        <w:ind w:left="1814"/>
      </w:pPr>
      <w:r>
        <w:rPr>
          <w:w w:val="115"/>
        </w:rPr>
        <w:t>health of another.</w:t>
      </w:r>
    </w:p>
    <w:p>
      <w:pPr>
        <w:pStyle w:val="ListParagraph"/>
        <w:numPr>
          <w:ilvl w:val="0"/>
          <w:numId w:val="157"/>
        </w:numPr>
        <w:tabs>
          <w:tab w:pos="1814" w:val="left" w:leader="none"/>
          <w:tab w:pos="1815" w:val="left" w:leader="none"/>
        </w:tabs>
        <w:spacing w:line="216" w:lineRule="auto" w:before="2" w:after="0"/>
        <w:ind w:left="1814" w:right="1856" w:hanging="681"/>
        <w:jc w:val="left"/>
        <w:rPr>
          <w:sz w:val="20"/>
        </w:rPr>
      </w:pPr>
      <w:r>
        <w:rPr>
          <w:spacing w:val="-7"/>
          <w:w w:val="120"/>
          <w:sz w:val="20"/>
        </w:rPr>
        <w:t>To </w:t>
      </w:r>
      <w:r>
        <w:rPr>
          <w:w w:val="120"/>
          <w:sz w:val="20"/>
        </w:rPr>
        <w:t>recognise the need for ministers, elders and members to have a healthy lifestyle and to balance demands on ministers’/CRCWs’ availability and accessibility with respect for ministers’/CRCWs’ time for family and friends, personal renewal and</w:t>
      </w:r>
      <w:r>
        <w:rPr>
          <w:spacing w:val="-25"/>
          <w:w w:val="120"/>
          <w:sz w:val="20"/>
        </w:rPr>
        <w:t> </w:t>
      </w:r>
      <w:r>
        <w:rPr>
          <w:w w:val="120"/>
          <w:sz w:val="20"/>
        </w:rPr>
        <w:t>rest</w:t>
      </w:r>
    </w:p>
    <w:p>
      <w:pPr>
        <w:pStyle w:val="BodyText"/>
        <w:spacing w:line="226" w:lineRule="exact"/>
        <w:ind w:left="1814"/>
      </w:pPr>
      <w:r>
        <w:rPr>
          <w:w w:val="120"/>
        </w:rPr>
        <w:t>and spiritual growth.</w:t>
      </w:r>
    </w:p>
    <w:p>
      <w:pPr>
        <w:pStyle w:val="ListParagraph"/>
        <w:numPr>
          <w:ilvl w:val="0"/>
          <w:numId w:val="157"/>
        </w:numPr>
        <w:tabs>
          <w:tab w:pos="1814" w:val="left" w:leader="none"/>
          <w:tab w:pos="1815" w:val="left" w:leader="none"/>
        </w:tabs>
        <w:spacing w:line="216" w:lineRule="auto" w:before="4" w:after="0"/>
        <w:ind w:left="1814" w:right="2087" w:hanging="681"/>
        <w:jc w:val="left"/>
        <w:rPr>
          <w:sz w:val="20"/>
        </w:rPr>
      </w:pPr>
      <w:r>
        <w:rPr>
          <w:spacing w:val="-7"/>
          <w:w w:val="120"/>
          <w:sz w:val="20"/>
        </w:rPr>
        <w:t>To </w:t>
      </w:r>
      <w:r>
        <w:rPr>
          <w:w w:val="120"/>
          <w:sz w:val="20"/>
        </w:rPr>
        <w:t>maintain strict confidentiality of all matters shared in confidence, except when required by law to do otherwise, eg with regard to the safety of children, and to respect ministers’ needs to maintain that same</w:t>
      </w:r>
      <w:r>
        <w:rPr>
          <w:spacing w:val="6"/>
          <w:w w:val="120"/>
          <w:sz w:val="20"/>
        </w:rPr>
        <w:t> </w:t>
      </w:r>
      <w:r>
        <w:rPr>
          <w:w w:val="120"/>
          <w:sz w:val="20"/>
        </w:rPr>
        <w:t>confidentiality.</w:t>
      </w:r>
    </w:p>
    <w:p>
      <w:pPr>
        <w:pStyle w:val="ListParagraph"/>
        <w:numPr>
          <w:ilvl w:val="0"/>
          <w:numId w:val="157"/>
        </w:numPr>
        <w:tabs>
          <w:tab w:pos="1814" w:val="left" w:leader="none"/>
          <w:tab w:pos="1815" w:val="left" w:leader="none"/>
        </w:tabs>
        <w:spacing w:line="216" w:lineRule="auto" w:before="0" w:after="0"/>
        <w:ind w:left="1814" w:right="1900" w:hanging="681"/>
        <w:jc w:val="left"/>
        <w:rPr>
          <w:sz w:val="20"/>
        </w:rPr>
      </w:pPr>
      <w:r>
        <w:rPr>
          <w:spacing w:val="-7"/>
          <w:w w:val="120"/>
          <w:sz w:val="20"/>
        </w:rPr>
        <w:t>To </w:t>
      </w:r>
      <w:r>
        <w:rPr>
          <w:w w:val="120"/>
          <w:sz w:val="20"/>
        </w:rPr>
        <w:t>exercise care and sensitivity when seeking counsel from others and in discussion about pastoral concerns, in order that the identity of any person shall not be revealed unless permission has been</w:t>
      </w:r>
      <w:r>
        <w:rPr>
          <w:spacing w:val="10"/>
          <w:w w:val="120"/>
          <w:sz w:val="20"/>
        </w:rPr>
        <w:t> </w:t>
      </w:r>
      <w:r>
        <w:rPr>
          <w:w w:val="120"/>
          <w:sz w:val="20"/>
        </w:rPr>
        <w:t>granted.</w:t>
      </w:r>
    </w:p>
    <w:p>
      <w:pPr>
        <w:pStyle w:val="ListParagraph"/>
        <w:numPr>
          <w:ilvl w:val="0"/>
          <w:numId w:val="157"/>
        </w:numPr>
        <w:tabs>
          <w:tab w:pos="1814" w:val="left" w:leader="none"/>
          <w:tab w:pos="1815" w:val="left" w:leader="none"/>
        </w:tabs>
        <w:spacing w:line="196" w:lineRule="auto" w:before="0" w:after="0"/>
        <w:ind w:left="1814" w:right="2112" w:hanging="681"/>
        <w:jc w:val="left"/>
        <w:rPr>
          <w:sz w:val="20"/>
        </w:rPr>
      </w:pPr>
      <w:r>
        <w:rPr>
          <w:spacing w:val="-7"/>
          <w:w w:val="120"/>
          <w:sz w:val="20"/>
        </w:rPr>
        <w:t>To </w:t>
      </w:r>
      <w:r>
        <w:rPr>
          <w:w w:val="120"/>
          <w:sz w:val="20"/>
        </w:rPr>
        <w:t>refrain from using privilege or power for personal advantage or gain, whether financial, emotional, sexual or</w:t>
      </w:r>
      <w:r>
        <w:rPr>
          <w:spacing w:val="5"/>
          <w:w w:val="120"/>
          <w:sz w:val="20"/>
        </w:rPr>
        <w:t> </w:t>
      </w:r>
      <w:r>
        <w:rPr>
          <w:w w:val="120"/>
          <w:sz w:val="20"/>
        </w:rPr>
        <w:t>material.</w:t>
      </w:r>
    </w:p>
    <w:p>
      <w:pPr>
        <w:pStyle w:val="BodyText"/>
        <w:spacing w:before="2"/>
        <w:rPr>
          <w:sz w:val="19"/>
        </w:rPr>
      </w:pPr>
    </w:p>
    <w:p>
      <w:pPr>
        <w:tabs>
          <w:tab w:pos="1814" w:val="left" w:leader="none"/>
        </w:tabs>
        <w:spacing w:line="246" w:lineRule="exact" w:before="0"/>
        <w:ind w:left="1133" w:right="0" w:firstLine="0"/>
        <w:jc w:val="left"/>
        <w:rPr>
          <w:rFonts w:ascii="Stone Sans II ITC Std Bk"/>
          <w:b/>
          <w:i/>
          <w:sz w:val="20"/>
        </w:rPr>
      </w:pPr>
      <w:r>
        <w:rPr>
          <w:rFonts w:ascii="Stone Sans II ITC Std Bk"/>
          <w:b/>
          <w:w w:val="110"/>
          <w:sz w:val="20"/>
        </w:rPr>
        <w:t>3b</w:t>
        <w:tab/>
      </w:r>
      <w:r>
        <w:rPr>
          <w:rFonts w:ascii="Stone Sans II ITC Std Bk"/>
          <w:b/>
          <w:i/>
          <w:w w:val="110"/>
          <w:sz w:val="20"/>
        </w:rPr>
        <w:t>Relationships with</w:t>
      </w:r>
      <w:r>
        <w:rPr>
          <w:rFonts w:ascii="Stone Sans II ITC Std Bk"/>
          <w:b/>
          <w:i/>
          <w:spacing w:val="-2"/>
          <w:w w:val="110"/>
          <w:sz w:val="20"/>
        </w:rPr>
        <w:t> </w:t>
      </w:r>
      <w:r>
        <w:rPr>
          <w:rFonts w:ascii="Stone Sans II ITC Std Bk"/>
          <w:b/>
          <w:i/>
          <w:w w:val="110"/>
          <w:sz w:val="20"/>
        </w:rPr>
        <w:t>ministers</w:t>
      </w:r>
    </w:p>
    <w:p>
      <w:pPr>
        <w:pStyle w:val="ListParagraph"/>
        <w:numPr>
          <w:ilvl w:val="0"/>
          <w:numId w:val="157"/>
        </w:numPr>
        <w:tabs>
          <w:tab w:pos="1814" w:val="left" w:leader="none"/>
          <w:tab w:pos="1815" w:val="left" w:leader="none"/>
        </w:tabs>
        <w:spacing w:line="196" w:lineRule="auto" w:before="15" w:after="0"/>
        <w:ind w:left="1814" w:right="1921" w:hanging="681"/>
        <w:jc w:val="left"/>
        <w:rPr>
          <w:sz w:val="20"/>
        </w:rPr>
      </w:pPr>
      <w:r>
        <w:rPr>
          <w:spacing w:val="-8"/>
          <w:w w:val="115"/>
          <w:sz w:val="20"/>
        </w:rPr>
        <w:t>To </w:t>
      </w:r>
      <w:r>
        <w:rPr>
          <w:w w:val="115"/>
          <w:sz w:val="20"/>
        </w:rPr>
        <w:t>work collaboratively with ministers/CRCWs and elders and members in all aspects  of the life of the</w:t>
      </w:r>
      <w:r>
        <w:rPr>
          <w:spacing w:val="20"/>
          <w:w w:val="115"/>
          <w:sz w:val="20"/>
        </w:rPr>
        <w:t> </w:t>
      </w:r>
      <w:r>
        <w:rPr>
          <w:w w:val="115"/>
          <w:sz w:val="20"/>
        </w:rPr>
        <w:t>pastorate.</w:t>
      </w:r>
    </w:p>
    <w:p>
      <w:pPr>
        <w:pStyle w:val="ListParagraph"/>
        <w:numPr>
          <w:ilvl w:val="0"/>
          <w:numId w:val="157"/>
        </w:numPr>
        <w:tabs>
          <w:tab w:pos="1814" w:val="left" w:leader="none"/>
          <w:tab w:pos="1815" w:val="left" w:leader="none"/>
        </w:tabs>
        <w:spacing w:line="216" w:lineRule="auto" w:before="0" w:after="0"/>
        <w:ind w:left="1814" w:right="1763" w:hanging="681"/>
        <w:jc w:val="left"/>
        <w:rPr>
          <w:sz w:val="20"/>
        </w:rPr>
      </w:pPr>
      <w:r>
        <w:rPr>
          <w:spacing w:val="-8"/>
          <w:w w:val="115"/>
          <w:sz w:val="20"/>
        </w:rPr>
        <w:t>To </w:t>
      </w:r>
      <w:r>
        <w:rPr>
          <w:w w:val="115"/>
          <w:sz w:val="20"/>
        </w:rPr>
        <w:t>support the ministers/CRCWs, through prayer, encouragement and partnership, including honouring the terms of settlement with regard to holidays, financial benefits and continuing</w:t>
      </w:r>
      <w:r>
        <w:rPr>
          <w:spacing w:val="10"/>
          <w:w w:val="115"/>
          <w:sz w:val="20"/>
        </w:rPr>
        <w:t> </w:t>
      </w:r>
      <w:r>
        <w:rPr>
          <w:w w:val="115"/>
          <w:sz w:val="20"/>
        </w:rPr>
        <w:t>training.</w:t>
      </w:r>
    </w:p>
    <w:p>
      <w:pPr>
        <w:pStyle w:val="ListParagraph"/>
        <w:numPr>
          <w:ilvl w:val="0"/>
          <w:numId w:val="157"/>
        </w:numPr>
        <w:tabs>
          <w:tab w:pos="1815" w:val="left" w:leader="none"/>
        </w:tabs>
        <w:spacing w:line="216" w:lineRule="auto" w:before="0" w:after="0"/>
        <w:ind w:left="1814" w:right="2158" w:hanging="681"/>
        <w:jc w:val="both"/>
        <w:rPr>
          <w:sz w:val="20"/>
        </w:rPr>
      </w:pPr>
      <w:r>
        <w:rPr>
          <w:spacing w:val="-8"/>
          <w:w w:val="115"/>
          <w:sz w:val="20"/>
        </w:rPr>
        <w:t>To </w:t>
      </w:r>
      <w:r>
        <w:rPr>
          <w:w w:val="115"/>
          <w:sz w:val="20"/>
        </w:rPr>
        <w:t>regard all persons with equal respect and concern and not discriminate against anyone on the basis of gender, race, age, disability or sexual orientation, including ministers/CRCWs.</w:t>
      </w:r>
    </w:p>
    <w:p>
      <w:pPr>
        <w:pStyle w:val="ListParagraph"/>
        <w:numPr>
          <w:ilvl w:val="0"/>
          <w:numId w:val="157"/>
        </w:numPr>
        <w:tabs>
          <w:tab w:pos="1814" w:val="left" w:leader="none"/>
          <w:tab w:pos="1815" w:val="left" w:leader="none"/>
        </w:tabs>
        <w:spacing w:line="216" w:lineRule="auto" w:before="0" w:after="0"/>
        <w:ind w:left="1814" w:right="1792" w:hanging="681"/>
        <w:jc w:val="left"/>
        <w:rPr>
          <w:sz w:val="20"/>
        </w:rPr>
      </w:pPr>
      <w:r>
        <w:rPr>
          <w:spacing w:val="-8"/>
          <w:w w:val="115"/>
          <w:sz w:val="20"/>
        </w:rPr>
        <w:t>To </w:t>
      </w:r>
      <w:r>
        <w:rPr>
          <w:w w:val="115"/>
          <w:sz w:val="20"/>
        </w:rPr>
        <w:t>honour the ministers/CRCWs currently called to serve and not invite or encourage other ministers to be involved in the life of the church or to offer pastoral care without the ministers’/CRCWs’</w:t>
      </w:r>
      <w:r>
        <w:rPr>
          <w:spacing w:val="9"/>
          <w:w w:val="115"/>
          <w:sz w:val="20"/>
        </w:rPr>
        <w:t> </w:t>
      </w:r>
      <w:r>
        <w:rPr>
          <w:w w:val="115"/>
          <w:sz w:val="20"/>
        </w:rPr>
        <w:t>consent.</w:t>
      </w:r>
    </w:p>
    <w:p>
      <w:pPr>
        <w:pStyle w:val="ListParagraph"/>
        <w:numPr>
          <w:ilvl w:val="0"/>
          <w:numId w:val="157"/>
        </w:numPr>
        <w:tabs>
          <w:tab w:pos="1814" w:val="left" w:leader="none"/>
          <w:tab w:pos="1815" w:val="left" w:leader="none"/>
        </w:tabs>
        <w:spacing w:line="250" w:lineRule="exact" w:before="0" w:after="0"/>
        <w:ind w:left="1814" w:right="0" w:hanging="682"/>
        <w:jc w:val="left"/>
        <w:rPr>
          <w:sz w:val="20"/>
        </w:rPr>
      </w:pPr>
      <w:r>
        <w:rPr>
          <w:spacing w:val="-8"/>
          <w:w w:val="115"/>
          <w:sz w:val="20"/>
        </w:rPr>
        <w:t>To </w:t>
      </w:r>
      <w:r>
        <w:rPr>
          <w:w w:val="115"/>
          <w:sz w:val="20"/>
        </w:rPr>
        <w:t>refrain from raising pastoral issues with a previous</w:t>
      </w:r>
      <w:r>
        <w:rPr>
          <w:spacing w:val="10"/>
          <w:w w:val="115"/>
          <w:sz w:val="20"/>
        </w:rPr>
        <w:t> </w:t>
      </w:r>
      <w:r>
        <w:rPr>
          <w:w w:val="115"/>
          <w:sz w:val="20"/>
        </w:rPr>
        <w:t>minister/CRCW.</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9"/>
          <w:w w:val="115"/>
          <w:sz w:val="20"/>
        </w:rPr>
        <w:t>To  </w:t>
      </w:r>
      <w:r>
        <w:rPr>
          <w:w w:val="115"/>
          <w:sz w:val="20"/>
        </w:rPr>
        <w:t>respect the work of </w:t>
      </w:r>
      <w:r>
        <w:rPr>
          <w:spacing w:val="-3"/>
          <w:w w:val="115"/>
          <w:sz w:val="20"/>
        </w:rPr>
        <w:t>previous ministers/CRCWs </w:t>
      </w:r>
      <w:r>
        <w:rPr>
          <w:w w:val="115"/>
          <w:sz w:val="20"/>
        </w:rPr>
        <w:t>and deal honourably with </w:t>
      </w:r>
      <w:r>
        <w:rPr>
          <w:spacing w:val="-3"/>
          <w:w w:val="115"/>
          <w:sz w:val="20"/>
        </w:rPr>
        <w:t>their </w:t>
      </w:r>
      <w:r>
        <w:rPr>
          <w:spacing w:val="-1"/>
          <w:w w:val="115"/>
          <w:sz w:val="20"/>
        </w:rPr>
        <w:t> </w:t>
      </w:r>
      <w:r>
        <w:rPr>
          <w:spacing w:val="-3"/>
          <w:w w:val="115"/>
          <w:sz w:val="20"/>
        </w:rPr>
        <w:t>record.</w:t>
      </w:r>
    </w:p>
    <w:p>
      <w:pPr>
        <w:pStyle w:val="ListParagraph"/>
        <w:numPr>
          <w:ilvl w:val="0"/>
          <w:numId w:val="157"/>
        </w:numPr>
        <w:tabs>
          <w:tab w:pos="1814" w:val="left" w:leader="none"/>
          <w:tab w:pos="1815" w:val="left" w:leader="none"/>
        </w:tabs>
        <w:spacing w:line="281" w:lineRule="exact" w:before="0" w:after="0"/>
        <w:ind w:left="1814" w:right="0" w:hanging="682"/>
        <w:jc w:val="left"/>
        <w:rPr>
          <w:sz w:val="20"/>
        </w:rPr>
      </w:pPr>
      <w:r>
        <w:rPr>
          <w:spacing w:val="-7"/>
          <w:w w:val="120"/>
          <w:sz w:val="20"/>
        </w:rPr>
        <w:t>To </w:t>
      </w:r>
      <w:r>
        <w:rPr>
          <w:w w:val="120"/>
          <w:sz w:val="20"/>
        </w:rPr>
        <w:t>welcome retired ministers/CRCWs as members and worshippers in the</w:t>
      </w:r>
      <w:r>
        <w:rPr>
          <w:spacing w:val="20"/>
          <w:w w:val="120"/>
          <w:sz w:val="20"/>
        </w:rPr>
        <w:t> </w:t>
      </w:r>
      <w:r>
        <w:rPr>
          <w:w w:val="120"/>
          <w:sz w:val="20"/>
        </w:rPr>
        <w:t>pastorate.</w:t>
      </w:r>
    </w:p>
    <w:p>
      <w:pPr>
        <w:tabs>
          <w:tab w:pos="1814" w:val="left" w:leader="none"/>
        </w:tabs>
        <w:spacing w:line="246" w:lineRule="exact" w:before="156"/>
        <w:ind w:left="1133" w:right="0" w:firstLine="0"/>
        <w:jc w:val="left"/>
        <w:rPr>
          <w:rFonts w:ascii="Stone Sans II ITC Std Bk"/>
          <w:b/>
          <w:i/>
          <w:sz w:val="20"/>
        </w:rPr>
      </w:pPr>
      <w:r>
        <w:rPr>
          <w:rFonts w:ascii="Stone Sans II ITC Std Bk"/>
          <w:b/>
          <w:w w:val="110"/>
          <w:sz w:val="20"/>
        </w:rPr>
        <w:t>3c</w:t>
        <w:tab/>
      </w:r>
      <w:r>
        <w:rPr>
          <w:rFonts w:ascii="Stone Sans II ITC Std Bk"/>
          <w:b/>
          <w:i/>
          <w:w w:val="110"/>
          <w:sz w:val="20"/>
        </w:rPr>
        <w:t>Relationship with elders, members and</w:t>
      </w:r>
      <w:r>
        <w:rPr>
          <w:rFonts w:ascii="Stone Sans II ITC Std Bk"/>
          <w:b/>
          <w:i/>
          <w:spacing w:val="-4"/>
          <w:w w:val="110"/>
          <w:sz w:val="20"/>
        </w:rPr>
        <w:t> </w:t>
      </w:r>
      <w:r>
        <w:rPr>
          <w:rFonts w:ascii="Stone Sans II ITC Std Bk"/>
          <w:b/>
          <w:i/>
          <w:w w:val="110"/>
          <w:sz w:val="20"/>
        </w:rPr>
        <w:t>others</w:t>
      </w:r>
    </w:p>
    <w:p>
      <w:pPr>
        <w:pStyle w:val="ListParagraph"/>
        <w:numPr>
          <w:ilvl w:val="0"/>
          <w:numId w:val="157"/>
        </w:numPr>
        <w:tabs>
          <w:tab w:pos="1814" w:val="left" w:leader="none"/>
          <w:tab w:pos="1815" w:val="left" w:leader="none"/>
        </w:tabs>
        <w:spacing w:line="257" w:lineRule="exact" w:before="0" w:after="0"/>
        <w:ind w:left="1814" w:right="0" w:hanging="682"/>
        <w:jc w:val="left"/>
        <w:rPr>
          <w:sz w:val="20"/>
        </w:rPr>
      </w:pPr>
      <w:r>
        <w:rPr>
          <w:spacing w:val="-7"/>
          <w:w w:val="120"/>
          <w:sz w:val="20"/>
        </w:rPr>
        <w:t>To  </w:t>
      </w:r>
      <w:r>
        <w:rPr>
          <w:w w:val="120"/>
          <w:sz w:val="20"/>
        </w:rPr>
        <w:t>regard all persons with equal love and</w:t>
      </w:r>
      <w:r>
        <w:rPr>
          <w:spacing w:val="20"/>
          <w:w w:val="120"/>
          <w:sz w:val="20"/>
        </w:rPr>
        <w:t> </w:t>
      </w:r>
      <w:r>
        <w:rPr>
          <w:w w:val="120"/>
          <w:sz w:val="20"/>
        </w:rPr>
        <w:t>concern.</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uphold values of faithfulness, trust and</w:t>
      </w:r>
      <w:r>
        <w:rPr>
          <w:spacing w:val="28"/>
          <w:w w:val="120"/>
          <w:sz w:val="20"/>
        </w:rPr>
        <w:t> </w:t>
      </w:r>
      <w:r>
        <w:rPr>
          <w:w w:val="120"/>
          <w:sz w:val="20"/>
        </w:rPr>
        <w:t>respect.</w:t>
      </w:r>
    </w:p>
    <w:p>
      <w:pPr>
        <w:pStyle w:val="ListParagraph"/>
        <w:numPr>
          <w:ilvl w:val="0"/>
          <w:numId w:val="157"/>
        </w:numPr>
        <w:tabs>
          <w:tab w:pos="1814" w:val="left" w:leader="none"/>
          <w:tab w:pos="1815" w:val="left" w:leader="none"/>
        </w:tabs>
        <w:spacing w:line="240" w:lineRule="exact" w:before="0" w:after="0"/>
        <w:ind w:left="1814" w:right="0" w:hanging="682"/>
        <w:jc w:val="left"/>
        <w:rPr>
          <w:sz w:val="20"/>
        </w:rPr>
      </w:pPr>
      <w:r>
        <w:rPr>
          <w:spacing w:val="-7"/>
          <w:w w:val="120"/>
          <w:sz w:val="20"/>
        </w:rPr>
        <w:t>To </w:t>
      </w:r>
      <w:r>
        <w:rPr>
          <w:w w:val="120"/>
          <w:sz w:val="20"/>
        </w:rPr>
        <w:t>share leadership and pastoral care with others called to these</w:t>
      </w:r>
      <w:r>
        <w:rPr>
          <w:spacing w:val="28"/>
          <w:w w:val="120"/>
          <w:sz w:val="20"/>
        </w:rPr>
        <w:t> </w:t>
      </w:r>
      <w:r>
        <w:rPr>
          <w:w w:val="120"/>
          <w:sz w:val="20"/>
        </w:rPr>
        <w:t>purposes.</w:t>
      </w:r>
    </w:p>
    <w:p>
      <w:pPr>
        <w:pStyle w:val="ListParagraph"/>
        <w:numPr>
          <w:ilvl w:val="0"/>
          <w:numId w:val="157"/>
        </w:numPr>
        <w:tabs>
          <w:tab w:pos="1814" w:val="left" w:leader="none"/>
          <w:tab w:pos="1815" w:val="left" w:leader="none"/>
        </w:tabs>
        <w:spacing w:line="196" w:lineRule="auto" w:before="0" w:after="0"/>
        <w:ind w:left="1814" w:right="2556" w:hanging="681"/>
        <w:jc w:val="left"/>
        <w:rPr>
          <w:sz w:val="20"/>
        </w:rPr>
      </w:pPr>
      <w:r>
        <w:rPr>
          <w:spacing w:val="-8"/>
          <w:w w:val="120"/>
          <w:sz w:val="20"/>
        </w:rPr>
        <w:t>To </w:t>
      </w:r>
      <w:r>
        <w:rPr>
          <w:w w:val="120"/>
          <w:sz w:val="20"/>
        </w:rPr>
        <w:t>work</w:t>
      </w:r>
      <w:r>
        <w:rPr>
          <w:spacing w:val="-7"/>
          <w:w w:val="120"/>
          <w:sz w:val="20"/>
        </w:rPr>
        <w:t> </w:t>
      </w:r>
      <w:r>
        <w:rPr>
          <w:w w:val="120"/>
          <w:sz w:val="20"/>
        </w:rPr>
        <w:t>collaboratively</w:t>
      </w:r>
      <w:r>
        <w:rPr>
          <w:spacing w:val="-7"/>
          <w:w w:val="120"/>
          <w:sz w:val="20"/>
        </w:rPr>
        <w:t> </w:t>
      </w:r>
      <w:r>
        <w:rPr>
          <w:w w:val="120"/>
          <w:sz w:val="20"/>
        </w:rPr>
        <w:t>and</w:t>
      </w:r>
      <w:r>
        <w:rPr>
          <w:spacing w:val="-8"/>
          <w:w w:val="120"/>
          <w:sz w:val="20"/>
        </w:rPr>
        <w:t> </w:t>
      </w:r>
      <w:r>
        <w:rPr>
          <w:w w:val="120"/>
          <w:sz w:val="20"/>
        </w:rPr>
        <w:t>safeguard</w:t>
      </w:r>
      <w:r>
        <w:rPr>
          <w:spacing w:val="-7"/>
          <w:w w:val="120"/>
          <w:sz w:val="20"/>
        </w:rPr>
        <w:t> </w:t>
      </w:r>
      <w:r>
        <w:rPr>
          <w:w w:val="120"/>
          <w:sz w:val="20"/>
        </w:rPr>
        <w:t>the</w:t>
      </w:r>
      <w:r>
        <w:rPr>
          <w:spacing w:val="-7"/>
          <w:w w:val="120"/>
          <w:sz w:val="20"/>
        </w:rPr>
        <w:t> </w:t>
      </w:r>
      <w:r>
        <w:rPr>
          <w:w w:val="120"/>
          <w:sz w:val="20"/>
        </w:rPr>
        <w:t>contribution</w:t>
      </w:r>
      <w:r>
        <w:rPr>
          <w:spacing w:val="-7"/>
          <w:w w:val="120"/>
          <w:sz w:val="20"/>
        </w:rPr>
        <w:t> </w:t>
      </w:r>
      <w:r>
        <w:rPr>
          <w:w w:val="120"/>
          <w:sz w:val="20"/>
        </w:rPr>
        <w:t>of</w:t>
      </w:r>
      <w:r>
        <w:rPr>
          <w:spacing w:val="-8"/>
          <w:w w:val="120"/>
          <w:sz w:val="20"/>
        </w:rPr>
        <w:t> </w:t>
      </w:r>
      <w:r>
        <w:rPr>
          <w:w w:val="120"/>
          <w:sz w:val="20"/>
        </w:rPr>
        <w:t>the</w:t>
      </w:r>
      <w:r>
        <w:rPr>
          <w:spacing w:val="-7"/>
          <w:w w:val="120"/>
          <w:sz w:val="20"/>
        </w:rPr>
        <w:t> </w:t>
      </w:r>
      <w:r>
        <w:rPr>
          <w:w w:val="120"/>
          <w:sz w:val="20"/>
        </w:rPr>
        <w:t>whole</w:t>
      </w:r>
      <w:r>
        <w:rPr>
          <w:spacing w:val="-7"/>
          <w:w w:val="120"/>
          <w:sz w:val="20"/>
        </w:rPr>
        <w:t> </w:t>
      </w:r>
      <w:r>
        <w:rPr>
          <w:w w:val="120"/>
          <w:sz w:val="20"/>
        </w:rPr>
        <w:t>church</w:t>
      </w:r>
      <w:r>
        <w:rPr>
          <w:spacing w:val="-8"/>
          <w:w w:val="120"/>
          <w:sz w:val="20"/>
        </w:rPr>
        <w:t> </w:t>
      </w:r>
      <w:r>
        <w:rPr>
          <w:w w:val="120"/>
          <w:sz w:val="20"/>
        </w:rPr>
        <w:t>in decision-making</w:t>
      </w:r>
      <w:r>
        <w:rPr>
          <w:spacing w:val="1"/>
          <w:w w:val="120"/>
          <w:sz w:val="20"/>
        </w:rPr>
        <w:t> </w:t>
      </w:r>
      <w:r>
        <w:rPr>
          <w:w w:val="120"/>
          <w:sz w:val="20"/>
        </w:rPr>
        <w:t>processes.</w:t>
      </w:r>
    </w:p>
    <w:p>
      <w:pPr>
        <w:pStyle w:val="ListParagraph"/>
        <w:numPr>
          <w:ilvl w:val="0"/>
          <w:numId w:val="157"/>
        </w:numPr>
        <w:tabs>
          <w:tab w:pos="1814" w:val="left" w:leader="none"/>
          <w:tab w:pos="1815" w:val="left" w:leader="none"/>
        </w:tabs>
        <w:spacing w:line="196" w:lineRule="auto" w:before="15" w:after="0"/>
        <w:ind w:left="1813" w:right="2236" w:hanging="681"/>
        <w:jc w:val="left"/>
        <w:rPr>
          <w:sz w:val="20"/>
        </w:rPr>
      </w:pPr>
      <w:r>
        <w:rPr>
          <w:spacing w:val="-7"/>
          <w:w w:val="115"/>
          <w:sz w:val="20"/>
        </w:rPr>
        <w:t>To </w:t>
      </w:r>
      <w:r>
        <w:rPr>
          <w:w w:val="115"/>
          <w:sz w:val="20"/>
        </w:rPr>
        <w:t>seek advice from others if in doubt about one’s competence to deal with any issue or</w:t>
      </w:r>
      <w:r>
        <w:rPr>
          <w:spacing w:val="17"/>
          <w:w w:val="115"/>
          <w:sz w:val="20"/>
        </w:rPr>
        <w:t> </w:t>
      </w:r>
      <w:r>
        <w:rPr>
          <w:w w:val="115"/>
          <w:sz w:val="20"/>
        </w:rPr>
        <w:t>situation.</w:t>
      </w:r>
    </w:p>
    <w:p>
      <w:pPr>
        <w:pStyle w:val="ListParagraph"/>
        <w:numPr>
          <w:ilvl w:val="0"/>
          <w:numId w:val="157"/>
        </w:numPr>
        <w:tabs>
          <w:tab w:pos="1815" w:val="left" w:leader="none"/>
        </w:tabs>
        <w:spacing w:line="216" w:lineRule="auto" w:before="0" w:after="0"/>
        <w:ind w:left="1814" w:right="2470" w:hanging="681"/>
        <w:jc w:val="both"/>
        <w:rPr>
          <w:sz w:val="20"/>
        </w:rPr>
      </w:pPr>
      <w:r>
        <w:rPr>
          <w:spacing w:val="-7"/>
          <w:w w:val="115"/>
          <w:sz w:val="20"/>
        </w:rPr>
        <w:t>To </w:t>
      </w:r>
      <w:r>
        <w:rPr>
          <w:w w:val="115"/>
          <w:sz w:val="20"/>
        </w:rPr>
        <w:t>consider </w:t>
      </w:r>
      <w:r>
        <w:rPr>
          <w:spacing w:val="3"/>
          <w:w w:val="115"/>
          <w:sz w:val="20"/>
        </w:rPr>
        <w:t>very </w:t>
      </w:r>
      <w:r>
        <w:rPr>
          <w:spacing w:val="2"/>
          <w:w w:val="115"/>
          <w:sz w:val="20"/>
        </w:rPr>
        <w:t>carefully taking </w:t>
      </w:r>
      <w:r>
        <w:rPr>
          <w:w w:val="115"/>
          <w:sz w:val="20"/>
        </w:rPr>
        <w:t>any position of responsibility and to </w:t>
      </w:r>
      <w:r>
        <w:rPr>
          <w:spacing w:val="3"/>
          <w:w w:val="115"/>
          <w:sz w:val="20"/>
        </w:rPr>
        <w:t>support  </w:t>
      </w:r>
      <w:r>
        <w:rPr>
          <w:w w:val="115"/>
          <w:sz w:val="20"/>
        </w:rPr>
        <w:t>the </w:t>
      </w:r>
      <w:r>
        <w:rPr>
          <w:spacing w:val="2"/>
          <w:w w:val="115"/>
          <w:sz w:val="20"/>
        </w:rPr>
        <w:t>direction </w:t>
      </w:r>
      <w:r>
        <w:rPr>
          <w:w w:val="115"/>
          <w:sz w:val="20"/>
        </w:rPr>
        <w:t>of church life initiated through the ministers/CRCWs, </w:t>
      </w:r>
      <w:r>
        <w:rPr>
          <w:spacing w:val="2"/>
          <w:w w:val="115"/>
          <w:sz w:val="20"/>
        </w:rPr>
        <w:t>elders </w:t>
      </w:r>
      <w:r>
        <w:rPr>
          <w:w w:val="115"/>
          <w:sz w:val="20"/>
        </w:rPr>
        <w:t>and church</w:t>
      </w:r>
      <w:r>
        <w:rPr>
          <w:spacing w:val="9"/>
          <w:w w:val="115"/>
          <w:sz w:val="20"/>
        </w:rPr>
        <w:t> </w:t>
      </w:r>
      <w:r>
        <w:rPr>
          <w:w w:val="115"/>
          <w:sz w:val="20"/>
        </w:rPr>
        <w:t>meetings.</w:t>
      </w:r>
    </w:p>
    <w:p>
      <w:pPr>
        <w:pStyle w:val="ListParagraph"/>
        <w:numPr>
          <w:ilvl w:val="0"/>
          <w:numId w:val="157"/>
        </w:numPr>
        <w:tabs>
          <w:tab w:pos="1814" w:val="left" w:leader="none"/>
          <w:tab w:pos="1815" w:val="left" w:leader="none"/>
        </w:tabs>
        <w:spacing w:line="250" w:lineRule="exact" w:before="0" w:after="0"/>
        <w:ind w:left="1814" w:right="0" w:hanging="682"/>
        <w:jc w:val="left"/>
        <w:rPr>
          <w:sz w:val="20"/>
        </w:rPr>
      </w:pPr>
      <w:r>
        <w:rPr>
          <w:w w:val="115"/>
          <w:sz w:val="20"/>
        </w:rPr>
        <w:t>Not to enter a sexual relationship with anyone in their</w:t>
      </w:r>
      <w:r>
        <w:rPr>
          <w:spacing w:val="48"/>
          <w:w w:val="115"/>
          <w:sz w:val="20"/>
        </w:rPr>
        <w:t> </w:t>
      </w:r>
      <w:r>
        <w:rPr>
          <w:w w:val="115"/>
          <w:sz w:val="20"/>
        </w:rPr>
        <w:t>care.</w:t>
      </w:r>
    </w:p>
    <w:p>
      <w:pPr>
        <w:pStyle w:val="ListParagraph"/>
        <w:numPr>
          <w:ilvl w:val="0"/>
          <w:numId w:val="157"/>
        </w:numPr>
        <w:tabs>
          <w:tab w:pos="1815" w:val="left" w:leader="none"/>
        </w:tabs>
        <w:spacing w:line="196" w:lineRule="auto" w:before="0" w:after="0"/>
        <w:ind w:left="1814" w:right="2059" w:hanging="681"/>
        <w:jc w:val="both"/>
        <w:rPr>
          <w:sz w:val="20"/>
        </w:rPr>
      </w:pPr>
      <w:r>
        <w:rPr>
          <w:w w:val="120"/>
          <w:sz w:val="20"/>
        </w:rPr>
        <w:t>Not to be alone with a child or children or young people in a place quite separate from</w:t>
      </w:r>
      <w:r>
        <w:rPr>
          <w:spacing w:val="1"/>
          <w:w w:val="120"/>
          <w:sz w:val="20"/>
        </w:rPr>
        <w:t> </w:t>
      </w:r>
      <w:r>
        <w:rPr>
          <w:w w:val="120"/>
          <w:sz w:val="20"/>
        </w:rPr>
        <w:t>others.</w:t>
      </w:r>
    </w:p>
    <w:p>
      <w:pPr>
        <w:pStyle w:val="BodyText"/>
        <w:spacing w:before="11"/>
        <w:rPr>
          <w:sz w:val="18"/>
        </w:rPr>
      </w:pPr>
    </w:p>
    <w:p>
      <w:pPr>
        <w:tabs>
          <w:tab w:pos="1814" w:val="left" w:leader="none"/>
        </w:tabs>
        <w:spacing w:line="246" w:lineRule="exact" w:before="0"/>
        <w:ind w:left="1133" w:right="0" w:firstLine="0"/>
        <w:jc w:val="left"/>
        <w:rPr>
          <w:rFonts w:ascii="Stone Sans II ITC Std Bk"/>
          <w:b/>
          <w:i/>
          <w:sz w:val="20"/>
        </w:rPr>
      </w:pPr>
      <w:r>
        <w:rPr>
          <w:rFonts w:ascii="Stone Sans II ITC Std Bk"/>
          <w:b/>
          <w:w w:val="110"/>
          <w:sz w:val="20"/>
        </w:rPr>
        <w:t>3d</w:t>
        <w:tab/>
      </w:r>
      <w:r>
        <w:rPr>
          <w:rFonts w:ascii="Stone Sans II ITC Std Bk"/>
          <w:b/>
          <w:i/>
          <w:w w:val="110"/>
          <w:sz w:val="20"/>
        </w:rPr>
        <w:t>Relationship with councils of the</w:t>
      </w:r>
      <w:r>
        <w:rPr>
          <w:rFonts w:ascii="Stone Sans II ITC Std Bk"/>
          <w:b/>
          <w:i/>
          <w:spacing w:val="-5"/>
          <w:w w:val="110"/>
          <w:sz w:val="20"/>
        </w:rPr>
        <w:t> </w:t>
      </w:r>
      <w:r>
        <w:rPr>
          <w:rFonts w:ascii="Stone Sans II ITC Std Bk"/>
          <w:b/>
          <w:i/>
          <w:w w:val="110"/>
          <w:sz w:val="20"/>
        </w:rPr>
        <w:t>Church</w:t>
      </w:r>
    </w:p>
    <w:p>
      <w:pPr>
        <w:pStyle w:val="ListParagraph"/>
        <w:numPr>
          <w:ilvl w:val="0"/>
          <w:numId w:val="157"/>
        </w:numPr>
        <w:tabs>
          <w:tab w:pos="1814" w:val="left" w:leader="none"/>
          <w:tab w:pos="1815" w:val="left" w:leader="none"/>
        </w:tabs>
        <w:spacing w:line="216" w:lineRule="auto" w:before="0" w:after="0"/>
        <w:ind w:left="1814" w:right="2007" w:hanging="681"/>
        <w:jc w:val="left"/>
        <w:rPr>
          <w:sz w:val="20"/>
        </w:rPr>
      </w:pPr>
      <w:r>
        <w:rPr>
          <w:spacing w:val="-7"/>
          <w:w w:val="120"/>
          <w:sz w:val="20"/>
        </w:rPr>
        <w:t>To </w:t>
      </w:r>
      <w:r>
        <w:rPr>
          <w:w w:val="120"/>
          <w:sz w:val="20"/>
        </w:rPr>
        <w:t>recognise that the pastorate is </w:t>
      </w:r>
      <w:r>
        <w:rPr>
          <w:spacing w:val="2"/>
          <w:w w:val="120"/>
          <w:sz w:val="20"/>
        </w:rPr>
        <w:t>part </w:t>
      </w:r>
      <w:r>
        <w:rPr>
          <w:w w:val="120"/>
          <w:sz w:val="20"/>
        </w:rPr>
        <w:t>of the wider United Reformed Church and that the ministers/CRCWs are committed to play their </w:t>
      </w:r>
      <w:r>
        <w:rPr>
          <w:spacing w:val="2"/>
          <w:w w:val="120"/>
          <w:sz w:val="20"/>
        </w:rPr>
        <w:t>part </w:t>
      </w:r>
      <w:r>
        <w:rPr>
          <w:w w:val="120"/>
          <w:sz w:val="20"/>
        </w:rPr>
        <w:t>in the wider councils of the Church and in ecumenical</w:t>
      </w:r>
      <w:r>
        <w:rPr>
          <w:spacing w:val="12"/>
          <w:w w:val="120"/>
          <w:sz w:val="20"/>
        </w:rPr>
        <w:t> </w:t>
      </w:r>
      <w:r>
        <w:rPr>
          <w:w w:val="120"/>
          <w:sz w:val="20"/>
        </w:rPr>
        <w:t>relationships.</w:t>
      </w:r>
    </w:p>
    <w:p>
      <w:pPr>
        <w:pStyle w:val="ListParagraph"/>
        <w:numPr>
          <w:ilvl w:val="0"/>
          <w:numId w:val="157"/>
        </w:numPr>
        <w:tabs>
          <w:tab w:pos="1814" w:val="left" w:leader="none"/>
          <w:tab w:pos="1815" w:val="left" w:leader="none"/>
        </w:tabs>
        <w:spacing w:line="250" w:lineRule="exact" w:before="0" w:after="0"/>
        <w:ind w:left="1814" w:right="0" w:hanging="682"/>
        <w:jc w:val="left"/>
        <w:rPr>
          <w:sz w:val="20"/>
        </w:rPr>
      </w:pPr>
      <w:r>
        <w:rPr>
          <w:spacing w:val="-7"/>
          <w:w w:val="120"/>
          <w:sz w:val="20"/>
        </w:rPr>
        <w:t>To </w:t>
      </w:r>
      <w:r>
        <w:rPr>
          <w:w w:val="120"/>
          <w:sz w:val="20"/>
        </w:rPr>
        <w:t>engage positively with all the councils of the</w:t>
      </w:r>
      <w:r>
        <w:rPr>
          <w:spacing w:val="30"/>
          <w:w w:val="120"/>
          <w:sz w:val="20"/>
        </w:rPr>
        <w:t> </w:t>
      </w:r>
      <w:r>
        <w:rPr>
          <w:w w:val="120"/>
          <w:sz w:val="20"/>
        </w:rPr>
        <w:t>church.</w:t>
      </w:r>
    </w:p>
    <w:p>
      <w:pPr>
        <w:pStyle w:val="ListParagraph"/>
        <w:numPr>
          <w:ilvl w:val="0"/>
          <w:numId w:val="157"/>
        </w:numPr>
        <w:tabs>
          <w:tab w:pos="1814" w:val="left" w:leader="none"/>
          <w:tab w:pos="1815" w:val="left" w:leader="none"/>
        </w:tabs>
        <w:spacing w:line="281" w:lineRule="exact" w:before="0" w:after="0"/>
        <w:ind w:left="1814" w:right="0" w:hanging="682"/>
        <w:jc w:val="left"/>
        <w:rPr>
          <w:sz w:val="20"/>
        </w:rPr>
      </w:pPr>
      <w:r>
        <w:rPr>
          <w:spacing w:val="-7"/>
          <w:w w:val="120"/>
          <w:sz w:val="20"/>
        </w:rPr>
        <w:t>To </w:t>
      </w:r>
      <w:r>
        <w:rPr>
          <w:w w:val="120"/>
          <w:sz w:val="20"/>
        </w:rPr>
        <w:t>participate in synod’s consultation and review of the pastorate as</w:t>
      </w:r>
      <w:r>
        <w:rPr>
          <w:spacing w:val="27"/>
          <w:w w:val="120"/>
          <w:sz w:val="20"/>
        </w:rPr>
        <w:t> </w:t>
      </w:r>
      <w:r>
        <w:rPr>
          <w:w w:val="120"/>
          <w:sz w:val="20"/>
        </w:rPr>
        <w:t>appropriate.</w:t>
      </w:r>
    </w:p>
    <w:p>
      <w:pPr>
        <w:spacing w:after="0" w:line="281" w:lineRule="exact"/>
        <w:jc w:val="left"/>
        <w:rPr>
          <w:sz w:val="20"/>
        </w:rPr>
        <w:sectPr>
          <w:headerReference w:type="even" r:id="rId531"/>
          <w:footerReference w:type="even" r:id="rId532"/>
          <w:pgSz w:w="11910" w:h="16840"/>
          <w:pgMar w:header="0" w:footer="647" w:top="0" w:bottom="840" w:left="0" w:right="0"/>
        </w:sectPr>
      </w:pPr>
    </w:p>
    <w:p>
      <w:pPr>
        <w:spacing w:before="66"/>
        <w:ind w:left="1724" w:right="1515" w:firstLine="0"/>
        <w:jc w:val="center"/>
        <w:rPr>
          <w:rFonts w:ascii="Stone Sans II ITC Std Bk"/>
          <w:b/>
          <w:i/>
          <w:sz w:val="32"/>
        </w:rPr>
      </w:pPr>
      <w:r>
        <w:rPr/>
        <w:pict>
          <v:rect style="position:absolute;margin-left:0pt;margin-top:.000015pt;width:595.275pt;height:841.89pt;mso-position-horizontal-relative:page;mso-position-vertical-relative:page;z-index:-267100160" filled="true" fillcolor="#a1bf37" stroked="false">
            <v:fill type="solid"/>
            <w10:wrap type="none"/>
          </v:rect>
        </w:pict>
      </w:r>
      <w:r>
        <w:rPr/>
        <w:pict>
          <v:group style="position:absolute;margin-left:75.826797pt;margin-top:.000015pt;width:519.4500pt;height:790.9pt;mso-position-horizontal-relative:page;mso-position-vertical-relative:page;z-index:-267099136"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v:line style="position:absolute" from="1984,3301" to="10132,3301" stroked="true" strokeweight="4pt" strokecolor="#a1bf37">
              <v:stroke dashstyle="solid"/>
            </v:line>
            <w10:wrap type="none"/>
          </v:group>
        </w:pict>
      </w:r>
      <w:r>
        <w:rPr/>
        <w:pict>
          <v:shape style="position:absolute;margin-left:512.587891pt;margin-top:8.773974pt;width:47.4pt;height:254.7pt;mso-position-horizontal-relative:page;mso-position-vertical-relative:paragraph;z-index:-26709811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w w:val="110"/>
                      <w:sz w:val="72"/>
                    </w:rPr>
                    <w:t>Appendix 4a</w:t>
                  </w:r>
                </w:p>
              </w:txbxContent>
            </v:textbox>
            <w10:wrap type="none"/>
          </v:shape>
        </w:pict>
      </w:r>
      <w:r>
        <w:rPr>
          <w:rFonts w:ascii="Stone Sans II ITC Std Bk"/>
          <w:b/>
          <w:i/>
          <w:w w:val="115"/>
          <w:sz w:val="32"/>
        </w:rPr>
        <w:t>Memorandum of Association of</w:t>
      </w:r>
    </w:p>
    <w:p>
      <w:pPr>
        <w:spacing w:before="28"/>
        <w:ind w:left="1724" w:right="1514" w:firstLine="0"/>
        <w:jc w:val="center"/>
        <w:rPr>
          <w:rFonts w:ascii="Stone Sans II ITC Std Bk"/>
          <w:b/>
          <w:sz w:val="32"/>
        </w:rPr>
      </w:pPr>
      <w:r>
        <w:rPr>
          <w:rFonts w:ascii="Stone Sans II ITC Std Bk"/>
          <w:b/>
          <w:w w:val="115"/>
          <w:sz w:val="32"/>
        </w:rPr>
        <w:t>UNITED REFORMED CHURCH TRUST</w:t>
      </w:r>
    </w:p>
    <w:p>
      <w:pPr>
        <w:spacing w:line="638" w:lineRule="auto" w:before="29"/>
        <w:ind w:left="3367" w:right="3157" w:firstLine="912"/>
        <w:jc w:val="left"/>
        <w:rPr>
          <w:rFonts w:ascii="Stone Sans II ITC Std Bk"/>
          <w:b/>
          <w:sz w:val="20"/>
        </w:rPr>
      </w:pPr>
      <w:r>
        <w:rPr>
          <w:rFonts w:ascii="Stone Sans II ITC Std Bk"/>
          <w:b/>
          <w:w w:val="110"/>
          <w:sz w:val="20"/>
        </w:rPr>
        <w:t>Charity Registration No. </w:t>
      </w:r>
      <w:r>
        <w:rPr>
          <w:rFonts w:ascii="Stone Sans II ITC Std Bk"/>
          <w:b/>
          <w:spacing w:val="-11"/>
          <w:w w:val="110"/>
          <w:sz w:val="20"/>
        </w:rPr>
        <w:t>1133373 </w:t>
      </w:r>
      <w:r>
        <w:rPr>
          <w:rFonts w:ascii="Stone Sans II ITC Std Bk"/>
          <w:b/>
          <w:w w:val="110"/>
          <w:sz w:val="20"/>
        </w:rPr>
        <w:t>Adopted by Special Resolution </w:t>
      </w:r>
      <w:r>
        <w:rPr>
          <w:rFonts w:ascii="Stone Sans II ITC Std Bk"/>
          <w:b/>
          <w:spacing w:val="-6"/>
          <w:w w:val="110"/>
          <w:sz w:val="20"/>
        </w:rPr>
        <w:t>18 </w:t>
      </w:r>
      <w:r>
        <w:rPr>
          <w:rFonts w:ascii="Stone Sans II ITC Std Bk"/>
          <w:b/>
          <w:w w:val="110"/>
          <w:sz w:val="20"/>
        </w:rPr>
        <w:t>December</w:t>
      </w:r>
      <w:r>
        <w:rPr>
          <w:rFonts w:ascii="Stone Sans II ITC Std Bk"/>
          <w:b/>
          <w:spacing w:val="24"/>
          <w:w w:val="110"/>
          <w:sz w:val="20"/>
        </w:rPr>
        <w:t> </w:t>
      </w:r>
      <w:r>
        <w:rPr>
          <w:rFonts w:ascii="Stone Sans II ITC Std Bk"/>
          <w:b/>
          <w:w w:val="110"/>
          <w:sz w:val="20"/>
        </w:rPr>
        <w:t>2009</w:t>
      </w:r>
    </w:p>
    <w:p>
      <w:pPr>
        <w:pStyle w:val="BodyText"/>
        <w:spacing w:before="4"/>
        <w:rPr>
          <w:rFonts w:ascii="Stone Sans II ITC Std Bk"/>
          <w:b/>
          <w:sz w:val="32"/>
        </w:rPr>
      </w:pPr>
    </w:p>
    <w:p>
      <w:pPr>
        <w:spacing w:before="0"/>
        <w:ind w:left="1724" w:right="1639" w:firstLine="0"/>
        <w:jc w:val="center"/>
        <w:rPr>
          <w:rFonts w:ascii="Stone Sans II ITC Std Bk"/>
          <w:b/>
          <w:sz w:val="48"/>
        </w:rPr>
      </w:pPr>
      <w:r>
        <w:rPr>
          <w:rFonts w:ascii="Stone Sans II ITC Std Bk"/>
          <w:b/>
          <w:w w:val="115"/>
          <w:sz w:val="48"/>
        </w:rPr>
        <w:t>Company Limited by Guarantee</w:t>
      </w:r>
    </w:p>
    <w:p>
      <w:pPr>
        <w:spacing w:before="37"/>
        <w:ind w:left="1724" w:right="1515" w:firstLine="0"/>
        <w:jc w:val="center"/>
        <w:rPr>
          <w:rFonts w:ascii="Stone Sans II ITC Std Bk"/>
          <w:b/>
          <w:i/>
          <w:sz w:val="32"/>
        </w:rPr>
      </w:pPr>
      <w:r>
        <w:rPr>
          <w:rFonts w:ascii="Stone Sans II ITC Std Bk"/>
          <w:b/>
          <w:i/>
          <w:w w:val="115"/>
          <w:sz w:val="32"/>
        </w:rPr>
        <w:t>Memorandum of Association of</w:t>
      </w:r>
    </w:p>
    <w:p>
      <w:pPr>
        <w:spacing w:before="28"/>
        <w:ind w:left="1724" w:right="1514" w:firstLine="0"/>
        <w:jc w:val="center"/>
        <w:rPr>
          <w:rFonts w:ascii="Stone Sans II ITC Std Bk"/>
          <w:b/>
          <w:sz w:val="32"/>
        </w:rPr>
      </w:pPr>
      <w:r>
        <w:rPr>
          <w:rFonts w:ascii="Stone Sans II ITC Std Bk"/>
          <w:b/>
          <w:w w:val="115"/>
          <w:sz w:val="32"/>
        </w:rPr>
        <w:t>UNITED REFORMED CHURCH TRUST</w:t>
      </w:r>
    </w:p>
    <w:p>
      <w:pPr>
        <w:pStyle w:val="BodyText"/>
        <w:spacing w:before="5"/>
        <w:rPr>
          <w:rFonts w:ascii="Stone Sans II ITC Std Bk"/>
          <w:b/>
          <w:sz w:val="55"/>
        </w:rPr>
      </w:pPr>
    </w:p>
    <w:p>
      <w:pPr>
        <w:pStyle w:val="ListParagraph"/>
        <w:numPr>
          <w:ilvl w:val="0"/>
          <w:numId w:val="160"/>
        </w:numPr>
        <w:tabs>
          <w:tab w:pos="2664" w:val="left" w:leader="none"/>
          <w:tab w:pos="2665" w:val="left" w:leader="none"/>
        </w:tabs>
        <w:spacing w:line="240" w:lineRule="auto" w:before="0" w:after="0"/>
        <w:ind w:left="2664" w:right="0" w:hanging="681"/>
        <w:jc w:val="left"/>
        <w:rPr>
          <w:rFonts w:ascii="Stone Sans II ITC Std Bk" w:hAnsi="Stone Sans II ITC Std Bk"/>
          <w:b/>
          <w:sz w:val="20"/>
        </w:rPr>
      </w:pPr>
      <w:r>
        <w:rPr>
          <w:rFonts w:ascii="Stone Sans II ITC Std Bk" w:hAnsi="Stone Sans II ITC Std Bk"/>
          <w:b/>
          <w:w w:val="110"/>
          <w:sz w:val="20"/>
        </w:rPr>
        <w:t>The Company’s name</w:t>
      </w:r>
      <w:r>
        <w:rPr>
          <w:rFonts w:ascii="Stone Sans II ITC Std Bk" w:hAnsi="Stone Sans II ITC Std Bk"/>
          <w:b/>
          <w:spacing w:val="-2"/>
          <w:w w:val="110"/>
          <w:sz w:val="20"/>
        </w:rPr>
        <w:t> </w:t>
      </w:r>
      <w:r>
        <w:rPr>
          <w:rFonts w:ascii="Stone Sans II ITC Std Bk" w:hAnsi="Stone Sans II ITC Std Bk"/>
          <w:b/>
          <w:w w:val="110"/>
          <w:sz w:val="20"/>
        </w:rPr>
        <w:t>is:</w:t>
      </w:r>
    </w:p>
    <w:p>
      <w:pPr>
        <w:pStyle w:val="BodyText"/>
        <w:spacing w:before="6"/>
        <w:rPr>
          <w:rFonts w:ascii="Stone Sans II ITC Std Bk"/>
          <w:b/>
          <w:sz w:val="16"/>
        </w:rPr>
      </w:pPr>
    </w:p>
    <w:p>
      <w:pPr>
        <w:pStyle w:val="BodyText"/>
        <w:spacing w:line="242" w:lineRule="exact"/>
        <w:ind w:left="2664"/>
      </w:pPr>
      <w:r>
        <w:rPr>
          <w:w w:val="120"/>
        </w:rPr>
        <w:t>“United Reformed Church Trust”</w:t>
      </w:r>
    </w:p>
    <w:p>
      <w:pPr>
        <w:pStyle w:val="BodyText"/>
        <w:spacing w:line="242" w:lineRule="exact"/>
        <w:ind w:left="2664"/>
      </w:pPr>
      <w:r>
        <w:rPr>
          <w:w w:val="125"/>
        </w:rPr>
        <w:t>(and in this document it is called “the Charity”).</w:t>
      </w:r>
    </w:p>
    <w:p>
      <w:pPr>
        <w:pStyle w:val="BodyText"/>
        <w:spacing w:before="3"/>
        <w:rPr>
          <w:sz w:val="18"/>
        </w:rPr>
      </w:pPr>
    </w:p>
    <w:p>
      <w:pPr>
        <w:pStyle w:val="ListParagraph"/>
        <w:numPr>
          <w:ilvl w:val="0"/>
          <w:numId w:val="160"/>
        </w:numPr>
        <w:tabs>
          <w:tab w:pos="2664" w:val="left" w:leader="none"/>
          <w:tab w:pos="2665" w:val="left" w:leader="none"/>
        </w:tabs>
        <w:spacing w:line="240" w:lineRule="auto" w:before="1" w:after="0"/>
        <w:ind w:left="2664" w:right="0" w:hanging="681"/>
        <w:jc w:val="left"/>
        <w:rPr>
          <w:sz w:val="20"/>
        </w:rPr>
      </w:pPr>
      <w:r>
        <w:rPr>
          <w:w w:val="120"/>
          <w:sz w:val="20"/>
        </w:rPr>
        <w:t>The Charity’s registered office is to be situated in</w:t>
      </w:r>
      <w:r>
        <w:rPr>
          <w:spacing w:val="20"/>
          <w:w w:val="120"/>
          <w:sz w:val="20"/>
        </w:rPr>
        <w:t> </w:t>
      </w:r>
      <w:r>
        <w:rPr>
          <w:w w:val="120"/>
          <w:sz w:val="20"/>
        </w:rPr>
        <w:t>England.</w:t>
      </w:r>
    </w:p>
    <w:p>
      <w:pPr>
        <w:pStyle w:val="BodyText"/>
        <w:rPr>
          <w:sz w:val="24"/>
        </w:rPr>
      </w:pPr>
    </w:p>
    <w:p>
      <w:pPr>
        <w:pStyle w:val="ListParagraph"/>
        <w:numPr>
          <w:ilvl w:val="0"/>
          <w:numId w:val="160"/>
        </w:numPr>
        <w:tabs>
          <w:tab w:pos="2664" w:val="left" w:leader="none"/>
          <w:tab w:pos="2665" w:val="left" w:leader="none"/>
        </w:tabs>
        <w:spacing w:line="230" w:lineRule="auto" w:before="164" w:after="0"/>
        <w:ind w:left="2664" w:right="1849" w:hanging="681"/>
        <w:jc w:val="left"/>
        <w:rPr>
          <w:sz w:val="20"/>
        </w:rPr>
      </w:pPr>
      <w:r>
        <w:rPr>
          <w:w w:val="120"/>
          <w:sz w:val="20"/>
        </w:rPr>
        <w:t>Unless the context otherwise requires, words or expressions contained in these Articles have the same meaning as in the Companies Act </w:t>
      </w:r>
      <w:r>
        <w:rPr>
          <w:spacing w:val="-5"/>
          <w:w w:val="120"/>
          <w:sz w:val="20"/>
        </w:rPr>
        <w:t>1985 </w:t>
      </w:r>
      <w:r>
        <w:rPr>
          <w:w w:val="120"/>
          <w:sz w:val="20"/>
        </w:rPr>
        <w:t>or the Companies Act 2006, but excluding any statutory modification not in force when this constitution became binding on the</w:t>
      </w:r>
      <w:r>
        <w:rPr>
          <w:spacing w:val="24"/>
          <w:w w:val="120"/>
          <w:sz w:val="20"/>
        </w:rPr>
        <w:t> </w:t>
      </w:r>
      <w:r>
        <w:rPr>
          <w:w w:val="120"/>
          <w:sz w:val="20"/>
        </w:rPr>
        <w:t>Charity.</w:t>
      </w:r>
    </w:p>
    <w:p>
      <w:pPr>
        <w:pStyle w:val="BodyText"/>
        <w:rPr>
          <w:sz w:val="24"/>
        </w:rPr>
      </w:pPr>
    </w:p>
    <w:p>
      <w:pPr>
        <w:pStyle w:val="ListParagraph"/>
        <w:numPr>
          <w:ilvl w:val="0"/>
          <w:numId w:val="160"/>
        </w:numPr>
        <w:tabs>
          <w:tab w:pos="2664" w:val="left" w:leader="none"/>
          <w:tab w:pos="2665" w:val="left" w:leader="none"/>
        </w:tabs>
        <w:spacing w:line="230" w:lineRule="auto" w:before="184" w:after="0"/>
        <w:ind w:left="2664" w:right="1835" w:hanging="681"/>
        <w:jc w:val="left"/>
        <w:rPr>
          <w:sz w:val="20"/>
        </w:rPr>
      </w:pPr>
      <w:r>
        <w:rPr>
          <w:spacing w:val="2"/>
          <w:w w:val="120"/>
          <w:sz w:val="20"/>
        </w:rPr>
        <w:t>Apart </w:t>
      </w:r>
      <w:r>
        <w:rPr>
          <w:w w:val="120"/>
          <w:sz w:val="20"/>
        </w:rPr>
        <w:t>from the exception mentioned in Clause 3, a reference to an Act of Parliament includes any statutory modification or re-enactment of it for the time being in</w:t>
      </w:r>
      <w:r>
        <w:rPr>
          <w:spacing w:val="6"/>
          <w:w w:val="120"/>
          <w:sz w:val="20"/>
        </w:rPr>
        <w:t> </w:t>
      </w:r>
      <w:r>
        <w:rPr>
          <w:w w:val="120"/>
          <w:sz w:val="20"/>
        </w:rPr>
        <w:t>force.</w:t>
      </w:r>
    </w:p>
    <w:p>
      <w:pPr>
        <w:pStyle w:val="BodyText"/>
        <w:rPr>
          <w:sz w:val="24"/>
        </w:rPr>
      </w:pPr>
    </w:p>
    <w:p>
      <w:pPr>
        <w:numPr>
          <w:ilvl w:val="0"/>
          <w:numId w:val="160"/>
        </w:numPr>
        <w:tabs>
          <w:tab w:pos="2664" w:val="left" w:leader="none"/>
          <w:tab w:pos="2665" w:val="left" w:leader="none"/>
        </w:tabs>
        <w:spacing w:before="171"/>
        <w:ind w:left="2664" w:right="0" w:hanging="681"/>
        <w:jc w:val="left"/>
        <w:rPr>
          <w:rFonts w:ascii="Stone Sans II ITC Std Bk" w:hAnsi="Stone Sans II ITC Std Bk"/>
          <w:b/>
          <w:sz w:val="20"/>
        </w:rPr>
      </w:pPr>
      <w:r>
        <w:rPr>
          <w:rFonts w:ascii="Stone Sans II ITC Std Bk" w:hAnsi="Stone Sans II ITC Std Bk"/>
          <w:b/>
          <w:w w:val="110"/>
          <w:sz w:val="20"/>
        </w:rPr>
        <w:t>The Charity’s Objects </w:t>
      </w:r>
      <w:r>
        <w:rPr>
          <w:rFonts w:ascii="Stone Sans II ITC Std Bk" w:hAnsi="Stone Sans II ITC Std Bk"/>
          <w:b/>
          <w:spacing w:val="-3"/>
          <w:w w:val="110"/>
          <w:sz w:val="20"/>
        </w:rPr>
        <w:t>(the </w:t>
      </w:r>
      <w:r>
        <w:rPr>
          <w:rFonts w:ascii="Stone Sans II ITC Std Bk" w:hAnsi="Stone Sans II ITC Std Bk"/>
          <w:b/>
          <w:w w:val="110"/>
          <w:sz w:val="20"/>
        </w:rPr>
        <w:t>Objects)</w:t>
      </w:r>
      <w:r>
        <w:rPr>
          <w:rFonts w:ascii="Stone Sans II ITC Std Bk" w:hAnsi="Stone Sans II ITC Std Bk"/>
          <w:b/>
          <w:spacing w:val="1"/>
          <w:w w:val="110"/>
          <w:sz w:val="20"/>
        </w:rPr>
        <w:t> </w:t>
      </w:r>
      <w:r>
        <w:rPr>
          <w:rFonts w:ascii="Stone Sans II ITC Std Bk" w:hAnsi="Stone Sans II ITC Std Bk"/>
          <w:b/>
          <w:w w:val="110"/>
          <w:sz w:val="20"/>
        </w:rPr>
        <w:t>are:</w:t>
      </w:r>
    </w:p>
    <w:p>
      <w:pPr>
        <w:pStyle w:val="BodyText"/>
        <w:spacing w:before="9"/>
        <w:rPr>
          <w:rFonts w:ascii="Stone Sans II ITC Std Bk"/>
          <w:b/>
          <w:sz w:val="16"/>
        </w:rPr>
      </w:pPr>
    </w:p>
    <w:p>
      <w:pPr>
        <w:pStyle w:val="ListParagraph"/>
        <w:numPr>
          <w:ilvl w:val="1"/>
          <w:numId w:val="160"/>
        </w:numPr>
        <w:tabs>
          <w:tab w:pos="2664" w:val="left" w:leader="none"/>
          <w:tab w:pos="2665" w:val="left" w:leader="none"/>
        </w:tabs>
        <w:spacing w:line="235" w:lineRule="auto" w:before="0" w:after="0"/>
        <w:ind w:left="2664" w:right="1790" w:hanging="681"/>
        <w:jc w:val="left"/>
        <w:rPr>
          <w:sz w:val="20"/>
        </w:rPr>
      </w:pPr>
      <w:r>
        <w:rPr>
          <w:spacing w:val="-7"/>
          <w:w w:val="120"/>
          <w:sz w:val="20"/>
        </w:rPr>
        <w:t>To </w:t>
      </w:r>
      <w:r>
        <w:rPr>
          <w:w w:val="120"/>
          <w:sz w:val="20"/>
        </w:rPr>
        <w:t>advance the Christian religion for the benefit of the public in accordance with the doctrines, principles and usages, and the Scheme of Union of the United Reformed Church (“the</w:t>
      </w:r>
      <w:r>
        <w:rPr>
          <w:spacing w:val="12"/>
          <w:w w:val="120"/>
          <w:sz w:val="20"/>
        </w:rPr>
        <w:t> </w:t>
      </w:r>
      <w:r>
        <w:rPr>
          <w:w w:val="120"/>
          <w:sz w:val="20"/>
        </w:rPr>
        <w:t>Church”).</w:t>
      </w:r>
    </w:p>
    <w:p>
      <w:pPr>
        <w:pStyle w:val="BodyText"/>
        <w:spacing w:before="9"/>
        <w:rPr>
          <w:sz w:val="26"/>
        </w:rPr>
      </w:pPr>
    </w:p>
    <w:p>
      <w:pPr>
        <w:numPr>
          <w:ilvl w:val="0"/>
          <w:numId w:val="160"/>
        </w:numPr>
        <w:tabs>
          <w:tab w:pos="2664" w:val="left" w:leader="none"/>
          <w:tab w:pos="2665" w:val="left" w:leader="none"/>
        </w:tabs>
        <w:spacing w:before="0"/>
        <w:ind w:left="2664" w:right="0" w:hanging="681"/>
        <w:jc w:val="left"/>
        <w:rPr>
          <w:rFonts w:ascii="Stone Sans II ITC Std Bk"/>
          <w:b/>
          <w:sz w:val="20"/>
        </w:rPr>
      </w:pPr>
      <w:r>
        <w:rPr>
          <w:rFonts w:ascii="Stone Sans II ITC Std Bk"/>
          <w:b/>
          <w:w w:val="110"/>
          <w:sz w:val="20"/>
        </w:rPr>
        <w:t>Other</w:t>
      </w:r>
      <w:r>
        <w:rPr>
          <w:rFonts w:ascii="Stone Sans II ITC Std Bk"/>
          <w:b/>
          <w:spacing w:val="-1"/>
          <w:w w:val="110"/>
          <w:sz w:val="20"/>
        </w:rPr>
        <w:t> </w:t>
      </w:r>
      <w:r>
        <w:rPr>
          <w:rFonts w:ascii="Stone Sans II ITC Std Bk"/>
          <w:b/>
          <w:w w:val="110"/>
          <w:sz w:val="20"/>
        </w:rPr>
        <w:t>Powers</w:t>
      </w:r>
    </w:p>
    <w:p>
      <w:pPr>
        <w:pStyle w:val="ListParagraph"/>
        <w:numPr>
          <w:ilvl w:val="1"/>
          <w:numId w:val="160"/>
        </w:numPr>
        <w:tabs>
          <w:tab w:pos="2664" w:val="left" w:leader="none"/>
          <w:tab w:pos="2665" w:val="left" w:leader="none"/>
        </w:tabs>
        <w:spacing w:line="235" w:lineRule="auto" w:before="86" w:after="0"/>
        <w:ind w:left="2664" w:right="1981" w:hanging="681"/>
        <w:jc w:val="left"/>
        <w:rPr>
          <w:sz w:val="20"/>
        </w:rPr>
      </w:pPr>
      <w:r>
        <w:rPr>
          <w:w w:val="120"/>
          <w:sz w:val="20"/>
        </w:rPr>
        <w:t>In addition to any other powers it may have, the Charity has the following powers in order to further the Objects (but not for any other</w:t>
      </w:r>
      <w:r>
        <w:rPr>
          <w:spacing w:val="51"/>
          <w:w w:val="120"/>
          <w:sz w:val="20"/>
        </w:rPr>
        <w:t> </w:t>
      </w:r>
      <w:r>
        <w:rPr>
          <w:w w:val="120"/>
          <w:sz w:val="20"/>
        </w:rPr>
        <w:t>purpose):</w:t>
      </w:r>
    </w:p>
    <w:p>
      <w:pPr>
        <w:pStyle w:val="BodyText"/>
        <w:spacing w:before="9"/>
        <w:rPr>
          <w:sz w:val="19"/>
        </w:rPr>
      </w:pPr>
    </w:p>
    <w:p>
      <w:pPr>
        <w:pStyle w:val="ListParagraph"/>
        <w:numPr>
          <w:ilvl w:val="2"/>
          <w:numId w:val="160"/>
        </w:numPr>
        <w:tabs>
          <w:tab w:pos="3424" w:val="left" w:leader="none"/>
          <w:tab w:pos="3425" w:val="left" w:leader="none"/>
        </w:tabs>
        <w:spacing w:line="235" w:lineRule="auto" w:before="0" w:after="0"/>
        <w:ind w:left="3424" w:right="2048" w:hanging="721"/>
        <w:jc w:val="left"/>
        <w:rPr>
          <w:sz w:val="20"/>
        </w:rPr>
      </w:pPr>
      <w:r>
        <w:rPr>
          <w:w w:val="120"/>
          <w:sz w:val="20"/>
        </w:rPr>
        <w:t>to raise funds. In doing so, the Charity must not undertake any substantial permanent trading activity and must comply with any relevant statutory</w:t>
      </w:r>
      <w:r>
        <w:rPr>
          <w:spacing w:val="3"/>
          <w:w w:val="120"/>
          <w:sz w:val="20"/>
        </w:rPr>
        <w:t> </w:t>
      </w:r>
      <w:r>
        <w:rPr>
          <w:w w:val="120"/>
          <w:sz w:val="20"/>
        </w:rPr>
        <w:t>regulations;</w:t>
      </w:r>
    </w:p>
    <w:p>
      <w:pPr>
        <w:pStyle w:val="BodyText"/>
        <w:spacing w:before="10"/>
        <w:rPr>
          <w:sz w:val="19"/>
        </w:rPr>
      </w:pPr>
    </w:p>
    <w:p>
      <w:pPr>
        <w:pStyle w:val="ListParagraph"/>
        <w:numPr>
          <w:ilvl w:val="2"/>
          <w:numId w:val="160"/>
        </w:numPr>
        <w:tabs>
          <w:tab w:pos="3424" w:val="left" w:leader="none"/>
          <w:tab w:pos="3425" w:val="left" w:leader="none"/>
        </w:tabs>
        <w:spacing w:line="235" w:lineRule="auto" w:before="0" w:after="0"/>
        <w:ind w:left="3424" w:right="1776" w:hanging="721"/>
        <w:jc w:val="left"/>
        <w:rPr>
          <w:sz w:val="20"/>
        </w:rPr>
      </w:pPr>
      <w:r>
        <w:rPr>
          <w:w w:val="120"/>
          <w:sz w:val="20"/>
        </w:rPr>
        <w:t>to acquire, deal with, manage, direct the management of, purchase, take on lease or in exchange, hire, or otherwise acquire, and to accept by way of gift, subscription, donation, devise, bequest, or otherwise, and to hold buildings, lands, securities, stocks, shares, and</w:t>
      </w:r>
      <w:r>
        <w:rPr>
          <w:spacing w:val="9"/>
          <w:w w:val="120"/>
          <w:sz w:val="20"/>
        </w:rPr>
        <w:t> </w:t>
      </w:r>
      <w:r>
        <w:rPr>
          <w:w w:val="120"/>
          <w:sz w:val="20"/>
        </w:rPr>
        <w:t>debentures,</w:t>
      </w:r>
      <w:r>
        <w:rPr>
          <w:spacing w:val="10"/>
          <w:w w:val="120"/>
          <w:sz w:val="20"/>
        </w:rPr>
        <w:t> </w:t>
      </w:r>
      <w:r>
        <w:rPr>
          <w:w w:val="120"/>
          <w:sz w:val="20"/>
        </w:rPr>
        <w:t>money</w:t>
      </w:r>
      <w:r>
        <w:rPr>
          <w:spacing w:val="10"/>
          <w:w w:val="120"/>
          <w:sz w:val="20"/>
        </w:rPr>
        <w:t> </w:t>
      </w:r>
      <w:r>
        <w:rPr>
          <w:w w:val="120"/>
          <w:sz w:val="20"/>
        </w:rPr>
        <w:t>and</w:t>
      </w:r>
      <w:r>
        <w:rPr>
          <w:spacing w:val="10"/>
          <w:w w:val="120"/>
          <w:sz w:val="20"/>
        </w:rPr>
        <w:t> </w:t>
      </w:r>
      <w:r>
        <w:rPr>
          <w:w w:val="120"/>
          <w:sz w:val="20"/>
        </w:rPr>
        <w:t>other</w:t>
      </w:r>
      <w:r>
        <w:rPr>
          <w:spacing w:val="9"/>
          <w:w w:val="120"/>
          <w:sz w:val="20"/>
        </w:rPr>
        <w:t> </w:t>
      </w:r>
      <w:r>
        <w:rPr>
          <w:spacing w:val="2"/>
          <w:w w:val="120"/>
          <w:sz w:val="20"/>
        </w:rPr>
        <w:t>property</w:t>
      </w:r>
      <w:r>
        <w:rPr>
          <w:spacing w:val="10"/>
          <w:w w:val="120"/>
          <w:sz w:val="20"/>
        </w:rPr>
        <w:t> </w:t>
      </w:r>
      <w:r>
        <w:rPr>
          <w:w w:val="120"/>
          <w:sz w:val="20"/>
        </w:rPr>
        <w:t>in</w:t>
      </w:r>
      <w:r>
        <w:rPr>
          <w:spacing w:val="10"/>
          <w:w w:val="120"/>
          <w:sz w:val="20"/>
        </w:rPr>
        <w:t> </w:t>
      </w:r>
      <w:r>
        <w:rPr>
          <w:w w:val="120"/>
          <w:sz w:val="20"/>
        </w:rPr>
        <w:t>the</w:t>
      </w:r>
      <w:r>
        <w:rPr>
          <w:spacing w:val="10"/>
          <w:w w:val="120"/>
          <w:sz w:val="20"/>
        </w:rPr>
        <w:t> </w:t>
      </w:r>
      <w:r>
        <w:rPr>
          <w:w w:val="120"/>
          <w:sz w:val="20"/>
        </w:rPr>
        <w:t>United</w:t>
      </w:r>
      <w:r>
        <w:rPr>
          <w:spacing w:val="9"/>
          <w:w w:val="120"/>
          <w:sz w:val="20"/>
        </w:rPr>
        <w:t> </w:t>
      </w:r>
      <w:r>
        <w:rPr>
          <w:w w:val="120"/>
          <w:sz w:val="20"/>
        </w:rPr>
        <w:t>Kingdom</w:t>
      </w:r>
    </w:p>
    <w:p>
      <w:pPr>
        <w:pStyle w:val="BodyText"/>
      </w:pPr>
    </w:p>
    <w:p>
      <w:pPr>
        <w:pStyle w:val="BodyText"/>
        <w:spacing w:before="2"/>
        <w:rPr>
          <w:sz w:val="15"/>
        </w:rPr>
      </w:pPr>
    </w:p>
    <w:p>
      <w:pPr>
        <w:tabs>
          <w:tab w:pos="10630" w:val="left" w:leader="none"/>
        </w:tabs>
        <w:spacing w:before="97"/>
        <w:ind w:left="4686"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8"/>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221</w:t>
      </w:r>
    </w:p>
    <w:p>
      <w:pPr>
        <w:spacing w:after="0"/>
        <w:jc w:val="left"/>
        <w:rPr>
          <w:rFonts w:ascii="Stone Sans II ITC Std X Bd" w:hAnsi="Stone Sans II ITC Std X Bd"/>
          <w:sz w:val="24"/>
        </w:rPr>
        <w:sectPr>
          <w:headerReference w:type="default" r:id="rId533"/>
          <w:headerReference w:type="even" r:id="rId534"/>
          <w:footerReference w:type="default" r:id="rId535"/>
          <w:pgSz w:w="11910" w:h="16840"/>
          <w:pgMar w:header="0" w:footer="0" w:top="920" w:bottom="280" w:left="0" w:right="0"/>
        </w:sectPr>
      </w:pPr>
    </w:p>
    <w:p>
      <w:pPr>
        <w:pStyle w:val="BodyText"/>
        <w:spacing w:line="235" w:lineRule="auto" w:before="107"/>
        <w:ind w:left="2573" w:right="2191"/>
      </w:pPr>
      <w:r>
        <w:rPr/>
        <w:pict>
          <v:rect style="position:absolute;margin-left:12.047pt;margin-top:8.477343pt;width:22.677pt;height:22.677pt;mso-position-horizontal-relative:page;mso-position-vertical-relative:paragraph;z-index:252326912" filled="true" fillcolor="#e4ebc6" stroked="false">
            <v:fill opacity="32768f" type="solid"/>
            <w10:wrap type="none"/>
          </v:rect>
        </w:pict>
      </w:r>
      <w:r>
        <w:rPr>
          <w:w w:val="120"/>
        </w:rPr>
        <w:t>or elsewhere, whether for the Objects or to be held by the Charity as Trustee for and on behalf of, or otherwise, for the use or benefit of, any person, church, charity or committee connected with, or supported by, the United Reformed Church;</w:t>
      </w:r>
    </w:p>
    <w:p>
      <w:pPr>
        <w:pStyle w:val="BodyText"/>
        <w:spacing w:before="7"/>
        <w:rPr>
          <w:sz w:val="19"/>
        </w:rPr>
      </w:pPr>
    </w:p>
    <w:p>
      <w:pPr>
        <w:pStyle w:val="ListParagraph"/>
        <w:numPr>
          <w:ilvl w:val="2"/>
          <w:numId w:val="160"/>
        </w:numPr>
        <w:tabs>
          <w:tab w:pos="2573" w:val="left" w:leader="none"/>
          <w:tab w:pos="2574" w:val="left" w:leader="none"/>
        </w:tabs>
        <w:spacing w:line="240" w:lineRule="auto" w:before="0" w:after="0"/>
        <w:ind w:left="2573" w:right="0" w:hanging="721"/>
        <w:jc w:val="left"/>
        <w:rPr>
          <w:sz w:val="20"/>
        </w:rPr>
      </w:pPr>
      <w:r>
        <w:rPr>
          <w:w w:val="120"/>
          <w:sz w:val="20"/>
        </w:rPr>
        <w:t>to receive </w:t>
      </w:r>
      <w:r>
        <w:rPr>
          <w:spacing w:val="2"/>
          <w:w w:val="120"/>
          <w:sz w:val="20"/>
        </w:rPr>
        <w:t>gifts </w:t>
      </w:r>
      <w:r>
        <w:rPr>
          <w:w w:val="120"/>
          <w:sz w:val="20"/>
        </w:rPr>
        <w:t>or moneys subject to annual or other</w:t>
      </w:r>
      <w:r>
        <w:rPr>
          <w:spacing w:val="16"/>
          <w:w w:val="120"/>
          <w:sz w:val="20"/>
        </w:rPr>
        <w:t> </w:t>
      </w:r>
      <w:r>
        <w:rPr>
          <w:w w:val="120"/>
          <w:sz w:val="20"/>
        </w:rPr>
        <w:t>payments;</w:t>
      </w:r>
    </w:p>
    <w:p>
      <w:pPr>
        <w:pStyle w:val="BodyText"/>
        <w:spacing w:before="8"/>
        <w:rPr>
          <w:sz w:val="19"/>
        </w:rPr>
      </w:pPr>
    </w:p>
    <w:p>
      <w:pPr>
        <w:pStyle w:val="ListParagraph"/>
        <w:numPr>
          <w:ilvl w:val="2"/>
          <w:numId w:val="160"/>
        </w:numPr>
        <w:tabs>
          <w:tab w:pos="2573" w:val="left" w:leader="none"/>
          <w:tab w:pos="2574" w:val="left" w:leader="none"/>
        </w:tabs>
        <w:spacing w:line="235" w:lineRule="auto" w:before="0" w:after="0"/>
        <w:ind w:left="2573" w:right="2292" w:hanging="721"/>
        <w:jc w:val="left"/>
        <w:rPr>
          <w:sz w:val="20"/>
        </w:rPr>
      </w:pPr>
      <w:r>
        <w:rPr>
          <w:w w:val="120"/>
          <w:sz w:val="20"/>
        </w:rPr>
        <w:t>to acquire by purchase or otherwise, and undertake </w:t>
      </w:r>
      <w:r>
        <w:rPr>
          <w:spacing w:val="-6"/>
          <w:w w:val="120"/>
          <w:sz w:val="20"/>
        </w:rPr>
        <w:t>(so </w:t>
      </w:r>
      <w:r>
        <w:rPr>
          <w:w w:val="120"/>
          <w:sz w:val="20"/>
        </w:rPr>
        <w:t>far as it lawfully </w:t>
      </w:r>
      <w:r>
        <w:rPr>
          <w:spacing w:val="-5"/>
          <w:w w:val="120"/>
          <w:sz w:val="20"/>
        </w:rPr>
        <w:t>may), </w:t>
      </w:r>
      <w:r>
        <w:rPr>
          <w:w w:val="120"/>
          <w:sz w:val="20"/>
        </w:rPr>
        <w:t>the property, liabilities, and work, either wholly or in part,</w:t>
      </w:r>
      <w:r>
        <w:rPr>
          <w:spacing w:val="2"/>
          <w:w w:val="120"/>
          <w:sz w:val="20"/>
        </w:rPr>
        <w:t> </w:t>
      </w:r>
      <w:r>
        <w:rPr>
          <w:w w:val="120"/>
          <w:sz w:val="20"/>
        </w:rPr>
        <w:t>of</w:t>
      </w:r>
    </w:p>
    <w:p>
      <w:pPr>
        <w:pStyle w:val="BodyText"/>
        <w:spacing w:line="235" w:lineRule="auto" w:before="1"/>
        <w:ind w:left="2573" w:right="2488"/>
      </w:pPr>
      <w:r>
        <w:rPr>
          <w:w w:val="120"/>
        </w:rPr>
        <w:t>any Charity formed for any of the purposes the furtherance of which is contemplated by this Charity, and possessed of </w:t>
      </w:r>
      <w:r>
        <w:rPr>
          <w:spacing w:val="2"/>
          <w:w w:val="120"/>
        </w:rPr>
        <w:t>property </w:t>
      </w:r>
      <w:r>
        <w:rPr>
          <w:w w:val="120"/>
        </w:rPr>
        <w:t>suitable to such</w:t>
      </w:r>
      <w:r>
        <w:rPr>
          <w:spacing w:val="2"/>
          <w:w w:val="120"/>
        </w:rPr>
        <w:t> </w:t>
      </w:r>
      <w:r>
        <w:rPr>
          <w:w w:val="120"/>
        </w:rPr>
        <w:t>purposes;</w:t>
      </w:r>
    </w:p>
    <w:p>
      <w:pPr>
        <w:pStyle w:val="BodyText"/>
        <w:spacing w:before="10"/>
        <w:rPr>
          <w:sz w:val="19"/>
        </w:rPr>
      </w:pPr>
    </w:p>
    <w:p>
      <w:pPr>
        <w:pStyle w:val="ListParagraph"/>
        <w:numPr>
          <w:ilvl w:val="2"/>
          <w:numId w:val="160"/>
        </w:numPr>
        <w:tabs>
          <w:tab w:pos="2573" w:val="left" w:leader="none"/>
          <w:tab w:pos="2574" w:val="left" w:leader="none"/>
        </w:tabs>
        <w:spacing w:line="235" w:lineRule="auto" w:before="1" w:after="0"/>
        <w:ind w:left="2573" w:right="2045" w:hanging="721"/>
        <w:jc w:val="left"/>
        <w:rPr>
          <w:sz w:val="20"/>
        </w:rPr>
      </w:pPr>
      <w:r>
        <w:rPr>
          <w:w w:val="120"/>
          <w:sz w:val="20"/>
        </w:rPr>
        <w:t>to administer and manage as trustee, factor or agent in accordance with any trusts, expressed or implied, affecting the same, any trust </w:t>
      </w:r>
      <w:r>
        <w:rPr>
          <w:spacing w:val="2"/>
          <w:w w:val="120"/>
          <w:sz w:val="20"/>
        </w:rPr>
        <w:t>property </w:t>
      </w:r>
      <w:r>
        <w:rPr>
          <w:w w:val="120"/>
          <w:sz w:val="20"/>
        </w:rPr>
        <w:t>vested in the Charity otherwise than as bare trustee and to exercise any rights of ownership or any rights or powers discretionary or otherwise relating to the administration, management or conduct of, or in any manner </w:t>
      </w:r>
      <w:r>
        <w:rPr>
          <w:spacing w:val="-3"/>
          <w:w w:val="120"/>
          <w:sz w:val="20"/>
        </w:rPr>
        <w:t>to, </w:t>
      </w:r>
      <w:r>
        <w:rPr>
          <w:w w:val="120"/>
          <w:sz w:val="20"/>
        </w:rPr>
        <w:t>any such trust </w:t>
      </w:r>
      <w:r>
        <w:rPr>
          <w:spacing w:val="2"/>
          <w:w w:val="120"/>
          <w:sz w:val="20"/>
        </w:rPr>
        <w:t>property </w:t>
      </w:r>
      <w:r>
        <w:rPr>
          <w:w w:val="120"/>
          <w:sz w:val="20"/>
        </w:rPr>
        <w:t>and to give bonds or guarantees on account of any covenants given, titles asserted, or trusts or agencies taken by the</w:t>
      </w:r>
      <w:r>
        <w:rPr>
          <w:spacing w:val="4"/>
          <w:w w:val="120"/>
          <w:sz w:val="20"/>
        </w:rPr>
        <w:t> </w:t>
      </w:r>
      <w:r>
        <w:rPr>
          <w:w w:val="120"/>
          <w:sz w:val="20"/>
        </w:rPr>
        <w:t>Charity;</w:t>
      </w:r>
    </w:p>
    <w:p>
      <w:pPr>
        <w:pStyle w:val="BodyText"/>
        <w:spacing w:before="1"/>
      </w:pPr>
    </w:p>
    <w:p>
      <w:pPr>
        <w:pStyle w:val="ListParagraph"/>
        <w:numPr>
          <w:ilvl w:val="2"/>
          <w:numId w:val="160"/>
        </w:numPr>
        <w:tabs>
          <w:tab w:pos="2573" w:val="left" w:leader="none"/>
          <w:tab w:pos="2574" w:val="left" w:leader="none"/>
        </w:tabs>
        <w:spacing w:line="235" w:lineRule="auto" w:before="0" w:after="0"/>
        <w:ind w:left="2573" w:right="1984" w:hanging="721"/>
        <w:jc w:val="left"/>
        <w:rPr>
          <w:sz w:val="20"/>
        </w:rPr>
      </w:pPr>
      <w:r>
        <w:rPr>
          <w:w w:val="120"/>
          <w:sz w:val="20"/>
        </w:rPr>
        <w:t>to take over and assume the managing trusteeship of the whole or any of the assets and liabilities currently held or which may hereafter come under the control and direction of any of the bodies specified</w:t>
      </w:r>
      <w:r>
        <w:rPr>
          <w:spacing w:val="35"/>
          <w:w w:val="120"/>
          <w:sz w:val="20"/>
        </w:rPr>
        <w:t> </w:t>
      </w:r>
      <w:r>
        <w:rPr>
          <w:w w:val="120"/>
          <w:sz w:val="20"/>
        </w:rPr>
        <w:t>below:</w:t>
      </w:r>
    </w:p>
    <w:p>
      <w:pPr>
        <w:pStyle w:val="BodyText"/>
        <w:spacing w:before="10"/>
        <w:rPr>
          <w:sz w:val="19"/>
        </w:rPr>
      </w:pPr>
    </w:p>
    <w:p>
      <w:pPr>
        <w:pStyle w:val="ListParagraph"/>
        <w:numPr>
          <w:ilvl w:val="3"/>
          <w:numId w:val="160"/>
        </w:numPr>
        <w:tabs>
          <w:tab w:pos="3293" w:val="left" w:leader="none"/>
          <w:tab w:pos="3294" w:val="left" w:leader="none"/>
        </w:tabs>
        <w:spacing w:line="235" w:lineRule="auto" w:before="0" w:after="0"/>
        <w:ind w:left="3293" w:right="1983" w:hanging="721"/>
        <w:jc w:val="left"/>
        <w:rPr>
          <w:sz w:val="20"/>
        </w:rPr>
      </w:pPr>
      <w:r>
        <w:rPr>
          <w:w w:val="120"/>
          <w:sz w:val="20"/>
        </w:rPr>
        <w:t>the General Assembly of the Church </w:t>
      </w:r>
      <w:r>
        <w:rPr>
          <w:spacing w:val="-6"/>
          <w:w w:val="120"/>
          <w:sz w:val="20"/>
        </w:rPr>
        <w:t>(or  </w:t>
      </w:r>
      <w:r>
        <w:rPr>
          <w:w w:val="120"/>
          <w:sz w:val="20"/>
        </w:rPr>
        <w:t>such other body  specifically authorised to act on its behalf), whether for the general purposes of the Church or special charitable trusts appertaining to the Church</w:t>
      </w:r>
      <w:r>
        <w:rPr>
          <w:spacing w:val="4"/>
          <w:w w:val="120"/>
          <w:sz w:val="20"/>
        </w:rPr>
        <w:t> </w:t>
      </w:r>
      <w:r>
        <w:rPr>
          <w:w w:val="120"/>
          <w:sz w:val="20"/>
        </w:rPr>
        <w:t>or;</w:t>
      </w:r>
    </w:p>
    <w:p>
      <w:pPr>
        <w:pStyle w:val="BodyText"/>
        <w:spacing w:before="7"/>
        <w:rPr>
          <w:sz w:val="19"/>
        </w:rPr>
      </w:pPr>
    </w:p>
    <w:p>
      <w:pPr>
        <w:pStyle w:val="ListParagraph"/>
        <w:numPr>
          <w:ilvl w:val="3"/>
          <w:numId w:val="160"/>
        </w:numPr>
        <w:tabs>
          <w:tab w:pos="3473" w:val="left" w:leader="none"/>
          <w:tab w:pos="3474" w:val="left" w:leader="none"/>
        </w:tabs>
        <w:spacing w:line="240" w:lineRule="auto" w:before="1" w:after="0"/>
        <w:ind w:left="3473" w:right="0" w:hanging="901"/>
        <w:jc w:val="left"/>
        <w:rPr>
          <w:sz w:val="20"/>
        </w:rPr>
      </w:pPr>
      <w:r>
        <w:rPr>
          <w:w w:val="120"/>
          <w:sz w:val="20"/>
        </w:rPr>
        <w:t>the</w:t>
      </w:r>
      <w:r>
        <w:rPr>
          <w:spacing w:val="2"/>
          <w:w w:val="120"/>
          <w:sz w:val="20"/>
        </w:rPr>
        <w:t> </w:t>
      </w:r>
      <w:r>
        <w:rPr>
          <w:w w:val="120"/>
          <w:sz w:val="20"/>
        </w:rPr>
        <w:t>Committees</w:t>
      </w:r>
    </w:p>
    <w:p>
      <w:pPr>
        <w:pStyle w:val="BodyText"/>
        <w:spacing w:before="7"/>
        <w:rPr>
          <w:sz w:val="19"/>
        </w:rPr>
      </w:pPr>
    </w:p>
    <w:p>
      <w:pPr>
        <w:pStyle w:val="BodyText"/>
        <w:spacing w:line="235" w:lineRule="auto"/>
        <w:ind w:left="2573" w:right="1997"/>
      </w:pPr>
      <w:r>
        <w:rPr>
          <w:w w:val="120"/>
        </w:rPr>
        <w:t>which may, in either of the above cases, be legally transferred to or vested in the Charity;</w:t>
      </w:r>
    </w:p>
    <w:p>
      <w:pPr>
        <w:pStyle w:val="BodyText"/>
        <w:rPr>
          <w:sz w:val="24"/>
        </w:rPr>
      </w:pPr>
    </w:p>
    <w:p>
      <w:pPr>
        <w:pStyle w:val="ListParagraph"/>
        <w:numPr>
          <w:ilvl w:val="2"/>
          <w:numId w:val="160"/>
        </w:numPr>
        <w:tabs>
          <w:tab w:pos="2573" w:val="left" w:leader="none"/>
          <w:tab w:pos="2574" w:val="left" w:leader="none"/>
        </w:tabs>
        <w:spacing w:line="235" w:lineRule="auto" w:before="189" w:after="0"/>
        <w:ind w:left="2573" w:right="2441" w:hanging="721"/>
        <w:jc w:val="left"/>
        <w:rPr>
          <w:sz w:val="20"/>
        </w:rPr>
      </w:pPr>
      <w:r>
        <w:rPr>
          <w:w w:val="120"/>
          <w:sz w:val="20"/>
        </w:rPr>
        <w:t>to provide housing for serving and retired ministers and other Church workers and for their families, civil partners, widows, widowers and other</w:t>
      </w:r>
      <w:r>
        <w:rPr>
          <w:spacing w:val="2"/>
          <w:w w:val="120"/>
          <w:sz w:val="20"/>
        </w:rPr>
        <w:t> </w:t>
      </w:r>
      <w:r>
        <w:rPr>
          <w:w w:val="120"/>
          <w:sz w:val="20"/>
        </w:rPr>
        <w:t>dependants;</w:t>
      </w:r>
    </w:p>
    <w:p>
      <w:pPr>
        <w:pStyle w:val="BodyText"/>
        <w:spacing w:before="10"/>
        <w:rPr>
          <w:sz w:val="19"/>
        </w:rPr>
      </w:pPr>
    </w:p>
    <w:p>
      <w:pPr>
        <w:pStyle w:val="ListParagraph"/>
        <w:numPr>
          <w:ilvl w:val="2"/>
          <w:numId w:val="160"/>
        </w:numPr>
        <w:tabs>
          <w:tab w:pos="2573" w:val="left" w:leader="none"/>
          <w:tab w:pos="2574" w:val="left" w:leader="none"/>
        </w:tabs>
        <w:spacing w:line="235" w:lineRule="auto" w:before="0" w:after="0"/>
        <w:ind w:left="2573" w:right="2187" w:hanging="721"/>
        <w:jc w:val="left"/>
        <w:rPr>
          <w:sz w:val="20"/>
        </w:rPr>
      </w:pPr>
      <w:r>
        <w:rPr>
          <w:w w:val="120"/>
          <w:sz w:val="20"/>
        </w:rPr>
        <w:t>to sell, lease or otherwise dispose of all or any </w:t>
      </w:r>
      <w:r>
        <w:rPr>
          <w:spacing w:val="2"/>
          <w:w w:val="120"/>
          <w:sz w:val="20"/>
        </w:rPr>
        <w:t>part </w:t>
      </w:r>
      <w:r>
        <w:rPr>
          <w:w w:val="120"/>
          <w:sz w:val="20"/>
        </w:rPr>
        <w:t>of the </w:t>
      </w:r>
      <w:r>
        <w:rPr>
          <w:spacing w:val="2"/>
          <w:w w:val="120"/>
          <w:sz w:val="20"/>
        </w:rPr>
        <w:t>property </w:t>
      </w:r>
      <w:r>
        <w:rPr>
          <w:w w:val="120"/>
          <w:sz w:val="20"/>
        </w:rPr>
        <w:t>belonging to the Charity. In exercising this </w:t>
      </w:r>
      <w:r>
        <w:rPr>
          <w:spacing w:val="-3"/>
          <w:w w:val="120"/>
          <w:sz w:val="20"/>
        </w:rPr>
        <w:t>power, </w:t>
      </w:r>
      <w:r>
        <w:rPr>
          <w:w w:val="120"/>
          <w:sz w:val="20"/>
        </w:rPr>
        <w:t>the Charity must comply as appropriate with sections 36 and </w:t>
      </w:r>
      <w:r>
        <w:rPr>
          <w:spacing w:val="-7"/>
          <w:w w:val="120"/>
          <w:sz w:val="20"/>
        </w:rPr>
        <w:t>37 </w:t>
      </w:r>
      <w:r>
        <w:rPr>
          <w:w w:val="120"/>
          <w:sz w:val="20"/>
        </w:rPr>
        <w:t>of the Charities Act </w:t>
      </w:r>
      <w:r>
        <w:rPr>
          <w:spacing w:val="-6"/>
          <w:w w:val="120"/>
          <w:sz w:val="20"/>
        </w:rPr>
        <w:t>1993, </w:t>
      </w:r>
      <w:r>
        <w:rPr>
          <w:w w:val="120"/>
          <w:sz w:val="20"/>
        </w:rPr>
        <w:t>as amended by the Charities Act</w:t>
      </w:r>
      <w:r>
        <w:rPr>
          <w:spacing w:val="15"/>
          <w:w w:val="120"/>
          <w:sz w:val="20"/>
        </w:rPr>
        <w:t> </w:t>
      </w:r>
      <w:r>
        <w:rPr>
          <w:w w:val="120"/>
          <w:sz w:val="20"/>
        </w:rPr>
        <w:t>2006;</w:t>
      </w:r>
    </w:p>
    <w:p>
      <w:pPr>
        <w:pStyle w:val="BodyText"/>
        <w:spacing w:before="11"/>
        <w:rPr>
          <w:sz w:val="19"/>
        </w:rPr>
      </w:pPr>
    </w:p>
    <w:p>
      <w:pPr>
        <w:pStyle w:val="ListParagraph"/>
        <w:numPr>
          <w:ilvl w:val="2"/>
          <w:numId w:val="160"/>
        </w:numPr>
        <w:tabs>
          <w:tab w:pos="2573" w:val="left" w:leader="none"/>
          <w:tab w:pos="2574" w:val="left" w:leader="none"/>
        </w:tabs>
        <w:spacing w:line="235" w:lineRule="auto" w:before="0" w:after="0"/>
        <w:ind w:left="2573" w:right="2166" w:hanging="721"/>
        <w:jc w:val="left"/>
        <w:rPr>
          <w:sz w:val="20"/>
        </w:rPr>
      </w:pPr>
      <w:r>
        <w:rPr>
          <w:w w:val="120"/>
          <w:sz w:val="20"/>
        </w:rPr>
        <w:t>to borrow money and to charge the whole or any </w:t>
      </w:r>
      <w:r>
        <w:rPr>
          <w:spacing w:val="2"/>
          <w:w w:val="120"/>
          <w:sz w:val="20"/>
        </w:rPr>
        <w:t>part </w:t>
      </w:r>
      <w:r>
        <w:rPr>
          <w:w w:val="120"/>
          <w:sz w:val="20"/>
        </w:rPr>
        <w:t>of the </w:t>
      </w:r>
      <w:r>
        <w:rPr>
          <w:spacing w:val="2"/>
          <w:w w:val="120"/>
          <w:sz w:val="20"/>
        </w:rPr>
        <w:t>property </w:t>
      </w:r>
      <w:r>
        <w:rPr>
          <w:w w:val="120"/>
          <w:sz w:val="20"/>
        </w:rPr>
        <w:t>belonging to the Charity, or held by the Charity as Trustee, as security   for repayment of money borrowed or as security for the discharge of any other obligation incurred provided that if the Charity wishes to offer as security </w:t>
      </w:r>
      <w:r>
        <w:rPr>
          <w:spacing w:val="2"/>
          <w:w w:val="120"/>
          <w:sz w:val="20"/>
        </w:rPr>
        <w:t>property </w:t>
      </w:r>
      <w:r>
        <w:rPr>
          <w:w w:val="120"/>
          <w:sz w:val="20"/>
        </w:rPr>
        <w:t>it holds subject to any Trusts it shall only do so in such manner as is permitted by the terms of such Trusts and as is</w:t>
      </w:r>
      <w:r>
        <w:rPr>
          <w:spacing w:val="1"/>
          <w:w w:val="120"/>
          <w:sz w:val="20"/>
        </w:rPr>
        <w:t> </w:t>
      </w:r>
      <w:r>
        <w:rPr>
          <w:w w:val="120"/>
          <w:sz w:val="20"/>
        </w:rPr>
        <w:t>allowed</w:t>
      </w:r>
    </w:p>
    <w:p>
      <w:pPr>
        <w:pStyle w:val="BodyText"/>
        <w:spacing w:line="235" w:lineRule="auto" w:before="4"/>
        <w:ind w:left="2573" w:right="1997"/>
      </w:pPr>
      <w:r>
        <w:rPr>
          <w:w w:val="120"/>
        </w:rPr>
        <w:t>by law having regard to such Trusts. The Charity must also comply as appropriate with Sections 38 and 39 of the Charities Act 1993 as amended by the Charities Act 2006 if it wishes to mortgage land.</w:t>
      </w:r>
    </w:p>
    <w:p>
      <w:pPr>
        <w:pStyle w:val="BodyText"/>
        <w:spacing w:before="10"/>
        <w:rPr>
          <w:sz w:val="19"/>
        </w:rPr>
      </w:pPr>
    </w:p>
    <w:p>
      <w:pPr>
        <w:pStyle w:val="ListParagraph"/>
        <w:numPr>
          <w:ilvl w:val="2"/>
          <w:numId w:val="160"/>
        </w:numPr>
        <w:tabs>
          <w:tab w:pos="2573" w:val="left" w:leader="none"/>
          <w:tab w:pos="2574" w:val="left" w:leader="none"/>
        </w:tabs>
        <w:spacing w:line="235" w:lineRule="auto" w:before="0" w:after="0"/>
        <w:ind w:left="2573" w:right="2026" w:hanging="721"/>
        <w:jc w:val="left"/>
        <w:rPr>
          <w:sz w:val="20"/>
        </w:rPr>
      </w:pPr>
      <w:r>
        <w:rPr>
          <w:w w:val="120"/>
          <w:sz w:val="20"/>
        </w:rPr>
        <w:t>to lend money, either with or without security or give financial assistance by way of donation or subscription or otherwise to any person or persons, church, charitable, benevolent, or other body for purpose of forwarding the</w:t>
      </w:r>
      <w:r>
        <w:rPr>
          <w:spacing w:val="2"/>
          <w:w w:val="120"/>
          <w:sz w:val="20"/>
        </w:rPr>
        <w:t> </w:t>
      </w:r>
      <w:r>
        <w:rPr>
          <w:w w:val="120"/>
          <w:sz w:val="20"/>
        </w:rPr>
        <w:t>Objects;</w:t>
      </w:r>
    </w:p>
    <w:p>
      <w:pPr>
        <w:spacing w:after="0" w:line="235" w:lineRule="auto"/>
        <w:jc w:val="left"/>
        <w:rPr>
          <w:sz w:val="20"/>
        </w:rPr>
        <w:sectPr>
          <w:headerReference w:type="even" r:id="rId536"/>
          <w:headerReference w:type="default" r:id="rId537"/>
          <w:footerReference w:type="even" r:id="rId538"/>
          <w:footerReference w:type="default" r:id="rId539"/>
          <w:pgSz w:w="11910" w:h="16840"/>
          <w:pgMar w:header="0" w:footer="647" w:top="1060" w:bottom="840" w:left="0" w:right="0"/>
          <w:pgNumType w:start="222"/>
        </w:sectPr>
      </w:pPr>
    </w:p>
    <w:p>
      <w:pPr>
        <w:pStyle w:val="ListParagraph"/>
        <w:numPr>
          <w:ilvl w:val="2"/>
          <w:numId w:val="160"/>
        </w:numPr>
        <w:tabs>
          <w:tab w:pos="3424" w:val="left" w:leader="none"/>
          <w:tab w:pos="3425" w:val="left" w:leader="none"/>
        </w:tabs>
        <w:spacing w:line="235" w:lineRule="auto" w:before="91" w:after="0"/>
        <w:ind w:left="3424" w:right="1222" w:hanging="721"/>
        <w:jc w:val="left"/>
        <w:rPr>
          <w:sz w:val="20"/>
        </w:rPr>
      </w:pPr>
      <w:r>
        <w:rPr/>
        <w:pict>
          <v:rect style="position:absolute;margin-left:558.424988pt;margin-top:8.503343pt;width:22.677pt;height:22.677pt;mso-position-horizontal-relative:page;mso-position-vertical-relative:paragraph;z-index:252327936" filled="true" fillcolor="#e4ebc6" stroked="false">
            <v:fill opacity="32768f" type="solid"/>
            <w10:wrap type="none"/>
          </v:rect>
        </w:pict>
      </w:r>
      <w:r>
        <w:rPr>
          <w:w w:val="120"/>
          <w:sz w:val="20"/>
        </w:rPr>
        <w:t>to act as or to exercise any power which may be confided to the Charity  of appointing managers, treasurers, trustees, auditors, inspectors, examiners, or other officials of any such societies, clubs, trusts, missions, organisations, schools, colleges, homes, institutes, pension or other funds and charities with connections to the United Reformed Church and to manage and </w:t>
      </w:r>
      <w:r>
        <w:rPr>
          <w:spacing w:val="2"/>
          <w:w w:val="120"/>
          <w:sz w:val="20"/>
        </w:rPr>
        <w:t>carry </w:t>
      </w:r>
      <w:r>
        <w:rPr>
          <w:w w:val="120"/>
          <w:sz w:val="20"/>
        </w:rPr>
        <w:t>on the same or any of</w:t>
      </w:r>
      <w:r>
        <w:rPr>
          <w:spacing w:val="14"/>
          <w:w w:val="120"/>
          <w:sz w:val="20"/>
        </w:rPr>
        <w:t> </w:t>
      </w:r>
      <w:r>
        <w:rPr>
          <w:w w:val="120"/>
          <w:sz w:val="20"/>
        </w:rPr>
        <w:t>them;</w:t>
      </w:r>
    </w:p>
    <w:p>
      <w:pPr>
        <w:pStyle w:val="BodyText"/>
      </w:pPr>
    </w:p>
    <w:p>
      <w:pPr>
        <w:pStyle w:val="ListParagraph"/>
        <w:numPr>
          <w:ilvl w:val="2"/>
          <w:numId w:val="160"/>
        </w:numPr>
        <w:tabs>
          <w:tab w:pos="3424" w:val="left" w:leader="none"/>
          <w:tab w:pos="3425" w:val="left" w:leader="none"/>
        </w:tabs>
        <w:spacing w:line="235" w:lineRule="auto" w:before="0" w:after="0"/>
        <w:ind w:left="3424" w:right="1241" w:hanging="721"/>
        <w:jc w:val="left"/>
        <w:rPr>
          <w:sz w:val="20"/>
        </w:rPr>
      </w:pPr>
      <w:r>
        <w:rPr>
          <w:w w:val="120"/>
          <w:sz w:val="20"/>
        </w:rPr>
        <w:t>to appoint and employ and pay agents, professional advisers, officers and servants for any of the purposes of the</w:t>
      </w:r>
      <w:r>
        <w:rPr>
          <w:spacing w:val="13"/>
          <w:w w:val="120"/>
          <w:sz w:val="20"/>
        </w:rPr>
        <w:t> </w:t>
      </w:r>
      <w:r>
        <w:rPr>
          <w:w w:val="120"/>
          <w:sz w:val="20"/>
        </w:rPr>
        <w:t>Charity;</w:t>
      </w:r>
    </w:p>
    <w:p>
      <w:pPr>
        <w:pStyle w:val="BodyText"/>
        <w:spacing w:before="9"/>
        <w:rPr>
          <w:sz w:val="19"/>
        </w:rPr>
      </w:pPr>
    </w:p>
    <w:p>
      <w:pPr>
        <w:pStyle w:val="ListParagraph"/>
        <w:numPr>
          <w:ilvl w:val="2"/>
          <w:numId w:val="160"/>
        </w:numPr>
        <w:tabs>
          <w:tab w:pos="3424" w:val="left" w:leader="none"/>
          <w:tab w:pos="3425" w:val="left" w:leader="none"/>
        </w:tabs>
        <w:spacing w:line="235" w:lineRule="auto" w:before="0" w:after="0"/>
        <w:ind w:left="3424" w:right="1196" w:hanging="721"/>
        <w:jc w:val="left"/>
        <w:rPr>
          <w:sz w:val="20"/>
        </w:rPr>
      </w:pPr>
      <w:r>
        <w:rPr>
          <w:w w:val="120"/>
          <w:sz w:val="20"/>
        </w:rPr>
        <w:t>to assist and to contribute towards the training of Ministers, Church- related community workers and others, and the provision and payment of a stipend or salary for such persons and, where appropriate, the provision of living</w:t>
      </w:r>
      <w:r>
        <w:rPr>
          <w:spacing w:val="4"/>
          <w:w w:val="120"/>
          <w:sz w:val="20"/>
        </w:rPr>
        <w:t> </w:t>
      </w:r>
      <w:r>
        <w:rPr>
          <w:w w:val="120"/>
          <w:sz w:val="20"/>
        </w:rPr>
        <w:t>accommodation;</w:t>
      </w:r>
    </w:p>
    <w:p>
      <w:pPr>
        <w:pStyle w:val="BodyText"/>
        <w:spacing w:before="11"/>
        <w:rPr>
          <w:sz w:val="19"/>
        </w:rPr>
      </w:pPr>
    </w:p>
    <w:p>
      <w:pPr>
        <w:pStyle w:val="ListParagraph"/>
        <w:numPr>
          <w:ilvl w:val="2"/>
          <w:numId w:val="160"/>
        </w:numPr>
        <w:tabs>
          <w:tab w:pos="3424" w:val="left" w:leader="none"/>
          <w:tab w:pos="3425" w:val="left" w:leader="none"/>
        </w:tabs>
        <w:spacing w:line="235" w:lineRule="auto" w:before="0" w:after="0"/>
        <w:ind w:left="3424" w:right="1196" w:hanging="721"/>
        <w:jc w:val="left"/>
        <w:rPr>
          <w:sz w:val="20"/>
        </w:rPr>
      </w:pPr>
      <w:r>
        <w:rPr>
          <w:w w:val="120"/>
          <w:sz w:val="20"/>
        </w:rPr>
        <w:t>to assist in sending out ministers and evangelists and contributing to their support, promoting itinerant evangelistic work, promoting  or  assisting the building of places of worship, ministers’ houses, mission rooms, schools, colleges, institutions, and other buildings, and providing the moneys required for the</w:t>
      </w:r>
      <w:r>
        <w:rPr>
          <w:spacing w:val="7"/>
          <w:w w:val="120"/>
          <w:sz w:val="20"/>
        </w:rPr>
        <w:t> </w:t>
      </w:r>
      <w:r>
        <w:rPr>
          <w:w w:val="120"/>
          <w:sz w:val="20"/>
        </w:rPr>
        <w:t>same;</w:t>
      </w:r>
    </w:p>
    <w:p>
      <w:pPr>
        <w:pStyle w:val="BodyText"/>
        <w:spacing w:before="12"/>
        <w:rPr>
          <w:sz w:val="19"/>
        </w:rPr>
      </w:pPr>
    </w:p>
    <w:p>
      <w:pPr>
        <w:pStyle w:val="ListParagraph"/>
        <w:numPr>
          <w:ilvl w:val="2"/>
          <w:numId w:val="160"/>
        </w:numPr>
        <w:tabs>
          <w:tab w:pos="3424" w:val="left" w:leader="none"/>
          <w:tab w:pos="3425" w:val="left" w:leader="none"/>
        </w:tabs>
        <w:spacing w:line="235" w:lineRule="auto" w:before="0" w:after="0"/>
        <w:ind w:left="3424" w:right="1192" w:hanging="721"/>
        <w:jc w:val="left"/>
        <w:rPr>
          <w:sz w:val="20"/>
        </w:rPr>
      </w:pPr>
      <w:r>
        <w:rPr>
          <w:w w:val="120"/>
          <w:sz w:val="20"/>
        </w:rPr>
        <w:t>to grant pensions and retiring allowances </w:t>
      </w:r>
      <w:r>
        <w:rPr>
          <w:spacing w:val="-3"/>
          <w:w w:val="120"/>
          <w:sz w:val="20"/>
        </w:rPr>
        <w:t>to, </w:t>
      </w:r>
      <w:r>
        <w:rPr>
          <w:w w:val="120"/>
          <w:sz w:val="20"/>
        </w:rPr>
        <w:t>or otherwise provide </w:t>
      </w:r>
      <w:r>
        <w:rPr>
          <w:spacing w:val="-3"/>
          <w:w w:val="120"/>
          <w:sz w:val="20"/>
        </w:rPr>
        <w:t>for, </w:t>
      </w:r>
      <w:r>
        <w:rPr>
          <w:w w:val="120"/>
          <w:sz w:val="20"/>
        </w:rPr>
        <w:t>the pension of any officers, agents, or servants, of the</w:t>
      </w:r>
      <w:r>
        <w:rPr>
          <w:spacing w:val="17"/>
          <w:w w:val="120"/>
          <w:sz w:val="20"/>
        </w:rPr>
        <w:t> </w:t>
      </w:r>
      <w:r>
        <w:rPr>
          <w:w w:val="120"/>
          <w:sz w:val="20"/>
        </w:rPr>
        <w:t>Charity;</w:t>
      </w:r>
    </w:p>
    <w:p>
      <w:pPr>
        <w:pStyle w:val="BodyText"/>
        <w:spacing w:before="9"/>
        <w:rPr>
          <w:sz w:val="19"/>
        </w:rPr>
      </w:pPr>
    </w:p>
    <w:p>
      <w:pPr>
        <w:pStyle w:val="ListParagraph"/>
        <w:numPr>
          <w:ilvl w:val="2"/>
          <w:numId w:val="160"/>
        </w:numPr>
        <w:tabs>
          <w:tab w:pos="3424" w:val="left" w:leader="none"/>
          <w:tab w:pos="3425" w:val="left" w:leader="none"/>
        </w:tabs>
        <w:spacing w:line="235" w:lineRule="auto" w:before="0" w:after="0"/>
        <w:ind w:left="3424" w:right="1499" w:hanging="721"/>
        <w:jc w:val="left"/>
        <w:rPr>
          <w:sz w:val="20"/>
        </w:rPr>
      </w:pPr>
      <w:r>
        <w:rPr>
          <w:w w:val="120"/>
          <w:sz w:val="20"/>
        </w:rPr>
        <w:t>to undertake and </w:t>
      </w:r>
      <w:r>
        <w:rPr>
          <w:spacing w:val="2"/>
          <w:w w:val="120"/>
          <w:sz w:val="20"/>
        </w:rPr>
        <w:t>carry </w:t>
      </w:r>
      <w:r>
        <w:rPr>
          <w:w w:val="120"/>
          <w:sz w:val="20"/>
        </w:rPr>
        <w:t>on the office and duties of trustee, custodian trustee, executor and administrator, attorney or nominee of, or </w:t>
      </w:r>
      <w:r>
        <w:rPr>
          <w:spacing w:val="-3"/>
          <w:w w:val="120"/>
          <w:sz w:val="20"/>
        </w:rPr>
        <w:t>for,</w:t>
      </w:r>
      <w:r>
        <w:rPr>
          <w:spacing w:val="-38"/>
          <w:w w:val="120"/>
          <w:sz w:val="20"/>
        </w:rPr>
        <w:t> </w:t>
      </w:r>
      <w:r>
        <w:rPr>
          <w:w w:val="120"/>
          <w:sz w:val="20"/>
        </w:rPr>
        <w:t>any person, </w:t>
      </w:r>
      <w:r>
        <w:rPr>
          <w:spacing w:val="-3"/>
          <w:w w:val="120"/>
          <w:sz w:val="20"/>
        </w:rPr>
        <w:t>company, </w:t>
      </w:r>
      <w:r>
        <w:rPr>
          <w:w w:val="120"/>
          <w:sz w:val="20"/>
        </w:rPr>
        <w:t>corporation, association, scheme or trust fund, in furtherance of the said</w:t>
      </w:r>
      <w:r>
        <w:rPr>
          <w:spacing w:val="8"/>
          <w:w w:val="120"/>
          <w:sz w:val="20"/>
        </w:rPr>
        <w:t> </w:t>
      </w:r>
      <w:r>
        <w:rPr>
          <w:w w:val="120"/>
          <w:sz w:val="20"/>
        </w:rPr>
        <w:t>Objects;</w:t>
      </w:r>
    </w:p>
    <w:p>
      <w:pPr>
        <w:pStyle w:val="BodyText"/>
        <w:spacing w:before="11"/>
        <w:rPr>
          <w:sz w:val="19"/>
        </w:rPr>
      </w:pPr>
    </w:p>
    <w:p>
      <w:pPr>
        <w:pStyle w:val="ListParagraph"/>
        <w:numPr>
          <w:ilvl w:val="2"/>
          <w:numId w:val="160"/>
        </w:numPr>
        <w:tabs>
          <w:tab w:pos="3424" w:val="left" w:leader="none"/>
          <w:tab w:pos="3425" w:val="left" w:leader="none"/>
        </w:tabs>
        <w:spacing w:line="235" w:lineRule="auto" w:before="0" w:after="0"/>
        <w:ind w:left="3424" w:right="1320" w:hanging="721"/>
        <w:jc w:val="left"/>
        <w:rPr>
          <w:sz w:val="20"/>
        </w:rPr>
      </w:pPr>
      <w:r>
        <w:rPr>
          <w:w w:val="120"/>
          <w:sz w:val="20"/>
        </w:rPr>
        <w:t>to </w:t>
      </w:r>
      <w:r>
        <w:rPr>
          <w:spacing w:val="2"/>
          <w:w w:val="120"/>
          <w:sz w:val="20"/>
        </w:rPr>
        <w:t>carry </w:t>
      </w:r>
      <w:r>
        <w:rPr>
          <w:w w:val="120"/>
          <w:sz w:val="20"/>
        </w:rPr>
        <w:t>on a publishing and printing business whose objective is the promotion of the Objects, and in connection therewith to print, publish, circulate, sell, </w:t>
      </w:r>
      <w:r>
        <w:rPr>
          <w:spacing w:val="-4"/>
          <w:w w:val="120"/>
          <w:sz w:val="20"/>
        </w:rPr>
        <w:t>buy, </w:t>
      </w:r>
      <w:r>
        <w:rPr>
          <w:w w:val="120"/>
          <w:sz w:val="20"/>
        </w:rPr>
        <w:t>manage or support books, </w:t>
      </w:r>
      <w:r>
        <w:rPr>
          <w:spacing w:val="2"/>
          <w:w w:val="120"/>
          <w:sz w:val="20"/>
        </w:rPr>
        <w:t>reports, </w:t>
      </w:r>
      <w:r>
        <w:rPr>
          <w:w w:val="120"/>
          <w:sz w:val="20"/>
        </w:rPr>
        <w:t>newspapers, periodicals, </w:t>
      </w:r>
      <w:r>
        <w:rPr>
          <w:spacing w:val="2"/>
          <w:w w:val="120"/>
          <w:sz w:val="20"/>
        </w:rPr>
        <w:t>tracts, </w:t>
      </w:r>
      <w:r>
        <w:rPr>
          <w:w w:val="120"/>
          <w:sz w:val="20"/>
        </w:rPr>
        <w:t>magazines, circulars, and other publications, and to publish information by way of electronic mail, Internet, or other</w:t>
      </w:r>
      <w:r>
        <w:rPr>
          <w:spacing w:val="15"/>
          <w:w w:val="120"/>
          <w:sz w:val="20"/>
        </w:rPr>
        <w:t> </w:t>
      </w:r>
      <w:r>
        <w:rPr>
          <w:w w:val="120"/>
          <w:sz w:val="20"/>
        </w:rPr>
        <w:t>forms</w:t>
      </w:r>
    </w:p>
    <w:p>
      <w:pPr>
        <w:pStyle w:val="BodyText"/>
        <w:spacing w:line="244" w:lineRule="exact"/>
        <w:ind w:left="3424"/>
      </w:pPr>
      <w:r>
        <w:rPr>
          <w:w w:val="120"/>
        </w:rPr>
        <w:t>of communication;</w:t>
      </w:r>
    </w:p>
    <w:p>
      <w:pPr>
        <w:pStyle w:val="BodyText"/>
        <w:spacing w:before="8"/>
        <w:rPr>
          <w:sz w:val="19"/>
        </w:rPr>
      </w:pPr>
    </w:p>
    <w:p>
      <w:pPr>
        <w:pStyle w:val="ListParagraph"/>
        <w:numPr>
          <w:ilvl w:val="2"/>
          <w:numId w:val="160"/>
        </w:numPr>
        <w:tabs>
          <w:tab w:pos="3424" w:val="left" w:leader="none"/>
          <w:tab w:pos="3425" w:val="left" w:leader="none"/>
        </w:tabs>
        <w:spacing w:line="235" w:lineRule="auto" w:before="0" w:after="0"/>
        <w:ind w:left="3424" w:right="1349" w:hanging="721"/>
        <w:jc w:val="left"/>
        <w:rPr>
          <w:sz w:val="20"/>
        </w:rPr>
      </w:pPr>
      <w:r>
        <w:rPr>
          <w:w w:val="120"/>
          <w:sz w:val="20"/>
        </w:rPr>
        <w:t>to promote, sponsor, organise, hold, run and manage discussions, lectures, classes, conferences, exhibitions and any other type of meeting with the purpose of propounding the doctrines of the United Reformed Church;</w:t>
      </w:r>
    </w:p>
    <w:p>
      <w:pPr>
        <w:pStyle w:val="BodyText"/>
        <w:spacing w:before="11"/>
        <w:rPr>
          <w:sz w:val="19"/>
        </w:rPr>
      </w:pPr>
    </w:p>
    <w:p>
      <w:pPr>
        <w:pStyle w:val="ListParagraph"/>
        <w:numPr>
          <w:ilvl w:val="2"/>
          <w:numId w:val="160"/>
        </w:numPr>
        <w:tabs>
          <w:tab w:pos="3424" w:val="left" w:leader="none"/>
          <w:tab w:pos="3425" w:val="left" w:leader="none"/>
        </w:tabs>
        <w:spacing w:line="235" w:lineRule="auto" w:before="0" w:after="0"/>
        <w:ind w:left="3424" w:right="2000" w:hanging="721"/>
        <w:jc w:val="left"/>
        <w:rPr>
          <w:sz w:val="20"/>
        </w:rPr>
      </w:pPr>
      <w:r>
        <w:rPr>
          <w:w w:val="120"/>
          <w:sz w:val="20"/>
        </w:rPr>
        <w:t>to co-operate with other charities, voluntary bodies and statutory authorities and to exchange information and advice with</w:t>
      </w:r>
      <w:r>
        <w:rPr>
          <w:spacing w:val="27"/>
          <w:w w:val="120"/>
          <w:sz w:val="20"/>
        </w:rPr>
        <w:t> </w:t>
      </w:r>
      <w:r>
        <w:rPr>
          <w:w w:val="120"/>
          <w:sz w:val="20"/>
        </w:rPr>
        <w:t>them;</w:t>
      </w:r>
    </w:p>
    <w:p>
      <w:pPr>
        <w:pStyle w:val="BodyText"/>
        <w:spacing w:before="9"/>
        <w:rPr>
          <w:sz w:val="19"/>
        </w:rPr>
      </w:pPr>
    </w:p>
    <w:p>
      <w:pPr>
        <w:pStyle w:val="ListParagraph"/>
        <w:numPr>
          <w:ilvl w:val="2"/>
          <w:numId w:val="160"/>
        </w:numPr>
        <w:tabs>
          <w:tab w:pos="3424" w:val="left" w:leader="none"/>
          <w:tab w:pos="3425" w:val="left" w:leader="none"/>
        </w:tabs>
        <w:spacing w:line="235" w:lineRule="auto" w:before="0" w:after="0"/>
        <w:ind w:left="3424" w:right="1489" w:hanging="721"/>
        <w:jc w:val="left"/>
        <w:rPr>
          <w:sz w:val="20"/>
        </w:rPr>
      </w:pPr>
      <w:r>
        <w:rPr>
          <w:w w:val="120"/>
          <w:sz w:val="20"/>
        </w:rPr>
        <w:t>to establish or support any charitable trusts, associations or institutions formed for any charitable purpose consistent with the</w:t>
      </w:r>
      <w:r>
        <w:rPr>
          <w:spacing w:val="22"/>
          <w:w w:val="120"/>
          <w:sz w:val="20"/>
        </w:rPr>
        <w:t> </w:t>
      </w:r>
      <w:r>
        <w:rPr>
          <w:w w:val="120"/>
          <w:sz w:val="20"/>
        </w:rPr>
        <w:t>Objects;</w:t>
      </w:r>
    </w:p>
    <w:p>
      <w:pPr>
        <w:pStyle w:val="BodyText"/>
        <w:spacing w:before="10"/>
        <w:rPr>
          <w:sz w:val="19"/>
        </w:rPr>
      </w:pPr>
    </w:p>
    <w:p>
      <w:pPr>
        <w:pStyle w:val="ListParagraph"/>
        <w:numPr>
          <w:ilvl w:val="2"/>
          <w:numId w:val="160"/>
        </w:numPr>
        <w:tabs>
          <w:tab w:pos="3425" w:val="left" w:leader="none"/>
        </w:tabs>
        <w:spacing w:line="235" w:lineRule="auto" w:before="0" w:after="0"/>
        <w:ind w:left="3424" w:right="1492" w:hanging="721"/>
        <w:jc w:val="both"/>
        <w:rPr>
          <w:sz w:val="20"/>
        </w:rPr>
      </w:pPr>
      <w:r>
        <w:rPr>
          <w:w w:val="120"/>
          <w:sz w:val="20"/>
        </w:rPr>
        <w:t>to acquire, merge with or to enter into any partnership or joint venture arrangement with any other Charity formed for any charitable purpose consistent with the</w:t>
      </w:r>
      <w:r>
        <w:rPr>
          <w:spacing w:val="6"/>
          <w:w w:val="120"/>
          <w:sz w:val="20"/>
        </w:rPr>
        <w:t> </w:t>
      </w:r>
      <w:r>
        <w:rPr>
          <w:w w:val="120"/>
          <w:sz w:val="20"/>
        </w:rPr>
        <w:t>Objects;</w:t>
      </w:r>
    </w:p>
    <w:p>
      <w:pPr>
        <w:pStyle w:val="BodyText"/>
        <w:spacing w:before="10"/>
        <w:rPr>
          <w:sz w:val="19"/>
        </w:rPr>
      </w:pPr>
    </w:p>
    <w:p>
      <w:pPr>
        <w:pStyle w:val="ListParagraph"/>
        <w:numPr>
          <w:ilvl w:val="2"/>
          <w:numId w:val="160"/>
        </w:numPr>
        <w:tabs>
          <w:tab w:pos="3425" w:val="left" w:leader="none"/>
        </w:tabs>
        <w:spacing w:line="235" w:lineRule="auto" w:before="0" w:after="0"/>
        <w:ind w:left="3424" w:right="1583" w:hanging="721"/>
        <w:jc w:val="both"/>
        <w:rPr>
          <w:sz w:val="20"/>
        </w:rPr>
      </w:pPr>
      <w:r>
        <w:rPr>
          <w:w w:val="120"/>
          <w:sz w:val="20"/>
        </w:rPr>
        <w:t>to set aside income as a reserve against future expenditure but only in accordance with a written policy about</w:t>
      </w:r>
      <w:r>
        <w:rPr>
          <w:spacing w:val="14"/>
          <w:w w:val="120"/>
          <w:sz w:val="20"/>
        </w:rPr>
        <w:t> </w:t>
      </w:r>
      <w:r>
        <w:rPr>
          <w:w w:val="120"/>
          <w:sz w:val="20"/>
        </w:rPr>
        <w:t>reserves;</w:t>
      </w:r>
    </w:p>
    <w:p>
      <w:pPr>
        <w:pStyle w:val="BodyText"/>
        <w:spacing w:before="9"/>
        <w:rPr>
          <w:sz w:val="19"/>
        </w:rPr>
      </w:pPr>
    </w:p>
    <w:p>
      <w:pPr>
        <w:pStyle w:val="ListParagraph"/>
        <w:numPr>
          <w:ilvl w:val="2"/>
          <w:numId w:val="160"/>
        </w:numPr>
        <w:tabs>
          <w:tab w:pos="3424" w:val="left" w:leader="none"/>
          <w:tab w:pos="3425" w:val="left" w:leader="none"/>
        </w:tabs>
        <w:spacing w:line="235" w:lineRule="auto" w:before="1" w:after="0"/>
        <w:ind w:left="3424" w:right="1244" w:hanging="721"/>
        <w:jc w:val="left"/>
        <w:rPr>
          <w:sz w:val="20"/>
        </w:rPr>
      </w:pPr>
      <w:r>
        <w:rPr>
          <w:w w:val="120"/>
          <w:sz w:val="20"/>
        </w:rPr>
        <w:t>to employ and remunerate such staff as are necessary for carrying out the work of the Charity. The Charity may employ or remunerate a Director only to the extent it is permitted to do so by Clause 8.3, and provided it complies with the conditions in that</w:t>
      </w:r>
      <w:r>
        <w:rPr>
          <w:spacing w:val="13"/>
          <w:w w:val="120"/>
          <w:sz w:val="20"/>
        </w:rPr>
        <w:t> </w:t>
      </w:r>
      <w:r>
        <w:rPr>
          <w:w w:val="120"/>
          <w:sz w:val="20"/>
        </w:rPr>
        <w:t>Clause;</w:t>
      </w:r>
    </w:p>
    <w:p>
      <w:pPr>
        <w:spacing w:after="0" w:line="235" w:lineRule="auto"/>
        <w:jc w:val="left"/>
        <w:rPr>
          <w:sz w:val="20"/>
        </w:rPr>
        <w:sectPr>
          <w:pgSz w:w="11910" w:h="16840"/>
          <w:pgMar w:header="0" w:footer="647" w:top="1060" w:bottom="840" w:left="0" w:right="0"/>
        </w:sectPr>
      </w:pPr>
    </w:p>
    <w:p>
      <w:pPr>
        <w:pStyle w:val="ListParagraph"/>
        <w:numPr>
          <w:ilvl w:val="1"/>
          <w:numId w:val="107"/>
        </w:numPr>
        <w:tabs>
          <w:tab w:pos="2573" w:val="left" w:leader="none"/>
          <w:tab w:pos="2574" w:val="left" w:leader="none"/>
        </w:tabs>
        <w:spacing w:line="240" w:lineRule="auto" w:before="103" w:after="0"/>
        <w:ind w:left="2573" w:right="0" w:hanging="721"/>
        <w:jc w:val="left"/>
        <w:rPr>
          <w:sz w:val="20"/>
        </w:rPr>
      </w:pPr>
      <w:r>
        <w:rPr/>
        <w:pict>
          <v:rect style="position:absolute;margin-left:12.047pt;margin-top:8.467772pt;width:22.677pt;height:22.677pt;mso-position-horizontal-relative:page;mso-position-vertical-relative:paragraph;z-index:252328960" filled="true" fillcolor="#e4ebc6" stroked="false">
            <v:fill opacity="32768f" type="solid"/>
            <w10:wrap type="none"/>
          </v:rect>
        </w:pict>
      </w:r>
      <w:r>
        <w:rPr>
          <w:spacing w:val="-3"/>
          <w:w w:val="120"/>
          <w:sz w:val="20"/>
        </w:rPr>
        <w:t>to:</w:t>
      </w:r>
    </w:p>
    <w:p>
      <w:pPr>
        <w:pStyle w:val="BodyText"/>
        <w:spacing w:before="4"/>
        <w:rPr>
          <w:sz w:val="19"/>
        </w:rPr>
      </w:pPr>
    </w:p>
    <w:p>
      <w:pPr>
        <w:pStyle w:val="ListParagraph"/>
        <w:numPr>
          <w:ilvl w:val="2"/>
          <w:numId w:val="107"/>
        </w:numPr>
        <w:tabs>
          <w:tab w:pos="3293" w:val="left" w:leader="none"/>
          <w:tab w:pos="3294" w:val="left" w:leader="none"/>
        </w:tabs>
        <w:spacing w:line="240" w:lineRule="auto" w:before="0" w:after="0"/>
        <w:ind w:left="3293" w:right="0" w:hanging="721"/>
        <w:jc w:val="left"/>
        <w:rPr>
          <w:sz w:val="20"/>
        </w:rPr>
      </w:pPr>
      <w:r>
        <w:rPr>
          <w:w w:val="120"/>
          <w:sz w:val="20"/>
        </w:rPr>
        <w:t>deposit or invest</w:t>
      </w:r>
      <w:r>
        <w:rPr>
          <w:spacing w:val="5"/>
          <w:w w:val="120"/>
          <w:sz w:val="20"/>
        </w:rPr>
        <w:t> </w:t>
      </w:r>
      <w:r>
        <w:rPr>
          <w:w w:val="120"/>
          <w:sz w:val="20"/>
        </w:rPr>
        <w:t>funds;</w:t>
      </w:r>
    </w:p>
    <w:p>
      <w:pPr>
        <w:pStyle w:val="BodyText"/>
        <w:spacing w:before="4"/>
        <w:rPr>
          <w:sz w:val="19"/>
        </w:rPr>
      </w:pPr>
    </w:p>
    <w:p>
      <w:pPr>
        <w:pStyle w:val="ListParagraph"/>
        <w:numPr>
          <w:ilvl w:val="2"/>
          <w:numId w:val="107"/>
        </w:numPr>
        <w:tabs>
          <w:tab w:pos="3293" w:val="left" w:leader="none"/>
          <w:tab w:pos="3294" w:val="left" w:leader="none"/>
        </w:tabs>
        <w:spacing w:line="240" w:lineRule="auto" w:before="0" w:after="0"/>
        <w:ind w:left="3293" w:right="0" w:hanging="721"/>
        <w:jc w:val="left"/>
        <w:rPr>
          <w:sz w:val="20"/>
        </w:rPr>
      </w:pPr>
      <w:r>
        <w:rPr>
          <w:w w:val="120"/>
          <w:sz w:val="20"/>
        </w:rPr>
        <w:t>employ a professional fund-manager;</w:t>
      </w:r>
      <w:r>
        <w:rPr>
          <w:spacing w:val="8"/>
          <w:w w:val="120"/>
          <w:sz w:val="20"/>
        </w:rPr>
        <w:t> </w:t>
      </w:r>
      <w:r>
        <w:rPr>
          <w:w w:val="120"/>
          <w:sz w:val="20"/>
        </w:rPr>
        <w:t>and</w:t>
      </w:r>
    </w:p>
    <w:p>
      <w:pPr>
        <w:pStyle w:val="BodyText"/>
        <w:spacing w:before="8"/>
        <w:rPr>
          <w:sz w:val="19"/>
        </w:rPr>
      </w:pPr>
    </w:p>
    <w:p>
      <w:pPr>
        <w:pStyle w:val="ListParagraph"/>
        <w:numPr>
          <w:ilvl w:val="2"/>
          <w:numId w:val="107"/>
        </w:numPr>
        <w:tabs>
          <w:tab w:pos="3293" w:val="left" w:leader="none"/>
          <w:tab w:pos="3294" w:val="left" w:leader="none"/>
        </w:tabs>
        <w:spacing w:line="235" w:lineRule="auto" w:before="0" w:after="0"/>
        <w:ind w:left="3293" w:right="2103" w:hanging="721"/>
        <w:jc w:val="left"/>
        <w:rPr>
          <w:sz w:val="20"/>
        </w:rPr>
      </w:pPr>
      <w:r>
        <w:rPr>
          <w:w w:val="120"/>
          <w:sz w:val="20"/>
        </w:rPr>
        <w:t>arrange for the investments or other </w:t>
      </w:r>
      <w:r>
        <w:rPr>
          <w:spacing w:val="2"/>
          <w:w w:val="120"/>
          <w:sz w:val="20"/>
        </w:rPr>
        <w:t>property </w:t>
      </w:r>
      <w:r>
        <w:rPr>
          <w:w w:val="120"/>
          <w:sz w:val="20"/>
        </w:rPr>
        <w:t>of the Charity to be held in the name of a</w:t>
      </w:r>
      <w:r>
        <w:rPr>
          <w:spacing w:val="11"/>
          <w:w w:val="120"/>
          <w:sz w:val="20"/>
        </w:rPr>
        <w:t> </w:t>
      </w:r>
      <w:r>
        <w:rPr>
          <w:w w:val="120"/>
          <w:sz w:val="20"/>
        </w:rPr>
        <w:t>nominee;</w:t>
      </w:r>
    </w:p>
    <w:p>
      <w:pPr>
        <w:pStyle w:val="BodyText"/>
        <w:spacing w:before="9"/>
        <w:rPr>
          <w:sz w:val="19"/>
        </w:rPr>
      </w:pPr>
    </w:p>
    <w:p>
      <w:pPr>
        <w:pStyle w:val="BodyText"/>
        <w:spacing w:line="235" w:lineRule="auto"/>
        <w:ind w:left="2573" w:right="2076"/>
      </w:pPr>
      <w:r>
        <w:rPr>
          <w:w w:val="120"/>
        </w:rPr>
        <w:t>in the same manner and subject to the same conditions as the trustees of a trust are permitted to do by the Trustee Act 2000;</w:t>
      </w:r>
    </w:p>
    <w:p>
      <w:pPr>
        <w:pStyle w:val="BodyText"/>
        <w:spacing w:before="10"/>
        <w:rPr>
          <w:sz w:val="19"/>
        </w:rPr>
      </w:pPr>
    </w:p>
    <w:p>
      <w:pPr>
        <w:pStyle w:val="ListParagraph"/>
        <w:numPr>
          <w:ilvl w:val="0"/>
          <w:numId w:val="161"/>
        </w:numPr>
        <w:tabs>
          <w:tab w:pos="2573" w:val="left" w:leader="none"/>
          <w:tab w:pos="2574" w:val="left" w:leader="none"/>
        </w:tabs>
        <w:spacing w:line="235" w:lineRule="auto" w:before="0" w:after="0"/>
        <w:ind w:left="2573" w:right="2010" w:hanging="721"/>
        <w:jc w:val="left"/>
        <w:rPr>
          <w:sz w:val="20"/>
        </w:rPr>
      </w:pPr>
      <w:r>
        <w:rPr>
          <w:w w:val="120"/>
          <w:sz w:val="20"/>
        </w:rPr>
        <w:t>to institute, conduct, defend, or compromise legal proceedings by and against the Charity or its officers as such, and to do and authorise to be done all </w:t>
      </w:r>
      <w:r>
        <w:rPr>
          <w:spacing w:val="2"/>
          <w:w w:val="120"/>
          <w:sz w:val="20"/>
        </w:rPr>
        <w:t>acts, </w:t>
      </w:r>
      <w:r>
        <w:rPr>
          <w:w w:val="120"/>
          <w:sz w:val="20"/>
        </w:rPr>
        <w:t>deeds, or assurances which may be necessary to register this Charity or any of its properties in such local or foreign register as may be found necessary or</w:t>
      </w:r>
      <w:r>
        <w:rPr>
          <w:spacing w:val="5"/>
          <w:w w:val="120"/>
          <w:sz w:val="20"/>
        </w:rPr>
        <w:t> </w:t>
      </w:r>
      <w:r>
        <w:rPr>
          <w:w w:val="120"/>
          <w:sz w:val="20"/>
        </w:rPr>
        <w:t>desirable;</w:t>
      </w:r>
    </w:p>
    <w:p>
      <w:pPr>
        <w:pStyle w:val="BodyText"/>
        <w:spacing w:before="11"/>
        <w:rPr>
          <w:sz w:val="19"/>
        </w:rPr>
      </w:pPr>
    </w:p>
    <w:p>
      <w:pPr>
        <w:pStyle w:val="ListParagraph"/>
        <w:numPr>
          <w:ilvl w:val="0"/>
          <w:numId w:val="161"/>
        </w:numPr>
        <w:tabs>
          <w:tab w:pos="2573" w:val="left" w:leader="none"/>
          <w:tab w:pos="2574" w:val="left" w:leader="none"/>
        </w:tabs>
        <w:spacing w:line="235" w:lineRule="auto" w:before="0" w:after="0"/>
        <w:ind w:left="2573" w:right="2138" w:hanging="721"/>
        <w:jc w:val="left"/>
        <w:rPr>
          <w:sz w:val="20"/>
        </w:rPr>
      </w:pPr>
      <w:r>
        <w:rPr>
          <w:w w:val="120"/>
          <w:sz w:val="20"/>
        </w:rPr>
        <w:t>to pay out of the funds of the Charity, or out of any particular </w:t>
      </w:r>
      <w:r>
        <w:rPr>
          <w:spacing w:val="2"/>
          <w:w w:val="120"/>
          <w:sz w:val="20"/>
        </w:rPr>
        <w:t>part </w:t>
      </w:r>
      <w:r>
        <w:rPr>
          <w:w w:val="120"/>
          <w:sz w:val="20"/>
        </w:rPr>
        <w:t>of such funds which can properly be applied for the purpose, all expenses  of or incidental to the management of the Charity, or of administering any special trust, or otherwise carrying out any of the foregoing Objects, including the payment of salaries to persons employed, stipends to Ministers and contributions to the Ministers’ and Staff Pension</w:t>
      </w:r>
      <w:r>
        <w:rPr>
          <w:spacing w:val="-17"/>
          <w:w w:val="120"/>
          <w:sz w:val="20"/>
        </w:rPr>
        <w:t> </w:t>
      </w:r>
      <w:r>
        <w:rPr>
          <w:w w:val="120"/>
          <w:sz w:val="20"/>
        </w:rPr>
        <w:t>Funds.</w:t>
      </w:r>
    </w:p>
    <w:p>
      <w:pPr>
        <w:pStyle w:val="BodyText"/>
      </w:pPr>
    </w:p>
    <w:p>
      <w:pPr>
        <w:pStyle w:val="BodyText"/>
        <w:tabs>
          <w:tab w:pos="2573" w:val="left" w:leader="none"/>
        </w:tabs>
        <w:spacing w:line="235" w:lineRule="auto" w:before="1"/>
        <w:ind w:left="2573" w:right="2411" w:hanging="721"/>
      </w:pPr>
      <w:r>
        <w:rPr>
          <w:spacing w:val="-8"/>
          <w:w w:val="120"/>
        </w:rPr>
        <w:t>(aa)</w:t>
        <w:tab/>
      </w:r>
      <w:r>
        <w:rPr>
          <w:w w:val="120"/>
        </w:rPr>
        <w:t>to hold any or all securities or other </w:t>
      </w:r>
      <w:r>
        <w:rPr>
          <w:spacing w:val="2"/>
          <w:w w:val="120"/>
        </w:rPr>
        <w:t>property </w:t>
      </w:r>
      <w:r>
        <w:rPr>
          <w:w w:val="120"/>
        </w:rPr>
        <w:t>in bearer form, or in the name of the Charity, or in the name of some other Company person, or partnership, or in the name, or names, of nominees, and to deposit the said securities and any title deeds or other documents belonging or relating to any </w:t>
      </w:r>
      <w:r>
        <w:rPr>
          <w:spacing w:val="2"/>
          <w:w w:val="120"/>
        </w:rPr>
        <w:t>property </w:t>
      </w:r>
      <w:r>
        <w:rPr>
          <w:w w:val="120"/>
        </w:rPr>
        <w:t>of which the Charity is a trustee in any</w:t>
      </w:r>
      <w:r>
        <w:rPr>
          <w:spacing w:val="27"/>
          <w:w w:val="120"/>
        </w:rPr>
        <w:t> </w:t>
      </w:r>
      <w:r>
        <w:rPr>
          <w:spacing w:val="2"/>
          <w:w w:val="120"/>
        </w:rPr>
        <w:t>part</w:t>
      </w:r>
    </w:p>
    <w:p>
      <w:pPr>
        <w:pStyle w:val="BodyText"/>
        <w:spacing w:line="235" w:lineRule="auto" w:before="3"/>
        <w:ind w:left="2573" w:right="1997"/>
      </w:pPr>
      <w:r>
        <w:rPr>
          <w:w w:val="120"/>
        </w:rPr>
        <w:t>of the world with any bank, firm, trust company, or other company that undertakes the safe custody of securities as part of its business without being responsible for the default of such bank, firm, trust company or for any consequent loss;</w:t>
      </w:r>
    </w:p>
    <w:p>
      <w:pPr>
        <w:pStyle w:val="BodyText"/>
        <w:spacing w:before="11"/>
        <w:rPr>
          <w:sz w:val="19"/>
        </w:rPr>
      </w:pPr>
    </w:p>
    <w:p>
      <w:pPr>
        <w:pStyle w:val="BodyText"/>
        <w:tabs>
          <w:tab w:pos="2573" w:val="left" w:leader="none"/>
        </w:tabs>
        <w:spacing w:line="235" w:lineRule="auto"/>
        <w:ind w:left="2573" w:right="2191" w:hanging="721"/>
      </w:pPr>
      <w:r>
        <w:rPr>
          <w:spacing w:val="-5"/>
          <w:w w:val="120"/>
        </w:rPr>
        <w:t>(bb)</w:t>
        <w:tab/>
      </w:r>
      <w:r>
        <w:rPr>
          <w:w w:val="120"/>
        </w:rPr>
        <w:t>subject to any necessary consent of the Court or the Charity Commission under Section </w:t>
      </w:r>
      <w:r>
        <w:rPr>
          <w:spacing w:val="-8"/>
          <w:w w:val="120"/>
        </w:rPr>
        <w:t>17(7) </w:t>
      </w:r>
      <w:r>
        <w:rPr>
          <w:w w:val="120"/>
        </w:rPr>
        <w:t>of the Charities Act </w:t>
      </w:r>
      <w:r>
        <w:rPr>
          <w:spacing w:val="-6"/>
          <w:w w:val="120"/>
        </w:rPr>
        <w:t>1993, </w:t>
      </w:r>
      <w:r>
        <w:rPr>
          <w:w w:val="120"/>
        </w:rPr>
        <w:t>to pay out of the funds</w:t>
      </w:r>
    </w:p>
    <w:p>
      <w:pPr>
        <w:pStyle w:val="BodyText"/>
        <w:spacing w:line="235" w:lineRule="auto" w:before="2"/>
        <w:ind w:left="2573" w:right="2667"/>
      </w:pPr>
      <w:r>
        <w:rPr>
          <w:w w:val="120"/>
        </w:rPr>
        <w:t>of charities administered by the Charity costs incurred in preparing or promoting any Bill in Parliament provided that such application is consistent with the trusts of the charities concerned;</w:t>
      </w:r>
    </w:p>
    <w:p>
      <w:pPr>
        <w:pStyle w:val="BodyText"/>
        <w:spacing w:before="10"/>
        <w:rPr>
          <w:sz w:val="19"/>
        </w:rPr>
      </w:pPr>
    </w:p>
    <w:p>
      <w:pPr>
        <w:pStyle w:val="BodyText"/>
        <w:tabs>
          <w:tab w:pos="2573" w:val="left" w:leader="none"/>
        </w:tabs>
        <w:spacing w:line="235" w:lineRule="auto"/>
        <w:ind w:left="2573" w:right="2006" w:hanging="721"/>
      </w:pPr>
      <w:r>
        <w:rPr>
          <w:spacing w:val="-9"/>
          <w:w w:val="120"/>
        </w:rPr>
        <w:t>(cc)</w:t>
        <w:tab/>
      </w:r>
      <w:r>
        <w:rPr>
          <w:w w:val="120"/>
        </w:rPr>
        <w:t>to procure the Charity to be domiciled and legally recognised in accordance with the laws and constitution of any country or state in which any of its operations may be carried on or its </w:t>
      </w:r>
      <w:r>
        <w:rPr>
          <w:spacing w:val="2"/>
          <w:w w:val="120"/>
        </w:rPr>
        <w:t>property </w:t>
      </w:r>
      <w:r>
        <w:rPr>
          <w:w w:val="120"/>
        </w:rPr>
        <w:t>situate, and with a view thereto to make all requisite deposits and comply with the necessary requirements and</w:t>
      </w:r>
      <w:r>
        <w:rPr>
          <w:spacing w:val="4"/>
          <w:w w:val="120"/>
        </w:rPr>
        <w:t> </w:t>
      </w:r>
      <w:r>
        <w:rPr>
          <w:w w:val="120"/>
        </w:rPr>
        <w:t>conditions;</w:t>
      </w:r>
    </w:p>
    <w:p>
      <w:pPr>
        <w:pStyle w:val="BodyText"/>
        <w:spacing w:before="11"/>
        <w:rPr>
          <w:sz w:val="19"/>
        </w:rPr>
      </w:pPr>
    </w:p>
    <w:p>
      <w:pPr>
        <w:pStyle w:val="BodyText"/>
        <w:spacing w:line="235" w:lineRule="auto"/>
        <w:ind w:left="2573" w:right="2266" w:hanging="721"/>
        <w:jc w:val="both"/>
      </w:pPr>
      <w:r>
        <w:rPr>
          <w:spacing w:val="-5"/>
          <w:w w:val="120"/>
        </w:rPr>
        <w:t>(dd) </w:t>
      </w:r>
      <w:r>
        <w:rPr>
          <w:w w:val="120"/>
        </w:rPr>
        <w:t>to provide indemnity insurance for the Directors, or any other officer of  the Charity, in relation to any such liability as is mentioned in Clause 6.3 but subject to the exclusions specified in Clause</w:t>
      </w:r>
      <w:r>
        <w:rPr>
          <w:spacing w:val="23"/>
          <w:w w:val="120"/>
        </w:rPr>
        <w:t> </w:t>
      </w:r>
      <w:r>
        <w:rPr>
          <w:spacing w:val="-3"/>
          <w:w w:val="120"/>
        </w:rPr>
        <w:t>6.4;</w:t>
      </w:r>
    </w:p>
    <w:p>
      <w:pPr>
        <w:pStyle w:val="BodyText"/>
        <w:spacing w:before="10"/>
        <w:rPr>
          <w:sz w:val="19"/>
        </w:rPr>
      </w:pPr>
    </w:p>
    <w:p>
      <w:pPr>
        <w:pStyle w:val="BodyText"/>
        <w:tabs>
          <w:tab w:pos="2573" w:val="left" w:leader="none"/>
        </w:tabs>
        <w:spacing w:line="235" w:lineRule="auto" w:before="1"/>
        <w:ind w:left="2573" w:right="2110" w:hanging="721"/>
      </w:pPr>
      <w:r>
        <w:rPr>
          <w:spacing w:val="-9"/>
          <w:w w:val="120"/>
        </w:rPr>
        <w:t>(ee)</w:t>
        <w:tab/>
      </w:r>
      <w:r>
        <w:rPr>
          <w:w w:val="120"/>
        </w:rPr>
        <w:t>to pay out of the funds of the Charity the costs of forming and registering the Charity and if considered appropriate the future conversion of the Charity into a Charitable Incorporated</w:t>
      </w:r>
      <w:r>
        <w:rPr>
          <w:spacing w:val="17"/>
          <w:w w:val="120"/>
        </w:rPr>
        <w:t> </w:t>
      </w:r>
      <w:r>
        <w:rPr>
          <w:w w:val="120"/>
        </w:rPr>
        <w:t>Organisation.</w:t>
      </w:r>
    </w:p>
    <w:p>
      <w:pPr>
        <w:pStyle w:val="BodyText"/>
        <w:spacing w:before="10"/>
        <w:rPr>
          <w:sz w:val="19"/>
        </w:rPr>
      </w:pPr>
    </w:p>
    <w:p>
      <w:pPr>
        <w:pStyle w:val="BodyText"/>
        <w:spacing w:line="235" w:lineRule="auto"/>
        <w:ind w:left="2573" w:right="2180" w:hanging="721"/>
        <w:jc w:val="both"/>
      </w:pPr>
      <w:r>
        <w:rPr>
          <w:w w:val="120"/>
        </w:rPr>
        <w:t>(ff)  to do all such other lawful things as are necessary for the achievement of the</w:t>
      </w:r>
      <w:r>
        <w:rPr>
          <w:spacing w:val="2"/>
          <w:w w:val="120"/>
        </w:rPr>
        <w:t> </w:t>
      </w:r>
      <w:r>
        <w:rPr>
          <w:w w:val="120"/>
        </w:rPr>
        <w:t>Objects.</w:t>
      </w:r>
    </w:p>
    <w:p>
      <w:pPr>
        <w:spacing w:after="0" w:line="235" w:lineRule="auto"/>
        <w:jc w:val="both"/>
        <w:sectPr>
          <w:pgSz w:w="11910" w:h="16840"/>
          <w:pgMar w:header="0" w:footer="647" w:top="1060" w:bottom="840" w:left="0" w:right="0"/>
        </w:sectPr>
      </w:pPr>
    </w:p>
    <w:p>
      <w:pPr>
        <w:pStyle w:val="ListParagraph"/>
        <w:numPr>
          <w:ilvl w:val="1"/>
          <w:numId w:val="160"/>
        </w:numPr>
        <w:tabs>
          <w:tab w:pos="2664" w:val="left" w:leader="none"/>
          <w:tab w:pos="2665" w:val="left" w:leader="none"/>
        </w:tabs>
        <w:spacing w:line="240" w:lineRule="auto" w:before="87" w:after="0"/>
        <w:ind w:left="2664" w:right="0" w:hanging="681"/>
        <w:jc w:val="left"/>
        <w:rPr>
          <w:sz w:val="20"/>
        </w:rPr>
      </w:pPr>
      <w:r>
        <w:rPr/>
        <w:pict>
          <v:rect style="position:absolute;margin-left:558.424988pt;margin-top:8.493772pt;width:22.677pt;height:22.677pt;mso-position-horizontal-relative:page;mso-position-vertical-relative:paragraph;z-index:252329984" filled="true" fillcolor="#e4ebc6" stroked="false">
            <v:fill opacity="32768f" type="solid"/>
            <w10:wrap type="none"/>
          </v:rect>
        </w:pict>
      </w:r>
      <w:r>
        <w:rPr>
          <w:w w:val="120"/>
          <w:sz w:val="20"/>
          <w:u w:val="single"/>
        </w:rPr>
        <w:t>PROVIDED</w:t>
      </w:r>
      <w:r>
        <w:rPr>
          <w:spacing w:val="2"/>
          <w:w w:val="120"/>
          <w:sz w:val="20"/>
          <w:u w:val="single"/>
        </w:rPr>
        <w:t> </w:t>
      </w:r>
      <w:r>
        <w:rPr>
          <w:spacing w:val="-6"/>
          <w:w w:val="120"/>
          <w:sz w:val="20"/>
          <w:u w:val="single"/>
        </w:rPr>
        <w:t>THAT</w:t>
      </w:r>
      <w:r>
        <w:rPr>
          <w:spacing w:val="-6"/>
          <w:w w:val="120"/>
          <w:sz w:val="20"/>
        </w:rPr>
        <w:t>:</w:t>
      </w:r>
    </w:p>
    <w:p>
      <w:pPr>
        <w:pStyle w:val="BodyText"/>
        <w:spacing w:before="7"/>
        <w:rPr>
          <w:sz w:val="19"/>
        </w:rPr>
      </w:pPr>
    </w:p>
    <w:p>
      <w:pPr>
        <w:pStyle w:val="ListParagraph"/>
        <w:numPr>
          <w:ilvl w:val="2"/>
          <w:numId w:val="162"/>
        </w:numPr>
        <w:tabs>
          <w:tab w:pos="2665" w:val="left" w:leader="none"/>
        </w:tabs>
        <w:spacing w:line="235" w:lineRule="auto" w:before="1" w:after="0"/>
        <w:ind w:left="2703" w:right="1188" w:hanging="720"/>
        <w:jc w:val="left"/>
        <w:rPr>
          <w:sz w:val="20"/>
        </w:rPr>
      </w:pPr>
      <w:r>
        <w:rPr>
          <w:w w:val="120"/>
          <w:sz w:val="20"/>
        </w:rPr>
        <w:t>Subject always to conformity with the Objects set out in Clause </w:t>
      </w:r>
      <w:r>
        <w:rPr>
          <w:spacing w:val="-8"/>
          <w:w w:val="120"/>
          <w:sz w:val="20"/>
        </w:rPr>
        <w:t>5.1 </w:t>
      </w:r>
      <w:r>
        <w:rPr>
          <w:w w:val="120"/>
          <w:sz w:val="20"/>
        </w:rPr>
        <w:t>hereof, none  of the powers set forth in any sub-clause of Clause </w:t>
      </w:r>
      <w:r>
        <w:rPr>
          <w:spacing w:val="-7"/>
          <w:w w:val="120"/>
          <w:sz w:val="20"/>
        </w:rPr>
        <w:t>6.1 </w:t>
      </w:r>
      <w:r>
        <w:rPr>
          <w:w w:val="120"/>
          <w:sz w:val="20"/>
        </w:rPr>
        <w:t>hereof shall be restrictively construed but the widest interpretation shall be given to each such </w:t>
      </w:r>
      <w:r>
        <w:rPr>
          <w:spacing w:val="-3"/>
          <w:w w:val="120"/>
          <w:sz w:val="20"/>
        </w:rPr>
        <w:t>power, </w:t>
      </w:r>
      <w:r>
        <w:rPr>
          <w:w w:val="120"/>
          <w:sz w:val="20"/>
        </w:rPr>
        <w:t>and none of such powers shall, except where the context expressly so requires, be in any way limited or restricted by reference to or inference from any other powers set forth in the said Clause </w:t>
      </w:r>
      <w:r>
        <w:rPr>
          <w:spacing w:val="-7"/>
          <w:w w:val="120"/>
          <w:sz w:val="20"/>
        </w:rPr>
        <w:t>6.1 </w:t>
      </w:r>
      <w:r>
        <w:rPr>
          <w:w w:val="120"/>
          <w:sz w:val="20"/>
        </w:rPr>
        <w:t>or by reference to or inference from the terms and conditions of any other sub-clause of such Clause, or by reference to or inference from the name of the</w:t>
      </w:r>
      <w:r>
        <w:rPr>
          <w:spacing w:val="9"/>
          <w:w w:val="120"/>
          <w:sz w:val="20"/>
        </w:rPr>
        <w:t> </w:t>
      </w:r>
      <w:r>
        <w:rPr>
          <w:w w:val="120"/>
          <w:sz w:val="20"/>
        </w:rPr>
        <w:t>Charity.</w:t>
      </w:r>
    </w:p>
    <w:p>
      <w:pPr>
        <w:pStyle w:val="BodyText"/>
        <w:spacing w:before="1"/>
      </w:pPr>
    </w:p>
    <w:p>
      <w:pPr>
        <w:pStyle w:val="ListParagraph"/>
        <w:numPr>
          <w:ilvl w:val="2"/>
          <w:numId w:val="162"/>
        </w:numPr>
        <w:tabs>
          <w:tab w:pos="2665" w:val="left" w:leader="none"/>
        </w:tabs>
        <w:spacing w:line="235" w:lineRule="auto" w:before="0" w:after="0"/>
        <w:ind w:left="2703" w:right="1244" w:hanging="720"/>
        <w:jc w:val="left"/>
        <w:rPr>
          <w:sz w:val="20"/>
        </w:rPr>
      </w:pPr>
      <w:r>
        <w:rPr>
          <w:w w:val="120"/>
          <w:sz w:val="20"/>
        </w:rPr>
        <w:t>None of the powers specified in Clause </w:t>
      </w:r>
      <w:r>
        <w:rPr>
          <w:spacing w:val="-7"/>
          <w:w w:val="120"/>
          <w:sz w:val="20"/>
        </w:rPr>
        <w:t>6.1 </w:t>
      </w:r>
      <w:r>
        <w:rPr>
          <w:w w:val="120"/>
          <w:sz w:val="20"/>
        </w:rPr>
        <w:t>hereof shall be deemed subsidiary or ancillary to any other powers specified therein and the Charity shall have as full a power to exercise each and every one of the powers specified in each sub-clause of Clause </w:t>
      </w:r>
      <w:r>
        <w:rPr>
          <w:spacing w:val="-7"/>
          <w:w w:val="120"/>
          <w:sz w:val="20"/>
        </w:rPr>
        <w:t>6.1 </w:t>
      </w:r>
      <w:r>
        <w:rPr>
          <w:w w:val="120"/>
          <w:sz w:val="20"/>
        </w:rPr>
        <w:t>as though each such sub-clause contained the powers of a separate trust subject always to conformity with the Objects of the Charity specified in Clause </w:t>
      </w:r>
      <w:r>
        <w:rPr>
          <w:spacing w:val="-8"/>
          <w:w w:val="120"/>
          <w:sz w:val="20"/>
        </w:rPr>
        <w:t>5.1</w:t>
      </w:r>
      <w:r>
        <w:rPr>
          <w:spacing w:val="4"/>
          <w:w w:val="120"/>
          <w:sz w:val="20"/>
        </w:rPr>
        <w:t> </w:t>
      </w:r>
      <w:r>
        <w:rPr>
          <w:w w:val="120"/>
          <w:sz w:val="20"/>
        </w:rPr>
        <w:t>hereof.</w:t>
      </w:r>
    </w:p>
    <w:p>
      <w:pPr>
        <w:pStyle w:val="BodyText"/>
      </w:pPr>
    </w:p>
    <w:p>
      <w:pPr>
        <w:pStyle w:val="ListParagraph"/>
        <w:numPr>
          <w:ilvl w:val="2"/>
          <w:numId w:val="162"/>
        </w:numPr>
        <w:tabs>
          <w:tab w:pos="2664" w:val="left" w:leader="none"/>
        </w:tabs>
        <w:spacing w:line="235" w:lineRule="auto" w:before="0" w:after="0"/>
        <w:ind w:left="2703" w:right="1181" w:hanging="720"/>
        <w:jc w:val="left"/>
        <w:rPr>
          <w:sz w:val="20"/>
        </w:rPr>
      </w:pPr>
      <w:r>
        <w:rPr>
          <w:w w:val="120"/>
          <w:sz w:val="20"/>
        </w:rPr>
        <w:t>The Objects of the Charity shall not extend to the regulation of relations between workers and employers, or organisations of workers and organisations of employers, nor shall the Charity support with its funds any object or endeavour  to impose on or procure the observance by its members or others of any regulation, restriction or condition which, if an object of the Charity, would make it a trade</w:t>
      </w:r>
      <w:r>
        <w:rPr>
          <w:spacing w:val="5"/>
          <w:w w:val="120"/>
          <w:sz w:val="20"/>
        </w:rPr>
        <w:t> </w:t>
      </w:r>
      <w:r>
        <w:rPr>
          <w:w w:val="120"/>
          <w:sz w:val="20"/>
        </w:rPr>
        <w:t>union.</w:t>
      </w:r>
    </w:p>
    <w:p>
      <w:pPr>
        <w:pStyle w:val="BodyText"/>
        <w:spacing w:before="9"/>
        <w:rPr>
          <w:sz w:val="19"/>
        </w:rPr>
      </w:pPr>
    </w:p>
    <w:p>
      <w:pPr>
        <w:pStyle w:val="ListParagraph"/>
        <w:numPr>
          <w:ilvl w:val="1"/>
          <w:numId w:val="160"/>
        </w:numPr>
        <w:tabs>
          <w:tab w:pos="2663" w:val="left" w:leader="none"/>
          <w:tab w:pos="2664" w:val="left" w:leader="none"/>
        </w:tabs>
        <w:spacing w:line="240" w:lineRule="auto" w:before="0" w:after="0"/>
        <w:ind w:left="2663" w:right="0" w:hanging="681"/>
        <w:jc w:val="left"/>
        <w:rPr>
          <w:sz w:val="20"/>
        </w:rPr>
      </w:pPr>
      <w:r>
        <w:rPr>
          <w:w w:val="120"/>
          <w:sz w:val="20"/>
        </w:rPr>
        <w:t>The liabilities referred to in Clause </w:t>
      </w:r>
      <w:r>
        <w:rPr>
          <w:spacing w:val="-7"/>
          <w:w w:val="120"/>
          <w:sz w:val="20"/>
        </w:rPr>
        <w:t>6.1 </w:t>
      </w:r>
      <w:r>
        <w:rPr>
          <w:spacing w:val="-5"/>
          <w:w w:val="120"/>
          <w:sz w:val="20"/>
        </w:rPr>
        <w:t>(dd)</w:t>
      </w:r>
      <w:r>
        <w:rPr>
          <w:spacing w:val="26"/>
          <w:w w:val="120"/>
          <w:sz w:val="20"/>
        </w:rPr>
        <w:t> </w:t>
      </w:r>
      <w:r>
        <w:rPr>
          <w:w w:val="120"/>
          <w:sz w:val="20"/>
        </w:rPr>
        <w:t>are:</w:t>
      </w:r>
    </w:p>
    <w:p>
      <w:pPr>
        <w:pStyle w:val="BodyText"/>
        <w:spacing w:before="7"/>
        <w:rPr>
          <w:sz w:val="19"/>
        </w:rPr>
      </w:pPr>
    </w:p>
    <w:p>
      <w:pPr>
        <w:pStyle w:val="ListParagraph"/>
        <w:numPr>
          <w:ilvl w:val="2"/>
          <w:numId w:val="160"/>
        </w:numPr>
        <w:tabs>
          <w:tab w:pos="3423" w:val="left" w:leader="none"/>
          <w:tab w:pos="3424" w:val="left" w:leader="none"/>
        </w:tabs>
        <w:spacing w:line="235" w:lineRule="auto" w:before="1" w:after="0"/>
        <w:ind w:left="3423" w:right="1508" w:hanging="721"/>
        <w:jc w:val="left"/>
        <w:rPr>
          <w:sz w:val="20"/>
        </w:rPr>
      </w:pPr>
      <w:r>
        <w:rPr>
          <w:w w:val="120"/>
          <w:sz w:val="20"/>
        </w:rPr>
        <w:t>any liability that by virtue of any rule of law would otherwise attach to a director of a company in respect of any negligence, default breach of duty or breach of trust of which he or she may be guilty in relation to the</w:t>
      </w:r>
      <w:r>
        <w:rPr>
          <w:spacing w:val="2"/>
          <w:w w:val="120"/>
          <w:sz w:val="20"/>
        </w:rPr>
        <w:t> </w:t>
      </w:r>
      <w:r>
        <w:rPr>
          <w:w w:val="120"/>
          <w:sz w:val="20"/>
        </w:rPr>
        <w:t>Charity;</w:t>
      </w:r>
    </w:p>
    <w:p>
      <w:pPr>
        <w:pStyle w:val="BodyText"/>
        <w:spacing w:before="10"/>
        <w:rPr>
          <w:sz w:val="19"/>
        </w:rPr>
      </w:pPr>
    </w:p>
    <w:p>
      <w:pPr>
        <w:pStyle w:val="ListParagraph"/>
        <w:numPr>
          <w:ilvl w:val="2"/>
          <w:numId w:val="160"/>
        </w:numPr>
        <w:tabs>
          <w:tab w:pos="3423" w:val="left" w:leader="none"/>
          <w:tab w:pos="3424" w:val="left" w:leader="none"/>
        </w:tabs>
        <w:spacing w:line="235" w:lineRule="auto" w:before="0" w:after="0"/>
        <w:ind w:left="3423" w:right="1451" w:hanging="721"/>
        <w:jc w:val="left"/>
        <w:rPr>
          <w:sz w:val="20"/>
        </w:rPr>
      </w:pPr>
      <w:r>
        <w:rPr>
          <w:w w:val="120"/>
          <w:sz w:val="20"/>
        </w:rPr>
        <w:t>the liability to make a contribution to the Charity’s assets as specified in Section </w:t>
      </w:r>
      <w:r>
        <w:rPr>
          <w:spacing w:val="-8"/>
          <w:w w:val="120"/>
          <w:sz w:val="20"/>
        </w:rPr>
        <w:t>214 </w:t>
      </w:r>
      <w:r>
        <w:rPr>
          <w:w w:val="120"/>
          <w:sz w:val="20"/>
        </w:rPr>
        <w:t>of the Insolvency Act </w:t>
      </w:r>
      <w:r>
        <w:rPr>
          <w:spacing w:val="-5"/>
          <w:w w:val="120"/>
          <w:sz w:val="20"/>
        </w:rPr>
        <w:t>1986 </w:t>
      </w:r>
      <w:r>
        <w:rPr>
          <w:w w:val="120"/>
          <w:sz w:val="20"/>
        </w:rPr>
        <w:t>(wrongful</w:t>
      </w:r>
      <w:r>
        <w:rPr>
          <w:spacing w:val="14"/>
          <w:w w:val="120"/>
          <w:sz w:val="20"/>
        </w:rPr>
        <w:t> </w:t>
      </w:r>
      <w:r>
        <w:rPr>
          <w:w w:val="120"/>
          <w:sz w:val="20"/>
        </w:rPr>
        <w:t>trading).</w:t>
      </w:r>
    </w:p>
    <w:p>
      <w:pPr>
        <w:pStyle w:val="BodyText"/>
        <w:spacing w:before="6"/>
        <w:rPr>
          <w:sz w:val="19"/>
        </w:rPr>
      </w:pPr>
    </w:p>
    <w:p>
      <w:pPr>
        <w:pStyle w:val="ListParagraph"/>
        <w:numPr>
          <w:ilvl w:val="1"/>
          <w:numId w:val="160"/>
        </w:numPr>
        <w:tabs>
          <w:tab w:pos="2663" w:val="left" w:leader="none"/>
          <w:tab w:pos="2664" w:val="left" w:leader="none"/>
        </w:tabs>
        <w:spacing w:line="240" w:lineRule="auto" w:before="0" w:after="0"/>
        <w:ind w:left="2663" w:right="0" w:hanging="681"/>
        <w:jc w:val="left"/>
        <w:rPr>
          <w:sz w:val="20"/>
        </w:rPr>
      </w:pPr>
      <w:r>
        <w:rPr>
          <w:w w:val="120"/>
          <w:sz w:val="20"/>
        </w:rPr>
        <w:t>The following liabilities are excluded from Clause</w:t>
      </w:r>
      <w:r>
        <w:rPr>
          <w:spacing w:val="18"/>
          <w:w w:val="120"/>
          <w:sz w:val="20"/>
        </w:rPr>
        <w:t> </w:t>
      </w:r>
      <w:r>
        <w:rPr>
          <w:spacing w:val="-3"/>
          <w:w w:val="120"/>
          <w:sz w:val="20"/>
        </w:rPr>
        <w:t>6.3:</w:t>
      </w:r>
    </w:p>
    <w:p>
      <w:pPr>
        <w:pStyle w:val="BodyText"/>
        <w:spacing w:before="4"/>
        <w:rPr>
          <w:sz w:val="19"/>
        </w:rPr>
      </w:pPr>
    </w:p>
    <w:p>
      <w:pPr>
        <w:pStyle w:val="ListParagraph"/>
        <w:numPr>
          <w:ilvl w:val="2"/>
          <w:numId w:val="160"/>
        </w:numPr>
        <w:tabs>
          <w:tab w:pos="3423" w:val="left" w:leader="none"/>
          <w:tab w:pos="3424" w:val="left" w:leader="none"/>
        </w:tabs>
        <w:spacing w:line="240" w:lineRule="auto" w:before="0" w:after="0"/>
        <w:ind w:left="3423" w:right="0" w:hanging="721"/>
        <w:jc w:val="left"/>
        <w:rPr>
          <w:sz w:val="20"/>
        </w:rPr>
      </w:pPr>
      <w:r>
        <w:rPr>
          <w:w w:val="115"/>
          <w:sz w:val="20"/>
        </w:rPr>
        <w:t>fines;</w:t>
      </w:r>
    </w:p>
    <w:p>
      <w:pPr>
        <w:pStyle w:val="BodyText"/>
        <w:spacing w:before="8"/>
        <w:rPr>
          <w:sz w:val="19"/>
        </w:rPr>
      </w:pPr>
    </w:p>
    <w:p>
      <w:pPr>
        <w:pStyle w:val="ListParagraph"/>
        <w:numPr>
          <w:ilvl w:val="2"/>
          <w:numId w:val="160"/>
        </w:numPr>
        <w:tabs>
          <w:tab w:pos="3423" w:val="left" w:leader="none"/>
          <w:tab w:pos="3424" w:val="left" w:leader="none"/>
        </w:tabs>
        <w:spacing w:line="235" w:lineRule="auto" w:before="0" w:after="0"/>
        <w:ind w:left="3423" w:right="1233" w:hanging="721"/>
        <w:jc w:val="left"/>
        <w:rPr>
          <w:sz w:val="20"/>
        </w:rPr>
      </w:pPr>
      <w:r>
        <w:rPr>
          <w:w w:val="120"/>
          <w:sz w:val="20"/>
        </w:rPr>
        <w:t>costs of unsuccessfully defending criminal prosecutions for offences arising out of the fraud, dishonesty or wilful or reckless misconduct of the Director or other</w:t>
      </w:r>
      <w:r>
        <w:rPr>
          <w:spacing w:val="5"/>
          <w:w w:val="120"/>
          <w:sz w:val="20"/>
        </w:rPr>
        <w:t> </w:t>
      </w:r>
      <w:r>
        <w:rPr>
          <w:w w:val="120"/>
          <w:sz w:val="20"/>
        </w:rPr>
        <w:t>officer;</w:t>
      </w:r>
    </w:p>
    <w:p>
      <w:pPr>
        <w:pStyle w:val="BodyText"/>
        <w:spacing w:before="10"/>
        <w:rPr>
          <w:sz w:val="19"/>
        </w:rPr>
      </w:pPr>
    </w:p>
    <w:p>
      <w:pPr>
        <w:pStyle w:val="ListParagraph"/>
        <w:numPr>
          <w:ilvl w:val="2"/>
          <w:numId w:val="160"/>
        </w:numPr>
        <w:tabs>
          <w:tab w:pos="3423" w:val="left" w:leader="none"/>
          <w:tab w:pos="3424" w:val="left" w:leader="none"/>
        </w:tabs>
        <w:spacing w:line="235" w:lineRule="auto" w:before="0" w:after="0"/>
        <w:ind w:left="3423" w:right="1194" w:hanging="721"/>
        <w:jc w:val="left"/>
        <w:rPr>
          <w:sz w:val="20"/>
        </w:rPr>
      </w:pPr>
      <w:r>
        <w:rPr>
          <w:w w:val="120"/>
          <w:sz w:val="20"/>
        </w:rPr>
        <w:t>liabilities to the Charity that result from conduct that the Director or   other officer knew, or must be assumed to have known, as not in the best interests of the Charity or about which the person concerned did not care whether it was in the best interests of the Charity or</w:t>
      </w:r>
      <w:r>
        <w:rPr>
          <w:spacing w:val="17"/>
          <w:w w:val="120"/>
          <w:sz w:val="20"/>
        </w:rPr>
        <w:t> </w:t>
      </w:r>
      <w:r>
        <w:rPr>
          <w:w w:val="120"/>
          <w:sz w:val="20"/>
        </w:rPr>
        <w:t>not;</w:t>
      </w:r>
    </w:p>
    <w:p>
      <w:pPr>
        <w:pStyle w:val="BodyText"/>
        <w:spacing w:before="11"/>
        <w:rPr>
          <w:sz w:val="19"/>
        </w:rPr>
      </w:pPr>
    </w:p>
    <w:p>
      <w:pPr>
        <w:pStyle w:val="ListParagraph"/>
        <w:numPr>
          <w:ilvl w:val="2"/>
          <w:numId w:val="160"/>
        </w:numPr>
        <w:tabs>
          <w:tab w:pos="3423" w:val="left" w:leader="none"/>
          <w:tab w:pos="3424" w:val="left" w:leader="none"/>
        </w:tabs>
        <w:spacing w:line="235" w:lineRule="auto" w:before="0" w:after="0"/>
        <w:ind w:left="3423" w:right="1293" w:hanging="721"/>
        <w:jc w:val="left"/>
        <w:rPr>
          <w:sz w:val="20"/>
        </w:rPr>
      </w:pPr>
      <w:r>
        <w:rPr>
          <w:w w:val="120"/>
          <w:sz w:val="20"/>
        </w:rPr>
        <w:t>there is excluded from Clause </w:t>
      </w:r>
      <w:r>
        <w:rPr>
          <w:spacing w:val="-5"/>
          <w:w w:val="120"/>
          <w:sz w:val="20"/>
        </w:rPr>
        <w:t>6.3(b) </w:t>
      </w:r>
      <w:r>
        <w:rPr>
          <w:w w:val="120"/>
          <w:sz w:val="20"/>
        </w:rPr>
        <w:t>any liability to make such a contribution where the basis of the Director’s liability is his, or </w:t>
      </w:r>
      <w:r>
        <w:rPr>
          <w:spacing w:val="-3"/>
          <w:w w:val="120"/>
          <w:sz w:val="20"/>
        </w:rPr>
        <w:t>her, </w:t>
      </w:r>
      <w:r>
        <w:rPr>
          <w:w w:val="120"/>
          <w:sz w:val="20"/>
        </w:rPr>
        <w:t>knowledge prior to the insolvent liquidation of the Charity </w:t>
      </w:r>
      <w:r>
        <w:rPr>
          <w:spacing w:val="-6"/>
          <w:w w:val="120"/>
          <w:sz w:val="20"/>
        </w:rPr>
        <w:t>(or </w:t>
      </w:r>
      <w:r>
        <w:rPr>
          <w:w w:val="120"/>
          <w:sz w:val="20"/>
        </w:rPr>
        <w:t>reckless failure to acquire that knowledge) that there was no reasonable prospect that the Charity would avoid going into insolvent</w:t>
      </w:r>
      <w:r>
        <w:rPr>
          <w:spacing w:val="39"/>
          <w:w w:val="120"/>
          <w:sz w:val="20"/>
        </w:rPr>
        <w:t> </w:t>
      </w:r>
      <w:r>
        <w:rPr>
          <w:w w:val="120"/>
          <w:sz w:val="20"/>
        </w:rPr>
        <w:t>liquidation.</w:t>
      </w:r>
    </w:p>
    <w:p>
      <w:pPr>
        <w:pStyle w:val="BodyText"/>
        <w:rPr>
          <w:sz w:val="24"/>
        </w:rPr>
      </w:pPr>
    </w:p>
    <w:p>
      <w:pPr>
        <w:pStyle w:val="ListParagraph"/>
        <w:numPr>
          <w:ilvl w:val="0"/>
          <w:numId w:val="160"/>
        </w:numPr>
        <w:tabs>
          <w:tab w:pos="2663" w:val="left" w:leader="none"/>
          <w:tab w:pos="2664" w:val="left" w:leader="none"/>
        </w:tabs>
        <w:spacing w:line="223" w:lineRule="auto" w:before="188" w:after="0"/>
        <w:ind w:left="2703" w:right="1839" w:hanging="720"/>
        <w:jc w:val="left"/>
        <w:rPr>
          <w:sz w:val="20"/>
        </w:rPr>
      </w:pPr>
      <w:r>
        <w:rPr>
          <w:w w:val="120"/>
          <w:sz w:val="20"/>
        </w:rPr>
        <w:t>The income and </w:t>
      </w:r>
      <w:r>
        <w:rPr>
          <w:spacing w:val="2"/>
          <w:w w:val="120"/>
          <w:sz w:val="20"/>
        </w:rPr>
        <w:t>property </w:t>
      </w:r>
      <w:r>
        <w:rPr>
          <w:w w:val="120"/>
          <w:sz w:val="20"/>
        </w:rPr>
        <w:t>of the Charity shall be applied solely towards the promotion of the</w:t>
      </w:r>
      <w:r>
        <w:rPr>
          <w:spacing w:val="7"/>
          <w:w w:val="120"/>
          <w:sz w:val="20"/>
        </w:rPr>
        <w:t> </w:t>
      </w:r>
      <w:r>
        <w:rPr>
          <w:w w:val="120"/>
          <w:sz w:val="20"/>
        </w:rPr>
        <w:t>Objects.</w:t>
      </w:r>
    </w:p>
    <w:p>
      <w:pPr>
        <w:spacing w:after="0" w:line="223" w:lineRule="auto"/>
        <w:jc w:val="left"/>
        <w:rPr>
          <w:sz w:val="20"/>
        </w:rPr>
        <w:sectPr>
          <w:pgSz w:w="11910" w:h="16840"/>
          <w:pgMar w:header="0" w:footer="647" w:top="1060" w:bottom="840" w:left="0" w:right="0"/>
        </w:sectPr>
      </w:pPr>
    </w:p>
    <w:p>
      <w:pPr>
        <w:numPr>
          <w:ilvl w:val="0"/>
          <w:numId w:val="160"/>
        </w:numPr>
        <w:tabs>
          <w:tab w:pos="1814" w:val="left" w:leader="none"/>
          <w:tab w:pos="1815" w:val="left" w:leader="none"/>
        </w:tabs>
        <w:spacing w:before="91"/>
        <w:ind w:left="1814" w:right="0" w:hanging="682"/>
        <w:jc w:val="left"/>
        <w:rPr>
          <w:rFonts w:ascii="Stone Sans II ITC Std Bk"/>
          <w:b/>
          <w:sz w:val="20"/>
        </w:rPr>
      </w:pPr>
      <w:r>
        <w:rPr/>
        <w:pict>
          <v:rect style="position:absolute;margin-left:12.047pt;margin-top:8.496287pt;width:22.677pt;height:22.677pt;mso-position-horizontal-relative:page;mso-position-vertical-relative:paragraph;z-index:252331008" filled="true" fillcolor="#e4ebc6" stroked="false">
            <v:fill opacity="32768f" type="solid"/>
            <w10:wrap type="none"/>
          </v:rect>
        </w:pict>
      </w:r>
      <w:r>
        <w:rPr>
          <w:rFonts w:ascii="Stone Sans II ITC Std Bk"/>
          <w:b/>
          <w:w w:val="110"/>
          <w:sz w:val="20"/>
        </w:rPr>
        <w:t>Directors</w:t>
      </w:r>
    </w:p>
    <w:p>
      <w:pPr>
        <w:pStyle w:val="BodyText"/>
        <w:spacing w:before="5"/>
        <w:rPr>
          <w:rFonts w:ascii="Stone Sans II ITC Std Bk"/>
          <w:b/>
          <w:sz w:val="16"/>
        </w:rPr>
      </w:pPr>
    </w:p>
    <w:p>
      <w:pPr>
        <w:pStyle w:val="ListParagraph"/>
        <w:numPr>
          <w:ilvl w:val="1"/>
          <w:numId w:val="160"/>
        </w:numPr>
        <w:tabs>
          <w:tab w:pos="1814" w:val="left" w:leader="none"/>
          <w:tab w:pos="1815" w:val="left" w:leader="none"/>
        </w:tabs>
        <w:spacing w:line="240" w:lineRule="auto" w:before="1" w:after="0"/>
        <w:ind w:left="1814" w:right="0" w:hanging="682"/>
        <w:jc w:val="left"/>
        <w:rPr>
          <w:sz w:val="20"/>
        </w:rPr>
      </w:pPr>
      <w:r>
        <w:rPr>
          <w:w w:val="120"/>
          <w:sz w:val="20"/>
        </w:rPr>
        <w:t>A</w:t>
      </w:r>
      <w:r>
        <w:rPr>
          <w:spacing w:val="2"/>
          <w:w w:val="120"/>
          <w:sz w:val="20"/>
        </w:rPr>
        <w:t> </w:t>
      </w:r>
      <w:r>
        <w:rPr>
          <w:w w:val="120"/>
          <w:sz w:val="20"/>
        </w:rPr>
        <w:t>Director:</w:t>
      </w:r>
    </w:p>
    <w:p>
      <w:pPr>
        <w:pStyle w:val="BodyText"/>
        <w:spacing w:before="7"/>
        <w:rPr>
          <w:sz w:val="19"/>
        </w:rPr>
      </w:pPr>
    </w:p>
    <w:p>
      <w:pPr>
        <w:pStyle w:val="ListParagraph"/>
        <w:numPr>
          <w:ilvl w:val="2"/>
          <w:numId w:val="160"/>
        </w:numPr>
        <w:tabs>
          <w:tab w:pos="2573" w:val="left" w:leader="none"/>
          <w:tab w:pos="2574" w:val="left" w:leader="none"/>
        </w:tabs>
        <w:spacing w:line="235" w:lineRule="auto" w:before="0" w:after="0"/>
        <w:ind w:left="2573" w:right="2144" w:hanging="721"/>
        <w:jc w:val="left"/>
        <w:rPr>
          <w:sz w:val="20"/>
        </w:rPr>
      </w:pPr>
      <w:r>
        <w:rPr>
          <w:w w:val="120"/>
          <w:sz w:val="20"/>
        </w:rPr>
        <w:t>is entitled to be reimbursed from the </w:t>
      </w:r>
      <w:r>
        <w:rPr>
          <w:spacing w:val="2"/>
          <w:w w:val="120"/>
          <w:sz w:val="20"/>
        </w:rPr>
        <w:t>property </w:t>
      </w:r>
      <w:r>
        <w:rPr>
          <w:w w:val="120"/>
          <w:sz w:val="20"/>
        </w:rPr>
        <w:t>of the Charity, or may pay out of such property, reasonable expenses properly incurred by him or her when acting on behalf of the</w:t>
      </w:r>
      <w:r>
        <w:rPr>
          <w:spacing w:val="18"/>
          <w:w w:val="120"/>
          <w:sz w:val="20"/>
        </w:rPr>
        <w:t> </w:t>
      </w:r>
      <w:r>
        <w:rPr>
          <w:w w:val="120"/>
          <w:sz w:val="20"/>
        </w:rPr>
        <w:t>Charity;</w:t>
      </w:r>
    </w:p>
    <w:p>
      <w:pPr>
        <w:pStyle w:val="BodyText"/>
        <w:spacing w:before="10"/>
        <w:rPr>
          <w:sz w:val="19"/>
        </w:rPr>
      </w:pPr>
    </w:p>
    <w:p>
      <w:pPr>
        <w:pStyle w:val="ListParagraph"/>
        <w:numPr>
          <w:ilvl w:val="2"/>
          <w:numId w:val="160"/>
        </w:numPr>
        <w:tabs>
          <w:tab w:pos="2573" w:val="left" w:leader="none"/>
          <w:tab w:pos="2574" w:val="left" w:leader="none"/>
        </w:tabs>
        <w:spacing w:line="235" w:lineRule="auto" w:before="1" w:after="0"/>
        <w:ind w:left="2573" w:right="3033" w:hanging="721"/>
        <w:jc w:val="left"/>
        <w:rPr>
          <w:sz w:val="20"/>
        </w:rPr>
      </w:pPr>
      <w:r>
        <w:rPr>
          <w:w w:val="120"/>
          <w:sz w:val="20"/>
        </w:rPr>
        <w:t>may benefit, subject to the exclusions in Clause </w:t>
      </w:r>
      <w:r>
        <w:rPr>
          <w:spacing w:val="-3"/>
          <w:w w:val="120"/>
          <w:sz w:val="20"/>
        </w:rPr>
        <w:t>6.4 </w:t>
      </w:r>
      <w:r>
        <w:rPr>
          <w:w w:val="120"/>
          <w:sz w:val="20"/>
        </w:rPr>
        <w:t>from trustee indemnity insurance cover purchased at the Charity’s</w:t>
      </w:r>
      <w:r>
        <w:rPr>
          <w:spacing w:val="21"/>
          <w:w w:val="120"/>
          <w:sz w:val="20"/>
        </w:rPr>
        <w:t> </w:t>
      </w:r>
      <w:r>
        <w:rPr>
          <w:w w:val="120"/>
          <w:sz w:val="20"/>
        </w:rPr>
        <w:t>expense;</w:t>
      </w:r>
    </w:p>
    <w:p>
      <w:pPr>
        <w:pStyle w:val="BodyText"/>
        <w:spacing w:before="9"/>
        <w:rPr>
          <w:sz w:val="19"/>
        </w:rPr>
      </w:pPr>
    </w:p>
    <w:p>
      <w:pPr>
        <w:pStyle w:val="ListParagraph"/>
        <w:numPr>
          <w:ilvl w:val="2"/>
          <w:numId w:val="160"/>
        </w:numPr>
        <w:tabs>
          <w:tab w:pos="2573" w:val="left" w:leader="none"/>
          <w:tab w:pos="2574" w:val="left" w:leader="none"/>
        </w:tabs>
        <w:spacing w:line="235" w:lineRule="auto" w:before="0" w:after="0"/>
        <w:ind w:left="2573" w:right="2099" w:hanging="721"/>
        <w:jc w:val="left"/>
        <w:rPr>
          <w:sz w:val="20"/>
        </w:rPr>
      </w:pPr>
      <w:r>
        <w:rPr>
          <w:w w:val="120"/>
          <w:sz w:val="20"/>
        </w:rPr>
        <w:t>may receive an indemnity from the Charity in the circumstances specified in Article</w:t>
      </w:r>
      <w:r>
        <w:rPr>
          <w:spacing w:val="4"/>
          <w:w w:val="120"/>
          <w:sz w:val="20"/>
        </w:rPr>
        <w:t> </w:t>
      </w:r>
      <w:r>
        <w:rPr>
          <w:spacing w:val="-12"/>
          <w:w w:val="120"/>
          <w:sz w:val="20"/>
        </w:rPr>
        <w:t>19.1.</w:t>
      </w:r>
    </w:p>
    <w:p>
      <w:pPr>
        <w:pStyle w:val="BodyText"/>
        <w:spacing w:before="9"/>
        <w:rPr>
          <w:sz w:val="19"/>
        </w:rPr>
      </w:pPr>
    </w:p>
    <w:p>
      <w:pPr>
        <w:pStyle w:val="ListParagraph"/>
        <w:numPr>
          <w:ilvl w:val="1"/>
          <w:numId w:val="160"/>
        </w:numPr>
        <w:tabs>
          <w:tab w:pos="1814" w:val="left" w:leader="none"/>
          <w:tab w:pos="1815" w:val="left" w:leader="none"/>
        </w:tabs>
        <w:spacing w:line="235" w:lineRule="auto" w:before="1" w:after="0"/>
        <w:ind w:left="1853" w:right="2271" w:hanging="720"/>
        <w:jc w:val="left"/>
        <w:rPr>
          <w:sz w:val="20"/>
        </w:rPr>
      </w:pPr>
      <w:r>
        <w:rPr>
          <w:w w:val="120"/>
          <w:sz w:val="20"/>
        </w:rPr>
        <w:t>None of the income or </w:t>
      </w:r>
      <w:r>
        <w:rPr>
          <w:spacing w:val="2"/>
          <w:w w:val="120"/>
          <w:sz w:val="20"/>
        </w:rPr>
        <w:t>property </w:t>
      </w:r>
      <w:r>
        <w:rPr>
          <w:w w:val="120"/>
          <w:sz w:val="20"/>
        </w:rPr>
        <w:t>of the Charity may be paid or transferred directly or indirectly by way of dividend bonus or otherwise by way of profit to any member of the Charity. This does not prevent a member who is not also a Director</w:t>
      </w:r>
      <w:r>
        <w:rPr>
          <w:spacing w:val="2"/>
          <w:w w:val="120"/>
          <w:sz w:val="20"/>
        </w:rPr>
        <w:t> </w:t>
      </w:r>
      <w:r>
        <w:rPr>
          <w:w w:val="120"/>
          <w:sz w:val="20"/>
        </w:rPr>
        <w:t>receiving:</w:t>
      </w:r>
    </w:p>
    <w:p>
      <w:pPr>
        <w:pStyle w:val="BodyText"/>
        <w:spacing w:before="6"/>
        <w:rPr>
          <w:sz w:val="19"/>
        </w:rPr>
      </w:pPr>
    </w:p>
    <w:p>
      <w:pPr>
        <w:pStyle w:val="ListParagraph"/>
        <w:numPr>
          <w:ilvl w:val="2"/>
          <w:numId w:val="160"/>
        </w:numPr>
        <w:tabs>
          <w:tab w:pos="2573" w:val="left" w:leader="none"/>
          <w:tab w:pos="2574" w:val="left" w:leader="none"/>
        </w:tabs>
        <w:spacing w:line="240" w:lineRule="auto" w:before="1" w:after="0"/>
        <w:ind w:left="2573" w:right="0" w:hanging="721"/>
        <w:jc w:val="left"/>
        <w:rPr>
          <w:sz w:val="20"/>
        </w:rPr>
      </w:pPr>
      <w:r>
        <w:rPr>
          <w:w w:val="120"/>
          <w:sz w:val="20"/>
        </w:rPr>
        <w:t>a benefit from the Charity in the capacity of a beneficiary of the</w:t>
      </w:r>
      <w:r>
        <w:rPr>
          <w:spacing w:val="30"/>
          <w:w w:val="120"/>
          <w:sz w:val="20"/>
        </w:rPr>
        <w:t> </w:t>
      </w:r>
      <w:r>
        <w:rPr>
          <w:w w:val="120"/>
          <w:sz w:val="20"/>
        </w:rPr>
        <w:t>Charity;</w:t>
      </w:r>
    </w:p>
    <w:p>
      <w:pPr>
        <w:pStyle w:val="BodyText"/>
        <w:spacing w:before="7"/>
        <w:rPr>
          <w:sz w:val="19"/>
        </w:rPr>
      </w:pPr>
    </w:p>
    <w:p>
      <w:pPr>
        <w:pStyle w:val="ListParagraph"/>
        <w:numPr>
          <w:ilvl w:val="2"/>
          <w:numId w:val="160"/>
        </w:numPr>
        <w:tabs>
          <w:tab w:pos="2573" w:val="left" w:leader="none"/>
          <w:tab w:pos="2574" w:val="left" w:leader="none"/>
        </w:tabs>
        <w:spacing w:line="235" w:lineRule="auto" w:before="0" w:after="0"/>
        <w:ind w:left="2573" w:right="1993" w:hanging="721"/>
        <w:jc w:val="left"/>
        <w:rPr>
          <w:sz w:val="20"/>
        </w:rPr>
      </w:pPr>
      <w:r>
        <w:rPr>
          <w:w w:val="120"/>
          <w:sz w:val="20"/>
        </w:rPr>
        <w:t>reasonable and proper remuneration for any goods or services supplied to the</w:t>
      </w:r>
      <w:r>
        <w:rPr>
          <w:spacing w:val="2"/>
          <w:w w:val="120"/>
          <w:sz w:val="20"/>
        </w:rPr>
        <w:t> </w:t>
      </w:r>
      <w:r>
        <w:rPr>
          <w:w w:val="120"/>
          <w:sz w:val="20"/>
        </w:rPr>
        <w:t>Charity.</w:t>
      </w:r>
    </w:p>
    <w:p>
      <w:pPr>
        <w:pStyle w:val="BodyText"/>
        <w:spacing w:before="6"/>
        <w:rPr>
          <w:sz w:val="19"/>
        </w:rPr>
      </w:pPr>
    </w:p>
    <w:p>
      <w:pPr>
        <w:pStyle w:val="ListParagraph"/>
        <w:numPr>
          <w:ilvl w:val="1"/>
          <w:numId w:val="160"/>
        </w:numPr>
        <w:tabs>
          <w:tab w:pos="1814" w:val="left" w:leader="none"/>
          <w:tab w:pos="1815" w:val="left" w:leader="none"/>
        </w:tabs>
        <w:spacing w:line="240" w:lineRule="auto" w:before="0" w:after="0"/>
        <w:ind w:left="1814" w:right="0" w:hanging="682"/>
        <w:jc w:val="left"/>
        <w:rPr>
          <w:sz w:val="20"/>
        </w:rPr>
      </w:pPr>
      <w:r>
        <w:rPr>
          <w:w w:val="120"/>
          <w:sz w:val="20"/>
        </w:rPr>
        <w:t>No Director</w:t>
      </w:r>
      <w:r>
        <w:rPr>
          <w:spacing w:val="4"/>
          <w:w w:val="120"/>
          <w:sz w:val="20"/>
        </w:rPr>
        <w:t> </w:t>
      </w:r>
      <w:r>
        <w:rPr>
          <w:w w:val="120"/>
          <w:sz w:val="20"/>
        </w:rPr>
        <w:t>may:</w:t>
      </w:r>
    </w:p>
    <w:p>
      <w:pPr>
        <w:pStyle w:val="BodyText"/>
        <w:spacing w:before="4"/>
        <w:rPr>
          <w:sz w:val="19"/>
        </w:rPr>
      </w:pPr>
    </w:p>
    <w:p>
      <w:pPr>
        <w:pStyle w:val="ListParagraph"/>
        <w:numPr>
          <w:ilvl w:val="2"/>
          <w:numId w:val="160"/>
        </w:numPr>
        <w:tabs>
          <w:tab w:pos="2573" w:val="left" w:leader="none"/>
          <w:tab w:pos="2574" w:val="left" w:leader="none"/>
        </w:tabs>
        <w:spacing w:line="240" w:lineRule="auto" w:before="0" w:after="0"/>
        <w:ind w:left="2573" w:right="0" w:hanging="721"/>
        <w:jc w:val="left"/>
        <w:rPr>
          <w:sz w:val="20"/>
        </w:rPr>
      </w:pPr>
      <w:r>
        <w:rPr>
          <w:w w:val="120"/>
          <w:sz w:val="20"/>
        </w:rPr>
        <w:t>buy any goods or services from the Charity on preferential</w:t>
      </w:r>
      <w:r>
        <w:rPr>
          <w:spacing w:val="22"/>
          <w:w w:val="120"/>
          <w:sz w:val="20"/>
        </w:rPr>
        <w:t> </w:t>
      </w:r>
      <w:r>
        <w:rPr>
          <w:w w:val="120"/>
          <w:sz w:val="20"/>
        </w:rPr>
        <w:t>terms;</w:t>
      </w:r>
    </w:p>
    <w:p>
      <w:pPr>
        <w:pStyle w:val="BodyText"/>
        <w:spacing w:before="4"/>
        <w:rPr>
          <w:sz w:val="19"/>
        </w:rPr>
      </w:pPr>
    </w:p>
    <w:p>
      <w:pPr>
        <w:pStyle w:val="ListParagraph"/>
        <w:numPr>
          <w:ilvl w:val="2"/>
          <w:numId w:val="160"/>
        </w:numPr>
        <w:tabs>
          <w:tab w:pos="2573" w:val="left" w:leader="none"/>
          <w:tab w:pos="2574" w:val="left" w:leader="none"/>
        </w:tabs>
        <w:spacing w:line="240" w:lineRule="auto" w:before="0" w:after="0"/>
        <w:ind w:left="2573" w:right="0" w:hanging="721"/>
        <w:jc w:val="left"/>
        <w:rPr>
          <w:sz w:val="20"/>
        </w:rPr>
      </w:pPr>
      <w:r>
        <w:rPr>
          <w:w w:val="120"/>
          <w:sz w:val="20"/>
        </w:rPr>
        <w:t>sell goods, services, or any interest in land to the</w:t>
      </w:r>
      <w:r>
        <w:rPr>
          <w:spacing w:val="23"/>
          <w:w w:val="120"/>
          <w:sz w:val="20"/>
        </w:rPr>
        <w:t> </w:t>
      </w:r>
      <w:r>
        <w:rPr>
          <w:w w:val="120"/>
          <w:sz w:val="20"/>
        </w:rPr>
        <w:t>Charity;</w:t>
      </w:r>
    </w:p>
    <w:p>
      <w:pPr>
        <w:pStyle w:val="BodyText"/>
        <w:spacing w:before="3"/>
        <w:rPr>
          <w:sz w:val="19"/>
        </w:rPr>
      </w:pPr>
    </w:p>
    <w:p>
      <w:pPr>
        <w:pStyle w:val="ListParagraph"/>
        <w:numPr>
          <w:ilvl w:val="2"/>
          <w:numId w:val="160"/>
        </w:numPr>
        <w:tabs>
          <w:tab w:pos="2573" w:val="left" w:leader="none"/>
          <w:tab w:pos="2574" w:val="left" w:leader="none"/>
        </w:tabs>
        <w:spacing w:line="240" w:lineRule="auto" w:before="1" w:after="0"/>
        <w:ind w:left="2573" w:right="0" w:hanging="721"/>
        <w:jc w:val="left"/>
        <w:rPr>
          <w:sz w:val="20"/>
        </w:rPr>
      </w:pPr>
      <w:r>
        <w:rPr>
          <w:w w:val="120"/>
          <w:sz w:val="20"/>
        </w:rPr>
        <w:t>be employed </w:t>
      </w:r>
      <w:r>
        <w:rPr>
          <w:spacing w:val="-6"/>
          <w:w w:val="120"/>
          <w:sz w:val="20"/>
        </w:rPr>
        <w:t>by, </w:t>
      </w:r>
      <w:r>
        <w:rPr>
          <w:w w:val="120"/>
          <w:sz w:val="20"/>
        </w:rPr>
        <w:t>or receive any remuneration from, the</w:t>
      </w:r>
      <w:r>
        <w:rPr>
          <w:spacing w:val="28"/>
          <w:w w:val="120"/>
          <w:sz w:val="20"/>
        </w:rPr>
        <w:t> </w:t>
      </w:r>
      <w:r>
        <w:rPr>
          <w:w w:val="120"/>
          <w:sz w:val="20"/>
        </w:rPr>
        <w:t>Charity;</w:t>
      </w:r>
    </w:p>
    <w:p>
      <w:pPr>
        <w:pStyle w:val="BodyText"/>
        <w:spacing w:before="3"/>
        <w:rPr>
          <w:sz w:val="19"/>
        </w:rPr>
      </w:pPr>
    </w:p>
    <w:p>
      <w:pPr>
        <w:pStyle w:val="ListParagraph"/>
        <w:numPr>
          <w:ilvl w:val="2"/>
          <w:numId w:val="160"/>
        </w:numPr>
        <w:tabs>
          <w:tab w:pos="2573" w:val="left" w:leader="none"/>
          <w:tab w:pos="2574" w:val="left" w:leader="none"/>
        </w:tabs>
        <w:spacing w:line="472" w:lineRule="auto" w:before="0" w:after="0"/>
        <w:ind w:left="1853" w:right="4255" w:firstLine="0"/>
        <w:jc w:val="left"/>
        <w:rPr>
          <w:sz w:val="20"/>
        </w:rPr>
      </w:pPr>
      <w:r>
        <w:rPr>
          <w:w w:val="120"/>
          <w:sz w:val="20"/>
        </w:rPr>
        <w:t>receive any other financial benefit from the Charity; unless in any of the above</w:t>
      </w:r>
      <w:r>
        <w:rPr>
          <w:spacing w:val="8"/>
          <w:w w:val="120"/>
          <w:sz w:val="20"/>
        </w:rPr>
        <w:t> </w:t>
      </w:r>
      <w:r>
        <w:rPr>
          <w:w w:val="120"/>
          <w:sz w:val="20"/>
        </w:rPr>
        <w:t>events:</w:t>
      </w:r>
    </w:p>
    <w:p>
      <w:pPr>
        <w:pStyle w:val="ListParagraph"/>
        <w:numPr>
          <w:ilvl w:val="0"/>
          <w:numId w:val="163"/>
        </w:numPr>
        <w:tabs>
          <w:tab w:pos="2573" w:val="left" w:leader="none"/>
          <w:tab w:pos="2574" w:val="left" w:leader="none"/>
        </w:tabs>
        <w:spacing w:line="235" w:lineRule="auto" w:before="2" w:after="0"/>
        <w:ind w:left="2573" w:right="2135" w:hanging="721"/>
        <w:jc w:val="left"/>
        <w:rPr>
          <w:sz w:val="20"/>
        </w:rPr>
      </w:pPr>
      <w:r>
        <w:rPr>
          <w:w w:val="120"/>
          <w:sz w:val="20"/>
        </w:rPr>
        <w:t>the financial benefit accruing to the Director as a result thereof is permitted by Clause </w:t>
      </w:r>
      <w:r>
        <w:rPr>
          <w:spacing w:val="-3"/>
          <w:w w:val="120"/>
          <w:sz w:val="20"/>
        </w:rPr>
        <w:t>8.4, </w:t>
      </w:r>
      <w:r>
        <w:rPr>
          <w:w w:val="120"/>
          <w:sz w:val="20"/>
        </w:rPr>
        <w:t>does not exceed an amount that is reasonable  in all the circumstances, and does not result in a majority of the Directors having received a financial benefit from the Charity;</w:t>
      </w:r>
      <w:r>
        <w:rPr>
          <w:spacing w:val="18"/>
          <w:w w:val="120"/>
          <w:sz w:val="20"/>
        </w:rPr>
        <w:t> </w:t>
      </w:r>
      <w:r>
        <w:rPr>
          <w:w w:val="120"/>
          <w:sz w:val="20"/>
        </w:rPr>
        <w:t>or</w:t>
      </w:r>
    </w:p>
    <w:p>
      <w:pPr>
        <w:pStyle w:val="BodyText"/>
        <w:spacing w:before="11"/>
        <w:rPr>
          <w:sz w:val="19"/>
        </w:rPr>
      </w:pPr>
    </w:p>
    <w:p>
      <w:pPr>
        <w:pStyle w:val="ListParagraph"/>
        <w:numPr>
          <w:ilvl w:val="0"/>
          <w:numId w:val="163"/>
        </w:numPr>
        <w:tabs>
          <w:tab w:pos="2573" w:val="left" w:leader="none"/>
          <w:tab w:pos="2574" w:val="left" w:leader="none"/>
        </w:tabs>
        <w:spacing w:line="235" w:lineRule="auto" w:before="0" w:after="0"/>
        <w:ind w:left="2573" w:right="2330" w:hanging="721"/>
        <w:jc w:val="left"/>
        <w:rPr>
          <w:sz w:val="20"/>
        </w:rPr>
      </w:pPr>
      <w:r>
        <w:rPr>
          <w:w w:val="120"/>
          <w:sz w:val="20"/>
        </w:rPr>
        <w:t>in a case where the Director is a serving Minister of the Church, the financial benefit consists of payments (including stipend, expenses and contributions to a Pension Fund) made out of the funds held by the Charity in line with the </w:t>
      </w:r>
      <w:r>
        <w:rPr>
          <w:spacing w:val="-3"/>
          <w:w w:val="120"/>
          <w:sz w:val="20"/>
        </w:rPr>
        <w:t>Church’s </w:t>
      </w:r>
      <w:r>
        <w:rPr>
          <w:w w:val="120"/>
          <w:sz w:val="20"/>
        </w:rPr>
        <w:t>normal arrangements for ministerial remuneration and reimbursement;</w:t>
      </w:r>
      <w:r>
        <w:rPr>
          <w:spacing w:val="5"/>
          <w:w w:val="120"/>
          <w:sz w:val="20"/>
        </w:rPr>
        <w:t> </w:t>
      </w:r>
      <w:r>
        <w:rPr>
          <w:w w:val="120"/>
          <w:sz w:val="20"/>
        </w:rPr>
        <w:t>or</w:t>
      </w:r>
    </w:p>
    <w:p>
      <w:pPr>
        <w:pStyle w:val="BodyText"/>
        <w:spacing w:before="12"/>
        <w:rPr>
          <w:sz w:val="19"/>
        </w:rPr>
      </w:pPr>
    </w:p>
    <w:p>
      <w:pPr>
        <w:pStyle w:val="ListParagraph"/>
        <w:numPr>
          <w:ilvl w:val="0"/>
          <w:numId w:val="163"/>
        </w:numPr>
        <w:tabs>
          <w:tab w:pos="2573" w:val="left" w:leader="none"/>
          <w:tab w:pos="2574" w:val="left" w:leader="none"/>
        </w:tabs>
        <w:spacing w:line="235" w:lineRule="auto" w:before="0" w:after="0"/>
        <w:ind w:left="2573" w:right="2091" w:hanging="721"/>
        <w:jc w:val="left"/>
        <w:rPr>
          <w:sz w:val="20"/>
        </w:rPr>
      </w:pPr>
      <w:r>
        <w:rPr>
          <w:w w:val="120"/>
          <w:sz w:val="20"/>
        </w:rPr>
        <w:t>in a case where the Director is a serving CRCW </w:t>
      </w:r>
      <w:r>
        <w:rPr>
          <w:spacing w:val="-3"/>
          <w:w w:val="120"/>
          <w:sz w:val="20"/>
        </w:rPr>
        <w:t>(Church </w:t>
      </w:r>
      <w:r>
        <w:rPr>
          <w:w w:val="120"/>
          <w:sz w:val="20"/>
        </w:rPr>
        <w:t>Related Community Worker) of the Church, the financial benefit consists of payments (including salary, expenses and contributions to a Pension Fund) made out of the funds held by the Charity in line with the </w:t>
      </w:r>
      <w:r>
        <w:rPr>
          <w:spacing w:val="-3"/>
          <w:w w:val="120"/>
          <w:sz w:val="20"/>
        </w:rPr>
        <w:t>Church’s </w:t>
      </w:r>
      <w:r>
        <w:rPr>
          <w:w w:val="120"/>
          <w:sz w:val="20"/>
        </w:rPr>
        <w:t>normal arrangements for remuneration and reimbursement of CRCWs;</w:t>
      </w:r>
      <w:r>
        <w:rPr>
          <w:spacing w:val="23"/>
          <w:w w:val="120"/>
          <w:sz w:val="20"/>
        </w:rPr>
        <w:t> </w:t>
      </w:r>
      <w:r>
        <w:rPr>
          <w:w w:val="120"/>
          <w:sz w:val="20"/>
        </w:rPr>
        <w:t>or</w:t>
      </w:r>
    </w:p>
    <w:p>
      <w:pPr>
        <w:pStyle w:val="BodyText"/>
        <w:spacing w:before="11"/>
        <w:rPr>
          <w:sz w:val="19"/>
        </w:rPr>
      </w:pPr>
    </w:p>
    <w:p>
      <w:pPr>
        <w:pStyle w:val="ListParagraph"/>
        <w:numPr>
          <w:ilvl w:val="0"/>
          <w:numId w:val="163"/>
        </w:numPr>
        <w:tabs>
          <w:tab w:pos="2573" w:val="left" w:leader="none"/>
          <w:tab w:pos="2574" w:val="left" w:leader="none"/>
        </w:tabs>
        <w:spacing w:line="235" w:lineRule="auto" w:before="0" w:after="0"/>
        <w:ind w:left="2573" w:right="2020" w:hanging="721"/>
        <w:jc w:val="left"/>
        <w:rPr>
          <w:sz w:val="20"/>
        </w:rPr>
      </w:pPr>
      <w:r>
        <w:rPr>
          <w:w w:val="120"/>
          <w:sz w:val="20"/>
        </w:rPr>
        <w:t>in </w:t>
      </w:r>
      <w:r>
        <w:rPr>
          <w:spacing w:val="-3"/>
          <w:w w:val="120"/>
          <w:sz w:val="20"/>
        </w:rPr>
        <w:t>any </w:t>
      </w:r>
      <w:r>
        <w:rPr>
          <w:w w:val="120"/>
          <w:sz w:val="20"/>
        </w:rPr>
        <w:t>other case </w:t>
      </w:r>
      <w:r>
        <w:rPr>
          <w:spacing w:val="-3"/>
          <w:w w:val="120"/>
          <w:sz w:val="20"/>
        </w:rPr>
        <w:t>involving </w:t>
      </w:r>
      <w:r>
        <w:rPr>
          <w:w w:val="120"/>
          <w:sz w:val="20"/>
        </w:rPr>
        <w:t>either </w:t>
      </w:r>
      <w:r>
        <w:rPr>
          <w:spacing w:val="-3"/>
          <w:w w:val="120"/>
          <w:sz w:val="20"/>
        </w:rPr>
        <w:t>ministerial </w:t>
      </w:r>
      <w:r>
        <w:rPr>
          <w:w w:val="120"/>
          <w:sz w:val="20"/>
        </w:rPr>
        <w:t>or </w:t>
      </w:r>
      <w:r>
        <w:rPr>
          <w:spacing w:val="-2"/>
          <w:w w:val="120"/>
          <w:sz w:val="20"/>
        </w:rPr>
        <w:t>lay </w:t>
      </w:r>
      <w:r>
        <w:rPr>
          <w:w w:val="120"/>
          <w:sz w:val="20"/>
        </w:rPr>
        <w:t>personnel, the payment made</w:t>
      </w:r>
      <w:r>
        <w:rPr>
          <w:spacing w:val="-8"/>
          <w:w w:val="120"/>
          <w:sz w:val="20"/>
        </w:rPr>
        <w:t> </w:t>
      </w:r>
      <w:r>
        <w:rPr>
          <w:w w:val="120"/>
          <w:sz w:val="20"/>
        </w:rPr>
        <w:t>out</w:t>
      </w:r>
      <w:r>
        <w:rPr>
          <w:spacing w:val="-8"/>
          <w:w w:val="120"/>
          <w:sz w:val="20"/>
        </w:rPr>
        <w:t> </w:t>
      </w:r>
      <w:r>
        <w:rPr>
          <w:w w:val="120"/>
          <w:sz w:val="20"/>
        </w:rPr>
        <w:t>of</w:t>
      </w:r>
      <w:r>
        <w:rPr>
          <w:spacing w:val="-8"/>
          <w:w w:val="120"/>
          <w:sz w:val="20"/>
        </w:rPr>
        <w:t> </w:t>
      </w:r>
      <w:r>
        <w:rPr>
          <w:w w:val="120"/>
          <w:sz w:val="20"/>
        </w:rPr>
        <w:t>funds</w:t>
      </w:r>
      <w:r>
        <w:rPr>
          <w:spacing w:val="-8"/>
          <w:w w:val="120"/>
          <w:sz w:val="20"/>
        </w:rPr>
        <w:t> </w:t>
      </w:r>
      <w:r>
        <w:rPr>
          <w:w w:val="120"/>
          <w:sz w:val="20"/>
        </w:rPr>
        <w:t>held</w:t>
      </w:r>
      <w:r>
        <w:rPr>
          <w:spacing w:val="-7"/>
          <w:w w:val="120"/>
          <w:sz w:val="20"/>
        </w:rPr>
        <w:t> </w:t>
      </w:r>
      <w:r>
        <w:rPr>
          <w:w w:val="120"/>
          <w:sz w:val="20"/>
        </w:rPr>
        <w:t>by</w:t>
      </w:r>
      <w:r>
        <w:rPr>
          <w:spacing w:val="-8"/>
          <w:w w:val="120"/>
          <w:sz w:val="20"/>
        </w:rPr>
        <w:t> </w:t>
      </w:r>
      <w:r>
        <w:rPr>
          <w:w w:val="120"/>
          <w:sz w:val="20"/>
        </w:rPr>
        <w:t>the</w:t>
      </w:r>
      <w:r>
        <w:rPr>
          <w:spacing w:val="-8"/>
          <w:w w:val="120"/>
          <w:sz w:val="20"/>
        </w:rPr>
        <w:t> </w:t>
      </w:r>
      <w:r>
        <w:rPr>
          <w:w w:val="120"/>
          <w:sz w:val="20"/>
        </w:rPr>
        <w:t>Charity</w:t>
      </w:r>
      <w:r>
        <w:rPr>
          <w:spacing w:val="-8"/>
          <w:w w:val="120"/>
          <w:sz w:val="20"/>
        </w:rPr>
        <w:t> </w:t>
      </w:r>
      <w:r>
        <w:rPr>
          <w:spacing w:val="-3"/>
          <w:w w:val="120"/>
          <w:sz w:val="20"/>
        </w:rPr>
        <w:t>consists</w:t>
      </w:r>
      <w:r>
        <w:rPr>
          <w:spacing w:val="-7"/>
          <w:w w:val="120"/>
          <w:sz w:val="20"/>
        </w:rPr>
        <w:t> </w:t>
      </w:r>
      <w:r>
        <w:rPr>
          <w:w w:val="120"/>
          <w:sz w:val="20"/>
        </w:rPr>
        <w:t>of</w:t>
      </w:r>
      <w:r>
        <w:rPr>
          <w:spacing w:val="-8"/>
          <w:w w:val="120"/>
          <w:sz w:val="20"/>
        </w:rPr>
        <w:t> </w:t>
      </w:r>
      <w:r>
        <w:rPr>
          <w:w w:val="120"/>
          <w:sz w:val="20"/>
        </w:rPr>
        <w:t>remuneration</w:t>
      </w:r>
      <w:r>
        <w:rPr>
          <w:spacing w:val="-8"/>
          <w:w w:val="120"/>
          <w:sz w:val="20"/>
        </w:rPr>
        <w:t> </w:t>
      </w:r>
      <w:r>
        <w:rPr>
          <w:w w:val="120"/>
          <w:sz w:val="20"/>
        </w:rPr>
        <w:t>or</w:t>
      </w:r>
      <w:r>
        <w:rPr>
          <w:spacing w:val="-8"/>
          <w:w w:val="120"/>
          <w:sz w:val="20"/>
        </w:rPr>
        <w:t> </w:t>
      </w:r>
      <w:r>
        <w:rPr>
          <w:w w:val="120"/>
          <w:sz w:val="20"/>
        </w:rPr>
        <w:t>expenses in respect of the </w:t>
      </w:r>
      <w:r>
        <w:rPr>
          <w:spacing w:val="-3"/>
          <w:w w:val="120"/>
          <w:sz w:val="20"/>
        </w:rPr>
        <w:t>Director’s </w:t>
      </w:r>
      <w:r>
        <w:rPr>
          <w:w w:val="120"/>
          <w:sz w:val="20"/>
        </w:rPr>
        <w:t>duties </w:t>
      </w:r>
      <w:r>
        <w:rPr>
          <w:spacing w:val="-3"/>
          <w:w w:val="120"/>
          <w:sz w:val="20"/>
        </w:rPr>
        <w:t>within </w:t>
      </w:r>
      <w:r>
        <w:rPr>
          <w:w w:val="120"/>
          <w:sz w:val="20"/>
        </w:rPr>
        <w:t>the </w:t>
      </w:r>
      <w:r>
        <w:rPr>
          <w:spacing w:val="-3"/>
          <w:w w:val="120"/>
          <w:sz w:val="20"/>
        </w:rPr>
        <w:t>Church </w:t>
      </w:r>
      <w:r>
        <w:rPr>
          <w:w w:val="120"/>
          <w:sz w:val="20"/>
        </w:rPr>
        <w:t>and does </w:t>
      </w:r>
      <w:r>
        <w:rPr>
          <w:spacing w:val="-2"/>
          <w:w w:val="120"/>
          <w:sz w:val="20"/>
        </w:rPr>
        <w:t>not </w:t>
      </w:r>
      <w:r>
        <w:rPr>
          <w:w w:val="120"/>
          <w:sz w:val="20"/>
        </w:rPr>
        <w:t>in </w:t>
      </w:r>
      <w:r>
        <w:rPr>
          <w:spacing w:val="-3"/>
          <w:w w:val="120"/>
          <w:sz w:val="20"/>
        </w:rPr>
        <w:t>any </w:t>
      </w:r>
      <w:r>
        <w:rPr>
          <w:spacing w:val="-2"/>
          <w:w w:val="120"/>
          <w:sz w:val="20"/>
        </w:rPr>
        <w:t>way </w:t>
      </w:r>
      <w:r>
        <w:rPr>
          <w:w w:val="120"/>
          <w:sz w:val="20"/>
        </w:rPr>
        <w:t>arise out of the person </w:t>
      </w:r>
      <w:r>
        <w:rPr>
          <w:spacing w:val="-3"/>
          <w:w w:val="120"/>
          <w:sz w:val="20"/>
        </w:rPr>
        <w:t>concerned </w:t>
      </w:r>
      <w:r>
        <w:rPr>
          <w:w w:val="120"/>
          <w:sz w:val="20"/>
        </w:rPr>
        <w:t>being a Director of the Charity;</w:t>
      </w:r>
      <w:r>
        <w:rPr>
          <w:spacing w:val="-35"/>
          <w:w w:val="120"/>
          <w:sz w:val="20"/>
        </w:rPr>
        <w:t> </w:t>
      </w:r>
      <w:r>
        <w:rPr>
          <w:w w:val="120"/>
          <w:sz w:val="20"/>
        </w:rPr>
        <w:t>or</w:t>
      </w:r>
    </w:p>
    <w:p>
      <w:pPr>
        <w:pStyle w:val="BodyText"/>
        <w:spacing w:before="11"/>
        <w:rPr>
          <w:sz w:val="19"/>
        </w:rPr>
      </w:pPr>
    </w:p>
    <w:p>
      <w:pPr>
        <w:pStyle w:val="ListParagraph"/>
        <w:numPr>
          <w:ilvl w:val="0"/>
          <w:numId w:val="163"/>
        </w:numPr>
        <w:tabs>
          <w:tab w:pos="2573" w:val="left" w:leader="none"/>
          <w:tab w:pos="2574" w:val="left" w:leader="none"/>
        </w:tabs>
        <w:spacing w:line="235" w:lineRule="auto" w:before="0" w:after="0"/>
        <w:ind w:left="2573" w:right="2393" w:hanging="721"/>
        <w:jc w:val="left"/>
        <w:rPr>
          <w:sz w:val="20"/>
        </w:rPr>
      </w:pPr>
      <w:r>
        <w:rPr>
          <w:w w:val="120"/>
          <w:sz w:val="20"/>
        </w:rPr>
        <w:t>the Directors obtain the prior written approval of the Commission and fully comply with any procedures it</w:t>
      </w:r>
      <w:r>
        <w:rPr>
          <w:spacing w:val="16"/>
          <w:w w:val="120"/>
          <w:sz w:val="20"/>
        </w:rPr>
        <w:t> </w:t>
      </w:r>
      <w:r>
        <w:rPr>
          <w:w w:val="120"/>
          <w:sz w:val="20"/>
        </w:rPr>
        <w:t>prescribes.</w:t>
      </w:r>
    </w:p>
    <w:p>
      <w:pPr>
        <w:spacing w:after="0" w:line="235" w:lineRule="auto"/>
        <w:jc w:val="left"/>
        <w:rPr>
          <w:sz w:val="20"/>
        </w:rPr>
        <w:sectPr>
          <w:pgSz w:w="11910" w:h="16840"/>
          <w:pgMar w:header="0" w:footer="647" w:top="1060" w:bottom="840" w:left="0" w:right="0"/>
        </w:sectPr>
      </w:pPr>
    </w:p>
    <w:p>
      <w:pPr>
        <w:pStyle w:val="ListParagraph"/>
        <w:numPr>
          <w:ilvl w:val="1"/>
          <w:numId w:val="160"/>
        </w:numPr>
        <w:tabs>
          <w:tab w:pos="2664" w:val="left" w:leader="none"/>
          <w:tab w:pos="2665" w:val="left" w:leader="none"/>
          <w:tab w:pos="3402" w:val="left" w:leader="none"/>
        </w:tabs>
        <w:spacing w:line="235" w:lineRule="auto" w:before="91" w:after="0"/>
        <w:ind w:left="3402" w:right="1740" w:hanging="1418"/>
        <w:jc w:val="left"/>
        <w:rPr>
          <w:sz w:val="20"/>
        </w:rPr>
      </w:pPr>
      <w:r>
        <w:rPr/>
        <w:pict>
          <v:rect style="position:absolute;margin-left:558.424988pt;margin-top:8.503343pt;width:22.677pt;height:22.677pt;mso-position-horizontal-relative:page;mso-position-vertical-relative:paragraph;z-index:252332032" filled="true" fillcolor="#e4ebc6" stroked="false">
            <v:fill opacity="32768f" type="solid"/>
            <w10:wrap type="none"/>
          </v:rect>
        </w:pict>
      </w:r>
      <w:r>
        <w:rPr>
          <w:spacing w:val="-11"/>
          <w:w w:val="120"/>
          <w:sz w:val="20"/>
        </w:rPr>
        <w:t>(a)</w:t>
        <w:tab/>
      </w:r>
      <w:r>
        <w:rPr>
          <w:w w:val="120"/>
          <w:sz w:val="20"/>
        </w:rPr>
        <w:t>A Director may receive a benefit from the Charity in the capacity of a beneficiary of the</w:t>
      </w:r>
      <w:r>
        <w:rPr>
          <w:spacing w:val="6"/>
          <w:w w:val="120"/>
          <w:sz w:val="20"/>
        </w:rPr>
        <w:t> </w:t>
      </w:r>
      <w:r>
        <w:rPr>
          <w:w w:val="120"/>
          <w:sz w:val="20"/>
        </w:rPr>
        <w:t>Charity;</w:t>
      </w:r>
    </w:p>
    <w:p>
      <w:pPr>
        <w:pStyle w:val="BodyText"/>
        <w:spacing w:before="9"/>
        <w:rPr>
          <w:sz w:val="19"/>
        </w:rPr>
      </w:pPr>
    </w:p>
    <w:p>
      <w:pPr>
        <w:pStyle w:val="ListParagraph"/>
        <w:numPr>
          <w:ilvl w:val="0"/>
          <w:numId w:val="164"/>
        </w:numPr>
        <w:tabs>
          <w:tab w:pos="3403" w:val="left" w:leader="none"/>
        </w:tabs>
        <w:spacing w:line="235" w:lineRule="auto" w:before="0" w:after="0"/>
        <w:ind w:left="3402" w:right="1193" w:hanging="699"/>
        <w:jc w:val="both"/>
        <w:rPr>
          <w:sz w:val="20"/>
        </w:rPr>
      </w:pPr>
      <w:r>
        <w:rPr>
          <w:w w:val="120"/>
          <w:sz w:val="20"/>
        </w:rPr>
        <w:t>A Director may enter into a contract for the supply of goods or services to the Charity where that is permitted in accordance with, and subject to the conditions in, Section 73A to C of the Charities Act</w:t>
      </w:r>
      <w:r>
        <w:rPr>
          <w:spacing w:val="38"/>
          <w:w w:val="120"/>
          <w:sz w:val="20"/>
        </w:rPr>
        <w:t> </w:t>
      </w:r>
      <w:r>
        <w:rPr>
          <w:spacing w:val="-6"/>
          <w:w w:val="120"/>
          <w:sz w:val="20"/>
        </w:rPr>
        <w:t>1993;</w:t>
      </w:r>
    </w:p>
    <w:p>
      <w:pPr>
        <w:pStyle w:val="BodyText"/>
        <w:spacing w:before="10"/>
        <w:rPr>
          <w:sz w:val="19"/>
        </w:rPr>
      </w:pPr>
    </w:p>
    <w:p>
      <w:pPr>
        <w:pStyle w:val="ListParagraph"/>
        <w:numPr>
          <w:ilvl w:val="0"/>
          <w:numId w:val="164"/>
        </w:numPr>
        <w:tabs>
          <w:tab w:pos="3402" w:val="left" w:leader="none"/>
          <w:tab w:pos="3403" w:val="left" w:leader="none"/>
        </w:tabs>
        <w:spacing w:line="235" w:lineRule="auto" w:before="1" w:after="0"/>
        <w:ind w:left="3402" w:right="1151" w:hanging="710"/>
        <w:jc w:val="left"/>
        <w:rPr>
          <w:sz w:val="20"/>
        </w:rPr>
      </w:pPr>
      <w:r>
        <w:rPr>
          <w:w w:val="120"/>
          <w:sz w:val="20"/>
        </w:rPr>
        <w:t>A</w:t>
      </w:r>
      <w:r>
        <w:rPr>
          <w:spacing w:val="-14"/>
          <w:w w:val="120"/>
          <w:sz w:val="20"/>
        </w:rPr>
        <w:t> </w:t>
      </w:r>
      <w:r>
        <w:rPr>
          <w:w w:val="120"/>
          <w:sz w:val="20"/>
        </w:rPr>
        <w:t>Director</w:t>
      </w:r>
      <w:r>
        <w:rPr>
          <w:spacing w:val="-13"/>
          <w:w w:val="120"/>
          <w:sz w:val="20"/>
        </w:rPr>
        <w:t> </w:t>
      </w:r>
      <w:r>
        <w:rPr>
          <w:spacing w:val="-3"/>
          <w:w w:val="120"/>
          <w:sz w:val="20"/>
        </w:rPr>
        <w:t>may</w:t>
      </w:r>
      <w:r>
        <w:rPr>
          <w:spacing w:val="-13"/>
          <w:w w:val="120"/>
          <w:sz w:val="20"/>
        </w:rPr>
        <w:t> </w:t>
      </w:r>
      <w:r>
        <w:rPr>
          <w:spacing w:val="-3"/>
          <w:w w:val="120"/>
          <w:sz w:val="20"/>
        </w:rPr>
        <w:t>receive</w:t>
      </w:r>
      <w:r>
        <w:rPr>
          <w:spacing w:val="-13"/>
          <w:w w:val="120"/>
          <w:sz w:val="20"/>
        </w:rPr>
        <w:t> </w:t>
      </w:r>
      <w:r>
        <w:rPr>
          <w:w w:val="120"/>
          <w:sz w:val="20"/>
        </w:rPr>
        <w:t>interest</w:t>
      </w:r>
      <w:r>
        <w:rPr>
          <w:spacing w:val="-13"/>
          <w:w w:val="120"/>
          <w:sz w:val="20"/>
        </w:rPr>
        <w:t> </w:t>
      </w:r>
      <w:r>
        <w:rPr>
          <w:w w:val="120"/>
          <w:sz w:val="20"/>
        </w:rPr>
        <w:t>on</w:t>
      </w:r>
      <w:r>
        <w:rPr>
          <w:spacing w:val="-14"/>
          <w:w w:val="120"/>
          <w:sz w:val="20"/>
        </w:rPr>
        <w:t> </w:t>
      </w:r>
      <w:r>
        <w:rPr>
          <w:w w:val="120"/>
          <w:sz w:val="20"/>
        </w:rPr>
        <w:t>money</w:t>
      </w:r>
      <w:r>
        <w:rPr>
          <w:spacing w:val="-13"/>
          <w:w w:val="120"/>
          <w:sz w:val="20"/>
        </w:rPr>
        <w:t> </w:t>
      </w:r>
      <w:r>
        <w:rPr>
          <w:w w:val="120"/>
          <w:sz w:val="20"/>
        </w:rPr>
        <w:t>lent</w:t>
      </w:r>
      <w:r>
        <w:rPr>
          <w:spacing w:val="-13"/>
          <w:w w:val="120"/>
          <w:sz w:val="20"/>
        </w:rPr>
        <w:t> </w:t>
      </w:r>
      <w:r>
        <w:rPr>
          <w:spacing w:val="-3"/>
          <w:w w:val="120"/>
          <w:sz w:val="20"/>
        </w:rPr>
        <w:t>to</w:t>
      </w:r>
      <w:r>
        <w:rPr>
          <w:spacing w:val="-13"/>
          <w:w w:val="120"/>
          <w:sz w:val="20"/>
        </w:rPr>
        <w:t> </w:t>
      </w:r>
      <w:r>
        <w:rPr>
          <w:w w:val="120"/>
          <w:sz w:val="20"/>
        </w:rPr>
        <w:t>the</w:t>
      </w:r>
      <w:r>
        <w:rPr>
          <w:spacing w:val="-13"/>
          <w:w w:val="120"/>
          <w:sz w:val="20"/>
        </w:rPr>
        <w:t> </w:t>
      </w:r>
      <w:r>
        <w:rPr>
          <w:w w:val="120"/>
          <w:sz w:val="20"/>
        </w:rPr>
        <w:t>Charity</w:t>
      </w:r>
      <w:r>
        <w:rPr>
          <w:spacing w:val="-13"/>
          <w:w w:val="120"/>
          <w:sz w:val="20"/>
        </w:rPr>
        <w:t> </w:t>
      </w:r>
      <w:r>
        <w:rPr>
          <w:w w:val="120"/>
          <w:sz w:val="20"/>
        </w:rPr>
        <w:t>at</w:t>
      </w:r>
      <w:r>
        <w:rPr>
          <w:spacing w:val="-14"/>
          <w:w w:val="120"/>
          <w:sz w:val="20"/>
        </w:rPr>
        <w:t> </w:t>
      </w:r>
      <w:r>
        <w:rPr>
          <w:w w:val="120"/>
          <w:sz w:val="20"/>
        </w:rPr>
        <w:t>a</w:t>
      </w:r>
      <w:r>
        <w:rPr>
          <w:spacing w:val="-13"/>
          <w:w w:val="120"/>
          <w:sz w:val="20"/>
        </w:rPr>
        <w:t> </w:t>
      </w:r>
      <w:r>
        <w:rPr>
          <w:w w:val="120"/>
          <w:sz w:val="20"/>
        </w:rPr>
        <w:t>reasonable and</w:t>
      </w:r>
      <w:r>
        <w:rPr>
          <w:spacing w:val="-8"/>
          <w:w w:val="120"/>
          <w:sz w:val="20"/>
        </w:rPr>
        <w:t> </w:t>
      </w:r>
      <w:r>
        <w:rPr>
          <w:w w:val="120"/>
          <w:sz w:val="20"/>
        </w:rPr>
        <w:t>proper</w:t>
      </w:r>
      <w:r>
        <w:rPr>
          <w:spacing w:val="-7"/>
          <w:w w:val="120"/>
          <w:sz w:val="20"/>
        </w:rPr>
        <w:t> </w:t>
      </w:r>
      <w:r>
        <w:rPr>
          <w:w w:val="120"/>
          <w:sz w:val="20"/>
        </w:rPr>
        <w:t>rate</w:t>
      </w:r>
      <w:r>
        <w:rPr>
          <w:spacing w:val="-7"/>
          <w:w w:val="120"/>
          <w:sz w:val="20"/>
        </w:rPr>
        <w:t> </w:t>
      </w:r>
      <w:r>
        <w:rPr>
          <w:w w:val="120"/>
          <w:sz w:val="20"/>
        </w:rPr>
        <w:t>which</w:t>
      </w:r>
      <w:r>
        <w:rPr>
          <w:spacing w:val="-8"/>
          <w:w w:val="120"/>
          <w:sz w:val="20"/>
        </w:rPr>
        <w:t> </w:t>
      </w:r>
      <w:r>
        <w:rPr>
          <w:w w:val="120"/>
          <w:sz w:val="20"/>
        </w:rPr>
        <w:t>must</w:t>
      </w:r>
      <w:r>
        <w:rPr>
          <w:spacing w:val="-7"/>
          <w:w w:val="120"/>
          <w:sz w:val="20"/>
        </w:rPr>
        <w:t> </w:t>
      </w:r>
      <w:r>
        <w:rPr>
          <w:w w:val="120"/>
          <w:sz w:val="20"/>
        </w:rPr>
        <w:t>be</w:t>
      </w:r>
      <w:r>
        <w:rPr>
          <w:spacing w:val="-7"/>
          <w:w w:val="120"/>
          <w:sz w:val="20"/>
        </w:rPr>
        <w:t> </w:t>
      </w:r>
      <w:r>
        <w:rPr>
          <w:w w:val="120"/>
          <w:sz w:val="20"/>
        </w:rPr>
        <w:t>2%</w:t>
      </w:r>
      <w:r>
        <w:rPr>
          <w:spacing w:val="-8"/>
          <w:w w:val="120"/>
          <w:sz w:val="20"/>
        </w:rPr>
        <w:t> </w:t>
      </w:r>
      <w:r>
        <w:rPr>
          <w:spacing w:val="-7"/>
          <w:w w:val="120"/>
          <w:sz w:val="20"/>
        </w:rPr>
        <w:t>(or </w:t>
      </w:r>
      <w:r>
        <w:rPr>
          <w:spacing w:val="-5"/>
          <w:w w:val="120"/>
          <w:sz w:val="20"/>
        </w:rPr>
        <w:t>more)</w:t>
      </w:r>
      <w:r>
        <w:rPr>
          <w:spacing w:val="-7"/>
          <w:w w:val="120"/>
          <w:sz w:val="20"/>
        </w:rPr>
        <w:t> </w:t>
      </w:r>
      <w:r>
        <w:rPr>
          <w:w w:val="120"/>
          <w:sz w:val="20"/>
        </w:rPr>
        <w:t>per</w:t>
      </w:r>
      <w:r>
        <w:rPr>
          <w:spacing w:val="-8"/>
          <w:w w:val="120"/>
          <w:sz w:val="20"/>
        </w:rPr>
        <w:t> </w:t>
      </w:r>
      <w:r>
        <w:rPr>
          <w:w w:val="120"/>
          <w:sz w:val="20"/>
        </w:rPr>
        <w:t>annum</w:t>
      </w:r>
      <w:r>
        <w:rPr>
          <w:spacing w:val="-7"/>
          <w:w w:val="120"/>
          <w:sz w:val="20"/>
        </w:rPr>
        <w:t> </w:t>
      </w:r>
      <w:r>
        <w:rPr>
          <w:w w:val="120"/>
          <w:sz w:val="20"/>
        </w:rPr>
        <w:t>below</w:t>
      </w:r>
      <w:r>
        <w:rPr>
          <w:spacing w:val="-7"/>
          <w:w w:val="120"/>
          <w:sz w:val="20"/>
        </w:rPr>
        <w:t> </w:t>
      </w:r>
      <w:r>
        <w:rPr>
          <w:w w:val="120"/>
          <w:sz w:val="20"/>
        </w:rPr>
        <w:t>the</w:t>
      </w:r>
      <w:r>
        <w:rPr>
          <w:spacing w:val="-7"/>
          <w:w w:val="120"/>
          <w:sz w:val="20"/>
        </w:rPr>
        <w:t> </w:t>
      </w:r>
      <w:r>
        <w:rPr>
          <w:w w:val="120"/>
          <w:sz w:val="20"/>
        </w:rPr>
        <w:t>base</w:t>
      </w:r>
      <w:r>
        <w:rPr>
          <w:spacing w:val="-8"/>
          <w:w w:val="120"/>
          <w:sz w:val="20"/>
        </w:rPr>
        <w:t> </w:t>
      </w:r>
      <w:r>
        <w:rPr>
          <w:w w:val="120"/>
          <w:sz w:val="20"/>
        </w:rPr>
        <w:t>rate of</w:t>
      </w:r>
      <w:r>
        <w:rPr>
          <w:spacing w:val="-6"/>
          <w:w w:val="120"/>
          <w:sz w:val="20"/>
        </w:rPr>
        <w:t> </w:t>
      </w:r>
      <w:r>
        <w:rPr>
          <w:w w:val="120"/>
          <w:sz w:val="20"/>
        </w:rPr>
        <w:t>a</w:t>
      </w:r>
      <w:r>
        <w:rPr>
          <w:spacing w:val="-5"/>
          <w:w w:val="120"/>
          <w:sz w:val="20"/>
        </w:rPr>
        <w:t> </w:t>
      </w:r>
      <w:r>
        <w:rPr>
          <w:w w:val="120"/>
          <w:sz w:val="20"/>
        </w:rPr>
        <w:t>clearing</w:t>
      </w:r>
      <w:r>
        <w:rPr>
          <w:spacing w:val="-6"/>
          <w:w w:val="120"/>
          <w:sz w:val="20"/>
        </w:rPr>
        <w:t> </w:t>
      </w:r>
      <w:r>
        <w:rPr>
          <w:w w:val="120"/>
          <w:sz w:val="20"/>
        </w:rPr>
        <w:t>bank</w:t>
      </w:r>
      <w:r>
        <w:rPr>
          <w:spacing w:val="-5"/>
          <w:w w:val="120"/>
          <w:sz w:val="20"/>
        </w:rPr>
        <w:t> </w:t>
      </w:r>
      <w:r>
        <w:rPr>
          <w:spacing w:val="-3"/>
          <w:w w:val="120"/>
          <w:sz w:val="20"/>
        </w:rPr>
        <w:t>to</w:t>
      </w:r>
      <w:r>
        <w:rPr>
          <w:spacing w:val="-5"/>
          <w:w w:val="120"/>
          <w:sz w:val="20"/>
        </w:rPr>
        <w:t> </w:t>
      </w:r>
      <w:r>
        <w:rPr>
          <w:w w:val="120"/>
          <w:sz w:val="20"/>
        </w:rPr>
        <w:t>be</w:t>
      </w:r>
      <w:r>
        <w:rPr>
          <w:spacing w:val="-6"/>
          <w:w w:val="120"/>
          <w:sz w:val="20"/>
        </w:rPr>
        <w:t> </w:t>
      </w:r>
      <w:r>
        <w:rPr>
          <w:w w:val="120"/>
          <w:sz w:val="20"/>
        </w:rPr>
        <w:t>selected</w:t>
      </w:r>
      <w:r>
        <w:rPr>
          <w:spacing w:val="-5"/>
          <w:w w:val="120"/>
          <w:sz w:val="20"/>
        </w:rPr>
        <w:t> </w:t>
      </w:r>
      <w:r>
        <w:rPr>
          <w:w w:val="120"/>
          <w:sz w:val="20"/>
        </w:rPr>
        <w:t>by</w:t>
      </w:r>
      <w:r>
        <w:rPr>
          <w:spacing w:val="-6"/>
          <w:w w:val="120"/>
          <w:sz w:val="20"/>
        </w:rPr>
        <w:t> </w:t>
      </w:r>
      <w:r>
        <w:rPr>
          <w:w w:val="120"/>
          <w:sz w:val="20"/>
        </w:rPr>
        <w:t>the</w:t>
      </w:r>
      <w:r>
        <w:rPr>
          <w:spacing w:val="-5"/>
          <w:w w:val="120"/>
          <w:sz w:val="20"/>
        </w:rPr>
        <w:t> </w:t>
      </w:r>
      <w:r>
        <w:rPr>
          <w:w w:val="120"/>
          <w:sz w:val="20"/>
        </w:rPr>
        <w:t>Directors</w:t>
      </w:r>
      <w:r>
        <w:rPr>
          <w:spacing w:val="-5"/>
          <w:w w:val="120"/>
          <w:sz w:val="20"/>
        </w:rPr>
        <w:t> </w:t>
      </w:r>
      <w:r>
        <w:rPr>
          <w:w w:val="120"/>
          <w:sz w:val="20"/>
        </w:rPr>
        <w:t>with</w:t>
      </w:r>
      <w:r>
        <w:rPr>
          <w:spacing w:val="-6"/>
          <w:w w:val="120"/>
          <w:sz w:val="20"/>
        </w:rPr>
        <w:t> </w:t>
      </w:r>
      <w:r>
        <w:rPr>
          <w:w w:val="120"/>
          <w:sz w:val="20"/>
        </w:rPr>
        <w:t>a</w:t>
      </w:r>
      <w:r>
        <w:rPr>
          <w:spacing w:val="-5"/>
          <w:w w:val="120"/>
          <w:sz w:val="20"/>
        </w:rPr>
        <w:t> </w:t>
      </w:r>
      <w:r>
        <w:rPr>
          <w:spacing w:val="-3"/>
          <w:w w:val="120"/>
          <w:sz w:val="20"/>
        </w:rPr>
        <w:t>minimum</w:t>
      </w:r>
      <w:r>
        <w:rPr>
          <w:spacing w:val="-5"/>
          <w:w w:val="120"/>
          <w:sz w:val="20"/>
        </w:rPr>
        <w:t> </w:t>
      </w:r>
      <w:r>
        <w:rPr>
          <w:w w:val="120"/>
          <w:sz w:val="20"/>
        </w:rPr>
        <w:t>of</w:t>
      </w:r>
      <w:r>
        <w:rPr>
          <w:spacing w:val="-6"/>
          <w:w w:val="120"/>
          <w:sz w:val="20"/>
        </w:rPr>
        <w:t> </w:t>
      </w:r>
      <w:r>
        <w:rPr>
          <w:w w:val="120"/>
          <w:sz w:val="20"/>
        </w:rPr>
        <w:t>0%.</w:t>
      </w:r>
    </w:p>
    <w:p>
      <w:pPr>
        <w:pStyle w:val="BodyText"/>
        <w:spacing w:before="10"/>
        <w:rPr>
          <w:sz w:val="19"/>
        </w:rPr>
      </w:pPr>
    </w:p>
    <w:p>
      <w:pPr>
        <w:pStyle w:val="ListParagraph"/>
        <w:numPr>
          <w:ilvl w:val="0"/>
          <w:numId w:val="164"/>
        </w:numPr>
        <w:tabs>
          <w:tab w:pos="3402" w:val="left" w:leader="none"/>
          <w:tab w:pos="3403" w:val="left" w:leader="none"/>
        </w:tabs>
        <w:spacing w:line="235" w:lineRule="auto" w:before="0" w:after="0"/>
        <w:ind w:left="3402" w:right="1213" w:hanging="710"/>
        <w:jc w:val="left"/>
        <w:rPr>
          <w:sz w:val="20"/>
        </w:rPr>
      </w:pPr>
      <w:r>
        <w:rPr>
          <w:w w:val="120"/>
          <w:sz w:val="20"/>
        </w:rPr>
        <w:t>A Company of which a Director is a Member may receive fees, remuneration or other benefit in money, or money’s worth, provided that the shares of the Company are listed on a recognised stock exchange and the</w:t>
      </w:r>
      <w:r>
        <w:rPr>
          <w:spacing w:val="6"/>
          <w:w w:val="120"/>
          <w:sz w:val="20"/>
        </w:rPr>
        <w:t> </w:t>
      </w:r>
      <w:r>
        <w:rPr>
          <w:w w:val="120"/>
          <w:sz w:val="20"/>
        </w:rPr>
        <w:t>Director</w:t>
      </w:r>
      <w:r>
        <w:rPr>
          <w:spacing w:val="6"/>
          <w:w w:val="120"/>
          <w:sz w:val="20"/>
        </w:rPr>
        <w:t> </w:t>
      </w:r>
      <w:r>
        <w:rPr>
          <w:w w:val="120"/>
          <w:sz w:val="20"/>
        </w:rPr>
        <w:t>holds</w:t>
      </w:r>
      <w:r>
        <w:rPr>
          <w:spacing w:val="6"/>
          <w:w w:val="120"/>
          <w:sz w:val="20"/>
        </w:rPr>
        <w:t> </w:t>
      </w:r>
      <w:r>
        <w:rPr>
          <w:w w:val="120"/>
          <w:sz w:val="20"/>
        </w:rPr>
        <w:t>no</w:t>
      </w:r>
      <w:r>
        <w:rPr>
          <w:spacing w:val="6"/>
          <w:w w:val="120"/>
          <w:sz w:val="20"/>
        </w:rPr>
        <w:t> </w:t>
      </w:r>
      <w:r>
        <w:rPr>
          <w:w w:val="120"/>
          <w:sz w:val="20"/>
        </w:rPr>
        <w:t>more</w:t>
      </w:r>
      <w:r>
        <w:rPr>
          <w:spacing w:val="6"/>
          <w:w w:val="120"/>
          <w:sz w:val="20"/>
        </w:rPr>
        <w:t> </w:t>
      </w:r>
      <w:r>
        <w:rPr>
          <w:w w:val="120"/>
          <w:sz w:val="20"/>
        </w:rPr>
        <w:t>than</w:t>
      </w:r>
      <w:r>
        <w:rPr>
          <w:spacing w:val="7"/>
          <w:w w:val="120"/>
          <w:sz w:val="20"/>
        </w:rPr>
        <w:t> </w:t>
      </w:r>
      <w:r>
        <w:rPr>
          <w:spacing w:val="-7"/>
          <w:w w:val="120"/>
          <w:sz w:val="20"/>
        </w:rPr>
        <w:t>1%</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issued</w:t>
      </w:r>
      <w:r>
        <w:rPr>
          <w:spacing w:val="6"/>
          <w:w w:val="120"/>
          <w:sz w:val="20"/>
        </w:rPr>
        <w:t> </w:t>
      </w:r>
      <w:r>
        <w:rPr>
          <w:w w:val="120"/>
          <w:sz w:val="20"/>
        </w:rPr>
        <w:t>capital</w:t>
      </w:r>
      <w:r>
        <w:rPr>
          <w:spacing w:val="6"/>
          <w:w w:val="120"/>
          <w:sz w:val="20"/>
        </w:rPr>
        <w:t> </w:t>
      </w:r>
      <w:r>
        <w:rPr>
          <w:w w:val="120"/>
          <w:sz w:val="20"/>
        </w:rPr>
        <w:t>of</w:t>
      </w:r>
      <w:r>
        <w:rPr>
          <w:spacing w:val="7"/>
          <w:w w:val="120"/>
          <w:sz w:val="20"/>
        </w:rPr>
        <w:t> </w:t>
      </w:r>
      <w:r>
        <w:rPr>
          <w:w w:val="120"/>
          <w:sz w:val="20"/>
        </w:rPr>
        <w:t>that</w:t>
      </w:r>
      <w:r>
        <w:rPr>
          <w:spacing w:val="6"/>
          <w:w w:val="120"/>
          <w:sz w:val="20"/>
        </w:rPr>
        <w:t> </w:t>
      </w:r>
      <w:r>
        <w:rPr>
          <w:spacing w:val="-3"/>
          <w:w w:val="120"/>
          <w:sz w:val="20"/>
        </w:rPr>
        <w:t>company.</w:t>
      </w:r>
    </w:p>
    <w:p>
      <w:pPr>
        <w:pStyle w:val="BodyText"/>
        <w:spacing w:before="11"/>
        <w:rPr>
          <w:sz w:val="19"/>
        </w:rPr>
      </w:pPr>
    </w:p>
    <w:p>
      <w:pPr>
        <w:pStyle w:val="ListParagraph"/>
        <w:numPr>
          <w:ilvl w:val="0"/>
          <w:numId w:val="164"/>
        </w:numPr>
        <w:tabs>
          <w:tab w:pos="3402" w:val="left" w:leader="none"/>
          <w:tab w:pos="3403" w:val="left" w:leader="none"/>
        </w:tabs>
        <w:spacing w:line="235" w:lineRule="auto" w:before="0" w:after="0"/>
        <w:ind w:left="3402" w:right="1208" w:hanging="738"/>
        <w:jc w:val="left"/>
        <w:rPr>
          <w:sz w:val="20"/>
        </w:rPr>
      </w:pPr>
      <w:r>
        <w:rPr>
          <w:w w:val="120"/>
          <w:sz w:val="20"/>
        </w:rPr>
        <w:t>A Director may receive rent for premises let by the Director to the Charity, if the amount of the rent and the other terms of the lease are reasonable and proper, and provided that such a Director shall withdraw from any meeting at which such a proposal or the rent or other terms of the lease are under</w:t>
      </w:r>
      <w:r>
        <w:rPr>
          <w:spacing w:val="3"/>
          <w:w w:val="120"/>
          <w:sz w:val="20"/>
        </w:rPr>
        <w:t> </w:t>
      </w:r>
      <w:r>
        <w:rPr>
          <w:w w:val="120"/>
          <w:sz w:val="20"/>
        </w:rPr>
        <w:t>discussion.</w:t>
      </w:r>
    </w:p>
    <w:p>
      <w:pPr>
        <w:pStyle w:val="BodyText"/>
        <w:spacing w:before="11"/>
        <w:rPr>
          <w:sz w:val="19"/>
        </w:rPr>
      </w:pPr>
    </w:p>
    <w:p>
      <w:pPr>
        <w:pStyle w:val="ListParagraph"/>
        <w:numPr>
          <w:ilvl w:val="0"/>
          <w:numId w:val="164"/>
        </w:numPr>
        <w:tabs>
          <w:tab w:pos="3402" w:val="left" w:leader="none"/>
          <w:tab w:pos="3403" w:val="left" w:leader="none"/>
        </w:tabs>
        <w:spacing w:line="235" w:lineRule="auto" w:before="0" w:after="0"/>
        <w:ind w:left="3402" w:right="1423" w:hanging="710"/>
        <w:jc w:val="left"/>
        <w:rPr>
          <w:sz w:val="20"/>
        </w:rPr>
      </w:pPr>
      <w:r>
        <w:rPr>
          <w:w w:val="120"/>
          <w:sz w:val="20"/>
        </w:rPr>
        <w:t>The Directors may arrange for the purchase, out of the funds of the Charity, of insurance designed to indemnify the Directors in accordance with the terms of, and subject to the conditions in Section 73F of the Charities Act</w:t>
      </w:r>
      <w:r>
        <w:rPr>
          <w:spacing w:val="4"/>
          <w:w w:val="120"/>
          <w:sz w:val="20"/>
        </w:rPr>
        <w:t> </w:t>
      </w:r>
      <w:r>
        <w:rPr>
          <w:spacing w:val="-6"/>
          <w:w w:val="120"/>
          <w:sz w:val="20"/>
        </w:rPr>
        <w:t>1993.</w:t>
      </w:r>
    </w:p>
    <w:p>
      <w:pPr>
        <w:pStyle w:val="BodyText"/>
        <w:spacing w:before="11"/>
        <w:rPr>
          <w:sz w:val="19"/>
        </w:rPr>
      </w:pPr>
    </w:p>
    <w:p>
      <w:pPr>
        <w:pStyle w:val="ListParagraph"/>
        <w:numPr>
          <w:ilvl w:val="1"/>
          <w:numId w:val="160"/>
        </w:numPr>
        <w:tabs>
          <w:tab w:pos="2664" w:val="left" w:leader="none"/>
          <w:tab w:pos="2665" w:val="left" w:leader="none"/>
        </w:tabs>
        <w:spacing w:line="235" w:lineRule="auto" w:before="0" w:after="0"/>
        <w:ind w:left="2704" w:right="1740" w:hanging="720"/>
        <w:jc w:val="left"/>
        <w:rPr>
          <w:sz w:val="20"/>
        </w:rPr>
      </w:pPr>
      <w:r>
        <w:rPr>
          <w:w w:val="120"/>
          <w:sz w:val="20"/>
        </w:rPr>
        <w:t>The employment or remuneration of a Director includes the engagement or remuneration of any firm or company in which the Director</w:t>
      </w:r>
      <w:r>
        <w:rPr>
          <w:spacing w:val="20"/>
          <w:w w:val="120"/>
          <w:sz w:val="20"/>
        </w:rPr>
        <w:t> </w:t>
      </w:r>
      <w:r>
        <w:rPr>
          <w:w w:val="120"/>
          <w:sz w:val="20"/>
        </w:rPr>
        <w:t>is:</w:t>
      </w:r>
    </w:p>
    <w:p>
      <w:pPr>
        <w:pStyle w:val="BodyText"/>
        <w:spacing w:before="6"/>
        <w:rPr>
          <w:sz w:val="19"/>
        </w:rPr>
      </w:pPr>
    </w:p>
    <w:p>
      <w:pPr>
        <w:pStyle w:val="ListParagraph"/>
        <w:numPr>
          <w:ilvl w:val="0"/>
          <w:numId w:val="165"/>
        </w:numPr>
        <w:tabs>
          <w:tab w:pos="3424" w:val="left" w:leader="none"/>
          <w:tab w:pos="3425" w:val="left" w:leader="none"/>
        </w:tabs>
        <w:spacing w:line="240" w:lineRule="auto" w:before="0" w:after="0"/>
        <w:ind w:left="3424" w:right="0" w:hanging="721"/>
        <w:jc w:val="left"/>
        <w:rPr>
          <w:sz w:val="20"/>
        </w:rPr>
      </w:pPr>
      <w:r>
        <w:rPr>
          <w:w w:val="115"/>
          <w:sz w:val="20"/>
        </w:rPr>
        <w:t>a</w:t>
      </w:r>
      <w:r>
        <w:rPr>
          <w:spacing w:val="4"/>
          <w:w w:val="115"/>
          <w:sz w:val="20"/>
        </w:rPr>
        <w:t> </w:t>
      </w:r>
      <w:r>
        <w:rPr>
          <w:w w:val="115"/>
          <w:sz w:val="20"/>
        </w:rPr>
        <w:t>partner;</w:t>
      </w:r>
    </w:p>
    <w:p>
      <w:pPr>
        <w:pStyle w:val="BodyText"/>
        <w:spacing w:before="4"/>
        <w:rPr>
          <w:sz w:val="19"/>
        </w:rPr>
      </w:pPr>
    </w:p>
    <w:p>
      <w:pPr>
        <w:pStyle w:val="ListParagraph"/>
        <w:numPr>
          <w:ilvl w:val="0"/>
          <w:numId w:val="165"/>
        </w:numPr>
        <w:tabs>
          <w:tab w:pos="3424" w:val="left" w:leader="none"/>
          <w:tab w:pos="3425" w:val="left" w:leader="none"/>
        </w:tabs>
        <w:spacing w:line="240" w:lineRule="auto" w:before="0" w:after="0"/>
        <w:ind w:left="3424" w:right="0" w:hanging="721"/>
        <w:jc w:val="left"/>
        <w:rPr>
          <w:sz w:val="20"/>
        </w:rPr>
      </w:pPr>
      <w:r>
        <w:rPr>
          <w:w w:val="120"/>
          <w:sz w:val="20"/>
        </w:rPr>
        <w:t>an</w:t>
      </w:r>
      <w:r>
        <w:rPr>
          <w:spacing w:val="1"/>
          <w:w w:val="120"/>
          <w:sz w:val="20"/>
        </w:rPr>
        <w:t> </w:t>
      </w:r>
      <w:r>
        <w:rPr>
          <w:w w:val="120"/>
          <w:sz w:val="20"/>
        </w:rPr>
        <w:t>employee;</w:t>
      </w:r>
    </w:p>
    <w:p>
      <w:pPr>
        <w:pStyle w:val="BodyText"/>
        <w:spacing w:before="4"/>
        <w:rPr>
          <w:sz w:val="19"/>
        </w:rPr>
      </w:pPr>
    </w:p>
    <w:p>
      <w:pPr>
        <w:pStyle w:val="ListParagraph"/>
        <w:numPr>
          <w:ilvl w:val="0"/>
          <w:numId w:val="165"/>
        </w:numPr>
        <w:tabs>
          <w:tab w:pos="3424" w:val="left" w:leader="none"/>
          <w:tab w:pos="3425" w:val="left" w:leader="none"/>
        </w:tabs>
        <w:spacing w:line="240" w:lineRule="auto" w:before="0" w:after="0"/>
        <w:ind w:left="3424" w:right="0" w:hanging="721"/>
        <w:jc w:val="left"/>
        <w:rPr>
          <w:sz w:val="20"/>
        </w:rPr>
      </w:pPr>
      <w:r>
        <w:rPr>
          <w:w w:val="115"/>
          <w:sz w:val="20"/>
        </w:rPr>
        <w:t>a</w:t>
      </w:r>
      <w:r>
        <w:rPr>
          <w:spacing w:val="41"/>
          <w:w w:val="115"/>
          <w:sz w:val="20"/>
        </w:rPr>
        <w:t> </w:t>
      </w:r>
      <w:r>
        <w:rPr>
          <w:w w:val="115"/>
          <w:sz w:val="20"/>
        </w:rPr>
        <w:t>consultant;</w:t>
      </w:r>
    </w:p>
    <w:p>
      <w:pPr>
        <w:pStyle w:val="BodyText"/>
        <w:spacing w:before="3"/>
        <w:rPr>
          <w:sz w:val="19"/>
        </w:rPr>
      </w:pPr>
    </w:p>
    <w:p>
      <w:pPr>
        <w:pStyle w:val="ListParagraph"/>
        <w:numPr>
          <w:ilvl w:val="0"/>
          <w:numId w:val="165"/>
        </w:numPr>
        <w:tabs>
          <w:tab w:pos="3424" w:val="left" w:leader="none"/>
          <w:tab w:pos="3425" w:val="left" w:leader="none"/>
        </w:tabs>
        <w:spacing w:line="240" w:lineRule="auto" w:before="1" w:after="0"/>
        <w:ind w:left="3424" w:right="0" w:hanging="721"/>
        <w:jc w:val="left"/>
        <w:rPr>
          <w:sz w:val="20"/>
        </w:rPr>
      </w:pPr>
      <w:r>
        <w:rPr>
          <w:w w:val="115"/>
          <w:sz w:val="20"/>
        </w:rPr>
        <w:t>a  director;</w:t>
      </w:r>
      <w:r>
        <w:rPr>
          <w:spacing w:val="8"/>
          <w:w w:val="115"/>
          <w:sz w:val="20"/>
        </w:rPr>
        <w:t> </w:t>
      </w:r>
      <w:r>
        <w:rPr>
          <w:w w:val="115"/>
          <w:sz w:val="20"/>
        </w:rPr>
        <w:t>or</w:t>
      </w:r>
    </w:p>
    <w:p>
      <w:pPr>
        <w:pStyle w:val="BodyText"/>
        <w:spacing w:before="7"/>
        <w:rPr>
          <w:sz w:val="19"/>
        </w:rPr>
      </w:pPr>
    </w:p>
    <w:p>
      <w:pPr>
        <w:pStyle w:val="ListParagraph"/>
        <w:numPr>
          <w:ilvl w:val="0"/>
          <w:numId w:val="165"/>
        </w:numPr>
        <w:tabs>
          <w:tab w:pos="3424" w:val="left" w:leader="none"/>
          <w:tab w:pos="3425" w:val="left" w:leader="none"/>
        </w:tabs>
        <w:spacing w:line="235" w:lineRule="auto" w:before="0" w:after="0"/>
        <w:ind w:left="3424" w:right="1187" w:hanging="721"/>
        <w:jc w:val="left"/>
        <w:rPr>
          <w:sz w:val="20"/>
        </w:rPr>
      </w:pPr>
      <w:r>
        <w:rPr>
          <w:w w:val="120"/>
          <w:sz w:val="20"/>
        </w:rPr>
        <w:t>a shareholder, unless the shares of the company are listed on a recognised stock</w:t>
      </w:r>
      <w:r>
        <w:rPr>
          <w:spacing w:val="6"/>
          <w:w w:val="120"/>
          <w:sz w:val="20"/>
        </w:rPr>
        <w:t> </w:t>
      </w:r>
      <w:r>
        <w:rPr>
          <w:w w:val="120"/>
          <w:sz w:val="20"/>
        </w:rPr>
        <w:t>exchange</w:t>
      </w:r>
      <w:r>
        <w:rPr>
          <w:spacing w:val="6"/>
          <w:w w:val="120"/>
          <w:sz w:val="20"/>
        </w:rPr>
        <w:t> </w:t>
      </w:r>
      <w:r>
        <w:rPr>
          <w:w w:val="120"/>
          <w:sz w:val="20"/>
        </w:rPr>
        <w:t>and</w:t>
      </w:r>
      <w:r>
        <w:rPr>
          <w:spacing w:val="6"/>
          <w:w w:val="120"/>
          <w:sz w:val="20"/>
        </w:rPr>
        <w:t> </w:t>
      </w:r>
      <w:r>
        <w:rPr>
          <w:w w:val="120"/>
          <w:sz w:val="20"/>
        </w:rPr>
        <w:t>the</w:t>
      </w:r>
      <w:r>
        <w:rPr>
          <w:spacing w:val="6"/>
          <w:w w:val="120"/>
          <w:sz w:val="20"/>
        </w:rPr>
        <w:t> </w:t>
      </w:r>
      <w:r>
        <w:rPr>
          <w:w w:val="120"/>
          <w:sz w:val="20"/>
        </w:rPr>
        <w:t>Director</w:t>
      </w:r>
      <w:r>
        <w:rPr>
          <w:spacing w:val="6"/>
          <w:w w:val="120"/>
          <w:sz w:val="20"/>
        </w:rPr>
        <w:t> </w:t>
      </w:r>
      <w:r>
        <w:rPr>
          <w:w w:val="120"/>
          <w:sz w:val="20"/>
        </w:rPr>
        <w:t>holds</w:t>
      </w:r>
      <w:r>
        <w:rPr>
          <w:spacing w:val="6"/>
          <w:w w:val="120"/>
          <w:sz w:val="20"/>
        </w:rPr>
        <w:t> </w:t>
      </w:r>
      <w:r>
        <w:rPr>
          <w:w w:val="120"/>
          <w:sz w:val="20"/>
        </w:rPr>
        <w:t>less</w:t>
      </w:r>
      <w:r>
        <w:rPr>
          <w:spacing w:val="6"/>
          <w:w w:val="120"/>
          <w:sz w:val="20"/>
        </w:rPr>
        <w:t> </w:t>
      </w:r>
      <w:r>
        <w:rPr>
          <w:w w:val="120"/>
          <w:sz w:val="20"/>
        </w:rPr>
        <w:t>than</w:t>
      </w:r>
      <w:r>
        <w:rPr>
          <w:spacing w:val="6"/>
          <w:w w:val="120"/>
          <w:sz w:val="20"/>
        </w:rPr>
        <w:t> </w:t>
      </w:r>
      <w:r>
        <w:rPr>
          <w:spacing w:val="-7"/>
          <w:w w:val="120"/>
          <w:sz w:val="20"/>
        </w:rPr>
        <w:t>1%</w:t>
      </w:r>
      <w:r>
        <w:rPr>
          <w:spacing w:val="6"/>
          <w:w w:val="120"/>
          <w:sz w:val="20"/>
        </w:rPr>
        <w:t> </w:t>
      </w:r>
      <w:r>
        <w:rPr>
          <w:w w:val="120"/>
          <w:sz w:val="20"/>
        </w:rPr>
        <w:t>of</w:t>
      </w:r>
      <w:r>
        <w:rPr>
          <w:spacing w:val="6"/>
          <w:w w:val="120"/>
          <w:sz w:val="20"/>
        </w:rPr>
        <w:t> </w:t>
      </w:r>
      <w:r>
        <w:rPr>
          <w:w w:val="120"/>
          <w:sz w:val="20"/>
        </w:rPr>
        <w:t>the</w:t>
      </w:r>
      <w:r>
        <w:rPr>
          <w:spacing w:val="6"/>
          <w:w w:val="120"/>
          <w:sz w:val="20"/>
        </w:rPr>
        <w:t> </w:t>
      </w:r>
      <w:r>
        <w:rPr>
          <w:w w:val="120"/>
          <w:sz w:val="20"/>
        </w:rPr>
        <w:t>issued</w:t>
      </w:r>
      <w:r>
        <w:rPr>
          <w:spacing w:val="6"/>
          <w:w w:val="120"/>
          <w:sz w:val="20"/>
        </w:rPr>
        <w:t> </w:t>
      </w:r>
      <w:r>
        <w:rPr>
          <w:w w:val="120"/>
          <w:sz w:val="20"/>
        </w:rPr>
        <w:t>capital.</w:t>
      </w:r>
    </w:p>
    <w:p>
      <w:pPr>
        <w:pStyle w:val="BodyText"/>
        <w:spacing w:before="7"/>
        <w:rPr>
          <w:sz w:val="31"/>
        </w:rPr>
      </w:pPr>
    </w:p>
    <w:p>
      <w:pPr>
        <w:pStyle w:val="ListParagraph"/>
        <w:numPr>
          <w:ilvl w:val="0"/>
          <w:numId w:val="160"/>
        </w:numPr>
        <w:tabs>
          <w:tab w:pos="2664" w:val="left" w:leader="none"/>
          <w:tab w:pos="2665" w:val="left" w:leader="none"/>
        </w:tabs>
        <w:spacing w:line="240" w:lineRule="auto" w:before="0" w:after="0"/>
        <w:ind w:left="2664" w:right="0" w:hanging="681"/>
        <w:jc w:val="left"/>
        <w:rPr>
          <w:sz w:val="20"/>
        </w:rPr>
      </w:pPr>
      <w:r>
        <w:rPr>
          <w:w w:val="120"/>
          <w:sz w:val="20"/>
        </w:rPr>
        <w:t>In Clauses </w:t>
      </w:r>
      <w:r>
        <w:rPr>
          <w:spacing w:val="-6"/>
          <w:w w:val="120"/>
          <w:sz w:val="20"/>
        </w:rPr>
        <w:t>8.1 </w:t>
      </w:r>
      <w:r>
        <w:rPr>
          <w:w w:val="120"/>
          <w:sz w:val="20"/>
        </w:rPr>
        <w:t>to</w:t>
      </w:r>
      <w:r>
        <w:rPr>
          <w:spacing w:val="14"/>
          <w:w w:val="120"/>
          <w:sz w:val="20"/>
        </w:rPr>
        <w:t> </w:t>
      </w:r>
      <w:r>
        <w:rPr>
          <w:w w:val="120"/>
          <w:sz w:val="20"/>
        </w:rPr>
        <w:t>8.5:</w:t>
      </w:r>
    </w:p>
    <w:p>
      <w:pPr>
        <w:pStyle w:val="BodyText"/>
        <w:spacing w:before="2"/>
        <w:rPr>
          <w:sz w:val="18"/>
        </w:rPr>
      </w:pPr>
    </w:p>
    <w:p>
      <w:pPr>
        <w:pStyle w:val="ListParagraph"/>
        <w:numPr>
          <w:ilvl w:val="0"/>
          <w:numId w:val="166"/>
        </w:numPr>
        <w:tabs>
          <w:tab w:pos="3424" w:val="left" w:leader="none"/>
          <w:tab w:pos="3425" w:val="left" w:leader="none"/>
        </w:tabs>
        <w:spacing w:line="240" w:lineRule="auto" w:before="0" w:after="0"/>
        <w:ind w:left="3424" w:right="0" w:hanging="721"/>
        <w:jc w:val="left"/>
        <w:rPr>
          <w:sz w:val="20"/>
        </w:rPr>
      </w:pPr>
      <w:r>
        <w:rPr>
          <w:w w:val="120"/>
          <w:sz w:val="20"/>
        </w:rPr>
        <w:t>“Charity” shall include any company in which the</w:t>
      </w:r>
      <w:r>
        <w:rPr>
          <w:spacing w:val="26"/>
          <w:w w:val="120"/>
          <w:sz w:val="20"/>
        </w:rPr>
        <w:t> </w:t>
      </w:r>
      <w:r>
        <w:rPr>
          <w:w w:val="120"/>
          <w:sz w:val="20"/>
        </w:rPr>
        <w:t>Charity:</w:t>
      </w:r>
    </w:p>
    <w:p>
      <w:pPr>
        <w:pStyle w:val="BodyText"/>
        <w:spacing w:before="4"/>
        <w:rPr>
          <w:sz w:val="19"/>
        </w:rPr>
      </w:pPr>
    </w:p>
    <w:p>
      <w:pPr>
        <w:pStyle w:val="ListParagraph"/>
        <w:numPr>
          <w:ilvl w:val="1"/>
          <w:numId w:val="166"/>
        </w:numPr>
        <w:tabs>
          <w:tab w:pos="4144" w:val="left" w:leader="none"/>
          <w:tab w:pos="4145" w:val="left" w:leader="none"/>
        </w:tabs>
        <w:spacing w:line="242" w:lineRule="exact" w:before="0" w:after="0"/>
        <w:ind w:left="4144" w:right="0" w:hanging="721"/>
        <w:jc w:val="left"/>
        <w:rPr>
          <w:sz w:val="20"/>
        </w:rPr>
      </w:pPr>
      <w:r>
        <w:rPr>
          <w:w w:val="120"/>
          <w:sz w:val="20"/>
        </w:rPr>
        <w:t>holds more than 50% of the shares;</w:t>
      </w:r>
      <w:r>
        <w:rPr>
          <w:spacing w:val="14"/>
          <w:w w:val="120"/>
          <w:sz w:val="20"/>
        </w:rPr>
        <w:t> </w:t>
      </w:r>
      <w:r>
        <w:rPr>
          <w:w w:val="120"/>
          <w:sz w:val="20"/>
        </w:rPr>
        <w:t>or</w:t>
      </w:r>
    </w:p>
    <w:p>
      <w:pPr>
        <w:pStyle w:val="ListParagraph"/>
        <w:numPr>
          <w:ilvl w:val="1"/>
          <w:numId w:val="166"/>
        </w:numPr>
        <w:tabs>
          <w:tab w:pos="4144" w:val="left" w:leader="none"/>
          <w:tab w:pos="4145" w:val="left" w:leader="none"/>
        </w:tabs>
        <w:spacing w:line="235" w:lineRule="auto" w:before="2" w:after="0"/>
        <w:ind w:left="4144" w:right="1853" w:hanging="721"/>
        <w:jc w:val="left"/>
        <w:rPr>
          <w:sz w:val="20"/>
        </w:rPr>
      </w:pPr>
      <w:r>
        <w:rPr>
          <w:w w:val="120"/>
          <w:sz w:val="20"/>
        </w:rPr>
        <w:t>controls more than 50% of the voting rights attached to the shares;</w:t>
      </w:r>
      <w:r>
        <w:rPr>
          <w:spacing w:val="1"/>
          <w:w w:val="120"/>
          <w:sz w:val="20"/>
        </w:rPr>
        <w:t> </w:t>
      </w:r>
      <w:r>
        <w:rPr>
          <w:w w:val="120"/>
          <w:sz w:val="20"/>
        </w:rPr>
        <w:t>or</w:t>
      </w:r>
    </w:p>
    <w:p>
      <w:pPr>
        <w:pStyle w:val="ListParagraph"/>
        <w:numPr>
          <w:ilvl w:val="1"/>
          <w:numId w:val="166"/>
        </w:numPr>
        <w:tabs>
          <w:tab w:pos="4144" w:val="left" w:leader="none"/>
          <w:tab w:pos="4145" w:val="left" w:leader="none"/>
        </w:tabs>
        <w:spacing w:line="235" w:lineRule="auto" w:before="1" w:after="0"/>
        <w:ind w:left="4144" w:right="1678" w:hanging="721"/>
        <w:jc w:val="left"/>
        <w:rPr>
          <w:sz w:val="20"/>
        </w:rPr>
      </w:pPr>
      <w:r>
        <w:rPr>
          <w:w w:val="120"/>
          <w:sz w:val="20"/>
        </w:rPr>
        <w:t>has the right to appoint one or more directors to the Board of the</w:t>
      </w:r>
      <w:r>
        <w:rPr>
          <w:spacing w:val="2"/>
          <w:w w:val="120"/>
          <w:sz w:val="20"/>
        </w:rPr>
        <w:t> </w:t>
      </w:r>
      <w:r>
        <w:rPr>
          <w:w w:val="120"/>
          <w:sz w:val="20"/>
        </w:rPr>
        <w:t>company;</w:t>
      </w:r>
    </w:p>
    <w:p>
      <w:pPr>
        <w:pStyle w:val="BodyText"/>
        <w:spacing w:before="10"/>
        <w:rPr>
          <w:sz w:val="19"/>
        </w:rPr>
      </w:pPr>
    </w:p>
    <w:p>
      <w:pPr>
        <w:pStyle w:val="ListParagraph"/>
        <w:numPr>
          <w:ilvl w:val="0"/>
          <w:numId w:val="166"/>
        </w:numPr>
        <w:tabs>
          <w:tab w:pos="3424" w:val="left" w:leader="none"/>
          <w:tab w:pos="3425" w:val="left" w:leader="none"/>
        </w:tabs>
        <w:spacing w:line="235" w:lineRule="auto" w:before="0" w:after="0"/>
        <w:ind w:left="3424" w:right="1294" w:hanging="721"/>
        <w:jc w:val="left"/>
        <w:rPr>
          <w:sz w:val="20"/>
        </w:rPr>
      </w:pPr>
      <w:r>
        <w:rPr>
          <w:w w:val="120"/>
          <w:sz w:val="20"/>
        </w:rPr>
        <w:t>“Director” shall include any child, parent, grandchild, grandparent, brother, </w:t>
      </w:r>
      <w:r>
        <w:rPr>
          <w:spacing w:val="-3"/>
          <w:w w:val="120"/>
          <w:sz w:val="20"/>
        </w:rPr>
        <w:t>sister, </w:t>
      </w:r>
      <w:r>
        <w:rPr>
          <w:w w:val="120"/>
          <w:sz w:val="20"/>
        </w:rPr>
        <w:t>spouse or civil partner of the Director or any person living with the Director as his or her</w:t>
      </w:r>
      <w:r>
        <w:rPr>
          <w:spacing w:val="12"/>
          <w:w w:val="120"/>
          <w:sz w:val="20"/>
        </w:rPr>
        <w:t> </w:t>
      </w:r>
      <w:r>
        <w:rPr>
          <w:w w:val="120"/>
          <w:sz w:val="20"/>
        </w:rPr>
        <w:t>partner.</w:t>
      </w:r>
    </w:p>
    <w:p>
      <w:pPr>
        <w:pStyle w:val="BodyText"/>
        <w:spacing w:before="11"/>
        <w:rPr>
          <w:sz w:val="33"/>
        </w:rPr>
      </w:pPr>
    </w:p>
    <w:p>
      <w:pPr>
        <w:pStyle w:val="ListParagraph"/>
        <w:numPr>
          <w:ilvl w:val="0"/>
          <w:numId w:val="160"/>
        </w:numPr>
        <w:tabs>
          <w:tab w:pos="2664" w:val="left" w:leader="none"/>
          <w:tab w:pos="2665" w:val="left" w:leader="none"/>
        </w:tabs>
        <w:spacing w:line="230" w:lineRule="auto" w:before="0" w:after="0"/>
        <w:ind w:left="2704" w:right="1175" w:hanging="720"/>
        <w:jc w:val="left"/>
        <w:rPr>
          <w:sz w:val="20"/>
        </w:rPr>
      </w:pPr>
      <w:r>
        <w:rPr>
          <w:w w:val="120"/>
          <w:sz w:val="20"/>
        </w:rPr>
        <w:t>If a conflict of interests arises for a Director because of a duty of loyalty owed to another organisation or person, and the conflict is not authorised by virtue of any other provision in this memorandum or the articles, the unconflicted Directors may authorise such a conflict of interests where the following conditions</w:t>
      </w:r>
      <w:r>
        <w:rPr>
          <w:spacing w:val="35"/>
          <w:w w:val="120"/>
          <w:sz w:val="20"/>
        </w:rPr>
        <w:t> </w:t>
      </w:r>
      <w:r>
        <w:rPr>
          <w:w w:val="120"/>
          <w:sz w:val="20"/>
        </w:rPr>
        <w:t>apply:</w:t>
      </w:r>
    </w:p>
    <w:p>
      <w:pPr>
        <w:spacing w:after="0" w:line="230" w:lineRule="auto"/>
        <w:jc w:val="left"/>
        <w:rPr>
          <w:sz w:val="20"/>
        </w:rPr>
        <w:sectPr>
          <w:pgSz w:w="11910" w:h="16840"/>
          <w:pgMar w:header="0" w:footer="647" w:top="1060" w:bottom="840" w:left="0" w:right="0"/>
        </w:sectPr>
      </w:pPr>
    </w:p>
    <w:p>
      <w:pPr>
        <w:pStyle w:val="ListParagraph"/>
        <w:numPr>
          <w:ilvl w:val="0"/>
          <w:numId w:val="167"/>
        </w:numPr>
        <w:tabs>
          <w:tab w:pos="2573" w:val="left" w:leader="none"/>
          <w:tab w:pos="2574" w:val="left" w:leader="none"/>
        </w:tabs>
        <w:spacing w:line="235" w:lineRule="auto" w:before="107" w:after="0"/>
        <w:ind w:left="2573" w:right="2157" w:hanging="721"/>
        <w:jc w:val="left"/>
        <w:rPr>
          <w:sz w:val="20"/>
        </w:rPr>
      </w:pPr>
      <w:r>
        <w:rPr/>
        <w:pict>
          <v:rect style="position:absolute;margin-left:12.047pt;margin-top:8.477343pt;width:22.677pt;height:22.677pt;mso-position-horizontal-relative:page;mso-position-vertical-relative:paragraph;z-index:252338176" filled="true" fillcolor="#e4ebc6" stroked="false">
            <v:fill opacity="32768f" type="solid"/>
            <w10:wrap type="none"/>
          </v:rect>
        </w:pict>
      </w:r>
      <w:r>
        <w:rPr>
          <w:w w:val="120"/>
          <w:sz w:val="20"/>
        </w:rPr>
        <w:t>the conflicted Director is absent from the </w:t>
      </w:r>
      <w:r>
        <w:rPr>
          <w:spacing w:val="2"/>
          <w:w w:val="120"/>
          <w:sz w:val="20"/>
        </w:rPr>
        <w:t>part </w:t>
      </w:r>
      <w:r>
        <w:rPr>
          <w:w w:val="120"/>
          <w:sz w:val="20"/>
        </w:rPr>
        <w:t>of the meeting at which there is discussion of any arrangement or transaction affecting that other organisation or</w:t>
      </w:r>
      <w:r>
        <w:rPr>
          <w:spacing w:val="4"/>
          <w:w w:val="120"/>
          <w:sz w:val="20"/>
        </w:rPr>
        <w:t> </w:t>
      </w:r>
      <w:r>
        <w:rPr>
          <w:w w:val="120"/>
          <w:sz w:val="20"/>
        </w:rPr>
        <w:t>person;</w:t>
      </w:r>
    </w:p>
    <w:p>
      <w:pPr>
        <w:pStyle w:val="BodyText"/>
        <w:spacing w:before="10"/>
        <w:rPr>
          <w:sz w:val="19"/>
        </w:rPr>
      </w:pPr>
    </w:p>
    <w:p>
      <w:pPr>
        <w:pStyle w:val="ListParagraph"/>
        <w:numPr>
          <w:ilvl w:val="0"/>
          <w:numId w:val="167"/>
        </w:numPr>
        <w:tabs>
          <w:tab w:pos="2573" w:val="left" w:leader="none"/>
          <w:tab w:pos="2574" w:val="left" w:leader="none"/>
        </w:tabs>
        <w:spacing w:line="235" w:lineRule="auto" w:before="0" w:after="0"/>
        <w:ind w:left="2573" w:right="2152" w:hanging="721"/>
        <w:jc w:val="left"/>
        <w:rPr>
          <w:sz w:val="20"/>
        </w:rPr>
      </w:pPr>
      <w:r>
        <w:rPr>
          <w:w w:val="120"/>
          <w:sz w:val="20"/>
        </w:rPr>
        <w:t>the conflicted Director does not vote on any such matter and is not to be counted when considering whether a quorum of Directors is present at the</w:t>
      </w:r>
      <w:r>
        <w:rPr>
          <w:spacing w:val="2"/>
          <w:w w:val="120"/>
          <w:sz w:val="20"/>
        </w:rPr>
        <w:t> </w:t>
      </w:r>
      <w:r>
        <w:rPr>
          <w:w w:val="120"/>
          <w:sz w:val="20"/>
        </w:rPr>
        <w:t>meeting;</w:t>
      </w:r>
    </w:p>
    <w:p>
      <w:pPr>
        <w:pStyle w:val="BodyText"/>
        <w:spacing w:before="10"/>
        <w:rPr>
          <w:sz w:val="19"/>
        </w:rPr>
      </w:pPr>
    </w:p>
    <w:p>
      <w:pPr>
        <w:pStyle w:val="ListParagraph"/>
        <w:numPr>
          <w:ilvl w:val="0"/>
          <w:numId w:val="167"/>
        </w:numPr>
        <w:tabs>
          <w:tab w:pos="2573" w:val="left" w:leader="none"/>
          <w:tab w:pos="2574" w:val="left" w:leader="none"/>
        </w:tabs>
        <w:spacing w:line="235" w:lineRule="auto" w:before="1" w:after="0"/>
        <w:ind w:left="2573" w:right="2274" w:hanging="721"/>
        <w:jc w:val="left"/>
        <w:rPr>
          <w:sz w:val="20"/>
        </w:rPr>
      </w:pPr>
      <w:r>
        <w:rPr>
          <w:w w:val="120"/>
          <w:sz w:val="20"/>
        </w:rPr>
        <w:t>the unconflicted Directors consider it is in the interests of the Charity to authorise the conflict of interest in the circumstances</w:t>
      </w:r>
      <w:r>
        <w:rPr>
          <w:spacing w:val="20"/>
          <w:w w:val="120"/>
          <w:sz w:val="20"/>
        </w:rPr>
        <w:t> </w:t>
      </w:r>
      <w:r>
        <w:rPr>
          <w:w w:val="120"/>
          <w:sz w:val="20"/>
        </w:rPr>
        <w:t>applying.</w:t>
      </w:r>
    </w:p>
    <w:p>
      <w:pPr>
        <w:pStyle w:val="BodyText"/>
        <w:rPr>
          <w:sz w:val="24"/>
        </w:rPr>
      </w:pPr>
    </w:p>
    <w:p>
      <w:pPr>
        <w:pStyle w:val="ListParagraph"/>
        <w:numPr>
          <w:ilvl w:val="0"/>
          <w:numId w:val="160"/>
        </w:numPr>
        <w:tabs>
          <w:tab w:pos="1814" w:val="left" w:leader="none"/>
          <w:tab w:pos="1815" w:val="left" w:leader="none"/>
        </w:tabs>
        <w:spacing w:line="240" w:lineRule="auto" w:before="172" w:after="0"/>
        <w:ind w:left="1814" w:right="0" w:hanging="681"/>
        <w:jc w:val="left"/>
        <w:rPr>
          <w:sz w:val="20"/>
        </w:rPr>
      </w:pPr>
      <w:r>
        <w:rPr>
          <w:w w:val="120"/>
          <w:sz w:val="20"/>
        </w:rPr>
        <w:t>The liability of the members is</w:t>
      </w:r>
      <w:r>
        <w:rPr>
          <w:spacing w:val="12"/>
          <w:w w:val="120"/>
          <w:sz w:val="20"/>
        </w:rPr>
        <w:t> </w:t>
      </w:r>
      <w:r>
        <w:rPr>
          <w:w w:val="120"/>
          <w:sz w:val="20"/>
        </w:rPr>
        <w:t>limited.</w:t>
      </w:r>
    </w:p>
    <w:p>
      <w:pPr>
        <w:pStyle w:val="BodyText"/>
        <w:rPr>
          <w:sz w:val="24"/>
        </w:rPr>
      </w:pPr>
    </w:p>
    <w:p>
      <w:pPr>
        <w:pStyle w:val="ListParagraph"/>
        <w:numPr>
          <w:ilvl w:val="0"/>
          <w:numId w:val="160"/>
        </w:numPr>
        <w:tabs>
          <w:tab w:pos="1814" w:val="left" w:leader="none"/>
          <w:tab w:pos="1815" w:val="left" w:leader="none"/>
        </w:tabs>
        <w:spacing w:line="232" w:lineRule="auto" w:before="162" w:after="0"/>
        <w:ind w:left="1853" w:right="2269" w:hanging="720"/>
        <w:jc w:val="left"/>
        <w:rPr>
          <w:sz w:val="20"/>
        </w:rPr>
      </w:pPr>
      <w:r>
        <w:rPr>
          <w:w w:val="120"/>
          <w:sz w:val="20"/>
        </w:rPr>
        <w:t>Every member promises, if the Charity is dissolved while he or she is a Member or within twelve months after he or she ceases to be a Member, to contribute such sum </w:t>
      </w:r>
      <w:r>
        <w:rPr>
          <w:spacing w:val="-5"/>
          <w:w w:val="120"/>
          <w:sz w:val="20"/>
        </w:rPr>
        <w:t>(not </w:t>
      </w:r>
      <w:r>
        <w:rPr>
          <w:w w:val="120"/>
          <w:sz w:val="20"/>
        </w:rPr>
        <w:t>exceeding </w:t>
      </w:r>
      <w:r>
        <w:rPr>
          <w:spacing w:val="-7"/>
          <w:w w:val="120"/>
          <w:sz w:val="20"/>
        </w:rPr>
        <w:t>£10) </w:t>
      </w:r>
      <w:r>
        <w:rPr>
          <w:w w:val="120"/>
          <w:sz w:val="20"/>
        </w:rPr>
        <w:t>as may be demanded of him or her towards the payment of the debts and liabilities of the Charity incurred before he or she ceases to be a Member, the costs charges and expenses of winding up, and the adjustment of the rights of the contributories among</w:t>
      </w:r>
      <w:r>
        <w:rPr>
          <w:spacing w:val="18"/>
          <w:w w:val="120"/>
          <w:sz w:val="20"/>
        </w:rPr>
        <w:t> </w:t>
      </w:r>
      <w:r>
        <w:rPr>
          <w:w w:val="120"/>
          <w:sz w:val="20"/>
        </w:rPr>
        <w:t>themselves.</w:t>
      </w:r>
    </w:p>
    <w:p>
      <w:pPr>
        <w:pStyle w:val="BodyText"/>
        <w:rPr>
          <w:sz w:val="24"/>
        </w:rPr>
      </w:pPr>
    </w:p>
    <w:p>
      <w:pPr>
        <w:pStyle w:val="ListParagraph"/>
        <w:numPr>
          <w:ilvl w:val="0"/>
          <w:numId w:val="160"/>
        </w:numPr>
        <w:tabs>
          <w:tab w:pos="1814" w:val="left" w:leader="none"/>
          <w:tab w:pos="1815" w:val="left" w:leader="none"/>
        </w:tabs>
        <w:spacing w:line="230" w:lineRule="auto" w:before="183" w:after="0"/>
        <w:ind w:left="1853" w:right="2035" w:hanging="721"/>
        <w:jc w:val="left"/>
        <w:rPr>
          <w:sz w:val="20"/>
        </w:rPr>
      </w:pPr>
      <w:r>
        <w:rPr>
          <w:w w:val="120"/>
          <w:sz w:val="20"/>
        </w:rPr>
        <w:t>The members of the Charity </w:t>
      </w:r>
      <w:r>
        <w:rPr>
          <w:spacing w:val="-6"/>
          <w:w w:val="120"/>
          <w:sz w:val="20"/>
        </w:rPr>
        <w:t>may, </w:t>
      </w:r>
      <w:r>
        <w:rPr>
          <w:w w:val="120"/>
          <w:sz w:val="20"/>
        </w:rPr>
        <w:t>at </w:t>
      </w:r>
      <w:r>
        <w:rPr>
          <w:spacing w:val="-3"/>
          <w:w w:val="120"/>
          <w:sz w:val="20"/>
        </w:rPr>
        <w:t>any </w:t>
      </w:r>
      <w:r>
        <w:rPr>
          <w:w w:val="120"/>
          <w:sz w:val="20"/>
        </w:rPr>
        <w:t>time before, and in expectation </w:t>
      </w:r>
      <w:r>
        <w:rPr>
          <w:spacing w:val="-4"/>
          <w:w w:val="120"/>
          <w:sz w:val="20"/>
        </w:rPr>
        <w:t>of, </w:t>
      </w:r>
      <w:r>
        <w:rPr>
          <w:w w:val="120"/>
          <w:sz w:val="20"/>
        </w:rPr>
        <w:t>its </w:t>
      </w:r>
      <w:r>
        <w:rPr>
          <w:spacing w:val="-3"/>
          <w:w w:val="120"/>
          <w:sz w:val="20"/>
        </w:rPr>
        <w:t>dissolution,</w:t>
      </w:r>
      <w:r>
        <w:rPr>
          <w:spacing w:val="-10"/>
          <w:w w:val="120"/>
          <w:sz w:val="20"/>
        </w:rPr>
        <w:t> </w:t>
      </w:r>
      <w:r>
        <w:rPr>
          <w:w w:val="120"/>
          <w:sz w:val="20"/>
        </w:rPr>
        <w:t>resolve</w:t>
      </w:r>
      <w:r>
        <w:rPr>
          <w:spacing w:val="-9"/>
          <w:w w:val="120"/>
          <w:sz w:val="20"/>
        </w:rPr>
        <w:t> </w:t>
      </w:r>
      <w:r>
        <w:rPr>
          <w:w w:val="120"/>
          <w:sz w:val="20"/>
        </w:rPr>
        <w:t>that</w:t>
      </w:r>
      <w:r>
        <w:rPr>
          <w:spacing w:val="-9"/>
          <w:w w:val="120"/>
          <w:sz w:val="20"/>
        </w:rPr>
        <w:t> </w:t>
      </w:r>
      <w:r>
        <w:rPr>
          <w:spacing w:val="-3"/>
          <w:w w:val="120"/>
          <w:sz w:val="20"/>
        </w:rPr>
        <w:t>any</w:t>
      </w:r>
      <w:r>
        <w:rPr>
          <w:spacing w:val="-9"/>
          <w:w w:val="120"/>
          <w:sz w:val="20"/>
        </w:rPr>
        <w:t> </w:t>
      </w:r>
      <w:r>
        <w:rPr>
          <w:w w:val="120"/>
          <w:sz w:val="20"/>
        </w:rPr>
        <w:t>net</w:t>
      </w:r>
      <w:r>
        <w:rPr>
          <w:spacing w:val="-9"/>
          <w:w w:val="120"/>
          <w:sz w:val="20"/>
        </w:rPr>
        <w:t> </w:t>
      </w:r>
      <w:r>
        <w:rPr>
          <w:w w:val="120"/>
          <w:sz w:val="20"/>
        </w:rPr>
        <w:t>assets</w:t>
      </w:r>
      <w:r>
        <w:rPr>
          <w:spacing w:val="-9"/>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Charity</w:t>
      </w:r>
      <w:r>
        <w:rPr>
          <w:spacing w:val="-9"/>
          <w:w w:val="120"/>
          <w:sz w:val="20"/>
        </w:rPr>
        <w:t> </w:t>
      </w:r>
      <w:r>
        <w:rPr>
          <w:w w:val="120"/>
          <w:sz w:val="20"/>
        </w:rPr>
        <w:t>after</w:t>
      </w:r>
      <w:r>
        <w:rPr>
          <w:spacing w:val="-9"/>
          <w:w w:val="120"/>
          <w:sz w:val="20"/>
        </w:rPr>
        <w:t> </w:t>
      </w:r>
      <w:r>
        <w:rPr>
          <w:w w:val="120"/>
          <w:sz w:val="20"/>
        </w:rPr>
        <w:t>all</w:t>
      </w:r>
      <w:r>
        <w:rPr>
          <w:spacing w:val="-9"/>
          <w:w w:val="120"/>
          <w:sz w:val="20"/>
        </w:rPr>
        <w:t> </w:t>
      </w:r>
      <w:r>
        <w:rPr>
          <w:w w:val="120"/>
          <w:sz w:val="20"/>
        </w:rPr>
        <w:t>its</w:t>
      </w:r>
      <w:r>
        <w:rPr>
          <w:spacing w:val="-9"/>
          <w:w w:val="120"/>
          <w:sz w:val="20"/>
        </w:rPr>
        <w:t> </w:t>
      </w:r>
      <w:r>
        <w:rPr>
          <w:w w:val="120"/>
          <w:sz w:val="20"/>
        </w:rPr>
        <w:t>debts</w:t>
      </w:r>
      <w:r>
        <w:rPr>
          <w:spacing w:val="-9"/>
          <w:w w:val="120"/>
          <w:sz w:val="20"/>
        </w:rPr>
        <w:t> </w:t>
      </w:r>
      <w:r>
        <w:rPr>
          <w:w w:val="120"/>
          <w:sz w:val="20"/>
        </w:rPr>
        <w:t>and</w:t>
      </w:r>
      <w:r>
        <w:rPr>
          <w:spacing w:val="-9"/>
          <w:w w:val="120"/>
          <w:sz w:val="20"/>
        </w:rPr>
        <w:t> </w:t>
      </w:r>
      <w:r>
        <w:rPr>
          <w:spacing w:val="-3"/>
          <w:w w:val="120"/>
          <w:sz w:val="20"/>
        </w:rPr>
        <w:t>liabilities have </w:t>
      </w:r>
      <w:r>
        <w:rPr>
          <w:w w:val="120"/>
          <w:sz w:val="20"/>
        </w:rPr>
        <w:t>been paid, or </w:t>
      </w:r>
      <w:r>
        <w:rPr>
          <w:spacing w:val="-3"/>
          <w:w w:val="120"/>
          <w:sz w:val="20"/>
        </w:rPr>
        <w:t>provision </w:t>
      </w:r>
      <w:r>
        <w:rPr>
          <w:w w:val="120"/>
          <w:sz w:val="20"/>
        </w:rPr>
        <w:t>has been made for them, </w:t>
      </w:r>
      <w:r>
        <w:rPr>
          <w:spacing w:val="-3"/>
          <w:w w:val="120"/>
          <w:sz w:val="20"/>
        </w:rPr>
        <w:t>shall </w:t>
      </w:r>
      <w:r>
        <w:rPr>
          <w:w w:val="120"/>
          <w:sz w:val="20"/>
        </w:rPr>
        <w:t>on or before the </w:t>
      </w:r>
      <w:r>
        <w:rPr>
          <w:spacing w:val="-3"/>
          <w:w w:val="120"/>
          <w:sz w:val="20"/>
        </w:rPr>
        <w:t>dissolution </w:t>
      </w:r>
      <w:r>
        <w:rPr>
          <w:w w:val="120"/>
          <w:sz w:val="20"/>
        </w:rPr>
        <w:t>of the Charity be applied or transferred in </w:t>
      </w:r>
      <w:r>
        <w:rPr>
          <w:spacing w:val="-3"/>
          <w:w w:val="120"/>
          <w:sz w:val="20"/>
        </w:rPr>
        <w:t>any </w:t>
      </w:r>
      <w:r>
        <w:rPr>
          <w:w w:val="120"/>
          <w:sz w:val="20"/>
        </w:rPr>
        <w:t>of the </w:t>
      </w:r>
      <w:r>
        <w:rPr>
          <w:spacing w:val="-3"/>
          <w:w w:val="120"/>
          <w:sz w:val="20"/>
        </w:rPr>
        <w:t>following</w:t>
      </w:r>
      <w:r>
        <w:rPr>
          <w:spacing w:val="-25"/>
          <w:w w:val="120"/>
          <w:sz w:val="20"/>
        </w:rPr>
        <w:t> </w:t>
      </w:r>
      <w:r>
        <w:rPr>
          <w:spacing w:val="-3"/>
          <w:w w:val="120"/>
          <w:sz w:val="20"/>
        </w:rPr>
        <w:t>ways:</w:t>
      </w:r>
    </w:p>
    <w:p>
      <w:pPr>
        <w:pStyle w:val="BodyText"/>
        <w:spacing w:before="9"/>
        <w:rPr>
          <w:sz w:val="19"/>
        </w:rPr>
      </w:pPr>
    </w:p>
    <w:p>
      <w:pPr>
        <w:pStyle w:val="ListParagraph"/>
        <w:numPr>
          <w:ilvl w:val="0"/>
          <w:numId w:val="168"/>
        </w:numPr>
        <w:tabs>
          <w:tab w:pos="2573" w:val="left" w:leader="none"/>
          <w:tab w:pos="2574" w:val="left" w:leader="none"/>
        </w:tabs>
        <w:spacing w:line="240" w:lineRule="auto" w:before="1" w:after="0"/>
        <w:ind w:left="2573" w:right="0" w:hanging="760"/>
        <w:jc w:val="left"/>
        <w:rPr>
          <w:sz w:val="20"/>
        </w:rPr>
      </w:pPr>
      <w:r>
        <w:rPr>
          <w:w w:val="120"/>
          <w:sz w:val="20"/>
        </w:rPr>
        <w:t>directly for the Objects;</w:t>
      </w:r>
      <w:r>
        <w:rPr>
          <w:spacing w:val="8"/>
          <w:w w:val="120"/>
          <w:sz w:val="20"/>
        </w:rPr>
        <w:t> </w:t>
      </w:r>
      <w:r>
        <w:rPr>
          <w:w w:val="120"/>
          <w:sz w:val="20"/>
        </w:rPr>
        <w:t>or</w:t>
      </w:r>
    </w:p>
    <w:p>
      <w:pPr>
        <w:pStyle w:val="BodyText"/>
        <w:spacing w:before="7"/>
        <w:rPr>
          <w:sz w:val="19"/>
        </w:rPr>
      </w:pPr>
    </w:p>
    <w:p>
      <w:pPr>
        <w:pStyle w:val="ListParagraph"/>
        <w:numPr>
          <w:ilvl w:val="0"/>
          <w:numId w:val="168"/>
        </w:numPr>
        <w:tabs>
          <w:tab w:pos="2573" w:val="left" w:leader="none"/>
          <w:tab w:pos="2574" w:val="left" w:leader="none"/>
        </w:tabs>
        <w:spacing w:line="235" w:lineRule="auto" w:before="0" w:after="0"/>
        <w:ind w:left="2573" w:right="2167" w:hanging="760"/>
        <w:jc w:val="left"/>
        <w:rPr>
          <w:sz w:val="20"/>
        </w:rPr>
      </w:pPr>
      <w:r>
        <w:rPr>
          <w:w w:val="120"/>
          <w:sz w:val="20"/>
        </w:rPr>
        <w:t>by transfer to any Charity or charities for purposes similar to the Objects; or</w:t>
      </w:r>
    </w:p>
    <w:p>
      <w:pPr>
        <w:pStyle w:val="BodyText"/>
        <w:spacing w:before="6"/>
        <w:rPr>
          <w:sz w:val="19"/>
        </w:rPr>
      </w:pPr>
    </w:p>
    <w:p>
      <w:pPr>
        <w:pStyle w:val="ListParagraph"/>
        <w:numPr>
          <w:ilvl w:val="0"/>
          <w:numId w:val="168"/>
        </w:numPr>
        <w:tabs>
          <w:tab w:pos="2573" w:val="left" w:leader="none"/>
          <w:tab w:pos="2574" w:val="left" w:leader="none"/>
        </w:tabs>
        <w:spacing w:line="240" w:lineRule="auto" w:before="0" w:after="0"/>
        <w:ind w:left="2573" w:right="0" w:hanging="760"/>
        <w:jc w:val="left"/>
        <w:rPr>
          <w:sz w:val="20"/>
        </w:rPr>
      </w:pPr>
      <w:r>
        <w:rPr>
          <w:w w:val="120"/>
          <w:sz w:val="20"/>
        </w:rPr>
        <w:t>to any Charity for use for particular purposes that fall within the</w:t>
      </w:r>
      <w:r>
        <w:rPr>
          <w:spacing w:val="25"/>
          <w:w w:val="120"/>
          <w:sz w:val="20"/>
        </w:rPr>
        <w:t> </w:t>
      </w:r>
      <w:r>
        <w:rPr>
          <w:w w:val="120"/>
          <w:sz w:val="20"/>
        </w:rPr>
        <w:t>Objects.</w:t>
      </w:r>
    </w:p>
    <w:p>
      <w:pPr>
        <w:pStyle w:val="BodyText"/>
        <w:rPr>
          <w:sz w:val="24"/>
        </w:rPr>
      </w:pPr>
    </w:p>
    <w:p>
      <w:pPr>
        <w:pStyle w:val="ListParagraph"/>
        <w:numPr>
          <w:ilvl w:val="0"/>
          <w:numId w:val="160"/>
        </w:numPr>
        <w:tabs>
          <w:tab w:pos="1813" w:val="left" w:leader="none"/>
          <w:tab w:pos="1815" w:val="left" w:leader="none"/>
        </w:tabs>
        <w:spacing w:line="232" w:lineRule="auto" w:before="176" w:after="0"/>
        <w:ind w:left="1853" w:right="2154" w:hanging="720"/>
        <w:jc w:val="left"/>
        <w:rPr>
          <w:sz w:val="20"/>
        </w:rPr>
      </w:pPr>
      <w:r>
        <w:rPr>
          <w:w w:val="120"/>
          <w:sz w:val="20"/>
        </w:rPr>
        <w:t>Subject to any such resolution of the members of the Charity, the Directors of the Charity may at any time before and in expectation of its dissolution resolve that any net assets of the Charity after all its debts and liabilities have been paid, or provision made for them, shall on dissolution of the Charity be applied or transferred:</w:t>
      </w:r>
    </w:p>
    <w:p>
      <w:pPr>
        <w:pStyle w:val="BodyText"/>
        <w:spacing w:before="5"/>
        <w:rPr>
          <w:sz w:val="19"/>
        </w:rPr>
      </w:pPr>
    </w:p>
    <w:p>
      <w:pPr>
        <w:pStyle w:val="ListParagraph"/>
        <w:numPr>
          <w:ilvl w:val="0"/>
          <w:numId w:val="169"/>
        </w:numPr>
        <w:tabs>
          <w:tab w:pos="2573" w:val="left" w:leader="none"/>
          <w:tab w:pos="2574" w:val="left" w:leader="none"/>
        </w:tabs>
        <w:spacing w:line="240" w:lineRule="auto" w:before="0" w:after="0"/>
        <w:ind w:left="2573" w:right="0" w:hanging="761"/>
        <w:jc w:val="left"/>
        <w:rPr>
          <w:sz w:val="20"/>
        </w:rPr>
      </w:pPr>
      <w:r>
        <w:rPr>
          <w:w w:val="120"/>
          <w:sz w:val="20"/>
        </w:rPr>
        <w:t>directly for the Objects;</w:t>
      </w:r>
      <w:r>
        <w:rPr>
          <w:spacing w:val="8"/>
          <w:w w:val="120"/>
          <w:sz w:val="20"/>
        </w:rPr>
        <w:t> </w:t>
      </w:r>
      <w:r>
        <w:rPr>
          <w:w w:val="120"/>
          <w:sz w:val="20"/>
        </w:rPr>
        <w:t>or</w:t>
      </w:r>
    </w:p>
    <w:p>
      <w:pPr>
        <w:pStyle w:val="BodyText"/>
        <w:spacing w:before="8"/>
        <w:rPr>
          <w:sz w:val="19"/>
        </w:rPr>
      </w:pPr>
    </w:p>
    <w:p>
      <w:pPr>
        <w:pStyle w:val="ListParagraph"/>
        <w:numPr>
          <w:ilvl w:val="0"/>
          <w:numId w:val="169"/>
        </w:numPr>
        <w:tabs>
          <w:tab w:pos="2573" w:val="left" w:leader="none"/>
          <w:tab w:pos="2574" w:val="left" w:leader="none"/>
        </w:tabs>
        <w:spacing w:line="235" w:lineRule="auto" w:before="0" w:after="0"/>
        <w:ind w:left="2573" w:right="2167" w:hanging="760"/>
        <w:jc w:val="left"/>
        <w:rPr>
          <w:sz w:val="20"/>
        </w:rPr>
      </w:pPr>
      <w:r>
        <w:rPr>
          <w:w w:val="120"/>
          <w:sz w:val="20"/>
        </w:rPr>
        <w:t>by transfer to any Charity or charities for purposes similar to the Objects; or</w:t>
      </w:r>
    </w:p>
    <w:p>
      <w:pPr>
        <w:pStyle w:val="BodyText"/>
        <w:spacing w:before="9"/>
        <w:rPr>
          <w:sz w:val="19"/>
        </w:rPr>
      </w:pPr>
    </w:p>
    <w:p>
      <w:pPr>
        <w:pStyle w:val="ListParagraph"/>
        <w:numPr>
          <w:ilvl w:val="0"/>
          <w:numId w:val="169"/>
        </w:numPr>
        <w:tabs>
          <w:tab w:pos="2573" w:val="left" w:leader="none"/>
          <w:tab w:pos="2574" w:val="left" w:leader="none"/>
        </w:tabs>
        <w:spacing w:line="235" w:lineRule="auto" w:before="0" w:after="0"/>
        <w:ind w:left="2573" w:right="2305" w:hanging="760"/>
        <w:jc w:val="left"/>
        <w:rPr>
          <w:sz w:val="20"/>
        </w:rPr>
      </w:pPr>
      <w:r>
        <w:rPr>
          <w:w w:val="120"/>
          <w:sz w:val="20"/>
        </w:rPr>
        <w:t>to any Charity or charities for use for particular purposes that fall within the</w:t>
      </w:r>
      <w:r>
        <w:rPr>
          <w:spacing w:val="2"/>
          <w:w w:val="120"/>
          <w:sz w:val="20"/>
        </w:rPr>
        <w:t> </w:t>
      </w:r>
      <w:r>
        <w:rPr>
          <w:w w:val="120"/>
          <w:sz w:val="20"/>
        </w:rPr>
        <w:t>Objects.</w:t>
      </w:r>
    </w:p>
    <w:p>
      <w:pPr>
        <w:pStyle w:val="BodyText"/>
        <w:rPr>
          <w:sz w:val="24"/>
        </w:rPr>
      </w:pPr>
    </w:p>
    <w:p>
      <w:pPr>
        <w:pStyle w:val="ListParagraph"/>
        <w:numPr>
          <w:ilvl w:val="0"/>
          <w:numId w:val="160"/>
        </w:numPr>
        <w:tabs>
          <w:tab w:pos="1813" w:val="left" w:leader="none"/>
          <w:tab w:pos="1814" w:val="left" w:leader="none"/>
        </w:tabs>
        <w:spacing w:line="232" w:lineRule="auto" w:before="178" w:after="0"/>
        <w:ind w:left="1853" w:right="2271" w:hanging="720"/>
        <w:jc w:val="left"/>
        <w:rPr>
          <w:sz w:val="20"/>
        </w:rPr>
      </w:pPr>
      <w:r>
        <w:rPr>
          <w:w w:val="120"/>
          <w:sz w:val="20"/>
        </w:rPr>
        <w:t>In no circumstances shall the net assets of the Charity be paid to or distributed among the Members of the Charity </w:t>
      </w:r>
      <w:r>
        <w:rPr>
          <w:spacing w:val="-3"/>
          <w:w w:val="120"/>
          <w:sz w:val="20"/>
        </w:rPr>
        <w:t>(except </w:t>
      </w:r>
      <w:r>
        <w:rPr>
          <w:w w:val="120"/>
          <w:sz w:val="20"/>
        </w:rPr>
        <w:t>to a member that is itself a Charity) and, if no such resolution is passed by the Members or the Directors, the net assets of the Charity shall be applied for charitable purposes as directed by the court or the</w:t>
      </w:r>
      <w:r>
        <w:rPr>
          <w:spacing w:val="6"/>
          <w:w w:val="120"/>
          <w:sz w:val="20"/>
        </w:rPr>
        <w:t> </w:t>
      </w:r>
      <w:r>
        <w:rPr>
          <w:w w:val="120"/>
          <w:sz w:val="20"/>
        </w:rPr>
        <w:t>Commission.</w:t>
      </w:r>
    </w:p>
    <w:p>
      <w:pPr>
        <w:pStyle w:val="BodyText"/>
      </w:pPr>
    </w:p>
    <w:p>
      <w:pPr>
        <w:pStyle w:val="BodyText"/>
        <w:spacing w:before="11"/>
        <w:rPr>
          <w:sz w:val="21"/>
        </w:rPr>
      </w:pPr>
      <w:r>
        <w:rPr/>
        <w:pict>
          <v:shape style="position:absolute;margin-left:56.692902pt;margin-top:21.684868pt;width:183.85pt;height:.1pt;mso-position-horizontal-relative:page;mso-position-vertical-relative:paragraph;z-index:-250983424;mso-wrap-distance-left:0;mso-wrap-distance-right:0" coordorigin="1134,434" coordsize="3677,0" path="m1134,434l4811,434e" filled="false" stroked="true" strokeweight=".5pt" strokecolor="#8ba8bd">
            <v:path arrowok="t"/>
            <v:stroke dashstyle="solid"/>
            <w10:wrap type="topAndBottom"/>
          </v:shape>
        </w:pict>
      </w:r>
      <w:r>
        <w:rPr/>
        <w:pict>
          <v:rect style="position:absolute;margin-left:250.865997pt;margin-top:15.363467pt;width:13.721pt;height:13.721pt;mso-position-horizontal-relative:page;mso-position-vertical-relative:paragraph;z-index:-250982400;mso-wrap-distance-left:0;mso-wrap-distance-right:0" filled="true" fillcolor="#8ba8bd" stroked="false">
            <v:fill type="solid"/>
            <w10:wrap type="topAndBottom"/>
          </v:rect>
        </w:pict>
      </w:r>
      <w:r>
        <w:rPr/>
        <w:pict>
          <v:rect style="position:absolute;margin-left:269.303009pt;margin-top:15.363467pt;width:13.721pt;height:13.721pt;mso-position-horizontal-relative:page;mso-position-vertical-relative:paragraph;z-index:-250981376;mso-wrap-distance-left:0;mso-wrap-distance-right:0" filled="true" fillcolor="#c2d2df" stroked="false">
            <v:fill type="solid"/>
            <w10:wrap type="topAndBottom"/>
          </v:rect>
        </w:pict>
      </w:r>
      <w:r>
        <w:rPr/>
        <w:pict>
          <v:rect style="position:absolute;margin-left:288.169006pt;margin-top:15.363467pt;width:13.721pt;height:13.721pt;mso-position-horizontal-relative:page;mso-position-vertical-relative:paragraph;z-index:-250980352;mso-wrap-distance-left:0;mso-wrap-distance-right:0" filled="true" fillcolor="#dae4ec" stroked="false">
            <v:fill opacity="32768f" type="solid"/>
            <w10:wrap type="topAndBottom"/>
          </v:rect>
        </w:pict>
      </w:r>
      <w:r>
        <w:rPr/>
        <w:pict>
          <v:shape style="position:absolute;margin-left:311.716003pt;margin-top:21.684868pt;width:184.35pt;height:.1pt;mso-position-horizontal-relative:page;mso-position-vertical-relative:paragraph;z-index:-250979328;mso-wrap-distance-left:0;mso-wrap-distance-right:0" coordorigin="6234,434" coordsize="3687,0" path="m6234,434l9921,434e" filled="false" stroked="true" strokeweight=".5pt" strokecolor="#8ba8bd">
            <v:path arrowok="t"/>
            <v:stroke dashstyle="solid"/>
            <w10:wrap type="topAndBottom"/>
          </v:shape>
        </w:pict>
      </w:r>
    </w:p>
    <w:p>
      <w:pPr>
        <w:spacing w:after="0"/>
        <w:rPr>
          <w:sz w:val="21"/>
        </w:rPr>
        <w:sectPr>
          <w:pgSz w:w="11910" w:h="16840"/>
          <w:pgMar w:header="0" w:footer="647" w:top="1060" w:bottom="840" w:left="0" w:right="0"/>
        </w:sectPr>
      </w:pPr>
    </w:p>
    <w:p>
      <w:pPr>
        <w:pStyle w:val="Heading4"/>
        <w:spacing w:before="65"/>
        <w:rPr>
          <w:i/>
        </w:rPr>
      </w:pPr>
      <w:r>
        <w:rPr/>
        <w:pict>
          <v:rect style="position:absolute;margin-left:0pt;margin-top:.000015pt;width:595.275pt;height:841.89pt;mso-position-horizontal-relative:page;mso-position-vertical-relative:page;z-index:-267084800" filled="true" fillcolor="#a1bf37" stroked="false">
            <v:fill type="solid"/>
            <w10:wrap type="none"/>
          </v:rect>
        </w:pict>
      </w:r>
      <w:r>
        <w:rPr/>
        <w:pict>
          <v:group style="position:absolute;margin-left:75.826797pt;margin-top:.000015pt;width:519.4500pt;height:790.9pt;mso-position-horizontal-relative:page;mso-position-vertical-relative:page;z-index:-267083776" coordorigin="1517,0" coordsize="10389,15818">
            <v:rect style="position:absolute;left:1530;top:0;width:10375;height:15789" filled="true" fillcolor="#ffffff" stroked="false">
              <v:fill type="solid"/>
            </v:rect>
            <v:shape style="position:absolute;left:1516;top:0;width:10106;height:15818" coordorigin="1517,0" coordsize="10106,15818" path="m3053,15817l2977,15815,2902,15810,2828,15801,2755,15788,2684,15773,2613,15753,2544,15731,2477,15706,2411,15677,2347,15646,2284,15611,2223,15574,2164,15534,2108,15492,2053,15447,2000,15400,1950,15350,1902,15298,1856,15244,1813,15188,1772,15129,1734,15069,1699,15007,1667,14943,1637,14878,1611,14811,1587,14742,1567,14672,1550,14601,1536,14529,1526,14455,1520,14380,1517,14305,1517,15817,3053,15817m3056,15817l3055,15817,3054,15817,3056,15817,3056,15817m11622,0l11169,0,11169,470,11622,470,11622,0e" filled="true" fillcolor="#a1bf37" stroked="false">
              <v:path arrowok="t"/>
              <v:fill type="solid"/>
            </v:shape>
            <v:rect style="position:absolute;left:11168;top:625;width:454;height:454" filled="true" fillcolor="#d3de9d" stroked="false">
              <v:fill type="solid"/>
            </v:rect>
            <v:rect style="position:absolute;left:11168;top:1249;width:454;height:454" filled="true" fillcolor="#e4ebc6" stroked="false">
              <v:fill opacity="32768f" type="solid"/>
            </v:rect>
            <v:line style="position:absolute" from="1984,3301" to="10132,3301" stroked="true" strokeweight="4pt" strokecolor="#a1bf37">
              <v:stroke dashstyle="solid"/>
            </v:line>
            <w10:wrap type="none"/>
          </v:group>
        </w:pict>
      </w:r>
      <w:r>
        <w:rPr/>
        <w:pict>
          <v:shape style="position:absolute;margin-left:512.587891pt;margin-top:3.763281pt;width:47.4pt;height:257.4pt;mso-position-horizontal-relative:page;mso-position-vertical-relative:paragraph;z-index:-267082752"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color w:val="A1BF37"/>
                      <w:w w:val="110"/>
                      <w:sz w:val="72"/>
                    </w:rPr>
                    <w:t>Appendix 4b</w:t>
                  </w:r>
                </w:p>
              </w:txbxContent>
            </v:textbox>
            <w10:wrap type="none"/>
          </v:shape>
        </w:pict>
      </w:r>
      <w:r>
        <w:rPr>
          <w:i/>
          <w:w w:val="115"/>
        </w:rPr>
        <w:t>Articles of Association of</w:t>
      </w:r>
    </w:p>
    <w:p>
      <w:pPr>
        <w:spacing w:before="28"/>
        <w:ind w:left="1724" w:right="1514" w:firstLine="0"/>
        <w:jc w:val="center"/>
        <w:rPr>
          <w:rFonts w:ascii="Stone Sans II ITC Std Bk"/>
          <w:b/>
          <w:sz w:val="32"/>
        </w:rPr>
      </w:pPr>
      <w:r>
        <w:rPr>
          <w:rFonts w:ascii="Stone Sans II ITC Std Bk"/>
          <w:b/>
          <w:w w:val="115"/>
          <w:sz w:val="32"/>
        </w:rPr>
        <w:t>UNITED REFORMED CHURCH TRUST</w:t>
      </w:r>
    </w:p>
    <w:p>
      <w:pPr>
        <w:spacing w:line="638" w:lineRule="auto" w:before="29"/>
        <w:ind w:left="3367" w:right="3157" w:firstLine="912"/>
        <w:jc w:val="left"/>
        <w:rPr>
          <w:rFonts w:ascii="Stone Sans II ITC Std Bk"/>
          <w:b/>
          <w:sz w:val="20"/>
        </w:rPr>
      </w:pPr>
      <w:r>
        <w:rPr>
          <w:rFonts w:ascii="Stone Sans II ITC Std Bk"/>
          <w:b/>
          <w:w w:val="110"/>
          <w:sz w:val="20"/>
        </w:rPr>
        <w:t>Charity Registration No. </w:t>
      </w:r>
      <w:r>
        <w:rPr>
          <w:rFonts w:ascii="Stone Sans II ITC Std Bk"/>
          <w:b/>
          <w:spacing w:val="-11"/>
          <w:w w:val="110"/>
          <w:sz w:val="20"/>
        </w:rPr>
        <w:t>1133373 </w:t>
      </w:r>
      <w:r>
        <w:rPr>
          <w:rFonts w:ascii="Stone Sans II ITC Std Bk"/>
          <w:b/>
          <w:w w:val="110"/>
          <w:sz w:val="20"/>
        </w:rPr>
        <w:t>Adopted by Special Resolution </w:t>
      </w:r>
      <w:r>
        <w:rPr>
          <w:rFonts w:ascii="Stone Sans II ITC Std Bk"/>
          <w:b/>
          <w:spacing w:val="-6"/>
          <w:w w:val="110"/>
          <w:sz w:val="20"/>
        </w:rPr>
        <w:t>18 </w:t>
      </w:r>
      <w:r>
        <w:rPr>
          <w:rFonts w:ascii="Stone Sans II ITC Std Bk"/>
          <w:b/>
          <w:w w:val="110"/>
          <w:sz w:val="20"/>
        </w:rPr>
        <w:t>December</w:t>
      </w:r>
      <w:r>
        <w:rPr>
          <w:rFonts w:ascii="Stone Sans II ITC Std Bk"/>
          <w:b/>
          <w:spacing w:val="24"/>
          <w:w w:val="110"/>
          <w:sz w:val="20"/>
        </w:rPr>
        <w:t> </w:t>
      </w:r>
      <w:r>
        <w:rPr>
          <w:rFonts w:ascii="Stone Sans II ITC Std Bk"/>
          <w:b/>
          <w:w w:val="110"/>
          <w:sz w:val="20"/>
        </w:rPr>
        <w:t>2009</w:t>
      </w:r>
    </w:p>
    <w:p>
      <w:pPr>
        <w:pStyle w:val="BodyText"/>
        <w:spacing w:before="4"/>
        <w:rPr>
          <w:rFonts w:ascii="Stone Sans II ITC Std Bk"/>
          <w:b/>
          <w:sz w:val="32"/>
        </w:rPr>
      </w:pPr>
    </w:p>
    <w:p>
      <w:pPr>
        <w:spacing w:line="244" w:lineRule="auto" w:before="1"/>
        <w:ind w:left="1984" w:right="4791" w:firstLine="0"/>
        <w:jc w:val="left"/>
        <w:rPr>
          <w:rFonts w:ascii="Stone Sans II ITC Std Bk"/>
          <w:b/>
          <w:sz w:val="48"/>
        </w:rPr>
      </w:pPr>
      <w:r>
        <w:rPr>
          <w:rFonts w:ascii="Stone Sans II ITC Std Bk"/>
          <w:b/>
          <w:spacing w:val="-5"/>
          <w:w w:val="115"/>
          <w:sz w:val="48"/>
        </w:rPr>
        <w:t>The</w:t>
      </w:r>
      <w:r>
        <w:rPr>
          <w:rFonts w:ascii="Stone Sans II ITC Std Bk"/>
          <w:b/>
          <w:spacing w:val="-68"/>
          <w:w w:val="115"/>
          <w:sz w:val="48"/>
        </w:rPr>
        <w:t> </w:t>
      </w:r>
      <w:r>
        <w:rPr>
          <w:rFonts w:ascii="Stone Sans II ITC Std Bk"/>
          <w:b/>
          <w:spacing w:val="-11"/>
          <w:w w:val="115"/>
          <w:sz w:val="48"/>
        </w:rPr>
        <w:t>Companies</w:t>
      </w:r>
      <w:r>
        <w:rPr>
          <w:rFonts w:ascii="Stone Sans II ITC Std Bk"/>
          <w:b/>
          <w:spacing w:val="-67"/>
          <w:w w:val="115"/>
          <w:sz w:val="48"/>
        </w:rPr>
        <w:t> </w:t>
      </w:r>
      <w:r>
        <w:rPr>
          <w:rFonts w:ascii="Stone Sans II ITC Std Bk"/>
          <w:b/>
          <w:w w:val="115"/>
          <w:sz w:val="48"/>
        </w:rPr>
        <w:t>Acts </w:t>
      </w:r>
      <w:r>
        <w:rPr>
          <w:rFonts w:ascii="Stone Sans II ITC Std Bk"/>
          <w:b/>
          <w:spacing w:val="-20"/>
          <w:w w:val="115"/>
          <w:sz w:val="48"/>
        </w:rPr>
        <w:t>1985 </w:t>
      </w:r>
      <w:r>
        <w:rPr>
          <w:rFonts w:ascii="Stone Sans II ITC Std Bk"/>
          <w:b/>
          <w:spacing w:val="-7"/>
          <w:w w:val="115"/>
          <w:sz w:val="48"/>
        </w:rPr>
        <w:t>and </w:t>
      </w:r>
      <w:r>
        <w:rPr>
          <w:rFonts w:ascii="Stone Sans II ITC Std Bk"/>
          <w:b/>
          <w:spacing w:val="-4"/>
          <w:w w:val="115"/>
          <w:sz w:val="48"/>
        </w:rPr>
        <w:t>2006</w:t>
      </w:r>
    </w:p>
    <w:p>
      <w:pPr>
        <w:spacing w:line="645" w:lineRule="exact" w:before="0"/>
        <w:ind w:left="2045" w:right="0" w:firstLine="0"/>
        <w:jc w:val="left"/>
        <w:rPr>
          <w:rFonts w:ascii="Stone Sans II ITC Std Bk"/>
          <w:b/>
          <w:sz w:val="48"/>
        </w:rPr>
      </w:pPr>
      <w:r>
        <w:rPr>
          <w:rFonts w:ascii="Stone Sans II ITC Std Bk"/>
          <w:b/>
          <w:w w:val="115"/>
          <w:sz w:val="48"/>
        </w:rPr>
        <w:t>Company Limited by Guarantee</w:t>
      </w:r>
    </w:p>
    <w:p>
      <w:pPr>
        <w:spacing w:before="207"/>
        <w:ind w:left="1724" w:right="1515" w:firstLine="0"/>
        <w:jc w:val="center"/>
        <w:rPr>
          <w:rFonts w:ascii="Stone Sans II ITC Std Bk"/>
          <w:b/>
          <w:i/>
          <w:sz w:val="32"/>
        </w:rPr>
      </w:pPr>
      <w:r>
        <w:rPr>
          <w:rFonts w:ascii="Stone Sans II ITC Std Bk"/>
          <w:b/>
          <w:i/>
          <w:w w:val="115"/>
          <w:sz w:val="32"/>
        </w:rPr>
        <w:t>Articles of Association of</w:t>
      </w:r>
    </w:p>
    <w:p>
      <w:pPr>
        <w:spacing w:before="27"/>
        <w:ind w:left="1724" w:right="1514" w:firstLine="0"/>
        <w:jc w:val="center"/>
        <w:rPr>
          <w:rFonts w:ascii="Stone Sans II ITC Std Bk"/>
          <w:b/>
          <w:sz w:val="32"/>
        </w:rPr>
      </w:pPr>
      <w:r>
        <w:rPr>
          <w:rFonts w:ascii="Stone Sans II ITC Std Bk"/>
          <w:b/>
          <w:w w:val="115"/>
          <w:sz w:val="32"/>
        </w:rPr>
        <w:t>UNITED REFORMED CHURCH TRUST</w:t>
      </w:r>
    </w:p>
    <w:p>
      <w:pPr>
        <w:pStyle w:val="BodyText"/>
        <w:rPr>
          <w:rFonts w:ascii="Stone Sans II ITC Std Bk"/>
          <w:b/>
          <w:sz w:val="40"/>
        </w:rPr>
      </w:pPr>
    </w:p>
    <w:p>
      <w:pPr>
        <w:pStyle w:val="ListParagraph"/>
        <w:numPr>
          <w:ilvl w:val="0"/>
          <w:numId w:val="170"/>
        </w:numPr>
        <w:tabs>
          <w:tab w:pos="2664" w:val="left" w:leader="none"/>
          <w:tab w:pos="2665" w:val="left" w:leader="none"/>
        </w:tabs>
        <w:spacing w:line="240" w:lineRule="auto" w:before="318" w:after="0"/>
        <w:ind w:left="2664" w:right="0" w:hanging="681"/>
        <w:jc w:val="left"/>
        <w:rPr>
          <w:rFonts w:ascii="Stone Sans II ITC Std Bk"/>
          <w:b/>
          <w:sz w:val="21"/>
        </w:rPr>
      </w:pPr>
      <w:r>
        <w:rPr>
          <w:rFonts w:ascii="Stone Sans II ITC Std Bk"/>
          <w:b/>
          <w:w w:val="115"/>
          <w:sz w:val="21"/>
        </w:rPr>
        <w:t>Interpretation</w:t>
      </w:r>
    </w:p>
    <w:p>
      <w:pPr>
        <w:pStyle w:val="ListParagraph"/>
        <w:numPr>
          <w:ilvl w:val="1"/>
          <w:numId w:val="170"/>
        </w:numPr>
        <w:tabs>
          <w:tab w:pos="2664" w:val="left" w:leader="none"/>
          <w:tab w:pos="2665" w:val="left" w:leader="none"/>
        </w:tabs>
        <w:spacing w:line="240" w:lineRule="auto" w:before="219" w:after="0"/>
        <w:ind w:left="2664" w:right="0" w:hanging="681"/>
        <w:jc w:val="left"/>
        <w:rPr>
          <w:sz w:val="20"/>
        </w:rPr>
      </w:pPr>
      <w:r>
        <w:rPr>
          <w:w w:val="120"/>
          <w:sz w:val="20"/>
        </w:rPr>
        <w:t>In these</w:t>
      </w:r>
      <w:r>
        <w:rPr>
          <w:spacing w:val="-7"/>
          <w:w w:val="120"/>
          <w:sz w:val="20"/>
        </w:rPr>
        <w:t> </w:t>
      </w:r>
      <w:r>
        <w:rPr>
          <w:w w:val="120"/>
          <w:sz w:val="20"/>
        </w:rPr>
        <w:t>Articles:</w:t>
      </w:r>
    </w:p>
    <w:p>
      <w:pPr>
        <w:pStyle w:val="BodyText"/>
        <w:spacing w:before="6"/>
        <w:rPr>
          <w:sz w:val="24"/>
        </w:rPr>
      </w:pPr>
    </w:p>
    <w:p>
      <w:pPr>
        <w:pStyle w:val="BodyText"/>
        <w:tabs>
          <w:tab w:pos="5332" w:val="left" w:leader="none"/>
        </w:tabs>
        <w:ind w:left="2092"/>
      </w:pPr>
      <w:r>
        <w:rPr>
          <w:w w:val="120"/>
        </w:rPr>
        <w:t>“the</w:t>
      </w:r>
      <w:r>
        <w:rPr>
          <w:spacing w:val="11"/>
          <w:w w:val="120"/>
        </w:rPr>
        <w:t> </w:t>
      </w:r>
      <w:r>
        <w:rPr>
          <w:spacing w:val="-5"/>
          <w:w w:val="120"/>
        </w:rPr>
        <w:t>1985</w:t>
      </w:r>
      <w:r>
        <w:rPr>
          <w:spacing w:val="11"/>
          <w:w w:val="120"/>
        </w:rPr>
        <w:t> </w:t>
      </w:r>
      <w:r>
        <w:rPr>
          <w:spacing w:val="2"/>
          <w:w w:val="120"/>
        </w:rPr>
        <w:t>Act”</w:t>
        <w:tab/>
      </w:r>
      <w:r>
        <w:rPr>
          <w:w w:val="120"/>
        </w:rPr>
        <w:t>means the Companies Act</w:t>
      </w:r>
      <w:r>
        <w:rPr>
          <w:spacing w:val="43"/>
          <w:w w:val="120"/>
        </w:rPr>
        <w:t> </w:t>
      </w:r>
      <w:r>
        <w:rPr>
          <w:spacing w:val="-6"/>
          <w:w w:val="120"/>
        </w:rPr>
        <w:t>1985;</w:t>
      </w:r>
    </w:p>
    <w:p>
      <w:pPr>
        <w:pStyle w:val="BodyText"/>
        <w:spacing w:before="12"/>
        <w:rPr>
          <w:sz w:val="17"/>
        </w:rPr>
      </w:pPr>
    </w:p>
    <w:p>
      <w:pPr>
        <w:pStyle w:val="BodyText"/>
        <w:tabs>
          <w:tab w:pos="5332" w:val="left" w:leader="none"/>
        </w:tabs>
        <w:ind w:left="2092"/>
      </w:pPr>
      <w:r>
        <w:rPr>
          <w:w w:val="120"/>
        </w:rPr>
        <w:t>“the</w:t>
      </w:r>
      <w:r>
        <w:rPr>
          <w:spacing w:val="12"/>
          <w:w w:val="120"/>
        </w:rPr>
        <w:t> </w:t>
      </w:r>
      <w:r>
        <w:rPr>
          <w:w w:val="120"/>
        </w:rPr>
        <w:t>2006</w:t>
      </w:r>
      <w:r>
        <w:rPr>
          <w:spacing w:val="13"/>
          <w:w w:val="120"/>
        </w:rPr>
        <w:t> </w:t>
      </w:r>
      <w:r>
        <w:rPr>
          <w:spacing w:val="2"/>
          <w:w w:val="120"/>
        </w:rPr>
        <w:t>Act”</w:t>
        <w:tab/>
      </w:r>
      <w:r>
        <w:rPr>
          <w:w w:val="120"/>
        </w:rPr>
        <w:t>means the Companies Act</w:t>
      </w:r>
      <w:r>
        <w:rPr>
          <w:spacing w:val="43"/>
          <w:w w:val="120"/>
        </w:rPr>
        <w:t> </w:t>
      </w:r>
      <w:r>
        <w:rPr>
          <w:w w:val="120"/>
        </w:rPr>
        <w:t>2006;</w:t>
      </w:r>
    </w:p>
    <w:p>
      <w:pPr>
        <w:pStyle w:val="BodyText"/>
        <w:spacing w:before="3"/>
        <w:rPr>
          <w:sz w:val="18"/>
        </w:rPr>
      </w:pPr>
    </w:p>
    <w:p>
      <w:pPr>
        <w:pStyle w:val="BodyText"/>
        <w:tabs>
          <w:tab w:pos="5332" w:val="left" w:leader="none"/>
        </w:tabs>
        <w:spacing w:line="235" w:lineRule="auto"/>
        <w:ind w:left="5332" w:right="1466" w:hanging="3240"/>
      </w:pPr>
      <w:r>
        <w:rPr>
          <w:w w:val="120"/>
        </w:rPr>
        <w:t>“address”</w:t>
        <w:tab/>
        <w:t>means a </w:t>
      </w:r>
      <w:r>
        <w:rPr>
          <w:spacing w:val="2"/>
          <w:w w:val="120"/>
        </w:rPr>
        <w:t>postal address </w:t>
      </w:r>
      <w:r>
        <w:rPr>
          <w:spacing w:val="-3"/>
          <w:w w:val="120"/>
        </w:rPr>
        <w:t>or, </w:t>
      </w:r>
      <w:r>
        <w:rPr>
          <w:w w:val="120"/>
        </w:rPr>
        <w:t>for the </w:t>
      </w:r>
      <w:r>
        <w:rPr>
          <w:spacing w:val="2"/>
          <w:w w:val="120"/>
        </w:rPr>
        <w:t>purposes </w:t>
      </w:r>
      <w:r>
        <w:rPr>
          <w:w w:val="120"/>
        </w:rPr>
        <w:t>of </w:t>
      </w:r>
      <w:r>
        <w:rPr>
          <w:spacing w:val="2"/>
          <w:w w:val="120"/>
        </w:rPr>
        <w:t>electronic </w:t>
      </w:r>
      <w:r>
        <w:rPr>
          <w:w w:val="120"/>
        </w:rPr>
        <w:t>communication, a </w:t>
      </w:r>
      <w:r>
        <w:rPr>
          <w:spacing w:val="3"/>
          <w:w w:val="120"/>
        </w:rPr>
        <w:t>fax </w:t>
      </w:r>
      <w:r>
        <w:rPr>
          <w:w w:val="120"/>
        </w:rPr>
        <w:t>number, an </w:t>
      </w:r>
      <w:r>
        <w:rPr>
          <w:spacing w:val="3"/>
          <w:w w:val="120"/>
        </w:rPr>
        <w:t>e-mail </w:t>
      </w:r>
      <w:r>
        <w:rPr>
          <w:w w:val="120"/>
        </w:rPr>
        <w:t>or </w:t>
      </w:r>
      <w:r>
        <w:rPr>
          <w:spacing w:val="2"/>
          <w:w w:val="120"/>
        </w:rPr>
        <w:t>postal address </w:t>
      </w:r>
      <w:r>
        <w:rPr>
          <w:w w:val="120"/>
        </w:rPr>
        <w:t>or a </w:t>
      </w:r>
      <w:r>
        <w:rPr>
          <w:spacing w:val="2"/>
          <w:w w:val="120"/>
        </w:rPr>
        <w:t>telephone </w:t>
      </w:r>
      <w:r>
        <w:rPr>
          <w:w w:val="120"/>
        </w:rPr>
        <w:t>number for receiving </w:t>
      </w:r>
      <w:r>
        <w:rPr>
          <w:spacing w:val="2"/>
          <w:w w:val="120"/>
        </w:rPr>
        <w:t>text messages </w:t>
      </w:r>
      <w:r>
        <w:rPr>
          <w:w w:val="120"/>
        </w:rPr>
        <w:t>in each case </w:t>
      </w:r>
      <w:r>
        <w:rPr>
          <w:spacing w:val="2"/>
          <w:w w:val="120"/>
        </w:rPr>
        <w:t>registered </w:t>
      </w:r>
      <w:r>
        <w:rPr>
          <w:w w:val="120"/>
        </w:rPr>
        <w:t>with the</w:t>
      </w:r>
      <w:r>
        <w:rPr>
          <w:spacing w:val="12"/>
          <w:w w:val="120"/>
        </w:rPr>
        <w:t> </w:t>
      </w:r>
      <w:r>
        <w:rPr>
          <w:spacing w:val="2"/>
          <w:w w:val="120"/>
        </w:rPr>
        <w:t>charity;</w:t>
      </w:r>
    </w:p>
    <w:p>
      <w:pPr>
        <w:pStyle w:val="BodyText"/>
        <w:spacing w:before="7"/>
        <w:rPr>
          <w:sz w:val="18"/>
        </w:rPr>
      </w:pPr>
    </w:p>
    <w:p>
      <w:pPr>
        <w:pStyle w:val="BodyText"/>
        <w:tabs>
          <w:tab w:pos="5332" w:val="left" w:leader="none"/>
        </w:tabs>
        <w:spacing w:line="235" w:lineRule="auto"/>
        <w:ind w:left="5332" w:right="1750" w:hanging="3240"/>
      </w:pPr>
      <w:r>
        <w:rPr>
          <w:w w:val="120"/>
        </w:rPr>
        <w:t>“the</w:t>
      </w:r>
      <w:r>
        <w:rPr>
          <w:spacing w:val="12"/>
          <w:w w:val="120"/>
        </w:rPr>
        <w:t> </w:t>
      </w:r>
      <w:r>
        <w:rPr>
          <w:w w:val="120"/>
        </w:rPr>
        <w:t>Charity”</w:t>
        <w:tab/>
        <w:t>means the company intended to be regulated by these</w:t>
      </w:r>
      <w:r>
        <w:rPr>
          <w:spacing w:val="1"/>
          <w:w w:val="120"/>
        </w:rPr>
        <w:t> </w:t>
      </w:r>
      <w:r>
        <w:rPr>
          <w:w w:val="120"/>
        </w:rPr>
        <w:t>articles;</w:t>
      </w:r>
    </w:p>
    <w:p>
      <w:pPr>
        <w:pStyle w:val="BodyText"/>
        <w:spacing w:before="1"/>
        <w:rPr>
          <w:sz w:val="18"/>
        </w:rPr>
      </w:pPr>
    </w:p>
    <w:p>
      <w:pPr>
        <w:pStyle w:val="BodyText"/>
        <w:tabs>
          <w:tab w:pos="5332" w:val="left" w:leader="none"/>
        </w:tabs>
        <w:spacing w:before="1"/>
        <w:ind w:left="2092"/>
      </w:pPr>
      <w:r>
        <w:rPr>
          <w:w w:val="120"/>
        </w:rPr>
        <w:t>“the</w:t>
      </w:r>
      <w:r>
        <w:rPr>
          <w:spacing w:val="13"/>
          <w:w w:val="120"/>
        </w:rPr>
        <w:t> </w:t>
      </w:r>
      <w:r>
        <w:rPr>
          <w:w w:val="120"/>
        </w:rPr>
        <w:t>Church”</w:t>
        <w:tab/>
        <w:t>means the United Reformed</w:t>
      </w:r>
      <w:r>
        <w:rPr>
          <w:spacing w:val="9"/>
          <w:w w:val="120"/>
        </w:rPr>
        <w:t> </w:t>
      </w:r>
      <w:r>
        <w:rPr>
          <w:w w:val="120"/>
        </w:rPr>
        <w:t>Church</w:t>
      </w:r>
    </w:p>
    <w:p>
      <w:pPr>
        <w:pStyle w:val="BodyText"/>
        <w:tabs>
          <w:tab w:pos="5332" w:val="left" w:leader="none"/>
        </w:tabs>
        <w:spacing w:line="460" w:lineRule="atLeast" w:before="3"/>
        <w:ind w:left="2092" w:right="1966"/>
      </w:pPr>
      <w:r>
        <w:rPr>
          <w:w w:val="120"/>
        </w:rPr>
        <w:t>“the</w:t>
      </w:r>
      <w:r>
        <w:rPr>
          <w:spacing w:val="9"/>
          <w:w w:val="120"/>
        </w:rPr>
        <w:t> </w:t>
      </w:r>
      <w:r>
        <w:rPr>
          <w:w w:val="120"/>
        </w:rPr>
        <w:t>General</w:t>
      </w:r>
      <w:r>
        <w:rPr>
          <w:spacing w:val="9"/>
          <w:w w:val="120"/>
        </w:rPr>
        <w:t> </w:t>
      </w:r>
      <w:r>
        <w:rPr>
          <w:w w:val="120"/>
        </w:rPr>
        <w:t>Assembly”</w:t>
        <w:tab/>
        <w:t>means the General Assembly of the Church “Date</w:t>
      </w:r>
      <w:r>
        <w:rPr>
          <w:spacing w:val="8"/>
          <w:w w:val="120"/>
        </w:rPr>
        <w:t> </w:t>
      </w:r>
      <w:r>
        <w:rPr>
          <w:w w:val="120"/>
        </w:rPr>
        <w:t>of</w:t>
      </w:r>
      <w:r>
        <w:rPr>
          <w:spacing w:val="9"/>
          <w:w w:val="120"/>
        </w:rPr>
        <w:t> </w:t>
      </w:r>
      <w:r>
        <w:rPr>
          <w:w w:val="120"/>
        </w:rPr>
        <w:t>Adoption”</w:t>
        <w:tab/>
        <w:t>means the date upon which the</w:t>
      </w:r>
      <w:r>
        <w:rPr>
          <w:spacing w:val="25"/>
          <w:w w:val="120"/>
        </w:rPr>
        <w:t> </w:t>
      </w:r>
      <w:r>
        <w:rPr>
          <w:w w:val="120"/>
        </w:rPr>
        <w:t>Memorandum</w:t>
      </w:r>
    </w:p>
    <w:p>
      <w:pPr>
        <w:pStyle w:val="BodyText"/>
        <w:spacing w:line="233" w:lineRule="exact"/>
        <w:ind w:left="5332"/>
      </w:pPr>
      <w:r>
        <w:rPr>
          <w:w w:val="120"/>
        </w:rPr>
        <w:t>and Articles of Association are formally adopted.</w:t>
      </w:r>
    </w:p>
    <w:p>
      <w:pPr>
        <w:pStyle w:val="BodyText"/>
        <w:tabs>
          <w:tab w:pos="5332" w:val="left" w:leader="none"/>
        </w:tabs>
        <w:spacing w:line="235" w:lineRule="auto"/>
        <w:ind w:left="5332" w:right="1555" w:hanging="3240"/>
      </w:pPr>
      <w:r>
        <w:rPr>
          <w:w w:val="120"/>
        </w:rPr>
        <w:t>“clear days”</w:t>
        <w:tab/>
        <w:t>in relation to the period of a notice means a period excluding:</w:t>
      </w:r>
    </w:p>
    <w:p>
      <w:pPr>
        <w:pStyle w:val="ListParagraph"/>
        <w:numPr>
          <w:ilvl w:val="2"/>
          <w:numId w:val="170"/>
        </w:numPr>
        <w:tabs>
          <w:tab w:pos="5872" w:val="left" w:leader="none"/>
          <w:tab w:pos="5873" w:val="left" w:leader="none"/>
        </w:tabs>
        <w:spacing w:line="196" w:lineRule="auto" w:before="0" w:after="0"/>
        <w:ind w:left="5872" w:right="1426" w:hanging="540"/>
        <w:jc w:val="left"/>
        <w:rPr>
          <w:sz w:val="20"/>
        </w:rPr>
      </w:pPr>
      <w:r>
        <w:rPr>
          <w:w w:val="120"/>
          <w:sz w:val="20"/>
        </w:rPr>
        <w:t>the day when the notice is given or deemed to be given;</w:t>
      </w:r>
      <w:r>
        <w:rPr>
          <w:spacing w:val="5"/>
          <w:w w:val="120"/>
          <w:sz w:val="20"/>
        </w:rPr>
        <w:t> </w:t>
      </w:r>
      <w:r>
        <w:rPr>
          <w:w w:val="120"/>
          <w:sz w:val="20"/>
        </w:rPr>
        <w:t>and</w:t>
      </w:r>
    </w:p>
    <w:p>
      <w:pPr>
        <w:pStyle w:val="ListParagraph"/>
        <w:numPr>
          <w:ilvl w:val="2"/>
          <w:numId w:val="170"/>
        </w:numPr>
        <w:tabs>
          <w:tab w:pos="5872" w:val="left" w:leader="none"/>
          <w:tab w:pos="5873" w:val="left" w:leader="none"/>
        </w:tabs>
        <w:spacing w:line="196" w:lineRule="auto" w:before="16" w:after="0"/>
        <w:ind w:left="5872" w:right="1435" w:hanging="540"/>
        <w:jc w:val="left"/>
        <w:rPr>
          <w:sz w:val="20"/>
        </w:rPr>
      </w:pPr>
      <w:r>
        <w:rPr>
          <w:w w:val="115"/>
          <w:sz w:val="20"/>
        </w:rPr>
        <w:t>the day for which it is given or on which it is to take</w:t>
      </w:r>
      <w:r>
        <w:rPr>
          <w:spacing w:val="4"/>
          <w:w w:val="115"/>
          <w:sz w:val="20"/>
        </w:rPr>
        <w:t> </w:t>
      </w:r>
      <w:r>
        <w:rPr>
          <w:w w:val="115"/>
          <w:sz w:val="20"/>
        </w:rPr>
        <w:t>effect;</w:t>
      </w:r>
    </w:p>
    <w:p>
      <w:pPr>
        <w:pStyle w:val="BodyText"/>
      </w:pPr>
    </w:p>
    <w:p>
      <w:pPr>
        <w:pStyle w:val="BodyText"/>
      </w:pPr>
    </w:p>
    <w:p>
      <w:pPr>
        <w:pStyle w:val="BodyText"/>
      </w:pPr>
    </w:p>
    <w:p>
      <w:pPr>
        <w:pStyle w:val="BodyText"/>
      </w:pPr>
    </w:p>
    <w:p>
      <w:pPr>
        <w:tabs>
          <w:tab w:pos="10630" w:val="left" w:leader="none"/>
        </w:tabs>
        <w:spacing w:before="260"/>
        <w:ind w:left="4688"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2"/>
          <w:w w:val="110"/>
          <w:sz w:val="23"/>
        </w:rPr>
        <w:t> </w:t>
      </w:r>
      <w:r>
        <w:rPr>
          <w:color w:val="FFFFFF"/>
          <w:w w:val="110"/>
          <w:sz w:val="23"/>
        </w:rPr>
        <w:t>2010 </w:t>
      </w:r>
      <w:r>
        <w:rPr>
          <w:color w:val="FFFFFF"/>
          <w:spacing w:val="26"/>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229</w:t>
      </w:r>
    </w:p>
    <w:p>
      <w:pPr>
        <w:spacing w:after="0"/>
        <w:jc w:val="left"/>
        <w:rPr>
          <w:rFonts w:ascii="Stone Sans II ITC Std X Bd" w:hAnsi="Stone Sans II ITC Std X Bd"/>
          <w:sz w:val="24"/>
        </w:rPr>
        <w:sectPr>
          <w:headerReference w:type="default" r:id="rId540"/>
          <w:headerReference w:type="even" r:id="rId541"/>
          <w:footerReference w:type="default" r:id="rId542"/>
          <w:pgSz w:w="11910" w:h="16840"/>
          <w:pgMar w:header="0" w:footer="0" w:top="1020" w:bottom="280" w:left="0" w:right="0"/>
        </w:sectPr>
      </w:pPr>
    </w:p>
    <w:p>
      <w:pPr>
        <w:pStyle w:val="BodyText"/>
        <w:tabs>
          <w:tab w:pos="4481" w:val="left" w:leader="none"/>
        </w:tabs>
        <w:spacing w:line="456" w:lineRule="auto" w:before="103"/>
        <w:ind w:left="1241" w:right="2111"/>
        <w:jc w:val="both"/>
      </w:pPr>
      <w:r>
        <w:rPr/>
        <w:pict>
          <v:rect style="position:absolute;margin-left:12.047pt;margin-top:8.467772pt;width:22.677pt;height:22.677pt;mso-position-horizontal-relative:page;mso-position-vertical-relative:paragraph;z-index:252342272" filled="true" fillcolor="#e4ebc6" stroked="false">
            <v:fill opacity="32768f" type="solid"/>
            <w10:wrap type="none"/>
          </v:rect>
        </w:pict>
      </w:r>
      <w:r>
        <w:rPr>
          <w:w w:val="120"/>
        </w:rPr>
        <w:t>“the</w:t>
      </w:r>
      <w:r>
        <w:rPr>
          <w:spacing w:val="10"/>
          <w:w w:val="120"/>
        </w:rPr>
        <w:t> </w:t>
      </w:r>
      <w:r>
        <w:rPr>
          <w:w w:val="120"/>
        </w:rPr>
        <w:t>Commission”</w:t>
        <w:tab/>
        <w:t>means the Charity </w:t>
      </w:r>
      <w:r>
        <w:rPr>
          <w:spacing w:val="-3"/>
          <w:w w:val="120"/>
        </w:rPr>
        <w:t>Commission </w:t>
      </w:r>
      <w:r>
        <w:rPr>
          <w:w w:val="120"/>
        </w:rPr>
        <w:t>for England and </w:t>
      </w:r>
      <w:r>
        <w:rPr>
          <w:spacing w:val="-3"/>
          <w:w w:val="120"/>
        </w:rPr>
        <w:t>Wales; </w:t>
      </w:r>
      <w:r>
        <w:rPr>
          <w:w w:val="120"/>
        </w:rPr>
        <w:t>“the</w:t>
      </w:r>
      <w:r>
        <w:rPr>
          <w:spacing w:val="9"/>
          <w:w w:val="120"/>
        </w:rPr>
        <w:t> </w:t>
      </w:r>
      <w:r>
        <w:rPr>
          <w:w w:val="120"/>
        </w:rPr>
        <w:t>memorandum”</w:t>
        <w:tab/>
        <w:t>means the memorandum of association of the charity; “officers”</w:t>
        <w:tab/>
        <w:t>includes the Directors and the</w:t>
      </w:r>
      <w:r>
        <w:rPr>
          <w:spacing w:val="13"/>
          <w:w w:val="120"/>
        </w:rPr>
        <w:t> </w:t>
      </w:r>
      <w:r>
        <w:rPr>
          <w:w w:val="120"/>
        </w:rPr>
        <w:t>secretary;</w:t>
      </w:r>
    </w:p>
    <w:p>
      <w:pPr>
        <w:pStyle w:val="BodyText"/>
        <w:tabs>
          <w:tab w:pos="4481" w:val="left" w:leader="none"/>
        </w:tabs>
        <w:spacing w:line="232" w:lineRule="exact"/>
        <w:ind w:left="1241"/>
        <w:jc w:val="both"/>
      </w:pPr>
      <w:r>
        <w:rPr>
          <w:w w:val="120"/>
        </w:rPr>
        <w:t>“the</w:t>
      </w:r>
      <w:r>
        <w:rPr>
          <w:spacing w:val="2"/>
          <w:w w:val="120"/>
        </w:rPr>
        <w:t> </w:t>
      </w:r>
      <w:r>
        <w:rPr>
          <w:w w:val="120"/>
        </w:rPr>
        <w:t>seal”</w:t>
        <w:tab/>
        <w:t>means the common seal of the Charity if it has</w:t>
      </w:r>
      <w:r>
        <w:rPr>
          <w:spacing w:val="15"/>
          <w:w w:val="120"/>
        </w:rPr>
        <w:t> </w:t>
      </w:r>
      <w:r>
        <w:rPr>
          <w:w w:val="120"/>
        </w:rPr>
        <w:t>one;</w:t>
      </w:r>
    </w:p>
    <w:p>
      <w:pPr>
        <w:pStyle w:val="BodyText"/>
        <w:tabs>
          <w:tab w:pos="4481" w:val="left" w:leader="none"/>
        </w:tabs>
        <w:spacing w:line="235" w:lineRule="auto"/>
        <w:ind w:left="4481" w:right="2191" w:hanging="3240"/>
      </w:pPr>
      <w:r>
        <w:rPr>
          <w:w w:val="120"/>
        </w:rPr>
        <w:t>“secretary”</w:t>
        <w:tab/>
        <w:t>means the secretary of the Charity or any other person appointed to </w:t>
      </w:r>
      <w:r>
        <w:rPr>
          <w:spacing w:val="2"/>
          <w:w w:val="120"/>
        </w:rPr>
        <w:t>perform </w:t>
      </w:r>
      <w:r>
        <w:rPr>
          <w:w w:val="120"/>
        </w:rPr>
        <w:t>the duties of the secretary of the Charity, including a joint, assistant or deputy</w:t>
      </w:r>
      <w:r>
        <w:rPr>
          <w:spacing w:val="2"/>
          <w:w w:val="120"/>
        </w:rPr>
        <w:t> </w:t>
      </w:r>
      <w:r>
        <w:rPr>
          <w:w w:val="120"/>
        </w:rPr>
        <w:t>secretary;</w:t>
      </w:r>
    </w:p>
    <w:p>
      <w:pPr>
        <w:pStyle w:val="BodyText"/>
        <w:rPr>
          <w:sz w:val="18"/>
        </w:rPr>
      </w:pPr>
    </w:p>
    <w:p>
      <w:pPr>
        <w:pStyle w:val="BodyText"/>
        <w:tabs>
          <w:tab w:pos="4481" w:val="left" w:leader="none"/>
        </w:tabs>
        <w:spacing w:line="235" w:lineRule="auto"/>
        <w:ind w:left="4481" w:right="2447" w:hanging="3240"/>
      </w:pPr>
      <w:r>
        <w:rPr>
          <w:w w:val="120"/>
        </w:rPr>
        <w:t>“the</w:t>
      </w:r>
      <w:r>
        <w:rPr>
          <w:spacing w:val="10"/>
          <w:w w:val="120"/>
        </w:rPr>
        <w:t> </w:t>
      </w:r>
      <w:r>
        <w:rPr>
          <w:w w:val="120"/>
        </w:rPr>
        <w:t>Directors”</w:t>
        <w:tab/>
        <w:t>means the directors of the Charity. The directors are charity trustees as defined by Section </w:t>
      </w:r>
      <w:r>
        <w:rPr>
          <w:spacing w:val="-5"/>
          <w:w w:val="120"/>
        </w:rPr>
        <w:t>97 </w:t>
      </w:r>
      <w:r>
        <w:rPr>
          <w:w w:val="120"/>
        </w:rPr>
        <w:t>of the Charities Act</w:t>
      </w:r>
      <w:r>
        <w:rPr>
          <w:spacing w:val="5"/>
          <w:w w:val="120"/>
        </w:rPr>
        <w:t> </w:t>
      </w:r>
      <w:r>
        <w:rPr>
          <w:spacing w:val="-6"/>
          <w:w w:val="120"/>
        </w:rPr>
        <w:t>1993;</w:t>
      </w:r>
    </w:p>
    <w:p>
      <w:pPr>
        <w:pStyle w:val="BodyText"/>
        <w:spacing w:before="2"/>
        <w:rPr>
          <w:sz w:val="18"/>
        </w:rPr>
      </w:pPr>
    </w:p>
    <w:p>
      <w:pPr>
        <w:pStyle w:val="BodyText"/>
        <w:tabs>
          <w:tab w:pos="4481" w:val="left" w:leader="none"/>
        </w:tabs>
        <w:ind w:left="1241"/>
        <w:jc w:val="both"/>
      </w:pPr>
      <w:r>
        <w:rPr>
          <w:w w:val="120"/>
        </w:rPr>
        <w:t>“the</w:t>
      </w:r>
      <w:r>
        <w:rPr>
          <w:spacing w:val="16"/>
          <w:w w:val="120"/>
        </w:rPr>
        <w:t> </w:t>
      </w:r>
      <w:r>
        <w:rPr>
          <w:w w:val="120"/>
        </w:rPr>
        <w:t>United</w:t>
      </w:r>
      <w:r>
        <w:rPr>
          <w:spacing w:val="16"/>
          <w:w w:val="120"/>
        </w:rPr>
        <w:t> </w:t>
      </w:r>
      <w:r>
        <w:rPr>
          <w:w w:val="120"/>
        </w:rPr>
        <w:t>Kingdom”</w:t>
        <w:tab/>
        <w:t>means Great Britain and </w:t>
      </w:r>
      <w:r>
        <w:rPr>
          <w:spacing w:val="2"/>
          <w:w w:val="120"/>
        </w:rPr>
        <w:t>Northern</w:t>
      </w:r>
      <w:r>
        <w:rPr>
          <w:spacing w:val="8"/>
          <w:w w:val="120"/>
        </w:rPr>
        <w:t> </w:t>
      </w:r>
      <w:r>
        <w:rPr>
          <w:w w:val="120"/>
        </w:rPr>
        <w:t>Ireland;</w:t>
      </w:r>
    </w:p>
    <w:p>
      <w:pPr>
        <w:pStyle w:val="BodyText"/>
        <w:spacing w:before="3"/>
        <w:rPr>
          <w:sz w:val="18"/>
        </w:rPr>
      </w:pPr>
    </w:p>
    <w:p>
      <w:pPr>
        <w:pStyle w:val="BodyText"/>
        <w:spacing w:line="235" w:lineRule="auto" w:before="1"/>
        <w:ind w:left="1241" w:right="2093"/>
        <w:jc w:val="both"/>
      </w:pPr>
      <w:r>
        <w:rPr>
          <w:w w:val="120"/>
        </w:rPr>
        <w:t>and words importing one gender shall include all genders, and the singular includes the plural and vice versa.</w:t>
      </w:r>
    </w:p>
    <w:p>
      <w:pPr>
        <w:pStyle w:val="BodyText"/>
        <w:spacing w:before="10"/>
        <w:rPr>
          <w:sz w:val="32"/>
        </w:rPr>
      </w:pPr>
    </w:p>
    <w:p>
      <w:pPr>
        <w:numPr>
          <w:ilvl w:val="1"/>
          <w:numId w:val="170"/>
        </w:numPr>
        <w:tabs>
          <w:tab w:pos="1814" w:val="left" w:leader="none"/>
          <w:tab w:pos="1815" w:val="left" w:leader="none"/>
        </w:tabs>
        <w:spacing w:line="213" w:lineRule="auto" w:before="1"/>
        <w:ind w:left="1814" w:right="2014" w:hanging="681"/>
        <w:jc w:val="left"/>
        <w:rPr>
          <w:sz w:val="22"/>
        </w:rPr>
      </w:pPr>
      <w:r>
        <w:rPr>
          <w:w w:val="110"/>
          <w:sz w:val="22"/>
        </w:rPr>
        <w:t>Unless the context otherwise requires words or expressions contained in these articles have the same meaning as in the </w:t>
      </w:r>
      <w:r>
        <w:rPr>
          <w:spacing w:val="-6"/>
          <w:w w:val="110"/>
          <w:sz w:val="22"/>
        </w:rPr>
        <w:t>1985 </w:t>
      </w:r>
      <w:r>
        <w:rPr>
          <w:w w:val="110"/>
          <w:sz w:val="22"/>
        </w:rPr>
        <w:t>Act or the 2006 Act but excluding any statutory modification not in force when this constitution becomes binding</w:t>
      </w:r>
      <w:r>
        <w:rPr>
          <w:spacing w:val="-39"/>
          <w:w w:val="110"/>
          <w:sz w:val="22"/>
        </w:rPr>
        <w:t> </w:t>
      </w:r>
      <w:r>
        <w:rPr>
          <w:w w:val="110"/>
          <w:sz w:val="22"/>
        </w:rPr>
        <w:t>on the</w:t>
      </w:r>
      <w:r>
        <w:rPr>
          <w:spacing w:val="1"/>
          <w:w w:val="110"/>
          <w:sz w:val="22"/>
        </w:rPr>
        <w:t> </w:t>
      </w:r>
      <w:r>
        <w:rPr>
          <w:w w:val="110"/>
          <w:sz w:val="22"/>
        </w:rPr>
        <w:t>Charity.</w:t>
      </w:r>
    </w:p>
    <w:p>
      <w:pPr>
        <w:pStyle w:val="BodyText"/>
        <w:spacing w:before="11"/>
        <w:rPr>
          <w:sz w:val="19"/>
        </w:rPr>
      </w:pPr>
    </w:p>
    <w:p>
      <w:pPr>
        <w:pStyle w:val="ListParagraph"/>
        <w:numPr>
          <w:ilvl w:val="1"/>
          <w:numId w:val="170"/>
        </w:numPr>
        <w:tabs>
          <w:tab w:pos="1814" w:val="left" w:leader="none"/>
          <w:tab w:pos="1815" w:val="left" w:leader="none"/>
        </w:tabs>
        <w:spacing w:line="213" w:lineRule="auto" w:before="1" w:after="0"/>
        <w:ind w:left="1814" w:right="2109" w:hanging="681"/>
        <w:jc w:val="left"/>
        <w:rPr>
          <w:sz w:val="22"/>
        </w:rPr>
      </w:pPr>
      <w:r>
        <w:rPr>
          <w:w w:val="110"/>
          <w:sz w:val="22"/>
        </w:rPr>
        <w:t>Apart from the exception mentioned in the previous paragraph a reference to an Act</w:t>
      </w:r>
      <w:r>
        <w:rPr>
          <w:spacing w:val="-10"/>
          <w:w w:val="110"/>
          <w:sz w:val="22"/>
        </w:rPr>
        <w:t> </w:t>
      </w:r>
      <w:r>
        <w:rPr>
          <w:w w:val="110"/>
          <w:sz w:val="22"/>
        </w:rPr>
        <w:t>of</w:t>
      </w:r>
      <w:r>
        <w:rPr>
          <w:spacing w:val="-9"/>
          <w:w w:val="110"/>
          <w:sz w:val="22"/>
        </w:rPr>
        <w:t> </w:t>
      </w:r>
      <w:r>
        <w:rPr>
          <w:w w:val="110"/>
          <w:sz w:val="22"/>
        </w:rPr>
        <w:t>Parliament</w:t>
      </w:r>
      <w:r>
        <w:rPr>
          <w:spacing w:val="-9"/>
          <w:w w:val="110"/>
          <w:sz w:val="22"/>
        </w:rPr>
        <w:t> </w:t>
      </w:r>
      <w:r>
        <w:rPr>
          <w:w w:val="110"/>
          <w:sz w:val="22"/>
        </w:rPr>
        <w:t>includes</w:t>
      </w:r>
      <w:r>
        <w:rPr>
          <w:spacing w:val="-10"/>
          <w:w w:val="110"/>
          <w:sz w:val="22"/>
        </w:rPr>
        <w:t> </w:t>
      </w:r>
      <w:r>
        <w:rPr>
          <w:w w:val="110"/>
          <w:sz w:val="22"/>
        </w:rPr>
        <w:t>any</w:t>
      </w:r>
      <w:r>
        <w:rPr>
          <w:spacing w:val="-9"/>
          <w:w w:val="110"/>
          <w:sz w:val="22"/>
        </w:rPr>
        <w:t> </w:t>
      </w:r>
      <w:r>
        <w:rPr>
          <w:w w:val="110"/>
          <w:sz w:val="22"/>
        </w:rPr>
        <w:t>statutory</w:t>
      </w:r>
      <w:r>
        <w:rPr>
          <w:spacing w:val="-9"/>
          <w:w w:val="110"/>
          <w:sz w:val="22"/>
        </w:rPr>
        <w:t> </w:t>
      </w:r>
      <w:r>
        <w:rPr>
          <w:w w:val="110"/>
          <w:sz w:val="22"/>
        </w:rPr>
        <w:t>modification</w:t>
      </w:r>
      <w:r>
        <w:rPr>
          <w:spacing w:val="-9"/>
          <w:w w:val="110"/>
          <w:sz w:val="22"/>
        </w:rPr>
        <w:t> </w:t>
      </w:r>
      <w:r>
        <w:rPr>
          <w:w w:val="110"/>
          <w:sz w:val="22"/>
        </w:rPr>
        <w:t>or</w:t>
      </w:r>
      <w:r>
        <w:rPr>
          <w:spacing w:val="-10"/>
          <w:w w:val="110"/>
          <w:sz w:val="22"/>
        </w:rPr>
        <w:t> </w:t>
      </w:r>
      <w:r>
        <w:rPr>
          <w:w w:val="110"/>
          <w:sz w:val="22"/>
        </w:rPr>
        <w:t>re-enactment</w:t>
      </w:r>
      <w:r>
        <w:rPr>
          <w:spacing w:val="-9"/>
          <w:w w:val="110"/>
          <w:sz w:val="22"/>
        </w:rPr>
        <w:t> </w:t>
      </w:r>
      <w:r>
        <w:rPr>
          <w:w w:val="110"/>
          <w:sz w:val="22"/>
        </w:rPr>
        <w:t>of</w:t>
      </w:r>
      <w:r>
        <w:rPr>
          <w:spacing w:val="-9"/>
          <w:w w:val="110"/>
          <w:sz w:val="22"/>
        </w:rPr>
        <w:t> </w:t>
      </w:r>
      <w:r>
        <w:rPr>
          <w:w w:val="110"/>
          <w:sz w:val="22"/>
        </w:rPr>
        <w:t>it</w:t>
      </w:r>
      <w:r>
        <w:rPr>
          <w:spacing w:val="-9"/>
          <w:w w:val="110"/>
          <w:sz w:val="22"/>
        </w:rPr>
        <w:t> </w:t>
      </w:r>
      <w:r>
        <w:rPr>
          <w:w w:val="110"/>
          <w:sz w:val="22"/>
        </w:rPr>
        <w:t>for</w:t>
      </w:r>
      <w:r>
        <w:rPr>
          <w:spacing w:val="-10"/>
          <w:w w:val="110"/>
          <w:sz w:val="22"/>
        </w:rPr>
        <w:t> </w:t>
      </w:r>
      <w:r>
        <w:rPr>
          <w:w w:val="110"/>
          <w:sz w:val="22"/>
        </w:rPr>
        <w:t>the time being in</w:t>
      </w:r>
      <w:r>
        <w:rPr>
          <w:spacing w:val="5"/>
          <w:w w:val="110"/>
          <w:sz w:val="22"/>
        </w:rPr>
        <w:t> </w:t>
      </w:r>
      <w:r>
        <w:rPr>
          <w:w w:val="110"/>
          <w:sz w:val="22"/>
        </w:rPr>
        <w:t>force.</w:t>
      </w:r>
    </w:p>
    <w:p>
      <w:pPr>
        <w:pStyle w:val="BodyText"/>
        <w:spacing w:before="10"/>
        <w:rPr>
          <w:sz w:val="19"/>
        </w:rPr>
      </w:pPr>
    </w:p>
    <w:p>
      <w:pPr>
        <w:pStyle w:val="ListParagraph"/>
        <w:numPr>
          <w:ilvl w:val="1"/>
          <w:numId w:val="170"/>
        </w:numPr>
        <w:tabs>
          <w:tab w:pos="1814" w:val="left" w:leader="none"/>
          <w:tab w:pos="1815" w:val="left" w:leader="none"/>
        </w:tabs>
        <w:spacing w:line="213" w:lineRule="auto" w:before="1" w:after="0"/>
        <w:ind w:left="1814" w:right="2642" w:hanging="681"/>
        <w:jc w:val="left"/>
        <w:rPr>
          <w:sz w:val="22"/>
        </w:rPr>
      </w:pPr>
      <w:r>
        <w:rPr>
          <w:w w:val="110"/>
          <w:sz w:val="22"/>
        </w:rPr>
        <w:t>The</w:t>
      </w:r>
      <w:r>
        <w:rPr>
          <w:spacing w:val="-6"/>
          <w:w w:val="110"/>
          <w:sz w:val="22"/>
        </w:rPr>
        <w:t> </w:t>
      </w:r>
      <w:r>
        <w:rPr>
          <w:w w:val="110"/>
          <w:sz w:val="22"/>
        </w:rPr>
        <w:t>provisions</w:t>
      </w:r>
      <w:r>
        <w:rPr>
          <w:spacing w:val="-6"/>
          <w:w w:val="110"/>
          <w:sz w:val="22"/>
        </w:rPr>
        <w:t> </w:t>
      </w:r>
      <w:r>
        <w:rPr>
          <w:w w:val="110"/>
          <w:sz w:val="22"/>
        </w:rPr>
        <w:t>of</w:t>
      </w:r>
      <w:r>
        <w:rPr>
          <w:spacing w:val="-6"/>
          <w:w w:val="110"/>
          <w:sz w:val="22"/>
        </w:rPr>
        <w:t> </w:t>
      </w:r>
      <w:r>
        <w:rPr>
          <w:w w:val="110"/>
          <w:sz w:val="22"/>
        </w:rPr>
        <w:t>the</w:t>
      </w:r>
      <w:r>
        <w:rPr>
          <w:spacing w:val="-6"/>
          <w:w w:val="110"/>
          <w:sz w:val="22"/>
        </w:rPr>
        <w:t> </w:t>
      </w:r>
      <w:r>
        <w:rPr>
          <w:w w:val="110"/>
          <w:sz w:val="22"/>
        </w:rPr>
        <w:t>Memorandum</w:t>
      </w:r>
      <w:r>
        <w:rPr>
          <w:spacing w:val="-5"/>
          <w:w w:val="110"/>
          <w:sz w:val="22"/>
        </w:rPr>
        <w:t> </w:t>
      </w:r>
      <w:r>
        <w:rPr>
          <w:w w:val="110"/>
          <w:sz w:val="22"/>
        </w:rPr>
        <w:t>to</w:t>
      </w:r>
      <w:r>
        <w:rPr>
          <w:spacing w:val="-6"/>
          <w:w w:val="110"/>
          <w:sz w:val="22"/>
        </w:rPr>
        <w:t> </w:t>
      </w:r>
      <w:r>
        <w:rPr>
          <w:w w:val="110"/>
          <w:sz w:val="22"/>
        </w:rPr>
        <w:t>the</w:t>
      </w:r>
      <w:r>
        <w:rPr>
          <w:spacing w:val="-6"/>
          <w:w w:val="110"/>
          <w:sz w:val="22"/>
        </w:rPr>
        <w:t> </w:t>
      </w:r>
      <w:r>
        <w:rPr>
          <w:w w:val="110"/>
          <w:sz w:val="22"/>
        </w:rPr>
        <w:t>extent</w:t>
      </w:r>
      <w:r>
        <w:rPr>
          <w:spacing w:val="-6"/>
          <w:w w:val="110"/>
          <w:sz w:val="22"/>
        </w:rPr>
        <w:t> </w:t>
      </w:r>
      <w:r>
        <w:rPr>
          <w:w w:val="110"/>
          <w:sz w:val="22"/>
        </w:rPr>
        <w:t>that</w:t>
      </w:r>
      <w:r>
        <w:rPr>
          <w:spacing w:val="-6"/>
          <w:w w:val="110"/>
          <w:sz w:val="22"/>
        </w:rPr>
        <w:t> </w:t>
      </w:r>
      <w:r>
        <w:rPr>
          <w:w w:val="110"/>
          <w:sz w:val="22"/>
        </w:rPr>
        <w:t>they</w:t>
      </w:r>
      <w:r>
        <w:rPr>
          <w:spacing w:val="-5"/>
          <w:w w:val="110"/>
          <w:sz w:val="22"/>
        </w:rPr>
        <w:t> </w:t>
      </w:r>
      <w:r>
        <w:rPr>
          <w:w w:val="110"/>
          <w:sz w:val="22"/>
        </w:rPr>
        <w:t>could</w:t>
      </w:r>
      <w:r>
        <w:rPr>
          <w:spacing w:val="-6"/>
          <w:w w:val="110"/>
          <w:sz w:val="22"/>
        </w:rPr>
        <w:t> </w:t>
      </w:r>
      <w:r>
        <w:rPr>
          <w:w w:val="110"/>
          <w:sz w:val="22"/>
        </w:rPr>
        <w:t>have</w:t>
      </w:r>
      <w:r>
        <w:rPr>
          <w:spacing w:val="-6"/>
          <w:w w:val="110"/>
          <w:sz w:val="22"/>
        </w:rPr>
        <w:t> </w:t>
      </w:r>
      <w:r>
        <w:rPr>
          <w:w w:val="110"/>
          <w:sz w:val="22"/>
        </w:rPr>
        <w:t>been contained in the Articles shall take effect as though repeated</w:t>
      </w:r>
      <w:r>
        <w:rPr>
          <w:spacing w:val="-20"/>
          <w:w w:val="110"/>
          <w:sz w:val="22"/>
        </w:rPr>
        <w:t> </w:t>
      </w:r>
      <w:r>
        <w:rPr>
          <w:w w:val="110"/>
          <w:sz w:val="22"/>
        </w:rPr>
        <w:t>here.</w:t>
      </w:r>
    </w:p>
    <w:p>
      <w:pPr>
        <w:pStyle w:val="BodyText"/>
        <w:spacing w:before="3"/>
        <w:rPr>
          <w:sz w:val="37"/>
        </w:rPr>
      </w:pPr>
    </w:p>
    <w:p>
      <w:pPr>
        <w:numPr>
          <w:ilvl w:val="0"/>
          <w:numId w:val="170"/>
        </w:numPr>
        <w:tabs>
          <w:tab w:pos="1814" w:val="left" w:leader="none"/>
          <w:tab w:pos="1815" w:val="left" w:leader="none"/>
        </w:tabs>
        <w:spacing w:before="0"/>
        <w:ind w:left="1814" w:right="0" w:hanging="682"/>
        <w:jc w:val="left"/>
        <w:rPr>
          <w:rFonts w:ascii="Stone Sans II ITC Std Bk"/>
          <w:b/>
          <w:sz w:val="21"/>
        </w:rPr>
      </w:pPr>
      <w:r>
        <w:rPr>
          <w:rFonts w:ascii="Stone Sans II ITC Std Bk"/>
          <w:b/>
          <w:w w:val="115"/>
          <w:sz w:val="21"/>
        </w:rPr>
        <w:t>Members and</w:t>
      </w:r>
      <w:r>
        <w:rPr>
          <w:rFonts w:ascii="Stone Sans II ITC Std Bk"/>
          <w:b/>
          <w:spacing w:val="-3"/>
          <w:w w:val="115"/>
          <w:sz w:val="21"/>
        </w:rPr>
        <w:t> </w:t>
      </w:r>
      <w:r>
        <w:rPr>
          <w:rFonts w:ascii="Stone Sans II ITC Std Bk"/>
          <w:b/>
          <w:w w:val="115"/>
          <w:sz w:val="21"/>
        </w:rPr>
        <w:t>Directors</w:t>
      </w:r>
    </w:p>
    <w:p>
      <w:pPr>
        <w:pStyle w:val="ListParagraph"/>
        <w:numPr>
          <w:ilvl w:val="1"/>
          <w:numId w:val="170"/>
        </w:numPr>
        <w:tabs>
          <w:tab w:pos="1814" w:val="left" w:leader="none"/>
          <w:tab w:pos="1815" w:val="left" w:leader="none"/>
        </w:tabs>
        <w:spacing w:line="242" w:lineRule="exact" w:before="219" w:after="0"/>
        <w:ind w:left="1814" w:right="0" w:hanging="682"/>
        <w:jc w:val="left"/>
        <w:rPr>
          <w:sz w:val="20"/>
        </w:rPr>
      </w:pPr>
      <w:r>
        <w:rPr>
          <w:w w:val="120"/>
          <w:sz w:val="20"/>
        </w:rPr>
        <w:t>The following persons shall subject to the provisions of Articles 2.2, </w:t>
      </w:r>
      <w:r>
        <w:rPr>
          <w:spacing w:val="-4"/>
          <w:w w:val="120"/>
          <w:sz w:val="20"/>
        </w:rPr>
        <w:t>2.4, </w:t>
      </w:r>
      <w:r>
        <w:rPr>
          <w:w w:val="120"/>
          <w:sz w:val="20"/>
        </w:rPr>
        <w:t>2.5</w:t>
      </w:r>
      <w:r>
        <w:rPr>
          <w:spacing w:val="48"/>
          <w:w w:val="120"/>
          <w:sz w:val="20"/>
        </w:rPr>
        <w:t> </w:t>
      </w:r>
      <w:r>
        <w:rPr>
          <w:w w:val="120"/>
          <w:sz w:val="20"/>
        </w:rPr>
        <w:t>and</w:t>
      </w:r>
    </w:p>
    <w:p>
      <w:pPr>
        <w:pStyle w:val="BodyText"/>
        <w:spacing w:line="242" w:lineRule="exact"/>
        <w:ind w:left="1814"/>
      </w:pPr>
      <w:r>
        <w:rPr>
          <w:w w:val="120"/>
        </w:rPr>
        <w:t>2.7 be members of the charity:-</w:t>
      </w:r>
    </w:p>
    <w:p>
      <w:pPr>
        <w:pStyle w:val="BodyText"/>
        <w:spacing w:before="7"/>
        <w:rPr>
          <w:sz w:val="19"/>
        </w:rPr>
      </w:pPr>
    </w:p>
    <w:p>
      <w:pPr>
        <w:pStyle w:val="ListParagraph"/>
        <w:numPr>
          <w:ilvl w:val="0"/>
          <w:numId w:val="171"/>
        </w:numPr>
        <w:tabs>
          <w:tab w:pos="2573" w:val="left" w:leader="none"/>
          <w:tab w:pos="2574" w:val="left" w:leader="none"/>
        </w:tabs>
        <w:spacing w:line="235" w:lineRule="auto" w:before="1" w:after="0"/>
        <w:ind w:left="2573" w:right="2098" w:hanging="760"/>
        <w:jc w:val="left"/>
        <w:rPr>
          <w:sz w:val="20"/>
        </w:rPr>
      </w:pPr>
      <w:r>
        <w:rPr/>
        <w:pict>
          <v:line style="position:absolute;mso-position-horizontal-relative:page;mso-position-vertical-relative:paragraph;z-index:-267080704" from="189.680695pt,22.623363pt" to="192.468695pt,22.623363pt" stroked="true" strokeweight=".495pt" strokecolor="#000000">
            <v:stroke dashstyle="solid"/>
            <w10:wrap type="none"/>
          </v:line>
        </w:pict>
      </w:r>
      <w:r>
        <w:rPr>
          <w:w w:val="120"/>
          <w:sz w:val="20"/>
        </w:rPr>
        <w:t>the persons who, for the time being, hold the following offices in the Church: the incumbent Moderators of the General Assembly, the General Secretary, the Deputy General Secretary, the Treasurer of the Church and the Clerk to the General Assembly, each of whom shall be an ex-officio Member of the</w:t>
      </w:r>
      <w:r>
        <w:rPr>
          <w:spacing w:val="6"/>
          <w:w w:val="120"/>
          <w:sz w:val="20"/>
        </w:rPr>
        <w:t> </w:t>
      </w:r>
      <w:r>
        <w:rPr>
          <w:w w:val="120"/>
          <w:sz w:val="20"/>
        </w:rPr>
        <w:t>Charity;</w:t>
      </w:r>
    </w:p>
    <w:p>
      <w:pPr>
        <w:pStyle w:val="BodyText"/>
        <w:spacing w:before="11"/>
        <w:rPr>
          <w:sz w:val="19"/>
        </w:rPr>
      </w:pPr>
    </w:p>
    <w:p>
      <w:pPr>
        <w:pStyle w:val="ListParagraph"/>
        <w:numPr>
          <w:ilvl w:val="0"/>
          <w:numId w:val="171"/>
        </w:numPr>
        <w:tabs>
          <w:tab w:pos="2573" w:val="left" w:leader="none"/>
          <w:tab w:pos="2574" w:val="left" w:leader="none"/>
        </w:tabs>
        <w:spacing w:line="235" w:lineRule="auto" w:before="0" w:after="0"/>
        <w:ind w:left="2573" w:right="2152" w:hanging="760"/>
        <w:jc w:val="left"/>
        <w:rPr>
          <w:sz w:val="20"/>
        </w:rPr>
      </w:pPr>
      <w:r>
        <w:rPr>
          <w:w w:val="120"/>
          <w:sz w:val="20"/>
        </w:rPr>
        <w:t>the persons (in addition to members by virtue of Article </w:t>
      </w:r>
      <w:r>
        <w:rPr>
          <w:spacing w:val="-7"/>
          <w:w w:val="120"/>
          <w:sz w:val="20"/>
        </w:rPr>
        <w:t>2.1</w:t>
      </w:r>
      <w:r>
        <w:rPr>
          <w:spacing w:val="40"/>
          <w:w w:val="120"/>
          <w:sz w:val="20"/>
        </w:rPr>
        <w:t> </w:t>
      </w:r>
      <w:r>
        <w:rPr>
          <w:spacing w:val="-12"/>
          <w:w w:val="120"/>
          <w:sz w:val="20"/>
        </w:rPr>
        <w:t>(a))  </w:t>
      </w:r>
      <w:r>
        <w:rPr>
          <w:w w:val="120"/>
          <w:sz w:val="20"/>
        </w:rPr>
        <w:t>who were on the Date of Adoption members of the Charity and who have not since that date ceased to be members</w:t>
      </w:r>
      <w:r>
        <w:rPr>
          <w:spacing w:val="10"/>
          <w:w w:val="120"/>
          <w:sz w:val="20"/>
        </w:rPr>
        <w:t> </w:t>
      </w:r>
      <w:r>
        <w:rPr>
          <w:w w:val="120"/>
          <w:sz w:val="20"/>
        </w:rPr>
        <w:t>thereof;</w:t>
      </w:r>
    </w:p>
    <w:p>
      <w:pPr>
        <w:pStyle w:val="BodyText"/>
        <w:spacing w:before="10"/>
        <w:rPr>
          <w:sz w:val="19"/>
        </w:rPr>
      </w:pPr>
    </w:p>
    <w:p>
      <w:pPr>
        <w:pStyle w:val="ListParagraph"/>
        <w:numPr>
          <w:ilvl w:val="0"/>
          <w:numId w:val="171"/>
        </w:numPr>
        <w:tabs>
          <w:tab w:pos="2573" w:val="left" w:leader="none"/>
          <w:tab w:pos="2574" w:val="left" w:leader="none"/>
        </w:tabs>
        <w:spacing w:line="235" w:lineRule="auto" w:before="0" w:after="0"/>
        <w:ind w:left="2573" w:right="2497" w:hanging="760"/>
        <w:jc w:val="left"/>
        <w:rPr>
          <w:sz w:val="20"/>
        </w:rPr>
      </w:pPr>
      <w:r>
        <w:rPr>
          <w:w w:val="120"/>
          <w:sz w:val="20"/>
        </w:rPr>
        <w:t>such other persons </w:t>
      </w:r>
      <w:r>
        <w:rPr>
          <w:spacing w:val="-5"/>
          <w:w w:val="120"/>
          <w:sz w:val="20"/>
        </w:rPr>
        <w:t>(not </w:t>
      </w:r>
      <w:r>
        <w:rPr>
          <w:w w:val="120"/>
          <w:sz w:val="20"/>
        </w:rPr>
        <w:t>being members by virtue of Article </w:t>
      </w:r>
      <w:r>
        <w:rPr>
          <w:spacing w:val="-11"/>
          <w:w w:val="120"/>
          <w:sz w:val="20"/>
        </w:rPr>
        <w:t>2.1(a) </w:t>
      </w:r>
      <w:r>
        <w:rPr>
          <w:w w:val="120"/>
          <w:sz w:val="20"/>
        </w:rPr>
        <w:t>or Article </w:t>
      </w:r>
      <w:r>
        <w:rPr>
          <w:spacing w:val="-10"/>
          <w:w w:val="120"/>
          <w:sz w:val="20"/>
        </w:rPr>
        <w:t>2.1(b)) </w:t>
      </w:r>
      <w:r>
        <w:rPr>
          <w:w w:val="120"/>
          <w:sz w:val="20"/>
        </w:rPr>
        <w:t>as shall be appointed as members of the Charity by the General</w:t>
      </w:r>
      <w:r>
        <w:rPr>
          <w:spacing w:val="2"/>
          <w:w w:val="120"/>
          <w:sz w:val="20"/>
        </w:rPr>
        <w:t> </w:t>
      </w:r>
      <w:r>
        <w:rPr>
          <w:w w:val="120"/>
          <w:sz w:val="20"/>
        </w:rPr>
        <w:t>Assembly;</w:t>
      </w:r>
    </w:p>
    <w:p>
      <w:pPr>
        <w:pStyle w:val="BodyText"/>
        <w:spacing w:before="11"/>
        <w:rPr>
          <w:sz w:val="19"/>
        </w:rPr>
      </w:pPr>
    </w:p>
    <w:p>
      <w:pPr>
        <w:pStyle w:val="BodyText"/>
        <w:spacing w:line="235" w:lineRule="auto"/>
        <w:ind w:left="1814" w:right="2306"/>
        <w:jc w:val="both"/>
      </w:pPr>
      <w:r>
        <w:rPr>
          <w:w w:val="120"/>
        </w:rPr>
        <w:t>and provided that in all cases all such persons mentioned in sub-clauses (a), (b) and (c) are eligible to become Directors and are not disqualified from acting in accordance with the provisions of Article 11.</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377" w:hanging="681"/>
        <w:jc w:val="left"/>
        <w:rPr>
          <w:sz w:val="20"/>
        </w:rPr>
      </w:pPr>
      <w:r>
        <w:rPr>
          <w:w w:val="120"/>
          <w:sz w:val="20"/>
        </w:rPr>
        <w:t>No person shall be appointed to membership of the Charity without his or her consent.</w:t>
      </w:r>
    </w:p>
    <w:p>
      <w:pPr>
        <w:spacing w:after="0" w:line="235" w:lineRule="auto"/>
        <w:jc w:val="left"/>
        <w:rPr>
          <w:sz w:val="20"/>
        </w:rPr>
        <w:sectPr>
          <w:headerReference w:type="even" r:id="rId543"/>
          <w:headerReference w:type="default" r:id="rId544"/>
          <w:footerReference w:type="even" r:id="rId545"/>
          <w:footerReference w:type="default" r:id="rId546"/>
          <w:pgSz w:w="11910" w:h="16840"/>
          <w:pgMar w:header="0" w:footer="647" w:top="1060" w:bottom="840" w:left="0" w:right="0"/>
        </w:sectPr>
      </w:pPr>
    </w:p>
    <w:p>
      <w:pPr>
        <w:pStyle w:val="ListParagraph"/>
        <w:numPr>
          <w:ilvl w:val="1"/>
          <w:numId w:val="170"/>
        </w:numPr>
        <w:tabs>
          <w:tab w:pos="2664" w:val="left" w:leader="none"/>
          <w:tab w:pos="2665" w:val="left" w:leader="none"/>
        </w:tabs>
        <w:spacing w:line="235" w:lineRule="auto" w:before="91" w:after="0"/>
        <w:ind w:left="2664" w:right="1200" w:hanging="681"/>
        <w:jc w:val="left"/>
        <w:rPr>
          <w:sz w:val="20"/>
        </w:rPr>
      </w:pPr>
      <w:r>
        <w:rPr/>
        <w:pict>
          <v:rect style="position:absolute;margin-left:558.424988pt;margin-top:8.503343pt;width:22.677pt;height:22.677pt;mso-position-horizontal-relative:page;mso-position-vertical-relative:paragraph;z-index:252344320" filled="true" fillcolor="#e4ebc6" stroked="false">
            <v:fill opacity="32768f" type="solid"/>
            <w10:wrap type="none"/>
          </v:rect>
        </w:pict>
      </w:r>
      <w:r>
        <w:rPr>
          <w:w w:val="120"/>
          <w:sz w:val="20"/>
        </w:rPr>
        <w:t>Every person being or becoming a member of the Charity shall also be appointed as a Director thereof at a General Meeting of the Charity to be held as</w:t>
      </w:r>
      <w:r>
        <w:rPr>
          <w:spacing w:val="31"/>
          <w:w w:val="120"/>
          <w:sz w:val="20"/>
        </w:rPr>
        <w:t> </w:t>
      </w:r>
      <w:r>
        <w:rPr>
          <w:w w:val="120"/>
          <w:sz w:val="20"/>
        </w:rPr>
        <w:t>soon</w:t>
      </w:r>
    </w:p>
    <w:p>
      <w:pPr>
        <w:pStyle w:val="BodyText"/>
        <w:spacing w:line="235" w:lineRule="auto" w:before="1"/>
        <w:ind w:left="2664" w:right="1287"/>
      </w:pPr>
      <w:r>
        <w:rPr>
          <w:w w:val="120"/>
        </w:rPr>
        <w:t>as conveniently possible after the date of the admission of that person to membership of the Charity. No person, not being a Member of the Charity shall be eligible for appointment as a Director thereof and in the event of any person ceasing to be a member of the Charity he or she shall also thereupon cease to be a Director.</w:t>
      </w:r>
    </w:p>
    <w:p>
      <w:pPr>
        <w:pStyle w:val="BodyText"/>
        <w:spacing w:before="12"/>
        <w:rPr>
          <w:sz w:val="19"/>
        </w:rPr>
      </w:pPr>
    </w:p>
    <w:p>
      <w:pPr>
        <w:pStyle w:val="ListParagraph"/>
        <w:numPr>
          <w:ilvl w:val="1"/>
          <w:numId w:val="170"/>
        </w:numPr>
        <w:tabs>
          <w:tab w:pos="2664" w:val="left" w:leader="none"/>
          <w:tab w:pos="2665" w:val="left" w:leader="none"/>
        </w:tabs>
        <w:spacing w:line="235" w:lineRule="auto" w:before="0" w:after="0"/>
        <w:ind w:left="2664" w:right="1310" w:hanging="681"/>
        <w:jc w:val="left"/>
        <w:rPr>
          <w:sz w:val="20"/>
        </w:rPr>
      </w:pPr>
      <w:r>
        <w:rPr>
          <w:w w:val="120"/>
          <w:sz w:val="20"/>
        </w:rPr>
        <w:t>Every person being or becoming a member of the Charity by virtue of Article </w:t>
      </w:r>
      <w:r>
        <w:rPr>
          <w:spacing w:val="-11"/>
          <w:w w:val="120"/>
          <w:sz w:val="20"/>
        </w:rPr>
        <w:t>2.1(a) </w:t>
      </w:r>
      <w:r>
        <w:rPr>
          <w:w w:val="120"/>
          <w:sz w:val="20"/>
        </w:rPr>
        <w:t>shall ipso facto cease to be a member when he or she ceases to hold the office in the United Reformed Church which qualifies him or her for membership of the</w:t>
      </w:r>
      <w:r>
        <w:rPr>
          <w:spacing w:val="3"/>
          <w:w w:val="120"/>
          <w:sz w:val="20"/>
        </w:rPr>
        <w:t> </w:t>
      </w:r>
      <w:r>
        <w:rPr>
          <w:w w:val="120"/>
          <w:sz w:val="20"/>
        </w:rPr>
        <w:t>Charity.</w:t>
      </w:r>
    </w:p>
    <w:p>
      <w:pPr>
        <w:pStyle w:val="BodyText"/>
        <w:spacing w:before="11"/>
        <w:rPr>
          <w:sz w:val="19"/>
        </w:rPr>
      </w:pPr>
    </w:p>
    <w:p>
      <w:pPr>
        <w:pStyle w:val="ListParagraph"/>
        <w:numPr>
          <w:ilvl w:val="1"/>
          <w:numId w:val="170"/>
        </w:numPr>
        <w:tabs>
          <w:tab w:pos="2664" w:val="left" w:leader="none"/>
          <w:tab w:pos="2665" w:val="left" w:leader="none"/>
        </w:tabs>
        <w:spacing w:line="235" w:lineRule="auto" w:before="0" w:after="0"/>
        <w:ind w:left="2664" w:right="1648" w:hanging="681"/>
        <w:jc w:val="left"/>
        <w:rPr>
          <w:sz w:val="20"/>
        </w:rPr>
      </w:pPr>
      <w:r>
        <w:rPr>
          <w:w w:val="120"/>
          <w:sz w:val="20"/>
        </w:rPr>
        <w:t>Every person being a member by virtue of Article </w:t>
      </w:r>
      <w:r>
        <w:rPr>
          <w:spacing w:val="-9"/>
          <w:w w:val="120"/>
          <w:sz w:val="20"/>
        </w:rPr>
        <w:t>2.1(b) </w:t>
      </w:r>
      <w:r>
        <w:rPr>
          <w:w w:val="120"/>
          <w:sz w:val="20"/>
        </w:rPr>
        <w:t>or </w:t>
      </w:r>
      <w:r>
        <w:rPr>
          <w:spacing w:val="-11"/>
          <w:w w:val="120"/>
          <w:sz w:val="20"/>
        </w:rPr>
        <w:t>(c) </w:t>
      </w:r>
      <w:r>
        <w:rPr>
          <w:w w:val="120"/>
          <w:sz w:val="20"/>
        </w:rPr>
        <w:t>shall ipso facto cease to be a member on the expiry of the term specified in the appointing resolution of the General Assembly, or six years from the date of adoption, whichever is the</w:t>
      </w:r>
      <w:r>
        <w:rPr>
          <w:spacing w:val="5"/>
          <w:w w:val="120"/>
          <w:sz w:val="20"/>
        </w:rPr>
        <w:t> </w:t>
      </w:r>
      <w:r>
        <w:rPr>
          <w:w w:val="120"/>
          <w:sz w:val="20"/>
        </w:rPr>
        <w:t>sooner.</w:t>
      </w:r>
    </w:p>
    <w:p>
      <w:pPr>
        <w:pStyle w:val="BodyText"/>
        <w:spacing w:before="7"/>
        <w:rPr>
          <w:sz w:val="19"/>
        </w:rPr>
      </w:pPr>
    </w:p>
    <w:p>
      <w:pPr>
        <w:pStyle w:val="ListParagraph"/>
        <w:numPr>
          <w:ilvl w:val="1"/>
          <w:numId w:val="170"/>
        </w:numPr>
        <w:tabs>
          <w:tab w:pos="2664" w:val="left" w:leader="none"/>
          <w:tab w:pos="2665" w:val="left" w:leader="none"/>
        </w:tabs>
        <w:spacing w:line="240" w:lineRule="auto" w:before="0" w:after="0"/>
        <w:ind w:left="2664" w:right="0" w:hanging="681"/>
        <w:jc w:val="left"/>
        <w:rPr>
          <w:sz w:val="20"/>
        </w:rPr>
      </w:pPr>
      <w:r>
        <w:rPr>
          <w:w w:val="120"/>
          <w:sz w:val="20"/>
        </w:rPr>
        <w:t>The Directors must keep a register of names and addresses of the</w:t>
      </w:r>
      <w:r>
        <w:rPr>
          <w:spacing w:val="21"/>
          <w:w w:val="120"/>
          <w:sz w:val="20"/>
        </w:rPr>
        <w:t> </w:t>
      </w:r>
      <w:r>
        <w:rPr>
          <w:w w:val="120"/>
          <w:sz w:val="20"/>
        </w:rPr>
        <w:t>members.</w:t>
      </w:r>
    </w:p>
    <w:p>
      <w:pPr>
        <w:pStyle w:val="BodyText"/>
        <w:spacing w:before="7"/>
        <w:rPr>
          <w:sz w:val="19"/>
        </w:rPr>
      </w:pPr>
    </w:p>
    <w:p>
      <w:pPr>
        <w:pStyle w:val="ListParagraph"/>
        <w:numPr>
          <w:ilvl w:val="1"/>
          <w:numId w:val="170"/>
        </w:numPr>
        <w:tabs>
          <w:tab w:pos="2664" w:val="left" w:leader="none"/>
          <w:tab w:pos="2665" w:val="left" w:leader="none"/>
        </w:tabs>
        <w:spacing w:line="235" w:lineRule="auto" w:before="0" w:after="0"/>
        <w:ind w:left="2664" w:right="1146" w:hanging="681"/>
        <w:jc w:val="left"/>
        <w:rPr>
          <w:sz w:val="20"/>
        </w:rPr>
      </w:pPr>
      <w:r>
        <w:rPr>
          <w:w w:val="120"/>
          <w:sz w:val="20"/>
        </w:rPr>
        <w:t>Every person who shall for whatever reason cease to be a Director of the Charity or be found to be ineligible for appointments as such, shall at the same time cease to be a member</w:t>
      </w:r>
      <w:r>
        <w:rPr>
          <w:spacing w:val="7"/>
          <w:w w:val="120"/>
          <w:sz w:val="20"/>
        </w:rPr>
        <w:t> </w:t>
      </w:r>
      <w:r>
        <w:rPr>
          <w:w w:val="120"/>
          <w:sz w:val="20"/>
        </w:rPr>
        <w:t>thereof.</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1" w:after="0"/>
        <w:ind w:left="2664" w:right="1284" w:hanging="681"/>
        <w:jc w:val="left"/>
        <w:rPr>
          <w:sz w:val="20"/>
        </w:rPr>
      </w:pPr>
      <w:r>
        <w:rPr>
          <w:w w:val="120"/>
          <w:sz w:val="20"/>
        </w:rPr>
        <w:t>No person who ceases to be a member of the Charity shall be eligible for appointment to membership thereof under Article </w:t>
      </w:r>
      <w:r>
        <w:rPr>
          <w:spacing w:val="-11"/>
          <w:w w:val="120"/>
          <w:sz w:val="20"/>
        </w:rPr>
        <w:t>2.1(c) </w:t>
      </w:r>
      <w:r>
        <w:rPr>
          <w:w w:val="120"/>
          <w:sz w:val="20"/>
        </w:rPr>
        <w:t>for a period of one year from the date of cessation of</w:t>
      </w:r>
      <w:r>
        <w:rPr>
          <w:spacing w:val="9"/>
          <w:w w:val="120"/>
          <w:sz w:val="20"/>
        </w:rPr>
        <w:t> </w:t>
      </w:r>
      <w:r>
        <w:rPr>
          <w:w w:val="120"/>
          <w:sz w:val="20"/>
        </w:rPr>
        <w:t>membership.</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132" w:hanging="681"/>
        <w:jc w:val="left"/>
        <w:rPr>
          <w:sz w:val="20"/>
        </w:rPr>
      </w:pPr>
      <w:r>
        <w:rPr>
          <w:w w:val="120"/>
          <w:sz w:val="20"/>
        </w:rPr>
        <w:t>The name of any person proposed to be appointed a Director at General Meeting, and the particulars which would be required to appear in the Charity’s</w:t>
      </w:r>
      <w:r>
        <w:rPr>
          <w:spacing w:val="8"/>
          <w:w w:val="120"/>
          <w:sz w:val="20"/>
        </w:rPr>
        <w:t> </w:t>
      </w:r>
      <w:r>
        <w:rPr>
          <w:w w:val="120"/>
          <w:sz w:val="20"/>
        </w:rPr>
        <w:t>Register</w:t>
      </w:r>
    </w:p>
    <w:p>
      <w:pPr>
        <w:pStyle w:val="BodyText"/>
        <w:spacing w:line="235" w:lineRule="auto" w:before="1"/>
        <w:ind w:left="2664" w:right="1997"/>
      </w:pPr>
      <w:r>
        <w:rPr>
          <w:w w:val="120"/>
        </w:rPr>
        <w:t>of Directors if that person were appointed, shall be included in the Notice summoning that meeting under Article 2.3.</w:t>
      </w:r>
    </w:p>
    <w:p>
      <w:pPr>
        <w:pStyle w:val="BodyText"/>
        <w:spacing w:before="6"/>
        <w:rPr>
          <w:sz w:val="19"/>
        </w:rPr>
      </w:pPr>
    </w:p>
    <w:p>
      <w:pPr>
        <w:pStyle w:val="ListParagraph"/>
        <w:numPr>
          <w:ilvl w:val="1"/>
          <w:numId w:val="170"/>
        </w:numPr>
        <w:tabs>
          <w:tab w:pos="2664" w:val="left" w:leader="none"/>
          <w:tab w:pos="2665" w:val="left" w:leader="none"/>
        </w:tabs>
        <w:spacing w:line="240" w:lineRule="auto" w:before="0" w:after="0"/>
        <w:ind w:left="2664" w:right="0" w:hanging="681"/>
        <w:jc w:val="left"/>
        <w:rPr>
          <w:sz w:val="20"/>
        </w:rPr>
      </w:pPr>
      <w:r>
        <w:rPr>
          <w:w w:val="120"/>
          <w:sz w:val="20"/>
        </w:rPr>
        <w:t>Membership shall not be transferable and shall cease on</w:t>
      </w:r>
      <w:r>
        <w:rPr>
          <w:spacing w:val="14"/>
          <w:w w:val="120"/>
          <w:sz w:val="20"/>
        </w:rPr>
        <w:t> </w:t>
      </w:r>
      <w:r>
        <w:rPr>
          <w:w w:val="120"/>
          <w:sz w:val="20"/>
        </w:rPr>
        <w:t>death.</w:t>
      </w:r>
    </w:p>
    <w:p>
      <w:pPr>
        <w:pStyle w:val="BodyText"/>
        <w:spacing w:before="7"/>
        <w:rPr>
          <w:sz w:val="19"/>
        </w:rPr>
      </w:pPr>
    </w:p>
    <w:p>
      <w:pPr>
        <w:pStyle w:val="ListParagraph"/>
        <w:numPr>
          <w:ilvl w:val="1"/>
          <w:numId w:val="170"/>
        </w:numPr>
        <w:tabs>
          <w:tab w:pos="2664" w:val="left" w:leader="none"/>
          <w:tab w:pos="2665" w:val="left" w:leader="none"/>
        </w:tabs>
        <w:spacing w:line="235" w:lineRule="auto" w:before="1" w:after="0"/>
        <w:ind w:left="2664" w:right="1212" w:hanging="681"/>
        <w:jc w:val="left"/>
        <w:rPr>
          <w:sz w:val="20"/>
        </w:rPr>
      </w:pPr>
      <w:r>
        <w:rPr>
          <w:w w:val="120"/>
          <w:sz w:val="20"/>
        </w:rPr>
        <w:t>Any member of the Charity who shall desire to resign his or her membership shall signify the same in writing to the Secretary and upon receipt of such writing his   or her name shall be removed from the list of members and he or she shall be deemed to have ceased to be a</w:t>
      </w:r>
      <w:r>
        <w:rPr>
          <w:spacing w:val="13"/>
          <w:w w:val="120"/>
          <w:sz w:val="20"/>
        </w:rPr>
        <w:t> </w:t>
      </w:r>
      <w:r>
        <w:rPr>
          <w:w w:val="120"/>
          <w:sz w:val="20"/>
        </w:rPr>
        <w:t>member.</w:t>
      </w:r>
    </w:p>
    <w:p>
      <w:pPr>
        <w:pStyle w:val="BodyText"/>
        <w:rPr>
          <w:sz w:val="24"/>
        </w:rPr>
      </w:pPr>
    </w:p>
    <w:p>
      <w:pPr>
        <w:numPr>
          <w:ilvl w:val="0"/>
          <w:numId w:val="170"/>
        </w:numPr>
        <w:tabs>
          <w:tab w:pos="2664" w:val="left" w:leader="none"/>
          <w:tab w:pos="2665" w:val="left" w:leader="none"/>
        </w:tabs>
        <w:spacing w:before="164"/>
        <w:ind w:left="2664" w:right="0" w:hanging="681"/>
        <w:jc w:val="left"/>
        <w:rPr>
          <w:rFonts w:ascii="Stone Sans II ITC Std Bk"/>
          <w:b/>
          <w:sz w:val="21"/>
        </w:rPr>
      </w:pPr>
      <w:r>
        <w:rPr>
          <w:rFonts w:ascii="Stone Sans II ITC Std Bk"/>
          <w:b/>
          <w:w w:val="115"/>
          <w:sz w:val="21"/>
        </w:rPr>
        <w:t>General</w:t>
      </w:r>
      <w:r>
        <w:rPr>
          <w:rFonts w:ascii="Stone Sans II ITC Std Bk"/>
          <w:b/>
          <w:spacing w:val="-2"/>
          <w:w w:val="115"/>
          <w:sz w:val="21"/>
        </w:rPr>
        <w:t> </w:t>
      </w:r>
      <w:r>
        <w:rPr>
          <w:rFonts w:ascii="Stone Sans II ITC Std Bk"/>
          <w:b/>
          <w:w w:val="115"/>
          <w:sz w:val="21"/>
        </w:rPr>
        <w:t>Meetings</w:t>
      </w:r>
    </w:p>
    <w:p>
      <w:pPr>
        <w:pStyle w:val="ListParagraph"/>
        <w:numPr>
          <w:ilvl w:val="1"/>
          <w:numId w:val="170"/>
        </w:numPr>
        <w:tabs>
          <w:tab w:pos="2664" w:val="left" w:leader="none"/>
          <w:tab w:pos="2665" w:val="left" w:leader="none"/>
        </w:tabs>
        <w:spacing w:line="240" w:lineRule="auto" w:before="219" w:after="0"/>
        <w:ind w:left="2664" w:right="0" w:hanging="681"/>
        <w:jc w:val="left"/>
        <w:rPr>
          <w:sz w:val="20"/>
        </w:rPr>
      </w:pPr>
      <w:r>
        <w:rPr>
          <w:w w:val="120"/>
          <w:sz w:val="20"/>
        </w:rPr>
        <w:t>The Charity is not required to hold an annual general</w:t>
      </w:r>
      <w:r>
        <w:rPr>
          <w:spacing w:val="30"/>
          <w:w w:val="120"/>
          <w:sz w:val="20"/>
        </w:rPr>
        <w:t> </w:t>
      </w:r>
      <w:r>
        <w:rPr>
          <w:w w:val="120"/>
          <w:sz w:val="20"/>
        </w:rPr>
        <w:t>meeting.</w:t>
      </w:r>
    </w:p>
    <w:p>
      <w:pPr>
        <w:pStyle w:val="BodyText"/>
        <w:spacing w:before="3"/>
        <w:rPr>
          <w:sz w:val="19"/>
        </w:rPr>
      </w:pPr>
    </w:p>
    <w:p>
      <w:pPr>
        <w:pStyle w:val="ListParagraph"/>
        <w:numPr>
          <w:ilvl w:val="1"/>
          <w:numId w:val="170"/>
        </w:numPr>
        <w:tabs>
          <w:tab w:pos="2664" w:val="left" w:leader="none"/>
          <w:tab w:pos="2665" w:val="left" w:leader="none"/>
        </w:tabs>
        <w:spacing w:line="240" w:lineRule="auto" w:before="1" w:after="0"/>
        <w:ind w:left="2664" w:right="0" w:hanging="681"/>
        <w:jc w:val="left"/>
        <w:rPr>
          <w:sz w:val="20"/>
        </w:rPr>
      </w:pPr>
      <w:r>
        <w:rPr>
          <w:w w:val="120"/>
          <w:sz w:val="20"/>
        </w:rPr>
        <w:t>The Directors may call a general meeting at any</w:t>
      </w:r>
      <w:r>
        <w:rPr>
          <w:spacing w:val="20"/>
          <w:w w:val="120"/>
          <w:sz w:val="20"/>
        </w:rPr>
        <w:t> </w:t>
      </w:r>
      <w:r>
        <w:rPr>
          <w:w w:val="120"/>
          <w:sz w:val="20"/>
        </w:rPr>
        <w:t>time.</w:t>
      </w:r>
    </w:p>
    <w:p>
      <w:pPr>
        <w:pStyle w:val="BodyText"/>
        <w:rPr>
          <w:sz w:val="24"/>
        </w:rPr>
      </w:pPr>
    </w:p>
    <w:p>
      <w:pPr>
        <w:numPr>
          <w:ilvl w:val="0"/>
          <w:numId w:val="170"/>
        </w:numPr>
        <w:tabs>
          <w:tab w:pos="2664" w:val="left" w:leader="none"/>
          <w:tab w:pos="2665" w:val="left" w:leader="none"/>
        </w:tabs>
        <w:spacing w:before="160"/>
        <w:ind w:left="2664" w:right="0" w:hanging="681"/>
        <w:jc w:val="left"/>
        <w:rPr>
          <w:rFonts w:ascii="Stone Sans II ITC Std Bk"/>
          <w:b/>
          <w:sz w:val="21"/>
        </w:rPr>
      </w:pPr>
      <w:r>
        <w:rPr>
          <w:rFonts w:ascii="Stone Sans II ITC Std Bk"/>
          <w:b/>
          <w:w w:val="115"/>
          <w:sz w:val="21"/>
        </w:rPr>
        <w:t>Notice of General</w:t>
      </w:r>
      <w:r>
        <w:rPr>
          <w:rFonts w:ascii="Stone Sans II ITC Std Bk"/>
          <w:b/>
          <w:spacing w:val="-5"/>
          <w:w w:val="115"/>
          <w:sz w:val="21"/>
        </w:rPr>
        <w:t> </w:t>
      </w:r>
      <w:r>
        <w:rPr>
          <w:rFonts w:ascii="Stone Sans II ITC Std Bk"/>
          <w:b/>
          <w:w w:val="115"/>
          <w:sz w:val="21"/>
        </w:rPr>
        <w:t>Meetings</w:t>
      </w:r>
    </w:p>
    <w:p>
      <w:pPr>
        <w:pStyle w:val="ListParagraph"/>
        <w:numPr>
          <w:ilvl w:val="1"/>
          <w:numId w:val="170"/>
        </w:numPr>
        <w:tabs>
          <w:tab w:pos="2664" w:val="left" w:leader="none"/>
          <w:tab w:pos="2665" w:val="left" w:leader="none"/>
        </w:tabs>
        <w:spacing w:line="235" w:lineRule="auto" w:before="222" w:after="0"/>
        <w:ind w:left="2664" w:right="1324" w:hanging="681"/>
        <w:jc w:val="left"/>
        <w:rPr>
          <w:sz w:val="20"/>
        </w:rPr>
      </w:pPr>
      <w:r>
        <w:rPr>
          <w:w w:val="120"/>
          <w:sz w:val="20"/>
        </w:rPr>
        <w:t>The minimum period of notice required to hold a general meeting of the charity is fourteen clear</w:t>
      </w:r>
      <w:r>
        <w:rPr>
          <w:spacing w:val="5"/>
          <w:w w:val="120"/>
          <w:sz w:val="20"/>
        </w:rPr>
        <w:t> </w:t>
      </w:r>
      <w:r>
        <w:rPr>
          <w:w w:val="120"/>
          <w:sz w:val="20"/>
        </w:rPr>
        <w:t>days.</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310" w:hanging="681"/>
        <w:jc w:val="left"/>
        <w:rPr>
          <w:sz w:val="20"/>
        </w:rPr>
      </w:pPr>
      <w:r>
        <w:rPr>
          <w:w w:val="120"/>
          <w:sz w:val="20"/>
        </w:rPr>
        <w:t>A general meeting may be called by shorter notice if it is so agreed by a majority in number of members having a right to attend and vote at the meeting who together hold not less than </w:t>
      </w:r>
      <w:r>
        <w:rPr>
          <w:spacing w:val="-7"/>
          <w:w w:val="120"/>
          <w:sz w:val="20"/>
        </w:rPr>
        <w:t>75% </w:t>
      </w:r>
      <w:r>
        <w:rPr>
          <w:w w:val="120"/>
          <w:sz w:val="20"/>
        </w:rPr>
        <w:t>of the total voting</w:t>
      </w:r>
      <w:r>
        <w:rPr>
          <w:spacing w:val="41"/>
          <w:w w:val="120"/>
          <w:sz w:val="20"/>
        </w:rPr>
        <w:t> </w:t>
      </w:r>
      <w:r>
        <w:rPr>
          <w:w w:val="120"/>
          <w:sz w:val="20"/>
        </w:rPr>
        <w:t>rights.</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222" w:hanging="681"/>
        <w:jc w:val="left"/>
        <w:rPr>
          <w:sz w:val="20"/>
        </w:rPr>
      </w:pPr>
      <w:r>
        <w:rPr>
          <w:w w:val="120"/>
          <w:sz w:val="20"/>
        </w:rPr>
        <w:t>The notice must specify the date time and place of the meeting and the general nature of the business to be transacted. If the meeting is to be an annual general meeting, the notice must say so. The notice must also contain a statement</w:t>
      </w:r>
      <w:r>
        <w:rPr>
          <w:spacing w:val="15"/>
          <w:w w:val="120"/>
          <w:sz w:val="20"/>
        </w:rPr>
        <w:t> </w:t>
      </w:r>
      <w:r>
        <w:rPr>
          <w:w w:val="120"/>
          <w:sz w:val="20"/>
        </w:rPr>
        <w:t>setting</w:t>
      </w:r>
    </w:p>
    <w:p>
      <w:pPr>
        <w:spacing w:after="0" w:line="235" w:lineRule="auto"/>
        <w:jc w:val="left"/>
        <w:rPr>
          <w:sz w:val="20"/>
        </w:rPr>
        <w:sectPr>
          <w:pgSz w:w="11910" w:h="16840"/>
          <w:pgMar w:header="0" w:footer="647" w:top="1060" w:bottom="840" w:left="0" w:right="0"/>
        </w:sectPr>
      </w:pPr>
    </w:p>
    <w:p>
      <w:pPr>
        <w:pStyle w:val="BodyText"/>
        <w:spacing w:line="235" w:lineRule="auto" w:before="107"/>
        <w:ind w:left="1814" w:right="1997"/>
      </w:pPr>
      <w:r>
        <w:rPr/>
        <w:pict>
          <v:rect style="position:absolute;margin-left:12.047pt;margin-top:8.477343pt;width:22.677pt;height:22.677pt;mso-position-horizontal-relative:page;mso-position-vertical-relative:paragraph;z-index:252345344" filled="true" fillcolor="#e4ebc6" stroked="false">
            <v:fill opacity="32768f" type="solid"/>
            <w10:wrap type="none"/>
          </v:rect>
        </w:pict>
      </w:r>
      <w:r>
        <w:rPr>
          <w:w w:val="120"/>
        </w:rPr>
        <w:t>out the right of members to appoint a proxy under section 324 of the Companies Act 2006 and Article 6 hereof.</w:t>
      </w:r>
    </w:p>
    <w:p>
      <w:pPr>
        <w:pStyle w:val="BodyText"/>
        <w:spacing w:before="6"/>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20"/>
          <w:sz w:val="20"/>
        </w:rPr>
        <w:t>The notice must be given to all the members and to the Directors and</w:t>
      </w:r>
      <w:r>
        <w:rPr>
          <w:spacing w:val="40"/>
          <w:w w:val="120"/>
          <w:sz w:val="20"/>
        </w:rPr>
        <w:t> </w:t>
      </w:r>
      <w:r>
        <w:rPr>
          <w:w w:val="120"/>
          <w:sz w:val="20"/>
        </w:rPr>
        <w:t>auditors.</w:t>
      </w:r>
    </w:p>
    <w:p>
      <w:pPr>
        <w:pStyle w:val="BodyText"/>
        <w:spacing w:before="7"/>
        <w:rPr>
          <w:sz w:val="19"/>
        </w:rPr>
      </w:pPr>
    </w:p>
    <w:p>
      <w:pPr>
        <w:pStyle w:val="ListParagraph"/>
        <w:numPr>
          <w:ilvl w:val="1"/>
          <w:numId w:val="170"/>
        </w:numPr>
        <w:tabs>
          <w:tab w:pos="1815" w:val="left" w:leader="none"/>
        </w:tabs>
        <w:spacing w:line="235" w:lineRule="auto" w:before="1" w:after="0"/>
        <w:ind w:left="1814" w:right="2529" w:hanging="681"/>
        <w:jc w:val="both"/>
        <w:rPr>
          <w:sz w:val="20"/>
        </w:rPr>
      </w:pPr>
      <w:r>
        <w:rPr>
          <w:w w:val="120"/>
          <w:sz w:val="20"/>
        </w:rPr>
        <w:t>The proceedings at a meeting shall not be invalidated because a person who was entitled to receive notice of the meeting did not receive it because of an accidental omission by the</w:t>
      </w:r>
      <w:r>
        <w:rPr>
          <w:spacing w:val="8"/>
          <w:w w:val="120"/>
          <w:sz w:val="20"/>
        </w:rPr>
        <w:t> </w:t>
      </w:r>
      <w:r>
        <w:rPr>
          <w:w w:val="120"/>
          <w:sz w:val="20"/>
        </w:rPr>
        <w:t>Charity.</w:t>
      </w:r>
    </w:p>
    <w:p>
      <w:pPr>
        <w:pStyle w:val="BodyText"/>
        <w:rPr>
          <w:sz w:val="24"/>
        </w:rPr>
      </w:pPr>
    </w:p>
    <w:p>
      <w:pPr>
        <w:numPr>
          <w:ilvl w:val="0"/>
          <w:numId w:val="170"/>
        </w:numPr>
        <w:tabs>
          <w:tab w:pos="1814" w:val="left" w:leader="none"/>
          <w:tab w:pos="1815" w:val="left" w:leader="none"/>
        </w:tabs>
        <w:spacing w:before="162"/>
        <w:ind w:left="1814" w:right="0" w:hanging="682"/>
        <w:jc w:val="left"/>
        <w:rPr>
          <w:rFonts w:ascii="Stone Sans II ITC Std Bk"/>
          <w:b/>
          <w:sz w:val="21"/>
        </w:rPr>
      </w:pPr>
      <w:r>
        <w:rPr>
          <w:rFonts w:ascii="Stone Sans II ITC Std Bk"/>
          <w:b/>
          <w:w w:val="115"/>
          <w:sz w:val="21"/>
        </w:rPr>
        <w:t>Proceedings at General</w:t>
      </w:r>
      <w:r>
        <w:rPr>
          <w:rFonts w:ascii="Stone Sans II ITC Std Bk"/>
          <w:b/>
          <w:spacing w:val="-5"/>
          <w:w w:val="115"/>
          <w:sz w:val="21"/>
        </w:rPr>
        <w:t> </w:t>
      </w:r>
      <w:r>
        <w:rPr>
          <w:rFonts w:ascii="Stone Sans II ITC Std Bk"/>
          <w:b/>
          <w:w w:val="115"/>
          <w:sz w:val="21"/>
        </w:rPr>
        <w:t>Meetings</w:t>
      </w:r>
    </w:p>
    <w:p>
      <w:pPr>
        <w:pStyle w:val="ListParagraph"/>
        <w:numPr>
          <w:ilvl w:val="1"/>
          <w:numId w:val="170"/>
        </w:numPr>
        <w:tabs>
          <w:tab w:pos="1814" w:val="left" w:leader="none"/>
          <w:tab w:pos="1815" w:val="left" w:leader="none"/>
        </w:tabs>
        <w:spacing w:line="240" w:lineRule="auto" w:before="219" w:after="0"/>
        <w:ind w:left="1814" w:right="0" w:hanging="682"/>
        <w:jc w:val="left"/>
        <w:rPr>
          <w:sz w:val="20"/>
        </w:rPr>
      </w:pPr>
      <w:r>
        <w:rPr>
          <w:w w:val="120"/>
          <w:sz w:val="20"/>
        </w:rPr>
        <w:t>No</w:t>
      </w:r>
      <w:r>
        <w:rPr>
          <w:spacing w:val="-4"/>
          <w:w w:val="120"/>
          <w:sz w:val="20"/>
        </w:rPr>
        <w:t> </w:t>
      </w:r>
      <w:r>
        <w:rPr>
          <w:w w:val="120"/>
          <w:sz w:val="20"/>
        </w:rPr>
        <w:t>business</w:t>
      </w:r>
      <w:r>
        <w:rPr>
          <w:spacing w:val="-4"/>
          <w:w w:val="120"/>
          <w:sz w:val="20"/>
        </w:rPr>
        <w:t> </w:t>
      </w:r>
      <w:r>
        <w:rPr>
          <w:spacing w:val="-3"/>
          <w:w w:val="120"/>
          <w:sz w:val="20"/>
        </w:rPr>
        <w:t>shall </w:t>
      </w:r>
      <w:r>
        <w:rPr>
          <w:w w:val="120"/>
          <w:sz w:val="20"/>
        </w:rPr>
        <w:t>be</w:t>
      </w:r>
      <w:r>
        <w:rPr>
          <w:spacing w:val="-4"/>
          <w:w w:val="120"/>
          <w:sz w:val="20"/>
        </w:rPr>
        <w:t> </w:t>
      </w:r>
      <w:r>
        <w:rPr>
          <w:w w:val="120"/>
          <w:sz w:val="20"/>
        </w:rPr>
        <w:t>transacted</w:t>
      </w:r>
      <w:r>
        <w:rPr>
          <w:spacing w:val="-3"/>
          <w:w w:val="120"/>
          <w:sz w:val="20"/>
        </w:rPr>
        <w:t> </w:t>
      </w:r>
      <w:r>
        <w:rPr>
          <w:w w:val="120"/>
          <w:sz w:val="20"/>
        </w:rPr>
        <w:t>at</w:t>
      </w:r>
      <w:r>
        <w:rPr>
          <w:spacing w:val="-4"/>
          <w:w w:val="120"/>
          <w:sz w:val="20"/>
        </w:rPr>
        <w:t> </w:t>
      </w:r>
      <w:r>
        <w:rPr>
          <w:spacing w:val="-3"/>
          <w:w w:val="120"/>
          <w:sz w:val="20"/>
        </w:rPr>
        <w:t>any </w:t>
      </w:r>
      <w:r>
        <w:rPr>
          <w:w w:val="120"/>
          <w:sz w:val="20"/>
        </w:rPr>
        <w:t>general</w:t>
      </w:r>
      <w:r>
        <w:rPr>
          <w:spacing w:val="-4"/>
          <w:w w:val="120"/>
          <w:sz w:val="20"/>
        </w:rPr>
        <w:t> </w:t>
      </w:r>
      <w:r>
        <w:rPr>
          <w:w w:val="120"/>
          <w:sz w:val="20"/>
        </w:rPr>
        <w:t>meeting</w:t>
      </w:r>
      <w:r>
        <w:rPr>
          <w:spacing w:val="-3"/>
          <w:w w:val="120"/>
          <w:sz w:val="20"/>
        </w:rPr>
        <w:t> </w:t>
      </w:r>
      <w:r>
        <w:rPr>
          <w:w w:val="120"/>
          <w:sz w:val="20"/>
        </w:rPr>
        <w:t>unless</w:t>
      </w:r>
      <w:r>
        <w:rPr>
          <w:spacing w:val="-4"/>
          <w:w w:val="120"/>
          <w:sz w:val="20"/>
        </w:rPr>
        <w:t> </w:t>
      </w:r>
      <w:r>
        <w:rPr>
          <w:w w:val="120"/>
          <w:sz w:val="20"/>
        </w:rPr>
        <w:t>a</w:t>
      </w:r>
      <w:r>
        <w:rPr>
          <w:spacing w:val="-3"/>
          <w:w w:val="120"/>
          <w:sz w:val="20"/>
        </w:rPr>
        <w:t> </w:t>
      </w:r>
      <w:r>
        <w:rPr>
          <w:w w:val="120"/>
          <w:sz w:val="20"/>
        </w:rPr>
        <w:t>quorum</w:t>
      </w:r>
      <w:r>
        <w:rPr>
          <w:spacing w:val="-4"/>
          <w:w w:val="120"/>
          <w:sz w:val="20"/>
        </w:rPr>
        <w:t> </w:t>
      </w:r>
      <w:r>
        <w:rPr>
          <w:w w:val="120"/>
          <w:sz w:val="20"/>
        </w:rPr>
        <w:t>is</w:t>
      </w:r>
      <w:r>
        <w:rPr>
          <w:spacing w:val="-3"/>
          <w:w w:val="120"/>
          <w:sz w:val="20"/>
        </w:rPr>
        <w:t> </w:t>
      </w:r>
      <w:r>
        <w:rPr>
          <w:w w:val="120"/>
          <w:sz w:val="20"/>
        </w:rPr>
        <w:t>present.</w:t>
      </w:r>
    </w:p>
    <w:p>
      <w:pPr>
        <w:pStyle w:val="BodyText"/>
        <w:spacing w:before="8"/>
        <w:rPr>
          <w:sz w:val="19"/>
        </w:rPr>
      </w:pPr>
    </w:p>
    <w:p>
      <w:pPr>
        <w:pStyle w:val="ListParagraph"/>
        <w:numPr>
          <w:ilvl w:val="1"/>
          <w:numId w:val="170"/>
        </w:numPr>
        <w:tabs>
          <w:tab w:pos="1814" w:val="left" w:leader="none"/>
          <w:tab w:pos="1815" w:val="left" w:leader="none"/>
        </w:tabs>
        <w:spacing w:line="235" w:lineRule="auto" w:before="0" w:after="0"/>
        <w:ind w:left="1814" w:right="2050" w:hanging="681"/>
        <w:jc w:val="left"/>
        <w:rPr>
          <w:sz w:val="20"/>
        </w:rPr>
      </w:pPr>
      <w:r>
        <w:rPr>
          <w:w w:val="120"/>
          <w:sz w:val="20"/>
        </w:rPr>
        <w:t>A quorum is 9 of the members entitled to vote upon the business to be  conducted at the meeting, of which at least three such members must be present in person rather than by</w:t>
      </w:r>
      <w:r>
        <w:rPr>
          <w:spacing w:val="10"/>
          <w:w w:val="120"/>
          <w:sz w:val="20"/>
        </w:rPr>
        <w:t> </w:t>
      </w:r>
      <w:r>
        <w:rPr>
          <w:w w:val="120"/>
          <w:sz w:val="20"/>
        </w:rPr>
        <w:t>proxy.</w:t>
      </w:r>
    </w:p>
    <w:p>
      <w:pPr>
        <w:pStyle w:val="BodyText"/>
        <w:spacing w:before="6"/>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10"/>
          <w:sz w:val="20"/>
        </w:rPr>
        <w:t>If:</w:t>
      </w:r>
    </w:p>
    <w:p>
      <w:pPr>
        <w:pStyle w:val="BodyText"/>
        <w:spacing w:before="8"/>
        <w:rPr>
          <w:sz w:val="19"/>
        </w:rPr>
      </w:pPr>
    </w:p>
    <w:p>
      <w:pPr>
        <w:pStyle w:val="ListParagraph"/>
        <w:numPr>
          <w:ilvl w:val="0"/>
          <w:numId w:val="172"/>
        </w:numPr>
        <w:tabs>
          <w:tab w:pos="2573" w:val="left" w:leader="none"/>
          <w:tab w:pos="2574" w:val="left" w:leader="none"/>
        </w:tabs>
        <w:spacing w:line="235" w:lineRule="auto" w:before="0" w:after="0"/>
        <w:ind w:left="2573" w:right="2130" w:hanging="760"/>
        <w:jc w:val="left"/>
        <w:rPr>
          <w:sz w:val="20"/>
        </w:rPr>
      </w:pPr>
      <w:r>
        <w:rPr>
          <w:w w:val="120"/>
          <w:sz w:val="20"/>
        </w:rPr>
        <w:t>a quorum of 9 is not present within half an hour from the time appointed for the meeting;</w:t>
      </w:r>
      <w:r>
        <w:rPr>
          <w:spacing w:val="5"/>
          <w:w w:val="120"/>
          <w:sz w:val="20"/>
        </w:rPr>
        <w:t> </w:t>
      </w:r>
      <w:r>
        <w:rPr>
          <w:w w:val="120"/>
          <w:sz w:val="20"/>
        </w:rPr>
        <w:t>or</w:t>
      </w:r>
    </w:p>
    <w:p>
      <w:pPr>
        <w:pStyle w:val="BodyText"/>
        <w:spacing w:before="5"/>
        <w:rPr>
          <w:sz w:val="19"/>
        </w:rPr>
      </w:pPr>
    </w:p>
    <w:p>
      <w:pPr>
        <w:pStyle w:val="ListParagraph"/>
        <w:numPr>
          <w:ilvl w:val="0"/>
          <w:numId w:val="172"/>
        </w:numPr>
        <w:tabs>
          <w:tab w:pos="2573" w:val="left" w:leader="none"/>
          <w:tab w:pos="2574" w:val="left" w:leader="none"/>
        </w:tabs>
        <w:spacing w:line="240" w:lineRule="auto" w:before="1" w:after="0"/>
        <w:ind w:left="2573" w:right="0" w:hanging="760"/>
        <w:jc w:val="left"/>
        <w:rPr>
          <w:sz w:val="20"/>
        </w:rPr>
      </w:pPr>
      <w:r>
        <w:rPr>
          <w:w w:val="120"/>
          <w:sz w:val="20"/>
        </w:rPr>
        <w:t>during a meeting a quorum ceases to be</w:t>
      </w:r>
      <w:r>
        <w:rPr>
          <w:spacing w:val="19"/>
          <w:w w:val="120"/>
          <w:sz w:val="20"/>
        </w:rPr>
        <w:t> </w:t>
      </w:r>
      <w:r>
        <w:rPr>
          <w:w w:val="120"/>
          <w:sz w:val="20"/>
        </w:rPr>
        <w:t>present;</w:t>
      </w:r>
    </w:p>
    <w:p>
      <w:pPr>
        <w:pStyle w:val="BodyText"/>
        <w:spacing w:before="7"/>
        <w:rPr>
          <w:sz w:val="19"/>
        </w:rPr>
      </w:pPr>
    </w:p>
    <w:p>
      <w:pPr>
        <w:pStyle w:val="BodyText"/>
        <w:spacing w:line="235" w:lineRule="auto"/>
        <w:ind w:left="1814" w:right="2919"/>
      </w:pPr>
      <w:r>
        <w:rPr>
          <w:w w:val="120"/>
        </w:rPr>
        <w:t>the meeting shall be adjourned to such time and place as the Directors shall determine.</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502" w:hanging="681"/>
        <w:jc w:val="left"/>
        <w:rPr>
          <w:sz w:val="20"/>
        </w:rPr>
      </w:pPr>
      <w:r>
        <w:rPr>
          <w:w w:val="120"/>
          <w:sz w:val="20"/>
        </w:rPr>
        <w:t>The Directors must reconvene the meeting and must give at least seven clear days’ notice of the reconvened meeting stating the date, time and place of the</w:t>
      </w:r>
      <w:r>
        <w:rPr>
          <w:spacing w:val="2"/>
          <w:w w:val="120"/>
          <w:sz w:val="20"/>
        </w:rPr>
        <w:t> </w:t>
      </w:r>
      <w:r>
        <w:rPr>
          <w:w w:val="120"/>
          <w:sz w:val="20"/>
        </w:rPr>
        <w:t>meeting.</w:t>
      </w:r>
    </w:p>
    <w:p>
      <w:pPr>
        <w:pStyle w:val="BodyText"/>
        <w:spacing w:before="10"/>
        <w:rPr>
          <w:sz w:val="19"/>
        </w:rPr>
      </w:pPr>
    </w:p>
    <w:p>
      <w:pPr>
        <w:pStyle w:val="ListParagraph"/>
        <w:numPr>
          <w:ilvl w:val="1"/>
          <w:numId w:val="170"/>
        </w:numPr>
        <w:tabs>
          <w:tab w:pos="1815" w:val="left" w:leader="none"/>
        </w:tabs>
        <w:spacing w:line="235" w:lineRule="auto" w:before="0" w:after="0"/>
        <w:ind w:left="1814" w:right="2209" w:hanging="681"/>
        <w:jc w:val="both"/>
        <w:rPr>
          <w:sz w:val="20"/>
        </w:rPr>
      </w:pPr>
      <w:r>
        <w:rPr>
          <w:w w:val="120"/>
          <w:sz w:val="20"/>
        </w:rPr>
        <w:t>If no quorum is present at the reconvened meeting within fifteen minutes of the time specified for the </w:t>
      </w:r>
      <w:r>
        <w:rPr>
          <w:spacing w:val="2"/>
          <w:w w:val="120"/>
          <w:sz w:val="20"/>
        </w:rPr>
        <w:t>start </w:t>
      </w:r>
      <w:r>
        <w:rPr>
          <w:w w:val="120"/>
          <w:sz w:val="20"/>
        </w:rPr>
        <w:t>of the meeting the members present in person or by proxy at that time shall constitute the quorum for that</w:t>
      </w:r>
      <w:r>
        <w:rPr>
          <w:spacing w:val="14"/>
          <w:w w:val="120"/>
          <w:sz w:val="20"/>
        </w:rPr>
        <w:t> </w:t>
      </w:r>
      <w:r>
        <w:rPr>
          <w:w w:val="120"/>
          <w:sz w:val="20"/>
        </w:rPr>
        <w:t>meeting.</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1999" w:hanging="681"/>
        <w:jc w:val="left"/>
        <w:rPr>
          <w:sz w:val="20"/>
        </w:rPr>
      </w:pPr>
      <w:r>
        <w:rPr>
          <w:w w:val="120"/>
          <w:sz w:val="20"/>
        </w:rPr>
        <w:t>General meetings shall be chaired by the person who has been appointed to chair meetings of the</w:t>
      </w:r>
      <w:r>
        <w:rPr>
          <w:spacing w:val="6"/>
          <w:w w:val="120"/>
          <w:sz w:val="20"/>
        </w:rPr>
        <w:t> </w:t>
      </w:r>
      <w:r>
        <w:rPr>
          <w:w w:val="120"/>
          <w:sz w:val="20"/>
        </w:rPr>
        <w:t>Directors.</w:t>
      </w:r>
    </w:p>
    <w:p>
      <w:pPr>
        <w:pStyle w:val="BodyText"/>
        <w:spacing w:before="10"/>
        <w:rPr>
          <w:sz w:val="19"/>
        </w:rPr>
      </w:pPr>
    </w:p>
    <w:p>
      <w:pPr>
        <w:pStyle w:val="ListParagraph"/>
        <w:numPr>
          <w:ilvl w:val="1"/>
          <w:numId w:val="170"/>
        </w:numPr>
        <w:tabs>
          <w:tab w:pos="1815" w:val="left" w:leader="none"/>
        </w:tabs>
        <w:spacing w:line="235" w:lineRule="auto" w:before="0" w:after="0"/>
        <w:ind w:left="1814" w:right="2120" w:hanging="681"/>
        <w:jc w:val="both"/>
        <w:rPr>
          <w:sz w:val="20"/>
        </w:rPr>
      </w:pPr>
      <w:r>
        <w:rPr>
          <w:w w:val="120"/>
          <w:sz w:val="20"/>
        </w:rPr>
        <w:t>If there is no such person or he or she is not present within fifteen minutes of the time appointed for the meeting a Director nominated by the Directors shall chair the</w:t>
      </w:r>
      <w:r>
        <w:rPr>
          <w:spacing w:val="2"/>
          <w:w w:val="120"/>
          <w:sz w:val="20"/>
        </w:rPr>
        <w:t> </w:t>
      </w:r>
      <w:r>
        <w:rPr>
          <w:w w:val="120"/>
          <w:sz w:val="20"/>
        </w:rPr>
        <w:t>meeting.</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244" w:hanging="681"/>
        <w:jc w:val="left"/>
        <w:rPr>
          <w:sz w:val="20"/>
        </w:rPr>
      </w:pPr>
      <w:r>
        <w:rPr>
          <w:w w:val="120"/>
          <w:sz w:val="20"/>
        </w:rPr>
        <w:t>The members present in person or by proxy at a meeting may resolve by ordinary resolution that the meeting shall be adjourned. In the event of such an adjournment:</w:t>
      </w:r>
    </w:p>
    <w:p>
      <w:pPr>
        <w:pStyle w:val="BodyText"/>
        <w:spacing w:before="10"/>
        <w:rPr>
          <w:sz w:val="19"/>
        </w:rPr>
      </w:pPr>
    </w:p>
    <w:p>
      <w:pPr>
        <w:pStyle w:val="ListParagraph"/>
        <w:numPr>
          <w:ilvl w:val="0"/>
          <w:numId w:val="173"/>
        </w:numPr>
        <w:tabs>
          <w:tab w:pos="2573" w:val="left" w:leader="none"/>
          <w:tab w:pos="2574" w:val="left" w:leader="none"/>
        </w:tabs>
        <w:spacing w:line="235" w:lineRule="auto" w:before="0" w:after="0"/>
        <w:ind w:left="2573" w:right="2318" w:hanging="760"/>
        <w:jc w:val="both"/>
        <w:rPr>
          <w:sz w:val="20"/>
        </w:rPr>
      </w:pPr>
      <w:r>
        <w:rPr>
          <w:w w:val="120"/>
          <w:sz w:val="20"/>
        </w:rPr>
        <w:t>the person who is chairing the meeting must decide the date time and place at which the meeting is to be reconvened unless those details are specified in the</w:t>
      </w:r>
      <w:r>
        <w:rPr>
          <w:spacing w:val="6"/>
          <w:w w:val="120"/>
          <w:sz w:val="20"/>
        </w:rPr>
        <w:t> </w:t>
      </w:r>
      <w:r>
        <w:rPr>
          <w:w w:val="120"/>
          <w:sz w:val="20"/>
        </w:rPr>
        <w:t>resolution;</w:t>
      </w:r>
    </w:p>
    <w:p>
      <w:pPr>
        <w:pStyle w:val="BodyText"/>
        <w:spacing w:before="10"/>
        <w:rPr>
          <w:sz w:val="19"/>
        </w:rPr>
      </w:pPr>
    </w:p>
    <w:p>
      <w:pPr>
        <w:pStyle w:val="ListParagraph"/>
        <w:numPr>
          <w:ilvl w:val="0"/>
          <w:numId w:val="173"/>
        </w:numPr>
        <w:tabs>
          <w:tab w:pos="2574" w:val="left" w:leader="none"/>
        </w:tabs>
        <w:spacing w:line="235" w:lineRule="auto" w:before="0" w:after="0"/>
        <w:ind w:left="2573" w:right="2212" w:hanging="760"/>
        <w:jc w:val="both"/>
        <w:rPr>
          <w:sz w:val="20"/>
        </w:rPr>
      </w:pPr>
      <w:r>
        <w:rPr>
          <w:w w:val="120"/>
          <w:sz w:val="20"/>
        </w:rPr>
        <w:t>no business shall be conducted at a reconvened meeting unless it could properly have been conducted at the meeting had the adjournment not taken</w:t>
      </w:r>
      <w:r>
        <w:rPr>
          <w:spacing w:val="1"/>
          <w:w w:val="120"/>
          <w:sz w:val="20"/>
        </w:rPr>
        <w:t> </w:t>
      </w:r>
      <w:r>
        <w:rPr>
          <w:w w:val="120"/>
          <w:sz w:val="20"/>
        </w:rPr>
        <w:t>place.</w:t>
      </w:r>
    </w:p>
    <w:p>
      <w:pPr>
        <w:pStyle w:val="BodyText"/>
        <w:spacing w:before="10"/>
        <w:rPr>
          <w:sz w:val="19"/>
        </w:rPr>
      </w:pPr>
    </w:p>
    <w:p>
      <w:pPr>
        <w:pStyle w:val="ListParagraph"/>
        <w:numPr>
          <w:ilvl w:val="0"/>
          <w:numId w:val="173"/>
        </w:numPr>
        <w:tabs>
          <w:tab w:pos="2573" w:val="left" w:leader="none"/>
          <w:tab w:pos="2574" w:val="left" w:leader="none"/>
        </w:tabs>
        <w:spacing w:line="235" w:lineRule="auto" w:before="1" w:after="0"/>
        <w:ind w:left="2573" w:right="2533" w:hanging="760"/>
        <w:jc w:val="left"/>
        <w:rPr>
          <w:sz w:val="20"/>
        </w:rPr>
      </w:pPr>
      <w:r>
        <w:rPr>
          <w:w w:val="120"/>
          <w:sz w:val="20"/>
        </w:rPr>
        <w:t>if a meeting is adjourned by a resolution of the members for more than seven days, at least seven clear days’ notice shall be given of the reconvened meeting stating the date time and place of the</w:t>
      </w:r>
      <w:r>
        <w:rPr>
          <w:spacing w:val="13"/>
          <w:w w:val="120"/>
          <w:sz w:val="20"/>
        </w:rPr>
        <w:t> </w:t>
      </w:r>
      <w:r>
        <w:rPr>
          <w:w w:val="120"/>
          <w:sz w:val="20"/>
        </w:rPr>
        <w:t>meeting.</w:t>
      </w:r>
    </w:p>
    <w:p>
      <w:pPr>
        <w:spacing w:after="0" w:line="235" w:lineRule="auto"/>
        <w:jc w:val="left"/>
        <w:rPr>
          <w:sz w:val="20"/>
        </w:rPr>
        <w:sectPr>
          <w:headerReference w:type="even" r:id="rId547"/>
          <w:headerReference w:type="default" r:id="rId548"/>
          <w:footerReference w:type="even" r:id="rId549"/>
          <w:footerReference w:type="default" r:id="rId550"/>
          <w:pgSz w:w="11910" w:h="16840"/>
          <w:pgMar w:header="0" w:footer="647" w:top="1060" w:bottom="840" w:left="0" w:right="0"/>
          <w:pgNumType w:start="232"/>
        </w:sectPr>
      </w:pPr>
    </w:p>
    <w:p>
      <w:pPr>
        <w:pStyle w:val="ListParagraph"/>
        <w:numPr>
          <w:ilvl w:val="1"/>
          <w:numId w:val="170"/>
        </w:numPr>
        <w:tabs>
          <w:tab w:pos="2664" w:val="left" w:leader="none"/>
          <w:tab w:pos="2665" w:val="left" w:leader="none"/>
        </w:tabs>
        <w:spacing w:line="240" w:lineRule="auto" w:before="87" w:after="0"/>
        <w:ind w:left="2664" w:right="0" w:hanging="681"/>
        <w:jc w:val="left"/>
        <w:rPr>
          <w:sz w:val="20"/>
        </w:rPr>
      </w:pPr>
      <w:r>
        <w:rPr/>
        <w:pict>
          <v:rect style="position:absolute;margin-left:558.424988pt;margin-top:8.493772pt;width:22.677pt;height:22.677pt;mso-position-horizontal-relative:page;mso-position-vertical-relative:paragraph;z-index:252346368" filled="true" fillcolor="#e4ebc6" stroked="false">
            <v:fill opacity="32768f" type="solid"/>
            <w10:wrap type="none"/>
          </v:rect>
        </w:pict>
      </w:r>
      <w:r>
        <w:rPr>
          <w:spacing w:val="-3"/>
          <w:w w:val="120"/>
          <w:sz w:val="20"/>
          <w:u w:val="single"/>
        </w:rPr>
        <w:t>Votes </w:t>
      </w:r>
      <w:r>
        <w:rPr>
          <w:w w:val="120"/>
          <w:sz w:val="20"/>
          <w:u w:val="single"/>
        </w:rPr>
        <w:t>and</w:t>
      </w:r>
      <w:r>
        <w:rPr>
          <w:spacing w:val="6"/>
          <w:w w:val="120"/>
          <w:sz w:val="20"/>
          <w:u w:val="single"/>
        </w:rPr>
        <w:t> </w:t>
      </w:r>
      <w:r>
        <w:rPr>
          <w:w w:val="120"/>
          <w:sz w:val="20"/>
          <w:u w:val="single"/>
        </w:rPr>
        <w:t>Polls</w:t>
      </w:r>
      <w:r>
        <w:rPr>
          <w:w w:val="120"/>
          <w:sz w:val="20"/>
        </w:rPr>
        <w:t>:</w:t>
      </w:r>
    </w:p>
    <w:p>
      <w:pPr>
        <w:pStyle w:val="BodyText"/>
        <w:spacing w:before="7"/>
        <w:rPr>
          <w:sz w:val="19"/>
        </w:rPr>
      </w:pPr>
    </w:p>
    <w:p>
      <w:pPr>
        <w:pStyle w:val="BodyText"/>
        <w:spacing w:line="235" w:lineRule="auto" w:before="1"/>
        <w:ind w:left="2664" w:right="1273"/>
      </w:pPr>
      <w:r>
        <w:rPr>
          <w:w w:val="120"/>
        </w:rPr>
        <w:t>Any vote at a meeting shall be decided by a show of hands unless before, or on the declaration of the result of, the show of hands a poll is demanded:</w:t>
      </w:r>
    </w:p>
    <w:p>
      <w:pPr>
        <w:pStyle w:val="BodyText"/>
        <w:spacing w:before="5"/>
        <w:rPr>
          <w:sz w:val="19"/>
        </w:rPr>
      </w:pPr>
    </w:p>
    <w:p>
      <w:pPr>
        <w:pStyle w:val="ListParagraph"/>
        <w:numPr>
          <w:ilvl w:val="0"/>
          <w:numId w:val="174"/>
        </w:numPr>
        <w:tabs>
          <w:tab w:pos="3424" w:val="left" w:leader="none"/>
          <w:tab w:pos="3425" w:val="left" w:leader="none"/>
        </w:tabs>
        <w:spacing w:line="240" w:lineRule="auto" w:before="0" w:after="0"/>
        <w:ind w:left="3424" w:right="0" w:hanging="761"/>
        <w:jc w:val="left"/>
        <w:rPr>
          <w:sz w:val="20"/>
        </w:rPr>
      </w:pPr>
      <w:r>
        <w:rPr>
          <w:w w:val="120"/>
          <w:sz w:val="20"/>
        </w:rPr>
        <w:t>by the person chairing the meeting;</w:t>
      </w:r>
      <w:r>
        <w:rPr>
          <w:spacing w:val="15"/>
          <w:w w:val="120"/>
          <w:sz w:val="20"/>
        </w:rPr>
        <w:t> </w:t>
      </w:r>
      <w:r>
        <w:rPr>
          <w:w w:val="120"/>
          <w:sz w:val="20"/>
        </w:rPr>
        <w:t>or</w:t>
      </w:r>
    </w:p>
    <w:p>
      <w:pPr>
        <w:pStyle w:val="BodyText"/>
        <w:spacing w:before="8"/>
        <w:rPr>
          <w:sz w:val="19"/>
        </w:rPr>
      </w:pPr>
    </w:p>
    <w:p>
      <w:pPr>
        <w:pStyle w:val="ListParagraph"/>
        <w:numPr>
          <w:ilvl w:val="0"/>
          <w:numId w:val="174"/>
        </w:numPr>
        <w:tabs>
          <w:tab w:pos="3424" w:val="left" w:leader="none"/>
          <w:tab w:pos="3425" w:val="left" w:leader="none"/>
        </w:tabs>
        <w:spacing w:line="235" w:lineRule="auto" w:before="0" w:after="0"/>
        <w:ind w:left="3424" w:right="1537" w:hanging="760"/>
        <w:jc w:val="left"/>
        <w:rPr>
          <w:sz w:val="20"/>
        </w:rPr>
      </w:pPr>
      <w:r>
        <w:rPr>
          <w:w w:val="120"/>
          <w:sz w:val="20"/>
        </w:rPr>
        <w:t>by at least two members present in person or by proxy and having the right to vote at the</w:t>
      </w:r>
      <w:r>
        <w:rPr>
          <w:spacing w:val="10"/>
          <w:w w:val="120"/>
          <w:sz w:val="20"/>
        </w:rPr>
        <w:t> </w:t>
      </w:r>
      <w:r>
        <w:rPr>
          <w:w w:val="120"/>
          <w:sz w:val="20"/>
        </w:rPr>
        <w:t>meeting.</w:t>
      </w:r>
    </w:p>
    <w:p>
      <w:pPr>
        <w:pStyle w:val="BodyText"/>
        <w:spacing w:before="9"/>
        <w:rPr>
          <w:sz w:val="19"/>
        </w:rPr>
      </w:pPr>
    </w:p>
    <w:p>
      <w:pPr>
        <w:pStyle w:val="ListParagraph"/>
        <w:numPr>
          <w:ilvl w:val="1"/>
          <w:numId w:val="170"/>
        </w:numPr>
        <w:tabs>
          <w:tab w:pos="2664" w:val="left" w:leader="none"/>
          <w:tab w:pos="2665" w:val="left" w:leader="none"/>
          <w:tab w:pos="3424" w:val="left" w:leader="none"/>
        </w:tabs>
        <w:spacing w:line="235" w:lineRule="auto" w:before="0" w:after="0"/>
        <w:ind w:left="3424" w:right="1254" w:hanging="1440"/>
        <w:jc w:val="left"/>
        <w:rPr>
          <w:sz w:val="20"/>
        </w:rPr>
      </w:pPr>
      <w:r>
        <w:rPr>
          <w:spacing w:val="-11"/>
          <w:w w:val="120"/>
          <w:sz w:val="20"/>
        </w:rPr>
        <w:t>(a)</w:t>
        <w:tab/>
      </w:r>
      <w:r>
        <w:rPr>
          <w:w w:val="120"/>
          <w:sz w:val="20"/>
        </w:rPr>
        <w:t>the declaration by the person who is chairing the meeting of the result of a vote shall be conclusive unless a poll is</w:t>
      </w:r>
      <w:r>
        <w:rPr>
          <w:spacing w:val="19"/>
          <w:w w:val="120"/>
          <w:sz w:val="20"/>
        </w:rPr>
        <w:t> </w:t>
      </w:r>
      <w:r>
        <w:rPr>
          <w:w w:val="120"/>
          <w:sz w:val="20"/>
        </w:rPr>
        <w:t>demanded;</w:t>
      </w:r>
    </w:p>
    <w:p>
      <w:pPr>
        <w:pStyle w:val="BodyText"/>
        <w:spacing w:before="10"/>
        <w:rPr>
          <w:sz w:val="19"/>
        </w:rPr>
      </w:pPr>
    </w:p>
    <w:p>
      <w:pPr>
        <w:pStyle w:val="ListParagraph"/>
        <w:numPr>
          <w:ilvl w:val="0"/>
          <w:numId w:val="175"/>
        </w:numPr>
        <w:tabs>
          <w:tab w:pos="3424" w:val="left" w:leader="none"/>
          <w:tab w:pos="3425" w:val="left" w:leader="none"/>
        </w:tabs>
        <w:spacing w:line="235" w:lineRule="auto" w:before="0" w:after="0"/>
        <w:ind w:left="3424" w:right="1339" w:hanging="760"/>
        <w:jc w:val="left"/>
        <w:rPr>
          <w:sz w:val="20"/>
        </w:rPr>
      </w:pPr>
      <w:r>
        <w:rPr>
          <w:w w:val="120"/>
          <w:sz w:val="20"/>
        </w:rPr>
        <w:t>the result of the vote must be recorded in the minutes of the Charity but the number or proportion of votes cast need not be</w:t>
      </w:r>
      <w:r>
        <w:rPr>
          <w:spacing w:val="36"/>
          <w:w w:val="120"/>
          <w:sz w:val="20"/>
        </w:rPr>
        <w:t> </w:t>
      </w:r>
      <w:r>
        <w:rPr>
          <w:w w:val="120"/>
          <w:sz w:val="20"/>
        </w:rPr>
        <w:t>recorded;</w:t>
      </w:r>
    </w:p>
    <w:p>
      <w:pPr>
        <w:pStyle w:val="BodyText"/>
        <w:spacing w:before="9"/>
        <w:rPr>
          <w:sz w:val="19"/>
        </w:rPr>
      </w:pPr>
    </w:p>
    <w:p>
      <w:pPr>
        <w:pStyle w:val="ListParagraph"/>
        <w:numPr>
          <w:ilvl w:val="0"/>
          <w:numId w:val="175"/>
        </w:numPr>
        <w:tabs>
          <w:tab w:pos="3424" w:val="left" w:leader="none"/>
          <w:tab w:pos="3425" w:val="left" w:leader="none"/>
        </w:tabs>
        <w:spacing w:line="235" w:lineRule="auto" w:before="0" w:after="0"/>
        <w:ind w:left="3424" w:right="1327" w:hanging="760"/>
        <w:jc w:val="left"/>
        <w:rPr>
          <w:sz w:val="20"/>
        </w:rPr>
      </w:pPr>
      <w:r>
        <w:rPr>
          <w:w w:val="120"/>
          <w:sz w:val="20"/>
        </w:rPr>
        <w:t>a demand for a poll may be withdrawn, before the poll is taken, but only with the consent of the person who is chairing the</w:t>
      </w:r>
      <w:r>
        <w:rPr>
          <w:spacing w:val="31"/>
          <w:w w:val="120"/>
          <w:sz w:val="20"/>
        </w:rPr>
        <w:t> </w:t>
      </w:r>
      <w:r>
        <w:rPr>
          <w:w w:val="120"/>
          <w:sz w:val="20"/>
        </w:rPr>
        <w:t>meeting;</w:t>
      </w:r>
    </w:p>
    <w:p>
      <w:pPr>
        <w:pStyle w:val="BodyText"/>
        <w:spacing w:before="10"/>
        <w:rPr>
          <w:sz w:val="19"/>
        </w:rPr>
      </w:pPr>
    </w:p>
    <w:p>
      <w:pPr>
        <w:pStyle w:val="ListParagraph"/>
        <w:numPr>
          <w:ilvl w:val="0"/>
          <w:numId w:val="175"/>
        </w:numPr>
        <w:tabs>
          <w:tab w:pos="3424" w:val="left" w:leader="none"/>
          <w:tab w:pos="3425" w:val="left" w:leader="none"/>
        </w:tabs>
        <w:spacing w:line="235" w:lineRule="auto" w:before="0" w:after="0"/>
        <w:ind w:left="3424" w:right="1299" w:hanging="760"/>
        <w:jc w:val="left"/>
        <w:rPr>
          <w:sz w:val="20"/>
        </w:rPr>
      </w:pPr>
      <w:r>
        <w:rPr>
          <w:w w:val="120"/>
          <w:sz w:val="20"/>
        </w:rPr>
        <w:t>if the demand for a poll is withdrawn the demand shall not invalidate the result of a show of hands declared before the demand was</w:t>
      </w:r>
      <w:r>
        <w:rPr>
          <w:spacing w:val="19"/>
          <w:w w:val="120"/>
          <w:sz w:val="20"/>
        </w:rPr>
        <w:t> </w:t>
      </w:r>
      <w:r>
        <w:rPr>
          <w:w w:val="120"/>
          <w:sz w:val="20"/>
        </w:rPr>
        <w:t>made.</w:t>
      </w:r>
    </w:p>
    <w:p>
      <w:pPr>
        <w:pStyle w:val="BodyText"/>
        <w:spacing w:before="7"/>
        <w:rPr>
          <w:sz w:val="9"/>
        </w:rPr>
      </w:pPr>
    </w:p>
    <w:p>
      <w:pPr>
        <w:pStyle w:val="ListParagraph"/>
        <w:numPr>
          <w:ilvl w:val="1"/>
          <w:numId w:val="170"/>
        </w:numPr>
        <w:tabs>
          <w:tab w:pos="2664" w:val="left" w:leader="none"/>
          <w:tab w:pos="2665" w:val="left" w:leader="none"/>
        </w:tabs>
        <w:spacing w:line="240" w:lineRule="auto" w:before="102" w:after="0"/>
        <w:ind w:left="2664" w:right="0" w:hanging="681"/>
        <w:jc w:val="left"/>
        <w:rPr>
          <w:sz w:val="22"/>
        </w:rPr>
      </w:pPr>
      <w:r>
        <w:rPr>
          <w:spacing w:val="-3"/>
          <w:w w:val="110"/>
          <w:sz w:val="22"/>
          <w:u w:val="single"/>
        </w:rPr>
        <w:t>Polls:</w:t>
      </w:r>
    </w:p>
    <w:p>
      <w:pPr>
        <w:pStyle w:val="BodyText"/>
        <w:spacing w:before="2"/>
        <w:rPr>
          <w:sz w:val="19"/>
        </w:rPr>
      </w:pPr>
    </w:p>
    <w:p>
      <w:pPr>
        <w:pStyle w:val="ListParagraph"/>
        <w:numPr>
          <w:ilvl w:val="0"/>
          <w:numId w:val="176"/>
        </w:numPr>
        <w:tabs>
          <w:tab w:pos="3424" w:val="left" w:leader="none"/>
          <w:tab w:pos="3425" w:val="left" w:leader="none"/>
        </w:tabs>
        <w:spacing w:line="235" w:lineRule="auto" w:before="0" w:after="0"/>
        <w:ind w:left="3424" w:right="1327" w:hanging="760"/>
        <w:jc w:val="left"/>
        <w:rPr>
          <w:sz w:val="20"/>
        </w:rPr>
      </w:pPr>
      <w:r>
        <w:rPr>
          <w:w w:val="120"/>
          <w:sz w:val="20"/>
        </w:rPr>
        <w:t>a poll must be taken as the person who is chairing the meeting directs, who may appoint scrutineers </w:t>
      </w:r>
      <w:r>
        <w:rPr>
          <w:spacing w:val="-3"/>
          <w:w w:val="120"/>
          <w:sz w:val="20"/>
        </w:rPr>
        <w:t>(who </w:t>
      </w:r>
      <w:r>
        <w:rPr>
          <w:w w:val="120"/>
          <w:sz w:val="20"/>
        </w:rPr>
        <w:t>need not be members) and who may fix a time and place for declaring the results of the</w:t>
      </w:r>
      <w:r>
        <w:rPr>
          <w:spacing w:val="22"/>
          <w:w w:val="120"/>
          <w:sz w:val="20"/>
        </w:rPr>
        <w:t> </w:t>
      </w:r>
      <w:r>
        <w:rPr>
          <w:w w:val="120"/>
          <w:sz w:val="20"/>
        </w:rPr>
        <w:t>poll;</w:t>
      </w:r>
    </w:p>
    <w:p>
      <w:pPr>
        <w:pStyle w:val="BodyText"/>
        <w:spacing w:before="10"/>
        <w:rPr>
          <w:sz w:val="19"/>
        </w:rPr>
      </w:pPr>
    </w:p>
    <w:p>
      <w:pPr>
        <w:pStyle w:val="ListParagraph"/>
        <w:numPr>
          <w:ilvl w:val="0"/>
          <w:numId w:val="176"/>
        </w:numPr>
        <w:tabs>
          <w:tab w:pos="3424" w:val="left" w:leader="none"/>
          <w:tab w:pos="3425" w:val="left" w:leader="none"/>
        </w:tabs>
        <w:spacing w:line="235" w:lineRule="auto" w:before="1" w:after="0"/>
        <w:ind w:left="3424" w:right="1273" w:hanging="760"/>
        <w:jc w:val="left"/>
        <w:rPr>
          <w:sz w:val="20"/>
        </w:rPr>
      </w:pPr>
      <w:r>
        <w:rPr>
          <w:w w:val="120"/>
          <w:sz w:val="20"/>
        </w:rPr>
        <w:t>the result of the poll shall be deemed to be the resolution of the meeting at which the poll is</w:t>
      </w:r>
      <w:r>
        <w:rPr>
          <w:spacing w:val="11"/>
          <w:w w:val="120"/>
          <w:sz w:val="20"/>
        </w:rPr>
        <w:t> </w:t>
      </w:r>
      <w:r>
        <w:rPr>
          <w:w w:val="120"/>
          <w:sz w:val="20"/>
        </w:rPr>
        <w:t>demanded;</w:t>
      </w:r>
    </w:p>
    <w:p>
      <w:pPr>
        <w:pStyle w:val="BodyText"/>
        <w:spacing w:before="9"/>
        <w:rPr>
          <w:sz w:val="19"/>
        </w:rPr>
      </w:pPr>
    </w:p>
    <w:p>
      <w:pPr>
        <w:pStyle w:val="ListParagraph"/>
        <w:numPr>
          <w:ilvl w:val="0"/>
          <w:numId w:val="176"/>
        </w:numPr>
        <w:tabs>
          <w:tab w:pos="3424" w:val="left" w:leader="none"/>
          <w:tab w:pos="3425" w:val="left" w:leader="none"/>
        </w:tabs>
        <w:spacing w:line="235" w:lineRule="auto" w:before="0" w:after="0"/>
        <w:ind w:left="3424" w:right="1495" w:hanging="760"/>
        <w:jc w:val="left"/>
        <w:rPr>
          <w:sz w:val="20"/>
        </w:rPr>
      </w:pPr>
      <w:r>
        <w:rPr>
          <w:w w:val="120"/>
          <w:sz w:val="20"/>
        </w:rPr>
        <w:t>a poll demanded on the election of a person to chair a meeting or on a question of adjournment must be taken</w:t>
      </w:r>
      <w:r>
        <w:rPr>
          <w:spacing w:val="11"/>
          <w:w w:val="120"/>
          <w:sz w:val="20"/>
        </w:rPr>
        <w:t> </w:t>
      </w:r>
      <w:r>
        <w:rPr>
          <w:w w:val="120"/>
          <w:sz w:val="20"/>
        </w:rPr>
        <w:t>immediately;</w:t>
      </w:r>
    </w:p>
    <w:p>
      <w:pPr>
        <w:pStyle w:val="BodyText"/>
        <w:spacing w:before="9"/>
        <w:rPr>
          <w:sz w:val="19"/>
        </w:rPr>
      </w:pPr>
    </w:p>
    <w:p>
      <w:pPr>
        <w:pStyle w:val="ListParagraph"/>
        <w:numPr>
          <w:ilvl w:val="0"/>
          <w:numId w:val="176"/>
        </w:numPr>
        <w:tabs>
          <w:tab w:pos="3424" w:val="left" w:leader="none"/>
          <w:tab w:pos="3425" w:val="left" w:leader="none"/>
        </w:tabs>
        <w:spacing w:line="235" w:lineRule="auto" w:before="1" w:after="0"/>
        <w:ind w:left="3424" w:right="1201" w:hanging="760"/>
        <w:jc w:val="left"/>
        <w:rPr>
          <w:sz w:val="20"/>
        </w:rPr>
      </w:pPr>
      <w:r>
        <w:rPr>
          <w:w w:val="120"/>
          <w:sz w:val="20"/>
        </w:rPr>
        <w:t>a poll demanded on any other question must be taken either immediately or at such time and place as the person who is chairing the meeting directs;</w:t>
      </w:r>
    </w:p>
    <w:p>
      <w:pPr>
        <w:pStyle w:val="BodyText"/>
        <w:spacing w:before="6"/>
        <w:rPr>
          <w:sz w:val="19"/>
        </w:rPr>
      </w:pPr>
    </w:p>
    <w:p>
      <w:pPr>
        <w:pStyle w:val="ListParagraph"/>
        <w:numPr>
          <w:ilvl w:val="0"/>
          <w:numId w:val="176"/>
        </w:numPr>
        <w:tabs>
          <w:tab w:pos="3424" w:val="left" w:leader="none"/>
          <w:tab w:pos="3425" w:val="left" w:leader="none"/>
        </w:tabs>
        <w:spacing w:line="240" w:lineRule="auto" w:before="0" w:after="0"/>
        <w:ind w:left="3424" w:right="0" w:hanging="761"/>
        <w:jc w:val="left"/>
        <w:rPr>
          <w:sz w:val="20"/>
        </w:rPr>
      </w:pPr>
      <w:r>
        <w:rPr>
          <w:w w:val="120"/>
          <w:sz w:val="20"/>
        </w:rPr>
        <w:t>The poll must be taken within thirty days after it has been</w:t>
      </w:r>
      <w:r>
        <w:rPr>
          <w:spacing w:val="32"/>
          <w:w w:val="120"/>
          <w:sz w:val="20"/>
        </w:rPr>
        <w:t> </w:t>
      </w:r>
      <w:r>
        <w:rPr>
          <w:w w:val="120"/>
          <w:sz w:val="20"/>
        </w:rPr>
        <w:t>demanded.</w:t>
      </w:r>
    </w:p>
    <w:p>
      <w:pPr>
        <w:pStyle w:val="BodyText"/>
        <w:spacing w:before="7"/>
        <w:rPr>
          <w:sz w:val="19"/>
        </w:rPr>
      </w:pPr>
    </w:p>
    <w:p>
      <w:pPr>
        <w:pStyle w:val="ListParagraph"/>
        <w:numPr>
          <w:ilvl w:val="0"/>
          <w:numId w:val="176"/>
        </w:numPr>
        <w:tabs>
          <w:tab w:pos="3424" w:val="left" w:leader="none"/>
          <w:tab w:pos="3425" w:val="left" w:leader="none"/>
        </w:tabs>
        <w:spacing w:line="235" w:lineRule="auto" w:before="1" w:after="0"/>
        <w:ind w:left="3424" w:right="1139" w:hanging="760"/>
        <w:jc w:val="left"/>
        <w:rPr>
          <w:sz w:val="20"/>
        </w:rPr>
      </w:pPr>
      <w:r>
        <w:rPr>
          <w:w w:val="120"/>
          <w:sz w:val="20"/>
        </w:rPr>
        <w:t>if the poll is not taken immediately at least seven clear days’ notice shall be given specifying the time and place at which the poll is to be</w:t>
      </w:r>
      <w:r>
        <w:rPr>
          <w:spacing w:val="8"/>
          <w:w w:val="120"/>
          <w:sz w:val="20"/>
        </w:rPr>
        <w:t> </w:t>
      </w:r>
      <w:r>
        <w:rPr>
          <w:w w:val="120"/>
          <w:sz w:val="20"/>
        </w:rPr>
        <w:t>taken.</w:t>
      </w:r>
    </w:p>
    <w:p>
      <w:pPr>
        <w:pStyle w:val="BodyText"/>
        <w:spacing w:before="9"/>
        <w:rPr>
          <w:sz w:val="19"/>
        </w:rPr>
      </w:pPr>
    </w:p>
    <w:p>
      <w:pPr>
        <w:pStyle w:val="ListParagraph"/>
        <w:numPr>
          <w:ilvl w:val="0"/>
          <w:numId w:val="176"/>
        </w:numPr>
        <w:tabs>
          <w:tab w:pos="3424" w:val="left" w:leader="none"/>
          <w:tab w:pos="3425" w:val="left" w:leader="none"/>
        </w:tabs>
        <w:spacing w:line="235" w:lineRule="auto" w:before="0" w:after="0"/>
        <w:ind w:left="3424" w:right="1536" w:hanging="760"/>
        <w:jc w:val="left"/>
        <w:rPr>
          <w:sz w:val="20"/>
        </w:rPr>
      </w:pPr>
      <w:r>
        <w:rPr>
          <w:w w:val="120"/>
          <w:sz w:val="20"/>
        </w:rPr>
        <w:t>If a poll is demanded the meeting may continue to deal with any other business that may be conducted at the</w:t>
      </w:r>
      <w:r>
        <w:rPr>
          <w:spacing w:val="18"/>
          <w:w w:val="120"/>
          <w:sz w:val="20"/>
        </w:rPr>
        <w:t> </w:t>
      </w:r>
      <w:r>
        <w:rPr>
          <w:w w:val="120"/>
          <w:sz w:val="20"/>
        </w:rPr>
        <w:t>meeting.</w:t>
      </w:r>
    </w:p>
    <w:p>
      <w:pPr>
        <w:pStyle w:val="BodyText"/>
        <w:rPr>
          <w:sz w:val="24"/>
        </w:rPr>
      </w:pPr>
    </w:p>
    <w:p>
      <w:pPr>
        <w:numPr>
          <w:ilvl w:val="0"/>
          <w:numId w:val="170"/>
        </w:numPr>
        <w:tabs>
          <w:tab w:pos="2664" w:val="left" w:leader="none"/>
          <w:tab w:pos="2665" w:val="left" w:leader="none"/>
        </w:tabs>
        <w:spacing w:before="163"/>
        <w:ind w:left="2664" w:right="0" w:hanging="681"/>
        <w:jc w:val="left"/>
        <w:rPr>
          <w:rFonts w:ascii="Stone Sans II ITC Std Bk"/>
          <w:b/>
          <w:sz w:val="21"/>
        </w:rPr>
      </w:pPr>
      <w:r>
        <w:rPr>
          <w:rFonts w:ascii="Stone Sans II ITC Std Bk"/>
          <w:b/>
          <w:w w:val="115"/>
          <w:sz w:val="21"/>
        </w:rPr>
        <w:t>Proxies: Appointment and</w:t>
      </w:r>
      <w:r>
        <w:rPr>
          <w:rFonts w:ascii="Stone Sans II ITC Std Bk"/>
          <w:b/>
          <w:spacing w:val="-6"/>
          <w:w w:val="115"/>
          <w:sz w:val="21"/>
        </w:rPr>
        <w:t> </w:t>
      </w:r>
      <w:r>
        <w:rPr>
          <w:rFonts w:ascii="Stone Sans II ITC Std Bk"/>
          <w:b/>
          <w:spacing w:val="-3"/>
          <w:w w:val="115"/>
          <w:sz w:val="21"/>
        </w:rPr>
        <w:t>Voting</w:t>
      </w:r>
    </w:p>
    <w:p>
      <w:pPr>
        <w:pStyle w:val="ListParagraph"/>
        <w:numPr>
          <w:ilvl w:val="1"/>
          <w:numId w:val="170"/>
        </w:numPr>
        <w:tabs>
          <w:tab w:pos="2664" w:val="left" w:leader="none"/>
          <w:tab w:pos="2665" w:val="left" w:leader="none"/>
        </w:tabs>
        <w:spacing w:line="235" w:lineRule="auto" w:before="222" w:after="0"/>
        <w:ind w:left="2664" w:right="1182" w:hanging="681"/>
        <w:jc w:val="left"/>
        <w:rPr>
          <w:sz w:val="20"/>
        </w:rPr>
      </w:pPr>
      <w:r>
        <w:rPr>
          <w:w w:val="120"/>
          <w:sz w:val="20"/>
        </w:rPr>
        <w:t>Any member is entitled to appoint another person as a proxy to exercise all or any of the member’s rights to attend and to speak and vote at a general meeting of the</w:t>
      </w:r>
      <w:r>
        <w:rPr>
          <w:spacing w:val="2"/>
          <w:w w:val="120"/>
          <w:sz w:val="20"/>
        </w:rPr>
        <w:t> </w:t>
      </w:r>
      <w:r>
        <w:rPr>
          <w:w w:val="120"/>
          <w:sz w:val="20"/>
        </w:rPr>
        <w:t>Charity.</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417" w:hanging="681"/>
        <w:jc w:val="left"/>
        <w:rPr>
          <w:sz w:val="20"/>
        </w:rPr>
      </w:pPr>
      <w:r>
        <w:rPr>
          <w:w w:val="120"/>
          <w:sz w:val="20"/>
        </w:rPr>
        <w:t>The appointment of a proxy shall be executed by or on behalf of the appointor and shall be in the following form </w:t>
      </w:r>
      <w:r>
        <w:rPr>
          <w:spacing w:val="-6"/>
          <w:w w:val="120"/>
          <w:sz w:val="20"/>
        </w:rPr>
        <w:t>(or </w:t>
      </w:r>
      <w:r>
        <w:rPr>
          <w:w w:val="120"/>
          <w:sz w:val="20"/>
        </w:rPr>
        <w:t>in a form as near thereto as circumstances allow</w:t>
      </w:r>
      <w:r>
        <w:rPr>
          <w:spacing w:val="4"/>
          <w:w w:val="120"/>
          <w:sz w:val="20"/>
        </w:rPr>
        <w:t> </w:t>
      </w:r>
      <w:r>
        <w:rPr>
          <w:w w:val="120"/>
          <w:sz w:val="20"/>
        </w:rPr>
        <w:t>or</w:t>
      </w:r>
      <w:r>
        <w:rPr>
          <w:spacing w:val="5"/>
          <w:w w:val="120"/>
          <w:sz w:val="20"/>
        </w:rPr>
        <w:t> </w:t>
      </w:r>
      <w:r>
        <w:rPr>
          <w:w w:val="120"/>
          <w:sz w:val="20"/>
        </w:rPr>
        <w:t>in</w:t>
      </w:r>
      <w:r>
        <w:rPr>
          <w:spacing w:val="4"/>
          <w:w w:val="120"/>
          <w:sz w:val="20"/>
        </w:rPr>
        <w:t> </w:t>
      </w:r>
      <w:r>
        <w:rPr>
          <w:w w:val="120"/>
          <w:sz w:val="20"/>
        </w:rPr>
        <w:t>any</w:t>
      </w:r>
      <w:r>
        <w:rPr>
          <w:spacing w:val="5"/>
          <w:w w:val="120"/>
          <w:sz w:val="20"/>
        </w:rPr>
        <w:t> </w:t>
      </w:r>
      <w:r>
        <w:rPr>
          <w:w w:val="120"/>
          <w:sz w:val="20"/>
        </w:rPr>
        <w:t>other</w:t>
      </w:r>
      <w:r>
        <w:rPr>
          <w:spacing w:val="4"/>
          <w:w w:val="120"/>
          <w:sz w:val="20"/>
        </w:rPr>
        <w:t> </w:t>
      </w:r>
      <w:r>
        <w:rPr>
          <w:w w:val="120"/>
          <w:sz w:val="20"/>
        </w:rPr>
        <w:t>form</w:t>
      </w:r>
      <w:r>
        <w:rPr>
          <w:spacing w:val="5"/>
          <w:w w:val="120"/>
          <w:sz w:val="20"/>
        </w:rPr>
        <w:t> </w:t>
      </w:r>
      <w:r>
        <w:rPr>
          <w:w w:val="120"/>
          <w:sz w:val="20"/>
        </w:rPr>
        <w:t>which</w:t>
      </w:r>
      <w:r>
        <w:rPr>
          <w:spacing w:val="5"/>
          <w:w w:val="120"/>
          <w:sz w:val="20"/>
        </w:rPr>
        <w:t> </w:t>
      </w:r>
      <w:r>
        <w:rPr>
          <w:w w:val="120"/>
          <w:sz w:val="20"/>
        </w:rPr>
        <w:t>is</w:t>
      </w:r>
      <w:r>
        <w:rPr>
          <w:spacing w:val="4"/>
          <w:w w:val="120"/>
          <w:sz w:val="20"/>
        </w:rPr>
        <w:t> </w:t>
      </w:r>
      <w:r>
        <w:rPr>
          <w:w w:val="120"/>
          <w:sz w:val="20"/>
        </w:rPr>
        <w:t>usual</w:t>
      </w:r>
      <w:r>
        <w:rPr>
          <w:spacing w:val="5"/>
          <w:w w:val="120"/>
          <w:sz w:val="20"/>
        </w:rPr>
        <w:t> </w:t>
      </w:r>
      <w:r>
        <w:rPr>
          <w:w w:val="120"/>
          <w:sz w:val="20"/>
        </w:rPr>
        <w:t>or</w:t>
      </w:r>
      <w:r>
        <w:rPr>
          <w:spacing w:val="4"/>
          <w:w w:val="120"/>
          <w:sz w:val="20"/>
        </w:rPr>
        <w:t> </w:t>
      </w:r>
      <w:r>
        <w:rPr>
          <w:w w:val="120"/>
          <w:sz w:val="20"/>
        </w:rPr>
        <w:t>which</w:t>
      </w:r>
      <w:r>
        <w:rPr>
          <w:spacing w:val="5"/>
          <w:w w:val="120"/>
          <w:sz w:val="20"/>
        </w:rPr>
        <w:t> </w:t>
      </w:r>
      <w:r>
        <w:rPr>
          <w:w w:val="120"/>
          <w:sz w:val="20"/>
        </w:rPr>
        <w:t>the</w:t>
      </w:r>
      <w:r>
        <w:rPr>
          <w:spacing w:val="5"/>
          <w:w w:val="120"/>
          <w:sz w:val="20"/>
        </w:rPr>
        <w:t> </w:t>
      </w:r>
      <w:r>
        <w:rPr>
          <w:w w:val="120"/>
          <w:sz w:val="20"/>
        </w:rPr>
        <w:t>directors</w:t>
      </w:r>
      <w:r>
        <w:rPr>
          <w:spacing w:val="4"/>
          <w:w w:val="120"/>
          <w:sz w:val="20"/>
        </w:rPr>
        <w:t> </w:t>
      </w:r>
      <w:r>
        <w:rPr>
          <w:w w:val="120"/>
          <w:sz w:val="20"/>
        </w:rPr>
        <w:t>may</w:t>
      </w:r>
      <w:r>
        <w:rPr>
          <w:spacing w:val="5"/>
          <w:w w:val="120"/>
          <w:sz w:val="20"/>
        </w:rPr>
        <w:t> </w:t>
      </w:r>
      <w:r>
        <w:rPr>
          <w:spacing w:val="-3"/>
          <w:w w:val="120"/>
          <w:sz w:val="20"/>
        </w:rPr>
        <w:t>approve):–</w:t>
      </w:r>
    </w:p>
    <w:p>
      <w:pPr>
        <w:pStyle w:val="BodyText"/>
        <w:spacing w:before="7"/>
        <w:rPr>
          <w:sz w:val="19"/>
        </w:rPr>
      </w:pPr>
    </w:p>
    <w:p>
      <w:pPr>
        <w:pStyle w:val="BodyText"/>
        <w:ind w:left="3424"/>
      </w:pPr>
      <w:r>
        <w:rPr>
          <w:w w:val="120"/>
        </w:rPr>
        <w:t>“United Reformed Church Trust</w:t>
      </w:r>
    </w:p>
    <w:p>
      <w:pPr>
        <w:spacing w:after="0"/>
        <w:sectPr>
          <w:pgSz w:w="11910" w:h="16840"/>
          <w:pgMar w:header="0" w:footer="647" w:top="1060" w:bottom="840" w:left="0" w:right="0"/>
        </w:sectPr>
      </w:pPr>
    </w:p>
    <w:p>
      <w:pPr>
        <w:pStyle w:val="BodyText"/>
        <w:tabs>
          <w:tab w:pos="4169" w:val="left" w:leader="dot"/>
        </w:tabs>
        <w:spacing w:line="242" w:lineRule="exact" w:before="103"/>
        <w:ind w:left="1814"/>
      </w:pPr>
      <w:r>
        <w:rPr/>
        <w:pict>
          <v:rect style="position:absolute;margin-left:12.047pt;margin-top:8.467772pt;width:22.677pt;height:22.677pt;mso-position-horizontal-relative:page;mso-position-vertical-relative:paragraph;z-index:252347392" filled="true" fillcolor="#e4ebc6" stroked="false">
            <v:fill opacity="32768f" type="solid"/>
            <w10:wrap type="none"/>
          </v:rect>
        </w:pict>
      </w:r>
      <w:r>
        <w:rPr>
          <w:w w:val="120"/>
        </w:rPr>
        <w:t>I/We,</w:t>
      </w:r>
      <w:r>
        <w:rPr>
          <w:spacing w:val="3"/>
          <w:w w:val="120"/>
        </w:rPr>
        <w:t> </w:t>
      </w:r>
      <w:r>
        <w:rPr>
          <w:spacing w:val="-5"/>
          <w:w w:val="120"/>
        </w:rPr>
        <w:t>............,</w:t>
      </w:r>
      <w:r>
        <w:rPr>
          <w:spacing w:val="4"/>
          <w:w w:val="120"/>
        </w:rPr>
        <w:t> </w:t>
      </w:r>
      <w:r>
        <w:rPr>
          <w:w w:val="120"/>
        </w:rPr>
        <w:t>of</w:t>
        <w:tab/>
        <w:t>, being a member/members of the above named</w:t>
      </w:r>
      <w:r>
        <w:rPr>
          <w:spacing w:val="17"/>
          <w:w w:val="120"/>
        </w:rPr>
        <w:t> </w:t>
      </w:r>
      <w:r>
        <w:rPr>
          <w:w w:val="120"/>
        </w:rPr>
        <w:t>charity,</w:t>
      </w:r>
    </w:p>
    <w:p>
      <w:pPr>
        <w:pStyle w:val="BodyText"/>
        <w:tabs>
          <w:tab w:pos="8766" w:val="left" w:leader="dot"/>
        </w:tabs>
        <w:spacing w:line="240" w:lineRule="exact"/>
        <w:ind w:left="1814"/>
      </w:pPr>
      <w:r>
        <w:rPr>
          <w:w w:val="120"/>
        </w:rPr>
        <w:t>hereby appoint </w:t>
      </w:r>
      <w:r>
        <w:rPr>
          <w:spacing w:val="-5"/>
          <w:w w:val="120"/>
        </w:rPr>
        <w:t>............  </w:t>
      </w:r>
      <w:r>
        <w:rPr>
          <w:w w:val="120"/>
        </w:rPr>
        <w:t>of </w:t>
      </w:r>
      <w:r>
        <w:rPr>
          <w:spacing w:val="-5"/>
          <w:w w:val="120"/>
        </w:rPr>
        <w:t>............,  </w:t>
      </w:r>
      <w:r>
        <w:rPr>
          <w:w w:val="120"/>
        </w:rPr>
        <w:t>or failing </w:t>
      </w:r>
      <w:r>
        <w:rPr>
          <w:spacing w:val="-3"/>
          <w:w w:val="120"/>
        </w:rPr>
        <w:t>him/her,</w:t>
      </w:r>
      <w:r>
        <w:rPr>
          <w:spacing w:val="19"/>
          <w:w w:val="120"/>
        </w:rPr>
        <w:t> </w:t>
      </w:r>
      <w:r>
        <w:rPr>
          <w:spacing w:val="-5"/>
          <w:w w:val="120"/>
        </w:rPr>
        <w:t>............</w:t>
      </w:r>
      <w:r>
        <w:rPr>
          <w:spacing w:val="13"/>
          <w:w w:val="120"/>
        </w:rPr>
        <w:t> </w:t>
      </w:r>
      <w:r>
        <w:rPr>
          <w:w w:val="120"/>
        </w:rPr>
        <w:t>of</w:t>
        <w:tab/>
        <w:t>, as</w:t>
      </w:r>
      <w:r>
        <w:rPr>
          <w:spacing w:val="4"/>
          <w:w w:val="120"/>
        </w:rPr>
        <w:t> </w:t>
      </w:r>
      <w:r>
        <w:rPr>
          <w:spacing w:val="-4"/>
          <w:w w:val="120"/>
        </w:rPr>
        <w:t>my/our</w:t>
      </w:r>
    </w:p>
    <w:p>
      <w:pPr>
        <w:pStyle w:val="BodyText"/>
        <w:tabs>
          <w:tab w:pos="6071" w:val="left" w:leader="dot"/>
        </w:tabs>
        <w:spacing w:line="235" w:lineRule="auto" w:before="2"/>
        <w:ind w:left="1814" w:right="2251"/>
      </w:pPr>
      <w:r>
        <w:rPr>
          <w:w w:val="120"/>
        </w:rPr>
        <w:t>proxy to vote in </w:t>
      </w:r>
      <w:r>
        <w:rPr>
          <w:spacing w:val="-4"/>
          <w:w w:val="120"/>
        </w:rPr>
        <w:t>my/our </w:t>
      </w:r>
      <w:r>
        <w:rPr>
          <w:spacing w:val="-5"/>
          <w:w w:val="120"/>
        </w:rPr>
        <w:t>name[s] </w:t>
      </w:r>
      <w:r>
        <w:rPr>
          <w:w w:val="120"/>
        </w:rPr>
        <w:t>and on </w:t>
      </w:r>
      <w:r>
        <w:rPr>
          <w:spacing w:val="-4"/>
          <w:w w:val="120"/>
        </w:rPr>
        <w:t>my/our </w:t>
      </w:r>
      <w:r>
        <w:rPr>
          <w:w w:val="120"/>
        </w:rPr>
        <w:t>behalf at the general meeting of the Charity to be held on </w:t>
      </w:r>
      <w:r>
        <w:rPr>
          <w:spacing w:val="12"/>
          <w:w w:val="120"/>
        </w:rPr>
        <w:t> </w:t>
      </w:r>
      <w:r>
        <w:rPr>
          <w:spacing w:val="-5"/>
          <w:w w:val="120"/>
        </w:rPr>
        <w:t>............</w:t>
      </w:r>
      <w:r>
        <w:rPr>
          <w:spacing w:val="11"/>
          <w:w w:val="120"/>
        </w:rPr>
        <w:t> </w:t>
      </w:r>
      <w:r>
        <w:rPr>
          <w:w w:val="120"/>
        </w:rPr>
        <w:t>20</w:t>
        <w:tab/>
        <w:t>, and at any adjournment</w:t>
      </w:r>
      <w:r>
        <w:rPr>
          <w:spacing w:val="3"/>
          <w:w w:val="120"/>
        </w:rPr>
        <w:t> </w:t>
      </w:r>
      <w:r>
        <w:rPr>
          <w:w w:val="120"/>
        </w:rPr>
        <w:t>thereof.</w:t>
      </w:r>
    </w:p>
    <w:p>
      <w:pPr>
        <w:pStyle w:val="BodyText"/>
        <w:spacing w:before="6"/>
        <w:rPr>
          <w:sz w:val="19"/>
        </w:rPr>
      </w:pPr>
    </w:p>
    <w:p>
      <w:pPr>
        <w:pStyle w:val="BodyText"/>
        <w:tabs>
          <w:tab w:pos="4578" w:val="left" w:leader="dot"/>
        </w:tabs>
        <w:ind w:left="1814"/>
      </w:pPr>
      <w:r>
        <w:rPr>
          <w:w w:val="125"/>
        </w:rPr>
        <w:t>Signed on</w:t>
      </w:r>
      <w:r>
        <w:rPr>
          <w:spacing w:val="1"/>
          <w:w w:val="125"/>
        </w:rPr>
        <w:t> </w:t>
      </w:r>
      <w:r>
        <w:rPr>
          <w:spacing w:val="-5"/>
          <w:w w:val="125"/>
        </w:rPr>
        <w:t>............</w:t>
      </w:r>
      <w:r>
        <w:rPr>
          <w:spacing w:val="1"/>
          <w:w w:val="125"/>
        </w:rPr>
        <w:t> </w:t>
      </w:r>
      <w:r>
        <w:rPr>
          <w:w w:val="125"/>
        </w:rPr>
        <w:t>20</w:t>
        <w:tab/>
      </w:r>
      <w:r>
        <w:rPr>
          <w:spacing w:val="-10"/>
          <w:w w:val="125"/>
        </w:rPr>
        <w:t>”.</w:t>
      </w:r>
    </w:p>
    <w:p>
      <w:pPr>
        <w:pStyle w:val="BodyText"/>
        <w:spacing w:before="7"/>
        <w:rPr>
          <w:sz w:val="19"/>
        </w:rPr>
      </w:pPr>
    </w:p>
    <w:p>
      <w:pPr>
        <w:pStyle w:val="ListParagraph"/>
        <w:numPr>
          <w:ilvl w:val="1"/>
          <w:numId w:val="170"/>
        </w:numPr>
        <w:tabs>
          <w:tab w:pos="1814" w:val="left" w:leader="none"/>
          <w:tab w:pos="1815" w:val="left" w:leader="none"/>
        </w:tabs>
        <w:spacing w:line="235" w:lineRule="auto" w:before="1" w:after="0"/>
        <w:ind w:left="1814" w:right="2092" w:hanging="681"/>
        <w:jc w:val="left"/>
        <w:rPr>
          <w:sz w:val="20"/>
        </w:rPr>
      </w:pPr>
      <w:r>
        <w:rPr>
          <w:w w:val="120"/>
          <w:sz w:val="20"/>
        </w:rPr>
        <w:t>Where it is desired to afford members an opportunity of instructing the proxy how to act the appointment of a proxy shall be in the following form </w:t>
      </w:r>
      <w:r>
        <w:rPr>
          <w:spacing w:val="-6"/>
          <w:w w:val="120"/>
          <w:sz w:val="20"/>
        </w:rPr>
        <w:t>(or  </w:t>
      </w:r>
      <w:r>
        <w:rPr>
          <w:w w:val="120"/>
          <w:sz w:val="20"/>
        </w:rPr>
        <w:t>in a   form as near thereto as circumstances allow or in any other form which is usual</w:t>
      </w:r>
      <w:r>
        <w:rPr>
          <w:spacing w:val="-39"/>
          <w:w w:val="120"/>
          <w:sz w:val="20"/>
        </w:rPr>
        <w:t> </w:t>
      </w:r>
      <w:r>
        <w:rPr>
          <w:w w:val="120"/>
          <w:sz w:val="20"/>
        </w:rPr>
        <w:t>or which the directors may</w:t>
      </w:r>
      <w:r>
        <w:rPr>
          <w:spacing w:val="9"/>
          <w:w w:val="120"/>
          <w:sz w:val="20"/>
        </w:rPr>
        <w:t> </w:t>
      </w:r>
      <w:r>
        <w:rPr>
          <w:spacing w:val="-3"/>
          <w:w w:val="120"/>
          <w:sz w:val="20"/>
        </w:rPr>
        <w:t>approve):-</w:t>
      </w:r>
    </w:p>
    <w:p>
      <w:pPr>
        <w:pStyle w:val="BodyText"/>
        <w:spacing w:before="6"/>
        <w:rPr>
          <w:sz w:val="19"/>
        </w:rPr>
      </w:pPr>
    </w:p>
    <w:p>
      <w:pPr>
        <w:pStyle w:val="BodyText"/>
        <w:spacing w:before="1"/>
        <w:ind w:left="2573"/>
      </w:pPr>
      <w:r>
        <w:rPr>
          <w:w w:val="120"/>
        </w:rPr>
        <w:t>“United Reformed Church Trust</w:t>
      </w:r>
    </w:p>
    <w:p>
      <w:pPr>
        <w:pStyle w:val="BodyText"/>
        <w:spacing w:before="3"/>
        <w:rPr>
          <w:sz w:val="19"/>
        </w:rPr>
      </w:pPr>
    </w:p>
    <w:p>
      <w:pPr>
        <w:pStyle w:val="BodyText"/>
        <w:tabs>
          <w:tab w:pos="4169" w:val="left" w:leader="dot"/>
        </w:tabs>
        <w:spacing w:line="242" w:lineRule="exact" w:before="1"/>
        <w:ind w:left="1814"/>
      </w:pPr>
      <w:r>
        <w:rPr>
          <w:w w:val="120"/>
        </w:rPr>
        <w:t>I/We,</w:t>
      </w:r>
      <w:r>
        <w:rPr>
          <w:spacing w:val="3"/>
          <w:w w:val="120"/>
        </w:rPr>
        <w:t> </w:t>
      </w:r>
      <w:r>
        <w:rPr>
          <w:spacing w:val="-5"/>
          <w:w w:val="120"/>
        </w:rPr>
        <w:t>............,</w:t>
      </w:r>
      <w:r>
        <w:rPr>
          <w:spacing w:val="4"/>
          <w:w w:val="120"/>
        </w:rPr>
        <w:t> </w:t>
      </w:r>
      <w:r>
        <w:rPr>
          <w:w w:val="120"/>
        </w:rPr>
        <w:t>of</w:t>
        <w:tab/>
        <w:t>, being a member/members of the above named</w:t>
      </w:r>
      <w:r>
        <w:rPr>
          <w:spacing w:val="17"/>
          <w:w w:val="120"/>
        </w:rPr>
        <w:t> </w:t>
      </w:r>
      <w:r>
        <w:rPr>
          <w:w w:val="120"/>
        </w:rPr>
        <w:t>charity,</w:t>
      </w:r>
    </w:p>
    <w:p>
      <w:pPr>
        <w:pStyle w:val="BodyText"/>
        <w:tabs>
          <w:tab w:pos="8766" w:val="left" w:leader="dot"/>
        </w:tabs>
        <w:spacing w:line="240" w:lineRule="exact"/>
        <w:ind w:left="1814"/>
      </w:pPr>
      <w:r>
        <w:rPr>
          <w:w w:val="120"/>
        </w:rPr>
        <w:t>hereby appoint </w:t>
      </w:r>
      <w:r>
        <w:rPr>
          <w:spacing w:val="-5"/>
          <w:w w:val="120"/>
        </w:rPr>
        <w:t>............  </w:t>
      </w:r>
      <w:r>
        <w:rPr>
          <w:w w:val="120"/>
        </w:rPr>
        <w:t>of </w:t>
      </w:r>
      <w:r>
        <w:rPr>
          <w:spacing w:val="-5"/>
          <w:w w:val="120"/>
        </w:rPr>
        <w:t>............,  </w:t>
      </w:r>
      <w:r>
        <w:rPr>
          <w:w w:val="120"/>
        </w:rPr>
        <w:t>or failing </w:t>
      </w:r>
      <w:r>
        <w:rPr>
          <w:spacing w:val="-3"/>
          <w:w w:val="120"/>
        </w:rPr>
        <w:t>him/her,</w:t>
      </w:r>
      <w:r>
        <w:rPr>
          <w:spacing w:val="19"/>
          <w:w w:val="120"/>
        </w:rPr>
        <w:t> </w:t>
      </w:r>
      <w:r>
        <w:rPr>
          <w:spacing w:val="-5"/>
          <w:w w:val="120"/>
        </w:rPr>
        <w:t>............</w:t>
      </w:r>
      <w:r>
        <w:rPr>
          <w:spacing w:val="13"/>
          <w:w w:val="120"/>
        </w:rPr>
        <w:t> </w:t>
      </w:r>
      <w:r>
        <w:rPr>
          <w:w w:val="120"/>
        </w:rPr>
        <w:t>of</w:t>
        <w:tab/>
        <w:t>, as</w:t>
      </w:r>
      <w:r>
        <w:rPr>
          <w:spacing w:val="4"/>
          <w:w w:val="120"/>
        </w:rPr>
        <w:t> </w:t>
      </w:r>
      <w:r>
        <w:rPr>
          <w:spacing w:val="-4"/>
          <w:w w:val="120"/>
        </w:rPr>
        <w:t>my/our</w:t>
      </w:r>
    </w:p>
    <w:p>
      <w:pPr>
        <w:pStyle w:val="BodyText"/>
        <w:tabs>
          <w:tab w:pos="6121" w:val="left" w:leader="dot"/>
        </w:tabs>
        <w:spacing w:line="235" w:lineRule="auto" w:before="1"/>
        <w:ind w:left="1814" w:right="2251"/>
      </w:pPr>
      <w:r>
        <w:rPr>
          <w:w w:val="120"/>
        </w:rPr>
        <w:t>proxy to vote in </w:t>
      </w:r>
      <w:r>
        <w:rPr>
          <w:spacing w:val="-4"/>
          <w:w w:val="120"/>
        </w:rPr>
        <w:t>my/our </w:t>
      </w:r>
      <w:r>
        <w:rPr>
          <w:spacing w:val="-5"/>
          <w:w w:val="120"/>
        </w:rPr>
        <w:t>name[s] </w:t>
      </w:r>
      <w:r>
        <w:rPr>
          <w:w w:val="120"/>
        </w:rPr>
        <w:t>and on </w:t>
      </w:r>
      <w:r>
        <w:rPr>
          <w:spacing w:val="-4"/>
          <w:w w:val="120"/>
        </w:rPr>
        <w:t>my/our </w:t>
      </w:r>
      <w:r>
        <w:rPr>
          <w:w w:val="120"/>
        </w:rPr>
        <w:t>behalf at the general meeting of the Charity, to be held on </w:t>
      </w:r>
      <w:r>
        <w:rPr>
          <w:spacing w:val="5"/>
          <w:w w:val="120"/>
        </w:rPr>
        <w:t> </w:t>
      </w:r>
      <w:r>
        <w:rPr>
          <w:spacing w:val="-5"/>
          <w:w w:val="120"/>
        </w:rPr>
        <w:t>............</w:t>
      </w:r>
      <w:r>
        <w:rPr>
          <w:spacing w:val="10"/>
          <w:w w:val="120"/>
        </w:rPr>
        <w:t> </w:t>
      </w:r>
      <w:r>
        <w:rPr>
          <w:w w:val="120"/>
        </w:rPr>
        <w:t>20</w:t>
        <w:tab/>
        <w:t>, and at any adjournment</w:t>
      </w:r>
      <w:r>
        <w:rPr>
          <w:spacing w:val="2"/>
          <w:w w:val="120"/>
        </w:rPr>
        <w:t> </w:t>
      </w:r>
      <w:r>
        <w:rPr>
          <w:w w:val="120"/>
        </w:rPr>
        <w:t>thereof.</w:t>
      </w:r>
    </w:p>
    <w:p>
      <w:pPr>
        <w:pStyle w:val="BodyText"/>
        <w:spacing w:before="6"/>
        <w:rPr>
          <w:sz w:val="19"/>
        </w:rPr>
      </w:pPr>
    </w:p>
    <w:p>
      <w:pPr>
        <w:pStyle w:val="BodyText"/>
        <w:spacing w:line="472" w:lineRule="auto"/>
        <w:ind w:left="1814" w:right="1997"/>
      </w:pPr>
      <w:r>
        <w:rPr>
          <w:w w:val="120"/>
        </w:rPr>
        <w:t>This form is to be used in respect of the resolutions mentioned below as follows: Resolution No. 1 *for *against</w:t>
      </w:r>
    </w:p>
    <w:p>
      <w:pPr>
        <w:pStyle w:val="BodyText"/>
        <w:spacing w:line="242" w:lineRule="exact"/>
        <w:ind w:left="1814"/>
      </w:pPr>
      <w:r>
        <w:rPr>
          <w:w w:val="120"/>
        </w:rPr>
        <w:t>Resolution No. 2 *for *against.</w:t>
      </w:r>
    </w:p>
    <w:p>
      <w:pPr>
        <w:pStyle w:val="BodyText"/>
        <w:spacing w:before="4"/>
        <w:rPr>
          <w:sz w:val="19"/>
        </w:rPr>
      </w:pPr>
    </w:p>
    <w:p>
      <w:pPr>
        <w:pStyle w:val="BodyText"/>
        <w:ind w:left="2573"/>
      </w:pPr>
      <w:r>
        <w:rPr>
          <w:w w:val="120"/>
        </w:rPr>
        <w:t>*Strike out whichever is not desired.</w:t>
      </w:r>
    </w:p>
    <w:p>
      <w:pPr>
        <w:pStyle w:val="BodyText"/>
        <w:spacing w:before="7"/>
        <w:rPr>
          <w:sz w:val="19"/>
        </w:rPr>
      </w:pPr>
    </w:p>
    <w:p>
      <w:pPr>
        <w:pStyle w:val="BodyText"/>
        <w:spacing w:line="235" w:lineRule="auto"/>
        <w:ind w:left="1814" w:right="2667"/>
      </w:pPr>
      <w:r>
        <w:rPr>
          <w:w w:val="120"/>
        </w:rPr>
        <w:t>Unless otherwise instructed, the proxy may vote as s/he thinks fit or abstain from voting.</w:t>
      </w:r>
    </w:p>
    <w:p>
      <w:pPr>
        <w:pStyle w:val="BodyText"/>
        <w:spacing w:before="6"/>
        <w:rPr>
          <w:sz w:val="19"/>
        </w:rPr>
      </w:pPr>
    </w:p>
    <w:p>
      <w:pPr>
        <w:pStyle w:val="BodyText"/>
        <w:tabs>
          <w:tab w:pos="6093" w:val="left" w:leader="dot"/>
        </w:tabs>
        <w:ind w:left="1814"/>
      </w:pPr>
      <w:r>
        <w:rPr>
          <w:w w:val="125"/>
        </w:rPr>
        <w:t>Signed this </w:t>
      </w:r>
      <w:r>
        <w:rPr>
          <w:spacing w:val="-5"/>
          <w:w w:val="125"/>
        </w:rPr>
        <w:t>............ </w:t>
      </w:r>
      <w:r>
        <w:rPr>
          <w:w w:val="125"/>
        </w:rPr>
        <w:t>day of</w:t>
      </w:r>
      <w:r>
        <w:rPr>
          <w:spacing w:val="-18"/>
          <w:w w:val="125"/>
        </w:rPr>
        <w:t> </w:t>
      </w:r>
      <w:r>
        <w:rPr>
          <w:spacing w:val="-5"/>
          <w:w w:val="125"/>
        </w:rPr>
        <w:t>............</w:t>
      </w:r>
      <w:r>
        <w:rPr>
          <w:spacing w:val="-4"/>
          <w:w w:val="125"/>
        </w:rPr>
        <w:t> </w:t>
      </w:r>
      <w:r>
        <w:rPr>
          <w:w w:val="125"/>
        </w:rPr>
        <w:t>20</w:t>
        <w:tab/>
      </w:r>
      <w:r>
        <w:rPr>
          <w:spacing w:val="-10"/>
          <w:w w:val="125"/>
        </w:rPr>
        <w:t>”.</w:t>
      </w:r>
    </w:p>
    <w:p>
      <w:pPr>
        <w:pStyle w:val="BodyText"/>
        <w:spacing w:before="8"/>
        <w:rPr>
          <w:sz w:val="19"/>
        </w:rPr>
      </w:pPr>
    </w:p>
    <w:p>
      <w:pPr>
        <w:pStyle w:val="ListParagraph"/>
        <w:numPr>
          <w:ilvl w:val="1"/>
          <w:numId w:val="170"/>
        </w:numPr>
        <w:tabs>
          <w:tab w:pos="1814" w:val="left" w:leader="none"/>
          <w:tab w:pos="1815" w:val="left" w:leader="none"/>
        </w:tabs>
        <w:spacing w:line="235" w:lineRule="auto" w:before="0" w:after="0"/>
        <w:ind w:left="1814" w:right="2009" w:hanging="681"/>
        <w:jc w:val="left"/>
        <w:rPr>
          <w:sz w:val="20"/>
        </w:rPr>
      </w:pPr>
      <w:r>
        <w:rPr>
          <w:w w:val="120"/>
          <w:sz w:val="20"/>
        </w:rPr>
        <w:t>The appointment of a proxy and any authority under which it is executed </w:t>
      </w:r>
      <w:r>
        <w:rPr>
          <w:spacing w:val="-6"/>
          <w:w w:val="120"/>
          <w:sz w:val="20"/>
        </w:rPr>
        <w:t>(or </w:t>
      </w:r>
      <w:r>
        <w:rPr>
          <w:w w:val="120"/>
          <w:sz w:val="20"/>
        </w:rPr>
        <w:t>a copy of such authority certified by a notary or in some other way approved by the directors) may be lodged with the Charity as</w:t>
      </w:r>
      <w:r>
        <w:rPr>
          <w:spacing w:val="22"/>
          <w:w w:val="120"/>
          <w:sz w:val="20"/>
        </w:rPr>
        <w:t> </w:t>
      </w:r>
      <w:r>
        <w:rPr>
          <w:w w:val="120"/>
          <w:sz w:val="20"/>
        </w:rPr>
        <w:t>follows:</w:t>
      </w:r>
    </w:p>
    <w:p>
      <w:pPr>
        <w:pStyle w:val="BodyText"/>
        <w:spacing w:before="10"/>
        <w:rPr>
          <w:sz w:val="19"/>
        </w:rPr>
      </w:pPr>
    </w:p>
    <w:p>
      <w:pPr>
        <w:pStyle w:val="ListParagraph"/>
        <w:numPr>
          <w:ilvl w:val="0"/>
          <w:numId w:val="177"/>
        </w:numPr>
        <w:tabs>
          <w:tab w:pos="2573" w:val="left" w:leader="none"/>
          <w:tab w:pos="2574" w:val="left" w:leader="none"/>
        </w:tabs>
        <w:spacing w:line="235" w:lineRule="auto" w:before="0" w:after="0"/>
        <w:ind w:left="2573" w:right="2212" w:hanging="760"/>
        <w:jc w:val="left"/>
        <w:rPr>
          <w:sz w:val="20"/>
        </w:rPr>
      </w:pPr>
      <w:r>
        <w:rPr>
          <w:w w:val="120"/>
          <w:sz w:val="20"/>
        </w:rPr>
        <w:t>in the case of an instrument in writing be deposited at the office or at such other place within the United Kingdom as is specified in the notice convening the meeting or in any instrument of proxy sent out by the Charity in relation to the meeting not less than 48 hours before the time for holding the meeting or adjourned meeting at which the person named in the instrument proposes to vote;</w:t>
      </w:r>
      <w:r>
        <w:rPr>
          <w:spacing w:val="12"/>
          <w:w w:val="120"/>
          <w:sz w:val="20"/>
        </w:rPr>
        <w:t> </w:t>
      </w:r>
      <w:r>
        <w:rPr>
          <w:w w:val="120"/>
          <w:sz w:val="20"/>
        </w:rPr>
        <w:t>or</w:t>
      </w:r>
    </w:p>
    <w:p>
      <w:pPr>
        <w:pStyle w:val="BodyText"/>
        <w:rPr>
          <w:sz w:val="24"/>
        </w:rPr>
      </w:pPr>
    </w:p>
    <w:p>
      <w:pPr>
        <w:pStyle w:val="ListParagraph"/>
        <w:numPr>
          <w:ilvl w:val="0"/>
          <w:numId w:val="177"/>
        </w:numPr>
        <w:tabs>
          <w:tab w:pos="2573" w:val="left" w:leader="none"/>
          <w:tab w:pos="2574" w:val="left" w:leader="none"/>
        </w:tabs>
        <w:spacing w:line="235" w:lineRule="auto" w:before="191" w:after="0"/>
        <w:ind w:left="2573" w:right="2100" w:hanging="760"/>
        <w:jc w:val="left"/>
        <w:rPr>
          <w:sz w:val="20"/>
        </w:rPr>
      </w:pPr>
      <w:r>
        <w:rPr>
          <w:w w:val="120"/>
          <w:sz w:val="20"/>
        </w:rPr>
        <w:t>in the case of an appointment contained in an electronic communication, where an address has been specified for the purpose of receiving electronic</w:t>
      </w:r>
      <w:r>
        <w:rPr>
          <w:spacing w:val="2"/>
          <w:w w:val="120"/>
          <w:sz w:val="20"/>
        </w:rPr>
        <w:t> </w:t>
      </w:r>
      <w:r>
        <w:rPr>
          <w:w w:val="120"/>
          <w:sz w:val="20"/>
        </w:rPr>
        <w:t>communications:-</w:t>
      </w:r>
    </w:p>
    <w:p>
      <w:pPr>
        <w:pStyle w:val="BodyText"/>
        <w:spacing w:before="7"/>
        <w:rPr>
          <w:sz w:val="19"/>
        </w:rPr>
      </w:pPr>
    </w:p>
    <w:p>
      <w:pPr>
        <w:pStyle w:val="ListParagraph"/>
        <w:numPr>
          <w:ilvl w:val="1"/>
          <w:numId w:val="177"/>
        </w:numPr>
        <w:tabs>
          <w:tab w:pos="3293" w:val="left" w:leader="none"/>
          <w:tab w:pos="3294" w:val="left" w:leader="none"/>
        </w:tabs>
        <w:spacing w:line="240" w:lineRule="auto" w:before="0" w:after="0"/>
        <w:ind w:left="3293" w:right="0" w:hanging="721"/>
        <w:jc w:val="left"/>
        <w:rPr>
          <w:sz w:val="20"/>
        </w:rPr>
      </w:pPr>
      <w:r>
        <w:rPr>
          <w:w w:val="120"/>
          <w:sz w:val="20"/>
        </w:rPr>
        <w:t>in the notice convening the meeting,</w:t>
      </w:r>
      <w:r>
        <w:rPr>
          <w:spacing w:val="15"/>
          <w:w w:val="120"/>
          <w:sz w:val="20"/>
        </w:rPr>
        <w:t> </w:t>
      </w:r>
      <w:r>
        <w:rPr>
          <w:w w:val="120"/>
          <w:sz w:val="20"/>
        </w:rPr>
        <w:t>or</w:t>
      </w:r>
    </w:p>
    <w:p>
      <w:pPr>
        <w:pStyle w:val="BodyText"/>
        <w:spacing w:before="7"/>
        <w:rPr>
          <w:sz w:val="19"/>
        </w:rPr>
      </w:pPr>
    </w:p>
    <w:p>
      <w:pPr>
        <w:pStyle w:val="ListParagraph"/>
        <w:numPr>
          <w:ilvl w:val="1"/>
          <w:numId w:val="177"/>
        </w:numPr>
        <w:tabs>
          <w:tab w:pos="3293" w:val="left" w:leader="none"/>
          <w:tab w:pos="3294" w:val="left" w:leader="none"/>
        </w:tabs>
        <w:spacing w:line="235" w:lineRule="auto" w:before="0" w:after="0"/>
        <w:ind w:left="3294" w:right="1996" w:hanging="721"/>
        <w:jc w:val="left"/>
        <w:rPr>
          <w:sz w:val="20"/>
        </w:rPr>
      </w:pPr>
      <w:r>
        <w:rPr>
          <w:w w:val="120"/>
          <w:sz w:val="20"/>
        </w:rPr>
        <w:t>in any instrument of proxy sent out by the Charity in relation to the meeting,</w:t>
      </w:r>
      <w:r>
        <w:rPr>
          <w:spacing w:val="2"/>
          <w:w w:val="120"/>
          <w:sz w:val="20"/>
        </w:rPr>
        <w:t> </w:t>
      </w:r>
      <w:r>
        <w:rPr>
          <w:w w:val="120"/>
          <w:sz w:val="20"/>
        </w:rPr>
        <w:t>or</w:t>
      </w:r>
    </w:p>
    <w:p>
      <w:pPr>
        <w:pStyle w:val="BodyText"/>
        <w:spacing w:before="10"/>
        <w:rPr>
          <w:sz w:val="19"/>
        </w:rPr>
      </w:pPr>
    </w:p>
    <w:p>
      <w:pPr>
        <w:pStyle w:val="ListParagraph"/>
        <w:numPr>
          <w:ilvl w:val="1"/>
          <w:numId w:val="177"/>
        </w:numPr>
        <w:tabs>
          <w:tab w:pos="3293" w:val="left" w:leader="none"/>
          <w:tab w:pos="3295" w:val="left" w:leader="none"/>
        </w:tabs>
        <w:spacing w:line="235" w:lineRule="auto" w:before="0" w:after="0"/>
        <w:ind w:left="3294" w:right="2278" w:hanging="721"/>
        <w:jc w:val="left"/>
        <w:rPr>
          <w:sz w:val="20"/>
        </w:rPr>
      </w:pPr>
      <w:r>
        <w:rPr>
          <w:w w:val="120"/>
          <w:sz w:val="20"/>
        </w:rPr>
        <w:t>in any invitation contained in an electronic communication to appoint</w:t>
      </w:r>
      <w:r>
        <w:rPr>
          <w:spacing w:val="6"/>
          <w:w w:val="120"/>
          <w:sz w:val="20"/>
        </w:rPr>
        <w:t> </w:t>
      </w:r>
      <w:r>
        <w:rPr>
          <w:w w:val="120"/>
          <w:sz w:val="20"/>
        </w:rPr>
        <w:t>a</w:t>
      </w:r>
      <w:r>
        <w:rPr>
          <w:spacing w:val="6"/>
          <w:w w:val="120"/>
          <w:sz w:val="20"/>
        </w:rPr>
        <w:t> </w:t>
      </w:r>
      <w:r>
        <w:rPr>
          <w:w w:val="120"/>
          <w:sz w:val="20"/>
        </w:rPr>
        <w:t>proxy</w:t>
      </w:r>
      <w:r>
        <w:rPr>
          <w:spacing w:val="6"/>
          <w:w w:val="120"/>
          <w:sz w:val="20"/>
        </w:rPr>
        <w:t> </w:t>
      </w:r>
      <w:r>
        <w:rPr>
          <w:w w:val="120"/>
          <w:sz w:val="20"/>
        </w:rPr>
        <w:t>issued</w:t>
      </w:r>
      <w:r>
        <w:rPr>
          <w:spacing w:val="6"/>
          <w:w w:val="120"/>
          <w:sz w:val="20"/>
        </w:rPr>
        <w:t> </w:t>
      </w:r>
      <w:r>
        <w:rPr>
          <w:w w:val="120"/>
          <w:sz w:val="20"/>
        </w:rPr>
        <w:t>by</w:t>
      </w:r>
      <w:r>
        <w:rPr>
          <w:spacing w:val="7"/>
          <w:w w:val="120"/>
          <w:sz w:val="20"/>
        </w:rPr>
        <w:t> </w:t>
      </w:r>
      <w:r>
        <w:rPr>
          <w:w w:val="120"/>
          <w:sz w:val="20"/>
        </w:rPr>
        <w:t>the</w:t>
      </w:r>
      <w:r>
        <w:rPr>
          <w:spacing w:val="6"/>
          <w:w w:val="120"/>
          <w:sz w:val="20"/>
        </w:rPr>
        <w:t> </w:t>
      </w:r>
      <w:r>
        <w:rPr>
          <w:w w:val="120"/>
          <w:sz w:val="20"/>
        </w:rPr>
        <w:t>Charity</w:t>
      </w:r>
      <w:r>
        <w:rPr>
          <w:spacing w:val="6"/>
          <w:w w:val="120"/>
          <w:sz w:val="20"/>
        </w:rPr>
        <w:t> </w:t>
      </w:r>
      <w:r>
        <w:rPr>
          <w:w w:val="120"/>
          <w:sz w:val="20"/>
        </w:rPr>
        <w:t>in</w:t>
      </w:r>
      <w:r>
        <w:rPr>
          <w:spacing w:val="6"/>
          <w:w w:val="120"/>
          <w:sz w:val="20"/>
        </w:rPr>
        <w:t> </w:t>
      </w:r>
      <w:r>
        <w:rPr>
          <w:w w:val="120"/>
          <w:sz w:val="20"/>
        </w:rPr>
        <w:t>relation</w:t>
      </w:r>
      <w:r>
        <w:rPr>
          <w:spacing w:val="7"/>
          <w:w w:val="120"/>
          <w:sz w:val="20"/>
        </w:rPr>
        <w:t> </w:t>
      </w:r>
      <w:r>
        <w:rPr>
          <w:w w:val="120"/>
          <w:sz w:val="20"/>
        </w:rPr>
        <w:t>to</w:t>
      </w:r>
      <w:r>
        <w:rPr>
          <w:spacing w:val="6"/>
          <w:w w:val="120"/>
          <w:sz w:val="20"/>
        </w:rPr>
        <w:t> </w:t>
      </w:r>
      <w:r>
        <w:rPr>
          <w:w w:val="120"/>
          <w:sz w:val="20"/>
        </w:rPr>
        <w:t>the</w:t>
      </w:r>
      <w:r>
        <w:rPr>
          <w:spacing w:val="6"/>
          <w:w w:val="120"/>
          <w:sz w:val="20"/>
        </w:rPr>
        <w:t> </w:t>
      </w:r>
      <w:r>
        <w:rPr>
          <w:w w:val="120"/>
          <w:sz w:val="20"/>
        </w:rPr>
        <w:t>meeting;</w:t>
      </w:r>
    </w:p>
    <w:p>
      <w:pPr>
        <w:pStyle w:val="BodyText"/>
        <w:spacing w:before="11"/>
        <w:rPr>
          <w:sz w:val="19"/>
        </w:rPr>
      </w:pPr>
    </w:p>
    <w:p>
      <w:pPr>
        <w:spacing w:line="213" w:lineRule="auto" w:before="0"/>
        <w:ind w:left="1814" w:right="2482" w:firstLine="0"/>
        <w:jc w:val="both"/>
        <w:rPr>
          <w:sz w:val="22"/>
        </w:rPr>
      </w:pPr>
      <w:r>
        <w:rPr>
          <w:w w:val="110"/>
          <w:sz w:val="22"/>
        </w:rPr>
        <w:t>it</w:t>
      </w:r>
      <w:r>
        <w:rPr>
          <w:spacing w:val="-6"/>
          <w:w w:val="110"/>
          <w:sz w:val="22"/>
        </w:rPr>
        <w:t> </w:t>
      </w:r>
      <w:r>
        <w:rPr>
          <w:w w:val="110"/>
          <w:sz w:val="22"/>
        </w:rPr>
        <w:t>must</w:t>
      </w:r>
      <w:r>
        <w:rPr>
          <w:spacing w:val="-5"/>
          <w:w w:val="110"/>
          <w:sz w:val="22"/>
        </w:rPr>
        <w:t> </w:t>
      </w:r>
      <w:r>
        <w:rPr>
          <w:w w:val="110"/>
          <w:sz w:val="22"/>
        </w:rPr>
        <w:t>be</w:t>
      </w:r>
      <w:r>
        <w:rPr>
          <w:spacing w:val="-6"/>
          <w:w w:val="110"/>
          <w:sz w:val="22"/>
        </w:rPr>
        <w:t> </w:t>
      </w:r>
      <w:r>
        <w:rPr>
          <w:w w:val="110"/>
          <w:sz w:val="22"/>
        </w:rPr>
        <w:t>received</w:t>
      </w:r>
      <w:r>
        <w:rPr>
          <w:spacing w:val="-5"/>
          <w:w w:val="110"/>
          <w:sz w:val="22"/>
        </w:rPr>
        <w:t> </w:t>
      </w:r>
      <w:r>
        <w:rPr>
          <w:w w:val="110"/>
          <w:sz w:val="22"/>
        </w:rPr>
        <w:t>at</w:t>
      </w:r>
      <w:r>
        <w:rPr>
          <w:spacing w:val="-6"/>
          <w:w w:val="110"/>
          <w:sz w:val="22"/>
        </w:rPr>
        <w:t> </w:t>
      </w:r>
      <w:r>
        <w:rPr>
          <w:w w:val="110"/>
          <w:sz w:val="22"/>
        </w:rPr>
        <w:t>such</w:t>
      </w:r>
      <w:r>
        <w:rPr>
          <w:spacing w:val="-5"/>
          <w:w w:val="110"/>
          <w:sz w:val="22"/>
        </w:rPr>
        <w:t> </w:t>
      </w:r>
      <w:r>
        <w:rPr>
          <w:w w:val="110"/>
          <w:sz w:val="22"/>
        </w:rPr>
        <w:t>address</w:t>
      </w:r>
      <w:r>
        <w:rPr>
          <w:spacing w:val="-5"/>
          <w:w w:val="110"/>
          <w:sz w:val="22"/>
        </w:rPr>
        <w:t> </w:t>
      </w:r>
      <w:r>
        <w:rPr>
          <w:w w:val="110"/>
          <w:sz w:val="22"/>
        </w:rPr>
        <w:t>not</w:t>
      </w:r>
      <w:r>
        <w:rPr>
          <w:spacing w:val="-6"/>
          <w:w w:val="110"/>
          <w:sz w:val="22"/>
        </w:rPr>
        <w:t> </w:t>
      </w:r>
      <w:r>
        <w:rPr>
          <w:w w:val="110"/>
          <w:sz w:val="22"/>
        </w:rPr>
        <w:t>less</w:t>
      </w:r>
      <w:r>
        <w:rPr>
          <w:spacing w:val="-5"/>
          <w:w w:val="110"/>
          <w:sz w:val="22"/>
        </w:rPr>
        <w:t> </w:t>
      </w:r>
      <w:r>
        <w:rPr>
          <w:w w:val="110"/>
          <w:sz w:val="22"/>
        </w:rPr>
        <w:t>than</w:t>
      </w:r>
      <w:r>
        <w:rPr>
          <w:spacing w:val="-6"/>
          <w:w w:val="110"/>
          <w:sz w:val="22"/>
        </w:rPr>
        <w:t> </w:t>
      </w:r>
      <w:r>
        <w:rPr>
          <w:w w:val="110"/>
          <w:sz w:val="22"/>
        </w:rPr>
        <w:t>48</w:t>
      </w:r>
      <w:r>
        <w:rPr>
          <w:spacing w:val="-5"/>
          <w:w w:val="110"/>
          <w:sz w:val="22"/>
        </w:rPr>
        <w:t> </w:t>
      </w:r>
      <w:r>
        <w:rPr>
          <w:w w:val="110"/>
          <w:sz w:val="22"/>
        </w:rPr>
        <w:t>hours</w:t>
      </w:r>
      <w:r>
        <w:rPr>
          <w:spacing w:val="-5"/>
          <w:w w:val="110"/>
          <w:sz w:val="22"/>
        </w:rPr>
        <w:t> </w:t>
      </w:r>
      <w:r>
        <w:rPr>
          <w:w w:val="110"/>
          <w:sz w:val="22"/>
        </w:rPr>
        <w:t>before</w:t>
      </w:r>
      <w:r>
        <w:rPr>
          <w:spacing w:val="-6"/>
          <w:w w:val="110"/>
          <w:sz w:val="22"/>
        </w:rPr>
        <w:t> </w:t>
      </w:r>
      <w:r>
        <w:rPr>
          <w:w w:val="110"/>
          <w:sz w:val="22"/>
        </w:rPr>
        <w:t>the</w:t>
      </w:r>
      <w:r>
        <w:rPr>
          <w:spacing w:val="-5"/>
          <w:w w:val="110"/>
          <w:sz w:val="22"/>
        </w:rPr>
        <w:t> </w:t>
      </w:r>
      <w:r>
        <w:rPr>
          <w:w w:val="110"/>
          <w:sz w:val="22"/>
        </w:rPr>
        <w:t>time</w:t>
      </w:r>
      <w:r>
        <w:rPr>
          <w:spacing w:val="-6"/>
          <w:w w:val="110"/>
          <w:sz w:val="22"/>
        </w:rPr>
        <w:t> </w:t>
      </w:r>
      <w:r>
        <w:rPr>
          <w:w w:val="110"/>
          <w:sz w:val="22"/>
        </w:rPr>
        <w:t>for holding the meeting or adjourned meeting at which the person named in the appointment proposes to</w:t>
      </w:r>
      <w:r>
        <w:rPr>
          <w:spacing w:val="5"/>
          <w:w w:val="110"/>
          <w:sz w:val="22"/>
        </w:rPr>
        <w:t> </w:t>
      </w:r>
      <w:r>
        <w:rPr>
          <w:spacing w:val="-3"/>
          <w:w w:val="110"/>
          <w:sz w:val="22"/>
        </w:rPr>
        <w:t>vote;</w:t>
      </w:r>
    </w:p>
    <w:p>
      <w:pPr>
        <w:spacing w:after="0" w:line="213" w:lineRule="auto"/>
        <w:jc w:val="both"/>
        <w:rPr>
          <w:sz w:val="22"/>
        </w:rPr>
        <w:sectPr>
          <w:pgSz w:w="11910" w:h="16840"/>
          <w:pgMar w:header="0" w:footer="647" w:top="1060" w:bottom="840" w:left="0" w:right="0"/>
        </w:sectPr>
      </w:pPr>
    </w:p>
    <w:p>
      <w:pPr>
        <w:pStyle w:val="ListParagraph"/>
        <w:numPr>
          <w:ilvl w:val="0"/>
          <w:numId w:val="177"/>
        </w:numPr>
        <w:tabs>
          <w:tab w:pos="3424" w:val="left" w:leader="none"/>
          <w:tab w:pos="3425" w:val="left" w:leader="none"/>
        </w:tabs>
        <w:spacing w:line="235" w:lineRule="auto" w:before="91" w:after="0"/>
        <w:ind w:left="3424" w:right="1134" w:hanging="760"/>
        <w:jc w:val="left"/>
        <w:rPr>
          <w:sz w:val="20"/>
        </w:rPr>
      </w:pPr>
      <w:r>
        <w:rPr/>
        <w:pict>
          <v:rect style="position:absolute;margin-left:558.424988pt;margin-top:8.503343pt;width:22.677pt;height:22.677pt;mso-position-horizontal-relative:page;mso-position-vertical-relative:paragraph;z-index:252348416" filled="true" fillcolor="#e4ebc6" stroked="false">
            <v:fill opacity="32768f" type="solid"/>
            <w10:wrap type="none"/>
          </v:rect>
        </w:pict>
      </w:r>
      <w:r>
        <w:rPr>
          <w:w w:val="120"/>
          <w:sz w:val="20"/>
        </w:rPr>
        <w:t>in the case of a poll taken more than 48 hours after it is demanded, be deposited or received as aforesaid after the poll has been demanded and not less than </w:t>
      </w:r>
      <w:r>
        <w:rPr>
          <w:spacing w:val="-5"/>
          <w:w w:val="120"/>
          <w:sz w:val="20"/>
        </w:rPr>
        <w:t>24 </w:t>
      </w:r>
      <w:r>
        <w:rPr>
          <w:w w:val="120"/>
          <w:sz w:val="20"/>
        </w:rPr>
        <w:t>hours before the time appointed for the taking of the poll; or</w:t>
      </w:r>
    </w:p>
    <w:p>
      <w:pPr>
        <w:pStyle w:val="BodyText"/>
        <w:spacing w:before="10"/>
        <w:rPr>
          <w:sz w:val="19"/>
        </w:rPr>
      </w:pPr>
    </w:p>
    <w:p>
      <w:pPr>
        <w:pStyle w:val="ListParagraph"/>
        <w:numPr>
          <w:ilvl w:val="0"/>
          <w:numId w:val="177"/>
        </w:numPr>
        <w:tabs>
          <w:tab w:pos="3424" w:val="left" w:leader="none"/>
          <w:tab w:pos="3425" w:val="left" w:leader="none"/>
        </w:tabs>
        <w:spacing w:line="235" w:lineRule="auto" w:before="1" w:after="0"/>
        <w:ind w:left="3424" w:right="1256" w:hanging="760"/>
        <w:jc w:val="left"/>
        <w:rPr>
          <w:sz w:val="20"/>
        </w:rPr>
      </w:pPr>
      <w:r>
        <w:rPr>
          <w:w w:val="120"/>
          <w:sz w:val="20"/>
        </w:rPr>
        <w:t>where the poll is not taken forthwith but is taken not more than 48 hours after it was demanded, be delivered at the meeting at which the poll was demanded to the person chairing the meeting or to the secretary or to any</w:t>
      </w:r>
      <w:r>
        <w:rPr>
          <w:spacing w:val="1"/>
          <w:w w:val="120"/>
          <w:sz w:val="20"/>
        </w:rPr>
        <w:t> </w:t>
      </w:r>
      <w:r>
        <w:rPr>
          <w:w w:val="120"/>
          <w:sz w:val="20"/>
        </w:rPr>
        <w:t>director.</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1" w:after="0"/>
        <w:ind w:left="2664" w:right="1837" w:hanging="681"/>
        <w:jc w:val="left"/>
        <w:rPr>
          <w:sz w:val="20"/>
        </w:rPr>
      </w:pPr>
      <w:r>
        <w:rPr>
          <w:w w:val="120"/>
          <w:sz w:val="20"/>
        </w:rPr>
        <w:t>An appointment of proxy which is not deposited, delivered or received in a manner described in Article </w:t>
      </w:r>
      <w:r>
        <w:rPr>
          <w:spacing w:val="-3"/>
          <w:w w:val="120"/>
          <w:sz w:val="20"/>
        </w:rPr>
        <w:t>6.4 </w:t>
      </w:r>
      <w:r>
        <w:rPr>
          <w:w w:val="120"/>
          <w:sz w:val="20"/>
        </w:rPr>
        <w:t>shall be</w:t>
      </w:r>
      <w:r>
        <w:rPr>
          <w:spacing w:val="23"/>
          <w:w w:val="120"/>
          <w:sz w:val="20"/>
        </w:rPr>
        <w:t> </w:t>
      </w:r>
      <w:r>
        <w:rPr>
          <w:w w:val="120"/>
          <w:sz w:val="20"/>
        </w:rPr>
        <w:t>invalid.</w:t>
      </w:r>
    </w:p>
    <w:p>
      <w:pPr>
        <w:pStyle w:val="BodyText"/>
        <w:rPr>
          <w:sz w:val="24"/>
        </w:rPr>
      </w:pPr>
    </w:p>
    <w:p>
      <w:pPr>
        <w:pStyle w:val="ListParagraph"/>
        <w:numPr>
          <w:ilvl w:val="1"/>
          <w:numId w:val="170"/>
        </w:numPr>
        <w:tabs>
          <w:tab w:pos="2664" w:val="left" w:leader="none"/>
          <w:tab w:pos="2665" w:val="left" w:leader="none"/>
        </w:tabs>
        <w:spacing w:line="235" w:lineRule="auto" w:before="188" w:after="0"/>
        <w:ind w:left="2664" w:right="1284" w:hanging="681"/>
        <w:jc w:val="left"/>
        <w:rPr>
          <w:sz w:val="20"/>
        </w:rPr>
      </w:pPr>
      <w:r>
        <w:rPr>
          <w:w w:val="120"/>
          <w:sz w:val="20"/>
        </w:rPr>
        <w:t>A vote given or poll demanded by proxy shall be valid even if the authority of   the person voting or demanding a poll has been determined unless notice of the determination was received by the charity</w:t>
      </w:r>
      <w:r>
        <w:rPr>
          <w:spacing w:val="11"/>
          <w:w w:val="120"/>
          <w:sz w:val="20"/>
        </w:rPr>
        <w:t> </w:t>
      </w:r>
      <w:r>
        <w:rPr>
          <w:w w:val="120"/>
          <w:sz w:val="20"/>
        </w:rPr>
        <w:t>at:</w:t>
      </w:r>
    </w:p>
    <w:p>
      <w:pPr>
        <w:pStyle w:val="BodyText"/>
        <w:spacing w:before="6"/>
        <w:rPr>
          <w:sz w:val="19"/>
        </w:rPr>
      </w:pPr>
    </w:p>
    <w:p>
      <w:pPr>
        <w:pStyle w:val="ListParagraph"/>
        <w:numPr>
          <w:ilvl w:val="0"/>
          <w:numId w:val="178"/>
        </w:numPr>
        <w:tabs>
          <w:tab w:pos="3424" w:val="left" w:leader="none"/>
          <w:tab w:pos="3425" w:val="left" w:leader="none"/>
        </w:tabs>
        <w:spacing w:line="240" w:lineRule="auto" w:before="0" w:after="0"/>
        <w:ind w:left="3424" w:right="0" w:hanging="761"/>
        <w:jc w:val="left"/>
        <w:rPr>
          <w:sz w:val="20"/>
        </w:rPr>
      </w:pPr>
      <w:r>
        <w:rPr>
          <w:w w:val="120"/>
          <w:sz w:val="20"/>
        </w:rPr>
        <w:t>its registered office,</w:t>
      </w:r>
      <w:r>
        <w:rPr>
          <w:spacing w:val="5"/>
          <w:w w:val="120"/>
          <w:sz w:val="20"/>
        </w:rPr>
        <w:t> </w:t>
      </w:r>
      <w:r>
        <w:rPr>
          <w:w w:val="120"/>
          <w:sz w:val="20"/>
        </w:rPr>
        <w:t>or</w:t>
      </w:r>
    </w:p>
    <w:p>
      <w:pPr>
        <w:pStyle w:val="BodyText"/>
        <w:spacing w:before="8"/>
        <w:rPr>
          <w:sz w:val="19"/>
        </w:rPr>
      </w:pPr>
    </w:p>
    <w:p>
      <w:pPr>
        <w:pStyle w:val="ListParagraph"/>
        <w:numPr>
          <w:ilvl w:val="0"/>
          <w:numId w:val="178"/>
        </w:numPr>
        <w:tabs>
          <w:tab w:pos="3424" w:val="left" w:leader="none"/>
          <w:tab w:pos="3425" w:val="left" w:leader="none"/>
        </w:tabs>
        <w:spacing w:line="235" w:lineRule="auto" w:before="0" w:after="0"/>
        <w:ind w:left="3424" w:right="1296" w:hanging="760"/>
        <w:jc w:val="left"/>
        <w:rPr>
          <w:sz w:val="20"/>
        </w:rPr>
      </w:pPr>
      <w:r>
        <w:rPr>
          <w:w w:val="120"/>
          <w:sz w:val="20"/>
        </w:rPr>
        <w:t>at such other place at which the instrument of proxy was duly deposited, or</w:t>
      </w:r>
    </w:p>
    <w:p>
      <w:pPr>
        <w:pStyle w:val="BodyText"/>
        <w:spacing w:before="9"/>
        <w:rPr>
          <w:sz w:val="19"/>
        </w:rPr>
      </w:pPr>
    </w:p>
    <w:p>
      <w:pPr>
        <w:pStyle w:val="ListParagraph"/>
        <w:numPr>
          <w:ilvl w:val="0"/>
          <w:numId w:val="178"/>
        </w:numPr>
        <w:tabs>
          <w:tab w:pos="3424" w:val="left" w:leader="none"/>
          <w:tab w:pos="3425" w:val="left" w:leader="none"/>
        </w:tabs>
        <w:spacing w:line="235" w:lineRule="auto" w:before="1" w:after="0"/>
        <w:ind w:left="3424" w:right="1739" w:hanging="760"/>
        <w:jc w:val="both"/>
        <w:rPr>
          <w:sz w:val="20"/>
        </w:rPr>
      </w:pPr>
      <w:r>
        <w:rPr>
          <w:w w:val="120"/>
          <w:sz w:val="20"/>
        </w:rPr>
        <w:t>(where the appointment of the proxy was contained in an electronic communication) at the address at which such appointment was duly received</w:t>
      </w:r>
    </w:p>
    <w:p>
      <w:pPr>
        <w:pStyle w:val="BodyText"/>
        <w:spacing w:before="10"/>
        <w:rPr>
          <w:sz w:val="19"/>
        </w:rPr>
      </w:pPr>
    </w:p>
    <w:p>
      <w:pPr>
        <w:pStyle w:val="BodyText"/>
        <w:spacing w:line="235" w:lineRule="auto"/>
        <w:ind w:left="2664" w:right="1273"/>
      </w:pPr>
      <w:r>
        <w:rPr>
          <w:w w:val="120"/>
        </w:rPr>
        <w:t>before the commencement of the meeting or adjourned meeting at which the vote is given or the poll demanded or (in the case of a poll taken otherwise than on the same day as the meeting or adjourned meeting) the time appointed for taking the poll.</w:t>
      </w:r>
    </w:p>
    <w:p>
      <w:pPr>
        <w:pStyle w:val="BodyText"/>
        <w:rPr>
          <w:sz w:val="24"/>
        </w:rPr>
      </w:pPr>
    </w:p>
    <w:p>
      <w:pPr>
        <w:numPr>
          <w:ilvl w:val="0"/>
          <w:numId w:val="170"/>
        </w:numPr>
        <w:tabs>
          <w:tab w:pos="2664" w:val="left" w:leader="none"/>
          <w:tab w:pos="2665" w:val="left" w:leader="none"/>
        </w:tabs>
        <w:spacing w:before="164"/>
        <w:ind w:left="2664" w:right="0" w:hanging="681"/>
        <w:jc w:val="left"/>
        <w:rPr>
          <w:rFonts w:ascii="Stone Sans II ITC Std Bk"/>
          <w:b/>
          <w:sz w:val="21"/>
        </w:rPr>
      </w:pPr>
      <w:r>
        <w:rPr>
          <w:rFonts w:ascii="Stone Sans II ITC Std Bk"/>
          <w:b/>
          <w:w w:val="115"/>
          <w:sz w:val="21"/>
        </w:rPr>
        <w:t>Written</w:t>
      </w:r>
      <w:r>
        <w:rPr>
          <w:rFonts w:ascii="Stone Sans II ITC Std Bk"/>
          <w:b/>
          <w:spacing w:val="-2"/>
          <w:w w:val="115"/>
          <w:sz w:val="21"/>
        </w:rPr>
        <w:t> </w:t>
      </w:r>
      <w:r>
        <w:rPr>
          <w:rFonts w:ascii="Stone Sans II ITC Std Bk"/>
          <w:b/>
          <w:w w:val="115"/>
          <w:sz w:val="21"/>
        </w:rPr>
        <w:t>Resolutions</w:t>
      </w:r>
    </w:p>
    <w:p>
      <w:pPr>
        <w:pStyle w:val="ListParagraph"/>
        <w:numPr>
          <w:ilvl w:val="1"/>
          <w:numId w:val="170"/>
        </w:numPr>
        <w:tabs>
          <w:tab w:pos="2664" w:val="left" w:leader="none"/>
          <w:tab w:pos="2665" w:val="left" w:leader="none"/>
        </w:tabs>
        <w:spacing w:line="235" w:lineRule="auto" w:before="222" w:after="0"/>
        <w:ind w:left="2664" w:right="1422" w:hanging="681"/>
        <w:jc w:val="left"/>
        <w:rPr>
          <w:sz w:val="20"/>
        </w:rPr>
      </w:pPr>
      <w:r>
        <w:rPr>
          <w:w w:val="120"/>
          <w:sz w:val="20"/>
        </w:rPr>
        <w:t>A resolution in writing agreed by a simple majority of the members who would have been entitled to vote upon it had it been proposed at a general meeting shall be effective provided that a copy of the proposed resolution has been  sent to every eligible member and a simple majority of members has signified its agreement to the resolution in an authenticated document which has been received</w:t>
      </w:r>
      <w:r>
        <w:rPr>
          <w:spacing w:val="6"/>
          <w:w w:val="120"/>
          <w:sz w:val="20"/>
        </w:rPr>
        <w:t> </w:t>
      </w:r>
      <w:r>
        <w:rPr>
          <w:w w:val="120"/>
          <w:sz w:val="20"/>
        </w:rPr>
        <w:t>at</w:t>
      </w:r>
      <w:r>
        <w:rPr>
          <w:spacing w:val="6"/>
          <w:w w:val="120"/>
          <w:sz w:val="20"/>
        </w:rPr>
        <w:t> </w:t>
      </w:r>
      <w:r>
        <w:rPr>
          <w:w w:val="120"/>
          <w:sz w:val="20"/>
        </w:rPr>
        <w:t>the</w:t>
      </w:r>
      <w:r>
        <w:rPr>
          <w:spacing w:val="6"/>
          <w:w w:val="120"/>
          <w:sz w:val="20"/>
        </w:rPr>
        <w:t> </w:t>
      </w:r>
      <w:r>
        <w:rPr>
          <w:w w:val="120"/>
          <w:sz w:val="20"/>
        </w:rPr>
        <w:t>registered</w:t>
      </w:r>
      <w:r>
        <w:rPr>
          <w:spacing w:val="6"/>
          <w:w w:val="120"/>
          <w:sz w:val="20"/>
        </w:rPr>
        <w:t> </w:t>
      </w:r>
      <w:r>
        <w:rPr>
          <w:w w:val="120"/>
          <w:sz w:val="20"/>
        </w:rPr>
        <w:t>office</w:t>
      </w:r>
      <w:r>
        <w:rPr>
          <w:spacing w:val="6"/>
          <w:w w:val="120"/>
          <w:sz w:val="20"/>
        </w:rPr>
        <w:t> </w:t>
      </w:r>
      <w:r>
        <w:rPr>
          <w:w w:val="120"/>
          <w:sz w:val="20"/>
        </w:rPr>
        <w:t>within</w:t>
      </w:r>
      <w:r>
        <w:rPr>
          <w:spacing w:val="6"/>
          <w:w w:val="120"/>
          <w:sz w:val="20"/>
        </w:rPr>
        <w:t> </w:t>
      </w:r>
      <w:r>
        <w:rPr>
          <w:w w:val="120"/>
          <w:sz w:val="20"/>
        </w:rPr>
        <w:t>the</w:t>
      </w:r>
      <w:r>
        <w:rPr>
          <w:spacing w:val="6"/>
          <w:w w:val="120"/>
          <w:sz w:val="20"/>
        </w:rPr>
        <w:t> </w:t>
      </w:r>
      <w:r>
        <w:rPr>
          <w:w w:val="120"/>
          <w:sz w:val="20"/>
        </w:rPr>
        <w:t>notice</w:t>
      </w:r>
      <w:r>
        <w:rPr>
          <w:spacing w:val="6"/>
          <w:w w:val="120"/>
          <w:sz w:val="20"/>
        </w:rPr>
        <w:t> </w:t>
      </w:r>
      <w:r>
        <w:rPr>
          <w:w w:val="120"/>
          <w:sz w:val="20"/>
        </w:rPr>
        <w:t>period</w:t>
      </w:r>
      <w:r>
        <w:rPr>
          <w:spacing w:val="6"/>
          <w:w w:val="120"/>
          <w:sz w:val="20"/>
        </w:rPr>
        <w:t> </w:t>
      </w:r>
      <w:r>
        <w:rPr>
          <w:w w:val="120"/>
          <w:sz w:val="20"/>
        </w:rPr>
        <w:t>prescribed</w:t>
      </w:r>
      <w:r>
        <w:rPr>
          <w:spacing w:val="6"/>
          <w:w w:val="120"/>
          <w:sz w:val="20"/>
        </w:rPr>
        <w:t> </w:t>
      </w:r>
      <w:r>
        <w:rPr>
          <w:w w:val="120"/>
          <w:sz w:val="20"/>
        </w:rPr>
        <w:t>in</w:t>
      </w:r>
      <w:r>
        <w:rPr>
          <w:spacing w:val="6"/>
          <w:w w:val="120"/>
          <w:sz w:val="20"/>
        </w:rPr>
        <w:t> </w:t>
      </w:r>
      <w:r>
        <w:rPr>
          <w:w w:val="120"/>
          <w:sz w:val="20"/>
        </w:rPr>
        <w:t>Article</w:t>
      </w:r>
      <w:r>
        <w:rPr>
          <w:spacing w:val="6"/>
          <w:w w:val="120"/>
          <w:sz w:val="20"/>
        </w:rPr>
        <w:t> </w:t>
      </w:r>
      <w:r>
        <w:rPr>
          <w:w w:val="120"/>
          <w:sz w:val="20"/>
        </w:rPr>
        <w:t>4</w:t>
      </w:r>
    </w:p>
    <w:p>
      <w:pPr>
        <w:pStyle w:val="BodyText"/>
        <w:spacing w:line="235" w:lineRule="auto" w:before="5"/>
        <w:ind w:left="2664" w:right="1120"/>
      </w:pPr>
      <w:r>
        <w:rPr>
          <w:w w:val="120"/>
        </w:rPr>
        <w:t>beginning with the circulation date. A resolution in writing may comprise several copies to which one or more members have signified their agreement.</w:t>
      </w:r>
    </w:p>
    <w:p>
      <w:pPr>
        <w:pStyle w:val="BodyText"/>
        <w:rPr>
          <w:sz w:val="24"/>
        </w:rPr>
      </w:pPr>
    </w:p>
    <w:p>
      <w:pPr>
        <w:numPr>
          <w:ilvl w:val="0"/>
          <w:numId w:val="170"/>
        </w:numPr>
        <w:tabs>
          <w:tab w:pos="2664" w:val="left" w:leader="none"/>
          <w:tab w:pos="2665" w:val="left" w:leader="none"/>
        </w:tabs>
        <w:spacing w:before="162"/>
        <w:ind w:left="2664" w:right="0" w:hanging="681"/>
        <w:jc w:val="left"/>
        <w:rPr>
          <w:rFonts w:ascii="Stone Sans II ITC Std Bk"/>
          <w:b/>
          <w:sz w:val="21"/>
        </w:rPr>
      </w:pPr>
      <w:r>
        <w:rPr>
          <w:rFonts w:ascii="Stone Sans II ITC Std Bk"/>
          <w:b/>
          <w:spacing w:val="-3"/>
          <w:w w:val="115"/>
          <w:sz w:val="21"/>
        </w:rPr>
        <w:t>Votes </w:t>
      </w:r>
      <w:r>
        <w:rPr>
          <w:rFonts w:ascii="Stone Sans II ITC Std Bk"/>
          <w:b/>
          <w:w w:val="115"/>
          <w:sz w:val="21"/>
        </w:rPr>
        <w:t>of Members</w:t>
      </w:r>
    </w:p>
    <w:p>
      <w:pPr>
        <w:pStyle w:val="ListParagraph"/>
        <w:numPr>
          <w:ilvl w:val="1"/>
          <w:numId w:val="170"/>
        </w:numPr>
        <w:tabs>
          <w:tab w:pos="2664" w:val="left" w:leader="none"/>
          <w:tab w:pos="2665" w:val="left" w:leader="none"/>
        </w:tabs>
        <w:spacing w:line="240" w:lineRule="auto" w:before="219" w:after="0"/>
        <w:ind w:left="2664" w:right="0" w:hanging="681"/>
        <w:jc w:val="left"/>
        <w:rPr>
          <w:sz w:val="20"/>
        </w:rPr>
      </w:pPr>
      <w:r>
        <w:rPr>
          <w:w w:val="120"/>
          <w:sz w:val="20"/>
        </w:rPr>
        <w:t>Every member shall have one</w:t>
      </w:r>
      <w:r>
        <w:rPr>
          <w:spacing w:val="9"/>
          <w:w w:val="120"/>
          <w:sz w:val="20"/>
        </w:rPr>
        <w:t> </w:t>
      </w:r>
      <w:r>
        <w:rPr>
          <w:w w:val="120"/>
          <w:sz w:val="20"/>
        </w:rPr>
        <w:t>vote.</w:t>
      </w:r>
    </w:p>
    <w:p>
      <w:pPr>
        <w:pStyle w:val="BodyText"/>
        <w:spacing w:before="7"/>
        <w:rPr>
          <w:sz w:val="19"/>
        </w:rPr>
      </w:pPr>
    </w:p>
    <w:p>
      <w:pPr>
        <w:pStyle w:val="ListParagraph"/>
        <w:numPr>
          <w:ilvl w:val="1"/>
          <w:numId w:val="170"/>
        </w:numPr>
        <w:tabs>
          <w:tab w:pos="2664" w:val="left" w:leader="none"/>
          <w:tab w:pos="2665" w:val="left" w:leader="none"/>
        </w:tabs>
        <w:spacing w:line="235" w:lineRule="auto" w:before="0" w:after="0"/>
        <w:ind w:left="2664" w:right="1468" w:hanging="681"/>
        <w:jc w:val="left"/>
        <w:rPr>
          <w:sz w:val="20"/>
        </w:rPr>
      </w:pPr>
      <w:r>
        <w:rPr>
          <w:w w:val="120"/>
          <w:sz w:val="20"/>
        </w:rPr>
        <w:t>Any objection to the qualification of any voter must be raised at the meeting at which the vote is tendered and the decision of the person who is chairing the meeting shall be</w:t>
      </w:r>
      <w:r>
        <w:rPr>
          <w:spacing w:val="6"/>
          <w:w w:val="120"/>
          <w:sz w:val="20"/>
        </w:rPr>
        <w:t> </w:t>
      </w:r>
      <w:r>
        <w:rPr>
          <w:w w:val="120"/>
          <w:sz w:val="20"/>
        </w:rPr>
        <w:t>final.</w:t>
      </w:r>
    </w:p>
    <w:p>
      <w:pPr>
        <w:pStyle w:val="BodyText"/>
        <w:rPr>
          <w:sz w:val="24"/>
        </w:rPr>
      </w:pPr>
    </w:p>
    <w:p>
      <w:pPr>
        <w:numPr>
          <w:ilvl w:val="0"/>
          <w:numId w:val="170"/>
        </w:numPr>
        <w:tabs>
          <w:tab w:pos="2664" w:val="left" w:leader="none"/>
          <w:tab w:pos="2665" w:val="left" w:leader="none"/>
        </w:tabs>
        <w:spacing w:before="163"/>
        <w:ind w:left="2664" w:right="0" w:hanging="681"/>
        <w:jc w:val="left"/>
        <w:rPr>
          <w:rFonts w:ascii="Stone Sans II ITC Std Bk"/>
          <w:b/>
          <w:sz w:val="21"/>
        </w:rPr>
      </w:pPr>
      <w:r>
        <w:rPr>
          <w:rFonts w:ascii="Stone Sans II ITC Std Bk"/>
          <w:b/>
          <w:w w:val="115"/>
          <w:sz w:val="21"/>
        </w:rPr>
        <w:t>Directors</w:t>
      </w:r>
    </w:p>
    <w:p>
      <w:pPr>
        <w:pStyle w:val="ListParagraph"/>
        <w:numPr>
          <w:ilvl w:val="1"/>
          <w:numId w:val="170"/>
        </w:numPr>
        <w:tabs>
          <w:tab w:pos="2664" w:val="left" w:leader="none"/>
          <w:tab w:pos="2665" w:val="left" w:leader="none"/>
        </w:tabs>
        <w:spacing w:line="240" w:lineRule="auto" w:before="219" w:after="0"/>
        <w:ind w:left="2664" w:right="0" w:hanging="681"/>
        <w:jc w:val="left"/>
        <w:rPr>
          <w:sz w:val="20"/>
        </w:rPr>
      </w:pPr>
      <w:r>
        <w:rPr>
          <w:w w:val="120"/>
          <w:sz w:val="20"/>
        </w:rPr>
        <w:t>A Director must be a natural person aged </w:t>
      </w:r>
      <w:r>
        <w:rPr>
          <w:spacing w:val="-8"/>
          <w:w w:val="120"/>
          <w:sz w:val="20"/>
        </w:rPr>
        <w:t>16 </w:t>
      </w:r>
      <w:r>
        <w:rPr>
          <w:w w:val="120"/>
          <w:sz w:val="20"/>
        </w:rPr>
        <w:t>years or</w:t>
      </w:r>
      <w:r>
        <w:rPr>
          <w:spacing w:val="33"/>
          <w:w w:val="120"/>
          <w:sz w:val="20"/>
        </w:rPr>
        <w:t> </w:t>
      </w:r>
      <w:r>
        <w:rPr>
          <w:w w:val="120"/>
          <w:sz w:val="20"/>
        </w:rPr>
        <w:t>older.</w:t>
      </w:r>
    </w:p>
    <w:p>
      <w:pPr>
        <w:pStyle w:val="BodyText"/>
        <w:spacing w:before="7"/>
        <w:rPr>
          <w:sz w:val="19"/>
        </w:rPr>
      </w:pPr>
    </w:p>
    <w:p>
      <w:pPr>
        <w:pStyle w:val="ListParagraph"/>
        <w:numPr>
          <w:ilvl w:val="1"/>
          <w:numId w:val="170"/>
        </w:numPr>
        <w:tabs>
          <w:tab w:pos="2664" w:val="left" w:leader="none"/>
          <w:tab w:pos="2665" w:val="left" w:leader="none"/>
        </w:tabs>
        <w:spacing w:line="235" w:lineRule="auto" w:before="1" w:after="0"/>
        <w:ind w:left="2664" w:right="1758" w:hanging="681"/>
        <w:jc w:val="left"/>
        <w:rPr>
          <w:sz w:val="20"/>
        </w:rPr>
      </w:pPr>
      <w:r>
        <w:rPr>
          <w:w w:val="120"/>
          <w:sz w:val="20"/>
        </w:rPr>
        <w:t>No one may be appointed a Director if he or she would be disqualified from acting under the provisions of Article</w:t>
      </w:r>
      <w:r>
        <w:rPr>
          <w:spacing w:val="16"/>
          <w:w w:val="120"/>
          <w:sz w:val="20"/>
        </w:rPr>
        <w:t> </w:t>
      </w:r>
      <w:r>
        <w:rPr>
          <w:spacing w:val="-12"/>
          <w:w w:val="120"/>
          <w:sz w:val="20"/>
        </w:rPr>
        <w:t>11.</w:t>
      </w:r>
    </w:p>
    <w:p>
      <w:pPr>
        <w:spacing w:after="0" w:line="235" w:lineRule="auto"/>
        <w:jc w:val="left"/>
        <w:rPr>
          <w:sz w:val="20"/>
        </w:rPr>
        <w:sectPr>
          <w:pgSz w:w="11910" w:h="16840"/>
          <w:pgMar w:header="0" w:footer="647" w:top="1060" w:bottom="840" w:left="0" w:right="0"/>
        </w:sectPr>
      </w:pPr>
    </w:p>
    <w:p>
      <w:pPr>
        <w:pStyle w:val="ListParagraph"/>
        <w:numPr>
          <w:ilvl w:val="1"/>
          <w:numId w:val="170"/>
        </w:numPr>
        <w:tabs>
          <w:tab w:pos="1814" w:val="left" w:leader="none"/>
          <w:tab w:pos="1815" w:val="left" w:leader="none"/>
        </w:tabs>
        <w:spacing w:line="235" w:lineRule="auto" w:before="107" w:after="0"/>
        <w:ind w:left="1814" w:right="1984" w:hanging="681"/>
        <w:jc w:val="left"/>
        <w:rPr>
          <w:sz w:val="20"/>
        </w:rPr>
      </w:pPr>
      <w:r>
        <w:rPr/>
        <w:pict>
          <v:rect style="position:absolute;margin-left:12.047pt;margin-top:8.477343pt;width:22.677pt;height:22.677pt;mso-position-horizontal-relative:page;mso-position-vertical-relative:paragraph;z-index:252349440" filled="true" fillcolor="#e4ebc6" stroked="false">
            <v:fill opacity="32768f" type="solid"/>
            <w10:wrap type="none"/>
          </v:rect>
        </w:pict>
      </w:r>
      <w:r>
        <w:rPr>
          <w:w w:val="120"/>
          <w:sz w:val="20"/>
        </w:rPr>
        <w:t>The number of Directors shall be not less than 9 but </w:t>
      </w:r>
      <w:r>
        <w:rPr>
          <w:spacing w:val="-3"/>
          <w:w w:val="120"/>
          <w:sz w:val="20"/>
        </w:rPr>
        <w:t>(unless </w:t>
      </w:r>
      <w:r>
        <w:rPr>
          <w:w w:val="120"/>
          <w:sz w:val="20"/>
        </w:rPr>
        <w:t>otherwise determined from time to time by resolution of General Assembly) shall not be subject to any maximum.</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091" w:hanging="681"/>
        <w:jc w:val="left"/>
        <w:rPr>
          <w:sz w:val="20"/>
        </w:rPr>
      </w:pPr>
      <w:r>
        <w:rPr>
          <w:w w:val="120"/>
          <w:sz w:val="20"/>
        </w:rPr>
        <w:t>A Director may appoint an alternate director or anyone to act on his or her behalf at meetings of the</w:t>
      </w:r>
      <w:r>
        <w:rPr>
          <w:spacing w:val="8"/>
          <w:w w:val="120"/>
          <w:sz w:val="20"/>
        </w:rPr>
        <w:t> </w:t>
      </w:r>
      <w:r>
        <w:rPr>
          <w:w w:val="120"/>
          <w:sz w:val="20"/>
        </w:rPr>
        <w:t>Directors.</w:t>
      </w:r>
    </w:p>
    <w:p>
      <w:pPr>
        <w:pStyle w:val="BodyText"/>
        <w:rPr>
          <w:sz w:val="24"/>
        </w:rPr>
      </w:pPr>
    </w:p>
    <w:p>
      <w:pPr>
        <w:numPr>
          <w:ilvl w:val="0"/>
          <w:numId w:val="170"/>
        </w:numPr>
        <w:tabs>
          <w:tab w:pos="1814" w:val="left" w:leader="none"/>
          <w:tab w:pos="1815" w:val="left" w:leader="none"/>
        </w:tabs>
        <w:spacing w:before="163"/>
        <w:ind w:left="1814" w:right="0" w:hanging="682"/>
        <w:jc w:val="left"/>
        <w:rPr>
          <w:rFonts w:ascii="Stone Sans II ITC Std Bk"/>
          <w:b/>
          <w:sz w:val="21"/>
        </w:rPr>
      </w:pPr>
      <w:r>
        <w:rPr>
          <w:rFonts w:ascii="Stone Sans II ITC Std Bk"/>
          <w:b/>
          <w:w w:val="115"/>
          <w:sz w:val="21"/>
        </w:rPr>
        <w:t>Powers of</w:t>
      </w:r>
      <w:r>
        <w:rPr>
          <w:rFonts w:ascii="Stone Sans II ITC Std Bk"/>
          <w:b/>
          <w:spacing w:val="-4"/>
          <w:w w:val="115"/>
          <w:sz w:val="21"/>
        </w:rPr>
        <w:t> </w:t>
      </w:r>
      <w:r>
        <w:rPr>
          <w:rFonts w:ascii="Stone Sans II ITC Std Bk"/>
          <w:b/>
          <w:w w:val="115"/>
          <w:sz w:val="21"/>
        </w:rPr>
        <w:t>Directors</w:t>
      </w:r>
    </w:p>
    <w:p>
      <w:pPr>
        <w:pStyle w:val="ListParagraph"/>
        <w:numPr>
          <w:ilvl w:val="1"/>
          <w:numId w:val="170"/>
        </w:numPr>
        <w:tabs>
          <w:tab w:pos="1814" w:val="left" w:leader="none"/>
          <w:tab w:pos="1815" w:val="left" w:leader="none"/>
        </w:tabs>
        <w:spacing w:line="235" w:lineRule="auto" w:before="222" w:after="0"/>
        <w:ind w:left="1814" w:right="2324" w:hanging="681"/>
        <w:jc w:val="left"/>
        <w:rPr>
          <w:sz w:val="20"/>
        </w:rPr>
      </w:pPr>
      <w:r>
        <w:rPr>
          <w:w w:val="120"/>
          <w:sz w:val="20"/>
        </w:rPr>
        <w:t>The Directors shall manage the business of the Charity and may exercise all the powers of the Charity unless they are subject to any restrictions imposed by the </w:t>
      </w:r>
      <w:r>
        <w:rPr>
          <w:spacing w:val="-5"/>
          <w:w w:val="120"/>
          <w:sz w:val="20"/>
        </w:rPr>
        <w:t>1985 </w:t>
      </w:r>
      <w:r>
        <w:rPr>
          <w:w w:val="120"/>
          <w:sz w:val="20"/>
        </w:rPr>
        <w:t>Act or the 2006 Act, the memorandum, these articles or any special resolution.</w:t>
      </w:r>
    </w:p>
    <w:p>
      <w:pPr>
        <w:pStyle w:val="BodyText"/>
        <w:spacing w:before="11"/>
        <w:rPr>
          <w:sz w:val="19"/>
        </w:rPr>
      </w:pPr>
    </w:p>
    <w:p>
      <w:pPr>
        <w:pStyle w:val="ListParagraph"/>
        <w:numPr>
          <w:ilvl w:val="1"/>
          <w:numId w:val="170"/>
        </w:numPr>
        <w:tabs>
          <w:tab w:pos="1814" w:val="left" w:leader="none"/>
          <w:tab w:pos="1815" w:val="left" w:leader="none"/>
        </w:tabs>
        <w:spacing w:line="235" w:lineRule="auto" w:before="0" w:after="0"/>
        <w:ind w:left="1814" w:right="2127" w:hanging="681"/>
        <w:jc w:val="left"/>
        <w:rPr>
          <w:sz w:val="20"/>
        </w:rPr>
      </w:pPr>
      <w:r>
        <w:rPr>
          <w:w w:val="120"/>
          <w:sz w:val="20"/>
        </w:rPr>
        <w:t>No alteration of the memorandum or these articles or any special resolution shall have retrospective effect to invalidate any prior act of the</w:t>
      </w:r>
      <w:r>
        <w:rPr>
          <w:spacing w:val="12"/>
          <w:w w:val="120"/>
          <w:sz w:val="20"/>
        </w:rPr>
        <w:t> </w:t>
      </w:r>
      <w:r>
        <w:rPr>
          <w:w w:val="120"/>
          <w:sz w:val="20"/>
        </w:rPr>
        <w:t>Directors.</w:t>
      </w:r>
    </w:p>
    <w:p>
      <w:pPr>
        <w:pStyle w:val="BodyText"/>
        <w:spacing w:before="9"/>
        <w:rPr>
          <w:sz w:val="19"/>
        </w:rPr>
      </w:pPr>
    </w:p>
    <w:p>
      <w:pPr>
        <w:pStyle w:val="ListParagraph"/>
        <w:numPr>
          <w:ilvl w:val="1"/>
          <w:numId w:val="170"/>
        </w:numPr>
        <w:tabs>
          <w:tab w:pos="1814" w:val="left" w:leader="none"/>
          <w:tab w:pos="1815" w:val="left" w:leader="none"/>
        </w:tabs>
        <w:spacing w:line="235" w:lineRule="auto" w:before="1" w:after="0"/>
        <w:ind w:left="1814" w:right="2330" w:hanging="681"/>
        <w:jc w:val="left"/>
        <w:rPr>
          <w:sz w:val="20"/>
        </w:rPr>
      </w:pPr>
      <w:r>
        <w:rPr>
          <w:w w:val="120"/>
          <w:sz w:val="20"/>
        </w:rPr>
        <w:t>Any meeting of Directors at which a quorum is present at the time the relevant decision is made may exercise all the powers exercisable by the</w:t>
      </w:r>
      <w:r>
        <w:rPr>
          <w:spacing w:val="29"/>
          <w:w w:val="120"/>
          <w:sz w:val="20"/>
        </w:rPr>
        <w:t> </w:t>
      </w:r>
      <w:r>
        <w:rPr>
          <w:w w:val="120"/>
          <w:sz w:val="20"/>
        </w:rPr>
        <w:t>Directors.</w:t>
      </w:r>
    </w:p>
    <w:p>
      <w:pPr>
        <w:pStyle w:val="BodyText"/>
        <w:rPr>
          <w:sz w:val="24"/>
        </w:rPr>
      </w:pPr>
    </w:p>
    <w:p>
      <w:pPr>
        <w:numPr>
          <w:ilvl w:val="0"/>
          <w:numId w:val="170"/>
        </w:numPr>
        <w:tabs>
          <w:tab w:pos="1814" w:val="left" w:leader="none"/>
          <w:tab w:pos="1815" w:val="left" w:leader="none"/>
        </w:tabs>
        <w:spacing w:before="162"/>
        <w:ind w:left="1814" w:right="0" w:hanging="682"/>
        <w:jc w:val="left"/>
        <w:rPr>
          <w:rFonts w:ascii="Stone Sans II ITC Std Bk"/>
          <w:b/>
          <w:sz w:val="21"/>
        </w:rPr>
      </w:pPr>
      <w:r>
        <w:rPr>
          <w:rFonts w:ascii="Stone Sans II ITC Std Bk"/>
          <w:b/>
          <w:w w:val="115"/>
          <w:sz w:val="21"/>
        </w:rPr>
        <w:t>Disqualification and Removal of</w:t>
      </w:r>
      <w:r>
        <w:rPr>
          <w:rFonts w:ascii="Stone Sans II ITC Std Bk"/>
          <w:b/>
          <w:spacing w:val="-8"/>
          <w:w w:val="115"/>
          <w:sz w:val="21"/>
        </w:rPr>
        <w:t> </w:t>
      </w:r>
      <w:r>
        <w:rPr>
          <w:rFonts w:ascii="Stone Sans II ITC Std Bk"/>
          <w:b/>
          <w:w w:val="115"/>
          <w:sz w:val="21"/>
        </w:rPr>
        <w:t>Directors</w:t>
      </w:r>
    </w:p>
    <w:p>
      <w:pPr>
        <w:pStyle w:val="ListParagraph"/>
        <w:numPr>
          <w:ilvl w:val="1"/>
          <w:numId w:val="170"/>
        </w:numPr>
        <w:tabs>
          <w:tab w:pos="1814" w:val="left" w:leader="none"/>
          <w:tab w:pos="1815" w:val="left" w:leader="none"/>
        </w:tabs>
        <w:spacing w:line="240" w:lineRule="auto" w:before="219" w:after="0"/>
        <w:ind w:left="1814" w:right="0" w:hanging="682"/>
        <w:jc w:val="left"/>
        <w:rPr>
          <w:sz w:val="20"/>
        </w:rPr>
      </w:pPr>
      <w:r>
        <w:rPr>
          <w:w w:val="120"/>
          <w:sz w:val="20"/>
        </w:rPr>
        <w:t>A Director shall cease to hold office if he or</w:t>
      </w:r>
      <w:r>
        <w:rPr>
          <w:spacing w:val="16"/>
          <w:w w:val="120"/>
          <w:sz w:val="20"/>
        </w:rPr>
        <w:t> </w:t>
      </w:r>
      <w:r>
        <w:rPr>
          <w:w w:val="120"/>
          <w:sz w:val="20"/>
        </w:rPr>
        <w:t>she:</w:t>
      </w:r>
    </w:p>
    <w:p>
      <w:pPr>
        <w:pStyle w:val="BodyText"/>
        <w:spacing w:before="7"/>
        <w:rPr>
          <w:sz w:val="19"/>
        </w:rPr>
      </w:pPr>
    </w:p>
    <w:p>
      <w:pPr>
        <w:pStyle w:val="ListParagraph"/>
        <w:numPr>
          <w:ilvl w:val="0"/>
          <w:numId w:val="179"/>
        </w:numPr>
        <w:tabs>
          <w:tab w:pos="2573" w:val="left" w:leader="none"/>
          <w:tab w:pos="2574" w:val="left" w:leader="none"/>
        </w:tabs>
        <w:spacing w:line="235" w:lineRule="auto" w:before="0" w:after="0"/>
        <w:ind w:left="2573" w:right="2013" w:hanging="760"/>
        <w:jc w:val="left"/>
        <w:rPr>
          <w:sz w:val="20"/>
        </w:rPr>
      </w:pPr>
      <w:r>
        <w:rPr>
          <w:w w:val="120"/>
          <w:sz w:val="20"/>
        </w:rPr>
        <w:t>ceases to be a Director by virtue of any statutory provision or is prohibited by law from being a</w:t>
      </w:r>
      <w:r>
        <w:rPr>
          <w:spacing w:val="11"/>
          <w:w w:val="120"/>
          <w:sz w:val="20"/>
        </w:rPr>
        <w:t> </w:t>
      </w:r>
      <w:r>
        <w:rPr>
          <w:w w:val="120"/>
          <w:sz w:val="20"/>
        </w:rPr>
        <w:t>director;</w:t>
      </w:r>
    </w:p>
    <w:p>
      <w:pPr>
        <w:pStyle w:val="BodyText"/>
        <w:spacing w:before="9"/>
        <w:rPr>
          <w:sz w:val="19"/>
        </w:rPr>
      </w:pPr>
    </w:p>
    <w:p>
      <w:pPr>
        <w:pStyle w:val="ListParagraph"/>
        <w:numPr>
          <w:ilvl w:val="0"/>
          <w:numId w:val="179"/>
        </w:numPr>
        <w:tabs>
          <w:tab w:pos="2573" w:val="left" w:leader="none"/>
          <w:tab w:pos="2574" w:val="left" w:leader="none"/>
        </w:tabs>
        <w:spacing w:line="235" w:lineRule="auto" w:before="1" w:after="0"/>
        <w:ind w:left="2573" w:right="2175" w:hanging="760"/>
        <w:jc w:val="left"/>
        <w:rPr>
          <w:sz w:val="20"/>
        </w:rPr>
      </w:pPr>
      <w:r>
        <w:rPr>
          <w:w w:val="120"/>
          <w:sz w:val="20"/>
        </w:rPr>
        <w:t>is disqualified from acting as a Trustee by virtue of section 72 of the Charities Act </w:t>
      </w:r>
      <w:r>
        <w:rPr>
          <w:spacing w:val="-6"/>
          <w:w w:val="120"/>
          <w:sz w:val="20"/>
        </w:rPr>
        <w:t>1993 (or </w:t>
      </w:r>
      <w:r>
        <w:rPr>
          <w:w w:val="120"/>
          <w:sz w:val="20"/>
        </w:rPr>
        <w:t>any statutory re-enactment or modification of that </w:t>
      </w:r>
      <w:r>
        <w:rPr>
          <w:spacing w:val="-3"/>
          <w:w w:val="120"/>
          <w:sz w:val="20"/>
        </w:rPr>
        <w:t>provision);</w:t>
      </w:r>
    </w:p>
    <w:p>
      <w:pPr>
        <w:pStyle w:val="BodyText"/>
        <w:spacing w:before="10"/>
        <w:rPr>
          <w:sz w:val="19"/>
        </w:rPr>
      </w:pPr>
    </w:p>
    <w:p>
      <w:pPr>
        <w:pStyle w:val="ListParagraph"/>
        <w:numPr>
          <w:ilvl w:val="0"/>
          <w:numId w:val="179"/>
        </w:numPr>
        <w:tabs>
          <w:tab w:pos="2573" w:val="left" w:leader="none"/>
          <w:tab w:pos="2574" w:val="left" w:leader="none"/>
        </w:tabs>
        <w:spacing w:line="235" w:lineRule="auto" w:before="0" w:after="0"/>
        <w:ind w:left="2573" w:right="2221" w:hanging="760"/>
        <w:jc w:val="left"/>
        <w:rPr>
          <w:sz w:val="20"/>
        </w:rPr>
      </w:pPr>
      <w:r>
        <w:rPr>
          <w:w w:val="120"/>
          <w:sz w:val="20"/>
        </w:rPr>
        <w:t>is no longer a member of any local church of, or of any Local Ecumenical Partnership in connection with, the United Reformed</w:t>
      </w:r>
      <w:r>
        <w:rPr>
          <w:spacing w:val="25"/>
          <w:w w:val="120"/>
          <w:sz w:val="20"/>
        </w:rPr>
        <w:t> </w:t>
      </w:r>
      <w:r>
        <w:rPr>
          <w:w w:val="120"/>
          <w:sz w:val="20"/>
        </w:rPr>
        <w:t>Church;</w:t>
      </w:r>
    </w:p>
    <w:p>
      <w:pPr>
        <w:pStyle w:val="BodyText"/>
        <w:spacing w:before="9"/>
        <w:rPr>
          <w:sz w:val="19"/>
        </w:rPr>
      </w:pPr>
    </w:p>
    <w:p>
      <w:pPr>
        <w:pStyle w:val="ListParagraph"/>
        <w:numPr>
          <w:ilvl w:val="0"/>
          <w:numId w:val="179"/>
        </w:numPr>
        <w:tabs>
          <w:tab w:pos="2573" w:val="left" w:leader="none"/>
          <w:tab w:pos="2574" w:val="left" w:leader="none"/>
        </w:tabs>
        <w:spacing w:line="235" w:lineRule="auto" w:before="0" w:after="0"/>
        <w:ind w:left="2573" w:right="2695" w:hanging="760"/>
        <w:jc w:val="left"/>
        <w:rPr>
          <w:sz w:val="20"/>
        </w:rPr>
      </w:pPr>
      <w:r>
        <w:rPr>
          <w:w w:val="120"/>
          <w:sz w:val="20"/>
        </w:rPr>
        <w:t>becomes incapable by reason of mental disorder, illness or injury of managing and administering his or her own</w:t>
      </w:r>
      <w:r>
        <w:rPr>
          <w:spacing w:val="17"/>
          <w:w w:val="120"/>
          <w:sz w:val="20"/>
        </w:rPr>
        <w:t> </w:t>
      </w:r>
      <w:r>
        <w:rPr>
          <w:w w:val="120"/>
          <w:sz w:val="20"/>
        </w:rPr>
        <w:t>affairs;</w:t>
      </w:r>
    </w:p>
    <w:p>
      <w:pPr>
        <w:pStyle w:val="BodyText"/>
        <w:spacing w:before="10"/>
        <w:rPr>
          <w:sz w:val="19"/>
        </w:rPr>
      </w:pPr>
    </w:p>
    <w:p>
      <w:pPr>
        <w:pStyle w:val="ListParagraph"/>
        <w:numPr>
          <w:ilvl w:val="0"/>
          <w:numId w:val="179"/>
        </w:numPr>
        <w:tabs>
          <w:tab w:pos="2573" w:val="left" w:leader="none"/>
          <w:tab w:pos="2574" w:val="left" w:leader="none"/>
        </w:tabs>
        <w:spacing w:line="235" w:lineRule="auto" w:before="0" w:after="0"/>
        <w:ind w:left="2573" w:right="2445" w:hanging="760"/>
        <w:jc w:val="left"/>
        <w:rPr>
          <w:sz w:val="20"/>
        </w:rPr>
      </w:pPr>
      <w:r>
        <w:rPr>
          <w:w w:val="120"/>
          <w:sz w:val="20"/>
        </w:rPr>
        <w:t>resigns as a Director by notice to the Charity (but only if at least two Directors will remain in office when the notice of resignation is to take effect);</w:t>
      </w:r>
      <w:r>
        <w:rPr>
          <w:spacing w:val="1"/>
          <w:w w:val="120"/>
          <w:sz w:val="20"/>
        </w:rPr>
        <w:t> </w:t>
      </w:r>
      <w:r>
        <w:rPr>
          <w:w w:val="120"/>
          <w:sz w:val="20"/>
        </w:rPr>
        <w:t>or</w:t>
      </w:r>
    </w:p>
    <w:p>
      <w:pPr>
        <w:pStyle w:val="BodyText"/>
        <w:spacing w:before="10"/>
        <w:rPr>
          <w:sz w:val="19"/>
        </w:rPr>
      </w:pPr>
    </w:p>
    <w:p>
      <w:pPr>
        <w:pStyle w:val="ListParagraph"/>
        <w:numPr>
          <w:ilvl w:val="0"/>
          <w:numId w:val="179"/>
        </w:numPr>
        <w:tabs>
          <w:tab w:pos="2573" w:val="left" w:leader="none"/>
          <w:tab w:pos="2574" w:val="left" w:leader="none"/>
        </w:tabs>
        <w:spacing w:line="235" w:lineRule="auto" w:before="0" w:after="0"/>
        <w:ind w:left="2573" w:right="2208" w:hanging="760"/>
        <w:jc w:val="both"/>
        <w:rPr>
          <w:sz w:val="20"/>
        </w:rPr>
      </w:pPr>
      <w:r>
        <w:rPr>
          <w:w w:val="120"/>
          <w:sz w:val="20"/>
        </w:rPr>
        <w:t>is absent without the permission of the Directors from all their meetings held within a period of six consecutive months and the Directors resolve that his or her office be</w:t>
      </w:r>
      <w:r>
        <w:rPr>
          <w:spacing w:val="9"/>
          <w:w w:val="120"/>
          <w:sz w:val="20"/>
        </w:rPr>
        <w:t> </w:t>
      </w:r>
      <w:r>
        <w:rPr>
          <w:w w:val="120"/>
          <w:sz w:val="20"/>
        </w:rPr>
        <w:t>vacated.</w:t>
      </w:r>
    </w:p>
    <w:p>
      <w:pPr>
        <w:pStyle w:val="BodyText"/>
        <w:rPr>
          <w:sz w:val="24"/>
        </w:rPr>
      </w:pPr>
    </w:p>
    <w:p>
      <w:pPr>
        <w:numPr>
          <w:ilvl w:val="0"/>
          <w:numId w:val="170"/>
        </w:numPr>
        <w:tabs>
          <w:tab w:pos="1814" w:val="left" w:leader="none"/>
          <w:tab w:pos="1815" w:val="left" w:leader="none"/>
        </w:tabs>
        <w:spacing w:before="163"/>
        <w:ind w:left="1814" w:right="0" w:hanging="682"/>
        <w:jc w:val="left"/>
        <w:rPr>
          <w:rFonts w:ascii="Stone Sans II ITC Std Bk" w:hAnsi="Stone Sans II ITC Std Bk"/>
          <w:b/>
          <w:sz w:val="21"/>
        </w:rPr>
      </w:pPr>
      <w:r>
        <w:rPr>
          <w:rFonts w:ascii="Stone Sans II ITC Std Bk" w:hAnsi="Stone Sans II ITC Std Bk"/>
          <w:b/>
          <w:w w:val="115"/>
          <w:sz w:val="21"/>
        </w:rPr>
        <w:t>Directors’</w:t>
      </w:r>
      <w:r>
        <w:rPr>
          <w:rFonts w:ascii="Stone Sans II ITC Std Bk" w:hAnsi="Stone Sans II ITC Std Bk"/>
          <w:b/>
          <w:spacing w:val="-2"/>
          <w:w w:val="115"/>
          <w:sz w:val="21"/>
        </w:rPr>
        <w:t> </w:t>
      </w:r>
      <w:r>
        <w:rPr>
          <w:rFonts w:ascii="Stone Sans II ITC Std Bk" w:hAnsi="Stone Sans II ITC Std Bk"/>
          <w:b/>
          <w:w w:val="115"/>
          <w:sz w:val="21"/>
        </w:rPr>
        <w:t>Remuneration</w:t>
      </w:r>
    </w:p>
    <w:p>
      <w:pPr>
        <w:pStyle w:val="ListParagraph"/>
        <w:numPr>
          <w:ilvl w:val="1"/>
          <w:numId w:val="170"/>
        </w:numPr>
        <w:tabs>
          <w:tab w:pos="1814" w:val="left" w:leader="none"/>
          <w:tab w:pos="1815" w:val="left" w:leader="none"/>
        </w:tabs>
        <w:spacing w:line="235" w:lineRule="auto" w:before="223" w:after="0"/>
        <w:ind w:left="1814" w:right="2066" w:hanging="681"/>
        <w:jc w:val="left"/>
        <w:rPr>
          <w:sz w:val="20"/>
        </w:rPr>
      </w:pPr>
      <w:r>
        <w:rPr>
          <w:w w:val="120"/>
          <w:sz w:val="20"/>
        </w:rPr>
        <w:t>The Directors must not be paid any remuneration unless it is authorised by clause 8 of the</w:t>
      </w:r>
      <w:r>
        <w:rPr>
          <w:spacing w:val="6"/>
          <w:w w:val="120"/>
          <w:sz w:val="20"/>
        </w:rPr>
        <w:t> </w:t>
      </w:r>
      <w:r>
        <w:rPr>
          <w:w w:val="120"/>
          <w:sz w:val="20"/>
        </w:rPr>
        <w:t>Memorandum.</w:t>
      </w:r>
    </w:p>
    <w:p>
      <w:pPr>
        <w:pStyle w:val="BodyText"/>
        <w:rPr>
          <w:sz w:val="24"/>
        </w:rPr>
      </w:pPr>
    </w:p>
    <w:p>
      <w:pPr>
        <w:numPr>
          <w:ilvl w:val="0"/>
          <w:numId w:val="170"/>
        </w:numPr>
        <w:tabs>
          <w:tab w:pos="1814" w:val="left" w:leader="none"/>
          <w:tab w:pos="1815" w:val="left" w:leader="none"/>
        </w:tabs>
        <w:spacing w:before="162"/>
        <w:ind w:left="1814" w:right="0" w:hanging="682"/>
        <w:jc w:val="left"/>
        <w:rPr>
          <w:rFonts w:ascii="Stone Sans II ITC Std Bk"/>
          <w:b/>
          <w:sz w:val="21"/>
        </w:rPr>
      </w:pPr>
      <w:r>
        <w:rPr>
          <w:rFonts w:ascii="Stone Sans II ITC Std Bk"/>
          <w:b/>
          <w:w w:val="115"/>
          <w:sz w:val="21"/>
        </w:rPr>
        <w:t>Proceedings of</w:t>
      </w:r>
      <w:r>
        <w:rPr>
          <w:rFonts w:ascii="Stone Sans II ITC Std Bk"/>
          <w:b/>
          <w:spacing w:val="-4"/>
          <w:w w:val="115"/>
          <w:sz w:val="21"/>
        </w:rPr>
        <w:t> </w:t>
      </w:r>
      <w:r>
        <w:rPr>
          <w:rFonts w:ascii="Stone Sans II ITC Std Bk"/>
          <w:b/>
          <w:w w:val="115"/>
          <w:sz w:val="21"/>
        </w:rPr>
        <w:t>Directors</w:t>
      </w:r>
    </w:p>
    <w:p>
      <w:pPr>
        <w:pStyle w:val="ListParagraph"/>
        <w:numPr>
          <w:ilvl w:val="1"/>
          <w:numId w:val="170"/>
        </w:numPr>
        <w:tabs>
          <w:tab w:pos="1814" w:val="left" w:leader="none"/>
          <w:tab w:pos="1815" w:val="left" w:leader="none"/>
        </w:tabs>
        <w:spacing w:line="235" w:lineRule="auto" w:before="222" w:after="0"/>
        <w:ind w:left="1814" w:right="2571" w:hanging="681"/>
        <w:jc w:val="left"/>
        <w:rPr>
          <w:sz w:val="20"/>
        </w:rPr>
      </w:pPr>
      <w:r>
        <w:rPr>
          <w:w w:val="120"/>
          <w:sz w:val="20"/>
        </w:rPr>
        <w:t>The Directors may regulate their proceedings as they think fit, subject to the provisions of the</w:t>
      </w:r>
      <w:r>
        <w:rPr>
          <w:spacing w:val="5"/>
          <w:w w:val="120"/>
          <w:sz w:val="20"/>
        </w:rPr>
        <w:t> </w:t>
      </w:r>
      <w:r>
        <w:rPr>
          <w:w w:val="120"/>
          <w:sz w:val="20"/>
        </w:rPr>
        <w:t>articles.</w:t>
      </w:r>
    </w:p>
    <w:p>
      <w:pPr>
        <w:pStyle w:val="BodyText"/>
        <w:spacing w:before="6"/>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20"/>
          <w:sz w:val="20"/>
        </w:rPr>
        <w:t>Any Director may call a meeting of the</w:t>
      </w:r>
      <w:r>
        <w:rPr>
          <w:spacing w:val="18"/>
          <w:w w:val="120"/>
          <w:sz w:val="20"/>
        </w:rPr>
        <w:t> </w:t>
      </w:r>
      <w:r>
        <w:rPr>
          <w:w w:val="120"/>
          <w:sz w:val="20"/>
        </w:rPr>
        <w:t>Directors.</w:t>
      </w:r>
    </w:p>
    <w:p>
      <w:pPr>
        <w:spacing w:after="0" w:line="240" w:lineRule="auto"/>
        <w:jc w:val="left"/>
        <w:rPr>
          <w:sz w:val="20"/>
        </w:rPr>
        <w:sectPr>
          <w:pgSz w:w="11910" w:h="16840"/>
          <w:pgMar w:header="0" w:footer="647" w:top="1060" w:bottom="840" w:left="0" w:right="0"/>
        </w:sectPr>
      </w:pPr>
    </w:p>
    <w:p>
      <w:pPr>
        <w:pStyle w:val="ListParagraph"/>
        <w:numPr>
          <w:ilvl w:val="1"/>
          <w:numId w:val="170"/>
        </w:numPr>
        <w:tabs>
          <w:tab w:pos="2664" w:val="left" w:leader="none"/>
          <w:tab w:pos="2665" w:val="left" w:leader="none"/>
        </w:tabs>
        <w:spacing w:line="235" w:lineRule="auto" w:before="91" w:after="0"/>
        <w:ind w:left="2664" w:right="1936" w:hanging="681"/>
        <w:jc w:val="left"/>
        <w:rPr>
          <w:sz w:val="20"/>
        </w:rPr>
      </w:pPr>
      <w:r>
        <w:rPr/>
        <w:pict>
          <v:rect style="position:absolute;margin-left:558.424988pt;margin-top:8.503343pt;width:22.677pt;height:22.677pt;mso-position-horizontal-relative:page;mso-position-vertical-relative:paragraph;z-index:252350464" filled="true" fillcolor="#e4ebc6" stroked="false">
            <v:fill opacity="32768f" type="solid"/>
            <w10:wrap type="none"/>
          </v:rect>
        </w:pict>
      </w:r>
      <w:r>
        <w:rPr>
          <w:w w:val="120"/>
          <w:sz w:val="20"/>
        </w:rPr>
        <w:t>The secretary must call a meeting of the Directors if requested to do so by a</w:t>
      </w:r>
      <w:r>
        <w:rPr>
          <w:spacing w:val="1"/>
          <w:w w:val="120"/>
          <w:sz w:val="20"/>
        </w:rPr>
        <w:t> </w:t>
      </w:r>
      <w:r>
        <w:rPr>
          <w:w w:val="120"/>
          <w:sz w:val="20"/>
        </w:rPr>
        <w:t>Director.</w:t>
      </w:r>
    </w:p>
    <w:p>
      <w:pPr>
        <w:pStyle w:val="BodyText"/>
        <w:spacing w:before="5"/>
        <w:rPr>
          <w:sz w:val="19"/>
        </w:rPr>
      </w:pPr>
    </w:p>
    <w:p>
      <w:pPr>
        <w:pStyle w:val="ListParagraph"/>
        <w:numPr>
          <w:ilvl w:val="1"/>
          <w:numId w:val="170"/>
        </w:numPr>
        <w:tabs>
          <w:tab w:pos="2664" w:val="left" w:leader="none"/>
          <w:tab w:pos="2665" w:val="left" w:leader="none"/>
        </w:tabs>
        <w:spacing w:line="240" w:lineRule="auto" w:before="0" w:after="0"/>
        <w:ind w:left="2664" w:right="0" w:hanging="681"/>
        <w:jc w:val="left"/>
        <w:rPr>
          <w:sz w:val="20"/>
        </w:rPr>
      </w:pPr>
      <w:r>
        <w:rPr>
          <w:w w:val="120"/>
          <w:sz w:val="20"/>
        </w:rPr>
        <w:t>Questions arising at a meeting shall be decided by a majority of</w:t>
      </w:r>
      <w:r>
        <w:rPr>
          <w:spacing w:val="32"/>
          <w:w w:val="120"/>
          <w:sz w:val="20"/>
        </w:rPr>
        <w:t> </w:t>
      </w:r>
      <w:r>
        <w:rPr>
          <w:w w:val="120"/>
          <w:sz w:val="20"/>
        </w:rPr>
        <w:t>votes.</w:t>
      </w:r>
    </w:p>
    <w:p>
      <w:pPr>
        <w:pStyle w:val="BodyText"/>
        <w:spacing w:before="8"/>
        <w:rPr>
          <w:sz w:val="19"/>
        </w:rPr>
      </w:pPr>
    </w:p>
    <w:p>
      <w:pPr>
        <w:pStyle w:val="ListParagraph"/>
        <w:numPr>
          <w:ilvl w:val="1"/>
          <w:numId w:val="170"/>
        </w:numPr>
        <w:tabs>
          <w:tab w:pos="2664" w:val="left" w:leader="none"/>
          <w:tab w:pos="2665" w:val="left" w:leader="none"/>
        </w:tabs>
        <w:spacing w:line="235" w:lineRule="auto" w:before="0" w:after="0"/>
        <w:ind w:left="2664" w:right="1573" w:hanging="681"/>
        <w:jc w:val="left"/>
        <w:rPr>
          <w:sz w:val="20"/>
        </w:rPr>
      </w:pPr>
      <w:r>
        <w:rPr>
          <w:w w:val="120"/>
          <w:sz w:val="20"/>
        </w:rPr>
        <w:t>Subject to the articles, Directors participate in a Directors’ Meeting, or </w:t>
      </w:r>
      <w:r>
        <w:rPr>
          <w:spacing w:val="2"/>
          <w:w w:val="120"/>
          <w:sz w:val="20"/>
        </w:rPr>
        <w:t>part </w:t>
      </w:r>
      <w:r>
        <w:rPr>
          <w:w w:val="120"/>
          <w:sz w:val="20"/>
        </w:rPr>
        <w:t>of a Directors’ Meeting,</w:t>
      </w:r>
      <w:r>
        <w:rPr>
          <w:spacing w:val="6"/>
          <w:w w:val="120"/>
          <w:sz w:val="20"/>
        </w:rPr>
        <w:t> </w:t>
      </w:r>
      <w:r>
        <w:rPr>
          <w:w w:val="120"/>
          <w:sz w:val="20"/>
        </w:rPr>
        <w:t>when:</w:t>
      </w:r>
    </w:p>
    <w:p>
      <w:pPr>
        <w:pStyle w:val="BodyText"/>
        <w:spacing w:before="9"/>
        <w:rPr>
          <w:sz w:val="19"/>
        </w:rPr>
      </w:pPr>
    </w:p>
    <w:p>
      <w:pPr>
        <w:pStyle w:val="ListParagraph"/>
        <w:numPr>
          <w:ilvl w:val="0"/>
          <w:numId w:val="180"/>
        </w:numPr>
        <w:tabs>
          <w:tab w:pos="3424" w:val="left" w:leader="none"/>
          <w:tab w:pos="3425" w:val="left" w:leader="none"/>
        </w:tabs>
        <w:spacing w:line="235" w:lineRule="auto" w:before="1" w:after="0"/>
        <w:ind w:left="3424" w:right="1817" w:hanging="760"/>
        <w:jc w:val="left"/>
        <w:rPr>
          <w:sz w:val="20"/>
        </w:rPr>
      </w:pPr>
      <w:r>
        <w:rPr>
          <w:w w:val="120"/>
          <w:sz w:val="20"/>
        </w:rPr>
        <w:t>the meeting has been called and takes place in accordance with the articles;</w:t>
      </w:r>
      <w:r>
        <w:rPr>
          <w:spacing w:val="1"/>
          <w:w w:val="120"/>
          <w:sz w:val="20"/>
        </w:rPr>
        <w:t> </w:t>
      </w:r>
      <w:r>
        <w:rPr>
          <w:w w:val="120"/>
          <w:sz w:val="20"/>
        </w:rPr>
        <w:t>and</w:t>
      </w:r>
    </w:p>
    <w:p>
      <w:pPr>
        <w:pStyle w:val="BodyText"/>
        <w:spacing w:before="9"/>
        <w:rPr>
          <w:sz w:val="19"/>
        </w:rPr>
      </w:pPr>
    </w:p>
    <w:p>
      <w:pPr>
        <w:pStyle w:val="ListParagraph"/>
        <w:numPr>
          <w:ilvl w:val="0"/>
          <w:numId w:val="180"/>
        </w:numPr>
        <w:tabs>
          <w:tab w:pos="3424" w:val="left" w:leader="none"/>
          <w:tab w:pos="3425" w:val="left" w:leader="none"/>
        </w:tabs>
        <w:spacing w:line="235" w:lineRule="auto" w:before="0" w:after="0"/>
        <w:ind w:left="3424" w:right="1948" w:hanging="760"/>
        <w:jc w:val="left"/>
        <w:rPr>
          <w:sz w:val="20"/>
        </w:rPr>
      </w:pPr>
      <w:r>
        <w:rPr>
          <w:w w:val="120"/>
          <w:sz w:val="20"/>
        </w:rPr>
        <w:t>they can each communicate to and receive from the others any information or opinions they or the other participants have on any particular item of business of the</w:t>
      </w:r>
      <w:r>
        <w:rPr>
          <w:spacing w:val="11"/>
          <w:w w:val="120"/>
          <w:sz w:val="20"/>
        </w:rPr>
        <w:t> </w:t>
      </w:r>
      <w:r>
        <w:rPr>
          <w:w w:val="120"/>
          <w:sz w:val="20"/>
        </w:rPr>
        <w:t>meeting.</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454" w:hanging="681"/>
        <w:jc w:val="left"/>
        <w:rPr>
          <w:sz w:val="20"/>
        </w:rPr>
      </w:pPr>
      <w:r>
        <w:rPr>
          <w:w w:val="120"/>
          <w:sz w:val="20"/>
        </w:rPr>
        <w:t>In determining whether Directors are participating in a Directors’ Meeting, it is irrelevant where any Director is or how they communicate with each</w:t>
      </w:r>
      <w:r>
        <w:rPr>
          <w:spacing w:val="25"/>
          <w:w w:val="120"/>
          <w:sz w:val="20"/>
        </w:rPr>
        <w:t> </w:t>
      </w:r>
      <w:r>
        <w:rPr>
          <w:spacing w:val="-3"/>
          <w:w w:val="120"/>
          <w:sz w:val="20"/>
        </w:rPr>
        <w:t>other.</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323" w:hanging="681"/>
        <w:jc w:val="left"/>
        <w:rPr>
          <w:sz w:val="20"/>
        </w:rPr>
      </w:pPr>
      <w:r>
        <w:rPr>
          <w:w w:val="120"/>
          <w:sz w:val="20"/>
        </w:rPr>
        <w:t>If all the Directors participating in a meeting are not in the same place, they may decide that the meeting is to be treated as taking place wherever any of them</w:t>
      </w:r>
      <w:r>
        <w:rPr>
          <w:spacing w:val="31"/>
          <w:w w:val="120"/>
          <w:sz w:val="20"/>
        </w:rPr>
        <w:t> </w:t>
      </w:r>
      <w:r>
        <w:rPr>
          <w:w w:val="120"/>
          <w:sz w:val="20"/>
        </w:rPr>
        <w:t>is.</w:t>
      </w:r>
    </w:p>
    <w:p>
      <w:pPr>
        <w:pStyle w:val="BodyText"/>
        <w:spacing w:before="9"/>
        <w:rPr>
          <w:sz w:val="19"/>
        </w:rPr>
      </w:pPr>
    </w:p>
    <w:p>
      <w:pPr>
        <w:pStyle w:val="ListParagraph"/>
        <w:numPr>
          <w:ilvl w:val="1"/>
          <w:numId w:val="170"/>
        </w:numPr>
        <w:tabs>
          <w:tab w:pos="2664" w:val="left" w:leader="none"/>
          <w:tab w:pos="2665" w:val="left" w:leader="none"/>
        </w:tabs>
        <w:spacing w:line="235" w:lineRule="auto" w:before="0" w:after="0"/>
        <w:ind w:left="2664" w:right="1843" w:hanging="681"/>
        <w:jc w:val="left"/>
        <w:rPr>
          <w:sz w:val="20"/>
        </w:rPr>
      </w:pPr>
      <w:r>
        <w:rPr>
          <w:w w:val="120"/>
          <w:sz w:val="20"/>
        </w:rPr>
        <w:t>No decision may be made by a meeting of the Directors unless a quorum is participating at the time the decision is purported to be</w:t>
      </w:r>
      <w:r>
        <w:rPr>
          <w:spacing w:val="39"/>
          <w:w w:val="120"/>
          <w:sz w:val="20"/>
        </w:rPr>
        <w:t> </w:t>
      </w:r>
      <w:r>
        <w:rPr>
          <w:w w:val="120"/>
          <w:sz w:val="20"/>
        </w:rPr>
        <w:t>made.</w:t>
      </w:r>
    </w:p>
    <w:p>
      <w:pPr>
        <w:pStyle w:val="BodyText"/>
        <w:spacing w:before="9"/>
        <w:rPr>
          <w:sz w:val="19"/>
        </w:rPr>
      </w:pPr>
    </w:p>
    <w:p>
      <w:pPr>
        <w:pStyle w:val="ListParagraph"/>
        <w:numPr>
          <w:ilvl w:val="1"/>
          <w:numId w:val="170"/>
        </w:numPr>
        <w:tabs>
          <w:tab w:pos="2664" w:val="left" w:leader="none"/>
          <w:tab w:pos="2665" w:val="left" w:leader="none"/>
        </w:tabs>
        <w:spacing w:line="235" w:lineRule="auto" w:before="1" w:after="0"/>
        <w:ind w:left="2664" w:right="1321" w:hanging="681"/>
        <w:jc w:val="left"/>
        <w:rPr>
          <w:i/>
          <w:sz w:val="20"/>
        </w:rPr>
      </w:pPr>
      <w:r>
        <w:rPr>
          <w:w w:val="120"/>
          <w:sz w:val="20"/>
        </w:rPr>
        <w:t>The quorum shall be 9 of which no more than 4 should be Ex-Offico Directors or such larger number as may be decided from time to time by the</w:t>
      </w:r>
      <w:r>
        <w:rPr>
          <w:spacing w:val="52"/>
          <w:w w:val="120"/>
          <w:sz w:val="20"/>
        </w:rPr>
        <w:t> </w:t>
      </w:r>
      <w:r>
        <w:rPr>
          <w:w w:val="120"/>
          <w:sz w:val="20"/>
        </w:rPr>
        <w:t>Directors</w:t>
      </w:r>
      <w:r>
        <w:rPr>
          <w:i/>
          <w:w w:val="120"/>
          <w:sz w:val="20"/>
        </w:rPr>
        <w:t>.</w:t>
      </w:r>
    </w:p>
    <w:p>
      <w:pPr>
        <w:pStyle w:val="BodyText"/>
        <w:spacing w:before="9"/>
        <w:rPr>
          <w:i/>
          <w:sz w:val="19"/>
        </w:rPr>
      </w:pPr>
    </w:p>
    <w:p>
      <w:pPr>
        <w:pStyle w:val="ListParagraph"/>
        <w:numPr>
          <w:ilvl w:val="1"/>
          <w:numId w:val="170"/>
        </w:numPr>
        <w:tabs>
          <w:tab w:pos="2665" w:val="left" w:leader="none"/>
        </w:tabs>
        <w:spacing w:line="235" w:lineRule="auto" w:before="0" w:after="0"/>
        <w:ind w:left="2664" w:right="1174" w:hanging="681"/>
        <w:jc w:val="left"/>
        <w:rPr>
          <w:sz w:val="20"/>
        </w:rPr>
      </w:pPr>
      <w:r>
        <w:rPr>
          <w:w w:val="120"/>
          <w:sz w:val="20"/>
        </w:rPr>
        <w:t>A Director shall not be counted in the quorum present when any decision is made about a matter upon which that Director is not entitled to</w:t>
      </w:r>
      <w:r>
        <w:rPr>
          <w:spacing w:val="22"/>
          <w:w w:val="120"/>
          <w:sz w:val="20"/>
        </w:rPr>
        <w:t> </w:t>
      </w:r>
      <w:r>
        <w:rPr>
          <w:w w:val="120"/>
          <w:sz w:val="20"/>
        </w:rPr>
        <w:t>vote.</w:t>
      </w:r>
    </w:p>
    <w:p>
      <w:pPr>
        <w:pStyle w:val="BodyText"/>
        <w:spacing w:before="9"/>
        <w:rPr>
          <w:sz w:val="19"/>
        </w:rPr>
      </w:pPr>
    </w:p>
    <w:p>
      <w:pPr>
        <w:pStyle w:val="ListParagraph"/>
        <w:numPr>
          <w:ilvl w:val="1"/>
          <w:numId w:val="170"/>
        </w:numPr>
        <w:tabs>
          <w:tab w:pos="2665" w:val="left" w:leader="none"/>
        </w:tabs>
        <w:spacing w:line="235" w:lineRule="auto" w:before="1" w:after="0"/>
        <w:ind w:left="2664" w:right="1212" w:hanging="681"/>
        <w:jc w:val="left"/>
        <w:rPr>
          <w:sz w:val="20"/>
        </w:rPr>
      </w:pPr>
      <w:r>
        <w:rPr>
          <w:w w:val="120"/>
          <w:sz w:val="20"/>
        </w:rPr>
        <w:t>If the number of Directors is less than the number fixed as the quorum, the continuing Directors or Director may only act in calling a General Meeting for the purpose of filling</w:t>
      </w:r>
      <w:r>
        <w:rPr>
          <w:spacing w:val="6"/>
          <w:w w:val="120"/>
          <w:sz w:val="20"/>
        </w:rPr>
        <w:t> </w:t>
      </w:r>
      <w:r>
        <w:rPr>
          <w:w w:val="120"/>
          <w:sz w:val="20"/>
        </w:rPr>
        <w:t>vacancies.</w:t>
      </w:r>
    </w:p>
    <w:p>
      <w:pPr>
        <w:pStyle w:val="BodyText"/>
        <w:spacing w:before="10"/>
        <w:rPr>
          <w:sz w:val="19"/>
        </w:rPr>
      </w:pPr>
    </w:p>
    <w:p>
      <w:pPr>
        <w:pStyle w:val="ListParagraph"/>
        <w:numPr>
          <w:ilvl w:val="1"/>
          <w:numId w:val="170"/>
        </w:numPr>
        <w:tabs>
          <w:tab w:pos="2665" w:val="left" w:leader="none"/>
        </w:tabs>
        <w:spacing w:line="235" w:lineRule="auto" w:before="0" w:after="0"/>
        <w:ind w:left="2664" w:right="1209" w:hanging="681"/>
        <w:jc w:val="left"/>
        <w:rPr>
          <w:sz w:val="20"/>
        </w:rPr>
      </w:pPr>
      <w:r>
        <w:rPr>
          <w:w w:val="120"/>
          <w:sz w:val="20"/>
        </w:rPr>
        <w:t>The Directors shall appoint a Director to chair their meetings and may at any time revoke such</w:t>
      </w:r>
      <w:r>
        <w:rPr>
          <w:spacing w:val="4"/>
          <w:w w:val="120"/>
          <w:sz w:val="20"/>
        </w:rPr>
        <w:t> </w:t>
      </w:r>
      <w:r>
        <w:rPr>
          <w:w w:val="120"/>
          <w:sz w:val="20"/>
        </w:rPr>
        <w:t>appointment.</w:t>
      </w:r>
    </w:p>
    <w:p>
      <w:pPr>
        <w:pStyle w:val="BodyText"/>
        <w:spacing w:before="9"/>
        <w:rPr>
          <w:sz w:val="19"/>
        </w:rPr>
      </w:pPr>
    </w:p>
    <w:p>
      <w:pPr>
        <w:pStyle w:val="ListParagraph"/>
        <w:numPr>
          <w:ilvl w:val="1"/>
          <w:numId w:val="170"/>
        </w:numPr>
        <w:tabs>
          <w:tab w:pos="2665" w:val="left" w:leader="none"/>
        </w:tabs>
        <w:spacing w:line="235" w:lineRule="auto" w:before="0" w:after="0"/>
        <w:ind w:left="2664" w:right="1219" w:hanging="681"/>
        <w:jc w:val="left"/>
        <w:rPr>
          <w:sz w:val="20"/>
        </w:rPr>
      </w:pPr>
      <w:r>
        <w:rPr>
          <w:w w:val="120"/>
          <w:sz w:val="20"/>
        </w:rPr>
        <w:t>If </w:t>
      </w:r>
      <w:r>
        <w:rPr>
          <w:spacing w:val="2"/>
          <w:w w:val="120"/>
          <w:sz w:val="20"/>
        </w:rPr>
        <w:t>no-one </w:t>
      </w:r>
      <w:r>
        <w:rPr>
          <w:w w:val="120"/>
          <w:sz w:val="20"/>
        </w:rPr>
        <w:t>has been appointed to chair meetings of the Directors or if the person appointed is unwilling to preside or is not present within fifteen minutes after the time appointed for the meeting, the Directors participating may appoint one of their number to chair that</w:t>
      </w:r>
      <w:r>
        <w:rPr>
          <w:spacing w:val="10"/>
          <w:w w:val="120"/>
          <w:sz w:val="20"/>
        </w:rPr>
        <w:t> </w:t>
      </w:r>
      <w:r>
        <w:rPr>
          <w:w w:val="120"/>
          <w:sz w:val="20"/>
        </w:rPr>
        <w:t>meeting.</w:t>
      </w:r>
    </w:p>
    <w:p>
      <w:pPr>
        <w:pStyle w:val="BodyText"/>
        <w:spacing w:before="11"/>
        <w:rPr>
          <w:sz w:val="19"/>
        </w:rPr>
      </w:pPr>
    </w:p>
    <w:p>
      <w:pPr>
        <w:pStyle w:val="ListParagraph"/>
        <w:numPr>
          <w:ilvl w:val="1"/>
          <w:numId w:val="170"/>
        </w:numPr>
        <w:tabs>
          <w:tab w:pos="2665" w:val="left" w:leader="none"/>
        </w:tabs>
        <w:spacing w:line="235" w:lineRule="auto" w:before="0" w:after="0"/>
        <w:ind w:left="2664" w:right="1290" w:hanging="681"/>
        <w:jc w:val="left"/>
        <w:rPr>
          <w:sz w:val="20"/>
        </w:rPr>
      </w:pPr>
      <w:r>
        <w:rPr>
          <w:w w:val="120"/>
          <w:sz w:val="20"/>
        </w:rPr>
        <w:t>The person appointed to chair meetings of the Directors shall have no functions or powers except those conferred by these articles or delegated to him or her by the</w:t>
      </w:r>
      <w:r>
        <w:rPr>
          <w:spacing w:val="2"/>
          <w:w w:val="120"/>
          <w:sz w:val="20"/>
        </w:rPr>
        <w:t> </w:t>
      </w:r>
      <w:r>
        <w:rPr>
          <w:w w:val="120"/>
          <w:sz w:val="20"/>
        </w:rPr>
        <w:t>Directors.</w:t>
      </w:r>
    </w:p>
    <w:p>
      <w:pPr>
        <w:pStyle w:val="BodyText"/>
        <w:spacing w:before="10"/>
        <w:rPr>
          <w:sz w:val="19"/>
        </w:rPr>
      </w:pPr>
    </w:p>
    <w:p>
      <w:pPr>
        <w:pStyle w:val="ListParagraph"/>
        <w:numPr>
          <w:ilvl w:val="1"/>
          <w:numId w:val="170"/>
        </w:numPr>
        <w:tabs>
          <w:tab w:pos="2665" w:val="left" w:leader="none"/>
        </w:tabs>
        <w:spacing w:line="235" w:lineRule="auto" w:before="0" w:after="0"/>
        <w:ind w:left="2664" w:right="1282" w:hanging="681"/>
        <w:jc w:val="left"/>
        <w:rPr>
          <w:sz w:val="20"/>
        </w:rPr>
      </w:pPr>
      <w:r>
        <w:rPr>
          <w:w w:val="120"/>
          <w:sz w:val="20"/>
        </w:rPr>
        <w:t>A resolution in writing agreed by a simple majority of all the Directors entitled    to receive notice of a meeting of Directors or of a committee of Directors and to vote upon the resolution shall be as valid and effectual as if it had been passed at a meeting of the Directors or </w:t>
      </w:r>
      <w:r>
        <w:rPr>
          <w:spacing w:val="-6"/>
          <w:w w:val="120"/>
          <w:sz w:val="20"/>
        </w:rPr>
        <w:t>(as </w:t>
      </w:r>
      <w:r>
        <w:rPr>
          <w:w w:val="120"/>
          <w:sz w:val="20"/>
        </w:rPr>
        <w:t>the case may </w:t>
      </w:r>
      <w:r>
        <w:rPr>
          <w:spacing w:val="-5"/>
          <w:w w:val="120"/>
          <w:sz w:val="20"/>
        </w:rPr>
        <w:t>be) </w:t>
      </w:r>
      <w:r>
        <w:rPr>
          <w:w w:val="120"/>
          <w:sz w:val="20"/>
        </w:rPr>
        <w:t>a committee of Directors duly convened and held provided</w:t>
      </w:r>
      <w:r>
        <w:rPr>
          <w:spacing w:val="10"/>
          <w:w w:val="120"/>
          <w:sz w:val="20"/>
        </w:rPr>
        <w:t> </w:t>
      </w:r>
      <w:r>
        <w:rPr>
          <w:w w:val="120"/>
          <w:sz w:val="20"/>
        </w:rPr>
        <w:t>that:</w:t>
      </w:r>
    </w:p>
    <w:p>
      <w:pPr>
        <w:pStyle w:val="BodyText"/>
      </w:pPr>
    </w:p>
    <w:p>
      <w:pPr>
        <w:pStyle w:val="ListParagraph"/>
        <w:numPr>
          <w:ilvl w:val="0"/>
          <w:numId w:val="181"/>
        </w:numPr>
        <w:tabs>
          <w:tab w:pos="3423" w:val="left" w:leader="none"/>
          <w:tab w:pos="3424" w:val="left" w:leader="none"/>
        </w:tabs>
        <w:spacing w:line="235" w:lineRule="auto" w:before="0" w:after="0"/>
        <w:ind w:left="3423" w:right="1218" w:hanging="760"/>
        <w:jc w:val="left"/>
        <w:rPr>
          <w:sz w:val="20"/>
        </w:rPr>
      </w:pPr>
      <w:r>
        <w:rPr>
          <w:w w:val="120"/>
          <w:sz w:val="20"/>
        </w:rPr>
        <w:t>a copy of the resolution is sent or submitted to all the Directors eligible to vote;</w:t>
      </w:r>
      <w:r>
        <w:rPr>
          <w:spacing w:val="1"/>
          <w:w w:val="120"/>
          <w:sz w:val="20"/>
        </w:rPr>
        <w:t> </w:t>
      </w:r>
      <w:r>
        <w:rPr>
          <w:w w:val="120"/>
          <w:sz w:val="20"/>
        </w:rPr>
        <w:t>and</w:t>
      </w:r>
    </w:p>
    <w:p>
      <w:pPr>
        <w:pStyle w:val="BodyText"/>
        <w:spacing w:before="9"/>
        <w:rPr>
          <w:sz w:val="19"/>
        </w:rPr>
      </w:pPr>
    </w:p>
    <w:p>
      <w:pPr>
        <w:pStyle w:val="ListParagraph"/>
        <w:numPr>
          <w:ilvl w:val="0"/>
          <w:numId w:val="181"/>
        </w:numPr>
        <w:tabs>
          <w:tab w:pos="3423" w:val="left" w:leader="none"/>
          <w:tab w:pos="3424" w:val="left" w:leader="none"/>
        </w:tabs>
        <w:spacing w:line="235" w:lineRule="auto" w:before="0" w:after="0"/>
        <w:ind w:left="3423" w:right="1180" w:hanging="760"/>
        <w:jc w:val="left"/>
        <w:rPr>
          <w:sz w:val="20"/>
        </w:rPr>
      </w:pPr>
      <w:r>
        <w:rPr>
          <w:w w:val="120"/>
          <w:sz w:val="20"/>
        </w:rPr>
        <w:t>a simple majority of Directors has signified its agreement to the resolution in an authenticated document or documents which are received</w:t>
      </w:r>
      <w:r>
        <w:rPr>
          <w:spacing w:val="28"/>
          <w:w w:val="120"/>
          <w:sz w:val="20"/>
        </w:rPr>
        <w:t> </w:t>
      </w:r>
      <w:r>
        <w:rPr>
          <w:w w:val="120"/>
          <w:sz w:val="20"/>
        </w:rPr>
        <w:t>at</w:t>
      </w:r>
    </w:p>
    <w:p>
      <w:pPr>
        <w:pStyle w:val="BodyText"/>
        <w:spacing w:line="235" w:lineRule="auto" w:before="2"/>
        <w:ind w:left="3423" w:right="1120"/>
      </w:pPr>
      <w:r>
        <w:rPr>
          <w:w w:val="120"/>
        </w:rPr>
        <w:t>the registered office within the period of 28 days beginning with the circulation date.</w:t>
      </w:r>
    </w:p>
    <w:p>
      <w:pPr>
        <w:spacing w:after="0" w:line="235" w:lineRule="auto"/>
        <w:sectPr>
          <w:pgSz w:w="11910" w:h="16840"/>
          <w:pgMar w:header="0" w:footer="647" w:top="1060" w:bottom="840" w:left="0" w:right="0"/>
        </w:sectPr>
      </w:pPr>
    </w:p>
    <w:p>
      <w:pPr>
        <w:pStyle w:val="ListParagraph"/>
        <w:numPr>
          <w:ilvl w:val="1"/>
          <w:numId w:val="170"/>
        </w:numPr>
        <w:tabs>
          <w:tab w:pos="1815" w:val="left" w:leader="none"/>
        </w:tabs>
        <w:spacing w:line="235" w:lineRule="auto" w:before="107" w:after="0"/>
        <w:ind w:left="1814" w:right="2132" w:hanging="681"/>
        <w:jc w:val="left"/>
        <w:rPr>
          <w:sz w:val="20"/>
        </w:rPr>
      </w:pPr>
      <w:r>
        <w:rPr/>
        <w:pict>
          <v:rect style="position:absolute;margin-left:12.047pt;margin-top:8.477343pt;width:22.677pt;height:22.677pt;mso-position-horizontal-relative:page;mso-position-vertical-relative:paragraph;z-index:252351488" filled="true" fillcolor="#e4ebc6" stroked="false">
            <v:fill opacity="32768f" type="solid"/>
            <w10:wrap type="none"/>
          </v:rect>
        </w:pict>
      </w:r>
      <w:r>
        <w:rPr>
          <w:w w:val="120"/>
          <w:sz w:val="20"/>
        </w:rPr>
        <w:t>The resolution in writing may comprise several documents containing the text of the resolution in like form to each of which one or more Directors has signified their</w:t>
      </w:r>
      <w:r>
        <w:rPr>
          <w:spacing w:val="2"/>
          <w:w w:val="120"/>
          <w:sz w:val="20"/>
        </w:rPr>
        <w:t> </w:t>
      </w:r>
      <w:r>
        <w:rPr>
          <w:w w:val="120"/>
          <w:sz w:val="20"/>
        </w:rPr>
        <w:t>agreement.</w:t>
      </w:r>
    </w:p>
    <w:p>
      <w:pPr>
        <w:pStyle w:val="BodyText"/>
        <w:rPr>
          <w:sz w:val="24"/>
        </w:rPr>
      </w:pPr>
    </w:p>
    <w:p>
      <w:pPr>
        <w:numPr>
          <w:ilvl w:val="0"/>
          <w:numId w:val="170"/>
        </w:numPr>
        <w:tabs>
          <w:tab w:pos="1814" w:val="left" w:leader="none"/>
          <w:tab w:pos="1815" w:val="left" w:leader="none"/>
        </w:tabs>
        <w:spacing w:before="163"/>
        <w:ind w:left="1814" w:right="0" w:hanging="682"/>
        <w:jc w:val="left"/>
        <w:rPr>
          <w:rFonts w:ascii="Stone Sans II ITC Std Bk"/>
          <w:b/>
          <w:sz w:val="21"/>
        </w:rPr>
      </w:pPr>
      <w:r>
        <w:rPr>
          <w:rFonts w:ascii="Stone Sans II ITC Std Bk"/>
          <w:b/>
          <w:w w:val="115"/>
          <w:sz w:val="21"/>
        </w:rPr>
        <w:t>Delegation</w:t>
      </w:r>
    </w:p>
    <w:p>
      <w:pPr>
        <w:pStyle w:val="ListParagraph"/>
        <w:numPr>
          <w:ilvl w:val="1"/>
          <w:numId w:val="170"/>
        </w:numPr>
        <w:tabs>
          <w:tab w:pos="1814" w:val="left" w:leader="none"/>
          <w:tab w:pos="1815" w:val="left" w:leader="none"/>
        </w:tabs>
        <w:spacing w:line="235" w:lineRule="auto" w:before="223" w:after="0"/>
        <w:ind w:left="1814" w:right="2284" w:hanging="681"/>
        <w:jc w:val="left"/>
        <w:rPr>
          <w:sz w:val="20"/>
        </w:rPr>
      </w:pPr>
      <w:r>
        <w:rPr>
          <w:w w:val="120"/>
          <w:sz w:val="20"/>
        </w:rPr>
        <w:t>The Directors may delegate any of their powers or functions to a committee of two or more Directors but the terms of any delegation must be recorded in the minutes.</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158" w:hanging="681"/>
        <w:jc w:val="left"/>
        <w:rPr>
          <w:sz w:val="20"/>
        </w:rPr>
      </w:pPr>
      <w:r>
        <w:rPr>
          <w:w w:val="120"/>
          <w:sz w:val="20"/>
        </w:rPr>
        <w:t>The Directors may impose conditions when delegating, including the conditions that:</w:t>
      </w:r>
    </w:p>
    <w:p>
      <w:pPr>
        <w:pStyle w:val="BodyText"/>
        <w:spacing w:before="9"/>
        <w:rPr>
          <w:sz w:val="19"/>
        </w:rPr>
      </w:pPr>
    </w:p>
    <w:p>
      <w:pPr>
        <w:pStyle w:val="ListParagraph"/>
        <w:numPr>
          <w:ilvl w:val="0"/>
          <w:numId w:val="182"/>
        </w:numPr>
        <w:tabs>
          <w:tab w:pos="2573" w:val="left" w:leader="none"/>
          <w:tab w:pos="2574" w:val="left" w:leader="none"/>
        </w:tabs>
        <w:spacing w:line="235" w:lineRule="auto" w:before="0" w:after="0"/>
        <w:ind w:left="2573" w:right="2266" w:hanging="760"/>
        <w:jc w:val="left"/>
        <w:rPr>
          <w:sz w:val="20"/>
        </w:rPr>
      </w:pPr>
      <w:r>
        <w:rPr>
          <w:w w:val="120"/>
          <w:sz w:val="20"/>
        </w:rPr>
        <w:t>the relevant powers are to be exercised exclusively by the committee to whom they</w:t>
      </w:r>
      <w:r>
        <w:rPr>
          <w:spacing w:val="4"/>
          <w:w w:val="120"/>
          <w:sz w:val="20"/>
        </w:rPr>
        <w:t> </w:t>
      </w:r>
      <w:r>
        <w:rPr>
          <w:w w:val="120"/>
          <w:sz w:val="20"/>
        </w:rPr>
        <w:t>delegate;</w:t>
      </w:r>
    </w:p>
    <w:p>
      <w:pPr>
        <w:pStyle w:val="BodyText"/>
        <w:spacing w:before="10"/>
        <w:rPr>
          <w:sz w:val="19"/>
        </w:rPr>
      </w:pPr>
    </w:p>
    <w:p>
      <w:pPr>
        <w:pStyle w:val="ListParagraph"/>
        <w:numPr>
          <w:ilvl w:val="0"/>
          <w:numId w:val="182"/>
        </w:numPr>
        <w:tabs>
          <w:tab w:pos="2573" w:val="left" w:leader="none"/>
          <w:tab w:pos="2574" w:val="left" w:leader="none"/>
        </w:tabs>
        <w:spacing w:line="235" w:lineRule="auto" w:before="0" w:after="0"/>
        <w:ind w:left="2573" w:right="2786" w:hanging="760"/>
        <w:jc w:val="left"/>
        <w:rPr>
          <w:sz w:val="20"/>
        </w:rPr>
      </w:pPr>
      <w:r>
        <w:rPr>
          <w:w w:val="120"/>
          <w:sz w:val="20"/>
        </w:rPr>
        <w:t>no expenditure may be incurred on behalf of the Charity except in accordance with a budget previously agreed with the</w:t>
      </w:r>
      <w:r>
        <w:rPr>
          <w:spacing w:val="16"/>
          <w:w w:val="120"/>
          <w:sz w:val="20"/>
        </w:rPr>
        <w:t> </w:t>
      </w:r>
      <w:r>
        <w:rPr>
          <w:w w:val="120"/>
          <w:sz w:val="20"/>
        </w:rPr>
        <w:t>Directors.</w:t>
      </w:r>
    </w:p>
    <w:p>
      <w:pPr>
        <w:pStyle w:val="BodyText"/>
        <w:spacing w:before="5"/>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20"/>
          <w:sz w:val="20"/>
        </w:rPr>
        <w:t>The Directors may revoke or alter a</w:t>
      </w:r>
      <w:r>
        <w:rPr>
          <w:spacing w:val="14"/>
          <w:w w:val="120"/>
          <w:sz w:val="20"/>
        </w:rPr>
        <w:t> </w:t>
      </w:r>
      <w:r>
        <w:rPr>
          <w:w w:val="120"/>
          <w:sz w:val="20"/>
        </w:rPr>
        <w:t>delegation.</w:t>
      </w:r>
    </w:p>
    <w:p>
      <w:pPr>
        <w:pStyle w:val="BodyText"/>
        <w:spacing w:before="8"/>
        <w:rPr>
          <w:sz w:val="19"/>
        </w:rPr>
      </w:pPr>
    </w:p>
    <w:p>
      <w:pPr>
        <w:pStyle w:val="ListParagraph"/>
        <w:numPr>
          <w:ilvl w:val="1"/>
          <w:numId w:val="170"/>
        </w:numPr>
        <w:tabs>
          <w:tab w:pos="1814" w:val="left" w:leader="none"/>
          <w:tab w:pos="1815" w:val="left" w:leader="none"/>
        </w:tabs>
        <w:spacing w:line="235" w:lineRule="auto" w:before="0" w:after="0"/>
        <w:ind w:left="1814" w:right="2117" w:hanging="681"/>
        <w:jc w:val="left"/>
        <w:rPr>
          <w:sz w:val="20"/>
        </w:rPr>
      </w:pPr>
      <w:r>
        <w:rPr>
          <w:w w:val="120"/>
          <w:sz w:val="20"/>
        </w:rPr>
        <w:t>All </w:t>
      </w:r>
      <w:r>
        <w:rPr>
          <w:spacing w:val="2"/>
          <w:w w:val="120"/>
          <w:sz w:val="20"/>
        </w:rPr>
        <w:t>acts </w:t>
      </w:r>
      <w:r>
        <w:rPr>
          <w:w w:val="120"/>
          <w:sz w:val="20"/>
        </w:rPr>
        <w:t>and proceedings of any committees must be fully and promptly reported to the</w:t>
      </w:r>
      <w:r>
        <w:rPr>
          <w:spacing w:val="4"/>
          <w:w w:val="120"/>
          <w:sz w:val="20"/>
        </w:rPr>
        <w:t> </w:t>
      </w:r>
      <w:r>
        <w:rPr>
          <w:w w:val="120"/>
          <w:sz w:val="20"/>
        </w:rPr>
        <w:t>Directors.</w:t>
      </w:r>
    </w:p>
    <w:p>
      <w:pPr>
        <w:pStyle w:val="BodyText"/>
        <w:spacing w:before="9"/>
        <w:rPr>
          <w:sz w:val="19"/>
        </w:rPr>
      </w:pPr>
    </w:p>
    <w:p>
      <w:pPr>
        <w:pStyle w:val="ListParagraph"/>
        <w:numPr>
          <w:ilvl w:val="1"/>
          <w:numId w:val="170"/>
        </w:numPr>
        <w:tabs>
          <w:tab w:pos="1814" w:val="left" w:leader="none"/>
          <w:tab w:pos="1815" w:val="left" w:leader="none"/>
        </w:tabs>
        <w:spacing w:line="235" w:lineRule="auto" w:before="1" w:after="0"/>
        <w:ind w:left="1814" w:right="2250" w:hanging="681"/>
        <w:jc w:val="left"/>
        <w:rPr>
          <w:sz w:val="20"/>
        </w:rPr>
      </w:pPr>
      <w:r>
        <w:rPr>
          <w:w w:val="120"/>
          <w:sz w:val="20"/>
        </w:rPr>
        <w:t>A Director must declare the nature and extent of any interest, direct or indirect, which s/he has in a proposed transaction or arrangement with the Charity</w:t>
      </w:r>
      <w:r>
        <w:rPr>
          <w:spacing w:val="43"/>
          <w:w w:val="120"/>
          <w:sz w:val="20"/>
        </w:rPr>
        <w:t> </w:t>
      </w:r>
      <w:r>
        <w:rPr>
          <w:w w:val="120"/>
          <w:sz w:val="20"/>
        </w:rPr>
        <w:t>or</w:t>
      </w:r>
    </w:p>
    <w:p>
      <w:pPr>
        <w:pStyle w:val="BodyText"/>
        <w:spacing w:line="235" w:lineRule="auto" w:before="1"/>
        <w:ind w:left="1814" w:right="2042"/>
      </w:pPr>
      <w:r>
        <w:rPr>
          <w:w w:val="120"/>
        </w:rPr>
        <w:t>in any transaction or arrangement entered into by the Charity which has not previously been declared. A Director must absent himself or herself from any discussions of the Directors in which it is possible that a conflict will arise between his or her duty to act solely in the interests of the Charity and any personal  interest (including but not limited to any personal financial</w:t>
      </w:r>
      <w:r>
        <w:rPr>
          <w:spacing w:val="22"/>
          <w:w w:val="120"/>
        </w:rPr>
        <w:t> </w:t>
      </w:r>
      <w:r>
        <w:rPr>
          <w:w w:val="120"/>
        </w:rPr>
        <w:t>interest).</w:t>
      </w:r>
    </w:p>
    <w:p>
      <w:pPr>
        <w:pStyle w:val="BodyText"/>
        <w:spacing w:before="11"/>
        <w:rPr>
          <w:sz w:val="19"/>
        </w:rPr>
      </w:pPr>
    </w:p>
    <w:p>
      <w:pPr>
        <w:pStyle w:val="ListParagraph"/>
        <w:numPr>
          <w:ilvl w:val="1"/>
          <w:numId w:val="170"/>
        </w:numPr>
        <w:tabs>
          <w:tab w:pos="1814" w:val="left" w:leader="none"/>
          <w:tab w:pos="1815" w:val="left" w:leader="none"/>
        </w:tabs>
        <w:spacing w:line="235" w:lineRule="auto" w:before="1" w:after="0"/>
        <w:ind w:left="1814" w:right="2138" w:hanging="681"/>
        <w:jc w:val="left"/>
        <w:rPr>
          <w:sz w:val="20"/>
        </w:rPr>
      </w:pPr>
      <w:r>
        <w:rPr>
          <w:w w:val="120"/>
          <w:sz w:val="20"/>
        </w:rPr>
        <w:t>Subject to Article </w:t>
      </w:r>
      <w:r>
        <w:rPr>
          <w:spacing w:val="-11"/>
          <w:w w:val="120"/>
          <w:sz w:val="20"/>
        </w:rPr>
        <w:t>14.7, </w:t>
      </w:r>
      <w:r>
        <w:rPr>
          <w:w w:val="120"/>
          <w:sz w:val="20"/>
        </w:rPr>
        <w:t>all </w:t>
      </w:r>
      <w:r>
        <w:rPr>
          <w:spacing w:val="2"/>
          <w:w w:val="120"/>
          <w:sz w:val="20"/>
        </w:rPr>
        <w:t>acts </w:t>
      </w:r>
      <w:r>
        <w:rPr>
          <w:w w:val="120"/>
          <w:sz w:val="20"/>
        </w:rPr>
        <w:t>done by a meeting of Directors, or of a committee of Directors, shall be valid notwithstanding the participation in any vote of a Director:</w:t>
      </w:r>
    </w:p>
    <w:p>
      <w:pPr>
        <w:pStyle w:val="BodyText"/>
        <w:spacing w:before="6"/>
        <w:rPr>
          <w:sz w:val="19"/>
        </w:rPr>
      </w:pPr>
    </w:p>
    <w:p>
      <w:pPr>
        <w:pStyle w:val="ListParagraph"/>
        <w:numPr>
          <w:ilvl w:val="0"/>
          <w:numId w:val="183"/>
        </w:numPr>
        <w:tabs>
          <w:tab w:pos="2573" w:val="left" w:leader="none"/>
          <w:tab w:pos="2574" w:val="left" w:leader="none"/>
        </w:tabs>
        <w:spacing w:line="240" w:lineRule="auto" w:before="0" w:after="0"/>
        <w:ind w:left="2573" w:right="0" w:hanging="760"/>
        <w:jc w:val="left"/>
        <w:rPr>
          <w:sz w:val="20"/>
        </w:rPr>
      </w:pPr>
      <w:r>
        <w:rPr>
          <w:w w:val="120"/>
          <w:sz w:val="20"/>
        </w:rPr>
        <w:t>who was disqualified from holding</w:t>
      </w:r>
      <w:r>
        <w:rPr>
          <w:spacing w:val="10"/>
          <w:w w:val="120"/>
          <w:sz w:val="20"/>
        </w:rPr>
        <w:t> </w:t>
      </w:r>
      <w:r>
        <w:rPr>
          <w:w w:val="120"/>
          <w:sz w:val="20"/>
        </w:rPr>
        <w:t>office;</w:t>
      </w:r>
    </w:p>
    <w:p>
      <w:pPr>
        <w:pStyle w:val="BodyText"/>
        <w:spacing w:before="8"/>
        <w:rPr>
          <w:sz w:val="19"/>
        </w:rPr>
      </w:pPr>
    </w:p>
    <w:p>
      <w:pPr>
        <w:pStyle w:val="ListParagraph"/>
        <w:numPr>
          <w:ilvl w:val="0"/>
          <w:numId w:val="183"/>
        </w:numPr>
        <w:tabs>
          <w:tab w:pos="2573" w:val="left" w:leader="none"/>
          <w:tab w:pos="2574" w:val="left" w:leader="none"/>
        </w:tabs>
        <w:spacing w:line="235" w:lineRule="auto" w:before="0" w:after="0"/>
        <w:ind w:left="2573" w:right="2172" w:hanging="760"/>
        <w:jc w:val="left"/>
        <w:rPr>
          <w:sz w:val="20"/>
        </w:rPr>
      </w:pPr>
      <w:r>
        <w:rPr>
          <w:w w:val="120"/>
          <w:sz w:val="20"/>
        </w:rPr>
        <w:t>who had previously retired or who had been obliged by the constitution to vacate</w:t>
      </w:r>
      <w:r>
        <w:rPr>
          <w:spacing w:val="3"/>
          <w:w w:val="120"/>
          <w:sz w:val="20"/>
        </w:rPr>
        <w:t> </w:t>
      </w:r>
      <w:r>
        <w:rPr>
          <w:w w:val="120"/>
          <w:sz w:val="20"/>
        </w:rPr>
        <w:t>office;</w:t>
      </w:r>
    </w:p>
    <w:p>
      <w:pPr>
        <w:pStyle w:val="ListParagraph"/>
        <w:numPr>
          <w:ilvl w:val="0"/>
          <w:numId w:val="183"/>
        </w:numPr>
        <w:tabs>
          <w:tab w:pos="2573" w:val="left" w:leader="none"/>
          <w:tab w:pos="2574" w:val="left" w:leader="none"/>
        </w:tabs>
        <w:spacing w:line="235" w:lineRule="auto" w:before="1" w:after="0"/>
        <w:ind w:left="2573" w:right="2727" w:hanging="760"/>
        <w:jc w:val="left"/>
        <w:rPr>
          <w:sz w:val="20"/>
        </w:rPr>
      </w:pPr>
      <w:r>
        <w:rPr>
          <w:w w:val="120"/>
          <w:sz w:val="20"/>
        </w:rPr>
        <w:t>who was not entitled to vote on the matter, whether by reason of a conflict of interest or</w:t>
      </w:r>
      <w:r>
        <w:rPr>
          <w:spacing w:val="6"/>
          <w:w w:val="120"/>
          <w:sz w:val="20"/>
        </w:rPr>
        <w:t> </w:t>
      </w:r>
      <w:r>
        <w:rPr>
          <w:w w:val="120"/>
          <w:sz w:val="20"/>
        </w:rPr>
        <w:t>otherwise;</w:t>
      </w:r>
    </w:p>
    <w:p>
      <w:pPr>
        <w:pStyle w:val="BodyText"/>
        <w:spacing w:before="6"/>
        <w:rPr>
          <w:sz w:val="19"/>
        </w:rPr>
      </w:pPr>
    </w:p>
    <w:p>
      <w:pPr>
        <w:pStyle w:val="BodyText"/>
        <w:ind w:left="1814"/>
      </w:pPr>
      <w:r>
        <w:rPr>
          <w:w w:val="115"/>
        </w:rPr>
        <w:t>if without:</w:t>
      </w:r>
    </w:p>
    <w:p>
      <w:pPr>
        <w:pStyle w:val="BodyText"/>
        <w:spacing w:before="4"/>
        <w:rPr>
          <w:sz w:val="19"/>
        </w:rPr>
      </w:pPr>
    </w:p>
    <w:p>
      <w:pPr>
        <w:pStyle w:val="ListParagraph"/>
        <w:numPr>
          <w:ilvl w:val="0"/>
          <w:numId w:val="183"/>
        </w:numPr>
        <w:tabs>
          <w:tab w:pos="2573" w:val="left" w:leader="none"/>
          <w:tab w:pos="2574" w:val="left" w:leader="none"/>
        </w:tabs>
        <w:spacing w:line="240" w:lineRule="auto" w:before="0" w:after="0"/>
        <w:ind w:left="2573" w:right="0" w:hanging="760"/>
        <w:jc w:val="left"/>
        <w:rPr>
          <w:sz w:val="20"/>
        </w:rPr>
      </w:pPr>
      <w:r>
        <w:rPr>
          <w:w w:val="120"/>
          <w:sz w:val="20"/>
        </w:rPr>
        <w:t>the vote of that Director;</w:t>
      </w:r>
      <w:r>
        <w:rPr>
          <w:spacing w:val="9"/>
          <w:w w:val="120"/>
          <w:sz w:val="20"/>
        </w:rPr>
        <w:t> </w:t>
      </w:r>
      <w:r>
        <w:rPr>
          <w:w w:val="120"/>
          <w:sz w:val="20"/>
        </w:rPr>
        <w:t>and</w:t>
      </w:r>
    </w:p>
    <w:p>
      <w:pPr>
        <w:pStyle w:val="BodyText"/>
        <w:spacing w:before="3"/>
        <w:rPr>
          <w:sz w:val="19"/>
        </w:rPr>
      </w:pPr>
    </w:p>
    <w:p>
      <w:pPr>
        <w:pStyle w:val="ListParagraph"/>
        <w:numPr>
          <w:ilvl w:val="0"/>
          <w:numId w:val="183"/>
        </w:numPr>
        <w:tabs>
          <w:tab w:pos="2573" w:val="left" w:leader="none"/>
          <w:tab w:pos="2574" w:val="left" w:leader="none"/>
        </w:tabs>
        <w:spacing w:line="240" w:lineRule="auto" w:before="1" w:after="0"/>
        <w:ind w:left="2573" w:right="0" w:hanging="760"/>
        <w:jc w:val="left"/>
        <w:rPr>
          <w:sz w:val="20"/>
        </w:rPr>
      </w:pPr>
      <w:r>
        <w:rPr>
          <w:w w:val="120"/>
          <w:sz w:val="20"/>
        </w:rPr>
        <w:t>that Director being counted in the</w:t>
      </w:r>
      <w:r>
        <w:rPr>
          <w:spacing w:val="15"/>
          <w:w w:val="120"/>
          <w:sz w:val="20"/>
        </w:rPr>
        <w:t> </w:t>
      </w:r>
      <w:r>
        <w:rPr>
          <w:w w:val="120"/>
          <w:sz w:val="20"/>
        </w:rPr>
        <w:t>quorum;</w:t>
      </w:r>
    </w:p>
    <w:p>
      <w:pPr>
        <w:pStyle w:val="BodyText"/>
        <w:spacing w:before="3"/>
        <w:rPr>
          <w:sz w:val="19"/>
        </w:rPr>
      </w:pPr>
    </w:p>
    <w:p>
      <w:pPr>
        <w:pStyle w:val="BodyText"/>
        <w:ind w:left="1814"/>
      </w:pPr>
      <w:r>
        <w:rPr>
          <w:w w:val="120"/>
        </w:rPr>
        <w:t>the decision has been made by a majority of the Directors at a quorate meeting.</w:t>
      </w:r>
    </w:p>
    <w:p>
      <w:pPr>
        <w:pStyle w:val="BodyText"/>
        <w:spacing w:before="8"/>
        <w:rPr>
          <w:sz w:val="19"/>
        </w:rPr>
      </w:pPr>
    </w:p>
    <w:p>
      <w:pPr>
        <w:pStyle w:val="ListParagraph"/>
        <w:numPr>
          <w:ilvl w:val="1"/>
          <w:numId w:val="170"/>
        </w:numPr>
        <w:tabs>
          <w:tab w:pos="1814" w:val="left" w:leader="none"/>
          <w:tab w:pos="1815" w:val="left" w:leader="none"/>
        </w:tabs>
        <w:spacing w:line="235" w:lineRule="auto" w:before="0" w:after="0"/>
        <w:ind w:left="1814" w:right="2081" w:hanging="681"/>
        <w:jc w:val="left"/>
        <w:rPr>
          <w:sz w:val="20"/>
        </w:rPr>
      </w:pPr>
      <w:r>
        <w:rPr>
          <w:w w:val="120"/>
          <w:sz w:val="20"/>
        </w:rPr>
        <w:t>Article </w:t>
      </w:r>
      <w:r>
        <w:rPr>
          <w:spacing w:val="-6"/>
          <w:w w:val="120"/>
          <w:sz w:val="20"/>
        </w:rPr>
        <w:t>14.6 </w:t>
      </w:r>
      <w:r>
        <w:rPr>
          <w:w w:val="120"/>
          <w:sz w:val="20"/>
        </w:rPr>
        <w:t>does not permit a Director to keep any benefit that may be conferred upon him or her by a resolution of the Directors or of a committee of</w:t>
      </w:r>
      <w:r>
        <w:rPr>
          <w:spacing w:val="38"/>
          <w:w w:val="120"/>
          <w:sz w:val="20"/>
        </w:rPr>
        <w:t> </w:t>
      </w:r>
      <w:r>
        <w:rPr>
          <w:w w:val="120"/>
          <w:sz w:val="20"/>
        </w:rPr>
        <w:t>Directors</w:t>
      </w:r>
    </w:p>
    <w:p>
      <w:pPr>
        <w:pStyle w:val="BodyText"/>
        <w:spacing w:line="235" w:lineRule="auto" w:before="2"/>
        <w:ind w:left="1814" w:right="1997"/>
      </w:pPr>
      <w:r>
        <w:rPr>
          <w:w w:val="120"/>
        </w:rPr>
        <w:t>if, but for Article 14.6, the resolution would have been void, or if the Director has not complied with Article 14.5.</w:t>
      </w:r>
    </w:p>
    <w:p>
      <w:pPr>
        <w:spacing w:after="0" w:line="235" w:lineRule="auto"/>
        <w:sectPr>
          <w:pgSz w:w="11910" w:h="16840"/>
          <w:pgMar w:header="0" w:footer="647" w:top="1060" w:bottom="840" w:left="0" w:right="0"/>
        </w:sectPr>
      </w:pPr>
    </w:p>
    <w:p>
      <w:pPr>
        <w:numPr>
          <w:ilvl w:val="0"/>
          <w:numId w:val="170"/>
        </w:numPr>
        <w:tabs>
          <w:tab w:pos="2664" w:val="left" w:leader="none"/>
          <w:tab w:pos="2665" w:val="left" w:leader="none"/>
        </w:tabs>
        <w:spacing w:before="84"/>
        <w:ind w:left="2664" w:right="0" w:hanging="681"/>
        <w:jc w:val="left"/>
        <w:rPr>
          <w:rFonts w:ascii="Stone Sans II ITC Std Bk"/>
          <w:b/>
          <w:sz w:val="21"/>
        </w:rPr>
      </w:pPr>
      <w:r>
        <w:rPr/>
        <w:pict>
          <v:rect style="position:absolute;margin-left:558.424988pt;margin-top:8.464773pt;width:22.677pt;height:22.677pt;mso-position-horizontal-relative:page;mso-position-vertical-relative:paragraph;z-index:252352512" filled="true" fillcolor="#e4ebc6" stroked="false">
            <v:fill opacity="32768f" type="solid"/>
            <w10:wrap type="none"/>
          </v:rect>
        </w:pict>
      </w:r>
      <w:r>
        <w:rPr>
          <w:rFonts w:ascii="Stone Sans II ITC Std Bk"/>
          <w:b/>
          <w:w w:val="115"/>
          <w:sz w:val="21"/>
        </w:rPr>
        <w:t>Seal</w:t>
      </w:r>
    </w:p>
    <w:p>
      <w:pPr>
        <w:pStyle w:val="ListParagraph"/>
        <w:numPr>
          <w:ilvl w:val="1"/>
          <w:numId w:val="170"/>
        </w:numPr>
        <w:tabs>
          <w:tab w:pos="2664" w:val="left" w:leader="none"/>
          <w:tab w:pos="2665" w:val="left" w:leader="none"/>
        </w:tabs>
        <w:spacing w:line="235" w:lineRule="auto" w:before="223" w:after="0"/>
        <w:ind w:left="2664" w:right="1493" w:hanging="681"/>
        <w:jc w:val="left"/>
        <w:rPr>
          <w:sz w:val="20"/>
        </w:rPr>
      </w:pPr>
      <w:r>
        <w:rPr>
          <w:w w:val="120"/>
          <w:sz w:val="20"/>
        </w:rPr>
        <w:t>If the Charity has a seal it must only be used by the authority of the Directors or of a committee of Directors authorised by the Directors. The Directors may determine who shall sign any instrument to which the seal is affixed and</w:t>
      </w:r>
      <w:r>
        <w:rPr>
          <w:spacing w:val="5"/>
          <w:w w:val="120"/>
          <w:sz w:val="20"/>
        </w:rPr>
        <w:t> </w:t>
      </w:r>
      <w:r>
        <w:rPr>
          <w:w w:val="120"/>
          <w:sz w:val="20"/>
        </w:rPr>
        <w:t>unless</w:t>
      </w:r>
    </w:p>
    <w:p>
      <w:pPr>
        <w:pStyle w:val="BodyText"/>
        <w:spacing w:line="235" w:lineRule="auto" w:before="2"/>
        <w:ind w:left="2664" w:right="1357"/>
      </w:pPr>
      <w:r>
        <w:rPr>
          <w:w w:val="120"/>
        </w:rPr>
        <w:t>otherwise so determined it shall be signed by a Director and by the secretary or by two Directors.</w:t>
      </w:r>
    </w:p>
    <w:p>
      <w:pPr>
        <w:pStyle w:val="BodyText"/>
        <w:rPr>
          <w:sz w:val="24"/>
        </w:rPr>
      </w:pPr>
    </w:p>
    <w:p>
      <w:pPr>
        <w:numPr>
          <w:ilvl w:val="0"/>
          <w:numId w:val="170"/>
        </w:numPr>
        <w:tabs>
          <w:tab w:pos="2664" w:val="left" w:leader="none"/>
          <w:tab w:pos="2665" w:val="left" w:leader="none"/>
        </w:tabs>
        <w:spacing w:before="162"/>
        <w:ind w:left="2664" w:right="0" w:hanging="681"/>
        <w:jc w:val="left"/>
        <w:rPr>
          <w:rFonts w:ascii="Stone Sans II ITC Std Bk"/>
          <w:b/>
          <w:sz w:val="21"/>
        </w:rPr>
      </w:pPr>
      <w:r>
        <w:rPr>
          <w:rFonts w:ascii="Stone Sans II ITC Std Bk"/>
          <w:b/>
          <w:w w:val="115"/>
          <w:sz w:val="21"/>
        </w:rPr>
        <w:t>Minutes</w:t>
      </w:r>
    </w:p>
    <w:p>
      <w:pPr>
        <w:pStyle w:val="ListParagraph"/>
        <w:numPr>
          <w:ilvl w:val="1"/>
          <w:numId w:val="170"/>
        </w:numPr>
        <w:tabs>
          <w:tab w:pos="2664" w:val="left" w:leader="none"/>
          <w:tab w:pos="2665" w:val="left" w:leader="none"/>
        </w:tabs>
        <w:spacing w:line="240" w:lineRule="auto" w:before="219" w:after="0"/>
        <w:ind w:left="2664" w:right="0" w:hanging="681"/>
        <w:jc w:val="left"/>
        <w:rPr>
          <w:sz w:val="20"/>
        </w:rPr>
      </w:pPr>
      <w:r>
        <w:rPr>
          <w:w w:val="120"/>
          <w:sz w:val="20"/>
        </w:rPr>
        <w:t>The Directors must keep minutes of</w:t>
      </w:r>
      <w:r>
        <w:rPr>
          <w:spacing w:val="11"/>
          <w:w w:val="120"/>
          <w:sz w:val="20"/>
        </w:rPr>
        <w:t> </w:t>
      </w:r>
      <w:r>
        <w:rPr>
          <w:w w:val="120"/>
          <w:sz w:val="20"/>
        </w:rPr>
        <w:t>all:</w:t>
      </w:r>
    </w:p>
    <w:p>
      <w:pPr>
        <w:pStyle w:val="BodyText"/>
        <w:spacing w:before="4"/>
        <w:rPr>
          <w:sz w:val="19"/>
        </w:rPr>
      </w:pPr>
    </w:p>
    <w:p>
      <w:pPr>
        <w:pStyle w:val="ListParagraph"/>
        <w:numPr>
          <w:ilvl w:val="0"/>
          <w:numId w:val="184"/>
        </w:numPr>
        <w:tabs>
          <w:tab w:pos="3424" w:val="left" w:leader="none"/>
          <w:tab w:pos="3425" w:val="left" w:leader="none"/>
        </w:tabs>
        <w:spacing w:line="240" w:lineRule="auto" w:before="0" w:after="0"/>
        <w:ind w:left="3424" w:right="0" w:hanging="761"/>
        <w:jc w:val="left"/>
        <w:rPr>
          <w:sz w:val="20"/>
        </w:rPr>
      </w:pPr>
      <w:r>
        <w:rPr>
          <w:w w:val="120"/>
          <w:sz w:val="20"/>
        </w:rPr>
        <w:t>appointments of officers made by the</w:t>
      </w:r>
      <w:r>
        <w:rPr>
          <w:spacing w:val="11"/>
          <w:w w:val="120"/>
          <w:sz w:val="20"/>
        </w:rPr>
        <w:t> </w:t>
      </w:r>
      <w:r>
        <w:rPr>
          <w:w w:val="120"/>
          <w:sz w:val="20"/>
        </w:rPr>
        <w:t>Directors;</w:t>
      </w:r>
    </w:p>
    <w:p>
      <w:pPr>
        <w:pStyle w:val="BodyText"/>
        <w:spacing w:before="4"/>
        <w:rPr>
          <w:sz w:val="19"/>
        </w:rPr>
      </w:pPr>
    </w:p>
    <w:p>
      <w:pPr>
        <w:pStyle w:val="ListParagraph"/>
        <w:numPr>
          <w:ilvl w:val="0"/>
          <w:numId w:val="184"/>
        </w:numPr>
        <w:tabs>
          <w:tab w:pos="3424" w:val="left" w:leader="none"/>
          <w:tab w:pos="3425" w:val="left" w:leader="none"/>
        </w:tabs>
        <w:spacing w:line="240" w:lineRule="auto" w:before="0" w:after="0"/>
        <w:ind w:left="3424" w:right="0" w:hanging="761"/>
        <w:jc w:val="left"/>
        <w:rPr>
          <w:sz w:val="20"/>
        </w:rPr>
      </w:pPr>
      <w:r>
        <w:rPr>
          <w:w w:val="120"/>
          <w:sz w:val="20"/>
        </w:rPr>
        <w:t>proceedings at meetings of the</w:t>
      </w:r>
      <w:r>
        <w:rPr>
          <w:spacing w:val="12"/>
          <w:w w:val="120"/>
          <w:sz w:val="20"/>
        </w:rPr>
        <w:t> </w:t>
      </w:r>
      <w:r>
        <w:rPr>
          <w:w w:val="120"/>
          <w:sz w:val="20"/>
        </w:rPr>
        <w:t>Charity;</w:t>
      </w:r>
    </w:p>
    <w:p>
      <w:pPr>
        <w:pStyle w:val="BodyText"/>
        <w:spacing w:before="4"/>
        <w:rPr>
          <w:sz w:val="19"/>
        </w:rPr>
      </w:pPr>
    </w:p>
    <w:p>
      <w:pPr>
        <w:pStyle w:val="ListParagraph"/>
        <w:numPr>
          <w:ilvl w:val="0"/>
          <w:numId w:val="184"/>
        </w:numPr>
        <w:tabs>
          <w:tab w:pos="3424" w:val="left" w:leader="none"/>
          <w:tab w:pos="3425" w:val="left" w:leader="none"/>
        </w:tabs>
        <w:spacing w:line="240" w:lineRule="auto" w:before="0" w:after="0"/>
        <w:ind w:left="3424" w:right="0" w:hanging="761"/>
        <w:jc w:val="left"/>
        <w:rPr>
          <w:sz w:val="20"/>
        </w:rPr>
      </w:pPr>
      <w:r>
        <w:rPr>
          <w:w w:val="120"/>
          <w:sz w:val="20"/>
        </w:rPr>
        <w:t>meetings of the Directors and committees of Directors</w:t>
      </w:r>
      <w:r>
        <w:rPr>
          <w:spacing w:val="26"/>
          <w:w w:val="120"/>
          <w:sz w:val="20"/>
        </w:rPr>
        <w:t> </w:t>
      </w:r>
      <w:r>
        <w:rPr>
          <w:w w:val="120"/>
          <w:sz w:val="20"/>
        </w:rPr>
        <w:t>including:</w:t>
      </w:r>
    </w:p>
    <w:p>
      <w:pPr>
        <w:pStyle w:val="BodyText"/>
        <w:spacing w:before="3"/>
        <w:rPr>
          <w:sz w:val="19"/>
        </w:rPr>
      </w:pPr>
    </w:p>
    <w:p>
      <w:pPr>
        <w:pStyle w:val="ListParagraph"/>
        <w:numPr>
          <w:ilvl w:val="1"/>
          <w:numId w:val="184"/>
        </w:numPr>
        <w:tabs>
          <w:tab w:pos="4144" w:val="left" w:leader="none"/>
          <w:tab w:pos="4145" w:val="left" w:leader="none"/>
        </w:tabs>
        <w:spacing w:line="240" w:lineRule="auto" w:before="1" w:after="0"/>
        <w:ind w:left="4144" w:right="0" w:hanging="721"/>
        <w:jc w:val="left"/>
        <w:rPr>
          <w:sz w:val="20"/>
        </w:rPr>
      </w:pPr>
      <w:r>
        <w:rPr>
          <w:w w:val="120"/>
          <w:sz w:val="20"/>
        </w:rPr>
        <w:t>the names of the Directors present at the</w:t>
      </w:r>
      <w:r>
        <w:rPr>
          <w:spacing w:val="14"/>
          <w:w w:val="120"/>
          <w:sz w:val="20"/>
        </w:rPr>
        <w:t> </w:t>
      </w:r>
      <w:r>
        <w:rPr>
          <w:w w:val="120"/>
          <w:sz w:val="20"/>
        </w:rPr>
        <w:t>meeting;</w:t>
      </w:r>
    </w:p>
    <w:p>
      <w:pPr>
        <w:pStyle w:val="BodyText"/>
        <w:spacing w:before="3"/>
        <w:rPr>
          <w:sz w:val="19"/>
        </w:rPr>
      </w:pPr>
    </w:p>
    <w:p>
      <w:pPr>
        <w:pStyle w:val="ListParagraph"/>
        <w:numPr>
          <w:ilvl w:val="1"/>
          <w:numId w:val="184"/>
        </w:numPr>
        <w:tabs>
          <w:tab w:pos="4144" w:val="left" w:leader="none"/>
          <w:tab w:pos="4145" w:val="left" w:leader="none"/>
        </w:tabs>
        <w:spacing w:line="240" w:lineRule="auto" w:before="0" w:after="0"/>
        <w:ind w:left="4144" w:right="0" w:hanging="721"/>
        <w:jc w:val="left"/>
        <w:rPr>
          <w:sz w:val="20"/>
        </w:rPr>
      </w:pPr>
      <w:r>
        <w:rPr>
          <w:w w:val="120"/>
          <w:sz w:val="20"/>
        </w:rPr>
        <w:t>the decisions made at the meetings;</w:t>
      </w:r>
      <w:r>
        <w:rPr>
          <w:spacing w:val="12"/>
          <w:w w:val="120"/>
          <w:sz w:val="20"/>
        </w:rPr>
        <w:t> </w:t>
      </w:r>
      <w:r>
        <w:rPr>
          <w:w w:val="120"/>
          <w:sz w:val="20"/>
        </w:rPr>
        <w:t>and</w:t>
      </w:r>
    </w:p>
    <w:p>
      <w:pPr>
        <w:pStyle w:val="BodyText"/>
        <w:spacing w:before="4"/>
        <w:rPr>
          <w:sz w:val="19"/>
        </w:rPr>
      </w:pPr>
    </w:p>
    <w:p>
      <w:pPr>
        <w:pStyle w:val="ListParagraph"/>
        <w:numPr>
          <w:ilvl w:val="1"/>
          <w:numId w:val="184"/>
        </w:numPr>
        <w:tabs>
          <w:tab w:pos="4144" w:val="left" w:leader="none"/>
          <w:tab w:pos="4145" w:val="left" w:leader="none"/>
        </w:tabs>
        <w:spacing w:line="240" w:lineRule="auto" w:before="0" w:after="0"/>
        <w:ind w:left="4144" w:right="0" w:hanging="721"/>
        <w:jc w:val="left"/>
        <w:rPr>
          <w:sz w:val="20"/>
        </w:rPr>
      </w:pPr>
      <w:r>
        <w:rPr>
          <w:w w:val="120"/>
          <w:sz w:val="20"/>
        </w:rPr>
        <w:t>where appropriate the reasons for the</w:t>
      </w:r>
      <w:r>
        <w:rPr>
          <w:spacing w:val="10"/>
          <w:w w:val="120"/>
          <w:sz w:val="20"/>
        </w:rPr>
        <w:t> </w:t>
      </w:r>
      <w:r>
        <w:rPr>
          <w:w w:val="120"/>
          <w:sz w:val="20"/>
        </w:rPr>
        <w:t>decisions.</w:t>
      </w:r>
    </w:p>
    <w:p>
      <w:pPr>
        <w:pStyle w:val="BodyText"/>
        <w:rPr>
          <w:sz w:val="24"/>
        </w:rPr>
      </w:pPr>
    </w:p>
    <w:p>
      <w:pPr>
        <w:numPr>
          <w:ilvl w:val="0"/>
          <w:numId w:val="170"/>
        </w:numPr>
        <w:tabs>
          <w:tab w:pos="2664" w:val="left" w:leader="none"/>
          <w:tab w:pos="2665" w:val="left" w:leader="none"/>
        </w:tabs>
        <w:spacing w:before="161"/>
        <w:ind w:left="2664" w:right="0" w:hanging="681"/>
        <w:jc w:val="left"/>
        <w:rPr>
          <w:rFonts w:ascii="Stone Sans II ITC Std Bk"/>
          <w:b/>
          <w:sz w:val="21"/>
        </w:rPr>
      </w:pPr>
      <w:r>
        <w:rPr>
          <w:rFonts w:ascii="Stone Sans II ITC Std Bk"/>
          <w:b/>
          <w:w w:val="115"/>
          <w:sz w:val="21"/>
        </w:rPr>
        <w:t>Accounts</w:t>
      </w:r>
    </w:p>
    <w:p>
      <w:pPr>
        <w:pStyle w:val="ListParagraph"/>
        <w:numPr>
          <w:ilvl w:val="1"/>
          <w:numId w:val="170"/>
        </w:numPr>
        <w:tabs>
          <w:tab w:pos="2664" w:val="left" w:leader="none"/>
          <w:tab w:pos="2665" w:val="left" w:leader="none"/>
        </w:tabs>
        <w:spacing w:line="235" w:lineRule="auto" w:before="222" w:after="0"/>
        <w:ind w:left="2664" w:right="1199" w:hanging="681"/>
        <w:jc w:val="left"/>
        <w:rPr>
          <w:sz w:val="20"/>
        </w:rPr>
      </w:pPr>
      <w:r>
        <w:rPr>
          <w:w w:val="120"/>
          <w:sz w:val="20"/>
        </w:rPr>
        <w:t>The Directors must prepare for each financial year accounts as required by the 2006 Act. The accounts must be prepared to show a true and fair view and follow accounting standards issued or adopted by the Accounting Standards Board or    its successors and adhere to the recommendations of applicable Statements of Recommended</w:t>
      </w:r>
      <w:r>
        <w:rPr>
          <w:spacing w:val="2"/>
          <w:w w:val="120"/>
          <w:sz w:val="20"/>
        </w:rPr>
        <w:t> </w:t>
      </w:r>
      <w:r>
        <w:rPr>
          <w:w w:val="120"/>
          <w:sz w:val="20"/>
        </w:rPr>
        <w:t>Practice.</w:t>
      </w:r>
    </w:p>
    <w:p>
      <w:pPr>
        <w:pStyle w:val="BodyText"/>
      </w:pPr>
    </w:p>
    <w:p>
      <w:pPr>
        <w:pStyle w:val="ListParagraph"/>
        <w:numPr>
          <w:ilvl w:val="1"/>
          <w:numId w:val="170"/>
        </w:numPr>
        <w:tabs>
          <w:tab w:pos="2664" w:val="left" w:leader="none"/>
          <w:tab w:pos="2665" w:val="left" w:leader="none"/>
        </w:tabs>
        <w:spacing w:line="235" w:lineRule="auto" w:before="0" w:after="0"/>
        <w:ind w:left="2664" w:right="1480" w:hanging="681"/>
        <w:jc w:val="left"/>
        <w:rPr>
          <w:sz w:val="20"/>
        </w:rPr>
      </w:pPr>
      <w:r>
        <w:rPr>
          <w:w w:val="120"/>
          <w:sz w:val="20"/>
        </w:rPr>
        <w:t>The Directors must keep accounting records as required by the Companies Act 2006</w:t>
      </w:r>
      <w:r>
        <w:rPr>
          <w:spacing w:val="2"/>
          <w:w w:val="120"/>
          <w:sz w:val="20"/>
        </w:rPr>
        <w:t> </w:t>
      </w:r>
      <w:r>
        <w:rPr>
          <w:w w:val="120"/>
          <w:sz w:val="20"/>
        </w:rPr>
        <w:t>Act.</w:t>
      </w:r>
    </w:p>
    <w:p>
      <w:pPr>
        <w:pStyle w:val="BodyText"/>
        <w:rPr>
          <w:sz w:val="24"/>
        </w:rPr>
      </w:pPr>
    </w:p>
    <w:p>
      <w:pPr>
        <w:numPr>
          <w:ilvl w:val="0"/>
          <w:numId w:val="170"/>
        </w:numPr>
        <w:tabs>
          <w:tab w:pos="2664" w:val="left" w:leader="none"/>
          <w:tab w:pos="2665" w:val="left" w:leader="none"/>
        </w:tabs>
        <w:spacing w:before="162"/>
        <w:ind w:left="2664" w:right="0" w:hanging="681"/>
        <w:jc w:val="left"/>
        <w:rPr>
          <w:rFonts w:ascii="Stone Sans II ITC Std Bk"/>
          <w:b/>
          <w:sz w:val="21"/>
        </w:rPr>
      </w:pPr>
      <w:r>
        <w:rPr>
          <w:rFonts w:ascii="Stone Sans II ITC Std Bk"/>
          <w:b/>
          <w:w w:val="115"/>
          <w:sz w:val="21"/>
        </w:rPr>
        <w:t>Annual Report and Return and Register of</w:t>
      </w:r>
      <w:r>
        <w:rPr>
          <w:rFonts w:ascii="Stone Sans II ITC Std Bk"/>
          <w:b/>
          <w:spacing w:val="-15"/>
          <w:w w:val="115"/>
          <w:sz w:val="21"/>
        </w:rPr>
        <w:t> </w:t>
      </w:r>
      <w:r>
        <w:rPr>
          <w:rFonts w:ascii="Stone Sans II ITC Std Bk"/>
          <w:b/>
          <w:w w:val="115"/>
          <w:sz w:val="21"/>
        </w:rPr>
        <w:t>Charities</w:t>
      </w:r>
    </w:p>
    <w:p>
      <w:pPr>
        <w:pStyle w:val="ListParagraph"/>
        <w:numPr>
          <w:ilvl w:val="1"/>
          <w:numId w:val="170"/>
        </w:numPr>
        <w:tabs>
          <w:tab w:pos="2664" w:val="left" w:leader="none"/>
          <w:tab w:pos="2665" w:val="left" w:leader="none"/>
        </w:tabs>
        <w:spacing w:line="235" w:lineRule="auto" w:before="223" w:after="0"/>
        <w:ind w:left="2664" w:right="1332" w:hanging="681"/>
        <w:jc w:val="left"/>
        <w:rPr>
          <w:sz w:val="20"/>
        </w:rPr>
      </w:pPr>
      <w:r>
        <w:rPr>
          <w:w w:val="120"/>
          <w:sz w:val="20"/>
        </w:rPr>
        <w:t>The Directors must comply with the requirements of the Charities Act </w:t>
      </w:r>
      <w:r>
        <w:rPr>
          <w:spacing w:val="-6"/>
          <w:w w:val="120"/>
          <w:sz w:val="20"/>
        </w:rPr>
        <w:t>1993 </w:t>
      </w:r>
      <w:r>
        <w:rPr>
          <w:w w:val="120"/>
          <w:sz w:val="20"/>
        </w:rPr>
        <w:t>with regard</w:t>
      </w:r>
      <w:r>
        <w:rPr>
          <w:spacing w:val="2"/>
          <w:w w:val="120"/>
          <w:sz w:val="20"/>
        </w:rPr>
        <w:t> </w:t>
      </w:r>
      <w:r>
        <w:rPr>
          <w:spacing w:val="-3"/>
          <w:w w:val="120"/>
          <w:sz w:val="20"/>
        </w:rPr>
        <w:t>to:</w:t>
      </w:r>
    </w:p>
    <w:p>
      <w:pPr>
        <w:pStyle w:val="BodyText"/>
        <w:spacing w:before="5"/>
        <w:rPr>
          <w:sz w:val="19"/>
        </w:rPr>
      </w:pPr>
    </w:p>
    <w:p>
      <w:pPr>
        <w:pStyle w:val="ListParagraph"/>
        <w:numPr>
          <w:ilvl w:val="0"/>
          <w:numId w:val="185"/>
        </w:numPr>
        <w:tabs>
          <w:tab w:pos="3424" w:val="left" w:leader="none"/>
          <w:tab w:pos="3425" w:val="left" w:leader="none"/>
        </w:tabs>
        <w:spacing w:line="240" w:lineRule="auto" w:before="0" w:after="0"/>
        <w:ind w:left="3424" w:right="0" w:hanging="761"/>
        <w:jc w:val="left"/>
        <w:rPr>
          <w:sz w:val="20"/>
        </w:rPr>
      </w:pPr>
      <w:r>
        <w:rPr>
          <w:w w:val="120"/>
          <w:sz w:val="20"/>
        </w:rPr>
        <w:t>the transmission of the statements of account to the</w:t>
      </w:r>
      <w:r>
        <w:rPr>
          <w:spacing w:val="7"/>
          <w:w w:val="120"/>
          <w:sz w:val="20"/>
        </w:rPr>
        <w:t> </w:t>
      </w:r>
      <w:r>
        <w:rPr>
          <w:w w:val="120"/>
          <w:sz w:val="20"/>
        </w:rPr>
        <w:t>Commission;</w:t>
      </w:r>
    </w:p>
    <w:p>
      <w:pPr>
        <w:pStyle w:val="BodyText"/>
        <w:spacing w:before="8"/>
        <w:rPr>
          <w:sz w:val="19"/>
        </w:rPr>
      </w:pPr>
    </w:p>
    <w:p>
      <w:pPr>
        <w:pStyle w:val="ListParagraph"/>
        <w:numPr>
          <w:ilvl w:val="0"/>
          <w:numId w:val="185"/>
        </w:numPr>
        <w:tabs>
          <w:tab w:pos="3424" w:val="left" w:leader="none"/>
          <w:tab w:pos="3425" w:val="left" w:leader="none"/>
        </w:tabs>
        <w:spacing w:line="235" w:lineRule="auto" w:before="0" w:after="0"/>
        <w:ind w:left="3424" w:right="2265" w:hanging="760"/>
        <w:jc w:val="left"/>
        <w:rPr>
          <w:sz w:val="20"/>
        </w:rPr>
      </w:pPr>
      <w:r>
        <w:rPr>
          <w:w w:val="120"/>
          <w:sz w:val="20"/>
        </w:rPr>
        <w:t>the preparation of an Annual Report and its transmission to the Commission;</w:t>
      </w:r>
    </w:p>
    <w:p>
      <w:pPr>
        <w:pStyle w:val="BodyText"/>
        <w:spacing w:before="9"/>
        <w:rPr>
          <w:sz w:val="19"/>
        </w:rPr>
      </w:pPr>
    </w:p>
    <w:p>
      <w:pPr>
        <w:pStyle w:val="ListParagraph"/>
        <w:numPr>
          <w:ilvl w:val="0"/>
          <w:numId w:val="185"/>
        </w:numPr>
        <w:tabs>
          <w:tab w:pos="3424" w:val="left" w:leader="none"/>
          <w:tab w:pos="3425" w:val="left" w:leader="none"/>
        </w:tabs>
        <w:spacing w:line="235" w:lineRule="auto" w:before="0" w:after="0"/>
        <w:ind w:left="3424" w:right="2284" w:hanging="760"/>
        <w:jc w:val="left"/>
        <w:rPr>
          <w:sz w:val="20"/>
        </w:rPr>
      </w:pPr>
      <w:r>
        <w:rPr>
          <w:w w:val="120"/>
          <w:sz w:val="20"/>
        </w:rPr>
        <w:t>the preparation of an Annual Return and its transmission to the Commission.</w:t>
      </w:r>
    </w:p>
    <w:p>
      <w:pPr>
        <w:pStyle w:val="BodyText"/>
        <w:spacing w:before="10"/>
        <w:rPr>
          <w:sz w:val="19"/>
        </w:rPr>
      </w:pPr>
    </w:p>
    <w:p>
      <w:pPr>
        <w:pStyle w:val="ListParagraph"/>
        <w:numPr>
          <w:ilvl w:val="1"/>
          <w:numId w:val="170"/>
        </w:numPr>
        <w:tabs>
          <w:tab w:pos="2664" w:val="left" w:leader="none"/>
          <w:tab w:pos="2665" w:val="left" w:leader="none"/>
        </w:tabs>
        <w:spacing w:line="235" w:lineRule="auto" w:before="0" w:after="0"/>
        <w:ind w:left="2664" w:right="1931" w:hanging="681"/>
        <w:jc w:val="left"/>
        <w:rPr>
          <w:sz w:val="20"/>
        </w:rPr>
      </w:pPr>
      <w:r>
        <w:rPr>
          <w:w w:val="120"/>
          <w:sz w:val="20"/>
        </w:rPr>
        <w:t>The Directors must notify the Commission promptly of any changes to the Charity’s entry on the Central Register of</w:t>
      </w:r>
      <w:r>
        <w:rPr>
          <w:spacing w:val="16"/>
          <w:w w:val="120"/>
          <w:sz w:val="20"/>
        </w:rPr>
        <w:t> </w:t>
      </w:r>
      <w:r>
        <w:rPr>
          <w:w w:val="120"/>
          <w:sz w:val="20"/>
        </w:rPr>
        <w:t>Charities.</w:t>
      </w:r>
    </w:p>
    <w:p>
      <w:pPr>
        <w:pStyle w:val="BodyText"/>
        <w:spacing w:before="5"/>
        <w:rPr>
          <w:sz w:val="19"/>
        </w:rPr>
      </w:pPr>
    </w:p>
    <w:p>
      <w:pPr>
        <w:pStyle w:val="ListParagraph"/>
        <w:numPr>
          <w:ilvl w:val="1"/>
          <w:numId w:val="170"/>
        </w:numPr>
        <w:tabs>
          <w:tab w:pos="2664" w:val="left" w:leader="none"/>
          <w:tab w:pos="2665" w:val="left" w:leader="none"/>
        </w:tabs>
        <w:spacing w:line="240" w:lineRule="auto" w:before="1" w:after="0"/>
        <w:ind w:left="2664" w:right="0" w:hanging="681"/>
        <w:jc w:val="left"/>
        <w:rPr>
          <w:sz w:val="20"/>
        </w:rPr>
      </w:pPr>
      <w:r>
        <w:rPr>
          <w:w w:val="120"/>
          <w:sz w:val="20"/>
        </w:rPr>
        <w:t>Any notice to be given to or by any person pursuant to the</w:t>
      </w:r>
      <w:r>
        <w:rPr>
          <w:spacing w:val="30"/>
          <w:w w:val="120"/>
          <w:sz w:val="20"/>
        </w:rPr>
        <w:t> </w:t>
      </w:r>
      <w:r>
        <w:rPr>
          <w:w w:val="120"/>
          <w:sz w:val="20"/>
        </w:rPr>
        <w:t>articles:</w:t>
      </w:r>
    </w:p>
    <w:p>
      <w:pPr>
        <w:pStyle w:val="BodyText"/>
        <w:spacing w:before="3"/>
        <w:rPr>
          <w:sz w:val="19"/>
        </w:rPr>
      </w:pPr>
    </w:p>
    <w:p>
      <w:pPr>
        <w:pStyle w:val="ListParagraph"/>
        <w:numPr>
          <w:ilvl w:val="0"/>
          <w:numId w:val="186"/>
        </w:numPr>
        <w:tabs>
          <w:tab w:pos="3424" w:val="left" w:leader="none"/>
          <w:tab w:pos="3425" w:val="left" w:leader="none"/>
        </w:tabs>
        <w:spacing w:line="240" w:lineRule="auto" w:before="0" w:after="0"/>
        <w:ind w:left="3424" w:right="0" w:hanging="761"/>
        <w:jc w:val="left"/>
        <w:rPr>
          <w:sz w:val="20"/>
        </w:rPr>
      </w:pPr>
      <w:r>
        <w:rPr>
          <w:w w:val="120"/>
          <w:sz w:val="20"/>
        </w:rPr>
        <w:t>must be in writing;</w:t>
      </w:r>
      <w:r>
        <w:rPr>
          <w:spacing w:val="8"/>
          <w:w w:val="120"/>
          <w:sz w:val="20"/>
        </w:rPr>
        <w:t> </w:t>
      </w:r>
      <w:r>
        <w:rPr>
          <w:w w:val="120"/>
          <w:sz w:val="20"/>
        </w:rPr>
        <w:t>or</w:t>
      </w:r>
    </w:p>
    <w:p>
      <w:pPr>
        <w:pStyle w:val="BodyText"/>
        <w:spacing w:before="4"/>
        <w:rPr>
          <w:sz w:val="19"/>
        </w:rPr>
      </w:pPr>
    </w:p>
    <w:p>
      <w:pPr>
        <w:pStyle w:val="ListParagraph"/>
        <w:numPr>
          <w:ilvl w:val="0"/>
          <w:numId w:val="186"/>
        </w:numPr>
        <w:tabs>
          <w:tab w:pos="3424" w:val="left" w:leader="none"/>
          <w:tab w:pos="3425" w:val="left" w:leader="none"/>
        </w:tabs>
        <w:spacing w:line="240" w:lineRule="auto" w:before="0" w:after="0"/>
        <w:ind w:left="3424" w:right="0" w:hanging="761"/>
        <w:jc w:val="left"/>
        <w:rPr>
          <w:sz w:val="20"/>
        </w:rPr>
      </w:pPr>
      <w:r>
        <w:rPr>
          <w:w w:val="120"/>
          <w:sz w:val="20"/>
        </w:rPr>
        <w:t>must be given using electronic</w:t>
      </w:r>
      <w:r>
        <w:rPr>
          <w:spacing w:val="14"/>
          <w:w w:val="120"/>
          <w:sz w:val="20"/>
        </w:rPr>
        <w:t> </w:t>
      </w:r>
      <w:r>
        <w:rPr>
          <w:w w:val="120"/>
          <w:sz w:val="20"/>
        </w:rPr>
        <w:t>communications.</w:t>
      </w:r>
    </w:p>
    <w:p>
      <w:pPr>
        <w:spacing w:after="0" w:line="240" w:lineRule="auto"/>
        <w:jc w:val="left"/>
        <w:rPr>
          <w:sz w:val="20"/>
        </w:rPr>
        <w:sectPr>
          <w:pgSz w:w="11910" w:h="16840"/>
          <w:pgMar w:header="0" w:footer="647" w:top="1060" w:bottom="840" w:left="0" w:right="0"/>
        </w:sectPr>
      </w:pPr>
    </w:p>
    <w:p>
      <w:pPr>
        <w:pStyle w:val="ListParagraph"/>
        <w:numPr>
          <w:ilvl w:val="1"/>
          <w:numId w:val="170"/>
        </w:numPr>
        <w:tabs>
          <w:tab w:pos="1814" w:val="left" w:leader="none"/>
          <w:tab w:pos="1815" w:val="left" w:leader="none"/>
        </w:tabs>
        <w:spacing w:line="240" w:lineRule="auto" w:before="103" w:after="0"/>
        <w:ind w:left="1814" w:right="0" w:hanging="682"/>
        <w:jc w:val="left"/>
        <w:rPr>
          <w:sz w:val="20"/>
        </w:rPr>
      </w:pPr>
      <w:r>
        <w:rPr/>
        <w:pict>
          <v:rect style="position:absolute;margin-left:12.047pt;margin-top:8.467772pt;width:22.677pt;height:22.677pt;mso-position-horizontal-relative:page;mso-position-vertical-relative:paragraph;z-index:252353536" filled="true" fillcolor="#e4ebc6" stroked="false">
            <v:fill opacity="32768f" type="solid"/>
            <w10:wrap type="none"/>
          </v:rect>
        </w:pict>
      </w:r>
      <w:r>
        <w:rPr>
          <w:w w:val="120"/>
          <w:sz w:val="20"/>
        </w:rPr>
        <w:t>The Charity may give any notice in writing to a member/director</w:t>
      </w:r>
      <w:r>
        <w:rPr>
          <w:spacing w:val="27"/>
          <w:w w:val="120"/>
          <w:sz w:val="20"/>
        </w:rPr>
        <w:t> </w:t>
      </w:r>
      <w:r>
        <w:rPr>
          <w:w w:val="120"/>
          <w:sz w:val="20"/>
        </w:rPr>
        <w:t>either:</w:t>
      </w:r>
    </w:p>
    <w:p>
      <w:pPr>
        <w:pStyle w:val="BodyText"/>
        <w:spacing w:before="4"/>
        <w:rPr>
          <w:sz w:val="19"/>
        </w:rPr>
      </w:pPr>
    </w:p>
    <w:p>
      <w:pPr>
        <w:pStyle w:val="ListParagraph"/>
        <w:numPr>
          <w:ilvl w:val="0"/>
          <w:numId w:val="187"/>
        </w:numPr>
        <w:tabs>
          <w:tab w:pos="2573" w:val="left" w:leader="none"/>
          <w:tab w:pos="2574" w:val="left" w:leader="none"/>
        </w:tabs>
        <w:spacing w:line="240" w:lineRule="auto" w:before="0" w:after="0"/>
        <w:ind w:left="2573" w:right="0" w:hanging="760"/>
        <w:jc w:val="left"/>
        <w:rPr>
          <w:sz w:val="20"/>
        </w:rPr>
      </w:pPr>
      <w:r>
        <w:rPr>
          <w:w w:val="120"/>
          <w:sz w:val="20"/>
        </w:rPr>
        <w:t>personally;</w:t>
      </w:r>
      <w:r>
        <w:rPr>
          <w:spacing w:val="1"/>
          <w:w w:val="120"/>
          <w:sz w:val="20"/>
        </w:rPr>
        <w:t> </w:t>
      </w:r>
      <w:r>
        <w:rPr>
          <w:w w:val="120"/>
          <w:sz w:val="20"/>
        </w:rPr>
        <w:t>or</w:t>
      </w:r>
    </w:p>
    <w:p>
      <w:pPr>
        <w:pStyle w:val="BodyText"/>
        <w:spacing w:before="8"/>
        <w:rPr>
          <w:sz w:val="19"/>
        </w:rPr>
      </w:pPr>
    </w:p>
    <w:p>
      <w:pPr>
        <w:pStyle w:val="ListParagraph"/>
        <w:numPr>
          <w:ilvl w:val="0"/>
          <w:numId w:val="187"/>
        </w:numPr>
        <w:tabs>
          <w:tab w:pos="2573" w:val="left" w:leader="none"/>
          <w:tab w:pos="2574" w:val="left" w:leader="none"/>
        </w:tabs>
        <w:spacing w:line="235" w:lineRule="auto" w:before="0" w:after="0"/>
        <w:ind w:left="2573" w:right="2365" w:hanging="760"/>
        <w:jc w:val="left"/>
        <w:rPr>
          <w:sz w:val="20"/>
        </w:rPr>
      </w:pPr>
      <w:r>
        <w:rPr>
          <w:w w:val="120"/>
          <w:sz w:val="20"/>
        </w:rPr>
        <w:t>by sending it by post in a prepaid envelope addressed to the member/ director at his or her address;</w:t>
      </w:r>
      <w:r>
        <w:rPr>
          <w:spacing w:val="10"/>
          <w:w w:val="120"/>
          <w:sz w:val="20"/>
        </w:rPr>
        <w:t> </w:t>
      </w:r>
      <w:r>
        <w:rPr>
          <w:w w:val="120"/>
          <w:sz w:val="20"/>
        </w:rPr>
        <w:t>or</w:t>
      </w:r>
    </w:p>
    <w:p>
      <w:pPr>
        <w:pStyle w:val="BodyText"/>
        <w:spacing w:before="5"/>
        <w:rPr>
          <w:sz w:val="19"/>
        </w:rPr>
      </w:pPr>
    </w:p>
    <w:p>
      <w:pPr>
        <w:pStyle w:val="ListParagraph"/>
        <w:numPr>
          <w:ilvl w:val="0"/>
          <w:numId w:val="187"/>
        </w:numPr>
        <w:tabs>
          <w:tab w:pos="2573" w:val="left" w:leader="none"/>
          <w:tab w:pos="2574" w:val="left" w:leader="none"/>
        </w:tabs>
        <w:spacing w:line="240" w:lineRule="auto" w:before="1" w:after="0"/>
        <w:ind w:left="2573" w:right="0" w:hanging="760"/>
        <w:jc w:val="left"/>
        <w:rPr>
          <w:sz w:val="20"/>
        </w:rPr>
      </w:pPr>
      <w:r>
        <w:rPr>
          <w:w w:val="120"/>
          <w:sz w:val="20"/>
        </w:rPr>
        <w:t>by leaving it at the address of the member/director;</w:t>
      </w:r>
      <w:r>
        <w:rPr>
          <w:spacing w:val="16"/>
          <w:w w:val="120"/>
          <w:sz w:val="20"/>
        </w:rPr>
        <w:t> </w:t>
      </w:r>
      <w:r>
        <w:rPr>
          <w:w w:val="120"/>
          <w:sz w:val="20"/>
        </w:rPr>
        <w:t>or</w:t>
      </w:r>
    </w:p>
    <w:p>
      <w:pPr>
        <w:pStyle w:val="BodyText"/>
        <w:spacing w:before="7"/>
        <w:rPr>
          <w:sz w:val="19"/>
        </w:rPr>
      </w:pPr>
    </w:p>
    <w:p>
      <w:pPr>
        <w:pStyle w:val="ListParagraph"/>
        <w:numPr>
          <w:ilvl w:val="0"/>
          <w:numId w:val="187"/>
        </w:numPr>
        <w:tabs>
          <w:tab w:pos="2573" w:val="left" w:leader="none"/>
          <w:tab w:pos="2574" w:val="left" w:leader="none"/>
        </w:tabs>
        <w:spacing w:line="235" w:lineRule="auto" w:before="0" w:after="0"/>
        <w:ind w:left="2573" w:right="2257" w:hanging="760"/>
        <w:jc w:val="left"/>
        <w:rPr>
          <w:sz w:val="20"/>
        </w:rPr>
      </w:pPr>
      <w:r>
        <w:rPr>
          <w:w w:val="120"/>
          <w:sz w:val="20"/>
        </w:rPr>
        <w:t>by giving it using electronic communications to the member’s/directors address.</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207" w:hanging="681"/>
        <w:jc w:val="left"/>
        <w:rPr>
          <w:sz w:val="20"/>
        </w:rPr>
      </w:pPr>
      <w:r>
        <w:rPr>
          <w:w w:val="120"/>
          <w:sz w:val="20"/>
        </w:rPr>
        <w:t>A member who does not register an address with the Charity or who registers only a postal address that is not within the United Kingdom shall not be entitled to receive any notice from the</w:t>
      </w:r>
      <w:r>
        <w:rPr>
          <w:spacing w:val="10"/>
          <w:w w:val="120"/>
          <w:sz w:val="20"/>
        </w:rPr>
        <w:t> </w:t>
      </w:r>
      <w:r>
        <w:rPr>
          <w:w w:val="120"/>
          <w:sz w:val="20"/>
        </w:rPr>
        <w:t>Charity.</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201" w:hanging="681"/>
        <w:jc w:val="left"/>
        <w:rPr>
          <w:sz w:val="20"/>
        </w:rPr>
      </w:pPr>
      <w:r>
        <w:rPr>
          <w:w w:val="120"/>
          <w:sz w:val="20"/>
        </w:rPr>
        <w:t>A member/director present in person at any meeting of the Charity shall be deemed to have received notice of the meeting and of the purposes for which it was</w:t>
      </w:r>
      <w:r>
        <w:rPr>
          <w:spacing w:val="2"/>
          <w:w w:val="120"/>
          <w:sz w:val="20"/>
        </w:rPr>
        <w:t> </w:t>
      </w:r>
      <w:r>
        <w:rPr>
          <w:w w:val="120"/>
          <w:sz w:val="20"/>
        </w:rPr>
        <w:t>called.</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173" w:hanging="681"/>
        <w:jc w:val="left"/>
        <w:rPr>
          <w:sz w:val="20"/>
        </w:rPr>
      </w:pPr>
      <w:r>
        <w:rPr>
          <w:w w:val="120"/>
          <w:sz w:val="20"/>
        </w:rPr>
        <w:t>Proof that an envelope containing a notice was properly addressed, prepaid and posted shall be conclusive evidence that the notice was</w:t>
      </w:r>
      <w:r>
        <w:rPr>
          <w:spacing w:val="25"/>
          <w:w w:val="120"/>
          <w:sz w:val="20"/>
        </w:rPr>
        <w:t> </w:t>
      </w:r>
      <w:r>
        <w:rPr>
          <w:w w:val="120"/>
          <w:sz w:val="20"/>
        </w:rPr>
        <w:t>given.</w:t>
      </w:r>
    </w:p>
    <w:p>
      <w:pPr>
        <w:pStyle w:val="BodyText"/>
        <w:spacing w:before="10"/>
        <w:rPr>
          <w:sz w:val="19"/>
        </w:rPr>
      </w:pPr>
    </w:p>
    <w:p>
      <w:pPr>
        <w:pStyle w:val="ListParagraph"/>
        <w:numPr>
          <w:ilvl w:val="1"/>
          <w:numId w:val="170"/>
        </w:numPr>
        <w:tabs>
          <w:tab w:pos="1814" w:val="left" w:leader="none"/>
          <w:tab w:pos="1815" w:val="left" w:leader="none"/>
        </w:tabs>
        <w:spacing w:line="235" w:lineRule="auto" w:before="0" w:after="0"/>
        <w:ind w:left="1814" w:right="2062" w:hanging="681"/>
        <w:jc w:val="left"/>
        <w:rPr>
          <w:sz w:val="20"/>
        </w:rPr>
      </w:pPr>
      <w:r>
        <w:rPr>
          <w:w w:val="120"/>
          <w:sz w:val="20"/>
        </w:rPr>
        <w:t>Proof that a notice contained in an electronic communication was sent in accordance with current guidance issued by the Institute of Chartered Secretaries and Administrators shall be conclusive evidence that the notice was</w:t>
      </w:r>
      <w:r>
        <w:rPr>
          <w:spacing w:val="27"/>
          <w:w w:val="120"/>
          <w:sz w:val="20"/>
        </w:rPr>
        <w:t> </w:t>
      </w:r>
      <w:r>
        <w:rPr>
          <w:w w:val="120"/>
          <w:sz w:val="20"/>
        </w:rPr>
        <w:t>given.</w:t>
      </w:r>
    </w:p>
    <w:p>
      <w:pPr>
        <w:pStyle w:val="BodyText"/>
        <w:spacing w:before="6"/>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20"/>
          <w:sz w:val="20"/>
        </w:rPr>
        <w:t>A notice shall be deemed to be</w:t>
      </w:r>
      <w:r>
        <w:rPr>
          <w:spacing w:val="16"/>
          <w:w w:val="120"/>
          <w:sz w:val="20"/>
        </w:rPr>
        <w:t> </w:t>
      </w:r>
      <w:r>
        <w:rPr>
          <w:w w:val="120"/>
          <w:sz w:val="20"/>
        </w:rPr>
        <w:t>given:</w:t>
      </w:r>
    </w:p>
    <w:p>
      <w:pPr>
        <w:pStyle w:val="BodyText"/>
        <w:spacing w:before="4"/>
        <w:rPr>
          <w:sz w:val="19"/>
        </w:rPr>
      </w:pPr>
    </w:p>
    <w:p>
      <w:pPr>
        <w:pStyle w:val="ListParagraph"/>
        <w:numPr>
          <w:ilvl w:val="0"/>
          <w:numId w:val="188"/>
        </w:numPr>
        <w:tabs>
          <w:tab w:pos="2573" w:val="left" w:leader="none"/>
          <w:tab w:pos="2574" w:val="left" w:leader="none"/>
        </w:tabs>
        <w:spacing w:line="240" w:lineRule="auto" w:before="0" w:after="0"/>
        <w:ind w:left="2573" w:right="0" w:hanging="760"/>
        <w:jc w:val="left"/>
        <w:rPr>
          <w:sz w:val="20"/>
        </w:rPr>
      </w:pPr>
      <w:r>
        <w:rPr>
          <w:w w:val="120"/>
          <w:sz w:val="20"/>
        </w:rPr>
        <w:t>48 hours after the envelope containing it was posted;</w:t>
      </w:r>
      <w:r>
        <w:rPr>
          <w:spacing w:val="19"/>
          <w:w w:val="120"/>
          <w:sz w:val="20"/>
        </w:rPr>
        <w:t> </w:t>
      </w:r>
      <w:r>
        <w:rPr>
          <w:w w:val="120"/>
          <w:sz w:val="20"/>
        </w:rPr>
        <w:t>or</w:t>
      </w:r>
    </w:p>
    <w:p>
      <w:pPr>
        <w:pStyle w:val="BodyText"/>
        <w:spacing w:before="4"/>
        <w:rPr>
          <w:sz w:val="19"/>
        </w:rPr>
      </w:pPr>
    </w:p>
    <w:p>
      <w:pPr>
        <w:pStyle w:val="ListParagraph"/>
        <w:numPr>
          <w:ilvl w:val="0"/>
          <w:numId w:val="188"/>
        </w:numPr>
        <w:tabs>
          <w:tab w:pos="2573" w:val="left" w:leader="none"/>
          <w:tab w:pos="2574" w:val="left" w:leader="none"/>
        </w:tabs>
        <w:spacing w:line="240" w:lineRule="auto" w:before="0" w:after="0"/>
        <w:ind w:left="2573" w:right="0" w:hanging="760"/>
        <w:jc w:val="left"/>
        <w:rPr>
          <w:sz w:val="20"/>
        </w:rPr>
      </w:pPr>
      <w:r>
        <w:rPr>
          <w:w w:val="120"/>
          <w:sz w:val="20"/>
        </w:rPr>
        <w:t>in the case of an electronic communication, 48 hours after it was</w:t>
      </w:r>
      <w:r>
        <w:rPr>
          <w:spacing w:val="21"/>
          <w:w w:val="120"/>
          <w:sz w:val="20"/>
        </w:rPr>
        <w:t> </w:t>
      </w:r>
      <w:r>
        <w:rPr>
          <w:w w:val="120"/>
          <w:sz w:val="20"/>
        </w:rPr>
        <w:t>sent.</w:t>
      </w:r>
    </w:p>
    <w:p>
      <w:pPr>
        <w:numPr>
          <w:ilvl w:val="0"/>
          <w:numId w:val="170"/>
        </w:numPr>
        <w:tabs>
          <w:tab w:pos="1814" w:val="left" w:leader="none"/>
          <w:tab w:pos="1815" w:val="left" w:leader="none"/>
        </w:tabs>
        <w:spacing w:before="214"/>
        <w:ind w:left="1814" w:right="0" w:hanging="682"/>
        <w:jc w:val="left"/>
        <w:rPr>
          <w:rFonts w:ascii="Stone Sans II ITC Std Bk"/>
          <w:b/>
          <w:sz w:val="21"/>
        </w:rPr>
      </w:pPr>
      <w:r>
        <w:rPr>
          <w:rFonts w:ascii="Stone Sans II ITC Std Bk"/>
          <w:b/>
          <w:w w:val="115"/>
          <w:sz w:val="21"/>
        </w:rPr>
        <w:t>Indemnity</w:t>
      </w:r>
    </w:p>
    <w:p>
      <w:pPr>
        <w:pStyle w:val="ListParagraph"/>
        <w:numPr>
          <w:ilvl w:val="1"/>
          <w:numId w:val="170"/>
        </w:numPr>
        <w:tabs>
          <w:tab w:pos="1815" w:val="left" w:leader="none"/>
        </w:tabs>
        <w:spacing w:line="235" w:lineRule="auto" w:before="222" w:after="0"/>
        <w:ind w:left="1814" w:right="1986" w:hanging="681"/>
        <w:jc w:val="both"/>
        <w:rPr>
          <w:sz w:val="20"/>
        </w:rPr>
      </w:pPr>
      <w:r>
        <w:rPr>
          <w:w w:val="120"/>
          <w:sz w:val="20"/>
        </w:rPr>
        <w:t>The Charity may indemnify any Director or other officer of the Charity against any liability incurred by him or her in that capacity to the extent permitted by sections </w:t>
      </w:r>
      <w:r>
        <w:rPr>
          <w:spacing w:val="-4"/>
          <w:w w:val="120"/>
          <w:sz w:val="20"/>
        </w:rPr>
        <w:t>232 </w:t>
      </w:r>
      <w:r>
        <w:rPr>
          <w:w w:val="120"/>
          <w:sz w:val="20"/>
        </w:rPr>
        <w:t>to 234 of the 2006</w:t>
      </w:r>
      <w:r>
        <w:rPr>
          <w:spacing w:val="18"/>
          <w:w w:val="120"/>
          <w:sz w:val="20"/>
        </w:rPr>
        <w:t> </w:t>
      </w:r>
      <w:r>
        <w:rPr>
          <w:w w:val="120"/>
          <w:sz w:val="20"/>
        </w:rPr>
        <w:t>Act.</w:t>
      </w:r>
    </w:p>
    <w:p>
      <w:pPr>
        <w:pStyle w:val="BodyText"/>
        <w:rPr>
          <w:sz w:val="24"/>
        </w:rPr>
      </w:pPr>
    </w:p>
    <w:p>
      <w:pPr>
        <w:numPr>
          <w:ilvl w:val="0"/>
          <w:numId w:val="170"/>
        </w:numPr>
        <w:tabs>
          <w:tab w:pos="1814" w:val="left" w:leader="none"/>
          <w:tab w:pos="1815" w:val="left" w:leader="none"/>
        </w:tabs>
        <w:spacing w:before="163"/>
        <w:ind w:left="1814" w:right="0" w:hanging="682"/>
        <w:jc w:val="left"/>
        <w:rPr>
          <w:rFonts w:ascii="Stone Sans II ITC Std Bk"/>
          <w:b/>
          <w:sz w:val="21"/>
        </w:rPr>
      </w:pPr>
      <w:r>
        <w:rPr>
          <w:rFonts w:ascii="Stone Sans II ITC Std Bk"/>
          <w:b/>
          <w:w w:val="115"/>
          <w:sz w:val="21"/>
        </w:rPr>
        <w:t>Rules</w:t>
      </w:r>
    </w:p>
    <w:p>
      <w:pPr>
        <w:pStyle w:val="ListParagraph"/>
        <w:numPr>
          <w:ilvl w:val="1"/>
          <w:numId w:val="170"/>
        </w:numPr>
        <w:tabs>
          <w:tab w:pos="1815" w:val="left" w:leader="none"/>
        </w:tabs>
        <w:spacing w:line="235" w:lineRule="auto" w:before="223" w:after="0"/>
        <w:ind w:left="1814" w:right="2304" w:hanging="681"/>
        <w:jc w:val="both"/>
        <w:rPr>
          <w:sz w:val="20"/>
        </w:rPr>
      </w:pPr>
      <w:r>
        <w:rPr>
          <w:w w:val="120"/>
          <w:sz w:val="20"/>
        </w:rPr>
        <w:t>The Directors may from time to time make such reasonable and proper rules or bye laws as they may deem necessary or expedient for the proper conduct and management of the</w:t>
      </w:r>
      <w:r>
        <w:rPr>
          <w:spacing w:val="6"/>
          <w:w w:val="120"/>
          <w:sz w:val="20"/>
        </w:rPr>
        <w:t> </w:t>
      </w:r>
      <w:r>
        <w:rPr>
          <w:w w:val="120"/>
          <w:sz w:val="20"/>
        </w:rPr>
        <w:t>Charity.</w:t>
      </w:r>
    </w:p>
    <w:p>
      <w:pPr>
        <w:pStyle w:val="BodyText"/>
        <w:spacing w:before="6"/>
        <w:rPr>
          <w:sz w:val="19"/>
        </w:rPr>
      </w:pPr>
    </w:p>
    <w:p>
      <w:pPr>
        <w:pStyle w:val="ListParagraph"/>
        <w:numPr>
          <w:ilvl w:val="1"/>
          <w:numId w:val="170"/>
        </w:numPr>
        <w:tabs>
          <w:tab w:pos="1814" w:val="left" w:leader="none"/>
          <w:tab w:pos="1815" w:val="left" w:leader="none"/>
        </w:tabs>
        <w:spacing w:line="240" w:lineRule="auto" w:before="0" w:after="0"/>
        <w:ind w:left="1814" w:right="0" w:hanging="682"/>
        <w:jc w:val="left"/>
        <w:rPr>
          <w:sz w:val="20"/>
        </w:rPr>
      </w:pPr>
      <w:r>
        <w:rPr>
          <w:w w:val="120"/>
          <w:sz w:val="20"/>
        </w:rPr>
        <w:t>The bye laws may regulate the following matters but are not restricted to</w:t>
      </w:r>
      <w:r>
        <w:rPr>
          <w:spacing w:val="25"/>
          <w:w w:val="120"/>
          <w:sz w:val="20"/>
        </w:rPr>
        <w:t> </w:t>
      </w:r>
      <w:r>
        <w:rPr>
          <w:w w:val="120"/>
          <w:sz w:val="20"/>
        </w:rPr>
        <w:t>them:</w:t>
      </w:r>
    </w:p>
    <w:p>
      <w:pPr>
        <w:pStyle w:val="BodyText"/>
        <w:spacing w:before="8"/>
        <w:rPr>
          <w:sz w:val="19"/>
        </w:rPr>
      </w:pPr>
    </w:p>
    <w:p>
      <w:pPr>
        <w:pStyle w:val="ListParagraph"/>
        <w:numPr>
          <w:ilvl w:val="0"/>
          <w:numId w:val="189"/>
        </w:numPr>
        <w:tabs>
          <w:tab w:pos="2573" w:val="left" w:leader="none"/>
          <w:tab w:pos="2574" w:val="left" w:leader="none"/>
        </w:tabs>
        <w:spacing w:line="235" w:lineRule="auto" w:before="0" w:after="0"/>
        <w:ind w:left="2573" w:right="2232" w:hanging="760"/>
        <w:jc w:val="left"/>
        <w:rPr>
          <w:sz w:val="20"/>
        </w:rPr>
      </w:pPr>
      <w:r>
        <w:rPr>
          <w:w w:val="120"/>
          <w:sz w:val="20"/>
        </w:rPr>
        <w:t>the admission of members of the Charity and the rights and privileges   of such members, and the entrance fees, subscriptions and other fees or payments to be made by</w:t>
      </w:r>
      <w:r>
        <w:rPr>
          <w:spacing w:val="11"/>
          <w:w w:val="120"/>
          <w:sz w:val="20"/>
        </w:rPr>
        <w:t> </w:t>
      </w:r>
      <w:r>
        <w:rPr>
          <w:w w:val="120"/>
          <w:sz w:val="20"/>
        </w:rPr>
        <w:t>members;</w:t>
      </w:r>
    </w:p>
    <w:p>
      <w:pPr>
        <w:pStyle w:val="BodyText"/>
        <w:spacing w:before="10"/>
        <w:rPr>
          <w:sz w:val="19"/>
        </w:rPr>
      </w:pPr>
    </w:p>
    <w:p>
      <w:pPr>
        <w:pStyle w:val="ListParagraph"/>
        <w:numPr>
          <w:ilvl w:val="0"/>
          <w:numId w:val="189"/>
        </w:numPr>
        <w:tabs>
          <w:tab w:pos="2573" w:val="left" w:leader="none"/>
          <w:tab w:pos="2574" w:val="left" w:leader="none"/>
        </w:tabs>
        <w:spacing w:line="235" w:lineRule="auto" w:before="0" w:after="0"/>
        <w:ind w:left="2573" w:right="2162" w:hanging="760"/>
        <w:jc w:val="left"/>
        <w:rPr>
          <w:sz w:val="20"/>
        </w:rPr>
      </w:pPr>
      <w:r>
        <w:rPr>
          <w:w w:val="120"/>
          <w:sz w:val="20"/>
        </w:rPr>
        <w:t>the conduct of members of the Charity in relation to one another, and to the Charity’s employees and</w:t>
      </w:r>
      <w:r>
        <w:rPr>
          <w:spacing w:val="7"/>
          <w:w w:val="120"/>
          <w:sz w:val="20"/>
        </w:rPr>
        <w:t> </w:t>
      </w:r>
      <w:r>
        <w:rPr>
          <w:w w:val="120"/>
          <w:sz w:val="20"/>
        </w:rPr>
        <w:t>volunteers;</w:t>
      </w:r>
    </w:p>
    <w:p>
      <w:pPr>
        <w:pStyle w:val="BodyText"/>
        <w:spacing w:before="9"/>
        <w:rPr>
          <w:sz w:val="19"/>
        </w:rPr>
      </w:pPr>
    </w:p>
    <w:p>
      <w:pPr>
        <w:pStyle w:val="ListParagraph"/>
        <w:numPr>
          <w:ilvl w:val="0"/>
          <w:numId w:val="189"/>
        </w:numPr>
        <w:tabs>
          <w:tab w:pos="2573" w:val="left" w:leader="none"/>
          <w:tab w:pos="2574" w:val="left" w:leader="none"/>
        </w:tabs>
        <w:spacing w:line="235" w:lineRule="auto" w:before="0" w:after="0"/>
        <w:ind w:left="2573" w:right="2557" w:hanging="760"/>
        <w:jc w:val="left"/>
        <w:rPr>
          <w:sz w:val="20"/>
        </w:rPr>
      </w:pPr>
      <w:r>
        <w:rPr>
          <w:w w:val="120"/>
          <w:sz w:val="20"/>
        </w:rPr>
        <w:t>the setting aside of the whole or any </w:t>
      </w:r>
      <w:r>
        <w:rPr>
          <w:spacing w:val="2"/>
          <w:w w:val="120"/>
          <w:sz w:val="20"/>
        </w:rPr>
        <w:t>part </w:t>
      </w:r>
      <w:r>
        <w:rPr>
          <w:w w:val="120"/>
          <w:sz w:val="20"/>
        </w:rPr>
        <w:t>or </w:t>
      </w:r>
      <w:r>
        <w:rPr>
          <w:spacing w:val="2"/>
          <w:w w:val="120"/>
          <w:sz w:val="20"/>
        </w:rPr>
        <w:t>parts </w:t>
      </w:r>
      <w:r>
        <w:rPr>
          <w:w w:val="120"/>
          <w:sz w:val="20"/>
        </w:rPr>
        <w:t>of the Charity’s premises at any particular time or times or for any particular purpose or</w:t>
      </w:r>
      <w:r>
        <w:rPr>
          <w:spacing w:val="1"/>
          <w:w w:val="120"/>
          <w:sz w:val="20"/>
        </w:rPr>
        <w:t> </w:t>
      </w:r>
      <w:r>
        <w:rPr>
          <w:w w:val="120"/>
          <w:sz w:val="20"/>
        </w:rPr>
        <w:t>purposes;</w:t>
      </w:r>
    </w:p>
    <w:p>
      <w:pPr>
        <w:spacing w:after="0" w:line="235" w:lineRule="auto"/>
        <w:jc w:val="left"/>
        <w:rPr>
          <w:sz w:val="20"/>
        </w:rPr>
        <w:sectPr>
          <w:headerReference w:type="even" r:id="rId551"/>
          <w:headerReference w:type="default" r:id="rId552"/>
          <w:footerReference w:type="even" r:id="rId553"/>
          <w:footerReference w:type="default" r:id="rId554"/>
          <w:pgSz w:w="11910" w:h="16840"/>
          <w:pgMar w:header="0" w:footer="647" w:top="1060" w:bottom="840" w:left="0" w:right="0"/>
        </w:sectPr>
      </w:pPr>
    </w:p>
    <w:p>
      <w:pPr>
        <w:pStyle w:val="ListParagraph"/>
        <w:numPr>
          <w:ilvl w:val="0"/>
          <w:numId w:val="189"/>
        </w:numPr>
        <w:tabs>
          <w:tab w:pos="3424" w:val="left" w:leader="none"/>
          <w:tab w:pos="3425" w:val="left" w:leader="none"/>
        </w:tabs>
        <w:spacing w:line="235" w:lineRule="auto" w:before="91" w:after="0"/>
        <w:ind w:left="3424" w:right="1216" w:hanging="760"/>
        <w:jc w:val="left"/>
        <w:rPr>
          <w:sz w:val="20"/>
        </w:rPr>
      </w:pPr>
      <w:r>
        <w:rPr/>
        <w:pict>
          <v:rect style="position:absolute;margin-left:558.424988pt;margin-top:8.503343pt;width:22.677pt;height:22.677pt;mso-position-horizontal-relative:page;mso-position-vertical-relative:paragraph;z-index:252359680" filled="true" fillcolor="#e4ebc6" stroked="false">
            <v:fill opacity="32768f" type="solid"/>
            <w10:wrap type="none"/>
          </v:rect>
        </w:pict>
      </w:r>
      <w:r>
        <w:rPr>
          <w:w w:val="120"/>
          <w:sz w:val="20"/>
        </w:rPr>
        <w:t>the procedure at general meetings and meetings of the Directors in so far as such procedure is not regulated by the Act or by these</w:t>
      </w:r>
      <w:r>
        <w:rPr>
          <w:spacing w:val="35"/>
          <w:w w:val="120"/>
          <w:sz w:val="20"/>
        </w:rPr>
        <w:t> </w:t>
      </w:r>
      <w:r>
        <w:rPr>
          <w:w w:val="120"/>
          <w:sz w:val="20"/>
        </w:rPr>
        <w:t>Articles;</w:t>
      </w:r>
    </w:p>
    <w:p>
      <w:pPr>
        <w:pStyle w:val="BodyText"/>
        <w:spacing w:before="9"/>
        <w:rPr>
          <w:sz w:val="19"/>
        </w:rPr>
      </w:pPr>
    </w:p>
    <w:p>
      <w:pPr>
        <w:pStyle w:val="ListParagraph"/>
        <w:numPr>
          <w:ilvl w:val="0"/>
          <w:numId w:val="189"/>
        </w:numPr>
        <w:tabs>
          <w:tab w:pos="3424" w:val="left" w:leader="none"/>
          <w:tab w:pos="3425" w:val="left" w:leader="none"/>
        </w:tabs>
        <w:spacing w:line="235" w:lineRule="auto" w:before="0" w:after="0"/>
        <w:ind w:left="3424" w:right="2080" w:hanging="760"/>
        <w:jc w:val="left"/>
        <w:rPr>
          <w:sz w:val="20"/>
        </w:rPr>
      </w:pPr>
      <w:r>
        <w:rPr>
          <w:w w:val="120"/>
          <w:sz w:val="20"/>
        </w:rPr>
        <w:t>generally, all such matters as are commonly the subject matter of Charity</w:t>
      </w:r>
      <w:r>
        <w:rPr>
          <w:spacing w:val="2"/>
          <w:w w:val="120"/>
          <w:sz w:val="20"/>
        </w:rPr>
        <w:t> </w:t>
      </w:r>
      <w:r>
        <w:rPr>
          <w:w w:val="120"/>
          <w:sz w:val="20"/>
        </w:rPr>
        <w:t>rules;</w:t>
      </w:r>
    </w:p>
    <w:p>
      <w:pPr>
        <w:pStyle w:val="BodyText"/>
        <w:spacing w:before="9"/>
        <w:rPr>
          <w:sz w:val="19"/>
        </w:rPr>
      </w:pPr>
    </w:p>
    <w:p>
      <w:pPr>
        <w:pStyle w:val="ListParagraph"/>
        <w:numPr>
          <w:ilvl w:val="1"/>
          <w:numId w:val="170"/>
        </w:numPr>
        <w:tabs>
          <w:tab w:pos="2664" w:val="left" w:leader="none"/>
          <w:tab w:pos="2665" w:val="left" w:leader="none"/>
        </w:tabs>
        <w:spacing w:line="235" w:lineRule="auto" w:before="1" w:after="0"/>
        <w:ind w:left="2664" w:right="1386" w:hanging="681"/>
        <w:jc w:val="left"/>
        <w:rPr>
          <w:sz w:val="20"/>
        </w:rPr>
      </w:pPr>
      <w:r>
        <w:rPr>
          <w:w w:val="120"/>
          <w:sz w:val="20"/>
        </w:rPr>
        <w:t>the Charity in general meeting has the power to </w:t>
      </w:r>
      <w:r>
        <w:rPr>
          <w:spacing w:val="-3"/>
          <w:w w:val="120"/>
          <w:sz w:val="20"/>
        </w:rPr>
        <w:t>alter, </w:t>
      </w:r>
      <w:r>
        <w:rPr>
          <w:w w:val="120"/>
          <w:sz w:val="20"/>
        </w:rPr>
        <w:t>add to or repeal the rules or bye</w:t>
      </w:r>
      <w:r>
        <w:rPr>
          <w:spacing w:val="3"/>
          <w:w w:val="120"/>
          <w:sz w:val="20"/>
        </w:rPr>
        <w:t> </w:t>
      </w:r>
      <w:r>
        <w:rPr>
          <w:w w:val="120"/>
          <w:sz w:val="20"/>
        </w:rPr>
        <w:t>laws;</w:t>
      </w:r>
    </w:p>
    <w:p>
      <w:pPr>
        <w:pStyle w:val="BodyText"/>
        <w:spacing w:before="9"/>
        <w:rPr>
          <w:sz w:val="19"/>
        </w:rPr>
      </w:pPr>
    </w:p>
    <w:p>
      <w:pPr>
        <w:pStyle w:val="ListParagraph"/>
        <w:numPr>
          <w:ilvl w:val="1"/>
          <w:numId w:val="170"/>
        </w:numPr>
        <w:tabs>
          <w:tab w:pos="2664" w:val="left" w:leader="none"/>
          <w:tab w:pos="2665" w:val="left" w:leader="none"/>
        </w:tabs>
        <w:spacing w:line="235" w:lineRule="auto" w:before="0" w:after="0"/>
        <w:ind w:left="2664" w:right="1542" w:hanging="681"/>
        <w:jc w:val="left"/>
        <w:rPr>
          <w:sz w:val="20"/>
        </w:rPr>
      </w:pPr>
      <w:r>
        <w:rPr>
          <w:w w:val="120"/>
          <w:sz w:val="20"/>
        </w:rPr>
        <w:t>the Directors must adopt such means as they think sufficient to bring the rules and bye laws to the notice of members of the</w:t>
      </w:r>
      <w:r>
        <w:rPr>
          <w:spacing w:val="20"/>
          <w:w w:val="120"/>
          <w:sz w:val="20"/>
        </w:rPr>
        <w:t> </w:t>
      </w:r>
      <w:r>
        <w:rPr>
          <w:w w:val="120"/>
          <w:sz w:val="20"/>
        </w:rPr>
        <w:t>Charity;</w:t>
      </w:r>
    </w:p>
    <w:p>
      <w:pPr>
        <w:pStyle w:val="BodyText"/>
        <w:spacing w:before="9"/>
        <w:rPr>
          <w:sz w:val="19"/>
        </w:rPr>
      </w:pPr>
    </w:p>
    <w:p>
      <w:pPr>
        <w:pStyle w:val="ListParagraph"/>
        <w:numPr>
          <w:ilvl w:val="1"/>
          <w:numId w:val="170"/>
        </w:numPr>
        <w:tabs>
          <w:tab w:pos="2664" w:val="left" w:leader="none"/>
          <w:tab w:pos="2665" w:val="left" w:leader="none"/>
        </w:tabs>
        <w:spacing w:line="235" w:lineRule="auto" w:before="1" w:after="0"/>
        <w:ind w:left="2664" w:right="1292" w:hanging="681"/>
        <w:jc w:val="left"/>
        <w:rPr>
          <w:sz w:val="20"/>
        </w:rPr>
      </w:pPr>
      <w:r>
        <w:rPr>
          <w:w w:val="120"/>
          <w:sz w:val="20"/>
        </w:rPr>
        <w:t>the rules or bye laws, shall be binding on all members of the Charity. No rule or bye law shall be inconsistent with, or shall affect or repeal anything contained in, the memorandum or the</w:t>
      </w:r>
      <w:r>
        <w:rPr>
          <w:spacing w:val="8"/>
          <w:w w:val="120"/>
          <w:sz w:val="20"/>
        </w:rPr>
        <w:t> </w:t>
      </w:r>
      <w:r>
        <w:rPr>
          <w:w w:val="120"/>
          <w:sz w:val="20"/>
        </w:rPr>
        <w:t>articles.</w:t>
      </w:r>
    </w:p>
    <w:p>
      <w:pPr>
        <w:pStyle w:val="BodyText"/>
      </w:pPr>
    </w:p>
    <w:p>
      <w:pPr>
        <w:pStyle w:val="BodyText"/>
      </w:pPr>
    </w:p>
    <w:p>
      <w:pPr>
        <w:pStyle w:val="BodyText"/>
      </w:pPr>
    </w:p>
    <w:p>
      <w:pPr>
        <w:pStyle w:val="BodyText"/>
        <w:spacing w:before="3"/>
        <w:rPr>
          <w:sz w:val="21"/>
        </w:rPr>
      </w:pPr>
      <w:r>
        <w:rPr/>
        <w:pict>
          <v:shape style="position:absolute;margin-left:99.212601pt;margin-top:21.261684pt;width:183.85pt;height:.1pt;mso-position-horizontal-relative:page;mso-position-vertical-relative:paragraph;z-index:-250961920;mso-wrap-distance-left:0;mso-wrap-distance-right:0" coordorigin="1984,425" coordsize="3677,0" path="m1984,425l5661,425e" filled="false" stroked="true" strokeweight=".5pt" strokecolor="#8ba8bd">
            <v:path arrowok="t"/>
            <v:stroke dashstyle="solid"/>
            <w10:wrap type="topAndBottom"/>
          </v:shape>
        </w:pict>
      </w:r>
      <w:r>
        <w:rPr/>
        <w:pict>
          <v:rect style="position:absolute;margin-left:293.385986pt;margin-top:14.940391pt;width:13.721pt;height:13.721pt;mso-position-horizontal-relative:page;mso-position-vertical-relative:paragraph;z-index:-250960896;mso-wrap-distance-left:0;mso-wrap-distance-right:0" filled="true" fillcolor="#8ba8bd" stroked="false">
            <v:fill type="solid"/>
            <w10:wrap type="topAndBottom"/>
          </v:rect>
        </w:pict>
      </w:r>
      <w:r>
        <w:rPr/>
        <w:pict>
          <v:rect style="position:absolute;margin-left:311.822998pt;margin-top:14.940391pt;width:13.721pt;height:13.721pt;mso-position-horizontal-relative:page;mso-position-vertical-relative:paragraph;z-index:-250959872;mso-wrap-distance-left:0;mso-wrap-distance-right:0" filled="true" fillcolor="#c2d2df" stroked="false">
            <v:fill type="solid"/>
            <w10:wrap type="topAndBottom"/>
          </v:rect>
        </w:pict>
      </w:r>
      <w:r>
        <w:rPr/>
        <w:pict>
          <v:rect style="position:absolute;margin-left:330.688995pt;margin-top:14.940391pt;width:13.721pt;height:13.721pt;mso-position-horizontal-relative:page;mso-position-vertical-relative:paragraph;z-index:-250958848;mso-wrap-distance-left:0;mso-wrap-distance-right:0" filled="true" fillcolor="#dae4ec" stroked="false">
            <v:fill opacity="32768f" type="solid"/>
            <w10:wrap type="topAndBottom"/>
          </v:rect>
        </w:pict>
      </w:r>
      <w:r>
        <w:rPr/>
        <w:pict>
          <v:shape style="position:absolute;margin-left:354.235992pt;margin-top:21.261684pt;width:184.35pt;height:.1pt;mso-position-horizontal-relative:page;mso-position-vertical-relative:paragraph;z-index:-250957824;mso-wrap-distance-left:0;mso-wrap-distance-right:0" coordorigin="7085,425" coordsize="3687,0" path="m7085,425l10772,425e" filled="false" stroked="true" strokeweight=".5pt" strokecolor="#8ba8bd">
            <v:path arrowok="t"/>
            <v:stroke dashstyle="solid"/>
            <w10:wrap type="topAndBottom"/>
          </v:shape>
        </w:pict>
      </w:r>
    </w:p>
    <w:p>
      <w:pPr>
        <w:spacing w:after="0"/>
        <w:rPr>
          <w:sz w:val="21"/>
        </w:rPr>
        <w:sectPr>
          <w:pgSz w:w="11910" w:h="16840"/>
          <w:pgMar w:header="0" w:footer="647" w:top="1060" w:bottom="840" w:left="0" w:right="0"/>
        </w:sectPr>
      </w:pPr>
    </w:p>
    <w:p>
      <w:pPr>
        <w:pStyle w:val="Heading1"/>
        <w:spacing w:before="49"/>
        <w:ind w:left="723"/>
      </w:pPr>
      <w:r>
        <w:rPr>
          <w:color w:val="FDFBFD"/>
          <w:w w:val="97"/>
          <w:shd w:fill="9562A1" w:color="auto" w:val="clear"/>
        </w:rPr>
        <w:t>■</w:t>
      </w:r>
    </w:p>
    <w:p>
      <w:pPr>
        <w:spacing w:line="908" w:lineRule="exact" w:before="0"/>
        <w:ind w:left="704" w:right="0" w:firstLine="0"/>
        <w:jc w:val="left"/>
        <w:rPr>
          <w:rFonts w:ascii="Arial" w:hAnsi="Arial"/>
          <w:sz w:val="104"/>
        </w:rPr>
      </w:pPr>
      <w:r>
        <w:rPr>
          <w:rFonts w:ascii="Arial" w:hAnsi="Arial"/>
          <w:color w:val="C3A8CA"/>
          <w:w w:val="97"/>
          <w:sz w:val="104"/>
        </w:rPr>
        <w:t>■</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4"/>
        <w:rPr>
          <w:rFonts w:ascii="Arial"/>
          <w:sz w:val="22"/>
        </w:rPr>
      </w:pPr>
      <w:r>
        <w:rPr/>
        <w:pict>
          <v:rect style="position:absolute;margin-left:177.368271pt;margin-top:14.813453pt;width:27.46774pt;height:5.633718pt;mso-position-horizontal-relative:page;mso-position-vertical-relative:paragraph;z-index:-250955776;mso-wrap-distance-left:0;mso-wrap-distance-right:0" filled="true" fillcolor="#9562a1" stroked="false">
            <v:fill type="solid"/>
            <w10:wrap type="topAndBottom"/>
          </v:rect>
        </w:pict>
      </w:r>
    </w:p>
    <w:p>
      <w:pPr>
        <w:spacing w:line="947" w:lineRule="exact" w:before="0"/>
        <w:ind w:left="1349" w:right="0" w:firstLine="0"/>
        <w:jc w:val="left"/>
        <w:rPr>
          <w:rFonts w:ascii="Arial" w:hAnsi="Arial"/>
          <w:b/>
          <w:sz w:val="92"/>
        </w:rPr>
      </w:pPr>
      <w:r>
        <w:rPr>
          <w:rFonts w:ascii="Times New Roman" w:hAnsi="Times New Roman"/>
          <w:b/>
          <w:color w:val="FDFBFD"/>
          <w:w w:val="83"/>
          <w:position w:val="53"/>
          <w:sz w:val="70"/>
        </w:rPr>
        <w:t>U</w:t>
      </w:r>
      <w:r>
        <w:rPr>
          <w:rFonts w:ascii="Times New Roman" w:hAnsi="Times New Roman"/>
          <w:b/>
          <w:color w:val="FDFBFD"/>
          <w:spacing w:val="-70"/>
          <w:position w:val="53"/>
          <w:sz w:val="70"/>
        </w:rPr>
        <w:t> </w:t>
      </w:r>
      <w:r>
        <w:rPr>
          <w:rFonts w:ascii="Arial" w:hAnsi="Arial"/>
          <w:b/>
          <w:color w:val="FDFBFD"/>
          <w:spacing w:val="-1"/>
          <w:w w:val="70"/>
          <w:sz w:val="92"/>
        </w:rPr>
        <w:t>Re</w:t>
      </w:r>
      <w:r>
        <w:rPr>
          <w:rFonts w:ascii="Arial" w:hAnsi="Arial"/>
          <w:b/>
          <w:color w:val="FDFBFD"/>
          <w:w w:val="70"/>
          <w:sz w:val="92"/>
        </w:rPr>
        <w:t>f</w:t>
      </w:r>
      <w:r>
        <w:rPr>
          <w:rFonts w:ascii="Arial" w:hAnsi="Arial"/>
          <w:b/>
          <w:color w:val="FDFBFD"/>
          <w:spacing w:val="-110"/>
          <w:sz w:val="92"/>
        </w:rPr>
        <w:t> </w:t>
      </w:r>
      <w:r>
        <w:rPr>
          <w:rFonts w:ascii="Times New Roman" w:hAnsi="Times New Roman"/>
          <w:b/>
          <w:color w:val="FDFBFD"/>
          <w:w w:val="58"/>
          <w:position w:val="53"/>
          <w:sz w:val="70"/>
        </w:rPr>
        <w:t>c</w:t>
      </w:r>
      <w:r>
        <w:rPr>
          <w:rFonts w:ascii="Times New Roman" w:hAnsi="Times New Roman"/>
          <w:b/>
          <w:color w:val="FDFBFD"/>
          <w:spacing w:val="-94"/>
          <w:position w:val="53"/>
          <w:sz w:val="70"/>
        </w:rPr>
        <w:t> </w:t>
      </w:r>
      <w:r>
        <w:rPr>
          <w:rFonts w:ascii="Arial" w:hAnsi="Arial"/>
          <w:b/>
          <w:color w:val="E9DFEB"/>
          <w:spacing w:val="-45"/>
          <w:w w:val="109"/>
          <w:sz w:val="92"/>
          <w:shd w:fill="9562A1" w:color="auto" w:val="clear"/>
        </w:rPr>
        <w:t>t</w:t>
      </w:r>
      <w:r>
        <w:rPr>
          <w:rFonts w:ascii="Arial" w:hAnsi="Arial"/>
          <w:b/>
          <w:color w:val="E9DFEB"/>
          <w:spacing w:val="-1"/>
          <w:w w:val="57"/>
          <w:sz w:val="92"/>
          <w:shd w:fill="9562A1" w:color="auto" w:val="clear"/>
        </w:rPr>
        <w:t>W</w:t>
      </w:r>
      <w:r>
        <w:rPr>
          <w:rFonts w:ascii="Arial" w:hAnsi="Arial"/>
          <w:b/>
          <w:color w:val="E9DFEB"/>
          <w:spacing w:val="-120"/>
          <w:w w:val="57"/>
          <w:sz w:val="92"/>
          <w:shd w:fill="9562A1" w:color="auto" w:val="clear"/>
        </w:rPr>
        <w:t>i</w:t>
      </w:r>
      <w:r>
        <w:rPr>
          <w:rFonts w:ascii="Arial" w:hAnsi="Arial"/>
          <w:b/>
          <w:color w:val="E9DFEB"/>
          <w:spacing w:val="-1"/>
          <w:w w:val="53"/>
          <w:sz w:val="92"/>
          <w:shd w:fill="9562A1" w:color="auto" w:val="clear"/>
        </w:rPr>
        <w:t>°</w:t>
      </w:r>
      <w:r>
        <w:rPr>
          <w:rFonts w:ascii="Arial" w:hAnsi="Arial"/>
          <w:b/>
          <w:color w:val="E9DFEB"/>
          <w:spacing w:val="-261"/>
          <w:w w:val="53"/>
          <w:sz w:val="92"/>
          <w:shd w:fill="9562A1" w:color="auto" w:val="clear"/>
        </w:rPr>
        <w:t>e</w:t>
      </w:r>
      <w:r>
        <w:rPr>
          <w:rFonts w:ascii="Arial" w:hAnsi="Arial"/>
          <w:b/>
          <w:color w:val="FDFBFD"/>
          <w:w w:val="55"/>
          <w:sz w:val="92"/>
          <w:shd w:fill="9562A1" w:color="auto" w:val="clear"/>
        </w:rPr>
        <w:t>d</w:t>
      </w:r>
    </w:p>
    <w:p>
      <w:pPr>
        <w:spacing w:after="0" w:line="947" w:lineRule="exact"/>
        <w:jc w:val="left"/>
        <w:rPr>
          <w:rFonts w:ascii="Arial" w:hAnsi="Arial"/>
          <w:sz w:val="92"/>
        </w:rPr>
        <w:sectPr>
          <w:headerReference w:type="even" r:id="rId555"/>
          <w:footerReference w:type="even" r:id="rId556"/>
          <w:pgSz w:w="11910" w:h="16840"/>
          <w:pgMar w:header="0" w:footer="0" w:top="240" w:bottom="280" w:left="0" w:right="0"/>
        </w:sectPr>
      </w:pPr>
    </w:p>
    <w:p>
      <w:pPr>
        <w:spacing w:line="765" w:lineRule="exact" w:before="0"/>
        <w:ind w:left="1438" w:right="0" w:firstLine="0"/>
        <w:jc w:val="left"/>
        <w:rPr>
          <w:rFonts w:ascii="Times New Roman"/>
          <w:b/>
          <w:sz w:val="69"/>
        </w:rPr>
      </w:pPr>
      <w:r>
        <w:rPr/>
        <w:pict>
          <v:shape style="position:absolute;margin-left:88.482864pt;margin-top:-58.109711pt;width:50.9pt;height:38.85pt;mso-position-horizontal-relative:page;mso-position-vertical-relative:paragraph;z-index:-267062272" type="#_x0000_t202" filled="false" stroked="false">
            <v:textbox inset="0,0,0,0">
              <w:txbxContent>
                <w:p>
                  <w:pPr>
                    <w:spacing w:line="776" w:lineRule="exact" w:before="0"/>
                    <w:ind w:left="0" w:right="0" w:firstLine="0"/>
                    <w:jc w:val="left"/>
                    <w:rPr>
                      <w:rFonts w:ascii="Times New Roman"/>
                      <w:b/>
                      <w:sz w:val="70"/>
                    </w:rPr>
                  </w:pPr>
                  <w:r>
                    <w:rPr>
                      <w:rFonts w:ascii="Times New Roman"/>
                      <w:b/>
                      <w:color w:val="FDFBFD"/>
                      <w:w w:val="83"/>
                      <w:sz w:val="70"/>
                    </w:rPr>
                    <w:t>n</w:t>
                  </w:r>
                  <w:r>
                    <w:rPr>
                      <w:rFonts w:ascii="Times New Roman"/>
                      <w:b/>
                      <w:color w:val="FDFBFD"/>
                      <w:spacing w:val="-13"/>
                      <w:sz w:val="70"/>
                    </w:rPr>
                    <w:t> </w:t>
                  </w:r>
                  <w:r>
                    <w:rPr>
                      <w:rFonts w:ascii="Times New Roman"/>
                      <w:b/>
                      <w:color w:val="FDFBFD"/>
                      <w:spacing w:val="-1"/>
                      <w:w w:val="72"/>
                      <w:sz w:val="70"/>
                    </w:rPr>
                    <w:t>it</w:t>
                  </w:r>
                  <w:r>
                    <w:rPr>
                      <w:rFonts w:ascii="Times New Roman"/>
                      <w:b/>
                      <w:color w:val="FDFBFD"/>
                      <w:spacing w:val="-198"/>
                      <w:w w:val="72"/>
                      <w:sz w:val="70"/>
                    </w:rPr>
                    <w:t>e</w:t>
                  </w:r>
                  <w:r>
                    <w:rPr>
                      <w:rFonts w:ascii="Times New Roman"/>
                      <w:b/>
                      <w:color w:val="E9DFEB"/>
                      <w:w w:val="34"/>
                      <w:sz w:val="70"/>
                    </w:rPr>
                    <w:t>u</w:t>
                  </w:r>
                </w:p>
              </w:txbxContent>
            </v:textbox>
            <w10:wrap type="none"/>
          </v:shape>
        </w:pict>
      </w:r>
      <w:r>
        <w:rPr/>
        <w:pict>
          <v:shape style="position:absolute;margin-left:162.059555pt;margin-top:-58.109711pt;width:39.5pt;height:38.85pt;mso-position-horizontal-relative:page;mso-position-vertical-relative:paragraph;z-index:-267061248" type="#_x0000_t202" filled="false" stroked="false">
            <v:textbox inset="0,0,0,0">
              <w:txbxContent>
                <w:p>
                  <w:pPr>
                    <w:spacing w:line="776" w:lineRule="exact" w:before="0"/>
                    <w:ind w:left="0" w:right="0" w:firstLine="0"/>
                    <w:jc w:val="left"/>
                    <w:rPr>
                      <w:rFonts w:ascii="Arial"/>
                      <w:b/>
                      <w:sz w:val="24"/>
                    </w:rPr>
                  </w:pPr>
                  <w:r>
                    <w:rPr>
                      <w:rFonts w:ascii="Times New Roman"/>
                      <w:b/>
                      <w:color w:val="FDFBFD"/>
                      <w:w w:val="80"/>
                      <w:position w:val="-29"/>
                      <w:sz w:val="70"/>
                    </w:rPr>
                    <w:t>J</w:t>
                  </w:r>
                  <w:r>
                    <w:rPr>
                      <w:rFonts w:ascii="Times New Roman"/>
                      <w:b/>
                      <w:color w:val="FDFBFD"/>
                      <w:spacing w:val="-72"/>
                      <w:w w:val="80"/>
                      <w:position w:val="-29"/>
                      <w:sz w:val="70"/>
                    </w:rPr>
                    <w:t> </w:t>
                  </w:r>
                  <w:r>
                    <w:rPr>
                      <w:rFonts w:ascii="Arial"/>
                      <w:b/>
                      <w:color w:val="E9DFEB"/>
                      <w:w w:val="80"/>
                      <w:sz w:val="24"/>
                    </w:rPr>
                    <w:t>2010</w:t>
                  </w:r>
                </w:p>
              </w:txbxContent>
            </v:textbox>
            <w10:wrap type="none"/>
          </v:shape>
        </w:pict>
      </w:r>
      <w:r>
        <w:rPr/>
        <w:pict>
          <v:shape style="position:absolute;margin-left:62.345627pt;margin-top:-11.092107pt;width:30.7pt;height:13.45pt;mso-position-horizontal-relative:page;mso-position-vertical-relative:paragraph;z-index:-267060224" type="#_x0000_t202" filled="false" stroked="false">
            <v:textbox inset="0,0,0,0">
              <w:txbxContent>
                <w:p>
                  <w:pPr>
                    <w:spacing w:line="268" w:lineRule="exact" w:before="0"/>
                    <w:ind w:left="0" w:right="0" w:firstLine="0"/>
                    <w:jc w:val="left"/>
                    <w:rPr>
                      <w:rFonts w:ascii="Arial"/>
                      <w:sz w:val="24"/>
                    </w:rPr>
                  </w:pPr>
                  <w:r>
                    <w:rPr>
                      <w:rFonts w:ascii="Arial"/>
                      <w:color w:val="C3A8CA"/>
                      <w:sz w:val="24"/>
                    </w:rPr>
                    <w:t>hurch</w:t>
                  </w:r>
                </w:p>
              </w:txbxContent>
            </v:textbox>
            <w10:wrap type="none"/>
          </v:shape>
        </w:pict>
      </w:r>
      <w:r>
        <w:rPr/>
        <w:pict>
          <v:shape style="position:absolute;margin-left:67.472pt;margin-top:-63.874187pt;width:104.35pt;height:58.2pt;mso-position-horizontal-relative:page;mso-position-vertical-relative:paragraph;z-index:-267059200" coordorigin="1349,-1277" coordsize="2087,1164" path="m3436,-1277l1349,-1277,1349,-308,1875,-308,1875,-114,2765,-114,2914,-114,3131,-114,3131,-308,3436,-308,3436,-1277e" filled="true" fillcolor="#9562a1" stroked="false">
            <v:path arrowok="t"/>
            <v:fill type="solid"/>
            <w10:wrap type="none"/>
          </v:shape>
        </w:pict>
      </w:r>
      <w:r>
        <w:rPr/>
        <w:pict>
          <v:shape style="position:absolute;margin-left:53.492973pt;margin-top:-12.704919pt;width:38.75pt;height:16.4pt;mso-position-horizontal-relative:page;mso-position-vertical-relative:paragraph;z-index:-267058176" type="#_x0000_t202" filled="true" fillcolor="#9562a1" stroked="false">
            <v:textbox inset="0,0,0,0">
              <w:txbxContent>
                <w:p>
                  <w:pPr>
                    <w:spacing w:before="24"/>
                    <w:ind w:left="-1" w:right="0" w:firstLine="0"/>
                    <w:jc w:val="left"/>
                    <w:rPr>
                      <w:rFonts w:ascii="Arial"/>
                      <w:sz w:val="24"/>
                    </w:rPr>
                  </w:pPr>
                  <w:r>
                    <w:rPr>
                      <w:rFonts w:ascii="Arial"/>
                      <w:color w:val="C3A8CA"/>
                      <w:spacing w:val="-1"/>
                      <w:w w:val="102"/>
                      <w:sz w:val="24"/>
                    </w:rPr>
                    <w:t>C</w:t>
                  </w:r>
                </w:p>
              </w:txbxContent>
            </v:textbox>
            <v:fill type="solid"/>
            <w10:wrap type="none"/>
          </v:shape>
        </w:pict>
      </w:r>
      <w:r>
        <w:rPr/>
        <w:pict>
          <v:shape style="position:absolute;margin-left:138.271698pt;margin-top:-22.073221pt;width:20.45pt;height:27.2pt;mso-position-horizontal-relative:page;mso-position-vertical-relative:paragraph;z-index:-267057152" type="#_x0000_t202" filled="false" stroked="false">
            <v:textbox inset="0,0,0,0">
              <w:txbxContent>
                <w:p>
                  <w:pPr>
                    <w:spacing w:line="543" w:lineRule="exact" w:before="0"/>
                    <w:ind w:left="0" w:right="0" w:firstLine="0"/>
                    <w:jc w:val="left"/>
                    <w:rPr>
                      <w:rFonts w:ascii="Times New Roman"/>
                      <w:b/>
                      <w:sz w:val="49"/>
                    </w:rPr>
                  </w:pPr>
                  <w:r>
                    <w:rPr>
                      <w:rFonts w:ascii="Times New Roman"/>
                      <w:b/>
                      <w:color w:val="FDFBFD"/>
                      <w:w w:val="107"/>
                      <w:sz w:val="49"/>
                    </w:rPr>
                    <w:t>O</w:t>
                  </w:r>
                </w:p>
              </w:txbxContent>
            </v:textbox>
            <w10:wrap type="none"/>
          </v:shape>
        </w:pict>
      </w:r>
      <w:r>
        <w:rPr>
          <w:rFonts w:ascii="Times New Roman"/>
          <w:b/>
          <w:color w:val="C3A8CA"/>
          <w:spacing w:val="-1"/>
          <w:w w:val="93"/>
          <w:sz w:val="69"/>
          <w:shd w:fill="9562A1" w:color="auto" w:val="clear"/>
        </w:rPr>
        <w:t>C</w:t>
      </w:r>
      <w:r>
        <w:rPr>
          <w:rFonts w:ascii="Times New Roman"/>
          <w:b/>
          <w:color w:val="C3A8CA"/>
          <w:spacing w:val="59"/>
          <w:w w:val="93"/>
          <w:sz w:val="69"/>
          <w:shd w:fill="9562A1" w:color="auto" w:val="clear"/>
        </w:rPr>
        <w:t>h</w:t>
      </w:r>
      <w:r>
        <w:rPr>
          <w:rFonts w:ascii="Times New Roman"/>
          <w:b/>
          <w:color w:val="C3A8CA"/>
          <w:spacing w:val="40"/>
          <w:w w:val="100"/>
          <w:sz w:val="69"/>
          <w:shd w:fill="9562A1" w:color="auto" w:val="clear"/>
        </w:rPr>
        <w:t>u</w:t>
      </w:r>
      <w:r>
        <w:rPr>
          <w:rFonts w:ascii="Times New Roman"/>
          <w:b/>
          <w:color w:val="C3A8CA"/>
          <w:spacing w:val="-1"/>
          <w:w w:val="96"/>
          <w:sz w:val="69"/>
          <w:shd w:fill="9562A1" w:color="auto" w:val="clear"/>
        </w:rPr>
        <w:t>r</w:t>
      </w:r>
      <w:r>
        <w:rPr>
          <w:rFonts w:ascii="Times New Roman"/>
          <w:b/>
          <w:color w:val="C3A8CA"/>
          <w:spacing w:val="34"/>
          <w:w w:val="96"/>
          <w:sz w:val="69"/>
          <w:shd w:fill="9562A1" w:color="auto" w:val="clear"/>
        </w:rPr>
        <w:t>c</w:t>
      </w:r>
      <w:r>
        <w:rPr>
          <w:rFonts w:ascii="Times New Roman"/>
          <w:b/>
          <w:color w:val="C3A8CA"/>
          <w:w w:val="88"/>
          <w:sz w:val="69"/>
          <w:shd w:fill="9562A1" w:color="auto" w:val="clear"/>
        </w:rPr>
        <w:t>f</w:t>
      </w:r>
      <w:r>
        <w:rPr>
          <w:rFonts w:ascii="Times New Roman"/>
          <w:b/>
          <w:color w:val="C3A8CA"/>
          <w:spacing w:val="10"/>
          <w:w w:val="88"/>
          <w:sz w:val="69"/>
          <w:shd w:fill="9562A1" w:color="auto" w:val="clear"/>
        </w:rPr>
        <w:t>i</w:t>
      </w:r>
      <w:r>
        <w:rPr>
          <w:rFonts w:ascii="Times New Roman"/>
          <w:b/>
          <w:color w:val="DDCFE1"/>
          <w:spacing w:val="-1"/>
          <w:w w:val="42"/>
          <w:sz w:val="69"/>
          <w:shd w:fill="9562A1" w:color="auto" w:val="clear"/>
        </w:rPr>
        <w:t>hurch</w:t>
      </w:r>
    </w:p>
    <w:p>
      <w:pPr>
        <w:pStyle w:val="Heading5"/>
        <w:spacing w:before="315"/>
        <w:ind w:left="156"/>
        <w:rPr>
          <w:rFonts w:ascii="Arial"/>
        </w:rPr>
      </w:pPr>
      <w:r>
        <w:rPr/>
        <w:br w:type="column"/>
      </w:r>
      <w:r>
        <w:rPr>
          <w:rFonts w:ascii="Arial"/>
          <w:color w:val="DDCFE1"/>
          <w:w w:val="105"/>
          <w:shd w:fill="9562A1" w:color="auto" w:val="clear"/>
        </w:rPr>
        <w:t>2010</w:t>
      </w:r>
    </w:p>
    <w:p>
      <w:pPr>
        <w:spacing w:after="0"/>
        <w:rPr>
          <w:rFonts w:ascii="Arial"/>
        </w:rPr>
        <w:sectPr>
          <w:type w:val="continuous"/>
          <w:pgSz w:w="11910" w:h="16840"/>
          <w:pgMar w:top="860" w:bottom="280" w:left="0" w:right="0"/>
          <w:cols w:num="2" w:equalWidth="0">
            <w:col w:w="4493" w:space="40"/>
            <w:col w:w="7377"/>
          </w:cols>
        </w:sectPr>
      </w:pPr>
    </w:p>
    <w:p>
      <w:pPr>
        <w:spacing w:before="87"/>
        <w:ind w:left="1984" w:right="0" w:firstLine="0"/>
        <w:jc w:val="left"/>
        <w:rPr>
          <w:i/>
          <w:sz w:val="33"/>
        </w:rPr>
      </w:pPr>
      <w:r>
        <w:rPr/>
        <w:pict>
          <v:rect style="position:absolute;margin-left:0pt;margin-top:.000015pt;width:595.275pt;height:841.89pt;mso-position-horizontal-relative:page;mso-position-vertical-relative:page;z-index:-267056128" filled="true" fillcolor="#9662a1" stroked="false">
            <v:fill type="solid"/>
            <w10:wrap type="none"/>
          </v:rect>
        </w:pict>
      </w:r>
      <w:r>
        <w:rPr/>
        <w:pict>
          <v:group style="position:absolute;margin-left:9.055pt;margin-top:.000015pt;width:586.25pt;height:841.9pt;mso-position-horizontal-relative:page;mso-position-vertical-relative:page;z-index:-267055104" coordorigin="181,0" coordsize="11725,16838">
            <v:rect style="position:absolute;left:1530;top:0;width:10375;height:15789" filled="true" fillcolor="#ffffff" stroked="false">
              <v:fill type="solid"/>
            </v:rect>
            <v:rect style="position:absolute;left:11168;top:0;width:454;height:471" filled="true" fillcolor="#9662a1" stroked="false">
              <v:fill type="solid"/>
            </v:rect>
            <v:rect style="position:absolute;left:11168;top:625;width:454;height:454" filled="true" fillcolor="#c7b1d3" stroked="false">
              <v:fill type="solid"/>
            </v:rect>
            <v:rect style="position:absolute;left:11168;top:1249;width:454;height:454" filled="true" fillcolor="#dcd0e6" stroked="false">
              <v:fill opacity="32768f" type="solid"/>
            </v:rect>
            <v:shape style="position:absolute;left:1702;top:10673;width:8605;height:5284" coordorigin="1702,10674" coordsize="8605,5284" path="m1702,15717l1706,15856,1732,15927,1804,15954,1942,15957,10067,15957,10206,15954,10277,15927,10303,15856,10307,15717,10307,10914,10303,10775,10277,10704,10206,10678,10067,10674,1942,10674,1804,10678,1732,10704,1706,10775,1702,10914,1702,15717xe" filled="false" stroked="true" strokeweight="3pt" strokecolor="#000000">
              <v:path arrowok="t"/>
              <v:stroke dashstyle="solid"/>
            </v:shape>
            <v:shape style="position:absolute;left:181;top:14304;width:11725;height:2534" coordorigin="181,14305" coordsize="11725,2534" path="m11906,15789l2758,15789,2755,15788,2684,15773,2613,15753,2544,15731,2477,15706,2411,15677,2347,15646,2284,15611,2223,15574,2164,15534,2108,15492,2053,15447,2000,15400,1950,15350,1902,15298,1856,15244,1813,15188,1772,15129,1734,15069,1699,15007,1667,14943,1637,14878,1611,14811,1587,14742,1567,14672,1550,14601,1536,14529,1526,14455,1520,14380,1517,14305,1517,15789,181,15789,181,16838,11906,16838,11906,15789e" filled="true" fillcolor="#9662a1" stroked="false">
              <v:path arrowok="t"/>
              <v:fill type="solid"/>
            </v:shape>
            <w10:wrap type="none"/>
          </v:group>
        </w:pict>
      </w:r>
      <w:r>
        <w:rPr/>
        <w:pict>
          <v:shape style="position:absolute;margin-left:512.587891pt;margin-top:.790578pt;width:47.4pt;height:230.1pt;mso-position-horizontal-relative:page;mso-position-vertical-relative:paragraph;z-index:-267054080" type="#_x0000_t202" filled="false" stroked="false">
            <v:textbox inset="0,0,0,0" style="layout-flow:vertical">
              <w:txbxContent>
                <w:p>
                  <w:pPr>
                    <w:spacing w:line="937" w:lineRule="exact" w:before="10"/>
                    <w:ind w:left="20" w:right="0" w:firstLine="0"/>
                    <w:jc w:val="left"/>
                    <w:rPr>
                      <w:rFonts w:ascii="Stone Sans II ITC Std X Bd"/>
                      <w:b/>
                      <w:sz w:val="72"/>
                    </w:rPr>
                  </w:pPr>
                  <w:r>
                    <w:rPr>
                      <w:rFonts w:ascii="Stone Sans II ITC Std X Bd"/>
                      <w:b/>
                      <w:spacing w:val="-9"/>
                      <w:w w:val="110"/>
                      <w:sz w:val="72"/>
                    </w:rPr>
                    <w:t>Resolutions</w:t>
                  </w:r>
                </w:p>
              </w:txbxContent>
            </v:textbox>
            <w10:wrap type="none"/>
          </v:shape>
        </w:pict>
      </w:r>
      <w:r>
        <w:rPr>
          <w:color w:val="9662A1"/>
          <w:w w:val="120"/>
          <w:sz w:val="32"/>
        </w:rPr>
        <w:t>Mission Committee: </w:t>
      </w:r>
      <w:r>
        <w:rPr>
          <w:i/>
          <w:color w:val="9662A1"/>
          <w:w w:val="120"/>
          <w:sz w:val="33"/>
        </w:rPr>
        <w:t>vision2020</w:t>
      </w:r>
    </w:p>
    <w:p>
      <w:pPr>
        <w:pStyle w:val="BodyText"/>
        <w:spacing w:before="11"/>
        <w:rPr>
          <w:i/>
          <w:sz w:val="12"/>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4532"/>
      </w:tblGrid>
      <w:tr>
        <w:trPr>
          <w:trHeight w:val="645" w:hRule="atLeast"/>
        </w:trPr>
        <w:tc>
          <w:tcPr>
            <w:tcW w:w="247" w:type="dxa"/>
            <w:tcBorders>
              <w:top w:val="single" w:sz="24" w:space="0" w:color="000000"/>
              <w:left w:val="single" w:sz="48" w:space="0" w:color="000000"/>
            </w:tcBorders>
            <w:shd w:val="clear" w:color="auto" w:fill="FFFFFF"/>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tabs>
                <w:tab w:pos="3432" w:val="left" w:leader="none"/>
              </w:tabs>
              <w:spacing w:line="139" w:lineRule="auto" w:before="23"/>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4"/>
                <w:sz w:val="57"/>
              </w:rPr>
              <w:t>1</w:t>
            </w:r>
          </w:p>
        </w:tc>
        <w:tc>
          <w:tcPr>
            <w:tcW w:w="4532" w:type="dxa"/>
            <w:tcBorders>
              <w:top w:val="single" w:sz="24" w:space="0" w:color="000000"/>
              <w:right w:val="single" w:sz="48" w:space="0" w:color="000000"/>
            </w:tcBorders>
            <w:shd w:val="clear" w:color="auto" w:fill="FFFFFF"/>
          </w:tcPr>
          <w:p>
            <w:pPr>
              <w:pStyle w:val="TableParagraph"/>
              <w:rPr>
                <w:rFonts w:ascii="Times New Roman"/>
                <w:sz w:val="24"/>
              </w:rPr>
            </w:pPr>
          </w:p>
        </w:tc>
      </w:tr>
      <w:tr>
        <w:trPr>
          <w:trHeight w:val="3271" w:hRule="atLeast"/>
        </w:trPr>
        <w:tc>
          <w:tcPr>
            <w:tcW w:w="8604" w:type="dxa"/>
            <w:gridSpan w:val="3"/>
            <w:tcBorders>
              <w:left w:val="single" w:sz="48" w:space="0" w:color="000000"/>
              <w:bottom w:val="single" w:sz="24" w:space="0" w:color="000000"/>
              <w:right w:val="single" w:sz="48" w:space="0" w:color="000000"/>
            </w:tcBorders>
            <w:shd w:val="clear" w:color="auto" w:fill="FFFFFF"/>
          </w:tcPr>
          <w:p>
            <w:pPr>
              <w:pStyle w:val="TableParagraph"/>
              <w:spacing w:before="9"/>
              <w:rPr>
                <w:i/>
                <w:sz w:val="30"/>
              </w:rPr>
            </w:pPr>
          </w:p>
          <w:p>
            <w:pPr>
              <w:pStyle w:val="TableParagraph"/>
              <w:numPr>
                <w:ilvl w:val="0"/>
                <w:numId w:val="190"/>
              </w:numPr>
              <w:tabs>
                <w:tab w:pos="946" w:val="left" w:leader="none"/>
                <w:tab w:pos="948" w:val="left" w:leader="none"/>
              </w:tabs>
              <w:spacing w:line="235" w:lineRule="auto" w:before="0" w:after="0"/>
              <w:ind w:left="947" w:right="363" w:hanging="681"/>
              <w:jc w:val="left"/>
              <w:rPr>
                <w:sz w:val="20"/>
              </w:rPr>
            </w:pPr>
            <w:r>
              <w:rPr>
                <w:spacing w:val="5"/>
                <w:w w:val="120"/>
                <w:sz w:val="20"/>
              </w:rPr>
              <w:t>General Assembly </w:t>
            </w:r>
            <w:r>
              <w:rPr>
                <w:spacing w:val="4"/>
                <w:w w:val="120"/>
                <w:sz w:val="20"/>
              </w:rPr>
              <w:t>celebrates </w:t>
            </w:r>
            <w:r>
              <w:rPr>
                <w:spacing w:val="2"/>
                <w:w w:val="120"/>
                <w:sz w:val="20"/>
              </w:rPr>
              <w:t>God’s  </w:t>
            </w:r>
            <w:r>
              <w:rPr>
                <w:spacing w:val="4"/>
                <w:w w:val="120"/>
                <w:sz w:val="20"/>
              </w:rPr>
              <w:t>calling </w:t>
            </w:r>
            <w:r>
              <w:rPr>
                <w:w w:val="120"/>
                <w:sz w:val="20"/>
              </w:rPr>
              <w:t>to  </w:t>
            </w:r>
            <w:r>
              <w:rPr>
                <w:spacing w:val="3"/>
                <w:w w:val="120"/>
                <w:sz w:val="20"/>
              </w:rPr>
              <w:t>each </w:t>
            </w:r>
            <w:r>
              <w:rPr>
                <w:spacing w:val="4"/>
                <w:w w:val="120"/>
                <w:sz w:val="20"/>
              </w:rPr>
              <w:t>and </w:t>
            </w:r>
            <w:r>
              <w:rPr>
                <w:spacing w:val="6"/>
                <w:w w:val="120"/>
                <w:sz w:val="20"/>
              </w:rPr>
              <w:t>every </w:t>
            </w:r>
            <w:r>
              <w:rPr>
                <w:spacing w:val="3"/>
                <w:w w:val="120"/>
                <w:sz w:val="20"/>
              </w:rPr>
              <w:t>member, </w:t>
            </w:r>
            <w:r>
              <w:rPr>
                <w:spacing w:val="5"/>
                <w:w w:val="120"/>
                <w:sz w:val="20"/>
              </w:rPr>
              <w:t>local </w:t>
            </w:r>
            <w:r>
              <w:rPr>
                <w:spacing w:val="3"/>
                <w:w w:val="120"/>
                <w:sz w:val="20"/>
              </w:rPr>
              <w:t>church, </w:t>
            </w:r>
            <w:r>
              <w:rPr>
                <w:spacing w:val="5"/>
                <w:w w:val="120"/>
                <w:sz w:val="20"/>
              </w:rPr>
              <w:t>synod, </w:t>
            </w:r>
            <w:r>
              <w:rPr>
                <w:spacing w:val="3"/>
                <w:w w:val="120"/>
                <w:sz w:val="20"/>
              </w:rPr>
              <w:t>council </w:t>
            </w:r>
            <w:r>
              <w:rPr>
                <w:spacing w:val="4"/>
                <w:w w:val="120"/>
                <w:sz w:val="20"/>
              </w:rPr>
              <w:t>and committee </w:t>
            </w:r>
            <w:r>
              <w:rPr>
                <w:w w:val="120"/>
                <w:sz w:val="20"/>
              </w:rPr>
              <w:t>to </w:t>
            </w:r>
            <w:r>
              <w:rPr>
                <w:spacing w:val="4"/>
                <w:w w:val="120"/>
                <w:sz w:val="20"/>
              </w:rPr>
              <w:t>join </w:t>
            </w:r>
            <w:r>
              <w:rPr>
                <w:spacing w:val="2"/>
                <w:w w:val="120"/>
                <w:sz w:val="20"/>
              </w:rPr>
              <w:t>in God’s </w:t>
            </w:r>
            <w:r>
              <w:rPr>
                <w:spacing w:val="5"/>
                <w:w w:val="120"/>
                <w:sz w:val="20"/>
              </w:rPr>
              <w:t>transformational journey </w:t>
            </w:r>
            <w:r>
              <w:rPr>
                <w:spacing w:val="3"/>
                <w:w w:val="120"/>
                <w:sz w:val="20"/>
              </w:rPr>
              <w:t>of </w:t>
            </w:r>
            <w:r>
              <w:rPr>
                <w:spacing w:val="5"/>
                <w:w w:val="120"/>
                <w:sz w:val="20"/>
              </w:rPr>
              <w:t>good </w:t>
            </w:r>
            <w:r>
              <w:rPr>
                <w:spacing w:val="4"/>
                <w:w w:val="120"/>
                <w:sz w:val="20"/>
              </w:rPr>
              <w:t>news </w:t>
            </w:r>
            <w:r>
              <w:rPr>
                <w:spacing w:val="3"/>
                <w:w w:val="120"/>
                <w:sz w:val="20"/>
              </w:rPr>
              <w:t>for all</w:t>
            </w:r>
            <w:r>
              <w:rPr>
                <w:spacing w:val="7"/>
                <w:w w:val="120"/>
                <w:sz w:val="20"/>
              </w:rPr>
              <w:t> </w:t>
            </w:r>
            <w:r>
              <w:rPr>
                <w:spacing w:val="4"/>
                <w:w w:val="120"/>
                <w:sz w:val="20"/>
              </w:rPr>
              <w:t>creation.</w:t>
            </w:r>
          </w:p>
          <w:p>
            <w:pPr>
              <w:pStyle w:val="TableParagraph"/>
              <w:spacing w:before="10"/>
              <w:rPr>
                <w:i/>
                <w:sz w:val="19"/>
              </w:rPr>
            </w:pPr>
          </w:p>
          <w:p>
            <w:pPr>
              <w:pStyle w:val="TableParagraph"/>
              <w:numPr>
                <w:ilvl w:val="0"/>
                <w:numId w:val="190"/>
              </w:numPr>
              <w:tabs>
                <w:tab w:pos="947" w:val="left" w:leader="none"/>
                <w:tab w:pos="948" w:val="left" w:leader="none"/>
              </w:tabs>
              <w:spacing w:line="235" w:lineRule="auto" w:before="0" w:after="0"/>
              <w:ind w:left="947" w:right="456" w:hanging="681"/>
              <w:jc w:val="left"/>
              <w:rPr>
                <w:sz w:val="20"/>
              </w:rPr>
            </w:pPr>
            <w:r>
              <w:rPr>
                <w:spacing w:val="5"/>
                <w:w w:val="120"/>
                <w:sz w:val="20"/>
              </w:rPr>
              <w:t>General Assembly </w:t>
            </w:r>
            <w:r>
              <w:rPr>
                <w:spacing w:val="4"/>
                <w:w w:val="120"/>
                <w:sz w:val="20"/>
              </w:rPr>
              <w:t>gives </w:t>
            </w:r>
            <w:r>
              <w:rPr>
                <w:spacing w:val="5"/>
                <w:w w:val="120"/>
                <w:sz w:val="20"/>
              </w:rPr>
              <w:t>thanks </w:t>
            </w:r>
            <w:r>
              <w:rPr>
                <w:spacing w:val="3"/>
                <w:w w:val="120"/>
                <w:sz w:val="20"/>
              </w:rPr>
              <w:t>for </w:t>
            </w:r>
            <w:r>
              <w:rPr>
                <w:spacing w:val="4"/>
                <w:w w:val="120"/>
                <w:sz w:val="20"/>
              </w:rPr>
              <w:t>the mission </w:t>
            </w:r>
            <w:r>
              <w:rPr>
                <w:spacing w:val="5"/>
                <w:w w:val="120"/>
                <w:sz w:val="20"/>
              </w:rPr>
              <w:t>journey </w:t>
            </w:r>
            <w:r>
              <w:rPr>
                <w:spacing w:val="3"/>
                <w:w w:val="120"/>
                <w:sz w:val="20"/>
              </w:rPr>
              <w:t>of </w:t>
            </w:r>
            <w:r>
              <w:rPr>
                <w:spacing w:val="4"/>
                <w:w w:val="120"/>
                <w:sz w:val="20"/>
              </w:rPr>
              <w:t>the United </w:t>
            </w:r>
            <w:r>
              <w:rPr>
                <w:spacing w:val="5"/>
                <w:w w:val="120"/>
                <w:sz w:val="20"/>
              </w:rPr>
              <w:t>Reformed </w:t>
            </w:r>
            <w:r>
              <w:rPr>
                <w:spacing w:val="3"/>
                <w:w w:val="120"/>
                <w:sz w:val="20"/>
              </w:rPr>
              <w:t>Church </w:t>
            </w:r>
            <w:r>
              <w:rPr>
                <w:spacing w:val="2"/>
                <w:w w:val="120"/>
                <w:sz w:val="20"/>
              </w:rPr>
              <w:t>in </w:t>
            </w:r>
            <w:r>
              <w:rPr>
                <w:spacing w:val="4"/>
                <w:w w:val="120"/>
                <w:sz w:val="20"/>
              </w:rPr>
              <w:t>years gone </w:t>
            </w:r>
            <w:r>
              <w:rPr>
                <w:w w:val="120"/>
                <w:sz w:val="20"/>
              </w:rPr>
              <w:t>by </w:t>
            </w:r>
            <w:r>
              <w:rPr>
                <w:spacing w:val="3"/>
                <w:w w:val="120"/>
                <w:sz w:val="20"/>
              </w:rPr>
              <w:t>but </w:t>
            </w:r>
            <w:r>
              <w:rPr>
                <w:spacing w:val="4"/>
                <w:w w:val="120"/>
                <w:sz w:val="20"/>
              </w:rPr>
              <w:t>recognises the </w:t>
            </w:r>
            <w:r>
              <w:rPr>
                <w:spacing w:val="5"/>
                <w:w w:val="120"/>
                <w:sz w:val="20"/>
              </w:rPr>
              <w:t>significant challenges</w:t>
            </w:r>
            <w:r>
              <w:rPr>
                <w:spacing w:val="15"/>
                <w:w w:val="120"/>
                <w:sz w:val="20"/>
              </w:rPr>
              <w:t> </w:t>
            </w:r>
            <w:r>
              <w:rPr>
                <w:spacing w:val="4"/>
                <w:w w:val="120"/>
                <w:sz w:val="20"/>
              </w:rPr>
              <w:t>ahead</w:t>
            </w:r>
            <w:r>
              <w:rPr>
                <w:spacing w:val="16"/>
                <w:w w:val="120"/>
                <w:sz w:val="20"/>
              </w:rPr>
              <w:t> </w:t>
            </w:r>
            <w:r>
              <w:rPr>
                <w:spacing w:val="2"/>
                <w:w w:val="120"/>
                <w:sz w:val="20"/>
              </w:rPr>
              <w:t>in</w:t>
            </w:r>
            <w:r>
              <w:rPr>
                <w:spacing w:val="15"/>
                <w:w w:val="120"/>
                <w:sz w:val="20"/>
              </w:rPr>
              <w:t> </w:t>
            </w:r>
            <w:r>
              <w:rPr>
                <w:spacing w:val="3"/>
                <w:w w:val="120"/>
                <w:sz w:val="20"/>
              </w:rPr>
              <w:t>our</w:t>
            </w:r>
            <w:r>
              <w:rPr>
                <w:spacing w:val="16"/>
                <w:w w:val="120"/>
                <w:sz w:val="20"/>
              </w:rPr>
              <w:t> </w:t>
            </w:r>
            <w:r>
              <w:rPr>
                <w:spacing w:val="5"/>
                <w:w w:val="120"/>
                <w:sz w:val="20"/>
              </w:rPr>
              <w:t>denomination</w:t>
            </w:r>
            <w:r>
              <w:rPr>
                <w:spacing w:val="16"/>
                <w:w w:val="120"/>
                <w:sz w:val="20"/>
              </w:rPr>
              <w:t> </w:t>
            </w:r>
            <w:r>
              <w:rPr>
                <w:spacing w:val="4"/>
                <w:w w:val="120"/>
                <w:sz w:val="20"/>
              </w:rPr>
              <w:t>and</w:t>
            </w:r>
            <w:r>
              <w:rPr>
                <w:spacing w:val="15"/>
                <w:w w:val="120"/>
                <w:sz w:val="20"/>
              </w:rPr>
              <w:t> </w:t>
            </w:r>
            <w:r>
              <w:rPr>
                <w:spacing w:val="2"/>
                <w:w w:val="120"/>
                <w:sz w:val="20"/>
              </w:rPr>
              <w:t>in</w:t>
            </w:r>
            <w:r>
              <w:rPr>
                <w:spacing w:val="16"/>
                <w:w w:val="120"/>
                <w:sz w:val="20"/>
              </w:rPr>
              <w:t> </w:t>
            </w:r>
            <w:r>
              <w:rPr>
                <w:spacing w:val="3"/>
                <w:w w:val="120"/>
                <w:sz w:val="20"/>
              </w:rPr>
              <w:t>our</w:t>
            </w:r>
            <w:r>
              <w:rPr>
                <w:spacing w:val="16"/>
                <w:w w:val="120"/>
                <w:sz w:val="20"/>
              </w:rPr>
              <w:t> </w:t>
            </w:r>
            <w:r>
              <w:rPr>
                <w:spacing w:val="4"/>
                <w:w w:val="120"/>
                <w:sz w:val="20"/>
              </w:rPr>
              <w:t>world.</w:t>
            </w:r>
          </w:p>
          <w:p>
            <w:pPr>
              <w:pStyle w:val="TableParagraph"/>
              <w:spacing w:before="10"/>
              <w:rPr>
                <w:i/>
                <w:sz w:val="19"/>
              </w:rPr>
            </w:pPr>
          </w:p>
          <w:p>
            <w:pPr>
              <w:pStyle w:val="TableParagraph"/>
              <w:numPr>
                <w:ilvl w:val="0"/>
                <w:numId w:val="190"/>
              </w:numPr>
              <w:tabs>
                <w:tab w:pos="947" w:val="left" w:leader="none"/>
                <w:tab w:pos="948" w:val="left" w:leader="none"/>
              </w:tabs>
              <w:spacing w:line="235" w:lineRule="auto" w:before="0" w:after="0"/>
              <w:ind w:left="947" w:right="598" w:hanging="681"/>
              <w:jc w:val="left"/>
              <w:rPr>
                <w:sz w:val="20"/>
              </w:rPr>
            </w:pPr>
            <w:r>
              <w:rPr>
                <w:spacing w:val="5"/>
                <w:w w:val="120"/>
                <w:sz w:val="20"/>
              </w:rPr>
              <w:t>General Assembly adopts </w:t>
            </w:r>
            <w:r>
              <w:rPr>
                <w:spacing w:val="4"/>
                <w:w w:val="120"/>
                <w:sz w:val="20"/>
              </w:rPr>
              <w:t>the </w:t>
            </w:r>
            <w:r>
              <w:rPr>
                <w:i/>
                <w:w w:val="120"/>
                <w:sz w:val="20"/>
              </w:rPr>
              <w:t>vision2020 </w:t>
            </w:r>
            <w:r>
              <w:rPr>
                <w:spacing w:val="5"/>
                <w:w w:val="120"/>
                <w:sz w:val="20"/>
              </w:rPr>
              <w:t>Framework </w:t>
            </w:r>
            <w:r>
              <w:rPr>
                <w:spacing w:val="2"/>
                <w:w w:val="120"/>
                <w:sz w:val="20"/>
              </w:rPr>
              <w:t>as </w:t>
            </w:r>
            <w:r>
              <w:rPr>
                <w:spacing w:val="4"/>
                <w:w w:val="120"/>
                <w:sz w:val="20"/>
              </w:rPr>
              <w:t>the </w:t>
            </w:r>
            <w:r>
              <w:rPr>
                <w:spacing w:val="6"/>
                <w:w w:val="120"/>
                <w:sz w:val="20"/>
              </w:rPr>
              <w:t>primary </w:t>
            </w:r>
            <w:r>
              <w:rPr>
                <w:spacing w:val="4"/>
                <w:w w:val="120"/>
                <w:sz w:val="20"/>
              </w:rPr>
              <w:t>process </w:t>
            </w:r>
            <w:r>
              <w:rPr>
                <w:spacing w:val="3"/>
                <w:w w:val="120"/>
                <w:sz w:val="20"/>
              </w:rPr>
              <w:t>of </w:t>
            </w:r>
            <w:r>
              <w:rPr>
                <w:spacing w:val="4"/>
                <w:w w:val="120"/>
                <w:sz w:val="20"/>
              </w:rPr>
              <w:t>mission planning and </w:t>
            </w:r>
            <w:r>
              <w:rPr>
                <w:spacing w:val="3"/>
                <w:w w:val="120"/>
                <w:sz w:val="20"/>
              </w:rPr>
              <w:t>church </w:t>
            </w:r>
            <w:r>
              <w:rPr>
                <w:spacing w:val="5"/>
                <w:w w:val="120"/>
                <w:sz w:val="20"/>
              </w:rPr>
              <w:t>growth </w:t>
            </w:r>
            <w:r>
              <w:rPr>
                <w:spacing w:val="3"/>
                <w:w w:val="120"/>
                <w:sz w:val="20"/>
              </w:rPr>
              <w:t>for </w:t>
            </w:r>
            <w:r>
              <w:rPr>
                <w:spacing w:val="4"/>
                <w:w w:val="120"/>
                <w:sz w:val="20"/>
              </w:rPr>
              <w:t>the United </w:t>
            </w:r>
            <w:r>
              <w:rPr>
                <w:spacing w:val="5"/>
                <w:w w:val="120"/>
                <w:sz w:val="20"/>
              </w:rPr>
              <w:t>Reformed </w:t>
            </w:r>
            <w:r>
              <w:rPr>
                <w:spacing w:val="3"/>
                <w:w w:val="120"/>
                <w:sz w:val="20"/>
              </w:rPr>
              <w:t>Church </w:t>
            </w:r>
            <w:r>
              <w:rPr>
                <w:spacing w:val="2"/>
                <w:w w:val="120"/>
                <w:sz w:val="20"/>
              </w:rPr>
              <w:t>in </w:t>
            </w:r>
            <w:r>
              <w:rPr>
                <w:spacing w:val="4"/>
                <w:w w:val="120"/>
                <w:sz w:val="20"/>
              </w:rPr>
              <w:t>the </w:t>
            </w:r>
            <w:r>
              <w:rPr>
                <w:spacing w:val="3"/>
                <w:w w:val="120"/>
                <w:sz w:val="20"/>
              </w:rPr>
              <w:t>coming </w:t>
            </w:r>
            <w:r>
              <w:rPr>
                <w:spacing w:val="4"/>
                <w:w w:val="120"/>
                <w:sz w:val="20"/>
              </w:rPr>
              <w:t>decade.</w:t>
            </w:r>
          </w:p>
        </w:tc>
      </w:tr>
    </w:tbl>
    <w:p>
      <w:pPr>
        <w:pStyle w:val="BodyText"/>
        <w:spacing w:before="7"/>
        <w:rPr>
          <w:i/>
          <w:sz w:val="49"/>
        </w:rPr>
      </w:pPr>
    </w:p>
    <w:p>
      <w:pPr>
        <w:pStyle w:val="Heading5"/>
        <w:spacing w:line="244" w:lineRule="auto"/>
        <w:ind w:right="2735"/>
      </w:pPr>
      <w:r>
        <w:rPr>
          <w:color w:val="9662A1"/>
          <w:spacing w:val="-4"/>
          <w:w w:val="120"/>
        </w:rPr>
        <w:t>Mission </w:t>
      </w:r>
      <w:r>
        <w:rPr>
          <w:color w:val="9662A1"/>
          <w:spacing w:val="-6"/>
          <w:w w:val="120"/>
        </w:rPr>
        <w:t>Council: </w:t>
      </w:r>
      <w:r>
        <w:rPr>
          <w:color w:val="9662A1"/>
          <w:spacing w:val="-4"/>
          <w:w w:val="120"/>
        </w:rPr>
        <w:t>ethical </w:t>
      </w:r>
      <w:r>
        <w:rPr>
          <w:color w:val="9662A1"/>
          <w:spacing w:val="-5"/>
          <w:w w:val="120"/>
        </w:rPr>
        <w:t>investment </w:t>
      </w:r>
      <w:r>
        <w:rPr>
          <w:color w:val="9662A1"/>
          <w:spacing w:val="-4"/>
          <w:w w:val="120"/>
        </w:rPr>
        <w:t>statement </w:t>
      </w:r>
      <w:r>
        <w:rPr>
          <w:color w:val="9662A1"/>
          <w:w w:val="120"/>
        </w:rPr>
        <w:t>of </w:t>
      </w:r>
      <w:r>
        <w:rPr>
          <w:color w:val="9662A1"/>
          <w:spacing w:val="-4"/>
          <w:w w:val="120"/>
        </w:rPr>
        <w:t>principle</w:t>
      </w:r>
    </w:p>
    <w:p>
      <w:pPr>
        <w:pStyle w:val="BodyText"/>
        <w:spacing w:before="9"/>
        <w:rPr>
          <w:sz w:val="13"/>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4532"/>
      </w:tblGrid>
      <w:tr>
        <w:trPr>
          <w:trHeight w:val="645" w:hRule="atLeast"/>
        </w:trPr>
        <w:tc>
          <w:tcPr>
            <w:tcW w:w="247" w:type="dxa"/>
            <w:tcBorders>
              <w:top w:val="single" w:sz="24" w:space="0" w:color="000000"/>
              <w:left w:val="single" w:sz="48" w:space="0" w:color="000000"/>
            </w:tcBorders>
            <w:shd w:val="clear" w:color="auto" w:fill="FFFFFF"/>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tabs>
                <w:tab w:pos="3432" w:val="left" w:leader="none"/>
              </w:tabs>
              <w:spacing w:line="146" w:lineRule="auto" w:before="24"/>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2"/>
                <w:sz w:val="57"/>
              </w:rPr>
              <w:t>2</w:t>
            </w:r>
          </w:p>
        </w:tc>
        <w:tc>
          <w:tcPr>
            <w:tcW w:w="4532" w:type="dxa"/>
            <w:tcBorders>
              <w:top w:val="single" w:sz="24" w:space="0" w:color="000000"/>
              <w:right w:val="single" w:sz="48" w:space="0" w:color="000000"/>
            </w:tcBorders>
            <w:shd w:val="clear" w:color="auto" w:fill="FFFFFF"/>
          </w:tcPr>
          <w:p>
            <w:pPr>
              <w:pStyle w:val="TableParagraph"/>
              <w:rPr>
                <w:rFonts w:ascii="Times New Roman"/>
                <w:sz w:val="24"/>
              </w:rPr>
            </w:pPr>
          </w:p>
        </w:tc>
      </w:tr>
      <w:tr>
        <w:trPr>
          <w:trHeight w:val="1338" w:hRule="atLeast"/>
        </w:trPr>
        <w:tc>
          <w:tcPr>
            <w:tcW w:w="8604" w:type="dxa"/>
            <w:gridSpan w:val="3"/>
            <w:tcBorders>
              <w:left w:val="single" w:sz="48" w:space="0" w:color="000000"/>
              <w:bottom w:val="single" w:sz="24" w:space="0" w:color="000000"/>
              <w:right w:val="single" w:sz="48" w:space="0" w:color="000000"/>
            </w:tcBorders>
            <w:shd w:val="clear" w:color="auto" w:fill="FFFFFF"/>
          </w:tcPr>
          <w:p>
            <w:pPr>
              <w:pStyle w:val="TableParagraph"/>
              <w:spacing w:before="7"/>
              <w:rPr>
                <w:sz w:val="29"/>
              </w:rPr>
            </w:pPr>
          </w:p>
          <w:p>
            <w:pPr>
              <w:pStyle w:val="TableParagraph"/>
              <w:spacing w:line="235" w:lineRule="auto"/>
              <w:ind w:left="266" w:right="153"/>
              <w:rPr>
                <w:sz w:val="20"/>
              </w:rPr>
            </w:pPr>
            <w:r>
              <w:rPr>
                <w:w w:val="120"/>
                <w:sz w:val="20"/>
              </w:rPr>
              <w:t>General Assembly welcomes the statement ‘Ethical investment principles for the use of the United Reformed Church’ for the guidance of those responsible for making investment decisions.</w:t>
            </w:r>
          </w:p>
        </w:tc>
      </w:tr>
    </w:tbl>
    <w:p>
      <w:pPr>
        <w:pStyle w:val="BodyText"/>
        <w:spacing w:before="6"/>
        <w:rPr>
          <w:sz w:val="49"/>
        </w:rPr>
      </w:pPr>
    </w:p>
    <w:p>
      <w:pPr>
        <w:spacing w:before="1"/>
        <w:ind w:left="1984" w:right="0" w:firstLine="0"/>
        <w:jc w:val="left"/>
        <w:rPr>
          <w:sz w:val="32"/>
        </w:rPr>
      </w:pPr>
      <w:r>
        <w:rPr>
          <w:color w:val="9662A1"/>
          <w:w w:val="120"/>
          <w:sz w:val="32"/>
        </w:rPr>
        <w:t>Mission Council: Nestlé</w:t>
      </w:r>
    </w:p>
    <w:p>
      <w:pPr>
        <w:pStyle w:val="BodyText"/>
        <w:spacing w:before="8"/>
        <w:rPr>
          <w:sz w:val="15"/>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4532"/>
      </w:tblGrid>
      <w:tr>
        <w:trPr>
          <w:trHeight w:val="632" w:hRule="atLeast"/>
        </w:trPr>
        <w:tc>
          <w:tcPr>
            <w:tcW w:w="247" w:type="dxa"/>
            <w:tcBorders>
              <w:top w:val="single" w:sz="34" w:space="0" w:color="000000"/>
              <w:left w:val="single" w:sz="48" w:space="0" w:color="000000"/>
            </w:tcBorders>
            <w:shd w:val="clear" w:color="auto" w:fill="FFFFFF"/>
          </w:tcPr>
          <w:p>
            <w:pPr>
              <w:pStyle w:val="TableParagraph"/>
              <w:rPr>
                <w:rFonts w:ascii="Times New Roman"/>
                <w:sz w:val="24"/>
              </w:rPr>
            </w:pPr>
          </w:p>
        </w:tc>
        <w:tc>
          <w:tcPr>
            <w:tcW w:w="3825" w:type="dxa"/>
            <w:tcBorders>
              <w:top w:val="single" w:sz="34" w:space="0" w:color="000000"/>
            </w:tcBorders>
            <w:shd w:val="clear" w:color="auto" w:fill="9662A1"/>
          </w:tcPr>
          <w:p>
            <w:pPr>
              <w:pStyle w:val="TableParagraph"/>
              <w:tabs>
                <w:tab w:pos="3432" w:val="left" w:leader="none"/>
              </w:tabs>
              <w:spacing w:line="146" w:lineRule="auto" w:before="16"/>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1"/>
                <w:sz w:val="57"/>
              </w:rPr>
              <w:t>3</w:t>
            </w:r>
          </w:p>
        </w:tc>
        <w:tc>
          <w:tcPr>
            <w:tcW w:w="4532" w:type="dxa"/>
            <w:tcBorders>
              <w:top w:val="single" w:sz="34" w:space="0" w:color="000000"/>
              <w:right w:val="single" w:sz="48" w:space="0" w:color="000000"/>
            </w:tcBorders>
            <w:shd w:val="clear" w:color="auto" w:fill="FFFFFF"/>
          </w:tcPr>
          <w:p>
            <w:pPr>
              <w:pStyle w:val="TableParagraph"/>
              <w:rPr>
                <w:rFonts w:ascii="Times New Roman"/>
                <w:sz w:val="24"/>
              </w:rPr>
            </w:pPr>
          </w:p>
        </w:tc>
      </w:tr>
      <w:tr>
        <w:trPr>
          <w:trHeight w:val="4507" w:hRule="atLeast"/>
        </w:trPr>
        <w:tc>
          <w:tcPr>
            <w:tcW w:w="8604" w:type="dxa"/>
            <w:gridSpan w:val="3"/>
            <w:tcBorders>
              <w:left w:val="single" w:sz="48" w:space="0" w:color="000000"/>
              <w:right w:val="single" w:sz="48" w:space="0" w:color="000000"/>
            </w:tcBorders>
            <w:shd w:val="clear" w:color="auto" w:fill="FFFFFF"/>
          </w:tcPr>
          <w:p>
            <w:pPr>
              <w:pStyle w:val="TableParagraph"/>
              <w:spacing w:before="2"/>
              <w:rPr>
                <w:sz w:val="28"/>
              </w:rPr>
            </w:pPr>
          </w:p>
          <w:p>
            <w:pPr>
              <w:pStyle w:val="TableParagraph"/>
              <w:spacing w:line="235" w:lineRule="auto"/>
              <w:ind w:left="266" w:right="153"/>
              <w:rPr>
                <w:sz w:val="20"/>
              </w:rPr>
            </w:pPr>
            <w:r>
              <w:rPr>
                <w:w w:val="120"/>
                <w:sz w:val="20"/>
              </w:rPr>
              <w:t>Having conducted a thorough review of Nestlé’s reporting and management systems related to the marketing of breast-milk substitutes and compliance with the relevant international health codes and resolutions based on:</w:t>
            </w:r>
          </w:p>
          <w:p>
            <w:pPr>
              <w:pStyle w:val="TableParagraph"/>
              <w:numPr>
                <w:ilvl w:val="0"/>
                <w:numId w:val="191"/>
              </w:numPr>
              <w:tabs>
                <w:tab w:pos="946" w:val="left" w:leader="none"/>
                <w:tab w:pos="948" w:val="left" w:leader="none"/>
              </w:tabs>
              <w:spacing w:line="240" w:lineRule="exact" w:before="0" w:after="0"/>
              <w:ind w:left="947" w:right="0" w:hanging="682"/>
              <w:jc w:val="left"/>
              <w:rPr>
                <w:sz w:val="20"/>
              </w:rPr>
            </w:pPr>
            <w:r>
              <w:rPr>
                <w:w w:val="120"/>
                <w:sz w:val="20"/>
              </w:rPr>
              <w:t>the guiding principles for the revised Ethical Investment Policy of the</w:t>
            </w:r>
            <w:r>
              <w:rPr>
                <w:spacing w:val="10"/>
                <w:w w:val="120"/>
                <w:sz w:val="20"/>
              </w:rPr>
              <w:t> </w:t>
            </w:r>
            <w:r>
              <w:rPr>
                <w:w w:val="120"/>
                <w:sz w:val="20"/>
              </w:rPr>
              <w:t>URC;</w:t>
            </w:r>
          </w:p>
          <w:p>
            <w:pPr>
              <w:pStyle w:val="TableParagraph"/>
              <w:numPr>
                <w:ilvl w:val="0"/>
                <w:numId w:val="191"/>
              </w:numPr>
              <w:tabs>
                <w:tab w:pos="947" w:val="left" w:leader="none"/>
                <w:tab w:pos="948" w:val="left" w:leader="none"/>
              </w:tabs>
              <w:spacing w:line="240" w:lineRule="exact" w:before="0" w:after="0"/>
              <w:ind w:left="947" w:right="0" w:hanging="682"/>
              <w:jc w:val="left"/>
              <w:rPr>
                <w:sz w:val="20"/>
              </w:rPr>
            </w:pPr>
            <w:r>
              <w:rPr>
                <w:spacing w:val="4"/>
                <w:w w:val="120"/>
                <w:sz w:val="20"/>
              </w:rPr>
              <w:t>the latest EIRIS </w:t>
            </w:r>
            <w:r>
              <w:rPr>
                <w:spacing w:val="5"/>
                <w:w w:val="120"/>
                <w:sz w:val="20"/>
              </w:rPr>
              <w:t>Profile </w:t>
            </w:r>
            <w:r>
              <w:rPr>
                <w:spacing w:val="6"/>
                <w:w w:val="120"/>
                <w:sz w:val="20"/>
              </w:rPr>
              <w:t>Report </w:t>
            </w:r>
            <w:r>
              <w:rPr>
                <w:spacing w:val="3"/>
                <w:w w:val="120"/>
                <w:sz w:val="20"/>
              </w:rPr>
              <w:t>on </w:t>
            </w:r>
            <w:r>
              <w:rPr>
                <w:spacing w:val="5"/>
                <w:w w:val="120"/>
                <w:sz w:val="20"/>
              </w:rPr>
              <w:t>Nestlé </w:t>
            </w:r>
            <w:r>
              <w:rPr>
                <w:spacing w:val="4"/>
                <w:w w:val="120"/>
                <w:sz w:val="20"/>
              </w:rPr>
              <w:t>(December</w:t>
            </w:r>
            <w:r>
              <w:rPr>
                <w:spacing w:val="23"/>
                <w:w w:val="120"/>
                <w:sz w:val="20"/>
              </w:rPr>
              <w:t> </w:t>
            </w:r>
            <w:r>
              <w:rPr>
                <w:spacing w:val="3"/>
                <w:w w:val="120"/>
                <w:sz w:val="20"/>
              </w:rPr>
              <w:t>2009);</w:t>
            </w:r>
          </w:p>
          <w:p>
            <w:pPr>
              <w:pStyle w:val="TableParagraph"/>
              <w:numPr>
                <w:ilvl w:val="0"/>
                <w:numId w:val="191"/>
              </w:numPr>
              <w:tabs>
                <w:tab w:pos="947" w:val="left" w:leader="none"/>
                <w:tab w:pos="948" w:val="left" w:leader="none"/>
              </w:tabs>
              <w:spacing w:line="240" w:lineRule="exact" w:before="0" w:after="0"/>
              <w:ind w:left="947" w:right="0" w:hanging="681"/>
              <w:jc w:val="left"/>
              <w:rPr>
                <w:sz w:val="20"/>
              </w:rPr>
            </w:pPr>
            <w:r>
              <w:rPr>
                <w:spacing w:val="4"/>
                <w:w w:val="120"/>
                <w:sz w:val="20"/>
              </w:rPr>
              <w:t>the</w:t>
            </w:r>
            <w:r>
              <w:rPr>
                <w:spacing w:val="17"/>
                <w:w w:val="120"/>
                <w:sz w:val="20"/>
              </w:rPr>
              <w:t> </w:t>
            </w:r>
            <w:r>
              <w:rPr>
                <w:spacing w:val="5"/>
                <w:w w:val="120"/>
                <w:sz w:val="20"/>
              </w:rPr>
              <w:t>engagement</w:t>
            </w:r>
            <w:r>
              <w:rPr>
                <w:spacing w:val="17"/>
                <w:w w:val="120"/>
                <w:sz w:val="20"/>
              </w:rPr>
              <w:t> </w:t>
            </w:r>
            <w:r>
              <w:rPr>
                <w:spacing w:val="4"/>
                <w:w w:val="120"/>
                <w:sz w:val="20"/>
              </w:rPr>
              <w:t>with</w:t>
            </w:r>
            <w:r>
              <w:rPr>
                <w:spacing w:val="17"/>
                <w:w w:val="120"/>
                <w:sz w:val="20"/>
              </w:rPr>
              <w:t> </w:t>
            </w:r>
            <w:r>
              <w:rPr>
                <w:spacing w:val="5"/>
                <w:w w:val="120"/>
                <w:sz w:val="20"/>
              </w:rPr>
              <w:t>Nestlé</w:t>
            </w:r>
            <w:r>
              <w:rPr>
                <w:spacing w:val="18"/>
                <w:w w:val="120"/>
                <w:sz w:val="20"/>
              </w:rPr>
              <w:t> </w:t>
            </w:r>
            <w:r>
              <w:rPr>
                <w:spacing w:val="5"/>
                <w:w w:val="120"/>
                <w:sz w:val="20"/>
              </w:rPr>
              <w:t>management</w:t>
            </w:r>
            <w:r>
              <w:rPr>
                <w:spacing w:val="17"/>
                <w:w w:val="120"/>
                <w:sz w:val="20"/>
              </w:rPr>
              <w:t> </w:t>
            </w:r>
            <w:r>
              <w:rPr>
                <w:spacing w:val="4"/>
                <w:w w:val="120"/>
                <w:sz w:val="20"/>
              </w:rPr>
              <w:t>and</w:t>
            </w:r>
            <w:r>
              <w:rPr>
                <w:spacing w:val="17"/>
                <w:w w:val="120"/>
                <w:sz w:val="20"/>
              </w:rPr>
              <w:t> </w:t>
            </w:r>
            <w:r>
              <w:rPr>
                <w:spacing w:val="4"/>
                <w:w w:val="120"/>
                <w:sz w:val="20"/>
              </w:rPr>
              <w:t>CIG</w:t>
            </w:r>
            <w:r>
              <w:rPr>
                <w:spacing w:val="17"/>
                <w:w w:val="120"/>
                <w:sz w:val="20"/>
              </w:rPr>
              <w:t> </w:t>
            </w:r>
            <w:r>
              <w:rPr>
                <w:spacing w:val="5"/>
                <w:w w:val="120"/>
                <w:sz w:val="20"/>
              </w:rPr>
              <w:t>members</w:t>
            </w:r>
            <w:r>
              <w:rPr>
                <w:spacing w:val="18"/>
                <w:w w:val="120"/>
                <w:sz w:val="20"/>
              </w:rPr>
              <w:t> </w:t>
            </w:r>
            <w:r>
              <w:rPr>
                <w:spacing w:val="3"/>
                <w:w w:val="120"/>
                <w:sz w:val="20"/>
              </w:rPr>
              <w:t>on</w:t>
            </w:r>
          </w:p>
          <w:p>
            <w:pPr>
              <w:pStyle w:val="TableParagraph"/>
              <w:spacing w:line="235" w:lineRule="auto" w:before="2"/>
              <w:ind w:left="947" w:right="153"/>
              <w:rPr>
                <w:sz w:val="20"/>
              </w:rPr>
            </w:pPr>
            <w:r>
              <w:rPr>
                <w:w w:val="120"/>
                <w:sz w:val="20"/>
              </w:rPr>
              <w:t>4 </w:t>
            </w:r>
            <w:r>
              <w:rPr>
                <w:spacing w:val="5"/>
                <w:w w:val="120"/>
                <w:sz w:val="20"/>
              </w:rPr>
              <w:t>December 2009; </w:t>
            </w:r>
            <w:r>
              <w:rPr>
                <w:spacing w:val="4"/>
                <w:w w:val="120"/>
                <w:sz w:val="20"/>
              </w:rPr>
              <w:t>and, the commitment </w:t>
            </w:r>
            <w:r>
              <w:rPr>
                <w:w w:val="120"/>
                <w:sz w:val="20"/>
              </w:rPr>
              <w:t>by </w:t>
            </w:r>
            <w:r>
              <w:rPr>
                <w:spacing w:val="3"/>
                <w:w w:val="120"/>
                <w:sz w:val="20"/>
              </w:rPr>
              <w:t>Nestlé’s </w:t>
            </w:r>
            <w:r>
              <w:rPr>
                <w:spacing w:val="5"/>
                <w:w w:val="120"/>
                <w:sz w:val="20"/>
              </w:rPr>
              <w:t>management </w:t>
            </w:r>
            <w:r>
              <w:rPr>
                <w:w w:val="120"/>
                <w:sz w:val="20"/>
              </w:rPr>
              <w:t>to </w:t>
            </w:r>
            <w:r>
              <w:rPr>
                <w:spacing w:val="4"/>
                <w:w w:val="120"/>
                <w:sz w:val="20"/>
              </w:rPr>
              <w:t>continue </w:t>
            </w:r>
            <w:r>
              <w:rPr>
                <w:spacing w:val="5"/>
                <w:w w:val="120"/>
                <w:sz w:val="20"/>
              </w:rPr>
              <w:t>engaging </w:t>
            </w:r>
            <w:r>
              <w:rPr>
                <w:spacing w:val="4"/>
                <w:w w:val="120"/>
                <w:sz w:val="20"/>
              </w:rPr>
              <w:t>with the </w:t>
            </w:r>
            <w:r>
              <w:rPr>
                <w:spacing w:val="5"/>
                <w:w w:val="120"/>
                <w:sz w:val="20"/>
              </w:rPr>
              <w:t>FTSE4Good </w:t>
            </w:r>
            <w:r>
              <w:rPr>
                <w:spacing w:val="4"/>
                <w:w w:val="120"/>
                <w:sz w:val="20"/>
              </w:rPr>
              <w:t>inclusion </w:t>
            </w:r>
            <w:r>
              <w:rPr>
                <w:spacing w:val="5"/>
                <w:w w:val="120"/>
                <w:sz w:val="20"/>
              </w:rPr>
              <w:t>criteria </w:t>
            </w:r>
            <w:r>
              <w:rPr>
                <w:spacing w:val="3"/>
                <w:w w:val="120"/>
                <w:sz w:val="20"/>
              </w:rPr>
              <w:t>for </w:t>
            </w:r>
            <w:r>
              <w:rPr>
                <w:spacing w:val="4"/>
                <w:w w:val="120"/>
                <w:sz w:val="20"/>
              </w:rPr>
              <w:t>marketing </w:t>
            </w:r>
            <w:r>
              <w:rPr>
                <w:spacing w:val="3"/>
                <w:w w:val="120"/>
                <w:sz w:val="20"/>
              </w:rPr>
              <w:t>of </w:t>
            </w:r>
            <w:r>
              <w:rPr>
                <w:spacing w:val="4"/>
                <w:w w:val="120"/>
                <w:sz w:val="20"/>
              </w:rPr>
              <w:t>breast-milk</w:t>
            </w:r>
            <w:r>
              <w:rPr>
                <w:spacing w:val="22"/>
                <w:w w:val="120"/>
                <w:sz w:val="20"/>
              </w:rPr>
              <w:t> </w:t>
            </w:r>
            <w:r>
              <w:rPr>
                <w:spacing w:val="4"/>
                <w:w w:val="120"/>
                <w:sz w:val="20"/>
              </w:rPr>
              <w:t>substitutes;</w:t>
            </w:r>
          </w:p>
          <w:p>
            <w:pPr>
              <w:pStyle w:val="TableParagraph"/>
              <w:spacing w:before="6"/>
              <w:rPr>
                <w:sz w:val="19"/>
              </w:rPr>
            </w:pPr>
          </w:p>
          <w:p>
            <w:pPr>
              <w:pStyle w:val="TableParagraph"/>
              <w:spacing w:line="242" w:lineRule="exact"/>
              <w:ind w:left="267"/>
              <w:rPr>
                <w:sz w:val="20"/>
              </w:rPr>
            </w:pPr>
            <w:r>
              <w:rPr>
                <w:w w:val="120"/>
                <w:sz w:val="20"/>
              </w:rPr>
              <w:t>General Assembly:</w:t>
            </w:r>
          </w:p>
          <w:p>
            <w:pPr>
              <w:pStyle w:val="TableParagraph"/>
              <w:numPr>
                <w:ilvl w:val="0"/>
                <w:numId w:val="192"/>
              </w:numPr>
              <w:tabs>
                <w:tab w:pos="947" w:val="left" w:leader="none"/>
                <w:tab w:pos="948" w:val="left" w:leader="none"/>
              </w:tabs>
              <w:spacing w:line="235" w:lineRule="auto" w:before="2" w:after="0"/>
              <w:ind w:left="947" w:right="1201" w:hanging="681"/>
              <w:jc w:val="left"/>
              <w:rPr>
                <w:sz w:val="20"/>
              </w:rPr>
            </w:pPr>
            <w:r>
              <w:rPr>
                <w:spacing w:val="5"/>
                <w:w w:val="120"/>
                <w:sz w:val="20"/>
              </w:rPr>
              <w:t>agrees </w:t>
            </w:r>
            <w:r>
              <w:rPr>
                <w:spacing w:val="4"/>
                <w:w w:val="120"/>
                <w:sz w:val="20"/>
              </w:rPr>
              <w:t>that </w:t>
            </w:r>
            <w:r>
              <w:rPr>
                <w:spacing w:val="5"/>
                <w:w w:val="120"/>
                <w:sz w:val="20"/>
              </w:rPr>
              <w:t>Nestlé </w:t>
            </w:r>
            <w:r>
              <w:rPr>
                <w:spacing w:val="4"/>
                <w:w w:val="120"/>
                <w:sz w:val="20"/>
              </w:rPr>
              <w:t>should </w:t>
            </w:r>
            <w:r>
              <w:rPr>
                <w:spacing w:val="3"/>
                <w:w w:val="120"/>
                <w:sz w:val="20"/>
              </w:rPr>
              <w:t>no </w:t>
            </w:r>
            <w:r>
              <w:rPr>
                <w:spacing w:val="5"/>
                <w:w w:val="120"/>
                <w:sz w:val="20"/>
              </w:rPr>
              <w:t>longer </w:t>
            </w:r>
            <w:r>
              <w:rPr>
                <w:spacing w:val="4"/>
                <w:w w:val="120"/>
                <w:sz w:val="20"/>
              </w:rPr>
              <w:t>be treated </w:t>
            </w:r>
            <w:r>
              <w:rPr>
                <w:spacing w:val="3"/>
                <w:w w:val="120"/>
                <w:sz w:val="20"/>
              </w:rPr>
              <w:t>on </w:t>
            </w:r>
            <w:r>
              <w:rPr>
                <w:w w:val="120"/>
                <w:sz w:val="20"/>
              </w:rPr>
              <w:t>a </w:t>
            </w:r>
            <w:r>
              <w:rPr>
                <w:spacing w:val="6"/>
                <w:w w:val="120"/>
                <w:sz w:val="20"/>
              </w:rPr>
              <w:t>different </w:t>
            </w:r>
            <w:r>
              <w:rPr>
                <w:spacing w:val="4"/>
                <w:w w:val="120"/>
                <w:sz w:val="20"/>
              </w:rPr>
              <w:t>investment </w:t>
            </w:r>
            <w:r>
              <w:rPr>
                <w:spacing w:val="3"/>
                <w:w w:val="120"/>
                <w:sz w:val="20"/>
              </w:rPr>
              <w:t>basis </w:t>
            </w:r>
            <w:r>
              <w:rPr>
                <w:spacing w:val="4"/>
                <w:w w:val="120"/>
                <w:sz w:val="20"/>
              </w:rPr>
              <w:t>from </w:t>
            </w:r>
            <w:r>
              <w:rPr>
                <w:spacing w:val="3"/>
                <w:w w:val="120"/>
                <w:sz w:val="20"/>
              </w:rPr>
              <w:t>all </w:t>
            </w:r>
            <w:r>
              <w:rPr>
                <w:spacing w:val="4"/>
                <w:w w:val="120"/>
                <w:sz w:val="20"/>
              </w:rPr>
              <w:t>other</w:t>
            </w:r>
            <w:r>
              <w:rPr>
                <w:spacing w:val="50"/>
                <w:w w:val="120"/>
                <w:sz w:val="20"/>
              </w:rPr>
              <w:t> </w:t>
            </w:r>
            <w:r>
              <w:rPr>
                <w:spacing w:val="4"/>
                <w:w w:val="120"/>
                <w:sz w:val="20"/>
              </w:rPr>
              <w:t>companies;</w:t>
            </w:r>
          </w:p>
          <w:p>
            <w:pPr>
              <w:pStyle w:val="TableParagraph"/>
              <w:numPr>
                <w:ilvl w:val="0"/>
                <w:numId w:val="192"/>
              </w:numPr>
              <w:tabs>
                <w:tab w:pos="947" w:val="left" w:leader="none"/>
                <w:tab w:pos="948" w:val="left" w:leader="none"/>
              </w:tabs>
              <w:spacing w:line="235" w:lineRule="auto" w:before="1" w:after="0"/>
              <w:ind w:left="947" w:right="406" w:hanging="681"/>
              <w:jc w:val="left"/>
              <w:rPr>
                <w:sz w:val="20"/>
              </w:rPr>
            </w:pPr>
            <w:r>
              <w:rPr>
                <w:spacing w:val="4"/>
                <w:w w:val="120"/>
                <w:sz w:val="20"/>
              </w:rPr>
              <w:t>recognises that </w:t>
            </w:r>
            <w:r>
              <w:rPr>
                <w:spacing w:val="3"/>
                <w:w w:val="120"/>
                <w:sz w:val="20"/>
              </w:rPr>
              <w:t>this </w:t>
            </w:r>
            <w:r>
              <w:rPr>
                <w:spacing w:val="4"/>
                <w:w w:val="120"/>
                <w:sz w:val="20"/>
              </w:rPr>
              <w:t>means URC </w:t>
            </w:r>
            <w:r>
              <w:rPr>
                <w:spacing w:val="5"/>
                <w:w w:val="120"/>
                <w:sz w:val="20"/>
              </w:rPr>
              <w:t>bodies </w:t>
            </w:r>
            <w:r>
              <w:rPr>
                <w:spacing w:val="2"/>
                <w:w w:val="120"/>
                <w:sz w:val="20"/>
              </w:rPr>
              <w:t>may </w:t>
            </w:r>
            <w:r>
              <w:rPr>
                <w:spacing w:val="4"/>
                <w:w w:val="120"/>
                <w:sz w:val="20"/>
              </w:rPr>
              <w:t>consider </w:t>
            </w:r>
            <w:r>
              <w:rPr>
                <w:spacing w:val="5"/>
                <w:w w:val="120"/>
                <w:sz w:val="20"/>
              </w:rPr>
              <w:t>engagement </w:t>
            </w:r>
            <w:r>
              <w:rPr>
                <w:spacing w:val="4"/>
                <w:w w:val="120"/>
                <w:sz w:val="20"/>
              </w:rPr>
              <w:t>with</w:t>
            </w:r>
            <w:r>
              <w:rPr>
                <w:spacing w:val="14"/>
                <w:w w:val="120"/>
                <w:sz w:val="20"/>
              </w:rPr>
              <w:t> </w:t>
            </w:r>
            <w:r>
              <w:rPr>
                <w:spacing w:val="5"/>
                <w:w w:val="120"/>
                <w:sz w:val="20"/>
              </w:rPr>
              <w:t>Nestlé</w:t>
            </w:r>
            <w:r>
              <w:rPr>
                <w:spacing w:val="14"/>
                <w:w w:val="120"/>
                <w:sz w:val="20"/>
              </w:rPr>
              <w:t> </w:t>
            </w:r>
            <w:r>
              <w:rPr>
                <w:spacing w:val="4"/>
                <w:w w:val="120"/>
                <w:sz w:val="20"/>
              </w:rPr>
              <w:t>through</w:t>
            </w:r>
            <w:r>
              <w:rPr>
                <w:spacing w:val="14"/>
                <w:w w:val="120"/>
                <w:sz w:val="20"/>
              </w:rPr>
              <w:t> </w:t>
            </w:r>
            <w:r>
              <w:rPr>
                <w:spacing w:val="4"/>
                <w:w w:val="120"/>
                <w:sz w:val="20"/>
              </w:rPr>
              <w:t>the</w:t>
            </w:r>
            <w:r>
              <w:rPr>
                <w:spacing w:val="15"/>
                <w:w w:val="120"/>
                <w:sz w:val="20"/>
              </w:rPr>
              <w:t> </w:t>
            </w:r>
            <w:r>
              <w:rPr>
                <w:spacing w:val="5"/>
                <w:w w:val="120"/>
                <w:sz w:val="20"/>
              </w:rPr>
              <w:t>selective</w:t>
            </w:r>
            <w:r>
              <w:rPr>
                <w:spacing w:val="14"/>
                <w:w w:val="120"/>
                <w:sz w:val="20"/>
              </w:rPr>
              <w:t> </w:t>
            </w:r>
            <w:r>
              <w:rPr>
                <w:spacing w:val="4"/>
                <w:w w:val="120"/>
                <w:sz w:val="20"/>
              </w:rPr>
              <w:t>purchase</w:t>
            </w:r>
            <w:r>
              <w:rPr>
                <w:spacing w:val="14"/>
                <w:w w:val="120"/>
                <w:sz w:val="20"/>
              </w:rPr>
              <w:t> </w:t>
            </w:r>
            <w:r>
              <w:rPr>
                <w:spacing w:val="3"/>
                <w:w w:val="120"/>
                <w:sz w:val="20"/>
              </w:rPr>
              <w:t>of</w:t>
            </w:r>
            <w:r>
              <w:rPr>
                <w:spacing w:val="15"/>
                <w:w w:val="120"/>
                <w:sz w:val="20"/>
              </w:rPr>
              <w:t> </w:t>
            </w:r>
            <w:r>
              <w:rPr>
                <w:spacing w:val="4"/>
                <w:w w:val="120"/>
                <w:sz w:val="20"/>
              </w:rPr>
              <w:t>shares</w:t>
            </w:r>
            <w:r>
              <w:rPr>
                <w:spacing w:val="14"/>
                <w:w w:val="120"/>
                <w:sz w:val="20"/>
              </w:rPr>
              <w:t> </w:t>
            </w:r>
            <w:r>
              <w:rPr>
                <w:spacing w:val="3"/>
                <w:w w:val="120"/>
                <w:sz w:val="20"/>
              </w:rPr>
              <w:t>if</w:t>
            </w:r>
            <w:r>
              <w:rPr>
                <w:spacing w:val="14"/>
                <w:w w:val="120"/>
                <w:sz w:val="20"/>
              </w:rPr>
              <w:t> </w:t>
            </w:r>
            <w:r>
              <w:rPr>
                <w:spacing w:val="4"/>
                <w:w w:val="120"/>
                <w:sz w:val="20"/>
              </w:rPr>
              <w:t>and</w:t>
            </w:r>
            <w:r>
              <w:rPr>
                <w:spacing w:val="15"/>
                <w:w w:val="120"/>
                <w:sz w:val="20"/>
              </w:rPr>
              <w:t> </w:t>
            </w:r>
            <w:r>
              <w:rPr>
                <w:spacing w:val="4"/>
                <w:w w:val="120"/>
                <w:sz w:val="20"/>
              </w:rPr>
              <w:t>when</w:t>
            </w:r>
            <w:r>
              <w:rPr>
                <w:spacing w:val="14"/>
                <w:w w:val="120"/>
                <w:sz w:val="20"/>
              </w:rPr>
              <w:t> </w:t>
            </w:r>
            <w:r>
              <w:rPr>
                <w:spacing w:val="4"/>
                <w:w w:val="120"/>
                <w:sz w:val="20"/>
              </w:rPr>
              <w:t>the</w:t>
            </w:r>
          </w:p>
        </w:tc>
      </w:tr>
    </w:tbl>
    <w:p>
      <w:pPr>
        <w:tabs>
          <w:tab w:pos="10630" w:val="left" w:leader="none"/>
        </w:tabs>
        <w:spacing w:before="86"/>
        <w:ind w:left="4684" w:right="0" w:firstLine="0"/>
        <w:jc w:val="left"/>
        <w:rPr>
          <w:rFonts w:ascii="Stone Sans II ITC Std X Bd" w:hAnsi="Stone Sans II ITC Std X Bd"/>
          <w:b/>
          <w:sz w:val="24"/>
        </w:rPr>
      </w:pPr>
      <w:r>
        <w:rPr>
          <w:color w:val="FFFFFF"/>
          <w:w w:val="110"/>
          <w:sz w:val="23"/>
        </w:rPr>
        <w:t>United Reformed Church   </w:t>
      </w:r>
      <w:r>
        <w:rPr>
          <w:rFonts w:ascii="Symbol" w:hAnsi="Symbol"/>
          <w:color w:val="FFFFFF"/>
          <w:w w:val="110"/>
          <w:sz w:val="23"/>
        </w:rPr>
        <w:t></w:t>
      </w:r>
      <w:r>
        <w:rPr>
          <w:rFonts w:ascii="Times New Roman" w:hAnsi="Times New Roman"/>
          <w:color w:val="FFFFFF"/>
          <w:w w:val="110"/>
          <w:sz w:val="23"/>
        </w:rPr>
        <w:t>  </w:t>
      </w:r>
      <w:r>
        <w:rPr>
          <w:color w:val="FFFFFF"/>
          <w:w w:val="110"/>
          <w:sz w:val="23"/>
        </w:rPr>
        <w:t>General Assembly</w:t>
      </w:r>
      <w:r>
        <w:rPr>
          <w:color w:val="FFFFFF"/>
          <w:spacing w:val="24"/>
          <w:w w:val="110"/>
          <w:sz w:val="23"/>
        </w:rPr>
        <w:t> </w:t>
      </w:r>
      <w:r>
        <w:rPr>
          <w:color w:val="FFFFFF"/>
          <w:w w:val="110"/>
          <w:sz w:val="23"/>
        </w:rPr>
        <w:t>2010 </w:t>
      </w:r>
      <w:r>
        <w:rPr>
          <w:color w:val="FFFFFF"/>
          <w:spacing w:val="29"/>
          <w:w w:val="110"/>
          <w:sz w:val="23"/>
        </w:rPr>
        <w:t> </w:t>
      </w:r>
      <w:r>
        <w:rPr>
          <w:rFonts w:ascii="Symbol" w:hAnsi="Symbol"/>
          <w:color w:val="FFFFFF"/>
          <w:w w:val="110"/>
          <w:sz w:val="23"/>
        </w:rPr>
        <w:t></w:t>
      </w:r>
      <w:r>
        <w:rPr>
          <w:rFonts w:ascii="Times New Roman" w:hAnsi="Times New Roman"/>
          <w:color w:val="FFFFFF"/>
          <w:w w:val="110"/>
          <w:sz w:val="23"/>
        </w:rPr>
        <w:tab/>
      </w:r>
      <w:r>
        <w:rPr>
          <w:rFonts w:ascii="Stone Sans II ITC Std X Bd" w:hAnsi="Stone Sans II ITC Std X Bd"/>
          <w:b/>
          <w:color w:val="FFFFFF"/>
          <w:w w:val="110"/>
          <w:sz w:val="24"/>
        </w:rPr>
        <w:t>243</w:t>
      </w:r>
    </w:p>
    <w:p>
      <w:pPr>
        <w:spacing w:after="0"/>
        <w:jc w:val="left"/>
        <w:rPr>
          <w:rFonts w:ascii="Stone Sans II ITC Std X Bd" w:hAnsi="Stone Sans II ITC Std X Bd"/>
          <w:sz w:val="24"/>
        </w:rPr>
        <w:sectPr>
          <w:headerReference w:type="default" r:id="rId557"/>
          <w:headerReference w:type="even" r:id="rId558"/>
          <w:footerReference w:type="default" r:id="rId559"/>
          <w:pgSz w:w="11910" w:h="16840"/>
          <w:pgMar w:header="0" w:footer="0" w:top="1080" w:bottom="280" w:left="0" w:right="0"/>
        </w:sectPr>
      </w:pPr>
    </w:p>
    <w:p>
      <w:pPr>
        <w:pStyle w:val="BodyText"/>
        <w:spacing w:before="2" w:after="1"/>
        <w:rPr>
          <w:rFonts w:ascii="Stone Sans II ITC Std X Bd"/>
          <w:b/>
          <w:sz w:val="21"/>
        </w:rPr>
      </w:pPr>
      <w:r>
        <w:rPr/>
        <w:pict>
          <v:rect style="position:absolute;margin-left:12.047pt;margin-top:30.472015pt;width:22.677pt;height:22.677pt;mso-position-horizontal-relative:page;mso-position-vertical-relative:page;z-index:252371968" filled="true" fillcolor="#c7b1d3" stroked="false">
            <v:fill type="solid"/>
            <w10:wrap type="none"/>
          </v:rect>
        </w:pict>
      </w:r>
    </w:p>
    <w:p>
      <w:pPr>
        <w:pStyle w:val="BodyText"/>
        <w:ind w:left="240"/>
        <w:rPr>
          <w:rFonts w:ascii="Stone Sans II ITC Std X Bd"/>
        </w:rPr>
      </w:pPr>
      <w:r>
        <w:rPr>
          <w:rFonts w:ascii="Stone Sans II ITC Std X Bd"/>
        </w:rPr>
        <w:pict>
          <v:group style="width:22.7pt;height:22.7pt;mso-position-horizontal-relative:char;mso-position-vertical-relative:line" coordorigin="0,0" coordsize="454,454">
            <v:rect style="position:absolute;left:0;top:0;width:454;height:454" filled="true" fillcolor="#dcd0e6" stroked="false">
              <v:fill opacity="32768f" type="solid"/>
            </v:rect>
          </v:group>
        </w:pict>
      </w:r>
      <w:r>
        <w:rPr>
          <w:rFonts w:ascii="Stone Sans II ITC Std X Bd"/>
        </w:rPr>
      </w: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rPr>
          <w:rFonts w:ascii="Stone Sans II ITC Std X Bd"/>
          <w:b/>
        </w:rPr>
      </w:pPr>
    </w:p>
    <w:p>
      <w:pPr>
        <w:pStyle w:val="BodyText"/>
        <w:spacing w:before="8"/>
        <w:rPr>
          <w:rFonts w:ascii="Stone Sans II ITC Std X Bd"/>
          <w:b/>
          <w:sz w:val="17"/>
        </w:rPr>
      </w:pPr>
    </w:p>
    <w:p>
      <w:pPr>
        <w:spacing w:before="105"/>
        <w:ind w:left="1133" w:right="0" w:firstLine="0"/>
        <w:jc w:val="left"/>
        <w:rPr>
          <w:sz w:val="32"/>
        </w:rPr>
      </w:pPr>
      <w:r>
        <w:rPr/>
        <w:pict>
          <v:group style="position:absolute;margin-left:39.685001pt;margin-top:-133.107498pt;width:535.75pt;height:110.8pt;mso-position-horizontal-relative:page;mso-position-vertical-relative:paragraph;z-index:252374016" coordorigin="794,-2662" coordsize="10715,2216">
            <v:shape style="position:absolute;left:965;top:-2491;width:9692;height:2015" coordorigin="965,-2490" coordsize="9692,2015" path="m965,-716l969,-578,995,-506,1067,-480,1205,-476,10417,-476,10555,-480,10627,-506,10653,-578,10657,-716,10657,-2250,10653,-2389,10627,-2460,10555,-2487,10417,-2490,1205,-2490,1067,-2487,995,-2460,969,-2389,965,-2250,965,-716xe" filled="false" stroked="true" strokeweight="3pt" strokecolor="#000000">
              <v:path arrowok="t"/>
              <v:stroke dashstyle="solid"/>
            </v:shape>
            <v:rect style="position:absolute;left:793;top:-2663;width:10715;height:426" filled="true" fillcolor="#ffffff" stroked="false">
              <v:fill type="solid"/>
            </v:rect>
            <v:shape style="position:absolute;left:793;top:-2663;width:10715;height:2216" type="#_x0000_t202" filled="false" stroked="false">
              <v:textbox inset="0,0,0,0">
                <w:txbxContent>
                  <w:p>
                    <w:pPr>
                      <w:spacing w:line="240" w:lineRule="auto" w:before="2"/>
                      <w:rPr>
                        <w:sz w:val="33"/>
                      </w:rPr>
                    </w:pPr>
                  </w:p>
                  <w:p>
                    <w:pPr>
                      <w:spacing w:line="235" w:lineRule="auto" w:before="0"/>
                      <w:ind w:left="1020" w:right="1944" w:firstLine="0"/>
                      <w:jc w:val="left"/>
                      <w:rPr>
                        <w:sz w:val="20"/>
                      </w:rPr>
                    </w:pPr>
                    <w:r>
                      <w:rPr>
                        <w:spacing w:val="5"/>
                        <w:w w:val="120"/>
                        <w:sz w:val="20"/>
                      </w:rPr>
                      <w:t>appropriate </w:t>
                    </w:r>
                    <w:r>
                      <w:rPr>
                        <w:spacing w:val="4"/>
                        <w:w w:val="120"/>
                        <w:sz w:val="20"/>
                      </w:rPr>
                      <w:t>investment </w:t>
                    </w:r>
                    <w:r>
                      <w:rPr>
                        <w:spacing w:val="5"/>
                        <w:w w:val="120"/>
                        <w:sz w:val="20"/>
                      </w:rPr>
                      <w:t>managers </w:t>
                    </w:r>
                    <w:r>
                      <w:rPr>
                        <w:spacing w:val="4"/>
                        <w:w w:val="120"/>
                        <w:sz w:val="20"/>
                      </w:rPr>
                      <w:t>deem </w:t>
                    </w:r>
                    <w:r>
                      <w:rPr>
                        <w:spacing w:val="3"/>
                        <w:w w:val="120"/>
                        <w:sz w:val="20"/>
                      </w:rPr>
                      <w:t>such </w:t>
                    </w:r>
                    <w:r>
                      <w:rPr>
                        <w:spacing w:val="4"/>
                        <w:w w:val="120"/>
                        <w:sz w:val="20"/>
                      </w:rPr>
                      <w:t>purchase </w:t>
                    </w:r>
                    <w:r>
                      <w:rPr>
                        <w:spacing w:val="5"/>
                        <w:w w:val="120"/>
                        <w:sz w:val="20"/>
                      </w:rPr>
                      <w:t>appropriate. </w:t>
                    </w:r>
                    <w:r>
                      <w:rPr>
                        <w:spacing w:val="3"/>
                        <w:w w:val="120"/>
                        <w:sz w:val="20"/>
                      </w:rPr>
                      <w:t>This  </w:t>
                    </w:r>
                    <w:r>
                      <w:rPr>
                        <w:spacing w:val="4"/>
                        <w:w w:val="120"/>
                        <w:sz w:val="20"/>
                      </w:rPr>
                      <w:t>will facilitate </w:t>
                    </w:r>
                    <w:r>
                      <w:rPr>
                        <w:spacing w:val="5"/>
                        <w:w w:val="120"/>
                        <w:sz w:val="20"/>
                      </w:rPr>
                      <w:t>better engagement </w:t>
                    </w:r>
                    <w:r>
                      <w:rPr>
                        <w:spacing w:val="4"/>
                        <w:w w:val="120"/>
                        <w:sz w:val="20"/>
                      </w:rPr>
                      <w:t>with </w:t>
                    </w:r>
                    <w:r>
                      <w:rPr>
                        <w:spacing w:val="3"/>
                        <w:w w:val="120"/>
                        <w:sz w:val="20"/>
                      </w:rPr>
                      <w:t>Company </w:t>
                    </w:r>
                    <w:r>
                      <w:rPr>
                        <w:spacing w:val="4"/>
                        <w:w w:val="120"/>
                        <w:sz w:val="20"/>
                      </w:rPr>
                      <w:t>policies and </w:t>
                    </w:r>
                    <w:r>
                      <w:rPr>
                        <w:spacing w:val="5"/>
                        <w:w w:val="120"/>
                        <w:sz w:val="20"/>
                      </w:rPr>
                      <w:t>practices </w:t>
                    </w:r>
                    <w:r>
                      <w:rPr>
                        <w:spacing w:val="4"/>
                        <w:w w:val="120"/>
                        <w:sz w:val="20"/>
                      </w:rPr>
                      <w:t>from within;</w:t>
                    </w:r>
                    <w:r>
                      <w:rPr>
                        <w:spacing w:val="13"/>
                        <w:w w:val="120"/>
                        <w:sz w:val="20"/>
                      </w:rPr>
                      <w:t> </w:t>
                    </w:r>
                    <w:r>
                      <w:rPr>
                        <w:spacing w:val="4"/>
                        <w:w w:val="120"/>
                        <w:sz w:val="20"/>
                      </w:rPr>
                      <w:t>and</w:t>
                    </w:r>
                  </w:p>
                  <w:p>
                    <w:pPr>
                      <w:tabs>
                        <w:tab w:pos="1020" w:val="left" w:leader="none"/>
                      </w:tabs>
                      <w:spacing w:line="235" w:lineRule="auto" w:before="2"/>
                      <w:ind w:left="1020" w:right="1598" w:hanging="681"/>
                      <w:jc w:val="left"/>
                      <w:rPr>
                        <w:sz w:val="20"/>
                      </w:rPr>
                    </w:pPr>
                    <w:r>
                      <w:rPr>
                        <w:spacing w:val="3"/>
                        <w:w w:val="120"/>
                        <w:sz w:val="20"/>
                      </w:rPr>
                      <w:t>iii.</w:t>
                      <w:tab/>
                    </w:r>
                    <w:r>
                      <w:rPr>
                        <w:spacing w:val="6"/>
                        <w:w w:val="120"/>
                        <w:sz w:val="20"/>
                      </w:rPr>
                      <w:t>instructs </w:t>
                    </w:r>
                    <w:r>
                      <w:rPr>
                        <w:spacing w:val="4"/>
                        <w:w w:val="120"/>
                        <w:sz w:val="20"/>
                      </w:rPr>
                      <w:t>that </w:t>
                    </w:r>
                    <w:r>
                      <w:rPr>
                        <w:spacing w:val="3"/>
                        <w:w w:val="120"/>
                        <w:sz w:val="20"/>
                      </w:rPr>
                      <w:t>this </w:t>
                    </w:r>
                    <w:r>
                      <w:rPr>
                        <w:spacing w:val="4"/>
                        <w:w w:val="120"/>
                        <w:sz w:val="20"/>
                      </w:rPr>
                      <w:t>decision and </w:t>
                    </w:r>
                    <w:r>
                      <w:rPr>
                        <w:spacing w:val="5"/>
                        <w:w w:val="120"/>
                        <w:sz w:val="20"/>
                      </w:rPr>
                      <w:t>its </w:t>
                    </w:r>
                    <w:r>
                      <w:rPr>
                        <w:spacing w:val="4"/>
                        <w:w w:val="120"/>
                        <w:sz w:val="20"/>
                      </w:rPr>
                      <w:t>context be </w:t>
                    </w:r>
                    <w:r>
                      <w:rPr>
                        <w:spacing w:val="6"/>
                        <w:w w:val="120"/>
                        <w:sz w:val="20"/>
                      </w:rPr>
                      <w:t>reported </w:t>
                    </w:r>
                    <w:r>
                      <w:rPr>
                        <w:w w:val="120"/>
                        <w:sz w:val="20"/>
                      </w:rPr>
                      <w:t>to  </w:t>
                    </w:r>
                    <w:r>
                      <w:rPr>
                        <w:spacing w:val="4"/>
                        <w:w w:val="120"/>
                        <w:sz w:val="20"/>
                      </w:rPr>
                      <w:t>those </w:t>
                    </w:r>
                    <w:r>
                      <w:rPr>
                        <w:spacing w:val="5"/>
                        <w:w w:val="120"/>
                        <w:sz w:val="20"/>
                      </w:rPr>
                      <w:t>entrusted  </w:t>
                    </w:r>
                    <w:r>
                      <w:rPr>
                        <w:spacing w:val="4"/>
                        <w:w w:val="120"/>
                        <w:sz w:val="20"/>
                      </w:rPr>
                      <w:t>with investment decisions </w:t>
                    </w:r>
                    <w:r>
                      <w:rPr>
                        <w:spacing w:val="3"/>
                        <w:w w:val="120"/>
                        <w:sz w:val="20"/>
                      </w:rPr>
                      <w:t>on </w:t>
                    </w:r>
                    <w:r>
                      <w:rPr>
                        <w:spacing w:val="5"/>
                        <w:w w:val="120"/>
                        <w:sz w:val="20"/>
                      </w:rPr>
                      <w:t>behalf </w:t>
                    </w:r>
                    <w:r>
                      <w:rPr>
                        <w:spacing w:val="3"/>
                        <w:w w:val="120"/>
                        <w:sz w:val="20"/>
                      </w:rPr>
                      <w:t>of </w:t>
                    </w:r>
                    <w:r>
                      <w:rPr>
                        <w:spacing w:val="4"/>
                        <w:w w:val="120"/>
                        <w:sz w:val="20"/>
                      </w:rPr>
                      <w:t>the URC </w:t>
                    </w:r>
                    <w:r>
                      <w:rPr>
                        <w:spacing w:val="2"/>
                        <w:w w:val="120"/>
                        <w:sz w:val="20"/>
                      </w:rPr>
                      <w:t>as </w:t>
                    </w:r>
                    <w:r>
                      <w:rPr>
                        <w:spacing w:val="3"/>
                        <w:w w:val="120"/>
                        <w:sz w:val="20"/>
                      </w:rPr>
                      <w:t>well </w:t>
                    </w:r>
                    <w:r>
                      <w:rPr>
                        <w:spacing w:val="2"/>
                        <w:w w:val="120"/>
                        <w:sz w:val="20"/>
                      </w:rPr>
                      <w:t>as </w:t>
                    </w:r>
                    <w:r>
                      <w:rPr>
                        <w:spacing w:val="5"/>
                        <w:w w:val="120"/>
                        <w:sz w:val="20"/>
                      </w:rPr>
                      <w:t>Nestlé management </w:t>
                    </w:r>
                    <w:r>
                      <w:rPr>
                        <w:spacing w:val="4"/>
                        <w:w w:val="120"/>
                        <w:sz w:val="20"/>
                      </w:rPr>
                      <w:t>and the </w:t>
                    </w:r>
                    <w:r>
                      <w:rPr>
                        <w:spacing w:val="3"/>
                        <w:w w:val="120"/>
                        <w:sz w:val="20"/>
                      </w:rPr>
                      <w:t>Church </w:t>
                    </w:r>
                    <w:r>
                      <w:rPr>
                        <w:spacing w:val="4"/>
                        <w:w w:val="120"/>
                        <w:sz w:val="20"/>
                      </w:rPr>
                      <w:t>Investors</w:t>
                    </w:r>
                    <w:r>
                      <w:rPr>
                        <w:spacing w:val="43"/>
                        <w:w w:val="120"/>
                        <w:sz w:val="20"/>
                      </w:rPr>
                      <w:t> </w:t>
                    </w:r>
                    <w:r>
                      <w:rPr>
                        <w:spacing w:val="4"/>
                        <w:w w:val="120"/>
                        <w:sz w:val="20"/>
                      </w:rPr>
                      <w:t>Group.</w:t>
                    </w:r>
                  </w:p>
                </w:txbxContent>
              </v:textbox>
              <w10:wrap type="none"/>
            </v:shape>
            <w10:wrap type="none"/>
          </v:group>
        </w:pict>
      </w:r>
      <w:r>
        <w:rPr>
          <w:color w:val="9662A1"/>
          <w:w w:val="120"/>
          <w:sz w:val="32"/>
        </w:rPr>
        <w:t>Mission Committee: Nestlé</w:t>
      </w:r>
    </w:p>
    <w:p>
      <w:pPr>
        <w:pStyle w:val="BodyText"/>
        <w:spacing w:before="9"/>
        <w:rPr>
          <w:sz w:val="13"/>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tabs>
                <w:tab w:pos="3432" w:val="left" w:leader="none"/>
              </w:tabs>
              <w:spacing w:line="144" w:lineRule="auto" w:before="24"/>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3"/>
                <w:sz w:val="57"/>
              </w:rPr>
              <w:t>4</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396"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
              <w:rPr>
                <w:sz w:val="30"/>
              </w:rPr>
            </w:pPr>
          </w:p>
          <w:p>
            <w:pPr>
              <w:pStyle w:val="TableParagraph"/>
              <w:spacing w:line="235" w:lineRule="auto"/>
              <w:ind w:left="266" w:right="1355"/>
              <w:rPr>
                <w:sz w:val="20"/>
              </w:rPr>
            </w:pPr>
            <w:r>
              <w:rPr>
                <w:w w:val="120"/>
                <w:sz w:val="20"/>
              </w:rPr>
              <w:t>In light of the resolution to lift the investment boycott on Nestlé, General Assembly agrees to rescind the boycott on Nestlé products outlined in the 1992 Assembly resolution.</w:t>
            </w:r>
          </w:p>
        </w:tc>
      </w:tr>
    </w:tbl>
    <w:p>
      <w:pPr>
        <w:pStyle w:val="BodyText"/>
        <w:spacing w:before="4"/>
        <w:rPr>
          <w:sz w:val="28"/>
        </w:rPr>
      </w:pPr>
    </w:p>
    <w:p>
      <w:pPr>
        <w:spacing w:before="1"/>
        <w:ind w:left="1133" w:right="0" w:firstLine="0"/>
        <w:jc w:val="left"/>
        <w:rPr>
          <w:i/>
          <w:sz w:val="20"/>
        </w:rPr>
      </w:pPr>
      <w:r>
        <w:rPr>
          <w:i/>
          <w:w w:val="110"/>
          <w:sz w:val="20"/>
        </w:rPr>
        <w:t>N.B. This resolution will only be moved if resolution 3 is agreed.</w:t>
      </w:r>
    </w:p>
    <w:p>
      <w:pPr>
        <w:pStyle w:val="BodyText"/>
        <w:rPr>
          <w:i/>
          <w:sz w:val="24"/>
        </w:rPr>
      </w:pPr>
    </w:p>
    <w:p>
      <w:pPr>
        <w:pStyle w:val="BodyText"/>
        <w:spacing w:line="235" w:lineRule="auto" w:before="186"/>
        <w:ind w:left="1133" w:right="1997"/>
      </w:pPr>
      <w:r>
        <w:rPr>
          <w:w w:val="120"/>
        </w:rPr>
        <w:t>At their meeting on the 14</w:t>
      </w:r>
      <w:r>
        <w:rPr>
          <w:w w:val="120"/>
          <w:position w:val="7"/>
          <w:sz w:val="11"/>
        </w:rPr>
        <w:t>th </w:t>
      </w:r>
      <w:r>
        <w:rPr>
          <w:w w:val="120"/>
        </w:rPr>
        <w:t>April, Mission Committee in considering Mission Council’s resolution to lift the investment boycott on Nestlé considered the following:</w:t>
      </w:r>
    </w:p>
    <w:p>
      <w:pPr>
        <w:pStyle w:val="BodyText"/>
        <w:spacing w:before="10"/>
        <w:rPr>
          <w:sz w:val="18"/>
        </w:rPr>
      </w:pPr>
    </w:p>
    <w:p>
      <w:pPr>
        <w:pStyle w:val="ListParagraph"/>
        <w:numPr>
          <w:ilvl w:val="0"/>
          <w:numId w:val="157"/>
        </w:numPr>
        <w:tabs>
          <w:tab w:pos="1814" w:val="left" w:leader="none"/>
          <w:tab w:pos="1815" w:val="left" w:leader="none"/>
        </w:tabs>
        <w:spacing w:line="216" w:lineRule="auto" w:before="0" w:after="0"/>
        <w:ind w:left="1814" w:right="2132" w:hanging="681"/>
        <w:jc w:val="left"/>
        <w:rPr>
          <w:sz w:val="20"/>
        </w:rPr>
      </w:pPr>
      <w:r>
        <w:rPr>
          <w:w w:val="120"/>
          <w:sz w:val="20"/>
        </w:rPr>
        <w:t>the </w:t>
      </w:r>
      <w:r>
        <w:rPr>
          <w:spacing w:val="2"/>
          <w:w w:val="120"/>
          <w:sz w:val="20"/>
        </w:rPr>
        <w:t>fact </w:t>
      </w:r>
      <w:r>
        <w:rPr>
          <w:w w:val="120"/>
          <w:sz w:val="20"/>
        </w:rPr>
        <w:t>that this has been a long standing boycott which Nestlé acknowledges had an impact on the company and in changing their practice with regard to the marketing and distribution of baby milk</w:t>
      </w:r>
      <w:r>
        <w:rPr>
          <w:spacing w:val="12"/>
          <w:w w:val="120"/>
          <w:sz w:val="20"/>
        </w:rPr>
        <w:t> </w:t>
      </w:r>
      <w:r>
        <w:rPr>
          <w:w w:val="120"/>
          <w:sz w:val="20"/>
        </w:rPr>
        <w:t>substitutes;</w:t>
      </w:r>
    </w:p>
    <w:p>
      <w:pPr>
        <w:pStyle w:val="ListParagraph"/>
        <w:numPr>
          <w:ilvl w:val="0"/>
          <w:numId w:val="157"/>
        </w:numPr>
        <w:tabs>
          <w:tab w:pos="1814" w:val="left" w:leader="none"/>
          <w:tab w:pos="1815" w:val="left" w:leader="none"/>
        </w:tabs>
        <w:spacing w:line="196" w:lineRule="auto" w:before="9" w:after="0"/>
        <w:ind w:left="1814" w:right="2798" w:hanging="681"/>
        <w:jc w:val="left"/>
        <w:rPr>
          <w:sz w:val="20"/>
        </w:rPr>
      </w:pPr>
      <w:r>
        <w:rPr>
          <w:w w:val="120"/>
          <w:sz w:val="20"/>
        </w:rPr>
        <w:t>that significant changes have been made in Nestlé’s operational practices, accountability, reporting and engagement over the past </w:t>
      </w:r>
      <w:r>
        <w:rPr>
          <w:spacing w:val="-7"/>
          <w:w w:val="120"/>
          <w:sz w:val="20"/>
        </w:rPr>
        <w:t>18</w:t>
      </w:r>
      <w:r>
        <w:rPr>
          <w:spacing w:val="34"/>
          <w:w w:val="120"/>
          <w:sz w:val="20"/>
        </w:rPr>
        <w:t> </w:t>
      </w:r>
      <w:r>
        <w:rPr>
          <w:w w:val="120"/>
          <w:sz w:val="20"/>
        </w:rPr>
        <w:t>years;</w:t>
      </w:r>
    </w:p>
    <w:p>
      <w:pPr>
        <w:pStyle w:val="ListParagraph"/>
        <w:numPr>
          <w:ilvl w:val="0"/>
          <w:numId w:val="157"/>
        </w:numPr>
        <w:tabs>
          <w:tab w:pos="1814" w:val="left" w:leader="none"/>
          <w:tab w:pos="1815" w:val="left" w:leader="none"/>
        </w:tabs>
        <w:spacing w:line="196" w:lineRule="auto" w:before="16" w:after="0"/>
        <w:ind w:left="1814" w:right="2068" w:hanging="681"/>
        <w:jc w:val="left"/>
        <w:rPr>
          <w:sz w:val="20"/>
        </w:rPr>
      </w:pPr>
      <w:r>
        <w:rPr>
          <w:w w:val="120"/>
          <w:sz w:val="20"/>
        </w:rPr>
        <w:t>that the company still has a number of issues which are of concern to members of the URC and wider</w:t>
      </w:r>
      <w:r>
        <w:rPr>
          <w:spacing w:val="10"/>
          <w:w w:val="120"/>
          <w:sz w:val="20"/>
        </w:rPr>
        <w:t> </w:t>
      </w:r>
      <w:r>
        <w:rPr>
          <w:w w:val="120"/>
          <w:sz w:val="20"/>
        </w:rPr>
        <w:t>public;</w:t>
      </w:r>
    </w:p>
    <w:p>
      <w:pPr>
        <w:pStyle w:val="ListParagraph"/>
        <w:numPr>
          <w:ilvl w:val="0"/>
          <w:numId w:val="157"/>
        </w:numPr>
        <w:tabs>
          <w:tab w:pos="1814" w:val="left" w:leader="none"/>
          <w:tab w:pos="1815" w:val="left" w:leader="none"/>
        </w:tabs>
        <w:spacing w:line="216" w:lineRule="auto" w:before="0" w:after="0"/>
        <w:ind w:left="1814" w:right="2811" w:hanging="681"/>
        <w:jc w:val="left"/>
        <w:rPr>
          <w:sz w:val="20"/>
        </w:rPr>
      </w:pPr>
      <w:r>
        <w:rPr>
          <w:w w:val="120"/>
          <w:sz w:val="20"/>
        </w:rPr>
        <w:t>continuing the boycott of Nestlé products (outlined in the </w:t>
      </w:r>
      <w:r>
        <w:rPr>
          <w:spacing w:val="-6"/>
          <w:w w:val="120"/>
          <w:sz w:val="20"/>
        </w:rPr>
        <w:t>1992 </w:t>
      </w:r>
      <w:r>
        <w:rPr>
          <w:w w:val="120"/>
          <w:sz w:val="20"/>
        </w:rPr>
        <w:t>Assembly Resolution) was now inconsistent with the </w:t>
      </w:r>
      <w:r>
        <w:rPr>
          <w:spacing w:val="-3"/>
          <w:w w:val="120"/>
          <w:sz w:val="20"/>
        </w:rPr>
        <w:t>URC’s </w:t>
      </w:r>
      <w:r>
        <w:rPr>
          <w:w w:val="120"/>
          <w:sz w:val="20"/>
        </w:rPr>
        <w:t>new stance on ethical investment;</w:t>
      </w:r>
    </w:p>
    <w:p>
      <w:pPr>
        <w:pStyle w:val="ListParagraph"/>
        <w:numPr>
          <w:ilvl w:val="0"/>
          <w:numId w:val="157"/>
        </w:numPr>
        <w:tabs>
          <w:tab w:pos="1814" w:val="left" w:leader="none"/>
          <w:tab w:pos="1815" w:val="left" w:leader="none"/>
        </w:tabs>
        <w:spacing w:line="196" w:lineRule="auto" w:before="6" w:after="0"/>
        <w:ind w:left="1814" w:right="2486" w:hanging="681"/>
        <w:jc w:val="left"/>
        <w:rPr>
          <w:sz w:val="20"/>
        </w:rPr>
      </w:pPr>
      <w:r>
        <w:rPr>
          <w:w w:val="120"/>
          <w:sz w:val="20"/>
        </w:rPr>
        <w:t>recognises that individual members of the URC will continue to be guided by their conscience on purchasing of Nestlé</w:t>
      </w:r>
      <w:r>
        <w:rPr>
          <w:spacing w:val="18"/>
          <w:w w:val="120"/>
          <w:sz w:val="20"/>
        </w:rPr>
        <w:t> </w:t>
      </w:r>
      <w:r>
        <w:rPr>
          <w:w w:val="120"/>
          <w:sz w:val="20"/>
        </w:rPr>
        <w:t>products.</w:t>
      </w:r>
    </w:p>
    <w:p>
      <w:pPr>
        <w:pStyle w:val="BodyText"/>
        <w:spacing w:before="6"/>
      </w:pPr>
    </w:p>
    <w:p>
      <w:pPr>
        <w:pStyle w:val="BodyText"/>
        <w:spacing w:line="235" w:lineRule="auto"/>
        <w:ind w:left="1133" w:right="1997"/>
      </w:pPr>
      <w:r>
        <w:rPr>
          <w:w w:val="120"/>
        </w:rPr>
        <w:t>Mission Committee therefore resolved to ask General Assembly to consider the above resolution 4 in conjunction with Mission Council’s resolution 3 on Nestlé.</w:t>
      </w:r>
    </w:p>
    <w:p>
      <w:pPr>
        <w:spacing w:after="0" w:line="235" w:lineRule="auto"/>
        <w:sectPr>
          <w:headerReference w:type="even" r:id="rId560"/>
          <w:headerReference w:type="default" r:id="rId561"/>
          <w:footerReference w:type="even" r:id="rId562"/>
          <w:footerReference w:type="default" r:id="rId563"/>
          <w:pgSz w:w="11910" w:h="16840"/>
          <w:pgMar w:header="0" w:footer="647" w:top="940" w:bottom="840" w:left="0" w:right="0"/>
          <w:pgNumType w:start="244"/>
        </w:sectPr>
      </w:pPr>
    </w:p>
    <w:p>
      <w:pPr>
        <w:pStyle w:val="Heading5"/>
        <w:spacing w:before="115"/>
      </w:pPr>
      <w:r>
        <w:rPr/>
        <w:pict>
          <v:rect style="position:absolute;margin-left:558.424988pt;margin-top:8.50156pt;width:22.677pt;height:22.677pt;mso-position-horizontal-relative:page;mso-position-vertical-relative:paragraph;z-index:252375040" filled="true" fillcolor="#dcd0e6" stroked="false">
            <v:fill opacity="32768f" type="solid"/>
            <w10:wrap type="none"/>
          </v:rect>
        </w:pict>
      </w:r>
      <w:r>
        <w:rPr/>
        <w:pict>
          <v:shape style="position:absolute;margin-left:87.956696pt;margin-top:38.230354pt;width:467.6pt;height:354.2pt;mso-position-horizontal-relative:page;mso-position-vertical-relative:paragraph;z-index:-267047936" coordorigin="1759,765" coordsize="9352,7084" path="m1759,7608l1763,7747,1789,7818,1860,7844,1999,7848,10870,7848,11009,7844,11080,7818,11106,7747,11110,7608,11110,1005,11106,866,11080,795,11009,768,10870,765,1999,765,1860,768,1789,795,1763,866,1759,1005,1759,7608xe" filled="false" stroked="true" strokeweight="3pt" strokecolor="#000000">
            <v:path arrowok="t"/>
            <v:stroke dashstyle="solid"/>
            <w10:wrap type="none"/>
          </v:shape>
        </w:pict>
      </w:r>
      <w:r>
        <w:rPr>
          <w:color w:val="9662A1"/>
          <w:w w:val="120"/>
        </w:rPr>
        <w:t>Mission Council: Disciplinary Process Part I</w:t>
      </w:r>
    </w:p>
    <w:p>
      <w:pPr>
        <w:pStyle w:val="BodyText"/>
        <w:spacing w:before="9"/>
        <w:rPr>
          <w:sz w:val="18"/>
        </w:rPr>
      </w:pPr>
    </w:p>
    <w:tbl>
      <w:tblPr>
        <w:tblW w:w="0" w:type="auto"/>
        <w:jc w:val="left"/>
        <w:tblInd w:w="1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4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tabs>
                <w:tab w:pos="3375" w:val="left" w:leader="none"/>
              </w:tabs>
              <w:spacing w:line="148" w:lineRule="auto" w:before="21"/>
              <w:ind w:left="178"/>
              <w:rPr>
                <w:rFonts w:ascii="Stone Sans II ITC Std X Bd"/>
                <w:b/>
                <w:sz w:val="57"/>
              </w:rPr>
            </w:pPr>
            <w:r>
              <w:rPr>
                <w:rFonts w:ascii="Stone Sans II ITC Std X Bd"/>
                <w:b/>
                <w:color w:val="FFFFFF"/>
                <w:w w:val="110"/>
                <w:sz w:val="47"/>
              </w:rPr>
              <w:t>Resolution</w:t>
              <w:tab/>
            </w:r>
            <w:r>
              <w:rPr>
                <w:rFonts w:ascii="Stone Sans II ITC Std X Bd"/>
                <w:b/>
                <w:w w:val="110"/>
                <w:position w:val="-21"/>
                <w:sz w:val="57"/>
              </w:rPr>
              <w:t>5</w:t>
            </w:r>
          </w:p>
        </w:tc>
        <w:tc>
          <w:tcPr>
            <w:tcW w:w="5248" w:type="dxa"/>
            <w:tcBorders>
              <w:top w:val="single" w:sz="24" w:space="0" w:color="000000"/>
            </w:tcBorders>
          </w:tcPr>
          <w:p>
            <w:pPr>
              <w:pStyle w:val="TableParagraph"/>
              <w:rPr>
                <w:rFonts w:ascii="Times New Roman"/>
                <w:sz w:val="22"/>
              </w:rPr>
            </w:pPr>
          </w:p>
        </w:tc>
      </w:tr>
      <w:tr>
        <w:trPr>
          <w:trHeight w:val="6307" w:hRule="atLeast"/>
        </w:trPr>
        <w:tc>
          <w:tcPr>
            <w:tcW w:w="9320" w:type="dxa"/>
            <w:gridSpan w:val="3"/>
            <w:tcBorders>
              <w:left w:val="single" w:sz="48" w:space="0" w:color="000000"/>
            </w:tcBorders>
          </w:tcPr>
          <w:p>
            <w:pPr>
              <w:pStyle w:val="TableParagraph"/>
              <w:spacing w:before="5"/>
              <w:rPr>
                <w:sz w:val="28"/>
              </w:rPr>
            </w:pPr>
          </w:p>
          <w:p>
            <w:pPr>
              <w:pStyle w:val="TableParagraph"/>
              <w:spacing w:line="235" w:lineRule="auto"/>
              <w:ind w:left="210" w:right="393"/>
              <w:rPr>
                <w:sz w:val="20"/>
              </w:rPr>
            </w:pPr>
            <w:r>
              <w:rPr>
                <w:w w:val="120"/>
                <w:sz w:val="20"/>
              </w:rPr>
              <w:t>General Assembly agrees to make the following changes to Part I of the Disciplinary Process (Section O):</w:t>
            </w:r>
          </w:p>
          <w:p>
            <w:pPr>
              <w:pStyle w:val="TableParagraph"/>
              <w:spacing w:line="233" w:lineRule="exact"/>
              <w:ind w:left="210"/>
              <w:rPr>
                <w:sz w:val="20"/>
              </w:rPr>
            </w:pPr>
            <w:r>
              <w:rPr>
                <w:w w:val="120"/>
                <w:sz w:val="20"/>
              </w:rPr>
              <w:t>Paragraph 1.1</w:t>
            </w:r>
          </w:p>
          <w:p>
            <w:pPr>
              <w:pStyle w:val="TableParagraph"/>
              <w:spacing w:line="213" w:lineRule="auto" w:before="14"/>
              <w:ind w:left="890" w:right="393"/>
              <w:rPr>
                <w:sz w:val="20"/>
              </w:rPr>
            </w:pPr>
            <w:r>
              <w:rPr>
                <w:w w:val="115"/>
                <w:sz w:val="20"/>
              </w:rPr>
              <w:t>In the second sentence after the words ‘</w:t>
            </w:r>
            <w:r>
              <w:rPr>
                <w:rFonts w:ascii="Stone Sans II ITC Std Bk" w:hAnsi="Stone Sans II ITC Std Bk"/>
                <w:b/>
                <w:w w:val="115"/>
                <w:sz w:val="20"/>
              </w:rPr>
              <w:t>Assembly Commission</w:t>
            </w:r>
            <w:r>
              <w:rPr>
                <w:w w:val="115"/>
                <w:sz w:val="20"/>
              </w:rPr>
              <w:t>’ remove the words ‘</w:t>
            </w:r>
            <w:r>
              <w:rPr>
                <w:rFonts w:ascii="Stone Sans II ITC Std Bk" w:hAnsi="Stone Sans II ITC Std Bk"/>
                <w:b/>
                <w:w w:val="115"/>
                <w:sz w:val="20"/>
              </w:rPr>
              <w:t>or, in the event of an appeal, the Appeals Commission</w:t>
            </w:r>
            <w:r>
              <w:rPr>
                <w:w w:val="115"/>
                <w:sz w:val="20"/>
              </w:rPr>
              <w:t>’.</w:t>
            </w:r>
          </w:p>
          <w:p>
            <w:pPr>
              <w:pStyle w:val="TableParagraph"/>
              <w:spacing w:line="216" w:lineRule="auto" w:before="8"/>
              <w:ind w:left="890" w:right="320"/>
              <w:rPr>
                <w:sz w:val="20"/>
              </w:rPr>
            </w:pPr>
            <w:r>
              <w:rPr>
                <w:i/>
                <w:w w:val="110"/>
                <w:sz w:val="20"/>
              </w:rPr>
              <w:t>{Note: Do not remove these words in the first or third sentences. They are correct </w:t>
            </w:r>
            <w:r>
              <w:rPr>
                <w:i/>
                <w:spacing w:val="-3"/>
                <w:w w:val="110"/>
                <w:sz w:val="20"/>
              </w:rPr>
              <w:t>there.}  </w:t>
            </w:r>
            <w:r>
              <w:rPr>
                <w:w w:val="110"/>
                <w:sz w:val="20"/>
              </w:rPr>
              <w:t>In the final sentence, after the words ‘</w:t>
            </w:r>
            <w:r>
              <w:rPr>
                <w:rFonts w:ascii="Stone Sans II ITC Std Bk" w:hAnsi="Stone Sans II ITC Std Bk"/>
                <w:b/>
                <w:w w:val="110"/>
                <w:sz w:val="20"/>
              </w:rPr>
              <w:t>is also able </w:t>
            </w:r>
            <w:r>
              <w:rPr>
                <w:rFonts w:ascii="Stone Sans II ITC Std Bk" w:hAnsi="Stone Sans II ITC Std Bk"/>
                <w:b/>
                <w:spacing w:val="-3"/>
                <w:w w:val="110"/>
                <w:sz w:val="20"/>
              </w:rPr>
              <w:t>to</w:t>
            </w:r>
            <w:r>
              <w:rPr>
                <w:spacing w:val="-3"/>
                <w:w w:val="110"/>
                <w:sz w:val="20"/>
              </w:rPr>
              <w:t>’ </w:t>
            </w:r>
            <w:r>
              <w:rPr>
                <w:w w:val="110"/>
                <w:sz w:val="20"/>
              </w:rPr>
              <w:t>remove the words </w:t>
            </w:r>
            <w:r>
              <w:rPr>
                <w:spacing w:val="-3"/>
                <w:w w:val="110"/>
                <w:sz w:val="20"/>
              </w:rPr>
              <w:t>‘</w:t>
            </w:r>
            <w:r>
              <w:rPr>
                <w:rFonts w:ascii="Stone Sans II ITC Std Bk" w:hAnsi="Stone Sans II ITC Std Bk"/>
                <w:b/>
                <w:spacing w:val="-3"/>
                <w:w w:val="110"/>
                <w:sz w:val="20"/>
              </w:rPr>
              <w:t>make </w:t>
            </w:r>
            <w:r>
              <w:rPr>
                <w:rFonts w:ascii="Stone Sans II ITC Std Bk" w:hAnsi="Stone Sans II ITC Std Bk"/>
                <w:b/>
                <w:w w:val="110"/>
                <w:sz w:val="20"/>
              </w:rPr>
              <w:t>recommendations</w:t>
            </w:r>
            <w:r>
              <w:rPr>
                <w:rFonts w:ascii="Stone Sans II ITC Std Bk" w:hAnsi="Stone Sans II ITC Std Bk"/>
                <w:b/>
                <w:spacing w:val="-13"/>
                <w:w w:val="110"/>
                <w:sz w:val="20"/>
              </w:rPr>
              <w:t> </w:t>
            </w:r>
            <w:r>
              <w:rPr>
                <w:rFonts w:ascii="Stone Sans II ITC Std Bk" w:hAnsi="Stone Sans II ITC Std Bk"/>
                <w:b/>
                <w:spacing w:val="-5"/>
                <w:w w:val="110"/>
                <w:sz w:val="20"/>
              </w:rPr>
              <w:t>(other</w:t>
            </w:r>
            <w:r>
              <w:rPr>
                <w:rFonts w:ascii="Stone Sans II ITC Std Bk" w:hAnsi="Stone Sans II ITC Std Bk"/>
                <w:b/>
                <w:spacing w:val="-12"/>
                <w:w w:val="110"/>
                <w:sz w:val="20"/>
              </w:rPr>
              <w:t> </w:t>
            </w:r>
            <w:r>
              <w:rPr>
                <w:rFonts w:ascii="Stone Sans II ITC Std Bk" w:hAnsi="Stone Sans II ITC Std Bk"/>
                <w:b/>
                <w:w w:val="110"/>
                <w:sz w:val="20"/>
              </w:rPr>
              <w:t>than</w:t>
            </w:r>
            <w:r>
              <w:rPr>
                <w:rFonts w:ascii="Stone Sans II ITC Std Bk" w:hAnsi="Stone Sans II ITC Std Bk"/>
                <w:b/>
                <w:spacing w:val="-13"/>
                <w:w w:val="110"/>
                <w:sz w:val="20"/>
              </w:rPr>
              <w:t> </w:t>
            </w:r>
            <w:r>
              <w:rPr>
                <w:rFonts w:ascii="Stone Sans II ITC Std Bk" w:hAnsi="Stone Sans II ITC Std Bk"/>
                <w:b/>
                <w:w w:val="110"/>
                <w:sz w:val="20"/>
              </w:rPr>
              <w:t>recommendations</w:t>
            </w:r>
            <w:r>
              <w:rPr>
                <w:rFonts w:ascii="Stone Sans II ITC Std Bk" w:hAnsi="Stone Sans II ITC Std Bk"/>
                <w:b/>
                <w:spacing w:val="-12"/>
                <w:w w:val="110"/>
                <w:sz w:val="20"/>
              </w:rPr>
              <w:t> </w:t>
            </w:r>
            <w:r>
              <w:rPr>
                <w:rFonts w:ascii="Stone Sans II ITC Std Bk" w:hAnsi="Stone Sans II ITC Std Bk"/>
                <w:b/>
                <w:w w:val="110"/>
                <w:sz w:val="20"/>
              </w:rPr>
              <w:t>under</w:t>
            </w:r>
            <w:r>
              <w:rPr>
                <w:rFonts w:ascii="Stone Sans II ITC Std Bk" w:hAnsi="Stone Sans II ITC Std Bk"/>
                <w:b/>
                <w:spacing w:val="-13"/>
                <w:w w:val="110"/>
                <w:sz w:val="20"/>
              </w:rPr>
              <w:t> </w:t>
            </w:r>
            <w:r>
              <w:rPr>
                <w:rFonts w:ascii="Stone Sans II ITC Std Bk" w:hAnsi="Stone Sans II ITC Std Bk"/>
                <w:b/>
                <w:w w:val="110"/>
                <w:sz w:val="20"/>
              </w:rPr>
              <w:t>Paragraph</w:t>
            </w:r>
            <w:r>
              <w:rPr>
                <w:rFonts w:ascii="Stone Sans II ITC Std Bk" w:hAnsi="Stone Sans II ITC Std Bk"/>
                <w:b/>
                <w:spacing w:val="-12"/>
                <w:w w:val="110"/>
                <w:sz w:val="20"/>
              </w:rPr>
              <w:t> </w:t>
            </w:r>
            <w:r>
              <w:rPr>
                <w:rFonts w:ascii="Stone Sans II ITC Std Bk" w:hAnsi="Stone Sans II ITC Std Bk"/>
                <w:b/>
                <w:spacing w:val="-9"/>
                <w:w w:val="110"/>
                <w:sz w:val="20"/>
              </w:rPr>
              <w:t>1.3)</w:t>
            </w:r>
            <w:r>
              <w:rPr>
                <w:rFonts w:ascii="Stone Sans II ITC Std Bk" w:hAnsi="Stone Sans II ITC Std Bk"/>
                <w:b/>
                <w:spacing w:val="-13"/>
                <w:w w:val="110"/>
                <w:sz w:val="20"/>
              </w:rPr>
              <w:t> </w:t>
            </w:r>
            <w:r>
              <w:rPr>
                <w:rFonts w:ascii="Stone Sans II ITC Std Bk" w:hAnsi="Stone Sans II ITC Std Bk"/>
                <w:b/>
                <w:spacing w:val="-5"/>
                <w:w w:val="110"/>
                <w:sz w:val="20"/>
              </w:rPr>
              <w:t>and</w:t>
            </w:r>
            <w:r>
              <w:rPr>
                <w:spacing w:val="-5"/>
                <w:w w:val="110"/>
                <w:sz w:val="20"/>
              </w:rPr>
              <w:t>’. </w:t>
            </w:r>
            <w:r>
              <w:rPr>
                <w:w w:val="110"/>
                <w:sz w:val="20"/>
              </w:rPr>
              <w:t>After the words ‘</w:t>
            </w:r>
            <w:r>
              <w:rPr>
                <w:rFonts w:ascii="Stone Sans II ITC Std Bk" w:hAnsi="Stone Sans II ITC Std Bk"/>
                <w:b/>
                <w:w w:val="110"/>
                <w:sz w:val="20"/>
              </w:rPr>
              <w:t>Section F</w:t>
            </w:r>
            <w:r>
              <w:rPr>
                <w:w w:val="110"/>
                <w:sz w:val="20"/>
              </w:rPr>
              <w:t>’ insert</w:t>
            </w:r>
            <w:r>
              <w:rPr>
                <w:spacing w:val="-28"/>
                <w:w w:val="110"/>
                <w:sz w:val="20"/>
              </w:rPr>
              <w:t> </w:t>
            </w:r>
            <w:r>
              <w:rPr>
                <w:spacing w:val="-6"/>
                <w:w w:val="110"/>
                <w:sz w:val="20"/>
              </w:rPr>
              <w:t>‘</w:t>
            </w:r>
            <w:r>
              <w:rPr>
                <w:rFonts w:ascii="Stone Sans II ITC Std Bk" w:hAnsi="Stone Sans II ITC Std Bk"/>
                <w:b/>
                <w:spacing w:val="-6"/>
                <w:w w:val="110"/>
                <w:sz w:val="20"/>
              </w:rPr>
              <w:t>or, </w:t>
            </w:r>
            <w:r>
              <w:rPr>
                <w:rFonts w:ascii="Stone Sans II ITC Std Bk" w:hAnsi="Stone Sans II ITC Std Bk"/>
                <w:b/>
                <w:w w:val="110"/>
                <w:sz w:val="20"/>
              </w:rPr>
              <w:t>in the event of an appeal, Section </w:t>
            </w:r>
            <w:r>
              <w:rPr>
                <w:rFonts w:ascii="Stone Sans II ITC Std Bk" w:hAnsi="Stone Sans II ITC Std Bk"/>
                <w:b/>
                <w:spacing w:val="-8"/>
                <w:w w:val="110"/>
                <w:sz w:val="20"/>
              </w:rPr>
              <w:t>G</w:t>
            </w:r>
            <w:r>
              <w:rPr>
                <w:spacing w:val="-8"/>
                <w:w w:val="110"/>
                <w:sz w:val="20"/>
              </w:rPr>
              <w:t>’.</w:t>
            </w:r>
          </w:p>
          <w:p>
            <w:pPr>
              <w:pStyle w:val="TableParagraph"/>
              <w:spacing w:line="227" w:lineRule="exact"/>
              <w:ind w:left="210"/>
              <w:rPr>
                <w:sz w:val="20"/>
              </w:rPr>
            </w:pPr>
            <w:r>
              <w:rPr>
                <w:w w:val="120"/>
                <w:sz w:val="20"/>
              </w:rPr>
              <w:t>Paragraph 1.3.1</w:t>
            </w:r>
          </w:p>
          <w:p>
            <w:pPr>
              <w:pStyle w:val="TableParagraph"/>
              <w:spacing w:line="253" w:lineRule="exact"/>
              <w:ind w:left="890"/>
              <w:rPr>
                <w:sz w:val="20"/>
              </w:rPr>
            </w:pPr>
            <w:r>
              <w:rPr>
                <w:w w:val="115"/>
                <w:sz w:val="20"/>
              </w:rPr>
              <w:t>Remove the words ‘</w:t>
            </w:r>
            <w:r>
              <w:rPr>
                <w:rFonts w:ascii="Stone Sans II ITC Std Bk" w:hAnsi="Stone Sans II ITC Std Bk"/>
                <w:b/>
                <w:w w:val="115"/>
                <w:sz w:val="20"/>
              </w:rPr>
              <w:t>or, in the event of an appeal, the Appeals Commission</w:t>
            </w:r>
            <w:r>
              <w:rPr>
                <w:w w:val="115"/>
                <w:sz w:val="20"/>
              </w:rPr>
              <w:t>’.</w:t>
            </w:r>
          </w:p>
          <w:p>
            <w:pPr>
              <w:pStyle w:val="TableParagraph"/>
              <w:spacing w:line="227" w:lineRule="exact"/>
              <w:ind w:left="209"/>
              <w:rPr>
                <w:sz w:val="20"/>
              </w:rPr>
            </w:pPr>
            <w:r>
              <w:rPr>
                <w:w w:val="120"/>
                <w:sz w:val="20"/>
              </w:rPr>
              <w:t>Paragraph 1.3.2</w:t>
            </w:r>
          </w:p>
          <w:p>
            <w:pPr>
              <w:pStyle w:val="TableParagraph"/>
              <w:spacing w:line="213" w:lineRule="auto" w:before="14"/>
              <w:ind w:left="890" w:right="476"/>
              <w:rPr>
                <w:sz w:val="20"/>
              </w:rPr>
            </w:pPr>
            <w:r>
              <w:rPr>
                <w:w w:val="110"/>
                <w:sz w:val="20"/>
              </w:rPr>
              <w:t>Replace the words ‘</w:t>
            </w:r>
            <w:r>
              <w:rPr>
                <w:rFonts w:ascii="Stone Sans II ITC Std Bk" w:hAnsi="Stone Sans II ITC Std Bk"/>
                <w:b/>
                <w:w w:val="110"/>
                <w:sz w:val="20"/>
              </w:rPr>
              <w:t>within the time limit  therein  specified</w:t>
            </w:r>
            <w:r>
              <w:rPr>
                <w:w w:val="110"/>
                <w:sz w:val="20"/>
              </w:rPr>
              <w:t>’  with  ‘</w:t>
            </w:r>
            <w:r>
              <w:rPr>
                <w:rFonts w:ascii="Stone Sans II ITC Std Bk" w:hAnsi="Stone Sans II ITC Std Bk"/>
                <w:b/>
                <w:w w:val="110"/>
                <w:sz w:val="20"/>
              </w:rPr>
              <w:t>with  all due expedition, consistent with the consultation process laid down by the Incapacity</w:t>
            </w:r>
            <w:r>
              <w:rPr>
                <w:rFonts w:ascii="Stone Sans II ITC Std Bk" w:hAnsi="Stone Sans II ITC Std Bk"/>
                <w:b/>
                <w:spacing w:val="-1"/>
                <w:w w:val="110"/>
                <w:sz w:val="20"/>
              </w:rPr>
              <w:t> </w:t>
            </w:r>
            <w:r>
              <w:rPr>
                <w:rFonts w:ascii="Stone Sans II ITC Std Bk" w:hAnsi="Stone Sans II ITC Std Bk"/>
                <w:b/>
                <w:w w:val="110"/>
                <w:sz w:val="20"/>
              </w:rPr>
              <w:t>Procedure</w:t>
            </w:r>
            <w:r>
              <w:rPr>
                <w:w w:val="110"/>
                <w:sz w:val="20"/>
              </w:rPr>
              <w:t>’.</w:t>
            </w:r>
          </w:p>
          <w:p>
            <w:pPr>
              <w:pStyle w:val="TableParagraph"/>
              <w:spacing w:line="224" w:lineRule="exact"/>
              <w:ind w:left="890"/>
              <w:rPr>
                <w:i/>
                <w:sz w:val="20"/>
              </w:rPr>
            </w:pPr>
            <w:r>
              <w:rPr>
                <w:i/>
                <w:w w:val="115"/>
                <w:sz w:val="20"/>
              </w:rPr>
              <w:t>{Note: This ties in with the change made by Mission Council to Part II, Para E.5.3.15.}</w:t>
            </w:r>
          </w:p>
          <w:p>
            <w:pPr>
              <w:pStyle w:val="TableParagraph"/>
              <w:spacing w:line="253" w:lineRule="exact"/>
              <w:ind w:left="890"/>
              <w:rPr>
                <w:sz w:val="20"/>
              </w:rPr>
            </w:pPr>
            <w:r>
              <w:rPr>
                <w:w w:val="115"/>
                <w:sz w:val="20"/>
              </w:rPr>
              <w:t>Remove the words ‘</w:t>
            </w:r>
            <w:r>
              <w:rPr>
                <w:rFonts w:ascii="Stone Sans II ITC Std Bk" w:hAnsi="Stone Sans II ITC Std Bk"/>
                <w:b/>
                <w:w w:val="115"/>
                <w:sz w:val="20"/>
              </w:rPr>
              <w:t>or the Appeals Commission</w:t>
            </w:r>
            <w:r>
              <w:rPr>
                <w:w w:val="115"/>
                <w:sz w:val="20"/>
              </w:rPr>
              <w:t>’.</w:t>
            </w:r>
          </w:p>
          <w:p>
            <w:pPr>
              <w:pStyle w:val="TableParagraph"/>
              <w:spacing w:line="227" w:lineRule="exact"/>
              <w:ind w:left="209"/>
              <w:rPr>
                <w:sz w:val="20"/>
              </w:rPr>
            </w:pPr>
            <w:r>
              <w:rPr>
                <w:w w:val="120"/>
                <w:sz w:val="20"/>
              </w:rPr>
              <w:t>Paragraph 1.3.3 and Paragraph 1.3.4</w:t>
            </w:r>
          </w:p>
          <w:p>
            <w:pPr>
              <w:pStyle w:val="TableParagraph"/>
              <w:spacing w:line="253" w:lineRule="exact"/>
              <w:ind w:left="890"/>
              <w:rPr>
                <w:sz w:val="20"/>
              </w:rPr>
            </w:pPr>
            <w:r>
              <w:rPr>
                <w:w w:val="115"/>
                <w:sz w:val="20"/>
              </w:rPr>
              <w:t>Remove the words ‘</w:t>
            </w:r>
            <w:r>
              <w:rPr>
                <w:rFonts w:ascii="Stone Sans II ITC Std Bk" w:hAnsi="Stone Sans II ITC Std Bk"/>
                <w:b/>
                <w:w w:val="115"/>
                <w:sz w:val="20"/>
              </w:rPr>
              <w:t>or the Appeals Commission</w:t>
            </w:r>
            <w:r>
              <w:rPr>
                <w:w w:val="115"/>
                <w:sz w:val="20"/>
              </w:rPr>
              <w:t>’.</w:t>
            </w:r>
          </w:p>
          <w:p>
            <w:pPr>
              <w:pStyle w:val="TableParagraph"/>
              <w:spacing w:line="227" w:lineRule="exact"/>
              <w:ind w:left="209"/>
              <w:rPr>
                <w:sz w:val="20"/>
              </w:rPr>
            </w:pPr>
            <w:r>
              <w:rPr>
                <w:w w:val="120"/>
                <w:sz w:val="20"/>
              </w:rPr>
              <w:t>Paragraph 2</w:t>
            </w:r>
          </w:p>
          <w:p>
            <w:pPr>
              <w:pStyle w:val="TableParagraph"/>
              <w:spacing w:line="253" w:lineRule="exact"/>
              <w:ind w:left="890"/>
              <w:rPr>
                <w:sz w:val="20"/>
              </w:rPr>
            </w:pPr>
            <w:r>
              <w:rPr>
                <w:w w:val="115"/>
                <w:sz w:val="20"/>
              </w:rPr>
              <w:t>After the words ‘</w:t>
            </w:r>
            <w:r>
              <w:rPr>
                <w:rFonts w:ascii="Stone Sans II ITC Std Bk" w:hAnsi="Stone Sans II ITC Std Bk"/>
                <w:b/>
                <w:w w:val="115"/>
                <w:sz w:val="20"/>
              </w:rPr>
              <w:t>Appeals Commission</w:t>
            </w:r>
            <w:r>
              <w:rPr>
                <w:w w:val="115"/>
                <w:sz w:val="20"/>
              </w:rPr>
              <w:t>’ insert ‘</w:t>
            </w:r>
            <w:r>
              <w:rPr>
                <w:rFonts w:ascii="Stone Sans II ITC Std Bk" w:hAnsi="Stone Sans II ITC Std Bk"/>
                <w:b/>
                <w:w w:val="115"/>
                <w:sz w:val="20"/>
              </w:rPr>
              <w:t>, the Special Appeals Body</w:t>
            </w:r>
            <w:r>
              <w:rPr>
                <w:w w:val="115"/>
                <w:sz w:val="20"/>
              </w:rPr>
              <w:t>’.</w:t>
            </w:r>
          </w:p>
          <w:p>
            <w:pPr>
              <w:pStyle w:val="TableParagraph"/>
              <w:spacing w:line="227" w:lineRule="exact"/>
              <w:ind w:left="210"/>
              <w:rPr>
                <w:sz w:val="20"/>
              </w:rPr>
            </w:pPr>
            <w:r>
              <w:rPr>
                <w:w w:val="120"/>
                <w:sz w:val="20"/>
              </w:rPr>
              <w:t>Paragraph 7.2</w:t>
            </w:r>
          </w:p>
          <w:p>
            <w:pPr>
              <w:pStyle w:val="TableParagraph"/>
              <w:spacing w:line="213" w:lineRule="auto" w:before="14"/>
              <w:ind w:left="890" w:right="393"/>
              <w:rPr>
                <w:sz w:val="20"/>
              </w:rPr>
            </w:pPr>
            <w:r>
              <w:rPr>
                <w:w w:val="110"/>
                <w:sz w:val="20"/>
              </w:rPr>
              <w:t>After the words ‘</w:t>
            </w:r>
            <w:r>
              <w:rPr>
                <w:rFonts w:ascii="Stone Sans II ITC Std Bk" w:hAnsi="Stone Sans II ITC Std Bk"/>
                <w:b/>
                <w:w w:val="110"/>
                <w:sz w:val="20"/>
              </w:rPr>
              <w:t>case law</w:t>
            </w:r>
            <w:r>
              <w:rPr>
                <w:w w:val="110"/>
                <w:sz w:val="20"/>
              </w:rPr>
              <w:t>’ add ‘</w:t>
            </w:r>
            <w:r>
              <w:rPr>
                <w:rFonts w:ascii="Stone Sans II ITC Std Bk" w:hAnsi="Stone Sans II ITC Std Bk"/>
                <w:b/>
                <w:w w:val="110"/>
                <w:sz w:val="20"/>
              </w:rPr>
              <w:t>and/or official statements of good practice issued by a government department or agency</w:t>
            </w:r>
            <w:r>
              <w:rPr>
                <w:w w:val="110"/>
                <w:sz w:val="20"/>
              </w:rPr>
              <w:t>’.</w:t>
            </w:r>
          </w:p>
        </w:tc>
      </w:tr>
    </w:tbl>
    <w:p>
      <w:pPr>
        <w:pStyle w:val="BodyText"/>
        <w:spacing w:before="2"/>
        <w:rPr>
          <w:sz w:val="54"/>
        </w:rPr>
      </w:pPr>
    </w:p>
    <w:p>
      <w:pPr>
        <w:spacing w:before="0"/>
        <w:ind w:left="1984" w:right="0" w:firstLine="0"/>
        <w:jc w:val="left"/>
        <w:rPr>
          <w:sz w:val="32"/>
        </w:rPr>
      </w:pPr>
      <w:r>
        <w:rPr/>
        <w:pict>
          <v:group style="position:absolute;margin-left:84.873993pt;margin-top:28.515873pt;width:470.6pt;height:285.55pt;mso-position-horizontal-relative:page;mso-position-vertical-relative:paragraph;z-index:-267045888" coordorigin="1697,570" coordsize="9412,5711">
            <v:shape style="position:absolute;left:1727;top:600;width:9352;height:5651" coordorigin="1727,600" coordsize="9352,5651" path="m1727,6011l1731,6150,1757,6221,1829,6247,1967,6251,10838,6251,10977,6247,11048,6221,11075,6150,11078,6011,11078,840,11075,702,11048,630,10977,604,10838,600,1967,600,1829,604,1757,630,1731,702,1727,840,1727,6011xe" filled="false" stroked="true" strokeweight="3pt" strokecolor="#000000">
              <v:path arrowok="t"/>
              <v:stroke dashstyle="solid"/>
            </v:shape>
            <v:shape style="position:absolute;left:1697;top:570;width:9412;height:5711" type="#_x0000_t202"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35" w:lineRule="auto" w:before="182"/>
                      <w:ind w:left="286" w:right="430" w:firstLine="0"/>
                      <w:jc w:val="left"/>
                      <w:rPr>
                        <w:sz w:val="20"/>
                      </w:rPr>
                    </w:pPr>
                    <w:r>
                      <w:rPr>
                        <w:w w:val="120"/>
                        <w:sz w:val="20"/>
                      </w:rPr>
                      <w:t>General Assembly agrees to make the following changes to Part I of the Incapacity Procedure (Section P):</w:t>
                    </w:r>
                  </w:p>
                  <w:p>
                    <w:pPr>
                      <w:spacing w:line="240" w:lineRule="exact" w:before="0"/>
                      <w:ind w:left="286" w:right="0" w:firstLine="0"/>
                      <w:jc w:val="left"/>
                      <w:rPr>
                        <w:sz w:val="20"/>
                      </w:rPr>
                    </w:pPr>
                    <w:r>
                      <w:rPr>
                        <w:w w:val="120"/>
                        <w:sz w:val="20"/>
                      </w:rPr>
                      <w:t>Paragraph 1.1</w:t>
                    </w:r>
                  </w:p>
                  <w:p>
                    <w:pPr>
                      <w:spacing w:line="240" w:lineRule="exact" w:before="0"/>
                      <w:ind w:left="967" w:right="0" w:firstLine="0"/>
                      <w:jc w:val="left"/>
                      <w:rPr>
                        <w:sz w:val="20"/>
                      </w:rPr>
                    </w:pPr>
                    <w:r>
                      <w:rPr>
                        <w:w w:val="120"/>
                        <w:sz w:val="20"/>
                      </w:rPr>
                      <w:t>The existing Paragraph 1 to become 1.1.</w:t>
                    </w:r>
                  </w:p>
                  <w:p>
                    <w:pPr>
                      <w:spacing w:line="240" w:lineRule="exact" w:before="0"/>
                      <w:ind w:left="286" w:right="0" w:firstLine="0"/>
                      <w:jc w:val="left"/>
                      <w:rPr>
                        <w:sz w:val="20"/>
                      </w:rPr>
                    </w:pPr>
                    <w:r>
                      <w:rPr>
                        <w:w w:val="120"/>
                        <w:sz w:val="20"/>
                      </w:rPr>
                      <w:t>Paragraph 1.2</w:t>
                    </w:r>
                  </w:p>
                  <w:p>
                    <w:pPr>
                      <w:spacing w:line="234" w:lineRule="exact" w:before="0"/>
                      <w:ind w:left="967" w:right="0" w:firstLine="0"/>
                      <w:jc w:val="left"/>
                      <w:rPr>
                        <w:sz w:val="20"/>
                      </w:rPr>
                    </w:pPr>
                    <w:r>
                      <w:rPr>
                        <w:spacing w:val="4"/>
                        <w:w w:val="120"/>
                        <w:sz w:val="20"/>
                      </w:rPr>
                      <w:t>Add </w:t>
                    </w:r>
                    <w:r>
                      <w:rPr>
                        <w:w w:val="120"/>
                        <w:sz w:val="20"/>
                      </w:rPr>
                      <w:t>a </w:t>
                    </w:r>
                    <w:r>
                      <w:rPr>
                        <w:spacing w:val="3"/>
                        <w:w w:val="120"/>
                        <w:sz w:val="20"/>
                      </w:rPr>
                      <w:t>new </w:t>
                    </w:r>
                    <w:r>
                      <w:rPr>
                        <w:spacing w:val="6"/>
                        <w:w w:val="120"/>
                        <w:sz w:val="20"/>
                      </w:rPr>
                      <w:t>paragraph </w:t>
                    </w:r>
                    <w:r>
                      <w:rPr>
                        <w:spacing w:val="2"/>
                        <w:w w:val="120"/>
                        <w:sz w:val="20"/>
                      </w:rPr>
                      <w:t>as</w:t>
                    </w:r>
                    <w:r>
                      <w:rPr>
                        <w:spacing w:val="53"/>
                        <w:w w:val="120"/>
                        <w:sz w:val="20"/>
                      </w:rPr>
                      <w:t> </w:t>
                    </w:r>
                    <w:r>
                      <w:rPr>
                        <w:spacing w:val="3"/>
                        <w:w w:val="120"/>
                        <w:sz w:val="20"/>
                      </w:rPr>
                      <w:t>follows:-</w:t>
                    </w:r>
                  </w:p>
                  <w:p>
                    <w:pPr>
                      <w:spacing w:line="213" w:lineRule="auto" w:before="14"/>
                      <w:ind w:left="967" w:right="358" w:firstLine="0"/>
                      <w:jc w:val="left"/>
                      <w:rPr>
                        <w:sz w:val="20"/>
                      </w:rPr>
                    </w:pPr>
                    <w:r>
                      <w:rPr>
                        <w:w w:val="110"/>
                        <w:sz w:val="20"/>
                      </w:rPr>
                      <w:t>‘</w:t>
                    </w:r>
                    <w:r>
                      <w:rPr>
                        <w:rFonts w:ascii="Stone Sans II ITC Std Bk" w:hAnsi="Stone Sans II ITC Std Bk"/>
                        <w:b/>
                        <w:w w:val="110"/>
                        <w:sz w:val="20"/>
                      </w:rPr>
                      <w:t>The Review Commission may also decide to make a recommendation/ referral in accordance with Part II Section H. The Review Commission or, in the event of an appeal the Appeals Review Commission, is also able to make recommendations (other than recommendations under Part II Section H) and offer guidance, but only within the limits prescribed in Part II Sections K and L</w:t>
                    </w:r>
                    <w:r>
                      <w:rPr>
                        <w:w w:val="110"/>
                        <w:sz w:val="20"/>
                      </w:rPr>
                      <w:t>’</w:t>
                    </w:r>
                  </w:p>
                  <w:p>
                    <w:pPr>
                      <w:spacing w:line="222" w:lineRule="exact" w:before="0"/>
                      <w:ind w:left="286" w:right="0" w:firstLine="0"/>
                      <w:jc w:val="left"/>
                      <w:rPr>
                        <w:sz w:val="20"/>
                      </w:rPr>
                    </w:pPr>
                    <w:r>
                      <w:rPr>
                        <w:w w:val="120"/>
                        <w:sz w:val="20"/>
                      </w:rPr>
                      <w:t>Paragraph 2</w:t>
                    </w:r>
                  </w:p>
                  <w:p>
                    <w:pPr>
                      <w:spacing w:line="213" w:lineRule="auto" w:before="14"/>
                      <w:ind w:left="967" w:right="430" w:hanging="1"/>
                      <w:jc w:val="left"/>
                      <w:rPr>
                        <w:sz w:val="20"/>
                      </w:rPr>
                    </w:pPr>
                    <w:r>
                      <w:rPr>
                        <w:w w:val="115"/>
                        <w:sz w:val="20"/>
                      </w:rPr>
                      <w:t>After</w:t>
                    </w:r>
                    <w:r>
                      <w:rPr>
                        <w:spacing w:val="-10"/>
                        <w:w w:val="115"/>
                        <w:sz w:val="20"/>
                      </w:rPr>
                      <w:t> </w:t>
                    </w:r>
                    <w:r>
                      <w:rPr>
                        <w:w w:val="115"/>
                        <w:sz w:val="20"/>
                      </w:rPr>
                      <w:t>the</w:t>
                    </w:r>
                    <w:r>
                      <w:rPr>
                        <w:spacing w:val="-9"/>
                        <w:w w:val="115"/>
                        <w:sz w:val="20"/>
                      </w:rPr>
                      <w:t> </w:t>
                    </w:r>
                    <w:r>
                      <w:rPr>
                        <w:w w:val="115"/>
                        <w:sz w:val="20"/>
                      </w:rPr>
                      <w:t>words</w:t>
                    </w:r>
                    <w:r>
                      <w:rPr>
                        <w:spacing w:val="-10"/>
                        <w:w w:val="115"/>
                        <w:sz w:val="20"/>
                      </w:rPr>
                      <w:t> </w:t>
                    </w:r>
                    <w:r>
                      <w:rPr>
                        <w:w w:val="115"/>
                        <w:sz w:val="20"/>
                      </w:rPr>
                      <w:t>‘</w:t>
                    </w:r>
                    <w:r>
                      <w:rPr>
                        <w:rFonts w:ascii="Stone Sans II ITC Std Bk" w:hAnsi="Stone Sans II ITC Std Bk"/>
                        <w:b/>
                        <w:w w:val="115"/>
                        <w:sz w:val="20"/>
                      </w:rPr>
                      <w:t>Appeals</w:t>
                    </w:r>
                    <w:r>
                      <w:rPr>
                        <w:rFonts w:ascii="Stone Sans II ITC Std Bk" w:hAnsi="Stone Sans II ITC Std Bk"/>
                        <w:b/>
                        <w:spacing w:val="-17"/>
                        <w:w w:val="115"/>
                        <w:sz w:val="20"/>
                      </w:rPr>
                      <w:t> </w:t>
                    </w:r>
                    <w:r>
                      <w:rPr>
                        <w:rFonts w:ascii="Stone Sans II ITC Std Bk" w:hAnsi="Stone Sans II ITC Std Bk"/>
                        <w:b/>
                        <w:w w:val="115"/>
                        <w:sz w:val="20"/>
                      </w:rPr>
                      <w:t>Review</w:t>
                    </w:r>
                    <w:r>
                      <w:rPr>
                        <w:rFonts w:ascii="Stone Sans II ITC Std Bk" w:hAnsi="Stone Sans II ITC Std Bk"/>
                        <w:b/>
                        <w:spacing w:val="-16"/>
                        <w:w w:val="115"/>
                        <w:sz w:val="20"/>
                      </w:rPr>
                      <w:t> </w:t>
                    </w:r>
                    <w:r>
                      <w:rPr>
                        <w:rFonts w:ascii="Stone Sans II ITC Std Bk" w:hAnsi="Stone Sans II ITC Std Bk"/>
                        <w:b/>
                        <w:w w:val="115"/>
                        <w:sz w:val="20"/>
                      </w:rPr>
                      <w:t>Commission</w:t>
                    </w:r>
                    <w:r>
                      <w:rPr>
                        <w:w w:val="115"/>
                        <w:sz w:val="20"/>
                      </w:rPr>
                      <w:t>’</w:t>
                    </w:r>
                    <w:r>
                      <w:rPr>
                        <w:spacing w:val="-10"/>
                        <w:w w:val="115"/>
                        <w:sz w:val="20"/>
                      </w:rPr>
                      <w:t> </w:t>
                    </w:r>
                    <w:r>
                      <w:rPr>
                        <w:w w:val="115"/>
                        <w:sz w:val="20"/>
                      </w:rPr>
                      <w:t>insert</w:t>
                    </w:r>
                    <w:r>
                      <w:rPr>
                        <w:spacing w:val="-9"/>
                        <w:w w:val="115"/>
                        <w:sz w:val="20"/>
                      </w:rPr>
                      <w:t> </w:t>
                    </w:r>
                    <w:r>
                      <w:rPr>
                        <w:spacing w:val="-10"/>
                        <w:w w:val="115"/>
                        <w:sz w:val="20"/>
                      </w:rPr>
                      <w:t>‘</w:t>
                    </w:r>
                    <w:r>
                      <w:rPr>
                        <w:rFonts w:ascii="Stone Sans II ITC Std Bk" w:hAnsi="Stone Sans II ITC Std Bk"/>
                        <w:b/>
                        <w:spacing w:val="-10"/>
                        <w:w w:val="115"/>
                        <w:sz w:val="20"/>
                      </w:rPr>
                      <w:t>,</w:t>
                    </w:r>
                    <w:r>
                      <w:rPr>
                        <w:rFonts w:ascii="Stone Sans II ITC Std Bk" w:hAnsi="Stone Sans II ITC Std Bk"/>
                        <w:b/>
                        <w:spacing w:val="-17"/>
                        <w:w w:val="115"/>
                        <w:sz w:val="20"/>
                      </w:rPr>
                      <w:t> </w:t>
                    </w:r>
                    <w:r>
                      <w:rPr>
                        <w:rFonts w:ascii="Stone Sans II ITC Std Bk" w:hAnsi="Stone Sans II ITC Std Bk"/>
                        <w:b/>
                        <w:w w:val="115"/>
                        <w:sz w:val="20"/>
                      </w:rPr>
                      <w:t>the</w:t>
                    </w:r>
                    <w:r>
                      <w:rPr>
                        <w:rFonts w:ascii="Stone Sans II ITC Std Bk" w:hAnsi="Stone Sans II ITC Std Bk"/>
                        <w:b/>
                        <w:spacing w:val="-17"/>
                        <w:w w:val="115"/>
                        <w:sz w:val="20"/>
                      </w:rPr>
                      <w:t> </w:t>
                    </w:r>
                    <w:r>
                      <w:rPr>
                        <w:rFonts w:ascii="Stone Sans II ITC Std Bk" w:hAnsi="Stone Sans II ITC Std Bk"/>
                        <w:b/>
                        <w:w w:val="115"/>
                        <w:sz w:val="20"/>
                      </w:rPr>
                      <w:t>Special</w:t>
                    </w:r>
                    <w:r>
                      <w:rPr>
                        <w:rFonts w:ascii="Stone Sans II ITC Std Bk" w:hAnsi="Stone Sans II ITC Std Bk"/>
                        <w:b/>
                        <w:spacing w:val="-17"/>
                        <w:w w:val="115"/>
                        <w:sz w:val="20"/>
                      </w:rPr>
                      <w:t> </w:t>
                    </w:r>
                    <w:r>
                      <w:rPr>
                        <w:rFonts w:ascii="Stone Sans II ITC Std Bk" w:hAnsi="Stone Sans II ITC Std Bk"/>
                        <w:b/>
                        <w:w w:val="115"/>
                        <w:sz w:val="20"/>
                      </w:rPr>
                      <w:t>Appeals Body</w:t>
                    </w:r>
                    <w:r>
                      <w:rPr>
                        <w:w w:val="115"/>
                        <w:sz w:val="20"/>
                      </w:rPr>
                      <w:t>’.</w:t>
                    </w:r>
                  </w:p>
                  <w:p>
                    <w:pPr>
                      <w:spacing w:line="225" w:lineRule="exact" w:before="0"/>
                      <w:ind w:left="286" w:right="0" w:firstLine="0"/>
                      <w:jc w:val="left"/>
                      <w:rPr>
                        <w:sz w:val="20"/>
                      </w:rPr>
                    </w:pPr>
                    <w:r>
                      <w:rPr>
                        <w:w w:val="120"/>
                        <w:sz w:val="20"/>
                      </w:rPr>
                      <w:t>Paragraph 7</w:t>
                    </w:r>
                  </w:p>
                  <w:p>
                    <w:pPr>
                      <w:spacing w:line="213" w:lineRule="auto" w:before="14"/>
                      <w:ind w:left="967" w:right="430" w:firstLine="0"/>
                      <w:jc w:val="left"/>
                      <w:rPr>
                        <w:sz w:val="20"/>
                      </w:rPr>
                    </w:pPr>
                    <w:r>
                      <w:rPr>
                        <w:w w:val="110"/>
                        <w:sz w:val="20"/>
                      </w:rPr>
                      <w:t>After the words ‘</w:t>
                    </w:r>
                    <w:r>
                      <w:rPr>
                        <w:rFonts w:ascii="Stone Sans II ITC Std Bk" w:hAnsi="Stone Sans II ITC Std Bk"/>
                        <w:b/>
                        <w:w w:val="110"/>
                        <w:sz w:val="20"/>
                      </w:rPr>
                      <w:t>case law</w:t>
                    </w:r>
                    <w:r>
                      <w:rPr>
                        <w:w w:val="110"/>
                        <w:sz w:val="20"/>
                      </w:rPr>
                      <w:t>’ insert ‘</w:t>
                    </w:r>
                    <w:r>
                      <w:rPr>
                        <w:rFonts w:ascii="Stone Sans II ITC Std Bk" w:hAnsi="Stone Sans II ITC Std Bk"/>
                        <w:b/>
                        <w:w w:val="110"/>
                        <w:sz w:val="20"/>
                      </w:rPr>
                      <w:t>and/or official statements of good practice issued by a government department or agency</w:t>
                    </w:r>
                    <w:r>
                      <w:rPr>
                        <w:w w:val="110"/>
                        <w:sz w:val="20"/>
                      </w:rPr>
                      <w:t>’.</w:t>
                    </w:r>
                  </w:p>
                </w:txbxContent>
              </v:textbox>
              <w10:wrap type="none"/>
            </v:shape>
            <w10:wrap type="none"/>
          </v:group>
        </w:pict>
      </w:r>
      <w:r>
        <w:rPr>
          <w:color w:val="9662A1"/>
          <w:w w:val="120"/>
          <w:sz w:val="32"/>
        </w:rPr>
        <w:t>Mission Council: Incapacity Procedure Part I</w:t>
      </w:r>
    </w:p>
    <w:p>
      <w:pPr>
        <w:pStyle w:val="BodyText"/>
        <w:spacing w:before="9"/>
        <w:rPr>
          <w:sz w:val="14"/>
        </w:rPr>
      </w:pPr>
    </w:p>
    <w:tbl>
      <w:tblPr>
        <w:tblW w:w="0" w:type="auto"/>
        <w:jc w:val="left"/>
        <w:tblInd w:w="18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0"/>
        <w:gridCol w:w="3825"/>
        <w:gridCol w:w="5248"/>
      </w:tblGrid>
      <w:tr>
        <w:trPr>
          <w:trHeight w:val="645" w:hRule="atLeast"/>
        </w:trPr>
        <w:tc>
          <w:tcPr>
            <w:tcW w:w="230"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tabs>
                <w:tab w:pos="3407" w:val="left" w:leader="none"/>
              </w:tabs>
              <w:spacing w:line="146" w:lineRule="auto" w:before="24"/>
              <w:ind w:left="178" w:right="-15"/>
              <w:rPr>
                <w:rFonts w:ascii="Stone Sans II ITC Std X Bd"/>
                <w:b/>
                <w:sz w:val="57"/>
              </w:rPr>
            </w:pPr>
            <w:r>
              <w:rPr>
                <w:rFonts w:ascii="Stone Sans II ITC Std X Bd"/>
                <w:b/>
                <w:color w:val="FFFFFF"/>
                <w:w w:val="110"/>
                <w:sz w:val="47"/>
              </w:rPr>
              <w:t>Resolution</w:t>
              <w:tab/>
            </w:r>
            <w:r>
              <w:rPr>
                <w:rFonts w:ascii="Stone Sans II ITC Std X Bd"/>
                <w:b/>
                <w:spacing w:val="-15"/>
                <w:w w:val="110"/>
                <w:position w:val="-22"/>
                <w:sz w:val="57"/>
              </w:rPr>
              <w:t>6</w:t>
            </w:r>
          </w:p>
        </w:tc>
        <w:tc>
          <w:tcPr>
            <w:tcW w:w="5248" w:type="dxa"/>
            <w:tcBorders>
              <w:top w:val="single" w:sz="24" w:space="0" w:color="000000"/>
            </w:tcBorders>
          </w:tcPr>
          <w:p>
            <w:pPr>
              <w:pStyle w:val="TableParagraph"/>
              <w:rPr>
                <w:rFonts w:ascii="Times New Roman"/>
                <w:sz w:val="22"/>
              </w:rPr>
            </w:pPr>
          </w:p>
        </w:tc>
      </w:tr>
    </w:tbl>
    <w:p>
      <w:pPr>
        <w:spacing w:after="0"/>
        <w:rPr>
          <w:rFonts w:ascii="Times New Roman"/>
          <w:sz w:val="22"/>
        </w:rPr>
        <w:sectPr>
          <w:pgSz w:w="11910" w:h="16840"/>
          <w:pgMar w:header="0" w:footer="647" w:top="1060" w:bottom="840" w:left="0" w:right="0"/>
        </w:sectPr>
      </w:pPr>
    </w:p>
    <w:p>
      <w:pPr>
        <w:spacing w:before="131"/>
        <w:ind w:left="1133" w:right="0" w:firstLine="0"/>
        <w:jc w:val="left"/>
        <w:rPr>
          <w:sz w:val="32"/>
        </w:rPr>
      </w:pPr>
      <w:r>
        <w:rPr/>
        <w:pict>
          <v:rect style="position:absolute;margin-left:12.047pt;margin-top:8.474748pt;width:22.677pt;height:22.677pt;mso-position-horizontal-relative:page;mso-position-vertical-relative:paragraph;z-index:252379136" filled="true" fillcolor="#dcd0e6" stroked="false">
            <v:fill opacity="32768f" type="solid"/>
            <w10:wrap type="none"/>
          </v:rect>
        </w:pict>
      </w:r>
      <w:r>
        <w:rPr>
          <w:color w:val="9662A1"/>
          <w:w w:val="120"/>
          <w:sz w:val="32"/>
        </w:rPr>
        <w:t>Mission Council: Disciplinary Procedure Part I</w:t>
      </w:r>
    </w:p>
    <w:p>
      <w:pPr>
        <w:pStyle w:val="BodyText"/>
        <w:spacing w:before="6"/>
        <w:rPr>
          <w:sz w:val="15"/>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tabs>
                <w:tab w:pos="3432" w:val="left" w:leader="none"/>
              </w:tabs>
              <w:spacing w:line="148" w:lineRule="auto" w:before="21"/>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1"/>
                <w:sz w:val="57"/>
              </w:rPr>
              <w:t>7</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1570"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5"/>
              <w:rPr>
                <w:sz w:val="28"/>
              </w:rPr>
            </w:pPr>
          </w:p>
          <w:p>
            <w:pPr>
              <w:pStyle w:val="TableParagraph"/>
              <w:spacing w:line="235" w:lineRule="auto"/>
              <w:ind w:left="266" w:right="641"/>
              <w:rPr>
                <w:sz w:val="20"/>
              </w:rPr>
            </w:pPr>
            <w:r>
              <w:rPr>
                <w:w w:val="120"/>
                <w:sz w:val="20"/>
              </w:rPr>
              <w:t>General Assembly agrees to make the following change to Part I of the Disciplinary Process (Section O):</w:t>
            </w:r>
          </w:p>
          <w:p>
            <w:pPr>
              <w:pStyle w:val="TableParagraph"/>
              <w:spacing w:line="240" w:lineRule="exact"/>
              <w:ind w:left="266"/>
              <w:rPr>
                <w:sz w:val="20"/>
              </w:rPr>
            </w:pPr>
            <w:r>
              <w:rPr>
                <w:w w:val="120"/>
                <w:sz w:val="20"/>
              </w:rPr>
              <w:t>Paragraph 7</w:t>
            </w:r>
          </w:p>
          <w:p>
            <w:pPr>
              <w:pStyle w:val="TableParagraph"/>
              <w:spacing w:line="242" w:lineRule="exact"/>
              <w:ind w:left="947"/>
              <w:rPr>
                <w:sz w:val="20"/>
              </w:rPr>
            </w:pPr>
            <w:r>
              <w:rPr>
                <w:w w:val="120"/>
                <w:sz w:val="20"/>
              </w:rPr>
              <w:t>Remove this paragraph in its entirety.</w:t>
            </w:r>
          </w:p>
        </w:tc>
      </w:tr>
    </w:tbl>
    <w:p>
      <w:pPr>
        <w:pStyle w:val="BodyText"/>
        <w:rPr>
          <w:sz w:val="38"/>
        </w:rPr>
      </w:pPr>
    </w:p>
    <w:p>
      <w:pPr>
        <w:spacing w:before="294"/>
        <w:ind w:left="1133" w:right="0" w:firstLine="0"/>
        <w:jc w:val="left"/>
        <w:rPr>
          <w:sz w:val="32"/>
        </w:rPr>
      </w:pPr>
      <w:r>
        <w:rPr>
          <w:color w:val="9662A1"/>
          <w:w w:val="120"/>
          <w:sz w:val="32"/>
        </w:rPr>
        <w:t>Mission Council: Incapacity Procedure Part I</w:t>
      </w:r>
    </w:p>
    <w:p>
      <w:pPr>
        <w:pStyle w:val="BodyText"/>
        <w:spacing w:before="1"/>
        <w:rPr>
          <w:sz w:val="15"/>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tabs>
                <w:tab w:pos="3432" w:val="left" w:leader="none"/>
              </w:tabs>
              <w:spacing w:line="148" w:lineRule="auto" w:before="21"/>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1"/>
                <w:sz w:val="57"/>
              </w:rPr>
              <w:t>8</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1570"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0"/>
              <w:rPr>
                <w:sz w:val="28"/>
              </w:rPr>
            </w:pPr>
          </w:p>
          <w:p>
            <w:pPr>
              <w:pStyle w:val="TableParagraph"/>
              <w:spacing w:line="235" w:lineRule="auto"/>
              <w:ind w:left="266" w:right="641"/>
              <w:rPr>
                <w:sz w:val="20"/>
              </w:rPr>
            </w:pPr>
            <w:r>
              <w:rPr>
                <w:w w:val="120"/>
                <w:sz w:val="20"/>
              </w:rPr>
              <w:t>General Assembly agrees to make the following change to Part I of the Incapacity Procedure (Section P):</w:t>
            </w:r>
          </w:p>
          <w:p>
            <w:pPr>
              <w:pStyle w:val="TableParagraph"/>
              <w:spacing w:line="240" w:lineRule="exact"/>
              <w:ind w:left="266"/>
              <w:rPr>
                <w:sz w:val="20"/>
              </w:rPr>
            </w:pPr>
            <w:r>
              <w:rPr>
                <w:w w:val="120"/>
                <w:sz w:val="20"/>
              </w:rPr>
              <w:t>Paragraphs 6 and 7</w:t>
            </w:r>
          </w:p>
          <w:p>
            <w:pPr>
              <w:pStyle w:val="TableParagraph"/>
              <w:spacing w:line="242" w:lineRule="exact"/>
              <w:ind w:left="947"/>
              <w:rPr>
                <w:sz w:val="20"/>
              </w:rPr>
            </w:pPr>
            <w:r>
              <w:rPr>
                <w:spacing w:val="4"/>
                <w:w w:val="120"/>
                <w:sz w:val="20"/>
              </w:rPr>
              <w:t>Remove these </w:t>
            </w:r>
            <w:r>
              <w:rPr>
                <w:spacing w:val="5"/>
                <w:w w:val="120"/>
                <w:sz w:val="20"/>
              </w:rPr>
              <w:t>two paragraphs </w:t>
            </w:r>
            <w:r>
              <w:rPr>
                <w:spacing w:val="2"/>
                <w:w w:val="120"/>
                <w:sz w:val="20"/>
              </w:rPr>
              <w:t>in </w:t>
            </w:r>
            <w:r>
              <w:rPr>
                <w:spacing w:val="4"/>
                <w:w w:val="120"/>
                <w:sz w:val="20"/>
              </w:rPr>
              <w:t>their</w:t>
            </w:r>
            <w:r>
              <w:rPr>
                <w:spacing w:val="58"/>
                <w:w w:val="120"/>
                <w:sz w:val="20"/>
              </w:rPr>
              <w:t> </w:t>
            </w:r>
            <w:r>
              <w:rPr>
                <w:spacing w:val="3"/>
                <w:w w:val="120"/>
                <w:sz w:val="20"/>
              </w:rPr>
              <w:t>entirety.</w:t>
            </w:r>
          </w:p>
        </w:tc>
      </w:tr>
    </w:tbl>
    <w:p>
      <w:pPr>
        <w:pStyle w:val="BodyText"/>
        <w:spacing w:before="4"/>
        <w:rPr>
          <w:sz w:val="49"/>
        </w:rPr>
      </w:pPr>
    </w:p>
    <w:p>
      <w:pPr>
        <w:spacing w:before="1"/>
        <w:ind w:left="1133" w:right="0" w:firstLine="0"/>
        <w:jc w:val="left"/>
        <w:rPr>
          <w:sz w:val="32"/>
        </w:rPr>
      </w:pPr>
      <w:r>
        <w:rPr>
          <w:color w:val="9662A1"/>
          <w:spacing w:val="-4"/>
          <w:w w:val="120"/>
          <w:sz w:val="32"/>
        </w:rPr>
        <w:t>Mission </w:t>
      </w:r>
      <w:r>
        <w:rPr>
          <w:color w:val="9662A1"/>
          <w:spacing w:val="-6"/>
          <w:w w:val="120"/>
          <w:sz w:val="32"/>
        </w:rPr>
        <w:t>Council: </w:t>
      </w:r>
      <w:r>
        <w:rPr>
          <w:color w:val="9662A1"/>
          <w:spacing w:val="-4"/>
          <w:w w:val="120"/>
          <w:sz w:val="32"/>
        </w:rPr>
        <w:t>amendments </w:t>
      </w:r>
      <w:r>
        <w:rPr>
          <w:color w:val="9662A1"/>
          <w:spacing w:val="-5"/>
          <w:w w:val="120"/>
          <w:sz w:val="32"/>
        </w:rPr>
        <w:t>to </w:t>
      </w:r>
      <w:r>
        <w:rPr>
          <w:color w:val="9662A1"/>
          <w:w w:val="120"/>
          <w:sz w:val="32"/>
        </w:rPr>
        <w:t>the</w:t>
      </w:r>
      <w:r>
        <w:rPr>
          <w:color w:val="9662A1"/>
          <w:spacing w:val="52"/>
          <w:w w:val="120"/>
          <w:sz w:val="32"/>
        </w:rPr>
        <w:t> </w:t>
      </w:r>
      <w:r>
        <w:rPr>
          <w:color w:val="9662A1"/>
          <w:spacing w:val="-3"/>
          <w:w w:val="120"/>
          <w:sz w:val="32"/>
        </w:rPr>
        <w:t>Structure</w:t>
      </w:r>
    </w:p>
    <w:p>
      <w:pPr>
        <w:pStyle w:val="BodyText"/>
        <w:spacing w:before="11"/>
        <w:rPr>
          <w:sz w:val="14"/>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tabs>
                <w:tab w:pos="3432" w:val="left" w:leader="none"/>
              </w:tabs>
              <w:spacing w:line="146" w:lineRule="auto" w:before="24"/>
              <w:ind w:left="178" w:right="-44"/>
              <w:rPr>
                <w:rFonts w:ascii="Stone Sans II ITC Std X Bd"/>
                <w:b/>
                <w:sz w:val="57"/>
              </w:rPr>
            </w:pPr>
            <w:r>
              <w:rPr>
                <w:rFonts w:ascii="Stone Sans II ITC Std X Bd"/>
                <w:b/>
                <w:color w:val="FFFFFF"/>
                <w:w w:val="110"/>
                <w:sz w:val="47"/>
              </w:rPr>
              <w:t>Resolution</w:t>
              <w:tab/>
            </w:r>
            <w:r>
              <w:rPr>
                <w:rFonts w:ascii="Stone Sans II ITC Std X Bd"/>
                <w:b/>
                <w:spacing w:val="-11"/>
                <w:w w:val="110"/>
                <w:position w:val="-22"/>
                <w:sz w:val="57"/>
              </w:rPr>
              <w:t>9</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3792"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1"/>
              <w:rPr>
                <w:sz w:val="28"/>
              </w:rPr>
            </w:pPr>
          </w:p>
          <w:p>
            <w:pPr>
              <w:pStyle w:val="TableParagraph"/>
              <w:spacing w:line="235" w:lineRule="auto"/>
              <w:ind w:left="266" w:right="641"/>
              <w:rPr>
                <w:sz w:val="20"/>
              </w:rPr>
            </w:pPr>
            <w:r>
              <w:rPr>
                <w:w w:val="120"/>
                <w:sz w:val="20"/>
              </w:rPr>
              <w:t>General Assembly agrees to make the following changes to the Structure of the United Reformed Church:</w:t>
            </w:r>
          </w:p>
          <w:p>
            <w:pPr>
              <w:pStyle w:val="TableParagraph"/>
              <w:spacing w:line="233" w:lineRule="exact"/>
              <w:ind w:left="266"/>
              <w:rPr>
                <w:sz w:val="20"/>
              </w:rPr>
            </w:pPr>
            <w:r>
              <w:rPr>
                <w:w w:val="130"/>
                <w:sz w:val="20"/>
              </w:rPr>
              <w:t>Paragraph 2(6)(A)(xi)</w:t>
            </w:r>
          </w:p>
          <w:p>
            <w:pPr>
              <w:pStyle w:val="TableParagraph"/>
              <w:spacing w:line="213" w:lineRule="auto" w:before="14"/>
              <w:ind w:left="947" w:right="337"/>
              <w:rPr>
                <w:sz w:val="20"/>
              </w:rPr>
            </w:pPr>
            <w:r>
              <w:rPr>
                <w:w w:val="110"/>
                <w:sz w:val="20"/>
              </w:rPr>
              <w:t>Remove the words ‘</w:t>
            </w:r>
            <w:r>
              <w:rPr>
                <w:rFonts w:ascii="Stone Sans II ITC Std Bk" w:hAnsi="Stone Sans II ITC Std Bk"/>
                <w:b/>
                <w:w w:val="110"/>
                <w:sz w:val="20"/>
              </w:rPr>
              <w:t>Part I of the Statement of the Ministerial Disciplinary Process referred to in Function (xxxiii) below, and Part I of the Incapacity Procedure referred to in Paragraph 6 of the Structure.</w:t>
            </w:r>
            <w:r>
              <w:rPr>
                <w:w w:val="110"/>
                <w:sz w:val="20"/>
              </w:rPr>
              <w:t>’</w:t>
            </w:r>
          </w:p>
          <w:p>
            <w:pPr>
              <w:pStyle w:val="TableParagraph"/>
              <w:spacing w:line="224" w:lineRule="exact"/>
              <w:ind w:left="266"/>
              <w:rPr>
                <w:sz w:val="20"/>
              </w:rPr>
            </w:pPr>
            <w:r>
              <w:rPr>
                <w:w w:val="125"/>
                <w:sz w:val="20"/>
              </w:rPr>
              <w:t>Paragraph 3.(1)</w:t>
            </w:r>
          </w:p>
          <w:p>
            <w:pPr>
              <w:pStyle w:val="TableParagraph"/>
              <w:spacing w:line="213" w:lineRule="auto" w:before="14"/>
              <w:ind w:left="947" w:right="641"/>
              <w:rPr>
                <w:sz w:val="20"/>
              </w:rPr>
            </w:pPr>
            <w:r>
              <w:rPr>
                <w:w w:val="115"/>
                <w:sz w:val="20"/>
              </w:rPr>
              <w:t>Change the reference in the text from ‘</w:t>
            </w:r>
            <w:r>
              <w:rPr>
                <w:rFonts w:ascii="Stone Sans II ITC Std Bk" w:hAnsi="Stone Sans II ITC Std Bk"/>
                <w:b/>
                <w:w w:val="115"/>
                <w:sz w:val="20"/>
              </w:rPr>
              <w:t>Paragraph 2.5.xi.</w:t>
            </w:r>
            <w:r>
              <w:rPr>
                <w:w w:val="115"/>
                <w:sz w:val="20"/>
              </w:rPr>
              <w:t>’ to ‘</w:t>
            </w:r>
            <w:r>
              <w:rPr>
                <w:rFonts w:ascii="Stone Sans II ITC Std Bk" w:hAnsi="Stone Sans II ITC Std Bk"/>
                <w:b/>
                <w:w w:val="115"/>
                <w:sz w:val="20"/>
              </w:rPr>
              <w:t>Paragraph 2(6)(A)(xi)</w:t>
            </w:r>
            <w:r>
              <w:rPr>
                <w:w w:val="115"/>
                <w:sz w:val="20"/>
              </w:rPr>
              <w:t>’.</w:t>
            </w:r>
          </w:p>
          <w:p>
            <w:pPr>
              <w:pStyle w:val="TableParagraph"/>
              <w:spacing w:line="225" w:lineRule="exact"/>
              <w:ind w:left="266"/>
              <w:rPr>
                <w:sz w:val="20"/>
              </w:rPr>
            </w:pPr>
            <w:r>
              <w:rPr>
                <w:w w:val="125"/>
                <w:sz w:val="20"/>
              </w:rPr>
              <w:t>Paragraph 5.(2)</w:t>
            </w:r>
          </w:p>
          <w:p>
            <w:pPr>
              <w:pStyle w:val="TableParagraph"/>
              <w:spacing w:line="253" w:lineRule="exact"/>
              <w:ind w:left="947"/>
              <w:rPr>
                <w:sz w:val="20"/>
              </w:rPr>
            </w:pPr>
            <w:r>
              <w:rPr>
                <w:w w:val="120"/>
                <w:sz w:val="20"/>
              </w:rPr>
              <w:t>Change the reference in the text from ‘</w:t>
            </w:r>
            <w:r>
              <w:rPr>
                <w:rFonts w:ascii="Stone Sans II ITC Std Bk" w:hAnsi="Stone Sans II ITC Std Bk"/>
                <w:b/>
                <w:w w:val="120"/>
                <w:sz w:val="20"/>
              </w:rPr>
              <w:t>Paragraph 5(3)</w:t>
            </w:r>
            <w:r>
              <w:rPr>
                <w:w w:val="120"/>
                <w:sz w:val="20"/>
              </w:rPr>
              <w:t>’ to ‘</w:t>
            </w:r>
            <w:r>
              <w:rPr>
                <w:rFonts w:ascii="Stone Sans II ITC Std Bk" w:hAnsi="Stone Sans II ITC Std Bk"/>
                <w:b/>
                <w:w w:val="120"/>
                <w:sz w:val="20"/>
              </w:rPr>
              <w:t>Paragraph 6</w:t>
            </w:r>
            <w:r>
              <w:rPr>
                <w:w w:val="120"/>
                <w:sz w:val="20"/>
              </w:rPr>
              <w:t>’.</w:t>
            </w:r>
          </w:p>
          <w:p>
            <w:pPr>
              <w:pStyle w:val="TableParagraph"/>
              <w:spacing w:line="235" w:lineRule="auto"/>
              <w:ind w:left="947" w:right="1355"/>
              <w:rPr>
                <w:i/>
                <w:sz w:val="20"/>
              </w:rPr>
            </w:pPr>
            <w:r>
              <w:rPr>
                <w:i/>
                <w:spacing w:val="3"/>
                <w:w w:val="110"/>
                <w:sz w:val="20"/>
              </w:rPr>
              <w:t>{Note: The </w:t>
            </w:r>
            <w:r>
              <w:rPr>
                <w:i/>
                <w:w w:val="110"/>
                <w:sz w:val="20"/>
              </w:rPr>
              <w:t>2nd </w:t>
            </w:r>
            <w:r>
              <w:rPr>
                <w:i/>
                <w:spacing w:val="3"/>
                <w:w w:val="110"/>
                <w:sz w:val="20"/>
              </w:rPr>
              <w:t>and </w:t>
            </w:r>
            <w:r>
              <w:rPr>
                <w:i/>
                <w:spacing w:val="2"/>
                <w:w w:val="110"/>
                <w:sz w:val="20"/>
              </w:rPr>
              <w:t>3rd </w:t>
            </w:r>
            <w:r>
              <w:rPr>
                <w:i/>
                <w:spacing w:val="3"/>
                <w:w w:val="110"/>
                <w:sz w:val="20"/>
              </w:rPr>
              <w:t>of </w:t>
            </w:r>
            <w:r>
              <w:rPr>
                <w:i/>
                <w:spacing w:val="4"/>
                <w:w w:val="110"/>
                <w:sz w:val="20"/>
              </w:rPr>
              <w:t>these changes </w:t>
            </w:r>
            <w:r>
              <w:rPr>
                <w:i/>
                <w:spacing w:val="3"/>
                <w:w w:val="110"/>
                <w:sz w:val="20"/>
              </w:rPr>
              <w:t>are </w:t>
            </w:r>
            <w:r>
              <w:rPr>
                <w:i/>
                <w:spacing w:val="2"/>
                <w:w w:val="110"/>
                <w:sz w:val="20"/>
              </w:rPr>
              <w:t>in </w:t>
            </w:r>
            <w:r>
              <w:rPr>
                <w:i/>
                <w:spacing w:val="3"/>
                <w:w w:val="110"/>
                <w:sz w:val="20"/>
              </w:rPr>
              <w:t>order </w:t>
            </w:r>
            <w:r>
              <w:rPr>
                <w:i/>
                <w:w w:val="110"/>
                <w:sz w:val="20"/>
              </w:rPr>
              <w:t>to </w:t>
            </w:r>
            <w:r>
              <w:rPr>
                <w:i/>
                <w:spacing w:val="4"/>
                <w:w w:val="110"/>
                <w:sz w:val="20"/>
              </w:rPr>
              <w:t>correct </w:t>
            </w:r>
            <w:r>
              <w:rPr>
                <w:i/>
                <w:spacing w:val="5"/>
                <w:w w:val="110"/>
                <w:sz w:val="20"/>
              </w:rPr>
              <w:t>errors </w:t>
            </w:r>
            <w:r>
              <w:rPr>
                <w:i/>
                <w:spacing w:val="2"/>
                <w:w w:val="110"/>
                <w:sz w:val="20"/>
              </w:rPr>
              <w:t>in </w:t>
            </w:r>
            <w:r>
              <w:rPr>
                <w:i/>
                <w:spacing w:val="3"/>
                <w:w w:val="110"/>
                <w:sz w:val="20"/>
              </w:rPr>
              <w:t>the </w:t>
            </w:r>
            <w:r>
              <w:rPr>
                <w:i/>
                <w:spacing w:val="4"/>
                <w:w w:val="110"/>
                <w:sz w:val="20"/>
              </w:rPr>
              <w:t>current</w:t>
            </w:r>
            <w:r>
              <w:rPr>
                <w:i/>
                <w:spacing w:val="25"/>
                <w:w w:val="110"/>
                <w:sz w:val="20"/>
              </w:rPr>
              <w:t> </w:t>
            </w:r>
            <w:r>
              <w:rPr>
                <w:i/>
                <w:spacing w:val="4"/>
                <w:w w:val="110"/>
                <w:sz w:val="20"/>
              </w:rPr>
              <w:t>Structure.}</w:t>
            </w:r>
          </w:p>
        </w:tc>
      </w:tr>
    </w:tbl>
    <w:p>
      <w:pPr>
        <w:spacing w:after="0" w:line="235" w:lineRule="auto"/>
        <w:rPr>
          <w:sz w:val="20"/>
        </w:rPr>
        <w:sectPr>
          <w:headerReference w:type="even" r:id="rId564"/>
          <w:headerReference w:type="default" r:id="rId565"/>
          <w:footerReference w:type="even" r:id="rId566"/>
          <w:footerReference w:type="default" r:id="rId567"/>
          <w:pgSz w:w="11910" w:h="16840"/>
          <w:pgMar w:header="0" w:footer="647" w:top="1060" w:bottom="840" w:left="0" w:right="0"/>
          <w:pgNumType w:start="246"/>
        </w:sectPr>
      </w:pPr>
    </w:p>
    <w:p>
      <w:pPr>
        <w:spacing w:before="115"/>
        <w:ind w:left="1984" w:right="0" w:firstLine="0"/>
        <w:jc w:val="left"/>
        <w:rPr>
          <w:sz w:val="32"/>
        </w:rPr>
      </w:pPr>
      <w:r>
        <w:rPr/>
        <w:pict>
          <v:rect style="position:absolute;margin-left:558.424988pt;margin-top:8.501747pt;width:22.677pt;height:22.677pt;mso-position-horizontal-relative:page;mso-position-vertical-relative:paragraph;z-index:252380160" filled="true" fillcolor="#dcd0e6" stroked="false">
            <v:fill opacity="32768f" type="solid"/>
            <w10:wrap type="none"/>
          </v:rect>
        </w:pict>
      </w:r>
      <w:r>
        <w:rPr>
          <w:color w:val="9662A1"/>
          <w:w w:val="120"/>
          <w:sz w:val="32"/>
        </w:rPr>
        <w:t>Mission Council: Disciplinary Procedure Part II</w:t>
      </w:r>
    </w:p>
    <w:p>
      <w:pPr>
        <w:pStyle w:val="BodyText"/>
        <w:spacing w:before="3"/>
        <w:rPr>
          <w:sz w:val="14"/>
        </w:rPr>
      </w:pPr>
    </w:p>
    <w:tbl>
      <w:tblPr>
        <w:tblW w:w="0" w:type="auto"/>
        <w:jc w:val="left"/>
        <w:tblInd w:w="1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29"/>
              <w:rPr>
                <w:rFonts w:ascii="Stone Sans II ITC Std X Bd"/>
                <w:b/>
                <w:sz w:val="57"/>
              </w:rPr>
            </w:pPr>
            <w:r>
              <w:rPr>
                <w:rFonts w:ascii="Stone Sans II ITC Std X Bd"/>
                <w:b/>
                <w:color w:val="FFFFFF"/>
                <w:w w:val="110"/>
                <w:sz w:val="47"/>
              </w:rPr>
              <w:t>Resolution</w:t>
            </w:r>
            <w:r>
              <w:rPr>
                <w:rFonts w:ascii="Stone Sans II ITC Std X Bd"/>
                <w:b/>
                <w:color w:val="FFFFFF"/>
                <w:spacing w:val="-57"/>
                <w:w w:val="110"/>
                <w:sz w:val="47"/>
              </w:rPr>
              <w:t> </w:t>
            </w:r>
            <w:r>
              <w:rPr>
                <w:rFonts w:ascii="Stone Sans II ITC Std X Bd"/>
                <w:b/>
                <w:spacing w:val="-20"/>
                <w:w w:val="110"/>
                <w:position w:val="-22"/>
                <w:sz w:val="57"/>
              </w:rPr>
              <w:t>10</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2442"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7"/>
              <w:rPr>
                <w:sz w:val="29"/>
              </w:rPr>
            </w:pPr>
          </w:p>
          <w:p>
            <w:pPr>
              <w:pStyle w:val="TableParagraph"/>
              <w:spacing w:line="235" w:lineRule="auto"/>
              <w:ind w:left="252" w:right="641"/>
              <w:rPr>
                <w:sz w:val="20"/>
              </w:rPr>
            </w:pPr>
            <w:r>
              <w:rPr>
                <w:w w:val="120"/>
                <w:sz w:val="20"/>
              </w:rPr>
              <w:t>General Assembly agrees to make the following changes to Part II of the Disciplinary Process (Section O):</w:t>
            </w:r>
          </w:p>
          <w:p>
            <w:pPr>
              <w:pStyle w:val="TableParagraph"/>
              <w:spacing w:line="233" w:lineRule="exact"/>
              <w:ind w:left="252"/>
              <w:rPr>
                <w:sz w:val="20"/>
              </w:rPr>
            </w:pPr>
            <w:r>
              <w:rPr>
                <w:w w:val="120"/>
                <w:sz w:val="20"/>
              </w:rPr>
              <w:t>Paragraph A.4.1</w:t>
            </w:r>
          </w:p>
          <w:p>
            <w:pPr>
              <w:pStyle w:val="TableParagraph"/>
              <w:spacing w:line="223" w:lineRule="auto" w:before="6"/>
              <w:ind w:left="252" w:right="2878" w:firstLine="680"/>
              <w:rPr>
                <w:sz w:val="20"/>
              </w:rPr>
            </w:pPr>
            <w:r>
              <w:rPr>
                <w:w w:val="120"/>
                <w:sz w:val="20"/>
              </w:rPr>
              <w:t>Remove the words ‘</w:t>
            </w:r>
            <w:r>
              <w:rPr>
                <w:rFonts w:ascii="Stone Sans II ITC Std Bk" w:hAnsi="Stone Sans II ITC Std Bk"/>
                <w:b/>
                <w:w w:val="120"/>
                <w:sz w:val="20"/>
              </w:rPr>
              <w:t>recommendations or</w:t>
            </w:r>
            <w:r>
              <w:rPr>
                <w:w w:val="120"/>
                <w:sz w:val="20"/>
              </w:rPr>
              <w:t>’ Paragraph A.5.20</w:t>
            </w:r>
          </w:p>
          <w:p>
            <w:pPr>
              <w:pStyle w:val="TableParagraph"/>
              <w:spacing w:line="213" w:lineRule="auto" w:before="9"/>
              <w:ind w:left="932" w:right="641"/>
              <w:rPr>
                <w:sz w:val="20"/>
              </w:rPr>
            </w:pPr>
            <w:r>
              <w:rPr>
                <w:w w:val="115"/>
                <w:sz w:val="20"/>
              </w:rPr>
              <w:t>Remove the words ‘</w:t>
            </w:r>
            <w:r>
              <w:rPr>
                <w:rFonts w:ascii="Stone Sans II ITC Std Bk" w:hAnsi="Stone Sans II ITC Std Bk"/>
                <w:b/>
                <w:w w:val="115"/>
                <w:sz w:val="20"/>
              </w:rPr>
              <w:t>the particular recommendation(s) or</w:t>
            </w:r>
            <w:r>
              <w:rPr>
                <w:w w:val="115"/>
                <w:sz w:val="20"/>
              </w:rPr>
              <w:t>’ and insert the word ‘</w:t>
            </w:r>
            <w:r>
              <w:rPr>
                <w:rFonts w:ascii="Stone Sans II ITC Std Bk" w:hAnsi="Stone Sans II ITC Std Bk"/>
                <w:b/>
                <w:w w:val="115"/>
                <w:sz w:val="20"/>
              </w:rPr>
              <w:t>any</w:t>
            </w:r>
            <w:r>
              <w:rPr>
                <w:w w:val="115"/>
                <w:sz w:val="20"/>
              </w:rPr>
              <w:t>’ before the word ‘</w:t>
            </w:r>
            <w:r>
              <w:rPr>
                <w:rFonts w:ascii="Stone Sans II ITC Std Bk" w:hAnsi="Stone Sans II ITC Std Bk"/>
                <w:b/>
                <w:w w:val="115"/>
                <w:sz w:val="20"/>
              </w:rPr>
              <w:t>guidance</w:t>
            </w:r>
            <w:r>
              <w:rPr>
                <w:w w:val="115"/>
                <w:sz w:val="20"/>
              </w:rPr>
              <w:t>’.</w:t>
            </w:r>
          </w:p>
          <w:p>
            <w:pPr>
              <w:pStyle w:val="TableParagraph"/>
              <w:spacing w:line="225" w:lineRule="exact"/>
              <w:ind w:left="252"/>
              <w:rPr>
                <w:sz w:val="20"/>
              </w:rPr>
            </w:pPr>
            <w:r>
              <w:rPr>
                <w:w w:val="120"/>
                <w:sz w:val="20"/>
              </w:rPr>
              <w:t>Paragraph E.9.3</w:t>
            </w:r>
          </w:p>
          <w:p>
            <w:pPr>
              <w:pStyle w:val="TableParagraph"/>
              <w:spacing w:line="213" w:lineRule="auto" w:before="14"/>
              <w:ind w:left="932" w:right="337"/>
              <w:rPr>
                <w:sz w:val="20"/>
              </w:rPr>
            </w:pPr>
            <w:r>
              <w:rPr>
                <w:spacing w:val="4"/>
                <w:w w:val="110"/>
                <w:sz w:val="20"/>
              </w:rPr>
              <w:t>Replace the words </w:t>
            </w:r>
            <w:r>
              <w:rPr>
                <w:w w:val="110"/>
                <w:sz w:val="20"/>
              </w:rPr>
              <w:t>‘</w:t>
            </w:r>
            <w:r>
              <w:rPr>
                <w:rFonts w:ascii="Stone Sans II ITC Std Bk" w:hAnsi="Stone Sans II ITC Std Bk"/>
                <w:b/>
                <w:w w:val="110"/>
                <w:sz w:val="20"/>
              </w:rPr>
              <w:t>and/or to </w:t>
            </w:r>
            <w:r>
              <w:rPr>
                <w:rFonts w:ascii="Stone Sans II ITC Std Bk" w:hAnsi="Stone Sans II ITC Std Bk"/>
                <w:b/>
                <w:spacing w:val="5"/>
                <w:w w:val="110"/>
                <w:sz w:val="20"/>
              </w:rPr>
              <w:t>append recommendations </w:t>
            </w:r>
            <w:r>
              <w:rPr>
                <w:rFonts w:ascii="Stone Sans II ITC Std Bk" w:hAnsi="Stone Sans II ITC Std Bk"/>
                <w:b/>
                <w:w w:val="110"/>
                <w:sz w:val="20"/>
              </w:rPr>
              <w:t>to </w:t>
            </w:r>
            <w:r>
              <w:rPr>
                <w:rFonts w:ascii="Stone Sans II ITC Std Bk" w:hAnsi="Stone Sans II ITC Std Bk"/>
                <w:b/>
                <w:spacing w:val="4"/>
                <w:w w:val="110"/>
                <w:sz w:val="20"/>
              </w:rPr>
              <w:t>its </w:t>
            </w:r>
            <w:r>
              <w:rPr>
                <w:rFonts w:ascii="Stone Sans II ITC Std Bk" w:hAnsi="Stone Sans II ITC Std Bk"/>
                <w:b/>
                <w:spacing w:val="5"/>
                <w:w w:val="110"/>
                <w:sz w:val="20"/>
              </w:rPr>
              <w:t>decision </w:t>
            </w:r>
            <w:r>
              <w:rPr>
                <w:rFonts w:ascii="Stone Sans II ITC Std Bk" w:hAnsi="Stone Sans II ITC Std Bk"/>
                <w:b/>
                <w:spacing w:val="4"/>
                <w:w w:val="110"/>
                <w:sz w:val="20"/>
              </w:rPr>
              <w:t>under </w:t>
            </w:r>
            <w:r>
              <w:rPr>
                <w:rFonts w:ascii="Stone Sans II ITC Std Bk" w:hAnsi="Stone Sans II ITC Std Bk"/>
                <w:b/>
                <w:spacing w:val="5"/>
                <w:w w:val="110"/>
                <w:sz w:val="20"/>
              </w:rPr>
              <w:t>Paragraph </w:t>
            </w:r>
            <w:r>
              <w:rPr>
                <w:rFonts w:ascii="Stone Sans II ITC Std Bk" w:hAnsi="Stone Sans II ITC Std Bk"/>
                <w:b/>
                <w:spacing w:val="3"/>
                <w:w w:val="110"/>
                <w:sz w:val="20"/>
              </w:rPr>
              <w:t>F.2.3 or </w:t>
            </w:r>
            <w:r>
              <w:rPr>
                <w:rFonts w:ascii="Stone Sans II ITC Std Bk" w:hAnsi="Stone Sans II ITC Std Bk"/>
                <w:b/>
                <w:spacing w:val="4"/>
                <w:w w:val="110"/>
                <w:sz w:val="20"/>
              </w:rPr>
              <w:t>where, </w:t>
            </w:r>
            <w:r>
              <w:rPr>
                <w:rFonts w:ascii="Stone Sans II ITC Std Bk" w:hAnsi="Stone Sans II ITC Std Bk"/>
                <w:b/>
                <w:spacing w:val="2"/>
                <w:w w:val="110"/>
                <w:sz w:val="20"/>
              </w:rPr>
              <w:t>of </w:t>
            </w:r>
            <w:r>
              <w:rPr>
                <w:rFonts w:ascii="Stone Sans II ITC Std Bk" w:hAnsi="Stone Sans II ITC Std Bk"/>
                <w:b/>
                <w:spacing w:val="4"/>
                <w:w w:val="110"/>
                <w:sz w:val="20"/>
              </w:rPr>
              <w:t>its </w:t>
            </w:r>
            <w:r>
              <w:rPr>
                <w:rFonts w:ascii="Stone Sans II ITC Std Bk" w:hAnsi="Stone Sans II ITC Std Bk"/>
                <w:b/>
                <w:spacing w:val="3"/>
                <w:w w:val="110"/>
                <w:sz w:val="20"/>
              </w:rPr>
              <w:t>own </w:t>
            </w:r>
            <w:r>
              <w:rPr>
                <w:rFonts w:ascii="Stone Sans II ITC Std Bk" w:hAnsi="Stone Sans II ITC Std Bk"/>
                <w:b/>
                <w:spacing w:val="4"/>
                <w:w w:val="110"/>
                <w:sz w:val="20"/>
              </w:rPr>
              <w:t>accord, </w:t>
            </w:r>
            <w:r>
              <w:rPr>
                <w:rFonts w:ascii="Stone Sans II ITC Std Bk" w:hAnsi="Stone Sans II ITC Std Bk"/>
                <w:b/>
                <w:spacing w:val="2"/>
                <w:w w:val="110"/>
                <w:sz w:val="20"/>
              </w:rPr>
              <w:t>it </w:t>
            </w:r>
            <w:r>
              <w:rPr>
                <w:rFonts w:ascii="Stone Sans II ITC Std Bk" w:hAnsi="Stone Sans II ITC Std Bk"/>
                <w:b/>
                <w:spacing w:val="4"/>
                <w:w w:val="110"/>
                <w:sz w:val="20"/>
              </w:rPr>
              <w:t>might </w:t>
            </w:r>
            <w:r>
              <w:rPr>
                <w:rFonts w:ascii="Stone Sans II ITC Std Bk" w:hAnsi="Stone Sans II ITC Std Bk"/>
                <w:b/>
                <w:spacing w:val="2"/>
                <w:w w:val="110"/>
                <w:sz w:val="20"/>
              </w:rPr>
              <w:t>have it in </w:t>
            </w:r>
            <w:r>
              <w:rPr>
                <w:rFonts w:ascii="Stone Sans II ITC Std Bk" w:hAnsi="Stone Sans II ITC Std Bk"/>
                <w:b/>
                <w:spacing w:val="4"/>
                <w:w w:val="110"/>
                <w:sz w:val="20"/>
              </w:rPr>
              <w:t>contemplation </w:t>
            </w:r>
            <w:r>
              <w:rPr>
                <w:rFonts w:ascii="Stone Sans II ITC Std Bk" w:hAnsi="Stone Sans II ITC Std Bk"/>
                <w:b/>
                <w:w w:val="110"/>
                <w:sz w:val="20"/>
              </w:rPr>
              <w:t>to </w:t>
            </w:r>
            <w:r>
              <w:rPr>
                <w:rFonts w:ascii="Stone Sans II ITC Std Bk" w:hAnsi="Stone Sans II ITC Std Bk"/>
                <w:b/>
                <w:spacing w:val="4"/>
                <w:w w:val="110"/>
                <w:sz w:val="20"/>
              </w:rPr>
              <w:t>adopt either </w:t>
            </w:r>
            <w:r>
              <w:rPr>
                <w:rFonts w:ascii="Stone Sans II ITC Std Bk" w:hAnsi="Stone Sans II ITC Std Bk"/>
                <w:b/>
                <w:spacing w:val="3"/>
                <w:w w:val="110"/>
                <w:sz w:val="20"/>
              </w:rPr>
              <w:t>or </w:t>
            </w:r>
            <w:r>
              <w:rPr>
                <w:rFonts w:ascii="Stone Sans II ITC Std Bk" w:hAnsi="Stone Sans II ITC Std Bk"/>
                <w:b/>
                <w:spacing w:val="4"/>
                <w:w w:val="110"/>
                <w:sz w:val="20"/>
              </w:rPr>
              <w:t>both </w:t>
            </w:r>
            <w:r>
              <w:rPr>
                <w:rFonts w:ascii="Stone Sans II ITC Std Bk" w:hAnsi="Stone Sans II ITC Std Bk"/>
                <w:b/>
                <w:spacing w:val="2"/>
                <w:w w:val="110"/>
                <w:sz w:val="20"/>
              </w:rPr>
              <w:t>of </w:t>
            </w:r>
            <w:r>
              <w:rPr>
                <w:rFonts w:ascii="Stone Sans II ITC Std Bk" w:hAnsi="Stone Sans II ITC Std Bk"/>
                <w:b/>
                <w:spacing w:val="4"/>
                <w:w w:val="110"/>
                <w:sz w:val="20"/>
              </w:rPr>
              <w:t>those courses</w:t>
            </w:r>
            <w:r>
              <w:rPr>
                <w:spacing w:val="4"/>
                <w:w w:val="110"/>
                <w:sz w:val="20"/>
              </w:rPr>
              <w:t>’ with  the  words </w:t>
            </w:r>
            <w:r>
              <w:rPr>
                <w:w w:val="110"/>
                <w:sz w:val="20"/>
              </w:rPr>
              <w:t>‘</w:t>
            </w:r>
            <w:r>
              <w:rPr>
                <w:rFonts w:ascii="Stone Sans II ITC Std Bk" w:hAnsi="Stone Sans II ITC Std Bk"/>
                <w:b/>
                <w:w w:val="110"/>
                <w:sz w:val="20"/>
              </w:rPr>
              <w:t>or </w:t>
            </w:r>
            <w:r>
              <w:rPr>
                <w:rFonts w:ascii="Stone Sans II ITC Std Bk" w:hAnsi="Stone Sans II ITC Std Bk"/>
                <w:b/>
                <w:spacing w:val="4"/>
                <w:w w:val="110"/>
                <w:sz w:val="20"/>
              </w:rPr>
              <w:t>where, </w:t>
            </w:r>
            <w:r>
              <w:rPr>
                <w:rFonts w:ascii="Stone Sans II ITC Std Bk" w:hAnsi="Stone Sans II ITC Std Bk"/>
                <w:b/>
                <w:spacing w:val="2"/>
                <w:w w:val="110"/>
                <w:sz w:val="20"/>
              </w:rPr>
              <w:t>of </w:t>
            </w:r>
            <w:r>
              <w:rPr>
                <w:rFonts w:ascii="Stone Sans II ITC Std Bk" w:hAnsi="Stone Sans II ITC Std Bk"/>
                <w:b/>
                <w:spacing w:val="4"/>
                <w:w w:val="110"/>
                <w:sz w:val="20"/>
              </w:rPr>
              <w:t>its </w:t>
            </w:r>
            <w:r>
              <w:rPr>
                <w:rFonts w:ascii="Stone Sans II ITC Std Bk" w:hAnsi="Stone Sans II ITC Std Bk"/>
                <w:b/>
                <w:spacing w:val="3"/>
                <w:w w:val="110"/>
                <w:sz w:val="20"/>
              </w:rPr>
              <w:t>own </w:t>
            </w:r>
            <w:r>
              <w:rPr>
                <w:rFonts w:ascii="Stone Sans II ITC Std Bk" w:hAnsi="Stone Sans II ITC Std Bk"/>
                <w:b/>
                <w:spacing w:val="4"/>
                <w:w w:val="110"/>
                <w:sz w:val="20"/>
              </w:rPr>
              <w:t>accord, </w:t>
            </w:r>
            <w:r>
              <w:rPr>
                <w:rFonts w:ascii="Stone Sans II ITC Std Bk" w:hAnsi="Stone Sans II ITC Std Bk"/>
                <w:b/>
                <w:spacing w:val="3"/>
                <w:w w:val="110"/>
                <w:sz w:val="20"/>
              </w:rPr>
              <w:t>the </w:t>
            </w:r>
            <w:r>
              <w:rPr>
                <w:rFonts w:ascii="Stone Sans II ITC Std Bk" w:hAnsi="Stone Sans II ITC Std Bk"/>
                <w:b/>
                <w:spacing w:val="5"/>
                <w:w w:val="110"/>
                <w:sz w:val="20"/>
              </w:rPr>
              <w:t>Assembly </w:t>
            </w:r>
            <w:r>
              <w:rPr>
                <w:rFonts w:ascii="Stone Sans II ITC Std Bk" w:hAnsi="Stone Sans II ITC Std Bk"/>
                <w:b/>
                <w:spacing w:val="4"/>
                <w:w w:val="110"/>
                <w:sz w:val="20"/>
              </w:rPr>
              <w:t>Commission might </w:t>
            </w:r>
            <w:r>
              <w:rPr>
                <w:rFonts w:ascii="Stone Sans II ITC Std Bk" w:hAnsi="Stone Sans II ITC Std Bk"/>
                <w:b/>
                <w:spacing w:val="2"/>
                <w:w w:val="110"/>
                <w:sz w:val="20"/>
              </w:rPr>
              <w:t>have it in</w:t>
            </w:r>
            <w:r>
              <w:rPr>
                <w:rFonts w:ascii="Stone Sans II ITC Std Bk" w:hAnsi="Stone Sans II ITC Std Bk"/>
                <w:b/>
                <w:spacing w:val="62"/>
                <w:w w:val="110"/>
                <w:sz w:val="20"/>
              </w:rPr>
              <w:t> </w:t>
            </w:r>
            <w:r>
              <w:rPr>
                <w:rFonts w:ascii="Stone Sans II ITC Std Bk" w:hAnsi="Stone Sans II ITC Std Bk"/>
                <w:b/>
                <w:spacing w:val="4"/>
                <w:w w:val="110"/>
                <w:sz w:val="20"/>
              </w:rPr>
              <w:t>contemplation </w:t>
            </w:r>
            <w:r>
              <w:rPr>
                <w:rFonts w:ascii="Stone Sans II ITC Std Bk" w:hAnsi="Stone Sans II ITC Std Bk"/>
                <w:b/>
                <w:w w:val="110"/>
                <w:sz w:val="20"/>
              </w:rPr>
              <w:t>to </w:t>
            </w:r>
            <w:r>
              <w:rPr>
                <w:rFonts w:ascii="Stone Sans II ITC Std Bk" w:hAnsi="Stone Sans II ITC Std Bk"/>
                <w:b/>
                <w:spacing w:val="4"/>
                <w:w w:val="110"/>
                <w:sz w:val="20"/>
              </w:rPr>
              <w:t>adopt </w:t>
            </w:r>
            <w:r>
              <w:rPr>
                <w:rFonts w:ascii="Stone Sans II ITC Std Bk" w:hAnsi="Stone Sans II ITC Std Bk"/>
                <w:b/>
                <w:spacing w:val="3"/>
                <w:w w:val="110"/>
                <w:sz w:val="20"/>
              </w:rPr>
              <w:t>that</w:t>
            </w:r>
            <w:r>
              <w:rPr>
                <w:rFonts w:ascii="Stone Sans II ITC Std Bk" w:hAnsi="Stone Sans II ITC Std Bk"/>
                <w:b/>
                <w:spacing w:val="37"/>
                <w:w w:val="110"/>
                <w:sz w:val="20"/>
              </w:rPr>
              <w:t> </w:t>
            </w:r>
            <w:r>
              <w:rPr>
                <w:rFonts w:ascii="Stone Sans II ITC Std Bk" w:hAnsi="Stone Sans II ITC Std Bk"/>
                <w:b/>
                <w:spacing w:val="2"/>
                <w:w w:val="110"/>
                <w:sz w:val="20"/>
              </w:rPr>
              <w:t>course</w:t>
            </w:r>
            <w:r>
              <w:rPr>
                <w:spacing w:val="2"/>
                <w:w w:val="110"/>
                <w:sz w:val="20"/>
              </w:rPr>
              <w:t>’.</w:t>
            </w:r>
          </w:p>
          <w:p>
            <w:pPr>
              <w:pStyle w:val="TableParagraph"/>
              <w:spacing w:line="229" w:lineRule="exact"/>
              <w:ind w:left="252"/>
              <w:rPr>
                <w:sz w:val="20"/>
              </w:rPr>
            </w:pPr>
            <w:r>
              <w:rPr>
                <w:w w:val="120"/>
                <w:sz w:val="20"/>
              </w:rPr>
              <w:t>Paragraph F.2.3</w:t>
            </w:r>
          </w:p>
          <w:p>
            <w:pPr>
              <w:pStyle w:val="TableParagraph"/>
              <w:spacing w:line="240" w:lineRule="exact"/>
              <w:ind w:left="932"/>
              <w:rPr>
                <w:sz w:val="20"/>
              </w:rPr>
            </w:pPr>
            <w:r>
              <w:rPr>
                <w:w w:val="120"/>
                <w:sz w:val="20"/>
              </w:rPr>
              <w:t>Delete entirely.</w:t>
            </w:r>
          </w:p>
          <w:p>
            <w:pPr>
              <w:pStyle w:val="TableParagraph"/>
              <w:spacing w:line="240" w:lineRule="exact"/>
              <w:ind w:left="252"/>
              <w:rPr>
                <w:sz w:val="20"/>
              </w:rPr>
            </w:pPr>
            <w:r>
              <w:rPr>
                <w:w w:val="120"/>
                <w:sz w:val="20"/>
              </w:rPr>
              <w:t>Paragraph F.2.4</w:t>
            </w:r>
          </w:p>
          <w:p>
            <w:pPr>
              <w:pStyle w:val="TableParagraph"/>
              <w:spacing w:line="240" w:lineRule="exact"/>
              <w:ind w:left="932"/>
              <w:rPr>
                <w:sz w:val="20"/>
              </w:rPr>
            </w:pPr>
            <w:r>
              <w:rPr>
                <w:w w:val="120"/>
                <w:sz w:val="20"/>
              </w:rPr>
              <w:t>Renumber as F.2.3.</w:t>
            </w:r>
          </w:p>
          <w:p>
            <w:pPr>
              <w:pStyle w:val="TableParagraph"/>
              <w:spacing w:line="234" w:lineRule="exact"/>
              <w:ind w:left="252"/>
              <w:rPr>
                <w:sz w:val="20"/>
              </w:rPr>
            </w:pPr>
            <w:r>
              <w:rPr>
                <w:spacing w:val="5"/>
                <w:w w:val="120"/>
                <w:sz w:val="20"/>
              </w:rPr>
              <w:t>Paragraph</w:t>
            </w:r>
            <w:r>
              <w:rPr>
                <w:spacing w:val="34"/>
                <w:w w:val="120"/>
                <w:sz w:val="20"/>
              </w:rPr>
              <w:t> </w:t>
            </w:r>
            <w:r>
              <w:rPr>
                <w:w w:val="120"/>
                <w:sz w:val="20"/>
              </w:rPr>
              <w:t>F.5.2</w:t>
            </w:r>
          </w:p>
          <w:p>
            <w:pPr>
              <w:pStyle w:val="TableParagraph"/>
              <w:spacing w:line="223" w:lineRule="auto" w:before="6"/>
              <w:ind w:left="252" w:right="641" w:firstLine="680"/>
              <w:rPr>
                <w:sz w:val="20"/>
              </w:rPr>
            </w:pPr>
            <w:r>
              <w:rPr>
                <w:spacing w:val="4"/>
                <w:w w:val="115"/>
                <w:sz w:val="20"/>
              </w:rPr>
              <w:t>Remove the words ‘</w:t>
            </w:r>
            <w:r>
              <w:rPr>
                <w:rFonts w:ascii="Stone Sans II ITC Std Bk" w:hAnsi="Stone Sans II ITC Std Bk"/>
                <w:b/>
                <w:spacing w:val="4"/>
                <w:w w:val="115"/>
                <w:sz w:val="20"/>
              </w:rPr>
              <w:t>recommendations </w:t>
            </w:r>
            <w:r>
              <w:rPr>
                <w:rFonts w:ascii="Stone Sans II ITC Std Bk" w:hAnsi="Stone Sans II ITC Std Bk"/>
                <w:b/>
                <w:spacing w:val="5"/>
                <w:w w:val="115"/>
                <w:sz w:val="20"/>
              </w:rPr>
              <w:t>or</w:t>
            </w:r>
            <w:r>
              <w:rPr>
                <w:spacing w:val="5"/>
                <w:w w:val="115"/>
                <w:sz w:val="20"/>
              </w:rPr>
              <w:t>’ </w:t>
            </w:r>
            <w:r>
              <w:rPr>
                <w:spacing w:val="4"/>
                <w:w w:val="115"/>
                <w:sz w:val="20"/>
              </w:rPr>
              <w:t>and </w:t>
            </w:r>
            <w:r>
              <w:rPr>
                <w:w w:val="115"/>
                <w:sz w:val="20"/>
              </w:rPr>
              <w:t>‘</w:t>
            </w:r>
            <w:r>
              <w:rPr>
                <w:rFonts w:ascii="Stone Sans II ITC Std Bk" w:hAnsi="Stone Sans II ITC Std Bk"/>
                <w:b/>
                <w:w w:val="115"/>
                <w:sz w:val="20"/>
              </w:rPr>
              <w:t>or </w:t>
            </w:r>
            <w:r>
              <w:rPr>
                <w:rFonts w:ascii="Stone Sans II ITC Std Bk" w:hAnsi="Stone Sans II ITC Std Bk"/>
                <w:b/>
                <w:spacing w:val="5"/>
                <w:w w:val="115"/>
                <w:sz w:val="20"/>
              </w:rPr>
              <w:t>Paragraph </w:t>
            </w:r>
            <w:r>
              <w:rPr>
                <w:rFonts w:ascii="Stone Sans II ITC Std Bk" w:hAnsi="Stone Sans II ITC Std Bk"/>
                <w:b/>
                <w:w w:val="115"/>
                <w:sz w:val="20"/>
              </w:rPr>
              <w:t>F.2.4</w:t>
            </w:r>
            <w:r>
              <w:rPr>
                <w:w w:val="115"/>
                <w:sz w:val="20"/>
              </w:rPr>
              <w:t>’.* </w:t>
            </w:r>
            <w:r>
              <w:rPr>
                <w:spacing w:val="5"/>
                <w:w w:val="115"/>
                <w:sz w:val="20"/>
              </w:rPr>
              <w:t>Paragraph</w:t>
            </w:r>
            <w:r>
              <w:rPr>
                <w:spacing w:val="15"/>
                <w:w w:val="115"/>
                <w:sz w:val="20"/>
              </w:rPr>
              <w:t> </w:t>
            </w:r>
            <w:r>
              <w:rPr>
                <w:w w:val="115"/>
                <w:sz w:val="20"/>
              </w:rPr>
              <w:t>F.6.4</w:t>
            </w:r>
          </w:p>
          <w:p>
            <w:pPr>
              <w:pStyle w:val="TableParagraph"/>
              <w:spacing w:line="249" w:lineRule="exact"/>
              <w:ind w:left="932"/>
              <w:rPr>
                <w:sz w:val="20"/>
              </w:rPr>
            </w:pPr>
            <w:r>
              <w:rPr>
                <w:w w:val="115"/>
                <w:sz w:val="20"/>
              </w:rPr>
              <w:t>Remove the words ‘</w:t>
            </w:r>
            <w:r>
              <w:rPr>
                <w:rFonts w:ascii="Stone Sans II ITC Std Bk" w:hAnsi="Stone Sans II ITC Std Bk"/>
                <w:b/>
                <w:w w:val="115"/>
                <w:sz w:val="20"/>
              </w:rPr>
              <w:t>recommendations or</w:t>
            </w:r>
            <w:r>
              <w:rPr>
                <w:w w:val="115"/>
                <w:sz w:val="20"/>
              </w:rPr>
              <w:t>’.</w:t>
            </w:r>
          </w:p>
          <w:p>
            <w:pPr>
              <w:pStyle w:val="TableParagraph"/>
              <w:spacing w:line="227" w:lineRule="exact"/>
              <w:ind w:left="252"/>
              <w:rPr>
                <w:sz w:val="20"/>
              </w:rPr>
            </w:pPr>
            <w:r>
              <w:rPr>
                <w:w w:val="125"/>
                <w:sz w:val="20"/>
              </w:rPr>
              <w:t>Paragraph G.8.4</w:t>
            </w:r>
          </w:p>
          <w:p>
            <w:pPr>
              <w:pStyle w:val="TableParagraph"/>
              <w:spacing w:line="213" w:lineRule="auto" w:before="14"/>
              <w:ind w:left="932" w:right="641"/>
              <w:rPr>
                <w:sz w:val="20"/>
              </w:rPr>
            </w:pPr>
            <w:r>
              <w:rPr>
                <w:w w:val="115"/>
                <w:sz w:val="20"/>
              </w:rPr>
              <w:t>Remove the words ‘</w:t>
            </w:r>
            <w:r>
              <w:rPr>
                <w:rFonts w:ascii="Stone Sans II ITC Std Bk" w:hAnsi="Stone Sans II ITC Std Bk"/>
                <w:b/>
                <w:w w:val="115"/>
                <w:sz w:val="20"/>
              </w:rPr>
              <w:t>recommendations or</w:t>
            </w:r>
            <w:r>
              <w:rPr>
                <w:w w:val="115"/>
                <w:sz w:val="20"/>
              </w:rPr>
              <w:t>’ and ‘</w:t>
            </w:r>
            <w:r>
              <w:rPr>
                <w:rFonts w:ascii="Stone Sans II ITC Std Bk" w:hAnsi="Stone Sans II ITC Std Bk"/>
                <w:b/>
                <w:w w:val="115"/>
                <w:sz w:val="20"/>
              </w:rPr>
              <w:t>or Paragraph F.2.4 as the case may be</w:t>
            </w:r>
            <w:r>
              <w:rPr>
                <w:w w:val="115"/>
                <w:sz w:val="20"/>
              </w:rPr>
              <w:t>’.*</w:t>
            </w:r>
          </w:p>
          <w:p>
            <w:pPr>
              <w:pStyle w:val="TableParagraph"/>
              <w:spacing w:line="231" w:lineRule="exact"/>
              <w:ind w:left="252"/>
              <w:rPr>
                <w:sz w:val="20"/>
              </w:rPr>
            </w:pPr>
            <w:r>
              <w:rPr>
                <w:w w:val="125"/>
                <w:sz w:val="20"/>
              </w:rPr>
              <w:t>Paragraph G.13.4</w:t>
            </w:r>
          </w:p>
          <w:p>
            <w:pPr>
              <w:pStyle w:val="TableParagraph"/>
              <w:spacing w:line="235" w:lineRule="auto" w:before="2"/>
              <w:ind w:left="252" w:right="1355" w:firstLine="680"/>
              <w:rPr>
                <w:sz w:val="20"/>
              </w:rPr>
            </w:pPr>
            <w:r>
              <w:rPr>
                <w:w w:val="120"/>
                <w:sz w:val="20"/>
              </w:rPr>
              <w:t>Delete entirely, renumbering the subsequent subparagraphs of G.13 Paragraph G.13.6 (to become G.13.5)</w:t>
            </w:r>
          </w:p>
          <w:p>
            <w:pPr>
              <w:pStyle w:val="TableParagraph"/>
              <w:spacing w:line="233" w:lineRule="exact"/>
              <w:ind w:left="932"/>
              <w:rPr>
                <w:sz w:val="20"/>
              </w:rPr>
            </w:pPr>
            <w:r>
              <w:rPr>
                <w:spacing w:val="4"/>
                <w:w w:val="120"/>
                <w:sz w:val="20"/>
              </w:rPr>
              <w:t>Replace the </w:t>
            </w:r>
            <w:r>
              <w:rPr>
                <w:spacing w:val="5"/>
                <w:w w:val="120"/>
                <w:sz w:val="20"/>
              </w:rPr>
              <w:t>existing </w:t>
            </w:r>
            <w:r>
              <w:rPr>
                <w:spacing w:val="6"/>
                <w:w w:val="120"/>
                <w:sz w:val="20"/>
              </w:rPr>
              <w:t>paragraph </w:t>
            </w:r>
            <w:r>
              <w:rPr>
                <w:spacing w:val="4"/>
                <w:w w:val="120"/>
                <w:sz w:val="20"/>
              </w:rPr>
              <w:t>with the</w:t>
            </w:r>
            <w:r>
              <w:rPr>
                <w:spacing w:val="61"/>
                <w:w w:val="120"/>
                <w:sz w:val="20"/>
              </w:rPr>
              <w:t> </w:t>
            </w:r>
            <w:r>
              <w:rPr>
                <w:spacing w:val="4"/>
                <w:w w:val="120"/>
                <w:sz w:val="20"/>
              </w:rPr>
              <w:t>following:</w:t>
            </w:r>
          </w:p>
          <w:p>
            <w:pPr>
              <w:pStyle w:val="TableParagraph"/>
              <w:spacing w:line="213" w:lineRule="auto" w:before="14"/>
              <w:ind w:left="932" w:right="337"/>
              <w:rPr>
                <w:rFonts w:ascii="Stone Sans II ITC Std Bk" w:hAnsi="Stone Sans II ITC Std Bk"/>
                <w:b/>
                <w:sz w:val="20"/>
              </w:rPr>
            </w:pPr>
            <w:r>
              <w:rPr>
                <w:rFonts w:ascii="Stone Sans II ITC Std Bk" w:hAnsi="Stone Sans II ITC Std Bk"/>
                <w:b/>
                <w:spacing w:val="4"/>
                <w:w w:val="110"/>
                <w:sz w:val="20"/>
              </w:rPr>
              <w:t>‘In </w:t>
            </w:r>
            <w:r>
              <w:rPr>
                <w:rFonts w:ascii="Stone Sans II ITC Std Bk" w:hAnsi="Stone Sans II ITC Std Bk"/>
                <w:b/>
                <w:spacing w:val="5"/>
                <w:w w:val="110"/>
                <w:sz w:val="20"/>
              </w:rPr>
              <w:t>addition </w:t>
            </w:r>
            <w:r>
              <w:rPr>
                <w:rFonts w:ascii="Stone Sans II ITC Std Bk" w:hAnsi="Stone Sans II ITC Std Bk"/>
                <w:b/>
                <w:w w:val="110"/>
                <w:sz w:val="20"/>
              </w:rPr>
              <w:t>to </w:t>
            </w:r>
            <w:r>
              <w:rPr>
                <w:rFonts w:ascii="Stone Sans II ITC Std Bk" w:hAnsi="Stone Sans II ITC Std Bk"/>
                <w:b/>
                <w:spacing w:val="4"/>
                <w:w w:val="110"/>
                <w:sz w:val="20"/>
              </w:rPr>
              <w:t>its power </w:t>
            </w:r>
            <w:r>
              <w:rPr>
                <w:rFonts w:ascii="Stone Sans II ITC Std Bk" w:hAnsi="Stone Sans II ITC Std Bk"/>
                <w:b/>
                <w:w w:val="110"/>
                <w:sz w:val="20"/>
              </w:rPr>
              <w:t>to </w:t>
            </w:r>
            <w:r>
              <w:rPr>
                <w:rFonts w:ascii="Stone Sans II ITC Std Bk" w:hAnsi="Stone Sans II ITC Std Bk"/>
                <w:b/>
                <w:spacing w:val="6"/>
                <w:w w:val="110"/>
                <w:sz w:val="20"/>
              </w:rPr>
              <w:t>offer </w:t>
            </w:r>
            <w:r>
              <w:rPr>
                <w:rFonts w:ascii="Stone Sans II ITC Std Bk" w:hAnsi="Stone Sans II ITC Std Bk"/>
                <w:b/>
                <w:spacing w:val="4"/>
                <w:w w:val="110"/>
                <w:sz w:val="20"/>
              </w:rPr>
              <w:t>guidance under </w:t>
            </w:r>
            <w:r>
              <w:rPr>
                <w:rFonts w:ascii="Stone Sans II ITC Std Bk" w:hAnsi="Stone Sans II ITC Std Bk"/>
                <w:b/>
                <w:spacing w:val="5"/>
                <w:w w:val="110"/>
                <w:sz w:val="20"/>
              </w:rPr>
              <w:t>Paragraph </w:t>
            </w:r>
            <w:r>
              <w:rPr>
                <w:rFonts w:ascii="Stone Sans II ITC Std Bk" w:hAnsi="Stone Sans II ITC Std Bk"/>
                <w:b/>
                <w:w w:val="110"/>
                <w:sz w:val="20"/>
              </w:rPr>
              <w:t>G.13.4, </w:t>
            </w:r>
            <w:r>
              <w:rPr>
                <w:rFonts w:ascii="Stone Sans II ITC Std Bk" w:hAnsi="Stone Sans II ITC Std Bk"/>
                <w:b/>
                <w:spacing w:val="3"/>
                <w:w w:val="110"/>
                <w:sz w:val="20"/>
              </w:rPr>
              <w:t>the </w:t>
            </w:r>
            <w:r>
              <w:rPr>
                <w:rFonts w:ascii="Stone Sans II ITC Std Bk" w:hAnsi="Stone Sans II ITC Std Bk"/>
                <w:b/>
                <w:spacing w:val="5"/>
                <w:w w:val="110"/>
                <w:sz w:val="20"/>
              </w:rPr>
              <w:t>Appeals </w:t>
            </w:r>
            <w:r>
              <w:rPr>
                <w:rFonts w:ascii="Stone Sans II ITC Std Bk" w:hAnsi="Stone Sans II ITC Std Bk"/>
                <w:b/>
                <w:spacing w:val="4"/>
                <w:w w:val="110"/>
                <w:sz w:val="20"/>
              </w:rPr>
              <w:t>Commission </w:t>
            </w:r>
            <w:r>
              <w:rPr>
                <w:rFonts w:ascii="Stone Sans II ITC Std Bk" w:hAnsi="Stone Sans II ITC Std Bk"/>
                <w:b/>
                <w:spacing w:val="2"/>
                <w:w w:val="110"/>
                <w:sz w:val="20"/>
              </w:rPr>
              <w:t>may </w:t>
            </w:r>
            <w:r>
              <w:rPr>
                <w:rFonts w:ascii="Stone Sans II ITC Std Bk" w:hAnsi="Stone Sans II ITC Std Bk"/>
                <w:b/>
                <w:spacing w:val="3"/>
                <w:w w:val="110"/>
                <w:sz w:val="20"/>
              </w:rPr>
              <w:t>if </w:t>
            </w:r>
            <w:r>
              <w:rPr>
                <w:rFonts w:ascii="Stone Sans II ITC Std Bk" w:hAnsi="Stone Sans II ITC Std Bk"/>
                <w:b/>
                <w:spacing w:val="2"/>
                <w:w w:val="110"/>
                <w:sz w:val="20"/>
              </w:rPr>
              <w:t>it </w:t>
            </w:r>
            <w:r>
              <w:rPr>
                <w:rFonts w:ascii="Stone Sans II ITC Std Bk" w:hAnsi="Stone Sans II ITC Std Bk"/>
                <w:b/>
                <w:spacing w:val="4"/>
                <w:w w:val="110"/>
                <w:sz w:val="20"/>
              </w:rPr>
              <w:t>sees </w:t>
            </w:r>
            <w:r>
              <w:rPr>
                <w:rFonts w:ascii="Stone Sans II ITC Std Bk" w:hAnsi="Stone Sans II ITC Std Bk"/>
                <w:b/>
                <w:spacing w:val="5"/>
                <w:w w:val="110"/>
                <w:sz w:val="20"/>
              </w:rPr>
              <w:t>fit endorse, </w:t>
            </w:r>
            <w:r>
              <w:rPr>
                <w:rFonts w:ascii="Stone Sans II ITC Std Bk" w:hAnsi="Stone Sans II ITC Std Bk"/>
                <w:b/>
                <w:spacing w:val="4"/>
                <w:w w:val="110"/>
                <w:sz w:val="20"/>
              </w:rPr>
              <w:t>overrule, </w:t>
            </w:r>
            <w:r>
              <w:rPr>
                <w:rFonts w:ascii="Stone Sans II ITC Std Bk" w:hAnsi="Stone Sans II ITC Std Bk"/>
                <w:b/>
                <w:spacing w:val="5"/>
                <w:w w:val="110"/>
                <w:sz w:val="20"/>
              </w:rPr>
              <w:t>vary </w:t>
            </w:r>
            <w:r>
              <w:rPr>
                <w:rFonts w:ascii="Stone Sans II ITC Std Bk" w:hAnsi="Stone Sans II ITC Std Bk"/>
                <w:b/>
                <w:spacing w:val="3"/>
                <w:w w:val="110"/>
                <w:sz w:val="20"/>
              </w:rPr>
              <w:t>or </w:t>
            </w:r>
            <w:r>
              <w:rPr>
                <w:rFonts w:ascii="Stone Sans II ITC Std Bk" w:hAnsi="Stone Sans II ITC Std Bk"/>
                <w:b/>
                <w:spacing w:val="6"/>
                <w:w w:val="110"/>
                <w:sz w:val="20"/>
              </w:rPr>
              <w:t>modify </w:t>
            </w:r>
            <w:r>
              <w:rPr>
                <w:rFonts w:ascii="Stone Sans II ITC Std Bk" w:hAnsi="Stone Sans II ITC Std Bk"/>
                <w:b/>
                <w:spacing w:val="2"/>
                <w:w w:val="110"/>
                <w:sz w:val="20"/>
              </w:rPr>
              <w:t>in any way any </w:t>
            </w:r>
            <w:r>
              <w:rPr>
                <w:rFonts w:ascii="Stone Sans II ITC Std Bk" w:hAnsi="Stone Sans II ITC Std Bk"/>
                <w:b/>
                <w:spacing w:val="4"/>
                <w:w w:val="110"/>
                <w:sz w:val="20"/>
              </w:rPr>
              <w:t>guidance </w:t>
            </w:r>
            <w:r>
              <w:rPr>
                <w:rFonts w:ascii="Stone Sans II ITC Std Bk" w:hAnsi="Stone Sans II ITC Std Bk"/>
                <w:b/>
                <w:spacing w:val="6"/>
                <w:w w:val="110"/>
                <w:sz w:val="20"/>
              </w:rPr>
              <w:t>offered </w:t>
            </w:r>
            <w:r>
              <w:rPr>
                <w:rFonts w:ascii="Stone Sans II ITC Std Bk" w:hAnsi="Stone Sans II ITC Std Bk"/>
                <w:b/>
                <w:w w:val="110"/>
                <w:sz w:val="20"/>
              </w:rPr>
              <w:t>by </w:t>
            </w:r>
            <w:r>
              <w:rPr>
                <w:rFonts w:ascii="Stone Sans II ITC Std Bk" w:hAnsi="Stone Sans II ITC Std Bk"/>
                <w:b/>
                <w:spacing w:val="3"/>
                <w:w w:val="110"/>
                <w:sz w:val="20"/>
              </w:rPr>
              <w:t>the </w:t>
            </w:r>
            <w:r>
              <w:rPr>
                <w:rFonts w:ascii="Stone Sans II ITC Std Bk" w:hAnsi="Stone Sans II ITC Std Bk"/>
                <w:b/>
                <w:spacing w:val="5"/>
                <w:w w:val="110"/>
                <w:sz w:val="20"/>
              </w:rPr>
              <w:t>Assembly </w:t>
            </w:r>
            <w:r>
              <w:rPr>
                <w:rFonts w:ascii="Stone Sans II ITC Std Bk" w:hAnsi="Stone Sans II ITC Std Bk"/>
                <w:b/>
                <w:spacing w:val="4"/>
                <w:w w:val="110"/>
                <w:sz w:val="20"/>
              </w:rPr>
              <w:t>Commission </w:t>
            </w:r>
            <w:r>
              <w:rPr>
                <w:rFonts w:ascii="Stone Sans II ITC Std Bk" w:hAnsi="Stone Sans II ITC Std Bk"/>
                <w:b/>
                <w:spacing w:val="2"/>
                <w:w w:val="110"/>
                <w:sz w:val="20"/>
              </w:rPr>
              <w:t>in </w:t>
            </w:r>
            <w:r>
              <w:rPr>
                <w:rFonts w:ascii="Stone Sans II ITC Std Bk" w:hAnsi="Stone Sans II ITC Std Bk"/>
                <w:b/>
                <w:spacing w:val="3"/>
                <w:w w:val="110"/>
                <w:sz w:val="20"/>
              </w:rPr>
              <w:t>the </w:t>
            </w:r>
            <w:r>
              <w:rPr>
                <w:rFonts w:ascii="Stone Sans II ITC Std Bk" w:hAnsi="Stone Sans II ITC Std Bk"/>
                <w:b/>
                <w:spacing w:val="4"/>
                <w:w w:val="110"/>
                <w:sz w:val="20"/>
              </w:rPr>
              <w:t>case </w:t>
            </w:r>
            <w:r>
              <w:rPr>
                <w:rFonts w:ascii="Stone Sans II ITC Std Bk" w:hAnsi="Stone Sans II ITC Std Bk"/>
                <w:b/>
                <w:spacing w:val="2"/>
                <w:w w:val="110"/>
                <w:sz w:val="20"/>
              </w:rPr>
              <w:t>in </w:t>
            </w:r>
            <w:r>
              <w:rPr>
                <w:rFonts w:ascii="Stone Sans II ITC Std Bk" w:hAnsi="Stone Sans II ITC Std Bk"/>
                <w:b/>
                <w:spacing w:val="5"/>
                <w:w w:val="110"/>
                <w:sz w:val="20"/>
              </w:rPr>
              <w:t>question. For </w:t>
            </w:r>
            <w:r>
              <w:rPr>
                <w:rFonts w:ascii="Stone Sans II ITC Std Bk" w:hAnsi="Stone Sans II ITC Std Bk"/>
                <w:b/>
                <w:spacing w:val="3"/>
                <w:w w:val="110"/>
                <w:sz w:val="20"/>
              </w:rPr>
              <w:t>the </w:t>
            </w:r>
            <w:r>
              <w:rPr>
                <w:rFonts w:ascii="Stone Sans II ITC Std Bk" w:hAnsi="Stone Sans II ITC Std Bk"/>
                <w:b/>
                <w:spacing w:val="4"/>
                <w:w w:val="110"/>
                <w:sz w:val="20"/>
              </w:rPr>
              <w:t>avoidance </w:t>
            </w:r>
            <w:r>
              <w:rPr>
                <w:rFonts w:ascii="Stone Sans II ITC Std Bk" w:hAnsi="Stone Sans II ITC Std Bk"/>
                <w:b/>
                <w:spacing w:val="2"/>
                <w:w w:val="110"/>
                <w:sz w:val="20"/>
              </w:rPr>
              <w:t>of </w:t>
            </w:r>
            <w:r>
              <w:rPr>
                <w:rFonts w:ascii="Stone Sans II ITC Std Bk" w:hAnsi="Stone Sans II ITC Std Bk"/>
                <w:b/>
                <w:spacing w:val="5"/>
                <w:w w:val="110"/>
                <w:sz w:val="20"/>
              </w:rPr>
              <w:t>duplication, </w:t>
            </w:r>
            <w:r>
              <w:rPr>
                <w:rFonts w:ascii="Stone Sans II ITC Std Bk" w:hAnsi="Stone Sans II ITC Std Bk"/>
                <w:b/>
                <w:spacing w:val="3"/>
                <w:w w:val="110"/>
                <w:sz w:val="20"/>
              </w:rPr>
              <w:t>the </w:t>
            </w:r>
            <w:r>
              <w:rPr>
                <w:rFonts w:ascii="Stone Sans II ITC Std Bk" w:hAnsi="Stone Sans II ITC Std Bk"/>
                <w:b/>
                <w:spacing w:val="5"/>
                <w:w w:val="110"/>
                <w:sz w:val="20"/>
              </w:rPr>
              <w:t>Decision </w:t>
            </w:r>
            <w:r>
              <w:rPr>
                <w:rFonts w:ascii="Stone Sans II ITC Std Bk" w:hAnsi="Stone Sans II ITC Std Bk"/>
                <w:b/>
                <w:spacing w:val="4"/>
                <w:w w:val="110"/>
                <w:sz w:val="20"/>
              </w:rPr>
              <w:t>Record shall </w:t>
            </w:r>
            <w:r>
              <w:rPr>
                <w:rFonts w:ascii="Stone Sans II ITC Std Bk" w:hAnsi="Stone Sans II ITC Std Bk"/>
                <w:b/>
                <w:spacing w:val="2"/>
                <w:w w:val="110"/>
                <w:sz w:val="20"/>
              </w:rPr>
              <w:t>in </w:t>
            </w:r>
            <w:r>
              <w:rPr>
                <w:rFonts w:ascii="Stone Sans II ITC Std Bk" w:hAnsi="Stone Sans II ITC Std Bk"/>
                <w:b/>
                <w:spacing w:val="5"/>
                <w:w w:val="110"/>
                <w:sz w:val="20"/>
              </w:rPr>
              <w:t>every </w:t>
            </w:r>
            <w:r>
              <w:rPr>
                <w:rFonts w:ascii="Stone Sans II ITC Std Bk" w:hAnsi="Stone Sans II ITC Std Bk"/>
                <w:b/>
                <w:spacing w:val="4"/>
                <w:w w:val="110"/>
                <w:sz w:val="20"/>
              </w:rPr>
              <w:t>case </w:t>
            </w:r>
            <w:r>
              <w:rPr>
                <w:rFonts w:ascii="Stone Sans II ITC Std Bk" w:hAnsi="Stone Sans II ITC Std Bk"/>
                <w:b/>
                <w:spacing w:val="3"/>
                <w:w w:val="110"/>
                <w:sz w:val="20"/>
              </w:rPr>
              <w:t>set </w:t>
            </w:r>
            <w:r>
              <w:rPr>
                <w:rFonts w:ascii="Stone Sans II ITC Std Bk" w:hAnsi="Stone Sans II ITC Std Bk"/>
                <w:b/>
                <w:spacing w:val="4"/>
                <w:w w:val="110"/>
                <w:sz w:val="20"/>
              </w:rPr>
              <w:t>out </w:t>
            </w:r>
            <w:r>
              <w:rPr>
                <w:rFonts w:ascii="Stone Sans II ITC Std Bk" w:hAnsi="Stone Sans II ITC Std Bk"/>
                <w:b/>
                <w:spacing w:val="2"/>
                <w:w w:val="110"/>
                <w:sz w:val="20"/>
              </w:rPr>
              <w:t>in </w:t>
            </w:r>
            <w:r>
              <w:rPr>
                <w:rFonts w:ascii="Stone Sans II ITC Std Bk" w:hAnsi="Stone Sans II ITC Std Bk"/>
                <w:b/>
                <w:spacing w:val="4"/>
                <w:w w:val="110"/>
                <w:sz w:val="20"/>
              </w:rPr>
              <w:t>full </w:t>
            </w:r>
            <w:r>
              <w:rPr>
                <w:rFonts w:ascii="Stone Sans II ITC Std Bk" w:hAnsi="Stone Sans II ITC Std Bk"/>
                <w:b/>
                <w:spacing w:val="2"/>
                <w:w w:val="110"/>
                <w:sz w:val="20"/>
              </w:rPr>
              <w:t>any </w:t>
            </w:r>
            <w:r>
              <w:rPr>
                <w:rFonts w:ascii="Stone Sans II ITC Std Bk" w:hAnsi="Stone Sans II ITC Std Bk"/>
                <w:b/>
                <w:spacing w:val="4"/>
                <w:w w:val="110"/>
                <w:sz w:val="20"/>
              </w:rPr>
              <w:t>guidance </w:t>
            </w:r>
            <w:r>
              <w:rPr>
                <w:rFonts w:ascii="Stone Sans II ITC Std Bk" w:hAnsi="Stone Sans II ITC Std Bk"/>
                <w:b/>
                <w:spacing w:val="6"/>
                <w:w w:val="110"/>
                <w:sz w:val="20"/>
              </w:rPr>
              <w:t>offered </w:t>
            </w:r>
            <w:r>
              <w:rPr>
                <w:rFonts w:ascii="Stone Sans II ITC Std Bk" w:hAnsi="Stone Sans II ITC Std Bk"/>
                <w:b/>
                <w:w w:val="110"/>
                <w:sz w:val="20"/>
              </w:rPr>
              <w:t>by </w:t>
            </w:r>
            <w:r>
              <w:rPr>
                <w:rFonts w:ascii="Stone Sans II ITC Std Bk" w:hAnsi="Stone Sans II ITC Std Bk"/>
                <w:b/>
                <w:spacing w:val="3"/>
                <w:w w:val="110"/>
                <w:sz w:val="20"/>
              </w:rPr>
              <w:t>the </w:t>
            </w:r>
            <w:r>
              <w:rPr>
                <w:rFonts w:ascii="Stone Sans II ITC Std Bk" w:hAnsi="Stone Sans II ITC Std Bk"/>
                <w:b/>
                <w:spacing w:val="5"/>
                <w:w w:val="110"/>
                <w:sz w:val="20"/>
              </w:rPr>
              <w:t>Appeals </w:t>
            </w:r>
            <w:r>
              <w:rPr>
                <w:rFonts w:ascii="Stone Sans II ITC Std Bk" w:hAnsi="Stone Sans II ITC Std Bk"/>
                <w:b/>
                <w:spacing w:val="4"/>
                <w:w w:val="110"/>
                <w:sz w:val="20"/>
              </w:rPr>
              <w:t>Commission, </w:t>
            </w:r>
            <w:r>
              <w:rPr>
                <w:rFonts w:ascii="Stone Sans II ITC Std Bk" w:hAnsi="Stone Sans II ITC Std Bk"/>
                <w:b/>
                <w:spacing w:val="3"/>
                <w:w w:val="110"/>
                <w:sz w:val="20"/>
              </w:rPr>
              <w:t>even </w:t>
            </w:r>
            <w:r>
              <w:rPr>
                <w:rFonts w:ascii="Stone Sans II ITC Std Bk" w:hAnsi="Stone Sans II ITC Std Bk"/>
                <w:b/>
                <w:spacing w:val="4"/>
                <w:w w:val="110"/>
                <w:sz w:val="20"/>
              </w:rPr>
              <w:t>where </w:t>
            </w:r>
            <w:r>
              <w:rPr>
                <w:rFonts w:ascii="Stone Sans II ITC Std Bk" w:hAnsi="Stone Sans II ITC Std Bk"/>
                <w:b/>
                <w:spacing w:val="3"/>
                <w:w w:val="110"/>
                <w:sz w:val="20"/>
              </w:rPr>
              <w:t>this </w:t>
            </w:r>
            <w:r>
              <w:rPr>
                <w:rFonts w:ascii="Stone Sans II ITC Std Bk" w:hAnsi="Stone Sans II ITC Std Bk"/>
                <w:b/>
                <w:spacing w:val="4"/>
                <w:w w:val="110"/>
                <w:sz w:val="20"/>
              </w:rPr>
              <w:t>simply </w:t>
            </w:r>
            <w:r>
              <w:rPr>
                <w:rFonts w:ascii="Stone Sans II ITC Std Bk" w:hAnsi="Stone Sans II ITC Std Bk"/>
                <w:b/>
                <w:spacing w:val="5"/>
                <w:w w:val="110"/>
                <w:sz w:val="20"/>
              </w:rPr>
              <w:t>endorses </w:t>
            </w:r>
            <w:r>
              <w:rPr>
                <w:rFonts w:ascii="Stone Sans II ITC Std Bk" w:hAnsi="Stone Sans II ITC Std Bk"/>
                <w:b/>
                <w:spacing w:val="3"/>
                <w:w w:val="110"/>
                <w:sz w:val="20"/>
              </w:rPr>
              <w:t>that </w:t>
            </w:r>
            <w:r>
              <w:rPr>
                <w:rFonts w:ascii="Stone Sans II ITC Std Bk" w:hAnsi="Stone Sans II ITC Std Bk"/>
                <w:b/>
                <w:spacing w:val="6"/>
                <w:w w:val="110"/>
                <w:sz w:val="20"/>
              </w:rPr>
              <w:t>offered </w:t>
            </w:r>
            <w:r>
              <w:rPr>
                <w:rFonts w:ascii="Stone Sans II ITC Std Bk" w:hAnsi="Stone Sans II ITC Std Bk"/>
                <w:b/>
                <w:w w:val="110"/>
                <w:sz w:val="20"/>
              </w:rPr>
              <w:t>by </w:t>
            </w:r>
            <w:r>
              <w:rPr>
                <w:rFonts w:ascii="Stone Sans II ITC Std Bk" w:hAnsi="Stone Sans II ITC Std Bk"/>
                <w:b/>
                <w:spacing w:val="3"/>
                <w:w w:val="110"/>
                <w:sz w:val="20"/>
              </w:rPr>
              <w:t>the </w:t>
            </w:r>
            <w:r>
              <w:rPr>
                <w:rFonts w:ascii="Stone Sans II ITC Std Bk" w:hAnsi="Stone Sans II ITC Std Bk"/>
                <w:b/>
                <w:spacing w:val="5"/>
                <w:w w:val="110"/>
                <w:sz w:val="20"/>
              </w:rPr>
              <w:t>Assembly </w:t>
            </w:r>
            <w:r>
              <w:rPr>
                <w:rFonts w:ascii="Stone Sans II ITC Std Bk" w:hAnsi="Stone Sans II ITC Std Bk"/>
                <w:b/>
                <w:spacing w:val="4"/>
                <w:w w:val="110"/>
                <w:sz w:val="20"/>
              </w:rPr>
              <w:t>Commission </w:t>
            </w:r>
            <w:r>
              <w:rPr>
                <w:rFonts w:ascii="Stone Sans II ITC Std Bk" w:hAnsi="Stone Sans II ITC Std Bk"/>
                <w:b/>
                <w:spacing w:val="2"/>
                <w:w w:val="110"/>
                <w:sz w:val="20"/>
              </w:rPr>
              <w:t>in </w:t>
            </w:r>
            <w:r>
              <w:rPr>
                <w:rFonts w:ascii="Stone Sans II ITC Std Bk" w:hAnsi="Stone Sans II ITC Std Bk"/>
                <w:b/>
                <w:spacing w:val="4"/>
                <w:w w:val="110"/>
                <w:sz w:val="20"/>
              </w:rPr>
              <w:t>its</w:t>
            </w:r>
            <w:r>
              <w:rPr>
                <w:rFonts w:ascii="Stone Sans II ITC Std Bk" w:hAnsi="Stone Sans II ITC Std Bk"/>
                <w:b/>
                <w:spacing w:val="33"/>
                <w:w w:val="110"/>
                <w:sz w:val="20"/>
              </w:rPr>
              <w:t> </w:t>
            </w:r>
            <w:r>
              <w:rPr>
                <w:rFonts w:ascii="Stone Sans II ITC Std Bk" w:hAnsi="Stone Sans II ITC Std Bk"/>
                <w:b/>
                <w:spacing w:val="2"/>
                <w:w w:val="110"/>
                <w:sz w:val="20"/>
              </w:rPr>
              <w:t>entirety.’</w:t>
            </w:r>
          </w:p>
          <w:p>
            <w:pPr>
              <w:pStyle w:val="TableParagraph"/>
              <w:spacing w:line="221" w:lineRule="exact"/>
              <w:ind w:left="252"/>
              <w:rPr>
                <w:sz w:val="20"/>
              </w:rPr>
            </w:pPr>
            <w:r>
              <w:rPr>
                <w:w w:val="125"/>
                <w:sz w:val="20"/>
              </w:rPr>
              <w:t>Paragraph G.14.4</w:t>
            </w:r>
          </w:p>
          <w:p>
            <w:pPr>
              <w:pStyle w:val="TableParagraph"/>
              <w:spacing w:line="213" w:lineRule="auto" w:before="14"/>
              <w:ind w:left="932" w:right="337"/>
              <w:rPr>
                <w:sz w:val="20"/>
              </w:rPr>
            </w:pPr>
            <w:r>
              <w:rPr>
                <w:w w:val="115"/>
                <w:sz w:val="20"/>
              </w:rPr>
              <w:t>Remove the words ‘</w:t>
            </w:r>
            <w:r>
              <w:rPr>
                <w:rFonts w:ascii="Stone Sans II ITC Std Bk" w:hAnsi="Stone Sans II ITC Std Bk"/>
                <w:b/>
                <w:w w:val="115"/>
                <w:sz w:val="20"/>
              </w:rPr>
              <w:t>recommendations or</w:t>
            </w:r>
            <w:r>
              <w:rPr>
                <w:w w:val="115"/>
                <w:sz w:val="20"/>
              </w:rPr>
              <w:t>’ and ‘</w:t>
            </w:r>
            <w:r>
              <w:rPr>
                <w:rFonts w:ascii="Stone Sans II ITC Std Bk" w:hAnsi="Stone Sans II ITC Std Bk"/>
                <w:b/>
                <w:w w:val="115"/>
                <w:sz w:val="20"/>
              </w:rPr>
              <w:t>or Paragraph G.13.5 as the case may be</w:t>
            </w:r>
            <w:r>
              <w:rPr>
                <w:w w:val="115"/>
                <w:sz w:val="20"/>
              </w:rPr>
              <w:t>’.*</w:t>
            </w:r>
          </w:p>
          <w:p>
            <w:pPr>
              <w:pStyle w:val="TableParagraph"/>
              <w:spacing w:line="225" w:lineRule="exact"/>
              <w:ind w:left="252"/>
              <w:rPr>
                <w:sz w:val="20"/>
              </w:rPr>
            </w:pPr>
            <w:r>
              <w:rPr>
                <w:w w:val="125"/>
                <w:sz w:val="20"/>
              </w:rPr>
              <w:t>Paragraph G.14.6</w:t>
            </w:r>
          </w:p>
          <w:p>
            <w:pPr>
              <w:pStyle w:val="TableParagraph"/>
              <w:spacing w:line="253" w:lineRule="exact"/>
              <w:ind w:left="932"/>
              <w:rPr>
                <w:sz w:val="20"/>
              </w:rPr>
            </w:pPr>
            <w:r>
              <w:rPr>
                <w:w w:val="115"/>
                <w:sz w:val="20"/>
              </w:rPr>
              <w:t>Remove the words ‘</w:t>
            </w:r>
            <w:r>
              <w:rPr>
                <w:rFonts w:ascii="Stone Sans II ITC Std Bk" w:hAnsi="Stone Sans II ITC Std Bk"/>
                <w:b/>
                <w:w w:val="115"/>
                <w:sz w:val="20"/>
              </w:rPr>
              <w:t>recommendations or</w:t>
            </w:r>
            <w:r>
              <w:rPr>
                <w:w w:val="115"/>
                <w:sz w:val="20"/>
              </w:rPr>
              <w:t>’.</w:t>
            </w:r>
          </w:p>
          <w:p>
            <w:pPr>
              <w:pStyle w:val="TableParagraph"/>
              <w:spacing w:line="227" w:lineRule="exact"/>
              <w:ind w:left="252"/>
              <w:rPr>
                <w:sz w:val="20"/>
              </w:rPr>
            </w:pPr>
            <w:r>
              <w:rPr>
                <w:w w:val="120"/>
                <w:sz w:val="20"/>
              </w:rPr>
              <w:t>Paragraph J.1.5</w:t>
            </w:r>
          </w:p>
          <w:p>
            <w:pPr>
              <w:pStyle w:val="TableParagraph"/>
              <w:spacing w:line="223" w:lineRule="auto" w:before="5"/>
              <w:ind w:left="932"/>
              <w:rPr>
                <w:sz w:val="20"/>
              </w:rPr>
            </w:pPr>
            <w:r>
              <w:rPr>
                <w:w w:val="120"/>
                <w:sz w:val="20"/>
              </w:rPr>
              <w:t>Remove the words ‘</w:t>
            </w:r>
            <w:r>
              <w:rPr>
                <w:rFonts w:ascii="Stone Sans II ITC Std Bk" w:hAnsi="Stone Sans II ITC Std Bk"/>
                <w:b/>
                <w:w w:val="120"/>
                <w:sz w:val="20"/>
              </w:rPr>
              <w:t>Recommendations or</w:t>
            </w:r>
            <w:r>
              <w:rPr>
                <w:w w:val="120"/>
                <w:sz w:val="20"/>
              </w:rPr>
              <w:t>’ and give the word ‘</w:t>
            </w:r>
            <w:r>
              <w:rPr>
                <w:rFonts w:ascii="Stone Sans II ITC Std Bk" w:hAnsi="Stone Sans II ITC Std Bk"/>
                <w:b/>
                <w:w w:val="120"/>
                <w:sz w:val="20"/>
              </w:rPr>
              <w:t>guidance</w:t>
            </w:r>
            <w:r>
              <w:rPr>
                <w:w w:val="120"/>
                <w:sz w:val="20"/>
              </w:rPr>
              <w:t>’ a capital G.</w:t>
            </w:r>
          </w:p>
          <w:p>
            <w:pPr>
              <w:pStyle w:val="TableParagraph"/>
              <w:spacing w:before="2"/>
              <w:rPr>
                <w:sz w:val="19"/>
              </w:rPr>
            </w:pPr>
          </w:p>
          <w:p>
            <w:pPr>
              <w:pStyle w:val="TableParagraph"/>
              <w:tabs>
                <w:tab w:pos="1159" w:val="left" w:leader="none"/>
              </w:tabs>
              <w:spacing w:line="232" w:lineRule="auto"/>
              <w:ind w:left="252" w:right="337" w:hanging="1"/>
              <w:rPr>
                <w:sz w:val="20"/>
              </w:rPr>
            </w:pPr>
            <w:r>
              <w:rPr>
                <w:rFonts w:ascii="Stone Sans II ITC Std Bk" w:hAnsi="Stone Sans II ITC Std Bk"/>
                <w:b/>
                <w:spacing w:val="4"/>
                <w:w w:val="120"/>
                <w:sz w:val="20"/>
              </w:rPr>
              <w:t>*Note:</w:t>
              <w:tab/>
            </w:r>
            <w:r>
              <w:rPr>
                <w:spacing w:val="2"/>
                <w:w w:val="120"/>
                <w:sz w:val="20"/>
              </w:rPr>
              <w:t>At </w:t>
            </w:r>
            <w:r>
              <w:rPr>
                <w:spacing w:val="4"/>
                <w:w w:val="120"/>
                <w:sz w:val="20"/>
              </w:rPr>
              <w:t>present, </w:t>
            </w:r>
            <w:r>
              <w:rPr>
                <w:spacing w:val="5"/>
                <w:w w:val="120"/>
                <w:sz w:val="20"/>
              </w:rPr>
              <w:t>Paragraphs </w:t>
            </w:r>
            <w:r>
              <w:rPr>
                <w:w w:val="120"/>
                <w:sz w:val="20"/>
              </w:rPr>
              <w:t>F.2.4 </w:t>
            </w:r>
            <w:r>
              <w:rPr>
                <w:spacing w:val="4"/>
                <w:w w:val="120"/>
                <w:sz w:val="20"/>
              </w:rPr>
              <w:t>and </w:t>
            </w:r>
            <w:r>
              <w:rPr>
                <w:w w:val="120"/>
                <w:sz w:val="20"/>
              </w:rPr>
              <w:t>G.13.5 </w:t>
            </w:r>
            <w:r>
              <w:rPr>
                <w:spacing w:val="4"/>
                <w:w w:val="120"/>
                <w:sz w:val="20"/>
              </w:rPr>
              <w:t>relate </w:t>
            </w:r>
            <w:r>
              <w:rPr>
                <w:w w:val="120"/>
                <w:sz w:val="20"/>
              </w:rPr>
              <w:t>to </w:t>
            </w:r>
            <w:r>
              <w:rPr>
                <w:spacing w:val="4"/>
                <w:w w:val="120"/>
                <w:sz w:val="20"/>
              </w:rPr>
              <w:t>the power </w:t>
            </w:r>
            <w:r>
              <w:rPr>
                <w:w w:val="120"/>
                <w:sz w:val="20"/>
              </w:rPr>
              <w:t>to </w:t>
            </w:r>
            <w:r>
              <w:rPr>
                <w:spacing w:val="3"/>
                <w:w w:val="120"/>
                <w:sz w:val="20"/>
              </w:rPr>
              <w:t>issue</w:t>
            </w:r>
            <w:r>
              <w:rPr>
                <w:spacing w:val="60"/>
                <w:w w:val="120"/>
                <w:sz w:val="20"/>
              </w:rPr>
              <w:t> </w:t>
            </w:r>
            <w:r>
              <w:rPr>
                <w:spacing w:val="4"/>
                <w:w w:val="120"/>
                <w:sz w:val="20"/>
              </w:rPr>
              <w:t>guidance and, </w:t>
            </w:r>
            <w:r>
              <w:rPr>
                <w:spacing w:val="2"/>
                <w:w w:val="120"/>
                <w:sz w:val="20"/>
              </w:rPr>
              <w:t>at </w:t>
            </w:r>
            <w:r>
              <w:rPr>
                <w:spacing w:val="6"/>
                <w:w w:val="120"/>
                <w:sz w:val="20"/>
              </w:rPr>
              <w:t>first </w:t>
            </w:r>
            <w:r>
              <w:rPr>
                <w:spacing w:val="4"/>
                <w:w w:val="120"/>
                <w:sz w:val="20"/>
              </w:rPr>
              <w:t>sight, </w:t>
            </w:r>
            <w:r>
              <w:rPr>
                <w:spacing w:val="2"/>
                <w:w w:val="120"/>
                <w:sz w:val="20"/>
              </w:rPr>
              <w:t>it may </w:t>
            </w:r>
            <w:r>
              <w:rPr>
                <w:spacing w:val="5"/>
                <w:w w:val="120"/>
                <w:sz w:val="20"/>
              </w:rPr>
              <w:t>therefore appear incorrect </w:t>
            </w:r>
            <w:r>
              <w:rPr>
                <w:w w:val="120"/>
                <w:sz w:val="20"/>
              </w:rPr>
              <w:t>to </w:t>
            </w:r>
            <w:r>
              <w:rPr>
                <w:spacing w:val="4"/>
                <w:w w:val="120"/>
                <w:sz w:val="20"/>
              </w:rPr>
              <w:t>remove the references </w:t>
            </w:r>
            <w:r>
              <w:rPr>
                <w:w w:val="120"/>
                <w:sz w:val="20"/>
              </w:rPr>
              <w:t>to </w:t>
            </w:r>
            <w:r>
              <w:rPr>
                <w:spacing w:val="4"/>
                <w:w w:val="120"/>
                <w:sz w:val="20"/>
              </w:rPr>
              <w:t>those </w:t>
            </w:r>
            <w:r>
              <w:rPr>
                <w:spacing w:val="5"/>
                <w:w w:val="120"/>
                <w:sz w:val="20"/>
              </w:rPr>
              <w:t>paragraphs. </w:t>
            </w:r>
            <w:r>
              <w:rPr>
                <w:spacing w:val="2"/>
                <w:w w:val="120"/>
                <w:sz w:val="20"/>
              </w:rPr>
              <w:t>However, </w:t>
            </w:r>
            <w:r>
              <w:rPr>
                <w:spacing w:val="4"/>
                <w:w w:val="120"/>
                <w:sz w:val="20"/>
              </w:rPr>
              <w:t>with the deletion </w:t>
            </w:r>
            <w:r>
              <w:rPr>
                <w:spacing w:val="3"/>
                <w:w w:val="120"/>
                <w:sz w:val="20"/>
              </w:rPr>
              <w:t>of </w:t>
            </w:r>
            <w:r>
              <w:rPr>
                <w:spacing w:val="4"/>
                <w:w w:val="120"/>
                <w:sz w:val="20"/>
              </w:rPr>
              <w:t>the immediately preceding </w:t>
            </w:r>
            <w:r>
              <w:rPr>
                <w:spacing w:val="5"/>
                <w:w w:val="120"/>
                <w:sz w:val="20"/>
              </w:rPr>
              <w:t>Paragraphs </w:t>
            </w:r>
            <w:r>
              <w:rPr>
                <w:w w:val="120"/>
                <w:sz w:val="20"/>
              </w:rPr>
              <w:t>F.2.3 </w:t>
            </w:r>
            <w:r>
              <w:rPr>
                <w:spacing w:val="4"/>
                <w:w w:val="120"/>
                <w:sz w:val="20"/>
              </w:rPr>
              <w:t>and </w:t>
            </w:r>
            <w:r>
              <w:rPr>
                <w:spacing w:val="-3"/>
                <w:w w:val="120"/>
                <w:sz w:val="20"/>
              </w:rPr>
              <w:t>G.13.4 </w:t>
            </w:r>
            <w:r>
              <w:rPr>
                <w:w w:val="120"/>
                <w:sz w:val="20"/>
              </w:rPr>
              <w:t>(see above), </w:t>
            </w:r>
            <w:r>
              <w:rPr>
                <w:spacing w:val="4"/>
                <w:w w:val="120"/>
                <w:sz w:val="20"/>
              </w:rPr>
              <w:t>the </w:t>
            </w:r>
            <w:r>
              <w:rPr>
                <w:spacing w:val="2"/>
                <w:w w:val="120"/>
                <w:sz w:val="20"/>
              </w:rPr>
              <w:t>‘guidance’  </w:t>
            </w:r>
            <w:r>
              <w:rPr>
                <w:spacing w:val="5"/>
                <w:w w:val="120"/>
                <w:sz w:val="20"/>
              </w:rPr>
              <w:t>paragraphs </w:t>
            </w:r>
            <w:r>
              <w:rPr>
                <w:spacing w:val="3"/>
                <w:w w:val="120"/>
                <w:sz w:val="20"/>
              </w:rPr>
              <w:t>move </w:t>
            </w:r>
            <w:r>
              <w:rPr>
                <w:spacing w:val="2"/>
                <w:w w:val="120"/>
                <w:sz w:val="20"/>
              </w:rPr>
              <w:t>up</w:t>
            </w:r>
            <w:r>
              <w:rPr>
                <w:spacing w:val="14"/>
                <w:w w:val="120"/>
                <w:sz w:val="20"/>
              </w:rPr>
              <w:t> </w:t>
            </w:r>
            <w:r>
              <w:rPr>
                <w:w w:val="120"/>
                <w:sz w:val="20"/>
              </w:rPr>
              <w:t>to</w:t>
            </w:r>
            <w:r>
              <w:rPr>
                <w:spacing w:val="15"/>
                <w:w w:val="120"/>
                <w:sz w:val="20"/>
              </w:rPr>
              <w:t> </w:t>
            </w:r>
            <w:r>
              <w:rPr>
                <w:spacing w:val="4"/>
                <w:w w:val="120"/>
                <w:sz w:val="20"/>
              </w:rPr>
              <w:t>become</w:t>
            </w:r>
            <w:r>
              <w:rPr>
                <w:spacing w:val="15"/>
                <w:w w:val="120"/>
                <w:sz w:val="20"/>
              </w:rPr>
              <w:t> </w:t>
            </w:r>
            <w:r>
              <w:rPr>
                <w:w w:val="120"/>
                <w:sz w:val="20"/>
              </w:rPr>
              <w:t>F.2.3</w:t>
            </w:r>
            <w:r>
              <w:rPr>
                <w:spacing w:val="15"/>
                <w:w w:val="120"/>
                <w:sz w:val="20"/>
              </w:rPr>
              <w:t> </w:t>
            </w:r>
            <w:r>
              <w:rPr>
                <w:spacing w:val="4"/>
                <w:w w:val="120"/>
                <w:sz w:val="20"/>
              </w:rPr>
              <w:t>and</w:t>
            </w:r>
            <w:r>
              <w:rPr>
                <w:spacing w:val="15"/>
                <w:w w:val="120"/>
                <w:sz w:val="20"/>
              </w:rPr>
              <w:t> </w:t>
            </w:r>
            <w:r>
              <w:rPr>
                <w:spacing w:val="-3"/>
                <w:w w:val="120"/>
                <w:sz w:val="20"/>
              </w:rPr>
              <w:t>G.13.4,</w:t>
            </w:r>
            <w:r>
              <w:rPr>
                <w:spacing w:val="15"/>
                <w:w w:val="120"/>
                <w:sz w:val="20"/>
              </w:rPr>
              <w:t> </w:t>
            </w:r>
            <w:r>
              <w:rPr>
                <w:spacing w:val="2"/>
                <w:w w:val="120"/>
                <w:sz w:val="20"/>
              </w:rPr>
              <w:t>so</w:t>
            </w:r>
            <w:r>
              <w:rPr>
                <w:spacing w:val="15"/>
                <w:w w:val="120"/>
                <w:sz w:val="20"/>
              </w:rPr>
              <w:t> </w:t>
            </w:r>
            <w:r>
              <w:rPr>
                <w:spacing w:val="4"/>
                <w:w w:val="120"/>
                <w:sz w:val="20"/>
              </w:rPr>
              <w:t>the</w:t>
            </w:r>
            <w:r>
              <w:rPr>
                <w:spacing w:val="15"/>
                <w:w w:val="120"/>
                <w:sz w:val="20"/>
              </w:rPr>
              <w:t> </w:t>
            </w:r>
            <w:r>
              <w:rPr>
                <w:spacing w:val="4"/>
                <w:w w:val="120"/>
                <w:sz w:val="20"/>
              </w:rPr>
              <w:t>references</w:t>
            </w:r>
            <w:r>
              <w:rPr>
                <w:spacing w:val="14"/>
                <w:w w:val="120"/>
                <w:sz w:val="20"/>
              </w:rPr>
              <w:t> </w:t>
            </w:r>
            <w:r>
              <w:rPr>
                <w:spacing w:val="4"/>
                <w:w w:val="120"/>
                <w:sz w:val="20"/>
              </w:rPr>
              <w:t>above</w:t>
            </w:r>
            <w:r>
              <w:rPr>
                <w:spacing w:val="15"/>
                <w:w w:val="120"/>
                <w:sz w:val="20"/>
              </w:rPr>
              <w:t> </w:t>
            </w:r>
            <w:r>
              <w:rPr>
                <w:spacing w:val="4"/>
                <w:w w:val="120"/>
                <w:sz w:val="20"/>
              </w:rPr>
              <w:t>are</w:t>
            </w:r>
            <w:r>
              <w:rPr>
                <w:spacing w:val="15"/>
                <w:w w:val="120"/>
                <w:sz w:val="20"/>
              </w:rPr>
              <w:t> </w:t>
            </w:r>
            <w:r>
              <w:rPr>
                <w:spacing w:val="5"/>
                <w:w w:val="120"/>
                <w:sz w:val="20"/>
              </w:rPr>
              <w:t>correct.</w:t>
            </w:r>
          </w:p>
        </w:tc>
      </w:tr>
    </w:tbl>
    <w:p>
      <w:pPr>
        <w:spacing w:after="0" w:line="232" w:lineRule="auto"/>
        <w:rPr>
          <w:sz w:val="20"/>
        </w:rPr>
        <w:sectPr>
          <w:pgSz w:w="11910" w:h="16840"/>
          <w:pgMar w:header="0" w:footer="647" w:top="1060" w:bottom="840" w:left="0" w:right="0"/>
        </w:sectPr>
      </w:pPr>
    </w:p>
    <w:p>
      <w:pPr>
        <w:spacing w:before="131"/>
        <w:ind w:left="1133" w:right="0" w:firstLine="0"/>
        <w:jc w:val="left"/>
        <w:rPr>
          <w:sz w:val="32"/>
        </w:rPr>
      </w:pPr>
      <w:r>
        <w:rPr/>
        <w:pict>
          <v:rect style="position:absolute;margin-left:12.047pt;margin-top:8.474748pt;width:22.677pt;height:22.677pt;mso-position-horizontal-relative:page;mso-position-vertical-relative:paragraph;z-index:252381184" filled="true" fillcolor="#dcd0e6" stroked="false">
            <v:fill opacity="32768f" type="solid"/>
            <w10:wrap type="none"/>
          </v:rect>
        </w:pict>
      </w:r>
      <w:r>
        <w:rPr>
          <w:color w:val="9662A1"/>
          <w:w w:val="120"/>
          <w:sz w:val="32"/>
        </w:rPr>
        <w:t>Ministries Committee: the ministerial working week</w:t>
      </w:r>
    </w:p>
    <w:p>
      <w:pPr>
        <w:pStyle w:val="BodyText"/>
        <w:spacing w:before="4"/>
        <w:rPr>
          <w:sz w:val="14"/>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4"/>
                <w:w w:val="110"/>
                <w:sz w:val="47"/>
              </w:rPr>
              <w:t> </w:t>
            </w:r>
            <w:r>
              <w:rPr>
                <w:rFonts w:ascii="Stone Sans II ITC Std X Bd"/>
                <w:b/>
                <w:spacing w:val="-38"/>
                <w:w w:val="110"/>
                <w:position w:val="-22"/>
                <w:sz w:val="57"/>
              </w:rPr>
              <w:t>11</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2747"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7"/>
              <w:rPr>
                <w:sz w:val="29"/>
              </w:rPr>
            </w:pPr>
          </w:p>
          <w:p>
            <w:pPr>
              <w:pStyle w:val="TableParagraph"/>
              <w:spacing w:line="235" w:lineRule="auto"/>
              <w:ind w:left="266" w:right="641"/>
              <w:rPr>
                <w:sz w:val="20"/>
              </w:rPr>
            </w:pPr>
            <w:r>
              <w:rPr>
                <w:w w:val="120"/>
                <w:sz w:val="20"/>
              </w:rPr>
              <w:t>General Assembly approves the following as the principles governing the ministerial working week:</w:t>
            </w:r>
          </w:p>
          <w:p>
            <w:pPr>
              <w:pStyle w:val="TableParagraph"/>
              <w:spacing w:before="5"/>
              <w:rPr>
                <w:sz w:val="19"/>
              </w:rPr>
            </w:pPr>
          </w:p>
          <w:p>
            <w:pPr>
              <w:pStyle w:val="TableParagraph"/>
              <w:numPr>
                <w:ilvl w:val="0"/>
                <w:numId w:val="193"/>
              </w:numPr>
              <w:tabs>
                <w:tab w:pos="946" w:val="left" w:leader="none"/>
                <w:tab w:pos="948" w:val="left" w:leader="none"/>
              </w:tabs>
              <w:spacing w:line="242" w:lineRule="exact" w:before="1" w:after="0"/>
              <w:ind w:left="947" w:right="0" w:hanging="682"/>
              <w:jc w:val="left"/>
              <w:rPr>
                <w:sz w:val="20"/>
              </w:rPr>
            </w:pPr>
            <w:r>
              <w:rPr>
                <w:spacing w:val="4"/>
                <w:w w:val="120"/>
                <w:sz w:val="20"/>
              </w:rPr>
              <w:t>there</w:t>
            </w:r>
            <w:r>
              <w:rPr>
                <w:spacing w:val="14"/>
                <w:w w:val="120"/>
                <w:sz w:val="20"/>
              </w:rPr>
              <w:t> </w:t>
            </w:r>
            <w:r>
              <w:rPr>
                <w:spacing w:val="4"/>
                <w:w w:val="120"/>
                <w:sz w:val="20"/>
              </w:rPr>
              <w:t>should</w:t>
            </w:r>
            <w:r>
              <w:rPr>
                <w:spacing w:val="15"/>
                <w:w w:val="120"/>
                <w:sz w:val="20"/>
              </w:rPr>
              <w:t> </w:t>
            </w:r>
            <w:r>
              <w:rPr>
                <w:spacing w:val="4"/>
                <w:w w:val="120"/>
                <w:sz w:val="20"/>
              </w:rPr>
              <w:t>be</w:t>
            </w:r>
            <w:r>
              <w:rPr>
                <w:spacing w:val="14"/>
                <w:w w:val="120"/>
                <w:sz w:val="20"/>
              </w:rPr>
              <w:t> </w:t>
            </w:r>
            <w:r>
              <w:rPr>
                <w:spacing w:val="4"/>
                <w:w w:val="120"/>
                <w:sz w:val="20"/>
              </w:rPr>
              <w:t>more</w:t>
            </w:r>
            <w:r>
              <w:rPr>
                <w:spacing w:val="15"/>
                <w:w w:val="120"/>
                <w:sz w:val="20"/>
              </w:rPr>
              <w:t> </w:t>
            </w:r>
            <w:r>
              <w:rPr>
                <w:spacing w:val="5"/>
                <w:w w:val="120"/>
                <w:sz w:val="20"/>
              </w:rPr>
              <w:t>clarity</w:t>
            </w:r>
            <w:r>
              <w:rPr>
                <w:spacing w:val="15"/>
                <w:w w:val="120"/>
                <w:sz w:val="20"/>
              </w:rPr>
              <w:t> </w:t>
            </w:r>
            <w:r>
              <w:rPr>
                <w:spacing w:val="2"/>
                <w:w w:val="120"/>
                <w:sz w:val="20"/>
              </w:rPr>
              <w:t>in</w:t>
            </w:r>
            <w:r>
              <w:rPr>
                <w:spacing w:val="14"/>
                <w:w w:val="120"/>
                <w:sz w:val="20"/>
              </w:rPr>
              <w:t> </w:t>
            </w:r>
            <w:r>
              <w:rPr>
                <w:spacing w:val="5"/>
                <w:w w:val="120"/>
                <w:sz w:val="20"/>
              </w:rPr>
              <w:t>defining</w:t>
            </w:r>
            <w:r>
              <w:rPr>
                <w:spacing w:val="15"/>
                <w:w w:val="120"/>
                <w:sz w:val="20"/>
              </w:rPr>
              <w:t> </w:t>
            </w:r>
            <w:r>
              <w:rPr>
                <w:spacing w:val="5"/>
                <w:w w:val="120"/>
                <w:sz w:val="20"/>
              </w:rPr>
              <w:t>working</w:t>
            </w:r>
            <w:r>
              <w:rPr>
                <w:spacing w:val="14"/>
                <w:w w:val="120"/>
                <w:sz w:val="20"/>
              </w:rPr>
              <w:t> </w:t>
            </w:r>
            <w:r>
              <w:rPr>
                <w:spacing w:val="4"/>
                <w:w w:val="120"/>
                <w:sz w:val="20"/>
              </w:rPr>
              <w:t>hours;</w:t>
            </w:r>
          </w:p>
          <w:p>
            <w:pPr>
              <w:pStyle w:val="TableParagraph"/>
              <w:numPr>
                <w:ilvl w:val="0"/>
                <w:numId w:val="193"/>
              </w:numPr>
              <w:tabs>
                <w:tab w:pos="947" w:val="left" w:leader="none"/>
                <w:tab w:pos="948" w:val="left" w:leader="none"/>
              </w:tabs>
              <w:spacing w:line="235" w:lineRule="auto" w:before="1" w:after="0"/>
              <w:ind w:left="947" w:right="286" w:hanging="681"/>
              <w:jc w:val="left"/>
              <w:rPr>
                <w:sz w:val="20"/>
              </w:rPr>
            </w:pPr>
            <w:r>
              <w:rPr>
                <w:spacing w:val="4"/>
                <w:w w:val="120"/>
                <w:sz w:val="20"/>
              </w:rPr>
              <w:t>the </w:t>
            </w:r>
            <w:r>
              <w:rPr>
                <w:spacing w:val="5"/>
                <w:w w:val="120"/>
                <w:sz w:val="20"/>
              </w:rPr>
              <w:t>working </w:t>
            </w:r>
            <w:r>
              <w:rPr>
                <w:spacing w:val="4"/>
                <w:w w:val="120"/>
                <w:sz w:val="20"/>
              </w:rPr>
              <w:t>week, translated </w:t>
            </w:r>
            <w:r>
              <w:rPr>
                <w:spacing w:val="2"/>
                <w:w w:val="120"/>
                <w:sz w:val="20"/>
              </w:rPr>
              <w:t>into </w:t>
            </w:r>
            <w:r>
              <w:rPr>
                <w:spacing w:val="5"/>
                <w:w w:val="120"/>
                <w:sz w:val="20"/>
              </w:rPr>
              <w:t>hours </w:t>
            </w:r>
            <w:r>
              <w:rPr>
                <w:spacing w:val="2"/>
                <w:w w:val="120"/>
                <w:sz w:val="20"/>
              </w:rPr>
              <w:t>in </w:t>
            </w:r>
            <w:r>
              <w:rPr>
                <w:w w:val="120"/>
                <w:sz w:val="20"/>
              </w:rPr>
              <w:t>a </w:t>
            </w:r>
            <w:r>
              <w:rPr>
                <w:spacing w:val="4"/>
                <w:w w:val="120"/>
                <w:sz w:val="20"/>
              </w:rPr>
              <w:t>four week </w:t>
            </w:r>
            <w:r>
              <w:rPr>
                <w:spacing w:val="5"/>
                <w:w w:val="120"/>
                <w:sz w:val="20"/>
              </w:rPr>
              <w:t>period, </w:t>
            </w:r>
            <w:r>
              <w:rPr>
                <w:spacing w:val="4"/>
                <w:w w:val="120"/>
                <w:sz w:val="20"/>
              </w:rPr>
              <w:t>should be </w:t>
            </w:r>
            <w:r>
              <w:rPr>
                <w:spacing w:val="3"/>
                <w:w w:val="120"/>
                <w:sz w:val="20"/>
              </w:rPr>
              <w:t>not </w:t>
            </w:r>
            <w:r>
              <w:rPr>
                <w:spacing w:val="4"/>
                <w:w w:val="120"/>
                <w:sz w:val="20"/>
              </w:rPr>
              <w:t>less than </w:t>
            </w:r>
            <w:r>
              <w:rPr>
                <w:w w:val="120"/>
                <w:sz w:val="20"/>
              </w:rPr>
              <w:t>160</w:t>
            </w:r>
            <w:r>
              <w:rPr>
                <w:spacing w:val="23"/>
                <w:w w:val="120"/>
                <w:sz w:val="20"/>
              </w:rPr>
              <w:t> </w:t>
            </w:r>
            <w:r>
              <w:rPr>
                <w:spacing w:val="5"/>
                <w:w w:val="120"/>
                <w:sz w:val="20"/>
              </w:rPr>
              <w:t>hours </w:t>
            </w:r>
            <w:r>
              <w:rPr>
                <w:spacing w:val="4"/>
                <w:w w:val="120"/>
                <w:sz w:val="20"/>
              </w:rPr>
              <w:t>and </w:t>
            </w:r>
            <w:r>
              <w:rPr>
                <w:spacing w:val="3"/>
                <w:w w:val="120"/>
                <w:sz w:val="20"/>
              </w:rPr>
              <w:t>not </w:t>
            </w:r>
            <w:r>
              <w:rPr>
                <w:spacing w:val="4"/>
                <w:w w:val="120"/>
                <w:sz w:val="20"/>
              </w:rPr>
              <w:t>more than </w:t>
            </w:r>
            <w:r>
              <w:rPr>
                <w:spacing w:val="-3"/>
                <w:w w:val="120"/>
                <w:sz w:val="20"/>
              </w:rPr>
              <w:t>192;</w:t>
            </w:r>
          </w:p>
          <w:p>
            <w:pPr>
              <w:pStyle w:val="TableParagraph"/>
              <w:numPr>
                <w:ilvl w:val="0"/>
                <w:numId w:val="193"/>
              </w:numPr>
              <w:tabs>
                <w:tab w:pos="947" w:val="left" w:leader="none"/>
                <w:tab w:pos="948" w:val="left" w:leader="none"/>
              </w:tabs>
              <w:spacing w:line="235" w:lineRule="auto" w:before="2" w:after="0"/>
              <w:ind w:left="947" w:right="552" w:hanging="681"/>
              <w:jc w:val="left"/>
              <w:rPr>
                <w:sz w:val="20"/>
              </w:rPr>
            </w:pPr>
            <w:r>
              <w:rPr>
                <w:w w:val="120"/>
                <w:sz w:val="20"/>
              </w:rPr>
              <w:t>a </w:t>
            </w:r>
            <w:r>
              <w:rPr>
                <w:spacing w:val="3"/>
                <w:w w:val="120"/>
                <w:sz w:val="20"/>
              </w:rPr>
              <w:t>note on </w:t>
            </w:r>
            <w:r>
              <w:rPr>
                <w:spacing w:val="4"/>
                <w:w w:val="120"/>
                <w:sz w:val="20"/>
              </w:rPr>
              <w:t>the </w:t>
            </w:r>
            <w:r>
              <w:rPr>
                <w:spacing w:val="5"/>
                <w:w w:val="120"/>
                <w:sz w:val="20"/>
              </w:rPr>
              <w:t>working </w:t>
            </w:r>
            <w:r>
              <w:rPr>
                <w:spacing w:val="4"/>
                <w:w w:val="120"/>
                <w:sz w:val="20"/>
              </w:rPr>
              <w:t>week should be included </w:t>
            </w:r>
            <w:r>
              <w:rPr>
                <w:spacing w:val="2"/>
                <w:w w:val="120"/>
                <w:sz w:val="20"/>
              </w:rPr>
              <w:t>in </w:t>
            </w:r>
            <w:r>
              <w:rPr>
                <w:spacing w:val="4"/>
                <w:w w:val="120"/>
                <w:sz w:val="20"/>
              </w:rPr>
              <w:t>the </w:t>
            </w:r>
            <w:r>
              <w:rPr>
                <w:spacing w:val="3"/>
                <w:w w:val="120"/>
                <w:sz w:val="20"/>
              </w:rPr>
              <w:t>Plan for </w:t>
            </w:r>
            <w:r>
              <w:rPr>
                <w:spacing w:val="6"/>
                <w:w w:val="120"/>
                <w:sz w:val="20"/>
              </w:rPr>
              <w:t>Partnership</w:t>
            </w:r>
            <w:r>
              <w:rPr>
                <w:spacing w:val="66"/>
                <w:w w:val="120"/>
                <w:sz w:val="20"/>
              </w:rPr>
              <w:t> </w:t>
            </w:r>
            <w:r>
              <w:rPr>
                <w:spacing w:val="4"/>
                <w:w w:val="120"/>
                <w:sz w:val="20"/>
              </w:rPr>
              <w:t>and the </w:t>
            </w:r>
            <w:r>
              <w:rPr>
                <w:spacing w:val="5"/>
                <w:w w:val="120"/>
                <w:sz w:val="20"/>
              </w:rPr>
              <w:t>rationale </w:t>
            </w:r>
            <w:r>
              <w:rPr>
                <w:spacing w:val="3"/>
                <w:w w:val="120"/>
                <w:sz w:val="20"/>
              </w:rPr>
              <w:t>for </w:t>
            </w:r>
            <w:r>
              <w:rPr>
                <w:spacing w:val="4"/>
                <w:w w:val="120"/>
                <w:sz w:val="20"/>
              </w:rPr>
              <w:t>the </w:t>
            </w:r>
            <w:r>
              <w:rPr>
                <w:spacing w:val="5"/>
                <w:w w:val="120"/>
                <w:sz w:val="20"/>
              </w:rPr>
              <w:t>working </w:t>
            </w:r>
            <w:r>
              <w:rPr>
                <w:spacing w:val="4"/>
                <w:w w:val="120"/>
                <w:sz w:val="20"/>
              </w:rPr>
              <w:t>week, </w:t>
            </w:r>
            <w:r>
              <w:rPr>
                <w:spacing w:val="3"/>
                <w:w w:val="120"/>
                <w:sz w:val="20"/>
              </w:rPr>
              <w:t>set out </w:t>
            </w:r>
            <w:r>
              <w:rPr>
                <w:spacing w:val="2"/>
                <w:w w:val="120"/>
                <w:sz w:val="20"/>
              </w:rPr>
              <w:t>as </w:t>
            </w:r>
            <w:r>
              <w:rPr>
                <w:spacing w:val="6"/>
                <w:w w:val="120"/>
                <w:sz w:val="20"/>
              </w:rPr>
              <w:t>supporting </w:t>
            </w:r>
            <w:r>
              <w:rPr>
                <w:spacing w:val="5"/>
                <w:w w:val="120"/>
                <w:sz w:val="20"/>
              </w:rPr>
              <w:t>text </w:t>
            </w:r>
            <w:r>
              <w:rPr>
                <w:spacing w:val="3"/>
                <w:w w:val="120"/>
                <w:sz w:val="20"/>
              </w:rPr>
              <w:t>for this </w:t>
            </w:r>
            <w:r>
              <w:rPr>
                <w:spacing w:val="5"/>
                <w:w w:val="120"/>
                <w:sz w:val="20"/>
              </w:rPr>
              <w:t>resolution, </w:t>
            </w:r>
            <w:r>
              <w:rPr>
                <w:spacing w:val="4"/>
                <w:w w:val="120"/>
                <w:sz w:val="20"/>
              </w:rPr>
              <w:t>should be available </w:t>
            </w:r>
            <w:r>
              <w:rPr>
                <w:spacing w:val="3"/>
                <w:w w:val="120"/>
                <w:sz w:val="20"/>
              </w:rPr>
              <w:t>on </w:t>
            </w:r>
            <w:r>
              <w:rPr>
                <w:spacing w:val="5"/>
                <w:w w:val="120"/>
                <w:sz w:val="20"/>
              </w:rPr>
              <w:t>request </w:t>
            </w:r>
            <w:r>
              <w:rPr>
                <w:spacing w:val="4"/>
                <w:w w:val="120"/>
                <w:sz w:val="20"/>
              </w:rPr>
              <w:t>from the</w:t>
            </w:r>
            <w:r>
              <w:rPr>
                <w:spacing w:val="20"/>
                <w:w w:val="120"/>
                <w:sz w:val="20"/>
              </w:rPr>
              <w:t> </w:t>
            </w:r>
            <w:r>
              <w:rPr>
                <w:spacing w:val="5"/>
                <w:w w:val="120"/>
                <w:sz w:val="20"/>
              </w:rPr>
              <w:t>Ministries office.</w:t>
            </w:r>
          </w:p>
        </w:tc>
      </w:tr>
    </w:tbl>
    <w:p>
      <w:pPr>
        <w:pStyle w:val="BodyText"/>
        <w:spacing w:before="6"/>
        <w:rPr>
          <w:sz w:val="35"/>
        </w:rPr>
      </w:pPr>
    </w:p>
    <w:p>
      <w:pPr>
        <w:pStyle w:val="ListParagraph"/>
        <w:numPr>
          <w:ilvl w:val="0"/>
          <w:numId w:val="194"/>
        </w:numPr>
        <w:tabs>
          <w:tab w:pos="1814" w:val="left" w:leader="none"/>
          <w:tab w:pos="1815" w:val="left" w:leader="none"/>
        </w:tabs>
        <w:spacing w:line="235" w:lineRule="auto" w:before="0" w:after="0"/>
        <w:ind w:left="1134" w:right="2274" w:firstLine="0"/>
        <w:jc w:val="left"/>
        <w:rPr>
          <w:sz w:val="20"/>
        </w:rPr>
      </w:pPr>
      <w:r>
        <w:rPr>
          <w:spacing w:val="5"/>
          <w:w w:val="120"/>
          <w:sz w:val="20"/>
        </w:rPr>
        <w:t>Paragraph </w:t>
      </w:r>
      <w:r>
        <w:rPr>
          <w:spacing w:val="-11"/>
          <w:w w:val="120"/>
          <w:sz w:val="20"/>
        </w:rPr>
        <w:t>7.1 </w:t>
      </w:r>
      <w:r>
        <w:rPr>
          <w:spacing w:val="3"/>
          <w:w w:val="120"/>
          <w:sz w:val="20"/>
        </w:rPr>
        <w:t>of </w:t>
      </w:r>
      <w:r>
        <w:rPr>
          <w:spacing w:val="4"/>
          <w:w w:val="120"/>
          <w:sz w:val="20"/>
        </w:rPr>
        <w:t>the </w:t>
      </w:r>
      <w:r>
        <w:rPr>
          <w:spacing w:val="3"/>
          <w:w w:val="120"/>
          <w:sz w:val="20"/>
        </w:rPr>
        <w:t>Plan for </w:t>
      </w:r>
      <w:r>
        <w:rPr>
          <w:spacing w:val="6"/>
          <w:w w:val="120"/>
          <w:sz w:val="20"/>
        </w:rPr>
        <w:t>Partnership </w:t>
      </w:r>
      <w:r>
        <w:rPr>
          <w:spacing w:val="2"/>
          <w:w w:val="120"/>
          <w:sz w:val="20"/>
        </w:rPr>
        <w:t>in </w:t>
      </w:r>
      <w:r>
        <w:rPr>
          <w:spacing w:val="5"/>
          <w:w w:val="120"/>
          <w:sz w:val="20"/>
        </w:rPr>
        <w:t>Ministerial Remuneration </w:t>
      </w:r>
      <w:r>
        <w:rPr>
          <w:spacing w:val="4"/>
          <w:w w:val="120"/>
          <w:sz w:val="20"/>
        </w:rPr>
        <w:t>sets </w:t>
      </w:r>
      <w:r>
        <w:rPr>
          <w:spacing w:val="3"/>
          <w:w w:val="120"/>
          <w:sz w:val="20"/>
        </w:rPr>
        <w:t>out </w:t>
      </w:r>
      <w:r>
        <w:rPr>
          <w:spacing w:val="4"/>
          <w:w w:val="120"/>
          <w:sz w:val="20"/>
        </w:rPr>
        <w:t>holiday provision </w:t>
      </w:r>
      <w:r>
        <w:rPr>
          <w:spacing w:val="3"/>
          <w:w w:val="120"/>
          <w:sz w:val="20"/>
        </w:rPr>
        <w:t>for </w:t>
      </w:r>
      <w:r>
        <w:rPr>
          <w:spacing w:val="4"/>
          <w:w w:val="120"/>
          <w:sz w:val="20"/>
        </w:rPr>
        <w:t>ministers and </w:t>
      </w:r>
      <w:r>
        <w:rPr>
          <w:spacing w:val="3"/>
          <w:w w:val="120"/>
          <w:sz w:val="20"/>
        </w:rPr>
        <w:t>Church </w:t>
      </w:r>
      <w:r>
        <w:rPr>
          <w:spacing w:val="4"/>
          <w:w w:val="120"/>
          <w:sz w:val="20"/>
        </w:rPr>
        <w:t>Related Community </w:t>
      </w:r>
      <w:r>
        <w:rPr>
          <w:spacing w:val="5"/>
          <w:w w:val="120"/>
          <w:sz w:val="20"/>
        </w:rPr>
        <w:t>Workers, </w:t>
      </w:r>
      <w:r>
        <w:rPr>
          <w:spacing w:val="3"/>
          <w:w w:val="120"/>
          <w:sz w:val="20"/>
        </w:rPr>
        <w:t>but </w:t>
      </w:r>
      <w:r>
        <w:rPr>
          <w:spacing w:val="4"/>
          <w:w w:val="120"/>
          <w:sz w:val="20"/>
        </w:rPr>
        <w:t>the </w:t>
      </w:r>
      <w:r>
        <w:rPr>
          <w:spacing w:val="3"/>
          <w:w w:val="120"/>
          <w:sz w:val="20"/>
        </w:rPr>
        <w:t>Plan </w:t>
      </w:r>
      <w:r>
        <w:rPr>
          <w:spacing w:val="4"/>
          <w:w w:val="120"/>
          <w:sz w:val="20"/>
        </w:rPr>
        <w:t>contains </w:t>
      </w:r>
      <w:r>
        <w:rPr>
          <w:spacing w:val="3"/>
          <w:w w:val="120"/>
          <w:sz w:val="20"/>
        </w:rPr>
        <w:t>no </w:t>
      </w:r>
      <w:r>
        <w:rPr>
          <w:spacing w:val="5"/>
          <w:w w:val="120"/>
          <w:sz w:val="20"/>
        </w:rPr>
        <w:t>definition </w:t>
      </w:r>
      <w:r>
        <w:rPr>
          <w:spacing w:val="3"/>
          <w:w w:val="120"/>
          <w:sz w:val="20"/>
        </w:rPr>
        <w:t>of </w:t>
      </w:r>
      <w:r>
        <w:rPr>
          <w:spacing w:val="4"/>
          <w:w w:val="120"/>
          <w:sz w:val="20"/>
        </w:rPr>
        <w:t>the </w:t>
      </w:r>
      <w:r>
        <w:rPr>
          <w:spacing w:val="5"/>
          <w:w w:val="120"/>
          <w:sz w:val="20"/>
        </w:rPr>
        <w:t>working week. </w:t>
      </w:r>
      <w:r>
        <w:rPr>
          <w:spacing w:val="3"/>
          <w:w w:val="120"/>
          <w:sz w:val="20"/>
        </w:rPr>
        <w:t>This </w:t>
      </w:r>
      <w:r>
        <w:rPr>
          <w:spacing w:val="4"/>
          <w:w w:val="120"/>
          <w:sz w:val="20"/>
        </w:rPr>
        <w:t>can lead </w:t>
      </w:r>
      <w:r>
        <w:rPr>
          <w:w w:val="120"/>
          <w:sz w:val="20"/>
        </w:rPr>
        <w:t>to </w:t>
      </w:r>
      <w:r>
        <w:rPr>
          <w:spacing w:val="5"/>
          <w:w w:val="120"/>
          <w:sz w:val="20"/>
        </w:rPr>
        <w:t>two </w:t>
      </w:r>
      <w:r>
        <w:rPr>
          <w:spacing w:val="6"/>
          <w:w w:val="120"/>
          <w:sz w:val="20"/>
        </w:rPr>
        <w:t>extreme</w:t>
      </w:r>
      <w:r>
        <w:rPr>
          <w:spacing w:val="66"/>
          <w:w w:val="120"/>
          <w:sz w:val="20"/>
        </w:rPr>
        <w:t> </w:t>
      </w:r>
      <w:r>
        <w:rPr>
          <w:spacing w:val="4"/>
          <w:w w:val="120"/>
          <w:sz w:val="20"/>
        </w:rPr>
        <w:t>assumptions, that those </w:t>
      </w:r>
      <w:r>
        <w:rPr>
          <w:spacing w:val="2"/>
          <w:w w:val="120"/>
          <w:sz w:val="20"/>
        </w:rPr>
        <w:t>in </w:t>
      </w:r>
      <w:r>
        <w:rPr>
          <w:spacing w:val="6"/>
          <w:w w:val="120"/>
          <w:sz w:val="20"/>
        </w:rPr>
        <w:t>ministry </w:t>
      </w:r>
      <w:r>
        <w:rPr>
          <w:spacing w:val="4"/>
          <w:w w:val="120"/>
          <w:sz w:val="20"/>
        </w:rPr>
        <w:t>work only one </w:t>
      </w:r>
      <w:r>
        <w:rPr>
          <w:spacing w:val="2"/>
          <w:w w:val="120"/>
          <w:sz w:val="20"/>
        </w:rPr>
        <w:t>day </w:t>
      </w:r>
      <w:r>
        <w:rPr>
          <w:w w:val="120"/>
          <w:sz w:val="20"/>
        </w:rPr>
        <w:t>a </w:t>
      </w:r>
      <w:r>
        <w:rPr>
          <w:spacing w:val="4"/>
          <w:w w:val="120"/>
          <w:sz w:val="20"/>
        </w:rPr>
        <w:t>week </w:t>
      </w:r>
      <w:r>
        <w:rPr>
          <w:spacing w:val="3"/>
          <w:w w:val="120"/>
          <w:sz w:val="20"/>
        </w:rPr>
        <w:t>or </w:t>
      </w:r>
      <w:r>
        <w:rPr>
          <w:spacing w:val="4"/>
          <w:w w:val="120"/>
          <w:sz w:val="20"/>
        </w:rPr>
        <w:t>that they are available</w:t>
      </w:r>
      <w:r>
        <w:rPr>
          <w:spacing w:val="13"/>
          <w:w w:val="120"/>
          <w:sz w:val="20"/>
        </w:rPr>
        <w:t> </w:t>
      </w:r>
      <w:r>
        <w:rPr>
          <w:spacing w:val="-5"/>
          <w:w w:val="120"/>
          <w:sz w:val="20"/>
        </w:rPr>
        <w:t>24/7.</w:t>
      </w:r>
    </w:p>
    <w:p>
      <w:pPr>
        <w:pStyle w:val="BodyText"/>
        <w:spacing w:before="11"/>
        <w:rPr>
          <w:sz w:val="19"/>
        </w:rPr>
      </w:pPr>
    </w:p>
    <w:p>
      <w:pPr>
        <w:pStyle w:val="ListParagraph"/>
        <w:numPr>
          <w:ilvl w:val="0"/>
          <w:numId w:val="194"/>
        </w:numPr>
        <w:tabs>
          <w:tab w:pos="1814" w:val="left" w:leader="none"/>
          <w:tab w:pos="1815" w:val="left" w:leader="none"/>
        </w:tabs>
        <w:spacing w:line="235" w:lineRule="auto" w:before="0" w:after="0"/>
        <w:ind w:left="1134" w:right="2182" w:firstLine="0"/>
        <w:jc w:val="left"/>
        <w:rPr>
          <w:sz w:val="20"/>
        </w:rPr>
      </w:pPr>
      <w:r>
        <w:rPr>
          <w:spacing w:val="3"/>
          <w:w w:val="120"/>
          <w:sz w:val="20"/>
        </w:rPr>
        <w:t>Custom </w:t>
      </w:r>
      <w:r>
        <w:rPr>
          <w:spacing w:val="4"/>
          <w:w w:val="120"/>
          <w:sz w:val="20"/>
        </w:rPr>
        <w:t>and </w:t>
      </w:r>
      <w:r>
        <w:rPr>
          <w:spacing w:val="5"/>
          <w:w w:val="120"/>
          <w:sz w:val="20"/>
        </w:rPr>
        <w:t>practice </w:t>
      </w:r>
      <w:r>
        <w:rPr>
          <w:spacing w:val="4"/>
          <w:w w:val="120"/>
          <w:sz w:val="20"/>
        </w:rPr>
        <w:t>means that those </w:t>
      </w:r>
      <w:r>
        <w:rPr>
          <w:spacing w:val="2"/>
          <w:w w:val="120"/>
          <w:sz w:val="20"/>
        </w:rPr>
        <w:t>in </w:t>
      </w:r>
      <w:r>
        <w:rPr>
          <w:spacing w:val="6"/>
          <w:w w:val="120"/>
          <w:sz w:val="20"/>
        </w:rPr>
        <w:t>ministry </w:t>
      </w:r>
      <w:r>
        <w:rPr>
          <w:spacing w:val="3"/>
          <w:w w:val="120"/>
          <w:sz w:val="20"/>
        </w:rPr>
        <w:t>have for </w:t>
      </w:r>
      <w:r>
        <w:rPr>
          <w:spacing w:val="4"/>
          <w:w w:val="120"/>
          <w:sz w:val="20"/>
        </w:rPr>
        <w:t>some years </w:t>
      </w:r>
      <w:r>
        <w:rPr>
          <w:spacing w:val="5"/>
          <w:w w:val="120"/>
          <w:sz w:val="20"/>
        </w:rPr>
        <w:t>been encouraged </w:t>
      </w:r>
      <w:r>
        <w:rPr>
          <w:w w:val="120"/>
          <w:sz w:val="20"/>
        </w:rPr>
        <w:t>to </w:t>
      </w:r>
      <w:r>
        <w:rPr>
          <w:spacing w:val="3"/>
          <w:w w:val="120"/>
          <w:sz w:val="20"/>
        </w:rPr>
        <w:t>have </w:t>
      </w:r>
      <w:r>
        <w:rPr>
          <w:w w:val="120"/>
          <w:sz w:val="20"/>
        </w:rPr>
        <w:t>a </w:t>
      </w:r>
      <w:r>
        <w:rPr>
          <w:spacing w:val="2"/>
          <w:w w:val="120"/>
          <w:sz w:val="20"/>
        </w:rPr>
        <w:t>day </w:t>
      </w:r>
      <w:r>
        <w:rPr>
          <w:w w:val="120"/>
          <w:sz w:val="20"/>
        </w:rPr>
        <w:t>a </w:t>
      </w:r>
      <w:r>
        <w:rPr>
          <w:spacing w:val="4"/>
          <w:w w:val="120"/>
          <w:sz w:val="20"/>
        </w:rPr>
        <w:t>week </w:t>
      </w:r>
      <w:r>
        <w:rPr>
          <w:spacing w:val="5"/>
          <w:w w:val="120"/>
          <w:sz w:val="20"/>
        </w:rPr>
        <w:t>‘off’ </w:t>
      </w:r>
      <w:r>
        <w:rPr>
          <w:spacing w:val="4"/>
          <w:w w:val="120"/>
          <w:sz w:val="20"/>
        </w:rPr>
        <w:t>and congregations are </w:t>
      </w:r>
      <w:r>
        <w:rPr>
          <w:spacing w:val="5"/>
          <w:w w:val="120"/>
          <w:sz w:val="20"/>
        </w:rPr>
        <w:t>instructed </w:t>
      </w:r>
      <w:r>
        <w:rPr>
          <w:w w:val="120"/>
          <w:sz w:val="20"/>
        </w:rPr>
        <w:t>to </w:t>
      </w:r>
      <w:r>
        <w:rPr>
          <w:spacing w:val="4"/>
          <w:w w:val="120"/>
          <w:sz w:val="20"/>
        </w:rPr>
        <w:t>check that </w:t>
      </w:r>
      <w:r>
        <w:rPr>
          <w:spacing w:val="3"/>
          <w:w w:val="120"/>
          <w:sz w:val="20"/>
        </w:rPr>
        <w:t>this </w:t>
      </w:r>
      <w:r>
        <w:rPr>
          <w:w w:val="120"/>
          <w:sz w:val="20"/>
        </w:rPr>
        <w:t>is </w:t>
      </w:r>
      <w:r>
        <w:rPr>
          <w:spacing w:val="5"/>
          <w:w w:val="120"/>
          <w:sz w:val="20"/>
        </w:rPr>
        <w:t>happening. </w:t>
      </w:r>
      <w:r>
        <w:rPr>
          <w:spacing w:val="4"/>
          <w:w w:val="120"/>
          <w:sz w:val="20"/>
        </w:rPr>
        <w:t>However </w:t>
      </w:r>
      <w:r>
        <w:rPr>
          <w:spacing w:val="3"/>
          <w:w w:val="120"/>
          <w:sz w:val="20"/>
        </w:rPr>
        <w:t>this </w:t>
      </w:r>
      <w:r>
        <w:rPr>
          <w:spacing w:val="6"/>
          <w:w w:val="120"/>
          <w:sz w:val="20"/>
        </w:rPr>
        <w:t>suggests </w:t>
      </w:r>
      <w:r>
        <w:rPr>
          <w:spacing w:val="4"/>
          <w:w w:val="120"/>
          <w:sz w:val="20"/>
        </w:rPr>
        <w:t>that ministers </w:t>
      </w:r>
      <w:r>
        <w:rPr>
          <w:spacing w:val="3"/>
          <w:w w:val="120"/>
          <w:sz w:val="20"/>
        </w:rPr>
        <w:t>have </w:t>
      </w:r>
      <w:r>
        <w:rPr>
          <w:w w:val="120"/>
          <w:sz w:val="20"/>
        </w:rPr>
        <w:t>a </w:t>
      </w:r>
      <w:r>
        <w:rPr>
          <w:spacing w:val="3"/>
          <w:w w:val="120"/>
          <w:sz w:val="20"/>
        </w:rPr>
        <w:t>six </w:t>
      </w:r>
      <w:r>
        <w:rPr>
          <w:spacing w:val="2"/>
          <w:w w:val="120"/>
          <w:sz w:val="20"/>
        </w:rPr>
        <w:t>day </w:t>
      </w:r>
      <w:r>
        <w:rPr>
          <w:spacing w:val="5"/>
          <w:w w:val="120"/>
          <w:sz w:val="20"/>
        </w:rPr>
        <w:t>working </w:t>
      </w:r>
      <w:r>
        <w:rPr>
          <w:spacing w:val="4"/>
          <w:w w:val="120"/>
          <w:sz w:val="20"/>
        </w:rPr>
        <w:t>week and begs the </w:t>
      </w:r>
      <w:r>
        <w:rPr>
          <w:spacing w:val="5"/>
          <w:w w:val="120"/>
          <w:sz w:val="20"/>
        </w:rPr>
        <w:t>question: </w:t>
      </w:r>
      <w:r>
        <w:rPr>
          <w:spacing w:val="3"/>
          <w:w w:val="120"/>
          <w:sz w:val="20"/>
        </w:rPr>
        <w:t>‘Is </w:t>
      </w:r>
      <w:r>
        <w:rPr>
          <w:spacing w:val="4"/>
          <w:w w:val="120"/>
          <w:sz w:val="20"/>
        </w:rPr>
        <w:t>there </w:t>
      </w:r>
      <w:r>
        <w:rPr>
          <w:spacing w:val="3"/>
          <w:w w:val="120"/>
          <w:sz w:val="20"/>
        </w:rPr>
        <w:t>any </w:t>
      </w:r>
      <w:r>
        <w:rPr>
          <w:spacing w:val="4"/>
          <w:w w:val="120"/>
          <w:sz w:val="20"/>
        </w:rPr>
        <w:t>common </w:t>
      </w:r>
      <w:r>
        <w:rPr>
          <w:spacing w:val="5"/>
          <w:w w:val="120"/>
          <w:sz w:val="20"/>
        </w:rPr>
        <w:t>agreement </w:t>
      </w:r>
      <w:r>
        <w:rPr>
          <w:spacing w:val="4"/>
          <w:w w:val="120"/>
          <w:sz w:val="20"/>
        </w:rPr>
        <w:t>about the </w:t>
      </w:r>
      <w:r>
        <w:rPr>
          <w:spacing w:val="5"/>
          <w:w w:val="120"/>
          <w:sz w:val="20"/>
        </w:rPr>
        <w:t>length </w:t>
      </w:r>
      <w:r>
        <w:rPr>
          <w:spacing w:val="3"/>
          <w:w w:val="120"/>
          <w:sz w:val="20"/>
        </w:rPr>
        <w:t>of </w:t>
      </w:r>
      <w:r>
        <w:rPr>
          <w:spacing w:val="4"/>
          <w:w w:val="120"/>
          <w:sz w:val="20"/>
        </w:rPr>
        <w:t>the </w:t>
      </w:r>
      <w:r>
        <w:rPr>
          <w:spacing w:val="5"/>
          <w:w w:val="120"/>
          <w:sz w:val="20"/>
        </w:rPr>
        <w:t>ministerial working</w:t>
      </w:r>
      <w:r>
        <w:rPr>
          <w:spacing w:val="30"/>
          <w:w w:val="120"/>
          <w:sz w:val="20"/>
        </w:rPr>
        <w:t> </w:t>
      </w:r>
      <w:r>
        <w:rPr>
          <w:w w:val="120"/>
          <w:sz w:val="20"/>
        </w:rPr>
        <w:t>day?’</w:t>
      </w:r>
    </w:p>
    <w:p>
      <w:pPr>
        <w:pStyle w:val="BodyText"/>
      </w:pPr>
    </w:p>
    <w:p>
      <w:pPr>
        <w:pStyle w:val="ListParagraph"/>
        <w:numPr>
          <w:ilvl w:val="0"/>
          <w:numId w:val="194"/>
        </w:numPr>
        <w:tabs>
          <w:tab w:pos="1814" w:val="left" w:leader="none"/>
          <w:tab w:pos="1815" w:val="left" w:leader="none"/>
        </w:tabs>
        <w:spacing w:line="235" w:lineRule="auto" w:before="0" w:after="0"/>
        <w:ind w:left="1134" w:right="2104" w:firstLine="0"/>
        <w:jc w:val="left"/>
        <w:rPr>
          <w:sz w:val="20"/>
        </w:rPr>
      </w:pPr>
      <w:r>
        <w:rPr>
          <w:spacing w:val="6"/>
          <w:w w:val="120"/>
          <w:sz w:val="20"/>
        </w:rPr>
        <w:t>Part </w:t>
      </w:r>
      <w:r>
        <w:rPr>
          <w:spacing w:val="3"/>
          <w:w w:val="120"/>
          <w:sz w:val="20"/>
        </w:rPr>
        <w:t>of </w:t>
      </w:r>
      <w:r>
        <w:rPr>
          <w:spacing w:val="4"/>
          <w:w w:val="120"/>
          <w:sz w:val="20"/>
        </w:rPr>
        <w:t>the remit </w:t>
      </w:r>
      <w:r>
        <w:rPr>
          <w:spacing w:val="3"/>
          <w:w w:val="120"/>
          <w:sz w:val="20"/>
        </w:rPr>
        <w:t>of </w:t>
      </w:r>
      <w:r>
        <w:rPr>
          <w:spacing w:val="4"/>
          <w:w w:val="120"/>
          <w:sz w:val="20"/>
        </w:rPr>
        <w:t>the </w:t>
      </w:r>
      <w:r>
        <w:rPr>
          <w:spacing w:val="5"/>
          <w:w w:val="120"/>
          <w:sz w:val="20"/>
        </w:rPr>
        <w:t>Ministries </w:t>
      </w:r>
      <w:r>
        <w:rPr>
          <w:spacing w:val="4"/>
          <w:w w:val="120"/>
          <w:sz w:val="20"/>
        </w:rPr>
        <w:t>Committee </w:t>
      </w:r>
      <w:r>
        <w:rPr>
          <w:w w:val="120"/>
          <w:sz w:val="20"/>
        </w:rPr>
        <w:t>is a </w:t>
      </w:r>
      <w:r>
        <w:rPr>
          <w:spacing w:val="4"/>
          <w:w w:val="120"/>
          <w:sz w:val="20"/>
        </w:rPr>
        <w:t>concern </w:t>
      </w:r>
      <w:r>
        <w:rPr>
          <w:spacing w:val="3"/>
          <w:w w:val="120"/>
          <w:sz w:val="20"/>
        </w:rPr>
        <w:t>for </w:t>
      </w:r>
      <w:r>
        <w:rPr>
          <w:spacing w:val="4"/>
          <w:w w:val="120"/>
          <w:sz w:val="20"/>
        </w:rPr>
        <w:t>the central care and conditions </w:t>
      </w:r>
      <w:r>
        <w:rPr>
          <w:spacing w:val="3"/>
          <w:w w:val="120"/>
          <w:sz w:val="20"/>
        </w:rPr>
        <w:t>of </w:t>
      </w:r>
      <w:r>
        <w:rPr>
          <w:spacing w:val="5"/>
          <w:w w:val="120"/>
          <w:sz w:val="20"/>
        </w:rPr>
        <w:t>service </w:t>
      </w:r>
      <w:r>
        <w:rPr>
          <w:spacing w:val="3"/>
          <w:w w:val="120"/>
          <w:sz w:val="20"/>
        </w:rPr>
        <w:t>of </w:t>
      </w:r>
      <w:r>
        <w:rPr>
          <w:spacing w:val="4"/>
          <w:w w:val="120"/>
          <w:sz w:val="20"/>
        </w:rPr>
        <w:t>ministers </w:t>
      </w:r>
      <w:r>
        <w:rPr>
          <w:spacing w:val="3"/>
          <w:w w:val="120"/>
          <w:sz w:val="20"/>
        </w:rPr>
        <w:t>of Word </w:t>
      </w:r>
      <w:r>
        <w:rPr>
          <w:spacing w:val="4"/>
          <w:w w:val="120"/>
          <w:sz w:val="20"/>
        </w:rPr>
        <w:t>and </w:t>
      </w:r>
      <w:r>
        <w:rPr>
          <w:spacing w:val="5"/>
          <w:w w:val="120"/>
          <w:sz w:val="20"/>
        </w:rPr>
        <w:t>Sacrament </w:t>
      </w:r>
      <w:r>
        <w:rPr>
          <w:spacing w:val="4"/>
          <w:w w:val="120"/>
          <w:sz w:val="20"/>
        </w:rPr>
        <w:t>and CRCWs, and </w:t>
      </w:r>
      <w:r>
        <w:rPr>
          <w:spacing w:val="2"/>
          <w:w w:val="120"/>
          <w:sz w:val="20"/>
        </w:rPr>
        <w:t>in   </w:t>
      </w:r>
      <w:r>
        <w:rPr>
          <w:spacing w:val="4"/>
          <w:w w:val="120"/>
          <w:sz w:val="20"/>
        </w:rPr>
        <w:t>the exercise </w:t>
      </w:r>
      <w:r>
        <w:rPr>
          <w:spacing w:val="3"/>
          <w:w w:val="120"/>
          <w:sz w:val="20"/>
        </w:rPr>
        <w:t>of </w:t>
      </w:r>
      <w:r>
        <w:rPr>
          <w:spacing w:val="4"/>
          <w:w w:val="120"/>
          <w:sz w:val="20"/>
        </w:rPr>
        <w:t>that concern the committee believes that some guidance should be given about the </w:t>
      </w:r>
      <w:r>
        <w:rPr>
          <w:spacing w:val="5"/>
          <w:w w:val="120"/>
          <w:sz w:val="20"/>
        </w:rPr>
        <w:t>ministerial working</w:t>
      </w:r>
      <w:r>
        <w:rPr>
          <w:spacing w:val="50"/>
          <w:w w:val="120"/>
          <w:sz w:val="20"/>
        </w:rPr>
        <w:t> </w:t>
      </w:r>
      <w:r>
        <w:rPr>
          <w:spacing w:val="5"/>
          <w:w w:val="120"/>
          <w:sz w:val="20"/>
        </w:rPr>
        <w:t>week.</w:t>
      </w:r>
    </w:p>
    <w:p>
      <w:pPr>
        <w:pStyle w:val="BodyText"/>
        <w:spacing w:before="11"/>
        <w:rPr>
          <w:sz w:val="19"/>
        </w:rPr>
      </w:pPr>
    </w:p>
    <w:p>
      <w:pPr>
        <w:pStyle w:val="ListParagraph"/>
        <w:numPr>
          <w:ilvl w:val="0"/>
          <w:numId w:val="194"/>
        </w:numPr>
        <w:tabs>
          <w:tab w:pos="1814" w:val="left" w:leader="none"/>
          <w:tab w:pos="1815" w:val="left" w:leader="none"/>
        </w:tabs>
        <w:spacing w:line="235" w:lineRule="auto" w:before="0" w:after="0"/>
        <w:ind w:left="1134" w:right="2069" w:firstLine="0"/>
        <w:jc w:val="left"/>
        <w:rPr>
          <w:sz w:val="20"/>
        </w:rPr>
      </w:pPr>
      <w:r>
        <w:rPr>
          <w:spacing w:val="5"/>
          <w:w w:val="120"/>
          <w:sz w:val="20"/>
        </w:rPr>
        <w:t>Underlying </w:t>
      </w:r>
      <w:r>
        <w:rPr>
          <w:spacing w:val="3"/>
          <w:w w:val="120"/>
          <w:sz w:val="20"/>
        </w:rPr>
        <w:t>this </w:t>
      </w:r>
      <w:r>
        <w:rPr>
          <w:spacing w:val="4"/>
          <w:w w:val="120"/>
          <w:sz w:val="20"/>
        </w:rPr>
        <w:t>concern </w:t>
      </w:r>
      <w:r>
        <w:rPr>
          <w:w w:val="120"/>
          <w:sz w:val="20"/>
        </w:rPr>
        <w:t>is a </w:t>
      </w:r>
      <w:r>
        <w:rPr>
          <w:spacing w:val="4"/>
          <w:w w:val="120"/>
          <w:sz w:val="20"/>
        </w:rPr>
        <w:t>recognition </w:t>
      </w:r>
      <w:r>
        <w:rPr>
          <w:spacing w:val="3"/>
          <w:w w:val="120"/>
          <w:sz w:val="20"/>
        </w:rPr>
        <w:t>of </w:t>
      </w:r>
      <w:r>
        <w:rPr>
          <w:spacing w:val="4"/>
          <w:w w:val="120"/>
          <w:sz w:val="20"/>
        </w:rPr>
        <w:t>the need </w:t>
      </w:r>
      <w:r>
        <w:rPr>
          <w:spacing w:val="3"/>
          <w:w w:val="120"/>
          <w:sz w:val="20"/>
        </w:rPr>
        <w:t>for </w:t>
      </w:r>
      <w:r>
        <w:rPr>
          <w:spacing w:val="4"/>
          <w:w w:val="120"/>
          <w:sz w:val="20"/>
        </w:rPr>
        <w:t>ministers </w:t>
      </w:r>
      <w:r>
        <w:rPr>
          <w:w w:val="120"/>
          <w:sz w:val="20"/>
        </w:rPr>
        <w:t>to </w:t>
      </w:r>
      <w:r>
        <w:rPr>
          <w:spacing w:val="4"/>
          <w:w w:val="120"/>
          <w:sz w:val="20"/>
        </w:rPr>
        <w:t>be </w:t>
      </w:r>
      <w:r>
        <w:rPr>
          <w:spacing w:val="5"/>
          <w:w w:val="120"/>
          <w:sz w:val="20"/>
        </w:rPr>
        <w:t>encouraged </w:t>
      </w:r>
      <w:r>
        <w:rPr>
          <w:spacing w:val="4"/>
          <w:w w:val="120"/>
          <w:sz w:val="20"/>
        </w:rPr>
        <w:t>and allowed </w:t>
      </w:r>
      <w:r>
        <w:rPr>
          <w:w w:val="120"/>
          <w:sz w:val="20"/>
        </w:rPr>
        <w:t>to </w:t>
      </w:r>
      <w:r>
        <w:rPr>
          <w:spacing w:val="5"/>
          <w:w w:val="120"/>
          <w:sz w:val="20"/>
        </w:rPr>
        <w:t>establish </w:t>
      </w:r>
      <w:r>
        <w:rPr>
          <w:spacing w:val="4"/>
          <w:w w:val="120"/>
          <w:sz w:val="20"/>
        </w:rPr>
        <w:t>and work  within  </w:t>
      </w:r>
      <w:r>
        <w:rPr>
          <w:w w:val="120"/>
          <w:sz w:val="20"/>
        </w:rPr>
        <w:t>a  </w:t>
      </w:r>
      <w:r>
        <w:rPr>
          <w:spacing w:val="5"/>
          <w:w w:val="120"/>
          <w:sz w:val="20"/>
        </w:rPr>
        <w:t>proper </w:t>
      </w:r>
      <w:r>
        <w:rPr>
          <w:spacing w:val="4"/>
          <w:w w:val="120"/>
          <w:sz w:val="20"/>
        </w:rPr>
        <w:t>relationship </w:t>
      </w:r>
      <w:r>
        <w:rPr>
          <w:spacing w:val="5"/>
          <w:w w:val="120"/>
          <w:sz w:val="20"/>
        </w:rPr>
        <w:t>between </w:t>
      </w:r>
      <w:r>
        <w:rPr>
          <w:spacing w:val="4"/>
          <w:w w:val="120"/>
          <w:sz w:val="20"/>
        </w:rPr>
        <w:t>living and </w:t>
      </w:r>
      <w:r>
        <w:rPr>
          <w:spacing w:val="5"/>
          <w:w w:val="120"/>
          <w:sz w:val="20"/>
        </w:rPr>
        <w:t>working, </w:t>
      </w:r>
      <w:r>
        <w:rPr>
          <w:spacing w:val="4"/>
          <w:w w:val="120"/>
          <w:sz w:val="20"/>
        </w:rPr>
        <w:t>doing and being. The biblical </w:t>
      </w:r>
      <w:r>
        <w:rPr>
          <w:spacing w:val="5"/>
          <w:w w:val="120"/>
          <w:sz w:val="20"/>
        </w:rPr>
        <w:t>witness </w:t>
      </w:r>
      <w:r>
        <w:rPr>
          <w:spacing w:val="3"/>
          <w:w w:val="120"/>
          <w:sz w:val="20"/>
        </w:rPr>
        <w:t>on this </w:t>
      </w:r>
      <w:r>
        <w:rPr>
          <w:w w:val="120"/>
          <w:sz w:val="20"/>
        </w:rPr>
        <w:t>is  </w:t>
      </w:r>
      <w:r>
        <w:rPr>
          <w:spacing w:val="4"/>
          <w:w w:val="120"/>
          <w:sz w:val="20"/>
        </w:rPr>
        <w:t>rooted  </w:t>
      </w:r>
      <w:r>
        <w:rPr>
          <w:spacing w:val="2"/>
          <w:w w:val="120"/>
          <w:sz w:val="20"/>
        </w:rPr>
        <w:t>in</w:t>
      </w:r>
      <w:r>
        <w:rPr>
          <w:spacing w:val="15"/>
          <w:w w:val="120"/>
          <w:sz w:val="20"/>
        </w:rPr>
        <w:t> </w:t>
      </w:r>
      <w:r>
        <w:rPr>
          <w:spacing w:val="4"/>
          <w:w w:val="120"/>
          <w:sz w:val="20"/>
        </w:rPr>
        <w:t>the</w:t>
      </w:r>
      <w:r>
        <w:rPr>
          <w:spacing w:val="16"/>
          <w:w w:val="120"/>
          <w:sz w:val="20"/>
        </w:rPr>
        <w:t> </w:t>
      </w:r>
      <w:r>
        <w:rPr>
          <w:spacing w:val="6"/>
          <w:w w:val="120"/>
          <w:sz w:val="20"/>
        </w:rPr>
        <w:t>story</w:t>
      </w:r>
      <w:r>
        <w:rPr>
          <w:spacing w:val="15"/>
          <w:w w:val="120"/>
          <w:sz w:val="20"/>
        </w:rPr>
        <w:t> </w:t>
      </w:r>
      <w:r>
        <w:rPr>
          <w:spacing w:val="3"/>
          <w:w w:val="120"/>
          <w:sz w:val="20"/>
        </w:rPr>
        <w:t>of</w:t>
      </w:r>
      <w:r>
        <w:rPr>
          <w:spacing w:val="16"/>
          <w:w w:val="120"/>
          <w:sz w:val="20"/>
        </w:rPr>
        <w:t> </w:t>
      </w:r>
      <w:r>
        <w:rPr>
          <w:spacing w:val="4"/>
          <w:w w:val="120"/>
          <w:sz w:val="20"/>
        </w:rPr>
        <w:t>creation.</w:t>
      </w:r>
      <w:r>
        <w:rPr>
          <w:spacing w:val="15"/>
          <w:w w:val="120"/>
          <w:sz w:val="20"/>
        </w:rPr>
        <w:t> </w:t>
      </w:r>
      <w:r>
        <w:rPr>
          <w:spacing w:val="2"/>
          <w:w w:val="120"/>
          <w:sz w:val="20"/>
        </w:rPr>
        <w:t>God’s</w:t>
      </w:r>
      <w:r>
        <w:rPr>
          <w:spacing w:val="16"/>
          <w:w w:val="120"/>
          <w:sz w:val="20"/>
        </w:rPr>
        <w:t> </w:t>
      </w:r>
      <w:r>
        <w:rPr>
          <w:spacing w:val="5"/>
          <w:w w:val="120"/>
          <w:sz w:val="20"/>
        </w:rPr>
        <w:t>period</w:t>
      </w:r>
      <w:r>
        <w:rPr>
          <w:spacing w:val="15"/>
          <w:w w:val="120"/>
          <w:sz w:val="20"/>
        </w:rPr>
        <w:t> </w:t>
      </w:r>
      <w:r>
        <w:rPr>
          <w:spacing w:val="3"/>
          <w:w w:val="120"/>
          <w:sz w:val="20"/>
        </w:rPr>
        <w:t>of</w:t>
      </w:r>
      <w:r>
        <w:rPr>
          <w:spacing w:val="16"/>
          <w:w w:val="120"/>
          <w:sz w:val="20"/>
        </w:rPr>
        <w:t> </w:t>
      </w:r>
      <w:r>
        <w:rPr>
          <w:spacing w:val="4"/>
          <w:w w:val="120"/>
          <w:sz w:val="20"/>
        </w:rPr>
        <w:t>work</w:t>
      </w:r>
      <w:r>
        <w:rPr>
          <w:spacing w:val="16"/>
          <w:w w:val="120"/>
          <w:sz w:val="20"/>
        </w:rPr>
        <w:t> </w:t>
      </w:r>
      <w:r>
        <w:rPr>
          <w:w w:val="120"/>
          <w:sz w:val="20"/>
        </w:rPr>
        <w:t>is</w:t>
      </w:r>
      <w:r>
        <w:rPr>
          <w:spacing w:val="15"/>
          <w:w w:val="120"/>
          <w:sz w:val="20"/>
        </w:rPr>
        <w:t> </w:t>
      </w:r>
      <w:r>
        <w:rPr>
          <w:spacing w:val="4"/>
          <w:w w:val="120"/>
          <w:sz w:val="20"/>
        </w:rPr>
        <w:t>followed</w:t>
      </w:r>
      <w:r>
        <w:rPr>
          <w:spacing w:val="16"/>
          <w:w w:val="120"/>
          <w:sz w:val="20"/>
        </w:rPr>
        <w:t> </w:t>
      </w:r>
      <w:r>
        <w:rPr>
          <w:w w:val="120"/>
          <w:sz w:val="20"/>
        </w:rPr>
        <w:t>by</w:t>
      </w:r>
      <w:r>
        <w:rPr>
          <w:spacing w:val="15"/>
          <w:w w:val="120"/>
          <w:sz w:val="20"/>
        </w:rPr>
        <w:t> </w:t>
      </w:r>
      <w:r>
        <w:rPr>
          <w:spacing w:val="4"/>
          <w:w w:val="120"/>
          <w:sz w:val="20"/>
        </w:rPr>
        <w:t>the</w:t>
      </w:r>
      <w:r>
        <w:rPr>
          <w:spacing w:val="16"/>
          <w:w w:val="120"/>
          <w:sz w:val="20"/>
        </w:rPr>
        <w:t> </w:t>
      </w:r>
      <w:r>
        <w:rPr>
          <w:spacing w:val="5"/>
          <w:w w:val="120"/>
          <w:sz w:val="20"/>
        </w:rPr>
        <w:t>Sabbath</w:t>
      </w:r>
      <w:r>
        <w:rPr>
          <w:spacing w:val="15"/>
          <w:w w:val="120"/>
          <w:sz w:val="20"/>
        </w:rPr>
        <w:t> </w:t>
      </w:r>
      <w:r>
        <w:rPr>
          <w:spacing w:val="4"/>
          <w:w w:val="120"/>
          <w:sz w:val="20"/>
        </w:rPr>
        <w:t>and</w:t>
      </w:r>
    </w:p>
    <w:p>
      <w:pPr>
        <w:pStyle w:val="BodyText"/>
        <w:spacing w:line="235" w:lineRule="auto" w:before="3"/>
        <w:ind w:left="1134" w:right="1997"/>
      </w:pPr>
      <w:r>
        <w:rPr>
          <w:w w:val="120"/>
        </w:rPr>
        <w:t>this is presented as example and injunction to build into a faith-based lifestyle a creative balance of activity and rest. This guidance is intended to give ministers the challenge and permission to reflect on such balance as they build their own working style, and as they consider the example that their pattern of working offers to all members of the church community.</w:t>
      </w:r>
    </w:p>
    <w:p>
      <w:pPr>
        <w:pStyle w:val="BodyText"/>
        <w:spacing w:before="11"/>
        <w:rPr>
          <w:sz w:val="19"/>
        </w:rPr>
      </w:pPr>
    </w:p>
    <w:p>
      <w:pPr>
        <w:pStyle w:val="ListParagraph"/>
        <w:numPr>
          <w:ilvl w:val="0"/>
          <w:numId w:val="194"/>
        </w:numPr>
        <w:tabs>
          <w:tab w:pos="1814" w:val="left" w:leader="none"/>
          <w:tab w:pos="1815" w:val="left" w:leader="none"/>
        </w:tabs>
        <w:spacing w:line="235" w:lineRule="auto" w:before="0" w:after="0"/>
        <w:ind w:left="1134" w:right="2018" w:firstLine="0"/>
        <w:jc w:val="left"/>
        <w:rPr>
          <w:sz w:val="20"/>
        </w:rPr>
      </w:pPr>
      <w:r>
        <w:rPr>
          <w:spacing w:val="3"/>
          <w:w w:val="120"/>
          <w:sz w:val="20"/>
        </w:rPr>
        <w:t>Any </w:t>
      </w:r>
      <w:r>
        <w:rPr>
          <w:spacing w:val="4"/>
          <w:w w:val="120"/>
          <w:sz w:val="20"/>
        </w:rPr>
        <w:t>guidance </w:t>
      </w:r>
      <w:r>
        <w:rPr>
          <w:spacing w:val="3"/>
          <w:w w:val="120"/>
          <w:sz w:val="20"/>
        </w:rPr>
        <w:t>on </w:t>
      </w:r>
      <w:r>
        <w:rPr>
          <w:spacing w:val="4"/>
          <w:w w:val="120"/>
          <w:sz w:val="20"/>
        </w:rPr>
        <w:t>the </w:t>
      </w:r>
      <w:r>
        <w:rPr>
          <w:spacing w:val="5"/>
          <w:w w:val="120"/>
          <w:sz w:val="20"/>
        </w:rPr>
        <w:t>working </w:t>
      </w:r>
      <w:r>
        <w:rPr>
          <w:spacing w:val="4"/>
          <w:w w:val="120"/>
          <w:sz w:val="20"/>
        </w:rPr>
        <w:t>week, arising from </w:t>
      </w:r>
      <w:r>
        <w:rPr>
          <w:w w:val="120"/>
          <w:sz w:val="20"/>
        </w:rPr>
        <w:t>a </w:t>
      </w:r>
      <w:r>
        <w:rPr>
          <w:spacing w:val="4"/>
          <w:w w:val="120"/>
          <w:sz w:val="20"/>
        </w:rPr>
        <w:t>wholly </w:t>
      </w:r>
      <w:r>
        <w:rPr>
          <w:spacing w:val="5"/>
          <w:w w:val="120"/>
          <w:sz w:val="20"/>
        </w:rPr>
        <w:t>admirable </w:t>
      </w:r>
      <w:r>
        <w:rPr>
          <w:spacing w:val="4"/>
          <w:w w:val="120"/>
          <w:sz w:val="20"/>
        </w:rPr>
        <w:t>desire </w:t>
      </w:r>
      <w:r>
        <w:rPr>
          <w:w w:val="120"/>
          <w:sz w:val="20"/>
        </w:rPr>
        <w:t>to </w:t>
      </w:r>
      <w:r>
        <w:rPr>
          <w:spacing w:val="4"/>
          <w:w w:val="120"/>
          <w:sz w:val="20"/>
        </w:rPr>
        <w:t>care </w:t>
      </w:r>
      <w:r>
        <w:rPr>
          <w:spacing w:val="3"/>
          <w:w w:val="120"/>
          <w:sz w:val="20"/>
        </w:rPr>
        <w:t>for </w:t>
      </w:r>
      <w:r>
        <w:rPr>
          <w:spacing w:val="4"/>
          <w:w w:val="120"/>
          <w:sz w:val="20"/>
        </w:rPr>
        <w:t>the minister/CRCW and his/her </w:t>
      </w:r>
      <w:r>
        <w:rPr>
          <w:spacing w:val="3"/>
          <w:w w:val="120"/>
          <w:sz w:val="20"/>
        </w:rPr>
        <w:t>family, </w:t>
      </w:r>
      <w:r>
        <w:rPr>
          <w:w w:val="120"/>
          <w:sz w:val="20"/>
        </w:rPr>
        <w:t>is </w:t>
      </w:r>
      <w:r>
        <w:rPr>
          <w:spacing w:val="3"/>
          <w:w w:val="120"/>
          <w:sz w:val="20"/>
        </w:rPr>
        <w:t>set </w:t>
      </w:r>
      <w:r>
        <w:rPr>
          <w:spacing w:val="4"/>
          <w:w w:val="120"/>
          <w:sz w:val="20"/>
        </w:rPr>
        <w:t>within the context </w:t>
      </w:r>
      <w:r>
        <w:rPr>
          <w:spacing w:val="3"/>
          <w:w w:val="120"/>
          <w:sz w:val="20"/>
        </w:rPr>
        <w:t>of </w:t>
      </w:r>
      <w:r>
        <w:rPr>
          <w:spacing w:val="5"/>
          <w:w w:val="120"/>
          <w:sz w:val="20"/>
        </w:rPr>
        <w:t>ministerial </w:t>
      </w:r>
      <w:r>
        <w:rPr>
          <w:spacing w:val="4"/>
          <w:w w:val="120"/>
          <w:sz w:val="20"/>
        </w:rPr>
        <w:t>status being that </w:t>
      </w:r>
      <w:r>
        <w:rPr>
          <w:spacing w:val="3"/>
          <w:w w:val="120"/>
          <w:sz w:val="20"/>
        </w:rPr>
        <w:t>of </w:t>
      </w:r>
      <w:r>
        <w:rPr>
          <w:spacing w:val="6"/>
          <w:w w:val="120"/>
          <w:sz w:val="20"/>
        </w:rPr>
        <w:t>office </w:t>
      </w:r>
      <w:r>
        <w:rPr>
          <w:spacing w:val="5"/>
          <w:w w:val="120"/>
          <w:sz w:val="20"/>
        </w:rPr>
        <w:t>holder </w:t>
      </w:r>
      <w:r>
        <w:rPr>
          <w:spacing w:val="4"/>
          <w:w w:val="120"/>
          <w:sz w:val="20"/>
        </w:rPr>
        <w:t>with </w:t>
      </w:r>
      <w:r>
        <w:rPr>
          <w:spacing w:val="3"/>
          <w:w w:val="120"/>
          <w:sz w:val="20"/>
        </w:rPr>
        <w:t>all </w:t>
      </w:r>
      <w:r>
        <w:rPr>
          <w:spacing w:val="4"/>
          <w:w w:val="120"/>
          <w:sz w:val="20"/>
        </w:rPr>
        <w:t>the </w:t>
      </w:r>
      <w:r>
        <w:rPr>
          <w:spacing w:val="6"/>
          <w:w w:val="120"/>
          <w:sz w:val="20"/>
        </w:rPr>
        <w:t>flexibility </w:t>
      </w:r>
      <w:r>
        <w:rPr>
          <w:spacing w:val="4"/>
          <w:w w:val="120"/>
          <w:sz w:val="20"/>
        </w:rPr>
        <w:t>and autonomy that implies. </w:t>
      </w:r>
      <w:r>
        <w:rPr>
          <w:spacing w:val="3"/>
          <w:w w:val="120"/>
          <w:sz w:val="20"/>
        </w:rPr>
        <w:t>Such </w:t>
      </w:r>
      <w:r>
        <w:rPr>
          <w:spacing w:val="4"/>
          <w:w w:val="120"/>
          <w:sz w:val="20"/>
        </w:rPr>
        <w:t>guidance must </w:t>
      </w:r>
      <w:r>
        <w:rPr>
          <w:spacing w:val="3"/>
          <w:w w:val="120"/>
          <w:sz w:val="20"/>
        </w:rPr>
        <w:t>also </w:t>
      </w:r>
      <w:r>
        <w:rPr>
          <w:spacing w:val="4"/>
          <w:w w:val="120"/>
          <w:sz w:val="20"/>
        </w:rPr>
        <w:t>take </w:t>
      </w:r>
      <w:r>
        <w:rPr>
          <w:spacing w:val="3"/>
          <w:w w:val="120"/>
          <w:sz w:val="20"/>
        </w:rPr>
        <w:t>account of </w:t>
      </w:r>
      <w:r>
        <w:rPr>
          <w:spacing w:val="4"/>
          <w:w w:val="120"/>
          <w:sz w:val="20"/>
        </w:rPr>
        <w:t>the </w:t>
      </w:r>
      <w:r>
        <w:rPr>
          <w:spacing w:val="5"/>
          <w:w w:val="120"/>
          <w:sz w:val="20"/>
        </w:rPr>
        <w:t>unpredictability </w:t>
      </w:r>
      <w:r>
        <w:rPr>
          <w:spacing w:val="3"/>
          <w:w w:val="120"/>
          <w:sz w:val="20"/>
        </w:rPr>
        <w:t>of </w:t>
      </w:r>
      <w:r>
        <w:rPr>
          <w:spacing w:val="5"/>
          <w:w w:val="120"/>
          <w:sz w:val="20"/>
        </w:rPr>
        <w:t>ministerial </w:t>
      </w:r>
      <w:r>
        <w:rPr>
          <w:spacing w:val="4"/>
          <w:w w:val="120"/>
          <w:sz w:val="20"/>
        </w:rPr>
        <w:t>life </w:t>
      </w:r>
      <w:r>
        <w:rPr>
          <w:spacing w:val="2"/>
          <w:w w:val="120"/>
          <w:sz w:val="20"/>
        </w:rPr>
        <w:t>in </w:t>
      </w:r>
      <w:r>
        <w:rPr>
          <w:spacing w:val="4"/>
          <w:w w:val="120"/>
          <w:sz w:val="20"/>
        </w:rPr>
        <w:t>which some </w:t>
      </w:r>
      <w:r>
        <w:rPr>
          <w:spacing w:val="5"/>
          <w:w w:val="120"/>
          <w:sz w:val="20"/>
        </w:rPr>
        <w:t>weeks </w:t>
      </w:r>
      <w:r>
        <w:rPr>
          <w:spacing w:val="4"/>
          <w:w w:val="120"/>
          <w:sz w:val="20"/>
        </w:rPr>
        <w:t>are </w:t>
      </w:r>
      <w:r>
        <w:rPr>
          <w:spacing w:val="5"/>
          <w:w w:val="120"/>
          <w:sz w:val="20"/>
        </w:rPr>
        <w:t>filled </w:t>
      </w:r>
      <w:r>
        <w:rPr>
          <w:spacing w:val="4"/>
          <w:w w:val="120"/>
          <w:sz w:val="20"/>
        </w:rPr>
        <w:t>with crises and </w:t>
      </w:r>
      <w:r>
        <w:rPr>
          <w:spacing w:val="5"/>
          <w:w w:val="120"/>
          <w:sz w:val="20"/>
        </w:rPr>
        <w:t>others </w:t>
      </w:r>
      <w:r>
        <w:rPr>
          <w:spacing w:val="4"/>
          <w:w w:val="120"/>
          <w:sz w:val="20"/>
        </w:rPr>
        <w:t>are </w:t>
      </w:r>
      <w:r>
        <w:rPr>
          <w:spacing w:val="2"/>
          <w:w w:val="120"/>
          <w:sz w:val="20"/>
        </w:rPr>
        <w:t>as </w:t>
      </w:r>
      <w:r>
        <w:rPr>
          <w:spacing w:val="5"/>
          <w:w w:val="120"/>
          <w:sz w:val="20"/>
        </w:rPr>
        <w:t>eventful </w:t>
      </w:r>
      <w:r>
        <w:rPr>
          <w:spacing w:val="2"/>
          <w:w w:val="120"/>
          <w:sz w:val="20"/>
        </w:rPr>
        <w:t>as </w:t>
      </w:r>
      <w:r>
        <w:rPr>
          <w:spacing w:val="4"/>
          <w:w w:val="120"/>
          <w:sz w:val="20"/>
        </w:rPr>
        <w:t>the minister cares </w:t>
      </w:r>
      <w:r>
        <w:rPr>
          <w:w w:val="120"/>
          <w:sz w:val="20"/>
        </w:rPr>
        <w:t>to </w:t>
      </w:r>
      <w:r>
        <w:rPr>
          <w:spacing w:val="3"/>
          <w:w w:val="120"/>
          <w:sz w:val="20"/>
        </w:rPr>
        <w:t>make</w:t>
      </w:r>
      <w:r>
        <w:rPr>
          <w:spacing w:val="34"/>
          <w:w w:val="120"/>
          <w:sz w:val="20"/>
        </w:rPr>
        <w:t> </w:t>
      </w:r>
      <w:r>
        <w:rPr>
          <w:spacing w:val="4"/>
          <w:w w:val="120"/>
          <w:sz w:val="20"/>
        </w:rPr>
        <w:t>them.</w:t>
      </w:r>
    </w:p>
    <w:p>
      <w:pPr>
        <w:pStyle w:val="BodyText"/>
      </w:pPr>
    </w:p>
    <w:p>
      <w:pPr>
        <w:pStyle w:val="ListParagraph"/>
        <w:numPr>
          <w:ilvl w:val="0"/>
          <w:numId w:val="194"/>
        </w:numPr>
        <w:tabs>
          <w:tab w:pos="1814" w:val="left" w:leader="none"/>
          <w:tab w:pos="1815" w:val="left" w:leader="none"/>
        </w:tabs>
        <w:spacing w:line="235" w:lineRule="auto" w:before="0" w:after="0"/>
        <w:ind w:left="1134" w:right="2016" w:firstLine="0"/>
        <w:jc w:val="left"/>
        <w:rPr>
          <w:sz w:val="20"/>
        </w:rPr>
      </w:pPr>
      <w:r>
        <w:rPr>
          <w:spacing w:val="2"/>
          <w:w w:val="120"/>
          <w:sz w:val="20"/>
        </w:rPr>
        <w:t>Furthermore, </w:t>
      </w:r>
      <w:r>
        <w:rPr>
          <w:w w:val="120"/>
          <w:sz w:val="20"/>
        </w:rPr>
        <w:t>such guidance must take note of the vocational life, which leads individuals to </w:t>
      </w:r>
      <w:r>
        <w:rPr>
          <w:spacing w:val="2"/>
          <w:w w:val="120"/>
          <w:sz w:val="20"/>
        </w:rPr>
        <w:t>respond instinctively </w:t>
      </w:r>
      <w:r>
        <w:rPr>
          <w:w w:val="120"/>
          <w:sz w:val="20"/>
        </w:rPr>
        <w:t>to the needs of </w:t>
      </w:r>
      <w:r>
        <w:rPr>
          <w:spacing w:val="2"/>
          <w:w w:val="120"/>
          <w:sz w:val="20"/>
        </w:rPr>
        <w:t>others, </w:t>
      </w:r>
      <w:r>
        <w:rPr>
          <w:w w:val="120"/>
          <w:sz w:val="20"/>
        </w:rPr>
        <w:t>whenever that </w:t>
      </w:r>
      <w:r>
        <w:rPr>
          <w:spacing w:val="2"/>
          <w:w w:val="120"/>
          <w:sz w:val="20"/>
        </w:rPr>
        <w:t>need arises. </w:t>
      </w:r>
      <w:r>
        <w:rPr>
          <w:w w:val="120"/>
          <w:sz w:val="20"/>
        </w:rPr>
        <w:t>However, such an </w:t>
      </w:r>
      <w:r>
        <w:rPr>
          <w:spacing w:val="2"/>
          <w:w w:val="120"/>
          <w:sz w:val="20"/>
        </w:rPr>
        <w:t>instinct </w:t>
      </w:r>
      <w:r>
        <w:rPr>
          <w:w w:val="120"/>
          <w:sz w:val="20"/>
        </w:rPr>
        <w:t>needs to be treated with immense care in order to </w:t>
      </w:r>
      <w:r>
        <w:rPr>
          <w:spacing w:val="2"/>
          <w:w w:val="120"/>
          <w:sz w:val="20"/>
        </w:rPr>
        <w:t>safeguard </w:t>
      </w:r>
      <w:r>
        <w:rPr>
          <w:w w:val="120"/>
          <w:sz w:val="20"/>
        </w:rPr>
        <w:t>the health and well being of individual ministers/CRCWs and their </w:t>
      </w:r>
      <w:r>
        <w:rPr>
          <w:spacing w:val="2"/>
          <w:w w:val="120"/>
          <w:sz w:val="20"/>
        </w:rPr>
        <w:t>families. </w:t>
      </w:r>
      <w:r>
        <w:rPr>
          <w:spacing w:val="3"/>
          <w:w w:val="120"/>
          <w:sz w:val="20"/>
        </w:rPr>
        <w:t>Ministry </w:t>
      </w:r>
      <w:r>
        <w:rPr>
          <w:w w:val="120"/>
          <w:sz w:val="20"/>
        </w:rPr>
        <w:t>is not only a </w:t>
      </w:r>
      <w:r>
        <w:rPr>
          <w:spacing w:val="2"/>
          <w:w w:val="120"/>
          <w:sz w:val="20"/>
        </w:rPr>
        <w:t>series </w:t>
      </w:r>
      <w:r>
        <w:rPr>
          <w:w w:val="120"/>
          <w:sz w:val="20"/>
        </w:rPr>
        <w:t>of </w:t>
      </w:r>
      <w:r>
        <w:rPr>
          <w:spacing w:val="2"/>
          <w:w w:val="120"/>
          <w:sz w:val="20"/>
        </w:rPr>
        <w:t>tasks </w:t>
      </w:r>
      <w:r>
        <w:rPr>
          <w:spacing w:val="-3"/>
          <w:w w:val="120"/>
          <w:sz w:val="20"/>
        </w:rPr>
        <w:t>(e.g. </w:t>
      </w:r>
      <w:r>
        <w:rPr>
          <w:spacing w:val="2"/>
          <w:w w:val="120"/>
          <w:sz w:val="20"/>
        </w:rPr>
        <w:t>writing </w:t>
      </w:r>
      <w:r>
        <w:rPr>
          <w:w w:val="120"/>
          <w:sz w:val="20"/>
        </w:rPr>
        <w:t>the sermon; </w:t>
      </w:r>
      <w:r>
        <w:rPr>
          <w:spacing w:val="2"/>
          <w:w w:val="120"/>
          <w:sz w:val="20"/>
        </w:rPr>
        <w:t>arranging </w:t>
      </w:r>
      <w:r>
        <w:rPr>
          <w:w w:val="120"/>
          <w:sz w:val="20"/>
        </w:rPr>
        <w:t>community events) which can be finished; but is focused on the life of the </w:t>
      </w:r>
      <w:r>
        <w:rPr>
          <w:spacing w:val="2"/>
          <w:w w:val="120"/>
          <w:sz w:val="20"/>
        </w:rPr>
        <w:t>congregation </w:t>
      </w:r>
      <w:r>
        <w:rPr>
          <w:w w:val="120"/>
          <w:sz w:val="20"/>
        </w:rPr>
        <w:t>and/or community and </w:t>
      </w:r>
      <w:r>
        <w:rPr>
          <w:spacing w:val="2"/>
          <w:w w:val="120"/>
          <w:sz w:val="20"/>
        </w:rPr>
        <w:t>therefore, </w:t>
      </w:r>
      <w:r>
        <w:rPr>
          <w:w w:val="120"/>
          <w:sz w:val="20"/>
        </w:rPr>
        <w:t>in a </w:t>
      </w:r>
      <w:r>
        <w:rPr>
          <w:spacing w:val="3"/>
          <w:w w:val="120"/>
          <w:sz w:val="20"/>
        </w:rPr>
        <w:t>very </w:t>
      </w:r>
      <w:r>
        <w:rPr>
          <w:w w:val="120"/>
          <w:sz w:val="20"/>
        </w:rPr>
        <w:t>real sense, can never be finished or</w:t>
      </w:r>
      <w:r>
        <w:rPr>
          <w:spacing w:val="7"/>
          <w:w w:val="120"/>
          <w:sz w:val="20"/>
        </w:rPr>
        <w:t> </w:t>
      </w:r>
      <w:r>
        <w:rPr>
          <w:spacing w:val="2"/>
          <w:w w:val="120"/>
          <w:sz w:val="20"/>
        </w:rPr>
        <w:t>quantified.</w:t>
      </w:r>
    </w:p>
    <w:p>
      <w:pPr>
        <w:spacing w:after="0" w:line="235" w:lineRule="auto"/>
        <w:jc w:val="left"/>
        <w:rPr>
          <w:sz w:val="20"/>
        </w:rPr>
        <w:sectPr>
          <w:pgSz w:w="11910" w:h="16840"/>
          <w:pgMar w:header="0" w:footer="647" w:top="1060" w:bottom="840" w:left="0" w:right="0"/>
        </w:sectPr>
      </w:pPr>
    </w:p>
    <w:p>
      <w:pPr>
        <w:pStyle w:val="ListParagraph"/>
        <w:numPr>
          <w:ilvl w:val="0"/>
          <w:numId w:val="194"/>
        </w:numPr>
        <w:tabs>
          <w:tab w:pos="2664" w:val="left" w:leader="none"/>
          <w:tab w:pos="2665" w:val="left" w:leader="none"/>
        </w:tabs>
        <w:spacing w:line="235" w:lineRule="auto" w:before="91" w:after="0"/>
        <w:ind w:left="1984" w:right="1451" w:firstLine="0"/>
        <w:jc w:val="left"/>
        <w:rPr>
          <w:sz w:val="20"/>
        </w:rPr>
      </w:pPr>
      <w:r>
        <w:rPr/>
        <w:pict>
          <v:rect style="position:absolute;margin-left:558.424988pt;margin-top:8.50353pt;width:22.677pt;height:22.677pt;mso-position-horizontal-relative:page;mso-position-vertical-relative:paragraph;z-index:252382208" filled="true" fillcolor="#dcd0e6" stroked="false">
            <v:fill opacity="32768f" type="solid"/>
            <w10:wrap type="none"/>
          </v:rect>
        </w:pict>
      </w:r>
      <w:r>
        <w:rPr>
          <w:spacing w:val="6"/>
          <w:w w:val="120"/>
          <w:sz w:val="20"/>
        </w:rPr>
        <w:t>Nevertheless </w:t>
      </w:r>
      <w:r>
        <w:rPr>
          <w:spacing w:val="4"/>
          <w:w w:val="120"/>
          <w:sz w:val="20"/>
        </w:rPr>
        <w:t>the </w:t>
      </w:r>
      <w:r>
        <w:rPr>
          <w:spacing w:val="5"/>
          <w:w w:val="120"/>
          <w:sz w:val="20"/>
        </w:rPr>
        <w:t>Ministries </w:t>
      </w:r>
      <w:r>
        <w:rPr>
          <w:spacing w:val="4"/>
          <w:w w:val="120"/>
          <w:sz w:val="20"/>
        </w:rPr>
        <w:t>Committee feels </w:t>
      </w:r>
      <w:r>
        <w:rPr>
          <w:spacing w:val="2"/>
          <w:w w:val="120"/>
          <w:sz w:val="20"/>
        </w:rPr>
        <w:t>it </w:t>
      </w:r>
      <w:r>
        <w:rPr>
          <w:spacing w:val="4"/>
          <w:w w:val="120"/>
          <w:sz w:val="20"/>
        </w:rPr>
        <w:t>right </w:t>
      </w:r>
      <w:r>
        <w:rPr>
          <w:w w:val="120"/>
          <w:sz w:val="20"/>
        </w:rPr>
        <w:t>to </w:t>
      </w:r>
      <w:r>
        <w:rPr>
          <w:spacing w:val="6"/>
          <w:w w:val="120"/>
          <w:sz w:val="20"/>
        </w:rPr>
        <w:t>offer </w:t>
      </w:r>
      <w:r>
        <w:rPr>
          <w:spacing w:val="5"/>
          <w:w w:val="120"/>
          <w:sz w:val="20"/>
        </w:rPr>
        <w:t>guidelines </w:t>
      </w:r>
      <w:r>
        <w:rPr>
          <w:spacing w:val="3"/>
          <w:w w:val="120"/>
          <w:sz w:val="20"/>
        </w:rPr>
        <w:t>on </w:t>
      </w:r>
      <w:r>
        <w:rPr>
          <w:spacing w:val="4"/>
          <w:w w:val="120"/>
          <w:sz w:val="20"/>
        </w:rPr>
        <w:t>the </w:t>
      </w:r>
      <w:r>
        <w:rPr>
          <w:spacing w:val="5"/>
          <w:w w:val="120"/>
          <w:sz w:val="20"/>
        </w:rPr>
        <w:t>ministerial working </w:t>
      </w:r>
      <w:r>
        <w:rPr>
          <w:spacing w:val="4"/>
          <w:w w:val="120"/>
          <w:sz w:val="20"/>
        </w:rPr>
        <w:t>week, </w:t>
      </w:r>
      <w:r>
        <w:rPr>
          <w:spacing w:val="2"/>
          <w:w w:val="120"/>
          <w:sz w:val="20"/>
        </w:rPr>
        <w:t>in </w:t>
      </w:r>
      <w:r>
        <w:rPr>
          <w:spacing w:val="4"/>
          <w:w w:val="120"/>
          <w:sz w:val="20"/>
        </w:rPr>
        <w:t>order </w:t>
      </w:r>
      <w:r>
        <w:rPr>
          <w:w w:val="120"/>
          <w:sz w:val="20"/>
        </w:rPr>
        <w:t>to </w:t>
      </w:r>
      <w:r>
        <w:rPr>
          <w:spacing w:val="4"/>
          <w:w w:val="120"/>
          <w:sz w:val="20"/>
        </w:rPr>
        <w:t>take </w:t>
      </w:r>
      <w:r>
        <w:rPr>
          <w:spacing w:val="5"/>
          <w:w w:val="120"/>
          <w:sz w:val="20"/>
        </w:rPr>
        <w:t>seriously </w:t>
      </w:r>
      <w:r>
        <w:rPr>
          <w:spacing w:val="4"/>
          <w:w w:val="120"/>
          <w:sz w:val="20"/>
        </w:rPr>
        <w:t>the </w:t>
      </w:r>
      <w:r>
        <w:rPr>
          <w:spacing w:val="3"/>
          <w:w w:val="120"/>
          <w:sz w:val="20"/>
        </w:rPr>
        <w:t>concept of </w:t>
      </w:r>
      <w:r>
        <w:rPr>
          <w:spacing w:val="5"/>
          <w:w w:val="120"/>
          <w:sz w:val="20"/>
        </w:rPr>
        <w:t>work/life </w:t>
      </w:r>
      <w:r>
        <w:rPr>
          <w:spacing w:val="4"/>
          <w:w w:val="120"/>
          <w:sz w:val="20"/>
        </w:rPr>
        <w:t>balance, and </w:t>
      </w:r>
      <w:r>
        <w:rPr>
          <w:spacing w:val="3"/>
          <w:w w:val="120"/>
          <w:sz w:val="20"/>
        </w:rPr>
        <w:t>leave </w:t>
      </w:r>
      <w:r>
        <w:rPr>
          <w:spacing w:val="4"/>
          <w:w w:val="120"/>
          <w:sz w:val="20"/>
        </w:rPr>
        <w:t>the minister/CRCW with time </w:t>
      </w:r>
      <w:r>
        <w:rPr>
          <w:spacing w:val="3"/>
          <w:w w:val="120"/>
          <w:sz w:val="20"/>
        </w:rPr>
        <w:t>for </w:t>
      </w:r>
      <w:r>
        <w:rPr>
          <w:spacing w:val="5"/>
          <w:w w:val="120"/>
          <w:sz w:val="20"/>
        </w:rPr>
        <w:t>family </w:t>
      </w:r>
      <w:r>
        <w:rPr>
          <w:spacing w:val="4"/>
          <w:w w:val="120"/>
          <w:sz w:val="20"/>
        </w:rPr>
        <w:t>and </w:t>
      </w:r>
      <w:r>
        <w:rPr>
          <w:spacing w:val="5"/>
          <w:w w:val="120"/>
          <w:sz w:val="20"/>
        </w:rPr>
        <w:t>friends </w:t>
      </w:r>
      <w:r>
        <w:rPr>
          <w:spacing w:val="2"/>
          <w:w w:val="120"/>
          <w:sz w:val="20"/>
        </w:rPr>
        <w:t>as </w:t>
      </w:r>
      <w:r>
        <w:rPr>
          <w:spacing w:val="3"/>
          <w:w w:val="120"/>
          <w:sz w:val="20"/>
        </w:rPr>
        <w:t>well </w:t>
      </w:r>
      <w:r>
        <w:rPr>
          <w:spacing w:val="2"/>
          <w:w w:val="120"/>
          <w:sz w:val="20"/>
        </w:rPr>
        <w:t>as </w:t>
      </w:r>
      <w:r>
        <w:rPr>
          <w:spacing w:val="5"/>
          <w:w w:val="120"/>
          <w:sz w:val="20"/>
        </w:rPr>
        <w:t>free </w:t>
      </w:r>
      <w:r>
        <w:rPr>
          <w:w w:val="120"/>
          <w:sz w:val="20"/>
        </w:rPr>
        <w:t>to </w:t>
      </w:r>
      <w:r>
        <w:rPr>
          <w:spacing w:val="4"/>
          <w:w w:val="120"/>
          <w:sz w:val="20"/>
        </w:rPr>
        <w:t>give </w:t>
      </w:r>
      <w:r>
        <w:rPr>
          <w:spacing w:val="5"/>
          <w:w w:val="120"/>
          <w:sz w:val="20"/>
        </w:rPr>
        <w:t>voluntary </w:t>
      </w:r>
      <w:r>
        <w:rPr>
          <w:spacing w:val="4"/>
          <w:w w:val="120"/>
          <w:sz w:val="20"/>
        </w:rPr>
        <w:t>time </w:t>
      </w:r>
      <w:r>
        <w:rPr>
          <w:w w:val="120"/>
          <w:sz w:val="20"/>
        </w:rPr>
        <w:t>to </w:t>
      </w:r>
      <w:r>
        <w:rPr>
          <w:spacing w:val="3"/>
          <w:w w:val="120"/>
          <w:sz w:val="20"/>
        </w:rPr>
        <w:t>any </w:t>
      </w:r>
      <w:r>
        <w:rPr>
          <w:spacing w:val="4"/>
          <w:w w:val="120"/>
          <w:sz w:val="20"/>
        </w:rPr>
        <w:t>cause about which </w:t>
      </w:r>
      <w:r>
        <w:rPr>
          <w:spacing w:val="2"/>
          <w:w w:val="120"/>
          <w:sz w:val="20"/>
        </w:rPr>
        <w:t>he/she </w:t>
      </w:r>
      <w:r>
        <w:rPr>
          <w:spacing w:val="4"/>
          <w:w w:val="120"/>
          <w:sz w:val="20"/>
        </w:rPr>
        <w:t>feels passionate, </w:t>
      </w:r>
      <w:r>
        <w:rPr>
          <w:spacing w:val="3"/>
          <w:w w:val="120"/>
          <w:sz w:val="20"/>
        </w:rPr>
        <w:t>but </w:t>
      </w:r>
      <w:r>
        <w:rPr>
          <w:spacing w:val="4"/>
          <w:w w:val="120"/>
          <w:sz w:val="20"/>
        </w:rPr>
        <w:t>which </w:t>
      </w:r>
      <w:r>
        <w:rPr>
          <w:w w:val="120"/>
          <w:sz w:val="20"/>
        </w:rPr>
        <w:t>is </w:t>
      </w:r>
      <w:r>
        <w:rPr>
          <w:spacing w:val="3"/>
          <w:w w:val="120"/>
          <w:sz w:val="20"/>
        </w:rPr>
        <w:t>not </w:t>
      </w:r>
      <w:r>
        <w:rPr>
          <w:spacing w:val="6"/>
          <w:w w:val="120"/>
          <w:sz w:val="20"/>
        </w:rPr>
        <w:t>part </w:t>
      </w:r>
      <w:r>
        <w:rPr>
          <w:spacing w:val="3"/>
          <w:w w:val="120"/>
          <w:sz w:val="20"/>
        </w:rPr>
        <w:t>of </w:t>
      </w:r>
      <w:r>
        <w:rPr>
          <w:spacing w:val="4"/>
          <w:w w:val="120"/>
          <w:sz w:val="20"/>
        </w:rPr>
        <w:t>the </w:t>
      </w:r>
      <w:r>
        <w:rPr>
          <w:spacing w:val="5"/>
          <w:w w:val="120"/>
          <w:sz w:val="20"/>
        </w:rPr>
        <w:t>local </w:t>
      </w:r>
      <w:r>
        <w:rPr>
          <w:spacing w:val="2"/>
          <w:w w:val="120"/>
          <w:sz w:val="20"/>
        </w:rPr>
        <w:t>church’s </w:t>
      </w:r>
      <w:r>
        <w:rPr>
          <w:spacing w:val="4"/>
          <w:w w:val="120"/>
          <w:sz w:val="20"/>
        </w:rPr>
        <w:t>planned vision and mission. </w:t>
      </w:r>
      <w:r>
        <w:rPr>
          <w:spacing w:val="3"/>
          <w:w w:val="120"/>
          <w:sz w:val="20"/>
        </w:rPr>
        <w:t>In this </w:t>
      </w:r>
      <w:r>
        <w:rPr>
          <w:spacing w:val="5"/>
          <w:w w:val="120"/>
          <w:sz w:val="20"/>
        </w:rPr>
        <w:t>respect </w:t>
      </w:r>
      <w:r>
        <w:rPr>
          <w:spacing w:val="4"/>
          <w:w w:val="120"/>
          <w:sz w:val="20"/>
        </w:rPr>
        <w:t>the </w:t>
      </w:r>
      <w:r>
        <w:rPr>
          <w:spacing w:val="3"/>
          <w:w w:val="120"/>
          <w:sz w:val="20"/>
        </w:rPr>
        <w:t>Church </w:t>
      </w:r>
      <w:r>
        <w:rPr>
          <w:spacing w:val="2"/>
          <w:w w:val="120"/>
          <w:sz w:val="20"/>
        </w:rPr>
        <w:t>may </w:t>
      </w:r>
      <w:r>
        <w:rPr>
          <w:spacing w:val="4"/>
          <w:w w:val="120"/>
          <w:sz w:val="20"/>
        </w:rPr>
        <w:t>be seen </w:t>
      </w:r>
      <w:r>
        <w:rPr>
          <w:w w:val="120"/>
          <w:sz w:val="20"/>
        </w:rPr>
        <w:t>to </w:t>
      </w:r>
      <w:r>
        <w:rPr>
          <w:spacing w:val="4"/>
          <w:w w:val="120"/>
          <w:sz w:val="20"/>
        </w:rPr>
        <w:t>be ‘counter-cultural’ </w:t>
      </w:r>
      <w:r>
        <w:rPr>
          <w:spacing w:val="5"/>
          <w:w w:val="120"/>
          <w:sz w:val="20"/>
        </w:rPr>
        <w:t>challenging </w:t>
      </w:r>
      <w:r>
        <w:rPr>
          <w:spacing w:val="4"/>
          <w:w w:val="120"/>
          <w:sz w:val="20"/>
        </w:rPr>
        <w:t>the </w:t>
      </w:r>
      <w:r>
        <w:rPr>
          <w:spacing w:val="5"/>
          <w:w w:val="120"/>
          <w:sz w:val="20"/>
        </w:rPr>
        <w:t>working </w:t>
      </w:r>
      <w:r>
        <w:rPr>
          <w:spacing w:val="3"/>
          <w:w w:val="120"/>
          <w:sz w:val="20"/>
        </w:rPr>
        <w:t>ethos of much of our</w:t>
      </w:r>
      <w:r>
        <w:rPr>
          <w:spacing w:val="33"/>
          <w:w w:val="120"/>
          <w:sz w:val="20"/>
        </w:rPr>
        <w:t> </w:t>
      </w:r>
      <w:r>
        <w:rPr>
          <w:spacing w:val="3"/>
          <w:w w:val="120"/>
          <w:sz w:val="20"/>
        </w:rPr>
        <w:t>society.</w:t>
      </w:r>
    </w:p>
    <w:p>
      <w:pPr>
        <w:pStyle w:val="BodyText"/>
      </w:pPr>
    </w:p>
    <w:p>
      <w:pPr>
        <w:pStyle w:val="ListParagraph"/>
        <w:numPr>
          <w:ilvl w:val="0"/>
          <w:numId w:val="194"/>
        </w:numPr>
        <w:tabs>
          <w:tab w:pos="2664" w:val="left" w:leader="none"/>
          <w:tab w:pos="2665" w:val="left" w:leader="none"/>
        </w:tabs>
        <w:spacing w:line="235" w:lineRule="auto" w:before="1" w:after="0"/>
        <w:ind w:left="1984" w:right="1382" w:firstLine="0"/>
        <w:jc w:val="left"/>
        <w:rPr>
          <w:sz w:val="20"/>
        </w:rPr>
      </w:pPr>
      <w:r>
        <w:rPr>
          <w:spacing w:val="5"/>
          <w:w w:val="120"/>
          <w:sz w:val="20"/>
        </w:rPr>
        <w:t>Rather </w:t>
      </w:r>
      <w:r>
        <w:rPr>
          <w:spacing w:val="4"/>
          <w:w w:val="120"/>
          <w:sz w:val="20"/>
        </w:rPr>
        <w:t>than talk </w:t>
      </w:r>
      <w:r>
        <w:rPr>
          <w:spacing w:val="3"/>
          <w:w w:val="120"/>
          <w:sz w:val="20"/>
        </w:rPr>
        <w:t>of </w:t>
      </w:r>
      <w:r>
        <w:rPr>
          <w:w w:val="120"/>
          <w:sz w:val="20"/>
        </w:rPr>
        <w:t>‘days </w:t>
      </w:r>
      <w:r>
        <w:rPr>
          <w:spacing w:val="4"/>
          <w:w w:val="120"/>
          <w:sz w:val="20"/>
        </w:rPr>
        <w:t>off’, </w:t>
      </w:r>
      <w:r>
        <w:rPr>
          <w:spacing w:val="2"/>
          <w:w w:val="120"/>
          <w:sz w:val="20"/>
        </w:rPr>
        <w:t>it </w:t>
      </w:r>
      <w:r>
        <w:rPr>
          <w:spacing w:val="4"/>
          <w:w w:val="120"/>
          <w:sz w:val="20"/>
        </w:rPr>
        <w:t>might be more </w:t>
      </w:r>
      <w:r>
        <w:rPr>
          <w:spacing w:val="5"/>
          <w:w w:val="120"/>
          <w:sz w:val="20"/>
        </w:rPr>
        <w:t>appropriate </w:t>
      </w:r>
      <w:r>
        <w:rPr>
          <w:w w:val="120"/>
          <w:sz w:val="20"/>
        </w:rPr>
        <w:t>to </w:t>
      </w:r>
      <w:r>
        <w:rPr>
          <w:spacing w:val="4"/>
          <w:w w:val="120"/>
          <w:sz w:val="20"/>
        </w:rPr>
        <w:t>talk </w:t>
      </w:r>
      <w:r>
        <w:rPr>
          <w:spacing w:val="2"/>
          <w:w w:val="120"/>
          <w:sz w:val="20"/>
        </w:rPr>
        <w:t>in </w:t>
      </w:r>
      <w:r>
        <w:rPr>
          <w:spacing w:val="4"/>
          <w:w w:val="120"/>
          <w:sz w:val="20"/>
        </w:rPr>
        <w:t>terms   </w:t>
      </w:r>
      <w:r>
        <w:rPr>
          <w:spacing w:val="3"/>
          <w:w w:val="120"/>
          <w:sz w:val="20"/>
        </w:rPr>
        <w:t>of </w:t>
      </w:r>
      <w:r>
        <w:rPr>
          <w:spacing w:val="5"/>
          <w:w w:val="120"/>
          <w:sz w:val="20"/>
        </w:rPr>
        <w:t>hours </w:t>
      </w:r>
      <w:r>
        <w:rPr>
          <w:spacing w:val="3"/>
          <w:w w:val="120"/>
          <w:sz w:val="20"/>
        </w:rPr>
        <w:t>over </w:t>
      </w:r>
      <w:r>
        <w:rPr>
          <w:spacing w:val="4"/>
          <w:w w:val="120"/>
          <w:sz w:val="20"/>
        </w:rPr>
        <w:t>and above which ministers/CRCWs should view themselves </w:t>
      </w:r>
      <w:r>
        <w:rPr>
          <w:spacing w:val="2"/>
          <w:w w:val="120"/>
          <w:sz w:val="20"/>
        </w:rPr>
        <w:t>as </w:t>
      </w:r>
      <w:r>
        <w:rPr>
          <w:spacing w:val="4"/>
          <w:w w:val="120"/>
          <w:sz w:val="20"/>
        </w:rPr>
        <w:t>within their</w:t>
      </w:r>
      <w:r>
        <w:rPr>
          <w:spacing w:val="13"/>
          <w:w w:val="120"/>
          <w:sz w:val="20"/>
        </w:rPr>
        <w:t> </w:t>
      </w:r>
      <w:r>
        <w:rPr>
          <w:spacing w:val="3"/>
          <w:w w:val="120"/>
          <w:sz w:val="20"/>
        </w:rPr>
        <w:t>own</w:t>
      </w:r>
      <w:r>
        <w:rPr>
          <w:spacing w:val="14"/>
          <w:w w:val="120"/>
          <w:sz w:val="20"/>
        </w:rPr>
        <w:t> </w:t>
      </w:r>
      <w:r>
        <w:rPr>
          <w:spacing w:val="4"/>
          <w:w w:val="120"/>
          <w:sz w:val="20"/>
        </w:rPr>
        <w:t>time,</w:t>
      </w:r>
      <w:r>
        <w:rPr>
          <w:spacing w:val="13"/>
          <w:w w:val="120"/>
          <w:sz w:val="20"/>
        </w:rPr>
        <w:t> </w:t>
      </w:r>
      <w:r>
        <w:rPr>
          <w:spacing w:val="4"/>
          <w:w w:val="120"/>
          <w:sz w:val="20"/>
        </w:rPr>
        <w:t>time</w:t>
      </w:r>
      <w:r>
        <w:rPr>
          <w:spacing w:val="14"/>
          <w:w w:val="120"/>
          <w:sz w:val="20"/>
        </w:rPr>
        <w:t> </w:t>
      </w:r>
      <w:r>
        <w:rPr>
          <w:w w:val="120"/>
          <w:sz w:val="20"/>
        </w:rPr>
        <w:t>to</w:t>
      </w:r>
      <w:r>
        <w:rPr>
          <w:spacing w:val="13"/>
          <w:w w:val="120"/>
          <w:sz w:val="20"/>
        </w:rPr>
        <w:t> </w:t>
      </w:r>
      <w:r>
        <w:rPr>
          <w:spacing w:val="4"/>
          <w:w w:val="120"/>
          <w:sz w:val="20"/>
        </w:rPr>
        <w:t>be</w:t>
      </w:r>
      <w:r>
        <w:rPr>
          <w:spacing w:val="14"/>
          <w:w w:val="120"/>
          <w:sz w:val="20"/>
        </w:rPr>
        <w:t> </w:t>
      </w:r>
      <w:r>
        <w:rPr>
          <w:spacing w:val="3"/>
          <w:w w:val="120"/>
          <w:sz w:val="20"/>
        </w:rPr>
        <w:t>used</w:t>
      </w:r>
      <w:r>
        <w:rPr>
          <w:spacing w:val="14"/>
          <w:w w:val="120"/>
          <w:sz w:val="20"/>
        </w:rPr>
        <w:t> </w:t>
      </w:r>
      <w:r>
        <w:rPr>
          <w:spacing w:val="2"/>
          <w:w w:val="120"/>
          <w:sz w:val="20"/>
        </w:rPr>
        <w:t>as</w:t>
      </w:r>
      <w:r>
        <w:rPr>
          <w:spacing w:val="13"/>
          <w:w w:val="120"/>
          <w:sz w:val="20"/>
        </w:rPr>
        <w:t> </w:t>
      </w:r>
      <w:r>
        <w:rPr>
          <w:spacing w:val="4"/>
          <w:w w:val="120"/>
          <w:sz w:val="20"/>
        </w:rPr>
        <w:t>they</w:t>
      </w:r>
      <w:r>
        <w:rPr>
          <w:spacing w:val="14"/>
          <w:w w:val="120"/>
          <w:sz w:val="20"/>
        </w:rPr>
        <w:t> </w:t>
      </w:r>
      <w:r>
        <w:rPr>
          <w:spacing w:val="4"/>
          <w:w w:val="120"/>
          <w:sz w:val="20"/>
        </w:rPr>
        <w:t>want</w:t>
      </w:r>
      <w:r>
        <w:rPr>
          <w:spacing w:val="13"/>
          <w:w w:val="120"/>
          <w:sz w:val="20"/>
        </w:rPr>
        <w:t> </w:t>
      </w:r>
      <w:r>
        <w:rPr>
          <w:spacing w:val="4"/>
          <w:w w:val="120"/>
          <w:sz w:val="20"/>
        </w:rPr>
        <w:t>without</w:t>
      </w:r>
      <w:r>
        <w:rPr>
          <w:spacing w:val="14"/>
          <w:w w:val="120"/>
          <w:sz w:val="20"/>
        </w:rPr>
        <w:t> </w:t>
      </w:r>
      <w:r>
        <w:rPr>
          <w:spacing w:val="3"/>
          <w:w w:val="120"/>
          <w:sz w:val="20"/>
        </w:rPr>
        <w:t>any</w:t>
      </w:r>
      <w:r>
        <w:rPr>
          <w:spacing w:val="13"/>
          <w:w w:val="120"/>
          <w:sz w:val="20"/>
        </w:rPr>
        <w:t> </w:t>
      </w:r>
      <w:r>
        <w:rPr>
          <w:spacing w:val="4"/>
          <w:w w:val="120"/>
          <w:sz w:val="20"/>
        </w:rPr>
        <w:t>sense</w:t>
      </w:r>
      <w:r>
        <w:rPr>
          <w:spacing w:val="14"/>
          <w:w w:val="120"/>
          <w:sz w:val="20"/>
        </w:rPr>
        <w:t> </w:t>
      </w:r>
      <w:r>
        <w:rPr>
          <w:spacing w:val="3"/>
          <w:w w:val="120"/>
          <w:sz w:val="20"/>
        </w:rPr>
        <w:t>of</w:t>
      </w:r>
      <w:r>
        <w:rPr>
          <w:spacing w:val="14"/>
          <w:w w:val="120"/>
          <w:sz w:val="20"/>
        </w:rPr>
        <w:t> </w:t>
      </w:r>
      <w:r>
        <w:rPr>
          <w:spacing w:val="4"/>
          <w:w w:val="120"/>
          <w:sz w:val="20"/>
        </w:rPr>
        <w:t>guilt.</w:t>
      </w:r>
      <w:r>
        <w:rPr>
          <w:spacing w:val="13"/>
          <w:w w:val="120"/>
          <w:sz w:val="20"/>
        </w:rPr>
        <w:t> </w:t>
      </w:r>
      <w:r>
        <w:rPr>
          <w:spacing w:val="5"/>
          <w:w w:val="120"/>
          <w:sz w:val="20"/>
        </w:rPr>
        <w:t>Because</w:t>
      </w:r>
    </w:p>
    <w:p>
      <w:pPr>
        <w:pStyle w:val="BodyText"/>
        <w:spacing w:line="235" w:lineRule="auto" w:before="2"/>
        <w:ind w:left="1984" w:right="1120"/>
      </w:pPr>
      <w:r>
        <w:rPr>
          <w:w w:val="120"/>
        </w:rPr>
        <w:t>ministry does not fit easily into a routine working week, the hours should be treated with flexibility, possibly dealt with in four-weekly blocks and managed by the minister/CRCW who alone will know the complexity of his/her ministry.</w:t>
      </w:r>
    </w:p>
    <w:p>
      <w:pPr>
        <w:pStyle w:val="BodyText"/>
        <w:spacing w:before="10"/>
        <w:rPr>
          <w:sz w:val="19"/>
        </w:rPr>
      </w:pPr>
    </w:p>
    <w:p>
      <w:pPr>
        <w:pStyle w:val="ListParagraph"/>
        <w:numPr>
          <w:ilvl w:val="1"/>
          <w:numId w:val="195"/>
        </w:numPr>
        <w:tabs>
          <w:tab w:pos="2665" w:val="left" w:leader="none"/>
        </w:tabs>
        <w:spacing w:line="235" w:lineRule="auto" w:before="0" w:after="0"/>
        <w:ind w:left="1984" w:right="1225" w:firstLine="0"/>
        <w:jc w:val="both"/>
        <w:rPr>
          <w:sz w:val="20"/>
        </w:rPr>
      </w:pPr>
      <w:r>
        <w:rPr>
          <w:spacing w:val="5"/>
          <w:w w:val="120"/>
          <w:sz w:val="20"/>
        </w:rPr>
        <w:t>Although </w:t>
      </w:r>
      <w:r>
        <w:rPr>
          <w:spacing w:val="4"/>
          <w:w w:val="120"/>
          <w:sz w:val="20"/>
        </w:rPr>
        <w:t>the </w:t>
      </w:r>
      <w:r>
        <w:rPr>
          <w:spacing w:val="3"/>
          <w:w w:val="120"/>
          <w:sz w:val="20"/>
        </w:rPr>
        <w:t>Church </w:t>
      </w:r>
      <w:r>
        <w:rPr>
          <w:spacing w:val="2"/>
          <w:w w:val="120"/>
          <w:sz w:val="20"/>
        </w:rPr>
        <w:t>may </w:t>
      </w:r>
      <w:r>
        <w:rPr>
          <w:spacing w:val="3"/>
          <w:w w:val="120"/>
          <w:sz w:val="20"/>
        </w:rPr>
        <w:t>wish </w:t>
      </w:r>
      <w:r>
        <w:rPr>
          <w:w w:val="120"/>
          <w:sz w:val="20"/>
        </w:rPr>
        <w:t>to </w:t>
      </w:r>
      <w:r>
        <w:rPr>
          <w:spacing w:val="3"/>
          <w:w w:val="120"/>
          <w:sz w:val="20"/>
        </w:rPr>
        <w:t>be </w:t>
      </w:r>
      <w:r>
        <w:rPr>
          <w:spacing w:val="4"/>
          <w:w w:val="120"/>
          <w:sz w:val="20"/>
        </w:rPr>
        <w:t>counter-cultural </w:t>
      </w:r>
      <w:r>
        <w:rPr>
          <w:spacing w:val="2"/>
          <w:w w:val="120"/>
          <w:sz w:val="20"/>
        </w:rPr>
        <w:t>in </w:t>
      </w:r>
      <w:r>
        <w:rPr>
          <w:spacing w:val="4"/>
          <w:w w:val="120"/>
          <w:sz w:val="20"/>
        </w:rPr>
        <w:t>some </w:t>
      </w:r>
      <w:r>
        <w:rPr>
          <w:spacing w:val="3"/>
          <w:w w:val="120"/>
          <w:sz w:val="20"/>
        </w:rPr>
        <w:t>of </w:t>
      </w:r>
      <w:r>
        <w:rPr>
          <w:spacing w:val="4"/>
          <w:w w:val="120"/>
          <w:sz w:val="20"/>
        </w:rPr>
        <w:t>the things </w:t>
      </w:r>
      <w:r>
        <w:rPr>
          <w:spacing w:val="2"/>
          <w:w w:val="120"/>
          <w:sz w:val="20"/>
        </w:rPr>
        <w:t>it </w:t>
      </w:r>
      <w:r>
        <w:rPr>
          <w:spacing w:val="4"/>
          <w:w w:val="120"/>
          <w:sz w:val="20"/>
        </w:rPr>
        <w:t>does, </w:t>
      </w:r>
      <w:r>
        <w:rPr>
          <w:spacing w:val="2"/>
          <w:w w:val="120"/>
          <w:sz w:val="20"/>
        </w:rPr>
        <w:t>it </w:t>
      </w:r>
      <w:r>
        <w:rPr>
          <w:w w:val="120"/>
          <w:sz w:val="20"/>
        </w:rPr>
        <w:t>is </w:t>
      </w:r>
      <w:r>
        <w:rPr>
          <w:spacing w:val="3"/>
          <w:w w:val="120"/>
          <w:sz w:val="20"/>
        </w:rPr>
        <w:t>wise </w:t>
      </w:r>
      <w:r>
        <w:rPr>
          <w:w w:val="120"/>
          <w:sz w:val="20"/>
        </w:rPr>
        <w:t>to </w:t>
      </w:r>
      <w:r>
        <w:rPr>
          <w:spacing w:val="4"/>
          <w:w w:val="120"/>
          <w:sz w:val="20"/>
        </w:rPr>
        <w:t>take </w:t>
      </w:r>
      <w:r>
        <w:rPr>
          <w:spacing w:val="3"/>
          <w:w w:val="120"/>
          <w:sz w:val="20"/>
        </w:rPr>
        <w:t>note of </w:t>
      </w:r>
      <w:r>
        <w:rPr>
          <w:spacing w:val="5"/>
          <w:w w:val="120"/>
          <w:sz w:val="20"/>
        </w:rPr>
        <w:t>societal </w:t>
      </w:r>
      <w:r>
        <w:rPr>
          <w:spacing w:val="4"/>
          <w:w w:val="120"/>
          <w:sz w:val="20"/>
        </w:rPr>
        <w:t>guidance which </w:t>
      </w:r>
      <w:r>
        <w:rPr>
          <w:w w:val="120"/>
          <w:sz w:val="20"/>
        </w:rPr>
        <w:t>is </w:t>
      </w:r>
      <w:r>
        <w:rPr>
          <w:spacing w:val="4"/>
          <w:w w:val="120"/>
          <w:sz w:val="20"/>
        </w:rPr>
        <w:t>intended </w:t>
      </w:r>
      <w:r>
        <w:rPr>
          <w:w w:val="120"/>
          <w:sz w:val="20"/>
        </w:rPr>
        <w:t>to </w:t>
      </w:r>
      <w:r>
        <w:rPr>
          <w:spacing w:val="5"/>
          <w:w w:val="120"/>
          <w:sz w:val="20"/>
        </w:rPr>
        <w:t>nurture </w:t>
      </w:r>
      <w:r>
        <w:rPr>
          <w:spacing w:val="4"/>
          <w:w w:val="120"/>
          <w:sz w:val="20"/>
        </w:rPr>
        <w:t>health and</w:t>
      </w:r>
      <w:r>
        <w:rPr>
          <w:spacing w:val="15"/>
          <w:w w:val="120"/>
          <w:sz w:val="20"/>
        </w:rPr>
        <w:t> </w:t>
      </w:r>
      <w:r>
        <w:rPr>
          <w:spacing w:val="3"/>
          <w:w w:val="120"/>
          <w:sz w:val="20"/>
        </w:rPr>
        <w:t>well</w:t>
      </w:r>
      <w:r>
        <w:rPr>
          <w:spacing w:val="16"/>
          <w:w w:val="120"/>
          <w:sz w:val="20"/>
        </w:rPr>
        <w:t> </w:t>
      </w:r>
      <w:r>
        <w:rPr>
          <w:spacing w:val="4"/>
          <w:w w:val="120"/>
          <w:sz w:val="20"/>
        </w:rPr>
        <w:t>being.</w:t>
      </w:r>
      <w:r>
        <w:rPr>
          <w:spacing w:val="16"/>
          <w:w w:val="120"/>
          <w:sz w:val="20"/>
        </w:rPr>
        <w:t> </w:t>
      </w:r>
      <w:r>
        <w:rPr>
          <w:spacing w:val="5"/>
          <w:w w:val="120"/>
          <w:sz w:val="20"/>
        </w:rPr>
        <w:t>For</w:t>
      </w:r>
      <w:r>
        <w:rPr>
          <w:spacing w:val="16"/>
          <w:w w:val="120"/>
          <w:sz w:val="20"/>
        </w:rPr>
        <w:t> </w:t>
      </w:r>
      <w:r>
        <w:rPr>
          <w:spacing w:val="3"/>
          <w:w w:val="120"/>
          <w:sz w:val="20"/>
        </w:rPr>
        <w:t>this</w:t>
      </w:r>
      <w:r>
        <w:rPr>
          <w:spacing w:val="16"/>
          <w:w w:val="120"/>
          <w:sz w:val="20"/>
        </w:rPr>
        <w:t> </w:t>
      </w:r>
      <w:r>
        <w:rPr>
          <w:spacing w:val="4"/>
          <w:w w:val="120"/>
          <w:sz w:val="20"/>
        </w:rPr>
        <w:t>reason</w:t>
      </w:r>
      <w:r>
        <w:rPr>
          <w:spacing w:val="16"/>
          <w:w w:val="120"/>
          <w:sz w:val="20"/>
        </w:rPr>
        <w:t> </w:t>
      </w:r>
      <w:r>
        <w:rPr>
          <w:w w:val="120"/>
          <w:sz w:val="20"/>
        </w:rPr>
        <w:t>we</w:t>
      </w:r>
      <w:r>
        <w:rPr>
          <w:spacing w:val="16"/>
          <w:w w:val="120"/>
          <w:sz w:val="20"/>
        </w:rPr>
        <w:t> </w:t>
      </w:r>
      <w:r>
        <w:rPr>
          <w:spacing w:val="4"/>
          <w:w w:val="120"/>
          <w:sz w:val="20"/>
        </w:rPr>
        <w:t>should</w:t>
      </w:r>
      <w:r>
        <w:rPr>
          <w:spacing w:val="16"/>
          <w:w w:val="120"/>
          <w:sz w:val="20"/>
        </w:rPr>
        <w:t> </w:t>
      </w:r>
      <w:r>
        <w:rPr>
          <w:spacing w:val="3"/>
          <w:w w:val="120"/>
          <w:sz w:val="20"/>
        </w:rPr>
        <w:t>be</w:t>
      </w:r>
      <w:r>
        <w:rPr>
          <w:spacing w:val="16"/>
          <w:w w:val="120"/>
          <w:sz w:val="20"/>
        </w:rPr>
        <w:t> </w:t>
      </w:r>
      <w:r>
        <w:rPr>
          <w:spacing w:val="4"/>
          <w:w w:val="120"/>
          <w:sz w:val="20"/>
        </w:rPr>
        <w:t>aware</w:t>
      </w:r>
      <w:r>
        <w:rPr>
          <w:spacing w:val="16"/>
          <w:w w:val="120"/>
          <w:sz w:val="20"/>
        </w:rPr>
        <w:t> </w:t>
      </w:r>
      <w:r>
        <w:rPr>
          <w:spacing w:val="3"/>
          <w:w w:val="120"/>
          <w:sz w:val="20"/>
        </w:rPr>
        <w:t>of</w:t>
      </w:r>
      <w:r>
        <w:rPr>
          <w:spacing w:val="16"/>
          <w:w w:val="120"/>
          <w:sz w:val="20"/>
        </w:rPr>
        <w:t> </w:t>
      </w:r>
      <w:r>
        <w:rPr>
          <w:spacing w:val="4"/>
          <w:w w:val="120"/>
          <w:sz w:val="20"/>
        </w:rPr>
        <w:t>what</w:t>
      </w:r>
      <w:r>
        <w:rPr>
          <w:spacing w:val="16"/>
          <w:w w:val="120"/>
          <w:sz w:val="20"/>
        </w:rPr>
        <w:t> </w:t>
      </w:r>
      <w:r>
        <w:rPr>
          <w:spacing w:val="5"/>
          <w:w w:val="120"/>
          <w:sz w:val="20"/>
        </w:rPr>
        <w:t>others</w:t>
      </w:r>
      <w:r>
        <w:rPr>
          <w:spacing w:val="16"/>
          <w:w w:val="120"/>
          <w:sz w:val="20"/>
        </w:rPr>
        <w:t> </w:t>
      </w:r>
      <w:r>
        <w:rPr>
          <w:spacing w:val="4"/>
          <w:w w:val="120"/>
          <w:sz w:val="20"/>
        </w:rPr>
        <w:t>would</w:t>
      </w:r>
      <w:r>
        <w:rPr>
          <w:spacing w:val="16"/>
          <w:w w:val="120"/>
          <w:sz w:val="20"/>
        </w:rPr>
        <w:t> </w:t>
      </w:r>
      <w:r>
        <w:rPr>
          <w:spacing w:val="5"/>
          <w:w w:val="120"/>
          <w:sz w:val="20"/>
        </w:rPr>
        <w:t>regard</w:t>
      </w:r>
    </w:p>
    <w:p>
      <w:pPr>
        <w:pStyle w:val="BodyText"/>
        <w:spacing w:line="235" w:lineRule="auto" w:before="2"/>
        <w:ind w:left="1984" w:right="1507"/>
        <w:jc w:val="both"/>
      </w:pPr>
      <w:r>
        <w:rPr>
          <w:w w:val="120"/>
        </w:rPr>
        <w:t>as an excessive working week, and here we could be guided by the working time regulations.</w:t>
      </w:r>
    </w:p>
    <w:p>
      <w:pPr>
        <w:pStyle w:val="BodyText"/>
        <w:spacing w:before="9"/>
        <w:rPr>
          <w:sz w:val="19"/>
        </w:rPr>
      </w:pPr>
    </w:p>
    <w:p>
      <w:pPr>
        <w:pStyle w:val="ListParagraph"/>
        <w:numPr>
          <w:ilvl w:val="1"/>
          <w:numId w:val="195"/>
        </w:numPr>
        <w:tabs>
          <w:tab w:pos="2664" w:val="left" w:leader="none"/>
          <w:tab w:pos="2665" w:val="left" w:leader="none"/>
        </w:tabs>
        <w:spacing w:line="235" w:lineRule="auto" w:before="1" w:after="0"/>
        <w:ind w:left="1984" w:right="1140" w:firstLine="0"/>
        <w:jc w:val="left"/>
        <w:rPr>
          <w:sz w:val="20"/>
        </w:rPr>
      </w:pPr>
      <w:r>
        <w:rPr>
          <w:spacing w:val="5"/>
          <w:w w:val="120"/>
          <w:sz w:val="20"/>
        </w:rPr>
        <w:t>‘For </w:t>
      </w:r>
      <w:r>
        <w:rPr>
          <w:spacing w:val="4"/>
          <w:w w:val="120"/>
          <w:sz w:val="20"/>
        </w:rPr>
        <w:t>the </w:t>
      </w:r>
      <w:r>
        <w:rPr>
          <w:spacing w:val="5"/>
          <w:w w:val="120"/>
          <w:sz w:val="20"/>
        </w:rPr>
        <w:t>purposes </w:t>
      </w:r>
      <w:r>
        <w:rPr>
          <w:spacing w:val="3"/>
          <w:w w:val="120"/>
          <w:sz w:val="20"/>
        </w:rPr>
        <w:t>of </w:t>
      </w:r>
      <w:r>
        <w:rPr>
          <w:spacing w:val="4"/>
          <w:w w:val="120"/>
          <w:sz w:val="20"/>
        </w:rPr>
        <w:t>the </w:t>
      </w:r>
      <w:r>
        <w:rPr>
          <w:spacing w:val="5"/>
          <w:w w:val="120"/>
          <w:sz w:val="20"/>
        </w:rPr>
        <w:t>Working Time </w:t>
      </w:r>
      <w:r>
        <w:rPr>
          <w:spacing w:val="4"/>
          <w:w w:val="120"/>
          <w:sz w:val="20"/>
        </w:rPr>
        <w:t>Regulations </w:t>
      </w:r>
      <w:r>
        <w:rPr>
          <w:spacing w:val="6"/>
          <w:w w:val="120"/>
          <w:sz w:val="20"/>
        </w:rPr>
        <w:t>(WTR) </w:t>
      </w:r>
      <w:r>
        <w:rPr>
          <w:w w:val="120"/>
          <w:sz w:val="20"/>
        </w:rPr>
        <w:t>1998, </w:t>
      </w:r>
      <w:r>
        <w:rPr>
          <w:spacing w:val="5"/>
          <w:w w:val="120"/>
          <w:sz w:val="20"/>
        </w:rPr>
        <w:t>organisations </w:t>
      </w:r>
      <w:r>
        <w:rPr>
          <w:spacing w:val="4"/>
          <w:w w:val="120"/>
          <w:sz w:val="20"/>
        </w:rPr>
        <w:t>are </w:t>
      </w:r>
      <w:r>
        <w:rPr>
          <w:spacing w:val="5"/>
          <w:w w:val="120"/>
          <w:sz w:val="20"/>
        </w:rPr>
        <w:t>required </w:t>
      </w:r>
      <w:r>
        <w:rPr>
          <w:w w:val="120"/>
          <w:sz w:val="20"/>
        </w:rPr>
        <w:t>to </w:t>
      </w:r>
      <w:r>
        <w:rPr>
          <w:spacing w:val="4"/>
          <w:w w:val="120"/>
          <w:sz w:val="20"/>
        </w:rPr>
        <w:t>monitor the </w:t>
      </w:r>
      <w:r>
        <w:rPr>
          <w:spacing w:val="5"/>
          <w:w w:val="120"/>
          <w:sz w:val="20"/>
        </w:rPr>
        <w:t>hours </w:t>
      </w:r>
      <w:r>
        <w:rPr>
          <w:spacing w:val="3"/>
          <w:w w:val="120"/>
          <w:sz w:val="20"/>
        </w:rPr>
        <w:t>of </w:t>
      </w:r>
      <w:r>
        <w:rPr>
          <w:spacing w:val="4"/>
          <w:w w:val="120"/>
          <w:sz w:val="20"/>
        </w:rPr>
        <w:t>their employees </w:t>
      </w:r>
      <w:r>
        <w:rPr>
          <w:w w:val="120"/>
          <w:sz w:val="20"/>
        </w:rPr>
        <w:t>to </w:t>
      </w:r>
      <w:r>
        <w:rPr>
          <w:spacing w:val="4"/>
          <w:w w:val="120"/>
          <w:sz w:val="20"/>
        </w:rPr>
        <w:t>ensure that individuals </w:t>
      </w:r>
      <w:r>
        <w:rPr>
          <w:spacing w:val="3"/>
          <w:w w:val="120"/>
          <w:sz w:val="20"/>
        </w:rPr>
        <w:t>do</w:t>
      </w:r>
      <w:r>
        <w:rPr>
          <w:spacing w:val="60"/>
          <w:w w:val="120"/>
          <w:sz w:val="20"/>
        </w:rPr>
        <w:t> </w:t>
      </w:r>
      <w:r>
        <w:rPr>
          <w:spacing w:val="3"/>
          <w:w w:val="120"/>
          <w:sz w:val="20"/>
        </w:rPr>
        <w:t>not </w:t>
      </w:r>
      <w:r>
        <w:rPr>
          <w:spacing w:val="4"/>
          <w:w w:val="120"/>
          <w:sz w:val="20"/>
        </w:rPr>
        <w:t>work </w:t>
      </w:r>
      <w:r>
        <w:rPr>
          <w:spacing w:val="2"/>
          <w:w w:val="120"/>
          <w:sz w:val="20"/>
        </w:rPr>
        <w:t>in </w:t>
      </w:r>
      <w:r>
        <w:rPr>
          <w:spacing w:val="4"/>
          <w:w w:val="120"/>
          <w:sz w:val="20"/>
        </w:rPr>
        <w:t>excess </w:t>
      </w:r>
      <w:r>
        <w:rPr>
          <w:spacing w:val="3"/>
          <w:w w:val="120"/>
          <w:sz w:val="20"/>
        </w:rPr>
        <w:t>of an </w:t>
      </w:r>
      <w:r>
        <w:rPr>
          <w:spacing w:val="5"/>
          <w:w w:val="120"/>
          <w:sz w:val="20"/>
        </w:rPr>
        <w:t>average </w:t>
      </w:r>
      <w:r>
        <w:rPr>
          <w:spacing w:val="3"/>
          <w:w w:val="120"/>
          <w:sz w:val="20"/>
        </w:rPr>
        <w:t>of 48 </w:t>
      </w:r>
      <w:r>
        <w:rPr>
          <w:spacing w:val="5"/>
          <w:w w:val="120"/>
          <w:sz w:val="20"/>
        </w:rPr>
        <w:t>hours </w:t>
      </w:r>
      <w:r>
        <w:rPr>
          <w:spacing w:val="4"/>
          <w:w w:val="120"/>
          <w:sz w:val="20"/>
        </w:rPr>
        <w:t>per week </w:t>
      </w:r>
      <w:r>
        <w:rPr>
          <w:spacing w:val="3"/>
          <w:w w:val="120"/>
          <w:sz w:val="20"/>
        </w:rPr>
        <w:t>over </w:t>
      </w:r>
      <w:r>
        <w:rPr>
          <w:w w:val="120"/>
          <w:sz w:val="20"/>
        </w:rPr>
        <w:t>a </w:t>
      </w:r>
      <w:r>
        <w:rPr>
          <w:spacing w:val="-9"/>
          <w:w w:val="120"/>
          <w:sz w:val="20"/>
        </w:rPr>
        <w:t>17 </w:t>
      </w:r>
      <w:r>
        <w:rPr>
          <w:spacing w:val="4"/>
          <w:w w:val="120"/>
          <w:sz w:val="20"/>
        </w:rPr>
        <w:t>week </w:t>
      </w:r>
      <w:r>
        <w:rPr>
          <w:spacing w:val="5"/>
          <w:w w:val="120"/>
          <w:sz w:val="20"/>
        </w:rPr>
        <w:t>period </w:t>
      </w:r>
      <w:r>
        <w:rPr>
          <w:spacing w:val="4"/>
          <w:w w:val="120"/>
          <w:sz w:val="20"/>
        </w:rPr>
        <w:t>unless  </w:t>
      </w:r>
      <w:r>
        <w:rPr>
          <w:w w:val="120"/>
          <w:sz w:val="20"/>
        </w:rPr>
        <w:t>by </w:t>
      </w:r>
      <w:r>
        <w:rPr>
          <w:spacing w:val="4"/>
          <w:w w:val="120"/>
          <w:sz w:val="20"/>
        </w:rPr>
        <w:t>mutual</w:t>
      </w:r>
      <w:r>
        <w:rPr>
          <w:spacing w:val="26"/>
          <w:w w:val="120"/>
          <w:sz w:val="20"/>
        </w:rPr>
        <w:t> </w:t>
      </w:r>
      <w:r>
        <w:rPr>
          <w:spacing w:val="4"/>
          <w:w w:val="120"/>
          <w:sz w:val="20"/>
        </w:rPr>
        <w:t>agreement.’</w:t>
      </w:r>
    </w:p>
    <w:p>
      <w:pPr>
        <w:pStyle w:val="BodyText"/>
        <w:spacing w:before="10"/>
        <w:rPr>
          <w:sz w:val="19"/>
        </w:rPr>
      </w:pPr>
    </w:p>
    <w:p>
      <w:pPr>
        <w:pStyle w:val="ListParagraph"/>
        <w:numPr>
          <w:ilvl w:val="1"/>
          <w:numId w:val="195"/>
        </w:numPr>
        <w:tabs>
          <w:tab w:pos="2664" w:val="left" w:leader="none"/>
          <w:tab w:pos="2665" w:val="left" w:leader="none"/>
        </w:tabs>
        <w:spacing w:line="235" w:lineRule="auto" w:before="0" w:after="0"/>
        <w:ind w:left="1984" w:right="1628" w:hanging="1"/>
        <w:jc w:val="left"/>
        <w:rPr>
          <w:sz w:val="20"/>
        </w:rPr>
      </w:pPr>
      <w:r>
        <w:rPr>
          <w:spacing w:val="5"/>
          <w:w w:val="120"/>
          <w:sz w:val="20"/>
        </w:rPr>
        <w:t>Although </w:t>
      </w:r>
      <w:r>
        <w:rPr>
          <w:spacing w:val="8"/>
          <w:w w:val="120"/>
          <w:sz w:val="20"/>
        </w:rPr>
        <w:t>WTR </w:t>
      </w:r>
      <w:r>
        <w:rPr>
          <w:spacing w:val="4"/>
          <w:w w:val="120"/>
          <w:sz w:val="20"/>
        </w:rPr>
        <w:t>does </w:t>
      </w:r>
      <w:r>
        <w:rPr>
          <w:spacing w:val="3"/>
          <w:w w:val="120"/>
          <w:sz w:val="20"/>
        </w:rPr>
        <w:t>make </w:t>
      </w:r>
      <w:r>
        <w:rPr>
          <w:spacing w:val="2"/>
          <w:w w:val="120"/>
          <w:sz w:val="20"/>
        </w:rPr>
        <w:t>it  </w:t>
      </w:r>
      <w:r>
        <w:rPr>
          <w:spacing w:val="4"/>
          <w:w w:val="120"/>
          <w:sz w:val="20"/>
        </w:rPr>
        <w:t>possible </w:t>
      </w:r>
      <w:r>
        <w:rPr>
          <w:spacing w:val="3"/>
          <w:w w:val="120"/>
          <w:sz w:val="20"/>
        </w:rPr>
        <w:t>for </w:t>
      </w:r>
      <w:r>
        <w:rPr>
          <w:spacing w:val="4"/>
          <w:w w:val="120"/>
          <w:sz w:val="20"/>
        </w:rPr>
        <w:t>employees </w:t>
      </w:r>
      <w:r>
        <w:rPr>
          <w:w w:val="120"/>
          <w:sz w:val="20"/>
        </w:rPr>
        <w:t>to  </w:t>
      </w:r>
      <w:r>
        <w:rPr>
          <w:spacing w:val="4"/>
          <w:w w:val="120"/>
          <w:sz w:val="20"/>
        </w:rPr>
        <w:t>work </w:t>
      </w:r>
      <w:r>
        <w:rPr>
          <w:spacing w:val="3"/>
          <w:w w:val="120"/>
          <w:sz w:val="20"/>
        </w:rPr>
        <w:t>an </w:t>
      </w:r>
      <w:r>
        <w:rPr>
          <w:spacing w:val="5"/>
          <w:w w:val="120"/>
          <w:sz w:val="20"/>
        </w:rPr>
        <w:t>average  </w:t>
      </w:r>
      <w:r>
        <w:rPr>
          <w:spacing w:val="3"/>
          <w:w w:val="120"/>
          <w:sz w:val="20"/>
        </w:rPr>
        <w:t>of</w:t>
      </w:r>
      <w:r>
        <w:rPr>
          <w:spacing w:val="17"/>
          <w:w w:val="120"/>
          <w:sz w:val="20"/>
        </w:rPr>
        <w:t> </w:t>
      </w:r>
      <w:r>
        <w:rPr>
          <w:spacing w:val="4"/>
          <w:w w:val="120"/>
          <w:sz w:val="20"/>
        </w:rPr>
        <w:t>more</w:t>
      </w:r>
      <w:r>
        <w:rPr>
          <w:spacing w:val="18"/>
          <w:w w:val="120"/>
          <w:sz w:val="20"/>
        </w:rPr>
        <w:t> </w:t>
      </w:r>
      <w:r>
        <w:rPr>
          <w:spacing w:val="4"/>
          <w:w w:val="120"/>
          <w:sz w:val="20"/>
        </w:rPr>
        <w:t>than</w:t>
      </w:r>
      <w:r>
        <w:rPr>
          <w:spacing w:val="18"/>
          <w:w w:val="120"/>
          <w:sz w:val="20"/>
        </w:rPr>
        <w:t> </w:t>
      </w:r>
      <w:r>
        <w:rPr>
          <w:spacing w:val="3"/>
          <w:w w:val="120"/>
          <w:sz w:val="20"/>
        </w:rPr>
        <w:t>48</w:t>
      </w:r>
      <w:r>
        <w:rPr>
          <w:spacing w:val="18"/>
          <w:w w:val="120"/>
          <w:sz w:val="20"/>
        </w:rPr>
        <w:t> </w:t>
      </w:r>
      <w:r>
        <w:rPr>
          <w:spacing w:val="5"/>
          <w:w w:val="120"/>
          <w:sz w:val="20"/>
        </w:rPr>
        <w:t>hours</w:t>
      </w:r>
      <w:r>
        <w:rPr>
          <w:spacing w:val="18"/>
          <w:w w:val="120"/>
          <w:sz w:val="20"/>
        </w:rPr>
        <w:t> </w:t>
      </w:r>
      <w:r>
        <w:rPr>
          <w:spacing w:val="4"/>
          <w:w w:val="120"/>
          <w:sz w:val="20"/>
        </w:rPr>
        <w:t>per</w:t>
      </w:r>
      <w:r>
        <w:rPr>
          <w:spacing w:val="18"/>
          <w:w w:val="120"/>
          <w:sz w:val="20"/>
        </w:rPr>
        <w:t> </w:t>
      </w:r>
      <w:r>
        <w:rPr>
          <w:spacing w:val="4"/>
          <w:w w:val="120"/>
          <w:sz w:val="20"/>
        </w:rPr>
        <w:t>week</w:t>
      </w:r>
      <w:r>
        <w:rPr>
          <w:spacing w:val="17"/>
          <w:w w:val="120"/>
          <w:sz w:val="20"/>
        </w:rPr>
        <w:t> </w:t>
      </w:r>
      <w:r>
        <w:rPr>
          <w:w w:val="120"/>
          <w:sz w:val="20"/>
        </w:rPr>
        <w:t>by</w:t>
      </w:r>
      <w:r>
        <w:rPr>
          <w:spacing w:val="18"/>
          <w:w w:val="120"/>
          <w:sz w:val="20"/>
        </w:rPr>
        <w:t> </w:t>
      </w:r>
      <w:r>
        <w:rPr>
          <w:spacing w:val="4"/>
          <w:w w:val="120"/>
          <w:sz w:val="20"/>
        </w:rPr>
        <w:t>mutual</w:t>
      </w:r>
      <w:r>
        <w:rPr>
          <w:spacing w:val="18"/>
          <w:w w:val="120"/>
          <w:sz w:val="20"/>
        </w:rPr>
        <w:t> </w:t>
      </w:r>
      <w:r>
        <w:rPr>
          <w:spacing w:val="5"/>
          <w:w w:val="120"/>
          <w:sz w:val="20"/>
        </w:rPr>
        <w:t>agreement,</w:t>
      </w:r>
      <w:r>
        <w:rPr>
          <w:spacing w:val="18"/>
          <w:w w:val="120"/>
          <w:sz w:val="20"/>
        </w:rPr>
        <w:t> </w:t>
      </w:r>
      <w:r>
        <w:rPr>
          <w:spacing w:val="4"/>
          <w:w w:val="120"/>
          <w:sz w:val="20"/>
        </w:rPr>
        <w:t>the</w:t>
      </w:r>
      <w:r>
        <w:rPr>
          <w:spacing w:val="18"/>
          <w:w w:val="120"/>
          <w:sz w:val="20"/>
        </w:rPr>
        <w:t> </w:t>
      </w:r>
      <w:r>
        <w:rPr>
          <w:spacing w:val="5"/>
          <w:w w:val="120"/>
          <w:sz w:val="20"/>
        </w:rPr>
        <w:t>principle</w:t>
      </w:r>
      <w:r>
        <w:rPr>
          <w:spacing w:val="18"/>
          <w:w w:val="120"/>
          <w:sz w:val="20"/>
        </w:rPr>
        <w:t> </w:t>
      </w:r>
      <w:r>
        <w:rPr>
          <w:spacing w:val="5"/>
          <w:w w:val="120"/>
          <w:sz w:val="20"/>
        </w:rPr>
        <w:t>behind</w:t>
      </w:r>
      <w:r>
        <w:rPr>
          <w:spacing w:val="17"/>
          <w:w w:val="120"/>
          <w:sz w:val="20"/>
        </w:rPr>
        <w:t> </w:t>
      </w:r>
      <w:r>
        <w:rPr>
          <w:spacing w:val="4"/>
          <w:w w:val="120"/>
          <w:sz w:val="20"/>
        </w:rPr>
        <w:t>the</w:t>
      </w:r>
    </w:p>
    <w:p>
      <w:pPr>
        <w:pStyle w:val="BodyText"/>
        <w:spacing w:line="235" w:lineRule="auto" w:before="2"/>
        <w:ind w:left="1984" w:right="1273"/>
      </w:pPr>
      <w:r>
        <w:rPr>
          <w:w w:val="120"/>
        </w:rPr>
        <w:t>regulations is that there is something unhealthy in working excessive hours, both in terms of the individual’s well-being and the quality of work undertaken.</w:t>
      </w:r>
    </w:p>
    <w:p>
      <w:pPr>
        <w:pStyle w:val="BodyText"/>
        <w:spacing w:before="9"/>
        <w:rPr>
          <w:sz w:val="19"/>
        </w:rPr>
      </w:pPr>
    </w:p>
    <w:p>
      <w:pPr>
        <w:pStyle w:val="ListParagraph"/>
        <w:numPr>
          <w:ilvl w:val="1"/>
          <w:numId w:val="195"/>
        </w:numPr>
        <w:tabs>
          <w:tab w:pos="2664" w:val="left" w:leader="none"/>
          <w:tab w:pos="2665" w:val="left" w:leader="none"/>
        </w:tabs>
        <w:spacing w:line="235" w:lineRule="auto" w:before="0" w:after="0"/>
        <w:ind w:left="1984" w:right="1513" w:firstLine="0"/>
        <w:jc w:val="left"/>
        <w:rPr>
          <w:sz w:val="20"/>
        </w:rPr>
      </w:pPr>
      <w:r>
        <w:rPr>
          <w:spacing w:val="3"/>
          <w:w w:val="120"/>
          <w:sz w:val="20"/>
        </w:rPr>
        <w:t>By </w:t>
      </w:r>
      <w:r>
        <w:rPr>
          <w:spacing w:val="4"/>
          <w:w w:val="120"/>
          <w:sz w:val="20"/>
        </w:rPr>
        <w:t>the </w:t>
      </w:r>
      <w:r>
        <w:rPr>
          <w:spacing w:val="5"/>
          <w:w w:val="120"/>
          <w:sz w:val="20"/>
        </w:rPr>
        <w:t>same </w:t>
      </w:r>
      <w:r>
        <w:rPr>
          <w:spacing w:val="3"/>
          <w:w w:val="120"/>
          <w:sz w:val="20"/>
        </w:rPr>
        <w:t>token </w:t>
      </w:r>
      <w:r>
        <w:rPr>
          <w:spacing w:val="4"/>
          <w:w w:val="120"/>
          <w:sz w:val="20"/>
        </w:rPr>
        <w:t>when considering ministers/CRCWs there should </w:t>
      </w:r>
      <w:r>
        <w:rPr>
          <w:spacing w:val="3"/>
          <w:w w:val="120"/>
          <w:sz w:val="20"/>
        </w:rPr>
        <w:t>be </w:t>
      </w:r>
      <w:r>
        <w:rPr>
          <w:spacing w:val="4"/>
          <w:w w:val="120"/>
          <w:sz w:val="20"/>
        </w:rPr>
        <w:t>concern both </w:t>
      </w:r>
      <w:r>
        <w:rPr>
          <w:spacing w:val="3"/>
          <w:w w:val="120"/>
          <w:sz w:val="20"/>
        </w:rPr>
        <w:t>for </w:t>
      </w:r>
      <w:r>
        <w:rPr>
          <w:spacing w:val="4"/>
          <w:w w:val="120"/>
          <w:sz w:val="20"/>
        </w:rPr>
        <w:t>the </w:t>
      </w:r>
      <w:r>
        <w:rPr>
          <w:spacing w:val="3"/>
          <w:w w:val="120"/>
          <w:sz w:val="20"/>
        </w:rPr>
        <w:t>individual’s well </w:t>
      </w:r>
      <w:r>
        <w:rPr>
          <w:spacing w:val="4"/>
          <w:w w:val="120"/>
          <w:sz w:val="20"/>
        </w:rPr>
        <w:t>being and </w:t>
      </w:r>
      <w:r>
        <w:rPr>
          <w:w w:val="120"/>
          <w:sz w:val="20"/>
        </w:rPr>
        <w:t>a </w:t>
      </w:r>
      <w:r>
        <w:rPr>
          <w:spacing w:val="4"/>
          <w:w w:val="120"/>
          <w:sz w:val="20"/>
        </w:rPr>
        <w:t>recognition that </w:t>
      </w:r>
      <w:r>
        <w:rPr>
          <w:spacing w:val="5"/>
          <w:w w:val="120"/>
          <w:sz w:val="20"/>
        </w:rPr>
        <w:t>quantity </w:t>
      </w:r>
      <w:r>
        <w:rPr>
          <w:spacing w:val="4"/>
          <w:w w:val="120"/>
          <w:sz w:val="20"/>
        </w:rPr>
        <w:t>does </w:t>
      </w:r>
      <w:r>
        <w:rPr>
          <w:spacing w:val="3"/>
          <w:w w:val="120"/>
          <w:sz w:val="20"/>
        </w:rPr>
        <w:t>not</w:t>
      </w:r>
      <w:r>
        <w:rPr>
          <w:spacing w:val="15"/>
          <w:w w:val="120"/>
          <w:sz w:val="20"/>
        </w:rPr>
        <w:t> </w:t>
      </w:r>
      <w:r>
        <w:rPr>
          <w:spacing w:val="4"/>
          <w:w w:val="120"/>
          <w:sz w:val="20"/>
        </w:rPr>
        <w:t>equate</w:t>
      </w:r>
      <w:r>
        <w:rPr>
          <w:spacing w:val="15"/>
          <w:w w:val="120"/>
          <w:sz w:val="20"/>
        </w:rPr>
        <w:t> </w:t>
      </w:r>
      <w:r>
        <w:rPr>
          <w:w w:val="120"/>
          <w:sz w:val="20"/>
        </w:rPr>
        <w:t>to</w:t>
      </w:r>
      <w:r>
        <w:rPr>
          <w:spacing w:val="15"/>
          <w:w w:val="120"/>
          <w:sz w:val="20"/>
        </w:rPr>
        <w:t> </w:t>
      </w:r>
      <w:r>
        <w:rPr>
          <w:spacing w:val="3"/>
          <w:w w:val="120"/>
          <w:sz w:val="20"/>
        </w:rPr>
        <w:t>quality,</w:t>
      </w:r>
      <w:r>
        <w:rPr>
          <w:spacing w:val="16"/>
          <w:w w:val="120"/>
          <w:sz w:val="20"/>
        </w:rPr>
        <w:t> </w:t>
      </w:r>
      <w:r>
        <w:rPr>
          <w:spacing w:val="5"/>
          <w:w w:val="120"/>
          <w:sz w:val="20"/>
        </w:rPr>
        <w:t>indeed</w:t>
      </w:r>
      <w:r>
        <w:rPr>
          <w:spacing w:val="15"/>
          <w:w w:val="120"/>
          <w:sz w:val="20"/>
        </w:rPr>
        <w:t> </w:t>
      </w:r>
      <w:r>
        <w:rPr>
          <w:spacing w:val="5"/>
          <w:w w:val="120"/>
          <w:sz w:val="20"/>
        </w:rPr>
        <w:t>quality</w:t>
      </w:r>
      <w:r>
        <w:rPr>
          <w:spacing w:val="15"/>
          <w:w w:val="120"/>
          <w:sz w:val="20"/>
        </w:rPr>
        <w:t> </w:t>
      </w:r>
      <w:r>
        <w:rPr>
          <w:spacing w:val="4"/>
          <w:w w:val="120"/>
          <w:sz w:val="20"/>
        </w:rPr>
        <w:t>can</w:t>
      </w:r>
      <w:r>
        <w:rPr>
          <w:spacing w:val="16"/>
          <w:w w:val="120"/>
          <w:sz w:val="20"/>
        </w:rPr>
        <w:t> </w:t>
      </w:r>
      <w:r>
        <w:rPr>
          <w:spacing w:val="4"/>
          <w:w w:val="120"/>
          <w:sz w:val="20"/>
        </w:rPr>
        <w:t>be</w:t>
      </w:r>
      <w:r>
        <w:rPr>
          <w:spacing w:val="15"/>
          <w:w w:val="120"/>
          <w:sz w:val="20"/>
        </w:rPr>
        <w:t> </w:t>
      </w:r>
      <w:r>
        <w:rPr>
          <w:spacing w:val="5"/>
          <w:w w:val="120"/>
          <w:sz w:val="20"/>
        </w:rPr>
        <w:t>adversely</w:t>
      </w:r>
      <w:r>
        <w:rPr>
          <w:spacing w:val="15"/>
          <w:w w:val="120"/>
          <w:sz w:val="20"/>
        </w:rPr>
        <w:t> </w:t>
      </w:r>
      <w:r>
        <w:rPr>
          <w:spacing w:val="6"/>
          <w:w w:val="120"/>
          <w:sz w:val="20"/>
        </w:rPr>
        <w:t>affected</w:t>
      </w:r>
      <w:r>
        <w:rPr>
          <w:spacing w:val="15"/>
          <w:w w:val="120"/>
          <w:sz w:val="20"/>
        </w:rPr>
        <w:t> </w:t>
      </w:r>
      <w:r>
        <w:rPr>
          <w:w w:val="120"/>
          <w:sz w:val="20"/>
        </w:rPr>
        <w:t>by</w:t>
      </w:r>
      <w:r>
        <w:rPr>
          <w:spacing w:val="16"/>
          <w:w w:val="120"/>
          <w:sz w:val="20"/>
        </w:rPr>
        <w:t> </w:t>
      </w:r>
      <w:r>
        <w:rPr>
          <w:spacing w:val="4"/>
          <w:w w:val="120"/>
          <w:sz w:val="20"/>
        </w:rPr>
        <w:t>quantity.</w:t>
      </w:r>
    </w:p>
    <w:p>
      <w:pPr>
        <w:pStyle w:val="BodyText"/>
        <w:spacing w:before="10"/>
        <w:rPr>
          <w:sz w:val="19"/>
        </w:rPr>
      </w:pPr>
    </w:p>
    <w:p>
      <w:pPr>
        <w:pStyle w:val="BodyText"/>
        <w:tabs>
          <w:tab w:pos="2664" w:val="left" w:leader="none"/>
        </w:tabs>
        <w:spacing w:line="235" w:lineRule="auto" w:before="1"/>
        <w:ind w:left="1984" w:right="1273"/>
      </w:pPr>
      <w:r>
        <w:rPr>
          <w:spacing w:val="-3"/>
          <w:w w:val="120"/>
        </w:rPr>
        <w:t>10</w:t>
        <w:tab/>
      </w:r>
      <w:r>
        <w:rPr>
          <w:w w:val="120"/>
        </w:rPr>
        <w:t>A  </w:t>
      </w:r>
      <w:r>
        <w:rPr>
          <w:spacing w:val="5"/>
          <w:w w:val="120"/>
        </w:rPr>
        <w:t>standard full-time ministerial working </w:t>
      </w:r>
      <w:r>
        <w:rPr>
          <w:spacing w:val="4"/>
          <w:w w:val="120"/>
        </w:rPr>
        <w:t>week </w:t>
      </w:r>
      <w:r>
        <w:rPr>
          <w:spacing w:val="3"/>
          <w:w w:val="120"/>
        </w:rPr>
        <w:t>could  </w:t>
      </w:r>
      <w:r>
        <w:rPr>
          <w:spacing w:val="5"/>
          <w:w w:val="120"/>
        </w:rPr>
        <w:t>therefore </w:t>
      </w:r>
      <w:r>
        <w:rPr>
          <w:spacing w:val="4"/>
          <w:w w:val="120"/>
        </w:rPr>
        <w:t>be </w:t>
      </w:r>
      <w:r>
        <w:rPr>
          <w:spacing w:val="5"/>
          <w:w w:val="120"/>
        </w:rPr>
        <w:t>anything  </w:t>
      </w:r>
      <w:r>
        <w:rPr>
          <w:spacing w:val="2"/>
          <w:w w:val="120"/>
        </w:rPr>
        <w:t>up </w:t>
      </w:r>
      <w:r>
        <w:rPr>
          <w:w w:val="120"/>
        </w:rPr>
        <w:t>to </w:t>
      </w:r>
      <w:r>
        <w:rPr>
          <w:spacing w:val="3"/>
          <w:w w:val="120"/>
        </w:rPr>
        <w:t>48 </w:t>
      </w:r>
      <w:r>
        <w:rPr>
          <w:spacing w:val="5"/>
          <w:w w:val="120"/>
        </w:rPr>
        <w:t>hours </w:t>
      </w:r>
      <w:r>
        <w:rPr>
          <w:spacing w:val="4"/>
          <w:w w:val="120"/>
        </w:rPr>
        <w:t>per week, though secular </w:t>
      </w:r>
      <w:r>
        <w:rPr>
          <w:spacing w:val="5"/>
          <w:w w:val="120"/>
        </w:rPr>
        <w:t>standard working weeks </w:t>
      </w:r>
      <w:r>
        <w:rPr>
          <w:spacing w:val="4"/>
          <w:w w:val="120"/>
        </w:rPr>
        <w:t>are </w:t>
      </w:r>
      <w:r>
        <w:rPr>
          <w:spacing w:val="5"/>
          <w:w w:val="120"/>
        </w:rPr>
        <w:t>probably between </w:t>
      </w:r>
      <w:r>
        <w:rPr>
          <w:w w:val="120"/>
        </w:rPr>
        <w:t>35 </w:t>
      </w:r>
      <w:r>
        <w:rPr>
          <w:spacing w:val="4"/>
          <w:w w:val="120"/>
        </w:rPr>
        <w:t>and </w:t>
      </w:r>
      <w:r>
        <w:rPr>
          <w:w w:val="120"/>
        </w:rPr>
        <w:t>42  </w:t>
      </w:r>
      <w:r>
        <w:rPr>
          <w:spacing w:val="5"/>
          <w:w w:val="120"/>
        </w:rPr>
        <w:t>hours </w:t>
      </w:r>
      <w:r>
        <w:rPr>
          <w:spacing w:val="4"/>
          <w:w w:val="120"/>
        </w:rPr>
        <w:t>with the </w:t>
      </w:r>
      <w:r>
        <w:rPr>
          <w:spacing w:val="5"/>
          <w:w w:val="120"/>
        </w:rPr>
        <w:t>standard </w:t>
      </w:r>
      <w:r>
        <w:rPr>
          <w:spacing w:val="4"/>
          <w:w w:val="120"/>
        </w:rPr>
        <w:t>full time </w:t>
      </w:r>
      <w:r>
        <w:rPr>
          <w:spacing w:val="5"/>
          <w:w w:val="120"/>
        </w:rPr>
        <w:t>working </w:t>
      </w:r>
      <w:r>
        <w:rPr>
          <w:spacing w:val="4"/>
          <w:w w:val="120"/>
        </w:rPr>
        <w:t>week </w:t>
      </w:r>
      <w:r>
        <w:rPr>
          <w:spacing w:val="3"/>
          <w:w w:val="120"/>
        </w:rPr>
        <w:t>of </w:t>
      </w:r>
      <w:r>
        <w:rPr>
          <w:spacing w:val="4"/>
          <w:w w:val="120"/>
        </w:rPr>
        <w:t>employed  </w:t>
      </w:r>
      <w:r>
        <w:rPr>
          <w:spacing w:val="7"/>
          <w:w w:val="120"/>
        </w:rPr>
        <w:t>staff </w:t>
      </w:r>
      <w:r>
        <w:rPr>
          <w:spacing w:val="2"/>
          <w:w w:val="120"/>
        </w:rPr>
        <w:t>at </w:t>
      </w:r>
      <w:r>
        <w:rPr>
          <w:spacing w:val="3"/>
          <w:w w:val="120"/>
        </w:rPr>
        <w:t>Church </w:t>
      </w:r>
      <w:r>
        <w:rPr>
          <w:spacing w:val="4"/>
          <w:w w:val="120"/>
        </w:rPr>
        <w:t>House being </w:t>
      </w:r>
      <w:r>
        <w:rPr>
          <w:w w:val="120"/>
        </w:rPr>
        <w:t>35 </w:t>
      </w:r>
      <w:r>
        <w:rPr>
          <w:spacing w:val="5"/>
          <w:w w:val="120"/>
        </w:rPr>
        <w:t>hours. </w:t>
      </w:r>
      <w:r>
        <w:rPr>
          <w:spacing w:val="4"/>
          <w:w w:val="120"/>
        </w:rPr>
        <w:t>The </w:t>
      </w:r>
      <w:r>
        <w:rPr>
          <w:spacing w:val="5"/>
          <w:w w:val="120"/>
        </w:rPr>
        <w:t>Ministries </w:t>
      </w:r>
      <w:r>
        <w:rPr>
          <w:spacing w:val="4"/>
          <w:w w:val="120"/>
        </w:rPr>
        <w:t>Committee would </w:t>
      </w:r>
      <w:r>
        <w:rPr>
          <w:spacing w:val="5"/>
          <w:w w:val="120"/>
        </w:rPr>
        <w:t>suggest </w:t>
      </w:r>
      <w:r>
        <w:rPr>
          <w:w w:val="120"/>
        </w:rPr>
        <w:t>a </w:t>
      </w:r>
      <w:r>
        <w:rPr>
          <w:spacing w:val="4"/>
          <w:w w:val="120"/>
        </w:rPr>
        <w:t>minimum </w:t>
      </w:r>
      <w:r>
        <w:rPr>
          <w:spacing w:val="3"/>
          <w:w w:val="120"/>
        </w:rPr>
        <w:t>of 40 </w:t>
      </w:r>
      <w:r>
        <w:rPr>
          <w:spacing w:val="5"/>
          <w:w w:val="120"/>
        </w:rPr>
        <w:t>hours </w:t>
      </w:r>
      <w:r>
        <w:rPr>
          <w:spacing w:val="4"/>
          <w:w w:val="120"/>
        </w:rPr>
        <w:t>per </w:t>
      </w:r>
      <w:r>
        <w:rPr>
          <w:spacing w:val="5"/>
          <w:w w:val="120"/>
        </w:rPr>
        <w:t>week. </w:t>
      </w:r>
      <w:r>
        <w:rPr>
          <w:spacing w:val="3"/>
          <w:w w:val="120"/>
        </w:rPr>
        <w:t>This </w:t>
      </w:r>
      <w:r>
        <w:rPr>
          <w:spacing w:val="4"/>
          <w:w w:val="120"/>
        </w:rPr>
        <w:t>includes </w:t>
      </w:r>
      <w:r>
        <w:rPr>
          <w:spacing w:val="3"/>
          <w:w w:val="120"/>
        </w:rPr>
        <w:t>Sunday </w:t>
      </w:r>
      <w:r>
        <w:rPr>
          <w:spacing w:val="4"/>
          <w:w w:val="120"/>
        </w:rPr>
        <w:t>and does </w:t>
      </w:r>
      <w:r>
        <w:rPr>
          <w:spacing w:val="3"/>
          <w:w w:val="120"/>
        </w:rPr>
        <w:t>not </w:t>
      </w:r>
      <w:r>
        <w:rPr>
          <w:spacing w:val="4"/>
          <w:w w:val="120"/>
        </w:rPr>
        <w:t>preclude the </w:t>
      </w:r>
      <w:r>
        <w:rPr>
          <w:spacing w:val="5"/>
          <w:w w:val="120"/>
        </w:rPr>
        <w:t>practice </w:t>
      </w:r>
      <w:r>
        <w:rPr>
          <w:spacing w:val="3"/>
          <w:w w:val="120"/>
        </w:rPr>
        <w:t>of </w:t>
      </w:r>
      <w:r>
        <w:rPr>
          <w:w w:val="120"/>
        </w:rPr>
        <w:t>a </w:t>
      </w:r>
      <w:r>
        <w:rPr>
          <w:spacing w:val="4"/>
          <w:w w:val="120"/>
        </w:rPr>
        <w:t>designated </w:t>
      </w:r>
      <w:r>
        <w:rPr>
          <w:spacing w:val="2"/>
          <w:w w:val="120"/>
        </w:rPr>
        <w:t>day </w:t>
      </w:r>
      <w:r>
        <w:rPr>
          <w:spacing w:val="5"/>
          <w:w w:val="120"/>
        </w:rPr>
        <w:t>off. </w:t>
      </w:r>
      <w:r>
        <w:rPr>
          <w:spacing w:val="4"/>
          <w:w w:val="120"/>
        </w:rPr>
        <w:t>The </w:t>
      </w:r>
      <w:r>
        <w:rPr>
          <w:spacing w:val="5"/>
          <w:w w:val="120"/>
        </w:rPr>
        <w:t>Ministries </w:t>
      </w:r>
      <w:r>
        <w:rPr>
          <w:spacing w:val="4"/>
          <w:w w:val="120"/>
        </w:rPr>
        <w:t>Committee </w:t>
      </w:r>
      <w:r>
        <w:rPr>
          <w:spacing w:val="3"/>
          <w:w w:val="120"/>
        </w:rPr>
        <w:t>also </w:t>
      </w:r>
      <w:r>
        <w:rPr>
          <w:spacing w:val="4"/>
          <w:w w:val="120"/>
        </w:rPr>
        <w:t>recommends that  the </w:t>
      </w:r>
      <w:r>
        <w:rPr>
          <w:spacing w:val="5"/>
          <w:w w:val="120"/>
        </w:rPr>
        <w:t>highest average </w:t>
      </w:r>
      <w:r>
        <w:rPr>
          <w:spacing w:val="4"/>
          <w:w w:val="120"/>
        </w:rPr>
        <w:t>number </w:t>
      </w:r>
      <w:r>
        <w:rPr>
          <w:spacing w:val="3"/>
          <w:w w:val="120"/>
        </w:rPr>
        <w:t>of </w:t>
      </w:r>
      <w:r>
        <w:rPr>
          <w:spacing w:val="5"/>
          <w:w w:val="120"/>
        </w:rPr>
        <w:t>working hours </w:t>
      </w:r>
      <w:r>
        <w:rPr>
          <w:spacing w:val="4"/>
          <w:w w:val="120"/>
        </w:rPr>
        <w:t>should be </w:t>
      </w:r>
      <w:r>
        <w:rPr>
          <w:spacing w:val="3"/>
          <w:w w:val="120"/>
        </w:rPr>
        <w:t>48 </w:t>
      </w:r>
      <w:r>
        <w:rPr>
          <w:spacing w:val="5"/>
          <w:w w:val="120"/>
        </w:rPr>
        <w:t>hours </w:t>
      </w:r>
      <w:r>
        <w:rPr>
          <w:spacing w:val="4"/>
          <w:w w:val="120"/>
        </w:rPr>
        <w:t>per week </w:t>
      </w:r>
      <w:r>
        <w:rPr>
          <w:spacing w:val="2"/>
          <w:w w:val="120"/>
        </w:rPr>
        <w:t>in </w:t>
      </w:r>
      <w:r>
        <w:rPr>
          <w:spacing w:val="3"/>
          <w:w w:val="120"/>
        </w:rPr>
        <w:t>any </w:t>
      </w:r>
      <w:r>
        <w:rPr>
          <w:spacing w:val="4"/>
          <w:w w:val="120"/>
        </w:rPr>
        <w:t>four week </w:t>
      </w:r>
      <w:r>
        <w:rPr>
          <w:spacing w:val="5"/>
          <w:w w:val="120"/>
        </w:rPr>
        <w:t>period </w:t>
      </w:r>
      <w:r>
        <w:rPr>
          <w:spacing w:val="-5"/>
          <w:w w:val="120"/>
        </w:rPr>
        <w:t>(192 </w:t>
      </w:r>
      <w:r>
        <w:rPr>
          <w:spacing w:val="5"/>
          <w:w w:val="120"/>
        </w:rPr>
        <w:t>hours </w:t>
      </w:r>
      <w:r>
        <w:rPr>
          <w:spacing w:val="4"/>
          <w:w w:val="120"/>
        </w:rPr>
        <w:t>per </w:t>
      </w:r>
      <w:r>
        <w:rPr>
          <w:w w:val="120"/>
        </w:rPr>
        <w:t>month). </w:t>
      </w:r>
      <w:r>
        <w:rPr>
          <w:spacing w:val="3"/>
          <w:w w:val="120"/>
        </w:rPr>
        <w:t>This </w:t>
      </w:r>
      <w:r>
        <w:rPr>
          <w:spacing w:val="4"/>
          <w:w w:val="120"/>
        </w:rPr>
        <w:t>would allow </w:t>
      </w:r>
      <w:r>
        <w:rPr>
          <w:spacing w:val="3"/>
          <w:w w:val="120"/>
        </w:rPr>
        <w:t>for </w:t>
      </w:r>
      <w:r>
        <w:rPr>
          <w:spacing w:val="4"/>
          <w:w w:val="120"/>
        </w:rPr>
        <w:t>the </w:t>
      </w:r>
      <w:r>
        <w:rPr>
          <w:spacing w:val="5"/>
          <w:w w:val="120"/>
        </w:rPr>
        <w:t>weeks </w:t>
      </w:r>
      <w:r>
        <w:rPr>
          <w:spacing w:val="3"/>
          <w:w w:val="120"/>
        </w:rPr>
        <w:t>of </w:t>
      </w:r>
      <w:r>
        <w:rPr>
          <w:spacing w:val="6"/>
          <w:w w:val="120"/>
        </w:rPr>
        <w:t>extreme </w:t>
      </w:r>
      <w:r>
        <w:rPr>
          <w:spacing w:val="4"/>
          <w:w w:val="120"/>
        </w:rPr>
        <w:t>business and </w:t>
      </w:r>
      <w:r>
        <w:rPr>
          <w:spacing w:val="3"/>
          <w:w w:val="120"/>
        </w:rPr>
        <w:t>for </w:t>
      </w:r>
      <w:r>
        <w:rPr>
          <w:spacing w:val="4"/>
          <w:w w:val="120"/>
        </w:rPr>
        <w:t>those ministers who are </w:t>
      </w:r>
      <w:r>
        <w:rPr>
          <w:spacing w:val="5"/>
          <w:w w:val="120"/>
        </w:rPr>
        <w:t>currently working </w:t>
      </w:r>
      <w:r>
        <w:rPr>
          <w:spacing w:val="3"/>
          <w:w w:val="120"/>
        </w:rPr>
        <w:t>much </w:t>
      </w:r>
      <w:r>
        <w:rPr>
          <w:spacing w:val="5"/>
          <w:w w:val="120"/>
        </w:rPr>
        <w:t>longer hours </w:t>
      </w:r>
      <w:r>
        <w:rPr>
          <w:w w:val="120"/>
        </w:rPr>
        <w:t>to   </w:t>
      </w:r>
      <w:r>
        <w:rPr>
          <w:spacing w:val="3"/>
          <w:w w:val="120"/>
        </w:rPr>
        <w:t>cut </w:t>
      </w:r>
      <w:r>
        <w:rPr>
          <w:spacing w:val="4"/>
          <w:w w:val="120"/>
        </w:rPr>
        <w:t>down</w:t>
      </w:r>
      <w:r>
        <w:rPr>
          <w:spacing w:val="23"/>
          <w:w w:val="120"/>
        </w:rPr>
        <w:t> </w:t>
      </w:r>
      <w:r>
        <w:rPr>
          <w:spacing w:val="4"/>
          <w:w w:val="120"/>
        </w:rPr>
        <w:t>gradually.</w:t>
      </w:r>
    </w:p>
    <w:p>
      <w:pPr>
        <w:pStyle w:val="BodyText"/>
        <w:spacing w:before="2"/>
      </w:pPr>
    </w:p>
    <w:p>
      <w:pPr>
        <w:pStyle w:val="ListParagraph"/>
        <w:numPr>
          <w:ilvl w:val="1"/>
          <w:numId w:val="196"/>
        </w:numPr>
        <w:tabs>
          <w:tab w:pos="2664" w:val="left" w:leader="none"/>
          <w:tab w:pos="2665" w:val="left" w:leader="none"/>
        </w:tabs>
        <w:spacing w:line="235" w:lineRule="auto" w:before="1" w:after="0"/>
        <w:ind w:left="1984" w:right="1344" w:hanging="1"/>
        <w:jc w:val="left"/>
        <w:rPr>
          <w:sz w:val="20"/>
        </w:rPr>
      </w:pPr>
      <w:r>
        <w:rPr>
          <w:spacing w:val="4"/>
          <w:w w:val="120"/>
          <w:sz w:val="20"/>
        </w:rPr>
        <w:t>If guidance </w:t>
      </w:r>
      <w:r>
        <w:rPr>
          <w:spacing w:val="3"/>
          <w:w w:val="120"/>
          <w:sz w:val="20"/>
        </w:rPr>
        <w:t>on </w:t>
      </w:r>
      <w:r>
        <w:rPr>
          <w:spacing w:val="4"/>
          <w:w w:val="120"/>
          <w:sz w:val="20"/>
        </w:rPr>
        <w:t>the </w:t>
      </w:r>
      <w:r>
        <w:rPr>
          <w:spacing w:val="5"/>
          <w:w w:val="120"/>
          <w:sz w:val="20"/>
        </w:rPr>
        <w:t>working </w:t>
      </w:r>
      <w:r>
        <w:rPr>
          <w:spacing w:val="4"/>
          <w:w w:val="120"/>
          <w:sz w:val="20"/>
        </w:rPr>
        <w:t>week </w:t>
      </w:r>
      <w:r>
        <w:rPr>
          <w:w w:val="120"/>
          <w:sz w:val="20"/>
        </w:rPr>
        <w:t>is </w:t>
      </w:r>
      <w:r>
        <w:rPr>
          <w:spacing w:val="3"/>
          <w:w w:val="120"/>
          <w:sz w:val="20"/>
        </w:rPr>
        <w:t>accepted </w:t>
      </w:r>
      <w:r>
        <w:rPr>
          <w:w w:val="120"/>
          <w:sz w:val="20"/>
        </w:rPr>
        <w:t>by </w:t>
      </w:r>
      <w:r>
        <w:rPr>
          <w:spacing w:val="4"/>
          <w:w w:val="120"/>
          <w:sz w:val="20"/>
        </w:rPr>
        <w:t>the </w:t>
      </w:r>
      <w:r>
        <w:rPr>
          <w:spacing w:val="3"/>
          <w:w w:val="120"/>
          <w:sz w:val="20"/>
        </w:rPr>
        <w:t>Church, </w:t>
      </w:r>
      <w:r>
        <w:rPr>
          <w:spacing w:val="4"/>
          <w:w w:val="120"/>
          <w:sz w:val="20"/>
        </w:rPr>
        <w:t>there </w:t>
      </w:r>
      <w:r>
        <w:rPr>
          <w:w w:val="120"/>
          <w:sz w:val="20"/>
        </w:rPr>
        <w:t>is </w:t>
      </w:r>
      <w:r>
        <w:rPr>
          <w:spacing w:val="3"/>
          <w:w w:val="120"/>
          <w:sz w:val="20"/>
        </w:rPr>
        <w:t>no </w:t>
      </w:r>
      <w:r>
        <w:rPr>
          <w:spacing w:val="5"/>
          <w:w w:val="120"/>
          <w:sz w:val="20"/>
        </w:rPr>
        <w:t>suggestion </w:t>
      </w:r>
      <w:r>
        <w:rPr>
          <w:spacing w:val="4"/>
          <w:w w:val="120"/>
          <w:sz w:val="20"/>
        </w:rPr>
        <w:t>that the minister/CRCW should fill </w:t>
      </w:r>
      <w:r>
        <w:rPr>
          <w:spacing w:val="3"/>
          <w:w w:val="120"/>
          <w:sz w:val="20"/>
        </w:rPr>
        <w:t>out </w:t>
      </w:r>
      <w:r>
        <w:rPr>
          <w:w w:val="120"/>
          <w:sz w:val="20"/>
        </w:rPr>
        <w:t>a </w:t>
      </w:r>
      <w:r>
        <w:rPr>
          <w:spacing w:val="4"/>
          <w:w w:val="120"/>
          <w:sz w:val="20"/>
        </w:rPr>
        <w:t>‘time </w:t>
      </w:r>
      <w:r>
        <w:rPr>
          <w:spacing w:val="5"/>
          <w:w w:val="120"/>
          <w:sz w:val="20"/>
        </w:rPr>
        <w:t>sheet’ </w:t>
      </w:r>
      <w:r>
        <w:rPr>
          <w:w w:val="120"/>
          <w:sz w:val="20"/>
        </w:rPr>
        <w:t>to </w:t>
      </w:r>
      <w:r>
        <w:rPr>
          <w:spacing w:val="4"/>
          <w:w w:val="120"/>
          <w:sz w:val="20"/>
        </w:rPr>
        <w:t>submit </w:t>
      </w:r>
      <w:r>
        <w:rPr>
          <w:w w:val="120"/>
          <w:sz w:val="20"/>
        </w:rPr>
        <w:t>to </w:t>
      </w:r>
      <w:r>
        <w:rPr>
          <w:spacing w:val="4"/>
          <w:w w:val="120"/>
          <w:sz w:val="20"/>
        </w:rPr>
        <w:t>the </w:t>
      </w:r>
      <w:r>
        <w:rPr>
          <w:spacing w:val="5"/>
          <w:w w:val="120"/>
          <w:sz w:val="20"/>
        </w:rPr>
        <w:t>elders. </w:t>
      </w:r>
      <w:r>
        <w:rPr>
          <w:spacing w:val="4"/>
          <w:w w:val="120"/>
          <w:sz w:val="20"/>
        </w:rPr>
        <w:t>Equally there </w:t>
      </w:r>
      <w:r>
        <w:rPr>
          <w:w w:val="120"/>
          <w:sz w:val="20"/>
        </w:rPr>
        <w:t>is </w:t>
      </w:r>
      <w:r>
        <w:rPr>
          <w:spacing w:val="3"/>
          <w:w w:val="120"/>
          <w:sz w:val="20"/>
        </w:rPr>
        <w:t>no </w:t>
      </w:r>
      <w:r>
        <w:rPr>
          <w:spacing w:val="4"/>
          <w:w w:val="120"/>
          <w:sz w:val="20"/>
        </w:rPr>
        <w:t>reason </w:t>
      </w:r>
      <w:r>
        <w:rPr>
          <w:spacing w:val="3"/>
          <w:w w:val="120"/>
          <w:sz w:val="20"/>
        </w:rPr>
        <w:t>why </w:t>
      </w:r>
      <w:r>
        <w:rPr>
          <w:w w:val="120"/>
          <w:sz w:val="20"/>
        </w:rPr>
        <w:t>a </w:t>
      </w:r>
      <w:r>
        <w:rPr>
          <w:spacing w:val="4"/>
          <w:w w:val="120"/>
          <w:sz w:val="20"/>
        </w:rPr>
        <w:t>minister/CRCW should </w:t>
      </w:r>
      <w:r>
        <w:rPr>
          <w:spacing w:val="3"/>
          <w:w w:val="120"/>
          <w:sz w:val="20"/>
        </w:rPr>
        <w:t>not </w:t>
      </w:r>
      <w:r>
        <w:rPr>
          <w:spacing w:val="5"/>
          <w:w w:val="120"/>
          <w:sz w:val="20"/>
        </w:rPr>
        <w:t>inform </w:t>
      </w:r>
      <w:r>
        <w:rPr>
          <w:spacing w:val="4"/>
          <w:w w:val="120"/>
          <w:sz w:val="20"/>
        </w:rPr>
        <w:t>the </w:t>
      </w:r>
      <w:r>
        <w:rPr>
          <w:spacing w:val="5"/>
          <w:w w:val="120"/>
          <w:sz w:val="20"/>
        </w:rPr>
        <w:t>elders, </w:t>
      </w:r>
      <w:r>
        <w:rPr>
          <w:spacing w:val="3"/>
          <w:w w:val="120"/>
          <w:sz w:val="20"/>
        </w:rPr>
        <w:t>or </w:t>
      </w:r>
      <w:r>
        <w:rPr>
          <w:w w:val="120"/>
          <w:sz w:val="20"/>
        </w:rPr>
        <w:t>a </w:t>
      </w:r>
      <w:r>
        <w:rPr>
          <w:spacing w:val="6"/>
          <w:w w:val="120"/>
          <w:sz w:val="20"/>
        </w:rPr>
        <w:t>support </w:t>
      </w:r>
      <w:r>
        <w:rPr>
          <w:spacing w:val="3"/>
          <w:w w:val="120"/>
          <w:sz w:val="20"/>
        </w:rPr>
        <w:t>group, of </w:t>
      </w:r>
      <w:r>
        <w:rPr>
          <w:spacing w:val="4"/>
          <w:w w:val="120"/>
          <w:sz w:val="20"/>
        </w:rPr>
        <w:t>the </w:t>
      </w:r>
      <w:r>
        <w:rPr>
          <w:spacing w:val="5"/>
          <w:w w:val="120"/>
          <w:sz w:val="20"/>
        </w:rPr>
        <w:t>hourly element </w:t>
      </w:r>
      <w:r>
        <w:rPr>
          <w:spacing w:val="3"/>
          <w:w w:val="120"/>
          <w:sz w:val="20"/>
        </w:rPr>
        <w:t>of </w:t>
      </w:r>
      <w:r>
        <w:rPr>
          <w:spacing w:val="4"/>
          <w:w w:val="120"/>
          <w:sz w:val="20"/>
        </w:rPr>
        <w:t>the </w:t>
      </w:r>
      <w:r>
        <w:rPr>
          <w:spacing w:val="5"/>
          <w:w w:val="120"/>
          <w:sz w:val="20"/>
        </w:rPr>
        <w:t>working week. Indeed </w:t>
      </w:r>
      <w:r>
        <w:rPr>
          <w:spacing w:val="2"/>
          <w:w w:val="120"/>
          <w:sz w:val="20"/>
        </w:rPr>
        <w:t>it </w:t>
      </w:r>
      <w:r>
        <w:rPr>
          <w:spacing w:val="4"/>
          <w:w w:val="120"/>
          <w:sz w:val="20"/>
        </w:rPr>
        <w:t>ought </w:t>
      </w:r>
      <w:r>
        <w:rPr>
          <w:w w:val="120"/>
          <w:sz w:val="20"/>
        </w:rPr>
        <w:t>to </w:t>
      </w:r>
      <w:r>
        <w:rPr>
          <w:spacing w:val="4"/>
          <w:w w:val="120"/>
          <w:sz w:val="20"/>
        </w:rPr>
        <w:t>be </w:t>
      </w:r>
      <w:r>
        <w:rPr>
          <w:spacing w:val="6"/>
          <w:w w:val="120"/>
          <w:sz w:val="20"/>
        </w:rPr>
        <w:t>part </w:t>
      </w:r>
      <w:r>
        <w:rPr>
          <w:spacing w:val="3"/>
          <w:w w:val="120"/>
          <w:sz w:val="20"/>
        </w:rPr>
        <w:t>of </w:t>
      </w:r>
      <w:r>
        <w:rPr>
          <w:spacing w:val="4"/>
          <w:w w:val="120"/>
          <w:sz w:val="20"/>
        </w:rPr>
        <w:t>the </w:t>
      </w:r>
      <w:r>
        <w:rPr>
          <w:spacing w:val="5"/>
          <w:w w:val="120"/>
          <w:sz w:val="20"/>
        </w:rPr>
        <w:t>elders’ responsibility </w:t>
      </w:r>
      <w:r>
        <w:rPr>
          <w:w w:val="120"/>
          <w:sz w:val="20"/>
        </w:rPr>
        <w:t>to </w:t>
      </w:r>
      <w:r>
        <w:rPr>
          <w:spacing w:val="4"/>
          <w:w w:val="120"/>
          <w:sz w:val="20"/>
        </w:rPr>
        <w:t>minister/CRCW and </w:t>
      </w:r>
      <w:r>
        <w:rPr>
          <w:spacing w:val="5"/>
          <w:w w:val="120"/>
          <w:sz w:val="20"/>
        </w:rPr>
        <w:t>local </w:t>
      </w:r>
      <w:r>
        <w:rPr>
          <w:spacing w:val="4"/>
          <w:w w:val="120"/>
          <w:sz w:val="20"/>
        </w:rPr>
        <w:t>pastorate </w:t>
      </w:r>
      <w:r>
        <w:rPr>
          <w:spacing w:val="3"/>
          <w:w w:val="120"/>
          <w:sz w:val="20"/>
        </w:rPr>
        <w:t>or </w:t>
      </w:r>
      <w:r>
        <w:rPr>
          <w:spacing w:val="4"/>
          <w:w w:val="120"/>
          <w:sz w:val="20"/>
        </w:rPr>
        <w:t>post </w:t>
      </w:r>
      <w:r>
        <w:rPr>
          <w:w w:val="120"/>
          <w:sz w:val="20"/>
        </w:rPr>
        <w:t>to </w:t>
      </w:r>
      <w:r>
        <w:rPr>
          <w:spacing w:val="4"/>
          <w:w w:val="120"/>
          <w:sz w:val="20"/>
        </w:rPr>
        <w:t>ensure that the minister/CRCW does </w:t>
      </w:r>
      <w:r>
        <w:rPr>
          <w:spacing w:val="3"/>
          <w:w w:val="120"/>
          <w:sz w:val="20"/>
        </w:rPr>
        <w:t>not </w:t>
      </w:r>
      <w:r>
        <w:rPr>
          <w:spacing w:val="5"/>
          <w:w w:val="120"/>
          <w:sz w:val="20"/>
        </w:rPr>
        <w:t>regularly </w:t>
      </w:r>
      <w:r>
        <w:rPr>
          <w:spacing w:val="6"/>
          <w:w w:val="120"/>
          <w:sz w:val="20"/>
        </w:rPr>
        <w:t>overwork </w:t>
      </w:r>
      <w:r>
        <w:rPr>
          <w:w w:val="120"/>
          <w:sz w:val="20"/>
        </w:rPr>
        <w:t>to </w:t>
      </w:r>
      <w:r>
        <w:rPr>
          <w:spacing w:val="4"/>
          <w:w w:val="120"/>
          <w:sz w:val="20"/>
        </w:rPr>
        <w:t>the </w:t>
      </w:r>
      <w:r>
        <w:rPr>
          <w:spacing w:val="5"/>
          <w:w w:val="120"/>
          <w:sz w:val="20"/>
        </w:rPr>
        <w:t>detriment </w:t>
      </w:r>
      <w:r>
        <w:rPr>
          <w:spacing w:val="3"/>
          <w:w w:val="120"/>
          <w:sz w:val="20"/>
        </w:rPr>
        <w:t>of </w:t>
      </w:r>
      <w:r>
        <w:rPr>
          <w:spacing w:val="4"/>
          <w:w w:val="120"/>
          <w:sz w:val="20"/>
        </w:rPr>
        <w:t>individual health. </w:t>
      </w:r>
      <w:r>
        <w:rPr>
          <w:spacing w:val="3"/>
          <w:w w:val="120"/>
          <w:sz w:val="20"/>
        </w:rPr>
        <w:t>It </w:t>
      </w:r>
      <w:r>
        <w:rPr>
          <w:spacing w:val="2"/>
          <w:w w:val="120"/>
          <w:sz w:val="20"/>
        </w:rPr>
        <w:t>may  </w:t>
      </w:r>
      <w:r>
        <w:rPr>
          <w:spacing w:val="4"/>
          <w:w w:val="120"/>
          <w:sz w:val="20"/>
        </w:rPr>
        <w:t>be illuminating </w:t>
      </w:r>
      <w:r>
        <w:rPr>
          <w:spacing w:val="3"/>
          <w:w w:val="120"/>
          <w:sz w:val="20"/>
        </w:rPr>
        <w:t>for </w:t>
      </w:r>
      <w:r>
        <w:rPr>
          <w:spacing w:val="4"/>
          <w:w w:val="120"/>
          <w:sz w:val="20"/>
        </w:rPr>
        <w:t>congregations </w:t>
      </w:r>
      <w:r>
        <w:rPr>
          <w:w w:val="120"/>
          <w:sz w:val="20"/>
        </w:rPr>
        <w:t>to  </w:t>
      </w:r>
      <w:r>
        <w:rPr>
          <w:spacing w:val="4"/>
          <w:w w:val="120"/>
          <w:sz w:val="20"/>
        </w:rPr>
        <w:t>know  the breadth </w:t>
      </w:r>
      <w:r>
        <w:rPr>
          <w:spacing w:val="3"/>
          <w:w w:val="120"/>
          <w:sz w:val="20"/>
        </w:rPr>
        <w:t>of </w:t>
      </w:r>
      <w:r>
        <w:rPr>
          <w:spacing w:val="4"/>
          <w:w w:val="120"/>
          <w:sz w:val="20"/>
        </w:rPr>
        <w:t>the </w:t>
      </w:r>
      <w:r>
        <w:rPr>
          <w:spacing w:val="5"/>
          <w:w w:val="120"/>
          <w:sz w:val="20"/>
        </w:rPr>
        <w:t>ministerial task. </w:t>
      </w:r>
      <w:r>
        <w:rPr>
          <w:spacing w:val="4"/>
          <w:w w:val="120"/>
          <w:sz w:val="20"/>
        </w:rPr>
        <w:t>The most </w:t>
      </w:r>
      <w:r>
        <w:rPr>
          <w:spacing w:val="6"/>
          <w:w w:val="120"/>
          <w:sz w:val="20"/>
        </w:rPr>
        <w:t>important </w:t>
      </w:r>
      <w:r>
        <w:rPr>
          <w:spacing w:val="5"/>
          <w:w w:val="120"/>
          <w:sz w:val="20"/>
        </w:rPr>
        <w:t>factor </w:t>
      </w:r>
      <w:r>
        <w:rPr>
          <w:w w:val="120"/>
          <w:sz w:val="20"/>
        </w:rPr>
        <w:t>is </w:t>
      </w:r>
      <w:r>
        <w:rPr>
          <w:spacing w:val="4"/>
          <w:w w:val="120"/>
          <w:sz w:val="20"/>
        </w:rPr>
        <w:t>the relationship </w:t>
      </w:r>
      <w:r>
        <w:rPr>
          <w:spacing w:val="5"/>
          <w:w w:val="120"/>
          <w:sz w:val="20"/>
        </w:rPr>
        <w:t>between</w:t>
      </w:r>
      <w:r>
        <w:rPr>
          <w:spacing w:val="12"/>
          <w:w w:val="120"/>
          <w:sz w:val="20"/>
        </w:rPr>
        <w:t> </w:t>
      </w:r>
      <w:r>
        <w:rPr>
          <w:spacing w:val="4"/>
          <w:w w:val="120"/>
          <w:sz w:val="20"/>
        </w:rPr>
        <w:t>minister/CRCW</w:t>
      </w:r>
      <w:r>
        <w:rPr>
          <w:spacing w:val="13"/>
          <w:w w:val="120"/>
          <w:sz w:val="20"/>
        </w:rPr>
        <w:t> </w:t>
      </w:r>
      <w:r>
        <w:rPr>
          <w:spacing w:val="4"/>
          <w:w w:val="120"/>
          <w:sz w:val="20"/>
        </w:rPr>
        <w:t>and</w:t>
      </w:r>
      <w:r>
        <w:rPr>
          <w:spacing w:val="13"/>
          <w:w w:val="120"/>
          <w:sz w:val="20"/>
        </w:rPr>
        <w:t> </w:t>
      </w:r>
      <w:r>
        <w:rPr>
          <w:spacing w:val="4"/>
          <w:w w:val="120"/>
          <w:sz w:val="20"/>
        </w:rPr>
        <w:t>pastorate</w:t>
      </w:r>
      <w:r>
        <w:rPr>
          <w:spacing w:val="13"/>
          <w:w w:val="120"/>
          <w:sz w:val="20"/>
        </w:rPr>
        <w:t> </w:t>
      </w:r>
      <w:r>
        <w:rPr>
          <w:spacing w:val="3"/>
          <w:w w:val="120"/>
          <w:sz w:val="20"/>
        </w:rPr>
        <w:t>or</w:t>
      </w:r>
      <w:r>
        <w:rPr>
          <w:spacing w:val="13"/>
          <w:w w:val="120"/>
          <w:sz w:val="20"/>
        </w:rPr>
        <w:t> </w:t>
      </w:r>
      <w:r>
        <w:rPr>
          <w:spacing w:val="5"/>
          <w:w w:val="120"/>
          <w:sz w:val="20"/>
        </w:rPr>
        <w:t>post.</w:t>
      </w:r>
      <w:r>
        <w:rPr>
          <w:spacing w:val="12"/>
          <w:w w:val="120"/>
          <w:sz w:val="20"/>
        </w:rPr>
        <w:t> </w:t>
      </w:r>
      <w:r>
        <w:rPr>
          <w:spacing w:val="5"/>
          <w:w w:val="120"/>
          <w:sz w:val="20"/>
        </w:rPr>
        <w:t>Where</w:t>
      </w:r>
      <w:r>
        <w:rPr>
          <w:spacing w:val="13"/>
          <w:w w:val="120"/>
          <w:sz w:val="20"/>
        </w:rPr>
        <w:t> </w:t>
      </w:r>
      <w:r>
        <w:rPr>
          <w:spacing w:val="4"/>
          <w:w w:val="120"/>
          <w:sz w:val="20"/>
        </w:rPr>
        <w:t>the</w:t>
      </w:r>
      <w:r>
        <w:rPr>
          <w:spacing w:val="13"/>
          <w:w w:val="120"/>
          <w:sz w:val="20"/>
        </w:rPr>
        <w:t> </w:t>
      </w:r>
      <w:r>
        <w:rPr>
          <w:spacing w:val="4"/>
          <w:w w:val="120"/>
          <w:sz w:val="20"/>
        </w:rPr>
        <w:t>minister/CRCW</w:t>
      </w:r>
      <w:r>
        <w:rPr>
          <w:spacing w:val="13"/>
          <w:w w:val="120"/>
          <w:sz w:val="20"/>
        </w:rPr>
        <w:t> </w:t>
      </w:r>
      <w:r>
        <w:rPr>
          <w:w w:val="120"/>
          <w:sz w:val="20"/>
        </w:rPr>
        <w:t>is</w:t>
      </w:r>
      <w:r>
        <w:rPr>
          <w:spacing w:val="13"/>
          <w:w w:val="120"/>
          <w:sz w:val="20"/>
        </w:rPr>
        <w:t> </w:t>
      </w:r>
      <w:r>
        <w:rPr>
          <w:spacing w:val="4"/>
          <w:w w:val="120"/>
          <w:sz w:val="20"/>
        </w:rPr>
        <w:t>felt</w:t>
      </w:r>
      <w:r>
        <w:rPr>
          <w:spacing w:val="13"/>
          <w:w w:val="120"/>
          <w:sz w:val="20"/>
        </w:rPr>
        <w:t> </w:t>
      </w:r>
      <w:r>
        <w:rPr>
          <w:w w:val="120"/>
          <w:sz w:val="20"/>
        </w:rPr>
        <w:t>to</w:t>
      </w:r>
    </w:p>
    <w:p>
      <w:pPr>
        <w:pStyle w:val="BodyText"/>
        <w:spacing w:line="235" w:lineRule="auto" w:before="6"/>
        <w:ind w:left="1984" w:right="1120"/>
      </w:pPr>
      <w:r>
        <w:rPr>
          <w:w w:val="120"/>
        </w:rPr>
        <w:t>be fulfilling their role within the total life of the congregation most church members will not think in terms of the time a minister/CRCW gives.</w:t>
      </w:r>
    </w:p>
    <w:p>
      <w:pPr>
        <w:pStyle w:val="BodyText"/>
        <w:spacing w:before="9"/>
        <w:rPr>
          <w:sz w:val="19"/>
        </w:rPr>
      </w:pPr>
    </w:p>
    <w:p>
      <w:pPr>
        <w:pStyle w:val="ListParagraph"/>
        <w:numPr>
          <w:ilvl w:val="1"/>
          <w:numId w:val="196"/>
        </w:numPr>
        <w:tabs>
          <w:tab w:pos="2665" w:val="left" w:leader="none"/>
        </w:tabs>
        <w:spacing w:line="235" w:lineRule="auto" w:before="1" w:after="0"/>
        <w:ind w:left="1984" w:right="1164" w:firstLine="0"/>
        <w:jc w:val="both"/>
        <w:rPr>
          <w:sz w:val="20"/>
        </w:rPr>
      </w:pPr>
      <w:r>
        <w:rPr>
          <w:spacing w:val="3"/>
          <w:w w:val="120"/>
          <w:sz w:val="20"/>
        </w:rPr>
        <w:t>It </w:t>
      </w:r>
      <w:r>
        <w:rPr>
          <w:w w:val="120"/>
          <w:sz w:val="20"/>
        </w:rPr>
        <w:t>is </w:t>
      </w:r>
      <w:r>
        <w:rPr>
          <w:spacing w:val="5"/>
          <w:w w:val="120"/>
          <w:sz w:val="20"/>
        </w:rPr>
        <w:t>hoped </w:t>
      </w:r>
      <w:r>
        <w:rPr>
          <w:spacing w:val="4"/>
          <w:w w:val="120"/>
          <w:sz w:val="20"/>
        </w:rPr>
        <w:t>that </w:t>
      </w:r>
      <w:r>
        <w:rPr>
          <w:spacing w:val="3"/>
          <w:w w:val="120"/>
          <w:sz w:val="20"/>
        </w:rPr>
        <w:t>this </w:t>
      </w:r>
      <w:r>
        <w:rPr>
          <w:spacing w:val="5"/>
          <w:w w:val="120"/>
          <w:sz w:val="20"/>
        </w:rPr>
        <w:t>framework </w:t>
      </w:r>
      <w:r>
        <w:rPr>
          <w:spacing w:val="4"/>
          <w:w w:val="120"/>
          <w:sz w:val="20"/>
        </w:rPr>
        <w:t>will </w:t>
      </w:r>
      <w:r>
        <w:rPr>
          <w:spacing w:val="6"/>
          <w:w w:val="120"/>
          <w:sz w:val="20"/>
        </w:rPr>
        <w:t>offer </w:t>
      </w:r>
      <w:r>
        <w:rPr>
          <w:w w:val="120"/>
          <w:sz w:val="20"/>
        </w:rPr>
        <w:t>a </w:t>
      </w:r>
      <w:r>
        <w:rPr>
          <w:spacing w:val="4"/>
          <w:w w:val="120"/>
          <w:sz w:val="20"/>
        </w:rPr>
        <w:t>useful </w:t>
      </w:r>
      <w:r>
        <w:rPr>
          <w:spacing w:val="5"/>
          <w:w w:val="120"/>
          <w:sz w:val="20"/>
        </w:rPr>
        <w:t>benchmark </w:t>
      </w:r>
      <w:r>
        <w:rPr>
          <w:spacing w:val="3"/>
          <w:w w:val="120"/>
          <w:sz w:val="20"/>
        </w:rPr>
        <w:t>for </w:t>
      </w:r>
      <w:r>
        <w:rPr>
          <w:spacing w:val="4"/>
          <w:w w:val="120"/>
          <w:sz w:val="20"/>
        </w:rPr>
        <w:t>the </w:t>
      </w:r>
      <w:r>
        <w:rPr>
          <w:spacing w:val="6"/>
          <w:w w:val="120"/>
          <w:sz w:val="20"/>
        </w:rPr>
        <w:t>reflection </w:t>
      </w:r>
      <w:r>
        <w:rPr>
          <w:spacing w:val="4"/>
          <w:w w:val="120"/>
          <w:sz w:val="20"/>
        </w:rPr>
        <w:t>involved</w:t>
      </w:r>
      <w:r>
        <w:rPr>
          <w:spacing w:val="14"/>
          <w:w w:val="120"/>
          <w:sz w:val="20"/>
        </w:rPr>
        <w:t> </w:t>
      </w:r>
      <w:r>
        <w:rPr>
          <w:spacing w:val="2"/>
          <w:w w:val="120"/>
          <w:sz w:val="20"/>
        </w:rPr>
        <w:t>in</w:t>
      </w:r>
      <w:r>
        <w:rPr>
          <w:spacing w:val="15"/>
          <w:w w:val="120"/>
          <w:sz w:val="20"/>
        </w:rPr>
        <w:t> </w:t>
      </w:r>
      <w:r>
        <w:rPr>
          <w:spacing w:val="4"/>
          <w:w w:val="120"/>
          <w:sz w:val="20"/>
        </w:rPr>
        <w:t>the</w:t>
      </w:r>
      <w:r>
        <w:rPr>
          <w:spacing w:val="15"/>
          <w:w w:val="120"/>
          <w:sz w:val="20"/>
        </w:rPr>
        <w:t> </w:t>
      </w:r>
      <w:r>
        <w:rPr>
          <w:spacing w:val="4"/>
          <w:w w:val="120"/>
          <w:sz w:val="20"/>
        </w:rPr>
        <w:t>processes</w:t>
      </w:r>
      <w:r>
        <w:rPr>
          <w:spacing w:val="14"/>
          <w:w w:val="120"/>
          <w:sz w:val="20"/>
        </w:rPr>
        <w:t> </w:t>
      </w:r>
      <w:r>
        <w:rPr>
          <w:spacing w:val="3"/>
          <w:w w:val="120"/>
          <w:sz w:val="20"/>
        </w:rPr>
        <w:t>of</w:t>
      </w:r>
      <w:r>
        <w:rPr>
          <w:spacing w:val="15"/>
          <w:w w:val="120"/>
          <w:sz w:val="20"/>
        </w:rPr>
        <w:t> </w:t>
      </w:r>
      <w:r>
        <w:rPr>
          <w:spacing w:val="5"/>
          <w:w w:val="120"/>
          <w:sz w:val="20"/>
        </w:rPr>
        <w:t>Ministerial</w:t>
      </w:r>
      <w:r>
        <w:rPr>
          <w:spacing w:val="15"/>
          <w:w w:val="120"/>
          <w:sz w:val="20"/>
        </w:rPr>
        <w:t> </w:t>
      </w:r>
      <w:r>
        <w:rPr>
          <w:spacing w:val="4"/>
          <w:w w:val="120"/>
          <w:sz w:val="20"/>
        </w:rPr>
        <w:t>Accompanied</w:t>
      </w:r>
      <w:r>
        <w:rPr>
          <w:spacing w:val="15"/>
          <w:w w:val="120"/>
          <w:sz w:val="20"/>
        </w:rPr>
        <w:t> </w:t>
      </w:r>
      <w:r>
        <w:rPr>
          <w:spacing w:val="4"/>
          <w:w w:val="120"/>
          <w:sz w:val="20"/>
        </w:rPr>
        <w:t>Self</w:t>
      </w:r>
      <w:r>
        <w:rPr>
          <w:spacing w:val="14"/>
          <w:w w:val="120"/>
          <w:sz w:val="20"/>
        </w:rPr>
        <w:t> </w:t>
      </w:r>
      <w:r>
        <w:rPr>
          <w:spacing w:val="5"/>
          <w:w w:val="120"/>
          <w:sz w:val="20"/>
        </w:rPr>
        <w:t>Appraisal</w:t>
      </w:r>
      <w:r>
        <w:rPr>
          <w:spacing w:val="15"/>
          <w:w w:val="120"/>
          <w:sz w:val="20"/>
        </w:rPr>
        <w:t> </w:t>
      </w:r>
      <w:r>
        <w:rPr>
          <w:spacing w:val="4"/>
          <w:w w:val="120"/>
          <w:sz w:val="20"/>
        </w:rPr>
        <w:t>and</w:t>
      </w:r>
      <w:r>
        <w:rPr>
          <w:spacing w:val="15"/>
          <w:w w:val="120"/>
          <w:sz w:val="20"/>
        </w:rPr>
        <w:t> </w:t>
      </w:r>
      <w:r>
        <w:rPr>
          <w:spacing w:val="5"/>
          <w:w w:val="120"/>
          <w:sz w:val="20"/>
        </w:rPr>
        <w:t>Local</w:t>
      </w:r>
    </w:p>
    <w:p>
      <w:pPr>
        <w:spacing w:after="0" w:line="235" w:lineRule="auto"/>
        <w:jc w:val="both"/>
        <w:rPr>
          <w:sz w:val="20"/>
        </w:rPr>
        <w:sectPr>
          <w:pgSz w:w="11910" w:h="16840"/>
          <w:pgMar w:header="0" w:footer="647" w:top="1060" w:bottom="840" w:left="0" w:right="0"/>
        </w:sectPr>
      </w:pPr>
    </w:p>
    <w:p>
      <w:pPr>
        <w:pStyle w:val="BodyText"/>
        <w:spacing w:line="235" w:lineRule="auto" w:before="107"/>
        <w:ind w:left="1133" w:right="2573"/>
      </w:pPr>
      <w:r>
        <w:rPr/>
        <w:pict>
          <v:rect style="position:absolute;margin-left:12.047pt;margin-top:8.47653pt;width:22.677pt;height:22.677pt;mso-position-horizontal-relative:page;mso-position-vertical-relative:paragraph;z-index:252383232" filled="true" fillcolor="#dcd0e6" stroked="false">
            <v:fill opacity="32768f" type="solid"/>
            <w10:wrap type="none"/>
          </v:rect>
        </w:pict>
      </w:r>
      <w:r>
        <w:rPr>
          <w:w w:val="120"/>
        </w:rPr>
        <w:t>Mission and Ministry Review. Similarly the guidance should be reflected in the management and support structures put in place for ministers engaged in General Assembly and synod appointments, including Church House staff and Synod Moderators. The principles involved should also inform how ministers in non- stipendiary service are deployed and supported.</w:t>
      </w:r>
    </w:p>
    <w:p>
      <w:pPr>
        <w:pStyle w:val="BodyText"/>
        <w:spacing w:before="12"/>
        <w:rPr>
          <w:sz w:val="19"/>
        </w:rPr>
      </w:pPr>
    </w:p>
    <w:p>
      <w:pPr>
        <w:pStyle w:val="ListParagraph"/>
        <w:numPr>
          <w:ilvl w:val="0"/>
          <w:numId w:val="197"/>
        </w:numPr>
        <w:tabs>
          <w:tab w:pos="1814" w:val="left" w:leader="none"/>
          <w:tab w:pos="1815" w:val="left" w:leader="none"/>
        </w:tabs>
        <w:spacing w:line="235" w:lineRule="auto" w:before="0" w:after="0"/>
        <w:ind w:left="1134" w:right="2052" w:hanging="1"/>
        <w:jc w:val="left"/>
        <w:rPr>
          <w:sz w:val="20"/>
        </w:rPr>
      </w:pPr>
      <w:r>
        <w:rPr>
          <w:spacing w:val="3"/>
          <w:w w:val="120"/>
          <w:sz w:val="20"/>
        </w:rPr>
        <w:t>In </w:t>
      </w:r>
      <w:r>
        <w:rPr>
          <w:spacing w:val="5"/>
          <w:w w:val="120"/>
          <w:sz w:val="20"/>
        </w:rPr>
        <w:t>setting </w:t>
      </w:r>
      <w:r>
        <w:rPr>
          <w:spacing w:val="4"/>
          <w:w w:val="120"/>
          <w:sz w:val="20"/>
        </w:rPr>
        <w:t>clear </w:t>
      </w:r>
      <w:r>
        <w:rPr>
          <w:spacing w:val="5"/>
          <w:w w:val="120"/>
          <w:sz w:val="20"/>
        </w:rPr>
        <w:t>guidelines </w:t>
      </w:r>
      <w:r>
        <w:rPr>
          <w:spacing w:val="3"/>
          <w:w w:val="120"/>
          <w:sz w:val="20"/>
        </w:rPr>
        <w:t>for </w:t>
      </w:r>
      <w:r>
        <w:rPr>
          <w:spacing w:val="5"/>
          <w:w w:val="120"/>
          <w:sz w:val="20"/>
        </w:rPr>
        <w:t>‘working </w:t>
      </w:r>
      <w:r>
        <w:rPr>
          <w:spacing w:val="3"/>
          <w:w w:val="120"/>
          <w:sz w:val="20"/>
        </w:rPr>
        <w:t>time’ </w:t>
      </w:r>
      <w:r>
        <w:rPr>
          <w:spacing w:val="4"/>
          <w:w w:val="120"/>
          <w:sz w:val="20"/>
        </w:rPr>
        <w:t>several </w:t>
      </w:r>
      <w:r>
        <w:rPr>
          <w:spacing w:val="5"/>
          <w:w w:val="120"/>
          <w:sz w:val="20"/>
        </w:rPr>
        <w:t>factors </w:t>
      </w:r>
      <w:r>
        <w:rPr>
          <w:spacing w:val="4"/>
          <w:w w:val="120"/>
          <w:sz w:val="20"/>
        </w:rPr>
        <w:t>need </w:t>
      </w:r>
      <w:r>
        <w:rPr>
          <w:w w:val="120"/>
          <w:sz w:val="20"/>
        </w:rPr>
        <w:t>to </w:t>
      </w:r>
      <w:r>
        <w:rPr>
          <w:spacing w:val="4"/>
          <w:w w:val="120"/>
          <w:sz w:val="20"/>
        </w:rPr>
        <w:t>be </w:t>
      </w:r>
      <w:r>
        <w:rPr>
          <w:spacing w:val="5"/>
          <w:w w:val="120"/>
          <w:sz w:val="20"/>
        </w:rPr>
        <w:t>borne </w:t>
      </w:r>
      <w:r>
        <w:rPr>
          <w:spacing w:val="2"/>
          <w:w w:val="120"/>
          <w:sz w:val="20"/>
        </w:rPr>
        <w:t>in</w:t>
      </w:r>
      <w:r>
        <w:rPr>
          <w:spacing w:val="13"/>
          <w:w w:val="120"/>
          <w:sz w:val="20"/>
        </w:rPr>
        <w:t> </w:t>
      </w:r>
      <w:r>
        <w:rPr>
          <w:spacing w:val="4"/>
          <w:w w:val="120"/>
          <w:sz w:val="20"/>
        </w:rPr>
        <w:t>mind.</w:t>
      </w:r>
    </w:p>
    <w:p>
      <w:pPr>
        <w:pStyle w:val="BodyText"/>
        <w:spacing w:before="9"/>
        <w:rPr>
          <w:sz w:val="19"/>
        </w:rPr>
      </w:pPr>
    </w:p>
    <w:p>
      <w:pPr>
        <w:pStyle w:val="ListParagraph"/>
        <w:numPr>
          <w:ilvl w:val="1"/>
          <w:numId w:val="197"/>
        </w:numPr>
        <w:tabs>
          <w:tab w:pos="1814" w:val="left" w:leader="none"/>
          <w:tab w:pos="1815" w:val="left" w:leader="none"/>
        </w:tabs>
        <w:spacing w:line="235" w:lineRule="auto" w:before="0" w:after="0"/>
        <w:ind w:left="1134" w:right="2420" w:firstLine="0"/>
        <w:jc w:val="left"/>
        <w:rPr>
          <w:sz w:val="20"/>
        </w:rPr>
      </w:pPr>
      <w:r>
        <w:rPr>
          <w:spacing w:val="5"/>
          <w:w w:val="120"/>
          <w:sz w:val="20"/>
        </w:rPr>
        <w:t>For </w:t>
      </w:r>
      <w:r>
        <w:rPr>
          <w:spacing w:val="4"/>
          <w:w w:val="120"/>
          <w:sz w:val="20"/>
        </w:rPr>
        <w:t>some ministers their </w:t>
      </w:r>
      <w:r>
        <w:rPr>
          <w:spacing w:val="5"/>
          <w:w w:val="120"/>
          <w:sz w:val="20"/>
        </w:rPr>
        <w:t>local </w:t>
      </w:r>
      <w:r>
        <w:rPr>
          <w:spacing w:val="6"/>
          <w:w w:val="120"/>
          <w:sz w:val="20"/>
        </w:rPr>
        <w:t>ministry </w:t>
      </w:r>
      <w:r>
        <w:rPr>
          <w:w w:val="120"/>
          <w:sz w:val="20"/>
        </w:rPr>
        <w:t>is </w:t>
      </w:r>
      <w:r>
        <w:rPr>
          <w:spacing w:val="4"/>
          <w:w w:val="120"/>
          <w:sz w:val="20"/>
        </w:rPr>
        <w:t>their only passion. That </w:t>
      </w:r>
      <w:r>
        <w:rPr>
          <w:spacing w:val="3"/>
          <w:w w:val="120"/>
          <w:sz w:val="20"/>
        </w:rPr>
        <w:t>has </w:t>
      </w:r>
      <w:r>
        <w:rPr>
          <w:w w:val="120"/>
          <w:sz w:val="20"/>
        </w:rPr>
        <w:t>to </w:t>
      </w:r>
      <w:r>
        <w:rPr>
          <w:spacing w:val="4"/>
          <w:w w:val="120"/>
          <w:sz w:val="20"/>
        </w:rPr>
        <w:t>be </w:t>
      </w:r>
      <w:r>
        <w:rPr>
          <w:spacing w:val="3"/>
          <w:w w:val="120"/>
          <w:sz w:val="20"/>
        </w:rPr>
        <w:t>accepted, </w:t>
      </w:r>
      <w:r>
        <w:rPr>
          <w:spacing w:val="5"/>
          <w:w w:val="120"/>
          <w:sz w:val="20"/>
        </w:rPr>
        <w:t>although open </w:t>
      </w:r>
      <w:r>
        <w:rPr>
          <w:w w:val="120"/>
          <w:sz w:val="20"/>
        </w:rPr>
        <w:t>to </w:t>
      </w:r>
      <w:r>
        <w:rPr>
          <w:spacing w:val="4"/>
          <w:w w:val="120"/>
          <w:sz w:val="20"/>
        </w:rPr>
        <w:t>being </w:t>
      </w:r>
      <w:r>
        <w:rPr>
          <w:spacing w:val="5"/>
          <w:w w:val="120"/>
          <w:sz w:val="20"/>
        </w:rPr>
        <w:t>questioned </w:t>
      </w:r>
      <w:r>
        <w:rPr>
          <w:w w:val="120"/>
          <w:sz w:val="20"/>
        </w:rPr>
        <w:t>by </w:t>
      </w:r>
      <w:r>
        <w:rPr>
          <w:spacing w:val="4"/>
          <w:w w:val="120"/>
          <w:sz w:val="20"/>
        </w:rPr>
        <w:t>the </w:t>
      </w:r>
      <w:r>
        <w:rPr>
          <w:spacing w:val="5"/>
          <w:w w:val="120"/>
          <w:sz w:val="20"/>
        </w:rPr>
        <w:t>elders </w:t>
      </w:r>
      <w:r>
        <w:rPr>
          <w:spacing w:val="3"/>
          <w:w w:val="120"/>
          <w:sz w:val="20"/>
        </w:rPr>
        <w:t>or </w:t>
      </w:r>
      <w:r>
        <w:rPr>
          <w:w w:val="120"/>
          <w:sz w:val="20"/>
        </w:rPr>
        <w:t>by </w:t>
      </w:r>
      <w:r>
        <w:rPr>
          <w:spacing w:val="4"/>
          <w:w w:val="120"/>
          <w:sz w:val="20"/>
        </w:rPr>
        <w:t>the </w:t>
      </w:r>
      <w:r>
        <w:rPr>
          <w:spacing w:val="5"/>
          <w:w w:val="120"/>
          <w:sz w:val="20"/>
        </w:rPr>
        <w:t>appraisal </w:t>
      </w:r>
      <w:r>
        <w:rPr>
          <w:spacing w:val="6"/>
          <w:w w:val="120"/>
          <w:sz w:val="20"/>
        </w:rPr>
        <w:t>partner</w:t>
      </w:r>
      <w:r>
        <w:rPr>
          <w:spacing w:val="11"/>
          <w:w w:val="120"/>
          <w:sz w:val="20"/>
        </w:rPr>
        <w:t> </w:t>
      </w:r>
      <w:r>
        <w:rPr>
          <w:spacing w:val="2"/>
          <w:w w:val="120"/>
          <w:sz w:val="20"/>
        </w:rPr>
        <w:t>in</w:t>
      </w:r>
      <w:r>
        <w:rPr>
          <w:spacing w:val="12"/>
          <w:w w:val="120"/>
          <w:sz w:val="20"/>
        </w:rPr>
        <w:t> </w:t>
      </w:r>
      <w:r>
        <w:rPr>
          <w:spacing w:val="4"/>
          <w:w w:val="120"/>
          <w:sz w:val="20"/>
        </w:rPr>
        <w:t>the</w:t>
      </w:r>
      <w:r>
        <w:rPr>
          <w:spacing w:val="12"/>
          <w:w w:val="120"/>
          <w:sz w:val="20"/>
        </w:rPr>
        <w:t> </w:t>
      </w:r>
      <w:r>
        <w:rPr>
          <w:spacing w:val="4"/>
          <w:w w:val="120"/>
          <w:sz w:val="20"/>
        </w:rPr>
        <w:t>accompanied</w:t>
      </w:r>
      <w:r>
        <w:rPr>
          <w:spacing w:val="12"/>
          <w:w w:val="120"/>
          <w:sz w:val="20"/>
        </w:rPr>
        <w:t> </w:t>
      </w:r>
      <w:r>
        <w:rPr>
          <w:spacing w:val="4"/>
          <w:w w:val="120"/>
          <w:sz w:val="20"/>
        </w:rPr>
        <w:t>self</w:t>
      </w:r>
      <w:r>
        <w:rPr>
          <w:spacing w:val="12"/>
          <w:w w:val="120"/>
          <w:sz w:val="20"/>
        </w:rPr>
        <w:t> </w:t>
      </w:r>
      <w:r>
        <w:rPr>
          <w:spacing w:val="5"/>
          <w:w w:val="120"/>
          <w:sz w:val="20"/>
        </w:rPr>
        <w:t>appraisal</w:t>
      </w:r>
      <w:r>
        <w:rPr>
          <w:spacing w:val="12"/>
          <w:w w:val="120"/>
          <w:sz w:val="20"/>
        </w:rPr>
        <w:t> </w:t>
      </w:r>
      <w:r>
        <w:rPr>
          <w:spacing w:val="5"/>
          <w:w w:val="120"/>
          <w:sz w:val="20"/>
        </w:rPr>
        <w:t>element</w:t>
      </w:r>
      <w:r>
        <w:rPr>
          <w:spacing w:val="12"/>
          <w:w w:val="120"/>
          <w:sz w:val="20"/>
        </w:rPr>
        <w:t> </w:t>
      </w:r>
      <w:r>
        <w:rPr>
          <w:spacing w:val="3"/>
          <w:w w:val="120"/>
          <w:sz w:val="20"/>
        </w:rPr>
        <w:t>of</w:t>
      </w:r>
      <w:r>
        <w:rPr>
          <w:spacing w:val="12"/>
          <w:w w:val="120"/>
          <w:sz w:val="20"/>
        </w:rPr>
        <w:t> </w:t>
      </w:r>
      <w:r>
        <w:rPr>
          <w:spacing w:val="4"/>
          <w:w w:val="120"/>
          <w:sz w:val="20"/>
        </w:rPr>
        <w:t>the</w:t>
      </w:r>
      <w:r>
        <w:rPr>
          <w:spacing w:val="12"/>
          <w:w w:val="120"/>
          <w:sz w:val="20"/>
        </w:rPr>
        <w:t> </w:t>
      </w:r>
      <w:r>
        <w:rPr>
          <w:spacing w:val="5"/>
          <w:w w:val="120"/>
          <w:sz w:val="20"/>
        </w:rPr>
        <w:t>ministerial</w:t>
      </w:r>
      <w:r>
        <w:rPr>
          <w:spacing w:val="12"/>
          <w:w w:val="120"/>
          <w:sz w:val="20"/>
        </w:rPr>
        <w:t> </w:t>
      </w:r>
      <w:r>
        <w:rPr>
          <w:spacing w:val="3"/>
          <w:w w:val="120"/>
          <w:sz w:val="20"/>
        </w:rPr>
        <w:t>review.</w:t>
      </w:r>
    </w:p>
    <w:p>
      <w:pPr>
        <w:pStyle w:val="BodyText"/>
        <w:spacing w:before="10"/>
        <w:rPr>
          <w:sz w:val="19"/>
        </w:rPr>
      </w:pPr>
    </w:p>
    <w:p>
      <w:pPr>
        <w:pStyle w:val="ListParagraph"/>
        <w:numPr>
          <w:ilvl w:val="1"/>
          <w:numId w:val="197"/>
        </w:numPr>
        <w:tabs>
          <w:tab w:pos="1814" w:val="left" w:leader="none"/>
          <w:tab w:pos="1815" w:val="left" w:leader="none"/>
        </w:tabs>
        <w:spacing w:line="235" w:lineRule="auto" w:before="1" w:after="0"/>
        <w:ind w:left="1134" w:right="2354" w:firstLine="0"/>
        <w:jc w:val="left"/>
        <w:rPr>
          <w:sz w:val="20"/>
        </w:rPr>
      </w:pPr>
      <w:r>
        <w:rPr>
          <w:spacing w:val="4"/>
          <w:w w:val="120"/>
          <w:sz w:val="20"/>
        </w:rPr>
        <w:t>An essential </w:t>
      </w:r>
      <w:r>
        <w:rPr>
          <w:spacing w:val="6"/>
          <w:w w:val="120"/>
          <w:sz w:val="20"/>
        </w:rPr>
        <w:t>part </w:t>
      </w:r>
      <w:r>
        <w:rPr>
          <w:spacing w:val="3"/>
          <w:w w:val="120"/>
          <w:sz w:val="20"/>
        </w:rPr>
        <w:t>of </w:t>
      </w:r>
      <w:r>
        <w:rPr>
          <w:spacing w:val="4"/>
          <w:w w:val="120"/>
          <w:sz w:val="20"/>
        </w:rPr>
        <w:t>the </w:t>
      </w:r>
      <w:r>
        <w:rPr>
          <w:spacing w:val="3"/>
          <w:w w:val="120"/>
          <w:sz w:val="20"/>
        </w:rPr>
        <w:t>minister’s </w:t>
      </w:r>
      <w:r>
        <w:rPr>
          <w:spacing w:val="4"/>
          <w:w w:val="120"/>
          <w:sz w:val="20"/>
        </w:rPr>
        <w:t>work </w:t>
      </w:r>
      <w:r>
        <w:rPr>
          <w:w w:val="120"/>
          <w:sz w:val="20"/>
        </w:rPr>
        <w:t>is </w:t>
      </w:r>
      <w:r>
        <w:rPr>
          <w:spacing w:val="5"/>
          <w:w w:val="120"/>
          <w:sz w:val="20"/>
        </w:rPr>
        <w:t>reflection, </w:t>
      </w:r>
      <w:r>
        <w:rPr>
          <w:spacing w:val="4"/>
          <w:w w:val="120"/>
          <w:sz w:val="20"/>
        </w:rPr>
        <w:t>prayer and </w:t>
      </w:r>
      <w:r>
        <w:rPr>
          <w:spacing w:val="2"/>
          <w:w w:val="120"/>
          <w:sz w:val="20"/>
        </w:rPr>
        <w:t>study. </w:t>
      </w:r>
      <w:r>
        <w:rPr>
          <w:spacing w:val="3"/>
          <w:w w:val="120"/>
          <w:sz w:val="20"/>
        </w:rPr>
        <w:t>This </w:t>
      </w:r>
      <w:r>
        <w:rPr>
          <w:w w:val="120"/>
          <w:sz w:val="20"/>
        </w:rPr>
        <w:t>is </w:t>
      </w:r>
      <w:r>
        <w:rPr>
          <w:spacing w:val="3"/>
          <w:w w:val="120"/>
          <w:sz w:val="20"/>
        </w:rPr>
        <w:t>not </w:t>
      </w:r>
      <w:r>
        <w:rPr>
          <w:spacing w:val="5"/>
          <w:w w:val="120"/>
          <w:sz w:val="20"/>
        </w:rPr>
        <w:t>additional </w:t>
      </w:r>
      <w:r>
        <w:rPr>
          <w:w w:val="120"/>
          <w:sz w:val="20"/>
        </w:rPr>
        <w:t>to, </w:t>
      </w:r>
      <w:r>
        <w:rPr>
          <w:spacing w:val="3"/>
          <w:w w:val="120"/>
          <w:sz w:val="20"/>
        </w:rPr>
        <w:t>but an </w:t>
      </w:r>
      <w:r>
        <w:rPr>
          <w:spacing w:val="4"/>
          <w:w w:val="120"/>
          <w:sz w:val="20"/>
        </w:rPr>
        <w:t>integral </w:t>
      </w:r>
      <w:r>
        <w:rPr>
          <w:spacing w:val="6"/>
          <w:w w:val="120"/>
          <w:sz w:val="20"/>
        </w:rPr>
        <w:t>part </w:t>
      </w:r>
      <w:r>
        <w:rPr>
          <w:w w:val="120"/>
          <w:sz w:val="20"/>
        </w:rPr>
        <w:t>of, </w:t>
      </w:r>
      <w:r>
        <w:rPr>
          <w:spacing w:val="4"/>
          <w:w w:val="120"/>
          <w:sz w:val="20"/>
        </w:rPr>
        <w:t>the </w:t>
      </w:r>
      <w:r>
        <w:rPr>
          <w:spacing w:val="5"/>
          <w:w w:val="120"/>
          <w:sz w:val="20"/>
        </w:rPr>
        <w:t>working </w:t>
      </w:r>
      <w:r>
        <w:rPr>
          <w:spacing w:val="4"/>
          <w:w w:val="120"/>
          <w:sz w:val="20"/>
        </w:rPr>
        <w:t>time. Frenetic </w:t>
      </w:r>
      <w:r>
        <w:rPr>
          <w:spacing w:val="6"/>
          <w:w w:val="120"/>
          <w:sz w:val="20"/>
        </w:rPr>
        <w:t>activity </w:t>
      </w:r>
      <w:r>
        <w:rPr>
          <w:w w:val="120"/>
          <w:sz w:val="20"/>
        </w:rPr>
        <w:t>is </w:t>
      </w:r>
      <w:r>
        <w:rPr>
          <w:spacing w:val="5"/>
          <w:w w:val="120"/>
          <w:sz w:val="20"/>
        </w:rPr>
        <w:t>counterproductive.</w:t>
      </w:r>
    </w:p>
    <w:p>
      <w:pPr>
        <w:pStyle w:val="BodyText"/>
        <w:spacing w:before="10"/>
        <w:rPr>
          <w:sz w:val="19"/>
        </w:rPr>
      </w:pPr>
    </w:p>
    <w:p>
      <w:pPr>
        <w:pStyle w:val="ListParagraph"/>
        <w:numPr>
          <w:ilvl w:val="1"/>
          <w:numId w:val="197"/>
        </w:numPr>
        <w:tabs>
          <w:tab w:pos="1815" w:val="left" w:leader="none"/>
        </w:tabs>
        <w:spacing w:line="235" w:lineRule="auto" w:before="0" w:after="0"/>
        <w:ind w:left="1134" w:right="2841" w:firstLine="0"/>
        <w:jc w:val="both"/>
        <w:rPr>
          <w:sz w:val="20"/>
        </w:rPr>
      </w:pPr>
      <w:r>
        <w:rPr>
          <w:spacing w:val="6"/>
          <w:w w:val="120"/>
          <w:sz w:val="20"/>
        </w:rPr>
        <w:t>Ministry </w:t>
      </w:r>
      <w:r>
        <w:rPr>
          <w:spacing w:val="3"/>
          <w:w w:val="120"/>
          <w:sz w:val="20"/>
        </w:rPr>
        <w:t>also has </w:t>
      </w:r>
      <w:r>
        <w:rPr>
          <w:w w:val="120"/>
          <w:sz w:val="20"/>
        </w:rPr>
        <w:t>a </w:t>
      </w:r>
      <w:r>
        <w:rPr>
          <w:spacing w:val="4"/>
          <w:w w:val="120"/>
          <w:sz w:val="20"/>
        </w:rPr>
        <w:t>creative </w:t>
      </w:r>
      <w:r>
        <w:rPr>
          <w:spacing w:val="5"/>
          <w:w w:val="120"/>
          <w:sz w:val="20"/>
        </w:rPr>
        <w:t>quality </w:t>
      </w:r>
      <w:r>
        <w:rPr>
          <w:spacing w:val="4"/>
          <w:w w:val="120"/>
          <w:sz w:val="20"/>
        </w:rPr>
        <w:t>about </w:t>
      </w:r>
      <w:r>
        <w:rPr>
          <w:spacing w:val="2"/>
          <w:w w:val="120"/>
          <w:sz w:val="20"/>
        </w:rPr>
        <w:t>it </w:t>
      </w:r>
      <w:r>
        <w:rPr>
          <w:spacing w:val="4"/>
          <w:w w:val="120"/>
          <w:sz w:val="20"/>
        </w:rPr>
        <w:t>and the creative process </w:t>
      </w:r>
      <w:r>
        <w:rPr>
          <w:w w:val="120"/>
          <w:sz w:val="20"/>
        </w:rPr>
        <w:t>is </w:t>
      </w:r>
      <w:r>
        <w:rPr>
          <w:spacing w:val="4"/>
          <w:w w:val="120"/>
          <w:sz w:val="20"/>
        </w:rPr>
        <w:t>notoriously </w:t>
      </w:r>
      <w:r>
        <w:rPr>
          <w:spacing w:val="6"/>
          <w:w w:val="120"/>
          <w:sz w:val="20"/>
        </w:rPr>
        <w:t>difficult </w:t>
      </w:r>
      <w:r>
        <w:rPr>
          <w:w w:val="120"/>
          <w:sz w:val="20"/>
        </w:rPr>
        <w:t>to </w:t>
      </w:r>
      <w:r>
        <w:rPr>
          <w:spacing w:val="4"/>
          <w:w w:val="120"/>
          <w:sz w:val="20"/>
        </w:rPr>
        <w:t>quantify. </w:t>
      </w:r>
      <w:r>
        <w:rPr>
          <w:spacing w:val="3"/>
          <w:w w:val="120"/>
          <w:sz w:val="20"/>
        </w:rPr>
        <w:t>It </w:t>
      </w:r>
      <w:r>
        <w:rPr>
          <w:w w:val="120"/>
          <w:sz w:val="20"/>
        </w:rPr>
        <w:t>is </w:t>
      </w:r>
      <w:r>
        <w:rPr>
          <w:spacing w:val="4"/>
          <w:w w:val="120"/>
          <w:sz w:val="20"/>
        </w:rPr>
        <w:t>the end result </w:t>
      </w:r>
      <w:r>
        <w:rPr>
          <w:spacing w:val="3"/>
          <w:w w:val="120"/>
          <w:sz w:val="20"/>
        </w:rPr>
        <w:t>of </w:t>
      </w:r>
      <w:r>
        <w:rPr>
          <w:spacing w:val="4"/>
          <w:w w:val="120"/>
          <w:sz w:val="20"/>
        </w:rPr>
        <w:t>time spent </w:t>
      </w:r>
      <w:r>
        <w:rPr>
          <w:spacing w:val="2"/>
          <w:w w:val="120"/>
          <w:sz w:val="20"/>
        </w:rPr>
        <w:t>in </w:t>
      </w:r>
      <w:r>
        <w:rPr>
          <w:spacing w:val="5"/>
          <w:w w:val="120"/>
          <w:sz w:val="20"/>
        </w:rPr>
        <w:t>apparent </w:t>
      </w:r>
      <w:r>
        <w:rPr>
          <w:spacing w:val="6"/>
          <w:w w:val="120"/>
          <w:sz w:val="20"/>
        </w:rPr>
        <w:t>inactivity </w:t>
      </w:r>
      <w:r>
        <w:rPr>
          <w:spacing w:val="4"/>
          <w:w w:val="120"/>
          <w:sz w:val="20"/>
        </w:rPr>
        <w:t>that </w:t>
      </w:r>
      <w:r>
        <w:rPr>
          <w:w w:val="120"/>
          <w:sz w:val="20"/>
        </w:rPr>
        <w:t>is</w:t>
      </w:r>
      <w:r>
        <w:rPr>
          <w:spacing w:val="28"/>
          <w:w w:val="120"/>
          <w:sz w:val="20"/>
        </w:rPr>
        <w:t> </w:t>
      </w:r>
      <w:r>
        <w:rPr>
          <w:spacing w:val="6"/>
          <w:w w:val="120"/>
          <w:sz w:val="20"/>
        </w:rPr>
        <w:t>important.</w:t>
      </w:r>
    </w:p>
    <w:p>
      <w:pPr>
        <w:pStyle w:val="BodyText"/>
        <w:spacing w:before="10"/>
        <w:rPr>
          <w:sz w:val="19"/>
        </w:rPr>
      </w:pPr>
    </w:p>
    <w:p>
      <w:pPr>
        <w:pStyle w:val="ListParagraph"/>
        <w:numPr>
          <w:ilvl w:val="1"/>
          <w:numId w:val="197"/>
        </w:numPr>
        <w:tabs>
          <w:tab w:pos="1814" w:val="left" w:leader="none"/>
          <w:tab w:pos="1815" w:val="left" w:leader="none"/>
        </w:tabs>
        <w:spacing w:line="235" w:lineRule="auto" w:before="0" w:after="0"/>
        <w:ind w:left="1134" w:right="2179" w:hanging="1"/>
        <w:jc w:val="left"/>
        <w:rPr>
          <w:sz w:val="20"/>
        </w:rPr>
      </w:pPr>
      <w:r>
        <w:rPr>
          <w:w w:val="120"/>
          <w:sz w:val="20"/>
        </w:rPr>
        <w:t>A </w:t>
      </w:r>
      <w:r>
        <w:rPr>
          <w:spacing w:val="4"/>
          <w:w w:val="120"/>
          <w:sz w:val="20"/>
        </w:rPr>
        <w:t>clear </w:t>
      </w:r>
      <w:r>
        <w:rPr>
          <w:spacing w:val="5"/>
          <w:w w:val="120"/>
          <w:sz w:val="20"/>
        </w:rPr>
        <w:t>working </w:t>
      </w:r>
      <w:r>
        <w:rPr>
          <w:spacing w:val="4"/>
          <w:w w:val="120"/>
          <w:sz w:val="20"/>
        </w:rPr>
        <w:t>time will </w:t>
      </w:r>
      <w:r>
        <w:rPr>
          <w:spacing w:val="3"/>
          <w:w w:val="120"/>
          <w:sz w:val="20"/>
        </w:rPr>
        <w:t>not </w:t>
      </w:r>
      <w:r>
        <w:rPr>
          <w:spacing w:val="4"/>
          <w:w w:val="120"/>
          <w:sz w:val="20"/>
        </w:rPr>
        <w:t>prevent the </w:t>
      </w:r>
      <w:r>
        <w:rPr>
          <w:spacing w:val="5"/>
          <w:w w:val="120"/>
          <w:sz w:val="20"/>
        </w:rPr>
        <w:t>majority </w:t>
      </w:r>
      <w:r>
        <w:rPr>
          <w:spacing w:val="3"/>
          <w:w w:val="120"/>
          <w:sz w:val="20"/>
        </w:rPr>
        <w:t>of </w:t>
      </w:r>
      <w:r>
        <w:rPr>
          <w:spacing w:val="4"/>
          <w:w w:val="120"/>
          <w:sz w:val="20"/>
        </w:rPr>
        <w:t>those </w:t>
      </w:r>
      <w:r>
        <w:rPr>
          <w:spacing w:val="2"/>
          <w:w w:val="120"/>
          <w:sz w:val="20"/>
        </w:rPr>
        <w:t>in </w:t>
      </w:r>
      <w:r>
        <w:rPr>
          <w:spacing w:val="6"/>
          <w:w w:val="120"/>
          <w:sz w:val="20"/>
        </w:rPr>
        <w:t>ministry </w:t>
      </w:r>
      <w:r>
        <w:rPr>
          <w:spacing w:val="4"/>
          <w:w w:val="120"/>
          <w:sz w:val="20"/>
        </w:rPr>
        <w:t>being </w:t>
      </w:r>
      <w:r>
        <w:rPr>
          <w:w w:val="120"/>
          <w:sz w:val="20"/>
        </w:rPr>
        <w:t>‘on call’. </w:t>
      </w:r>
      <w:r>
        <w:rPr>
          <w:spacing w:val="4"/>
          <w:w w:val="120"/>
          <w:sz w:val="20"/>
        </w:rPr>
        <w:t>But </w:t>
      </w:r>
      <w:r>
        <w:rPr>
          <w:spacing w:val="2"/>
          <w:w w:val="120"/>
          <w:sz w:val="20"/>
        </w:rPr>
        <w:t>it may </w:t>
      </w:r>
      <w:r>
        <w:rPr>
          <w:spacing w:val="4"/>
          <w:w w:val="120"/>
          <w:sz w:val="20"/>
        </w:rPr>
        <w:t>enable them </w:t>
      </w:r>
      <w:r>
        <w:rPr>
          <w:w w:val="120"/>
          <w:sz w:val="20"/>
        </w:rPr>
        <w:t>to </w:t>
      </w:r>
      <w:r>
        <w:rPr>
          <w:spacing w:val="4"/>
          <w:w w:val="120"/>
          <w:sz w:val="20"/>
        </w:rPr>
        <w:t>decide </w:t>
      </w:r>
      <w:r>
        <w:rPr>
          <w:spacing w:val="3"/>
          <w:w w:val="120"/>
          <w:sz w:val="20"/>
        </w:rPr>
        <w:t>how </w:t>
      </w:r>
      <w:r>
        <w:rPr>
          <w:w w:val="120"/>
          <w:sz w:val="20"/>
        </w:rPr>
        <w:t>to  </w:t>
      </w:r>
      <w:r>
        <w:rPr>
          <w:spacing w:val="5"/>
          <w:w w:val="120"/>
          <w:sz w:val="20"/>
        </w:rPr>
        <w:t>respond </w:t>
      </w:r>
      <w:r>
        <w:rPr>
          <w:w w:val="120"/>
          <w:sz w:val="20"/>
        </w:rPr>
        <w:t>to  </w:t>
      </w:r>
      <w:r>
        <w:rPr>
          <w:spacing w:val="3"/>
          <w:w w:val="120"/>
          <w:sz w:val="20"/>
        </w:rPr>
        <w:t>any </w:t>
      </w:r>
      <w:r>
        <w:rPr>
          <w:spacing w:val="5"/>
          <w:w w:val="120"/>
          <w:sz w:val="20"/>
        </w:rPr>
        <w:t>request </w:t>
      </w:r>
      <w:r>
        <w:rPr>
          <w:spacing w:val="4"/>
          <w:w w:val="120"/>
          <w:sz w:val="20"/>
        </w:rPr>
        <w:t>and </w:t>
      </w:r>
      <w:r>
        <w:rPr>
          <w:w w:val="120"/>
          <w:sz w:val="20"/>
        </w:rPr>
        <w:t>to </w:t>
      </w:r>
      <w:r>
        <w:rPr>
          <w:spacing w:val="4"/>
          <w:w w:val="120"/>
          <w:sz w:val="20"/>
        </w:rPr>
        <w:t>feel</w:t>
      </w:r>
      <w:r>
        <w:rPr>
          <w:spacing w:val="11"/>
          <w:w w:val="120"/>
          <w:sz w:val="20"/>
        </w:rPr>
        <w:t> </w:t>
      </w:r>
      <w:r>
        <w:rPr>
          <w:spacing w:val="4"/>
          <w:w w:val="120"/>
          <w:sz w:val="20"/>
        </w:rPr>
        <w:t>able</w:t>
      </w:r>
      <w:r>
        <w:rPr>
          <w:spacing w:val="11"/>
          <w:w w:val="120"/>
          <w:sz w:val="20"/>
        </w:rPr>
        <w:t> </w:t>
      </w:r>
      <w:r>
        <w:rPr>
          <w:w w:val="120"/>
          <w:sz w:val="20"/>
        </w:rPr>
        <w:t>to</w:t>
      </w:r>
      <w:r>
        <w:rPr>
          <w:spacing w:val="11"/>
          <w:w w:val="120"/>
          <w:sz w:val="20"/>
        </w:rPr>
        <w:t> </w:t>
      </w:r>
      <w:r>
        <w:rPr>
          <w:spacing w:val="4"/>
          <w:w w:val="120"/>
          <w:sz w:val="20"/>
        </w:rPr>
        <w:t>take</w:t>
      </w:r>
      <w:r>
        <w:rPr>
          <w:spacing w:val="11"/>
          <w:w w:val="120"/>
          <w:sz w:val="20"/>
        </w:rPr>
        <w:t> </w:t>
      </w:r>
      <w:r>
        <w:rPr>
          <w:spacing w:val="4"/>
          <w:w w:val="120"/>
          <w:sz w:val="20"/>
        </w:rPr>
        <w:t>time</w:t>
      </w:r>
      <w:r>
        <w:rPr>
          <w:spacing w:val="11"/>
          <w:w w:val="120"/>
          <w:sz w:val="20"/>
        </w:rPr>
        <w:t> </w:t>
      </w:r>
      <w:r>
        <w:rPr>
          <w:spacing w:val="7"/>
          <w:w w:val="120"/>
          <w:sz w:val="20"/>
        </w:rPr>
        <w:t>off</w:t>
      </w:r>
      <w:r>
        <w:rPr>
          <w:spacing w:val="11"/>
          <w:w w:val="120"/>
          <w:sz w:val="20"/>
        </w:rPr>
        <w:t> </w:t>
      </w:r>
      <w:r>
        <w:rPr>
          <w:spacing w:val="6"/>
          <w:w w:val="120"/>
          <w:sz w:val="20"/>
        </w:rPr>
        <w:t>after</w:t>
      </w:r>
      <w:r>
        <w:rPr>
          <w:spacing w:val="11"/>
          <w:w w:val="120"/>
          <w:sz w:val="20"/>
        </w:rPr>
        <w:t> </w:t>
      </w:r>
      <w:r>
        <w:rPr>
          <w:w w:val="120"/>
          <w:sz w:val="20"/>
        </w:rPr>
        <w:t>a</w:t>
      </w:r>
      <w:r>
        <w:rPr>
          <w:spacing w:val="11"/>
          <w:w w:val="120"/>
          <w:sz w:val="20"/>
        </w:rPr>
        <w:t> </w:t>
      </w:r>
      <w:r>
        <w:rPr>
          <w:spacing w:val="6"/>
          <w:w w:val="120"/>
          <w:sz w:val="20"/>
        </w:rPr>
        <w:t>particularly</w:t>
      </w:r>
      <w:r>
        <w:rPr>
          <w:spacing w:val="11"/>
          <w:w w:val="120"/>
          <w:sz w:val="20"/>
        </w:rPr>
        <w:t> </w:t>
      </w:r>
      <w:r>
        <w:rPr>
          <w:spacing w:val="4"/>
          <w:w w:val="120"/>
          <w:sz w:val="20"/>
        </w:rPr>
        <w:t>busy</w:t>
      </w:r>
      <w:r>
        <w:rPr>
          <w:spacing w:val="12"/>
          <w:w w:val="120"/>
          <w:sz w:val="20"/>
        </w:rPr>
        <w:t> </w:t>
      </w:r>
      <w:r>
        <w:rPr>
          <w:spacing w:val="3"/>
          <w:w w:val="120"/>
          <w:sz w:val="20"/>
        </w:rPr>
        <w:t>or</w:t>
      </w:r>
      <w:r>
        <w:rPr>
          <w:spacing w:val="11"/>
          <w:w w:val="120"/>
          <w:sz w:val="20"/>
        </w:rPr>
        <w:t> </w:t>
      </w:r>
      <w:r>
        <w:rPr>
          <w:spacing w:val="6"/>
          <w:w w:val="120"/>
          <w:sz w:val="20"/>
        </w:rPr>
        <w:t>stressful</w:t>
      </w:r>
      <w:r>
        <w:rPr>
          <w:spacing w:val="11"/>
          <w:w w:val="120"/>
          <w:sz w:val="20"/>
        </w:rPr>
        <w:t> </w:t>
      </w:r>
      <w:r>
        <w:rPr>
          <w:spacing w:val="5"/>
          <w:w w:val="120"/>
          <w:sz w:val="20"/>
        </w:rPr>
        <w:t>period.</w:t>
      </w:r>
    </w:p>
    <w:p>
      <w:pPr>
        <w:pStyle w:val="BodyText"/>
        <w:spacing w:before="10"/>
        <w:rPr>
          <w:sz w:val="19"/>
        </w:rPr>
      </w:pPr>
    </w:p>
    <w:p>
      <w:pPr>
        <w:pStyle w:val="ListParagraph"/>
        <w:numPr>
          <w:ilvl w:val="1"/>
          <w:numId w:val="197"/>
        </w:numPr>
        <w:tabs>
          <w:tab w:pos="1814" w:val="left" w:leader="none"/>
          <w:tab w:pos="1815" w:val="left" w:leader="none"/>
        </w:tabs>
        <w:spacing w:line="235" w:lineRule="auto" w:before="0" w:after="0"/>
        <w:ind w:left="1134" w:right="2046" w:firstLine="0"/>
        <w:jc w:val="left"/>
        <w:rPr>
          <w:sz w:val="20"/>
        </w:rPr>
      </w:pPr>
      <w:r>
        <w:rPr>
          <w:spacing w:val="5"/>
          <w:w w:val="120"/>
          <w:sz w:val="20"/>
        </w:rPr>
        <w:t>Setting </w:t>
      </w:r>
      <w:r>
        <w:rPr>
          <w:spacing w:val="4"/>
          <w:w w:val="120"/>
          <w:sz w:val="20"/>
        </w:rPr>
        <w:t>clear </w:t>
      </w:r>
      <w:r>
        <w:rPr>
          <w:spacing w:val="5"/>
          <w:w w:val="120"/>
          <w:sz w:val="20"/>
        </w:rPr>
        <w:t>guidelines </w:t>
      </w:r>
      <w:r>
        <w:rPr>
          <w:spacing w:val="4"/>
          <w:w w:val="120"/>
          <w:sz w:val="20"/>
        </w:rPr>
        <w:t>about the </w:t>
      </w:r>
      <w:r>
        <w:rPr>
          <w:spacing w:val="5"/>
          <w:w w:val="120"/>
          <w:sz w:val="20"/>
        </w:rPr>
        <w:t>hours </w:t>
      </w:r>
      <w:r>
        <w:rPr>
          <w:spacing w:val="4"/>
          <w:w w:val="120"/>
          <w:sz w:val="20"/>
        </w:rPr>
        <w:t>which </w:t>
      </w:r>
      <w:r>
        <w:rPr>
          <w:spacing w:val="5"/>
          <w:w w:val="120"/>
          <w:sz w:val="20"/>
        </w:rPr>
        <w:t>form </w:t>
      </w:r>
      <w:r>
        <w:rPr>
          <w:w w:val="120"/>
          <w:sz w:val="20"/>
        </w:rPr>
        <w:t>a </w:t>
      </w:r>
      <w:r>
        <w:rPr>
          <w:spacing w:val="5"/>
          <w:w w:val="120"/>
          <w:sz w:val="20"/>
        </w:rPr>
        <w:t>reasonable working </w:t>
      </w:r>
      <w:r>
        <w:rPr>
          <w:spacing w:val="4"/>
          <w:w w:val="120"/>
          <w:sz w:val="20"/>
        </w:rPr>
        <w:t>week should help reduce </w:t>
      </w:r>
      <w:r>
        <w:rPr>
          <w:spacing w:val="5"/>
          <w:w w:val="120"/>
          <w:sz w:val="20"/>
        </w:rPr>
        <w:t>stress </w:t>
      </w:r>
      <w:r>
        <w:rPr>
          <w:spacing w:val="2"/>
          <w:w w:val="120"/>
          <w:sz w:val="20"/>
        </w:rPr>
        <w:t>in </w:t>
      </w:r>
      <w:r>
        <w:rPr>
          <w:spacing w:val="4"/>
          <w:w w:val="120"/>
          <w:sz w:val="20"/>
        </w:rPr>
        <w:t>those ministers who are </w:t>
      </w:r>
      <w:r>
        <w:rPr>
          <w:spacing w:val="5"/>
          <w:w w:val="120"/>
          <w:sz w:val="20"/>
        </w:rPr>
        <w:t>diligent. </w:t>
      </w:r>
      <w:r>
        <w:rPr>
          <w:spacing w:val="3"/>
          <w:w w:val="120"/>
          <w:sz w:val="20"/>
        </w:rPr>
        <w:t>It </w:t>
      </w:r>
      <w:r>
        <w:rPr>
          <w:spacing w:val="4"/>
          <w:w w:val="120"/>
          <w:sz w:val="20"/>
        </w:rPr>
        <w:t>might </w:t>
      </w:r>
      <w:r>
        <w:rPr>
          <w:spacing w:val="3"/>
          <w:w w:val="120"/>
          <w:sz w:val="20"/>
        </w:rPr>
        <w:t>also   </w:t>
      </w:r>
      <w:r>
        <w:rPr>
          <w:spacing w:val="4"/>
          <w:w w:val="120"/>
          <w:sz w:val="20"/>
        </w:rPr>
        <w:t>help those dealing with ministers who </w:t>
      </w:r>
      <w:r>
        <w:rPr>
          <w:spacing w:val="3"/>
          <w:w w:val="120"/>
          <w:sz w:val="20"/>
        </w:rPr>
        <w:t>do not </w:t>
      </w:r>
      <w:r>
        <w:rPr>
          <w:spacing w:val="4"/>
          <w:w w:val="120"/>
          <w:sz w:val="20"/>
        </w:rPr>
        <w:t>seem </w:t>
      </w:r>
      <w:r>
        <w:rPr>
          <w:w w:val="120"/>
          <w:sz w:val="20"/>
        </w:rPr>
        <w:t>to </w:t>
      </w:r>
      <w:r>
        <w:rPr>
          <w:spacing w:val="4"/>
          <w:w w:val="120"/>
          <w:sz w:val="20"/>
        </w:rPr>
        <w:t>pull their weight. But </w:t>
      </w:r>
      <w:r>
        <w:rPr>
          <w:w w:val="120"/>
          <w:sz w:val="20"/>
        </w:rPr>
        <w:t>we </w:t>
      </w:r>
      <w:r>
        <w:rPr>
          <w:spacing w:val="2"/>
          <w:w w:val="120"/>
          <w:sz w:val="20"/>
        </w:rPr>
        <w:t>may </w:t>
      </w:r>
      <w:r>
        <w:rPr>
          <w:spacing w:val="3"/>
          <w:w w:val="120"/>
          <w:sz w:val="20"/>
        </w:rPr>
        <w:t>also </w:t>
      </w:r>
      <w:r>
        <w:rPr>
          <w:spacing w:val="4"/>
          <w:w w:val="120"/>
          <w:sz w:val="20"/>
        </w:rPr>
        <w:t>need </w:t>
      </w:r>
      <w:r>
        <w:rPr>
          <w:w w:val="120"/>
          <w:sz w:val="20"/>
        </w:rPr>
        <w:t>to </w:t>
      </w:r>
      <w:r>
        <w:rPr>
          <w:spacing w:val="5"/>
          <w:w w:val="120"/>
          <w:sz w:val="20"/>
        </w:rPr>
        <w:t>address, perhaps </w:t>
      </w:r>
      <w:r>
        <w:rPr>
          <w:spacing w:val="4"/>
          <w:w w:val="120"/>
          <w:sz w:val="20"/>
        </w:rPr>
        <w:t>more </w:t>
      </w:r>
      <w:r>
        <w:rPr>
          <w:spacing w:val="5"/>
          <w:w w:val="120"/>
          <w:sz w:val="20"/>
        </w:rPr>
        <w:t>stringently </w:t>
      </w:r>
      <w:r>
        <w:rPr>
          <w:spacing w:val="2"/>
          <w:w w:val="120"/>
          <w:sz w:val="20"/>
        </w:rPr>
        <w:t>in </w:t>
      </w:r>
      <w:r>
        <w:rPr>
          <w:spacing w:val="4"/>
          <w:w w:val="120"/>
          <w:sz w:val="20"/>
        </w:rPr>
        <w:t>the </w:t>
      </w:r>
      <w:r>
        <w:rPr>
          <w:spacing w:val="5"/>
          <w:w w:val="120"/>
          <w:sz w:val="20"/>
        </w:rPr>
        <w:t>assessment </w:t>
      </w:r>
      <w:r>
        <w:rPr>
          <w:spacing w:val="4"/>
          <w:w w:val="120"/>
          <w:sz w:val="20"/>
        </w:rPr>
        <w:t>process, those   who </w:t>
      </w:r>
      <w:r>
        <w:rPr>
          <w:spacing w:val="3"/>
          <w:w w:val="120"/>
          <w:sz w:val="20"/>
        </w:rPr>
        <w:t>‘need </w:t>
      </w:r>
      <w:r>
        <w:rPr>
          <w:w w:val="120"/>
          <w:sz w:val="20"/>
        </w:rPr>
        <w:t>to  </w:t>
      </w:r>
      <w:r>
        <w:rPr>
          <w:spacing w:val="4"/>
          <w:w w:val="120"/>
          <w:sz w:val="20"/>
        </w:rPr>
        <w:t>be </w:t>
      </w:r>
      <w:r>
        <w:rPr>
          <w:spacing w:val="2"/>
          <w:w w:val="120"/>
          <w:sz w:val="20"/>
        </w:rPr>
        <w:t>needed’. </w:t>
      </w:r>
      <w:r>
        <w:rPr>
          <w:spacing w:val="3"/>
          <w:w w:val="120"/>
          <w:sz w:val="20"/>
        </w:rPr>
        <w:t>This </w:t>
      </w:r>
      <w:r>
        <w:rPr>
          <w:spacing w:val="4"/>
          <w:w w:val="120"/>
          <w:sz w:val="20"/>
        </w:rPr>
        <w:t>need can produce </w:t>
      </w:r>
      <w:r>
        <w:rPr>
          <w:spacing w:val="3"/>
          <w:w w:val="120"/>
          <w:sz w:val="20"/>
        </w:rPr>
        <w:t>levels of </w:t>
      </w:r>
      <w:r>
        <w:rPr>
          <w:spacing w:val="4"/>
          <w:w w:val="120"/>
          <w:sz w:val="20"/>
        </w:rPr>
        <w:t>over-commitment </w:t>
      </w:r>
      <w:r>
        <w:rPr>
          <w:w w:val="120"/>
          <w:sz w:val="20"/>
        </w:rPr>
        <w:t>to  </w:t>
      </w:r>
      <w:r>
        <w:rPr>
          <w:spacing w:val="5"/>
          <w:w w:val="120"/>
          <w:sz w:val="20"/>
        </w:rPr>
        <w:t>others </w:t>
      </w:r>
      <w:r>
        <w:rPr>
          <w:spacing w:val="4"/>
          <w:w w:val="120"/>
          <w:sz w:val="20"/>
        </w:rPr>
        <w:t>which eventually places </w:t>
      </w:r>
      <w:r>
        <w:rPr>
          <w:spacing w:val="5"/>
          <w:w w:val="120"/>
          <w:sz w:val="20"/>
        </w:rPr>
        <w:t>considerable strain </w:t>
      </w:r>
      <w:r>
        <w:rPr>
          <w:spacing w:val="4"/>
          <w:w w:val="120"/>
          <w:sz w:val="20"/>
        </w:rPr>
        <w:t>upon the individual minister </w:t>
      </w:r>
      <w:r>
        <w:rPr>
          <w:spacing w:val="2"/>
          <w:w w:val="120"/>
          <w:sz w:val="20"/>
        </w:rPr>
        <w:t>as </w:t>
      </w:r>
      <w:r>
        <w:rPr>
          <w:spacing w:val="3"/>
          <w:w w:val="120"/>
          <w:sz w:val="20"/>
        </w:rPr>
        <w:t>well </w:t>
      </w:r>
      <w:r>
        <w:rPr>
          <w:spacing w:val="2"/>
          <w:w w:val="120"/>
          <w:sz w:val="20"/>
        </w:rPr>
        <w:t>as </w:t>
      </w:r>
      <w:r>
        <w:rPr>
          <w:spacing w:val="5"/>
          <w:w w:val="120"/>
          <w:sz w:val="20"/>
        </w:rPr>
        <w:t>others. </w:t>
      </w:r>
      <w:r>
        <w:rPr>
          <w:spacing w:val="3"/>
          <w:w w:val="120"/>
          <w:sz w:val="20"/>
        </w:rPr>
        <w:t>Such </w:t>
      </w:r>
      <w:r>
        <w:rPr>
          <w:spacing w:val="5"/>
          <w:w w:val="120"/>
          <w:sz w:val="20"/>
        </w:rPr>
        <w:t>stress </w:t>
      </w:r>
      <w:r>
        <w:rPr>
          <w:spacing w:val="4"/>
          <w:w w:val="120"/>
          <w:sz w:val="20"/>
        </w:rPr>
        <w:t>can lead </w:t>
      </w:r>
      <w:r>
        <w:rPr>
          <w:w w:val="120"/>
          <w:sz w:val="20"/>
        </w:rPr>
        <w:t>to a </w:t>
      </w:r>
      <w:r>
        <w:rPr>
          <w:spacing w:val="4"/>
          <w:w w:val="120"/>
          <w:sz w:val="20"/>
        </w:rPr>
        <w:t>sense </w:t>
      </w:r>
      <w:r>
        <w:rPr>
          <w:spacing w:val="3"/>
          <w:w w:val="120"/>
          <w:sz w:val="20"/>
        </w:rPr>
        <w:t>of </w:t>
      </w:r>
      <w:r>
        <w:rPr>
          <w:spacing w:val="4"/>
          <w:w w:val="120"/>
          <w:sz w:val="20"/>
        </w:rPr>
        <w:t>being </w:t>
      </w:r>
      <w:r>
        <w:rPr>
          <w:spacing w:val="3"/>
          <w:w w:val="120"/>
          <w:sz w:val="20"/>
        </w:rPr>
        <w:t>put on, </w:t>
      </w:r>
      <w:r>
        <w:rPr>
          <w:spacing w:val="4"/>
          <w:w w:val="120"/>
          <w:sz w:val="20"/>
        </w:rPr>
        <w:t>which </w:t>
      </w:r>
      <w:r>
        <w:rPr>
          <w:spacing w:val="2"/>
          <w:w w:val="120"/>
          <w:sz w:val="20"/>
        </w:rPr>
        <w:t>may </w:t>
      </w:r>
      <w:r>
        <w:rPr>
          <w:spacing w:val="5"/>
          <w:w w:val="120"/>
          <w:sz w:val="20"/>
        </w:rPr>
        <w:t>manifest itself </w:t>
      </w:r>
      <w:r>
        <w:rPr>
          <w:spacing w:val="2"/>
          <w:w w:val="120"/>
          <w:sz w:val="20"/>
        </w:rPr>
        <w:t>in </w:t>
      </w:r>
      <w:r>
        <w:rPr>
          <w:spacing w:val="4"/>
          <w:w w:val="120"/>
          <w:sz w:val="20"/>
        </w:rPr>
        <w:t>grievance. </w:t>
      </w:r>
      <w:r>
        <w:rPr>
          <w:spacing w:val="6"/>
          <w:w w:val="120"/>
          <w:sz w:val="20"/>
        </w:rPr>
        <w:t>Furthermore, </w:t>
      </w:r>
      <w:r>
        <w:rPr>
          <w:spacing w:val="4"/>
          <w:w w:val="120"/>
          <w:sz w:val="20"/>
        </w:rPr>
        <w:t>over-commitment </w:t>
      </w:r>
      <w:r>
        <w:rPr>
          <w:spacing w:val="3"/>
          <w:w w:val="120"/>
          <w:sz w:val="20"/>
        </w:rPr>
        <w:t>on </w:t>
      </w:r>
      <w:r>
        <w:rPr>
          <w:spacing w:val="4"/>
          <w:w w:val="120"/>
          <w:sz w:val="20"/>
        </w:rPr>
        <w:t>the </w:t>
      </w:r>
      <w:r>
        <w:rPr>
          <w:spacing w:val="6"/>
          <w:w w:val="120"/>
          <w:sz w:val="20"/>
        </w:rPr>
        <w:t>part </w:t>
      </w:r>
      <w:r>
        <w:rPr>
          <w:spacing w:val="3"/>
          <w:w w:val="120"/>
          <w:sz w:val="20"/>
        </w:rPr>
        <w:t>of </w:t>
      </w:r>
      <w:r>
        <w:rPr>
          <w:spacing w:val="4"/>
          <w:w w:val="120"/>
          <w:sz w:val="20"/>
        </w:rPr>
        <w:t>some ministers  </w:t>
      </w:r>
      <w:r>
        <w:rPr>
          <w:spacing w:val="3"/>
          <w:w w:val="120"/>
          <w:sz w:val="20"/>
        </w:rPr>
        <w:t>also creates </w:t>
      </w:r>
      <w:r>
        <w:rPr>
          <w:spacing w:val="4"/>
          <w:w w:val="120"/>
          <w:sz w:val="20"/>
        </w:rPr>
        <w:t>quite unrealistic </w:t>
      </w:r>
      <w:r>
        <w:rPr>
          <w:spacing w:val="5"/>
          <w:w w:val="120"/>
          <w:sz w:val="20"/>
        </w:rPr>
        <w:t>expectations </w:t>
      </w:r>
      <w:r>
        <w:rPr>
          <w:spacing w:val="2"/>
          <w:w w:val="120"/>
          <w:sz w:val="20"/>
        </w:rPr>
        <w:t>in </w:t>
      </w:r>
      <w:r>
        <w:rPr>
          <w:spacing w:val="4"/>
          <w:w w:val="120"/>
          <w:sz w:val="20"/>
        </w:rPr>
        <w:t>congregations </w:t>
      </w:r>
      <w:r>
        <w:rPr>
          <w:spacing w:val="3"/>
          <w:w w:val="120"/>
          <w:sz w:val="20"/>
        </w:rPr>
        <w:t>of </w:t>
      </w:r>
      <w:r>
        <w:rPr>
          <w:spacing w:val="4"/>
          <w:w w:val="120"/>
          <w:sz w:val="20"/>
        </w:rPr>
        <w:t>the </w:t>
      </w:r>
      <w:r>
        <w:rPr>
          <w:spacing w:val="5"/>
          <w:w w:val="120"/>
          <w:sz w:val="20"/>
        </w:rPr>
        <w:t>responsibilities </w:t>
      </w:r>
      <w:r>
        <w:rPr>
          <w:spacing w:val="3"/>
          <w:w w:val="120"/>
          <w:sz w:val="20"/>
        </w:rPr>
        <w:t>of </w:t>
      </w:r>
      <w:r>
        <w:rPr>
          <w:spacing w:val="4"/>
          <w:w w:val="120"/>
          <w:sz w:val="20"/>
        </w:rPr>
        <w:t>the </w:t>
      </w:r>
      <w:r>
        <w:rPr>
          <w:spacing w:val="5"/>
          <w:w w:val="120"/>
          <w:sz w:val="20"/>
        </w:rPr>
        <w:t>average</w:t>
      </w:r>
      <w:r>
        <w:rPr>
          <w:spacing w:val="21"/>
          <w:w w:val="120"/>
          <w:sz w:val="20"/>
        </w:rPr>
        <w:t> </w:t>
      </w:r>
      <w:r>
        <w:rPr>
          <w:spacing w:val="3"/>
          <w:w w:val="120"/>
          <w:sz w:val="20"/>
        </w:rPr>
        <w:t>minister.</w:t>
      </w:r>
    </w:p>
    <w:p>
      <w:pPr>
        <w:spacing w:after="0" w:line="235" w:lineRule="auto"/>
        <w:jc w:val="left"/>
        <w:rPr>
          <w:sz w:val="20"/>
        </w:rPr>
        <w:sectPr>
          <w:headerReference w:type="even" r:id="rId568"/>
          <w:headerReference w:type="default" r:id="rId569"/>
          <w:footerReference w:type="even" r:id="rId570"/>
          <w:footerReference w:type="default" r:id="rId571"/>
          <w:pgSz w:w="11910" w:h="16840"/>
          <w:pgMar w:header="0" w:footer="647" w:top="1060" w:bottom="840" w:left="0" w:right="0"/>
        </w:sectPr>
      </w:pPr>
    </w:p>
    <w:p>
      <w:pPr>
        <w:pStyle w:val="Heading5"/>
        <w:spacing w:line="244" w:lineRule="auto" w:before="115"/>
        <w:ind w:right="2911"/>
      </w:pPr>
      <w:r>
        <w:rPr/>
        <w:pict>
          <v:rect style="position:absolute;margin-left:558.424988pt;margin-top:8.501747pt;width:22.677pt;height:22.677pt;mso-position-horizontal-relative:page;mso-position-vertical-relative:paragraph;z-index:252384256" filled="true" fillcolor="#dcd0e6" stroked="false">
            <v:fill opacity="32768f" type="solid"/>
            <w10:wrap type="none"/>
          </v:rect>
        </w:pict>
      </w:r>
      <w:r>
        <w:rPr/>
        <w:pict>
          <v:shape style="position:absolute;margin-left:85.830704pt;margin-top:55.356251pt;width:467.6pt;height:162.450pt;mso-position-horizontal-relative:page;mso-position-vertical-relative:paragraph;z-index:-267038720" coordorigin="1717,1107" coordsize="9352,3249" path="m1717,4116l1720,4254,1747,4326,1818,4352,1957,4356,10828,4356,10966,4352,11038,4326,11064,4254,11068,4116,11068,1347,11064,1208,11038,1137,10966,1111,10828,1107,1957,1107,1818,1111,1747,1137,1720,1208,1717,1347,1717,4116xe" filled="false" stroked="true" strokeweight="3pt" strokecolor="#000000">
            <v:path arrowok="t"/>
            <v:stroke dashstyle="solid"/>
            <w10:wrap type="none"/>
          </v:shape>
        </w:pict>
      </w:r>
      <w:r>
        <w:rPr>
          <w:color w:val="9662A1"/>
          <w:w w:val="120"/>
        </w:rPr>
        <w:t>Ministries Committee: guidelines on conduct and behaviour</w:t>
      </w:r>
    </w:p>
    <w:p>
      <w:pPr>
        <w:pStyle w:val="BodyText"/>
        <w:spacing w:before="6"/>
        <w:rPr>
          <w:sz w:val="13"/>
        </w:rPr>
      </w:pPr>
    </w:p>
    <w:tbl>
      <w:tblPr>
        <w:tblW w:w="0" w:type="auto"/>
        <w:jc w:val="left"/>
        <w:tblInd w:w="1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4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4" w:lineRule="auto" w:before="24"/>
              <w:ind w:left="178" w:right="-29"/>
              <w:rPr>
                <w:rFonts w:ascii="Stone Sans II ITC Std X Bd"/>
                <w:b/>
                <w:sz w:val="57"/>
              </w:rPr>
            </w:pPr>
            <w:r>
              <w:rPr>
                <w:rFonts w:ascii="Stone Sans II ITC Std X Bd"/>
                <w:b/>
                <w:color w:val="FFFFFF"/>
                <w:w w:val="110"/>
                <w:sz w:val="47"/>
              </w:rPr>
              <w:t>Resolution</w:t>
            </w:r>
            <w:r>
              <w:rPr>
                <w:rFonts w:ascii="Stone Sans II ITC Std X Bd"/>
                <w:b/>
                <w:color w:val="FFFFFF"/>
                <w:spacing w:val="-39"/>
                <w:w w:val="110"/>
                <w:sz w:val="47"/>
              </w:rPr>
              <w:t> </w:t>
            </w:r>
            <w:r>
              <w:rPr>
                <w:rFonts w:ascii="Stone Sans II ITC Std X Bd"/>
                <w:b/>
                <w:spacing w:val="-28"/>
                <w:w w:val="110"/>
                <w:position w:val="-23"/>
                <w:sz w:val="57"/>
              </w:rPr>
              <w:t>12</w:t>
            </w:r>
          </w:p>
        </w:tc>
        <w:tc>
          <w:tcPr>
            <w:tcW w:w="5248" w:type="dxa"/>
            <w:tcBorders>
              <w:top w:val="single" w:sz="24" w:space="0" w:color="000000"/>
            </w:tcBorders>
          </w:tcPr>
          <w:p>
            <w:pPr>
              <w:pStyle w:val="TableParagraph"/>
              <w:rPr>
                <w:rFonts w:ascii="Times New Roman"/>
                <w:sz w:val="22"/>
              </w:rPr>
            </w:pPr>
          </w:p>
        </w:tc>
      </w:tr>
      <w:tr>
        <w:trPr>
          <w:trHeight w:val="2472" w:hRule="atLeast"/>
        </w:trPr>
        <w:tc>
          <w:tcPr>
            <w:tcW w:w="9320" w:type="dxa"/>
            <w:gridSpan w:val="3"/>
            <w:tcBorders>
              <w:left w:val="single" w:sz="48" w:space="0" w:color="000000"/>
            </w:tcBorders>
          </w:tcPr>
          <w:p>
            <w:pPr>
              <w:pStyle w:val="TableParagraph"/>
              <w:spacing w:before="10"/>
              <w:rPr>
                <w:sz w:val="29"/>
              </w:rPr>
            </w:pPr>
          </w:p>
          <w:p>
            <w:pPr>
              <w:pStyle w:val="TableParagraph"/>
              <w:spacing w:line="235" w:lineRule="auto"/>
              <w:ind w:left="252" w:right="393"/>
              <w:rPr>
                <w:sz w:val="20"/>
              </w:rPr>
            </w:pPr>
            <w:r>
              <w:rPr>
                <w:spacing w:val="5"/>
                <w:w w:val="120"/>
                <w:sz w:val="20"/>
              </w:rPr>
              <w:t>General </w:t>
            </w:r>
            <w:r>
              <w:rPr>
                <w:spacing w:val="4"/>
                <w:w w:val="120"/>
                <w:sz w:val="20"/>
              </w:rPr>
              <w:t>Assembly, recognising the high </w:t>
            </w:r>
            <w:r>
              <w:rPr>
                <w:spacing w:val="5"/>
                <w:w w:val="120"/>
                <w:sz w:val="20"/>
              </w:rPr>
              <w:t>standard </w:t>
            </w:r>
            <w:r>
              <w:rPr>
                <w:spacing w:val="3"/>
                <w:w w:val="120"/>
                <w:sz w:val="20"/>
              </w:rPr>
              <w:t>of </w:t>
            </w:r>
            <w:r>
              <w:rPr>
                <w:spacing w:val="4"/>
                <w:w w:val="120"/>
                <w:sz w:val="20"/>
              </w:rPr>
              <w:t>conduct  and  behaviour displayed </w:t>
            </w:r>
            <w:r>
              <w:rPr>
                <w:w w:val="120"/>
                <w:sz w:val="20"/>
              </w:rPr>
              <w:t>by </w:t>
            </w:r>
            <w:r>
              <w:rPr>
                <w:spacing w:val="4"/>
                <w:w w:val="120"/>
                <w:sz w:val="20"/>
              </w:rPr>
              <w:t>the vast </w:t>
            </w:r>
            <w:r>
              <w:rPr>
                <w:spacing w:val="5"/>
                <w:w w:val="120"/>
                <w:sz w:val="20"/>
              </w:rPr>
              <w:t>majority </w:t>
            </w:r>
            <w:r>
              <w:rPr>
                <w:spacing w:val="3"/>
                <w:w w:val="120"/>
                <w:sz w:val="20"/>
              </w:rPr>
              <w:t>of </w:t>
            </w:r>
            <w:r>
              <w:rPr>
                <w:spacing w:val="4"/>
                <w:w w:val="120"/>
                <w:sz w:val="20"/>
              </w:rPr>
              <w:t>ministers </w:t>
            </w:r>
            <w:r>
              <w:rPr>
                <w:spacing w:val="3"/>
                <w:w w:val="120"/>
                <w:sz w:val="20"/>
              </w:rPr>
              <w:t>of Word </w:t>
            </w:r>
            <w:r>
              <w:rPr>
                <w:spacing w:val="4"/>
                <w:w w:val="120"/>
                <w:sz w:val="20"/>
              </w:rPr>
              <w:t>and </w:t>
            </w:r>
            <w:r>
              <w:rPr>
                <w:spacing w:val="5"/>
                <w:w w:val="120"/>
                <w:sz w:val="20"/>
              </w:rPr>
              <w:t>Sacrament, </w:t>
            </w:r>
            <w:r>
              <w:rPr>
                <w:spacing w:val="3"/>
                <w:w w:val="120"/>
                <w:sz w:val="20"/>
              </w:rPr>
              <w:t>Church </w:t>
            </w:r>
            <w:r>
              <w:rPr>
                <w:spacing w:val="4"/>
                <w:w w:val="120"/>
                <w:sz w:val="20"/>
              </w:rPr>
              <w:t>Related Community </w:t>
            </w:r>
            <w:r>
              <w:rPr>
                <w:spacing w:val="5"/>
                <w:w w:val="120"/>
                <w:sz w:val="20"/>
              </w:rPr>
              <w:t>Workers, </w:t>
            </w:r>
            <w:r>
              <w:rPr>
                <w:spacing w:val="4"/>
                <w:w w:val="120"/>
                <w:sz w:val="20"/>
              </w:rPr>
              <w:t>and </w:t>
            </w:r>
            <w:r>
              <w:rPr>
                <w:spacing w:val="5"/>
                <w:w w:val="120"/>
                <w:sz w:val="20"/>
              </w:rPr>
              <w:t>elders </w:t>
            </w:r>
            <w:r>
              <w:rPr>
                <w:spacing w:val="4"/>
                <w:w w:val="120"/>
                <w:sz w:val="20"/>
              </w:rPr>
              <w:t>within the United </w:t>
            </w:r>
            <w:r>
              <w:rPr>
                <w:spacing w:val="5"/>
                <w:w w:val="120"/>
                <w:sz w:val="20"/>
              </w:rPr>
              <w:t>Reformed </w:t>
            </w:r>
            <w:r>
              <w:rPr>
                <w:spacing w:val="3"/>
                <w:w w:val="120"/>
                <w:sz w:val="20"/>
              </w:rPr>
              <w:t>Church, </w:t>
            </w:r>
            <w:r>
              <w:rPr>
                <w:spacing w:val="5"/>
                <w:w w:val="120"/>
                <w:sz w:val="20"/>
              </w:rPr>
              <w:t>encourages </w:t>
            </w:r>
            <w:r>
              <w:rPr>
                <w:spacing w:val="3"/>
                <w:w w:val="120"/>
                <w:sz w:val="20"/>
              </w:rPr>
              <w:t>all </w:t>
            </w:r>
            <w:r>
              <w:rPr>
                <w:spacing w:val="2"/>
                <w:w w:val="120"/>
                <w:sz w:val="20"/>
              </w:rPr>
              <w:t>in </w:t>
            </w:r>
            <w:r>
              <w:rPr>
                <w:spacing w:val="5"/>
                <w:w w:val="120"/>
                <w:sz w:val="20"/>
              </w:rPr>
              <w:t>leadership </w:t>
            </w:r>
            <w:r>
              <w:rPr>
                <w:spacing w:val="4"/>
                <w:w w:val="120"/>
                <w:sz w:val="20"/>
              </w:rPr>
              <w:t>positions within the </w:t>
            </w:r>
            <w:r>
              <w:rPr>
                <w:spacing w:val="3"/>
                <w:w w:val="120"/>
                <w:sz w:val="20"/>
              </w:rPr>
              <w:t>church </w:t>
            </w:r>
            <w:r>
              <w:rPr>
                <w:w w:val="120"/>
                <w:sz w:val="20"/>
              </w:rPr>
              <w:t>to </w:t>
            </w:r>
            <w:r>
              <w:rPr>
                <w:spacing w:val="4"/>
                <w:w w:val="120"/>
                <w:sz w:val="20"/>
              </w:rPr>
              <w:t>continue </w:t>
            </w:r>
            <w:r>
              <w:rPr>
                <w:w w:val="120"/>
                <w:sz w:val="20"/>
              </w:rPr>
              <w:t>to </w:t>
            </w:r>
            <w:r>
              <w:rPr>
                <w:spacing w:val="4"/>
                <w:w w:val="120"/>
                <w:sz w:val="20"/>
              </w:rPr>
              <w:t>maintain those</w:t>
            </w:r>
            <w:r>
              <w:rPr>
                <w:spacing w:val="40"/>
                <w:w w:val="120"/>
                <w:sz w:val="20"/>
              </w:rPr>
              <w:t> </w:t>
            </w:r>
            <w:r>
              <w:rPr>
                <w:spacing w:val="5"/>
                <w:w w:val="120"/>
                <w:sz w:val="20"/>
              </w:rPr>
              <w:t>standards.</w:t>
            </w:r>
          </w:p>
          <w:p>
            <w:pPr>
              <w:pStyle w:val="TableParagraph"/>
              <w:spacing w:line="235" w:lineRule="auto" w:before="3"/>
              <w:ind w:left="252" w:right="393"/>
              <w:rPr>
                <w:sz w:val="20"/>
              </w:rPr>
            </w:pPr>
            <w:r>
              <w:rPr>
                <w:w w:val="120"/>
                <w:sz w:val="20"/>
              </w:rPr>
              <w:t>Realising, however, that there are times in the life of the church when disagreement arises over the boundaries of acceptable conduct and behaviour, General Assembly adopts the Guidelines on Conduct and Behaviour for ministers of Word and Sacrament, Church Related Community Workers and elders.</w:t>
            </w:r>
          </w:p>
        </w:tc>
      </w:tr>
    </w:tbl>
    <w:p>
      <w:pPr>
        <w:pStyle w:val="BodyText"/>
        <w:spacing w:before="6"/>
        <w:rPr>
          <w:sz w:val="43"/>
        </w:rPr>
      </w:pPr>
    </w:p>
    <w:p>
      <w:pPr>
        <w:pStyle w:val="ListParagraph"/>
        <w:numPr>
          <w:ilvl w:val="2"/>
          <w:numId w:val="197"/>
        </w:numPr>
        <w:tabs>
          <w:tab w:pos="2664" w:val="left" w:leader="none"/>
          <w:tab w:pos="2665" w:val="left" w:leader="none"/>
        </w:tabs>
        <w:spacing w:line="235" w:lineRule="auto" w:before="1" w:after="0"/>
        <w:ind w:left="1984" w:right="1225" w:firstLine="0"/>
        <w:jc w:val="left"/>
        <w:rPr>
          <w:sz w:val="20"/>
        </w:rPr>
      </w:pPr>
      <w:r>
        <w:rPr>
          <w:w w:val="120"/>
          <w:sz w:val="20"/>
        </w:rPr>
        <w:t>These three documents have been produced in response to concerns regarding the expectations churches have of those appointed to provide leadership, particularly ministers, both of Word and Sacrament and Church Related Community Workers, and Elders. These papers are an attempt to draw attention to the implications of the promise made by ministers ‘to live a holy </w:t>
      </w:r>
      <w:r>
        <w:rPr>
          <w:spacing w:val="-4"/>
          <w:w w:val="120"/>
          <w:sz w:val="20"/>
        </w:rPr>
        <w:t>life’, </w:t>
      </w:r>
      <w:r>
        <w:rPr>
          <w:w w:val="120"/>
          <w:sz w:val="20"/>
        </w:rPr>
        <w:t>outline what duty to colleagues may look like, and define the type of activities that may damage the well-being, purity and peace of the United Reformed</w:t>
      </w:r>
      <w:r>
        <w:rPr>
          <w:spacing w:val="4"/>
          <w:w w:val="120"/>
          <w:sz w:val="20"/>
        </w:rPr>
        <w:t> </w:t>
      </w:r>
      <w:r>
        <w:rPr>
          <w:w w:val="120"/>
          <w:sz w:val="20"/>
        </w:rPr>
        <w:t>Church.</w:t>
      </w:r>
    </w:p>
    <w:p>
      <w:pPr>
        <w:pStyle w:val="BodyText"/>
      </w:pPr>
    </w:p>
    <w:p>
      <w:pPr>
        <w:pStyle w:val="ListParagraph"/>
        <w:numPr>
          <w:ilvl w:val="2"/>
          <w:numId w:val="197"/>
        </w:numPr>
        <w:tabs>
          <w:tab w:pos="2664" w:val="left" w:leader="none"/>
          <w:tab w:pos="2665" w:val="left" w:leader="none"/>
        </w:tabs>
        <w:spacing w:line="235" w:lineRule="auto" w:before="0" w:after="0"/>
        <w:ind w:left="1984" w:right="1191" w:firstLine="0"/>
        <w:jc w:val="left"/>
        <w:rPr>
          <w:sz w:val="20"/>
        </w:rPr>
      </w:pPr>
      <w:r>
        <w:rPr>
          <w:spacing w:val="-3"/>
          <w:w w:val="120"/>
          <w:sz w:val="20"/>
        </w:rPr>
        <w:t>Considerable </w:t>
      </w:r>
      <w:r>
        <w:rPr>
          <w:w w:val="120"/>
          <w:sz w:val="20"/>
        </w:rPr>
        <w:t>time and thought has been given </w:t>
      </w:r>
      <w:r>
        <w:rPr>
          <w:spacing w:val="-3"/>
          <w:w w:val="120"/>
          <w:sz w:val="20"/>
        </w:rPr>
        <w:t>to </w:t>
      </w:r>
      <w:r>
        <w:rPr>
          <w:w w:val="120"/>
          <w:sz w:val="20"/>
        </w:rPr>
        <w:t>the status these papers should </w:t>
      </w:r>
      <w:r>
        <w:rPr>
          <w:spacing w:val="-3"/>
          <w:w w:val="120"/>
          <w:sz w:val="20"/>
        </w:rPr>
        <w:t>have within </w:t>
      </w:r>
      <w:r>
        <w:rPr>
          <w:w w:val="120"/>
          <w:sz w:val="20"/>
        </w:rPr>
        <w:t>the </w:t>
      </w:r>
      <w:r>
        <w:rPr>
          <w:spacing w:val="-3"/>
          <w:w w:val="120"/>
          <w:sz w:val="20"/>
        </w:rPr>
        <w:t>church </w:t>
      </w:r>
      <w:r>
        <w:rPr>
          <w:w w:val="120"/>
          <w:sz w:val="20"/>
        </w:rPr>
        <w:t>with regard </w:t>
      </w:r>
      <w:r>
        <w:rPr>
          <w:spacing w:val="-3"/>
          <w:w w:val="120"/>
          <w:sz w:val="20"/>
        </w:rPr>
        <w:t>to </w:t>
      </w:r>
      <w:r>
        <w:rPr>
          <w:w w:val="120"/>
          <w:sz w:val="20"/>
        </w:rPr>
        <w:t>whether they should be lists of proscribed activities or guidelines marking out the boundaries, for the </w:t>
      </w:r>
      <w:r>
        <w:rPr>
          <w:spacing w:val="-3"/>
          <w:w w:val="120"/>
          <w:sz w:val="20"/>
        </w:rPr>
        <w:t>crossing </w:t>
      </w:r>
      <w:r>
        <w:rPr>
          <w:w w:val="120"/>
          <w:sz w:val="20"/>
        </w:rPr>
        <w:t>of which an individual can be held </w:t>
      </w:r>
      <w:r>
        <w:rPr>
          <w:spacing w:val="-3"/>
          <w:w w:val="120"/>
          <w:sz w:val="20"/>
        </w:rPr>
        <w:t>accountable. </w:t>
      </w:r>
      <w:r>
        <w:rPr>
          <w:w w:val="120"/>
          <w:sz w:val="20"/>
        </w:rPr>
        <w:t>In the light of various </w:t>
      </w:r>
      <w:r>
        <w:rPr>
          <w:spacing w:val="-3"/>
          <w:w w:val="120"/>
          <w:sz w:val="20"/>
        </w:rPr>
        <w:t>discussions </w:t>
      </w:r>
      <w:r>
        <w:rPr>
          <w:w w:val="120"/>
          <w:sz w:val="20"/>
        </w:rPr>
        <w:t>and </w:t>
      </w:r>
      <w:r>
        <w:rPr>
          <w:spacing w:val="-3"/>
          <w:w w:val="120"/>
          <w:sz w:val="20"/>
        </w:rPr>
        <w:t>contributions </w:t>
      </w:r>
      <w:r>
        <w:rPr>
          <w:w w:val="120"/>
          <w:sz w:val="20"/>
        </w:rPr>
        <w:t>submitted </w:t>
      </w:r>
      <w:r>
        <w:rPr>
          <w:spacing w:val="-3"/>
          <w:w w:val="120"/>
          <w:sz w:val="20"/>
        </w:rPr>
        <w:t>to </w:t>
      </w:r>
      <w:r>
        <w:rPr>
          <w:w w:val="120"/>
          <w:sz w:val="20"/>
        </w:rPr>
        <w:t>the Ministries </w:t>
      </w:r>
      <w:r>
        <w:rPr>
          <w:spacing w:val="-3"/>
          <w:w w:val="120"/>
          <w:sz w:val="20"/>
        </w:rPr>
        <w:t>Committee, </w:t>
      </w:r>
      <w:r>
        <w:rPr>
          <w:w w:val="120"/>
          <w:sz w:val="20"/>
        </w:rPr>
        <w:t>the latter understanding has been adopted </w:t>
      </w:r>
      <w:r>
        <w:rPr>
          <w:spacing w:val="-3"/>
          <w:w w:val="120"/>
          <w:sz w:val="20"/>
        </w:rPr>
        <w:t>recognising </w:t>
      </w:r>
      <w:r>
        <w:rPr>
          <w:w w:val="120"/>
          <w:sz w:val="20"/>
        </w:rPr>
        <w:t>that it </w:t>
      </w:r>
      <w:r>
        <w:rPr>
          <w:spacing w:val="-3"/>
          <w:w w:val="120"/>
          <w:sz w:val="20"/>
        </w:rPr>
        <w:t>would </w:t>
      </w:r>
      <w:r>
        <w:rPr>
          <w:w w:val="120"/>
          <w:sz w:val="20"/>
        </w:rPr>
        <w:t>be </w:t>
      </w:r>
      <w:r>
        <w:rPr>
          <w:spacing w:val="-3"/>
          <w:w w:val="120"/>
          <w:sz w:val="20"/>
        </w:rPr>
        <w:t>impossible to </w:t>
      </w:r>
      <w:r>
        <w:rPr>
          <w:w w:val="120"/>
          <w:sz w:val="20"/>
        </w:rPr>
        <w:t>detail adequately every behaviour which </w:t>
      </w:r>
      <w:r>
        <w:rPr>
          <w:spacing w:val="-3"/>
          <w:w w:val="120"/>
          <w:sz w:val="20"/>
        </w:rPr>
        <w:t>would </w:t>
      </w:r>
      <w:r>
        <w:rPr>
          <w:w w:val="120"/>
          <w:sz w:val="20"/>
        </w:rPr>
        <w:t>be </w:t>
      </w:r>
      <w:r>
        <w:rPr>
          <w:spacing w:val="-3"/>
          <w:w w:val="120"/>
          <w:sz w:val="20"/>
        </w:rPr>
        <w:t>inappropriate, </w:t>
      </w:r>
      <w:r>
        <w:rPr>
          <w:w w:val="120"/>
          <w:sz w:val="20"/>
        </w:rPr>
        <w:t>but</w:t>
      </w:r>
      <w:r>
        <w:rPr>
          <w:spacing w:val="-8"/>
          <w:w w:val="120"/>
          <w:sz w:val="20"/>
        </w:rPr>
        <w:t> </w:t>
      </w:r>
      <w:r>
        <w:rPr>
          <w:w w:val="120"/>
          <w:sz w:val="20"/>
        </w:rPr>
        <w:t>knowing</w:t>
      </w:r>
      <w:r>
        <w:rPr>
          <w:spacing w:val="-7"/>
          <w:w w:val="120"/>
          <w:sz w:val="20"/>
        </w:rPr>
        <w:t> </w:t>
      </w:r>
      <w:r>
        <w:rPr>
          <w:w w:val="120"/>
          <w:sz w:val="20"/>
        </w:rPr>
        <w:t>that</w:t>
      </w:r>
      <w:r>
        <w:rPr>
          <w:spacing w:val="-7"/>
          <w:w w:val="120"/>
          <w:sz w:val="20"/>
        </w:rPr>
        <w:t> </w:t>
      </w:r>
      <w:r>
        <w:rPr>
          <w:w w:val="120"/>
          <w:sz w:val="20"/>
        </w:rPr>
        <w:t>there</w:t>
      </w:r>
      <w:r>
        <w:rPr>
          <w:spacing w:val="-8"/>
          <w:w w:val="120"/>
          <w:sz w:val="20"/>
        </w:rPr>
        <w:t> </w:t>
      </w:r>
      <w:r>
        <w:rPr>
          <w:w w:val="120"/>
          <w:sz w:val="20"/>
        </w:rPr>
        <w:t>are</w:t>
      </w:r>
      <w:r>
        <w:rPr>
          <w:spacing w:val="-7"/>
          <w:w w:val="120"/>
          <w:sz w:val="20"/>
        </w:rPr>
        <w:t> </w:t>
      </w:r>
      <w:r>
        <w:rPr>
          <w:w w:val="120"/>
          <w:sz w:val="20"/>
        </w:rPr>
        <w:t>clear</w:t>
      </w:r>
      <w:r>
        <w:rPr>
          <w:spacing w:val="-7"/>
          <w:w w:val="120"/>
          <w:sz w:val="20"/>
        </w:rPr>
        <w:t> </w:t>
      </w:r>
      <w:r>
        <w:rPr>
          <w:w w:val="120"/>
          <w:sz w:val="20"/>
        </w:rPr>
        <w:t>areas</w:t>
      </w:r>
      <w:r>
        <w:rPr>
          <w:spacing w:val="-8"/>
          <w:w w:val="120"/>
          <w:sz w:val="20"/>
        </w:rPr>
        <w:t> </w:t>
      </w:r>
      <w:r>
        <w:rPr>
          <w:w w:val="120"/>
          <w:sz w:val="20"/>
        </w:rPr>
        <w:t>of</w:t>
      </w:r>
      <w:r>
        <w:rPr>
          <w:spacing w:val="-7"/>
          <w:w w:val="120"/>
          <w:sz w:val="20"/>
        </w:rPr>
        <w:t> </w:t>
      </w:r>
      <w:r>
        <w:rPr>
          <w:spacing w:val="-3"/>
          <w:w w:val="120"/>
          <w:sz w:val="20"/>
        </w:rPr>
        <w:t>concern</w:t>
      </w:r>
      <w:r>
        <w:rPr>
          <w:spacing w:val="-7"/>
          <w:w w:val="120"/>
          <w:sz w:val="20"/>
        </w:rPr>
        <w:t> </w:t>
      </w:r>
      <w:r>
        <w:rPr>
          <w:w w:val="120"/>
          <w:sz w:val="20"/>
        </w:rPr>
        <w:t>which</w:t>
      </w:r>
      <w:r>
        <w:rPr>
          <w:spacing w:val="-8"/>
          <w:w w:val="120"/>
          <w:sz w:val="20"/>
        </w:rPr>
        <w:t> </w:t>
      </w:r>
      <w:r>
        <w:rPr>
          <w:w w:val="120"/>
          <w:sz w:val="20"/>
        </w:rPr>
        <w:t>need</w:t>
      </w:r>
      <w:r>
        <w:rPr>
          <w:spacing w:val="-7"/>
          <w:w w:val="120"/>
          <w:sz w:val="20"/>
        </w:rPr>
        <w:t> </w:t>
      </w:r>
      <w:r>
        <w:rPr>
          <w:spacing w:val="-3"/>
          <w:w w:val="120"/>
          <w:sz w:val="20"/>
        </w:rPr>
        <w:t>to</w:t>
      </w:r>
      <w:r>
        <w:rPr>
          <w:spacing w:val="-7"/>
          <w:w w:val="120"/>
          <w:sz w:val="20"/>
        </w:rPr>
        <w:t> </w:t>
      </w:r>
      <w:r>
        <w:rPr>
          <w:w w:val="120"/>
          <w:sz w:val="20"/>
        </w:rPr>
        <w:t>be</w:t>
      </w:r>
      <w:r>
        <w:rPr>
          <w:spacing w:val="-8"/>
          <w:w w:val="120"/>
          <w:sz w:val="20"/>
        </w:rPr>
        <w:t> </w:t>
      </w:r>
      <w:r>
        <w:rPr>
          <w:w w:val="120"/>
          <w:sz w:val="20"/>
        </w:rPr>
        <w:t>drawn</w:t>
      </w:r>
      <w:r>
        <w:rPr>
          <w:spacing w:val="-7"/>
          <w:w w:val="120"/>
          <w:sz w:val="20"/>
        </w:rPr>
        <w:t> </w:t>
      </w:r>
      <w:r>
        <w:rPr>
          <w:spacing w:val="-3"/>
          <w:w w:val="120"/>
          <w:sz w:val="20"/>
        </w:rPr>
        <w:t>to</w:t>
      </w:r>
      <w:r>
        <w:rPr>
          <w:spacing w:val="-7"/>
          <w:w w:val="120"/>
          <w:sz w:val="20"/>
        </w:rPr>
        <w:t> </w:t>
      </w:r>
      <w:r>
        <w:rPr>
          <w:w w:val="120"/>
          <w:sz w:val="20"/>
        </w:rPr>
        <w:t>the</w:t>
      </w:r>
      <w:r>
        <w:rPr>
          <w:spacing w:val="-8"/>
          <w:w w:val="120"/>
          <w:sz w:val="20"/>
        </w:rPr>
        <w:t> </w:t>
      </w:r>
      <w:r>
        <w:rPr>
          <w:w w:val="120"/>
          <w:sz w:val="20"/>
        </w:rPr>
        <w:t>attention of those who provide leadership and seek </w:t>
      </w:r>
      <w:r>
        <w:rPr>
          <w:spacing w:val="-3"/>
          <w:w w:val="120"/>
          <w:sz w:val="20"/>
        </w:rPr>
        <w:t>to </w:t>
      </w:r>
      <w:r>
        <w:rPr>
          <w:w w:val="120"/>
          <w:sz w:val="20"/>
        </w:rPr>
        <w:t>hold it </w:t>
      </w:r>
      <w:r>
        <w:rPr>
          <w:spacing w:val="-3"/>
          <w:w w:val="120"/>
          <w:sz w:val="20"/>
        </w:rPr>
        <w:t>to</w:t>
      </w:r>
      <w:r>
        <w:rPr>
          <w:spacing w:val="-24"/>
          <w:w w:val="120"/>
          <w:sz w:val="20"/>
        </w:rPr>
        <w:t> </w:t>
      </w:r>
      <w:r>
        <w:rPr>
          <w:spacing w:val="-4"/>
          <w:w w:val="120"/>
          <w:sz w:val="20"/>
        </w:rPr>
        <w:t>account.</w:t>
      </w:r>
    </w:p>
    <w:p>
      <w:pPr>
        <w:pStyle w:val="BodyText"/>
        <w:spacing w:before="2"/>
      </w:pPr>
    </w:p>
    <w:p>
      <w:pPr>
        <w:pStyle w:val="ListParagraph"/>
        <w:numPr>
          <w:ilvl w:val="2"/>
          <w:numId w:val="197"/>
        </w:numPr>
        <w:tabs>
          <w:tab w:pos="2664" w:val="left" w:leader="none"/>
          <w:tab w:pos="2665" w:val="left" w:leader="none"/>
        </w:tabs>
        <w:spacing w:line="235" w:lineRule="auto" w:before="0" w:after="0"/>
        <w:ind w:left="1984" w:right="1252" w:firstLine="0"/>
        <w:jc w:val="left"/>
        <w:rPr>
          <w:sz w:val="20"/>
        </w:rPr>
      </w:pPr>
      <w:r>
        <w:rPr>
          <w:w w:val="120"/>
          <w:sz w:val="20"/>
        </w:rPr>
        <w:t>Those candidating for the ministries of Word and Sacrament and Church Related Community Work will be expected to be aware of the content of these papers and this will be included in the assessment process of the United Reformed Church. It is to be hoped that the content of these documents will be discussed with those who are being prepared for ordination as elders within the United Reformed Church, and that they will be a valued resource for those already ordained as they reflect on their role as</w:t>
      </w:r>
      <w:r>
        <w:rPr>
          <w:spacing w:val="5"/>
          <w:w w:val="120"/>
          <w:sz w:val="20"/>
        </w:rPr>
        <w:t> </w:t>
      </w:r>
      <w:r>
        <w:rPr>
          <w:w w:val="120"/>
          <w:sz w:val="20"/>
        </w:rPr>
        <w:t>elders.</w:t>
      </w:r>
    </w:p>
    <w:p>
      <w:pPr>
        <w:pStyle w:val="BodyText"/>
        <w:rPr>
          <w:sz w:val="24"/>
        </w:rPr>
      </w:pPr>
    </w:p>
    <w:p>
      <w:pPr>
        <w:pStyle w:val="BodyText"/>
        <w:rPr>
          <w:sz w:val="24"/>
        </w:rPr>
      </w:pPr>
    </w:p>
    <w:p>
      <w:pPr>
        <w:pStyle w:val="BodyText"/>
        <w:spacing w:before="11"/>
        <w:rPr>
          <w:sz w:val="27"/>
        </w:rPr>
      </w:pPr>
    </w:p>
    <w:p>
      <w:pPr>
        <w:pStyle w:val="Heading5"/>
        <w:spacing w:before="1"/>
      </w:pPr>
      <w:r>
        <w:rPr/>
        <w:pict>
          <v:group style="position:absolute;margin-left:82.204697pt;margin-top:28.588873pt;width:470.6pt;height:132.35pt;mso-position-horizontal-relative:page;mso-position-vertical-relative:paragraph;z-index:-267035648" coordorigin="1644,572" coordsize="9412,2647">
            <v:shape style="position:absolute;left:1674;top:601;width:9352;height:2587" coordorigin="1674,602" coordsize="9352,2587" path="m1674,2948l1678,3087,1704,3158,1775,3185,1914,3188,10785,3188,10924,3185,10995,3158,11021,3087,11025,2948,11025,842,11021,703,10995,632,10924,606,10785,602,1914,602,1775,606,1704,632,1678,703,1674,842,1674,2948xe" filled="false" stroked="true" strokeweight="3pt" strokecolor="#000000">
              <v:path arrowok="t"/>
              <v:stroke dashstyle="solid"/>
            </v:shape>
            <v:shape style="position:absolute;left:1984;top:1628;width:234;height:960" type="#_x0000_t202" filled="false" stroked="false">
              <v:textbox inset="0,0,0,0">
                <w:txbxContent>
                  <w:p>
                    <w:pPr>
                      <w:spacing w:before="0"/>
                      <w:ind w:left="0" w:right="0" w:firstLine="0"/>
                      <w:jc w:val="left"/>
                      <w:rPr>
                        <w:sz w:val="20"/>
                      </w:rPr>
                    </w:pPr>
                    <w:r>
                      <w:rPr>
                        <w:spacing w:val="-4"/>
                        <w:w w:val="130"/>
                        <w:sz w:val="20"/>
                      </w:rPr>
                      <w:t>a)</w:t>
                    </w:r>
                  </w:p>
                  <w:p>
                    <w:pPr>
                      <w:spacing w:line="240" w:lineRule="auto" w:before="0"/>
                      <w:rPr>
                        <w:sz w:val="24"/>
                      </w:rPr>
                    </w:pPr>
                  </w:p>
                  <w:p>
                    <w:pPr>
                      <w:spacing w:line="240" w:lineRule="exact" w:before="182"/>
                      <w:ind w:left="0" w:right="0" w:firstLine="0"/>
                      <w:jc w:val="left"/>
                      <w:rPr>
                        <w:sz w:val="20"/>
                      </w:rPr>
                    </w:pPr>
                    <w:r>
                      <w:rPr>
                        <w:spacing w:val="-6"/>
                        <w:w w:val="135"/>
                        <w:sz w:val="20"/>
                      </w:rPr>
                      <w:t>b)</w:t>
                    </w:r>
                  </w:p>
                </w:txbxContent>
              </v:textbox>
              <w10:wrap type="none"/>
            </v:shape>
            <v:shape style="position:absolute;left:2664;top:1628;width:8052;height:1200" type="#_x0000_t202" filled="false" stroked="false">
              <v:textbox inset="0,0,0,0">
                <w:txbxContent>
                  <w:p>
                    <w:pPr>
                      <w:spacing w:line="242" w:lineRule="exact" w:before="0"/>
                      <w:ind w:left="0" w:right="0" w:firstLine="0"/>
                      <w:jc w:val="left"/>
                      <w:rPr>
                        <w:sz w:val="20"/>
                      </w:rPr>
                    </w:pPr>
                    <w:r>
                      <w:rPr>
                        <w:w w:val="120"/>
                        <w:sz w:val="20"/>
                      </w:rPr>
                      <w:t>General Assembly welcomes the Bournemouth International Church and</w:t>
                    </w:r>
                  </w:p>
                  <w:p>
                    <w:pPr>
                      <w:spacing w:line="235" w:lineRule="auto" w:before="1"/>
                      <w:ind w:left="0" w:right="0" w:firstLine="0"/>
                      <w:jc w:val="left"/>
                      <w:rPr>
                        <w:sz w:val="20"/>
                      </w:rPr>
                    </w:pPr>
                    <w:r>
                      <w:rPr>
                        <w:w w:val="120"/>
                        <w:sz w:val="20"/>
                      </w:rPr>
                      <w:t>the West London Asian Christian Fellowship as Mission Projects of the United Reformed Church.</w:t>
                    </w:r>
                  </w:p>
                  <w:p>
                    <w:pPr>
                      <w:spacing w:line="235" w:lineRule="auto" w:before="2"/>
                      <w:ind w:left="0" w:right="0" w:firstLine="0"/>
                      <w:jc w:val="left"/>
                      <w:rPr>
                        <w:sz w:val="20"/>
                      </w:rPr>
                    </w:pPr>
                    <w:r>
                      <w:rPr>
                        <w:w w:val="120"/>
                        <w:sz w:val="20"/>
                      </w:rPr>
                      <w:t>General Assembly receives notice of the closure of the local churches listed on pages 198-209 and gives thanks to God for their worship, witness and service.</w:t>
                    </w:r>
                  </w:p>
                </w:txbxContent>
              </v:textbox>
              <w10:wrap type="none"/>
            </v:shape>
            <w10:wrap type="none"/>
          </v:group>
        </w:pict>
      </w:r>
      <w:r>
        <w:rPr>
          <w:color w:val="9662A1"/>
          <w:w w:val="125"/>
        </w:rPr>
        <w:t>Church changes</w:t>
      </w:r>
    </w:p>
    <w:p>
      <w:pPr>
        <w:pStyle w:val="BodyText"/>
        <w:spacing w:before="9"/>
        <w:rPr>
          <w:sz w:val="14"/>
        </w:rPr>
      </w:pPr>
    </w:p>
    <w:tbl>
      <w:tblPr>
        <w:tblW w:w="0" w:type="auto"/>
        <w:jc w:val="left"/>
        <w:tblInd w:w="1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0"/>
        <w:gridCol w:w="3825"/>
        <w:gridCol w:w="5248"/>
      </w:tblGrid>
      <w:tr>
        <w:trPr>
          <w:trHeight w:val="645" w:hRule="atLeast"/>
        </w:trPr>
        <w:tc>
          <w:tcPr>
            <w:tcW w:w="230"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72"/>
              <w:rPr>
                <w:rFonts w:ascii="Stone Sans II ITC Std X Bd"/>
                <w:b/>
                <w:sz w:val="57"/>
              </w:rPr>
            </w:pPr>
            <w:r>
              <w:rPr>
                <w:rFonts w:ascii="Stone Sans II ITC Std X Bd"/>
                <w:b/>
                <w:color w:val="FFFFFF"/>
                <w:w w:val="110"/>
                <w:sz w:val="47"/>
              </w:rPr>
              <w:t>Resolution</w:t>
            </w:r>
            <w:r>
              <w:rPr>
                <w:rFonts w:ascii="Stone Sans II ITC Std X Bd"/>
                <w:b/>
                <w:color w:val="FFFFFF"/>
                <w:spacing w:val="12"/>
                <w:w w:val="110"/>
                <w:sz w:val="47"/>
              </w:rPr>
              <w:t> </w:t>
            </w:r>
            <w:r>
              <w:rPr>
                <w:rFonts w:ascii="Stone Sans II ITC Std X Bd"/>
                <w:b/>
                <w:spacing w:val="-31"/>
                <w:w w:val="110"/>
                <w:position w:val="-22"/>
                <w:sz w:val="57"/>
              </w:rPr>
              <w:t>13</w:t>
            </w:r>
          </w:p>
        </w:tc>
        <w:tc>
          <w:tcPr>
            <w:tcW w:w="5248" w:type="dxa"/>
            <w:tcBorders>
              <w:top w:val="single" w:sz="24" w:space="0" w:color="000000"/>
            </w:tcBorders>
          </w:tcPr>
          <w:p>
            <w:pPr>
              <w:pStyle w:val="TableParagraph"/>
              <w:rPr>
                <w:rFonts w:ascii="Times New Roman"/>
                <w:sz w:val="22"/>
              </w:rPr>
            </w:pPr>
          </w:p>
        </w:tc>
      </w:tr>
    </w:tbl>
    <w:p>
      <w:pPr>
        <w:spacing w:after="0"/>
        <w:rPr>
          <w:rFonts w:ascii="Times New Roman"/>
          <w:sz w:val="22"/>
        </w:rPr>
        <w:sectPr>
          <w:pgSz w:w="11910" w:h="16840"/>
          <w:pgMar w:header="0" w:footer="647" w:top="1060" w:bottom="840" w:left="0" w:right="0"/>
        </w:sectPr>
      </w:pPr>
    </w:p>
    <w:p>
      <w:pPr>
        <w:spacing w:before="131"/>
        <w:ind w:left="1133" w:right="0" w:firstLine="0"/>
        <w:jc w:val="left"/>
        <w:rPr>
          <w:sz w:val="32"/>
        </w:rPr>
      </w:pPr>
      <w:r>
        <w:rPr/>
        <w:pict>
          <v:rect style="position:absolute;margin-left:12.047pt;margin-top:8.474748pt;width:22.677pt;height:22.677pt;mso-position-horizontal-relative:page;mso-position-vertical-relative:paragraph;z-index:252389376" filled="true" fillcolor="#dcd0e6" stroked="false">
            <v:fill opacity="32768f" type="solid"/>
            <w10:wrap type="none"/>
          </v:rect>
        </w:pict>
      </w:r>
      <w:r>
        <w:rPr>
          <w:color w:val="9662A1"/>
          <w:w w:val="120"/>
          <w:sz w:val="32"/>
        </w:rPr>
        <w:t>Nominations Committee: appointment extensions</w:t>
      </w:r>
    </w:p>
    <w:p>
      <w:pPr>
        <w:pStyle w:val="BodyText"/>
        <w:spacing w:before="5" w:after="1"/>
        <w:rPr>
          <w:sz w:val="16"/>
        </w:rPr>
      </w:pPr>
    </w:p>
    <w:tbl>
      <w:tblPr>
        <w:tblW w:w="0" w:type="auto"/>
        <w:jc w:val="left"/>
        <w:tblInd w:w="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51" w:lineRule="auto" w:before="25"/>
              <w:ind w:left="178" w:right="-72"/>
              <w:rPr>
                <w:rFonts w:ascii="Stone Sans II ITC Std X Bd"/>
                <w:b/>
                <w:sz w:val="57"/>
              </w:rPr>
            </w:pPr>
            <w:r>
              <w:rPr>
                <w:rFonts w:ascii="Stone Sans II ITC Std X Bd"/>
                <w:b/>
                <w:color w:val="FFFFFF"/>
                <w:w w:val="110"/>
                <w:sz w:val="47"/>
              </w:rPr>
              <w:t>Resolution</w:t>
            </w:r>
            <w:r>
              <w:rPr>
                <w:rFonts w:ascii="Stone Sans II ITC Std X Bd"/>
                <w:b/>
                <w:color w:val="FFFFFF"/>
                <w:spacing w:val="2"/>
                <w:w w:val="110"/>
                <w:sz w:val="47"/>
              </w:rPr>
              <w:t> </w:t>
            </w:r>
            <w:r>
              <w:rPr>
                <w:rFonts w:ascii="Stone Sans II ITC Std X Bd"/>
                <w:b/>
                <w:spacing w:val="-26"/>
                <w:w w:val="110"/>
                <w:position w:val="-20"/>
                <w:sz w:val="57"/>
              </w:rPr>
              <w:t>14</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2740"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
              <w:rPr>
                <w:sz w:val="27"/>
              </w:rPr>
            </w:pPr>
          </w:p>
          <w:p>
            <w:pPr>
              <w:pStyle w:val="TableParagraph"/>
              <w:spacing w:line="242" w:lineRule="exact"/>
              <w:ind w:left="295"/>
              <w:rPr>
                <w:sz w:val="20"/>
              </w:rPr>
            </w:pPr>
            <w:r>
              <w:rPr>
                <w:w w:val="120"/>
                <w:sz w:val="20"/>
              </w:rPr>
              <w:t>General Assembly agrees that:</w:t>
            </w:r>
          </w:p>
          <w:p>
            <w:pPr>
              <w:pStyle w:val="TableParagraph"/>
              <w:numPr>
                <w:ilvl w:val="0"/>
                <w:numId w:val="198"/>
              </w:numPr>
              <w:tabs>
                <w:tab w:pos="975" w:val="left" w:leader="none"/>
                <w:tab w:pos="976" w:val="left" w:leader="none"/>
              </w:tabs>
              <w:spacing w:line="235" w:lineRule="auto" w:before="2" w:after="0"/>
              <w:ind w:left="975" w:right="617" w:hanging="681"/>
              <w:jc w:val="left"/>
              <w:rPr>
                <w:sz w:val="20"/>
              </w:rPr>
            </w:pPr>
            <w:r>
              <w:rPr>
                <w:spacing w:val="4"/>
                <w:w w:val="120"/>
                <w:sz w:val="20"/>
              </w:rPr>
              <w:t>the present term </w:t>
            </w:r>
            <w:r>
              <w:rPr>
                <w:spacing w:val="3"/>
                <w:w w:val="120"/>
                <w:sz w:val="20"/>
              </w:rPr>
              <w:t>of </w:t>
            </w:r>
            <w:r>
              <w:rPr>
                <w:spacing w:val="5"/>
                <w:w w:val="120"/>
                <w:sz w:val="20"/>
              </w:rPr>
              <w:t>service </w:t>
            </w:r>
            <w:r>
              <w:rPr>
                <w:spacing w:val="3"/>
                <w:w w:val="120"/>
                <w:sz w:val="20"/>
              </w:rPr>
              <w:t>of Mr </w:t>
            </w:r>
            <w:r>
              <w:rPr>
                <w:spacing w:val="4"/>
                <w:w w:val="120"/>
                <w:sz w:val="20"/>
              </w:rPr>
              <w:t>John </w:t>
            </w:r>
            <w:r>
              <w:rPr>
                <w:spacing w:val="3"/>
                <w:w w:val="120"/>
                <w:sz w:val="20"/>
              </w:rPr>
              <w:t>Ellis </w:t>
            </w:r>
            <w:r>
              <w:rPr>
                <w:spacing w:val="2"/>
                <w:w w:val="120"/>
                <w:sz w:val="20"/>
              </w:rPr>
              <w:t>as </w:t>
            </w:r>
            <w:r>
              <w:rPr>
                <w:spacing w:val="7"/>
                <w:w w:val="120"/>
                <w:sz w:val="20"/>
              </w:rPr>
              <w:t>Honorary </w:t>
            </w:r>
            <w:r>
              <w:rPr>
                <w:spacing w:val="3"/>
                <w:w w:val="120"/>
                <w:sz w:val="20"/>
              </w:rPr>
              <w:t>Treasurer of </w:t>
            </w:r>
            <w:r>
              <w:rPr>
                <w:spacing w:val="4"/>
                <w:w w:val="120"/>
                <w:sz w:val="20"/>
              </w:rPr>
              <w:t>the United </w:t>
            </w:r>
            <w:r>
              <w:rPr>
                <w:spacing w:val="5"/>
                <w:w w:val="120"/>
                <w:sz w:val="20"/>
              </w:rPr>
              <w:t>Reformed </w:t>
            </w:r>
            <w:r>
              <w:rPr>
                <w:spacing w:val="3"/>
                <w:w w:val="120"/>
                <w:sz w:val="20"/>
              </w:rPr>
              <w:t>Church </w:t>
            </w:r>
            <w:r>
              <w:rPr>
                <w:spacing w:val="4"/>
                <w:w w:val="120"/>
                <w:sz w:val="20"/>
              </w:rPr>
              <w:t>be </w:t>
            </w:r>
            <w:r>
              <w:rPr>
                <w:spacing w:val="5"/>
                <w:w w:val="120"/>
                <w:sz w:val="20"/>
              </w:rPr>
              <w:t>extended </w:t>
            </w:r>
            <w:r>
              <w:rPr>
                <w:spacing w:val="4"/>
                <w:w w:val="120"/>
                <w:sz w:val="20"/>
              </w:rPr>
              <w:t>from </w:t>
            </w:r>
            <w:r>
              <w:rPr>
                <w:spacing w:val="5"/>
                <w:w w:val="120"/>
                <w:sz w:val="20"/>
              </w:rPr>
              <w:t>Assembly </w:t>
            </w:r>
            <w:r>
              <w:rPr>
                <w:spacing w:val="-5"/>
                <w:w w:val="120"/>
                <w:sz w:val="20"/>
              </w:rPr>
              <w:t>2011 </w:t>
            </w:r>
            <w:r>
              <w:rPr>
                <w:spacing w:val="4"/>
                <w:w w:val="120"/>
                <w:sz w:val="20"/>
              </w:rPr>
              <w:t>until </w:t>
            </w:r>
            <w:r>
              <w:rPr>
                <w:spacing w:val="5"/>
                <w:w w:val="120"/>
                <w:sz w:val="20"/>
              </w:rPr>
              <w:t>30</w:t>
            </w:r>
            <w:r>
              <w:rPr>
                <w:spacing w:val="5"/>
                <w:w w:val="120"/>
                <w:position w:val="7"/>
                <w:sz w:val="11"/>
              </w:rPr>
              <w:t>th </w:t>
            </w:r>
            <w:r>
              <w:rPr>
                <w:spacing w:val="4"/>
                <w:w w:val="120"/>
                <w:sz w:val="20"/>
              </w:rPr>
              <w:t>June </w:t>
            </w:r>
            <w:r>
              <w:rPr>
                <w:spacing w:val="-4"/>
                <w:w w:val="120"/>
                <w:sz w:val="20"/>
              </w:rPr>
              <w:t>2013;</w:t>
            </w:r>
          </w:p>
          <w:p>
            <w:pPr>
              <w:pStyle w:val="TableParagraph"/>
              <w:numPr>
                <w:ilvl w:val="0"/>
                <w:numId w:val="198"/>
              </w:numPr>
              <w:tabs>
                <w:tab w:pos="975" w:val="left" w:leader="none"/>
                <w:tab w:pos="976" w:val="left" w:leader="none"/>
              </w:tabs>
              <w:spacing w:line="235" w:lineRule="auto" w:before="2" w:after="0"/>
              <w:ind w:left="975" w:right="146" w:hanging="681"/>
              <w:jc w:val="left"/>
              <w:rPr>
                <w:sz w:val="20"/>
              </w:rPr>
            </w:pPr>
            <w:r>
              <w:rPr>
                <w:spacing w:val="4"/>
                <w:w w:val="120"/>
                <w:sz w:val="20"/>
              </w:rPr>
              <w:t>the present term </w:t>
            </w:r>
            <w:r>
              <w:rPr>
                <w:spacing w:val="3"/>
                <w:w w:val="120"/>
                <w:sz w:val="20"/>
              </w:rPr>
              <w:t>of </w:t>
            </w:r>
            <w:r>
              <w:rPr>
                <w:spacing w:val="5"/>
                <w:w w:val="120"/>
                <w:sz w:val="20"/>
              </w:rPr>
              <w:t>service </w:t>
            </w:r>
            <w:r>
              <w:rPr>
                <w:spacing w:val="3"/>
                <w:w w:val="120"/>
                <w:sz w:val="20"/>
              </w:rPr>
              <w:t>of Dr David </w:t>
            </w:r>
            <w:r>
              <w:rPr>
                <w:spacing w:val="4"/>
                <w:w w:val="120"/>
                <w:sz w:val="20"/>
              </w:rPr>
              <w:t>Robinson </w:t>
            </w:r>
            <w:r>
              <w:rPr>
                <w:spacing w:val="2"/>
                <w:w w:val="120"/>
                <w:sz w:val="20"/>
              </w:rPr>
              <w:t>as </w:t>
            </w:r>
            <w:r>
              <w:rPr>
                <w:spacing w:val="4"/>
                <w:w w:val="120"/>
                <w:sz w:val="20"/>
              </w:rPr>
              <w:t>Convener </w:t>
            </w:r>
            <w:r>
              <w:rPr>
                <w:spacing w:val="3"/>
                <w:w w:val="120"/>
                <w:sz w:val="20"/>
              </w:rPr>
              <w:t>of </w:t>
            </w:r>
            <w:r>
              <w:rPr>
                <w:spacing w:val="4"/>
                <w:w w:val="120"/>
                <w:sz w:val="20"/>
              </w:rPr>
              <w:t>the </w:t>
            </w:r>
            <w:r>
              <w:rPr>
                <w:spacing w:val="5"/>
                <w:w w:val="120"/>
                <w:sz w:val="20"/>
              </w:rPr>
              <w:t>Assembly </w:t>
            </w:r>
            <w:r>
              <w:rPr>
                <w:spacing w:val="6"/>
                <w:w w:val="120"/>
                <w:sz w:val="20"/>
              </w:rPr>
              <w:t>Arrangements </w:t>
            </w:r>
            <w:r>
              <w:rPr>
                <w:spacing w:val="4"/>
                <w:w w:val="120"/>
                <w:sz w:val="20"/>
              </w:rPr>
              <w:t>Committee be </w:t>
            </w:r>
            <w:r>
              <w:rPr>
                <w:spacing w:val="5"/>
                <w:w w:val="120"/>
                <w:sz w:val="20"/>
              </w:rPr>
              <w:t>extended </w:t>
            </w:r>
            <w:r>
              <w:rPr>
                <w:spacing w:val="4"/>
                <w:w w:val="120"/>
                <w:sz w:val="20"/>
              </w:rPr>
              <w:t>from </w:t>
            </w:r>
            <w:r>
              <w:rPr>
                <w:spacing w:val="5"/>
                <w:w w:val="120"/>
                <w:sz w:val="20"/>
              </w:rPr>
              <w:t>Assembly </w:t>
            </w:r>
            <w:r>
              <w:rPr>
                <w:spacing w:val="-3"/>
                <w:w w:val="120"/>
                <w:sz w:val="20"/>
              </w:rPr>
              <w:t>2012 </w:t>
            </w:r>
            <w:r>
              <w:rPr>
                <w:w w:val="120"/>
                <w:sz w:val="20"/>
              </w:rPr>
              <w:t>to </w:t>
            </w:r>
            <w:r>
              <w:rPr>
                <w:spacing w:val="4"/>
                <w:w w:val="120"/>
                <w:sz w:val="20"/>
              </w:rPr>
              <w:t>the </w:t>
            </w:r>
            <w:r>
              <w:rPr>
                <w:spacing w:val="3"/>
                <w:w w:val="120"/>
                <w:sz w:val="20"/>
              </w:rPr>
              <w:t>close of </w:t>
            </w:r>
            <w:r>
              <w:rPr>
                <w:spacing w:val="5"/>
                <w:w w:val="120"/>
                <w:sz w:val="20"/>
              </w:rPr>
              <w:t>Assembly</w:t>
            </w:r>
            <w:r>
              <w:rPr>
                <w:spacing w:val="13"/>
                <w:w w:val="120"/>
                <w:sz w:val="20"/>
              </w:rPr>
              <w:t> </w:t>
            </w:r>
            <w:r>
              <w:rPr>
                <w:w w:val="120"/>
                <w:sz w:val="20"/>
              </w:rPr>
              <w:t>2014;</w:t>
            </w:r>
          </w:p>
          <w:p>
            <w:pPr>
              <w:pStyle w:val="TableParagraph"/>
              <w:numPr>
                <w:ilvl w:val="0"/>
                <w:numId w:val="198"/>
              </w:numPr>
              <w:tabs>
                <w:tab w:pos="975" w:val="left" w:leader="none"/>
                <w:tab w:pos="976" w:val="left" w:leader="none"/>
              </w:tabs>
              <w:spacing w:line="235" w:lineRule="auto" w:before="3" w:after="0"/>
              <w:ind w:left="975" w:right="592" w:hanging="681"/>
              <w:jc w:val="left"/>
              <w:rPr>
                <w:sz w:val="20"/>
              </w:rPr>
            </w:pPr>
            <w:r>
              <w:rPr>
                <w:spacing w:val="4"/>
                <w:w w:val="120"/>
                <w:sz w:val="20"/>
              </w:rPr>
              <w:t>the </w:t>
            </w:r>
            <w:r>
              <w:rPr>
                <w:spacing w:val="5"/>
                <w:w w:val="120"/>
                <w:sz w:val="20"/>
              </w:rPr>
              <w:t>appointment </w:t>
            </w:r>
            <w:r>
              <w:rPr>
                <w:spacing w:val="3"/>
                <w:w w:val="120"/>
                <w:sz w:val="20"/>
              </w:rPr>
              <w:t>of Mr </w:t>
            </w:r>
            <w:r>
              <w:rPr>
                <w:spacing w:val="5"/>
                <w:w w:val="120"/>
                <w:sz w:val="20"/>
              </w:rPr>
              <w:t>Andrew </w:t>
            </w:r>
            <w:r>
              <w:rPr>
                <w:spacing w:val="4"/>
                <w:w w:val="120"/>
                <w:sz w:val="20"/>
              </w:rPr>
              <w:t>Perkins </w:t>
            </w:r>
            <w:r>
              <w:rPr>
                <w:spacing w:val="2"/>
                <w:w w:val="120"/>
                <w:sz w:val="20"/>
              </w:rPr>
              <w:t>as </w:t>
            </w:r>
            <w:r>
              <w:rPr>
                <w:w w:val="120"/>
                <w:sz w:val="20"/>
              </w:rPr>
              <w:t>a </w:t>
            </w:r>
            <w:r>
              <w:rPr>
                <w:spacing w:val="5"/>
                <w:w w:val="120"/>
                <w:sz w:val="20"/>
              </w:rPr>
              <w:t>Director </w:t>
            </w:r>
            <w:r>
              <w:rPr>
                <w:spacing w:val="3"/>
                <w:w w:val="120"/>
                <w:sz w:val="20"/>
              </w:rPr>
              <w:t>of </w:t>
            </w:r>
            <w:r>
              <w:rPr>
                <w:spacing w:val="4"/>
                <w:w w:val="120"/>
                <w:sz w:val="20"/>
              </w:rPr>
              <w:t>the URC Ministers’ Pension </w:t>
            </w:r>
            <w:r>
              <w:rPr>
                <w:spacing w:val="2"/>
                <w:w w:val="120"/>
                <w:sz w:val="20"/>
              </w:rPr>
              <w:t>Trust Ltd </w:t>
            </w:r>
            <w:r>
              <w:rPr>
                <w:spacing w:val="4"/>
                <w:w w:val="120"/>
                <w:sz w:val="20"/>
              </w:rPr>
              <w:t>be </w:t>
            </w:r>
            <w:r>
              <w:rPr>
                <w:spacing w:val="5"/>
                <w:w w:val="120"/>
                <w:sz w:val="20"/>
              </w:rPr>
              <w:t>extended </w:t>
            </w:r>
            <w:r>
              <w:rPr>
                <w:w w:val="120"/>
                <w:sz w:val="20"/>
              </w:rPr>
              <w:t>to</w:t>
            </w:r>
            <w:r>
              <w:rPr>
                <w:spacing w:val="11"/>
                <w:w w:val="120"/>
                <w:sz w:val="20"/>
              </w:rPr>
              <w:t> </w:t>
            </w:r>
            <w:r>
              <w:rPr>
                <w:w w:val="120"/>
                <w:sz w:val="20"/>
              </w:rPr>
              <w:t>2012.</w:t>
            </w:r>
          </w:p>
        </w:tc>
      </w:tr>
    </w:tbl>
    <w:p>
      <w:pPr>
        <w:pStyle w:val="BodyText"/>
        <w:spacing w:before="6"/>
        <w:rPr>
          <w:sz w:val="50"/>
        </w:rPr>
      </w:pPr>
    </w:p>
    <w:p>
      <w:pPr>
        <w:spacing w:before="0"/>
        <w:ind w:left="1133" w:right="0" w:firstLine="0"/>
        <w:jc w:val="left"/>
        <w:rPr>
          <w:sz w:val="32"/>
        </w:rPr>
      </w:pPr>
      <w:r>
        <w:rPr>
          <w:color w:val="9662A1"/>
          <w:w w:val="120"/>
          <w:sz w:val="32"/>
        </w:rPr>
        <w:t>Nominations Committee:</w:t>
      </w:r>
    </w:p>
    <w:p>
      <w:pPr>
        <w:spacing w:before="9"/>
        <w:ind w:left="1133" w:right="0" w:firstLine="0"/>
        <w:jc w:val="left"/>
        <w:rPr>
          <w:sz w:val="32"/>
        </w:rPr>
      </w:pPr>
      <w:r>
        <w:rPr>
          <w:color w:val="9662A1"/>
          <w:spacing w:val="-3"/>
          <w:w w:val="120"/>
          <w:sz w:val="32"/>
        </w:rPr>
        <w:t>Clerk </w:t>
      </w:r>
      <w:r>
        <w:rPr>
          <w:color w:val="9662A1"/>
          <w:spacing w:val="-5"/>
          <w:w w:val="120"/>
          <w:sz w:val="32"/>
        </w:rPr>
        <w:t>to </w:t>
      </w:r>
      <w:r>
        <w:rPr>
          <w:color w:val="9662A1"/>
          <w:w w:val="120"/>
          <w:sz w:val="32"/>
        </w:rPr>
        <w:t>the </w:t>
      </w:r>
      <w:r>
        <w:rPr>
          <w:color w:val="9662A1"/>
          <w:spacing w:val="-3"/>
          <w:w w:val="120"/>
          <w:sz w:val="32"/>
        </w:rPr>
        <w:t>General Assembly </w:t>
      </w:r>
      <w:r>
        <w:rPr>
          <w:color w:val="9662A1"/>
          <w:spacing w:val="-19"/>
          <w:w w:val="120"/>
          <w:sz w:val="32"/>
        </w:rPr>
        <w:t>2012-18</w:t>
      </w:r>
    </w:p>
    <w:p>
      <w:pPr>
        <w:pStyle w:val="BodyText"/>
        <w:spacing w:before="8" w:after="1"/>
        <w:rPr>
          <w:sz w:val="13"/>
        </w:rPr>
      </w:pPr>
    </w:p>
    <w:tbl>
      <w:tblPr>
        <w:tblW w:w="0" w:type="auto"/>
        <w:jc w:val="left"/>
        <w:tblInd w:w="9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4" w:lineRule="auto" w:before="24"/>
              <w:ind w:left="178" w:right="-15"/>
              <w:rPr>
                <w:rFonts w:ascii="Stone Sans II ITC Std X Bd"/>
                <w:b/>
                <w:sz w:val="57"/>
              </w:rPr>
            </w:pPr>
            <w:r>
              <w:rPr>
                <w:rFonts w:ascii="Stone Sans II ITC Std X Bd"/>
                <w:b/>
                <w:color w:val="FFFFFF"/>
                <w:w w:val="110"/>
                <w:sz w:val="47"/>
              </w:rPr>
              <w:t>Resolution</w:t>
            </w:r>
            <w:r>
              <w:rPr>
                <w:rFonts w:ascii="Stone Sans II ITC Std X Bd"/>
                <w:b/>
                <w:color w:val="FFFFFF"/>
                <w:spacing w:val="-58"/>
                <w:w w:val="110"/>
                <w:sz w:val="47"/>
              </w:rPr>
              <w:t> </w:t>
            </w:r>
            <w:r>
              <w:rPr>
                <w:rFonts w:ascii="Stone Sans II ITC Std X Bd"/>
                <w:b/>
                <w:spacing w:val="-29"/>
                <w:w w:val="110"/>
                <w:position w:val="-23"/>
                <w:sz w:val="57"/>
              </w:rPr>
              <w:t>15</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1175"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2"/>
              <w:rPr>
                <w:sz w:val="30"/>
              </w:rPr>
            </w:pPr>
          </w:p>
          <w:p>
            <w:pPr>
              <w:pStyle w:val="TableParagraph"/>
              <w:spacing w:line="235" w:lineRule="auto"/>
              <w:ind w:left="235" w:right="1355"/>
              <w:rPr>
                <w:sz w:val="20"/>
              </w:rPr>
            </w:pPr>
            <w:r>
              <w:rPr>
                <w:w w:val="120"/>
                <w:sz w:val="20"/>
              </w:rPr>
              <w:t>General Assembly appoints Mrs Margaret Carrick Smith as Clerk to General Assembly from the close of Assembly 2012 to the close of Assembly 2018.</w:t>
            </w:r>
          </w:p>
        </w:tc>
      </w:tr>
    </w:tbl>
    <w:p>
      <w:pPr>
        <w:pStyle w:val="BodyText"/>
        <w:spacing w:before="11"/>
        <w:rPr>
          <w:sz w:val="56"/>
        </w:rPr>
      </w:pPr>
    </w:p>
    <w:p>
      <w:pPr>
        <w:spacing w:before="0"/>
        <w:ind w:left="1133" w:right="0" w:firstLine="0"/>
        <w:jc w:val="left"/>
        <w:rPr>
          <w:sz w:val="32"/>
        </w:rPr>
      </w:pPr>
      <w:r>
        <w:rPr>
          <w:color w:val="9662A1"/>
          <w:w w:val="120"/>
          <w:sz w:val="32"/>
        </w:rPr>
        <w:t>Nominations Committee: power of appointment</w:t>
      </w:r>
    </w:p>
    <w:p>
      <w:pPr>
        <w:pStyle w:val="BodyText"/>
        <w:spacing w:before="6"/>
        <w:rPr>
          <w:sz w:val="14"/>
        </w:rPr>
      </w:pPr>
    </w:p>
    <w:tbl>
      <w:tblPr>
        <w:tblW w:w="0" w:type="auto"/>
        <w:jc w:val="left"/>
        <w:tblInd w:w="9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6" w:lineRule="auto" w:before="24"/>
              <w:ind w:left="178" w:right="-15"/>
              <w:rPr>
                <w:rFonts w:ascii="Stone Sans II ITC Std X Bd"/>
                <w:b/>
                <w:sz w:val="57"/>
              </w:rPr>
            </w:pPr>
            <w:r>
              <w:rPr>
                <w:rFonts w:ascii="Stone Sans II ITC Std X Bd"/>
                <w:b/>
                <w:color w:val="FFFFFF"/>
                <w:w w:val="110"/>
                <w:sz w:val="47"/>
              </w:rPr>
              <w:t>Resolution</w:t>
            </w:r>
            <w:r>
              <w:rPr>
                <w:rFonts w:ascii="Stone Sans II ITC Std X Bd"/>
                <w:b/>
                <w:w w:val="110"/>
                <w:position w:val="-22"/>
                <w:sz w:val="57"/>
              </w:rPr>
              <w:t>16</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2073"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5"/>
              <w:rPr>
                <w:sz w:val="29"/>
              </w:rPr>
            </w:pPr>
          </w:p>
          <w:p>
            <w:pPr>
              <w:pStyle w:val="TableParagraph"/>
              <w:spacing w:line="235" w:lineRule="auto"/>
              <w:ind w:left="238" w:right="225"/>
              <w:rPr>
                <w:sz w:val="20"/>
              </w:rPr>
            </w:pPr>
            <w:r>
              <w:rPr>
                <w:spacing w:val="5"/>
                <w:w w:val="120"/>
                <w:sz w:val="20"/>
              </w:rPr>
              <w:t>General Assembly agrees </w:t>
            </w:r>
            <w:r>
              <w:rPr>
                <w:spacing w:val="4"/>
                <w:w w:val="120"/>
                <w:sz w:val="20"/>
              </w:rPr>
              <w:t>that the power </w:t>
            </w:r>
            <w:r>
              <w:rPr>
                <w:w w:val="120"/>
                <w:sz w:val="20"/>
              </w:rPr>
              <w:t>to </w:t>
            </w:r>
            <w:r>
              <w:rPr>
                <w:spacing w:val="4"/>
                <w:w w:val="120"/>
                <w:sz w:val="20"/>
              </w:rPr>
              <w:t>appoint </w:t>
            </w:r>
            <w:r>
              <w:rPr>
                <w:spacing w:val="5"/>
                <w:w w:val="120"/>
                <w:sz w:val="20"/>
              </w:rPr>
              <w:t>Assembly </w:t>
            </w:r>
            <w:r>
              <w:rPr>
                <w:spacing w:val="7"/>
                <w:w w:val="120"/>
                <w:sz w:val="20"/>
              </w:rPr>
              <w:t>staff </w:t>
            </w:r>
            <w:r>
              <w:rPr>
                <w:spacing w:val="5"/>
                <w:w w:val="120"/>
                <w:sz w:val="20"/>
              </w:rPr>
              <w:t>members, </w:t>
            </w:r>
            <w:r>
              <w:rPr>
                <w:spacing w:val="4"/>
                <w:w w:val="120"/>
                <w:sz w:val="20"/>
              </w:rPr>
              <w:t>other than </w:t>
            </w:r>
            <w:r>
              <w:rPr>
                <w:spacing w:val="6"/>
                <w:w w:val="120"/>
                <w:sz w:val="20"/>
              </w:rPr>
              <w:t>officers </w:t>
            </w:r>
            <w:r>
              <w:rPr>
                <w:spacing w:val="3"/>
                <w:w w:val="120"/>
                <w:sz w:val="20"/>
              </w:rPr>
              <w:t>of </w:t>
            </w:r>
            <w:r>
              <w:rPr>
                <w:spacing w:val="5"/>
                <w:w w:val="120"/>
                <w:sz w:val="20"/>
              </w:rPr>
              <w:t>Assembly </w:t>
            </w:r>
            <w:r>
              <w:rPr>
                <w:spacing w:val="4"/>
                <w:w w:val="120"/>
                <w:sz w:val="20"/>
              </w:rPr>
              <w:t>and </w:t>
            </w:r>
            <w:r>
              <w:rPr>
                <w:spacing w:val="5"/>
                <w:w w:val="120"/>
                <w:sz w:val="20"/>
              </w:rPr>
              <w:t>synod moderators, </w:t>
            </w:r>
            <w:r>
              <w:rPr>
                <w:spacing w:val="4"/>
                <w:w w:val="120"/>
                <w:sz w:val="20"/>
              </w:rPr>
              <w:t>shall be </w:t>
            </w:r>
            <w:r>
              <w:rPr>
                <w:spacing w:val="5"/>
                <w:w w:val="120"/>
                <w:sz w:val="20"/>
              </w:rPr>
              <w:t>delegated </w:t>
            </w:r>
            <w:r>
              <w:rPr>
                <w:w w:val="120"/>
                <w:sz w:val="20"/>
              </w:rPr>
              <w:t>to </w:t>
            </w:r>
            <w:r>
              <w:rPr>
                <w:spacing w:val="5"/>
                <w:w w:val="120"/>
                <w:sz w:val="20"/>
              </w:rPr>
              <w:t>appointing </w:t>
            </w:r>
            <w:r>
              <w:rPr>
                <w:spacing w:val="4"/>
                <w:w w:val="120"/>
                <w:sz w:val="20"/>
              </w:rPr>
              <w:t>groups duly appointed </w:t>
            </w:r>
            <w:r>
              <w:rPr>
                <w:spacing w:val="2"/>
                <w:w w:val="120"/>
                <w:sz w:val="20"/>
              </w:rPr>
              <w:t>so </w:t>
            </w:r>
            <w:r>
              <w:rPr>
                <w:spacing w:val="4"/>
                <w:w w:val="120"/>
                <w:sz w:val="20"/>
              </w:rPr>
              <w:t>long </w:t>
            </w:r>
            <w:r>
              <w:rPr>
                <w:spacing w:val="2"/>
                <w:w w:val="120"/>
                <w:sz w:val="20"/>
              </w:rPr>
              <w:t>as </w:t>
            </w:r>
            <w:r>
              <w:rPr>
                <w:spacing w:val="5"/>
                <w:w w:val="120"/>
                <w:sz w:val="20"/>
              </w:rPr>
              <w:t>appropriate </w:t>
            </w:r>
            <w:r>
              <w:rPr>
                <w:spacing w:val="4"/>
                <w:w w:val="120"/>
                <w:sz w:val="20"/>
              </w:rPr>
              <w:t>processes  and  employment  and related </w:t>
            </w:r>
            <w:r>
              <w:rPr>
                <w:spacing w:val="5"/>
                <w:w w:val="120"/>
                <w:sz w:val="20"/>
              </w:rPr>
              <w:t>criteria </w:t>
            </w:r>
            <w:r>
              <w:rPr>
                <w:spacing w:val="3"/>
                <w:w w:val="120"/>
                <w:sz w:val="20"/>
              </w:rPr>
              <w:t>have </w:t>
            </w:r>
            <w:r>
              <w:rPr>
                <w:spacing w:val="5"/>
                <w:w w:val="120"/>
                <w:sz w:val="20"/>
              </w:rPr>
              <w:t>been </w:t>
            </w:r>
            <w:r>
              <w:rPr>
                <w:spacing w:val="4"/>
                <w:w w:val="120"/>
                <w:sz w:val="20"/>
              </w:rPr>
              <w:t>met. All </w:t>
            </w:r>
            <w:r>
              <w:rPr>
                <w:spacing w:val="3"/>
                <w:w w:val="120"/>
                <w:sz w:val="20"/>
              </w:rPr>
              <w:t>such </w:t>
            </w:r>
            <w:r>
              <w:rPr>
                <w:spacing w:val="5"/>
                <w:w w:val="120"/>
                <w:sz w:val="20"/>
              </w:rPr>
              <w:t>appointments </w:t>
            </w:r>
            <w:r>
              <w:rPr>
                <w:spacing w:val="4"/>
                <w:w w:val="120"/>
                <w:sz w:val="20"/>
              </w:rPr>
              <w:t>shall </w:t>
            </w:r>
            <w:r>
              <w:rPr>
                <w:spacing w:val="3"/>
                <w:w w:val="120"/>
                <w:sz w:val="20"/>
              </w:rPr>
              <w:t>have </w:t>
            </w:r>
            <w:r>
              <w:rPr>
                <w:spacing w:val="7"/>
                <w:w w:val="120"/>
                <w:sz w:val="20"/>
              </w:rPr>
              <w:t>effect </w:t>
            </w:r>
            <w:r>
              <w:rPr>
                <w:spacing w:val="4"/>
                <w:w w:val="120"/>
                <w:sz w:val="20"/>
              </w:rPr>
              <w:t>from the </w:t>
            </w:r>
            <w:r>
              <w:rPr>
                <w:spacing w:val="3"/>
                <w:w w:val="120"/>
                <w:sz w:val="20"/>
              </w:rPr>
              <w:t>date </w:t>
            </w:r>
            <w:r>
              <w:rPr>
                <w:spacing w:val="5"/>
                <w:w w:val="120"/>
                <w:sz w:val="20"/>
              </w:rPr>
              <w:t>determined </w:t>
            </w:r>
            <w:r>
              <w:rPr>
                <w:w w:val="120"/>
                <w:sz w:val="20"/>
              </w:rPr>
              <w:t>by </w:t>
            </w:r>
            <w:r>
              <w:rPr>
                <w:spacing w:val="4"/>
                <w:w w:val="120"/>
                <w:sz w:val="20"/>
              </w:rPr>
              <w:t>the </w:t>
            </w:r>
            <w:r>
              <w:rPr>
                <w:spacing w:val="5"/>
                <w:w w:val="120"/>
                <w:sz w:val="20"/>
              </w:rPr>
              <w:t>appointing </w:t>
            </w:r>
            <w:r>
              <w:rPr>
                <w:spacing w:val="3"/>
                <w:w w:val="120"/>
                <w:sz w:val="20"/>
              </w:rPr>
              <w:t>group, </w:t>
            </w:r>
            <w:r>
              <w:rPr>
                <w:spacing w:val="4"/>
                <w:w w:val="120"/>
                <w:sz w:val="20"/>
              </w:rPr>
              <w:t>and shall be </w:t>
            </w:r>
            <w:r>
              <w:rPr>
                <w:spacing w:val="6"/>
                <w:w w:val="120"/>
                <w:sz w:val="20"/>
              </w:rPr>
              <w:t>reported </w:t>
            </w:r>
            <w:r>
              <w:rPr>
                <w:w w:val="120"/>
                <w:sz w:val="20"/>
              </w:rPr>
              <w:t>to </w:t>
            </w:r>
            <w:r>
              <w:rPr>
                <w:spacing w:val="4"/>
                <w:w w:val="120"/>
                <w:sz w:val="20"/>
              </w:rPr>
              <w:t>the </w:t>
            </w:r>
            <w:r>
              <w:rPr>
                <w:spacing w:val="6"/>
                <w:w w:val="120"/>
                <w:sz w:val="20"/>
              </w:rPr>
              <w:t>next </w:t>
            </w:r>
            <w:r>
              <w:rPr>
                <w:spacing w:val="5"/>
                <w:w w:val="120"/>
                <w:sz w:val="20"/>
              </w:rPr>
              <w:t>meeting </w:t>
            </w:r>
            <w:r>
              <w:rPr>
                <w:spacing w:val="3"/>
                <w:w w:val="120"/>
                <w:sz w:val="20"/>
              </w:rPr>
              <w:t>of </w:t>
            </w:r>
            <w:r>
              <w:rPr>
                <w:spacing w:val="4"/>
                <w:w w:val="120"/>
                <w:sz w:val="20"/>
              </w:rPr>
              <w:t>Mission </w:t>
            </w:r>
            <w:r>
              <w:rPr>
                <w:spacing w:val="3"/>
                <w:w w:val="120"/>
                <w:sz w:val="20"/>
              </w:rPr>
              <w:t>Council or </w:t>
            </w:r>
            <w:r>
              <w:rPr>
                <w:spacing w:val="5"/>
                <w:w w:val="120"/>
                <w:sz w:val="20"/>
              </w:rPr>
              <w:t>General</w:t>
            </w:r>
            <w:r>
              <w:rPr>
                <w:spacing w:val="43"/>
                <w:w w:val="120"/>
                <w:sz w:val="20"/>
              </w:rPr>
              <w:t> </w:t>
            </w:r>
            <w:r>
              <w:rPr>
                <w:spacing w:val="4"/>
                <w:w w:val="120"/>
                <w:sz w:val="20"/>
              </w:rPr>
              <w:t>Assembly.</w:t>
            </w:r>
          </w:p>
        </w:tc>
      </w:tr>
    </w:tbl>
    <w:p>
      <w:pPr>
        <w:spacing w:after="0" w:line="235" w:lineRule="auto"/>
        <w:rPr>
          <w:sz w:val="20"/>
        </w:rPr>
        <w:sectPr>
          <w:headerReference w:type="even" r:id="rId572"/>
          <w:headerReference w:type="default" r:id="rId573"/>
          <w:footerReference w:type="even" r:id="rId574"/>
          <w:footerReference w:type="default" r:id="rId575"/>
          <w:pgSz w:w="11910" w:h="16840"/>
          <w:pgMar w:header="0" w:footer="647" w:top="1060" w:bottom="840" w:left="0" w:right="0"/>
          <w:pgNumType w:start="252"/>
        </w:sectPr>
      </w:pPr>
    </w:p>
    <w:p>
      <w:pPr>
        <w:spacing w:before="115"/>
        <w:ind w:left="1984" w:right="0" w:firstLine="0"/>
        <w:jc w:val="left"/>
        <w:rPr>
          <w:sz w:val="32"/>
        </w:rPr>
      </w:pPr>
      <w:r>
        <w:rPr/>
        <w:pict>
          <v:rect style="position:absolute;margin-left:558.424988pt;margin-top:8.501747pt;width:22.677pt;height:22.677pt;mso-position-horizontal-relative:page;mso-position-vertical-relative:paragraph;z-index:252390400" filled="true" fillcolor="#dcd0e6" stroked="false">
            <v:fill opacity="32768f" type="solid"/>
            <w10:wrap type="none"/>
          </v:rect>
        </w:pict>
      </w:r>
      <w:r>
        <w:rPr>
          <w:color w:val="9662A1"/>
          <w:w w:val="120"/>
          <w:sz w:val="32"/>
        </w:rPr>
        <w:t>Nominations Committee: Moderator of the Mersey Synod</w:t>
      </w:r>
    </w:p>
    <w:p>
      <w:pPr>
        <w:pStyle w:val="BodyText"/>
        <w:spacing w:before="3"/>
        <w:rPr>
          <w:sz w:val="15"/>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6"/>
              </w:rPr>
            </w:pPr>
          </w:p>
        </w:tc>
        <w:tc>
          <w:tcPr>
            <w:tcW w:w="3825" w:type="dxa"/>
            <w:tcBorders>
              <w:top w:val="single" w:sz="24" w:space="0" w:color="000000"/>
            </w:tcBorders>
            <w:shd w:val="clear" w:color="auto" w:fill="9662A1"/>
          </w:tcPr>
          <w:p>
            <w:pPr>
              <w:pStyle w:val="TableParagraph"/>
              <w:spacing w:line="148" w:lineRule="auto" w:before="21"/>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16"/>
                <w:w w:val="110"/>
                <w:sz w:val="47"/>
              </w:rPr>
              <w:t> </w:t>
            </w:r>
            <w:r>
              <w:rPr>
                <w:rFonts w:ascii="Stone Sans II ITC Std X Bd"/>
                <w:b/>
                <w:spacing w:val="-32"/>
                <w:w w:val="110"/>
                <w:position w:val="-21"/>
                <w:sz w:val="57"/>
              </w:rPr>
              <w:t>17</w:t>
            </w:r>
          </w:p>
        </w:tc>
        <w:tc>
          <w:tcPr>
            <w:tcW w:w="5278" w:type="dxa"/>
            <w:tcBorders>
              <w:top w:val="single" w:sz="24" w:space="0" w:color="000000"/>
              <w:right w:val="single" w:sz="48" w:space="0" w:color="000000"/>
            </w:tcBorders>
          </w:tcPr>
          <w:p>
            <w:pPr>
              <w:pStyle w:val="TableParagraph"/>
              <w:rPr>
                <w:rFonts w:ascii="Times New Roman"/>
                <w:sz w:val="26"/>
              </w:rPr>
            </w:pPr>
          </w:p>
        </w:tc>
      </w:tr>
      <w:tr>
        <w:trPr>
          <w:trHeight w:val="1175"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7"/>
              <w:rPr>
                <w:sz w:val="28"/>
              </w:rPr>
            </w:pPr>
          </w:p>
          <w:p>
            <w:pPr>
              <w:pStyle w:val="TableParagraph"/>
              <w:spacing w:line="235" w:lineRule="auto"/>
              <w:ind w:left="266" w:right="641"/>
              <w:rPr>
                <w:sz w:val="20"/>
              </w:rPr>
            </w:pPr>
            <w:r>
              <w:rPr>
                <w:w w:val="120"/>
                <w:sz w:val="20"/>
              </w:rPr>
              <w:t>General Assembly reappoints the Revd Howard Sharp to serve as Moderator of the Mersey Synod from 1 February 2011 to 30 June 2014.</w:t>
            </w:r>
          </w:p>
        </w:tc>
      </w:tr>
    </w:tbl>
    <w:p>
      <w:pPr>
        <w:pStyle w:val="BodyText"/>
        <w:spacing w:before="4"/>
        <w:rPr>
          <w:sz w:val="55"/>
        </w:rPr>
      </w:pPr>
    </w:p>
    <w:p>
      <w:pPr>
        <w:spacing w:before="0"/>
        <w:ind w:left="1984" w:right="0" w:firstLine="0"/>
        <w:jc w:val="left"/>
        <w:rPr>
          <w:sz w:val="32"/>
        </w:rPr>
      </w:pPr>
      <w:r>
        <w:rPr>
          <w:color w:val="9662A1"/>
          <w:w w:val="120"/>
          <w:sz w:val="32"/>
        </w:rPr>
        <w:t>Nominations Committee:</w:t>
      </w:r>
    </w:p>
    <w:p>
      <w:pPr>
        <w:spacing w:before="9"/>
        <w:ind w:left="1984" w:right="0" w:firstLine="0"/>
        <w:jc w:val="left"/>
        <w:rPr>
          <w:sz w:val="32"/>
        </w:rPr>
      </w:pPr>
      <w:r>
        <w:rPr>
          <w:color w:val="9662A1"/>
          <w:spacing w:val="-3"/>
          <w:w w:val="120"/>
          <w:sz w:val="32"/>
        </w:rPr>
        <w:t>Director </w:t>
      </w:r>
      <w:r>
        <w:rPr>
          <w:color w:val="9662A1"/>
          <w:w w:val="120"/>
          <w:sz w:val="32"/>
        </w:rPr>
        <w:t>of Old </w:t>
      </w:r>
      <w:r>
        <w:rPr>
          <w:color w:val="9662A1"/>
          <w:spacing w:val="-6"/>
          <w:w w:val="120"/>
          <w:sz w:val="32"/>
        </w:rPr>
        <w:t>Testament </w:t>
      </w:r>
      <w:r>
        <w:rPr>
          <w:color w:val="9662A1"/>
          <w:spacing w:val="-5"/>
          <w:w w:val="120"/>
          <w:sz w:val="32"/>
        </w:rPr>
        <w:t>Studies, </w:t>
      </w:r>
      <w:r>
        <w:rPr>
          <w:color w:val="9662A1"/>
          <w:spacing w:val="-4"/>
          <w:w w:val="120"/>
          <w:sz w:val="32"/>
        </w:rPr>
        <w:t>Westminster</w:t>
      </w:r>
      <w:r>
        <w:rPr>
          <w:color w:val="9662A1"/>
          <w:spacing w:val="72"/>
          <w:w w:val="120"/>
          <w:sz w:val="32"/>
        </w:rPr>
        <w:t> </w:t>
      </w:r>
      <w:r>
        <w:rPr>
          <w:color w:val="9662A1"/>
          <w:spacing w:val="-4"/>
          <w:w w:val="120"/>
          <w:sz w:val="32"/>
        </w:rPr>
        <w:t>College</w:t>
      </w:r>
    </w:p>
    <w:p>
      <w:pPr>
        <w:pStyle w:val="BodyText"/>
        <w:spacing w:before="1" w:after="1"/>
        <w:rPr>
          <w:sz w:val="15"/>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6"/>
              </w:rPr>
            </w:pPr>
          </w:p>
        </w:tc>
        <w:tc>
          <w:tcPr>
            <w:tcW w:w="3825" w:type="dxa"/>
            <w:tcBorders>
              <w:top w:val="single" w:sz="24" w:space="0" w:color="000000"/>
            </w:tcBorders>
            <w:shd w:val="clear" w:color="auto" w:fill="9662A1"/>
          </w:tcPr>
          <w:p>
            <w:pPr>
              <w:pStyle w:val="TableParagraph"/>
              <w:spacing w:line="148" w:lineRule="auto" w:before="21"/>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38"/>
                <w:w w:val="110"/>
                <w:sz w:val="47"/>
              </w:rPr>
              <w:t> </w:t>
            </w:r>
            <w:r>
              <w:rPr>
                <w:rFonts w:ascii="Stone Sans II ITC Std X Bd"/>
                <w:b/>
                <w:spacing w:val="-22"/>
                <w:w w:val="110"/>
                <w:position w:val="-21"/>
                <w:sz w:val="57"/>
              </w:rPr>
              <w:t>18</w:t>
            </w:r>
          </w:p>
        </w:tc>
        <w:tc>
          <w:tcPr>
            <w:tcW w:w="5278" w:type="dxa"/>
            <w:tcBorders>
              <w:top w:val="single" w:sz="24" w:space="0" w:color="000000"/>
              <w:right w:val="single" w:sz="48" w:space="0" w:color="000000"/>
            </w:tcBorders>
          </w:tcPr>
          <w:p>
            <w:pPr>
              <w:pStyle w:val="TableParagraph"/>
              <w:rPr>
                <w:rFonts w:ascii="Times New Roman"/>
                <w:sz w:val="26"/>
              </w:rPr>
            </w:pPr>
          </w:p>
        </w:tc>
      </w:tr>
      <w:tr>
        <w:trPr>
          <w:trHeight w:val="1422"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9"/>
              <w:rPr>
                <w:sz w:val="28"/>
              </w:rPr>
            </w:pPr>
          </w:p>
          <w:p>
            <w:pPr>
              <w:pStyle w:val="TableParagraph"/>
              <w:spacing w:line="235" w:lineRule="auto"/>
              <w:ind w:left="266" w:right="765"/>
              <w:rPr>
                <w:sz w:val="20"/>
              </w:rPr>
            </w:pPr>
            <w:r>
              <w:rPr>
                <w:w w:val="120"/>
                <w:sz w:val="20"/>
              </w:rPr>
              <w:t>General Assembly reappoints the Revd Dr Janet Tollington to serve as Director of Old Testament Studies at Westminster College, Cambridge, from 1 August 2011 to 31 July 2016, subject to review.</w:t>
            </w:r>
          </w:p>
        </w:tc>
      </w:tr>
    </w:tbl>
    <w:p>
      <w:pPr>
        <w:pStyle w:val="BodyText"/>
        <w:spacing w:before="11"/>
        <w:rPr>
          <w:sz w:val="54"/>
        </w:rPr>
      </w:pPr>
    </w:p>
    <w:p>
      <w:pPr>
        <w:spacing w:line="244" w:lineRule="auto" w:before="0"/>
        <w:ind w:left="1984" w:right="1493" w:firstLine="0"/>
        <w:jc w:val="left"/>
        <w:rPr>
          <w:sz w:val="32"/>
        </w:rPr>
      </w:pPr>
      <w:r>
        <w:rPr>
          <w:color w:val="9662A1"/>
          <w:w w:val="120"/>
          <w:sz w:val="32"/>
        </w:rPr>
        <w:t>Nominations Committee: appointment of committees and groups</w:t>
      </w:r>
    </w:p>
    <w:p>
      <w:pPr>
        <w:pStyle w:val="BodyText"/>
        <w:rPr>
          <w:sz w:val="15"/>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6"/>
              </w:rPr>
            </w:pPr>
          </w:p>
        </w:tc>
        <w:tc>
          <w:tcPr>
            <w:tcW w:w="3825" w:type="dxa"/>
            <w:tcBorders>
              <w:top w:val="single" w:sz="24" w:space="0" w:color="000000"/>
            </w:tcBorders>
            <w:shd w:val="clear" w:color="auto" w:fill="9662A1"/>
          </w:tcPr>
          <w:p>
            <w:pPr>
              <w:pStyle w:val="TableParagraph"/>
              <w:spacing w:line="148" w:lineRule="auto" w:before="21"/>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33"/>
                <w:w w:val="110"/>
                <w:sz w:val="47"/>
              </w:rPr>
              <w:t> </w:t>
            </w:r>
            <w:r>
              <w:rPr>
                <w:rFonts w:ascii="Stone Sans II ITC Std X Bd"/>
                <w:b/>
                <w:spacing w:val="-24"/>
                <w:w w:val="110"/>
                <w:position w:val="-21"/>
                <w:sz w:val="57"/>
              </w:rPr>
              <w:t>19</w:t>
            </w:r>
          </w:p>
        </w:tc>
        <w:tc>
          <w:tcPr>
            <w:tcW w:w="5278" w:type="dxa"/>
            <w:tcBorders>
              <w:top w:val="single" w:sz="24" w:space="0" w:color="000000"/>
              <w:right w:val="single" w:sz="48" w:space="0" w:color="000000"/>
            </w:tcBorders>
          </w:tcPr>
          <w:p>
            <w:pPr>
              <w:pStyle w:val="TableParagraph"/>
              <w:rPr>
                <w:rFonts w:ascii="Times New Roman"/>
                <w:sz w:val="26"/>
              </w:rPr>
            </w:pPr>
          </w:p>
        </w:tc>
      </w:tr>
      <w:tr>
        <w:trPr>
          <w:trHeight w:val="1422"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4"/>
              <w:rPr>
                <w:sz w:val="28"/>
              </w:rPr>
            </w:pPr>
          </w:p>
          <w:p>
            <w:pPr>
              <w:pStyle w:val="TableParagraph"/>
              <w:spacing w:line="235" w:lineRule="auto"/>
              <w:ind w:left="266" w:right="641"/>
              <w:rPr>
                <w:sz w:val="20"/>
              </w:rPr>
            </w:pPr>
            <w:r>
              <w:rPr>
                <w:w w:val="120"/>
                <w:sz w:val="20"/>
              </w:rPr>
              <w:t>General Assembly appoints committees and representatives of the Church as set out on pages 171-187 of the Book of Reports, subject to additions and corrections contained in the Supplementary Report to Assembly.</w:t>
            </w:r>
          </w:p>
        </w:tc>
      </w:tr>
    </w:tbl>
    <w:p>
      <w:pPr>
        <w:pStyle w:val="BodyText"/>
        <w:spacing w:before="6"/>
        <w:rPr>
          <w:sz w:val="54"/>
        </w:rPr>
      </w:pPr>
    </w:p>
    <w:p>
      <w:pPr>
        <w:spacing w:before="1"/>
        <w:ind w:left="1984" w:right="0" w:firstLine="0"/>
        <w:jc w:val="left"/>
        <w:rPr>
          <w:sz w:val="32"/>
        </w:rPr>
      </w:pPr>
      <w:r>
        <w:rPr>
          <w:color w:val="9662A1"/>
          <w:w w:val="120"/>
          <w:sz w:val="32"/>
        </w:rPr>
        <w:t>Nominations Committee: vote of thanks</w:t>
      </w:r>
    </w:p>
    <w:p>
      <w:pPr>
        <w:pStyle w:val="BodyText"/>
        <w:spacing w:before="11" w:after="1"/>
        <w:rPr>
          <w:sz w:val="14"/>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6"/>
              </w:rPr>
            </w:pPr>
          </w:p>
        </w:tc>
        <w:tc>
          <w:tcPr>
            <w:tcW w:w="3825" w:type="dxa"/>
            <w:tcBorders>
              <w:top w:val="single" w:sz="24" w:space="0" w:color="000000"/>
            </w:tcBorders>
            <w:shd w:val="clear" w:color="auto" w:fill="9662A1"/>
          </w:tcPr>
          <w:p>
            <w:pPr>
              <w:pStyle w:val="TableParagraph"/>
              <w:spacing w:line="146"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2"/>
                <w:sz w:val="57"/>
              </w:rPr>
              <w:t>20</w:t>
            </w:r>
          </w:p>
        </w:tc>
        <w:tc>
          <w:tcPr>
            <w:tcW w:w="5278" w:type="dxa"/>
            <w:tcBorders>
              <w:top w:val="single" w:sz="24" w:space="0" w:color="000000"/>
              <w:right w:val="single" w:sz="48" w:space="0" w:color="000000"/>
            </w:tcBorders>
          </w:tcPr>
          <w:p>
            <w:pPr>
              <w:pStyle w:val="TableParagraph"/>
              <w:rPr>
                <w:rFonts w:ascii="Times New Roman"/>
                <w:sz w:val="26"/>
              </w:rPr>
            </w:pPr>
          </w:p>
        </w:tc>
      </w:tr>
      <w:tr>
        <w:trPr>
          <w:trHeight w:val="1175"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1"/>
              <w:rPr>
                <w:sz w:val="28"/>
              </w:rPr>
            </w:pPr>
          </w:p>
          <w:p>
            <w:pPr>
              <w:pStyle w:val="TableParagraph"/>
              <w:spacing w:line="235" w:lineRule="auto"/>
              <w:ind w:left="266" w:right="641"/>
              <w:rPr>
                <w:sz w:val="20"/>
              </w:rPr>
            </w:pPr>
            <w:r>
              <w:rPr>
                <w:w w:val="120"/>
                <w:sz w:val="20"/>
              </w:rPr>
              <w:t>General Assembly records its deep appreciation for all the work done by those who serve as committee members and representatives.</w:t>
            </w:r>
          </w:p>
        </w:tc>
      </w:tr>
    </w:tbl>
    <w:p>
      <w:pPr>
        <w:spacing w:after="0" w:line="235" w:lineRule="auto"/>
        <w:rPr>
          <w:sz w:val="20"/>
        </w:rPr>
        <w:sectPr>
          <w:pgSz w:w="11910" w:h="16840"/>
          <w:pgMar w:header="0" w:footer="647" w:top="1060" w:bottom="840" w:left="0" w:right="0"/>
        </w:sectPr>
      </w:pPr>
    </w:p>
    <w:p>
      <w:pPr>
        <w:spacing w:line="244" w:lineRule="auto" w:before="131"/>
        <w:ind w:left="1133" w:right="4239" w:firstLine="0"/>
        <w:jc w:val="left"/>
        <w:rPr>
          <w:sz w:val="32"/>
        </w:rPr>
      </w:pPr>
      <w:r>
        <w:rPr/>
        <w:pict>
          <v:rect style="position:absolute;margin-left:12.047pt;margin-top:8.474748pt;width:22.677pt;height:22.677pt;mso-position-horizontal-relative:page;mso-position-vertical-relative:paragraph;z-index:252391424" filled="true" fillcolor="#dcd0e6" stroked="false">
            <v:fill opacity="32768f" type="solid"/>
            <w10:wrap type="none"/>
          </v:rect>
        </w:pict>
      </w:r>
      <w:r>
        <w:rPr>
          <w:color w:val="9662A1"/>
          <w:spacing w:val="-3"/>
          <w:w w:val="120"/>
          <w:sz w:val="32"/>
        </w:rPr>
        <w:t>Ministries and </w:t>
      </w:r>
      <w:r>
        <w:rPr>
          <w:color w:val="9662A1"/>
          <w:spacing w:val="-8"/>
          <w:w w:val="120"/>
          <w:sz w:val="32"/>
        </w:rPr>
        <w:t>Youth </w:t>
      </w:r>
      <w:r>
        <w:rPr>
          <w:color w:val="9662A1"/>
          <w:spacing w:val="-3"/>
          <w:w w:val="120"/>
          <w:sz w:val="32"/>
        </w:rPr>
        <w:t>and </w:t>
      </w:r>
      <w:r>
        <w:rPr>
          <w:color w:val="9662A1"/>
          <w:spacing w:val="-8"/>
          <w:w w:val="120"/>
          <w:sz w:val="32"/>
        </w:rPr>
        <w:t>Children’s </w:t>
      </w:r>
      <w:r>
        <w:rPr>
          <w:color w:val="9662A1"/>
          <w:w w:val="120"/>
          <w:sz w:val="32"/>
        </w:rPr>
        <w:t>Work: </w:t>
      </w:r>
      <w:r>
        <w:rPr>
          <w:color w:val="9662A1"/>
          <w:spacing w:val="-4"/>
          <w:w w:val="120"/>
          <w:sz w:val="32"/>
        </w:rPr>
        <w:t>vetting </w:t>
      </w:r>
      <w:r>
        <w:rPr>
          <w:color w:val="9662A1"/>
          <w:spacing w:val="-3"/>
          <w:w w:val="120"/>
          <w:sz w:val="32"/>
        </w:rPr>
        <w:t>and </w:t>
      </w:r>
      <w:r>
        <w:rPr>
          <w:color w:val="9662A1"/>
          <w:w w:val="120"/>
          <w:sz w:val="32"/>
        </w:rPr>
        <w:t>barring</w:t>
      </w:r>
    </w:p>
    <w:p>
      <w:pPr>
        <w:pStyle w:val="BodyText"/>
        <w:spacing w:before="5"/>
        <w:rPr>
          <w:sz w:val="12"/>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39" w:lineRule="auto" w:before="23"/>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48"/>
                <w:w w:val="110"/>
                <w:sz w:val="47"/>
              </w:rPr>
              <w:t> </w:t>
            </w:r>
            <w:r>
              <w:rPr>
                <w:rFonts w:ascii="Stone Sans II ITC Std X Bd"/>
                <w:b/>
                <w:spacing w:val="-17"/>
                <w:w w:val="110"/>
                <w:position w:val="-24"/>
                <w:sz w:val="57"/>
              </w:rPr>
              <w:t>21</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2829" w:hRule="atLeast"/>
        </w:trPr>
        <w:tc>
          <w:tcPr>
            <w:tcW w:w="9350" w:type="dxa"/>
            <w:gridSpan w:val="3"/>
            <w:tcBorders>
              <w:left w:val="single" w:sz="48" w:space="0" w:color="000000"/>
              <w:bottom w:val="single" w:sz="24" w:space="0" w:color="000000"/>
              <w:right w:val="single" w:sz="48" w:space="0" w:color="000000"/>
            </w:tcBorders>
          </w:tcPr>
          <w:p>
            <w:pPr>
              <w:pStyle w:val="TableParagraph"/>
              <w:rPr>
                <w:sz w:val="31"/>
              </w:rPr>
            </w:pPr>
          </w:p>
          <w:p>
            <w:pPr>
              <w:pStyle w:val="TableParagraph"/>
              <w:spacing w:line="235" w:lineRule="auto"/>
              <w:ind w:left="266" w:right="337"/>
              <w:rPr>
                <w:sz w:val="20"/>
              </w:rPr>
            </w:pPr>
            <w:r>
              <w:rPr>
                <w:spacing w:val="2"/>
                <w:w w:val="120"/>
                <w:sz w:val="20"/>
              </w:rPr>
              <w:t>The </w:t>
            </w:r>
            <w:r>
              <w:rPr>
                <w:w w:val="120"/>
                <w:sz w:val="20"/>
              </w:rPr>
              <w:t>United </w:t>
            </w:r>
            <w:r>
              <w:rPr>
                <w:spacing w:val="2"/>
                <w:w w:val="120"/>
                <w:sz w:val="20"/>
              </w:rPr>
              <w:t>Reformed </w:t>
            </w:r>
            <w:r>
              <w:rPr>
                <w:w w:val="120"/>
                <w:sz w:val="20"/>
              </w:rPr>
              <w:t>Church has committed </w:t>
            </w:r>
            <w:r>
              <w:rPr>
                <w:spacing w:val="2"/>
                <w:w w:val="120"/>
                <w:sz w:val="20"/>
              </w:rPr>
              <w:t>itself </w:t>
            </w:r>
            <w:r>
              <w:rPr>
                <w:w w:val="120"/>
                <w:sz w:val="20"/>
              </w:rPr>
              <w:t>to being a </w:t>
            </w:r>
            <w:r>
              <w:rPr>
                <w:spacing w:val="2"/>
                <w:w w:val="120"/>
                <w:sz w:val="20"/>
              </w:rPr>
              <w:t>Safe </w:t>
            </w:r>
            <w:r>
              <w:rPr>
                <w:w w:val="120"/>
                <w:sz w:val="20"/>
              </w:rPr>
              <w:t>Church. </w:t>
            </w:r>
            <w:r>
              <w:rPr>
                <w:spacing w:val="2"/>
                <w:w w:val="120"/>
                <w:sz w:val="20"/>
              </w:rPr>
              <w:t>General Assembly therefore encourages local </w:t>
            </w:r>
            <w:r>
              <w:rPr>
                <w:w w:val="120"/>
                <w:sz w:val="20"/>
              </w:rPr>
              <w:t>churches to make themselves fully aware of the implications for them of the </w:t>
            </w:r>
            <w:r>
              <w:rPr>
                <w:spacing w:val="2"/>
                <w:w w:val="120"/>
                <w:sz w:val="20"/>
              </w:rPr>
              <w:t>introduction </w:t>
            </w:r>
            <w:r>
              <w:rPr>
                <w:w w:val="120"/>
                <w:sz w:val="20"/>
              </w:rPr>
              <w:t>of the Vetting and </w:t>
            </w:r>
            <w:r>
              <w:rPr>
                <w:spacing w:val="3"/>
                <w:w w:val="120"/>
                <w:sz w:val="20"/>
              </w:rPr>
              <w:t>Barring </w:t>
            </w:r>
            <w:r>
              <w:rPr>
                <w:w w:val="120"/>
                <w:sz w:val="20"/>
              </w:rPr>
              <w:t>Scheme (England, Wales and </w:t>
            </w:r>
            <w:r>
              <w:rPr>
                <w:spacing w:val="4"/>
                <w:w w:val="120"/>
                <w:sz w:val="20"/>
              </w:rPr>
              <w:t>Northern </w:t>
            </w:r>
            <w:r>
              <w:rPr>
                <w:w w:val="120"/>
                <w:sz w:val="20"/>
              </w:rPr>
              <w:t>Ireland) and to follow guidance on </w:t>
            </w:r>
            <w:r>
              <w:rPr>
                <w:spacing w:val="2"/>
                <w:w w:val="120"/>
                <w:sz w:val="20"/>
              </w:rPr>
              <w:t>safer recruiting </w:t>
            </w:r>
            <w:r>
              <w:rPr>
                <w:w w:val="120"/>
                <w:sz w:val="20"/>
              </w:rPr>
              <w:t>when </w:t>
            </w:r>
            <w:r>
              <w:rPr>
                <w:spacing w:val="2"/>
                <w:w w:val="120"/>
                <w:sz w:val="20"/>
              </w:rPr>
              <w:t>appointing</w:t>
            </w:r>
            <w:r>
              <w:rPr>
                <w:spacing w:val="15"/>
                <w:w w:val="120"/>
                <w:sz w:val="20"/>
              </w:rPr>
              <w:t> </w:t>
            </w:r>
            <w:r>
              <w:rPr>
                <w:spacing w:val="2"/>
                <w:w w:val="120"/>
                <w:sz w:val="20"/>
              </w:rPr>
              <w:t>people</w:t>
            </w:r>
            <w:r>
              <w:rPr>
                <w:spacing w:val="15"/>
                <w:w w:val="120"/>
                <w:sz w:val="20"/>
              </w:rPr>
              <w:t> </w:t>
            </w:r>
            <w:r>
              <w:rPr>
                <w:w w:val="120"/>
                <w:sz w:val="20"/>
              </w:rPr>
              <w:t>to</w:t>
            </w:r>
            <w:r>
              <w:rPr>
                <w:spacing w:val="15"/>
                <w:w w:val="120"/>
                <w:sz w:val="20"/>
              </w:rPr>
              <w:t> </w:t>
            </w:r>
            <w:r>
              <w:rPr>
                <w:w w:val="120"/>
                <w:sz w:val="20"/>
              </w:rPr>
              <w:t>work</w:t>
            </w:r>
            <w:r>
              <w:rPr>
                <w:spacing w:val="16"/>
                <w:w w:val="120"/>
                <w:sz w:val="20"/>
              </w:rPr>
              <w:t> </w:t>
            </w:r>
            <w:r>
              <w:rPr>
                <w:w w:val="120"/>
                <w:sz w:val="20"/>
              </w:rPr>
              <w:t>with</w:t>
            </w:r>
            <w:r>
              <w:rPr>
                <w:spacing w:val="15"/>
                <w:w w:val="120"/>
                <w:sz w:val="20"/>
              </w:rPr>
              <w:t> </w:t>
            </w:r>
            <w:r>
              <w:rPr>
                <w:w w:val="120"/>
                <w:sz w:val="20"/>
              </w:rPr>
              <w:t>children,</w:t>
            </w:r>
            <w:r>
              <w:rPr>
                <w:spacing w:val="15"/>
                <w:w w:val="120"/>
                <w:sz w:val="20"/>
              </w:rPr>
              <w:t> </w:t>
            </w:r>
            <w:r>
              <w:rPr>
                <w:w w:val="120"/>
                <w:sz w:val="20"/>
              </w:rPr>
              <w:t>young</w:t>
            </w:r>
            <w:r>
              <w:rPr>
                <w:spacing w:val="16"/>
                <w:w w:val="120"/>
                <w:sz w:val="20"/>
              </w:rPr>
              <w:t> </w:t>
            </w:r>
            <w:r>
              <w:rPr>
                <w:spacing w:val="2"/>
                <w:w w:val="120"/>
                <w:sz w:val="20"/>
              </w:rPr>
              <w:t>people</w:t>
            </w:r>
            <w:r>
              <w:rPr>
                <w:spacing w:val="15"/>
                <w:w w:val="120"/>
                <w:sz w:val="20"/>
              </w:rPr>
              <w:t> </w:t>
            </w:r>
            <w:r>
              <w:rPr>
                <w:w w:val="120"/>
                <w:sz w:val="20"/>
              </w:rPr>
              <w:t>and/or</w:t>
            </w:r>
            <w:r>
              <w:rPr>
                <w:spacing w:val="15"/>
                <w:w w:val="120"/>
                <w:sz w:val="20"/>
              </w:rPr>
              <w:t> </w:t>
            </w:r>
            <w:r>
              <w:rPr>
                <w:spacing w:val="2"/>
                <w:w w:val="120"/>
                <w:sz w:val="20"/>
              </w:rPr>
              <w:t>vulnerable</w:t>
            </w:r>
            <w:r>
              <w:rPr>
                <w:spacing w:val="15"/>
                <w:w w:val="120"/>
                <w:sz w:val="20"/>
              </w:rPr>
              <w:t> </w:t>
            </w:r>
            <w:r>
              <w:rPr>
                <w:spacing w:val="2"/>
                <w:w w:val="120"/>
                <w:sz w:val="20"/>
              </w:rPr>
              <w:t>adults.</w:t>
            </w:r>
          </w:p>
          <w:p>
            <w:pPr>
              <w:pStyle w:val="TableParagraph"/>
              <w:spacing w:line="235" w:lineRule="auto" w:before="3"/>
              <w:ind w:left="266" w:right="337"/>
              <w:rPr>
                <w:sz w:val="20"/>
              </w:rPr>
            </w:pPr>
            <w:r>
              <w:rPr>
                <w:spacing w:val="6"/>
                <w:w w:val="120"/>
                <w:sz w:val="20"/>
              </w:rPr>
              <w:t>Furthermore </w:t>
            </w:r>
            <w:r>
              <w:rPr>
                <w:spacing w:val="5"/>
                <w:w w:val="120"/>
                <w:sz w:val="20"/>
              </w:rPr>
              <w:t>General Assembly </w:t>
            </w:r>
            <w:r>
              <w:rPr>
                <w:spacing w:val="4"/>
                <w:w w:val="120"/>
                <w:sz w:val="20"/>
              </w:rPr>
              <w:t>recognises the need </w:t>
            </w:r>
            <w:r>
              <w:rPr>
                <w:spacing w:val="3"/>
                <w:w w:val="120"/>
                <w:sz w:val="20"/>
              </w:rPr>
              <w:t>for </w:t>
            </w:r>
            <w:r>
              <w:rPr>
                <w:spacing w:val="4"/>
                <w:w w:val="120"/>
                <w:sz w:val="20"/>
              </w:rPr>
              <w:t>those </w:t>
            </w:r>
            <w:r>
              <w:rPr>
                <w:spacing w:val="5"/>
                <w:w w:val="120"/>
                <w:sz w:val="20"/>
              </w:rPr>
              <w:t>Assembly appointees </w:t>
            </w:r>
            <w:r>
              <w:rPr>
                <w:spacing w:val="4"/>
                <w:w w:val="120"/>
                <w:sz w:val="20"/>
              </w:rPr>
              <w:t>and </w:t>
            </w:r>
            <w:r>
              <w:rPr>
                <w:spacing w:val="5"/>
                <w:w w:val="120"/>
                <w:sz w:val="20"/>
              </w:rPr>
              <w:t>others working </w:t>
            </w:r>
            <w:r>
              <w:rPr>
                <w:spacing w:val="3"/>
                <w:w w:val="120"/>
                <w:sz w:val="20"/>
              </w:rPr>
              <w:t>on </w:t>
            </w:r>
            <w:r>
              <w:rPr>
                <w:spacing w:val="5"/>
                <w:w w:val="120"/>
                <w:sz w:val="20"/>
              </w:rPr>
              <w:t>behalf </w:t>
            </w:r>
            <w:r>
              <w:rPr>
                <w:spacing w:val="3"/>
                <w:w w:val="120"/>
                <w:sz w:val="20"/>
              </w:rPr>
              <w:t>of </w:t>
            </w:r>
            <w:r>
              <w:rPr>
                <w:spacing w:val="4"/>
                <w:w w:val="120"/>
                <w:sz w:val="20"/>
              </w:rPr>
              <w:t>the </w:t>
            </w:r>
            <w:r>
              <w:rPr>
                <w:spacing w:val="5"/>
                <w:w w:val="120"/>
                <w:sz w:val="20"/>
              </w:rPr>
              <w:t>denomination </w:t>
            </w:r>
            <w:r>
              <w:rPr>
                <w:spacing w:val="4"/>
                <w:w w:val="120"/>
                <w:sz w:val="20"/>
              </w:rPr>
              <w:t>who will be </w:t>
            </w:r>
            <w:r>
              <w:rPr>
                <w:spacing w:val="6"/>
                <w:w w:val="120"/>
                <w:sz w:val="20"/>
              </w:rPr>
              <w:t>undertaking</w:t>
            </w:r>
            <w:r>
              <w:rPr>
                <w:spacing w:val="66"/>
                <w:w w:val="120"/>
                <w:sz w:val="20"/>
              </w:rPr>
              <w:t> </w:t>
            </w:r>
            <w:r>
              <w:rPr>
                <w:spacing w:val="4"/>
                <w:w w:val="120"/>
                <w:sz w:val="20"/>
              </w:rPr>
              <w:t>‘Regulated </w:t>
            </w:r>
            <w:r>
              <w:rPr>
                <w:spacing w:val="6"/>
                <w:w w:val="120"/>
                <w:sz w:val="20"/>
              </w:rPr>
              <w:t>Activity’ </w:t>
            </w:r>
            <w:r>
              <w:rPr>
                <w:w w:val="120"/>
                <w:sz w:val="20"/>
              </w:rPr>
              <w:t>to </w:t>
            </w:r>
            <w:r>
              <w:rPr>
                <w:spacing w:val="4"/>
                <w:w w:val="120"/>
                <w:sz w:val="20"/>
              </w:rPr>
              <w:t>be </w:t>
            </w:r>
            <w:r>
              <w:rPr>
                <w:spacing w:val="3"/>
                <w:w w:val="120"/>
                <w:sz w:val="20"/>
              </w:rPr>
              <w:t>ISA </w:t>
            </w:r>
            <w:r>
              <w:rPr>
                <w:spacing w:val="5"/>
                <w:w w:val="120"/>
                <w:sz w:val="20"/>
              </w:rPr>
              <w:t>registered </w:t>
            </w:r>
            <w:r>
              <w:rPr>
                <w:spacing w:val="4"/>
                <w:w w:val="120"/>
                <w:sz w:val="20"/>
              </w:rPr>
              <w:t>and, following the </w:t>
            </w:r>
            <w:r>
              <w:rPr>
                <w:spacing w:val="5"/>
                <w:w w:val="120"/>
                <w:sz w:val="20"/>
              </w:rPr>
              <w:t>principles </w:t>
            </w:r>
            <w:r>
              <w:rPr>
                <w:spacing w:val="3"/>
                <w:w w:val="120"/>
                <w:sz w:val="20"/>
              </w:rPr>
              <w:t>of </w:t>
            </w:r>
            <w:r>
              <w:rPr>
                <w:spacing w:val="5"/>
                <w:w w:val="120"/>
                <w:sz w:val="20"/>
              </w:rPr>
              <w:t>safer recruiting, </w:t>
            </w:r>
            <w:r>
              <w:rPr>
                <w:w w:val="120"/>
                <w:sz w:val="20"/>
              </w:rPr>
              <w:t>to </w:t>
            </w:r>
            <w:r>
              <w:rPr>
                <w:spacing w:val="4"/>
                <w:w w:val="120"/>
                <w:sz w:val="20"/>
              </w:rPr>
              <w:t>obtain </w:t>
            </w:r>
            <w:r>
              <w:rPr>
                <w:w w:val="120"/>
                <w:sz w:val="20"/>
              </w:rPr>
              <w:t>a </w:t>
            </w:r>
            <w:r>
              <w:rPr>
                <w:spacing w:val="4"/>
                <w:w w:val="120"/>
                <w:sz w:val="20"/>
              </w:rPr>
              <w:t>Criminal Records Bureau enhanced disclosure.</w:t>
            </w:r>
          </w:p>
        </w:tc>
      </w:tr>
    </w:tbl>
    <w:p>
      <w:pPr>
        <w:pStyle w:val="BodyText"/>
        <w:rPr>
          <w:sz w:val="56"/>
        </w:rPr>
      </w:pPr>
    </w:p>
    <w:p>
      <w:pPr>
        <w:pStyle w:val="Heading6"/>
        <w:spacing w:line="220" w:lineRule="auto" w:before="1"/>
        <w:ind w:right="4239"/>
      </w:pPr>
      <w:r>
        <w:rPr>
          <w:w w:val="110"/>
        </w:rPr>
        <w:t>Independent Safeguarding Authority – Vetting and Barring Scheme</w:t>
      </w:r>
    </w:p>
    <w:p>
      <w:pPr>
        <w:pStyle w:val="BodyText"/>
        <w:spacing w:before="10"/>
        <w:rPr>
          <w:rFonts w:ascii="Stone Sans II ITC Std Bk"/>
          <w:b/>
          <w:sz w:val="32"/>
        </w:rPr>
      </w:pPr>
    </w:p>
    <w:p>
      <w:pPr>
        <w:pStyle w:val="BodyText"/>
        <w:tabs>
          <w:tab w:pos="1814" w:val="left" w:leader="none"/>
        </w:tabs>
        <w:spacing w:line="235" w:lineRule="auto"/>
        <w:ind w:left="1133" w:right="2076"/>
      </w:pPr>
      <w:r>
        <w:rPr>
          <w:spacing w:val="-7"/>
          <w:w w:val="120"/>
        </w:rPr>
        <w:t>1.</w:t>
        <w:tab/>
      </w:r>
      <w:r>
        <w:rPr>
          <w:w w:val="120"/>
        </w:rPr>
        <w:t>The introduction of the Independent Safeguarding Authority’s Vetting and  Barring Scheme (VBS) for England and Wales affects those working with children, young people or vulnerable adults within the United Reformed Church both locally and in the wider Church. The Ministries and </w:t>
      </w:r>
      <w:r>
        <w:rPr>
          <w:spacing w:val="-3"/>
          <w:w w:val="120"/>
        </w:rPr>
        <w:t>Youth </w:t>
      </w:r>
      <w:r>
        <w:rPr>
          <w:w w:val="120"/>
        </w:rPr>
        <w:t>and Children’s Work Committees have been working together to understand the implications in two</w:t>
      </w:r>
      <w:r>
        <w:rPr>
          <w:spacing w:val="21"/>
          <w:w w:val="120"/>
        </w:rPr>
        <w:t> </w:t>
      </w:r>
      <w:r>
        <w:rPr>
          <w:w w:val="120"/>
        </w:rPr>
        <w:t>areas.</w:t>
      </w:r>
    </w:p>
    <w:p>
      <w:pPr>
        <w:pStyle w:val="BodyText"/>
        <w:spacing w:before="11"/>
        <w:rPr>
          <w:sz w:val="19"/>
        </w:rPr>
      </w:pPr>
    </w:p>
    <w:p>
      <w:pPr>
        <w:pStyle w:val="ListParagraph"/>
        <w:numPr>
          <w:ilvl w:val="1"/>
          <w:numId w:val="199"/>
        </w:numPr>
        <w:tabs>
          <w:tab w:pos="1814" w:val="left" w:leader="none"/>
          <w:tab w:pos="1815" w:val="left" w:leader="none"/>
        </w:tabs>
        <w:spacing w:line="235" w:lineRule="auto" w:before="0" w:after="0"/>
        <w:ind w:left="1133" w:right="2032" w:firstLine="0"/>
        <w:jc w:val="left"/>
        <w:rPr>
          <w:sz w:val="20"/>
        </w:rPr>
      </w:pPr>
      <w:r>
        <w:rPr>
          <w:w w:val="120"/>
          <w:sz w:val="20"/>
        </w:rPr>
        <w:t>First, local churches and synods need advice regarding their duties under the    new scheme and mailings have been sent out to all churches. Additionally Church House officers have also set up a new email account (safeguarding@urc.org.uk) to</w:t>
      </w:r>
      <w:r>
        <w:rPr>
          <w:spacing w:val="8"/>
          <w:w w:val="120"/>
          <w:sz w:val="20"/>
        </w:rPr>
        <w:t> </w:t>
      </w:r>
      <w:r>
        <w:rPr>
          <w:w w:val="120"/>
          <w:sz w:val="20"/>
        </w:rPr>
        <w:t>support</w:t>
      </w:r>
    </w:p>
    <w:p>
      <w:pPr>
        <w:pStyle w:val="BodyText"/>
        <w:spacing w:line="235" w:lineRule="auto" w:before="3"/>
        <w:ind w:left="1133" w:right="2155"/>
        <w:jc w:val="both"/>
      </w:pPr>
      <w:r>
        <w:rPr>
          <w:w w:val="120"/>
        </w:rPr>
        <w:t>local churches through the changeover. This is the central point for ISA information and enquiries and will also offer a facility to help those churches which do not have internet access to check a person’s ISA registration</w:t>
      </w:r>
    </w:p>
    <w:p>
      <w:pPr>
        <w:pStyle w:val="BodyText"/>
        <w:spacing w:before="10"/>
        <w:rPr>
          <w:sz w:val="19"/>
        </w:rPr>
      </w:pPr>
    </w:p>
    <w:p>
      <w:pPr>
        <w:pStyle w:val="ListParagraph"/>
        <w:numPr>
          <w:ilvl w:val="1"/>
          <w:numId w:val="199"/>
        </w:numPr>
        <w:tabs>
          <w:tab w:pos="1814" w:val="left" w:leader="none"/>
          <w:tab w:pos="1815" w:val="left" w:leader="none"/>
        </w:tabs>
        <w:spacing w:line="235" w:lineRule="auto" w:before="0" w:after="0"/>
        <w:ind w:left="1133" w:right="2207" w:firstLine="0"/>
        <w:jc w:val="left"/>
        <w:rPr>
          <w:sz w:val="20"/>
        </w:rPr>
      </w:pPr>
      <w:r>
        <w:rPr>
          <w:w w:val="120"/>
          <w:sz w:val="20"/>
        </w:rPr>
        <w:t>Separate guidance will be issued to our Scottish churches once the timescale for the introduction of the Protecting Vulnerable Groups </w:t>
      </w:r>
      <w:r>
        <w:rPr>
          <w:spacing w:val="-3"/>
          <w:w w:val="120"/>
          <w:sz w:val="20"/>
        </w:rPr>
        <w:t>(PVG) </w:t>
      </w:r>
      <w:r>
        <w:rPr>
          <w:w w:val="120"/>
          <w:sz w:val="20"/>
        </w:rPr>
        <w:t>scheme is</w:t>
      </w:r>
      <w:r>
        <w:rPr>
          <w:spacing w:val="49"/>
          <w:w w:val="120"/>
          <w:sz w:val="20"/>
        </w:rPr>
        <w:t> </w:t>
      </w:r>
      <w:r>
        <w:rPr>
          <w:spacing w:val="-3"/>
          <w:w w:val="120"/>
          <w:sz w:val="20"/>
        </w:rPr>
        <w:t>clear.</w:t>
      </w:r>
    </w:p>
    <w:p>
      <w:pPr>
        <w:pStyle w:val="BodyText"/>
        <w:spacing w:before="9"/>
        <w:rPr>
          <w:sz w:val="19"/>
        </w:rPr>
      </w:pPr>
    </w:p>
    <w:p>
      <w:pPr>
        <w:pStyle w:val="ListParagraph"/>
        <w:numPr>
          <w:ilvl w:val="1"/>
          <w:numId w:val="200"/>
        </w:numPr>
        <w:tabs>
          <w:tab w:pos="1814" w:val="left" w:leader="none"/>
          <w:tab w:pos="1815" w:val="left" w:leader="none"/>
        </w:tabs>
        <w:spacing w:line="235" w:lineRule="auto" w:before="0" w:after="0"/>
        <w:ind w:left="1133" w:right="2055" w:firstLine="0"/>
        <w:jc w:val="left"/>
        <w:rPr>
          <w:sz w:val="20"/>
        </w:rPr>
      </w:pPr>
      <w:r>
        <w:rPr>
          <w:w w:val="120"/>
          <w:sz w:val="20"/>
        </w:rPr>
        <w:t>The introduction of VBS means that certain General Assembly appointees and others undertaking roles for the denomination, including ministers, will be deemed to   be engaging in ‘Regulated Activity’ and therefore will require ISA registration in order    to do so. It will become a criminal act to employ someone new to undertake such work without making the necessary check, and in due course it will also be necessary to check those who are currently undertaking such</w:t>
      </w:r>
      <w:r>
        <w:rPr>
          <w:spacing w:val="14"/>
          <w:w w:val="120"/>
          <w:sz w:val="20"/>
        </w:rPr>
        <w:t> </w:t>
      </w:r>
      <w:r>
        <w:rPr>
          <w:w w:val="120"/>
          <w:sz w:val="20"/>
        </w:rPr>
        <w:t>work.</w:t>
      </w:r>
    </w:p>
    <w:p>
      <w:pPr>
        <w:pStyle w:val="BodyText"/>
      </w:pPr>
    </w:p>
    <w:p>
      <w:pPr>
        <w:pStyle w:val="ListParagraph"/>
        <w:numPr>
          <w:ilvl w:val="1"/>
          <w:numId w:val="200"/>
        </w:numPr>
        <w:tabs>
          <w:tab w:pos="1814" w:val="left" w:leader="none"/>
          <w:tab w:pos="1815" w:val="left" w:leader="none"/>
        </w:tabs>
        <w:spacing w:line="235" w:lineRule="auto" w:before="0" w:after="0"/>
        <w:ind w:left="1133" w:right="2145" w:firstLine="0"/>
        <w:jc w:val="left"/>
        <w:rPr>
          <w:sz w:val="20"/>
        </w:rPr>
      </w:pPr>
      <w:r>
        <w:rPr>
          <w:w w:val="120"/>
          <w:sz w:val="20"/>
        </w:rPr>
        <w:t>Below is a list of the roles that we believe are covered by this necessity, but it should be recognised that roles do change over time and new roles are created. When   a role is reviewed, or a new one created those overseeing that process should consider whether</w:t>
      </w:r>
      <w:r>
        <w:rPr>
          <w:spacing w:val="11"/>
          <w:w w:val="120"/>
          <w:sz w:val="20"/>
        </w:rPr>
        <w:t> </w:t>
      </w:r>
      <w:r>
        <w:rPr>
          <w:w w:val="120"/>
          <w:sz w:val="20"/>
        </w:rPr>
        <w:t>a</w:t>
      </w:r>
      <w:r>
        <w:rPr>
          <w:spacing w:val="11"/>
          <w:w w:val="120"/>
          <w:sz w:val="20"/>
        </w:rPr>
        <w:t> </w:t>
      </w:r>
      <w:r>
        <w:rPr>
          <w:w w:val="120"/>
          <w:sz w:val="20"/>
        </w:rPr>
        <w:t>person</w:t>
      </w:r>
      <w:r>
        <w:rPr>
          <w:spacing w:val="11"/>
          <w:w w:val="120"/>
          <w:sz w:val="20"/>
        </w:rPr>
        <w:t> </w:t>
      </w:r>
      <w:r>
        <w:rPr>
          <w:w w:val="120"/>
          <w:sz w:val="20"/>
        </w:rPr>
        <w:t>undertaking</w:t>
      </w:r>
      <w:r>
        <w:rPr>
          <w:spacing w:val="12"/>
          <w:w w:val="120"/>
          <w:sz w:val="20"/>
        </w:rPr>
        <w:t> </w:t>
      </w:r>
      <w:r>
        <w:rPr>
          <w:w w:val="120"/>
          <w:sz w:val="20"/>
        </w:rPr>
        <w:t>that</w:t>
      </w:r>
      <w:r>
        <w:rPr>
          <w:spacing w:val="11"/>
          <w:w w:val="120"/>
          <w:sz w:val="20"/>
        </w:rPr>
        <w:t> </w:t>
      </w:r>
      <w:r>
        <w:rPr>
          <w:w w:val="120"/>
          <w:sz w:val="20"/>
        </w:rPr>
        <w:t>role</w:t>
      </w:r>
      <w:r>
        <w:rPr>
          <w:spacing w:val="11"/>
          <w:w w:val="120"/>
          <w:sz w:val="20"/>
        </w:rPr>
        <w:t> </w:t>
      </w:r>
      <w:r>
        <w:rPr>
          <w:w w:val="120"/>
          <w:sz w:val="20"/>
        </w:rPr>
        <w:t>is</w:t>
      </w:r>
      <w:r>
        <w:rPr>
          <w:spacing w:val="11"/>
          <w:w w:val="120"/>
          <w:sz w:val="20"/>
        </w:rPr>
        <w:t> </w:t>
      </w:r>
      <w:r>
        <w:rPr>
          <w:w w:val="120"/>
          <w:sz w:val="20"/>
        </w:rPr>
        <w:t>going</w:t>
      </w:r>
      <w:r>
        <w:rPr>
          <w:spacing w:val="12"/>
          <w:w w:val="120"/>
          <w:sz w:val="20"/>
        </w:rPr>
        <w:t> </w:t>
      </w:r>
      <w:r>
        <w:rPr>
          <w:w w:val="120"/>
          <w:sz w:val="20"/>
        </w:rPr>
        <w:t>to</w:t>
      </w:r>
      <w:r>
        <w:rPr>
          <w:spacing w:val="11"/>
          <w:w w:val="120"/>
          <w:sz w:val="20"/>
        </w:rPr>
        <w:t> </w:t>
      </w:r>
      <w:r>
        <w:rPr>
          <w:w w:val="120"/>
          <w:sz w:val="20"/>
        </w:rPr>
        <w:t>be</w:t>
      </w:r>
      <w:r>
        <w:rPr>
          <w:spacing w:val="11"/>
          <w:w w:val="120"/>
          <w:sz w:val="20"/>
        </w:rPr>
        <w:t> </w:t>
      </w:r>
      <w:r>
        <w:rPr>
          <w:w w:val="120"/>
          <w:sz w:val="20"/>
        </w:rPr>
        <w:t>undertaking</w:t>
      </w:r>
      <w:r>
        <w:rPr>
          <w:spacing w:val="11"/>
          <w:w w:val="120"/>
          <w:sz w:val="20"/>
        </w:rPr>
        <w:t> </w:t>
      </w:r>
      <w:r>
        <w:rPr>
          <w:w w:val="120"/>
          <w:sz w:val="20"/>
        </w:rPr>
        <w:t>‘Regulated</w:t>
      </w:r>
      <w:r>
        <w:rPr>
          <w:spacing w:val="12"/>
          <w:w w:val="120"/>
          <w:sz w:val="20"/>
        </w:rPr>
        <w:t> </w:t>
      </w:r>
      <w:r>
        <w:rPr>
          <w:w w:val="120"/>
          <w:sz w:val="20"/>
        </w:rPr>
        <w:t>Activity’.</w:t>
      </w:r>
    </w:p>
    <w:p>
      <w:pPr>
        <w:pStyle w:val="BodyText"/>
        <w:spacing w:line="235" w:lineRule="auto" w:before="3"/>
        <w:ind w:left="1133" w:right="1997"/>
      </w:pPr>
      <w:r>
        <w:rPr>
          <w:w w:val="120"/>
        </w:rPr>
        <w:t>If the conditions for ‘Regulated Activity’ are met the Ministries office should be informed in order that registration can be checked.</w:t>
      </w:r>
    </w:p>
    <w:p>
      <w:pPr>
        <w:spacing w:after="0" w:line="235" w:lineRule="auto"/>
        <w:sectPr>
          <w:pgSz w:w="11910" w:h="16840"/>
          <w:pgMar w:header="0" w:footer="647" w:top="1060" w:bottom="840" w:left="0" w:right="0"/>
        </w:sectPr>
      </w:pPr>
    </w:p>
    <w:p>
      <w:pPr>
        <w:pStyle w:val="ListParagraph"/>
        <w:numPr>
          <w:ilvl w:val="1"/>
          <w:numId w:val="200"/>
        </w:numPr>
        <w:tabs>
          <w:tab w:pos="2664" w:val="left" w:leader="none"/>
          <w:tab w:pos="2665" w:val="left" w:leader="none"/>
        </w:tabs>
        <w:spacing w:line="235" w:lineRule="auto" w:before="36" w:after="0"/>
        <w:ind w:left="1984" w:right="1209" w:firstLine="0"/>
        <w:jc w:val="left"/>
        <w:rPr>
          <w:sz w:val="20"/>
        </w:rPr>
      </w:pPr>
      <w:r>
        <w:rPr/>
        <w:pict>
          <v:rect style="position:absolute;margin-left:558.424988pt;margin-top:8.470082pt;width:22.677pt;height:22.677pt;mso-position-horizontal-relative:page;mso-position-vertical-relative:paragraph;z-index:252392448" filled="true" fillcolor="#dcd0e6" stroked="false">
            <v:fill opacity="32768f" type="solid"/>
            <w10:wrap type="none"/>
          </v:rect>
        </w:pict>
      </w:r>
      <w:r>
        <w:rPr>
          <w:w w:val="120"/>
          <w:sz w:val="20"/>
        </w:rPr>
        <w:t>In this area we are taking our guidance from ‘Recruiting Safely’ produced by the Children’s Workforce Development Council, which ‘applies to everyone employed in a role (paid or volunteer) within an organisation working with children, who is likely to be seen by the children as a safe and trustworthy </w:t>
      </w:r>
      <w:r>
        <w:rPr>
          <w:spacing w:val="-3"/>
          <w:w w:val="120"/>
          <w:sz w:val="20"/>
        </w:rPr>
        <w:t>adult.’ </w:t>
      </w:r>
      <w:r>
        <w:rPr>
          <w:w w:val="120"/>
          <w:sz w:val="20"/>
        </w:rPr>
        <w:t>We would also apply the principles of</w:t>
      </w:r>
      <w:r>
        <w:rPr>
          <w:spacing w:val="6"/>
          <w:w w:val="120"/>
          <w:sz w:val="20"/>
        </w:rPr>
        <w:t> </w:t>
      </w:r>
      <w:r>
        <w:rPr>
          <w:w w:val="120"/>
          <w:sz w:val="20"/>
        </w:rPr>
        <w:t>this</w:t>
      </w:r>
      <w:r>
        <w:rPr>
          <w:spacing w:val="6"/>
          <w:w w:val="120"/>
          <w:sz w:val="20"/>
        </w:rPr>
        <w:t> </w:t>
      </w:r>
      <w:r>
        <w:rPr>
          <w:w w:val="120"/>
          <w:sz w:val="20"/>
        </w:rPr>
        <w:t>guidance</w:t>
      </w:r>
      <w:r>
        <w:rPr>
          <w:spacing w:val="6"/>
          <w:w w:val="120"/>
          <w:sz w:val="20"/>
        </w:rPr>
        <w:t> </w:t>
      </w:r>
      <w:r>
        <w:rPr>
          <w:w w:val="120"/>
          <w:sz w:val="20"/>
        </w:rPr>
        <w:t>to</w:t>
      </w:r>
      <w:r>
        <w:rPr>
          <w:spacing w:val="6"/>
          <w:w w:val="120"/>
          <w:sz w:val="20"/>
        </w:rPr>
        <w:t> </w:t>
      </w:r>
      <w:r>
        <w:rPr>
          <w:w w:val="120"/>
          <w:sz w:val="20"/>
        </w:rPr>
        <w:t>work</w:t>
      </w:r>
      <w:r>
        <w:rPr>
          <w:spacing w:val="7"/>
          <w:w w:val="120"/>
          <w:sz w:val="20"/>
        </w:rPr>
        <w:t> </w:t>
      </w:r>
      <w:r>
        <w:rPr>
          <w:w w:val="120"/>
          <w:sz w:val="20"/>
        </w:rPr>
        <w:t>undertaken</w:t>
      </w:r>
      <w:r>
        <w:rPr>
          <w:spacing w:val="6"/>
          <w:w w:val="120"/>
          <w:sz w:val="20"/>
        </w:rPr>
        <w:t> </w:t>
      </w:r>
      <w:r>
        <w:rPr>
          <w:w w:val="120"/>
          <w:sz w:val="20"/>
        </w:rPr>
        <w:t>amongst</w:t>
      </w:r>
      <w:r>
        <w:rPr>
          <w:spacing w:val="6"/>
          <w:w w:val="120"/>
          <w:sz w:val="20"/>
        </w:rPr>
        <w:t> </w:t>
      </w:r>
      <w:r>
        <w:rPr>
          <w:w w:val="120"/>
          <w:sz w:val="20"/>
        </w:rPr>
        <w:t>vulnerable</w:t>
      </w:r>
      <w:r>
        <w:rPr>
          <w:spacing w:val="6"/>
          <w:w w:val="120"/>
          <w:sz w:val="20"/>
        </w:rPr>
        <w:t> </w:t>
      </w:r>
      <w:r>
        <w:rPr>
          <w:w w:val="120"/>
          <w:sz w:val="20"/>
        </w:rPr>
        <w:t>adults.</w:t>
      </w:r>
      <w:r>
        <w:rPr>
          <w:spacing w:val="7"/>
          <w:w w:val="120"/>
          <w:sz w:val="20"/>
        </w:rPr>
        <w:t> </w:t>
      </w:r>
      <w:r>
        <w:rPr>
          <w:w w:val="120"/>
          <w:sz w:val="20"/>
        </w:rPr>
        <w:t>This</w:t>
      </w:r>
      <w:r>
        <w:rPr>
          <w:spacing w:val="6"/>
          <w:w w:val="120"/>
          <w:sz w:val="20"/>
        </w:rPr>
        <w:t> </w:t>
      </w:r>
      <w:r>
        <w:rPr>
          <w:w w:val="120"/>
          <w:sz w:val="20"/>
        </w:rPr>
        <w:t>guidance</w:t>
      </w:r>
      <w:r>
        <w:rPr>
          <w:spacing w:val="6"/>
          <w:w w:val="120"/>
          <w:sz w:val="20"/>
        </w:rPr>
        <w:t> </w:t>
      </w:r>
      <w:r>
        <w:rPr>
          <w:w w:val="120"/>
          <w:sz w:val="20"/>
        </w:rPr>
        <w:t>and</w:t>
      </w:r>
    </w:p>
    <w:p>
      <w:pPr>
        <w:pStyle w:val="BodyText"/>
        <w:spacing w:line="235" w:lineRule="auto" w:before="4"/>
        <w:ind w:left="1984" w:right="1120"/>
      </w:pPr>
      <w:r>
        <w:rPr>
          <w:w w:val="120"/>
        </w:rPr>
        <w:t>the practice of our ecumenical partners indicates that it will also be necessary to seek Criminal Record Bureau (CRB) enhanced disclosures for those whose role is identified as requiring ISA registration.</w:t>
      </w:r>
    </w:p>
    <w:p>
      <w:pPr>
        <w:pStyle w:val="BodyText"/>
        <w:spacing w:before="10"/>
        <w:rPr>
          <w:sz w:val="19"/>
        </w:rPr>
      </w:pPr>
    </w:p>
    <w:p>
      <w:pPr>
        <w:pStyle w:val="ListParagraph"/>
        <w:numPr>
          <w:ilvl w:val="1"/>
          <w:numId w:val="200"/>
        </w:numPr>
        <w:tabs>
          <w:tab w:pos="2665" w:val="left" w:leader="none"/>
        </w:tabs>
        <w:spacing w:line="235" w:lineRule="auto" w:before="0" w:after="0"/>
        <w:ind w:left="1984" w:right="1557" w:firstLine="0"/>
        <w:jc w:val="both"/>
        <w:rPr>
          <w:sz w:val="20"/>
        </w:rPr>
      </w:pPr>
      <w:r>
        <w:rPr>
          <w:w w:val="120"/>
          <w:sz w:val="20"/>
        </w:rPr>
        <w:t>General Assembly is asked to support this policy as an indication of the desire to have in place the best protection policies as well as procedures that will satisfy the demands of the law and the expectations of our</w:t>
      </w:r>
      <w:r>
        <w:rPr>
          <w:spacing w:val="16"/>
          <w:w w:val="120"/>
          <w:sz w:val="20"/>
        </w:rPr>
        <w:t> </w:t>
      </w:r>
      <w:r>
        <w:rPr>
          <w:w w:val="120"/>
          <w:sz w:val="20"/>
        </w:rPr>
        <w:t>insurers.</w:t>
      </w:r>
    </w:p>
    <w:p>
      <w:pPr>
        <w:pStyle w:val="BodyText"/>
      </w:pPr>
    </w:p>
    <w:p>
      <w:pPr>
        <w:pStyle w:val="BodyText"/>
        <w:spacing w:before="9"/>
        <w:rPr>
          <w:sz w:val="21"/>
        </w:rPr>
      </w:pPr>
    </w:p>
    <w:tbl>
      <w:tblPr>
        <w:tblW w:w="0" w:type="auto"/>
        <w:jc w:val="left"/>
        <w:tblInd w:w="1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89"/>
        <w:gridCol w:w="1427"/>
        <w:gridCol w:w="718"/>
        <w:gridCol w:w="831"/>
        <w:gridCol w:w="1412"/>
      </w:tblGrid>
      <w:tr>
        <w:trPr>
          <w:trHeight w:val="1518" w:hRule="atLeast"/>
        </w:trPr>
        <w:tc>
          <w:tcPr>
            <w:tcW w:w="5816" w:type="dxa"/>
            <w:gridSpan w:val="2"/>
            <w:vMerge w:val="restart"/>
            <w:tcBorders>
              <w:top w:val="nil"/>
              <w:left w:val="nil"/>
            </w:tcBorders>
          </w:tcPr>
          <w:p>
            <w:pPr>
              <w:pStyle w:val="TableParagraph"/>
              <w:rPr>
                <w:sz w:val="26"/>
              </w:rPr>
            </w:pPr>
          </w:p>
          <w:p>
            <w:pPr>
              <w:pStyle w:val="TableParagraph"/>
              <w:spacing w:before="11"/>
              <w:rPr>
                <w:sz w:val="38"/>
              </w:rPr>
            </w:pPr>
          </w:p>
          <w:p>
            <w:pPr>
              <w:pStyle w:val="TableParagraph"/>
              <w:spacing w:line="237" w:lineRule="auto"/>
              <w:ind w:left="112" w:right="989"/>
              <w:rPr>
                <w:rFonts w:ascii="Stone Sans II ITC Std Bk"/>
                <w:b/>
                <w:sz w:val="21"/>
              </w:rPr>
            </w:pPr>
            <w:r>
              <w:rPr>
                <w:rFonts w:ascii="Stone Sans II ITC Std Bk"/>
                <w:b/>
                <w:w w:val="115"/>
                <w:sz w:val="21"/>
              </w:rPr>
              <w:t>Those requiring ISA registration and CRB enhanced disclosure</w:t>
            </w:r>
          </w:p>
        </w:tc>
        <w:tc>
          <w:tcPr>
            <w:tcW w:w="1549" w:type="dxa"/>
            <w:gridSpan w:val="2"/>
            <w:textDirection w:val="btLr"/>
          </w:tcPr>
          <w:p>
            <w:pPr>
              <w:pStyle w:val="TableParagraph"/>
              <w:rPr>
                <w:sz w:val="22"/>
              </w:rPr>
            </w:pPr>
          </w:p>
          <w:p>
            <w:pPr>
              <w:pStyle w:val="TableParagraph"/>
              <w:rPr>
                <w:sz w:val="22"/>
              </w:rPr>
            </w:pPr>
          </w:p>
          <w:p>
            <w:pPr>
              <w:pStyle w:val="TableParagraph"/>
              <w:rPr>
                <w:sz w:val="22"/>
              </w:rPr>
            </w:pPr>
          </w:p>
          <w:p>
            <w:pPr>
              <w:pStyle w:val="TableParagraph"/>
              <w:spacing w:before="7"/>
              <w:rPr>
                <w:sz w:val="17"/>
              </w:rPr>
            </w:pPr>
          </w:p>
          <w:p>
            <w:pPr>
              <w:pStyle w:val="TableParagraph"/>
              <w:spacing w:line="237" w:lineRule="auto"/>
              <w:ind w:left="117" w:firstLine="379"/>
              <w:rPr>
                <w:rFonts w:ascii="Stone Sans II ITC Std Bk"/>
                <w:b/>
                <w:sz w:val="18"/>
              </w:rPr>
            </w:pPr>
            <w:r>
              <w:rPr>
                <w:rFonts w:ascii="Stone Sans II ITC Std Bk"/>
                <w:b/>
                <w:w w:val="110"/>
                <w:sz w:val="18"/>
              </w:rPr>
              <w:t>Legal Requirement</w:t>
            </w:r>
          </w:p>
        </w:tc>
        <w:tc>
          <w:tcPr>
            <w:tcW w:w="1412" w:type="dxa"/>
            <w:vMerge w:val="restart"/>
            <w:textDirection w:val="btLr"/>
          </w:tcPr>
          <w:p>
            <w:pPr>
              <w:pStyle w:val="TableParagraph"/>
              <w:spacing w:line="237" w:lineRule="auto" w:before="163"/>
              <w:ind w:left="90" w:right="88" w:hanging="1"/>
              <w:jc w:val="center"/>
              <w:rPr>
                <w:rFonts w:ascii="Stone Sans II ITC Std Bk"/>
                <w:b/>
                <w:sz w:val="18"/>
              </w:rPr>
            </w:pPr>
            <w:r>
              <w:rPr>
                <w:rFonts w:ascii="Stone Sans II ITC Std Bk"/>
                <w:b/>
                <w:w w:val="110"/>
                <w:sz w:val="18"/>
              </w:rPr>
              <w:t>Safer Recruitment Requires a new CRB disclosure on change of post and/or every 5 years</w:t>
            </w:r>
          </w:p>
        </w:tc>
      </w:tr>
      <w:tr>
        <w:trPr>
          <w:trHeight w:val="380" w:hRule="atLeast"/>
        </w:trPr>
        <w:tc>
          <w:tcPr>
            <w:tcW w:w="5816" w:type="dxa"/>
            <w:gridSpan w:val="2"/>
            <w:vMerge/>
            <w:tcBorders>
              <w:top w:val="nil"/>
              <w:left w:val="nil"/>
            </w:tcBorders>
          </w:tcPr>
          <w:p>
            <w:pPr>
              <w:rPr>
                <w:sz w:val="2"/>
                <w:szCs w:val="2"/>
              </w:rPr>
            </w:pPr>
          </w:p>
        </w:tc>
        <w:tc>
          <w:tcPr>
            <w:tcW w:w="718" w:type="dxa"/>
          </w:tcPr>
          <w:p>
            <w:pPr>
              <w:pStyle w:val="TableParagraph"/>
              <w:spacing w:before="108"/>
              <w:ind w:left="184" w:right="176"/>
              <w:jc w:val="center"/>
              <w:rPr>
                <w:rFonts w:ascii="Stone Sans II ITC Std Bk"/>
                <w:b/>
                <w:sz w:val="18"/>
              </w:rPr>
            </w:pPr>
            <w:r>
              <w:rPr>
                <w:rFonts w:ascii="Stone Sans II ITC Std Bk"/>
                <w:b/>
                <w:w w:val="110"/>
                <w:sz w:val="18"/>
              </w:rPr>
              <w:t>ISA</w:t>
            </w:r>
          </w:p>
        </w:tc>
        <w:tc>
          <w:tcPr>
            <w:tcW w:w="831" w:type="dxa"/>
          </w:tcPr>
          <w:p>
            <w:pPr>
              <w:pStyle w:val="TableParagraph"/>
              <w:spacing w:before="108"/>
              <w:ind w:left="241" w:right="232"/>
              <w:jc w:val="center"/>
              <w:rPr>
                <w:rFonts w:ascii="Stone Sans II ITC Std Bk"/>
                <w:b/>
                <w:sz w:val="18"/>
              </w:rPr>
            </w:pPr>
            <w:r>
              <w:rPr>
                <w:rFonts w:ascii="Stone Sans II ITC Std Bk"/>
                <w:b/>
                <w:w w:val="110"/>
                <w:sz w:val="18"/>
              </w:rPr>
              <w:t>ISA</w:t>
            </w:r>
          </w:p>
        </w:tc>
        <w:tc>
          <w:tcPr>
            <w:tcW w:w="1412" w:type="dxa"/>
            <w:vMerge/>
            <w:tcBorders>
              <w:top w:val="nil"/>
            </w:tcBorders>
            <w:textDirection w:val="btLr"/>
          </w:tcPr>
          <w:p>
            <w:pPr>
              <w:rPr>
                <w:sz w:val="2"/>
                <w:szCs w:val="2"/>
              </w:rPr>
            </w:pPr>
          </w:p>
        </w:tc>
      </w:tr>
      <w:tr>
        <w:trPr>
          <w:trHeight w:val="320" w:hRule="atLeast"/>
        </w:trPr>
        <w:tc>
          <w:tcPr>
            <w:tcW w:w="5816" w:type="dxa"/>
            <w:gridSpan w:val="2"/>
            <w:vMerge/>
            <w:tcBorders>
              <w:top w:val="nil"/>
              <w:left w:val="nil"/>
            </w:tcBorders>
          </w:tcPr>
          <w:p>
            <w:pPr>
              <w:rPr>
                <w:sz w:val="2"/>
                <w:szCs w:val="2"/>
              </w:rPr>
            </w:pPr>
          </w:p>
        </w:tc>
        <w:tc>
          <w:tcPr>
            <w:tcW w:w="718" w:type="dxa"/>
          </w:tcPr>
          <w:p>
            <w:pPr>
              <w:pStyle w:val="TableParagraph"/>
              <w:spacing w:line="221" w:lineRule="exact" w:before="79"/>
              <w:ind w:left="184" w:right="176"/>
              <w:jc w:val="center"/>
              <w:rPr>
                <w:rFonts w:ascii="Stone Sans II ITC Std Bk"/>
                <w:b/>
                <w:sz w:val="18"/>
              </w:rPr>
            </w:pPr>
            <w:r>
              <w:rPr>
                <w:rFonts w:ascii="Stone Sans II ITC Std Bk"/>
                <w:b/>
                <w:w w:val="110"/>
                <w:sz w:val="18"/>
              </w:rPr>
              <w:t>VA</w:t>
            </w:r>
          </w:p>
        </w:tc>
        <w:tc>
          <w:tcPr>
            <w:tcW w:w="831" w:type="dxa"/>
          </w:tcPr>
          <w:p>
            <w:pPr>
              <w:pStyle w:val="TableParagraph"/>
              <w:spacing w:line="221" w:lineRule="exact" w:before="79"/>
              <w:ind w:left="9"/>
              <w:jc w:val="center"/>
              <w:rPr>
                <w:rFonts w:ascii="Stone Sans II ITC Std Bk"/>
                <w:b/>
                <w:sz w:val="18"/>
              </w:rPr>
            </w:pPr>
            <w:r>
              <w:rPr>
                <w:rFonts w:ascii="Stone Sans II ITC Std Bk"/>
                <w:b/>
                <w:w w:val="111"/>
                <w:sz w:val="18"/>
              </w:rPr>
              <w:t>C</w:t>
            </w:r>
          </w:p>
        </w:tc>
        <w:tc>
          <w:tcPr>
            <w:tcW w:w="1412" w:type="dxa"/>
            <w:vMerge/>
            <w:tcBorders>
              <w:top w:val="nil"/>
            </w:tcBorders>
            <w:textDirection w:val="btLr"/>
          </w:tcPr>
          <w:p>
            <w:pPr>
              <w:rPr>
                <w:sz w:val="2"/>
                <w:szCs w:val="2"/>
              </w:rPr>
            </w:pPr>
          </w:p>
        </w:tc>
      </w:tr>
      <w:tr>
        <w:trPr>
          <w:trHeight w:val="659" w:hRule="atLeast"/>
        </w:trPr>
        <w:tc>
          <w:tcPr>
            <w:tcW w:w="4389" w:type="dxa"/>
          </w:tcPr>
          <w:p>
            <w:pPr>
              <w:pStyle w:val="TableParagraph"/>
              <w:spacing w:line="261" w:lineRule="auto" w:before="140"/>
              <w:ind w:left="56"/>
              <w:rPr>
                <w:sz w:val="18"/>
              </w:rPr>
            </w:pPr>
            <w:r>
              <w:rPr>
                <w:w w:val="120"/>
                <w:sz w:val="18"/>
              </w:rPr>
              <w:t>Ministers, stipendiary/non-stipendiary and Church Related Community Workers</w:t>
            </w:r>
          </w:p>
        </w:tc>
        <w:tc>
          <w:tcPr>
            <w:tcW w:w="1427" w:type="dxa"/>
          </w:tcPr>
          <w:p>
            <w:pPr>
              <w:pStyle w:val="TableParagraph"/>
              <w:spacing w:before="3"/>
              <w:rPr>
                <w:sz w:val="21"/>
              </w:rPr>
            </w:pPr>
          </w:p>
          <w:p>
            <w:pPr>
              <w:pStyle w:val="TableParagraph"/>
              <w:ind w:left="56"/>
              <w:rPr>
                <w:sz w:val="18"/>
              </w:rPr>
            </w:pPr>
            <w:r>
              <w:rPr>
                <w:w w:val="125"/>
                <w:sz w:val="18"/>
              </w:rPr>
              <w:t>Serving</w:t>
            </w:r>
          </w:p>
        </w:tc>
        <w:tc>
          <w:tcPr>
            <w:tcW w:w="718" w:type="dxa"/>
          </w:tcPr>
          <w:p>
            <w:pPr>
              <w:pStyle w:val="TableParagraph"/>
              <w:spacing w:before="4"/>
              <w:rPr>
                <w:sz w:val="20"/>
              </w:rPr>
            </w:pPr>
          </w:p>
          <w:p>
            <w:pPr>
              <w:pStyle w:val="TableParagraph"/>
              <w:ind w:left="8"/>
              <w:jc w:val="center"/>
              <w:rPr>
                <w:rFonts w:ascii="Stone Sans II ITC Std Bk"/>
                <w:b/>
                <w:sz w:val="18"/>
              </w:rPr>
            </w:pPr>
            <w:r>
              <w:rPr>
                <w:rFonts w:ascii="Stone Sans II ITC Std Bk"/>
                <w:b/>
                <w:w w:val="111"/>
                <w:sz w:val="18"/>
              </w:rPr>
              <w:t>x</w:t>
            </w:r>
          </w:p>
        </w:tc>
        <w:tc>
          <w:tcPr>
            <w:tcW w:w="831" w:type="dxa"/>
          </w:tcPr>
          <w:p>
            <w:pPr>
              <w:pStyle w:val="TableParagraph"/>
              <w:spacing w:before="4"/>
              <w:rPr>
                <w:sz w:val="20"/>
              </w:rPr>
            </w:pPr>
          </w:p>
          <w:p>
            <w:pPr>
              <w:pStyle w:val="TableParagraph"/>
              <w:ind w:left="9"/>
              <w:jc w:val="center"/>
              <w:rPr>
                <w:rFonts w:ascii="Stone Sans II ITC Std Bk"/>
                <w:b/>
                <w:sz w:val="18"/>
              </w:rPr>
            </w:pPr>
            <w:r>
              <w:rPr>
                <w:rFonts w:ascii="Stone Sans II ITC Std Bk"/>
                <w:b/>
                <w:w w:val="111"/>
                <w:sz w:val="18"/>
              </w:rPr>
              <w:t>x</w:t>
            </w:r>
          </w:p>
        </w:tc>
        <w:tc>
          <w:tcPr>
            <w:tcW w:w="1412" w:type="dxa"/>
          </w:tcPr>
          <w:p>
            <w:pPr>
              <w:pStyle w:val="TableParagraph"/>
              <w:spacing w:before="4"/>
              <w:rPr>
                <w:sz w:val="20"/>
              </w:rPr>
            </w:pPr>
          </w:p>
          <w:p>
            <w:pPr>
              <w:pStyle w:val="TableParagraph"/>
              <w:ind w:left="652"/>
              <w:rPr>
                <w:rFonts w:ascii="Stone Sans II ITC Std Bk"/>
                <w:b/>
                <w:sz w:val="18"/>
              </w:rPr>
            </w:pPr>
            <w:r>
              <w:rPr>
                <w:rFonts w:ascii="Stone Sans II ITC Std Bk"/>
                <w:b/>
                <w:w w:val="111"/>
                <w:sz w:val="18"/>
              </w:rPr>
              <w:t>x</w:t>
            </w:r>
          </w:p>
        </w:tc>
      </w:tr>
      <w:tr>
        <w:trPr>
          <w:trHeight w:val="659" w:hRule="atLeast"/>
        </w:trPr>
        <w:tc>
          <w:tcPr>
            <w:tcW w:w="4389" w:type="dxa"/>
          </w:tcPr>
          <w:p>
            <w:pPr>
              <w:pStyle w:val="TableParagraph"/>
              <w:spacing w:line="261" w:lineRule="auto" w:before="139"/>
              <w:ind w:left="56"/>
              <w:rPr>
                <w:sz w:val="18"/>
              </w:rPr>
            </w:pPr>
            <w:r>
              <w:rPr>
                <w:w w:val="120"/>
                <w:sz w:val="18"/>
              </w:rPr>
              <w:t>Ministers, stipendiary/non-stipendiary and Church Related Community Workers</w:t>
            </w:r>
          </w:p>
        </w:tc>
        <w:tc>
          <w:tcPr>
            <w:tcW w:w="1427" w:type="dxa"/>
          </w:tcPr>
          <w:p>
            <w:pPr>
              <w:pStyle w:val="TableParagraph"/>
              <w:spacing w:line="261" w:lineRule="auto" w:before="139"/>
              <w:ind w:left="56"/>
              <w:rPr>
                <w:sz w:val="18"/>
              </w:rPr>
            </w:pPr>
            <w:r>
              <w:rPr>
                <w:w w:val="120"/>
                <w:sz w:val="18"/>
              </w:rPr>
              <w:t>Non-serving and Retired</w:t>
            </w:r>
          </w:p>
        </w:tc>
        <w:tc>
          <w:tcPr>
            <w:tcW w:w="718" w:type="dxa"/>
          </w:tcPr>
          <w:p>
            <w:pPr>
              <w:pStyle w:val="TableParagraph"/>
              <w:spacing w:before="4"/>
              <w:rPr>
                <w:sz w:val="20"/>
              </w:rPr>
            </w:pPr>
          </w:p>
          <w:p>
            <w:pPr>
              <w:pStyle w:val="TableParagraph"/>
              <w:ind w:left="8"/>
              <w:jc w:val="center"/>
              <w:rPr>
                <w:rFonts w:ascii="Stone Sans II ITC Std Bk"/>
                <w:b/>
                <w:sz w:val="18"/>
              </w:rPr>
            </w:pPr>
            <w:r>
              <w:rPr>
                <w:rFonts w:ascii="Stone Sans II ITC Std Bk"/>
                <w:b/>
                <w:w w:val="111"/>
                <w:sz w:val="18"/>
              </w:rPr>
              <w:t>x</w:t>
            </w:r>
          </w:p>
        </w:tc>
        <w:tc>
          <w:tcPr>
            <w:tcW w:w="831" w:type="dxa"/>
          </w:tcPr>
          <w:p>
            <w:pPr>
              <w:pStyle w:val="TableParagraph"/>
              <w:spacing w:before="4"/>
              <w:rPr>
                <w:sz w:val="20"/>
              </w:rPr>
            </w:pPr>
          </w:p>
          <w:p>
            <w:pPr>
              <w:pStyle w:val="TableParagraph"/>
              <w:ind w:left="9"/>
              <w:jc w:val="center"/>
              <w:rPr>
                <w:rFonts w:ascii="Stone Sans II ITC Std Bk"/>
                <w:b/>
                <w:sz w:val="18"/>
              </w:rPr>
            </w:pPr>
            <w:r>
              <w:rPr>
                <w:rFonts w:ascii="Stone Sans II ITC Std Bk"/>
                <w:b/>
                <w:w w:val="111"/>
                <w:sz w:val="18"/>
              </w:rPr>
              <w:t>x</w:t>
            </w:r>
          </w:p>
        </w:tc>
        <w:tc>
          <w:tcPr>
            <w:tcW w:w="1412" w:type="dxa"/>
          </w:tcPr>
          <w:p>
            <w:pPr>
              <w:pStyle w:val="TableParagraph"/>
              <w:spacing w:before="4"/>
              <w:rPr>
                <w:sz w:val="20"/>
              </w:rPr>
            </w:pPr>
          </w:p>
          <w:p>
            <w:pPr>
              <w:pStyle w:val="TableParagraph"/>
              <w:ind w:left="652"/>
              <w:rPr>
                <w:rFonts w:ascii="Stone Sans II ITC Std Bk"/>
                <w:b/>
                <w:sz w:val="18"/>
              </w:rPr>
            </w:pPr>
            <w:r>
              <w:rPr>
                <w:rFonts w:ascii="Stone Sans II ITC Std Bk"/>
                <w:b/>
                <w:w w:val="111"/>
                <w:sz w:val="18"/>
              </w:rPr>
              <w:t>x</w:t>
            </w:r>
          </w:p>
        </w:tc>
      </w:tr>
      <w:tr>
        <w:trPr>
          <w:trHeight w:val="659" w:hRule="atLeast"/>
        </w:trPr>
        <w:tc>
          <w:tcPr>
            <w:tcW w:w="5816" w:type="dxa"/>
            <w:gridSpan w:val="2"/>
          </w:tcPr>
          <w:p>
            <w:pPr>
              <w:pStyle w:val="TableParagraph"/>
              <w:spacing w:line="261" w:lineRule="auto" w:before="139"/>
              <w:ind w:left="56"/>
              <w:rPr>
                <w:sz w:val="18"/>
              </w:rPr>
            </w:pPr>
            <w:r>
              <w:rPr>
                <w:w w:val="120"/>
                <w:sz w:val="18"/>
              </w:rPr>
              <w:t>Ministers of other denominations employed by the United Reformed Church</w:t>
            </w:r>
          </w:p>
        </w:tc>
        <w:tc>
          <w:tcPr>
            <w:tcW w:w="718" w:type="dxa"/>
          </w:tcPr>
          <w:p>
            <w:pPr>
              <w:pStyle w:val="TableParagraph"/>
              <w:spacing w:before="4"/>
              <w:rPr>
                <w:sz w:val="20"/>
              </w:rPr>
            </w:pPr>
          </w:p>
          <w:p>
            <w:pPr>
              <w:pStyle w:val="TableParagraph"/>
              <w:ind w:left="8"/>
              <w:jc w:val="center"/>
              <w:rPr>
                <w:rFonts w:ascii="Stone Sans II ITC Std Bk"/>
                <w:b/>
                <w:sz w:val="18"/>
              </w:rPr>
            </w:pPr>
            <w:r>
              <w:rPr>
                <w:rFonts w:ascii="Stone Sans II ITC Std Bk"/>
                <w:b/>
                <w:w w:val="111"/>
                <w:sz w:val="18"/>
              </w:rPr>
              <w:t>x</w:t>
            </w:r>
          </w:p>
        </w:tc>
        <w:tc>
          <w:tcPr>
            <w:tcW w:w="831" w:type="dxa"/>
          </w:tcPr>
          <w:p>
            <w:pPr>
              <w:pStyle w:val="TableParagraph"/>
              <w:spacing w:before="4"/>
              <w:rPr>
                <w:sz w:val="20"/>
              </w:rPr>
            </w:pPr>
          </w:p>
          <w:p>
            <w:pPr>
              <w:pStyle w:val="TableParagraph"/>
              <w:ind w:left="9"/>
              <w:jc w:val="center"/>
              <w:rPr>
                <w:rFonts w:ascii="Stone Sans II ITC Std Bk"/>
                <w:b/>
                <w:sz w:val="18"/>
              </w:rPr>
            </w:pPr>
            <w:r>
              <w:rPr>
                <w:rFonts w:ascii="Stone Sans II ITC Std Bk"/>
                <w:b/>
                <w:w w:val="111"/>
                <w:sz w:val="18"/>
              </w:rPr>
              <w:t>x</w:t>
            </w:r>
          </w:p>
        </w:tc>
        <w:tc>
          <w:tcPr>
            <w:tcW w:w="1412" w:type="dxa"/>
          </w:tcPr>
          <w:p>
            <w:pPr>
              <w:pStyle w:val="TableParagraph"/>
              <w:spacing w:before="4"/>
              <w:rPr>
                <w:sz w:val="20"/>
              </w:rPr>
            </w:pPr>
          </w:p>
          <w:p>
            <w:pPr>
              <w:pStyle w:val="TableParagraph"/>
              <w:ind w:left="652"/>
              <w:rPr>
                <w:rFonts w:ascii="Stone Sans II ITC Std Bk"/>
                <w:b/>
                <w:sz w:val="18"/>
              </w:rPr>
            </w:pPr>
            <w:r>
              <w:rPr>
                <w:rFonts w:ascii="Stone Sans II ITC Std Bk"/>
                <w:b/>
                <w:w w:val="111"/>
                <w:sz w:val="18"/>
              </w:rPr>
              <w:t>x</w:t>
            </w:r>
          </w:p>
        </w:tc>
      </w:tr>
      <w:tr>
        <w:trPr>
          <w:trHeight w:val="419" w:hRule="atLeast"/>
        </w:trPr>
        <w:tc>
          <w:tcPr>
            <w:tcW w:w="5816" w:type="dxa"/>
            <w:gridSpan w:val="2"/>
          </w:tcPr>
          <w:p>
            <w:pPr>
              <w:pStyle w:val="TableParagraph"/>
              <w:spacing w:before="139"/>
              <w:ind w:left="56"/>
              <w:rPr>
                <w:sz w:val="18"/>
              </w:rPr>
            </w:pPr>
            <w:r>
              <w:rPr>
                <w:w w:val="120"/>
                <w:sz w:val="18"/>
              </w:rPr>
              <w:t>Others in Special Category Ministry Posts</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spacing w:before="128"/>
              <w:ind w:left="652"/>
              <w:rPr>
                <w:rFonts w:ascii="Stone Sans II ITC Std Bk"/>
                <w:b/>
                <w:sz w:val="18"/>
              </w:rPr>
            </w:pPr>
            <w:r>
              <w:rPr>
                <w:rFonts w:ascii="Stone Sans II ITC Std Bk"/>
                <w:b/>
                <w:w w:val="111"/>
                <w:sz w:val="18"/>
              </w:rPr>
              <w:t>x</w:t>
            </w:r>
          </w:p>
        </w:tc>
      </w:tr>
      <w:tr>
        <w:trPr>
          <w:trHeight w:val="419" w:hRule="atLeast"/>
        </w:trPr>
        <w:tc>
          <w:tcPr>
            <w:tcW w:w="5816" w:type="dxa"/>
            <w:gridSpan w:val="2"/>
          </w:tcPr>
          <w:p>
            <w:pPr>
              <w:pStyle w:val="TableParagraph"/>
              <w:spacing w:before="139"/>
              <w:ind w:left="56"/>
              <w:rPr>
                <w:sz w:val="18"/>
              </w:rPr>
            </w:pPr>
            <w:r>
              <w:rPr>
                <w:w w:val="125"/>
                <w:sz w:val="18"/>
              </w:rPr>
              <w:t>Ministers and CRCWs in training</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spacing w:before="128"/>
              <w:ind w:left="652"/>
              <w:rPr>
                <w:rFonts w:ascii="Stone Sans II ITC Std Bk"/>
                <w:b/>
                <w:sz w:val="18"/>
              </w:rPr>
            </w:pPr>
            <w:r>
              <w:rPr>
                <w:rFonts w:ascii="Stone Sans II ITC Std Bk"/>
                <w:b/>
                <w:w w:val="111"/>
                <w:sz w:val="18"/>
              </w:rPr>
              <w:t>x</w:t>
            </w:r>
          </w:p>
        </w:tc>
      </w:tr>
      <w:tr>
        <w:trPr>
          <w:trHeight w:val="419" w:hRule="atLeast"/>
        </w:trPr>
        <w:tc>
          <w:tcPr>
            <w:tcW w:w="5816" w:type="dxa"/>
            <w:gridSpan w:val="2"/>
          </w:tcPr>
          <w:p>
            <w:pPr>
              <w:pStyle w:val="TableParagraph"/>
              <w:spacing w:before="139"/>
              <w:ind w:left="56"/>
              <w:rPr>
                <w:sz w:val="18"/>
              </w:rPr>
            </w:pPr>
            <w:r>
              <w:rPr>
                <w:w w:val="120"/>
                <w:sz w:val="18"/>
              </w:rPr>
              <w:t>URC Assembly Accredited Lay Preachers</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spacing w:before="128"/>
              <w:ind w:left="652"/>
              <w:rPr>
                <w:rFonts w:ascii="Stone Sans II ITC Std Bk"/>
                <w:b/>
                <w:sz w:val="18"/>
              </w:rPr>
            </w:pPr>
            <w:r>
              <w:rPr>
                <w:rFonts w:ascii="Stone Sans II ITC Std Bk"/>
                <w:b/>
                <w:w w:val="111"/>
                <w:sz w:val="18"/>
              </w:rPr>
              <w:t>x</w:t>
            </w:r>
          </w:p>
        </w:tc>
      </w:tr>
      <w:tr>
        <w:trPr>
          <w:trHeight w:val="659" w:hRule="atLeast"/>
        </w:trPr>
        <w:tc>
          <w:tcPr>
            <w:tcW w:w="5816" w:type="dxa"/>
            <w:gridSpan w:val="2"/>
          </w:tcPr>
          <w:p>
            <w:pPr>
              <w:pStyle w:val="TableParagraph"/>
              <w:spacing w:line="261" w:lineRule="auto" w:before="139"/>
              <w:ind w:left="56"/>
              <w:rPr>
                <w:sz w:val="18"/>
              </w:rPr>
            </w:pPr>
            <w:r>
              <w:rPr>
                <w:w w:val="120"/>
                <w:sz w:val="18"/>
              </w:rPr>
              <w:t>Senior Assembly Appointed Staff and Relevant Church House Support Staff</w:t>
            </w:r>
          </w:p>
        </w:tc>
        <w:tc>
          <w:tcPr>
            <w:tcW w:w="718" w:type="dxa"/>
          </w:tcPr>
          <w:p>
            <w:pPr>
              <w:pStyle w:val="TableParagraph"/>
              <w:spacing w:before="4"/>
              <w:rPr>
                <w:sz w:val="20"/>
              </w:rPr>
            </w:pPr>
          </w:p>
          <w:p>
            <w:pPr>
              <w:pStyle w:val="TableParagraph"/>
              <w:ind w:left="8"/>
              <w:jc w:val="center"/>
              <w:rPr>
                <w:rFonts w:ascii="Stone Sans II ITC Std Bk"/>
                <w:b/>
                <w:sz w:val="18"/>
              </w:rPr>
            </w:pPr>
            <w:r>
              <w:rPr>
                <w:rFonts w:ascii="Stone Sans II ITC Std Bk"/>
                <w:b/>
                <w:w w:val="111"/>
                <w:sz w:val="18"/>
              </w:rPr>
              <w:t>x</w:t>
            </w:r>
          </w:p>
        </w:tc>
        <w:tc>
          <w:tcPr>
            <w:tcW w:w="831" w:type="dxa"/>
          </w:tcPr>
          <w:p>
            <w:pPr>
              <w:pStyle w:val="TableParagraph"/>
              <w:spacing w:before="4"/>
              <w:rPr>
                <w:sz w:val="20"/>
              </w:rPr>
            </w:pPr>
          </w:p>
          <w:p>
            <w:pPr>
              <w:pStyle w:val="TableParagraph"/>
              <w:ind w:left="9"/>
              <w:jc w:val="center"/>
              <w:rPr>
                <w:rFonts w:ascii="Stone Sans II ITC Std Bk"/>
                <w:b/>
                <w:sz w:val="18"/>
              </w:rPr>
            </w:pPr>
            <w:r>
              <w:rPr>
                <w:rFonts w:ascii="Stone Sans II ITC Std Bk"/>
                <w:b/>
                <w:w w:val="111"/>
                <w:sz w:val="18"/>
              </w:rPr>
              <w:t>x</w:t>
            </w:r>
          </w:p>
        </w:tc>
        <w:tc>
          <w:tcPr>
            <w:tcW w:w="1412" w:type="dxa"/>
          </w:tcPr>
          <w:p>
            <w:pPr>
              <w:pStyle w:val="TableParagraph"/>
              <w:spacing w:before="4"/>
              <w:rPr>
                <w:sz w:val="20"/>
              </w:rPr>
            </w:pPr>
          </w:p>
          <w:p>
            <w:pPr>
              <w:pStyle w:val="TableParagraph"/>
              <w:ind w:left="652"/>
              <w:rPr>
                <w:rFonts w:ascii="Stone Sans II ITC Std Bk"/>
                <w:b/>
                <w:sz w:val="18"/>
              </w:rPr>
            </w:pPr>
            <w:r>
              <w:rPr>
                <w:rFonts w:ascii="Stone Sans II ITC Std Bk"/>
                <w:b/>
                <w:w w:val="111"/>
                <w:sz w:val="18"/>
              </w:rPr>
              <w:t>x</w:t>
            </w:r>
          </w:p>
        </w:tc>
      </w:tr>
      <w:tr>
        <w:trPr>
          <w:trHeight w:val="659" w:hRule="atLeast"/>
        </w:trPr>
        <w:tc>
          <w:tcPr>
            <w:tcW w:w="5816" w:type="dxa"/>
            <w:gridSpan w:val="2"/>
          </w:tcPr>
          <w:p>
            <w:pPr>
              <w:pStyle w:val="TableParagraph"/>
              <w:spacing w:line="261" w:lineRule="auto" w:before="139"/>
              <w:ind w:left="56"/>
              <w:rPr>
                <w:sz w:val="18"/>
              </w:rPr>
            </w:pPr>
            <w:r>
              <w:rPr>
                <w:w w:val="120"/>
                <w:sz w:val="18"/>
              </w:rPr>
              <w:t>Synod recognised Lay Pastors / Local Leaders / Interim Moderators / Interim Ministers</w:t>
            </w:r>
          </w:p>
        </w:tc>
        <w:tc>
          <w:tcPr>
            <w:tcW w:w="718" w:type="dxa"/>
          </w:tcPr>
          <w:p>
            <w:pPr>
              <w:pStyle w:val="TableParagraph"/>
              <w:spacing w:before="3"/>
              <w:rPr>
                <w:sz w:val="20"/>
              </w:rPr>
            </w:pPr>
          </w:p>
          <w:p>
            <w:pPr>
              <w:pStyle w:val="TableParagraph"/>
              <w:spacing w:before="1"/>
              <w:ind w:left="8"/>
              <w:jc w:val="center"/>
              <w:rPr>
                <w:rFonts w:ascii="Stone Sans II ITC Std Bk"/>
                <w:b/>
                <w:sz w:val="18"/>
              </w:rPr>
            </w:pPr>
            <w:r>
              <w:rPr>
                <w:rFonts w:ascii="Stone Sans II ITC Std Bk"/>
                <w:b/>
                <w:w w:val="111"/>
                <w:sz w:val="18"/>
              </w:rPr>
              <w:t>x</w:t>
            </w:r>
          </w:p>
        </w:tc>
        <w:tc>
          <w:tcPr>
            <w:tcW w:w="831" w:type="dxa"/>
          </w:tcPr>
          <w:p>
            <w:pPr>
              <w:pStyle w:val="TableParagraph"/>
              <w:spacing w:before="3"/>
              <w:rPr>
                <w:sz w:val="20"/>
              </w:rPr>
            </w:pPr>
          </w:p>
          <w:p>
            <w:pPr>
              <w:pStyle w:val="TableParagraph"/>
              <w:spacing w:before="1"/>
              <w:ind w:left="9"/>
              <w:jc w:val="center"/>
              <w:rPr>
                <w:rFonts w:ascii="Stone Sans II ITC Std Bk"/>
                <w:b/>
                <w:sz w:val="18"/>
              </w:rPr>
            </w:pPr>
            <w:r>
              <w:rPr>
                <w:rFonts w:ascii="Stone Sans II ITC Std Bk"/>
                <w:b/>
                <w:w w:val="111"/>
                <w:sz w:val="18"/>
              </w:rPr>
              <w:t>x</w:t>
            </w:r>
          </w:p>
        </w:tc>
        <w:tc>
          <w:tcPr>
            <w:tcW w:w="1412" w:type="dxa"/>
          </w:tcPr>
          <w:p>
            <w:pPr>
              <w:pStyle w:val="TableParagraph"/>
              <w:spacing w:before="3"/>
              <w:rPr>
                <w:sz w:val="20"/>
              </w:rPr>
            </w:pPr>
          </w:p>
          <w:p>
            <w:pPr>
              <w:pStyle w:val="TableParagraph"/>
              <w:spacing w:before="1"/>
              <w:ind w:left="652"/>
              <w:rPr>
                <w:rFonts w:ascii="Stone Sans II ITC Std Bk"/>
                <w:b/>
                <w:sz w:val="18"/>
              </w:rPr>
            </w:pPr>
            <w:r>
              <w:rPr>
                <w:rFonts w:ascii="Stone Sans II ITC Std Bk"/>
                <w:b/>
                <w:w w:val="111"/>
                <w:sz w:val="18"/>
              </w:rPr>
              <w:t>x</w:t>
            </w:r>
          </w:p>
        </w:tc>
      </w:tr>
      <w:tr>
        <w:trPr>
          <w:trHeight w:val="419" w:hRule="atLeast"/>
        </w:trPr>
        <w:tc>
          <w:tcPr>
            <w:tcW w:w="5816" w:type="dxa"/>
            <w:gridSpan w:val="2"/>
          </w:tcPr>
          <w:p>
            <w:pPr>
              <w:pStyle w:val="TableParagraph"/>
              <w:spacing w:before="139"/>
              <w:ind w:left="56"/>
              <w:rPr>
                <w:sz w:val="18"/>
              </w:rPr>
            </w:pPr>
            <w:r>
              <w:rPr>
                <w:w w:val="120"/>
                <w:sz w:val="18"/>
              </w:rPr>
              <w:t>United Reformed Church Trustees</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spacing w:before="128"/>
              <w:ind w:left="652"/>
              <w:rPr>
                <w:rFonts w:ascii="Stone Sans II ITC Std Bk"/>
                <w:b/>
                <w:sz w:val="18"/>
              </w:rPr>
            </w:pPr>
            <w:r>
              <w:rPr>
                <w:rFonts w:ascii="Stone Sans II ITC Std Bk"/>
                <w:b/>
                <w:w w:val="111"/>
                <w:sz w:val="18"/>
              </w:rPr>
              <w:t>x</w:t>
            </w:r>
          </w:p>
        </w:tc>
      </w:tr>
      <w:tr>
        <w:trPr>
          <w:trHeight w:val="419" w:hRule="atLeast"/>
        </w:trPr>
        <w:tc>
          <w:tcPr>
            <w:tcW w:w="5816" w:type="dxa"/>
            <w:gridSpan w:val="2"/>
          </w:tcPr>
          <w:p>
            <w:pPr>
              <w:pStyle w:val="TableParagraph"/>
              <w:spacing w:before="139"/>
              <w:ind w:left="56"/>
              <w:rPr>
                <w:sz w:val="18"/>
              </w:rPr>
            </w:pPr>
            <w:r>
              <w:rPr>
                <w:w w:val="125"/>
                <w:sz w:val="18"/>
              </w:rPr>
              <w:t>Children and Young People’s Workers</w:t>
            </w:r>
          </w:p>
        </w:tc>
        <w:tc>
          <w:tcPr>
            <w:tcW w:w="718" w:type="dxa"/>
          </w:tcPr>
          <w:p>
            <w:pPr>
              <w:pStyle w:val="TableParagraph"/>
              <w:rPr>
                <w:rFonts w:ascii="Times New Roman"/>
                <w:sz w:val="20"/>
              </w:rPr>
            </w:pP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spacing w:before="128"/>
              <w:ind w:left="689"/>
              <w:rPr>
                <w:rFonts w:ascii="Stone Sans II ITC Std Bk"/>
                <w:b/>
                <w:sz w:val="18"/>
              </w:rPr>
            </w:pPr>
            <w:r>
              <w:rPr>
                <w:rFonts w:ascii="Stone Sans II ITC Std Bk"/>
                <w:b/>
                <w:w w:val="111"/>
                <w:sz w:val="18"/>
              </w:rPr>
              <w:t>x</w:t>
            </w:r>
          </w:p>
        </w:tc>
      </w:tr>
      <w:tr>
        <w:trPr>
          <w:trHeight w:val="659" w:hRule="atLeast"/>
        </w:trPr>
        <w:tc>
          <w:tcPr>
            <w:tcW w:w="5816" w:type="dxa"/>
            <w:gridSpan w:val="2"/>
          </w:tcPr>
          <w:p>
            <w:pPr>
              <w:pStyle w:val="TableParagraph"/>
              <w:spacing w:line="261" w:lineRule="auto" w:before="139"/>
              <w:ind w:left="56" w:right="154"/>
              <w:rPr>
                <w:sz w:val="18"/>
              </w:rPr>
            </w:pPr>
            <w:r>
              <w:rPr>
                <w:w w:val="120"/>
                <w:sz w:val="18"/>
              </w:rPr>
              <w:t>TLS Students studying the ‘Gateways into Worship’ or ‘Gateways into Care’ courses</w:t>
            </w:r>
          </w:p>
        </w:tc>
        <w:tc>
          <w:tcPr>
            <w:tcW w:w="718" w:type="dxa"/>
          </w:tcPr>
          <w:p>
            <w:pPr>
              <w:pStyle w:val="TableParagraph"/>
              <w:spacing w:before="3"/>
              <w:rPr>
                <w:sz w:val="20"/>
              </w:rPr>
            </w:pPr>
          </w:p>
          <w:p>
            <w:pPr>
              <w:pStyle w:val="TableParagraph"/>
              <w:spacing w:before="1"/>
              <w:ind w:left="8"/>
              <w:jc w:val="center"/>
              <w:rPr>
                <w:rFonts w:ascii="Stone Sans II ITC Std Bk"/>
                <w:b/>
                <w:sz w:val="18"/>
              </w:rPr>
            </w:pPr>
            <w:r>
              <w:rPr>
                <w:rFonts w:ascii="Stone Sans II ITC Std Bk"/>
                <w:b/>
                <w:w w:val="111"/>
                <w:sz w:val="18"/>
              </w:rPr>
              <w:t>x</w:t>
            </w:r>
          </w:p>
        </w:tc>
        <w:tc>
          <w:tcPr>
            <w:tcW w:w="831" w:type="dxa"/>
          </w:tcPr>
          <w:p>
            <w:pPr>
              <w:pStyle w:val="TableParagraph"/>
              <w:spacing w:before="3"/>
              <w:rPr>
                <w:sz w:val="20"/>
              </w:rPr>
            </w:pPr>
          </w:p>
          <w:p>
            <w:pPr>
              <w:pStyle w:val="TableParagraph"/>
              <w:spacing w:before="1"/>
              <w:ind w:left="9"/>
              <w:jc w:val="center"/>
              <w:rPr>
                <w:rFonts w:ascii="Stone Sans II ITC Std Bk"/>
                <w:b/>
                <w:sz w:val="18"/>
              </w:rPr>
            </w:pPr>
            <w:r>
              <w:rPr>
                <w:rFonts w:ascii="Stone Sans II ITC Std Bk"/>
                <w:b/>
                <w:w w:val="111"/>
                <w:sz w:val="18"/>
              </w:rPr>
              <w:t>x</w:t>
            </w:r>
          </w:p>
        </w:tc>
        <w:tc>
          <w:tcPr>
            <w:tcW w:w="1412" w:type="dxa"/>
          </w:tcPr>
          <w:p>
            <w:pPr>
              <w:pStyle w:val="TableParagraph"/>
              <w:rPr>
                <w:rFonts w:ascii="Times New Roman"/>
                <w:sz w:val="20"/>
              </w:rPr>
            </w:pPr>
          </w:p>
        </w:tc>
      </w:tr>
      <w:tr>
        <w:trPr>
          <w:trHeight w:val="419" w:hRule="atLeast"/>
        </w:trPr>
        <w:tc>
          <w:tcPr>
            <w:tcW w:w="5816" w:type="dxa"/>
            <w:gridSpan w:val="2"/>
          </w:tcPr>
          <w:p>
            <w:pPr>
              <w:pStyle w:val="TableParagraph"/>
              <w:spacing w:before="139"/>
              <w:ind w:left="56"/>
              <w:rPr>
                <w:sz w:val="18"/>
              </w:rPr>
            </w:pPr>
            <w:r>
              <w:rPr>
                <w:w w:val="120"/>
                <w:sz w:val="18"/>
              </w:rPr>
              <w:t>Safe Church Advisers</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rPr>
                <w:rFonts w:ascii="Times New Roman"/>
                <w:sz w:val="20"/>
              </w:rPr>
            </w:pPr>
          </w:p>
        </w:tc>
      </w:tr>
      <w:tr>
        <w:trPr>
          <w:trHeight w:val="419" w:hRule="atLeast"/>
        </w:trPr>
        <w:tc>
          <w:tcPr>
            <w:tcW w:w="5816" w:type="dxa"/>
            <w:gridSpan w:val="2"/>
          </w:tcPr>
          <w:p>
            <w:pPr>
              <w:pStyle w:val="TableParagraph"/>
              <w:spacing w:before="139"/>
              <w:ind w:left="56"/>
              <w:rPr>
                <w:sz w:val="18"/>
              </w:rPr>
            </w:pPr>
            <w:r>
              <w:rPr>
                <w:w w:val="120"/>
                <w:sz w:val="18"/>
              </w:rPr>
              <w:t>Pastoral Response Team members</w:t>
            </w:r>
          </w:p>
        </w:tc>
        <w:tc>
          <w:tcPr>
            <w:tcW w:w="718" w:type="dxa"/>
          </w:tcPr>
          <w:p>
            <w:pPr>
              <w:pStyle w:val="TableParagraph"/>
              <w:spacing w:before="128"/>
              <w:ind w:left="8"/>
              <w:jc w:val="center"/>
              <w:rPr>
                <w:rFonts w:ascii="Stone Sans II ITC Std Bk"/>
                <w:b/>
                <w:sz w:val="18"/>
              </w:rPr>
            </w:pPr>
            <w:r>
              <w:rPr>
                <w:rFonts w:ascii="Stone Sans II ITC Std Bk"/>
                <w:b/>
                <w:w w:val="111"/>
                <w:sz w:val="18"/>
              </w:rPr>
              <w:t>x</w:t>
            </w:r>
          </w:p>
        </w:tc>
        <w:tc>
          <w:tcPr>
            <w:tcW w:w="831" w:type="dxa"/>
          </w:tcPr>
          <w:p>
            <w:pPr>
              <w:pStyle w:val="TableParagraph"/>
              <w:spacing w:before="128"/>
              <w:ind w:left="9"/>
              <w:jc w:val="center"/>
              <w:rPr>
                <w:rFonts w:ascii="Stone Sans II ITC Std Bk"/>
                <w:b/>
                <w:sz w:val="18"/>
              </w:rPr>
            </w:pPr>
            <w:r>
              <w:rPr>
                <w:rFonts w:ascii="Stone Sans II ITC Std Bk"/>
                <w:b/>
                <w:w w:val="111"/>
                <w:sz w:val="18"/>
              </w:rPr>
              <w:t>x</w:t>
            </w:r>
          </w:p>
        </w:tc>
        <w:tc>
          <w:tcPr>
            <w:tcW w:w="1412" w:type="dxa"/>
          </w:tcPr>
          <w:p>
            <w:pPr>
              <w:pStyle w:val="TableParagraph"/>
              <w:rPr>
                <w:rFonts w:ascii="Times New Roman"/>
                <w:sz w:val="20"/>
              </w:rPr>
            </w:pPr>
          </w:p>
        </w:tc>
      </w:tr>
    </w:tbl>
    <w:p>
      <w:pPr>
        <w:spacing w:after="0"/>
        <w:rPr>
          <w:rFonts w:ascii="Times New Roman"/>
          <w:sz w:val="20"/>
        </w:rPr>
        <w:sectPr>
          <w:pgSz w:w="11910" w:h="16840"/>
          <w:pgMar w:header="0" w:footer="647" w:top="1060" w:bottom="840" w:left="0" w:right="0"/>
        </w:sectPr>
      </w:pPr>
    </w:p>
    <w:p>
      <w:pPr>
        <w:pStyle w:val="BodyText"/>
      </w:pPr>
      <w:r>
        <w:rPr/>
        <w:pict>
          <v:group style="position:absolute;margin-left:56.692902pt;margin-top:72.880508pt;width:463.7pt;height:82.15pt;mso-position-horizontal-relative:page;mso-position-vertical-relative:page;z-index:252394496" coordorigin="1134,1458" coordsize="9274,1643">
            <v:line style="position:absolute" from="1134,1518" to="6769,1518" stroked="true" strokeweight="6pt" strokecolor="#d9d9d8">
              <v:stroke dashstyle="solid"/>
            </v:line>
            <v:line style="position:absolute" from="6769,1518" to="10407,1518" stroked="true" strokeweight="6pt" strokecolor="#d9d9d8">
              <v:stroke dashstyle="solid"/>
            </v:line>
            <v:line style="position:absolute" from="6769,2981" to="6769,1578" stroked="true" strokeweight="6pt" strokecolor="#d9d9d8">
              <v:stroke dashstyle="solid"/>
            </v:line>
            <v:line style="position:absolute" from="10347,2981" to="10347,1578" stroked="true" strokeweight="6pt" strokecolor="#d9d9d8">
              <v:stroke dashstyle="solid"/>
            </v:line>
            <v:line style="position:absolute" from="1134,3041" to="6769,3041" stroked="true" strokeweight="6pt" strokecolor="#d9d9d8">
              <v:stroke dashstyle="solid"/>
            </v:line>
            <v:line style="position:absolute" from="6769,3041" to="10407,3041" stroked="true" strokeweight="6pt" strokecolor="#d9d9d8">
              <v:stroke dashstyle="solid"/>
            </v:line>
            <v:shape style="position:absolute;left:6927;top:1751;width:3262;height:1000" type="#_x0000_t75" stroked="false">
              <v:imagedata r:id="rId580" o:title=""/>
            </v:shape>
            <v:shape style="position:absolute;left:1193;top:1517;width:5576;height:1523" type="#_x0000_t202" filled="false" stroked="true" strokeweight="6pt" strokecolor="#d9d9d8">
              <v:textbox inset="0,0,0,0">
                <w:txbxContent>
                  <w:p>
                    <w:pPr>
                      <w:spacing w:before="290"/>
                      <w:ind w:left="132" w:right="0" w:firstLine="0"/>
                      <w:jc w:val="left"/>
                      <w:rPr>
                        <w:rFonts w:ascii="Stone Sans II ITC Std Bk" w:hAnsi="Stone Sans II ITC Std Bk"/>
                        <w:b/>
                        <w:sz w:val="29"/>
                      </w:rPr>
                    </w:pPr>
                    <w:r>
                      <w:rPr>
                        <w:rFonts w:ascii="Stone Sans II ITC Std Bk" w:hAnsi="Stone Sans II ITC Std Bk"/>
                        <w:b/>
                        <w:color w:val="C20D19"/>
                        <w:w w:val="110"/>
                        <w:sz w:val="29"/>
                      </w:rPr>
                      <w:t>Definition of ‘Regulated Activity’</w:t>
                    </w:r>
                  </w:p>
                </w:txbxContent>
              </v:textbox>
              <v:stroke dashstyle="solid"/>
              <w10:wrap type="none"/>
            </v:shape>
            <w10:wrap type="none"/>
          </v:group>
        </w:pict>
      </w:r>
    </w:p>
    <w:p>
      <w:pPr>
        <w:pStyle w:val="BodyText"/>
      </w:pPr>
    </w:p>
    <w:p>
      <w:pPr>
        <w:pStyle w:val="BodyText"/>
      </w:pPr>
    </w:p>
    <w:p>
      <w:pPr>
        <w:pStyle w:val="BodyText"/>
      </w:pPr>
    </w:p>
    <w:p>
      <w:pPr>
        <w:pStyle w:val="BodyText"/>
      </w:pPr>
    </w:p>
    <w:p>
      <w:pPr>
        <w:pStyle w:val="BodyText"/>
        <w:spacing w:before="8"/>
        <w:rPr>
          <w:sz w:val="17"/>
        </w:rPr>
      </w:pPr>
    </w:p>
    <w:p>
      <w:pPr>
        <w:spacing w:before="93"/>
        <w:ind w:left="1641" w:right="0" w:firstLine="0"/>
        <w:jc w:val="left"/>
        <w:rPr>
          <w:rFonts w:ascii="Stone Sans II ITC Std Bk"/>
          <w:b/>
          <w:sz w:val="28"/>
        </w:rPr>
      </w:pPr>
      <w:r>
        <w:rPr>
          <w:rFonts w:ascii="Stone Sans II ITC Std Bk"/>
          <w:b/>
          <w:sz w:val="28"/>
        </w:rPr>
        <w:t>Involves contact with children or vulnerable adults and is:</w:t>
      </w:r>
    </w:p>
    <w:tbl>
      <w:tblPr>
        <w:tblW w:w="0" w:type="auto"/>
        <w:jc w:val="left"/>
        <w:tblInd w:w="1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474"/>
        <w:gridCol w:w="4143"/>
      </w:tblGrid>
      <w:tr>
        <w:trPr>
          <w:trHeight w:val="1460" w:hRule="atLeast"/>
        </w:trPr>
        <w:tc>
          <w:tcPr>
            <w:tcW w:w="4474" w:type="dxa"/>
          </w:tcPr>
          <w:p>
            <w:pPr>
              <w:pStyle w:val="TableParagraph"/>
              <w:spacing w:line="321" w:lineRule="exact" w:before="125"/>
              <w:ind w:left="113"/>
              <w:rPr>
                <w:rFonts w:ascii="Stone Sans II ITC Std Bk"/>
                <w:b/>
                <w:sz w:val="25"/>
              </w:rPr>
            </w:pPr>
            <w:r>
              <w:rPr>
                <w:rFonts w:ascii="Stone Sans II ITC Std Bk"/>
                <w:b/>
                <w:color w:val="C20D19"/>
                <w:w w:val="110"/>
                <w:sz w:val="25"/>
              </w:rPr>
              <w:t>of a specified</w:t>
            </w:r>
            <w:r>
              <w:rPr>
                <w:rFonts w:ascii="Stone Sans II ITC Std Bk"/>
                <w:b/>
                <w:color w:val="C20D19"/>
                <w:spacing w:val="45"/>
                <w:w w:val="110"/>
                <w:sz w:val="25"/>
              </w:rPr>
              <w:t> </w:t>
            </w:r>
            <w:r>
              <w:rPr>
                <w:rFonts w:ascii="Stone Sans II ITC Std Bk"/>
                <w:b/>
                <w:color w:val="C20D19"/>
                <w:spacing w:val="-3"/>
                <w:w w:val="110"/>
                <w:sz w:val="25"/>
              </w:rPr>
              <w:t>nature</w:t>
            </w:r>
          </w:p>
          <w:p>
            <w:pPr>
              <w:pStyle w:val="TableParagraph"/>
              <w:spacing w:line="225" w:lineRule="exact"/>
              <w:ind w:left="113"/>
              <w:rPr>
                <w:sz w:val="20"/>
              </w:rPr>
            </w:pPr>
            <w:r>
              <w:rPr>
                <w:w w:val="125"/>
                <w:sz w:val="20"/>
              </w:rPr>
              <w:t>e.g.</w:t>
            </w:r>
            <w:r>
              <w:rPr>
                <w:spacing w:val="-19"/>
                <w:w w:val="125"/>
                <w:sz w:val="20"/>
              </w:rPr>
              <w:t> </w:t>
            </w:r>
            <w:r>
              <w:rPr>
                <w:w w:val="125"/>
                <w:sz w:val="20"/>
              </w:rPr>
              <w:t>teaching,</w:t>
            </w:r>
            <w:r>
              <w:rPr>
                <w:spacing w:val="-18"/>
                <w:w w:val="125"/>
                <w:sz w:val="20"/>
              </w:rPr>
              <w:t> </w:t>
            </w:r>
            <w:r>
              <w:rPr>
                <w:w w:val="125"/>
                <w:sz w:val="20"/>
              </w:rPr>
              <w:t>training,</w:t>
            </w:r>
            <w:r>
              <w:rPr>
                <w:spacing w:val="-18"/>
                <w:w w:val="125"/>
                <w:sz w:val="20"/>
              </w:rPr>
              <w:t> </w:t>
            </w:r>
            <w:r>
              <w:rPr>
                <w:w w:val="125"/>
                <w:sz w:val="20"/>
              </w:rPr>
              <w:t>care,</w:t>
            </w:r>
          </w:p>
          <w:p>
            <w:pPr>
              <w:pStyle w:val="TableParagraph"/>
              <w:spacing w:line="235" w:lineRule="auto" w:before="1"/>
              <w:ind w:left="113"/>
              <w:rPr>
                <w:sz w:val="20"/>
              </w:rPr>
            </w:pPr>
            <w:r>
              <w:rPr>
                <w:w w:val="120"/>
                <w:sz w:val="20"/>
              </w:rPr>
              <w:t>supervision, advice, guidance, assistance, treatment, or transport</w:t>
            </w:r>
          </w:p>
          <w:p>
            <w:pPr>
              <w:pStyle w:val="TableParagraph"/>
              <w:spacing w:line="272" w:lineRule="exact"/>
              <w:ind w:left="113"/>
              <w:rPr>
                <w:rFonts w:ascii="Stone Sans II ITC Std Bk"/>
                <w:b/>
                <w:i/>
                <w:sz w:val="25"/>
              </w:rPr>
            </w:pPr>
            <w:r>
              <w:rPr>
                <w:rFonts w:ascii="Stone Sans II ITC Std Bk"/>
                <w:b/>
                <w:i/>
                <w:color w:val="C20D19"/>
                <w:w w:val="110"/>
                <w:sz w:val="25"/>
              </w:rPr>
              <w:t>or</w:t>
            </w:r>
          </w:p>
        </w:tc>
        <w:tc>
          <w:tcPr>
            <w:tcW w:w="4143" w:type="dxa"/>
            <w:vMerge w:val="restart"/>
          </w:tcPr>
          <w:p>
            <w:pPr>
              <w:pStyle w:val="TableParagraph"/>
              <w:spacing w:line="170" w:lineRule="auto" w:before="198"/>
              <w:ind w:left="113" w:right="868"/>
              <w:rPr>
                <w:rFonts w:ascii="Stone Sans II ITC Std Bk" w:hAnsi="Stone Sans II ITC Std Bk"/>
                <w:b/>
                <w:sz w:val="25"/>
              </w:rPr>
            </w:pPr>
            <w:r>
              <w:rPr>
                <w:rFonts w:ascii="Stone Sans II ITC Std Bk" w:hAnsi="Stone Sans II ITC Std Bk"/>
                <w:b/>
                <w:color w:val="1E5EA6"/>
                <w:w w:val="110"/>
                <w:sz w:val="25"/>
              </w:rPr>
              <w:t>“frequently, intensively and/or overnight”</w:t>
            </w:r>
          </w:p>
          <w:p>
            <w:pPr>
              <w:pStyle w:val="TableParagraph"/>
              <w:numPr>
                <w:ilvl w:val="0"/>
                <w:numId w:val="201"/>
              </w:numPr>
              <w:tabs>
                <w:tab w:pos="642" w:val="left" w:leader="none"/>
                <w:tab w:pos="644" w:val="left" w:leader="none"/>
              </w:tabs>
              <w:spacing w:line="240" w:lineRule="auto" w:before="230" w:after="0"/>
              <w:ind w:left="643" w:right="0" w:hanging="418"/>
              <w:jc w:val="left"/>
              <w:rPr>
                <w:sz w:val="20"/>
              </w:rPr>
            </w:pPr>
            <w:r>
              <w:rPr>
                <w:w w:val="120"/>
                <w:sz w:val="20"/>
              </w:rPr>
              <w:t>once a</w:t>
            </w:r>
            <w:r>
              <w:rPr>
                <w:spacing w:val="3"/>
                <w:w w:val="120"/>
                <w:sz w:val="20"/>
              </w:rPr>
              <w:t> </w:t>
            </w:r>
            <w:r>
              <w:rPr>
                <w:w w:val="120"/>
                <w:sz w:val="20"/>
              </w:rPr>
              <w:t>week</w:t>
            </w:r>
          </w:p>
          <w:p>
            <w:pPr>
              <w:pStyle w:val="TableParagraph"/>
              <w:spacing w:before="10"/>
              <w:rPr>
                <w:rFonts w:ascii="Stone Sans II ITC Std Bk"/>
                <w:b/>
                <w:sz w:val="17"/>
              </w:rPr>
            </w:pPr>
          </w:p>
          <w:p>
            <w:pPr>
              <w:pStyle w:val="TableParagraph"/>
              <w:numPr>
                <w:ilvl w:val="0"/>
                <w:numId w:val="201"/>
              </w:numPr>
              <w:tabs>
                <w:tab w:pos="642" w:val="left" w:leader="none"/>
                <w:tab w:pos="644" w:val="left" w:leader="none"/>
              </w:tabs>
              <w:spacing w:line="235" w:lineRule="auto" w:before="0" w:after="0"/>
              <w:ind w:left="623" w:right="1110" w:hanging="398"/>
              <w:jc w:val="left"/>
              <w:rPr>
                <w:sz w:val="20"/>
              </w:rPr>
            </w:pPr>
            <w:r>
              <w:rPr>
                <w:w w:val="120"/>
                <w:sz w:val="20"/>
              </w:rPr>
              <w:t>4 or more occasions in a period of 30</w:t>
            </w:r>
            <w:r>
              <w:rPr>
                <w:spacing w:val="10"/>
                <w:w w:val="120"/>
                <w:sz w:val="20"/>
              </w:rPr>
              <w:t> </w:t>
            </w:r>
            <w:r>
              <w:rPr>
                <w:w w:val="120"/>
                <w:sz w:val="20"/>
              </w:rPr>
              <w:t>days</w:t>
            </w:r>
          </w:p>
          <w:p>
            <w:pPr>
              <w:pStyle w:val="TableParagraph"/>
              <w:spacing w:before="7"/>
              <w:rPr>
                <w:rFonts w:ascii="Stone Sans II ITC Std Bk"/>
                <w:b/>
                <w:sz w:val="17"/>
              </w:rPr>
            </w:pPr>
          </w:p>
          <w:p>
            <w:pPr>
              <w:pStyle w:val="TableParagraph"/>
              <w:numPr>
                <w:ilvl w:val="0"/>
                <w:numId w:val="201"/>
              </w:numPr>
              <w:tabs>
                <w:tab w:pos="642" w:val="left" w:leader="none"/>
                <w:tab w:pos="644" w:val="left" w:leader="none"/>
              </w:tabs>
              <w:spacing w:line="240" w:lineRule="auto" w:before="1" w:after="0"/>
              <w:ind w:left="643" w:right="0" w:hanging="418"/>
              <w:jc w:val="left"/>
              <w:rPr>
                <w:sz w:val="20"/>
              </w:rPr>
            </w:pPr>
            <w:r>
              <w:rPr>
                <w:w w:val="120"/>
                <w:sz w:val="20"/>
              </w:rPr>
              <w:t>Overnight: between 2 -</w:t>
            </w:r>
            <w:r>
              <w:rPr>
                <w:spacing w:val="20"/>
                <w:w w:val="120"/>
                <w:sz w:val="20"/>
              </w:rPr>
              <w:t> </w:t>
            </w:r>
            <w:r>
              <w:rPr>
                <w:w w:val="120"/>
                <w:sz w:val="20"/>
              </w:rPr>
              <w:t>6am</w:t>
            </w:r>
          </w:p>
        </w:tc>
      </w:tr>
      <w:tr>
        <w:trPr>
          <w:trHeight w:val="1220" w:hRule="atLeast"/>
        </w:trPr>
        <w:tc>
          <w:tcPr>
            <w:tcW w:w="4474" w:type="dxa"/>
          </w:tcPr>
          <w:p>
            <w:pPr>
              <w:pStyle w:val="TableParagraph"/>
              <w:spacing w:line="321" w:lineRule="exact" w:before="125"/>
              <w:ind w:left="113"/>
              <w:rPr>
                <w:rFonts w:ascii="Stone Sans II ITC Std Bk"/>
                <w:b/>
                <w:sz w:val="25"/>
              </w:rPr>
            </w:pPr>
            <w:r>
              <w:rPr>
                <w:rFonts w:ascii="Stone Sans II ITC Std Bk"/>
                <w:b/>
                <w:color w:val="C20D19"/>
                <w:w w:val="110"/>
                <w:sz w:val="25"/>
              </w:rPr>
              <w:t>in a specified place</w:t>
            </w:r>
          </w:p>
          <w:p>
            <w:pPr>
              <w:pStyle w:val="TableParagraph"/>
              <w:spacing w:line="225" w:lineRule="exact"/>
              <w:ind w:left="113"/>
              <w:rPr>
                <w:sz w:val="20"/>
              </w:rPr>
            </w:pPr>
            <w:r>
              <w:rPr>
                <w:w w:val="120"/>
                <w:sz w:val="20"/>
              </w:rPr>
              <w:t>e.g. schools, children’s homes and</w:t>
            </w:r>
          </w:p>
          <w:p>
            <w:pPr>
              <w:pStyle w:val="TableParagraph"/>
              <w:spacing w:line="235" w:lineRule="auto" w:before="1"/>
              <w:ind w:left="113" w:right="1564"/>
              <w:rPr>
                <w:sz w:val="20"/>
              </w:rPr>
            </w:pPr>
            <w:r>
              <w:rPr>
                <w:w w:val="120"/>
                <w:sz w:val="20"/>
              </w:rPr>
              <w:t>hospitals, juvenile detention facilities, adult care homes</w:t>
            </w:r>
          </w:p>
        </w:tc>
        <w:tc>
          <w:tcPr>
            <w:tcW w:w="4143" w:type="dxa"/>
            <w:vMerge/>
            <w:tcBorders>
              <w:top w:val="nil"/>
            </w:tcBorders>
          </w:tcPr>
          <w:p>
            <w:pPr>
              <w:rPr>
                <w:sz w:val="2"/>
                <w:szCs w:val="2"/>
              </w:rPr>
            </w:pPr>
          </w:p>
        </w:tc>
      </w:tr>
    </w:tbl>
    <w:p>
      <w:pPr>
        <w:spacing w:line="261" w:lineRule="exact" w:before="183"/>
        <w:ind w:left="1133" w:right="0" w:firstLine="0"/>
        <w:jc w:val="left"/>
        <w:rPr>
          <w:rFonts w:ascii="Stone Sans II ITC Std Bk" w:hAnsi="Stone Sans II ITC Std Bk"/>
          <w:b/>
          <w:sz w:val="20"/>
        </w:rPr>
      </w:pPr>
      <w:r>
        <w:rPr>
          <w:rFonts w:ascii="Stone Sans II ITC Std Bk" w:hAnsi="Stone Sans II ITC Std Bk"/>
          <w:b/>
          <w:color w:val="C20D19"/>
          <w:w w:val="110"/>
          <w:sz w:val="20"/>
        </w:rPr>
        <w:t>Also covers Fostering, Childcare and ‘Defined Office Holders’</w:t>
      </w:r>
    </w:p>
    <w:p>
      <w:pPr>
        <w:pStyle w:val="BodyText"/>
        <w:spacing w:line="235" w:lineRule="exact"/>
        <w:ind w:left="1493"/>
      </w:pPr>
      <w:r>
        <w:rPr>
          <w:w w:val="120"/>
        </w:rPr>
        <w:t>Eg Directors of Children’s Services, Trustees of children’s Charities, School Governors.</w:t>
      </w:r>
    </w:p>
    <w:p>
      <w:pPr>
        <w:pStyle w:val="BodyText"/>
        <w:rPr>
          <w:sz w:val="24"/>
        </w:rPr>
      </w:pPr>
    </w:p>
    <w:p>
      <w:pPr>
        <w:pStyle w:val="BodyText"/>
        <w:rPr>
          <w:sz w:val="24"/>
        </w:rPr>
      </w:pPr>
    </w:p>
    <w:p>
      <w:pPr>
        <w:pStyle w:val="BodyText"/>
        <w:rPr>
          <w:sz w:val="24"/>
        </w:rPr>
      </w:pPr>
    </w:p>
    <w:p>
      <w:pPr>
        <w:pStyle w:val="BodyText"/>
        <w:spacing w:before="2"/>
        <w:rPr>
          <w:sz w:val="23"/>
        </w:rPr>
      </w:pPr>
    </w:p>
    <w:p>
      <w:pPr>
        <w:pStyle w:val="Heading5"/>
        <w:spacing w:line="244" w:lineRule="auto"/>
        <w:ind w:left="1133" w:right="4239"/>
      </w:pPr>
      <w:r>
        <w:rPr>
          <w:color w:val="9662A1"/>
          <w:w w:val="120"/>
        </w:rPr>
        <w:t>Assembly Arrangements Committee: dates and venue of 2012 Assembly</w:t>
      </w:r>
    </w:p>
    <w:p>
      <w:pPr>
        <w:pStyle w:val="BodyText"/>
        <w:spacing w:before="12"/>
        <w:rPr>
          <w:sz w:val="14"/>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8" w:lineRule="auto" w:before="21"/>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1"/>
                <w:sz w:val="57"/>
              </w:rPr>
              <w:t>22</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860" w:hRule="atLeast"/>
        </w:trPr>
        <w:tc>
          <w:tcPr>
            <w:tcW w:w="9350" w:type="dxa"/>
            <w:gridSpan w:val="3"/>
            <w:tcBorders>
              <w:left w:val="single" w:sz="48" w:space="0" w:color="000000"/>
              <w:bottom w:val="single" w:sz="24" w:space="0" w:color="000000"/>
              <w:right w:val="single" w:sz="48" w:space="0" w:color="000000"/>
            </w:tcBorders>
          </w:tcPr>
          <w:p>
            <w:pPr>
              <w:pStyle w:val="TableParagraph"/>
              <w:rPr>
                <w:rFonts w:ascii="Times New Roman"/>
                <w:sz w:val="24"/>
              </w:rPr>
            </w:pPr>
          </w:p>
        </w:tc>
      </w:tr>
    </w:tbl>
    <w:p>
      <w:pPr>
        <w:spacing w:before="296"/>
        <w:ind w:left="1133" w:right="0" w:firstLine="0"/>
        <w:jc w:val="left"/>
        <w:rPr>
          <w:i/>
          <w:sz w:val="20"/>
        </w:rPr>
      </w:pPr>
      <w:r>
        <w:rPr>
          <w:i/>
          <w:w w:val="110"/>
          <w:sz w:val="20"/>
        </w:rPr>
        <w:t>This resolution will be tabled at Assembly.</w:t>
      </w:r>
    </w:p>
    <w:p>
      <w:pPr>
        <w:spacing w:after="0"/>
        <w:jc w:val="left"/>
        <w:rPr>
          <w:sz w:val="20"/>
        </w:rPr>
        <w:sectPr>
          <w:headerReference w:type="even" r:id="rId576"/>
          <w:headerReference w:type="default" r:id="rId577"/>
          <w:footerReference w:type="even" r:id="rId578"/>
          <w:footerReference w:type="default" r:id="rId579"/>
          <w:pgSz w:w="11910" w:h="16840"/>
          <w:pgMar w:header="0" w:footer="647" w:top="1680" w:bottom="840" w:left="0" w:right="0"/>
          <w:pgNumType w:start="256"/>
        </w:sectPr>
      </w:pPr>
    </w:p>
    <w:p>
      <w:pPr>
        <w:pStyle w:val="Heading5"/>
        <w:spacing w:before="115"/>
      </w:pPr>
      <w:r>
        <w:rPr/>
        <w:pict>
          <v:rect style="position:absolute;margin-left:558.424988pt;margin-top:8.501747pt;width:22.677pt;height:22.677pt;mso-position-horizontal-relative:page;mso-position-vertical-relative:paragraph;z-index:252395520" filled="true" fillcolor="#dcd0e6" stroked="false">
            <v:fill opacity="32768f" type="solid"/>
            <w10:wrap type="none"/>
          </v:rect>
        </w:pict>
      </w:r>
      <w:r>
        <w:rPr>
          <w:color w:val="9662A1"/>
          <w:w w:val="125"/>
        </w:rPr>
        <w:t>Homerton College, Cambridge</w:t>
      </w:r>
    </w:p>
    <w:p>
      <w:pPr>
        <w:pStyle w:val="BodyText"/>
        <w:spacing w:before="8"/>
        <w:rPr>
          <w:sz w:val="15"/>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8" w:lineRule="auto" w:before="21"/>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1"/>
                <w:sz w:val="57"/>
              </w:rPr>
              <w:t>23</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313"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2"/>
              <w:rPr>
                <w:sz w:val="28"/>
              </w:rPr>
            </w:pPr>
          </w:p>
          <w:p>
            <w:pPr>
              <w:pStyle w:val="TableParagraph"/>
              <w:spacing w:line="235" w:lineRule="auto" w:before="1"/>
              <w:ind w:left="266"/>
              <w:rPr>
                <w:sz w:val="20"/>
              </w:rPr>
            </w:pPr>
            <w:r>
              <w:rPr>
                <w:w w:val="120"/>
                <w:sz w:val="20"/>
              </w:rPr>
              <w:t>Assembly sends greetings and good wishes to the Principal, Fellows and students of Homerton College on the occasion of its reception of a Royal Charter as a college of the University of Cambridge and expresses gratitude to all who have served as Trustees.</w:t>
            </w:r>
          </w:p>
        </w:tc>
      </w:tr>
    </w:tbl>
    <w:p>
      <w:pPr>
        <w:pStyle w:val="BodyText"/>
        <w:spacing w:before="7"/>
        <w:rPr>
          <w:sz w:val="33"/>
        </w:rPr>
      </w:pPr>
    </w:p>
    <w:p>
      <w:pPr>
        <w:pStyle w:val="ListParagraph"/>
        <w:numPr>
          <w:ilvl w:val="0"/>
          <w:numId w:val="202"/>
        </w:numPr>
        <w:tabs>
          <w:tab w:pos="2664" w:val="left" w:leader="none"/>
          <w:tab w:pos="2665" w:val="left" w:leader="none"/>
        </w:tabs>
        <w:spacing w:line="235" w:lineRule="auto" w:before="1" w:after="0"/>
        <w:ind w:left="1984" w:right="1311" w:firstLine="0"/>
        <w:jc w:val="left"/>
        <w:rPr>
          <w:sz w:val="20"/>
        </w:rPr>
      </w:pPr>
      <w:r>
        <w:rPr>
          <w:w w:val="120"/>
          <w:sz w:val="20"/>
        </w:rPr>
        <w:t>In </w:t>
      </w:r>
      <w:r>
        <w:rPr>
          <w:spacing w:val="-5"/>
          <w:w w:val="120"/>
          <w:sz w:val="20"/>
        </w:rPr>
        <w:t>1850 </w:t>
      </w:r>
      <w:r>
        <w:rPr>
          <w:w w:val="120"/>
          <w:sz w:val="20"/>
        </w:rPr>
        <w:t>the Congregational Board of Education decided to use the former buildings of the Homerton Academy </w:t>
      </w:r>
      <w:r>
        <w:rPr>
          <w:spacing w:val="-3"/>
          <w:w w:val="120"/>
          <w:sz w:val="20"/>
        </w:rPr>
        <w:t>(which </w:t>
      </w:r>
      <w:r>
        <w:rPr>
          <w:w w:val="120"/>
          <w:sz w:val="20"/>
        </w:rPr>
        <w:t>goes back to the </w:t>
      </w:r>
      <w:r>
        <w:rPr>
          <w:spacing w:val="-8"/>
          <w:w w:val="120"/>
          <w:sz w:val="20"/>
        </w:rPr>
        <w:t>1670s) </w:t>
      </w:r>
      <w:r>
        <w:rPr>
          <w:w w:val="120"/>
          <w:sz w:val="20"/>
        </w:rPr>
        <w:t>in order to train teachers. The Academy moved to Cambridge in </w:t>
      </w:r>
      <w:r>
        <w:rPr>
          <w:spacing w:val="-5"/>
          <w:w w:val="120"/>
          <w:sz w:val="20"/>
        </w:rPr>
        <w:t>1894  </w:t>
      </w:r>
      <w:r>
        <w:rPr>
          <w:w w:val="120"/>
          <w:sz w:val="20"/>
        </w:rPr>
        <w:t>and since the </w:t>
      </w:r>
      <w:r>
        <w:rPr>
          <w:spacing w:val="-6"/>
          <w:w w:val="120"/>
          <w:sz w:val="20"/>
        </w:rPr>
        <w:t>1970s  </w:t>
      </w:r>
      <w:r>
        <w:rPr>
          <w:w w:val="120"/>
          <w:sz w:val="20"/>
        </w:rPr>
        <w:t>it has been  an Approved Society of the University of Cambridge. Its present path was set in 2001 when its teacher training work was merged with that of the University as a whole and it began to admit students to read all subjects for Cambridge degrees. Nominees of the United Reformed Church have been active members of the College’s Board of</w:t>
      </w:r>
      <w:r>
        <w:rPr>
          <w:spacing w:val="39"/>
          <w:w w:val="120"/>
          <w:sz w:val="20"/>
        </w:rPr>
        <w:t> </w:t>
      </w:r>
      <w:r>
        <w:rPr>
          <w:w w:val="120"/>
          <w:sz w:val="20"/>
        </w:rPr>
        <w:t>Trustees</w:t>
      </w:r>
    </w:p>
    <w:p>
      <w:pPr>
        <w:pStyle w:val="BodyText"/>
        <w:spacing w:before="1"/>
        <w:ind w:left="1984"/>
      </w:pPr>
      <w:r>
        <w:rPr>
          <w:w w:val="120"/>
        </w:rPr>
        <w:t>throughout this period of development and transition, with several occupying key roles.</w:t>
      </w:r>
    </w:p>
    <w:p>
      <w:pPr>
        <w:pStyle w:val="BodyText"/>
        <w:spacing w:before="7"/>
        <w:rPr>
          <w:sz w:val="19"/>
        </w:rPr>
      </w:pPr>
    </w:p>
    <w:p>
      <w:pPr>
        <w:pStyle w:val="ListParagraph"/>
        <w:numPr>
          <w:ilvl w:val="0"/>
          <w:numId w:val="202"/>
        </w:numPr>
        <w:tabs>
          <w:tab w:pos="2664" w:val="left" w:leader="none"/>
          <w:tab w:pos="2665" w:val="left" w:leader="none"/>
        </w:tabs>
        <w:spacing w:line="235" w:lineRule="auto" w:before="1" w:after="0"/>
        <w:ind w:left="1984" w:right="1163" w:firstLine="0"/>
        <w:jc w:val="left"/>
        <w:rPr>
          <w:sz w:val="20"/>
        </w:rPr>
      </w:pPr>
      <w:r>
        <w:rPr>
          <w:w w:val="120"/>
          <w:sz w:val="20"/>
        </w:rPr>
        <w:t>In March </w:t>
      </w:r>
      <w:r>
        <w:rPr>
          <w:spacing w:val="-6"/>
          <w:w w:val="120"/>
          <w:sz w:val="20"/>
        </w:rPr>
        <w:t>2010 </w:t>
      </w:r>
      <w:r>
        <w:rPr>
          <w:w w:val="120"/>
          <w:sz w:val="20"/>
        </w:rPr>
        <w:t>the Royal Seal was affixed to the new Charter and Statutes of Homerton College making it a full college of the University of Cambridge. Responsibility for its governance passed from the Trustees to the Principal and Fellows of the College. It is now the third largest college in the University, after Trinity and St</w:t>
      </w:r>
      <w:r>
        <w:rPr>
          <w:spacing w:val="17"/>
          <w:w w:val="120"/>
          <w:sz w:val="20"/>
        </w:rPr>
        <w:t> </w:t>
      </w:r>
      <w:r>
        <w:rPr>
          <w:w w:val="120"/>
          <w:sz w:val="20"/>
        </w:rPr>
        <w:t>John’s.</w:t>
      </w:r>
    </w:p>
    <w:p>
      <w:pPr>
        <w:pStyle w:val="BodyText"/>
        <w:rPr>
          <w:sz w:val="24"/>
        </w:rPr>
      </w:pPr>
    </w:p>
    <w:p>
      <w:pPr>
        <w:pStyle w:val="BodyText"/>
        <w:rPr>
          <w:sz w:val="24"/>
        </w:rPr>
      </w:pPr>
    </w:p>
    <w:p>
      <w:pPr>
        <w:pStyle w:val="BodyText"/>
        <w:rPr>
          <w:sz w:val="24"/>
        </w:rPr>
      </w:pPr>
    </w:p>
    <w:p>
      <w:pPr>
        <w:pStyle w:val="Heading5"/>
        <w:spacing w:line="244" w:lineRule="auto" w:before="206"/>
        <w:ind w:right="3002"/>
      </w:pPr>
      <w:r>
        <w:rPr>
          <w:color w:val="9662A1"/>
          <w:w w:val="120"/>
        </w:rPr>
        <w:t>Proposed changes to the Rules of Procedure (Section C of the Manual):</w:t>
      </w:r>
    </w:p>
    <w:p>
      <w:pPr>
        <w:spacing w:before="3"/>
        <w:ind w:left="1984" w:right="0" w:firstLine="0"/>
        <w:jc w:val="left"/>
        <w:rPr>
          <w:sz w:val="32"/>
        </w:rPr>
      </w:pPr>
      <w:r>
        <w:rPr>
          <w:color w:val="9662A1"/>
          <w:spacing w:val="-3"/>
          <w:w w:val="120"/>
          <w:sz w:val="32"/>
        </w:rPr>
        <w:t>term </w:t>
      </w:r>
      <w:r>
        <w:rPr>
          <w:color w:val="9662A1"/>
          <w:w w:val="120"/>
          <w:sz w:val="32"/>
        </w:rPr>
        <w:t>of </w:t>
      </w:r>
      <w:r>
        <w:rPr>
          <w:color w:val="9662A1"/>
          <w:spacing w:val="-5"/>
          <w:w w:val="120"/>
          <w:sz w:val="32"/>
        </w:rPr>
        <w:t>appointment </w:t>
      </w:r>
      <w:r>
        <w:rPr>
          <w:color w:val="9662A1"/>
          <w:w w:val="120"/>
          <w:sz w:val="32"/>
        </w:rPr>
        <w:t>of the </w:t>
      </w:r>
      <w:r>
        <w:rPr>
          <w:color w:val="9662A1"/>
          <w:spacing w:val="-3"/>
          <w:w w:val="120"/>
          <w:sz w:val="32"/>
        </w:rPr>
        <w:t>Clerk </w:t>
      </w:r>
      <w:r>
        <w:rPr>
          <w:color w:val="9662A1"/>
          <w:spacing w:val="-5"/>
          <w:w w:val="120"/>
          <w:sz w:val="32"/>
        </w:rPr>
        <w:t>to </w:t>
      </w:r>
      <w:r>
        <w:rPr>
          <w:color w:val="9662A1"/>
          <w:w w:val="120"/>
          <w:sz w:val="32"/>
        </w:rPr>
        <w:t>the</w:t>
      </w:r>
      <w:r>
        <w:rPr>
          <w:color w:val="9662A1"/>
          <w:spacing w:val="62"/>
          <w:w w:val="120"/>
          <w:sz w:val="32"/>
        </w:rPr>
        <w:t> </w:t>
      </w:r>
      <w:r>
        <w:rPr>
          <w:color w:val="9662A1"/>
          <w:spacing w:val="-3"/>
          <w:w w:val="120"/>
          <w:sz w:val="32"/>
        </w:rPr>
        <w:t>Assembly</w:t>
      </w:r>
    </w:p>
    <w:p>
      <w:pPr>
        <w:pStyle w:val="BodyText"/>
        <w:spacing w:before="10"/>
        <w:rPr>
          <w:sz w:val="13"/>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4"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3"/>
                <w:sz w:val="57"/>
              </w:rPr>
              <w:t>24</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2543" w:hRule="atLeast"/>
        </w:trPr>
        <w:tc>
          <w:tcPr>
            <w:tcW w:w="9350" w:type="dxa"/>
            <w:gridSpan w:val="3"/>
            <w:tcBorders>
              <w:left w:val="single" w:sz="48" w:space="0" w:color="000000"/>
              <w:bottom w:val="single" w:sz="24" w:space="0" w:color="000000"/>
              <w:right w:val="single" w:sz="48" w:space="0" w:color="000000"/>
            </w:tcBorders>
          </w:tcPr>
          <w:p>
            <w:pPr>
              <w:pStyle w:val="TableParagraph"/>
              <w:rPr>
                <w:sz w:val="30"/>
              </w:rPr>
            </w:pPr>
          </w:p>
          <w:p>
            <w:pPr>
              <w:pStyle w:val="TableParagraph"/>
              <w:spacing w:line="235" w:lineRule="auto" w:before="1"/>
              <w:ind w:left="266" w:right="765"/>
              <w:rPr>
                <w:sz w:val="20"/>
              </w:rPr>
            </w:pPr>
            <w:r>
              <w:rPr>
                <w:w w:val="120"/>
                <w:sz w:val="20"/>
              </w:rPr>
              <w:t>General Assembly resolves to amend paragraph 5.1 of the Rules of Procedure to read</w:t>
            </w:r>
          </w:p>
          <w:p>
            <w:pPr>
              <w:pStyle w:val="TableParagraph"/>
              <w:spacing w:before="9"/>
              <w:rPr>
                <w:sz w:val="19"/>
              </w:rPr>
            </w:pPr>
          </w:p>
          <w:p>
            <w:pPr>
              <w:pStyle w:val="TableParagraph"/>
              <w:tabs>
                <w:tab w:pos="946" w:val="left" w:leader="none"/>
              </w:tabs>
              <w:spacing w:line="235" w:lineRule="auto"/>
              <w:ind w:left="947" w:right="421" w:hanging="681"/>
              <w:rPr>
                <w:sz w:val="20"/>
              </w:rPr>
            </w:pPr>
            <w:r>
              <w:rPr>
                <w:spacing w:val="-4"/>
                <w:w w:val="120"/>
                <w:sz w:val="20"/>
              </w:rPr>
              <w:t>5.1</w:t>
              <w:tab/>
            </w:r>
            <w:r>
              <w:rPr>
                <w:spacing w:val="4"/>
                <w:w w:val="120"/>
                <w:sz w:val="20"/>
              </w:rPr>
              <w:t>The </w:t>
            </w:r>
            <w:r>
              <w:rPr>
                <w:spacing w:val="5"/>
                <w:w w:val="120"/>
                <w:sz w:val="20"/>
              </w:rPr>
              <w:t>General Assembly </w:t>
            </w:r>
            <w:r>
              <w:rPr>
                <w:spacing w:val="2"/>
                <w:w w:val="120"/>
                <w:sz w:val="20"/>
              </w:rPr>
              <w:t>may </w:t>
            </w:r>
            <w:r>
              <w:rPr>
                <w:spacing w:val="4"/>
                <w:w w:val="120"/>
                <w:sz w:val="20"/>
              </w:rPr>
              <w:t>appoint </w:t>
            </w:r>
            <w:r>
              <w:rPr>
                <w:w w:val="120"/>
                <w:sz w:val="20"/>
              </w:rPr>
              <w:t>a </w:t>
            </w:r>
            <w:r>
              <w:rPr>
                <w:spacing w:val="5"/>
                <w:w w:val="120"/>
                <w:sz w:val="20"/>
              </w:rPr>
              <w:t>clerk </w:t>
            </w:r>
            <w:r>
              <w:rPr>
                <w:spacing w:val="3"/>
                <w:w w:val="120"/>
                <w:sz w:val="20"/>
              </w:rPr>
              <w:t>of </w:t>
            </w:r>
            <w:r>
              <w:rPr>
                <w:spacing w:val="5"/>
                <w:w w:val="120"/>
                <w:sz w:val="20"/>
              </w:rPr>
              <w:t>Assembly </w:t>
            </w:r>
            <w:r>
              <w:rPr>
                <w:spacing w:val="2"/>
                <w:w w:val="120"/>
                <w:sz w:val="20"/>
              </w:rPr>
              <w:t>as </w:t>
            </w:r>
            <w:r>
              <w:rPr>
                <w:spacing w:val="5"/>
                <w:w w:val="120"/>
                <w:sz w:val="20"/>
              </w:rPr>
              <w:t>distinct </w:t>
            </w:r>
            <w:r>
              <w:rPr>
                <w:spacing w:val="4"/>
                <w:w w:val="120"/>
                <w:sz w:val="20"/>
              </w:rPr>
              <w:t>from the </w:t>
            </w:r>
            <w:r>
              <w:rPr>
                <w:spacing w:val="5"/>
                <w:w w:val="120"/>
                <w:sz w:val="20"/>
              </w:rPr>
              <w:t>general </w:t>
            </w:r>
            <w:r>
              <w:rPr>
                <w:spacing w:val="4"/>
                <w:w w:val="120"/>
                <w:sz w:val="20"/>
              </w:rPr>
              <w:t>secretary. </w:t>
            </w:r>
            <w:r>
              <w:rPr>
                <w:spacing w:val="3"/>
                <w:w w:val="120"/>
                <w:sz w:val="20"/>
              </w:rPr>
              <w:t>In </w:t>
            </w:r>
            <w:r>
              <w:rPr>
                <w:spacing w:val="4"/>
                <w:w w:val="120"/>
                <w:sz w:val="20"/>
              </w:rPr>
              <w:t>that case the </w:t>
            </w:r>
            <w:r>
              <w:rPr>
                <w:spacing w:val="5"/>
                <w:w w:val="120"/>
                <w:sz w:val="20"/>
              </w:rPr>
              <w:t>Nominations </w:t>
            </w:r>
            <w:r>
              <w:rPr>
                <w:spacing w:val="4"/>
                <w:w w:val="120"/>
                <w:sz w:val="20"/>
              </w:rPr>
              <w:t>Committee shall submit </w:t>
            </w:r>
            <w:r>
              <w:rPr>
                <w:w w:val="120"/>
                <w:sz w:val="20"/>
              </w:rPr>
              <w:t>a </w:t>
            </w:r>
            <w:r>
              <w:rPr>
                <w:spacing w:val="4"/>
                <w:w w:val="120"/>
                <w:sz w:val="20"/>
              </w:rPr>
              <w:t>name </w:t>
            </w:r>
            <w:r>
              <w:rPr>
                <w:w w:val="120"/>
                <w:sz w:val="20"/>
              </w:rPr>
              <w:t>to </w:t>
            </w:r>
            <w:r>
              <w:rPr>
                <w:spacing w:val="4"/>
                <w:w w:val="120"/>
                <w:sz w:val="20"/>
              </w:rPr>
              <w:t>the </w:t>
            </w:r>
            <w:r>
              <w:rPr>
                <w:spacing w:val="5"/>
                <w:w w:val="120"/>
                <w:sz w:val="20"/>
              </w:rPr>
              <w:t>General Assembly </w:t>
            </w:r>
            <w:r>
              <w:rPr>
                <w:spacing w:val="3"/>
                <w:w w:val="120"/>
                <w:sz w:val="20"/>
              </w:rPr>
              <w:t>for </w:t>
            </w:r>
            <w:r>
              <w:rPr>
                <w:spacing w:val="5"/>
                <w:w w:val="120"/>
                <w:sz w:val="20"/>
              </w:rPr>
              <w:t>appointment </w:t>
            </w:r>
            <w:r>
              <w:rPr>
                <w:spacing w:val="2"/>
                <w:w w:val="120"/>
                <w:sz w:val="20"/>
              </w:rPr>
              <w:t>as </w:t>
            </w:r>
            <w:r>
              <w:rPr>
                <w:spacing w:val="5"/>
                <w:w w:val="120"/>
                <w:sz w:val="20"/>
              </w:rPr>
              <w:t>clerk, </w:t>
            </w:r>
            <w:r>
              <w:rPr>
                <w:spacing w:val="3"/>
                <w:w w:val="120"/>
                <w:sz w:val="20"/>
              </w:rPr>
              <w:t>for six </w:t>
            </w:r>
            <w:r>
              <w:rPr>
                <w:spacing w:val="4"/>
                <w:w w:val="120"/>
                <w:sz w:val="20"/>
              </w:rPr>
              <w:t>years </w:t>
            </w:r>
            <w:r>
              <w:rPr>
                <w:spacing w:val="2"/>
                <w:w w:val="120"/>
                <w:sz w:val="20"/>
              </w:rPr>
              <w:t>in </w:t>
            </w:r>
            <w:r>
              <w:rPr>
                <w:spacing w:val="4"/>
                <w:w w:val="120"/>
                <w:sz w:val="20"/>
              </w:rPr>
              <w:t>the </w:t>
            </w:r>
            <w:r>
              <w:rPr>
                <w:spacing w:val="6"/>
                <w:w w:val="120"/>
                <w:sz w:val="20"/>
              </w:rPr>
              <w:t>first </w:t>
            </w:r>
            <w:r>
              <w:rPr>
                <w:spacing w:val="4"/>
                <w:w w:val="120"/>
                <w:sz w:val="20"/>
              </w:rPr>
              <w:t>instance, </w:t>
            </w:r>
            <w:r>
              <w:rPr>
                <w:spacing w:val="5"/>
                <w:w w:val="120"/>
                <w:sz w:val="20"/>
              </w:rPr>
              <w:t>renewable </w:t>
            </w:r>
            <w:r>
              <w:rPr>
                <w:spacing w:val="3"/>
                <w:w w:val="120"/>
                <w:sz w:val="20"/>
              </w:rPr>
              <w:t>for </w:t>
            </w:r>
            <w:r>
              <w:rPr>
                <w:w w:val="120"/>
                <w:sz w:val="20"/>
              </w:rPr>
              <w:t>a </w:t>
            </w:r>
            <w:r>
              <w:rPr>
                <w:spacing w:val="5"/>
                <w:w w:val="120"/>
                <w:sz w:val="20"/>
              </w:rPr>
              <w:t>maximum additional period </w:t>
            </w:r>
            <w:r>
              <w:rPr>
                <w:spacing w:val="3"/>
                <w:w w:val="120"/>
                <w:sz w:val="20"/>
              </w:rPr>
              <w:t>of </w:t>
            </w:r>
            <w:r>
              <w:rPr>
                <w:spacing w:val="4"/>
                <w:w w:val="120"/>
                <w:sz w:val="20"/>
              </w:rPr>
              <w:t>four years, </w:t>
            </w:r>
            <w:r>
              <w:rPr>
                <w:spacing w:val="3"/>
                <w:w w:val="120"/>
                <w:sz w:val="20"/>
              </w:rPr>
              <w:t>but </w:t>
            </w:r>
            <w:r>
              <w:rPr>
                <w:spacing w:val="4"/>
                <w:w w:val="120"/>
                <w:sz w:val="20"/>
              </w:rPr>
              <w:t>ensuring</w:t>
            </w:r>
            <w:r>
              <w:rPr>
                <w:spacing w:val="14"/>
                <w:w w:val="120"/>
                <w:sz w:val="20"/>
              </w:rPr>
              <w:t> </w:t>
            </w:r>
            <w:r>
              <w:rPr>
                <w:spacing w:val="3"/>
                <w:w w:val="120"/>
                <w:sz w:val="20"/>
              </w:rPr>
              <w:t>an</w:t>
            </w:r>
            <w:r>
              <w:rPr>
                <w:spacing w:val="14"/>
                <w:w w:val="120"/>
                <w:sz w:val="20"/>
              </w:rPr>
              <w:t> </w:t>
            </w:r>
            <w:r>
              <w:rPr>
                <w:spacing w:val="4"/>
                <w:w w:val="120"/>
                <w:sz w:val="20"/>
              </w:rPr>
              <w:t>overlap</w:t>
            </w:r>
            <w:r>
              <w:rPr>
                <w:spacing w:val="15"/>
                <w:w w:val="120"/>
                <w:sz w:val="20"/>
              </w:rPr>
              <w:t> </w:t>
            </w:r>
            <w:r>
              <w:rPr>
                <w:spacing w:val="4"/>
                <w:w w:val="120"/>
                <w:sz w:val="20"/>
              </w:rPr>
              <w:t>with</w:t>
            </w:r>
            <w:r>
              <w:rPr>
                <w:spacing w:val="14"/>
                <w:w w:val="120"/>
                <w:sz w:val="20"/>
              </w:rPr>
              <w:t> </w:t>
            </w:r>
            <w:r>
              <w:rPr>
                <w:w w:val="120"/>
                <w:sz w:val="20"/>
              </w:rPr>
              <w:t>a</w:t>
            </w:r>
            <w:r>
              <w:rPr>
                <w:spacing w:val="15"/>
                <w:w w:val="120"/>
                <w:sz w:val="20"/>
              </w:rPr>
              <w:t> </w:t>
            </w:r>
            <w:r>
              <w:rPr>
                <w:spacing w:val="5"/>
                <w:w w:val="120"/>
                <w:sz w:val="20"/>
              </w:rPr>
              <w:t>period</w:t>
            </w:r>
            <w:r>
              <w:rPr>
                <w:spacing w:val="14"/>
                <w:w w:val="120"/>
                <w:sz w:val="20"/>
              </w:rPr>
              <w:t> </w:t>
            </w:r>
            <w:r>
              <w:rPr>
                <w:spacing w:val="3"/>
                <w:w w:val="120"/>
                <w:sz w:val="20"/>
              </w:rPr>
              <w:t>of</w:t>
            </w:r>
            <w:r>
              <w:rPr>
                <w:spacing w:val="15"/>
                <w:w w:val="120"/>
                <w:sz w:val="20"/>
              </w:rPr>
              <w:t> </w:t>
            </w:r>
            <w:r>
              <w:rPr>
                <w:spacing w:val="5"/>
                <w:w w:val="120"/>
                <w:sz w:val="20"/>
              </w:rPr>
              <w:t>service</w:t>
            </w:r>
            <w:r>
              <w:rPr>
                <w:spacing w:val="14"/>
                <w:w w:val="120"/>
                <w:sz w:val="20"/>
              </w:rPr>
              <w:t> </w:t>
            </w:r>
            <w:r>
              <w:rPr>
                <w:spacing w:val="3"/>
                <w:w w:val="120"/>
                <w:sz w:val="20"/>
              </w:rPr>
              <w:t>of</w:t>
            </w:r>
            <w:r>
              <w:rPr>
                <w:spacing w:val="15"/>
                <w:w w:val="120"/>
                <w:sz w:val="20"/>
              </w:rPr>
              <w:t> </w:t>
            </w:r>
            <w:r>
              <w:rPr>
                <w:spacing w:val="4"/>
                <w:w w:val="120"/>
                <w:sz w:val="20"/>
              </w:rPr>
              <w:t>the</w:t>
            </w:r>
            <w:r>
              <w:rPr>
                <w:spacing w:val="14"/>
                <w:w w:val="120"/>
                <w:sz w:val="20"/>
              </w:rPr>
              <w:t> </w:t>
            </w:r>
            <w:r>
              <w:rPr>
                <w:spacing w:val="5"/>
                <w:w w:val="120"/>
                <w:sz w:val="20"/>
              </w:rPr>
              <w:t>general</w:t>
            </w:r>
            <w:r>
              <w:rPr>
                <w:spacing w:val="15"/>
                <w:w w:val="120"/>
                <w:sz w:val="20"/>
              </w:rPr>
              <w:t> </w:t>
            </w:r>
            <w:r>
              <w:rPr>
                <w:spacing w:val="4"/>
                <w:w w:val="120"/>
                <w:sz w:val="20"/>
              </w:rPr>
              <w:t>secretary.</w:t>
            </w:r>
          </w:p>
        </w:tc>
      </w:tr>
    </w:tbl>
    <w:p>
      <w:pPr>
        <w:pStyle w:val="BodyText"/>
        <w:rPr>
          <w:sz w:val="33"/>
        </w:rPr>
      </w:pPr>
    </w:p>
    <w:p>
      <w:pPr>
        <w:pStyle w:val="BodyText"/>
        <w:spacing w:line="235" w:lineRule="auto"/>
        <w:ind w:left="1984" w:right="1234"/>
      </w:pPr>
      <w:r>
        <w:rPr>
          <w:w w:val="120"/>
        </w:rPr>
        <w:t>The clerk to the Assembly is an Assembly appointment. The term of service for the clerk has previously been five years with the possibility of re-appointment for a further five years. Mission Council agreed the proposal of the Nominations Committee that the   term of service be changed to an even number of years to enable a biennial Assembly to continue to take responsibility for appointing the</w:t>
      </w:r>
      <w:r>
        <w:rPr>
          <w:spacing w:val="16"/>
          <w:w w:val="120"/>
        </w:rPr>
        <w:t> </w:t>
      </w:r>
      <w:r>
        <w:rPr>
          <w:w w:val="120"/>
        </w:rPr>
        <w:t>clerk.</w:t>
      </w:r>
    </w:p>
    <w:p>
      <w:pPr>
        <w:spacing w:after="0" w:line="235" w:lineRule="auto"/>
        <w:sectPr>
          <w:pgSz w:w="11910" w:h="16840"/>
          <w:pgMar w:header="0" w:footer="647" w:top="1060" w:bottom="840" w:left="0" w:right="0"/>
        </w:sectPr>
      </w:pPr>
    </w:p>
    <w:p>
      <w:pPr>
        <w:pStyle w:val="Heading5"/>
        <w:spacing w:line="244" w:lineRule="auto" w:before="131"/>
        <w:ind w:left="1133" w:right="3751"/>
      </w:pPr>
      <w:r>
        <w:rPr/>
        <w:pict>
          <v:rect style="position:absolute;margin-left:12.047pt;margin-top:8.474748pt;width:22.677pt;height:22.677pt;mso-position-horizontal-relative:page;mso-position-vertical-relative:paragraph;z-index:252396544" filled="true" fillcolor="#dcd0e6" stroked="false">
            <v:fill opacity="32768f" type="solid"/>
            <w10:wrap type="none"/>
          </v:rect>
        </w:pict>
      </w:r>
      <w:r>
        <w:rPr>
          <w:color w:val="9662A1"/>
          <w:w w:val="120"/>
        </w:rPr>
        <w:t>Proposed changes to the Rules of Procedure: application of the standing orders</w:t>
      </w:r>
    </w:p>
    <w:p>
      <w:pPr>
        <w:pStyle w:val="BodyText"/>
        <w:spacing w:before="2"/>
        <w:rPr>
          <w:sz w:val="14"/>
        </w:rPr>
      </w:pPr>
    </w:p>
    <w:tbl>
      <w:tblPr>
        <w:tblW w:w="0" w:type="auto"/>
        <w:jc w:val="left"/>
        <w:tblInd w:w="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72"/>
              <w:rPr>
                <w:rFonts w:ascii="Stone Sans II ITC Std X Bd"/>
                <w:b/>
                <w:sz w:val="57"/>
              </w:rPr>
            </w:pPr>
            <w:r>
              <w:rPr>
                <w:rFonts w:ascii="Stone Sans II ITC Std X Bd"/>
                <w:b/>
                <w:color w:val="FFFFFF"/>
                <w:w w:val="110"/>
                <w:sz w:val="47"/>
              </w:rPr>
              <w:t>Resolution</w:t>
            </w:r>
            <w:r>
              <w:rPr>
                <w:rFonts w:ascii="Stone Sans II ITC Std X Bd"/>
                <w:b/>
                <w:color w:val="FFFFFF"/>
                <w:spacing w:val="-43"/>
                <w:w w:val="110"/>
                <w:sz w:val="47"/>
              </w:rPr>
              <w:t> </w:t>
            </w:r>
            <w:r>
              <w:rPr>
                <w:rFonts w:ascii="Stone Sans II ITC Std X Bd"/>
                <w:b/>
                <w:spacing w:val="-5"/>
                <w:w w:val="110"/>
                <w:position w:val="-22"/>
                <w:sz w:val="57"/>
              </w:rPr>
              <w:t>25</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2343"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1"/>
              <w:rPr>
                <w:sz w:val="28"/>
              </w:rPr>
            </w:pPr>
          </w:p>
          <w:p>
            <w:pPr>
              <w:pStyle w:val="TableParagraph"/>
              <w:ind w:left="295"/>
              <w:rPr>
                <w:sz w:val="20"/>
              </w:rPr>
            </w:pPr>
            <w:r>
              <w:rPr>
                <w:w w:val="120"/>
                <w:sz w:val="20"/>
              </w:rPr>
              <w:t>General Assembly resolves to amend clause 1.3 of the Rules of Procedure to read</w:t>
            </w:r>
          </w:p>
          <w:p>
            <w:pPr>
              <w:pStyle w:val="TableParagraph"/>
              <w:spacing w:before="8"/>
              <w:rPr>
                <w:sz w:val="19"/>
              </w:rPr>
            </w:pPr>
          </w:p>
          <w:p>
            <w:pPr>
              <w:pStyle w:val="TableParagraph"/>
              <w:tabs>
                <w:tab w:pos="975" w:val="left" w:leader="none"/>
              </w:tabs>
              <w:spacing w:line="235" w:lineRule="auto"/>
              <w:ind w:left="975" w:right="337" w:hanging="681"/>
              <w:rPr>
                <w:sz w:val="20"/>
              </w:rPr>
            </w:pPr>
            <w:r>
              <w:rPr>
                <w:spacing w:val="-2"/>
                <w:w w:val="120"/>
                <w:sz w:val="20"/>
              </w:rPr>
              <w:t>1.3</w:t>
              <w:tab/>
            </w:r>
            <w:r>
              <w:rPr>
                <w:spacing w:val="4"/>
                <w:w w:val="120"/>
                <w:sz w:val="20"/>
              </w:rPr>
              <w:t>All meetings </w:t>
            </w:r>
            <w:r>
              <w:rPr>
                <w:spacing w:val="3"/>
                <w:w w:val="120"/>
                <w:sz w:val="20"/>
              </w:rPr>
              <w:t>of </w:t>
            </w:r>
            <w:r>
              <w:rPr>
                <w:spacing w:val="4"/>
                <w:w w:val="120"/>
                <w:sz w:val="20"/>
              </w:rPr>
              <w:t>the </w:t>
            </w:r>
            <w:r>
              <w:rPr>
                <w:spacing w:val="5"/>
                <w:w w:val="120"/>
                <w:sz w:val="20"/>
              </w:rPr>
              <w:t>Assembly </w:t>
            </w:r>
            <w:r>
              <w:rPr>
                <w:spacing w:val="4"/>
                <w:w w:val="120"/>
                <w:sz w:val="20"/>
              </w:rPr>
              <w:t>shall be convened and held  </w:t>
            </w:r>
            <w:r>
              <w:rPr>
                <w:spacing w:val="2"/>
                <w:w w:val="120"/>
                <w:sz w:val="20"/>
              </w:rPr>
              <w:t>as  </w:t>
            </w:r>
            <w:r>
              <w:rPr>
                <w:spacing w:val="4"/>
                <w:w w:val="120"/>
                <w:sz w:val="20"/>
              </w:rPr>
              <w:t>provided  </w:t>
            </w:r>
            <w:r>
              <w:rPr>
                <w:w w:val="120"/>
                <w:sz w:val="20"/>
              </w:rPr>
              <w:t>by </w:t>
            </w:r>
            <w:r>
              <w:rPr>
                <w:spacing w:val="4"/>
                <w:w w:val="120"/>
                <w:sz w:val="20"/>
              </w:rPr>
              <w:t>these </w:t>
            </w:r>
            <w:r>
              <w:rPr>
                <w:spacing w:val="5"/>
                <w:w w:val="120"/>
                <w:sz w:val="20"/>
              </w:rPr>
              <w:t>rules. </w:t>
            </w:r>
            <w:r>
              <w:rPr>
                <w:spacing w:val="4"/>
                <w:w w:val="120"/>
                <w:sz w:val="20"/>
              </w:rPr>
              <w:t>The Standing </w:t>
            </w:r>
            <w:r>
              <w:rPr>
                <w:spacing w:val="5"/>
                <w:w w:val="120"/>
                <w:sz w:val="20"/>
              </w:rPr>
              <w:t>Orders </w:t>
            </w:r>
            <w:r>
              <w:rPr>
                <w:spacing w:val="4"/>
                <w:w w:val="120"/>
                <w:sz w:val="20"/>
              </w:rPr>
              <w:t>which are printed </w:t>
            </w:r>
            <w:r>
              <w:rPr>
                <w:spacing w:val="2"/>
                <w:w w:val="120"/>
                <w:sz w:val="20"/>
              </w:rPr>
              <w:t>in </w:t>
            </w:r>
            <w:r>
              <w:rPr>
                <w:spacing w:val="4"/>
                <w:w w:val="120"/>
                <w:sz w:val="20"/>
              </w:rPr>
              <w:t>the </w:t>
            </w:r>
            <w:r>
              <w:rPr>
                <w:spacing w:val="5"/>
                <w:w w:val="120"/>
                <w:sz w:val="20"/>
              </w:rPr>
              <w:t>Book </w:t>
            </w:r>
            <w:r>
              <w:rPr>
                <w:spacing w:val="3"/>
                <w:w w:val="120"/>
                <w:sz w:val="20"/>
              </w:rPr>
              <w:t>of </w:t>
            </w:r>
            <w:r>
              <w:rPr>
                <w:spacing w:val="7"/>
                <w:w w:val="120"/>
                <w:sz w:val="20"/>
              </w:rPr>
              <w:t>Reports </w:t>
            </w:r>
            <w:r>
              <w:rPr>
                <w:w w:val="120"/>
                <w:sz w:val="20"/>
              </w:rPr>
              <w:t>to </w:t>
            </w:r>
            <w:r>
              <w:rPr>
                <w:spacing w:val="5"/>
                <w:w w:val="120"/>
                <w:sz w:val="20"/>
              </w:rPr>
              <w:t>General Assembly </w:t>
            </w:r>
            <w:r>
              <w:rPr>
                <w:spacing w:val="4"/>
                <w:w w:val="120"/>
                <w:sz w:val="20"/>
              </w:rPr>
              <w:t>shall apply </w:t>
            </w:r>
            <w:r>
              <w:rPr>
                <w:w w:val="120"/>
                <w:sz w:val="20"/>
              </w:rPr>
              <w:t>to </w:t>
            </w:r>
            <w:r>
              <w:rPr>
                <w:spacing w:val="3"/>
                <w:w w:val="120"/>
                <w:sz w:val="20"/>
              </w:rPr>
              <w:t>all </w:t>
            </w:r>
            <w:r>
              <w:rPr>
                <w:spacing w:val="4"/>
                <w:w w:val="120"/>
                <w:sz w:val="20"/>
              </w:rPr>
              <w:t>meetings </w:t>
            </w:r>
            <w:r>
              <w:rPr>
                <w:spacing w:val="3"/>
                <w:w w:val="120"/>
                <w:sz w:val="20"/>
              </w:rPr>
              <w:t>of </w:t>
            </w:r>
            <w:r>
              <w:rPr>
                <w:spacing w:val="4"/>
                <w:w w:val="120"/>
                <w:sz w:val="20"/>
              </w:rPr>
              <w:t>the </w:t>
            </w:r>
            <w:r>
              <w:rPr>
                <w:spacing w:val="5"/>
                <w:w w:val="120"/>
                <w:sz w:val="20"/>
              </w:rPr>
              <w:t>Assembly </w:t>
            </w:r>
            <w:r>
              <w:rPr>
                <w:spacing w:val="4"/>
                <w:w w:val="120"/>
                <w:sz w:val="20"/>
              </w:rPr>
              <w:t>and the Mission </w:t>
            </w:r>
            <w:r>
              <w:rPr>
                <w:spacing w:val="3"/>
                <w:w w:val="120"/>
                <w:sz w:val="20"/>
              </w:rPr>
              <w:t>Council </w:t>
            </w:r>
            <w:r>
              <w:rPr>
                <w:spacing w:val="4"/>
                <w:w w:val="120"/>
                <w:sz w:val="20"/>
              </w:rPr>
              <w:t>and, </w:t>
            </w:r>
            <w:r>
              <w:rPr>
                <w:spacing w:val="2"/>
                <w:w w:val="120"/>
                <w:sz w:val="20"/>
              </w:rPr>
              <w:t>in </w:t>
            </w:r>
            <w:r>
              <w:rPr>
                <w:spacing w:val="3"/>
                <w:w w:val="120"/>
                <w:sz w:val="20"/>
              </w:rPr>
              <w:t>so </w:t>
            </w:r>
            <w:r>
              <w:rPr>
                <w:spacing w:val="4"/>
                <w:w w:val="120"/>
                <w:sz w:val="20"/>
              </w:rPr>
              <w:t>far </w:t>
            </w:r>
            <w:r>
              <w:rPr>
                <w:spacing w:val="2"/>
                <w:w w:val="120"/>
                <w:sz w:val="20"/>
              </w:rPr>
              <w:t>as </w:t>
            </w:r>
            <w:r>
              <w:rPr>
                <w:spacing w:val="4"/>
                <w:w w:val="120"/>
                <w:sz w:val="20"/>
              </w:rPr>
              <w:t>they are </w:t>
            </w:r>
            <w:r>
              <w:rPr>
                <w:spacing w:val="5"/>
                <w:w w:val="120"/>
                <w:sz w:val="20"/>
              </w:rPr>
              <w:t>applicable, </w:t>
            </w:r>
            <w:r>
              <w:rPr>
                <w:w w:val="120"/>
                <w:sz w:val="20"/>
              </w:rPr>
              <w:t>to </w:t>
            </w:r>
            <w:r>
              <w:rPr>
                <w:spacing w:val="4"/>
                <w:w w:val="120"/>
                <w:sz w:val="20"/>
              </w:rPr>
              <w:t>meetings </w:t>
            </w:r>
            <w:r>
              <w:rPr>
                <w:spacing w:val="3"/>
                <w:w w:val="120"/>
                <w:sz w:val="20"/>
              </w:rPr>
              <w:t>of </w:t>
            </w:r>
            <w:r>
              <w:rPr>
                <w:spacing w:val="5"/>
                <w:w w:val="120"/>
                <w:sz w:val="20"/>
              </w:rPr>
              <w:t>synods, district </w:t>
            </w:r>
            <w:r>
              <w:rPr>
                <w:spacing w:val="3"/>
                <w:w w:val="120"/>
                <w:sz w:val="20"/>
              </w:rPr>
              <w:t>councils </w:t>
            </w:r>
            <w:r>
              <w:rPr>
                <w:spacing w:val="4"/>
                <w:w w:val="120"/>
                <w:sz w:val="20"/>
              </w:rPr>
              <w:t>and their</w:t>
            </w:r>
            <w:r>
              <w:rPr>
                <w:spacing w:val="32"/>
                <w:w w:val="120"/>
                <w:sz w:val="20"/>
              </w:rPr>
              <w:t> </w:t>
            </w:r>
            <w:r>
              <w:rPr>
                <w:spacing w:val="4"/>
                <w:w w:val="120"/>
                <w:sz w:val="20"/>
              </w:rPr>
              <w:t>committees</w:t>
            </w:r>
          </w:p>
        </w:tc>
      </w:tr>
    </w:tbl>
    <w:p>
      <w:pPr>
        <w:pStyle w:val="BodyText"/>
        <w:spacing w:before="11"/>
        <w:rPr>
          <w:sz w:val="28"/>
        </w:rPr>
      </w:pPr>
    </w:p>
    <w:p>
      <w:pPr>
        <w:pStyle w:val="BodyText"/>
        <w:spacing w:line="235" w:lineRule="auto"/>
        <w:ind w:left="1133" w:right="2464"/>
        <w:jc w:val="both"/>
      </w:pPr>
      <w:r>
        <w:rPr>
          <w:w w:val="120"/>
        </w:rPr>
        <w:t>The amendments in resolutions 25 and </w:t>
      </w:r>
      <w:r>
        <w:rPr>
          <w:spacing w:val="-3"/>
          <w:w w:val="120"/>
        </w:rPr>
        <w:t>26 </w:t>
      </w:r>
      <w:r>
        <w:rPr>
          <w:w w:val="120"/>
        </w:rPr>
        <w:t>are proposed from discussions in Mission Council about the roles of Mission Council and Assembly arising from the change to  a biennial Assembly. For convenience the current version is shown with the changed words underlined. The resolution then shows the final version. Changes to the</w:t>
      </w:r>
      <w:r>
        <w:rPr>
          <w:spacing w:val="1"/>
          <w:w w:val="120"/>
        </w:rPr>
        <w:t> </w:t>
      </w:r>
      <w:r>
        <w:rPr>
          <w:w w:val="120"/>
        </w:rPr>
        <w:t>Rules</w:t>
      </w:r>
    </w:p>
    <w:p>
      <w:pPr>
        <w:pStyle w:val="BodyText"/>
        <w:spacing w:line="235" w:lineRule="auto" w:before="3"/>
        <w:ind w:left="1133" w:right="2110"/>
      </w:pPr>
      <w:r>
        <w:rPr>
          <w:w w:val="120"/>
        </w:rPr>
        <w:t>of Procedure are effected by a simple majority vote at one Assembly while changes to the Structure are subject to the ‘two Assembly’ rule and thus need to be referred to the synods and confirmed by a final vote in Assembly 2012.</w:t>
      </w:r>
    </w:p>
    <w:p>
      <w:pPr>
        <w:pStyle w:val="BodyText"/>
        <w:spacing w:before="10"/>
        <w:rPr>
          <w:sz w:val="19"/>
        </w:rPr>
      </w:pPr>
    </w:p>
    <w:p>
      <w:pPr>
        <w:pStyle w:val="BodyText"/>
        <w:spacing w:line="235" w:lineRule="auto"/>
        <w:ind w:left="1133" w:right="2031"/>
      </w:pPr>
      <w:r>
        <w:rPr>
          <w:w w:val="120"/>
        </w:rPr>
        <w:t>Resolution 25 is a change </w:t>
      </w:r>
      <w:r>
        <w:rPr>
          <w:spacing w:val="-3"/>
          <w:w w:val="120"/>
        </w:rPr>
        <w:t>to </w:t>
      </w:r>
      <w:r>
        <w:rPr>
          <w:w w:val="120"/>
        </w:rPr>
        <w:t>the rules of procedure and </w:t>
      </w:r>
      <w:r>
        <w:rPr>
          <w:spacing w:val="-3"/>
          <w:w w:val="120"/>
        </w:rPr>
        <w:t>concerns </w:t>
      </w:r>
      <w:r>
        <w:rPr>
          <w:w w:val="120"/>
        </w:rPr>
        <w:t>standing orders. Mission </w:t>
      </w:r>
      <w:r>
        <w:rPr>
          <w:spacing w:val="-3"/>
          <w:w w:val="120"/>
        </w:rPr>
        <w:t>Council </w:t>
      </w:r>
      <w:r>
        <w:rPr>
          <w:w w:val="120"/>
        </w:rPr>
        <w:t>has </w:t>
      </w:r>
      <w:r>
        <w:rPr>
          <w:spacing w:val="-3"/>
          <w:w w:val="120"/>
        </w:rPr>
        <w:t>always </w:t>
      </w:r>
      <w:r>
        <w:rPr>
          <w:w w:val="120"/>
        </w:rPr>
        <w:t>had a dual function serving both as an Assembly </w:t>
      </w:r>
      <w:r>
        <w:rPr>
          <w:spacing w:val="-3"/>
          <w:w w:val="120"/>
        </w:rPr>
        <w:t>Committee </w:t>
      </w:r>
      <w:r>
        <w:rPr>
          <w:w w:val="120"/>
        </w:rPr>
        <w:t>and as</w:t>
      </w:r>
    </w:p>
    <w:p>
      <w:pPr>
        <w:pStyle w:val="BodyText"/>
        <w:spacing w:line="235" w:lineRule="auto" w:before="2"/>
        <w:ind w:left="1133" w:right="2033"/>
      </w:pPr>
      <w:r>
        <w:rPr>
          <w:w w:val="120"/>
        </w:rPr>
        <w:t>an Assembly </w:t>
      </w:r>
      <w:r>
        <w:rPr>
          <w:spacing w:val="-3"/>
          <w:w w:val="120"/>
        </w:rPr>
        <w:t>executive. </w:t>
      </w:r>
      <w:r>
        <w:rPr>
          <w:w w:val="120"/>
        </w:rPr>
        <w:t>When </w:t>
      </w:r>
      <w:r>
        <w:rPr>
          <w:spacing w:val="-3"/>
          <w:w w:val="120"/>
        </w:rPr>
        <w:t>exercising </w:t>
      </w:r>
      <w:r>
        <w:rPr>
          <w:w w:val="120"/>
        </w:rPr>
        <w:t>the powers of Assembly it has worked under Assembly Standing Orders, but when sitting as a </w:t>
      </w:r>
      <w:r>
        <w:rPr>
          <w:spacing w:val="-3"/>
          <w:w w:val="120"/>
        </w:rPr>
        <w:t>committee </w:t>
      </w:r>
      <w:r>
        <w:rPr>
          <w:w w:val="120"/>
        </w:rPr>
        <w:t>it has had no standing orders. </w:t>
      </w:r>
      <w:r>
        <w:rPr>
          <w:spacing w:val="-3"/>
          <w:w w:val="120"/>
        </w:rPr>
        <w:t>Increasingly this </w:t>
      </w:r>
      <w:r>
        <w:rPr>
          <w:w w:val="120"/>
        </w:rPr>
        <w:t>has </w:t>
      </w:r>
      <w:r>
        <w:rPr>
          <w:spacing w:val="-2"/>
          <w:w w:val="120"/>
        </w:rPr>
        <w:t>proved </w:t>
      </w:r>
      <w:r>
        <w:rPr>
          <w:w w:val="120"/>
        </w:rPr>
        <w:t>problematical and with the adoption of </w:t>
      </w:r>
      <w:r>
        <w:rPr>
          <w:spacing w:val="-4"/>
          <w:w w:val="120"/>
        </w:rPr>
        <w:t>consensus </w:t>
      </w:r>
      <w:r>
        <w:rPr>
          <w:w w:val="120"/>
        </w:rPr>
        <w:t>procedures which </w:t>
      </w:r>
      <w:r>
        <w:rPr>
          <w:spacing w:val="-3"/>
          <w:w w:val="120"/>
        </w:rPr>
        <w:t>allow </w:t>
      </w:r>
      <w:r>
        <w:rPr>
          <w:w w:val="120"/>
        </w:rPr>
        <w:t>for a </w:t>
      </w:r>
      <w:r>
        <w:rPr>
          <w:spacing w:val="-3"/>
          <w:w w:val="120"/>
        </w:rPr>
        <w:t>greater </w:t>
      </w:r>
      <w:r>
        <w:rPr>
          <w:w w:val="120"/>
        </w:rPr>
        <w:t>variety of methods of </w:t>
      </w:r>
      <w:r>
        <w:rPr>
          <w:spacing w:val="-3"/>
          <w:w w:val="120"/>
        </w:rPr>
        <w:t>debate </w:t>
      </w:r>
      <w:r>
        <w:rPr>
          <w:w w:val="120"/>
        </w:rPr>
        <w:t>it has seemed appropriate </w:t>
      </w:r>
      <w:r>
        <w:rPr>
          <w:spacing w:val="-3"/>
          <w:w w:val="120"/>
        </w:rPr>
        <w:t>to </w:t>
      </w:r>
      <w:r>
        <w:rPr>
          <w:w w:val="120"/>
        </w:rPr>
        <w:t>bring all Mission </w:t>
      </w:r>
      <w:r>
        <w:rPr>
          <w:spacing w:val="-3"/>
          <w:w w:val="120"/>
        </w:rPr>
        <w:t>Council </w:t>
      </w:r>
      <w:r>
        <w:rPr>
          <w:w w:val="120"/>
        </w:rPr>
        <w:t>business under the Assembly Standing Orders.</w:t>
      </w:r>
    </w:p>
    <w:p>
      <w:pPr>
        <w:pStyle w:val="BodyText"/>
        <w:spacing w:before="11"/>
        <w:rPr>
          <w:sz w:val="19"/>
        </w:rPr>
      </w:pPr>
    </w:p>
    <w:p>
      <w:pPr>
        <w:pStyle w:val="BodyText"/>
        <w:tabs>
          <w:tab w:pos="2607" w:val="left" w:leader="none"/>
        </w:tabs>
        <w:spacing w:line="235" w:lineRule="auto"/>
        <w:ind w:left="2607" w:right="2394" w:hanging="794"/>
      </w:pPr>
      <w:r>
        <w:rPr>
          <w:spacing w:val="-6"/>
          <w:w w:val="120"/>
        </w:rPr>
        <w:t>1.3</w:t>
        <w:tab/>
      </w:r>
      <w:r>
        <w:rPr>
          <w:w w:val="120"/>
        </w:rPr>
        <w:t>All meetings of the Assembly shall be convened and held as provided by these rules. The Standing Orders which are printed</w:t>
      </w:r>
      <w:r>
        <w:rPr>
          <w:strike/>
          <w:w w:val="120"/>
        </w:rPr>
        <w:t> </w:t>
      </w:r>
      <w:r>
        <w:rPr>
          <w:strike/>
          <w:w w:val="120"/>
          <w:u w:val="single"/>
        </w:rPr>
        <w:t>each year</w:t>
      </w:r>
      <w:r>
        <w:rPr>
          <w:strike w:val="0"/>
          <w:w w:val="120"/>
        </w:rPr>
        <w:t> in the Book of </w:t>
      </w:r>
      <w:r>
        <w:rPr>
          <w:strike w:val="0"/>
          <w:spacing w:val="2"/>
          <w:w w:val="120"/>
        </w:rPr>
        <w:t>Reports </w:t>
      </w:r>
      <w:r>
        <w:rPr>
          <w:strike w:val="0"/>
          <w:w w:val="120"/>
        </w:rPr>
        <w:t>to General Assembly shall apply to all meetings of the Assembly </w:t>
      </w:r>
      <w:r>
        <w:rPr>
          <w:strike w:val="0"/>
          <w:w w:val="120"/>
          <w:u w:val="single"/>
        </w:rPr>
        <w:t>and the Mission Council</w:t>
      </w:r>
      <w:r>
        <w:rPr>
          <w:strike w:val="0"/>
          <w:w w:val="120"/>
        </w:rPr>
        <w:t> and, in so far as they are applicable, to meetings of synods, district councils and their</w:t>
      </w:r>
      <w:r>
        <w:rPr>
          <w:strike w:val="0"/>
          <w:spacing w:val="24"/>
          <w:w w:val="120"/>
        </w:rPr>
        <w:t> </w:t>
      </w:r>
      <w:r>
        <w:rPr>
          <w:strike w:val="0"/>
          <w:w w:val="120"/>
        </w:rPr>
        <w:t>committees</w:t>
      </w:r>
    </w:p>
    <w:p>
      <w:pPr>
        <w:spacing w:after="0" w:line="235" w:lineRule="auto"/>
        <w:sectPr>
          <w:headerReference w:type="even" r:id="rId581"/>
          <w:headerReference w:type="default" r:id="rId582"/>
          <w:footerReference w:type="even" r:id="rId583"/>
          <w:footerReference w:type="default" r:id="rId584"/>
          <w:pgSz w:w="11910" w:h="16840"/>
          <w:pgMar w:header="0" w:footer="647" w:top="1060" w:bottom="840" w:left="0" w:right="0"/>
          <w:pgNumType w:start="258"/>
        </w:sectPr>
      </w:pPr>
    </w:p>
    <w:p>
      <w:pPr>
        <w:pStyle w:val="Heading5"/>
        <w:spacing w:line="244" w:lineRule="auto" w:before="115"/>
        <w:ind w:right="1634"/>
      </w:pPr>
      <w:r>
        <w:rPr/>
        <w:pict>
          <v:rect style="position:absolute;margin-left:558.424988pt;margin-top:8.501747pt;width:22.677pt;height:22.677pt;mso-position-horizontal-relative:page;mso-position-vertical-relative:paragraph;z-index:252397568" filled="true" fillcolor="#dcd0e6" stroked="false">
            <v:fill opacity="32768f" type="solid"/>
            <w10:wrap type="none"/>
          </v:rect>
        </w:pict>
      </w:r>
      <w:r>
        <w:rPr/>
        <w:pict>
          <v:group style="position:absolute;margin-left:60.945pt;margin-top:108.196907pt;width:526.4pt;height:686.65pt;mso-position-horizontal-relative:page;mso-position-vertical-relative:page;z-index:-267025408" coordorigin="1219,2164" coordsize="10528,13733">
            <v:shape style="position:absolute;left:1702;top:2193;width:9352;height:13575" coordorigin="1702,2194" coordsize="9352,13575" path="m1702,15529l1706,15667,1732,15739,1804,15765,1942,15769,10813,15769,10952,15765,11023,15739,11050,15667,11053,15529,11053,2434,11050,2295,11023,2224,10952,2198,10813,2194,1942,2194,1804,2198,1732,2224,1706,2295,1702,2434,1702,15529xe" filled="false" stroked="true" strokeweight="3pt" strokecolor="#000000">
              <v:path arrowok="t"/>
              <v:stroke dashstyle="solid"/>
            </v:shape>
            <v:rect style="position:absolute;left:1218;top:15549;width:10528;height:348" filled="true" fillcolor="#ffffff" stroked="false">
              <v:fill type="solid"/>
            </v:rect>
            <w10:wrap type="none"/>
          </v:group>
        </w:pict>
      </w:r>
      <w:r>
        <w:rPr>
          <w:color w:val="9662A1"/>
          <w:w w:val="120"/>
        </w:rPr>
        <w:t>Changes to the Structure (section B of the Manual): the ‘Two Assemblies’ rule</w:t>
      </w:r>
    </w:p>
    <w:p>
      <w:pPr>
        <w:pStyle w:val="BodyText"/>
        <w:spacing w:before="1"/>
        <w:rPr>
          <w:sz w:val="14"/>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2"/>
                <w:sz w:val="57"/>
              </w:rPr>
              <w:t>26</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2798" w:hRule="atLeast"/>
        </w:trPr>
        <w:tc>
          <w:tcPr>
            <w:tcW w:w="9350" w:type="dxa"/>
            <w:gridSpan w:val="3"/>
            <w:tcBorders>
              <w:left w:val="single" w:sz="48" w:space="0" w:color="000000"/>
              <w:right w:val="single" w:sz="48" w:space="0" w:color="000000"/>
            </w:tcBorders>
          </w:tcPr>
          <w:p>
            <w:pPr>
              <w:pStyle w:val="TableParagraph"/>
              <w:spacing w:before="3"/>
              <w:rPr>
                <w:sz w:val="29"/>
              </w:rPr>
            </w:pPr>
          </w:p>
          <w:p>
            <w:pPr>
              <w:pStyle w:val="TableParagraph"/>
              <w:spacing w:line="235" w:lineRule="auto"/>
              <w:ind w:left="266" w:right="641"/>
              <w:rPr>
                <w:sz w:val="20"/>
              </w:rPr>
            </w:pPr>
            <w:r>
              <w:rPr>
                <w:w w:val="120"/>
                <w:sz w:val="20"/>
              </w:rPr>
              <w:t>General Assembly resolves to amend paragraph 3 of the Structure of the United Reformed Church to read:</w:t>
            </w:r>
          </w:p>
          <w:p>
            <w:pPr>
              <w:pStyle w:val="TableParagraph"/>
              <w:spacing w:before="9"/>
              <w:rPr>
                <w:sz w:val="19"/>
              </w:rPr>
            </w:pPr>
          </w:p>
          <w:p>
            <w:pPr>
              <w:pStyle w:val="TableParagraph"/>
              <w:spacing w:line="235" w:lineRule="auto"/>
              <w:ind w:left="266" w:right="337"/>
              <w:rPr>
                <w:sz w:val="20"/>
              </w:rPr>
            </w:pPr>
            <w:r>
              <w:rPr>
                <w:w w:val="120"/>
                <w:sz w:val="20"/>
              </w:rPr>
              <w:t>3.(1) No exercise of the function of constitutional amendment contained in 2.5.xi shall have effect unless the following procedure has been followed:</w:t>
            </w:r>
          </w:p>
          <w:p>
            <w:pPr>
              <w:pStyle w:val="TableParagraph"/>
              <w:spacing w:before="10"/>
              <w:rPr>
                <w:sz w:val="19"/>
              </w:rPr>
            </w:pPr>
          </w:p>
          <w:p>
            <w:pPr>
              <w:pStyle w:val="TableParagraph"/>
              <w:numPr>
                <w:ilvl w:val="0"/>
                <w:numId w:val="203"/>
              </w:numPr>
              <w:tabs>
                <w:tab w:pos="946" w:val="left" w:leader="none"/>
                <w:tab w:pos="948" w:val="left" w:leader="none"/>
              </w:tabs>
              <w:spacing w:line="235" w:lineRule="auto" w:before="0" w:after="0"/>
              <w:ind w:left="947" w:right="929" w:hanging="681"/>
              <w:jc w:val="left"/>
              <w:rPr>
                <w:sz w:val="20"/>
              </w:rPr>
            </w:pPr>
            <w:r>
              <w:rPr>
                <w:spacing w:val="4"/>
                <w:w w:val="120"/>
                <w:sz w:val="20"/>
              </w:rPr>
              <w:t>The </w:t>
            </w:r>
            <w:r>
              <w:rPr>
                <w:spacing w:val="5"/>
                <w:w w:val="120"/>
                <w:sz w:val="20"/>
              </w:rPr>
              <w:t>proposal </w:t>
            </w:r>
            <w:r>
              <w:rPr>
                <w:spacing w:val="3"/>
                <w:w w:val="120"/>
                <w:sz w:val="20"/>
              </w:rPr>
              <w:t>for </w:t>
            </w:r>
            <w:r>
              <w:rPr>
                <w:spacing w:val="4"/>
                <w:w w:val="120"/>
                <w:sz w:val="20"/>
              </w:rPr>
              <w:t>the </w:t>
            </w:r>
            <w:r>
              <w:rPr>
                <w:spacing w:val="5"/>
                <w:w w:val="120"/>
                <w:sz w:val="20"/>
              </w:rPr>
              <w:t>amendment </w:t>
            </w:r>
            <w:r>
              <w:rPr>
                <w:spacing w:val="4"/>
                <w:w w:val="120"/>
                <w:sz w:val="20"/>
              </w:rPr>
              <w:t>shall be made </w:t>
            </w:r>
            <w:r>
              <w:rPr>
                <w:spacing w:val="2"/>
                <w:w w:val="120"/>
                <w:sz w:val="20"/>
              </w:rPr>
              <w:t>in </w:t>
            </w:r>
            <w:r>
              <w:rPr>
                <w:spacing w:val="3"/>
                <w:w w:val="120"/>
                <w:sz w:val="20"/>
              </w:rPr>
              <w:t>accordance </w:t>
            </w:r>
            <w:r>
              <w:rPr>
                <w:spacing w:val="4"/>
                <w:w w:val="120"/>
                <w:sz w:val="20"/>
              </w:rPr>
              <w:t>with the Standing </w:t>
            </w:r>
            <w:r>
              <w:rPr>
                <w:spacing w:val="5"/>
                <w:w w:val="120"/>
                <w:sz w:val="20"/>
              </w:rPr>
              <w:t>Orders </w:t>
            </w:r>
            <w:r>
              <w:rPr>
                <w:spacing w:val="3"/>
                <w:w w:val="120"/>
                <w:sz w:val="20"/>
              </w:rPr>
              <w:t>of </w:t>
            </w:r>
            <w:r>
              <w:rPr>
                <w:spacing w:val="4"/>
                <w:w w:val="120"/>
                <w:sz w:val="20"/>
              </w:rPr>
              <w:t>the </w:t>
            </w:r>
            <w:r>
              <w:rPr>
                <w:spacing w:val="5"/>
                <w:w w:val="120"/>
                <w:sz w:val="20"/>
              </w:rPr>
              <w:t>General</w:t>
            </w:r>
            <w:r>
              <w:rPr>
                <w:spacing w:val="53"/>
                <w:w w:val="120"/>
                <w:sz w:val="20"/>
              </w:rPr>
              <w:t> </w:t>
            </w:r>
            <w:r>
              <w:rPr>
                <w:spacing w:val="4"/>
                <w:w w:val="120"/>
                <w:sz w:val="20"/>
              </w:rPr>
              <w:t>Assembly.</w:t>
            </w:r>
          </w:p>
          <w:p>
            <w:pPr>
              <w:pStyle w:val="TableParagraph"/>
              <w:spacing w:before="9"/>
              <w:rPr>
                <w:sz w:val="19"/>
              </w:rPr>
            </w:pPr>
          </w:p>
          <w:p>
            <w:pPr>
              <w:pStyle w:val="TableParagraph"/>
              <w:numPr>
                <w:ilvl w:val="0"/>
                <w:numId w:val="203"/>
              </w:numPr>
              <w:tabs>
                <w:tab w:pos="947" w:val="left" w:leader="none"/>
                <w:tab w:pos="948" w:val="left" w:leader="none"/>
              </w:tabs>
              <w:spacing w:line="235" w:lineRule="auto" w:before="0" w:after="0"/>
              <w:ind w:left="947" w:right="240" w:hanging="681"/>
              <w:jc w:val="left"/>
              <w:rPr>
                <w:sz w:val="20"/>
              </w:rPr>
            </w:pPr>
            <w:r>
              <w:rPr>
                <w:spacing w:val="4"/>
                <w:w w:val="120"/>
                <w:sz w:val="20"/>
              </w:rPr>
              <w:t>Either The </w:t>
            </w:r>
            <w:r>
              <w:rPr>
                <w:spacing w:val="5"/>
                <w:w w:val="120"/>
                <w:sz w:val="20"/>
              </w:rPr>
              <w:t>General Assembly </w:t>
            </w:r>
            <w:r>
              <w:rPr>
                <w:w w:val="120"/>
                <w:sz w:val="20"/>
              </w:rPr>
              <w:t>or,  </w:t>
            </w:r>
            <w:r>
              <w:rPr>
                <w:spacing w:val="2"/>
                <w:w w:val="120"/>
                <w:sz w:val="20"/>
              </w:rPr>
              <w:t>in </w:t>
            </w:r>
            <w:r>
              <w:rPr>
                <w:spacing w:val="4"/>
                <w:w w:val="120"/>
                <w:sz w:val="20"/>
              </w:rPr>
              <w:t>years when the </w:t>
            </w:r>
            <w:r>
              <w:rPr>
                <w:spacing w:val="5"/>
                <w:w w:val="120"/>
                <w:sz w:val="20"/>
              </w:rPr>
              <w:t>General Assembly </w:t>
            </w:r>
            <w:r>
              <w:rPr>
                <w:spacing w:val="4"/>
                <w:w w:val="120"/>
                <w:sz w:val="20"/>
              </w:rPr>
              <w:t>does  </w:t>
            </w:r>
            <w:r>
              <w:rPr>
                <w:spacing w:val="3"/>
                <w:w w:val="120"/>
                <w:sz w:val="20"/>
              </w:rPr>
              <w:t>not </w:t>
            </w:r>
            <w:r>
              <w:rPr>
                <w:spacing w:val="4"/>
                <w:w w:val="120"/>
                <w:sz w:val="20"/>
              </w:rPr>
              <w:t>meet, the Mission </w:t>
            </w:r>
            <w:r>
              <w:rPr>
                <w:spacing w:val="3"/>
                <w:w w:val="120"/>
                <w:sz w:val="20"/>
              </w:rPr>
              <w:t>Council </w:t>
            </w:r>
            <w:r>
              <w:rPr>
                <w:spacing w:val="4"/>
                <w:w w:val="120"/>
                <w:sz w:val="20"/>
              </w:rPr>
              <w:t>shall </w:t>
            </w:r>
            <w:r>
              <w:rPr>
                <w:spacing w:val="2"/>
                <w:w w:val="120"/>
                <w:sz w:val="20"/>
              </w:rPr>
              <w:t>vote </w:t>
            </w:r>
            <w:r>
              <w:rPr>
                <w:spacing w:val="3"/>
                <w:w w:val="120"/>
                <w:sz w:val="20"/>
              </w:rPr>
              <w:t>on </w:t>
            </w:r>
            <w:r>
              <w:rPr>
                <w:w w:val="120"/>
                <w:sz w:val="20"/>
              </w:rPr>
              <w:t>a </w:t>
            </w:r>
            <w:r>
              <w:rPr>
                <w:spacing w:val="4"/>
                <w:w w:val="120"/>
                <w:sz w:val="20"/>
              </w:rPr>
              <w:t>motion </w:t>
            </w:r>
            <w:r>
              <w:rPr>
                <w:w w:val="120"/>
                <w:sz w:val="20"/>
              </w:rPr>
              <w:t>to </w:t>
            </w:r>
            <w:r>
              <w:rPr>
                <w:spacing w:val="4"/>
                <w:w w:val="120"/>
                <w:sz w:val="20"/>
              </w:rPr>
              <w:t>approve the </w:t>
            </w:r>
            <w:r>
              <w:rPr>
                <w:spacing w:val="5"/>
                <w:w w:val="120"/>
                <w:sz w:val="20"/>
              </w:rPr>
              <w:t>proposal </w:t>
            </w:r>
            <w:r>
              <w:rPr>
                <w:spacing w:val="4"/>
                <w:w w:val="120"/>
                <w:sz w:val="20"/>
              </w:rPr>
              <w:t>which shall </w:t>
            </w:r>
            <w:r>
              <w:rPr>
                <w:spacing w:val="5"/>
                <w:w w:val="120"/>
                <w:sz w:val="20"/>
              </w:rPr>
              <w:t>require </w:t>
            </w:r>
            <w:r>
              <w:rPr>
                <w:w w:val="120"/>
                <w:sz w:val="20"/>
              </w:rPr>
              <w:t>a </w:t>
            </w:r>
            <w:r>
              <w:rPr>
                <w:spacing w:val="5"/>
                <w:w w:val="120"/>
                <w:sz w:val="20"/>
              </w:rPr>
              <w:t>majority </w:t>
            </w:r>
            <w:r>
              <w:rPr>
                <w:spacing w:val="3"/>
                <w:w w:val="120"/>
                <w:sz w:val="20"/>
              </w:rPr>
              <w:t>of </w:t>
            </w:r>
            <w:r>
              <w:rPr>
                <w:spacing w:val="6"/>
                <w:w w:val="120"/>
                <w:sz w:val="20"/>
              </w:rPr>
              <w:t>two-thirds </w:t>
            </w:r>
            <w:r>
              <w:rPr>
                <w:spacing w:val="3"/>
                <w:w w:val="120"/>
                <w:sz w:val="20"/>
              </w:rPr>
              <w:t>of </w:t>
            </w:r>
            <w:r>
              <w:rPr>
                <w:spacing w:val="4"/>
                <w:w w:val="120"/>
                <w:sz w:val="20"/>
              </w:rPr>
              <w:t>the </w:t>
            </w:r>
            <w:r>
              <w:rPr>
                <w:spacing w:val="5"/>
                <w:w w:val="120"/>
                <w:sz w:val="20"/>
              </w:rPr>
              <w:t>members </w:t>
            </w:r>
            <w:r>
              <w:rPr>
                <w:spacing w:val="4"/>
                <w:w w:val="120"/>
                <w:sz w:val="20"/>
              </w:rPr>
              <w:t>present and voting </w:t>
            </w:r>
            <w:r>
              <w:rPr>
                <w:w w:val="120"/>
                <w:sz w:val="20"/>
              </w:rPr>
              <w:t>to</w:t>
            </w:r>
            <w:r>
              <w:rPr>
                <w:spacing w:val="22"/>
                <w:w w:val="120"/>
                <w:sz w:val="20"/>
              </w:rPr>
              <w:t> </w:t>
            </w:r>
            <w:r>
              <w:rPr>
                <w:spacing w:val="4"/>
                <w:w w:val="120"/>
                <w:sz w:val="20"/>
              </w:rPr>
              <w:t>pass.</w:t>
            </w:r>
          </w:p>
          <w:p>
            <w:pPr>
              <w:pStyle w:val="TableParagraph"/>
              <w:spacing w:before="11"/>
              <w:rPr>
                <w:sz w:val="19"/>
              </w:rPr>
            </w:pPr>
          </w:p>
          <w:p>
            <w:pPr>
              <w:pStyle w:val="TableParagraph"/>
              <w:numPr>
                <w:ilvl w:val="0"/>
                <w:numId w:val="203"/>
              </w:numPr>
              <w:tabs>
                <w:tab w:pos="947" w:val="left" w:leader="none"/>
                <w:tab w:pos="948" w:val="left" w:leader="none"/>
              </w:tabs>
              <w:spacing w:line="235" w:lineRule="auto" w:before="0" w:after="0"/>
              <w:ind w:left="947" w:right="228" w:hanging="681"/>
              <w:jc w:val="left"/>
              <w:rPr>
                <w:sz w:val="20"/>
              </w:rPr>
            </w:pPr>
            <w:r>
              <w:rPr>
                <w:spacing w:val="4"/>
                <w:w w:val="120"/>
                <w:sz w:val="20"/>
              </w:rPr>
              <w:t>If </w:t>
            </w:r>
            <w:r>
              <w:rPr>
                <w:spacing w:val="3"/>
                <w:w w:val="120"/>
                <w:sz w:val="20"/>
              </w:rPr>
              <w:t>such </w:t>
            </w:r>
            <w:r>
              <w:rPr>
                <w:spacing w:val="4"/>
                <w:w w:val="120"/>
                <w:sz w:val="20"/>
              </w:rPr>
              <w:t>motion </w:t>
            </w:r>
            <w:r>
              <w:rPr>
                <w:w w:val="120"/>
                <w:sz w:val="20"/>
              </w:rPr>
              <w:t>to </w:t>
            </w:r>
            <w:r>
              <w:rPr>
                <w:spacing w:val="4"/>
                <w:w w:val="120"/>
                <w:sz w:val="20"/>
              </w:rPr>
              <w:t>approve the </w:t>
            </w:r>
            <w:r>
              <w:rPr>
                <w:spacing w:val="5"/>
                <w:w w:val="120"/>
                <w:sz w:val="20"/>
              </w:rPr>
              <w:t>proposal </w:t>
            </w:r>
            <w:r>
              <w:rPr>
                <w:w w:val="120"/>
                <w:sz w:val="20"/>
              </w:rPr>
              <w:t>is </w:t>
            </w:r>
            <w:r>
              <w:rPr>
                <w:spacing w:val="4"/>
                <w:w w:val="120"/>
                <w:sz w:val="20"/>
              </w:rPr>
              <w:t>passed the </w:t>
            </w:r>
            <w:r>
              <w:rPr>
                <w:spacing w:val="5"/>
                <w:w w:val="120"/>
                <w:sz w:val="20"/>
              </w:rPr>
              <w:t>General Assembly </w:t>
            </w:r>
            <w:r>
              <w:rPr>
                <w:spacing w:val="3"/>
                <w:w w:val="120"/>
                <w:sz w:val="20"/>
              </w:rPr>
              <w:t>or </w:t>
            </w:r>
            <w:r>
              <w:rPr>
                <w:spacing w:val="4"/>
                <w:w w:val="120"/>
                <w:sz w:val="20"/>
              </w:rPr>
              <w:t>the Mission </w:t>
            </w:r>
            <w:r>
              <w:rPr>
                <w:spacing w:val="3"/>
                <w:w w:val="120"/>
                <w:sz w:val="20"/>
              </w:rPr>
              <w:t>Council, </w:t>
            </w:r>
            <w:r>
              <w:rPr>
                <w:spacing w:val="2"/>
                <w:w w:val="120"/>
                <w:sz w:val="20"/>
              </w:rPr>
              <w:t>as </w:t>
            </w:r>
            <w:r>
              <w:rPr>
                <w:spacing w:val="4"/>
                <w:w w:val="120"/>
                <w:sz w:val="20"/>
              </w:rPr>
              <w:t>the case </w:t>
            </w:r>
            <w:r>
              <w:rPr>
                <w:spacing w:val="2"/>
                <w:w w:val="120"/>
                <w:sz w:val="20"/>
              </w:rPr>
              <w:t>may </w:t>
            </w:r>
            <w:r>
              <w:rPr>
                <w:spacing w:val="3"/>
                <w:w w:val="120"/>
                <w:sz w:val="20"/>
              </w:rPr>
              <w:t>be, </w:t>
            </w:r>
            <w:r>
              <w:rPr>
                <w:spacing w:val="4"/>
                <w:w w:val="120"/>
                <w:sz w:val="20"/>
              </w:rPr>
              <w:t>shall refer the </w:t>
            </w:r>
            <w:r>
              <w:rPr>
                <w:spacing w:val="5"/>
                <w:w w:val="120"/>
                <w:sz w:val="20"/>
              </w:rPr>
              <w:t>proposal </w:t>
            </w:r>
            <w:r>
              <w:rPr>
                <w:w w:val="120"/>
                <w:sz w:val="20"/>
              </w:rPr>
              <w:t>to </w:t>
            </w:r>
            <w:r>
              <w:rPr>
                <w:spacing w:val="5"/>
                <w:w w:val="120"/>
                <w:sz w:val="20"/>
              </w:rPr>
              <w:t>synods </w:t>
            </w:r>
            <w:r>
              <w:rPr>
                <w:spacing w:val="4"/>
                <w:w w:val="120"/>
                <w:sz w:val="20"/>
              </w:rPr>
              <w:t>and </w:t>
            </w:r>
            <w:r>
              <w:rPr>
                <w:w w:val="120"/>
                <w:sz w:val="20"/>
              </w:rPr>
              <w:t>may,</w:t>
            </w:r>
            <w:r>
              <w:rPr>
                <w:spacing w:val="14"/>
                <w:w w:val="120"/>
                <w:sz w:val="20"/>
              </w:rPr>
              <w:t> </w:t>
            </w:r>
            <w:r>
              <w:rPr>
                <w:spacing w:val="3"/>
                <w:w w:val="120"/>
                <w:sz w:val="20"/>
              </w:rPr>
              <w:t>if</w:t>
            </w:r>
            <w:r>
              <w:rPr>
                <w:spacing w:val="14"/>
                <w:w w:val="120"/>
                <w:sz w:val="20"/>
              </w:rPr>
              <w:t> </w:t>
            </w:r>
            <w:r>
              <w:rPr>
                <w:spacing w:val="2"/>
                <w:w w:val="120"/>
                <w:sz w:val="20"/>
              </w:rPr>
              <w:t>it</w:t>
            </w:r>
            <w:r>
              <w:rPr>
                <w:spacing w:val="15"/>
                <w:w w:val="120"/>
                <w:sz w:val="20"/>
              </w:rPr>
              <w:t> </w:t>
            </w:r>
            <w:r>
              <w:rPr>
                <w:spacing w:val="4"/>
                <w:w w:val="120"/>
                <w:sz w:val="20"/>
              </w:rPr>
              <w:t>deems</w:t>
            </w:r>
            <w:r>
              <w:rPr>
                <w:spacing w:val="14"/>
                <w:w w:val="120"/>
                <w:sz w:val="20"/>
              </w:rPr>
              <w:t> </w:t>
            </w:r>
            <w:r>
              <w:rPr>
                <w:spacing w:val="5"/>
                <w:w w:val="120"/>
                <w:sz w:val="20"/>
              </w:rPr>
              <w:t>appropriate,</w:t>
            </w:r>
            <w:r>
              <w:rPr>
                <w:spacing w:val="14"/>
                <w:w w:val="120"/>
                <w:sz w:val="20"/>
              </w:rPr>
              <w:t> </w:t>
            </w:r>
            <w:r>
              <w:rPr>
                <w:spacing w:val="2"/>
                <w:w w:val="120"/>
                <w:sz w:val="20"/>
              </w:rPr>
              <w:t>in</w:t>
            </w:r>
            <w:r>
              <w:rPr>
                <w:spacing w:val="15"/>
                <w:w w:val="120"/>
                <w:sz w:val="20"/>
              </w:rPr>
              <w:t> </w:t>
            </w:r>
            <w:r>
              <w:rPr>
                <w:spacing w:val="4"/>
                <w:w w:val="120"/>
                <w:sz w:val="20"/>
              </w:rPr>
              <w:t>exceptional</w:t>
            </w:r>
            <w:r>
              <w:rPr>
                <w:spacing w:val="14"/>
                <w:w w:val="120"/>
                <w:sz w:val="20"/>
              </w:rPr>
              <w:t> </w:t>
            </w:r>
            <w:r>
              <w:rPr>
                <w:spacing w:val="4"/>
                <w:w w:val="120"/>
                <w:sz w:val="20"/>
              </w:rPr>
              <w:t>cases</w:t>
            </w:r>
            <w:r>
              <w:rPr>
                <w:spacing w:val="15"/>
                <w:w w:val="120"/>
                <w:sz w:val="20"/>
              </w:rPr>
              <w:t> </w:t>
            </w:r>
            <w:r>
              <w:rPr>
                <w:spacing w:val="3"/>
                <w:w w:val="120"/>
                <w:sz w:val="20"/>
              </w:rPr>
              <w:t>also</w:t>
            </w:r>
            <w:r>
              <w:rPr>
                <w:spacing w:val="14"/>
                <w:w w:val="120"/>
                <w:sz w:val="20"/>
              </w:rPr>
              <w:t> </w:t>
            </w:r>
            <w:r>
              <w:rPr>
                <w:w w:val="120"/>
                <w:sz w:val="20"/>
              </w:rPr>
              <w:t>to</w:t>
            </w:r>
            <w:r>
              <w:rPr>
                <w:spacing w:val="14"/>
                <w:w w:val="120"/>
                <w:sz w:val="20"/>
              </w:rPr>
              <w:t> </w:t>
            </w:r>
            <w:r>
              <w:rPr>
                <w:spacing w:val="5"/>
                <w:w w:val="120"/>
                <w:sz w:val="20"/>
              </w:rPr>
              <w:t>local</w:t>
            </w:r>
            <w:r>
              <w:rPr>
                <w:spacing w:val="15"/>
                <w:w w:val="120"/>
                <w:sz w:val="20"/>
              </w:rPr>
              <w:t> </w:t>
            </w:r>
            <w:r>
              <w:rPr>
                <w:spacing w:val="4"/>
                <w:w w:val="120"/>
                <w:sz w:val="20"/>
              </w:rPr>
              <w:t>churches.</w:t>
            </w:r>
          </w:p>
          <w:p>
            <w:pPr>
              <w:pStyle w:val="TableParagraph"/>
              <w:spacing w:before="10"/>
              <w:rPr>
                <w:sz w:val="19"/>
              </w:rPr>
            </w:pPr>
          </w:p>
          <w:p>
            <w:pPr>
              <w:pStyle w:val="TableParagraph"/>
              <w:numPr>
                <w:ilvl w:val="0"/>
                <w:numId w:val="203"/>
              </w:numPr>
              <w:tabs>
                <w:tab w:pos="947" w:val="left" w:leader="none"/>
                <w:tab w:pos="948" w:val="left" w:leader="none"/>
              </w:tabs>
              <w:spacing w:line="235" w:lineRule="auto" w:before="0" w:after="0"/>
              <w:ind w:left="947" w:right="321" w:hanging="681"/>
              <w:jc w:val="left"/>
              <w:rPr>
                <w:sz w:val="20"/>
              </w:rPr>
            </w:pPr>
            <w:r>
              <w:rPr>
                <w:spacing w:val="4"/>
                <w:w w:val="120"/>
                <w:sz w:val="20"/>
              </w:rPr>
              <w:t>If the </w:t>
            </w:r>
            <w:r>
              <w:rPr>
                <w:spacing w:val="5"/>
                <w:w w:val="120"/>
                <w:sz w:val="20"/>
              </w:rPr>
              <w:t>proposal </w:t>
            </w:r>
            <w:r>
              <w:rPr>
                <w:spacing w:val="3"/>
                <w:w w:val="120"/>
                <w:sz w:val="20"/>
              </w:rPr>
              <w:t>has </w:t>
            </w:r>
            <w:r>
              <w:rPr>
                <w:spacing w:val="5"/>
                <w:w w:val="120"/>
                <w:sz w:val="20"/>
              </w:rPr>
              <w:t>been agreed </w:t>
            </w:r>
            <w:r>
              <w:rPr>
                <w:w w:val="120"/>
                <w:sz w:val="20"/>
              </w:rPr>
              <w:t>by </w:t>
            </w:r>
            <w:r>
              <w:rPr>
                <w:spacing w:val="4"/>
                <w:w w:val="120"/>
                <w:sz w:val="20"/>
              </w:rPr>
              <w:t>the </w:t>
            </w:r>
            <w:r>
              <w:rPr>
                <w:spacing w:val="5"/>
                <w:w w:val="120"/>
                <w:sz w:val="20"/>
              </w:rPr>
              <w:t>General Assembly </w:t>
            </w:r>
            <w:r>
              <w:rPr>
                <w:spacing w:val="2"/>
                <w:w w:val="120"/>
                <w:sz w:val="20"/>
              </w:rPr>
              <w:t>it </w:t>
            </w:r>
            <w:r>
              <w:rPr>
                <w:spacing w:val="4"/>
                <w:w w:val="120"/>
                <w:sz w:val="20"/>
              </w:rPr>
              <w:t>shall </w:t>
            </w:r>
            <w:r>
              <w:rPr>
                <w:spacing w:val="3"/>
                <w:w w:val="120"/>
                <w:sz w:val="20"/>
              </w:rPr>
              <w:t>set </w:t>
            </w:r>
            <w:r>
              <w:rPr>
                <w:w w:val="120"/>
                <w:sz w:val="20"/>
              </w:rPr>
              <w:t>a </w:t>
            </w:r>
            <w:r>
              <w:rPr>
                <w:spacing w:val="5"/>
                <w:w w:val="120"/>
                <w:sz w:val="20"/>
              </w:rPr>
              <w:t>final </w:t>
            </w:r>
            <w:r>
              <w:rPr>
                <w:spacing w:val="3"/>
                <w:w w:val="120"/>
                <w:sz w:val="20"/>
              </w:rPr>
              <w:t>date for </w:t>
            </w:r>
            <w:r>
              <w:rPr>
                <w:spacing w:val="5"/>
                <w:w w:val="120"/>
                <w:sz w:val="20"/>
              </w:rPr>
              <w:t>responses </w:t>
            </w:r>
            <w:r>
              <w:rPr>
                <w:w w:val="120"/>
                <w:sz w:val="20"/>
              </w:rPr>
              <w:t>to </w:t>
            </w:r>
            <w:r>
              <w:rPr>
                <w:spacing w:val="4"/>
                <w:w w:val="120"/>
                <w:sz w:val="20"/>
              </w:rPr>
              <w:t>be made, which shall </w:t>
            </w:r>
            <w:r>
              <w:rPr>
                <w:spacing w:val="5"/>
                <w:w w:val="120"/>
                <w:sz w:val="20"/>
              </w:rPr>
              <w:t>normally </w:t>
            </w:r>
            <w:r>
              <w:rPr>
                <w:spacing w:val="4"/>
                <w:w w:val="120"/>
                <w:sz w:val="20"/>
              </w:rPr>
              <w:t>be </w:t>
            </w:r>
            <w:r>
              <w:rPr>
                <w:spacing w:val="2"/>
                <w:w w:val="120"/>
                <w:sz w:val="20"/>
              </w:rPr>
              <w:t>at </w:t>
            </w:r>
            <w:r>
              <w:rPr>
                <w:spacing w:val="3"/>
                <w:w w:val="120"/>
                <w:sz w:val="20"/>
              </w:rPr>
              <w:t>an </w:t>
            </w:r>
            <w:r>
              <w:rPr>
                <w:spacing w:val="5"/>
                <w:w w:val="120"/>
                <w:sz w:val="20"/>
              </w:rPr>
              <w:t>appropriate  </w:t>
            </w:r>
            <w:r>
              <w:rPr>
                <w:spacing w:val="4"/>
                <w:w w:val="120"/>
                <w:sz w:val="20"/>
              </w:rPr>
              <w:t>time </w:t>
            </w:r>
            <w:r>
              <w:rPr>
                <w:spacing w:val="5"/>
                <w:w w:val="120"/>
                <w:sz w:val="20"/>
              </w:rPr>
              <w:t>before </w:t>
            </w:r>
            <w:r>
              <w:rPr>
                <w:w w:val="120"/>
                <w:sz w:val="20"/>
              </w:rPr>
              <w:t>a </w:t>
            </w:r>
            <w:r>
              <w:rPr>
                <w:spacing w:val="5"/>
                <w:w w:val="120"/>
                <w:sz w:val="20"/>
              </w:rPr>
              <w:t>meeting </w:t>
            </w:r>
            <w:r>
              <w:rPr>
                <w:spacing w:val="3"/>
                <w:w w:val="120"/>
                <w:sz w:val="20"/>
              </w:rPr>
              <w:t>of </w:t>
            </w:r>
            <w:r>
              <w:rPr>
                <w:spacing w:val="4"/>
                <w:w w:val="120"/>
                <w:sz w:val="20"/>
              </w:rPr>
              <w:t>the Mission </w:t>
            </w:r>
            <w:r>
              <w:rPr>
                <w:spacing w:val="3"/>
                <w:w w:val="120"/>
                <w:sz w:val="20"/>
              </w:rPr>
              <w:t>Council not </w:t>
            </w:r>
            <w:r>
              <w:rPr>
                <w:spacing w:val="4"/>
                <w:w w:val="120"/>
                <w:sz w:val="20"/>
              </w:rPr>
              <w:t>less than nine months </w:t>
            </w:r>
            <w:r>
              <w:rPr>
                <w:spacing w:val="6"/>
                <w:w w:val="120"/>
                <w:sz w:val="20"/>
              </w:rPr>
              <w:t>after</w:t>
            </w:r>
            <w:r>
              <w:rPr>
                <w:spacing w:val="66"/>
                <w:w w:val="120"/>
                <w:sz w:val="20"/>
              </w:rPr>
              <w:t> </w:t>
            </w:r>
            <w:r>
              <w:rPr>
                <w:spacing w:val="4"/>
                <w:w w:val="120"/>
                <w:sz w:val="20"/>
              </w:rPr>
              <w:t>the</w:t>
            </w:r>
            <w:r>
              <w:rPr>
                <w:spacing w:val="15"/>
                <w:w w:val="120"/>
                <w:sz w:val="20"/>
              </w:rPr>
              <w:t> </w:t>
            </w:r>
            <w:r>
              <w:rPr>
                <w:spacing w:val="5"/>
                <w:w w:val="120"/>
                <w:sz w:val="20"/>
              </w:rPr>
              <w:t>meeting</w:t>
            </w:r>
            <w:r>
              <w:rPr>
                <w:spacing w:val="15"/>
                <w:w w:val="120"/>
                <w:sz w:val="20"/>
              </w:rPr>
              <w:t> </w:t>
            </w:r>
            <w:r>
              <w:rPr>
                <w:spacing w:val="3"/>
                <w:w w:val="120"/>
                <w:sz w:val="20"/>
              </w:rPr>
              <w:t>of</w:t>
            </w:r>
            <w:r>
              <w:rPr>
                <w:spacing w:val="15"/>
                <w:w w:val="120"/>
                <w:sz w:val="20"/>
              </w:rPr>
              <w:t> </w:t>
            </w:r>
            <w:r>
              <w:rPr>
                <w:spacing w:val="4"/>
                <w:w w:val="120"/>
                <w:sz w:val="20"/>
              </w:rPr>
              <w:t>the</w:t>
            </w:r>
            <w:r>
              <w:rPr>
                <w:spacing w:val="15"/>
                <w:w w:val="120"/>
                <w:sz w:val="20"/>
              </w:rPr>
              <w:t> </w:t>
            </w:r>
            <w:r>
              <w:rPr>
                <w:spacing w:val="5"/>
                <w:w w:val="120"/>
                <w:sz w:val="20"/>
              </w:rPr>
              <w:t>General</w:t>
            </w:r>
            <w:r>
              <w:rPr>
                <w:spacing w:val="15"/>
                <w:w w:val="120"/>
                <w:sz w:val="20"/>
              </w:rPr>
              <w:t> </w:t>
            </w:r>
            <w:r>
              <w:rPr>
                <w:spacing w:val="5"/>
                <w:w w:val="120"/>
                <w:sz w:val="20"/>
              </w:rPr>
              <w:t>Assembly</w:t>
            </w:r>
            <w:r>
              <w:rPr>
                <w:spacing w:val="15"/>
                <w:w w:val="120"/>
                <w:sz w:val="20"/>
              </w:rPr>
              <w:t> </w:t>
            </w:r>
            <w:r>
              <w:rPr>
                <w:spacing w:val="2"/>
                <w:w w:val="120"/>
                <w:sz w:val="20"/>
              </w:rPr>
              <w:t>at</w:t>
            </w:r>
            <w:r>
              <w:rPr>
                <w:spacing w:val="15"/>
                <w:w w:val="120"/>
                <w:sz w:val="20"/>
              </w:rPr>
              <w:t> </w:t>
            </w:r>
            <w:r>
              <w:rPr>
                <w:spacing w:val="4"/>
                <w:w w:val="120"/>
                <w:sz w:val="20"/>
              </w:rPr>
              <w:t>which</w:t>
            </w:r>
            <w:r>
              <w:rPr>
                <w:spacing w:val="16"/>
                <w:w w:val="120"/>
                <w:sz w:val="20"/>
              </w:rPr>
              <w:t> </w:t>
            </w:r>
            <w:r>
              <w:rPr>
                <w:spacing w:val="4"/>
                <w:w w:val="120"/>
                <w:sz w:val="20"/>
              </w:rPr>
              <w:t>the</w:t>
            </w:r>
            <w:r>
              <w:rPr>
                <w:spacing w:val="15"/>
                <w:w w:val="120"/>
                <w:sz w:val="20"/>
              </w:rPr>
              <w:t> </w:t>
            </w:r>
            <w:r>
              <w:rPr>
                <w:spacing w:val="5"/>
                <w:w w:val="120"/>
                <w:sz w:val="20"/>
              </w:rPr>
              <w:t>proposal</w:t>
            </w:r>
            <w:r>
              <w:rPr>
                <w:spacing w:val="15"/>
                <w:w w:val="120"/>
                <w:sz w:val="20"/>
              </w:rPr>
              <w:t> </w:t>
            </w:r>
            <w:r>
              <w:rPr>
                <w:spacing w:val="3"/>
                <w:w w:val="120"/>
                <w:sz w:val="20"/>
              </w:rPr>
              <w:t>was</w:t>
            </w:r>
            <w:r>
              <w:rPr>
                <w:spacing w:val="15"/>
                <w:w w:val="120"/>
                <w:sz w:val="20"/>
              </w:rPr>
              <w:t> </w:t>
            </w:r>
            <w:r>
              <w:rPr>
                <w:spacing w:val="5"/>
                <w:w w:val="120"/>
                <w:sz w:val="20"/>
              </w:rPr>
              <w:t>agreed.</w:t>
            </w:r>
          </w:p>
          <w:p>
            <w:pPr>
              <w:pStyle w:val="TableParagraph"/>
              <w:spacing w:before="11"/>
              <w:rPr>
                <w:sz w:val="19"/>
              </w:rPr>
            </w:pPr>
          </w:p>
          <w:p>
            <w:pPr>
              <w:pStyle w:val="TableParagraph"/>
              <w:numPr>
                <w:ilvl w:val="0"/>
                <w:numId w:val="203"/>
              </w:numPr>
              <w:tabs>
                <w:tab w:pos="947" w:val="left" w:leader="none"/>
                <w:tab w:pos="948" w:val="left" w:leader="none"/>
              </w:tabs>
              <w:spacing w:line="235" w:lineRule="auto" w:before="0" w:after="0"/>
              <w:ind w:left="947" w:right="268" w:hanging="681"/>
              <w:jc w:val="left"/>
              <w:rPr>
                <w:sz w:val="20"/>
              </w:rPr>
            </w:pPr>
            <w:r>
              <w:rPr>
                <w:spacing w:val="4"/>
                <w:w w:val="120"/>
                <w:sz w:val="20"/>
              </w:rPr>
              <w:t>If the </w:t>
            </w:r>
            <w:r>
              <w:rPr>
                <w:spacing w:val="5"/>
                <w:w w:val="120"/>
                <w:sz w:val="20"/>
              </w:rPr>
              <w:t>proposal </w:t>
            </w:r>
            <w:r>
              <w:rPr>
                <w:spacing w:val="3"/>
                <w:w w:val="120"/>
                <w:sz w:val="20"/>
              </w:rPr>
              <w:t>has </w:t>
            </w:r>
            <w:r>
              <w:rPr>
                <w:spacing w:val="5"/>
                <w:w w:val="120"/>
                <w:sz w:val="20"/>
              </w:rPr>
              <w:t>been agreed </w:t>
            </w:r>
            <w:r>
              <w:rPr>
                <w:w w:val="120"/>
                <w:sz w:val="20"/>
              </w:rPr>
              <w:t>by </w:t>
            </w:r>
            <w:r>
              <w:rPr>
                <w:spacing w:val="4"/>
                <w:w w:val="120"/>
                <w:sz w:val="20"/>
              </w:rPr>
              <w:t>the Mission </w:t>
            </w:r>
            <w:r>
              <w:rPr>
                <w:spacing w:val="3"/>
                <w:w w:val="120"/>
                <w:sz w:val="20"/>
              </w:rPr>
              <w:t>Council </w:t>
            </w:r>
            <w:r>
              <w:rPr>
                <w:spacing w:val="2"/>
                <w:w w:val="120"/>
                <w:sz w:val="20"/>
              </w:rPr>
              <w:t>it </w:t>
            </w:r>
            <w:r>
              <w:rPr>
                <w:spacing w:val="4"/>
                <w:w w:val="120"/>
                <w:sz w:val="20"/>
              </w:rPr>
              <w:t>shall </w:t>
            </w:r>
            <w:r>
              <w:rPr>
                <w:spacing w:val="3"/>
                <w:w w:val="120"/>
                <w:sz w:val="20"/>
              </w:rPr>
              <w:t>set </w:t>
            </w:r>
            <w:r>
              <w:rPr>
                <w:w w:val="120"/>
                <w:sz w:val="20"/>
              </w:rPr>
              <w:t>a </w:t>
            </w:r>
            <w:r>
              <w:rPr>
                <w:spacing w:val="5"/>
                <w:w w:val="120"/>
                <w:sz w:val="20"/>
              </w:rPr>
              <w:t>final </w:t>
            </w:r>
            <w:r>
              <w:rPr>
                <w:spacing w:val="3"/>
                <w:w w:val="120"/>
                <w:sz w:val="20"/>
              </w:rPr>
              <w:t>date for </w:t>
            </w:r>
            <w:r>
              <w:rPr>
                <w:spacing w:val="5"/>
                <w:w w:val="120"/>
                <w:sz w:val="20"/>
              </w:rPr>
              <w:t>responses </w:t>
            </w:r>
            <w:r>
              <w:rPr>
                <w:w w:val="120"/>
                <w:sz w:val="20"/>
              </w:rPr>
              <w:t>to </w:t>
            </w:r>
            <w:r>
              <w:rPr>
                <w:spacing w:val="4"/>
                <w:w w:val="120"/>
                <w:sz w:val="20"/>
              </w:rPr>
              <w:t>be made which shall </w:t>
            </w:r>
            <w:r>
              <w:rPr>
                <w:spacing w:val="5"/>
                <w:w w:val="120"/>
                <w:sz w:val="20"/>
              </w:rPr>
              <w:t>normally </w:t>
            </w:r>
            <w:r>
              <w:rPr>
                <w:spacing w:val="3"/>
                <w:w w:val="120"/>
                <w:sz w:val="20"/>
              </w:rPr>
              <w:t>be </w:t>
            </w:r>
            <w:r>
              <w:rPr>
                <w:spacing w:val="2"/>
                <w:w w:val="120"/>
                <w:sz w:val="20"/>
              </w:rPr>
              <w:t>at </w:t>
            </w:r>
            <w:r>
              <w:rPr>
                <w:spacing w:val="3"/>
                <w:w w:val="120"/>
                <w:sz w:val="20"/>
              </w:rPr>
              <w:t>an </w:t>
            </w:r>
            <w:r>
              <w:rPr>
                <w:spacing w:val="5"/>
                <w:w w:val="120"/>
                <w:sz w:val="20"/>
              </w:rPr>
              <w:t>appropriate </w:t>
            </w:r>
            <w:r>
              <w:rPr>
                <w:spacing w:val="3"/>
                <w:w w:val="120"/>
                <w:sz w:val="20"/>
              </w:rPr>
              <w:t>date </w:t>
            </w:r>
            <w:r>
              <w:rPr>
                <w:spacing w:val="5"/>
                <w:w w:val="120"/>
                <w:sz w:val="20"/>
              </w:rPr>
              <w:t>before </w:t>
            </w:r>
            <w:r>
              <w:rPr>
                <w:spacing w:val="4"/>
                <w:w w:val="120"/>
                <w:sz w:val="20"/>
              </w:rPr>
              <w:t>the </w:t>
            </w:r>
            <w:r>
              <w:rPr>
                <w:spacing w:val="6"/>
                <w:w w:val="120"/>
                <w:sz w:val="20"/>
              </w:rPr>
              <w:t>next ordinary </w:t>
            </w:r>
            <w:r>
              <w:rPr>
                <w:spacing w:val="5"/>
                <w:w w:val="120"/>
                <w:sz w:val="20"/>
              </w:rPr>
              <w:t>meeting </w:t>
            </w:r>
            <w:r>
              <w:rPr>
                <w:spacing w:val="3"/>
                <w:w w:val="120"/>
                <w:sz w:val="20"/>
              </w:rPr>
              <w:t>of </w:t>
            </w:r>
            <w:r>
              <w:rPr>
                <w:spacing w:val="4"/>
                <w:w w:val="120"/>
                <w:sz w:val="20"/>
              </w:rPr>
              <w:t>the </w:t>
            </w:r>
            <w:r>
              <w:rPr>
                <w:spacing w:val="5"/>
                <w:w w:val="120"/>
                <w:sz w:val="20"/>
              </w:rPr>
              <w:t>General</w:t>
            </w:r>
            <w:r>
              <w:rPr>
                <w:spacing w:val="13"/>
                <w:w w:val="120"/>
                <w:sz w:val="20"/>
              </w:rPr>
              <w:t> </w:t>
            </w:r>
            <w:r>
              <w:rPr>
                <w:spacing w:val="4"/>
                <w:w w:val="120"/>
                <w:sz w:val="20"/>
              </w:rPr>
              <w:t>Assembly.</w:t>
            </w:r>
          </w:p>
          <w:p>
            <w:pPr>
              <w:pStyle w:val="TableParagraph"/>
              <w:spacing w:before="10"/>
              <w:rPr>
                <w:sz w:val="19"/>
              </w:rPr>
            </w:pPr>
          </w:p>
          <w:p>
            <w:pPr>
              <w:pStyle w:val="TableParagraph"/>
              <w:numPr>
                <w:ilvl w:val="0"/>
                <w:numId w:val="203"/>
              </w:numPr>
              <w:tabs>
                <w:tab w:pos="947" w:val="left" w:leader="none"/>
                <w:tab w:pos="948" w:val="left" w:leader="none"/>
              </w:tabs>
              <w:spacing w:line="235" w:lineRule="auto" w:before="1" w:after="0"/>
              <w:ind w:left="947" w:right="206" w:hanging="681"/>
              <w:jc w:val="left"/>
              <w:rPr>
                <w:sz w:val="20"/>
              </w:rPr>
            </w:pPr>
            <w:r>
              <w:rPr>
                <w:spacing w:val="4"/>
                <w:w w:val="120"/>
                <w:sz w:val="20"/>
              </w:rPr>
              <w:t>If </w:t>
            </w:r>
            <w:r>
              <w:rPr>
                <w:w w:val="120"/>
                <w:sz w:val="20"/>
              </w:rPr>
              <w:t>by </w:t>
            </w:r>
            <w:r>
              <w:rPr>
                <w:spacing w:val="3"/>
                <w:w w:val="120"/>
                <w:sz w:val="20"/>
              </w:rPr>
              <w:t>such date notice has </w:t>
            </w:r>
            <w:r>
              <w:rPr>
                <w:spacing w:val="5"/>
                <w:w w:val="120"/>
                <w:sz w:val="20"/>
              </w:rPr>
              <w:t>been </w:t>
            </w:r>
            <w:r>
              <w:rPr>
                <w:spacing w:val="4"/>
                <w:w w:val="120"/>
                <w:sz w:val="20"/>
              </w:rPr>
              <w:t>received </w:t>
            </w:r>
            <w:r>
              <w:rPr>
                <w:w w:val="120"/>
                <w:sz w:val="20"/>
              </w:rPr>
              <w:t>by </w:t>
            </w:r>
            <w:r>
              <w:rPr>
                <w:spacing w:val="4"/>
                <w:w w:val="120"/>
                <w:sz w:val="20"/>
              </w:rPr>
              <w:t>the </w:t>
            </w:r>
            <w:r>
              <w:rPr>
                <w:spacing w:val="5"/>
                <w:w w:val="120"/>
                <w:sz w:val="20"/>
              </w:rPr>
              <w:t>General </w:t>
            </w:r>
            <w:r>
              <w:rPr>
                <w:spacing w:val="6"/>
                <w:w w:val="120"/>
                <w:sz w:val="20"/>
              </w:rPr>
              <w:t>Secretary </w:t>
            </w:r>
            <w:r>
              <w:rPr>
                <w:spacing w:val="4"/>
                <w:w w:val="120"/>
                <w:sz w:val="20"/>
              </w:rPr>
              <w:t>from more than one third </w:t>
            </w:r>
            <w:r>
              <w:rPr>
                <w:spacing w:val="3"/>
                <w:w w:val="120"/>
                <w:sz w:val="20"/>
              </w:rPr>
              <w:t>of </w:t>
            </w:r>
            <w:r>
              <w:rPr>
                <w:spacing w:val="5"/>
                <w:w w:val="120"/>
                <w:sz w:val="20"/>
              </w:rPr>
              <w:t>synods </w:t>
            </w:r>
            <w:r>
              <w:rPr>
                <w:spacing w:val="-3"/>
                <w:w w:val="120"/>
                <w:sz w:val="20"/>
              </w:rPr>
              <w:t>(or, </w:t>
            </w:r>
            <w:r>
              <w:rPr>
                <w:spacing w:val="3"/>
                <w:w w:val="120"/>
                <w:sz w:val="20"/>
              </w:rPr>
              <w:t>if </w:t>
            </w:r>
            <w:r>
              <w:rPr>
                <w:spacing w:val="2"/>
                <w:w w:val="120"/>
                <w:sz w:val="20"/>
              </w:rPr>
              <w:t>it </w:t>
            </w:r>
            <w:r>
              <w:rPr>
                <w:spacing w:val="3"/>
                <w:w w:val="120"/>
                <w:sz w:val="20"/>
              </w:rPr>
              <w:t>has </w:t>
            </w:r>
            <w:r>
              <w:rPr>
                <w:spacing w:val="5"/>
                <w:w w:val="120"/>
                <w:sz w:val="20"/>
              </w:rPr>
              <w:t>been </w:t>
            </w:r>
            <w:r>
              <w:rPr>
                <w:spacing w:val="3"/>
                <w:w w:val="120"/>
                <w:sz w:val="20"/>
              </w:rPr>
              <w:t>so </w:t>
            </w:r>
            <w:r>
              <w:rPr>
                <w:spacing w:val="5"/>
                <w:w w:val="120"/>
                <w:sz w:val="20"/>
              </w:rPr>
              <w:t>referred, </w:t>
            </w:r>
            <w:r>
              <w:rPr>
                <w:spacing w:val="4"/>
                <w:w w:val="120"/>
                <w:sz w:val="20"/>
              </w:rPr>
              <w:t>more than one third </w:t>
            </w:r>
            <w:r>
              <w:rPr>
                <w:spacing w:val="3"/>
                <w:w w:val="120"/>
                <w:sz w:val="20"/>
              </w:rPr>
              <w:t>of </w:t>
            </w:r>
            <w:r>
              <w:rPr>
                <w:spacing w:val="5"/>
                <w:w w:val="120"/>
                <w:sz w:val="20"/>
              </w:rPr>
              <w:t>local </w:t>
            </w:r>
            <w:r>
              <w:rPr>
                <w:spacing w:val="2"/>
                <w:w w:val="120"/>
                <w:sz w:val="20"/>
              </w:rPr>
              <w:t>churches) </w:t>
            </w:r>
            <w:r>
              <w:rPr>
                <w:spacing w:val="4"/>
                <w:w w:val="120"/>
                <w:sz w:val="20"/>
              </w:rPr>
              <w:t>that </w:t>
            </w:r>
            <w:r>
              <w:rPr>
                <w:w w:val="120"/>
                <w:sz w:val="20"/>
              </w:rPr>
              <w:t>a </w:t>
            </w:r>
            <w:r>
              <w:rPr>
                <w:spacing w:val="4"/>
                <w:w w:val="120"/>
                <w:sz w:val="20"/>
              </w:rPr>
              <w:t>motion ‘that the </w:t>
            </w:r>
            <w:r>
              <w:rPr>
                <w:spacing w:val="5"/>
                <w:w w:val="120"/>
                <w:sz w:val="20"/>
              </w:rPr>
              <w:t>proposal </w:t>
            </w:r>
            <w:r>
              <w:rPr>
                <w:spacing w:val="3"/>
                <w:w w:val="120"/>
                <w:sz w:val="20"/>
              </w:rPr>
              <w:t>be not </w:t>
            </w:r>
            <w:r>
              <w:rPr>
                <w:spacing w:val="5"/>
                <w:w w:val="120"/>
                <w:sz w:val="20"/>
              </w:rPr>
              <w:t>proceeded </w:t>
            </w:r>
            <w:r>
              <w:rPr>
                <w:spacing w:val="3"/>
                <w:w w:val="120"/>
                <w:sz w:val="20"/>
              </w:rPr>
              <w:t>with’ has </w:t>
            </w:r>
            <w:r>
              <w:rPr>
                <w:spacing w:val="5"/>
                <w:w w:val="120"/>
                <w:sz w:val="20"/>
              </w:rPr>
              <w:t>been </w:t>
            </w:r>
            <w:r>
              <w:rPr>
                <w:spacing w:val="4"/>
                <w:w w:val="120"/>
                <w:sz w:val="20"/>
              </w:rPr>
              <w:t>passed </w:t>
            </w:r>
            <w:r>
              <w:rPr>
                <w:w w:val="120"/>
                <w:sz w:val="20"/>
              </w:rPr>
              <w:t>by a </w:t>
            </w:r>
            <w:r>
              <w:rPr>
                <w:spacing w:val="5"/>
                <w:w w:val="120"/>
                <w:sz w:val="20"/>
              </w:rPr>
              <w:t>majority </w:t>
            </w:r>
            <w:r>
              <w:rPr>
                <w:spacing w:val="3"/>
                <w:w w:val="120"/>
                <w:sz w:val="20"/>
              </w:rPr>
              <w:t>of </w:t>
            </w:r>
            <w:r>
              <w:rPr>
                <w:spacing w:val="5"/>
                <w:w w:val="120"/>
                <w:sz w:val="20"/>
              </w:rPr>
              <w:t>members </w:t>
            </w:r>
            <w:r>
              <w:rPr>
                <w:spacing w:val="4"/>
                <w:w w:val="120"/>
                <w:sz w:val="20"/>
              </w:rPr>
              <w:t>present and voting </w:t>
            </w:r>
            <w:r>
              <w:rPr>
                <w:spacing w:val="2"/>
                <w:w w:val="120"/>
                <w:sz w:val="20"/>
              </w:rPr>
              <w:t>at </w:t>
            </w:r>
            <w:r>
              <w:rPr>
                <w:w w:val="120"/>
                <w:sz w:val="20"/>
              </w:rPr>
              <w:t>a </w:t>
            </w:r>
            <w:r>
              <w:rPr>
                <w:spacing w:val="4"/>
                <w:w w:val="120"/>
                <w:sz w:val="20"/>
              </w:rPr>
              <w:t>duly convened </w:t>
            </w:r>
            <w:r>
              <w:rPr>
                <w:spacing w:val="5"/>
                <w:w w:val="120"/>
                <w:sz w:val="20"/>
              </w:rPr>
              <w:t>meeting </w:t>
            </w:r>
            <w:r>
              <w:rPr>
                <w:spacing w:val="3"/>
                <w:w w:val="120"/>
                <w:sz w:val="20"/>
              </w:rPr>
              <w:t>of such </w:t>
            </w:r>
            <w:r>
              <w:rPr>
                <w:spacing w:val="2"/>
                <w:w w:val="120"/>
                <w:sz w:val="20"/>
              </w:rPr>
              <w:t>body, </w:t>
            </w:r>
            <w:r>
              <w:rPr>
                <w:spacing w:val="4"/>
                <w:w w:val="120"/>
                <w:sz w:val="20"/>
              </w:rPr>
              <w:t>then the </w:t>
            </w:r>
            <w:r>
              <w:rPr>
                <w:spacing w:val="5"/>
                <w:w w:val="120"/>
                <w:sz w:val="20"/>
              </w:rPr>
              <w:t>Assembly </w:t>
            </w:r>
            <w:r>
              <w:rPr>
                <w:spacing w:val="3"/>
                <w:w w:val="120"/>
                <w:sz w:val="20"/>
              </w:rPr>
              <w:t>or </w:t>
            </w:r>
            <w:r>
              <w:rPr>
                <w:spacing w:val="4"/>
                <w:w w:val="120"/>
                <w:sz w:val="20"/>
              </w:rPr>
              <w:t>the Mission </w:t>
            </w:r>
            <w:r>
              <w:rPr>
                <w:spacing w:val="3"/>
                <w:w w:val="120"/>
                <w:sz w:val="20"/>
              </w:rPr>
              <w:t>Council, </w:t>
            </w:r>
            <w:r>
              <w:rPr>
                <w:spacing w:val="2"/>
                <w:w w:val="120"/>
                <w:sz w:val="20"/>
              </w:rPr>
              <w:t>as </w:t>
            </w:r>
            <w:r>
              <w:rPr>
                <w:spacing w:val="4"/>
                <w:w w:val="120"/>
                <w:sz w:val="20"/>
              </w:rPr>
              <w:t>the case </w:t>
            </w:r>
            <w:r>
              <w:rPr>
                <w:spacing w:val="2"/>
                <w:w w:val="120"/>
                <w:sz w:val="20"/>
              </w:rPr>
              <w:t>may </w:t>
            </w:r>
            <w:r>
              <w:rPr>
                <w:spacing w:val="3"/>
                <w:w w:val="120"/>
                <w:sz w:val="20"/>
              </w:rPr>
              <w:t>be, </w:t>
            </w:r>
            <w:r>
              <w:rPr>
                <w:spacing w:val="2"/>
                <w:w w:val="120"/>
                <w:sz w:val="20"/>
              </w:rPr>
              <w:t>in </w:t>
            </w:r>
            <w:r>
              <w:rPr>
                <w:spacing w:val="5"/>
                <w:w w:val="120"/>
                <w:sz w:val="20"/>
              </w:rPr>
              <w:t>its </w:t>
            </w:r>
            <w:r>
              <w:rPr>
                <w:spacing w:val="4"/>
                <w:w w:val="120"/>
                <w:sz w:val="20"/>
              </w:rPr>
              <w:t>concern </w:t>
            </w:r>
            <w:r>
              <w:rPr>
                <w:spacing w:val="3"/>
                <w:w w:val="120"/>
                <w:sz w:val="20"/>
              </w:rPr>
              <w:t>for </w:t>
            </w:r>
            <w:r>
              <w:rPr>
                <w:spacing w:val="4"/>
                <w:w w:val="120"/>
                <w:sz w:val="20"/>
              </w:rPr>
              <w:t>the </w:t>
            </w:r>
            <w:r>
              <w:rPr>
                <w:spacing w:val="5"/>
                <w:w w:val="120"/>
                <w:sz w:val="20"/>
              </w:rPr>
              <w:t>unity </w:t>
            </w:r>
            <w:r>
              <w:rPr>
                <w:spacing w:val="3"/>
                <w:w w:val="120"/>
                <w:sz w:val="20"/>
              </w:rPr>
              <w:t>of </w:t>
            </w:r>
            <w:r>
              <w:rPr>
                <w:spacing w:val="4"/>
                <w:w w:val="120"/>
                <w:sz w:val="20"/>
              </w:rPr>
              <w:t>the </w:t>
            </w:r>
            <w:r>
              <w:rPr>
                <w:spacing w:val="3"/>
                <w:w w:val="120"/>
                <w:sz w:val="20"/>
              </w:rPr>
              <w:t>church </w:t>
            </w:r>
            <w:r>
              <w:rPr>
                <w:spacing w:val="4"/>
                <w:w w:val="120"/>
                <w:sz w:val="20"/>
              </w:rPr>
              <w:t>shall </w:t>
            </w:r>
            <w:r>
              <w:rPr>
                <w:spacing w:val="3"/>
                <w:w w:val="120"/>
                <w:sz w:val="20"/>
              </w:rPr>
              <w:t>not </w:t>
            </w:r>
            <w:r>
              <w:rPr>
                <w:spacing w:val="4"/>
                <w:w w:val="120"/>
                <w:sz w:val="20"/>
              </w:rPr>
              <w:t>proceed </w:t>
            </w:r>
            <w:r>
              <w:rPr>
                <w:w w:val="120"/>
                <w:sz w:val="20"/>
              </w:rPr>
              <w:t>to </w:t>
            </w:r>
            <w:r>
              <w:rPr>
                <w:spacing w:val="7"/>
                <w:w w:val="120"/>
                <w:sz w:val="20"/>
              </w:rPr>
              <w:t>ratify  </w:t>
            </w:r>
            <w:r>
              <w:rPr>
                <w:spacing w:val="4"/>
                <w:w w:val="120"/>
                <w:sz w:val="20"/>
              </w:rPr>
              <w:t>the</w:t>
            </w:r>
            <w:r>
              <w:rPr>
                <w:spacing w:val="13"/>
                <w:w w:val="120"/>
                <w:sz w:val="20"/>
              </w:rPr>
              <w:t> </w:t>
            </w:r>
            <w:r>
              <w:rPr>
                <w:spacing w:val="5"/>
                <w:w w:val="120"/>
                <w:sz w:val="20"/>
              </w:rPr>
              <w:t>proposal.</w:t>
            </w:r>
          </w:p>
          <w:p>
            <w:pPr>
              <w:pStyle w:val="TableParagraph"/>
              <w:rPr>
                <w:sz w:val="20"/>
              </w:rPr>
            </w:pPr>
          </w:p>
          <w:p>
            <w:pPr>
              <w:pStyle w:val="TableParagraph"/>
              <w:numPr>
                <w:ilvl w:val="0"/>
                <w:numId w:val="203"/>
              </w:numPr>
              <w:tabs>
                <w:tab w:pos="947" w:val="left" w:leader="none"/>
                <w:tab w:pos="948" w:val="left" w:leader="none"/>
              </w:tabs>
              <w:spacing w:line="235" w:lineRule="auto" w:before="0" w:after="0"/>
              <w:ind w:left="947" w:right="233" w:hanging="681"/>
              <w:jc w:val="left"/>
              <w:rPr>
                <w:sz w:val="20"/>
              </w:rPr>
            </w:pPr>
            <w:r>
              <w:rPr>
                <w:spacing w:val="4"/>
                <w:w w:val="120"/>
                <w:sz w:val="20"/>
              </w:rPr>
              <w:t>If </w:t>
            </w:r>
            <w:r>
              <w:rPr>
                <w:w w:val="120"/>
                <w:sz w:val="20"/>
              </w:rPr>
              <w:t>by </w:t>
            </w:r>
            <w:r>
              <w:rPr>
                <w:spacing w:val="3"/>
                <w:w w:val="120"/>
                <w:sz w:val="20"/>
              </w:rPr>
              <w:t>such date such notice has not </w:t>
            </w:r>
            <w:r>
              <w:rPr>
                <w:spacing w:val="5"/>
                <w:w w:val="120"/>
                <w:sz w:val="20"/>
              </w:rPr>
              <w:t>been </w:t>
            </w:r>
            <w:r>
              <w:rPr>
                <w:spacing w:val="4"/>
                <w:w w:val="120"/>
                <w:sz w:val="20"/>
              </w:rPr>
              <w:t>received, </w:t>
            </w:r>
            <w:r>
              <w:rPr>
                <w:w w:val="120"/>
                <w:sz w:val="20"/>
              </w:rPr>
              <w:t>a </w:t>
            </w:r>
            <w:r>
              <w:rPr>
                <w:spacing w:val="4"/>
                <w:w w:val="120"/>
                <w:sz w:val="20"/>
              </w:rPr>
              <w:t>motion </w:t>
            </w:r>
            <w:r>
              <w:rPr>
                <w:w w:val="120"/>
                <w:sz w:val="20"/>
              </w:rPr>
              <w:t>to </w:t>
            </w:r>
            <w:r>
              <w:rPr>
                <w:spacing w:val="5"/>
                <w:w w:val="120"/>
                <w:sz w:val="20"/>
              </w:rPr>
              <w:t>agree </w:t>
            </w:r>
            <w:r>
              <w:rPr>
                <w:spacing w:val="4"/>
                <w:w w:val="120"/>
                <w:sz w:val="20"/>
              </w:rPr>
              <w:t>the proposed </w:t>
            </w:r>
            <w:r>
              <w:rPr>
                <w:spacing w:val="5"/>
                <w:w w:val="120"/>
                <w:sz w:val="20"/>
              </w:rPr>
              <w:t>amendment </w:t>
            </w:r>
            <w:r>
              <w:rPr>
                <w:spacing w:val="4"/>
                <w:w w:val="120"/>
                <w:sz w:val="20"/>
              </w:rPr>
              <w:t>shall </w:t>
            </w:r>
            <w:r>
              <w:rPr>
                <w:spacing w:val="3"/>
                <w:w w:val="120"/>
                <w:sz w:val="20"/>
              </w:rPr>
              <w:t>come </w:t>
            </w:r>
            <w:r>
              <w:rPr>
                <w:spacing w:val="5"/>
                <w:w w:val="120"/>
                <w:sz w:val="20"/>
              </w:rPr>
              <w:t>before </w:t>
            </w:r>
            <w:r>
              <w:rPr>
                <w:spacing w:val="4"/>
                <w:w w:val="120"/>
                <w:sz w:val="20"/>
              </w:rPr>
              <w:t>the </w:t>
            </w:r>
            <w:r>
              <w:rPr>
                <w:spacing w:val="5"/>
                <w:w w:val="120"/>
                <w:sz w:val="20"/>
              </w:rPr>
              <w:t>General Assembly </w:t>
            </w:r>
            <w:r>
              <w:rPr>
                <w:spacing w:val="2"/>
                <w:w w:val="120"/>
                <w:sz w:val="20"/>
              </w:rPr>
              <w:t>at </w:t>
            </w:r>
            <w:r>
              <w:rPr>
                <w:spacing w:val="5"/>
                <w:w w:val="120"/>
                <w:sz w:val="20"/>
              </w:rPr>
              <w:t>its </w:t>
            </w:r>
            <w:r>
              <w:rPr>
                <w:spacing w:val="6"/>
                <w:w w:val="120"/>
                <w:sz w:val="20"/>
              </w:rPr>
              <w:t>next </w:t>
            </w:r>
            <w:r>
              <w:rPr>
                <w:spacing w:val="5"/>
                <w:w w:val="120"/>
                <w:sz w:val="20"/>
              </w:rPr>
              <w:t>meeting </w:t>
            </w:r>
            <w:r>
              <w:rPr>
                <w:spacing w:val="3"/>
                <w:w w:val="120"/>
                <w:sz w:val="20"/>
              </w:rPr>
              <w:t>or </w:t>
            </w:r>
            <w:r>
              <w:rPr>
                <w:spacing w:val="5"/>
                <w:w w:val="120"/>
                <w:sz w:val="20"/>
              </w:rPr>
              <w:t>before </w:t>
            </w:r>
            <w:r>
              <w:rPr>
                <w:spacing w:val="4"/>
                <w:w w:val="120"/>
                <w:sz w:val="20"/>
              </w:rPr>
              <w:t>the Mission </w:t>
            </w:r>
            <w:r>
              <w:rPr>
                <w:spacing w:val="3"/>
                <w:w w:val="120"/>
                <w:sz w:val="20"/>
              </w:rPr>
              <w:t>Council </w:t>
            </w:r>
            <w:r>
              <w:rPr>
                <w:spacing w:val="2"/>
                <w:w w:val="120"/>
                <w:sz w:val="20"/>
              </w:rPr>
              <w:t>at </w:t>
            </w:r>
            <w:r>
              <w:rPr>
                <w:w w:val="120"/>
                <w:sz w:val="20"/>
              </w:rPr>
              <w:t>a </w:t>
            </w:r>
            <w:r>
              <w:rPr>
                <w:spacing w:val="5"/>
                <w:w w:val="120"/>
                <w:sz w:val="20"/>
              </w:rPr>
              <w:t>meeting specified </w:t>
            </w:r>
            <w:r>
              <w:rPr>
                <w:w w:val="120"/>
                <w:sz w:val="20"/>
              </w:rPr>
              <w:t>by </w:t>
            </w:r>
            <w:r>
              <w:rPr>
                <w:spacing w:val="4"/>
                <w:w w:val="120"/>
                <w:sz w:val="20"/>
              </w:rPr>
              <w:t>the </w:t>
            </w:r>
            <w:r>
              <w:rPr>
                <w:spacing w:val="5"/>
                <w:w w:val="120"/>
                <w:sz w:val="20"/>
              </w:rPr>
              <w:t>General </w:t>
            </w:r>
            <w:r>
              <w:rPr>
                <w:spacing w:val="4"/>
                <w:w w:val="120"/>
                <w:sz w:val="20"/>
              </w:rPr>
              <w:t>Assembly. </w:t>
            </w:r>
            <w:r>
              <w:rPr>
                <w:spacing w:val="3"/>
                <w:w w:val="120"/>
                <w:sz w:val="20"/>
              </w:rPr>
              <w:t>Such </w:t>
            </w:r>
            <w:r>
              <w:rPr>
                <w:w w:val="120"/>
                <w:sz w:val="20"/>
              </w:rPr>
              <w:t>a </w:t>
            </w:r>
            <w:r>
              <w:rPr>
                <w:spacing w:val="4"/>
                <w:w w:val="120"/>
                <w:sz w:val="20"/>
              </w:rPr>
              <w:t>motion shall </w:t>
            </w:r>
            <w:r>
              <w:rPr>
                <w:spacing w:val="5"/>
                <w:w w:val="120"/>
                <w:sz w:val="20"/>
              </w:rPr>
              <w:t>require </w:t>
            </w:r>
            <w:r>
              <w:rPr>
                <w:w w:val="120"/>
                <w:sz w:val="20"/>
              </w:rPr>
              <w:t>a </w:t>
            </w:r>
            <w:r>
              <w:rPr>
                <w:spacing w:val="5"/>
                <w:w w:val="120"/>
                <w:sz w:val="20"/>
              </w:rPr>
              <w:t>majority </w:t>
            </w:r>
            <w:r>
              <w:rPr>
                <w:spacing w:val="3"/>
                <w:w w:val="120"/>
                <w:sz w:val="20"/>
              </w:rPr>
              <w:t>of </w:t>
            </w:r>
            <w:r>
              <w:rPr>
                <w:spacing w:val="6"/>
                <w:w w:val="120"/>
                <w:sz w:val="20"/>
              </w:rPr>
              <w:t>two-thirds </w:t>
            </w:r>
            <w:r>
              <w:rPr>
                <w:spacing w:val="3"/>
                <w:w w:val="120"/>
                <w:sz w:val="20"/>
              </w:rPr>
              <w:t>of </w:t>
            </w:r>
            <w:r>
              <w:rPr>
                <w:spacing w:val="4"/>
                <w:w w:val="120"/>
                <w:sz w:val="20"/>
              </w:rPr>
              <w:t>the  </w:t>
            </w:r>
            <w:r>
              <w:rPr>
                <w:spacing w:val="5"/>
                <w:w w:val="120"/>
                <w:sz w:val="20"/>
              </w:rPr>
              <w:t>members </w:t>
            </w:r>
            <w:r>
              <w:rPr>
                <w:spacing w:val="4"/>
                <w:w w:val="120"/>
                <w:sz w:val="20"/>
              </w:rPr>
              <w:t>present and voting </w:t>
            </w:r>
            <w:r>
              <w:rPr>
                <w:w w:val="120"/>
                <w:sz w:val="20"/>
              </w:rPr>
              <w:t>to </w:t>
            </w:r>
            <w:r>
              <w:rPr>
                <w:spacing w:val="4"/>
                <w:w w:val="120"/>
                <w:sz w:val="20"/>
              </w:rPr>
              <w:t>pass. </w:t>
            </w:r>
            <w:r>
              <w:rPr>
                <w:spacing w:val="3"/>
                <w:w w:val="120"/>
                <w:sz w:val="20"/>
              </w:rPr>
              <w:t>In </w:t>
            </w:r>
            <w:r>
              <w:rPr>
                <w:spacing w:val="5"/>
                <w:w w:val="120"/>
                <w:sz w:val="20"/>
              </w:rPr>
              <w:t>its </w:t>
            </w:r>
            <w:r>
              <w:rPr>
                <w:spacing w:val="4"/>
                <w:w w:val="120"/>
                <w:sz w:val="20"/>
              </w:rPr>
              <w:t>concern </w:t>
            </w:r>
            <w:r>
              <w:rPr>
                <w:spacing w:val="3"/>
                <w:w w:val="120"/>
                <w:sz w:val="20"/>
              </w:rPr>
              <w:t>for </w:t>
            </w:r>
            <w:r>
              <w:rPr>
                <w:spacing w:val="4"/>
                <w:w w:val="120"/>
                <w:sz w:val="20"/>
              </w:rPr>
              <w:t>mutual </w:t>
            </w:r>
            <w:r>
              <w:rPr>
                <w:spacing w:val="5"/>
                <w:w w:val="120"/>
                <w:sz w:val="20"/>
              </w:rPr>
              <w:t>understanding </w:t>
            </w:r>
            <w:r>
              <w:rPr>
                <w:spacing w:val="4"/>
                <w:w w:val="120"/>
                <w:sz w:val="20"/>
              </w:rPr>
              <w:t>within the life </w:t>
            </w:r>
            <w:r>
              <w:rPr>
                <w:spacing w:val="3"/>
                <w:w w:val="120"/>
                <w:sz w:val="20"/>
              </w:rPr>
              <w:t>of </w:t>
            </w:r>
            <w:r>
              <w:rPr>
                <w:spacing w:val="4"/>
                <w:w w:val="120"/>
                <w:sz w:val="20"/>
              </w:rPr>
              <w:t>the </w:t>
            </w:r>
            <w:r>
              <w:rPr>
                <w:spacing w:val="3"/>
                <w:w w:val="120"/>
                <w:sz w:val="20"/>
              </w:rPr>
              <w:t>church, </w:t>
            </w:r>
            <w:r>
              <w:rPr>
                <w:spacing w:val="5"/>
                <w:w w:val="120"/>
                <w:sz w:val="20"/>
              </w:rPr>
              <w:t>before </w:t>
            </w:r>
            <w:r>
              <w:rPr>
                <w:spacing w:val="4"/>
                <w:w w:val="120"/>
                <w:sz w:val="20"/>
              </w:rPr>
              <w:t>voting </w:t>
            </w:r>
            <w:r>
              <w:rPr>
                <w:spacing w:val="3"/>
                <w:w w:val="120"/>
                <w:sz w:val="20"/>
              </w:rPr>
              <w:t>on such </w:t>
            </w:r>
            <w:r>
              <w:rPr>
                <w:w w:val="120"/>
                <w:sz w:val="20"/>
              </w:rPr>
              <w:t>a </w:t>
            </w:r>
            <w:r>
              <w:rPr>
                <w:spacing w:val="4"/>
                <w:w w:val="120"/>
                <w:sz w:val="20"/>
              </w:rPr>
              <w:t>motion the </w:t>
            </w:r>
            <w:r>
              <w:rPr>
                <w:spacing w:val="5"/>
                <w:w w:val="120"/>
                <w:sz w:val="20"/>
              </w:rPr>
              <w:t>General Assembly </w:t>
            </w:r>
            <w:r>
              <w:rPr>
                <w:spacing w:val="3"/>
                <w:w w:val="120"/>
                <w:sz w:val="20"/>
              </w:rPr>
              <w:t>or </w:t>
            </w:r>
            <w:r>
              <w:rPr>
                <w:spacing w:val="4"/>
                <w:w w:val="120"/>
                <w:sz w:val="20"/>
              </w:rPr>
              <w:t>Mission </w:t>
            </w:r>
            <w:r>
              <w:rPr>
                <w:spacing w:val="3"/>
                <w:w w:val="120"/>
                <w:sz w:val="20"/>
              </w:rPr>
              <w:t>Council </w:t>
            </w:r>
            <w:r>
              <w:rPr>
                <w:spacing w:val="4"/>
                <w:w w:val="120"/>
                <w:sz w:val="20"/>
              </w:rPr>
              <w:t>shall </w:t>
            </w:r>
            <w:r>
              <w:rPr>
                <w:spacing w:val="3"/>
                <w:w w:val="120"/>
                <w:sz w:val="20"/>
              </w:rPr>
              <w:t>invite </w:t>
            </w:r>
            <w:r>
              <w:rPr>
                <w:w w:val="120"/>
                <w:sz w:val="20"/>
              </w:rPr>
              <w:t>a </w:t>
            </w:r>
            <w:r>
              <w:rPr>
                <w:spacing w:val="5"/>
                <w:w w:val="120"/>
                <w:sz w:val="20"/>
              </w:rPr>
              <w:t>representative </w:t>
            </w:r>
            <w:r>
              <w:rPr>
                <w:spacing w:val="3"/>
                <w:w w:val="120"/>
                <w:sz w:val="20"/>
              </w:rPr>
              <w:t>of any </w:t>
            </w:r>
            <w:r>
              <w:rPr>
                <w:spacing w:val="5"/>
                <w:w w:val="120"/>
                <w:sz w:val="20"/>
              </w:rPr>
              <w:t>synod </w:t>
            </w:r>
            <w:r>
              <w:rPr>
                <w:spacing w:val="4"/>
                <w:w w:val="120"/>
                <w:sz w:val="20"/>
              </w:rPr>
              <w:t>from which the </w:t>
            </w:r>
            <w:r>
              <w:rPr>
                <w:spacing w:val="5"/>
                <w:w w:val="120"/>
                <w:sz w:val="20"/>
              </w:rPr>
              <w:t>General </w:t>
            </w:r>
            <w:r>
              <w:rPr>
                <w:spacing w:val="6"/>
                <w:w w:val="120"/>
                <w:sz w:val="20"/>
              </w:rPr>
              <w:t>Secretary </w:t>
            </w:r>
            <w:r>
              <w:rPr>
                <w:spacing w:val="3"/>
                <w:w w:val="120"/>
                <w:sz w:val="20"/>
              </w:rPr>
              <w:t>has </w:t>
            </w:r>
            <w:r>
              <w:rPr>
                <w:spacing w:val="4"/>
                <w:w w:val="120"/>
                <w:sz w:val="20"/>
              </w:rPr>
              <w:t>duly received </w:t>
            </w:r>
            <w:r>
              <w:rPr>
                <w:spacing w:val="5"/>
                <w:w w:val="120"/>
                <w:sz w:val="20"/>
              </w:rPr>
              <w:t>notification </w:t>
            </w:r>
            <w:r>
              <w:rPr>
                <w:spacing w:val="4"/>
                <w:w w:val="120"/>
                <w:sz w:val="20"/>
              </w:rPr>
              <w:t>under </w:t>
            </w:r>
            <w:r>
              <w:rPr>
                <w:spacing w:val="-5"/>
                <w:w w:val="120"/>
                <w:sz w:val="20"/>
              </w:rPr>
              <w:t>3(1)(e) </w:t>
            </w:r>
            <w:r>
              <w:rPr>
                <w:w w:val="120"/>
                <w:sz w:val="20"/>
              </w:rPr>
              <w:t>to </w:t>
            </w:r>
            <w:r>
              <w:rPr>
                <w:spacing w:val="4"/>
                <w:w w:val="120"/>
                <w:sz w:val="20"/>
              </w:rPr>
              <w:t>present the main reasons </w:t>
            </w:r>
            <w:r>
              <w:rPr>
                <w:spacing w:val="3"/>
                <w:w w:val="120"/>
                <w:sz w:val="20"/>
              </w:rPr>
              <w:t>for </w:t>
            </w:r>
            <w:r>
              <w:rPr>
                <w:spacing w:val="5"/>
                <w:w w:val="120"/>
                <w:sz w:val="20"/>
              </w:rPr>
              <w:t>its</w:t>
            </w:r>
            <w:r>
              <w:rPr>
                <w:spacing w:val="57"/>
                <w:w w:val="120"/>
                <w:sz w:val="20"/>
              </w:rPr>
              <w:t> </w:t>
            </w:r>
            <w:r>
              <w:rPr>
                <w:spacing w:val="5"/>
                <w:w w:val="120"/>
                <w:sz w:val="20"/>
              </w:rPr>
              <w:t>objection.</w:t>
            </w:r>
          </w:p>
          <w:p>
            <w:pPr>
              <w:pStyle w:val="TableParagraph"/>
              <w:spacing w:before="3"/>
              <w:rPr>
                <w:sz w:val="20"/>
              </w:rPr>
            </w:pPr>
          </w:p>
          <w:p>
            <w:pPr>
              <w:pStyle w:val="TableParagraph"/>
              <w:numPr>
                <w:ilvl w:val="0"/>
                <w:numId w:val="203"/>
              </w:numPr>
              <w:tabs>
                <w:tab w:pos="947" w:val="left" w:leader="none"/>
                <w:tab w:pos="948" w:val="left" w:leader="none"/>
              </w:tabs>
              <w:spacing w:line="235" w:lineRule="auto" w:before="0" w:after="0"/>
              <w:ind w:left="947" w:right="884" w:hanging="681"/>
              <w:jc w:val="left"/>
              <w:rPr>
                <w:sz w:val="20"/>
              </w:rPr>
            </w:pPr>
            <w:r>
              <w:rPr>
                <w:spacing w:val="4"/>
                <w:w w:val="120"/>
                <w:sz w:val="20"/>
              </w:rPr>
              <w:t>If </w:t>
            </w:r>
            <w:r>
              <w:rPr>
                <w:spacing w:val="3"/>
                <w:w w:val="120"/>
                <w:sz w:val="20"/>
              </w:rPr>
              <w:t>such </w:t>
            </w:r>
            <w:r>
              <w:rPr>
                <w:w w:val="120"/>
                <w:sz w:val="20"/>
              </w:rPr>
              <w:t>a </w:t>
            </w:r>
            <w:r>
              <w:rPr>
                <w:spacing w:val="4"/>
                <w:w w:val="120"/>
                <w:sz w:val="20"/>
              </w:rPr>
              <w:t>motion </w:t>
            </w:r>
            <w:r>
              <w:rPr>
                <w:w w:val="120"/>
                <w:sz w:val="20"/>
              </w:rPr>
              <w:t>is </w:t>
            </w:r>
            <w:r>
              <w:rPr>
                <w:spacing w:val="4"/>
                <w:w w:val="120"/>
                <w:sz w:val="20"/>
              </w:rPr>
              <w:t>passed </w:t>
            </w:r>
            <w:r>
              <w:rPr>
                <w:w w:val="120"/>
                <w:sz w:val="20"/>
              </w:rPr>
              <w:t>by </w:t>
            </w:r>
            <w:r>
              <w:rPr>
                <w:spacing w:val="3"/>
                <w:w w:val="120"/>
                <w:sz w:val="20"/>
              </w:rPr>
              <w:t>such </w:t>
            </w:r>
            <w:r>
              <w:rPr>
                <w:w w:val="120"/>
                <w:sz w:val="20"/>
              </w:rPr>
              <w:t>a </w:t>
            </w:r>
            <w:r>
              <w:rPr>
                <w:spacing w:val="5"/>
                <w:w w:val="120"/>
                <w:sz w:val="20"/>
              </w:rPr>
              <w:t>majority </w:t>
            </w:r>
            <w:r>
              <w:rPr>
                <w:spacing w:val="4"/>
                <w:w w:val="120"/>
                <w:sz w:val="20"/>
              </w:rPr>
              <w:t>the </w:t>
            </w:r>
            <w:r>
              <w:rPr>
                <w:spacing w:val="5"/>
                <w:w w:val="120"/>
                <w:sz w:val="20"/>
              </w:rPr>
              <w:t>amendment </w:t>
            </w:r>
            <w:r>
              <w:rPr>
                <w:spacing w:val="4"/>
                <w:w w:val="120"/>
                <w:sz w:val="20"/>
              </w:rPr>
              <w:t>shall </w:t>
            </w:r>
            <w:r>
              <w:rPr>
                <w:spacing w:val="3"/>
                <w:w w:val="120"/>
                <w:sz w:val="20"/>
              </w:rPr>
              <w:t>have </w:t>
            </w:r>
            <w:r>
              <w:rPr>
                <w:spacing w:val="7"/>
                <w:w w:val="120"/>
                <w:sz w:val="20"/>
              </w:rPr>
              <w:t>effect.</w:t>
            </w:r>
          </w:p>
          <w:p>
            <w:pPr>
              <w:pStyle w:val="TableParagraph"/>
              <w:spacing w:before="9"/>
              <w:rPr>
                <w:sz w:val="19"/>
              </w:rPr>
            </w:pPr>
          </w:p>
          <w:p>
            <w:pPr>
              <w:pStyle w:val="TableParagraph"/>
              <w:numPr>
                <w:ilvl w:val="0"/>
                <w:numId w:val="203"/>
              </w:numPr>
              <w:tabs>
                <w:tab w:pos="948" w:val="left" w:leader="none"/>
              </w:tabs>
              <w:spacing w:line="235" w:lineRule="auto" w:before="0" w:after="0"/>
              <w:ind w:left="947" w:right="579" w:hanging="681"/>
              <w:jc w:val="both"/>
              <w:rPr>
                <w:sz w:val="20"/>
              </w:rPr>
            </w:pPr>
            <w:r>
              <w:rPr>
                <w:spacing w:val="5"/>
                <w:w w:val="120"/>
                <w:sz w:val="20"/>
              </w:rPr>
              <w:t>For </w:t>
            </w:r>
            <w:r>
              <w:rPr>
                <w:spacing w:val="4"/>
                <w:w w:val="120"/>
                <w:sz w:val="20"/>
              </w:rPr>
              <w:t>the </w:t>
            </w:r>
            <w:r>
              <w:rPr>
                <w:spacing w:val="5"/>
                <w:w w:val="120"/>
                <w:sz w:val="20"/>
              </w:rPr>
              <w:t>purposes </w:t>
            </w:r>
            <w:r>
              <w:rPr>
                <w:spacing w:val="3"/>
                <w:w w:val="120"/>
                <w:sz w:val="20"/>
              </w:rPr>
              <w:t>of this </w:t>
            </w:r>
            <w:r>
              <w:rPr>
                <w:spacing w:val="6"/>
                <w:w w:val="120"/>
                <w:sz w:val="20"/>
              </w:rPr>
              <w:t>paragraph </w:t>
            </w:r>
            <w:r>
              <w:rPr>
                <w:spacing w:val="-4"/>
                <w:w w:val="120"/>
                <w:sz w:val="20"/>
              </w:rPr>
              <w:t>3(1), </w:t>
            </w:r>
            <w:r>
              <w:rPr>
                <w:spacing w:val="4"/>
                <w:w w:val="120"/>
                <w:sz w:val="20"/>
              </w:rPr>
              <w:t>only </w:t>
            </w:r>
            <w:r>
              <w:rPr>
                <w:spacing w:val="5"/>
                <w:w w:val="120"/>
                <w:sz w:val="20"/>
              </w:rPr>
              <w:t>synods </w:t>
            </w:r>
            <w:r>
              <w:rPr>
                <w:spacing w:val="4"/>
                <w:w w:val="120"/>
                <w:sz w:val="20"/>
              </w:rPr>
              <w:t>and </w:t>
            </w:r>
            <w:r>
              <w:rPr>
                <w:spacing w:val="5"/>
                <w:w w:val="120"/>
                <w:sz w:val="20"/>
              </w:rPr>
              <w:t>local </w:t>
            </w:r>
            <w:r>
              <w:rPr>
                <w:spacing w:val="4"/>
                <w:w w:val="120"/>
                <w:sz w:val="20"/>
              </w:rPr>
              <w:t>churches </w:t>
            </w:r>
            <w:r>
              <w:rPr>
                <w:spacing w:val="2"/>
                <w:w w:val="120"/>
                <w:sz w:val="20"/>
              </w:rPr>
              <w:t>in </w:t>
            </w:r>
            <w:r>
              <w:rPr>
                <w:spacing w:val="4"/>
                <w:w w:val="120"/>
                <w:sz w:val="20"/>
              </w:rPr>
              <w:t>existence </w:t>
            </w:r>
            <w:r>
              <w:rPr>
                <w:spacing w:val="3"/>
                <w:w w:val="120"/>
                <w:sz w:val="20"/>
              </w:rPr>
              <w:t>on </w:t>
            </w:r>
            <w:r>
              <w:rPr>
                <w:spacing w:val="4"/>
                <w:w w:val="120"/>
                <w:sz w:val="20"/>
              </w:rPr>
              <w:t>the </w:t>
            </w:r>
            <w:r>
              <w:rPr>
                <w:spacing w:val="3"/>
                <w:w w:val="120"/>
                <w:sz w:val="20"/>
              </w:rPr>
              <w:t>date set for </w:t>
            </w:r>
            <w:r>
              <w:rPr>
                <w:spacing w:val="5"/>
                <w:w w:val="120"/>
                <w:sz w:val="20"/>
              </w:rPr>
              <w:t>responses </w:t>
            </w:r>
            <w:r>
              <w:rPr>
                <w:w w:val="120"/>
                <w:sz w:val="20"/>
              </w:rPr>
              <w:t>to </w:t>
            </w:r>
            <w:r>
              <w:rPr>
                <w:spacing w:val="4"/>
                <w:w w:val="120"/>
                <w:sz w:val="20"/>
              </w:rPr>
              <w:t>be made shall be </w:t>
            </w:r>
            <w:r>
              <w:rPr>
                <w:spacing w:val="3"/>
                <w:w w:val="120"/>
                <w:sz w:val="20"/>
              </w:rPr>
              <w:t>counted </w:t>
            </w:r>
            <w:r>
              <w:rPr>
                <w:spacing w:val="2"/>
                <w:w w:val="120"/>
                <w:sz w:val="20"/>
              </w:rPr>
              <w:t>in </w:t>
            </w:r>
            <w:r>
              <w:rPr>
                <w:spacing w:val="4"/>
                <w:w w:val="120"/>
                <w:sz w:val="20"/>
              </w:rPr>
              <w:t>the </w:t>
            </w:r>
            <w:r>
              <w:rPr>
                <w:spacing w:val="5"/>
                <w:w w:val="120"/>
                <w:sz w:val="20"/>
              </w:rPr>
              <w:t>calculations.</w:t>
            </w:r>
          </w:p>
        </w:tc>
      </w:tr>
    </w:tbl>
    <w:p>
      <w:pPr>
        <w:spacing w:after="0" w:line="235" w:lineRule="auto"/>
        <w:jc w:val="both"/>
        <w:rPr>
          <w:sz w:val="20"/>
        </w:rPr>
        <w:sectPr>
          <w:pgSz w:w="11910" w:h="16840"/>
          <w:pgMar w:header="0" w:footer="647" w:top="1060" w:bottom="840" w:left="0" w:right="0"/>
        </w:sectPr>
      </w:pPr>
    </w:p>
    <w:p>
      <w:pPr>
        <w:pStyle w:val="BodyText"/>
        <w:spacing w:before="11"/>
        <w:rPr>
          <w:sz w:val="13"/>
        </w:rPr>
      </w:pPr>
    </w:p>
    <w:p>
      <w:pPr>
        <w:pStyle w:val="BodyText"/>
        <w:ind w:left="240"/>
      </w:pPr>
      <w:r>
        <w:rPr/>
        <w:pict>
          <v:group style="width:22.7pt;height:22.7pt;mso-position-horizontal-relative:char;mso-position-vertical-relative:line" coordorigin="0,0" coordsize="454,454">
            <v:rect style="position:absolute;left:0;top:0;width:454;height:454" filled="true" fillcolor="#dcd0e6" stroked="false">
              <v:fill opacity="32768f" type="solid"/>
            </v:rect>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7"/>
        </w:rPr>
      </w:pPr>
    </w:p>
    <w:p>
      <w:pPr>
        <w:pStyle w:val="BodyText"/>
        <w:tabs>
          <w:tab w:pos="1814" w:val="left" w:leader="none"/>
        </w:tabs>
        <w:spacing w:line="235" w:lineRule="auto" w:before="104"/>
        <w:ind w:left="1133" w:right="1916"/>
      </w:pPr>
      <w:r>
        <w:rPr/>
        <w:pict>
          <v:group style="position:absolute;margin-left:39.685001pt;margin-top:-155.861526pt;width:526.4pt;height:131.550pt;mso-position-horizontal-relative:page;mso-position-vertical-relative:paragraph;z-index:252401664" coordorigin="794,-3117" coordsize="10528,2631">
            <v:shape style="position:absolute;left:840;top:-2974;width:9352;height:2458" coordorigin="841,-2974" coordsize="9352,2458" path="m841,-756l844,-618,871,-546,942,-520,1081,-516,9952,-516,10090,-520,10162,-546,10188,-618,10192,-756,10192,-2734,10188,-2872,10162,-2944,10090,-2970,9952,-2974,1081,-2974,942,-2970,871,-2944,844,-2872,841,-2734,841,-756xe" filled="false" stroked="true" strokeweight="3pt" strokecolor="#000000">
              <v:path arrowok="t"/>
              <v:stroke dashstyle="solid"/>
            </v:shape>
            <v:rect style="position:absolute;left:793;top:-3118;width:10528;height:348" filled="true" fillcolor="#ffffff" stroked="false">
              <v:fill type="solid"/>
            </v:rect>
            <v:shape style="position:absolute;left:793;top:-3118;width:10528;height:2631" type="#_x0000_t202" filled="false" stroked="false">
              <v:textbox inset="0,0,0,0">
                <w:txbxContent>
                  <w:p>
                    <w:pPr>
                      <w:spacing w:line="240" w:lineRule="auto" w:before="11"/>
                      <w:rPr>
                        <w:sz w:val="27"/>
                      </w:rPr>
                    </w:pPr>
                  </w:p>
                  <w:p>
                    <w:pPr>
                      <w:spacing w:line="235" w:lineRule="auto" w:before="1"/>
                      <w:ind w:left="340" w:right="1682" w:firstLine="0"/>
                      <w:jc w:val="left"/>
                      <w:rPr>
                        <w:sz w:val="20"/>
                      </w:rPr>
                    </w:pPr>
                    <w:r>
                      <w:rPr>
                        <w:w w:val="120"/>
                        <w:sz w:val="20"/>
                      </w:rPr>
                      <w:t>3.(2)  </w:t>
                    </w:r>
                    <w:r>
                      <w:rPr>
                        <w:spacing w:val="3"/>
                        <w:w w:val="120"/>
                        <w:sz w:val="20"/>
                      </w:rPr>
                      <w:t>In </w:t>
                    </w:r>
                    <w:r>
                      <w:rPr>
                        <w:spacing w:val="4"/>
                        <w:w w:val="120"/>
                        <w:sz w:val="20"/>
                      </w:rPr>
                      <w:t>the case </w:t>
                    </w:r>
                    <w:r>
                      <w:rPr>
                        <w:spacing w:val="3"/>
                        <w:w w:val="120"/>
                        <w:sz w:val="20"/>
                      </w:rPr>
                      <w:t>of </w:t>
                    </w:r>
                    <w:r>
                      <w:rPr>
                        <w:spacing w:val="4"/>
                        <w:w w:val="120"/>
                        <w:sz w:val="20"/>
                      </w:rPr>
                      <w:t>motions which would </w:t>
                    </w:r>
                    <w:r>
                      <w:rPr>
                        <w:spacing w:val="3"/>
                        <w:w w:val="120"/>
                        <w:sz w:val="20"/>
                      </w:rPr>
                      <w:t>have </w:t>
                    </w:r>
                    <w:r>
                      <w:rPr>
                        <w:spacing w:val="4"/>
                        <w:w w:val="120"/>
                        <w:sz w:val="20"/>
                      </w:rPr>
                      <w:t>the </w:t>
                    </w:r>
                    <w:r>
                      <w:rPr>
                        <w:spacing w:val="7"/>
                        <w:w w:val="120"/>
                        <w:sz w:val="20"/>
                      </w:rPr>
                      <w:t>effect </w:t>
                    </w:r>
                    <w:r>
                      <w:rPr>
                        <w:spacing w:val="3"/>
                        <w:w w:val="120"/>
                        <w:sz w:val="20"/>
                      </w:rPr>
                      <w:t>of </w:t>
                    </w:r>
                    <w:r>
                      <w:rPr>
                        <w:spacing w:val="5"/>
                        <w:w w:val="120"/>
                        <w:sz w:val="20"/>
                      </w:rPr>
                      <w:t>terminating </w:t>
                    </w:r>
                    <w:r>
                      <w:rPr>
                        <w:spacing w:val="4"/>
                        <w:w w:val="120"/>
                        <w:sz w:val="20"/>
                      </w:rPr>
                      <w:t>the   </w:t>
                    </w:r>
                    <w:r>
                      <w:rPr>
                        <w:spacing w:val="5"/>
                        <w:w w:val="120"/>
                        <w:sz w:val="20"/>
                      </w:rPr>
                      <w:t>separate </w:t>
                    </w:r>
                    <w:r>
                      <w:rPr>
                        <w:spacing w:val="4"/>
                        <w:w w:val="120"/>
                        <w:sz w:val="20"/>
                      </w:rPr>
                      <w:t>existence </w:t>
                    </w:r>
                    <w:r>
                      <w:rPr>
                        <w:spacing w:val="3"/>
                        <w:w w:val="120"/>
                        <w:sz w:val="20"/>
                      </w:rPr>
                      <w:t>of </w:t>
                    </w:r>
                    <w:r>
                      <w:rPr>
                        <w:spacing w:val="4"/>
                        <w:w w:val="120"/>
                        <w:sz w:val="20"/>
                      </w:rPr>
                      <w:t>the United </w:t>
                    </w:r>
                    <w:r>
                      <w:rPr>
                        <w:spacing w:val="5"/>
                        <w:w w:val="120"/>
                        <w:sz w:val="20"/>
                      </w:rPr>
                      <w:t>Reformed </w:t>
                    </w:r>
                    <w:r>
                      <w:rPr>
                        <w:spacing w:val="3"/>
                        <w:w w:val="120"/>
                        <w:sz w:val="20"/>
                      </w:rPr>
                      <w:t>Church, or of  </w:t>
                    </w:r>
                    <w:r>
                      <w:rPr>
                        <w:w w:val="120"/>
                        <w:sz w:val="20"/>
                      </w:rPr>
                      <w:t>a  </w:t>
                    </w:r>
                    <w:r>
                      <w:rPr>
                        <w:spacing w:val="5"/>
                        <w:w w:val="120"/>
                        <w:sz w:val="20"/>
                      </w:rPr>
                      <w:t>synod </w:t>
                    </w:r>
                    <w:r>
                      <w:rPr>
                        <w:spacing w:val="4"/>
                        <w:w w:val="120"/>
                        <w:sz w:val="20"/>
                      </w:rPr>
                      <w:t>within  </w:t>
                    </w:r>
                    <w:r>
                      <w:rPr>
                        <w:spacing w:val="3"/>
                        <w:w w:val="120"/>
                        <w:sz w:val="20"/>
                      </w:rPr>
                      <w:t>it,  </w:t>
                    </w:r>
                    <w:r>
                      <w:rPr>
                        <w:w w:val="120"/>
                        <w:sz w:val="20"/>
                      </w:rPr>
                      <w:t>by </w:t>
                    </w:r>
                    <w:r>
                      <w:rPr>
                        <w:spacing w:val="4"/>
                        <w:w w:val="120"/>
                        <w:sz w:val="20"/>
                      </w:rPr>
                      <w:t>union with other churches, the voting process </w:t>
                    </w:r>
                    <w:r>
                      <w:rPr>
                        <w:w w:val="120"/>
                        <w:sz w:val="20"/>
                      </w:rPr>
                      <w:t>to </w:t>
                    </w:r>
                    <w:r>
                      <w:rPr>
                        <w:spacing w:val="4"/>
                        <w:w w:val="120"/>
                        <w:sz w:val="20"/>
                      </w:rPr>
                      <w:t>be </w:t>
                    </w:r>
                    <w:r>
                      <w:rPr>
                        <w:spacing w:val="3"/>
                        <w:w w:val="120"/>
                        <w:sz w:val="20"/>
                      </w:rPr>
                      <w:t>used </w:t>
                    </w:r>
                    <w:r>
                      <w:rPr>
                        <w:spacing w:val="4"/>
                        <w:w w:val="120"/>
                        <w:sz w:val="20"/>
                      </w:rPr>
                      <w:t>shall be </w:t>
                    </w:r>
                    <w:r>
                      <w:rPr>
                        <w:spacing w:val="3"/>
                        <w:w w:val="120"/>
                        <w:sz w:val="20"/>
                      </w:rPr>
                      <w:t>not </w:t>
                    </w:r>
                    <w:r>
                      <w:rPr>
                        <w:spacing w:val="4"/>
                        <w:w w:val="120"/>
                        <w:sz w:val="20"/>
                      </w:rPr>
                      <w:t>less </w:t>
                    </w:r>
                    <w:r>
                      <w:rPr>
                        <w:spacing w:val="5"/>
                        <w:w w:val="120"/>
                        <w:sz w:val="20"/>
                      </w:rPr>
                      <w:t>stringent </w:t>
                    </w:r>
                    <w:r>
                      <w:rPr>
                        <w:spacing w:val="4"/>
                        <w:w w:val="120"/>
                        <w:sz w:val="20"/>
                      </w:rPr>
                      <w:t>than </w:t>
                    </w:r>
                    <w:r>
                      <w:rPr>
                        <w:spacing w:val="2"/>
                        <w:w w:val="120"/>
                        <w:sz w:val="20"/>
                      </w:rPr>
                      <w:t>in </w:t>
                    </w:r>
                    <w:r>
                      <w:rPr>
                        <w:w w:val="120"/>
                        <w:sz w:val="20"/>
                      </w:rPr>
                      <w:t>3 </w:t>
                    </w:r>
                    <w:r>
                      <w:rPr>
                        <w:spacing w:val="-7"/>
                        <w:w w:val="120"/>
                        <w:sz w:val="20"/>
                      </w:rPr>
                      <w:t>(1) </w:t>
                    </w:r>
                    <w:r>
                      <w:rPr>
                        <w:spacing w:val="4"/>
                        <w:w w:val="120"/>
                        <w:sz w:val="20"/>
                      </w:rPr>
                      <w:t>and that process shall be </w:t>
                    </w:r>
                    <w:r>
                      <w:rPr>
                        <w:spacing w:val="5"/>
                        <w:w w:val="120"/>
                        <w:sz w:val="20"/>
                      </w:rPr>
                      <w:t>determined </w:t>
                    </w:r>
                    <w:r>
                      <w:rPr>
                        <w:w w:val="120"/>
                        <w:sz w:val="20"/>
                      </w:rPr>
                      <w:t>by a </w:t>
                    </w:r>
                    <w:r>
                      <w:rPr>
                        <w:spacing w:val="4"/>
                        <w:w w:val="120"/>
                        <w:sz w:val="20"/>
                      </w:rPr>
                      <w:t>single </w:t>
                    </w:r>
                    <w:r>
                      <w:rPr>
                        <w:spacing w:val="2"/>
                        <w:w w:val="120"/>
                        <w:sz w:val="20"/>
                      </w:rPr>
                      <w:t>vote </w:t>
                    </w:r>
                    <w:r>
                      <w:rPr>
                        <w:spacing w:val="3"/>
                        <w:w w:val="120"/>
                        <w:sz w:val="20"/>
                      </w:rPr>
                      <w:t>of </w:t>
                    </w:r>
                    <w:r>
                      <w:rPr>
                        <w:spacing w:val="4"/>
                        <w:w w:val="120"/>
                        <w:sz w:val="20"/>
                      </w:rPr>
                      <w:t>the </w:t>
                    </w:r>
                    <w:r>
                      <w:rPr>
                        <w:spacing w:val="5"/>
                        <w:w w:val="120"/>
                        <w:sz w:val="20"/>
                      </w:rPr>
                      <w:t>General Assembly </w:t>
                    </w:r>
                    <w:r>
                      <w:rPr>
                        <w:spacing w:val="4"/>
                        <w:w w:val="120"/>
                        <w:sz w:val="20"/>
                      </w:rPr>
                      <w:t>which shall </w:t>
                    </w:r>
                    <w:r>
                      <w:rPr>
                        <w:spacing w:val="5"/>
                        <w:w w:val="120"/>
                        <w:sz w:val="20"/>
                      </w:rPr>
                      <w:t>require </w:t>
                    </w:r>
                    <w:r>
                      <w:rPr>
                        <w:w w:val="120"/>
                        <w:sz w:val="20"/>
                      </w:rPr>
                      <w:t>a </w:t>
                    </w:r>
                    <w:r>
                      <w:rPr>
                        <w:spacing w:val="6"/>
                        <w:w w:val="120"/>
                        <w:sz w:val="20"/>
                      </w:rPr>
                      <w:t>two-thirds </w:t>
                    </w:r>
                    <w:r>
                      <w:rPr>
                        <w:spacing w:val="5"/>
                        <w:w w:val="120"/>
                        <w:sz w:val="20"/>
                      </w:rPr>
                      <w:t>majority </w:t>
                    </w:r>
                    <w:r>
                      <w:rPr>
                        <w:spacing w:val="3"/>
                        <w:w w:val="120"/>
                        <w:sz w:val="20"/>
                      </w:rPr>
                      <w:t>of </w:t>
                    </w:r>
                    <w:r>
                      <w:rPr>
                        <w:spacing w:val="4"/>
                        <w:w w:val="120"/>
                        <w:sz w:val="20"/>
                      </w:rPr>
                      <w:t>those present and voting </w:t>
                    </w:r>
                    <w:r>
                      <w:rPr>
                        <w:w w:val="120"/>
                        <w:sz w:val="20"/>
                      </w:rPr>
                      <w:t>to </w:t>
                    </w:r>
                    <w:r>
                      <w:rPr>
                        <w:spacing w:val="4"/>
                        <w:w w:val="120"/>
                        <w:sz w:val="20"/>
                      </w:rPr>
                      <w:t>pass. </w:t>
                    </w:r>
                    <w:r>
                      <w:rPr>
                        <w:spacing w:val="3"/>
                        <w:w w:val="120"/>
                        <w:sz w:val="20"/>
                      </w:rPr>
                      <w:t>In </w:t>
                    </w:r>
                    <w:r>
                      <w:rPr>
                        <w:spacing w:val="4"/>
                        <w:w w:val="120"/>
                        <w:sz w:val="20"/>
                      </w:rPr>
                      <w:t>the case </w:t>
                    </w:r>
                    <w:r>
                      <w:rPr>
                        <w:spacing w:val="3"/>
                        <w:w w:val="120"/>
                        <w:sz w:val="20"/>
                      </w:rPr>
                      <w:t>of </w:t>
                    </w:r>
                    <w:r>
                      <w:rPr>
                        <w:w w:val="120"/>
                        <w:sz w:val="20"/>
                      </w:rPr>
                      <w:t>a  </w:t>
                    </w:r>
                    <w:r>
                      <w:rPr>
                        <w:spacing w:val="4"/>
                        <w:w w:val="120"/>
                        <w:sz w:val="20"/>
                      </w:rPr>
                      <w:t>proposed union </w:t>
                    </w:r>
                    <w:r>
                      <w:rPr>
                        <w:spacing w:val="6"/>
                        <w:w w:val="120"/>
                        <w:sz w:val="20"/>
                      </w:rPr>
                      <w:t>affecting </w:t>
                    </w:r>
                    <w:r>
                      <w:rPr>
                        <w:spacing w:val="4"/>
                        <w:w w:val="120"/>
                        <w:sz w:val="20"/>
                      </w:rPr>
                      <w:t>only Scotland </w:t>
                    </w:r>
                    <w:r>
                      <w:rPr>
                        <w:spacing w:val="3"/>
                        <w:w w:val="120"/>
                        <w:sz w:val="20"/>
                      </w:rPr>
                      <w:t>or </w:t>
                    </w:r>
                    <w:r>
                      <w:rPr>
                        <w:spacing w:val="4"/>
                        <w:w w:val="120"/>
                        <w:sz w:val="20"/>
                      </w:rPr>
                      <w:t>Wales </w:t>
                    </w:r>
                    <w:r>
                      <w:rPr>
                        <w:spacing w:val="3"/>
                        <w:w w:val="120"/>
                        <w:sz w:val="20"/>
                      </w:rPr>
                      <w:t>no </w:t>
                    </w:r>
                    <w:r>
                      <w:rPr>
                        <w:spacing w:val="5"/>
                        <w:w w:val="120"/>
                        <w:sz w:val="20"/>
                      </w:rPr>
                      <w:t>action   </w:t>
                    </w:r>
                    <w:r>
                      <w:rPr>
                        <w:spacing w:val="4"/>
                        <w:w w:val="120"/>
                        <w:sz w:val="20"/>
                      </w:rPr>
                      <w:t>will be taken </w:t>
                    </w:r>
                    <w:r>
                      <w:rPr>
                        <w:w w:val="120"/>
                        <w:sz w:val="20"/>
                      </w:rPr>
                      <w:t>by </w:t>
                    </w:r>
                    <w:r>
                      <w:rPr>
                        <w:spacing w:val="4"/>
                        <w:w w:val="120"/>
                        <w:sz w:val="20"/>
                      </w:rPr>
                      <w:t>the </w:t>
                    </w:r>
                    <w:r>
                      <w:rPr>
                        <w:spacing w:val="5"/>
                        <w:w w:val="120"/>
                        <w:sz w:val="20"/>
                      </w:rPr>
                      <w:t>General Assembly </w:t>
                    </w:r>
                    <w:r>
                      <w:rPr>
                        <w:spacing w:val="4"/>
                        <w:w w:val="120"/>
                        <w:sz w:val="20"/>
                      </w:rPr>
                      <w:t>until </w:t>
                    </w:r>
                    <w:r>
                      <w:rPr>
                        <w:w w:val="120"/>
                        <w:sz w:val="20"/>
                      </w:rPr>
                      <w:t>a </w:t>
                    </w:r>
                    <w:r>
                      <w:rPr>
                        <w:spacing w:val="4"/>
                        <w:w w:val="120"/>
                        <w:sz w:val="20"/>
                      </w:rPr>
                      <w:t>decision </w:t>
                    </w:r>
                    <w:r>
                      <w:rPr>
                        <w:spacing w:val="2"/>
                        <w:w w:val="120"/>
                        <w:sz w:val="20"/>
                      </w:rPr>
                      <w:t>in </w:t>
                    </w:r>
                    <w:r>
                      <w:rPr>
                        <w:spacing w:val="4"/>
                        <w:w w:val="120"/>
                        <w:sz w:val="20"/>
                      </w:rPr>
                      <w:t>favour </w:t>
                    </w:r>
                    <w:r>
                      <w:rPr>
                        <w:spacing w:val="3"/>
                        <w:w w:val="120"/>
                        <w:sz w:val="20"/>
                      </w:rPr>
                      <w:t>of </w:t>
                    </w:r>
                    <w:r>
                      <w:rPr>
                        <w:spacing w:val="4"/>
                        <w:w w:val="120"/>
                        <w:sz w:val="20"/>
                      </w:rPr>
                      <w:t>union </w:t>
                    </w:r>
                    <w:r>
                      <w:rPr>
                        <w:spacing w:val="3"/>
                        <w:w w:val="120"/>
                        <w:sz w:val="20"/>
                      </w:rPr>
                      <w:t>has </w:t>
                    </w:r>
                    <w:r>
                      <w:rPr>
                        <w:spacing w:val="5"/>
                        <w:w w:val="120"/>
                        <w:sz w:val="20"/>
                      </w:rPr>
                      <w:t>been </w:t>
                    </w:r>
                    <w:r>
                      <w:rPr>
                        <w:spacing w:val="4"/>
                        <w:w w:val="120"/>
                        <w:sz w:val="20"/>
                      </w:rPr>
                      <w:t>taken </w:t>
                    </w:r>
                    <w:r>
                      <w:rPr>
                        <w:w w:val="120"/>
                        <w:sz w:val="20"/>
                      </w:rPr>
                      <w:t>by </w:t>
                    </w:r>
                    <w:r>
                      <w:rPr>
                        <w:spacing w:val="4"/>
                        <w:w w:val="120"/>
                        <w:sz w:val="20"/>
                      </w:rPr>
                      <w:t>the relevant</w:t>
                    </w:r>
                    <w:r>
                      <w:rPr>
                        <w:spacing w:val="44"/>
                        <w:w w:val="120"/>
                        <w:sz w:val="20"/>
                      </w:rPr>
                      <w:t> </w:t>
                    </w:r>
                    <w:r>
                      <w:rPr>
                        <w:spacing w:val="5"/>
                        <w:w w:val="120"/>
                        <w:sz w:val="20"/>
                      </w:rPr>
                      <w:t>synod.</w:t>
                    </w:r>
                  </w:p>
                </w:txbxContent>
              </v:textbox>
              <w10:wrap type="none"/>
            </v:shape>
            <w10:wrap type="none"/>
          </v:group>
        </w:pict>
      </w:r>
      <w:r>
        <w:rPr>
          <w:w w:val="120"/>
        </w:rPr>
        <w:t>1</w:t>
        <w:tab/>
        <w:t>The rule for making changes to the Constitution of the Church was produced    when the General Assembly met annually. It requires a vote in two Assemblies. With an Assembly every two years it could result in very long delays before necessary changes could be made. After detailed debate it was agreed to recommend that Mission Council  be allowed to act on behalf of the Assembly in one of these votes, but that rather than the current rule which requires a 2/3rds vote in the first Assembly and only a simple majority in the second, Mission Council recommends that the bar be raised and a 2/3rds vote be required both in Mission Council and</w:t>
      </w:r>
      <w:r>
        <w:rPr>
          <w:spacing w:val="14"/>
          <w:w w:val="120"/>
        </w:rPr>
        <w:t> </w:t>
      </w:r>
      <w:r>
        <w:rPr>
          <w:w w:val="120"/>
        </w:rPr>
        <w:t>Assembly.</w:t>
      </w:r>
    </w:p>
    <w:p>
      <w:pPr>
        <w:pStyle w:val="BodyText"/>
        <w:spacing w:before="10"/>
        <w:rPr>
          <w:sz w:val="18"/>
        </w:rPr>
      </w:pPr>
    </w:p>
    <w:p>
      <w:pPr>
        <w:spacing w:before="0"/>
        <w:ind w:left="1133" w:right="0" w:firstLine="0"/>
        <w:jc w:val="left"/>
        <w:rPr>
          <w:rFonts w:ascii="Stone Sans II ITC Std X Bd"/>
          <w:b/>
          <w:sz w:val="20"/>
        </w:rPr>
      </w:pPr>
      <w:r>
        <w:rPr>
          <w:rFonts w:ascii="Stone Sans II ITC Std X Bd"/>
          <w:b/>
          <w:w w:val="110"/>
          <w:sz w:val="20"/>
        </w:rPr>
        <w:t>Constitutional</w:t>
      </w:r>
      <w:r>
        <w:rPr>
          <w:rFonts w:ascii="Stone Sans II ITC Std X Bd"/>
          <w:b/>
          <w:spacing w:val="4"/>
          <w:w w:val="110"/>
          <w:sz w:val="20"/>
        </w:rPr>
        <w:t> </w:t>
      </w:r>
      <w:r>
        <w:rPr>
          <w:rFonts w:ascii="Stone Sans II ITC Std X Bd"/>
          <w:b/>
          <w:w w:val="110"/>
          <w:sz w:val="20"/>
        </w:rPr>
        <w:t>Amendments</w:t>
      </w:r>
    </w:p>
    <w:p>
      <w:pPr>
        <w:pStyle w:val="BodyText"/>
        <w:spacing w:before="10"/>
        <w:rPr>
          <w:rFonts w:ascii="Stone Sans II ITC Std X Bd"/>
          <w:b/>
          <w:sz w:val="16"/>
        </w:rPr>
      </w:pPr>
    </w:p>
    <w:p>
      <w:pPr>
        <w:pStyle w:val="BodyText"/>
        <w:tabs>
          <w:tab w:pos="1814" w:val="left" w:leader="none"/>
        </w:tabs>
        <w:spacing w:line="235" w:lineRule="auto"/>
        <w:ind w:left="1133" w:right="2919"/>
      </w:pPr>
      <w:r>
        <w:rPr>
          <w:spacing w:val="-4"/>
          <w:w w:val="120"/>
        </w:rPr>
        <w:t>3.(1)</w:t>
        <w:tab/>
      </w:r>
      <w:r>
        <w:rPr>
          <w:spacing w:val="4"/>
          <w:w w:val="120"/>
        </w:rPr>
        <w:t>No </w:t>
      </w:r>
      <w:r>
        <w:rPr>
          <w:spacing w:val="5"/>
          <w:w w:val="120"/>
        </w:rPr>
        <w:t>exercise</w:t>
      </w:r>
      <w:r>
        <w:rPr>
          <w:strike/>
          <w:spacing w:val="5"/>
          <w:w w:val="120"/>
          <w:u w:val="single"/>
        </w:rPr>
        <w:t> </w:t>
      </w:r>
      <w:r>
        <w:rPr>
          <w:strike/>
          <w:w w:val="120"/>
          <w:u w:val="single"/>
        </w:rPr>
        <w:t>by </w:t>
      </w:r>
      <w:r>
        <w:rPr>
          <w:strike/>
          <w:spacing w:val="4"/>
          <w:w w:val="120"/>
          <w:u w:val="single"/>
        </w:rPr>
        <w:t>the </w:t>
      </w:r>
      <w:r>
        <w:rPr>
          <w:strike/>
          <w:spacing w:val="5"/>
          <w:w w:val="120"/>
          <w:u w:val="single"/>
        </w:rPr>
        <w:t>General Assembly</w:t>
      </w:r>
      <w:r>
        <w:rPr>
          <w:strike w:val="0"/>
          <w:spacing w:val="5"/>
          <w:w w:val="120"/>
        </w:rPr>
        <w:t> </w:t>
      </w:r>
      <w:r>
        <w:rPr>
          <w:strike w:val="0"/>
          <w:spacing w:val="3"/>
          <w:w w:val="120"/>
        </w:rPr>
        <w:t>of </w:t>
      </w:r>
      <w:r>
        <w:rPr>
          <w:strike w:val="0"/>
          <w:spacing w:val="4"/>
          <w:w w:val="120"/>
        </w:rPr>
        <w:t>the </w:t>
      </w:r>
      <w:r>
        <w:rPr>
          <w:strike w:val="0"/>
          <w:spacing w:val="5"/>
          <w:w w:val="120"/>
        </w:rPr>
        <w:t>function </w:t>
      </w:r>
      <w:r>
        <w:rPr>
          <w:strike w:val="0"/>
          <w:spacing w:val="3"/>
          <w:w w:val="120"/>
        </w:rPr>
        <w:t>of </w:t>
      </w:r>
      <w:r>
        <w:rPr>
          <w:strike w:val="0"/>
          <w:spacing w:val="4"/>
          <w:w w:val="120"/>
        </w:rPr>
        <w:t>constitutional </w:t>
      </w:r>
      <w:r>
        <w:rPr>
          <w:strike w:val="0"/>
          <w:spacing w:val="5"/>
          <w:w w:val="120"/>
        </w:rPr>
        <w:t>amendment </w:t>
      </w:r>
      <w:r>
        <w:rPr>
          <w:strike w:val="0"/>
          <w:spacing w:val="4"/>
          <w:w w:val="120"/>
        </w:rPr>
        <w:t>contained </w:t>
      </w:r>
      <w:r>
        <w:rPr>
          <w:strike w:val="0"/>
          <w:spacing w:val="2"/>
          <w:w w:val="120"/>
        </w:rPr>
        <w:t>in </w:t>
      </w:r>
      <w:r>
        <w:rPr>
          <w:strike w:val="0"/>
          <w:spacing w:val="4"/>
          <w:w w:val="120"/>
        </w:rPr>
        <w:t>2.5.xi shall </w:t>
      </w:r>
      <w:r>
        <w:rPr>
          <w:strike w:val="0"/>
          <w:spacing w:val="3"/>
          <w:w w:val="120"/>
        </w:rPr>
        <w:t>have </w:t>
      </w:r>
      <w:r>
        <w:rPr>
          <w:strike w:val="0"/>
          <w:spacing w:val="7"/>
          <w:w w:val="120"/>
        </w:rPr>
        <w:t>effect </w:t>
      </w:r>
      <w:r>
        <w:rPr>
          <w:strike w:val="0"/>
          <w:spacing w:val="4"/>
          <w:w w:val="120"/>
        </w:rPr>
        <w:t>unless the following procedure </w:t>
      </w:r>
      <w:r>
        <w:rPr>
          <w:strike w:val="0"/>
          <w:spacing w:val="3"/>
          <w:w w:val="120"/>
        </w:rPr>
        <w:t>has </w:t>
      </w:r>
      <w:r>
        <w:rPr>
          <w:strike w:val="0"/>
          <w:spacing w:val="5"/>
          <w:w w:val="120"/>
        </w:rPr>
        <w:t>been</w:t>
      </w:r>
      <w:r>
        <w:rPr>
          <w:strike w:val="0"/>
          <w:spacing w:val="33"/>
          <w:w w:val="120"/>
        </w:rPr>
        <w:t> </w:t>
      </w:r>
      <w:r>
        <w:rPr>
          <w:strike w:val="0"/>
          <w:spacing w:val="4"/>
          <w:w w:val="120"/>
        </w:rPr>
        <w:t>followed:</w:t>
      </w:r>
    </w:p>
    <w:p>
      <w:pPr>
        <w:pStyle w:val="BodyText"/>
        <w:spacing w:before="10"/>
        <w:rPr>
          <w:sz w:val="19"/>
        </w:rPr>
      </w:pPr>
    </w:p>
    <w:p>
      <w:pPr>
        <w:pStyle w:val="ListParagraph"/>
        <w:numPr>
          <w:ilvl w:val="0"/>
          <w:numId w:val="204"/>
        </w:numPr>
        <w:tabs>
          <w:tab w:pos="1813" w:val="left" w:leader="none"/>
          <w:tab w:pos="1815" w:val="left" w:leader="none"/>
        </w:tabs>
        <w:spacing w:line="235" w:lineRule="auto" w:before="0" w:after="0"/>
        <w:ind w:left="1814" w:right="2737" w:hanging="681"/>
        <w:jc w:val="left"/>
        <w:rPr>
          <w:sz w:val="20"/>
        </w:rPr>
      </w:pPr>
      <w:r>
        <w:rPr>
          <w:spacing w:val="4"/>
          <w:w w:val="120"/>
          <w:sz w:val="20"/>
        </w:rPr>
        <w:t>The </w:t>
      </w:r>
      <w:r>
        <w:rPr>
          <w:spacing w:val="5"/>
          <w:w w:val="120"/>
          <w:sz w:val="20"/>
        </w:rPr>
        <w:t>proposal </w:t>
      </w:r>
      <w:r>
        <w:rPr>
          <w:spacing w:val="3"/>
          <w:w w:val="120"/>
          <w:sz w:val="20"/>
        </w:rPr>
        <w:t>for </w:t>
      </w:r>
      <w:r>
        <w:rPr>
          <w:spacing w:val="4"/>
          <w:w w:val="120"/>
          <w:sz w:val="20"/>
        </w:rPr>
        <w:t>the </w:t>
      </w:r>
      <w:r>
        <w:rPr>
          <w:spacing w:val="5"/>
          <w:w w:val="120"/>
          <w:sz w:val="20"/>
        </w:rPr>
        <w:t>amendment </w:t>
      </w:r>
      <w:r>
        <w:rPr>
          <w:spacing w:val="4"/>
          <w:w w:val="120"/>
          <w:sz w:val="20"/>
        </w:rPr>
        <w:t>shall be made </w:t>
      </w:r>
      <w:r>
        <w:rPr>
          <w:spacing w:val="2"/>
          <w:w w:val="120"/>
          <w:sz w:val="20"/>
        </w:rPr>
        <w:t>in </w:t>
      </w:r>
      <w:r>
        <w:rPr>
          <w:spacing w:val="3"/>
          <w:w w:val="120"/>
          <w:sz w:val="20"/>
        </w:rPr>
        <w:t>accordance </w:t>
      </w:r>
      <w:r>
        <w:rPr>
          <w:spacing w:val="4"/>
          <w:w w:val="120"/>
          <w:sz w:val="20"/>
        </w:rPr>
        <w:t>with the Standing </w:t>
      </w:r>
      <w:r>
        <w:rPr>
          <w:spacing w:val="5"/>
          <w:w w:val="120"/>
          <w:sz w:val="20"/>
        </w:rPr>
        <w:t>Orders </w:t>
      </w:r>
      <w:r>
        <w:rPr>
          <w:spacing w:val="3"/>
          <w:w w:val="120"/>
          <w:sz w:val="20"/>
        </w:rPr>
        <w:t>of </w:t>
      </w:r>
      <w:r>
        <w:rPr>
          <w:spacing w:val="4"/>
          <w:w w:val="120"/>
          <w:sz w:val="20"/>
        </w:rPr>
        <w:t>the </w:t>
      </w:r>
      <w:r>
        <w:rPr>
          <w:spacing w:val="5"/>
          <w:w w:val="120"/>
          <w:sz w:val="20"/>
        </w:rPr>
        <w:t>General</w:t>
      </w:r>
      <w:r>
        <w:rPr>
          <w:spacing w:val="53"/>
          <w:w w:val="120"/>
          <w:sz w:val="20"/>
        </w:rPr>
        <w:t> </w:t>
      </w:r>
      <w:r>
        <w:rPr>
          <w:spacing w:val="4"/>
          <w:w w:val="120"/>
          <w:sz w:val="20"/>
        </w:rPr>
        <w:t>Assembly.</w:t>
      </w:r>
    </w:p>
    <w:p>
      <w:pPr>
        <w:pStyle w:val="BodyText"/>
        <w:spacing w:before="9"/>
        <w:rPr>
          <w:sz w:val="19"/>
        </w:rPr>
      </w:pPr>
    </w:p>
    <w:p>
      <w:pPr>
        <w:pStyle w:val="ListParagraph"/>
        <w:numPr>
          <w:ilvl w:val="0"/>
          <w:numId w:val="204"/>
        </w:numPr>
        <w:tabs>
          <w:tab w:pos="1814" w:val="left" w:leader="none"/>
          <w:tab w:pos="1815" w:val="left" w:leader="none"/>
        </w:tabs>
        <w:spacing w:line="235" w:lineRule="auto" w:before="1" w:after="0"/>
        <w:ind w:left="1814" w:right="1873" w:hanging="681"/>
        <w:jc w:val="left"/>
        <w:rPr>
          <w:sz w:val="20"/>
        </w:rPr>
      </w:pPr>
      <w:r>
        <w:rPr>
          <w:spacing w:val="4"/>
          <w:w w:val="120"/>
          <w:sz w:val="20"/>
          <w:u w:val="single"/>
        </w:rPr>
        <w:t>Either</w:t>
      </w:r>
      <w:r>
        <w:rPr>
          <w:spacing w:val="4"/>
          <w:w w:val="120"/>
          <w:sz w:val="20"/>
        </w:rPr>
        <w:t> The </w:t>
      </w:r>
      <w:r>
        <w:rPr>
          <w:spacing w:val="5"/>
          <w:w w:val="120"/>
          <w:sz w:val="20"/>
        </w:rPr>
        <w:t>General Assembly </w:t>
      </w:r>
      <w:r>
        <w:rPr>
          <w:w w:val="120"/>
          <w:sz w:val="20"/>
          <w:u w:val="single"/>
        </w:rPr>
        <w:t>or, </w:t>
      </w:r>
      <w:r>
        <w:rPr>
          <w:spacing w:val="2"/>
          <w:w w:val="120"/>
          <w:sz w:val="20"/>
          <w:u w:val="single"/>
        </w:rPr>
        <w:t>in </w:t>
      </w:r>
      <w:r>
        <w:rPr>
          <w:spacing w:val="4"/>
          <w:w w:val="120"/>
          <w:sz w:val="20"/>
          <w:u w:val="single"/>
        </w:rPr>
        <w:t>years  when  the  </w:t>
      </w:r>
      <w:r>
        <w:rPr>
          <w:spacing w:val="5"/>
          <w:w w:val="120"/>
          <w:sz w:val="20"/>
          <w:u w:val="single"/>
        </w:rPr>
        <w:t>General  Assembly  </w:t>
      </w:r>
      <w:r>
        <w:rPr>
          <w:spacing w:val="4"/>
          <w:w w:val="120"/>
          <w:sz w:val="20"/>
          <w:u w:val="single"/>
        </w:rPr>
        <w:t>does </w:t>
      </w:r>
      <w:r>
        <w:rPr>
          <w:spacing w:val="3"/>
          <w:w w:val="120"/>
          <w:sz w:val="20"/>
          <w:u w:val="single"/>
        </w:rPr>
        <w:t>not </w:t>
      </w:r>
      <w:r>
        <w:rPr>
          <w:spacing w:val="4"/>
          <w:w w:val="120"/>
          <w:sz w:val="20"/>
          <w:u w:val="single"/>
        </w:rPr>
        <w:t>meet, the Mission </w:t>
      </w:r>
      <w:r>
        <w:rPr>
          <w:spacing w:val="3"/>
          <w:w w:val="120"/>
          <w:sz w:val="20"/>
          <w:u w:val="single"/>
        </w:rPr>
        <w:t>Council</w:t>
      </w:r>
      <w:r>
        <w:rPr>
          <w:spacing w:val="3"/>
          <w:w w:val="120"/>
          <w:sz w:val="20"/>
        </w:rPr>
        <w:t> </w:t>
      </w:r>
      <w:r>
        <w:rPr>
          <w:spacing w:val="4"/>
          <w:w w:val="120"/>
          <w:sz w:val="20"/>
        </w:rPr>
        <w:t>shall </w:t>
      </w:r>
      <w:r>
        <w:rPr>
          <w:spacing w:val="2"/>
          <w:w w:val="120"/>
          <w:sz w:val="20"/>
        </w:rPr>
        <w:t>vote </w:t>
      </w:r>
      <w:r>
        <w:rPr>
          <w:spacing w:val="3"/>
          <w:w w:val="120"/>
          <w:sz w:val="20"/>
        </w:rPr>
        <w:t>on </w:t>
      </w:r>
      <w:r>
        <w:rPr>
          <w:w w:val="120"/>
          <w:sz w:val="20"/>
        </w:rPr>
        <w:t>a </w:t>
      </w:r>
      <w:r>
        <w:rPr>
          <w:spacing w:val="4"/>
          <w:w w:val="120"/>
          <w:sz w:val="20"/>
        </w:rPr>
        <w:t>motion </w:t>
      </w:r>
      <w:r>
        <w:rPr>
          <w:w w:val="120"/>
          <w:sz w:val="20"/>
        </w:rPr>
        <w:t>to </w:t>
      </w:r>
      <w:r>
        <w:rPr>
          <w:spacing w:val="4"/>
          <w:w w:val="120"/>
          <w:sz w:val="20"/>
        </w:rPr>
        <w:t>approve the </w:t>
      </w:r>
      <w:r>
        <w:rPr>
          <w:spacing w:val="5"/>
          <w:w w:val="120"/>
          <w:sz w:val="20"/>
        </w:rPr>
        <w:t>proposal </w:t>
      </w:r>
      <w:r>
        <w:rPr>
          <w:spacing w:val="4"/>
          <w:w w:val="120"/>
          <w:sz w:val="20"/>
        </w:rPr>
        <w:t>which shall </w:t>
      </w:r>
      <w:r>
        <w:rPr>
          <w:spacing w:val="5"/>
          <w:w w:val="120"/>
          <w:sz w:val="20"/>
        </w:rPr>
        <w:t>require </w:t>
      </w:r>
      <w:r>
        <w:rPr>
          <w:w w:val="120"/>
          <w:sz w:val="20"/>
        </w:rPr>
        <w:t>a </w:t>
      </w:r>
      <w:r>
        <w:rPr>
          <w:spacing w:val="5"/>
          <w:w w:val="120"/>
          <w:sz w:val="20"/>
        </w:rPr>
        <w:t>majority </w:t>
      </w:r>
      <w:r>
        <w:rPr>
          <w:spacing w:val="3"/>
          <w:w w:val="120"/>
          <w:sz w:val="20"/>
        </w:rPr>
        <w:t>of </w:t>
      </w:r>
      <w:r>
        <w:rPr>
          <w:spacing w:val="6"/>
          <w:w w:val="120"/>
          <w:sz w:val="20"/>
        </w:rPr>
        <w:t>two-thirds </w:t>
      </w:r>
      <w:r>
        <w:rPr>
          <w:spacing w:val="3"/>
          <w:w w:val="120"/>
          <w:sz w:val="20"/>
        </w:rPr>
        <w:t>of </w:t>
      </w:r>
      <w:r>
        <w:rPr>
          <w:spacing w:val="4"/>
          <w:w w:val="120"/>
          <w:sz w:val="20"/>
        </w:rPr>
        <w:t>the </w:t>
      </w:r>
      <w:r>
        <w:rPr>
          <w:spacing w:val="5"/>
          <w:w w:val="120"/>
          <w:sz w:val="20"/>
        </w:rPr>
        <w:t>members </w:t>
      </w:r>
      <w:r>
        <w:rPr>
          <w:spacing w:val="4"/>
          <w:w w:val="120"/>
          <w:sz w:val="20"/>
        </w:rPr>
        <w:t>present and voting </w:t>
      </w:r>
      <w:r>
        <w:rPr>
          <w:w w:val="120"/>
          <w:sz w:val="20"/>
        </w:rPr>
        <w:t>to</w:t>
      </w:r>
      <w:r>
        <w:rPr>
          <w:spacing w:val="12"/>
          <w:w w:val="120"/>
          <w:sz w:val="20"/>
        </w:rPr>
        <w:t> </w:t>
      </w:r>
      <w:r>
        <w:rPr>
          <w:spacing w:val="4"/>
          <w:w w:val="120"/>
          <w:sz w:val="20"/>
        </w:rPr>
        <w:t>pass.</w:t>
      </w:r>
    </w:p>
    <w:p>
      <w:pPr>
        <w:pStyle w:val="BodyText"/>
        <w:spacing w:before="11"/>
        <w:rPr>
          <w:sz w:val="19"/>
        </w:rPr>
      </w:pPr>
    </w:p>
    <w:p>
      <w:pPr>
        <w:pStyle w:val="ListParagraph"/>
        <w:numPr>
          <w:ilvl w:val="0"/>
          <w:numId w:val="204"/>
        </w:numPr>
        <w:tabs>
          <w:tab w:pos="1814" w:val="left" w:leader="none"/>
          <w:tab w:pos="1815" w:val="left" w:leader="none"/>
        </w:tabs>
        <w:spacing w:line="235" w:lineRule="auto" w:before="0" w:after="0"/>
        <w:ind w:left="1814" w:right="2085" w:hanging="681"/>
        <w:jc w:val="left"/>
        <w:rPr>
          <w:sz w:val="20"/>
        </w:rPr>
      </w:pPr>
      <w:r>
        <w:rPr>
          <w:strike/>
          <w:spacing w:val="4"/>
          <w:w w:val="120"/>
          <w:sz w:val="20"/>
          <w:u w:val="single"/>
        </w:rPr>
        <w:t>The </w:t>
      </w:r>
      <w:r>
        <w:rPr>
          <w:strike/>
          <w:spacing w:val="5"/>
          <w:w w:val="120"/>
          <w:sz w:val="20"/>
          <w:u w:val="single"/>
        </w:rPr>
        <w:t>General Assembly </w:t>
      </w:r>
      <w:r>
        <w:rPr>
          <w:strike/>
          <w:spacing w:val="4"/>
          <w:w w:val="120"/>
          <w:sz w:val="20"/>
          <w:u w:val="single"/>
        </w:rPr>
        <w:t>shall</w:t>
      </w:r>
      <w:r>
        <w:rPr>
          <w:strike w:val="0"/>
          <w:spacing w:val="4"/>
          <w:w w:val="120"/>
          <w:sz w:val="20"/>
        </w:rPr>
        <w:t>, </w:t>
      </w:r>
      <w:r>
        <w:rPr>
          <w:strike w:val="0"/>
          <w:spacing w:val="3"/>
          <w:w w:val="120"/>
          <w:sz w:val="20"/>
        </w:rPr>
        <w:t>if such </w:t>
      </w:r>
      <w:r>
        <w:rPr>
          <w:strike w:val="0"/>
          <w:spacing w:val="4"/>
          <w:w w:val="120"/>
          <w:sz w:val="20"/>
        </w:rPr>
        <w:t>motion </w:t>
      </w:r>
      <w:r>
        <w:rPr>
          <w:strike w:val="0"/>
          <w:w w:val="120"/>
          <w:sz w:val="20"/>
        </w:rPr>
        <w:t>to </w:t>
      </w:r>
      <w:r>
        <w:rPr>
          <w:strike w:val="0"/>
          <w:spacing w:val="4"/>
          <w:w w:val="120"/>
          <w:sz w:val="20"/>
        </w:rPr>
        <w:t>approve the </w:t>
      </w:r>
      <w:r>
        <w:rPr>
          <w:strike w:val="0"/>
          <w:spacing w:val="5"/>
          <w:w w:val="120"/>
          <w:sz w:val="20"/>
        </w:rPr>
        <w:t>proposal </w:t>
      </w:r>
      <w:r>
        <w:rPr>
          <w:strike w:val="0"/>
          <w:w w:val="120"/>
          <w:sz w:val="20"/>
        </w:rPr>
        <w:t>is </w:t>
      </w:r>
      <w:r>
        <w:rPr>
          <w:strike w:val="0"/>
          <w:spacing w:val="4"/>
          <w:w w:val="120"/>
          <w:sz w:val="20"/>
        </w:rPr>
        <w:t>passed the </w:t>
      </w:r>
      <w:r>
        <w:rPr>
          <w:strike w:val="0"/>
          <w:spacing w:val="5"/>
          <w:w w:val="120"/>
          <w:sz w:val="20"/>
        </w:rPr>
        <w:t>General Assembly </w:t>
      </w:r>
      <w:r>
        <w:rPr>
          <w:strike w:val="0"/>
          <w:spacing w:val="3"/>
          <w:w w:val="120"/>
          <w:sz w:val="20"/>
        </w:rPr>
        <w:t>or </w:t>
      </w:r>
      <w:r>
        <w:rPr>
          <w:strike w:val="0"/>
          <w:spacing w:val="4"/>
          <w:w w:val="120"/>
          <w:sz w:val="20"/>
        </w:rPr>
        <w:t>the Mission </w:t>
      </w:r>
      <w:r>
        <w:rPr>
          <w:strike w:val="0"/>
          <w:spacing w:val="3"/>
          <w:w w:val="120"/>
          <w:sz w:val="20"/>
        </w:rPr>
        <w:t>Council, </w:t>
      </w:r>
      <w:r>
        <w:rPr>
          <w:strike w:val="0"/>
          <w:spacing w:val="2"/>
          <w:w w:val="120"/>
          <w:sz w:val="20"/>
        </w:rPr>
        <w:t>as </w:t>
      </w:r>
      <w:r>
        <w:rPr>
          <w:strike w:val="0"/>
          <w:spacing w:val="4"/>
          <w:w w:val="120"/>
          <w:sz w:val="20"/>
        </w:rPr>
        <w:t>the case </w:t>
      </w:r>
      <w:r>
        <w:rPr>
          <w:strike w:val="0"/>
          <w:spacing w:val="2"/>
          <w:w w:val="120"/>
          <w:sz w:val="20"/>
        </w:rPr>
        <w:t>may </w:t>
      </w:r>
      <w:r>
        <w:rPr>
          <w:strike w:val="0"/>
          <w:spacing w:val="3"/>
          <w:w w:val="120"/>
          <w:sz w:val="20"/>
        </w:rPr>
        <w:t>be, </w:t>
      </w:r>
      <w:r>
        <w:rPr>
          <w:strike w:val="0"/>
          <w:spacing w:val="4"/>
          <w:w w:val="120"/>
          <w:sz w:val="20"/>
        </w:rPr>
        <w:t>shall refer the </w:t>
      </w:r>
      <w:r>
        <w:rPr>
          <w:strike w:val="0"/>
          <w:spacing w:val="5"/>
          <w:w w:val="120"/>
          <w:sz w:val="20"/>
        </w:rPr>
        <w:t>proposal </w:t>
      </w:r>
      <w:r>
        <w:rPr>
          <w:strike w:val="0"/>
          <w:w w:val="120"/>
          <w:sz w:val="20"/>
        </w:rPr>
        <w:t>to </w:t>
      </w:r>
      <w:r>
        <w:rPr>
          <w:strike w:val="0"/>
          <w:spacing w:val="5"/>
          <w:w w:val="120"/>
          <w:sz w:val="20"/>
        </w:rPr>
        <w:t>synods </w:t>
      </w:r>
      <w:r>
        <w:rPr>
          <w:strike w:val="0"/>
          <w:spacing w:val="4"/>
          <w:w w:val="120"/>
          <w:sz w:val="20"/>
        </w:rPr>
        <w:t>and </w:t>
      </w:r>
      <w:r>
        <w:rPr>
          <w:strike w:val="0"/>
          <w:w w:val="120"/>
          <w:sz w:val="20"/>
        </w:rPr>
        <w:t>may, </w:t>
      </w:r>
      <w:r>
        <w:rPr>
          <w:strike w:val="0"/>
          <w:spacing w:val="3"/>
          <w:w w:val="120"/>
          <w:sz w:val="20"/>
        </w:rPr>
        <w:t>if </w:t>
      </w:r>
      <w:r>
        <w:rPr>
          <w:strike w:val="0"/>
          <w:spacing w:val="2"/>
          <w:w w:val="120"/>
          <w:sz w:val="20"/>
        </w:rPr>
        <w:t>it </w:t>
      </w:r>
      <w:r>
        <w:rPr>
          <w:strike w:val="0"/>
          <w:spacing w:val="4"/>
          <w:w w:val="120"/>
          <w:sz w:val="20"/>
        </w:rPr>
        <w:t>deems </w:t>
      </w:r>
      <w:r>
        <w:rPr>
          <w:strike w:val="0"/>
          <w:spacing w:val="5"/>
          <w:w w:val="120"/>
          <w:sz w:val="20"/>
        </w:rPr>
        <w:t>appropriate, </w:t>
      </w:r>
      <w:r>
        <w:rPr>
          <w:strike w:val="0"/>
          <w:spacing w:val="2"/>
          <w:w w:val="120"/>
          <w:sz w:val="20"/>
        </w:rPr>
        <w:t>in </w:t>
      </w:r>
      <w:r>
        <w:rPr>
          <w:strike w:val="0"/>
          <w:spacing w:val="4"/>
          <w:w w:val="120"/>
          <w:sz w:val="20"/>
        </w:rPr>
        <w:t>exceptional cases </w:t>
      </w:r>
      <w:r>
        <w:rPr>
          <w:strike w:val="0"/>
          <w:spacing w:val="3"/>
          <w:w w:val="120"/>
          <w:sz w:val="20"/>
        </w:rPr>
        <w:t>also </w:t>
      </w:r>
      <w:r>
        <w:rPr>
          <w:strike w:val="0"/>
          <w:w w:val="120"/>
          <w:sz w:val="20"/>
        </w:rPr>
        <w:t>to </w:t>
      </w:r>
      <w:r>
        <w:rPr>
          <w:strike w:val="0"/>
          <w:spacing w:val="5"/>
          <w:w w:val="120"/>
          <w:sz w:val="20"/>
        </w:rPr>
        <w:t>local</w:t>
      </w:r>
      <w:r>
        <w:rPr>
          <w:strike w:val="0"/>
          <w:spacing w:val="36"/>
          <w:w w:val="120"/>
          <w:sz w:val="20"/>
        </w:rPr>
        <w:t> </w:t>
      </w:r>
      <w:r>
        <w:rPr>
          <w:strike w:val="0"/>
          <w:spacing w:val="4"/>
          <w:w w:val="120"/>
          <w:sz w:val="20"/>
        </w:rPr>
        <w:t>churches.</w:t>
      </w:r>
    </w:p>
    <w:p>
      <w:pPr>
        <w:pStyle w:val="BodyText"/>
        <w:spacing w:before="11"/>
        <w:rPr>
          <w:sz w:val="19"/>
        </w:rPr>
      </w:pPr>
    </w:p>
    <w:p>
      <w:pPr>
        <w:pStyle w:val="ListParagraph"/>
        <w:numPr>
          <w:ilvl w:val="0"/>
          <w:numId w:val="204"/>
        </w:numPr>
        <w:tabs>
          <w:tab w:pos="1814" w:val="left" w:leader="none"/>
          <w:tab w:pos="1815" w:val="left" w:leader="none"/>
        </w:tabs>
        <w:spacing w:line="235" w:lineRule="auto" w:before="0" w:after="0"/>
        <w:ind w:left="1814" w:right="2034" w:hanging="681"/>
        <w:jc w:val="left"/>
        <w:rPr>
          <w:sz w:val="20"/>
        </w:rPr>
      </w:pPr>
      <w:r>
        <w:rPr>
          <w:strike/>
          <w:spacing w:val="4"/>
          <w:w w:val="120"/>
          <w:sz w:val="20"/>
          <w:u w:val="single"/>
        </w:rPr>
        <w:t>The </w:t>
      </w:r>
      <w:r>
        <w:rPr>
          <w:strike/>
          <w:spacing w:val="5"/>
          <w:w w:val="120"/>
          <w:sz w:val="20"/>
          <w:u w:val="single"/>
        </w:rPr>
        <w:t>General Assembly </w:t>
      </w:r>
      <w:r>
        <w:rPr>
          <w:strike/>
          <w:spacing w:val="4"/>
          <w:w w:val="120"/>
          <w:sz w:val="20"/>
          <w:u w:val="single"/>
        </w:rPr>
        <w:t>shall </w:t>
      </w:r>
      <w:r>
        <w:rPr>
          <w:strike/>
          <w:spacing w:val="2"/>
          <w:w w:val="120"/>
          <w:sz w:val="20"/>
          <w:u w:val="single"/>
        </w:rPr>
        <w:t>in </w:t>
      </w:r>
      <w:r>
        <w:rPr>
          <w:strike/>
          <w:spacing w:val="4"/>
          <w:w w:val="120"/>
          <w:sz w:val="20"/>
          <w:u w:val="single"/>
        </w:rPr>
        <w:t>making </w:t>
      </w:r>
      <w:r>
        <w:rPr>
          <w:strike/>
          <w:spacing w:val="3"/>
          <w:w w:val="120"/>
          <w:sz w:val="20"/>
          <w:u w:val="single"/>
        </w:rPr>
        <w:t>any such </w:t>
      </w:r>
      <w:r>
        <w:rPr>
          <w:strike/>
          <w:spacing w:val="4"/>
          <w:w w:val="120"/>
          <w:sz w:val="20"/>
          <w:u w:val="single"/>
        </w:rPr>
        <w:t>reference </w:t>
      </w:r>
      <w:r>
        <w:rPr>
          <w:strike/>
          <w:spacing w:val="3"/>
          <w:w w:val="120"/>
          <w:sz w:val="20"/>
          <w:u w:val="single"/>
        </w:rPr>
        <w:t>set </w:t>
      </w:r>
      <w:r>
        <w:rPr>
          <w:strike/>
          <w:w w:val="120"/>
          <w:sz w:val="20"/>
          <w:u w:val="single"/>
        </w:rPr>
        <w:t>a </w:t>
      </w:r>
      <w:r>
        <w:rPr>
          <w:strike/>
          <w:spacing w:val="4"/>
          <w:w w:val="120"/>
          <w:sz w:val="20"/>
          <w:u w:val="single"/>
        </w:rPr>
        <w:t>final </w:t>
      </w:r>
      <w:r>
        <w:rPr>
          <w:strike/>
          <w:spacing w:val="3"/>
          <w:w w:val="120"/>
          <w:sz w:val="20"/>
          <w:u w:val="single"/>
        </w:rPr>
        <w:t>date for </w:t>
      </w:r>
      <w:r>
        <w:rPr>
          <w:strike/>
          <w:spacing w:val="5"/>
          <w:w w:val="120"/>
          <w:sz w:val="20"/>
          <w:u w:val="single"/>
        </w:rPr>
        <w:t>responses </w:t>
      </w:r>
      <w:r>
        <w:rPr>
          <w:strike/>
          <w:w w:val="120"/>
          <w:sz w:val="20"/>
          <w:u w:val="single"/>
        </w:rPr>
        <w:t>to </w:t>
      </w:r>
      <w:r>
        <w:rPr>
          <w:strike/>
          <w:spacing w:val="4"/>
          <w:w w:val="120"/>
          <w:sz w:val="20"/>
          <w:u w:val="single"/>
        </w:rPr>
        <w:t>be made, which shall </w:t>
      </w:r>
      <w:r>
        <w:rPr>
          <w:strike/>
          <w:spacing w:val="5"/>
          <w:w w:val="120"/>
          <w:sz w:val="20"/>
          <w:u w:val="single"/>
        </w:rPr>
        <w:t>normally </w:t>
      </w:r>
      <w:r>
        <w:rPr>
          <w:strike/>
          <w:spacing w:val="4"/>
          <w:w w:val="120"/>
          <w:sz w:val="20"/>
          <w:u w:val="single"/>
        </w:rPr>
        <w:t>be </w:t>
      </w:r>
      <w:r>
        <w:rPr>
          <w:strike/>
          <w:spacing w:val="2"/>
          <w:w w:val="120"/>
          <w:sz w:val="20"/>
          <w:u w:val="single"/>
        </w:rPr>
        <w:t>at </w:t>
      </w:r>
      <w:r>
        <w:rPr>
          <w:strike/>
          <w:spacing w:val="3"/>
          <w:w w:val="120"/>
          <w:sz w:val="20"/>
          <w:u w:val="single"/>
        </w:rPr>
        <w:t>an </w:t>
      </w:r>
      <w:r>
        <w:rPr>
          <w:strike/>
          <w:spacing w:val="5"/>
          <w:w w:val="120"/>
          <w:sz w:val="20"/>
          <w:u w:val="single"/>
        </w:rPr>
        <w:t>appropriate </w:t>
      </w:r>
      <w:r>
        <w:rPr>
          <w:strike/>
          <w:spacing w:val="4"/>
          <w:w w:val="120"/>
          <w:sz w:val="20"/>
          <w:u w:val="single"/>
        </w:rPr>
        <w:t>time </w:t>
      </w:r>
      <w:r>
        <w:rPr>
          <w:strike/>
          <w:spacing w:val="5"/>
          <w:w w:val="120"/>
          <w:sz w:val="20"/>
          <w:u w:val="single"/>
        </w:rPr>
        <w:t>before </w:t>
      </w:r>
      <w:r>
        <w:rPr>
          <w:strike/>
          <w:spacing w:val="4"/>
          <w:w w:val="120"/>
          <w:sz w:val="20"/>
          <w:u w:val="single"/>
        </w:rPr>
        <w:t>the </w:t>
      </w:r>
      <w:r>
        <w:rPr>
          <w:strike/>
          <w:spacing w:val="6"/>
          <w:w w:val="120"/>
          <w:sz w:val="20"/>
          <w:u w:val="single"/>
        </w:rPr>
        <w:t>next </w:t>
      </w:r>
      <w:r>
        <w:rPr>
          <w:strike/>
          <w:spacing w:val="4"/>
          <w:w w:val="120"/>
          <w:sz w:val="20"/>
          <w:u w:val="single"/>
        </w:rPr>
        <w:t>annual</w:t>
      </w:r>
      <w:r>
        <w:rPr>
          <w:strike/>
          <w:spacing w:val="28"/>
          <w:w w:val="120"/>
          <w:sz w:val="20"/>
          <w:u w:val="single"/>
        </w:rPr>
        <w:t> </w:t>
      </w:r>
      <w:r>
        <w:rPr>
          <w:strike/>
          <w:spacing w:val="4"/>
          <w:w w:val="120"/>
          <w:sz w:val="20"/>
          <w:u w:val="single"/>
        </w:rPr>
        <w:t>Assembly.</w:t>
      </w:r>
      <w:r>
        <w:rPr>
          <w:strike/>
          <w:spacing w:val="-23"/>
          <w:sz w:val="20"/>
          <w:u w:val="single"/>
        </w:rPr>
        <w:t> </w:t>
      </w:r>
    </w:p>
    <w:p>
      <w:pPr>
        <w:pStyle w:val="BodyText"/>
        <w:spacing w:before="4"/>
        <w:rPr>
          <w:sz w:val="11"/>
        </w:rPr>
      </w:pPr>
    </w:p>
    <w:p>
      <w:pPr>
        <w:pStyle w:val="ListParagraph"/>
        <w:numPr>
          <w:ilvl w:val="0"/>
          <w:numId w:val="205"/>
        </w:numPr>
        <w:tabs>
          <w:tab w:pos="1814" w:val="left" w:leader="none"/>
          <w:tab w:pos="1815" w:val="left" w:leader="none"/>
        </w:tabs>
        <w:spacing w:line="235" w:lineRule="auto" w:before="104" w:after="0"/>
        <w:ind w:left="1814" w:right="1905" w:hanging="681"/>
        <w:jc w:val="left"/>
        <w:rPr>
          <w:sz w:val="20"/>
        </w:rPr>
      </w:pPr>
      <w:r>
        <w:rPr>
          <w:spacing w:val="4"/>
          <w:w w:val="120"/>
          <w:sz w:val="20"/>
          <w:u w:val="single"/>
        </w:rPr>
        <w:t>If the </w:t>
      </w:r>
      <w:r>
        <w:rPr>
          <w:spacing w:val="5"/>
          <w:w w:val="120"/>
          <w:sz w:val="20"/>
          <w:u w:val="single"/>
        </w:rPr>
        <w:t>proposal </w:t>
      </w:r>
      <w:r>
        <w:rPr>
          <w:spacing w:val="3"/>
          <w:w w:val="120"/>
          <w:sz w:val="20"/>
          <w:u w:val="single"/>
        </w:rPr>
        <w:t>has </w:t>
      </w:r>
      <w:r>
        <w:rPr>
          <w:spacing w:val="5"/>
          <w:w w:val="120"/>
          <w:sz w:val="20"/>
          <w:u w:val="single"/>
        </w:rPr>
        <w:t>been agreed </w:t>
      </w:r>
      <w:r>
        <w:rPr>
          <w:w w:val="120"/>
          <w:sz w:val="20"/>
          <w:u w:val="single"/>
        </w:rPr>
        <w:t>by  </w:t>
      </w:r>
      <w:r>
        <w:rPr>
          <w:spacing w:val="4"/>
          <w:w w:val="120"/>
          <w:sz w:val="20"/>
          <w:u w:val="single"/>
        </w:rPr>
        <w:t>the </w:t>
      </w:r>
      <w:r>
        <w:rPr>
          <w:spacing w:val="5"/>
          <w:w w:val="120"/>
          <w:sz w:val="20"/>
          <w:u w:val="single"/>
        </w:rPr>
        <w:t>General Assembly </w:t>
      </w:r>
      <w:r>
        <w:rPr>
          <w:spacing w:val="2"/>
          <w:w w:val="120"/>
          <w:sz w:val="20"/>
          <w:u w:val="single"/>
        </w:rPr>
        <w:t>it </w:t>
      </w:r>
      <w:r>
        <w:rPr>
          <w:spacing w:val="4"/>
          <w:w w:val="120"/>
          <w:sz w:val="20"/>
          <w:u w:val="single"/>
        </w:rPr>
        <w:t>shall </w:t>
      </w:r>
      <w:r>
        <w:rPr>
          <w:spacing w:val="3"/>
          <w:w w:val="120"/>
          <w:sz w:val="20"/>
          <w:u w:val="single"/>
        </w:rPr>
        <w:t>set </w:t>
      </w:r>
      <w:r>
        <w:rPr>
          <w:w w:val="120"/>
          <w:sz w:val="20"/>
          <w:u w:val="single"/>
        </w:rPr>
        <w:t>a  </w:t>
      </w:r>
      <w:r>
        <w:rPr>
          <w:spacing w:val="5"/>
          <w:w w:val="120"/>
          <w:sz w:val="20"/>
          <w:u w:val="single"/>
        </w:rPr>
        <w:t>final</w:t>
      </w:r>
      <w:r>
        <w:rPr>
          <w:spacing w:val="5"/>
          <w:w w:val="120"/>
          <w:sz w:val="20"/>
        </w:rPr>
        <w:t> </w:t>
      </w:r>
      <w:r>
        <w:rPr>
          <w:spacing w:val="5"/>
          <w:w w:val="120"/>
          <w:sz w:val="20"/>
          <w:u w:val="single"/>
        </w:rPr>
        <w:t> </w:t>
      </w:r>
      <w:r>
        <w:rPr>
          <w:spacing w:val="3"/>
          <w:w w:val="120"/>
          <w:sz w:val="20"/>
          <w:u w:val="single"/>
        </w:rPr>
        <w:t>date for </w:t>
      </w:r>
      <w:r>
        <w:rPr>
          <w:spacing w:val="5"/>
          <w:w w:val="120"/>
          <w:sz w:val="20"/>
          <w:u w:val="single"/>
        </w:rPr>
        <w:t>responses </w:t>
      </w:r>
      <w:r>
        <w:rPr>
          <w:w w:val="120"/>
          <w:sz w:val="20"/>
          <w:u w:val="single"/>
        </w:rPr>
        <w:t>to </w:t>
      </w:r>
      <w:r>
        <w:rPr>
          <w:spacing w:val="4"/>
          <w:w w:val="120"/>
          <w:sz w:val="20"/>
          <w:u w:val="single"/>
        </w:rPr>
        <w:t>be made, which shall </w:t>
      </w:r>
      <w:r>
        <w:rPr>
          <w:spacing w:val="5"/>
          <w:w w:val="120"/>
          <w:sz w:val="20"/>
          <w:u w:val="single"/>
        </w:rPr>
        <w:t>normally </w:t>
      </w:r>
      <w:r>
        <w:rPr>
          <w:spacing w:val="4"/>
          <w:w w:val="120"/>
          <w:sz w:val="20"/>
          <w:u w:val="single"/>
        </w:rPr>
        <w:t>be </w:t>
      </w:r>
      <w:r>
        <w:rPr>
          <w:spacing w:val="2"/>
          <w:w w:val="120"/>
          <w:sz w:val="20"/>
          <w:u w:val="single"/>
        </w:rPr>
        <w:t>at </w:t>
      </w:r>
      <w:r>
        <w:rPr>
          <w:spacing w:val="3"/>
          <w:w w:val="120"/>
          <w:sz w:val="20"/>
          <w:u w:val="single"/>
        </w:rPr>
        <w:t>an </w:t>
      </w:r>
      <w:r>
        <w:rPr>
          <w:spacing w:val="5"/>
          <w:w w:val="120"/>
          <w:sz w:val="20"/>
          <w:u w:val="single"/>
        </w:rPr>
        <w:t>appropriate </w:t>
      </w:r>
      <w:r>
        <w:rPr>
          <w:spacing w:val="4"/>
          <w:w w:val="120"/>
          <w:sz w:val="20"/>
          <w:u w:val="single"/>
        </w:rPr>
        <w:t>time </w:t>
      </w:r>
      <w:r>
        <w:rPr>
          <w:spacing w:val="5"/>
          <w:w w:val="120"/>
          <w:sz w:val="20"/>
          <w:u w:val="single"/>
        </w:rPr>
        <w:t>before </w:t>
      </w:r>
      <w:r>
        <w:rPr>
          <w:w w:val="120"/>
          <w:sz w:val="20"/>
          <w:u w:val="single"/>
        </w:rPr>
        <w:t>a </w:t>
      </w:r>
      <w:r>
        <w:rPr>
          <w:spacing w:val="5"/>
          <w:w w:val="120"/>
          <w:sz w:val="20"/>
          <w:u w:val="single"/>
        </w:rPr>
        <w:t>meeting </w:t>
      </w:r>
      <w:r>
        <w:rPr>
          <w:spacing w:val="3"/>
          <w:w w:val="120"/>
          <w:sz w:val="20"/>
          <w:u w:val="single"/>
        </w:rPr>
        <w:t>of </w:t>
      </w:r>
      <w:r>
        <w:rPr>
          <w:spacing w:val="4"/>
          <w:w w:val="120"/>
          <w:sz w:val="20"/>
          <w:u w:val="single"/>
        </w:rPr>
        <w:t>the Mission </w:t>
      </w:r>
      <w:r>
        <w:rPr>
          <w:spacing w:val="3"/>
          <w:w w:val="120"/>
          <w:sz w:val="20"/>
          <w:u w:val="single"/>
        </w:rPr>
        <w:t>Council not </w:t>
      </w:r>
      <w:r>
        <w:rPr>
          <w:spacing w:val="4"/>
          <w:w w:val="120"/>
          <w:sz w:val="20"/>
          <w:u w:val="single"/>
        </w:rPr>
        <w:t>less than nine months </w:t>
      </w:r>
      <w:r>
        <w:rPr>
          <w:spacing w:val="6"/>
          <w:w w:val="120"/>
          <w:sz w:val="20"/>
          <w:u w:val="single"/>
        </w:rPr>
        <w:t>after </w:t>
      </w:r>
      <w:r>
        <w:rPr>
          <w:spacing w:val="4"/>
          <w:w w:val="120"/>
          <w:sz w:val="20"/>
          <w:u w:val="single"/>
        </w:rPr>
        <w:t>the </w:t>
      </w:r>
      <w:r>
        <w:rPr>
          <w:spacing w:val="5"/>
          <w:w w:val="120"/>
          <w:sz w:val="20"/>
          <w:u w:val="single"/>
        </w:rPr>
        <w:t>meeting</w:t>
      </w:r>
      <w:r>
        <w:rPr>
          <w:spacing w:val="14"/>
          <w:w w:val="120"/>
          <w:sz w:val="20"/>
          <w:u w:val="single"/>
        </w:rPr>
        <w:t> </w:t>
      </w:r>
      <w:r>
        <w:rPr>
          <w:spacing w:val="3"/>
          <w:w w:val="120"/>
          <w:sz w:val="20"/>
          <w:u w:val="single"/>
        </w:rPr>
        <w:t>of</w:t>
      </w:r>
      <w:r>
        <w:rPr>
          <w:spacing w:val="15"/>
          <w:w w:val="120"/>
          <w:sz w:val="20"/>
          <w:u w:val="single"/>
        </w:rPr>
        <w:t> </w:t>
      </w:r>
      <w:r>
        <w:rPr>
          <w:spacing w:val="4"/>
          <w:w w:val="120"/>
          <w:sz w:val="20"/>
          <w:u w:val="single"/>
        </w:rPr>
        <w:t>the</w:t>
      </w:r>
      <w:r>
        <w:rPr>
          <w:spacing w:val="14"/>
          <w:w w:val="120"/>
          <w:sz w:val="20"/>
          <w:u w:val="single"/>
        </w:rPr>
        <w:t> </w:t>
      </w:r>
      <w:r>
        <w:rPr>
          <w:spacing w:val="5"/>
          <w:w w:val="120"/>
          <w:sz w:val="20"/>
          <w:u w:val="single"/>
        </w:rPr>
        <w:t>General</w:t>
      </w:r>
      <w:r>
        <w:rPr>
          <w:spacing w:val="15"/>
          <w:w w:val="120"/>
          <w:sz w:val="20"/>
          <w:u w:val="single"/>
        </w:rPr>
        <w:t> </w:t>
      </w:r>
      <w:r>
        <w:rPr>
          <w:spacing w:val="5"/>
          <w:w w:val="120"/>
          <w:sz w:val="20"/>
          <w:u w:val="single"/>
        </w:rPr>
        <w:t>Assembly</w:t>
      </w:r>
      <w:r>
        <w:rPr>
          <w:spacing w:val="14"/>
          <w:w w:val="120"/>
          <w:sz w:val="20"/>
          <w:u w:val="single"/>
        </w:rPr>
        <w:t> </w:t>
      </w:r>
      <w:r>
        <w:rPr>
          <w:spacing w:val="2"/>
          <w:w w:val="120"/>
          <w:sz w:val="20"/>
          <w:u w:val="single"/>
        </w:rPr>
        <w:t>at</w:t>
      </w:r>
      <w:r>
        <w:rPr>
          <w:spacing w:val="15"/>
          <w:w w:val="120"/>
          <w:sz w:val="20"/>
          <w:u w:val="single"/>
        </w:rPr>
        <w:t> </w:t>
      </w:r>
      <w:r>
        <w:rPr>
          <w:spacing w:val="4"/>
          <w:w w:val="120"/>
          <w:sz w:val="20"/>
          <w:u w:val="single"/>
        </w:rPr>
        <w:t>which</w:t>
      </w:r>
      <w:r>
        <w:rPr>
          <w:spacing w:val="14"/>
          <w:w w:val="120"/>
          <w:sz w:val="20"/>
          <w:u w:val="single"/>
        </w:rPr>
        <w:t> </w:t>
      </w:r>
      <w:r>
        <w:rPr>
          <w:spacing w:val="4"/>
          <w:w w:val="120"/>
          <w:sz w:val="20"/>
          <w:u w:val="single"/>
        </w:rPr>
        <w:t>the</w:t>
      </w:r>
      <w:r>
        <w:rPr>
          <w:spacing w:val="15"/>
          <w:w w:val="120"/>
          <w:sz w:val="20"/>
          <w:u w:val="single"/>
        </w:rPr>
        <w:t> </w:t>
      </w:r>
      <w:r>
        <w:rPr>
          <w:spacing w:val="5"/>
          <w:w w:val="120"/>
          <w:sz w:val="20"/>
          <w:u w:val="single"/>
        </w:rPr>
        <w:t>proposal</w:t>
      </w:r>
      <w:r>
        <w:rPr>
          <w:spacing w:val="15"/>
          <w:w w:val="120"/>
          <w:sz w:val="20"/>
          <w:u w:val="single"/>
        </w:rPr>
        <w:t> </w:t>
      </w:r>
      <w:r>
        <w:rPr>
          <w:spacing w:val="3"/>
          <w:w w:val="120"/>
          <w:sz w:val="20"/>
          <w:u w:val="single"/>
        </w:rPr>
        <w:t>was</w:t>
      </w:r>
      <w:r>
        <w:rPr>
          <w:spacing w:val="14"/>
          <w:w w:val="120"/>
          <w:sz w:val="20"/>
          <w:u w:val="single"/>
        </w:rPr>
        <w:t> </w:t>
      </w:r>
      <w:r>
        <w:rPr>
          <w:spacing w:val="5"/>
          <w:w w:val="120"/>
          <w:sz w:val="20"/>
          <w:u w:val="single"/>
        </w:rPr>
        <w:t>agreed.</w:t>
      </w:r>
    </w:p>
    <w:p>
      <w:pPr>
        <w:pStyle w:val="BodyText"/>
        <w:spacing w:before="11"/>
        <w:rPr>
          <w:sz w:val="19"/>
        </w:rPr>
      </w:pPr>
    </w:p>
    <w:p>
      <w:pPr>
        <w:pStyle w:val="ListParagraph"/>
        <w:numPr>
          <w:ilvl w:val="0"/>
          <w:numId w:val="205"/>
        </w:numPr>
        <w:tabs>
          <w:tab w:pos="1814" w:val="left" w:leader="none"/>
          <w:tab w:pos="1815" w:val="left" w:leader="none"/>
        </w:tabs>
        <w:spacing w:line="235" w:lineRule="auto" w:before="0" w:after="0"/>
        <w:ind w:left="1814" w:right="2077" w:hanging="681"/>
        <w:jc w:val="left"/>
        <w:rPr>
          <w:sz w:val="20"/>
        </w:rPr>
      </w:pPr>
      <w:r>
        <w:rPr/>
        <w:pict>
          <v:line style="position:absolute;mso-position-horizontal-relative:page;mso-position-vertical-relative:paragraph;z-index:-267021312" from="56.692902pt,10.574554pt" to="494.735902pt,10.574554pt" stroked="true" strokeweight=".495pt" strokecolor="#000000">
            <v:stroke dashstyle="solid"/>
            <w10:wrap type="none"/>
          </v:line>
        </w:pict>
      </w:r>
      <w:r>
        <w:rPr>
          <w:spacing w:val="4"/>
          <w:w w:val="120"/>
          <w:sz w:val="20"/>
        </w:rPr>
        <w:t>If the </w:t>
      </w:r>
      <w:r>
        <w:rPr>
          <w:spacing w:val="5"/>
          <w:w w:val="120"/>
          <w:sz w:val="20"/>
        </w:rPr>
        <w:t>proposal </w:t>
      </w:r>
      <w:r>
        <w:rPr>
          <w:spacing w:val="3"/>
          <w:w w:val="120"/>
          <w:sz w:val="20"/>
        </w:rPr>
        <w:t>has </w:t>
      </w:r>
      <w:r>
        <w:rPr>
          <w:spacing w:val="5"/>
          <w:w w:val="120"/>
          <w:sz w:val="20"/>
        </w:rPr>
        <w:t>been agreed </w:t>
      </w:r>
      <w:r>
        <w:rPr>
          <w:w w:val="120"/>
          <w:sz w:val="20"/>
        </w:rPr>
        <w:t>by </w:t>
      </w:r>
      <w:r>
        <w:rPr>
          <w:spacing w:val="4"/>
          <w:w w:val="120"/>
          <w:sz w:val="20"/>
        </w:rPr>
        <w:t>the Mission </w:t>
      </w:r>
      <w:r>
        <w:rPr>
          <w:spacing w:val="3"/>
          <w:w w:val="120"/>
          <w:sz w:val="20"/>
        </w:rPr>
        <w:t>Council </w:t>
      </w:r>
      <w:r>
        <w:rPr>
          <w:spacing w:val="2"/>
          <w:w w:val="120"/>
          <w:sz w:val="20"/>
        </w:rPr>
        <w:t>it </w:t>
      </w:r>
      <w:r>
        <w:rPr>
          <w:spacing w:val="4"/>
          <w:w w:val="120"/>
          <w:sz w:val="20"/>
        </w:rPr>
        <w:t>shall </w:t>
      </w:r>
      <w:r>
        <w:rPr>
          <w:spacing w:val="3"/>
          <w:w w:val="120"/>
          <w:sz w:val="20"/>
        </w:rPr>
        <w:t>set </w:t>
      </w:r>
      <w:r>
        <w:rPr>
          <w:w w:val="120"/>
          <w:sz w:val="20"/>
        </w:rPr>
        <w:t>a </w:t>
      </w:r>
      <w:r>
        <w:rPr>
          <w:spacing w:val="5"/>
          <w:w w:val="120"/>
          <w:sz w:val="20"/>
        </w:rPr>
        <w:t>final </w:t>
      </w:r>
      <w:r>
        <w:rPr>
          <w:spacing w:val="3"/>
          <w:w w:val="120"/>
          <w:sz w:val="20"/>
        </w:rPr>
        <w:t>date</w:t>
      </w:r>
      <w:r>
        <w:rPr>
          <w:spacing w:val="3"/>
          <w:w w:val="120"/>
          <w:sz w:val="20"/>
          <w:u w:val="single"/>
        </w:rPr>
        <w:t> for </w:t>
      </w:r>
      <w:r>
        <w:rPr>
          <w:spacing w:val="5"/>
          <w:w w:val="120"/>
          <w:sz w:val="20"/>
          <w:u w:val="single"/>
        </w:rPr>
        <w:t>responses </w:t>
      </w:r>
      <w:r>
        <w:rPr>
          <w:w w:val="120"/>
          <w:sz w:val="20"/>
          <w:u w:val="single"/>
        </w:rPr>
        <w:t>to </w:t>
      </w:r>
      <w:r>
        <w:rPr>
          <w:spacing w:val="4"/>
          <w:w w:val="120"/>
          <w:sz w:val="20"/>
          <w:u w:val="single"/>
        </w:rPr>
        <w:t>be made which shall </w:t>
      </w:r>
      <w:r>
        <w:rPr>
          <w:spacing w:val="5"/>
          <w:w w:val="120"/>
          <w:sz w:val="20"/>
          <w:u w:val="single"/>
        </w:rPr>
        <w:t>normally </w:t>
      </w:r>
      <w:r>
        <w:rPr>
          <w:spacing w:val="3"/>
          <w:w w:val="120"/>
          <w:sz w:val="20"/>
          <w:u w:val="single"/>
        </w:rPr>
        <w:t>be </w:t>
      </w:r>
      <w:r>
        <w:rPr>
          <w:spacing w:val="2"/>
          <w:w w:val="120"/>
          <w:sz w:val="20"/>
          <w:u w:val="single"/>
        </w:rPr>
        <w:t>at </w:t>
      </w:r>
      <w:r>
        <w:rPr>
          <w:spacing w:val="3"/>
          <w:w w:val="120"/>
          <w:sz w:val="20"/>
          <w:u w:val="single"/>
        </w:rPr>
        <w:t>an </w:t>
      </w:r>
      <w:r>
        <w:rPr>
          <w:spacing w:val="5"/>
          <w:w w:val="120"/>
          <w:sz w:val="20"/>
          <w:u w:val="single"/>
        </w:rPr>
        <w:t>appropriate </w:t>
      </w:r>
      <w:r>
        <w:rPr>
          <w:spacing w:val="3"/>
          <w:w w:val="120"/>
          <w:sz w:val="20"/>
          <w:u w:val="single"/>
        </w:rPr>
        <w:t>date </w:t>
      </w:r>
      <w:r>
        <w:rPr>
          <w:spacing w:val="5"/>
          <w:w w:val="120"/>
          <w:sz w:val="20"/>
          <w:u w:val="single"/>
        </w:rPr>
        <w:t>before </w:t>
      </w:r>
      <w:r>
        <w:rPr>
          <w:spacing w:val="4"/>
          <w:w w:val="120"/>
          <w:sz w:val="20"/>
          <w:u w:val="single"/>
        </w:rPr>
        <w:t>the </w:t>
      </w:r>
      <w:r>
        <w:rPr>
          <w:spacing w:val="6"/>
          <w:w w:val="120"/>
          <w:sz w:val="20"/>
          <w:u w:val="single"/>
        </w:rPr>
        <w:t>next ordinary </w:t>
      </w:r>
      <w:r>
        <w:rPr>
          <w:spacing w:val="5"/>
          <w:w w:val="120"/>
          <w:sz w:val="20"/>
          <w:u w:val="single"/>
        </w:rPr>
        <w:t>meeting </w:t>
      </w:r>
      <w:r>
        <w:rPr>
          <w:spacing w:val="3"/>
          <w:w w:val="120"/>
          <w:sz w:val="20"/>
          <w:u w:val="single"/>
        </w:rPr>
        <w:t>of </w:t>
      </w:r>
      <w:r>
        <w:rPr>
          <w:spacing w:val="4"/>
          <w:w w:val="120"/>
          <w:sz w:val="20"/>
          <w:u w:val="single"/>
        </w:rPr>
        <w:t>the </w:t>
      </w:r>
      <w:r>
        <w:rPr>
          <w:spacing w:val="5"/>
          <w:w w:val="120"/>
          <w:sz w:val="20"/>
          <w:u w:val="single"/>
        </w:rPr>
        <w:t>General</w:t>
      </w:r>
      <w:r>
        <w:rPr>
          <w:spacing w:val="13"/>
          <w:w w:val="120"/>
          <w:sz w:val="20"/>
          <w:u w:val="single"/>
        </w:rPr>
        <w:t> </w:t>
      </w:r>
      <w:r>
        <w:rPr>
          <w:spacing w:val="4"/>
          <w:w w:val="120"/>
          <w:sz w:val="20"/>
          <w:u w:val="single"/>
        </w:rPr>
        <w:t>Assembly.</w:t>
      </w:r>
    </w:p>
    <w:p>
      <w:pPr>
        <w:pStyle w:val="BodyText"/>
        <w:spacing w:before="10"/>
        <w:rPr>
          <w:sz w:val="19"/>
        </w:rPr>
      </w:pPr>
    </w:p>
    <w:p>
      <w:pPr>
        <w:pStyle w:val="ListParagraph"/>
        <w:numPr>
          <w:ilvl w:val="0"/>
          <w:numId w:val="205"/>
        </w:numPr>
        <w:tabs>
          <w:tab w:pos="1814" w:val="left" w:leader="none"/>
          <w:tab w:pos="1815" w:val="left" w:leader="none"/>
        </w:tabs>
        <w:spacing w:line="235" w:lineRule="auto" w:before="0" w:after="0"/>
        <w:ind w:left="1814" w:right="1893" w:hanging="681"/>
        <w:jc w:val="left"/>
        <w:rPr>
          <w:sz w:val="20"/>
        </w:rPr>
      </w:pPr>
      <w:r>
        <w:rPr>
          <w:spacing w:val="2"/>
          <w:w w:val="120"/>
          <w:sz w:val="20"/>
        </w:rPr>
        <w:t>If </w:t>
      </w:r>
      <w:r>
        <w:rPr>
          <w:w w:val="120"/>
          <w:sz w:val="20"/>
        </w:rPr>
        <w:t>by such date notice has </w:t>
      </w:r>
      <w:r>
        <w:rPr>
          <w:spacing w:val="2"/>
          <w:w w:val="120"/>
          <w:sz w:val="20"/>
        </w:rPr>
        <w:t>been </w:t>
      </w:r>
      <w:r>
        <w:rPr>
          <w:w w:val="120"/>
          <w:sz w:val="20"/>
        </w:rPr>
        <w:t>received  by  the  </w:t>
      </w:r>
      <w:r>
        <w:rPr>
          <w:spacing w:val="2"/>
          <w:w w:val="120"/>
          <w:sz w:val="20"/>
        </w:rPr>
        <w:t>General </w:t>
      </w:r>
      <w:r>
        <w:rPr>
          <w:spacing w:val="3"/>
          <w:w w:val="120"/>
          <w:sz w:val="20"/>
        </w:rPr>
        <w:t>Secretary </w:t>
      </w:r>
      <w:r>
        <w:rPr>
          <w:spacing w:val="2"/>
          <w:w w:val="120"/>
          <w:sz w:val="20"/>
        </w:rPr>
        <w:t>from more </w:t>
      </w:r>
      <w:r>
        <w:rPr>
          <w:w w:val="120"/>
          <w:sz w:val="20"/>
        </w:rPr>
        <w:t>than one third of </w:t>
      </w:r>
      <w:r>
        <w:rPr>
          <w:spacing w:val="2"/>
          <w:w w:val="120"/>
          <w:sz w:val="20"/>
        </w:rPr>
        <w:t>synods </w:t>
      </w:r>
      <w:r>
        <w:rPr>
          <w:spacing w:val="-6"/>
          <w:w w:val="120"/>
          <w:sz w:val="20"/>
        </w:rPr>
        <w:t>(or,  </w:t>
      </w:r>
      <w:r>
        <w:rPr>
          <w:w w:val="120"/>
          <w:sz w:val="20"/>
        </w:rPr>
        <w:t>if it has </w:t>
      </w:r>
      <w:r>
        <w:rPr>
          <w:spacing w:val="2"/>
          <w:w w:val="120"/>
          <w:sz w:val="20"/>
        </w:rPr>
        <w:t>been </w:t>
      </w:r>
      <w:r>
        <w:rPr>
          <w:w w:val="120"/>
          <w:sz w:val="20"/>
        </w:rPr>
        <w:t>so </w:t>
      </w:r>
      <w:r>
        <w:rPr>
          <w:spacing w:val="2"/>
          <w:w w:val="120"/>
          <w:sz w:val="20"/>
        </w:rPr>
        <w:t>referred, more </w:t>
      </w:r>
      <w:r>
        <w:rPr>
          <w:w w:val="120"/>
          <w:sz w:val="20"/>
        </w:rPr>
        <w:t>than one third of  </w:t>
      </w:r>
      <w:r>
        <w:rPr>
          <w:spacing w:val="2"/>
          <w:w w:val="120"/>
          <w:sz w:val="20"/>
        </w:rPr>
        <w:t>local </w:t>
      </w:r>
      <w:r>
        <w:rPr>
          <w:w w:val="120"/>
          <w:sz w:val="20"/>
        </w:rPr>
        <w:t>churches) that a motion ‘that the </w:t>
      </w:r>
      <w:r>
        <w:rPr>
          <w:spacing w:val="2"/>
          <w:w w:val="120"/>
          <w:sz w:val="20"/>
        </w:rPr>
        <w:t>proposal </w:t>
      </w:r>
      <w:r>
        <w:rPr>
          <w:w w:val="120"/>
          <w:sz w:val="20"/>
        </w:rPr>
        <w:t>be not </w:t>
      </w:r>
      <w:r>
        <w:rPr>
          <w:spacing w:val="2"/>
          <w:w w:val="120"/>
          <w:sz w:val="20"/>
        </w:rPr>
        <w:t>proceeded </w:t>
      </w:r>
      <w:r>
        <w:rPr>
          <w:w w:val="120"/>
          <w:sz w:val="20"/>
        </w:rPr>
        <w:t>with’ has </w:t>
      </w:r>
      <w:r>
        <w:rPr>
          <w:spacing w:val="2"/>
          <w:w w:val="120"/>
          <w:sz w:val="20"/>
        </w:rPr>
        <w:t>been </w:t>
      </w:r>
      <w:r>
        <w:rPr>
          <w:w w:val="120"/>
          <w:sz w:val="20"/>
        </w:rPr>
        <w:t>passed by a </w:t>
      </w:r>
      <w:r>
        <w:rPr>
          <w:spacing w:val="2"/>
          <w:w w:val="120"/>
          <w:sz w:val="20"/>
        </w:rPr>
        <w:t>majority </w:t>
      </w:r>
      <w:r>
        <w:rPr>
          <w:w w:val="120"/>
          <w:sz w:val="20"/>
        </w:rPr>
        <w:t>of </w:t>
      </w:r>
      <w:r>
        <w:rPr>
          <w:spacing w:val="2"/>
          <w:w w:val="120"/>
          <w:sz w:val="20"/>
        </w:rPr>
        <w:t>members </w:t>
      </w:r>
      <w:r>
        <w:rPr>
          <w:w w:val="120"/>
          <w:sz w:val="20"/>
        </w:rPr>
        <w:t>present and voting at a duly convened </w:t>
      </w:r>
      <w:r>
        <w:rPr>
          <w:spacing w:val="2"/>
          <w:w w:val="120"/>
          <w:sz w:val="20"/>
        </w:rPr>
        <w:t>meeting  </w:t>
      </w:r>
      <w:r>
        <w:rPr>
          <w:w w:val="120"/>
          <w:sz w:val="20"/>
        </w:rPr>
        <w:t>of such body, then the </w:t>
      </w:r>
      <w:r>
        <w:rPr>
          <w:spacing w:val="2"/>
          <w:w w:val="120"/>
          <w:sz w:val="20"/>
        </w:rPr>
        <w:t>Assembly </w:t>
      </w:r>
      <w:r>
        <w:rPr>
          <w:w w:val="120"/>
          <w:sz w:val="20"/>
          <w:u w:val="single"/>
        </w:rPr>
        <w:t>or the Mission Council, as the case may be,</w:t>
      </w:r>
      <w:r>
        <w:rPr>
          <w:w w:val="120"/>
          <w:sz w:val="20"/>
        </w:rPr>
        <w:t> in </w:t>
      </w:r>
      <w:r>
        <w:rPr>
          <w:spacing w:val="2"/>
          <w:w w:val="120"/>
          <w:sz w:val="20"/>
        </w:rPr>
        <w:t>its </w:t>
      </w:r>
      <w:r>
        <w:rPr>
          <w:w w:val="120"/>
          <w:sz w:val="20"/>
        </w:rPr>
        <w:t>concern</w:t>
      </w:r>
      <w:r>
        <w:rPr>
          <w:spacing w:val="9"/>
          <w:w w:val="120"/>
          <w:sz w:val="20"/>
        </w:rPr>
        <w:t> </w:t>
      </w:r>
      <w:r>
        <w:rPr>
          <w:w w:val="120"/>
          <w:sz w:val="20"/>
        </w:rPr>
        <w:t>for</w:t>
      </w:r>
      <w:r>
        <w:rPr>
          <w:spacing w:val="9"/>
          <w:w w:val="120"/>
          <w:sz w:val="20"/>
        </w:rPr>
        <w:t> </w:t>
      </w:r>
      <w:r>
        <w:rPr>
          <w:w w:val="120"/>
          <w:sz w:val="20"/>
        </w:rPr>
        <w:t>the</w:t>
      </w:r>
      <w:r>
        <w:rPr>
          <w:spacing w:val="9"/>
          <w:w w:val="120"/>
          <w:sz w:val="20"/>
        </w:rPr>
        <w:t> </w:t>
      </w:r>
      <w:r>
        <w:rPr>
          <w:w w:val="120"/>
          <w:sz w:val="20"/>
        </w:rPr>
        <w:t>unity</w:t>
      </w:r>
      <w:r>
        <w:rPr>
          <w:spacing w:val="10"/>
          <w:w w:val="120"/>
          <w:sz w:val="20"/>
        </w:rPr>
        <w:t> </w:t>
      </w:r>
      <w:r>
        <w:rPr>
          <w:w w:val="120"/>
          <w:sz w:val="20"/>
        </w:rPr>
        <w:t>of</w:t>
      </w:r>
      <w:r>
        <w:rPr>
          <w:spacing w:val="9"/>
          <w:w w:val="120"/>
          <w:sz w:val="20"/>
        </w:rPr>
        <w:t> </w:t>
      </w:r>
      <w:r>
        <w:rPr>
          <w:w w:val="120"/>
          <w:sz w:val="20"/>
        </w:rPr>
        <w:t>the</w:t>
      </w:r>
      <w:r>
        <w:rPr>
          <w:spacing w:val="9"/>
          <w:w w:val="120"/>
          <w:sz w:val="20"/>
        </w:rPr>
        <w:t> </w:t>
      </w:r>
      <w:r>
        <w:rPr>
          <w:w w:val="120"/>
          <w:sz w:val="20"/>
        </w:rPr>
        <w:t>church</w:t>
      </w:r>
      <w:r>
        <w:rPr>
          <w:spacing w:val="10"/>
          <w:w w:val="120"/>
          <w:sz w:val="20"/>
        </w:rPr>
        <w:t> </w:t>
      </w:r>
      <w:r>
        <w:rPr>
          <w:w w:val="120"/>
          <w:sz w:val="20"/>
        </w:rPr>
        <w:t>shall</w:t>
      </w:r>
      <w:r>
        <w:rPr>
          <w:spacing w:val="9"/>
          <w:w w:val="120"/>
          <w:sz w:val="20"/>
        </w:rPr>
        <w:t> </w:t>
      </w:r>
      <w:r>
        <w:rPr>
          <w:w w:val="120"/>
          <w:sz w:val="20"/>
        </w:rPr>
        <w:t>not</w:t>
      </w:r>
      <w:r>
        <w:rPr>
          <w:spacing w:val="9"/>
          <w:w w:val="120"/>
          <w:sz w:val="20"/>
        </w:rPr>
        <w:t> </w:t>
      </w:r>
      <w:r>
        <w:rPr>
          <w:w w:val="120"/>
          <w:sz w:val="20"/>
        </w:rPr>
        <w:t>proceed</w:t>
      </w:r>
      <w:r>
        <w:rPr>
          <w:spacing w:val="10"/>
          <w:w w:val="120"/>
          <w:sz w:val="20"/>
        </w:rPr>
        <w:t> </w:t>
      </w:r>
      <w:r>
        <w:rPr>
          <w:w w:val="120"/>
          <w:sz w:val="20"/>
        </w:rPr>
        <w:t>to</w:t>
      </w:r>
      <w:r>
        <w:rPr>
          <w:spacing w:val="9"/>
          <w:w w:val="120"/>
          <w:sz w:val="20"/>
        </w:rPr>
        <w:t> </w:t>
      </w:r>
      <w:r>
        <w:rPr>
          <w:spacing w:val="4"/>
          <w:w w:val="120"/>
          <w:sz w:val="20"/>
        </w:rPr>
        <w:t>ratify</w:t>
      </w:r>
      <w:r>
        <w:rPr>
          <w:spacing w:val="9"/>
          <w:w w:val="120"/>
          <w:sz w:val="20"/>
        </w:rPr>
        <w:t> </w:t>
      </w:r>
      <w:r>
        <w:rPr>
          <w:w w:val="120"/>
          <w:sz w:val="20"/>
        </w:rPr>
        <w:t>the</w:t>
      </w:r>
      <w:r>
        <w:rPr>
          <w:spacing w:val="10"/>
          <w:w w:val="120"/>
          <w:sz w:val="20"/>
        </w:rPr>
        <w:t> </w:t>
      </w:r>
      <w:r>
        <w:rPr>
          <w:spacing w:val="2"/>
          <w:w w:val="120"/>
          <w:sz w:val="20"/>
        </w:rPr>
        <w:t>proposal.</w:t>
      </w:r>
    </w:p>
    <w:p>
      <w:pPr>
        <w:spacing w:after="0" w:line="235" w:lineRule="auto"/>
        <w:jc w:val="left"/>
        <w:rPr>
          <w:sz w:val="20"/>
        </w:rPr>
        <w:sectPr>
          <w:headerReference w:type="even" r:id="rId585"/>
          <w:headerReference w:type="default" r:id="rId586"/>
          <w:footerReference w:type="even" r:id="rId587"/>
          <w:footerReference w:type="default" r:id="rId588"/>
          <w:pgSz w:w="11910" w:h="16840"/>
          <w:pgMar w:header="0" w:footer="647" w:top="1060" w:bottom="840" w:left="0" w:right="0"/>
        </w:sectPr>
      </w:pPr>
    </w:p>
    <w:p>
      <w:pPr>
        <w:pStyle w:val="ListParagraph"/>
        <w:numPr>
          <w:ilvl w:val="0"/>
          <w:numId w:val="205"/>
        </w:numPr>
        <w:tabs>
          <w:tab w:pos="2361" w:val="left" w:leader="none"/>
        </w:tabs>
        <w:spacing w:line="235" w:lineRule="auto" w:before="119" w:after="0"/>
        <w:ind w:left="2664" w:right="1192" w:hanging="681"/>
        <w:jc w:val="left"/>
        <w:rPr>
          <w:sz w:val="20"/>
        </w:rPr>
      </w:pPr>
      <w:r>
        <w:rPr/>
        <w:pict>
          <v:rect style="position:absolute;margin-left:558.424988pt;margin-top:8.486233pt;width:22.677pt;height:22.677pt;mso-position-horizontal-relative:page;mso-position-vertical-relative:paragraph;z-index:252403712" filled="true" fillcolor="#dcd0e6" stroked="false">
            <v:fill opacity="32768f" type="solid"/>
            <w10:wrap type="none"/>
          </v:rect>
        </w:pict>
      </w:r>
      <w:r>
        <w:rPr>
          <w:spacing w:val="4"/>
          <w:w w:val="120"/>
          <w:sz w:val="20"/>
        </w:rPr>
        <w:t>If </w:t>
      </w:r>
      <w:r>
        <w:rPr>
          <w:w w:val="120"/>
          <w:sz w:val="20"/>
        </w:rPr>
        <w:t>by </w:t>
      </w:r>
      <w:r>
        <w:rPr>
          <w:spacing w:val="3"/>
          <w:w w:val="120"/>
          <w:sz w:val="20"/>
        </w:rPr>
        <w:t>such date such notice has not </w:t>
      </w:r>
      <w:r>
        <w:rPr>
          <w:spacing w:val="5"/>
          <w:w w:val="120"/>
          <w:sz w:val="20"/>
        </w:rPr>
        <w:t>been </w:t>
      </w:r>
      <w:r>
        <w:rPr>
          <w:spacing w:val="4"/>
          <w:w w:val="120"/>
          <w:sz w:val="20"/>
        </w:rPr>
        <w:t>received, </w:t>
      </w:r>
      <w:r>
        <w:rPr>
          <w:w w:val="120"/>
          <w:sz w:val="20"/>
        </w:rPr>
        <w:t>a </w:t>
      </w:r>
      <w:r>
        <w:rPr>
          <w:spacing w:val="4"/>
          <w:w w:val="120"/>
          <w:sz w:val="20"/>
        </w:rPr>
        <w:t>motion </w:t>
      </w:r>
      <w:r>
        <w:rPr>
          <w:w w:val="120"/>
          <w:sz w:val="20"/>
        </w:rPr>
        <w:t>to </w:t>
      </w:r>
      <w:r>
        <w:rPr>
          <w:spacing w:val="5"/>
          <w:w w:val="120"/>
          <w:sz w:val="20"/>
        </w:rPr>
        <w:t>agree </w:t>
      </w:r>
      <w:r>
        <w:rPr>
          <w:spacing w:val="4"/>
          <w:w w:val="120"/>
          <w:sz w:val="20"/>
        </w:rPr>
        <w:t>the   proposed </w:t>
      </w:r>
      <w:r>
        <w:rPr>
          <w:spacing w:val="5"/>
          <w:w w:val="120"/>
          <w:sz w:val="20"/>
        </w:rPr>
        <w:t>amendment </w:t>
      </w:r>
      <w:r>
        <w:rPr>
          <w:spacing w:val="4"/>
          <w:w w:val="120"/>
          <w:sz w:val="20"/>
        </w:rPr>
        <w:t>shall </w:t>
      </w:r>
      <w:r>
        <w:rPr>
          <w:spacing w:val="3"/>
          <w:w w:val="120"/>
          <w:sz w:val="20"/>
        </w:rPr>
        <w:t>come </w:t>
      </w:r>
      <w:r>
        <w:rPr>
          <w:spacing w:val="5"/>
          <w:w w:val="120"/>
          <w:sz w:val="20"/>
        </w:rPr>
        <w:t>before </w:t>
      </w:r>
      <w:r>
        <w:rPr>
          <w:spacing w:val="4"/>
          <w:w w:val="120"/>
          <w:sz w:val="20"/>
        </w:rPr>
        <w:t>the </w:t>
      </w:r>
      <w:r>
        <w:rPr>
          <w:spacing w:val="5"/>
          <w:w w:val="120"/>
          <w:sz w:val="20"/>
        </w:rPr>
        <w:t>General Assembly </w:t>
      </w:r>
      <w:r>
        <w:rPr>
          <w:spacing w:val="2"/>
          <w:w w:val="120"/>
          <w:sz w:val="20"/>
        </w:rPr>
        <w:t>at </w:t>
      </w:r>
      <w:r>
        <w:rPr>
          <w:spacing w:val="5"/>
          <w:w w:val="120"/>
          <w:sz w:val="20"/>
        </w:rPr>
        <w:t>its </w:t>
      </w:r>
      <w:r>
        <w:rPr>
          <w:spacing w:val="6"/>
          <w:w w:val="120"/>
          <w:sz w:val="20"/>
        </w:rPr>
        <w:t>next </w:t>
      </w:r>
      <w:r>
        <w:rPr>
          <w:spacing w:val="5"/>
          <w:w w:val="120"/>
          <w:sz w:val="20"/>
        </w:rPr>
        <w:t>meeting </w:t>
      </w:r>
      <w:r>
        <w:rPr>
          <w:spacing w:val="3"/>
          <w:w w:val="120"/>
          <w:sz w:val="20"/>
          <w:u w:val="single"/>
        </w:rPr>
        <w:t>or </w:t>
      </w:r>
      <w:r>
        <w:rPr>
          <w:spacing w:val="5"/>
          <w:w w:val="120"/>
          <w:sz w:val="20"/>
          <w:u w:val="single"/>
        </w:rPr>
        <w:t>before </w:t>
      </w:r>
      <w:r>
        <w:rPr>
          <w:spacing w:val="4"/>
          <w:w w:val="120"/>
          <w:sz w:val="20"/>
          <w:u w:val="single"/>
        </w:rPr>
        <w:t>the Mission </w:t>
      </w:r>
      <w:r>
        <w:rPr>
          <w:spacing w:val="3"/>
          <w:w w:val="120"/>
          <w:sz w:val="20"/>
          <w:u w:val="single"/>
        </w:rPr>
        <w:t>Council </w:t>
      </w:r>
      <w:r>
        <w:rPr>
          <w:spacing w:val="2"/>
          <w:w w:val="120"/>
          <w:sz w:val="20"/>
          <w:u w:val="single"/>
        </w:rPr>
        <w:t>at </w:t>
      </w:r>
      <w:r>
        <w:rPr>
          <w:w w:val="120"/>
          <w:sz w:val="20"/>
          <w:u w:val="single"/>
        </w:rPr>
        <w:t>a </w:t>
      </w:r>
      <w:r>
        <w:rPr>
          <w:spacing w:val="5"/>
          <w:w w:val="120"/>
          <w:sz w:val="20"/>
          <w:u w:val="single"/>
        </w:rPr>
        <w:t>meeting specified </w:t>
      </w:r>
      <w:r>
        <w:rPr>
          <w:w w:val="120"/>
          <w:sz w:val="20"/>
          <w:u w:val="single"/>
        </w:rPr>
        <w:t>by </w:t>
      </w:r>
      <w:r>
        <w:rPr>
          <w:spacing w:val="4"/>
          <w:w w:val="120"/>
          <w:sz w:val="20"/>
          <w:u w:val="single"/>
        </w:rPr>
        <w:t>the </w:t>
      </w:r>
      <w:r>
        <w:rPr>
          <w:spacing w:val="5"/>
          <w:w w:val="120"/>
          <w:sz w:val="20"/>
          <w:u w:val="single"/>
        </w:rPr>
        <w:t>General </w:t>
      </w:r>
      <w:r>
        <w:rPr>
          <w:spacing w:val="4"/>
          <w:w w:val="120"/>
          <w:sz w:val="20"/>
          <w:u w:val="single"/>
        </w:rPr>
        <w:t>Assembly,</w:t>
      </w:r>
      <w:r>
        <w:rPr>
          <w:spacing w:val="4"/>
          <w:w w:val="120"/>
          <w:sz w:val="20"/>
        </w:rPr>
        <w:t> </w:t>
      </w:r>
      <w:r>
        <w:rPr>
          <w:spacing w:val="3"/>
          <w:w w:val="120"/>
          <w:sz w:val="20"/>
        </w:rPr>
        <w:t>Such </w:t>
      </w:r>
      <w:r>
        <w:rPr>
          <w:w w:val="120"/>
          <w:sz w:val="20"/>
        </w:rPr>
        <w:t>a </w:t>
      </w:r>
      <w:r>
        <w:rPr>
          <w:spacing w:val="4"/>
          <w:w w:val="120"/>
          <w:sz w:val="20"/>
        </w:rPr>
        <w:t>motion shall </w:t>
      </w:r>
      <w:r>
        <w:rPr>
          <w:spacing w:val="5"/>
          <w:w w:val="120"/>
          <w:sz w:val="20"/>
        </w:rPr>
        <w:t>require </w:t>
      </w:r>
      <w:r>
        <w:rPr>
          <w:w w:val="120"/>
          <w:sz w:val="20"/>
        </w:rPr>
        <w:t>a</w:t>
      </w:r>
      <w:r>
        <w:rPr>
          <w:strike/>
          <w:w w:val="120"/>
          <w:sz w:val="20"/>
        </w:rPr>
        <w:t> </w:t>
      </w:r>
      <w:r>
        <w:rPr>
          <w:strike/>
          <w:spacing w:val="4"/>
          <w:w w:val="120"/>
          <w:sz w:val="20"/>
          <w:u w:val="single"/>
        </w:rPr>
        <w:t>simple</w:t>
      </w:r>
      <w:r>
        <w:rPr>
          <w:strike w:val="0"/>
          <w:spacing w:val="4"/>
          <w:w w:val="120"/>
          <w:sz w:val="20"/>
        </w:rPr>
        <w:t> </w:t>
      </w:r>
      <w:r>
        <w:rPr>
          <w:strike w:val="0"/>
          <w:spacing w:val="5"/>
          <w:w w:val="120"/>
          <w:sz w:val="20"/>
        </w:rPr>
        <w:t>majority </w:t>
      </w:r>
      <w:r>
        <w:rPr>
          <w:strike w:val="0"/>
          <w:spacing w:val="3"/>
          <w:w w:val="120"/>
          <w:sz w:val="20"/>
          <w:u w:val="single"/>
        </w:rPr>
        <w:t>of </w:t>
      </w:r>
      <w:r>
        <w:rPr>
          <w:strike w:val="0"/>
          <w:spacing w:val="6"/>
          <w:w w:val="120"/>
          <w:sz w:val="20"/>
          <w:u w:val="single"/>
        </w:rPr>
        <w:t>two-thirds</w:t>
      </w:r>
      <w:r>
        <w:rPr>
          <w:strike w:val="0"/>
          <w:spacing w:val="6"/>
          <w:w w:val="120"/>
          <w:sz w:val="20"/>
        </w:rPr>
        <w:t> </w:t>
      </w:r>
      <w:r>
        <w:rPr>
          <w:strike w:val="0"/>
          <w:spacing w:val="3"/>
          <w:w w:val="120"/>
          <w:sz w:val="20"/>
        </w:rPr>
        <w:t>of </w:t>
      </w:r>
      <w:r>
        <w:rPr>
          <w:strike w:val="0"/>
          <w:spacing w:val="4"/>
          <w:w w:val="120"/>
          <w:sz w:val="20"/>
        </w:rPr>
        <w:t>the </w:t>
      </w:r>
      <w:r>
        <w:rPr>
          <w:strike w:val="0"/>
          <w:spacing w:val="5"/>
          <w:w w:val="120"/>
          <w:sz w:val="20"/>
        </w:rPr>
        <w:t>members </w:t>
      </w:r>
      <w:r>
        <w:rPr>
          <w:strike w:val="0"/>
          <w:spacing w:val="4"/>
          <w:w w:val="120"/>
          <w:sz w:val="20"/>
        </w:rPr>
        <w:t>present and voting </w:t>
      </w:r>
      <w:r>
        <w:rPr>
          <w:strike w:val="0"/>
          <w:w w:val="120"/>
          <w:sz w:val="20"/>
        </w:rPr>
        <w:t>to </w:t>
      </w:r>
      <w:r>
        <w:rPr>
          <w:strike w:val="0"/>
          <w:spacing w:val="4"/>
          <w:w w:val="120"/>
          <w:sz w:val="20"/>
        </w:rPr>
        <w:t>pass. </w:t>
      </w:r>
      <w:r>
        <w:rPr>
          <w:strike w:val="0"/>
          <w:spacing w:val="3"/>
          <w:w w:val="120"/>
          <w:sz w:val="20"/>
        </w:rPr>
        <w:t>In </w:t>
      </w:r>
      <w:r>
        <w:rPr>
          <w:strike w:val="0"/>
          <w:spacing w:val="5"/>
          <w:w w:val="120"/>
          <w:sz w:val="20"/>
        </w:rPr>
        <w:t>its </w:t>
      </w:r>
      <w:r>
        <w:rPr>
          <w:strike w:val="0"/>
          <w:spacing w:val="4"/>
          <w:w w:val="120"/>
          <w:sz w:val="20"/>
        </w:rPr>
        <w:t>concern </w:t>
      </w:r>
      <w:r>
        <w:rPr>
          <w:strike w:val="0"/>
          <w:spacing w:val="3"/>
          <w:w w:val="120"/>
          <w:sz w:val="20"/>
        </w:rPr>
        <w:t>for </w:t>
      </w:r>
      <w:r>
        <w:rPr>
          <w:strike w:val="0"/>
          <w:spacing w:val="4"/>
          <w:w w:val="120"/>
          <w:sz w:val="20"/>
        </w:rPr>
        <w:t>mutual </w:t>
      </w:r>
      <w:r>
        <w:rPr>
          <w:strike w:val="0"/>
          <w:spacing w:val="5"/>
          <w:w w:val="120"/>
          <w:sz w:val="20"/>
        </w:rPr>
        <w:t>understanding </w:t>
      </w:r>
      <w:r>
        <w:rPr>
          <w:strike w:val="0"/>
          <w:spacing w:val="4"/>
          <w:w w:val="120"/>
          <w:sz w:val="20"/>
        </w:rPr>
        <w:t>within the life </w:t>
      </w:r>
      <w:r>
        <w:rPr>
          <w:strike w:val="0"/>
          <w:spacing w:val="3"/>
          <w:w w:val="120"/>
          <w:sz w:val="20"/>
        </w:rPr>
        <w:t>of </w:t>
      </w:r>
      <w:r>
        <w:rPr>
          <w:strike w:val="0"/>
          <w:spacing w:val="4"/>
          <w:w w:val="120"/>
          <w:sz w:val="20"/>
        </w:rPr>
        <w:t>the </w:t>
      </w:r>
      <w:r>
        <w:rPr>
          <w:strike w:val="0"/>
          <w:spacing w:val="3"/>
          <w:w w:val="120"/>
          <w:sz w:val="20"/>
        </w:rPr>
        <w:t>church, </w:t>
      </w:r>
      <w:r>
        <w:rPr>
          <w:strike w:val="0"/>
          <w:spacing w:val="5"/>
          <w:w w:val="120"/>
          <w:sz w:val="20"/>
        </w:rPr>
        <w:t>before </w:t>
      </w:r>
      <w:r>
        <w:rPr>
          <w:strike w:val="0"/>
          <w:spacing w:val="4"/>
          <w:w w:val="120"/>
          <w:sz w:val="20"/>
        </w:rPr>
        <w:t>voting </w:t>
      </w:r>
      <w:r>
        <w:rPr>
          <w:strike w:val="0"/>
          <w:spacing w:val="3"/>
          <w:w w:val="120"/>
          <w:sz w:val="20"/>
        </w:rPr>
        <w:t>on such </w:t>
      </w:r>
      <w:r>
        <w:rPr>
          <w:strike w:val="0"/>
          <w:w w:val="120"/>
          <w:sz w:val="20"/>
        </w:rPr>
        <w:t>a </w:t>
      </w:r>
      <w:r>
        <w:rPr>
          <w:strike w:val="0"/>
          <w:spacing w:val="4"/>
          <w:w w:val="120"/>
          <w:sz w:val="20"/>
        </w:rPr>
        <w:t>motion the </w:t>
      </w:r>
      <w:r>
        <w:rPr>
          <w:strike w:val="0"/>
          <w:spacing w:val="5"/>
          <w:w w:val="120"/>
          <w:sz w:val="20"/>
        </w:rPr>
        <w:t>General Assembly </w:t>
      </w:r>
      <w:r>
        <w:rPr>
          <w:strike w:val="0"/>
          <w:spacing w:val="3"/>
          <w:w w:val="120"/>
          <w:sz w:val="20"/>
          <w:u w:val="single"/>
        </w:rPr>
        <w:t>or </w:t>
      </w:r>
      <w:r>
        <w:rPr>
          <w:strike w:val="0"/>
          <w:spacing w:val="4"/>
          <w:w w:val="120"/>
          <w:sz w:val="20"/>
          <w:u w:val="single"/>
        </w:rPr>
        <w:t>Mission </w:t>
      </w:r>
      <w:r>
        <w:rPr>
          <w:strike w:val="0"/>
          <w:spacing w:val="3"/>
          <w:w w:val="120"/>
          <w:sz w:val="20"/>
          <w:u w:val="single"/>
        </w:rPr>
        <w:t>Council</w:t>
      </w:r>
      <w:r>
        <w:rPr>
          <w:strike w:val="0"/>
          <w:spacing w:val="3"/>
          <w:w w:val="120"/>
          <w:sz w:val="20"/>
        </w:rPr>
        <w:t> </w:t>
      </w:r>
      <w:r>
        <w:rPr>
          <w:strike w:val="0"/>
          <w:spacing w:val="4"/>
          <w:w w:val="120"/>
          <w:sz w:val="20"/>
        </w:rPr>
        <w:t>shall </w:t>
      </w:r>
      <w:r>
        <w:rPr>
          <w:strike w:val="0"/>
          <w:spacing w:val="3"/>
          <w:w w:val="120"/>
          <w:sz w:val="20"/>
        </w:rPr>
        <w:t>invite </w:t>
      </w:r>
      <w:r>
        <w:rPr>
          <w:strike w:val="0"/>
          <w:w w:val="120"/>
          <w:sz w:val="20"/>
        </w:rPr>
        <w:t>a </w:t>
      </w:r>
      <w:r>
        <w:rPr>
          <w:strike w:val="0"/>
          <w:spacing w:val="5"/>
          <w:w w:val="120"/>
          <w:sz w:val="20"/>
        </w:rPr>
        <w:t>representative </w:t>
      </w:r>
      <w:r>
        <w:rPr>
          <w:strike w:val="0"/>
          <w:spacing w:val="3"/>
          <w:w w:val="120"/>
          <w:sz w:val="20"/>
        </w:rPr>
        <w:t>of any </w:t>
      </w:r>
      <w:r>
        <w:rPr>
          <w:strike w:val="0"/>
          <w:spacing w:val="5"/>
          <w:w w:val="120"/>
          <w:sz w:val="20"/>
        </w:rPr>
        <w:t>synod </w:t>
      </w:r>
      <w:r>
        <w:rPr>
          <w:strike w:val="0"/>
          <w:spacing w:val="4"/>
          <w:w w:val="120"/>
          <w:sz w:val="20"/>
        </w:rPr>
        <w:t>from which the </w:t>
      </w:r>
      <w:r>
        <w:rPr>
          <w:strike w:val="0"/>
          <w:spacing w:val="5"/>
          <w:w w:val="120"/>
          <w:sz w:val="20"/>
        </w:rPr>
        <w:t>General </w:t>
      </w:r>
      <w:r>
        <w:rPr>
          <w:strike w:val="0"/>
          <w:spacing w:val="6"/>
          <w:w w:val="120"/>
          <w:sz w:val="20"/>
        </w:rPr>
        <w:t>Secretary </w:t>
      </w:r>
      <w:r>
        <w:rPr>
          <w:strike w:val="0"/>
          <w:spacing w:val="3"/>
          <w:w w:val="120"/>
          <w:sz w:val="20"/>
        </w:rPr>
        <w:t>has </w:t>
      </w:r>
      <w:r>
        <w:rPr>
          <w:strike w:val="0"/>
          <w:spacing w:val="4"/>
          <w:w w:val="120"/>
          <w:sz w:val="20"/>
        </w:rPr>
        <w:t>duly received </w:t>
      </w:r>
      <w:r>
        <w:rPr>
          <w:strike w:val="0"/>
          <w:spacing w:val="5"/>
          <w:w w:val="120"/>
          <w:sz w:val="20"/>
        </w:rPr>
        <w:t>notification </w:t>
      </w:r>
      <w:r>
        <w:rPr>
          <w:strike w:val="0"/>
          <w:spacing w:val="4"/>
          <w:w w:val="120"/>
          <w:sz w:val="20"/>
        </w:rPr>
        <w:t>under </w:t>
      </w:r>
      <w:r>
        <w:rPr>
          <w:strike w:val="0"/>
          <w:spacing w:val="-5"/>
          <w:w w:val="120"/>
          <w:sz w:val="20"/>
        </w:rPr>
        <w:t>3(1)(e) </w:t>
      </w:r>
      <w:r>
        <w:rPr>
          <w:strike w:val="0"/>
          <w:w w:val="120"/>
          <w:sz w:val="20"/>
        </w:rPr>
        <w:t>to </w:t>
      </w:r>
      <w:r>
        <w:rPr>
          <w:strike w:val="0"/>
          <w:spacing w:val="4"/>
          <w:w w:val="120"/>
          <w:sz w:val="20"/>
        </w:rPr>
        <w:t>present the main reasons </w:t>
      </w:r>
      <w:r>
        <w:rPr>
          <w:strike w:val="0"/>
          <w:spacing w:val="3"/>
          <w:w w:val="120"/>
          <w:sz w:val="20"/>
        </w:rPr>
        <w:t>for </w:t>
      </w:r>
      <w:r>
        <w:rPr>
          <w:strike w:val="0"/>
          <w:spacing w:val="5"/>
          <w:w w:val="120"/>
          <w:sz w:val="20"/>
        </w:rPr>
        <w:t>its</w:t>
      </w:r>
      <w:r>
        <w:rPr>
          <w:strike w:val="0"/>
          <w:spacing w:val="57"/>
          <w:w w:val="120"/>
          <w:sz w:val="20"/>
        </w:rPr>
        <w:t> </w:t>
      </w:r>
      <w:r>
        <w:rPr>
          <w:strike w:val="0"/>
          <w:spacing w:val="5"/>
          <w:w w:val="120"/>
          <w:sz w:val="20"/>
        </w:rPr>
        <w:t>objection.</w:t>
      </w:r>
    </w:p>
    <w:p>
      <w:pPr>
        <w:pStyle w:val="BodyText"/>
        <w:spacing w:before="11"/>
        <w:rPr>
          <w:sz w:val="19"/>
        </w:rPr>
      </w:pPr>
    </w:p>
    <w:p>
      <w:pPr>
        <w:pStyle w:val="ListParagraph"/>
        <w:numPr>
          <w:ilvl w:val="0"/>
          <w:numId w:val="205"/>
        </w:numPr>
        <w:tabs>
          <w:tab w:pos="2348" w:val="left" w:leader="none"/>
        </w:tabs>
        <w:spacing w:line="240" w:lineRule="auto" w:before="0" w:after="0"/>
        <w:ind w:left="2347" w:right="0" w:hanging="364"/>
        <w:jc w:val="left"/>
        <w:rPr>
          <w:sz w:val="20"/>
        </w:rPr>
      </w:pPr>
      <w:r>
        <w:rPr>
          <w:spacing w:val="4"/>
          <w:w w:val="120"/>
          <w:sz w:val="20"/>
        </w:rPr>
        <w:t>If</w:t>
      </w:r>
      <w:r>
        <w:rPr>
          <w:spacing w:val="12"/>
          <w:w w:val="120"/>
          <w:sz w:val="20"/>
        </w:rPr>
        <w:t> </w:t>
      </w:r>
      <w:r>
        <w:rPr>
          <w:spacing w:val="3"/>
          <w:w w:val="120"/>
          <w:sz w:val="20"/>
        </w:rPr>
        <w:t>such</w:t>
      </w:r>
      <w:r>
        <w:rPr>
          <w:spacing w:val="13"/>
          <w:w w:val="120"/>
          <w:sz w:val="20"/>
        </w:rPr>
        <w:t> </w:t>
      </w:r>
      <w:r>
        <w:rPr>
          <w:w w:val="120"/>
          <w:sz w:val="20"/>
        </w:rPr>
        <w:t>a</w:t>
      </w:r>
      <w:r>
        <w:rPr>
          <w:spacing w:val="13"/>
          <w:w w:val="120"/>
          <w:sz w:val="20"/>
        </w:rPr>
        <w:t> </w:t>
      </w:r>
      <w:r>
        <w:rPr>
          <w:spacing w:val="4"/>
          <w:w w:val="120"/>
          <w:sz w:val="20"/>
        </w:rPr>
        <w:t>motion</w:t>
      </w:r>
      <w:r>
        <w:rPr>
          <w:spacing w:val="13"/>
          <w:w w:val="120"/>
          <w:sz w:val="20"/>
        </w:rPr>
        <w:t> </w:t>
      </w:r>
      <w:r>
        <w:rPr>
          <w:w w:val="120"/>
          <w:sz w:val="20"/>
        </w:rPr>
        <w:t>is</w:t>
      </w:r>
      <w:r>
        <w:rPr>
          <w:spacing w:val="12"/>
          <w:w w:val="120"/>
          <w:sz w:val="20"/>
        </w:rPr>
        <w:t> </w:t>
      </w:r>
      <w:r>
        <w:rPr>
          <w:spacing w:val="4"/>
          <w:w w:val="120"/>
          <w:sz w:val="20"/>
        </w:rPr>
        <w:t>passed</w:t>
      </w:r>
      <w:r>
        <w:rPr>
          <w:spacing w:val="13"/>
          <w:w w:val="120"/>
          <w:sz w:val="20"/>
        </w:rPr>
        <w:t> </w:t>
      </w:r>
      <w:r>
        <w:rPr>
          <w:w w:val="120"/>
          <w:sz w:val="20"/>
        </w:rPr>
        <w:t>by</w:t>
      </w:r>
      <w:r>
        <w:rPr>
          <w:spacing w:val="13"/>
          <w:w w:val="120"/>
          <w:sz w:val="20"/>
        </w:rPr>
        <w:t> </w:t>
      </w:r>
      <w:r>
        <w:rPr>
          <w:spacing w:val="3"/>
          <w:w w:val="120"/>
          <w:sz w:val="20"/>
        </w:rPr>
        <w:t>such</w:t>
      </w:r>
      <w:r>
        <w:rPr>
          <w:spacing w:val="13"/>
          <w:w w:val="120"/>
          <w:sz w:val="20"/>
        </w:rPr>
        <w:t> </w:t>
      </w:r>
      <w:r>
        <w:rPr>
          <w:w w:val="120"/>
          <w:sz w:val="20"/>
        </w:rPr>
        <w:t>a</w:t>
      </w:r>
      <w:r>
        <w:rPr>
          <w:spacing w:val="12"/>
          <w:w w:val="120"/>
          <w:sz w:val="20"/>
        </w:rPr>
        <w:t> </w:t>
      </w:r>
      <w:r>
        <w:rPr>
          <w:spacing w:val="5"/>
          <w:w w:val="120"/>
          <w:sz w:val="20"/>
        </w:rPr>
        <w:t>majority</w:t>
      </w:r>
      <w:r>
        <w:rPr>
          <w:spacing w:val="13"/>
          <w:w w:val="120"/>
          <w:sz w:val="20"/>
        </w:rPr>
        <w:t> </w:t>
      </w:r>
      <w:r>
        <w:rPr>
          <w:spacing w:val="4"/>
          <w:w w:val="120"/>
          <w:sz w:val="20"/>
        </w:rPr>
        <w:t>the</w:t>
      </w:r>
      <w:r>
        <w:rPr>
          <w:spacing w:val="13"/>
          <w:w w:val="120"/>
          <w:sz w:val="20"/>
        </w:rPr>
        <w:t> </w:t>
      </w:r>
      <w:r>
        <w:rPr>
          <w:spacing w:val="5"/>
          <w:w w:val="120"/>
          <w:sz w:val="20"/>
        </w:rPr>
        <w:t>amendment</w:t>
      </w:r>
      <w:r>
        <w:rPr>
          <w:spacing w:val="13"/>
          <w:w w:val="120"/>
          <w:sz w:val="20"/>
        </w:rPr>
        <w:t> </w:t>
      </w:r>
      <w:r>
        <w:rPr>
          <w:spacing w:val="4"/>
          <w:w w:val="120"/>
          <w:sz w:val="20"/>
        </w:rPr>
        <w:t>shall</w:t>
      </w:r>
      <w:r>
        <w:rPr>
          <w:spacing w:val="13"/>
          <w:w w:val="120"/>
          <w:sz w:val="20"/>
        </w:rPr>
        <w:t> </w:t>
      </w:r>
      <w:r>
        <w:rPr>
          <w:spacing w:val="3"/>
          <w:w w:val="120"/>
          <w:sz w:val="20"/>
        </w:rPr>
        <w:t>have</w:t>
      </w:r>
      <w:r>
        <w:rPr>
          <w:spacing w:val="12"/>
          <w:w w:val="120"/>
          <w:sz w:val="20"/>
        </w:rPr>
        <w:t> </w:t>
      </w:r>
      <w:r>
        <w:rPr>
          <w:spacing w:val="7"/>
          <w:w w:val="120"/>
          <w:sz w:val="20"/>
        </w:rPr>
        <w:t>effect.</w:t>
      </w:r>
    </w:p>
    <w:p>
      <w:pPr>
        <w:pStyle w:val="BodyText"/>
        <w:spacing w:before="7"/>
        <w:rPr>
          <w:sz w:val="19"/>
        </w:rPr>
      </w:pPr>
    </w:p>
    <w:p>
      <w:pPr>
        <w:pStyle w:val="BodyText"/>
        <w:spacing w:line="235" w:lineRule="auto" w:before="1"/>
        <w:ind w:left="2664" w:right="1634" w:hanging="681"/>
      </w:pPr>
      <w:r>
        <w:rPr>
          <w:w w:val="120"/>
          <w:u w:val="single"/>
        </w:rPr>
        <w:t>(i)</w:t>
      </w:r>
      <w:r>
        <w:rPr>
          <w:w w:val="120"/>
        </w:rPr>
        <w:t> For the purposes of this paragraph 3(1), only synods and local churches in existence on the date set for responses to be made shall be counted in the calculations.</w:t>
      </w:r>
    </w:p>
    <w:p>
      <w:pPr>
        <w:pStyle w:val="BodyText"/>
        <w:spacing w:before="10"/>
        <w:rPr>
          <w:sz w:val="19"/>
        </w:rPr>
      </w:pPr>
    </w:p>
    <w:p>
      <w:pPr>
        <w:pStyle w:val="BodyText"/>
        <w:spacing w:line="235" w:lineRule="auto"/>
        <w:ind w:left="1984" w:right="1963"/>
      </w:pPr>
      <w:r>
        <w:rPr>
          <w:w w:val="120"/>
        </w:rPr>
        <w:t>3.(2) </w:t>
      </w:r>
      <w:r>
        <w:rPr>
          <w:spacing w:val="3"/>
          <w:w w:val="120"/>
        </w:rPr>
        <w:t>In </w:t>
      </w:r>
      <w:r>
        <w:rPr>
          <w:spacing w:val="4"/>
          <w:w w:val="120"/>
        </w:rPr>
        <w:t>the case </w:t>
      </w:r>
      <w:r>
        <w:rPr>
          <w:spacing w:val="3"/>
          <w:w w:val="120"/>
        </w:rPr>
        <w:t>of </w:t>
      </w:r>
      <w:r>
        <w:rPr>
          <w:spacing w:val="4"/>
          <w:w w:val="120"/>
        </w:rPr>
        <w:t>motions which would </w:t>
      </w:r>
      <w:r>
        <w:rPr>
          <w:spacing w:val="3"/>
          <w:w w:val="120"/>
        </w:rPr>
        <w:t>have </w:t>
      </w:r>
      <w:r>
        <w:rPr>
          <w:spacing w:val="4"/>
          <w:w w:val="120"/>
        </w:rPr>
        <w:t>the </w:t>
      </w:r>
      <w:r>
        <w:rPr>
          <w:spacing w:val="7"/>
          <w:w w:val="120"/>
        </w:rPr>
        <w:t>effect </w:t>
      </w:r>
      <w:r>
        <w:rPr>
          <w:spacing w:val="3"/>
          <w:w w:val="120"/>
        </w:rPr>
        <w:t>of </w:t>
      </w:r>
      <w:r>
        <w:rPr>
          <w:spacing w:val="5"/>
          <w:w w:val="120"/>
        </w:rPr>
        <w:t>terminating </w:t>
      </w:r>
      <w:r>
        <w:rPr>
          <w:spacing w:val="4"/>
          <w:w w:val="120"/>
        </w:rPr>
        <w:t>the </w:t>
      </w:r>
      <w:r>
        <w:rPr>
          <w:spacing w:val="5"/>
          <w:w w:val="120"/>
        </w:rPr>
        <w:t>separate </w:t>
      </w:r>
      <w:r>
        <w:rPr>
          <w:spacing w:val="4"/>
          <w:w w:val="120"/>
        </w:rPr>
        <w:t>existence </w:t>
      </w:r>
      <w:r>
        <w:rPr>
          <w:spacing w:val="3"/>
          <w:w w:val="120"/>
        </w:rPr>
        <w:t>of </w:t>
      </w:r>
      <w:r>
        <w:rPr>
          <w:spacing w:val="4"/>
          <w:w w:val="120"/>
        </w:rPr>
        <w:t>the United </w:t>
      </w:r>
      <w:r>
        <w:rPr>
          <w:spacing w:val="5"/>
          <w:w w:val="120"/>
        </w:rPr>
        <w:t>Reformed </w:t>
      </w:r>
      <w:r>
        <w:rPr>
          <w:spacing w:val="3"/>
          <w:w w:val="120"/>
        </w:rPr>
        <w:t>Church, or  of  </w:t>
      </w:r>
      <w:r>
        <w:rPr>
          <w:w w:val="120"/>
        </w:rPr>
        <w:t>a  </w:t>
      </w:r>
      <w:r>
        <w:rPr>
          <w:spacing w:val="5"/>
          <w:w w:val="120"/>
        </w:rPr>
        <w:t>synod </w:t>
      </w:r>
      <w:r>
        <w:rPr>
          <w:spacing w:val="4"/>
          <w:w w:val="120"/>
        </w:rPr>
        <w:t>within </w:t>
      </w:r>
      <w:r>
        <w:rPr>
          <w:spacing w:val="3"/>
          <w:w w:val="120"/>
        </w:rPr>
        <w:t>it, </w:t>
      </w:r>
      <w:r>
        <w:rPr>
          <w:w w:val="120"/>
        </w:rPr>
        <w:t>by</w:t>
      </w:r>
      <w:r>
        <w:rPr>
          <w:spacing w:val="18"/>
          <w:w w:val="120"/>
        </w:rPr>
        <w:t> </w:t>
      </w:r>
      <w:r>
        <w:rPr>
          <w:spacing w:val="4"/>
          <w:w w:val="120"/>
        </w:rPr>
        <w:t>union</w:t>
      </w:r>
      <w:r>
        <w:rPr>
          <w:spacing w:val="19"/>
          <w:w w:val="120"/>
        </w:rPr>
        <w:t> </w:t>
      </w:r>
      <w:r>
        <w:rPr>
          <w:spacing w:val="4"/>
          <w:w w:val="120"/>
        </w:rPr>
        <w:t>with</w:t>
      </w:r>
      <w:r>
        <w:rPr>
          <w:spacing w:val="18"/>
          <w:w w:val="120"/>
        </w:rPr>
        <w:t> </w:t>
      </w:r>
      <w:r>
        <w:rPr>
          <w:spacing w:val="4"/>
          <w:w w:val="120"/>
        </w:rPr>
        <w:t>other</w:t>
      </w:r>
      <w:r>
        <w:rPr>
          <w:spacing w:val="19"/>
          <w:w w:val="120"/>
        </w:rPr>
        <w:t> </w:t>
      </w:r>
      <w:r>
        <w:rPr>
          <w:spacing w:val="4"/>
          <w:w w:val="120"/>
        </w:rPr>
        <w:t>churches,</w:t>
      </w:r>
      <w:r>
        <w:rPr>
          <w:spacing w:val="18"/>
          <w:w w:val="120"/>
        </w:rPr>
        <w:t> </w:t>
      </w:r>
      <w:r>
        <w:rPr>
          <w:spacing w:val="4"/>
          <w:w w:val="120"/>
        </w:rPr>
        <w:t>the</w:t>
      </w:r>
      <w:r>
        <w:rPr>
          <w:spacing w:val="19"/>
          <w:w w:val="120"/>
        </w:rPr>
        <w:t> </w:t>
      </w:r>
      <w:r>
        <w:rPr>
          <w:spacing w:val="4"/>
          <w:w w:val="120"/>
        </w:rPr>
        <w:t>voting</w:t>
      </w:r>
      <w:r>
        <w:rPr>
          <w:spacing w:val="18"/>
          <w:w w:val="120"/>
        </w:rPr>
        <w:t> </w:t>
      </w:r>
      <w:r>
        <w:rPr>
          <w:spacing w:val="4"/>
          <w:w w:val="120"/>
        </w:rPr>
        <w:t>process</w:t>
      </w:r>
      <w:r>
        <w:rPr>
          <w:spacing w:val="19"/>
          <w:w w:val="120"/>
        </w:rPr>
        <w:t> </w:t>
      </w:r>
      <w:r>
        <w:rPr>
          <w:w w:val="120"/>
        </w:rPr>
        <w:t>to</w:t>
      </w:r>
      <w:r>
        <w:rPr>
          <w:spacing w:val="18"/>
          <w:w w:val="120"/>
        </w:rPr>
        <w:t> </w:t>
      </w:r>
      <w:r>
        <w:rPr>
          <w:spacing w:val="3"/>
          <w:w w:val="120"/>
        </w:rPr>
        <w:t>be</w:t>
      </w:r>
      <w:r>
        <w:rPr>
          <w:spacing w:val="19"/>
          <w:w w:val="120"/>
        </w:rPr>
        <w:t> </w:t>
      </w:r>
      <w:r>
        <w:rPr>
          <w:spacing w:val="3"/>
          <w:w w:val="120"/>
        </w:rPr>
        <w:t>used</w:t>
      </w:r>
      <w:r>
        <w:rPr>
          <w:spacing w:val="18"/>
          <w:w w:val="120"/>
        </w:rPr>
        <w:t> </w:t>
      </w:r>
      <w:r>
        <w:rPr>
          <w:spacing w:val="4"/>
          <w:w w:val="120"/>
        </w:rPr>
        <w:t>shall</w:t>
      </w:r>
      <w:r>
        <w:rPr>
          <w:spacing w:val="19"/>
          <w:w w:val="120"/>
        </w:rPr>
        <w:t> </w:t>
      </w:r>
      <w:r>
        <w:rPr>
          <w:spacing w:val="3"/>
          <w:w w:val="120"/>
        </w:rPr>
        <w:t>be</w:t>
      </w:r>
      <w:r>
        <w:rPr>
          <w:spacing w:val="18"/>
          <w:w w:val="120"/>
        </w:rPr>
        <w:t> </w:t>
      </w:r>
      <w:r>
        <w:rPr>
          <w:spacing w:val="3"/>
          <w:w w:val="120"/>
        </w:rPr>
        <w:t>not</w:t>
      </w:r>
      <w:r>
        <w:rPr>
          <w:spacing w:val="19"/>
          <w:w w:val="120"/>
        </w:rPr>
        <w:t> </w:t>
      </w:r>
      <w:r>
        <w:rPr>
          <w:spacing w:val="4"/>
          <w:w w:val="120"/>
        </w:rPr>
        <w:t>less</w:t>
      </w:r>
    </w:p>
    <w:p>
      <w:pPr>
        <w:pStyle w:val="BodyText"/>
        <w:spacing w:line="235" w:lineRule="auto" w:before="2"/>
        <w:ind w:left="1984" w:right="1357"/>
      </w:pPr>
      <w:r>
        <w:rPr>
          <w:w w:val="120"/>
        </w:rPr>
        <w:t>stringent than in 3 (1) and that process shall be determined by a single vote of the General Assembly which shall require a two-thirds majority of those present and voting to pass. In the case of a proposed union affecting only Scotland or Wales no action will be taken by the General Assembly until a decision in favour of union has been taken by the relevant synod.</w:t>
      </w:r>
    </w:p>
    <w:p>
      <w:pPr>
        <w:pStyle w:val="BodyText"/>
        <w:rPr>
          <w:sz w:val="24"/>
        </w:rPr>
      </w:pPr>
    </w:p>
    <w:p>
      <w:pPr>
        <w:pStyle w:val="BodyText"/>
        <w:rPr>
          <w:sz w:val="24"/>
        </w:rPr>
      </w:pPr>
    </w:p>
    <w:p>
      <w:pPr>
        <w:pStyle w:val="BodyText"/>
        <w:spacing w:before="5"/>
        <w:rPr>
          <w:sz w:val="34"/>
        </w:rPr>
      </w:pPr>
    </w:p>
    <w:p>
      <w:pPr>
        <w:pStyle w:val="Heading5"/>
      </w:pPr>
      <w:r>
        <w:rPr>
          <w:color w:val="9662A1"/>
          <w:w w:val="120"/>
        </w:rPr>
        <w:t>Finance Committee and URC Trust:</w:t>
      </w:r>
    </w:p>
    <w:p>
      <w:pPr>
        <w:spacing w:before="9"/>
        <w:ind w:left="1984" w:right="0" w:firstLine="0"/>
        <w:jc w:val="left"/>
        <w:rPr>
          <w:sz w:val="32"/>
        </w:rPr>
      </w:pPr>
      <w:r>
        <w:rPr>
          <w:color w:val="9662A1"/>
          <w:w w:val="120"/>
          <w:sz w:val="32"/>
        </w:rPr>
        <w:t>Trustee’s Report and Accounts</w:t>
      </w:r>
    </w:p>
    <w:p>
      <w:pPr>
        <w:pStyle w:val="BodyText"/>
        <w:spacing w:before="10"/>
        <w:rPr>
          <w:sz w:val="13"/>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4" w:lineRule="auto" w:before="24"/>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56"/>
                <w:w w:val="110"/>
                <w:sz w:val="47"/>
              </w:rPr>
              <w:t> </w:t>
            </w:r>
            <w:r>
              <w:rPr>
                <w:rFonts w:ascii="Stone Sans II ITC Std X Bd"/>
                <w:b/>
                <w:spacing w:val="-14"/>
                <w:w w:val="110"/>
                <w:position w:val="-23"/>
                <w:sz w:val="57"/>
              </w:rPr>
              <w:t>27</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238"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
              <w:rPr>
                <w:sz w:val="30"/>
              </w:rPr>
            </w:pPr>
          </w:p>
          <w:p>
            <w:pPr>
              <w:pStyle w:val="TableParagraph"/>
              <w:spacing w:line="235" w:lineRule="auto"/>
              <w:ind w:left="266" w:right="641"/>
              <w:rPr>
                <w:sz w:val="20"/>
              </w:rPr>
            </w:pPr>
            <w:r>
              <w:rPr>
                <w:w w:val="120"/>
                <w:sz w:val="20"/>
              </w:rPr>
              <w:t>General Assembly receives the Trustee’s Report and adopts the Annual Accounts for the year ended 31</w:t>
            </w:r>
            <w:r>
              <w:rPr>
                <w:w w:val="120"/>
                <w:position w:val="7"/>
                <w:sz w:val="11"/>
              </w:rPr>
              <w:t>st </w:t>
            </w:r>
            <w:r>
              <w:rPr>
                <w:w w:val="120"/>
                <w:sz w:val="20"/>
              </w:rPr>
              <w:t>December 2009.</w:t>
            </w:r>
          </w:p>
        </w:tc>
      </w:tr>
    </w:tbl>
    <w:p>
      <w:pPr>
        <w:pStyle w:val="BodyText"/>
        <w:spacing w:before="7"/>
        <w:rPr>
          <w:sz w:val="38"/>
        </w:rPr>
      </w:pPr>
    </w:p>
    <w:p>
      <w:pPr>
        <w:spacing w:line="372" w:lineRule="exact" w:before="0"/>
        <w:ind w:left="1984" w:right="0" w:firstLine="0"/>
        <w:jc w:val="left"/>
        <w:rPr>
          <w:sz w:val="32"/>
        </w:rPr>
      </w:pPr>
      <w:r>
        <w:rPr>
          <w:color w:val="9662A1"/>
          <w:w w:val="120"/>
          <w:sz w:val="32"/>
        </w:rPr>
        <w:t>Finance Committee: appointment of Auditors</w:t>
      </w:r>
    </w:p>
    <w:p>
      <w:pPr>
        <w:spacing w:line="226" w:lineRule="exact" w:before="0"/>
        <w:ind w:left="1984" w:right="0" w:firstLine="0"/>
        <w:jc w:val="left"/>
        <w:rPr>
          <w:i/>
          <w:sz w:val="20"/>
        </w:rPr>
      </w:pPr>
      <w:r>
        <w:rPr>
          <w:i/>
          <w:w w:val="110"/>
          <w:sz w:val="20"/>
        </w:rPr>
        <w:t>(N.B. The form of this Resolution is provisional pending further legal advice before Assembly meets.)</w:t>
      </w:r>
    </w:p>
    <w:p>
      <w:pPr>
        <w:pStyle w:val="BodyText"/>
        <w:spacing w:before="1"/>
        <w:rPr>
          <w:i/>
          <w:sz w:val="16"/>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4"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3"/>
                <w:sz w:val="57"/>
              </w:rPr>
              <w:t>28</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899"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5"/>
              <w:rPr>
                <w:i/>
                <w:sz w:val="30"/>
              </w:rPr>
            </w:pPr>
          </w:p>
          <w:p>
            <w:pPr>
              <w:pStyle w:val="TableParagraph"/>
              <w:spacing w:line="235" w:lineRule="auto"/>
              <w:ind w:left="266" w:right="765"/>
              <w:rPr>
                <w:sz w:val="20"/>
              </w:rPr>
            </w:pPr>
            <w:r>
              <w:rPr>
                <w:spacing w:val="5"/>
                <w:w w:val="120"/>
                <w:sz w:val="20"/>
              </w:rPr>
              <w:t>General Assembly resolves </w:t>
            </w:r>
            <w:r>
              <w:rPr>
                <w:spacing w:val="4"/>
                <w:w w:val="120"/>
                <w:sz w:val="20"/>
              </w:rPr>
              <w:t>that </w:t>
            </w:r>
            <w:r>
              <w:rPr>
                <w:spacing w:val="5"/>
                <w:w w:val="120"/>
                <w:sz w:val="20"/>
              </w:rPr>
              <w:t>PricewaterhouseCoopers </w:t>
            </w:r>
            <w:r>
              <w:rPr>
                <w:spacing w:val="4"/>
                <w:w w:val="120"/>
                <w:sz w:val="20"/>
              </w:rPr>
              <w:t>LLP be appointed auditors </w:t>
            </w:r>
            <w:r>
              <w:rPr>
                <w:spacing w:val="3"/>
                <w:w w:val="120"/>
                <w:sz w:val="20"/>
              </w:rPr>
              <w:t>of </w:t>
            </w:r>
            <w:r>
              <w:rPr>
                <w:spacing w:val="4"/>
                <w:w w:val="120"/>
                <w:sz w:val="20"/>
              </w:rPr>
              <w:t>the United </w:t>
            </w:r>
            <w:r>
              <w:rPr>
                <w:spacing w:val="5"/>
                <w:w w:val="120"/>
                <w:sz w:val="20"/>
              </w:rPr>
              <w:t>Reformed </w:t>
            </w:r>
            <w:r>
              <w:rPr>
                <w:spacing w:val="3"/>
                <w:w w:val="120"/>
                <w:sz w:val="20"/>
              </w:rPr>
              <w:t>Church, </w:t>
            </w:r>
            <w:r>
              <w:rPr>
                <w:w w:val="120"/>
                <w:sz w:val="20"/>
              </w:rPr>
              <w:t>to </w:t>
            </w:r>
            <w:r>
              <w:rPr>
                <w:spacing w:val="4"/>
                <w:w w:val="120"/>
                <w:sz w:val="20"/>
              </w:rPr>
              <w:t>hold </w:t>
            </w:r>
            <w:r>
              <w:rPr>
                <w:spacing w:val="6"/>
                <w:w w:val="120"/>
                <w:sz w:val="20"/>
              </w:rPr>
              <w:t>office </w:t>
            </w:r>
            <w:r>
              <w:rPr>
                <w:spacing w:val="4"/>
                <w:w w:val="120"/>
                <w:sz w:val="20"/>
              </w:rPr>
              <w:t>until the conclusion </w:t>
            </w:r>
            <w:r>
              <w:rPr>
                <w:spacing w:val="3"/>
                <w:w w:val="120"/>
                <w:sz w:val="20"/>
              </w:rPr>
              <w:t>of </w:t>
            </w:r>
            <w:r>
              <w:rPr>
                <w:spacing w:val="4"/>
                <w:w w:val="120"/>
                <w:sz w:val="20"/>
              </w:rPr>
              <w:t>the </w:t>
            </w:r>
            <w:r>
              <w:rPr>
                <w:spacing w:val="6"/>
                <w:w w:val="120"/>
                <w:sz w:val="20"/>
              </w:rPr>
              <w:t>next </w:t>
            </w:r>
            <w:r>
              <w:rPr>
                <w:spacing w:val="5"/>
                <w:w w:val="120"/>
                <w:sz w:val="20"/>
              </w:rPr>
              <w:t>meeting </w:t>
            </w:r>
            <w:r>
              <w:rPr>
                <w:spacing w:val="2"/>
                <w:w w:val="120"/>
                <w:sz w:val="20"/>
              </w:rPr>
              <w:t>at </w:t>
            </w:r>
            <w:r>
              <w:rPr>
                <w:spacing w:val="4"/>
                <w:w w:val="120"/>
                <w:sz w:val="20"/>
              </w:rPr>
              <w:t>which accounts are laid </w:t>
            </w:r>
            <w:r>
              <w:rPr>
                <w:spacing w:val="5"/>
                <w:w w:val="120"/>
                <w:sz w:val="20"/>
              </w:rPr>
              <w:t>before </w:t>
            </w:r>
            <w:r>
              <w:rPr>
                <w:spacing w:val="4"/>
                <w:w w:val="120"/>
                <w:sz w:val="20"/>
              </w:rPr>
              <w:t>the Assembly, </w:t>
            </w:r>
            <w:r>
              <w:rPr>
                <w:spacing w:val="3"/>
                <w:w w:val="120"/>
                <w:sz w:val="20"/>
              </w:rPr>
              <w:t>or </w:t>
            </w:r>
            <w:r>
              <w:rPr>
                <w:spacing w:val="4"/>
                <w:w w:val="120"/>
                <w:sz w:val="20"/>
              </w:rPr>
              <w:t>the Annual </w:t>
            </w:r>
            <w:r>
              <w:rPr>
                <w:spacing w:val="5"/>
                <w:w w:val="120"/>
                <w:sz w:val="20"/>
              </w:rPr>
              <w:t>General Meeting </w:t>
            </w:r>
            <w:r>
              <w:rPr>
                <w:spacing w:val="3"/>
                <w:w w:val="120"/>
                <w:sz w:val="20"/>
              </w:rPr>
              <w:t>of </w:t>
            </w:r>
            <w:r>
              <w:rPr>
                <w:spacing w:val="4"/>
                <w:w w:val="120"/>
                <w:sz w:val="20"/>
              </w:rPr>
              <w:t>the URC </w:t>
            </w:r>
            <w:r>
              <w:rPr>
                <w:spacing w:val="3"/>
                <w:w w:val="120"/>
                <w:sz w:val="20"/>
              </w:rPr>
              <w:t>Trust, </w:t>
            </w:r>
            <w:r>
              <w:rPr>
                <w:spacing w:val="4"/>
                <w:w w:val="120"/>
                <w:sz w:val="20"/>
              </w:rPr>
              <w:t>and that their </w:t>
            </w:r>
            <w:r>
              <w:rPr>
                <w:spacing w:val="5"/>
                <w:w w:val="120"/>
                <w:sz w:val="20"/>
              </w:rPr>
              <w:t>remuneration </w:t>
            </w:r>
            <w:r>
              <w:rPr>
                <w:spacing w:val="4"/>
                <w:w w:val="120"/>
                <w:sz w:val="20"/>
              </w:rPr>
              <w:t>be </w:t>
            </w:r>
            <w:r>
              <w:rPr>
                <w:spacing w:val="3"/>
                <w:w w:val="120"/>
                <w:sz w:val="20"/>
              </w:rPr>
              <w:t>set </w:t>
            </w:r>
            <w:r>
              <w:rPr>
                <w:w w:val="120"/>
                <w:sz w:val="20"/>
              </w:rPr>
              <w:t>by </w:t>
            </w:r>
            <w:r>
              <w:rPr>
                <w:spacing w:val="4"/>
                <w:w w:val="120"/>
                <w:sz w:val="20"/>
              </w:rPr>
              <w:t>the Finance</w:t>
            </w:r>
            <w:r>
              <w:rPr>
                <w:spacing w:val="13"/>
                <w:w w:val="120"/>
                <w:sz w:val="20"/>
              </w:rPr>
              <w:t> </w:t>
            </w:r>
            <w:r>
              <w:rPr>
                <w:spacing w:val="4"/>
                <w:w w:val="120"/>
                <w:sz w:val="20"/>
              </w:rPr>
              <w:t>Committee.</w:t>
            </w:r>
          </w:p>
        </w:tc>
      </w:tr>
    </w:tbl>
    <w:p>
      <w:pPr>
        <w:spacing w:after="0" w:line="235" w:lineRule="auto"/>
        <w:rPr>
          <w:sz w:val="20"/>
        </w:rPr>
        <w:sectPr>
          <w:pgSz w:w="11910" w:h="16840"/>
          <w:pgMar w:header="0" w:footer="647" w:top="1060" w:bottom="840" w:left="0" w:right="0"/>
        </w:sectPr>
      </w:pPr>
    </w:p>
    <w:p>
      <w:pPr>
        <w:pStyle w:val="Heading5"/>
        <w:spacing w:line="244" w:lineRule="auto" w:before="131"/>
        <w:ind w:left="1133" w:right="2573"/>
      </w:pPr>
      <w:r>
        <w:rPr/>
        <w:pict>
          <v:rect style="position:absolute;margin-left:12.047pt;margin-top:8.474748pt;width:22.677pt;height:22.677pt;mso-position-horizontal-relative:page;mso-position-vertical-relative:paragraph;z-index:252404736" filled="true" fillcolor="#dcd0e6" stroked="false">
            <v:fill opacity="32768f" type="solid"/>
            <w10:wrap type="none"/>
          </v:rect>
        </w:pict>
      </w:r>
      <w:r>
        <w:rPr>
          <w:color w:val="9662A1"/>
          <w:w w:val="120"/>
        </w:rPr>
        <w:t>Finance Committee: giving to the Ministry and Mission Fund</w:t>
      </w:r>
    </w:p>
    <w:p>
      <w:pPr>
        <w:pStyle w:val="BodyText"/>
        <w:spacing w:before="2"/>
        <w:rPr>
          <w:sz w:val="14"/>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6"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2"/>
                <w:sz w:val="57"/>
              </w:rPr>
              <w:t>29</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1606"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3"/>
              <w:rPr>
                <w:sz w:val="29"/>
              </w:rPr>
            </w:pPr>
          </w:p>
          <w:p>
            <w:pPr>
              <w:pStyle w:val="TableParagraph"/>
              <w:spacing w:line="235" w:lineRule="auto"/>
              <w:ind w:left="266" w:right="491"/>
              <w:rPr>
                <w:sz w:val="20"/>
              </w:rPr>
            </w:pPr>
            <w:r>
              <w:rPr>
                <w:spacing w:val="5"/>
                <w:w w:val="120"/>
                <w:sz w:val="20"/>
              </w:rPr>
              <w:t>General Assembly </w:t>
            </w:r>
            <w:r>
              <w:rPr>
                <w:spacing w:val="4"/>
                <w:w w:val="120"/>
                <w:sz w:val="20"/>
              </w:rPr>
              <w:t>gives </w:t>
            </w:r>
            <w:r>
              <w:rPr>
                <w:spacing w:val="5"/>
                <w:w w:val="120"/>
                <w:sz w:val="20"/>
              </w:rPr>
              <w:t>gratitude </w:t>
            </w:r>
            <w:r>
              <w:rPr>
                <w:w w:val="120"/>
                <w:sz w:val="20"/>
              </w:rPr>
              <w:t>to </w:t>
            </w:r>
            <w:r>
              <w:rPr>
                <w:spacing w:val="4"/>
                <w:w w:val="120"/>
                <w:sz w:val="20"/>
              </w:rPr>
              <w:t>God </w:t>
            </w:r>
            <w:r>
              <w:rPr>
                <w:spacing w:val="3"/>
                <w:w w:val="120"/>
                <w:sz w:val="20"/>
              </w:rPr>
              <w:t>for </w:t>
            </w:r>
            <w:r>
              <w:rPr>
                <w:spacing w:val="4"/>
                <w:w w:val="120"/>
                <w:sz w:val="20"/>
              </w:rPr>
              <w:t>the giving </w:t>
            </w:r>
            <w:r>
              <w:rPr>
                <w:spacing w:val="3"/>
                <w:w w:val="120"/>
                <w:sz w:val="20"/>
              </w:rPr>
              <w:t>of </w:t>
            </w:r>
            <w:r>
              <w:rPr>
                <w:spacing w:val="5"/>
                <w:w w:val="120"/>
                <w:sz w:val="20"/>
              </w:rPr>
              <w:t>local </w:t>
            </w:r>
            <w:r>
              <w:rPr>
                <w:spacing w:val="4"/>
                <w:w w:val="120"/>
                <w:sz w:val="20"/>
              </w:rPr>
              <w:t>churches </w:t>
            </w:r>
            <w:r>
              <w:rPr>
                <w:w w:val="120"/>
                <w:sz w:val="20"/>
              </w:rPr>
              <w:t>to </w:t>
            </w:r>
            <w:r>
              <w:rPr>
                <w:spacing w:val="4"/>
                <w:w w:val="120"/>
                <w:sz w:val="20"/>
              </w:rPr>
              <w:t>the </w:t>
            </w:r>
            <w:r>
              <w:rPr>
                <w:spacing w:val="6"/>
                <w:w w:val="120"/>
                <w:sz w:val="20"/>
              </w:rPr>
              <w:t>Ministry </w:t>
            </w:r>
            <w:r>
              <w:rPr>
                <w:spacing w:val="4"/>
                <w:w w:val="120"/>
                <w:sz w:val="20"/>
              </w:rPr>
              <w:t>and Mission Fund and </w:t>
            </w:r>
            <w:r>
              <w:rPr>
                <w:spacing w:val="5"/>
                <w:w w:val="120"/>
                <w:sz w:val="20"/>
              </w:rPr>
              <w:t>expresses its thanks </w:t>
            </w:r>
            <w:r>
              <w:rPr>
                <w:w w:val="120"/>
                <w:sz w:val="20"/>
              </w:rPr>
              <w:t>to </w:t>
            </w:r>
            <w:r>
              <w:rPr>
                <w:spacing w:val="5"/>
                <w:w w:val="120"/>
                <w:sz w:val="20"/>
              </w:rPr>
              <w:t>synod </w:t>
            </w:r>
            <w:r>
              <w:rPr>
                <w:spacing w:val="4"/>
                <w:w w:val="120"/>
                <w:sz w:val="20"/>
              </w:rPr>
              <w:t>and </w:t>
            </w:r>
            <w:r>
              <w:rPr>
                <w:spacing w:val="3"/>
                <w:w w:val="120"/>
                <w:sz w:val="20"/>
              </w:rPr>
              <w:t>church </w:t>
            </w:r>
            <w:r>
              <w:rPr>
                <w:spacing w:val="5"/>
                <w:w w:val="120"/>
                <w:sz w:val="20"/>
              </w:rPr>
              <w:t>treasurers </w:t>
            </w:r>
            <w:r>
              <w:rPr>
                <w:spacing w:val="4"/>
                <w:w w:val="120"/>
                <w:sz w:val="20"/>
              </w:rPr>
              <w:t>and </w:t>
            </w:r>
            <w:r>
              <w:rPr>
                <w:w w:val="120"/>
                <w:sz w:val="20"/>
              </w:rPr>
              <w:t>to </w:t>
            </w:r>
            <w:r>
              <w:rPr>
                <w:spacing w:val="3"/>
                <w:w w:val="120"/>
                <w:sz w:val="20"/>
              </w:rPr>
              <w:t>all </w:t>
            </w:r>
            <w:r>
              <w:rPr>
                <w:spacing w:val="4"/>
                <w:w w:val="120"/>
                <w:sz w:val="20"/>
              </w:rPr>
              <w:t>those who made possible </w:t>
            </w:r>
            <w:r>
              <w:rPr>
                <w:w w:val="120"/>
                <w:sz w:val="20"/>
              </w:rPr>
              <w:t>a  </w:t>
            </w:r>
            <w:r>
              <w:rPr>
                <w:spacing w:val="3"/>
                <w:w w:val="120"/>
                <w:sz w:val="20"/>
              </w:rPr>
              <w:t>total </w:t>
            </w:r>
            <w:r>
              <w:rPr>
                <w:spacing w:val="4"/>
                <w:w w:val="120"/>
                <w:sz w:val="20"/>
              </w:rPr>
              <w:t>fund income </w:t>
            </w:r>
            <w:r>
              <w:rPr>
                <w:spacing w:val="3"/>
                <w:w w:val="120"/>
                <w:sz w:val="20"/>
              </w:rPr>
              <w:t>of </w:t>
            </w:r>
            <w:r>
              <w:rPr>
                <w:spacing w:val="4"/>
                <w:w w:val="120"/>
                <w:sz w:val="20"/>
              </w:rPr>
              <w:t>£20.6m </w:t>
            </w:r>
            <w:r>
              <w:rPr>
                <w:spacing w:val="2"/>
                <w:w w:val="120"/>
                <w:sz w:val="20"/>
              </w:rPr>
              <w:t>in </w:t>
            </w:r>
            <w:r>
              <w:rPr>
                <w:spacing w:val="4"/>
                <w:w w:val="120"/>
                <w:sz w:val="20"/>
              </w:rPr>
              <w:t>both </w:t>
            </w:r>
            <w:r>
              <w:rPr>
                <w:spacing w:val="6"/>
                <w:w w:val="120"/>
                <w:sz w:val="20"/>
              </w:rPr>
              <w:t>2008  </w:t>
            </w:r>
            <w:r>
              <w:rPr>
                <w:spacing w:val="4"/>
                <w:w w:val="120"/>
                <w:sz w:val="20"/>
              </w:rPr>
              <w:t>and</w:t>
            </w:r>
            <w:r>
              <w:rPr>
                <w:spacing w:val="13"/>
                <w:w w:val="120"/>
                <w:sz w:val="20"/>
              </w:rPr>
              <w:t> </w:t>
            </w:r>
            <w:r>
              <w:rPr>
                <w:spacing w:val="2"/>
                <w:w w:val="120"/>
                <w:sz w:val="20"/>
              </w:rPr>
              <w:t>2009.</w:t>
            </w:r>
          </w:p>
        </w:tc>
      </w:tr>
    </w:tbl>
    <w:p>
      <w:pPr>
        <w:pStyle w:val="BodyText"/>
        <w:spacing w:before="11"/>
        <w:rPr>
          <w:sz w:val="46"/>
        </w:rPr>
      </w:pPr>
    </w:p>
    <w:p>
      <w:pPr>
        <w:spacing w:before="0"/>
        <w:ind w:left="1133" w:right="0" w:firstLine="0"/>
        <w:jc w:val="left"/>
        <w:rPr>
          <w:sz w:val="32"/>
        </w:rPr>
      </w:pPr>
      <w:r>
        <w:rPr>
          <w:color w:val="9662A1"/>
          <w:spacing w:val="-8"/>
          <w:w w:val="120"/>
          <w:sz w:val="32"/>
        </w:rPr>
        <w:t>Mission </w:t>
      </w:r>
      <w:r>
        <w:rPr>
          <w:color w:val="9662A1"/>
          <w:spacing w:val="-9"/>
          <w:w w:val="120"/>
          <w:sz w:val="32"/>
        </w:rPr>
        <w:t>Council: </w:t>
      </w:r>
      <w:r>
        <w:rPr>
          <w:color w:val="9662A1"/>
          <w:spacing w:val="-7"/>
          <w:w w:val="120"/>
          <w:sz w:val="32"/>
        </w:rPr>
        <w:t>resolution </w:t>
      </w:r>
      <w:r>
        <w:rPr>
          <w:color w:val="9662A1"/>
          <w:spacing w:val="-10"/>
          <w:w w:val="120"/>
          <w:sz w:val="32"/>
        </w:rPr>
        <w:t>49 </w:t>
      </w:r>
      <w:r>
        <w:rPr>
          <w:color w:val="9662A1"/>
          <w:spacing w:val="-4"/>
          <w:w w:val="120"/>
          <w:sz w:val="32"/>
        </w:rPr>
        <w:t>of </w:t>
      </w:r>
      <w:r>
        <w:rPr>
          <w:color w:val="9662A1"/>
          <w:spacing w:val="-6"/>
          <w:w w:val="120"/>
          <w:sz w:val="32"/>
        </w:rPr>
        <w:t>General Assembly</w:t>
      </w:r>
      <w:r>
        <w:rPr>
          <w:color w:val="9662A1"/>
          <w:spacing w:val="53"/>
          <w:w w:val="120"/>
          <w:sz w:val="32"/>
        </w:rPr>
        <w:t> </w:t>
      </w:r>
      <w:r>
        <w:rPr>
          <w:color w:val="9662A1"/>
          <w:w w:val="120"/>
          <w:sz w:val="32"/>
        </w:rPr>
        <w:t>2008</w:t>
      </w:r>
    </w:p>
    <w:p>
      <w:pPr>
        <w:pStyle w:val="BodyText"/>
        <w:spacing w:before="12"/>
        <w:rPr>
          <w:sz w:val="13"/>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4" w:lineRule="auto" w:before="24"/>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3"/>
                <w:sz w:val="57"/>
              </w:rPr>
              <w:t>30</w:t>
            </w:r>
          </w:p>
        </w:tc>
        <w:tc>
          <w:tcPr>
            <w:tcW w:w="5278" w:type="dxa"/>
            <w:tcBorders>
              <w:top w:val="single" w:sz="24" w:space="0" w:color="000000"/>
              <w:right w:val="single" w:sz="48" w:space="0" w:color="000000"/>
            </w:tcBorders>
          </w:tcPr>
          <w:p>
            <w:pPr>
              <w:pStyle w:val="TableParagraph"/>
              <w:rPr>
                <w:rFonts w:ascii="Times New Roman"/>
                <w:sz w:val="24"/>
              </w:rPr>
            </w:pPr>
          </w:p>
        </w:tc>
      </w:tr>
      <w:tr>
        <w:trPr>
          <w:trHeight w:val="3600"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1"/>
              <w:rPr>
                <w:sz w:val="29"/>
              </w:rPr>
            </w:pPr>
          </w:p>
          <w:p>
            <w:pPr>
              <w:pStyle w:val="TableParagraph"/>
              <w:spacing w:line="235" w:lineRule="auto"/>
              <w:ind w:left="266" w:right="641"/>
              <w:rPr>
                <w:sz w:val="20"/>
              </w:rPr>
            </w:pPr>
            <w:r>
              <w:rPr>
                <w:w w:val="120"/>
                <w:sz w:val="20"/>
              </w:rPr>
              <w:t>General Assembly resolves to amend the Structure of the United Reformed Church paragraph 2(5)(f) to read</w:t>
            </w:r>
          </w:p>
          <w:p>
            <w:pPr>
              <w:pStyle w:val="TableParagraph"/>
              <w:spacing w:line="235" w:lineRule="auto" w:before="1"/>
              <w:ind w:left="947" w:right="641"/>
              <w:rPr>
                <w:sz w:val="20"/>
              </w:rPr>
            </w:pPr>
            <w:r>
              <w:rPr>
                <w:w w:val="120"/>
                <w:sz w:val="20"/>
              </w:rPr>
              <w:t>A </w:t>
            </w:r>
            <w:r>
              <w:rPr>
                <w:spacing w:val="7"/>
                <w:w w:val="120"/>
                <w:sz w:val="20"/>
              </w:rPr>
              <w:t>staff </w:t>
            </w:r>
            <w:r>
              <w:rPr>
                <w:spacing w:val="5"/>
                <w:w w:val="120"/>
                <w:sz w:val="20"/>
              </w:rPr>
              <w:t>representative </w:t>
            </w:r>
            <w:r>
              <w:rPr>
                <w:spacing w:val="4"/>
                <w:w w:val="120"/>
                <w:sz w:val="20"/>
              </w:rPr>
              <w:t>and </w:t>
            </w:r>
            <w:r>
              <w:rPr>
                <w:w w:val="120"/>
                <w:sz w:val="20"/>
              </w:rPr>
              <w:t>a </w:t>
            </w:r>
            <w:r>
              <w:rPr>
                <w:spacing w:val="4"/>
                <w:w w:val="120"/>
                <w:sz w:val="20"/>
              </w:rPr>
              <w:t>student </w:t>
            </w:r>
            <w:r>
              <w:rPr>
                <w:spacing w:val="5"/>
                <w:w w:val="120"/>
                <w:sz w:val="20"/>
              </w:rPr>
              <w:t>representative </w:t>
            </w:r>
            <w:r>
              <w:rPr>
                <w:spacing w:val="4"/>
                <w:w w:val="120"/>
                <w:sz w:val="20"/>
              </w:rPr>
              <w:t>being </w:t>
            </w:r>
            <w:r>
              <w:rPr>
                <w:spacing w:val="5"/>
                <w:w w:val="120"/>
                <w:sz w:val="20"/>
              </w:rPr>
              <w:t>members </w:t>
            </w:r>
            <w:r>
              <w:rPr>
                <w:spacing w:val="3"/>
                <w:w w:val="120"/>
                <w:sz w:val="20"/>
              </w:rPr>
              <w:t>of </w:t>
            </w:r>
            <w:r>
              <w:rPr>
                <w:spacing w:val="4"/>
                <w:w w:val="120"/>
                <w:sz w:val="20"/>
              </w:rPr>
              <w:t>the </w:t>
            </w:r>
            <w:r>
              <w:rPr>
                <w:spacing w:val="5"/>
                <w:w w:val="120"/>
                <w:sz w:val="20"/>
              </w:rPr>
              <w:t>URC, </w:t>
            </w:r>
            <w:r>
              <w:rPr>
                <w:spacing w:val="4"/>
                <w:w w:val="120"/>
                <w:sz w:val="20"/>
              </w:rPr>
              <w:t>from </w:t>
            </w:r>
            <w:r>
              <w:rPr>
                <w:spacing w:val="3"/>
                <w:w w:val="120"/>
                <w:sz w:val="20"/>
              </w:rPr>
              <w:t>each of such </w:t>
            </w:r>
            <w:r>
              <w:rPr>
                <w:spacing w:val="5"/>
                <w:w w:val="120"/>
                <w:sz w:val="20"/>
              </w:rPr>
              <w:t>theological </w:t>
            </w:r>
            <w:r>
              <w:rPr>
                <w:spacing w:val="4"/>
                <w:w w:val="120"/>
                <w:sz w:val="20"/>
              </w:rPr>
              <w:t>colleges </w:t>
            </w:r>
            <w:r>
              <w:rPr>
                <w:spacing w:val="2"/>
                <w:w w:val="120"/>
                <w:sz w:val="20"/>
              </w:rPr>
              <w:t>as </w:t>
            </w:r>
            <w:r>
              <w:rPr>
                <w:spacing w:val="4"/>
                <w:w w:val="120"/>
                <w:sz w:val="20"/>
              </w:rPr>
              <w:t>the </w:t>
            </w:r>
            <w:r>
              <w:rPr>
                <w:spacing w:val="5"/>
                <w:w w:val="120"/>
                <w:sz w:val="20"/>
              </w:rPr>
              <w:t>General Assembly </w:t>
            </w:r>
            <w:r>
              <w:rPr>
                <w:spacing w:val="3"/>
                <w:w w:val="120"/>
                <w:sz w:val="20"/>
              </w:rPr>
              <w:t>has </w:t>
            </w:r>
            <w:r>
              <w:rPr>
                <w:spacing w:val="4"/>
                <w:w w:val="120"/>
                <w:sz w:val="20"/>
              </w:rPr>
              <w:t>designated </w:t>
            </w:r>
            <w:r>
              <w:rPr>
                <w:spacing w:val="2"/>
                <w:w w:val="120"/>
                <w:sz w:val="20"/>
              </w:rPr>
              <w:t>as </w:t>
            </w:r>
            <w:r>
              <w:rPr>
                <w:spacing w:val="4"/>
                <w:w w:val="120"/>
                <w:sz w:val="20"/>
              </w:rPr>
              <w:t>resource centres </w:t>
            </w:r>
            <w:r>
              <w:rPr>
                <w:spacing w:val="3"/>
                <w:w w:val="120"/>
                <w:sz w:val="20"/>
              </w:rPr>
              <w:t>for </w:t>
            </w:r>
            <w:r>
              <w:rPr>
                <w:spacing w:val="5"/>
                <w:w w:val="120"/>
                <w:sz w:val="20"/>
              </w:rPr>
              <w:t>learning, </w:t>
            </w:r>
            <w:r>
              <w:rPr>
                <w:spacing w:val="4"/>
                <w:w w:val="120"/>
                <w:sz w:val="20"/>
              </w:rPr>
              <w:t>and </w:t>
            </w:r>
            <w:r>
              <w:rPr>
                <w:w w:val="120"/>
                <w:sz w:val="20"/>
              </w:rPr>
              <w:t>a  </w:t>
            </w:r>
            <w:r>
              <w:rPr>
                <w:spacing w:val="7"/>
                <w:w w:val="120"/>
                <w:sz w:val="20"/>
              </w:rPr>
              <w:t>staff </w:t>
            </w:r>
            <w:r>
              <w:rPr>
                <w:spacing w:val="5"/>
                <w:w w:val="120"/>
                <w:sz w:val="20"/>
              </w:rPr>
              <w:t>representative  </w:t>
            </w:r>
            <w:r>
              <w:rPr>
                <w:spacing w:val="4"/>
                <w:w w:val="120"/>
                <w:sz w:val="20"/>
              </w:rPr>
              <w:t>and</w:t>
            </w:r>
            <w:r>
              <w:rPr>
                <w:spacing w:val="15"/>
                <w:w w:val="120"/>
                <w:sz w:val="20"/>
              </w:rPr>
              <w:t> </w:t>
            </w:r>
            <w:r>
              <w:rPr>
                <w:w w:val="120"/>
                <w:sz w:val="20"/>
              </w:rPr>
              <w:t>a</w:t>
            </w:r>
            <w:r>
              <w:rPr>
                <w:spacing w:val="16"/>
                <w:w w:val="120"/>
                <w:sz w:val="20"/>
              </w:rPr>
              <w:t> </w:t>
            </w:r>
            <w:r>
              <w:rPr>
                <w:spacing w:val="4"/>
                <w:w w:val="120"/>
                <w:sz w:val="20"/>
              </w:rPr>
              <w:t>student</w:t>
            </w:r>
            <w:r>
              <w:rPr>
                <w:spacing w:val="16"/>
                <w:w w:val="120"/>
                <w:sz w:val="20"/>
              </w:rPr>
              <w:t> </w:t>
            </w:r>
            <w:r>
              <w:rPr>
                <w:spacing w:val="5"/>
                <w:w w:val="120"/>
                <w:sz w:val="20"/>
              </w:rPr>
              <w:t>representative</w:t>
            </w:r>
            <w:r>
              <w:rPr>
                <w:spacing w:val="16"/>
                <w:w w:val="120"/>
                <w:sz w:val="20"/>
              </w:rPr>
              <w:t> </w:t>
            </w:r>
            <w:r>
              <w:rPr>
                <w:spacing w:val="4"/>
                <w:w w:val="120"/>
                <w:sz w:val="20"/>
              </w:rPr>
              <w:t>being</w:t>
            </w:r>
            <w:r>
              <w:rPr>
                <w:spacing w:val="16"/>
                <w:w w:val="120"/>
                <w:sz w:val="20"/>
              </w:rPr>
              <w:t> </w:t>
            </w:r>
            <w:r>
              <w:rPr>
                <w:spacing w:val="5"/>
                <w:w w:val="120"/>
                <w:sz w:val="20"/>
              </w:rPr>
              <w:t>members</w:t>
            </w:r>
            <w:r>
              <w:rPr>
                <w:spacing w:val="16"/>
                <w:w w:val="120"/>
                <w:sz w:val="20"/>
              </w:rPr>
              <w:t> </w:t>
            </w:r>
            <w:r>
              <w:rPr>
                <w:spacing w:val="3"/>
                <w:w w:val="120"/>
                <w:sz w:val="20"/>
              </w:rPr>
              <w:t>of</w:t>
            </w:r>
            <w:r>
              <w:rPr>
                <w:spacing w:val="16"/>
                <w:w w:val="120"/>
                <w:sz w:val="20"/>
              </w:rPr>
              <w:t> </w:t>
            </w:r>
            <w:r>
              <w:rPr>
                <w:spacing w:val="4"/>
                <w:w w:val="120"/>
                <w:sz w:val="20"/>
              </w:rPr>
              <w:t>the</w:t>
            </w:r>
            <w:r>
              <w:rPr>
                <w:spacing w:val="16"/>
                <w:w w:val="120"/>
                <w:sz w:val="20"/>
              </w:rPr>
              <w:t> </w:t>
            </w:r>
            <w:r>
              <w:rPr>
                <w:spacing w:val="5"/>
                <w:w w:val="120"/>
                <w:sz w:val="20"/>
              </w:rPr>
              <w:t>URC,</w:t>
            </w:r>
            <w:r>
              <w:rPr>
                <w:spacing w:val="15"/>
                <w:w w:val="120"/>
                <w:sz w:val="20"/>
              </w:rPr>
              <w:t> </w:t>
            </w:r>
            <w:r>
              <w:rPr>
                <w:spacing w:val="4"/>
                <w:w w:val="120"/>
                <w:sz w:val="20"/>
              </w:rPr>
              <w:t>from</w:t>
            </w:r>
            <w:r>
              <w:rPr>
                <w:spacing w:val="16"/>
                <w:w w:val="120"/>
                <w:sz w:val="20"/>
              </w:rPr>
              <w:t> </w:t>
            </w:r>
            <w:r>
              <w:rPr>
                <w:spacing w:val="3"/>
                <w:w w:val="120"/>
                <w:sz w:val="20"/>
              </w:rPr>
              <w:t>such</w:t>
            </w:r>
            <w:r>
              <w:rPr>
                <w:spacing w:val="16"/>
                <w:w w:val="120"/>
                <w:sz w:val="20"/>
              </w:rPr>
              <w:t> </w:t>
            </w:r>
            <w:r>
              <w:rPr>
                <w:spacing w:val="4"/>
                <w:w w:val="120"/>
                <w:sz w:val="20"/>
              </w:rPr>
              <w:t>other</w:t>
            </w:r>
          </w:p>
          <w:p>
            <w:pPr>
              <w:pStyle w:val="TableParagraph"/>
              <w:spacing w:line="235" w:lineRule="auto" w:before="3"/>
              <w:ind w:left="947"/>
              <w:rPr>
                <w:sz w:val="20"/>
              </w:rPr>
            </w:pPr>
            <w:r>
              <w:rPr>
                <w:w w:val="120"/>
                <w:sz w:val="20"/>
              </w:rPr>
              <w:t>colleges or centres as shall from time to time be designated by the Education and Learning Committee as engaged in significant training for the United Reformed Church.</w:t>
            </w:r>
          </w:p>
          <w:p>
            <w:pPr>
              <w:pStyle w:val="TableParagraph"/>
              <w:spacing w:before="6"/>
              <w:rPr>
                <w:sz w:val="19"/>
              </w:rPr>
            </w:pPr>
          </w:p>
          <w:p>
            <w:pPr>
              <w:pStyle w:val="TableParagraph"/>
              <w:spacing w:line="242" w:lineRule="exact"/>
              <w:ind w:left="266"/>
              <w:rPr>
                <w:sz w:val="20"/>
              </w:rPr>
            </w:pPr>
            <w:r>
              <w:rPr>
                <w:spacing w:val="4"/>
                <w:w w:val="120"/>
                <w:sz w:val="20"/>
              </w:rPr>
              <w:t>and </w:t>
            </w:r>
            <w:r>
              <w:rPr>
                <w:w w:val="120"/>
                <w:sz w:val="20"/>
              </w:rPr>
              <w:t>to </w:t>
            </w:r>
            <w:r>
              <w:rPr>
                <w:spacing w:val="4"/>
                <w:w w:val="120"/>
                <w:sz w:val="20"/>
              </w:rPr>
              <w:t>add </w:t>
            </w:r>
            <w:r>
              <w:rPr>
                <w:w w:val="120"/>
                <w:sz w:val="20"/>
              </w:rPr>
              <w:t>a </w:t>
            </w:r>
            <w:r>
              <w:rPr>
                <w:spacing w:val="3"/>
                <w:w w:val="120"/>
                <w:sz w:val="20"/>
              </w:rPr>
              <w:t>new </w:t>
            </w:r>
            <w:r>
              <w:rPr>
                <w:spacing w:val="6"/>
                <w:w w:val="120"/>
                <w:sz w:val="20"/>
              </w:rPr>
              <w:t>paragraph </w:t>
            </w:r>
            <w:r>
              <w:rPr>
                <w:spacing w:val="-4"/>
                <w:w w:val="120"/>
                <w:sz w:val="20"/>
              </w:rPr>
              <w:t>2(5)(o) </w:t>
            </w:r>
            <w:r>
              <w:rPr>
                <w:w w:val="120"/>
                <w:sz w:val="20"/>
              </w:rPr>
              <w:t>to</w:t>
            </w:r>
            <w:r>
              <w:rPr>
                <w:spacing w:val="52"/>
                <w:w w:val="120"/>
                <w:sz w:val="20"/>
              </w:rPr>
              <w:t> </w:t>
            </w:r>
            <w:r>
              <w:rPr>
                <w:spacing w:val="4"/>
                <w:w w:val="120"/>
                <w:sz w:val="20"/>
              </w:rPr>
              <w:t>read</w:t>
            </w:r>
          </w:p>
          <w:p>
            <w:pPr>
              <w:pStyle w:val="TableParagraph"/>
              <w:spacing w:line="242" w:lineRule="exact"/>
              <w:ind w:left="947"/>
              <w:rPr>
                <w:sz w:val="20"/>
              </w:rPr>
            </w:pPr>
            <w:r>
              <w:rPr>
                <w:w w:val="120"/>
                <w:sz w:val="20"/>
              </w:rPr>
              <w:t>The Chair of the United Reformed Church Trust</w:t>
            </w:r>
          </w:p>
        </w:tc>
      </w:tr>
    </w:tbl>
    <w:p>
      <w:pPr>
        <w:pStyle w:val="BodyText"/>
        <w:spacing w:before="7"/>
        <w:rPr>
          <w:sz w:val="44"/>
        </w:rPr>
      </w:pPr>
    </w:p>
    <w:p>
      <w:pPr>
        <w:pStyle w:val="ListParagraph"/>
        <w:numPr>
          <w:ilvl w:val="0"/>
          <w:numId w:val="206"/>
        </w:numPr>
        <w:tabs>
          <w:tab w:pos="1814" w:val="left" w:leader="none"/>
          <w:tab w:pos="1815" w:val="left" w:leader="none"/>
        </w:tabs>
        <w:spacing w:line="235" w:lineRule="auto" w:before="0" w:after="0"/>
        <w:ind w:left="1133" w:right="2065" w:firstLine="0"/>
        <w:jc w:val="left"/>
        <w:rPr>
          <w:sz w:val="20"/>
        </w:rPr>
      </w:pPr>
      <w:r>
        <w:rPr>
          <w:spacing w:val="3"/>
          <w:w w:val="120"/>
          <w:sz w:val="20"/>
        </w:rPr>
        <w:t>As </w:t>
      </w:r>
      <w:r>
        <w:rPr>
          <w:w w:val="120"/>
          <w:sz w:val="20"/>
        </w:rPr>
        <w:t>a change to the Structure of the United Reformed Church, this resolution is subject to Paragraph </w:t>
      </w:r>
      <w:r>
        <w:rPr>
          <w:spacing w:val="-9"/>
          <w:w w:val="120"/>
          <w:sz w:val="20"/>
        </w:rPr>
        <w:t>3(1) </w:t>
      </w:r>
      <w:r>
        <w:rPr>
          <w:w w:val="120"/>
          <w:sz w:val="20"/>
        </w:rPr>
        <w:t>of the Rules of Procedure. It was referred to the synods and no objections were lodged. It now comes to Assembly for a second</w:t>
      </w:r>
      <w:r>
        <w:rPr>
          <w:spacing w:val="34"/>
          <w:w w:val="120"/>
          <w:sz w:val="20"/>
        </w:rPr>
        <w:t> </w:t>
      </w:r>
      <w:r>
        <w:rPr>
          <w:w w:val="120"/>
          <w:sz w:val="20"/>
        </w:rPr>
        <w:t>vote.</w:t>
      </w:r>
    </w:p>
    <w:p>
      <w:pPr>
        <w:pStyle w:val="BodyText"/>
        <w:rPr>
          <w:sz w:val="24"/>
        </w:rPr>
      </w:pPr>
    </w:p>
    <w:p>
      <w:pPr>
        <w:pStyle w:val="BodyText"/>
        <w:spacing w:before="1"/>
        <w:rPr>
          <w:sz w:val="32"/>
        </w:rPr>
      </w:pPr>
    </w:p>
    <w:p>
      <w:pPr>
        <w:pStyle w:val="Heading5"/>
        <w:spacing w:line="244" w:lineRule="auto"/>
        <w:ind w:left="1133" w:right="3096"/>
      </w:pPr>
      <w:r>
        <w:rPr>
          <w:color w:val="9662A1"/>
          <w:w w:val="120"/>
        </w:rPr>
        <w:t>Mission Council: Memorandum and Articles of Association of the United Reformed Church Trust (appendices 4a and 4b)</w:t>
      </w:r>
    </w:p>
    <w:p>
      <w:pPr>
        <w:pStyle w:val="BodyText"/>
        <w:spacing w:before="1"/>
        <w:rPr>
          <w:sz w:val="15"/>
        </w:rPr>
      </w:pPr>
    </w:p>
    <w:tbl>
      <w:tblPr>
        <w:tblW w:w="0" w:type="auto"/>
        <w:jc w:val="left"/>
        <w:tblInd w:w="8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4"/>
              </w:rPr>
            </w:pPr>
          </w:p>
        </w:tc>
        <w:tc>
          <w:tcPr>
            <w:tcW w:w="3825" w:type="dxa"/>
            <w:tcBorders>
              <w:top w:val="single" w:sz="24" w:space="0" w:color="000000"/>
            </w:tcBorders>
            <w:shd w:val="clear" w:color="auto" w:fill="9662A1"/>
          </w:tcPr>
          <w:p>
            <w:pPr>
              <w:pStyle w:val="TableParagraph"/>
              <w:spacing w:line="148" w:lineRule="auto" w:before="21"/>
              <w:ind w:left="178"/>
              <w:rPr>
                <w:rFonts w:ascii="Stone Sans II ITC Std X Bd"/>
                <w:b/>
                <w:sz w:val="57"/>
              </w:rPr>
            </w:pPr>
            <w:r>
              <w:rPr>
                <w:rFonts w:ascii="Stone Sans II ITC Std X Bd"/>
                <w:b/>
                <w:color w:val="FFFFFF"/>
                <w:w w:val="110"/>
                <w:sz w:val="47"/>
              </w:rPr>
              <w:t>Resolution </w:t>
            </w:r>
            <w:r>
              <w:rPr>
                <w:rFonts w:ascii="Stone Sans II ITC Std X Bd"/>
                <w:b/>
                <w:spacing w:val="-50"/>
                <w:w w:val="110"/>
                <w:position w:val="-21"/>
                <w:sz w:val="57"/>
              </w:rPr>
              <w:t>3</w:t>
            </w:r>
          </w:p>
        </w:tc>
        <w:tc>
          <w:tcPr>
            <w:tcW w:w="5278" w:type="dxa"/>
            <w:tcBorders>
              <w:top w:val="single" w:sz="24" w:space="0" w:color="000000"/>
              <w:right w:val="single" w:sz="48" w:space="0" w:color="000000"/>
            </w:tcBorders>
          </w:tcPr>
          <w:p>
            <w:pPr>
              <w:pStyle w:val="TableParagraph"/>
              <w:spacing w:line="618" w:lineRule="exact" w:before="7"/>
              <w:ind w:left="-333"/>
              <w:rPr>
                <w:rFonts w:ascii="Stone Sans II ITC Std X Bd"/>
                <w:b/>
                <w:sz w:val="57"/>
              </w:rPr>
            </w:pPr>
            <w:r>
              <w:rPr>
                <w:rFonts w:ascii="Stone Sans II ITC Std X Bd"/>
                <w:b/>
                <w:w w:val="112"/>
                <w:sz w:val="57"/>
              </w:rPr>
              <w:t>1</w:t>
            </w:r>
          </w:p>
        </w:tc>
      </w:tr>
      <w:tr>
        <w:trPr>
          <w:trHeight w:val="1238"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5"/>
              <w:rPr>
                <w:sz w:val="28"/>
              </w:rPr>
            </w:pPr>
          </w:p>
          <w:p>
            <w:pPr>
              <w:pStyle w:val="TableParagraph"/>
              <w:spacing w:line="235" w:lineRule="auto"/>
              <w:ind w:left="326"/>
              <w:rPr>
                <w:sz w:val="20"/>
              </w:rPr>
            </w:pPr>
            <w:r>
              <w:rPr>
                <w:w w:val="120"/>
                <w:sz w:val="20"/>
              </w:rPr>
              <w:t>General Assembly approves the adoption of the Memorandum of Association and the Articles of Association of the United Reformed Church Trust.</w:t>
            </w:r>
          </w:p>
        </w:tc>
      </w:tr>
    </w:tbl>
    <w:p>
      <w:pPr>
        <w:spacing w:after="0" w:line="235" w:lineRule="auto"/>
        <w:rPr>
          <w:sz w:val="20"/>
        </w:rPr>
        <w:sectPr>
          <w:headerReference w:type="even" r:id="rId589"/>
          <w:headerReference w:type="default" r:id="rId590"/>
          <w:footerReference w:type="even" r:id="rId591"/>
          <w:footerReference w:type="default" r:id="rId592"/>
          <w:pgSz w:w="11910" w:h="16840"/>
          <w:pgMar w:header="0" w:footer="647" w:top="1060" w:bottom="840" w:left="0" w:right="0"/>
          <w:pgNumType w:start="262"/>
        </w:sectPr>
      </w:pPr>
    </w:p>
    <w:p>
      <w:pPr>
        <w:spacing w:line="244" w:lineRule="auto" w:before="115"/>
        <w:ind w:left="1984" w:right="2573" w:firstLine="0"/>
        <w:jc w:val="left"/>
        <w:rPr>
          <w:sz w:val="32"/>
        </w:rPr>
      </w:pPr>
      <w:r>
        <w:rPr/>
        <w:pict>
          <v:rect style="position:absolute;margin-left:558.424988pt;margin-top:8.501747pt;width:22.677pt;height:22.677pt;mso-position-horizontal-relative:page;mso-position-vertical-relative:paragraph;z-index:252405760" filled="true" fillcolor="#dcd0e6" stroked="false">
            <v:fill opacity="32768f" type="solid"/>
            <w10:wrap type="none"/>
          </v:rect>
        </w:pict>
      </w:r>
      <w:r>
        <w:rPr>
          <w:color w:val="9662A1"/>
          <w:w w:val="120"/>
          <w:sz w:val="32"/>
        </w:rPr>
        <w:t>Communications and Editorial Committee: 2012 Olympics and Queen’s Jubilee</w:t>
      </w:r>
    </w:p>
    <w:p>
      <w:pPr>
        <w:pStyle w:val="BodyText"/>
        <w:spacing w:before="1"/>
        <w:rPr>
          <w:sz w:val="14"/>
        </w:rPr>
      </w:pPr>
    </w:p>
    <w:tbl>
      <w:tblPr>
        <w:tblW w:w="0" w:type="auto"/>
        <w:jc w:val="left"/>
        <w:tblInd w:w="17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46" w:lineRule="auto" w:before="24"/>
              <w:ind w:left="178" w:right="-44"/>
              <w:rPr>
                <w:rFonts w:ascii="Stone Sans II ITC Std X Bd"/>
                <w:b/>
                <w:sz w:val="57"/>
              </w:rPr>
            </w:pPr>
            <w:r>
              <w:rPr>
                <w:rFonts w:ascii="Stone Sans II ITC Std X Bd"/>
                <w:b/>
                <w:color w:val="FFFFFF"/>
                <w:w w:val="110"/>
                <w:sz w:val="47"/>
              </w:rPr>
              <w:t>Resolution</w:t>
            </w:r>
            <w:r>
              <w:rPr>
                <w:rFonts w:ascii="Stone Sans II ITC Std X Bd"/>
                <w:b/>
                <w:color w:val="FFFFFF"/>
                <w:spacing w:val="-56"/>
                <w:w w:val="110"/>
                <w:sz w:val="47"/>
              </w:rPr>
              <w:t> </w:t>
            </w:r>
            <w:r>
              <w:rPr>
                <w:rFonts w:ascii="Stone Sans II ITC Std X Bd"/>
                <w:b/>
                <w:spacing w:val="-14"/>
                <w:w w:val="110"/>
                <w:position w:val="-22"/>
                <w:sz w:val="57"/>
              </w:rPr>
              <w:t>32</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2332"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3"/>
              <w:rPr>
                <w:sz w:val="29"/>
              </w:rPr>
            </w:pPr>
          </w:p>
          <w:p>
            <w:pPr>
              <w:pStyle w:val="TableParagraph"/>
              <w:spacing w:line="235" w:lineRule="auto"/>
              <w:ind w:left="266" w:right="560"/>
              <w:rPr>
                <w:sz w:val="20"/>
              </w:rPr>
            </w:pPr>
            <w:r>
              <w:rPr>
                <w:spacing w:val="5"/>
                <w:w w:val="120"/>
                <w:sz w:val="20"/>
              </w:rPr>
              <w:t>General Assembly </w:t>
            </w:r>
            <w:r>
              <w:rPr>
                <w:spacing w:val="4"/>
                <w:w w:val="120"/>
                <w:sz w:val="20"/>
              </w:rPr>
              <w:t>welcomes the work being done </w:t>
            </w:r>
            <w:r>
              <w:rPr>
                <w:w w:val="120"/>
                <w:sz w:val="20"/>
              </w:rPr>
              <w:t>by </w:t>
            </w:r>
            <w:r>
              <w:rPr>
                <w:spacing w:val="4"/>
                <w:w w:val="120"/>
                <w:sz w:val="20"/>
              </w:rPr>
              <w:t>the Mission and Communications and Editorial Committees </w:t>
            </w:r>
            <w:r>
              <w:rPr>
                <w:spacing w:val="2"/>
                <w:w w:val="120"/>
                <w:sz w:val="20"/>
              </w:rPr>
              <w:t>in </w:t>
            </w:r>
            <w:r>
              <w:rPr>
                <w:spacing w:val="5"/>
                <w:w w:val="120"/>
                <w:sz w:val="20"/>
              </w:rPr>
              <w:t>preparation </w:t>
            </w:r>
            <w:r>
              <w:rPr>
                <w:spacing w:val="3"/>
                <w:w w:val="120"/>
                <w:sz w:val="20"/>
              </w:rPr>
              <w:t>for </w:t>
            </w:r>
            <w:r>
              <w:rPr>
                <w:spacing w:val="4"/>
                <w:w w:val="120"/>
                <w:sz w:val="20"/>
              </w:rPr>
              <w:t>the </w:t>
            </w:r>
            <w:r>
              <w:rPr>
                <w:spacing w:val="2"/>
                <w:w w:val="120"/>
                <w:sz w:val="20"/>
              </w:rPr>
              <w:t>Church’s </w:t>
            </w:r>
            <w:r>
              <w:rPr>
                <w:spacing w:val="4"/>
                <w:w w:val="120"/>
                <w:sz w:val="20"/>
              </w:rPr>
              <w:t>involvement </w:t>
            </w:r>
            <w:r>
              <w:rPr>
                <w:spacing w:val="2"/>
                <w:w w:val="120"/>
                <w:sz w:val="20"/>
              </w:rPr>
              <w:t>in </w:t>
            </w:r>
            <w:r>
              <w:rPr>
                <w:spacing w:val="4"/>
                <w:w w:val="120"/>
                <w:sz w:val="20"/>
              </w:rPr>
              <w:t>the </w:t>
            </w:r>
            <w:r>
              <w:rPr>
                <w:spacing w:val="2"/>
                <w:w w:val="120"/>
                <w:sz w:val="20"/>
              </w:rPr>
              <w:t>Queen’s </w:t>
            </w:r>
            <w:r>
              <w:rPr>
                <w:spacing w:val="5"/>
                <w:w w:val="120"/>
                <w:sz w:val="20"/>
              </w:rPr>
              <w:t>Jubilee celebrations </w:t>
            </w:r>
            <w:r>
              <w:rPr>
                <w:spacing w:val="4"/>
                <w:w w:val="120"/>
                <w:sz w:val="20"/>
              </w:rPr>
              <w:t>and </w:t>
            </w:r>
            <w:r>
              <w:rPr>
                <w:spacing w:val="2"/>
                <w:w w:val="120"/>
                <w:sz w:val="20"/>
              </w:rPr>
              <w:t>in </w:t>
            </w:r>
            <w:r>
              <w:rPr>
                <w:spacing w:val="4"/>
                <w:w w:val="120"/>
                <w:sz w:val="20"/>
              </w:rPr>
              <w:t>events </w:t>
            </w:r>
            <w:r>
              <w:rPr>
                <w:spacing w:val="5"/>
                <w:w w:val="120"/>
                <w:sz w:val="20"/>
              </w:rPr>
              <w:t>surrounding </w:t>
            </w:r>
            <w:r>
              <w:rPr>
                <w:spacing w:val="4"/>
                <w:w w:val="120"/>
                <w:sz w:val="20"/>
              </w:rPr>
              <w:t>the </w:t>
            </w:r>
            <w:r>
              <w:rPr>
                <w:spacing w:val="5"/>
                <w:w w:val="120"/>
                <w:sz w:val="20"/>
              </w:rPr>
              <w:t>Olympic Games </w:t>
            </w:r>
            <w:r>
              <w:rPr>
                <w:spacing w:val="2"/>
                <w:w w:val="120"/>
                <w:sz w:val="20"/>
              </w:rPr>
              <w:t>in </w:t>
            </w:r>
            <w:r>
              <w:rPr>
                <w:w w:val="120"/>
                <w:sz w:val="20"/>
              </w:rPr>
              <w:t>2012.  </w:t>
            </w:r>
            <w:r>
              <w:rPr>
                <w:spacing w:val="3"/>
                <w:w w:val="120"/>
                <w:sz w:val="20"/>
              </w:rPr>
              <w:t>It </w:t>
            </w:r>
            <w:r>
              <w:rPr>
                <w:spacing w:val="5"/>
                <w:w w:val="120"/>
                <w:sz w:val="20"/>
              </w:rPr>
              <w:t>encourages </w:t>
            </w:r>
            <w:r>
              <w:rPr>
                <w:spacing w:val="4"/>
                <w:w w:val="120"/>
                <w:sz w:val="20"/>
              </w:rPr>
              <w:t>churches </w:t>
            </w:r>
            <w:r>
              <w:rPr>
                <w:w w:val="120"/>
                <w:sz w:val="20"/>
              </w:rPr>
              <w:t>to  </w:t>
            </w:r>
            <w:r>
              <w:rPr>
                <w:spacing w:val="5"/>
                <w:w w:val="120"/>
                <w:sz w:val="20"/>
              </w:rPr>
              <w:t>engage </w:t>
            </w:r>
            <w:r>
              <w:rPr>
                <w:spacing w:val="2"/>
                <w:w w:val="120"/>
                <w:sz w:val="20"/>
              </w:rPr>
              <w:t>in  </w:t>
            </w:r>
            <w:r>
              <w:rPr>
                <w:spacing w:val="4"/>
                <w:w w:val="120"/>
                <w:sz w:val="20"/>
              </w:rPr>
              <w:t>the </w:t>
            </w:r>
            <w:r>
              <w:rPr>
                <w:spacing w:val="5"/>
                <w:w w:val="120"/>
                <w:sz w:val="20"/>
              </w:rPr>
              <w:t>celebrations </w:t>
            </w:r>
            <w:r>
              <w:rPr>
                <w:spacing w:val="4"/>
                <w:w w:val="120"/>
                <w:sz w:val="20"/>
              </w:rPr>
              <w:t>and</w:t>
            </w:r>
            <w:r>
              <w:rPr>
                <w:spacing w:val="12"/>
                <w:w w:val="120"/>
                <w:sz w:val="20"/>
              </w:rPr>
              <w:t> </w:t>
            </w:r>
            <w:r>
              <w:rPr>
                <w:spacing w:val="4"/>
                <w:w w:val="120"/>
                <w:sz w:val="20"/>
              </w:rPr>
              <w:t>events</w:t>
            </w:r>
            <w:r>
              <w:rPr>
                <w:spacing w:val="13"/>
                <w:w w:val="120"/>
                <w:sz w:val="20"/>
              </w:rPr>
              <w:t> </w:t>
            </w:r>
            <w:r>
              <w:rPr>
                <w:spacing w:val="4"/>
                <w:w w:val="120"/>
                <w:sz w:val="20"/>
              </w:rPr>
              <w:t>that</w:t>
            </w:r>
            <w:r>
              <w:rPr>
                <w:spacing w:val="13"/>
                <w:w w:val="120"/>
                <w:sz w:val="20"/>
              </w:rPr>
              <w:t> </w:t>
            </w:r>
            <w:r>
              <w:rPr>
                <w:spacing w:val="4"/>
                <w:w w:val="120"/>
                <w:sz w:val="20"/>
              </w:rPr>
              <w:t>will</w:t>
            </w:r>
            <w:r>
              <w:rPr>
                <w:spacing w:val="13"/>
                <w:w w:val="120"/>
                <w:sz w:val="20"/>
              </w:rPr>
              <w:t> </w:t>
            </w:r>
            <w:r>
              <w:rPr>
                <w:spacing w:val="4"/>
                <w:w w:val="120"/>
                <w:sz w:val="20"/>
              </w:rPr>
              <w:t>take</w:t>
            </w:r>
            <w:r>
              <w:rPr>
                <w:spacing w:val="13"/>
                <w:w w:val="120"/>
                <w:sz w:val="20"/>
              </w:rPr>
              <w:t> </w:t>
            </w:r>
            <w:r>
              <w:rPr>
                <w:spacing w:val="3"/>
                <w:w w:val="120"/>
                <w:sz w:val="20"/>
              </w:rPr>
              <w:t>place</w:t>
            </w:r>
            <w:r>
              <w:rPr>
                <w:spacing w:val="13"/>
                <w:w w:val="120"/>
                <w:sz w:val="20"/>
              </w:rPr>
              <w:t> </w:t>
            </w:r>
            <w:r>
              <w:rPr>
                <w:spacing w:val="5"/>
                <w:w w:val="120"/>
                <w:sz w:val="20"/>
              </w:rPr>
              <w:t>throughout</w:t>
            </w:r>
            <w:r>
              <w:rPr>
                <w:spacing w:val="13"/>
                <w:w w:val="120"/>
                <w:sz w:val="20"/>
              </w:rPr>
              <w:t> </w:t>
            </w:r>
            <w:r>
              <w:rPr>
                <w:spacing w:val="4"/>
                <w:w w:val="120"/>
                <w:sz w:val="20"/>
              </w:rPr>
              <w:t>the</w:t>
            </w:r>
            <w:r>
              <w:rPr>
                <w:spacing w:val="13"/>
                <w:w w:val="120"/>
                <w:sz w:val="20"/>
              </w:rPr>
              <w:t> </w:t>
            </w:r>
            <w:r>
              <w:rPr>
                <w:spacing w:val="3"/>
                <w:w w:val="120"/>
                <w:sz w:val="20"/>
              </w:rPr>
              <w:t>year</w:t>
            </w:r>
            <w:r>
              <w:rPr>
                <w:spacing w:val="13"/>
                <w:w w:val="120"/>
                <w:sz w:val="20"/>
              </w:rPr>
              <w:t> </w:t>
            </w:r>
            <w:r>
              <w:rPr>
                <w:spacing w:val="2"/>
                <w:w w:val="120"/>
                <w:sz w:val="20"/>
              </w:rPr>
              <w:t>as</w:t>
            </w:r>
            <w:r>
              <w:rPr>
                <w:spacing w:val="13"/>
                <w:w w:val="120"/>
                <w:sz w:val="20"/>
              </w:rPr>
              <w:t> </w:t>
            </w:r>
            <w:r>
              <w:rPr>
                <w:spacing w:val="3"/>
                <w:w w:val="120"/>
                <w:sz w:val="20"/>
              </w:rPr>
              <w:t>an</w:t>
            </w:r>
            <w:r>
              <w:rPr>
                <w:spacing w:val="12"/>
                <w:w w:val="120"/>
                <w:sz w:val="20"/>
              </w:rPr>
              <w:t> </w:t>
            </w:r>
            <w:r>
              <w:rPr>
                <w:spacing w:val="6"/>
                <w:w w:val="120"/>
                <w:sz w:val="20"/>
              </w:rPr>
              <w:t>opportunity</w:t>
            </w:r>
            <w:r>
              <w:rPr>
                <w:spacing w:val="13"/>
                <w:w w:val="120"/>
                <w:sz w:val="20"/>
              </w:rPr>
              <w:t> </w:t>
            </w:r>
            <w:r>
              <w:rPr>
                <w:spacing w:val="3"/>
                <w:w w:val="120"/>
                <w:sz w:val="20"/>
              </w:rPr>
              <w:t>for</w:t>
            </w:r>
            <w:r>
              <w:rPr>
                <w:spacing w:val="13"/>
                <w:w w:val="120"/>
                <w:sz w:val="20"/>
              </w:rPr>
              <w:t> </w:t>
            </w:r>
            <w:r>
              <w:rPr>
                <w:spacing w:val="5"/>
                <w:w w:val="120"/>
                <w:sz w:val="20"/>
              </w:rPr>
              <w:t>witness</w:t>
            </w:r>
          </w:p>
          <w:p>
            <w:pPr>
              <w:pStyle w:val="TableParagraph"/>
              <w:spacing w:line="235" w:lineRule="auto" w:before="3"/>
              <w:ind w:left="266"/>
              <w:rPr>
                <w:sz w:val="20"/>
              </w:rPr>
            </w:pPr>
            <w:r>
              <w:rPr>
                <w:spacing w:val="4"/>
                <w:w w:val="120"/>
                <w:sz w:val="20"/>
              </w:rPr>
              <w:t>and </w:t>
            </w:r>
            <w:r>
              <w:rPr>
                <w:spacing w:val="5"/>
                <w:w w:val="120"/>
                <w:sz w:val="20"/>
              </w:rPr>
              <w:t>service, </w:t>
            </w:r>
            <w:r>
              <w:rPr>
                <w:spacing w:val="4"/>
                <w:w w:val="120"/>
                <w:sz w:val="20"/>
              </w:rPr>
              <w:t>doing </w:t>
            </w:r>
            <w:r>
              <w:rPr>
                <w:spacing w:val="3"/>
                <w:w w:val="120"/>
                <w:sz w:val="20"/>
              </w:rPr>
              <w:t>so </w:t>
            </w:r>
            <w:r>
              <w:rPr>
                <w:spacing w:val="4"/>
                <w:w w:val="120"/>
                <w:sz w:val="20"/>
              </w:rPr>
              <w:t>wherever </w:t>
            </w:r>
            <w:r>
              <w:rPr>
                <w:spacing w:val="3"/>
                <w:w w:val="120"/>
                <w:sz w:val="20"/>
              </w:rPr>
              <w:t>this </w:t>
            </w:r>
            <w:r>
              <w:rPr>
                <w:w w:val="120"/>
                <w:sz w:val="20"/>
              </w:rPr>
              <w:t>is </w:t>
            </w:r>
            <w:r>
              <w:rPr>
                <w:spacing w:val="4"/>
                <w:w w:val="120"/>
                <w:sz w:val="20"/>
              </w:rPr>
              <w:t>possible with </w:t>
            </w:r>
            <w:r>
              <w:rPr>
                <w:spacing w:val="6"/>
                <w:w w:val="120"/>
                <w:sz w:val="20"/>
              </w:rPr>
              <w:t>partners </w:t>
            </w:r>
            <w:r>
              <w:rPr>
                <w:spacing w:val="4"/>
                <w:w w:val="120"/>
                <w:sz w:val="20"/>
              </w:rPr>
              <w:t>from their </w:t>
            </w:r>
            <w:r>
              <w:rPr>
                <w:spacing w:val="3"/>
                <w:w w:val="120"/>
                <w:sz w:val="20"/>
              </w:rPr>
              <w:t>community, </w:t>
            </w:r>
            <w:r>
              <w:rPr>
                <w:spacing w:val="4"/>
                <w:w w:val="120"/>
                <w:sz w:val="20"/>
              </w:rPr>
              <w:t>including </w:t>
            </w:r>
            <w:r>
              <w:rPr>
                <w:spacing w:val="5"/>
                <w:w w:val="120"/>
                <w:sz w:val="20"/>
              </w:rPr>
              <w:t>members </w:t>
            </w:r>
            <w:r>
              <w:rPr>
                <w:spacing w:val="3"/>
                <w:w w:val="120"/>
                <w:sz w:val="20"/>
              </w:rPr>
              <w:t>of </w:t>
            </w:r>
            <w:r>
              <w:rPr>
                <w:spacing w:val="4"/>
                <w:w w:val="120"/>
                <w:sz w:val="20"/>
              </w:rPr>
              <w:t>other churches and</w:t>
            </w:r>
            <w:r>
              <w:rPr>
                <w:spacing w:val="62"/>
                <w:w w:val="120"/>
                <w:sz w:val="20"/>
              </w:rPr>
              <w:t> </w:t>
            </w:r>
            <w:r>
              <w:rPr>
                <w:spacing w:val="5"/>
                <w:w w:val="120"/>
                <w:sz w:val="20"/>
              </w:rPr>
              <w:t>faiths.</w:t>
            </w:r>
          </w:p>
        </w:tc>
      </w:tr>
    </w:tbl>
    <w:p>
      <w:pPr>
        <w:pStyle w:val="BodyText"/>
        <w:spacing w:before="5"/>
        <w:rPr>
          <w:sz w:val="46"/>
        </w:rPr>
      </w:pPr>
    </w:p>
    <w:p>
      <w:pPr>
        <w:spacing w:before="0"/>
        <w:ind w:left="1984" w:right="0" w:firstLine="0"/>
        <w:jc w:val="left"/>
        <w:rPr>
          <w:sz w:val="32"/>
        </w:rPr>
      </w:pPr>
      <w:r>
        <w:rPr>
          <w:color w:val="9662A1"/>
          <w:spacing w:val="-4"/>
          <w:w w:val="120"/>
          <w:sz w:val="32"/>
        </w:rPr>
        <w:t>East </w:t>
      </w:r>
      <w:r>
        <w:rPr>
          <w:color w:val="9662A1"/>
          <w:spacing w:val="-8"/>
          <w:w w:val="120"/>
          <w:sz w:val="32"/>
        </w:rPr>
        <w:t>Midlands </w:t>
      </w:r>
      <w:r>
        <w:rPr>
          <w:color w:val="9662A1"/>
          <w:spacing w:val="-9"/>
          <w:w w:val="120"/>
          <w:sz w:val="32"/>
        </w:rPr>
        <w:t>Synod: </w:t>
      </w:r>
      <w:r>
        <w:rPr>
          <w:color w:val="9662A1"/>
          <w:spacing w:val="-5"/>
          <w:w w:val="120"/>
          <w:sz w:val="32"/>
        </w:rPr>
        <w:t>properties </w:t>
      </w:r>
      <w:r>
        <w:rPr>
          <w:color w:val="9662A1"/>
          <w:spacing w:val="-7"/>
          <w:w w:val="120"/>
          <w:sz w:val="32"/>
        </w:rPr>
        <w:t>advice </w:t>
      </w:r>
      <w:r>
        <w:rPr>
          <w:color w:val="9662A1"/>
          <w:spacing w:val="-6"/>
          <w:w w:val="120"/>
          <w:sz w:val="32"/>
        </w:rPr>
        <w:t>for </w:t>
      </w:r>
      <w:r>
        <w:rPr>
          <w:color w:val="9662A1"/>
          <w:spacing w:val="-5"/>
          <w:w w:val="120"/>
          <w:sz w:val="32"/>
        </w:rPr>
        <w:t>local</w:t>
      </w:r>
      <w:r>
        <w:rPr>
          <w:color w:val="9662A1"/>
          <w:spacing w:val="49"/>
          <w:w w:val="120"/>
          <w:sz w:val="32"/>
        </w:rPr>
        <w:t> </w:t>
      </w:r>
      <w:r>
        <w:rPr>
          <w:color w:val="9662A1"/>
          <w:spacing w:val="-8"/>
          <w:w w:val="120"/>
          <w:sz w:val="32"/>
        </w:rPr>
        <w:t>churches</w:t>
      </w:r>
    </w:p>
    <w:p>
      <w:pPr>
        <w:pStyle w:val="BodyText"/>
        <w:spacing w:before="9"/>
        <w:rPr>
          <w:sz w:val="12"/>
        </w:rPr>
      </w:pPr>
    </w:p>
    <w:tbl>
      <w:tblPr>
        <w:tblW w:w="0" w:type="auto"/>
        <w:jc w:val="left"/>
        <w:tblInd w:w="17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39" w:lineRule="auto" w:before="23"/>
              <w:ind w:left="178"/>
              <w:rPr>
                <w:rFonts w:ascii="Stone Sans II ITC Std X Bd"/>
                <w:b/>
                <w:sz w:val="57"/>
              </w:rPr>
            </w:pPr>
            <w:r>
              <w:rPr>
                <w:rFonts w:ascii="Stone Sans II ITC Std X Bd"/>
                <w:b/>
                <w:color w:val="FFFFFF"/>
                <w:w w:val="110"/>
                <w:sz w:val="47"/>
              </w:rPr>
              <w:t>Resolution </w:t>
            </w:r>
            <w:r>
              <w:rPr>
                <w:rFonts w:ascii="Stone Sans II ITC Std X Bd"/>
                <w:b/>
                <w:w w:val="110"/>
                <w:position w:val="-24"/>
                <w:sz w:val="57"/>
              </w:rPr>
              <w:t>3</w:t>
            </w:r>
          </w:p>
        </w:tc>
        <w:tc>
          <w:tcPr>
            <w:tcW w:w="5278" w:type="dxa"/>
            <w:tcBorders>
              <w:top w:val="single" w:sz="24" w:space="0" w:color="000000"/>
              <w:right w:val="single" w:sz="48" w:space="0" w:color="000000"/>
            </w:tcBorders>
          </w:tcPr>
          <w:p>
            <w:pPr>
              <w:pStyle w:val="TableParagraph"/>
              <w:spacing w:line="585" w:lineRule="exact" w:before="39"/>
              <w:ind w:left="-333"/>
              <w:rPr>
                <w:rFonts w:ascii="Stone Sans II ITC Std X Bd"/>
                <w:b/>
                <w:sz w:val="57"/>
              </w:rPr>
            </w:pPr>
            <w:r>
              <w:rPr>
                <w:rFonts w:ascii="Stone Sans II ITC Std X Bd"/>
                <w:b/>
                <w:w w:val="112"/>
                <w:sz w:val="57"/>
              </w:rPr>
              <w:t>3</w:t>
            </w:r>
          </w:p>
        </w:tc>
      </w:tr>
      <w:tr>
        <w:trPr>
          <w:trHeight w:val="1954"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1"/>
              <w:rPr>
                <w:sz w:val="31"/>
              </w:rPr>
            </w:pPr>
          </w:p>
          <w:p>
            <w:pPr>
              <w:pStyle w:val="TableParagraph"/>
              <w:spacing w:line="235" w:lineRule="auto"/>
              <w:ind w:left="326" w:right="1355"/>
              <w:rPr>
                <w:sz w:val="20"/>
              </w:rPr>
            </w:pPr>
            <w:r>
              <w:rPr>
                <w:w w:val="120"/>
                <w:sz w:val="20"/>
              </w:rPr>
              <w:t>In the light of the 2008 resolution seeking closer co-operation between the United Reformed Church and the Methodist Church, Assembly instructs its</w:t>
            </w:r>
          </w:p>
          <w:p>
            <w:pPr>
              <w:pStyle w:val="TableParagraph"/>
              <w:spacing w:line="235" w:lineRule="auto" w:before="2"/>
              <w:ind w:left="326" w:right="641"/>
              <w:rPr>
                <w:sz w:val="20"/>
              </w:rPr>
            </w:pPr>
            <w:r>
              <w:rPr>
                <w:w w:val="120"/>
                <w:sz w:val="20"/>
              </w:rPr>
              <w:t>officers to explore the possibility of collaboration in the area of property advice to local churches.</w:t>
            </w:r>
          </w:p>
          <w:p>
            <w:pPr>
              <w:pStyle w:val="TableParagraph"/>
              <w:spacing w:line="235" w:lineRule="auto" w:before="1"/>
              <w:ind w:left="6386" w:firstLine="418"/>
              <w:rPr>
                <w:i/>
                <w:sz w:val="20"/>
              </w:rPr>
            </w:pPr>
            <w:r>
              <w:rPr>
                <w:i/>
                <w:w w:val="110"/>
                <w:sz w:val="20"/>
              </w:rPr>
              <w:t>Proposer: Duncan Smith </w:t>
            </w:r>
            <w:r>
              <w:rPr>
                <w:i/>
                <w:w w:val="110"/>
                <w:sz w:val="20"/>
              </w:rPr>
              <w:t>Seconder: Revd Paul Bedford</w:t>
            </w:r>
          </w:p>
        </w:tc>
      </w:tr>
    </w:tbl>
    <w:p>
      <w:pPr>
        <w:pStyle w:val="BodyText"/>
        <w:rPr>
          <w:sz w:val="43"/>
        </w:rPr>
      </w:pPr>
    </w:p>
    <w:p>
      <w:pPr>
        <w:pStyle w:val="ListParagraph"/>
        <w:numPr>
          <w:ilvl w:val="1"/>
          <w:numId w:val="206"/>
        </w:numPr>
        <w:tabs>
          <w:tab w:pos="2664" w:val="left" w:leader="none"/>
          <w:tab w:pos="2665" w:val="left" w:leader="none"/>
        </w:tabs>
        <w:spacing w:line="235" w:lineRule="auto" w:before="0" w:after="0"/>
        <w:ind w:left="1984" w:right="1171" w:firstLine="0"/>
        <w:jc w:val="left"/>
        <w:rPr>
          <w:sz w:val="20"/>
        </w:rPr>
      </w:pPr>
      <w:r>
        <w:rPr>
          <w:w w:val="120"/>
          <w:sz w:val="20"/>
        </w:rPr>
        <w:t>One of the local churches in the East Midlands Synod presented a </w:t>
      </w:r>
      <w:r>
        <w:rPr>
          <w:spacing w:val="2"/>
          <w:w w:val="120"/>
          <w:sz w:val="20"/>
        </w:rPr>
        <w:t>draft </w:t>
      </w:r>
      <w:r>
        <w:rPr>
          <w:w w:val="120"/>
          <w:sz w:val="20"/>
        </w:rPr>
        <w:t>resolution to the November 2009 synod seeking the appointment of centrally based </w:t>
      </w:r>
      <w:r>
        <w:rPr>
          <w:spacing w:val="2"/>
          <w:w w:val="120"/>
          <w:sz w:val="20"/>
        </w:rPr>
        <w:t>property </w:t>
      </w:r>
      <w:r>
        <w:rPr>
          <w:spacing w:val="-4"/>
          <w:w w:val="120"/>
          <w:sz w:val="20"/>
        </w:rPr>
        <w:t>officer(s) </w:t>
      </w:r>
      <w:r>
        <w:rPr>
          <w:w w:val="120"/>
          <w:sz w:val="20"/>
        </w:rPr>
        <w:t>at Church House to co-ordinate the work of </w:t>
      </w:r>
      <w:r>
        <w:rPr>
          <w:spacing w:val="2"/>
          <w:w w:val="120"/>
          <w:sz w:val="20"/>
        </w:rPr>
        <w:t>property </w:t>
      </w:r>
      <w:r>
        <w:rPr>
          <w:w w:val="120"/>
          <w:sz w:val="20"/>
        </w:rPr>
        <w:t>officers at synod level and advise churches of legislation, initiatives and responsibilities that they must heed. We greatly value the work of all </w:t>
      </w:r>
      <w:r>
        <w:rPr>
          <w:spacing w:val="2"/>
          <w:w w:val="120"/>
          <w:sz w:val="20"/>
        </w:rPr>
        <w:t>property </w:t>
      </w:r>
      <w:r>
        <w:rPr>
          <w:w w:val="120"/>
          <w:sz w:val="20"/>
        </w:rPr>
        <w:t>officers who work at the synod</w:t>
      </w:r>
      <w:r>
        <w:rPr>
          <w:spacing w:val="22"/>
          <w:w w:val="120"/>
          <w:sz w:val="20"/>
        </w:rPr>
        <w:t> </w:t>
      </w:r>
      <w:r>
        <w:rPr>
          <w:w w:val="120"/>
          <w:sz w:val="20"/>
        </w:rPr>
        <w:t>level.</w:t>
      </w:r>
    </w:p>
    <w:p>
      <w:pPr>
        <w:pStyle w:val="BodyText"/>
      </w:pPr>
    </w:p>
    <w:p>
      <w:pPr>
        <w:pStyle w:val="ListParagraph"/>
        <w:numPr>
          <w:ilvl w:val="1"/>
          <w:numId w:val="206"/>
        </w:numPr>
        <w:tabs>
          <w:tab w:pos="2664" w:val="left" w:leader="none"/>
          <w:tab w:pos="2665" w:val="left" w:leader="none"/>
        </w:tabs>
        <w:spacing w:line="235" w:lineRule="auto" w:before="0" w:after="0"/>
        <w:ind w:left="1984" w:right="1163" w:firstLine="0"/>
        <w:jc w:val="left"/>
        <w:rPr>
          <w:sz w:val="20"/>
        </w:rPr>
      </w:pPr>
      <w:r>
        <w:rPr>
          <w:w w:val="120"/>
          <w:sz w:val="20"/>
        </w:rPr>
        <w:t>In discussing the proposed resolution with the URC Treasurer and the Chair of the Trust, it became clear that such a resolution was unlikely to gain support given the high cost of employing central staff. The local church that proposed the resolution agreed to   a different approach. The Methodist Church has centrally based </w:t>
      </w:r>
      <w:r>
        <w:rPr>
          <w:spacing w:val="2"/>
          <w:w w:val="120"/>
          <w:sz w:val="20"/>
        </w:rPr>
        <w:t>property </w:t>
      </w:r>
      <w:r>
        <w:rPr>
          <w:w w:val="120"/>
          <w:sz w:val="20"/>
        </w:rPr>
        <w:t>officers who give the advice and encouragement required. The East Midlands Synod urges the United Reformed Church to develop closer links with the Methodist Church to assist our synod </w:t>
      </w:r>
      <w:r>
        <w:rPr>
          <w:spacing w:val="2"/>
          <w:w w:val="120"/>
          <w:sz w:val="20"/>
        </w:rPr>
        <w:t>property </w:t>
      </w:r>
      <w:r>
        <w:rPr>
          <w:w w:val="120"/>
          <w:sz w:val="20"/>
        </w:rPr>
        <w:t>officers in the area of advice to</w:t>
      </w:r>
      <w:r>
        <w:rPr>
          <w:spacing w:val="11"/>
          <w:w w:val="120"/>
          <w:sz w:val="20"/>
        </w:rPr>
        <w:t> </w:t>
      </w:r>
      <w:r>
        <w:rPr>
          <w:w w:val="120"/>
          <w:sz w:val="20"/>
        </w:rPr>
        <w:t>churches.</w:t>
      </w:r>
    </w:p>
    <w:p>
      <w:pPr>
        <w:spacing w:after="0" w:line="235" w:lineRule="auto"/>
        <w:jc w:val="left"/>
        <w:rPr>
          <w:sz w:val="20"/>
        </w:rPr>
        <w:sectPr>
          <w:pgSz w:w="11910" w:h="16840"/>
          <w:pgMar w:header="0" w:footer="647" w:top="1060" w:bottom="840" w:left="0" w:right="0"/>
        </w:sectPr>
      </w:pPr>
    </w:p>
    <w:p>
      <w:pPr>
        <w:pStyle w:val="Heading5"/>
        <w:spacing w:line="244" w:lineRule="auto" w:before="131"/>
        <w:ind w:left="1133" w:right="2573"/>
      </w:pPr>
      <w:r>
        <w:rPr/>
        <w:pict>
          <v:rect style="position:absolute;margin-left:12.047pt;margin-top:8.474748pt;width:22.677pt;height:22.677pt;mso-position-horizontal-relative:page;mso-position-vertical-relative:paragraph;z-index:252411904" filled="true" fillcolor="#dcd0e6" stroked="false">
            <v:fill opacity="32768f" type="solid"/>
            <w10:wrap type="none"/>
          </v:rect>
        </w:pict>
      </w:r>
      <w:r>
        <w:rPr>
          <w:color w:val="9662A1"/>
          <w:w w:val="120"/>
        </w:rPr>
        <w:t>North Western Synod: children in immigration detention centres</w:t>
      </w:r>
    </w:p>
    <w:p>
      <w:pPr>
        <w:pStyle w:val="BodyText"/>
        <w:spacing w:before="7"/>
        <w:rPr>
          <w:sz w:val="12"/>
        </w:rPr>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
        <w:gridCol w:w="3825"/>
        <w:gridCol w:w="5278"/>
      </w:tblGrid>
      <w:tr>
        <w:trPr>
          <w:trHeight w:val="645" w:hRule="atLeast"/>
        </w:trPr>
        <w:tc>
          <w:tcPr>
            <w:tcW w:w="247" w:type="dxa"/>
            <w:tcBorders>
              <w:top w:val="single" w:sz="24" w:space="0" w:color="000000"/>
              <w:left w:val="single" w:sz="48" w:space="0" w:color="000000"/>
            </w:tcBorders>
          </w:tcPr>
          <w:p>
            <w:pPr>
              <w:pStyle w:val="TableParagraph"/>
              <w:rPr>
                <w:rFonts w:ascii="Times New Roman"/>
                <w:sz w:val="22"/>
              </w:rPr>
            </w:pPr>
          </w:p>
        </w:tc>
        <w:tc>
          <w:tcPr>
            <w:tcW w:w="3825" w:type="dxa"/>
            <w:tcBorders>
              <w:top w:val="single" w:sz="24" w:space="0" w:color="000000"/>
            </w:tcBorders>
            <w:shd w:val="clear" w:color="auto" w:fill="9662A1"/>
          </w:tcPr>
          <w:p>
            <w:pPr>
              <w:pStyle w:val="TableParagraph"/>
              <w:spacing w:line="139" w:lineRule="auto" w:before="23"/>
              <w:ind w:left="178" w:right="-44"/>
              <w:rPr>
                <w:rFonts w:ascii="Stone Sans II ITC Std X Bd"/>
                <w:b/>
                <w:sz w:val="57"/>
              </w:rPr>
            </w:pPr>
            <w:r>
              <w:rPr>
                <w:rFonts w:ascii="Stone Sans II ITC Std X Bd"/>
                <w:b/>
                <w:color w:val="FFFFFF"/>
                <w:spacing w:val="2"/>
                <w:w w:val="110"/>
                <w:sz w:val="47"/>
              </w:rPr>
              <w:t>Resolution</w:t>
            </w:r>
            <w:r>
              <w:rPr>
                <w:rFonts w:ascii="Stone Sans II ITC Std X Bd"/>
                <w:b/>
                <w:spacing w:val="2"/>
                <w:w w:val="110"/>
                <w:position w:val="-24"/>
                <w:sz w:val="57"/>
              </w:rPr>
              <w:t>34</w:t>
            </w:r>
          </w:p>
        </w:tc>
        <w:tc>
          <w:tcPr>
            <w:tcW w:w="5278" w:type="dxa"/>
            <w:tcBorders>
              <w:top w:val="single" w:sz="24" w:space="0" w:color="000000"/>
              <w:right w:val="single" w:sz="48" w:space="0" w:color="000000"/>
            </w:tcBorders>
          </w:tcPr>
          <w:p>
            <w:pPr>
              <w:pStyle w:val="TableParagraph"/>
              <w:rPr>
                <w:rFonts w:ascii="Times New Roman"/>
                <w:sz w:val="22"/>
              </w:rPr>
            </w:pPr>
          </w:p>
        </w:tc>
      </w:tr>
      <w:tr>
        <w:trPr>
          <w:trHeight w:val="1580" w:hRule="atLeast"/>
        </w:trPr>
        <w:tc>
          <w:tcPr>
            <w:tcW w:w="9350" w:type="dxa"/>
            <w:gridSpan w:val="3"/>
            <w:tcBorders>
              <w:left w:val="single" w:sz="48" w:space="0" w:color="000000"/>
              <w:bottom w:val="single" w:sz="24" w:space="0" w:color="000000"/>
              <w:right w:val="single" w:sz="48" w:space="0" w:color="000000"/>
            </w:tcBorders>
          </w:tcPr>
          <w:p>
            <w:pPr>
              <w:pStyle w:val="TableParagraph"/>
              <w:spacing w:before="9"/>
              <w:rPr>
                <w:sz w:val="30"/>
              </w:rPr>
            </w:pPr>
          </w:p>
          <w:p>
            <w:pPr>
              <w:pStyle w:val="TableParagraph"/>
              <w:spacing w:line="235" w:lineRule="auto" w:before="1"/>
              <w:ind w:left="266" w:right="641"/>
              <w:rPr>
                <w:sz w:val="20"/>
              </w:rPr>
            </w:pPr>
            <w:r>
              <w:rPr>
                <w:w w:val="120"/>
                <w:sz w:val="20"/>
              </w:rPr>
              <w:t>General Assembly calls on Her Majesty’s Government to cease holding children in Immigration Detention Centres.</w:t>
            </w:r>
          </w:p>
          <w:p>
            <w:pPr>
              <w:pStyle w:val="TableParagraph"/>
              <w:spacing w:line="235" w:lineRule="auto" w:before="1"/>
              <w:ind w:left="6079" w:hanging="144"/>
              <w:rPr>
                <w:i/>
                <w:sz w:val="20"/>
              </w:rPr>
            </w:pPr>
            <w:r>
              <w:rPr>
                <w:i/>
                <w:w w:val="110"/>
                <w:sz w:val="20"/>
              </w:rPr>
              <w:t>Proposer: Revd Marion Tugwood </w:t>
            </w:r>
            <w:r>
              <w:rPr>
                <w:i/>
                <w:w w:val="110"/>
                <w:sz w:val="20"/>
              </w:rPr>
              <w:t>Seconder: Revd Geoffrey Clarke</w:t>
            </w:r>
          </w:p>
        </w:tc>
      </w:tr>
    </w:tbl>
    <w:p>
      <w:pPr>
        <w:pStyle w:val="BodyText"/>
        <w:rPr>
          <w:sz w:val="34"/>
        </w:rPr>
      </w:pPr>
    </w:p>
    <w:p>
      <w:pPr>
        <w:pStyle w:val="ListParagraph"/>
        <w:numPr>
          <w:ilvl w:val="0"/>
          <w:numId w:val="207"/>
        </w:numPr>
        <w:tabs>
          <w:tab w:pos="1814" w:val="left" w:leader="none"/>
          <w:tab w:pos="1815" w:val="left" w:leader="none"/>
        </w:tabs>
        <w:spacing w:line="235" w:lineRule="auto" w:before="0" w:after="0"/>
        <w:ind w:left="1133" w:right="2005" w:firstLine="0"/>
        <w:jc w:val="left"/>
        <w:rPr>
          <w:sz w:val="20"/>
        </w:rPr>
      </w:pPr>
      <w:r>
        <w:rPr>
          <w:w w:val="120"/>
          <w:sz w:val="20"/>
        </w:rPr>
        <w:t>In the </w:t>
      </w:r>
      <w:r>
        <w:rPr>
          <w:spacing w:val="2"/>
          <w:w w:val="120"/>
          <w:sz w:val="20"/>
        </w:rPr>
        <w:t>UK, </w:t>
      </w:r>
      <w:r>
        <w:rPr>
          <w:w w:val="120"/>
          <w:sz w:val="20"/>
        </w:rPr>
        <w:t>about 2,000 children a year are taken from their beds at daybreak by uniformed enforcement officers and transported to a removal centre. Over the past five years, some 889 children have been detained in prison conditions for more than 28 days; of these more than half have eventually been</w:t>
      </w:r>
      <w:r>
        <w:rPr>
          <w:spacing w:val="10"/>
          <w:w w:val="120"/>
          <w:sz w:val="20"/>
        </w:rPr>
        <w:t> </w:t>
      </w:r>
      <w:r>
        <w:rPr>
          <w:w w:val="120"/>
          <w:sz w:val="20"/>
        </w:rPr>
        <w:t>released.</w:t>
      </w:r>
    </w:p>
    <w:p>
      <w:pPr>
        <w:pStyle w:val="BodyText"/>
        <w:spacing w:before="11"/>
        <w:rPr>
          <w:sz w:val="19"/>
        </w:rPr>
      </w:pPr>
    </w:p>
    <w:p>
      <w:pPr>
        <w:pStyle w:val="ListParagraph"/>
        <w:numPr>
          <w:ilvl w:val="0"/>
          <w:numId w:val="207"/>
        </w:numPr>
        <w:tabs>
          <w:tab w:pos="1814" w:val="left" w:leader="none"/>
          <w:tab w:pos="1815" w:val="left" w:leader="none"/>
        </w:tabs>
        <w:spacing w:line="235" w:lineRule="auto" w:before="0" w:after="0"/>
        <w:ind w:left="1133" w:right="2061" w:firstLine="0"/>
        <w:jc w:val="left"/>
        <w:rPr>
          <w:sz w:val="20"/>
        </w:rPr>
      </w:pPr>
      <w:r>
        <w:rPr>
          <w:w w:val="120"/>
          <w:sz w:val="20"/>
        </w:rPr>
        <w:t>The consequences for the children’s physical and emotional well-being are documented in a recent joint statement by the Royal College of Paediatrics, GP’s and Psychiatry and the Faculty of Public Health. Previously healthy children are severely traumatised, </w:t>
      </w:r>
      <w:r>
        <w:rPr>
          <w:spacing w:val="-3"/>
          <w:w w:val="120"/>
          <w:sz w:val="20"/>
        </w:rPr>
        <w:t>73% </w:t>
      </w:r>
      <w:r>
        <w:rPr>
          <w:w w:val="120"/>
          <w:sz w:val="20"/>
        </w:rPr>
        <w:t>showing clinically significant emotional and behavioural problems. Their schooling is severely disrupted. Serious concerns about the well-being of detained children have also been expressed by the European Commission for Human Rights, the Children’s Commissioner for England, and the Parliamentary Joint Committee on Human Rights. Her Majesty’s Chief Inspector for Prisons has recently reported that ‘the plight of detained children remains of great </w:t>
      </w:r>
      <w:r>
        <w:rPr>
          <w:spacing w:val="-3"/>
          <w:w w:val="120"/>
          <w:sz w:val="20"/>
        </w:rPr>
        <w:t>concern.’ </w:t>
      </w:r>
      <w:r>
        <w:rPr>
          <w:w w:val="120"/>
          <w:sz w:val="20"/>
        </w:rPr>
        <w:t>The UK is the only country in Europe that allows indefinite detention of children despite the </w:t>
      </w:r>
      <w:r>
        <w:rPr>
          <w:spacing w:val="2"/>
          <w:w w:val="120"/>
          <w:sz w:val="20"/>
        </w:rPr>
        <w:t>fact </w:t>
      </w:r>
      <w:r>
        <w:rPr>
          <w:w w:val="120"/>
          <w:sz w:val="20"/>
        </w:rPr>
        <w:t>that there is no evidence that locking up children is helpful in immigration</w:t>
      </w:r>
      <w:r>
        <w:rPr>
          <w:spacing w:val="22"/>
          <w:w w:val="120"/>
          <w:sz w:val="20"/>
        </w:rPr>
        <w:t> </w:t>
      </w:r>
      <w:r>
        <w:rPr>
          <w:w w:val="120"/>
          <w:sz w:val="20"/>
        </w:rPr>
        <w:t>control.</w:t>
      </w:r>
    </w:p>
    <w:p>
      <w:pPr>
        <w:pStyle w:val="BodyText"/>
      </w:pPr>
    </w:p>
    <w:p>
      <w:pPr>
        <w:pStyle w:val="ListParagraph"/>
        <w:numPr>
          <w:ilvl w:val="0"/>
          <w:numId w:val="207"/>
        </w:numPr>
        <w:tabs>
          <w:tab w:pos="1814" w:val="left" w:leader="none"/>
          <w:tab w:pos="1815" w:val="left" w:leader="none"/>
        </w:tabs>
        <w:spacing w:line="240" w:lineRule="auto" w:before="0" w:after="0"/>
        <w:ind w:left="1814" w:right="0" w:hanging="682"/>
        <w:jc w:val="left"/>
        <w:rPr>
          <w:sz w:val="20"/>
        </w:rPr>
      </w:pPr>
      <w:r>
        <w:rPr>
          <w:w w:val="120"/>
          <w:sz w:val="20"/>
        </w:rPr>
        <w:t>The resolution above calls for an end to this inhumane</w:t>
      </w:r>
      <w:r>
        <w:rPr>
          <w:spacing w:val="20"/>
          <w:w w:val="120"/>
          <w:sz w:val="20"/>
        </w:rPr>
        <w:t> </w:t>
      </w:r>
      <w:r>
        <w:rPr>
          <w:w w:val="120"/>
          <w:sz w:val="20"/>
        </w:rPr>
        <w:t>practice.</w:t>
      </w:r>
    </w:p>
    <w:p>
      <w:pPr>
        <w:pStyle w:val="BodyText"/>
      </w:pPr>
    </w:p>
    <w:p>
      <w:pPr>
        <w:pStyle w:val="BodyText"/>
      </w:pPr>
    </w:p>
    <w:p>
      <w:pPr>
        <w:pStyle w:val="BodyText"/>
      </w:pPr>
    </w:p>
    <w:p>
      <w:pPr>
        <w:pStyle w:val="BodyText"/>
      </w:pPr>
    </w:p>
    <w:p>
      <w:pPr>
        <w:pStyle w:val="BodyText"/>
        <w:spacing w:before="9"/>
      </w:pPr>
      <w:r>
        <w:rPr/>
        <w:pict>
          <v:shape style="position:absolute;margin-left:56.692902pt;margin-top:20.973621pt;width:183.85pt;height:.1pt;mso-position-horizontal-relative:page;mso-position-vertical-relative:paragraph;z-index:-250909696;mso-wrap-distance-left:0;mso-wrap-distance-right:0" coordorigin="1134,419" coordsize="3677,0" path="m1134,419l4811,419e" filled="false" stroked="true" strokeweight=".5pt" strokecolor="#8ba8bd">
            <v:path arrowok="t"/>
            <v:stroke dashstyle="solid"/>
            <w10:wrap type="topAndBottom"/>
          </v:shape>
        </w:pict>
      </w:r>
      <w:r>
        <w:rPr/>
        <w:pict>
          <v:rect style="position:absolute;margin-left:250.865997pt;margin-top:14.652223pt;width:13.721pt;height:13.721pt;mso-position-horizontal-relative:page;mso-position-vertical-relative:paragraph;z-index:-250908672;mso-wrap-distance-left:0;mso-wrap-distance-right:0" filled="true" fillcolor="#8ba8bd" stroked="false">
            <v:fill type="solid"/>
            <w10:wrap type="topAndBottom"/>
          </v:rect>
        </w:pict>
      </w:r>
      <w:r>
        <w:rPr/>
        <w:pict>
          <v:rect style="position:absolute;margin-left:269.303009pt;margin-top:14.652223pt;width:13.721pt;height:13.721pt;mso-position-horizontal-relative:page;mso-position-vertical-relative:paragraph;z-index:-250907648;mso-wrap-distance-left:0;mso-wrap-distance-right:0" filled="true" fillcolor="#c2d2df" stroked="false">
            <v:fill type="solid"/>
            <w10:wrap type="topAndBottom"/>
          </v:rect>
        </w:pict>
      </w:r>
      <w:r>
        <w:rPr/>
        <w:pict>
          <v:rect style="position:absolute;margin-left:288.169006pt;margin-top:14.652223pt;width:13.721pt;height:13.721pt;mso-position-horizontal-relative:page;mso-position-vertical-relative:paragraph;z-index:-250906624;mso-wrap-distance-left:0;mso-wrap-distance-right:0" filled="true" fillcolor="#dae4ec" stroked="false">
            <v:fill opacity="32768f" type="solid"/>
            <w10:wrap type="topAndBottom"/>
          </v:rect>
        </w:pict>
      </w:r>
      <w:r>
        <w:rPr/>
        <w:pict>
          <v:shape style="position:absolute;margin-left:311.716003pt;margin-top:20.973621pt;width:184.35pt;height:.1pt;mso-position-horizontal-relative:page;mso-position-vertical-relative:paragraph;z-index:-250905600;mso-wrap-distance-left:0;mso-wrap-distance-right:0" coordorigin="6234,419" coordsize="3687,0" path="m6234,419l9921,419e" filled="false" stroked="true" strokeweight=".5pt" strokecolor="#8ba8bd">
            <v:path arrowok="t"/>
            <v:stroke dashstyle="solid"/>
            <w10:wrap type="topAndBottom"/>
          </v:shape>
        </w:pict>
      </w:r>
    </w:p>
    <w:sectPr>
      <w:pgSz w:w="11910" w:h="16840"/>
      <w:pgMar w:header="0" w:footer="647" w:top="1060" w:bottom="84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tone Sans II ITC Std X Bd">
    <w:altName w:val="Stone Sans II ITC Std X Bd"/>
    <w:charset w:val="0"/>
    <w:family w:val="swiss"/>
    <w:pitch w:val="variable"/>
  </w:font>
  <w:font w:name="Book Antiqua">
    <w:altName w:val="Book Antiqua"/>
    <w:charset w:val="0"/>
    <w:family w:val="roman"/>
    <w:pitch w:val="variable"/>
  </w:font>
  <w:font w:name="Calibri">
    <w:altName w:val="Calibri"/>
    <w:charset w:val="0"/>
    <w:family w:val="swiss"/>
    <w:pitch w:val="variable"/>
  </w:font>
  <w:font w:name="Stone Sans II ITC Std Bk">
    <w:altName w:val="Stone Sans II ITC Std Bk"/>
    <w:charset w:val="0"/>
    <w:family w:val="swiss"/>
    <w:pitch w:val="variable"/>
  </w:font>
  <w:font w:name="Symbol">
    <w:altName w:val="Symbol"/>
    <w:charset w:val="2"/>
    <w:family w:val="roman"/>
    <w:pitch w:val="variable"/>
  </w:font>
  <w:font w:name="Arial">
    <w:altName w:val="Arial"/>
    <w:charset w:val="0"/>
    <w:family w:val="swiss"/>
    <w:pitch w:val="variable"/>
  </w:font>
  <w:font w:name="Trebuchet MS">
    <w:altName w:val="Trebuchet MS"/>
    <w:charset w:val="0"/>
    <w:family w:val="swiss"/>
    <w:pitch w:val="variable"/>
  </w:font>
  <w:font w:name="Franklin Gothic Medium">
    <w:altName w:val="Franklin Gothic Medium"/>
    <w:charset w:val="0"/>
    <w:family w:val="swiss"/>
    <w:pitch w:val="variable"/>
  </w:font>
  <w:font w:name="Stone Sans II ITC Std Sm">
    <w:altName w:val="Stone Sans II ITC Std Sm"/>
    <w:charset w:val="0"/>
    <w:family w:val="swiss"/>
    <w:pitch w:val="variable"/>
  </w:font>
  <w:font w:name="Monaco">
    <w:altName w:val="Monaco"/>
    <w:charset w:val="0"/>
    <w:family w:val="modern"/>
    <w:pitch w:val="fixed"/>
  </w:font>
  <w:font w:name="Stone Sans II ITC Std Lt">
    <w:altName w:val="Stone Sans II ITC Std Lt"/>
    <w:charset w:val="0"/>
    <w:family w:val="swiss"/>
    <w:pitch w:val="variable"/>
  </w:font>
  <w:font w:name="Myriad Pro">
    <w:altName w:val="Myriad Pro"/>
    <w:charset w:val="0"/>
    <w:family w:val="swiss"/>
    <w:pitch w:val="variable"/>
  </w:font>
  <w:font w:name="Bradley Hand ITC">
    <w:altName w:val="Bradley Hand ITC"/>
    <w:charset w:val="0"/>
    <w:family w:val="script"/>
    <w:pitch w:val="variable"/>
  </w:font>
  <w:font w:name="Franklin Gothic Heavy">
    <w:altName w:val="Franklin Gothic Heavy"/>
    <w:charset w:val="0"/>
    <w:family w:val="swiss"/>
    <w:pitch w:val="variable"/>
  </w:font>
  <w:font w:name="Wingdings">
    <w:altName w:val="Wingdings"/>
    <w:charset w:val="2"/>
    <w:family w:val="auto"/>
    <w:pitch w:val="variable"/>
  </w:font>
  <w:font w:name="Arial Rounded MT Bold">
    <w:altName w:val="Arial Rounded MT Bold"/>
    <w:charset w:val="0"/>
    <w:family w:val="swiss"/>
    <w:pitch w:val="variable"/>
  </w:font>
  <w:font w:name="Franklin Gothic Demi">
    <w:altName w:val="Franklin Gothic Demi"/>
    <w:charset w:val="0"/>
    <w:family w:val="swiss"/>
    <w:pitch w:val="variable"/>
  </w:font>
  <w:font w:name="Century Gothic">
    <w:altName w:val="Century Gothic"/>
    <w:charset w:val="0"/>
    <w:family w:val="swiss"/>
    <w:pitch w:val="variable"/>
  </w:font>
  <w:font w:name="Hoefler Text Regular">
    <w:altName w:val="Hoefler Text Regular"/>
    <w:charset w:val="0"/>
    <w:family w:val="roman"/>
    <w:pitch w:val="variable"/>
  </w:font>
  <w:font w:name="Dax-Medium">
    <w:altName w:val="Dax-Medium"/>
    <w:charset w:val="0"/>
    <w:family w:val="auto"/>
    <w:pitch w:val="variable"/>
  </w:font>
  <w:font w:name="DaxCondensed-Medium">
    <w:altName w:val="DaxCondensed-Medium"/>
    <w:charset w:val="0"/>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54496" from="514.487183pt,799.370239pt" to="514.487183pt,799.370239pt" stroked="true" strokeweight="1pt" strokecolor="#868685">
          <v:stroke dashstyle="solid"/>
          <w10:wrap type="none"/>
        </v:line>
      </w:pict>
    </w:r>
    <w:r>
      <w:rPr/>
      <w:pict>
        <v:shape style="position:absolute;margin-left:36.685001pt;margin-top:798.538391pt;width:22.05pt;height:17.150pt;mso-position-horizontal-relative:page;mso-position-vertical-relative:page;z-index:-26775347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10</w:t>
                </w:r>
                <w:r>
                  <w:rPr/>
                  <w:fldChar w:fldCharType="end"/>
                </w:r>
              </w:p>
            </w:txbxContent>
          </v:textbox>
          <w10:wrap type="none"/>
        </v:shape>
      </w:pict>
    </w:r>
    <w:r>
      <w:rPr/>
      <w:pict>
        <v:shape style="position:absolute;margin-left:67.484703pt;margin-top:799.089172pt;width:287pt;height:16.3500pt;mso-position-horizontal-relative:page;mso-position-vertical-relative:page;z-index:-26775244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694080" from="514.487183pt,799.36969pt" to="514.487183pt,799.36969pt" stroked="true" strokeweight="1pt" strokecolor="#868685">
          <v:stroke dashstyle="solid"/>
          <w10:wrap type="none"/>
        </v:line>
      </w:pict>
    </w:r>
    <w:r>
      <w:rPr/>
      <w:pict>
        <v:shape style="position:absolute;margin-left:36.685001pt;margin-top:798.537903pt;width:22.05pt;height:17.150pt;mso-position-horizontal-relative:page;mso-position-vertical-relative:page;z-index:-2676930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20</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920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355136"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172</w:t>
                </w:r>
              </w:p>
            </w:txbxContent>
          </v:textbox>
          <w10:wrap type="none"/>
        </v:shape>
      </w:pict>
    </w:r>
    <w:r>
      <w:rPr/>
      <w:pict>
        <v:shape style="position:absolute;margin-left:75.500702pt;margin-top:799.088684pt;width:287pt;height:16.3500pt;mso-position-horizontal-relative:page;mso-position-vertical-relative:page;z-index:-26735411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5308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05"/>
                    <w:sz w:val="24"/>
                  </w:rPr>
                  <w:t>173</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4592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174</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4489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4387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175</w:t>
                </w:r>
                <w:r>
                  <w:rPr/>
                  <w:fldChar w:fldCharType="end"/>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33670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180</w:t>
                </w:r>
              </w:p>
            </w:txbxContent>
          </v:textbox>
          <w10:wrap type="none"/>
        </v:shape>
      </w:pict>
    </w:r>
    <w:r>
      <w:rPr/>
      <w:pict>
        <v:shape style="position:absolute;margin-left:75.500702pt;margin-top:799.088684pt;width:287pt;height:16.3500pt;mso-position-horizontal-relative:page;mso-position-vertical-relative:page;z-index:-26733568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3.4pt;height:17.150pt;mso-position-horizontal-relative:page;mso-position-vertical-relative:page;z-index:-26733465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181</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27488"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182</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264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691008" from="78.870102pt,799.36969pt" to="78.870102pt,799.36969pt" stroked="true" strokeweight="1pt" strokecolor="#868685">
          <v:stroke dashstyle="solid"/>
          <w10:wrap type="none"/>
        </v:line>
      </w:pict>
    </w:r>
    <w:r>
      <w:rPr/>
      <w:pict>
        <v:shape style="position:absolute;margin-left:241.216507pt;margin-top:798.537903pt;width:317.4pt;height:17.150pt;mso-position-horizontal-relative:page;mso-position-vertical-relative:page;z-index:-26768998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21</w:t>
                </w:r>
                <w:r>
                  <w:rPr/>
                  <w:fldChar w:fldCharType="end"/>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254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183</w:t>
                </w:r>
                <w:r>
                  <w:rPr/>
                  <w:fldChar w:fldCharType="end"/>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1315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192</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1212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1110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193</w:t>
                </w:r>
                <w:r>
                  <w:rPr/>
                  <w:fldChar w:fldCharType="end"/>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0393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194</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0291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0188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195</w:t>
                </w:r>
                <w:r>
                  <w:rPr/>
                  <w:fldChar w:fldCharType="end"/>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9062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198</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8960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28857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199</w:t>
                </w:r>
                <w:r>
                  <w:rPr/>
                  <w:fldChar w:fldCharType="end"/>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8243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216</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8140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7936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218</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7833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276288"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220</w:t>
                </w:r>
              </w:p>
            </w:txbxContent>
          </v:textbox>
          <w10:wrap type="none"/>
        </v:shape>
      </w:pict>
    </w:r>
    <w:r>
      <w:rPr/>
      <w:pict>
        <v:shape style="position:absolute;margin-left:75.500702pt;margin-top:799.088684pt;width:287pt;height:16.3500pt;mso-position-horizontal-relative:page;mso-position-vertical-relative:page;z-index:-2672752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6400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222</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6297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26195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223</w:t>
                </w:r>
                <w:r>
                  <w:rPr/>
                  <w:fldChar w:fldCharType="end"/>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250688"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230</w:t>
                </w:r>
              </w:p>
            </w:txbxContent>
          </v:textbox>
          <w10:wrap type="none"/>
        </v:shape>
      </w:pict>
    </w:r>
    <w:r>
      <w:rPr/>
      <w:pict>
        <v:shape style="position:absolute;margin-left:75.500702pt;margin-top:799.088684pt;width:287pt;height:16.3500pt;mso-position-horizontal-relative:page;mso-position-vertical-relative:page;z-index:-2672496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2486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w w:val="105"/>
                    <w:sz w:val="24"/>
                  </w:rPr>
                  <w:t>231</w:t>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4147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232</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4044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686912" from="44.437pt,793.200134pt" to="44.437pt,793.200134pt" stroked="true" strokeweight="1pt" strokecolor="#868685">
          <v:stroke dashstyle="solid"/>
          <w10:wrap type="none"/>
        </v:line>
      </w:pict>
    </w:r>
    <w:r>
      <w:rPr/>
      <w:pict>
        <v:shape style="position:absolute;margin-left:36.685001pt;margin-top:798.537903pt;width:22.05pt;height:17.150pt;mso-position-horizontal-relative:page;mso-position-vertical-relative:page;z-index:-267685888"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32</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848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23942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233</w:t>
                </w:r>
                <w:r>
                  <w:rPr/>
                  <w:fldChar w:fldCharType="end"/>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232256"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240</w:t>
                </w:r>
              </w:p>
            </w:txbxContent>
          </v:textbox>
          <w10:wrap type="none"/>
        </v:shape>
      </w:pict>
    </w:r>
    <w:r>
      <w:rPr/>
      <w:pict>
        <v:shape style="position:absolute;margin-left:75.500702pt;margin-top:799.088684pt;width:287pt;height:16.3500pt;mso-position-horizontal-relative:page;mso-position-vertical-relative:page;z-index:-2672312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3.4pt;height:17.150pt;mso-position-horizontal-relative:page;mso-position-vertical-relative:page;z-index:-26723020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241</w:t>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22099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244</w:t>
                </w:r>
                <w:r>
                  <w:rPr/>
                  <w:fldChar w:fldCharType="end"/>
                </w:r>
              </w:p>
            </w:txbxContent>
          </v:textbox>
          <w10:wrap type="none"/>
        </v:shape>
      </w:pict>
    </w:r>
    <w:r>
      <w:rPr/>
      <w:pict>
        <v:shape style="position:absolute;margin-left:75.500702pt;margin-top:799.088684pt;width:287pt;height:16.3500pt;mso-position-horizontal-relative:page;mso-position-vertical-relative:page;z-index:-26721996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21894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245</w:t>
                </w:r>
                <w:r>
                  <w:rPr/>
                  <w:fldChar w:fldCharType="end"/>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45715pt;width:30.05pt;height:17.150pt;mso-position-horizontal-relative:page;mso-position-vertical-relative:page;z-index:-26721177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246</w:t>
                </w:r>
                <w:r>
                  <w:rPr/>
                  <w:fldChar w:fldCharType="end"/>
                </w:r>
              </w:p>
            </w:txbxContent>
          </v:textbox>
          <w10:wrap type="none"/>
        </v:shape>
      </w:pict>
    </w:r>
    <w:r>
      <w:rPr/>
      <w:pict>
        <v:shape style="position:absolute;margin-left:75.500702pt;margin-top:799.096497pt;width:287pt;height:16.3500pt;mso-position-horizontal-relative:page;mso-position-vertical-relative:page;z-index:-26721075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5.4pt;height:17.150pt;mso-position-horizontal-relative:page;mso-position-vertical-relative:page;z-index:-26720972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247</w:t>
                </w:r>
                <w:r>
                  <w:rPr/>
                  <w:fldChar w:fldCharType="end"/>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45715pt;width:26.05pt;height:17.150pt;mso-position-horizontal-relative:page;mso-position-vertical-relative:page;z-index:-267202560"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250</w:t>
                </w:r>
              </w:p>
            </w:txbxContent>
          </v:textbox>
          <w10:wrap type="none"/>
        </v:shape>
      </w:pict>
    </w:r>
    <w:r>
      <w:rPr/>
      <w:pict>
        <v:shape style="position:absolute;margin-left:75.500702pt;margin-top:799.096497pt;width:287pt;height:16.3500pt;mso-position-horizontal-relative:page;mso-position-vertical-relative:page;z-index:-26720153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5.4pt;height:17.150pt;mso-position-horizontal-relative:page;mso-position-vertical-relative:page;z-index:-2676838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33</w:t>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3.4pt;height:17.150pt;mso-position-horizontal-relative:page;mso-position-vertical-relative:page;z-index:-26720051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251</w:t>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45715pt;width:30.05pt;height:17.150pt;mso-position-horizontal-relative:page;mso-position-vertical-relative:page;z-index:-26719334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252</w:t>
                </w:r>
                <w:r>
                  <w:rPr/>
                  <w:fldChar w:fldCharType="end"/>
                </w:r>
              </w:p>
            </w:txbxContent>
          </v:textbox>
          <w10:wrap type="none"/>
        </v:shape>
      </w:pict>
    </w:r>
    <w:r>
      <w:rPr/>
      <w:pict>
        <v:shape style="position:absolute;margin-left:75.500702pt;margin-top:799.096497pt;width:287pt;height:16.3500pt;mso-position-horizontal-relative:page;mso-position-vertical-relative:page;z-index:-2671923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5.4pt;height:17.150pt;mso-position-horizontal-relative:page;mso-position-vertical-relative:page;z-index:-26719129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253</w:t>
                </w:r>
                <w:r>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45715pt;width:30.05pt;height:17.150pt;mso-position-horizontal-relative:page;mso-position-vertical-relative:page;z-index:-26718310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256</w:t>
                </w:r>
                <w:r>
                  <w:rPr/>
                  <w:fldChar w:fldCharType="end"/>
                </w:r>
              </w:p>
            </w:txbxContent>
          </v:textbox>
          <w10:wrap type="none"/>
        </v:shape>
      </w:pict>
    </w:r>
    <w:r>
      <w:rPr/>
      <w:pict>
        <v:shape style="position:absolute;margin-left:75.500702pt;margin-top:799.096497pt;width:287pt;height:16.3500pt;mso-position-horizontal-relative:page;mso-position-vertical-relative:page;z-index:-26718208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5.4pt;height:17.150pt;mso-position-horizontal-relative:page;mso-position-vertical-relative:page;z-index:-26718105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257</w:t>
                </w:r>
                <w:r>
                  <w:rPr/>
                  <w:fldChar w:fldCharType="end"/>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45715pt;width:30.05pt;height:17.150pt;mso-position-horizontal-relative:page;mso-position-vertical-relative:page;z-index:-267173888"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258</w:t>
                </w:r>
                <w:r>
                  <w:rPr/>
                  <w:fldChar w:fldCharType="end"/>
                </w:r>
              </w:p>
            </w:txbxContent>
          </v:textbox>
          <w10:wrap type="none"/>
        </v:shape>
      </w:pict>
    </w:r>
    <w:r>
      <w:rPr/>
      <w:pict>
        <v:shape style="position:absolute;margin-left:75.500702pt;margin-top:799.096497pt;width:287pt;height:16.3500pt;mso-position-horizontal-relative:page;mso-position-vertical-relative:page;z-index:-2671728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5.4pt;height:17.150pt;mso-position-horizontal-relative:page;mso-position-vertical-relative:page;z-index:-2671718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259</w:t>
                </w:r>
                <w:r>
                  <w:rPr/>
                  <w:fldChar w:fldCharType="end"/>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45715pt;width:26.05pt;height:17.150pt;mso-position-horizontal-relative:page;mso-position-vertical-relative:page;z-index:-267164672"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260</w:t>
                </w:r>
              </w:p>
            </w:txbxContent>
          </v:textbox>
          <w10:wrap type="none"/>
        </v:shape>
      </w:pict>
    </w:r>
    <w:r>
      <w:rPr/>
      <w:pict>
        <v:shape style="position:absolute;margin-left:75.500702pt;margin-top:799.096497pt;width:287pt;height:16.3500pt;mso-position-horizontal-relative:page;mso-position-vertical-relative:page;z-index:-26716364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3.4pt;height:17.150pt;mso-position-horizontal-relative:page;mso-position-vertical-relative:page;z-index:-26716262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261</w:t>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45715pt;width:30.05pt;height:17.150pt;mso-position-horizontal-relative:page;mso-position-vertical-relative:page;z-index:-2671554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262</w:t>
                </w:r>
                <w:r>
                  <w:rPr/>
                  <w:fldChar w:fldCharType="end"/>
                </w:r>
              </w:p>
            </w:txbxContent>
          </v:textbox>
          <w10:wrap type="none"/>
        </v:shape>
      </w:pict>
    </w:r>
    <w:r>
      <w:rPr/>
      <w:pict>
        <v:shape style="position:absolute;margin-left:75.500702pt;margin-top:799.096497pt;width:287pt;height:16.3500pt;mso-position-horizontal-relative:page;mso-position-vertical-relative:page;z-index:-2671544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673600" from="86.673203pt,793.200134pt" to="86.673203pt,793.200134pt" stroked="true" strokeweight="1pt" strokecolor="#868685">
          <v:stroke dashstyle="solid"/>
          <w10:wrap type="none"/>
        </v:line>
      </w:pict>
    </w:r>
    <w:r>
      <w:rPr/>
      <w:pict>
        <v:shape style="position:absolute;margin-left:241.216507pt;margin-top:798.537903pt;width:315.4pt;height:17.150pt;mso-position-horizontal-relative:page;mso-position-vertical-relative:page;z-index:-26767257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35</w:t>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45715pt;width:323.4pt;height:17.150pt;mso-position-horizontal-relative:page;mso-position-vertical-relative:page;z-index:-26715340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263</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18.05pt;height:17.150pt;mso-position-horizontal-relative:page;mso-position-vertical-relative:page;z-index:-26766438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38</w:t>
                </w:r>
              </w:p>
            </w:txbxContent>
          </v:textbox>
          <w10:wrap type="none"/>
        </v:shape>
      </w:pict>
    </w:r>
    <w:r>
      <w:rPr/>
      <w:pict>
        <v:shape style="position:absolute;margin-left:67.484703pt;margin-top:799.088684pt;width:287pt;height:16.3500pt;mso-position-horizontal-relative:page;mso-position-vertical-relative:page;z-index:-26766336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51424" from="78.870102pt,799.370239pt" to="78.870102pt,799.370239pt" stroked="true" strokeweight="1pt" strokecolor="#868685">
          <v:stroke dashstyle="solid"/>
          <w10:wrap type="none"/>
        </v:line>
      </w:pict>
    </w:r>
    <w:r>
      <w:rPr/>
      <w:pict>
        <v:shape style="position:absolute;margin-left:241.216507pt;margin-top:798.537903pt;width:317.4pt;height:17.150pt;mso-position-horizontal-relative:page;mso-position-vertical-relative:page;z-index:-26775040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11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64902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42</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4800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64697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43</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63571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50</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3468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63366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51</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62547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56</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2444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34016" from="514.487183pt,799.370239pt" to="514.487183pt,799.370239pt" stroked="true" strokeweight="1pt" strokecolor="#868685">
          <v:stroke dashstyle="solid"/>
          <w10:wrap type="none"/>
        </v:line>
      </w:pict>
    </w:r>
    <w:r>
      <w:rPr/>
      <w:pict>
        <v:shape style="position:absolute;margin-left:36.685001pt;margin-top:798.538391pt;width:22.05pt;height:17.150pt;mso-position-horizontal-relative:page;mso-position-vertical-relative:page;z-index:-26773299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12</w:t>
                </w:r>
                <w:r>
                  <w:rPr/>
                  <w:fldChar w:fldCharType="end"/>
                </w:r>
              </w:p>
            </w:txbxContent>
          </v:textbox>
          <w10:wrap type="none"/>
        </v:shape>
      </w:pict>
    </w:r>
    <w:r>
      <w:rPr/>
      <w:pict>
        <v:shape style="position:absolute;margin-left:67.484703pt;margin-top:799.089172pt;width:287pt;height:16.3500pt;mso-position-horizontal-relative:page;mso-position-vertical-relative:page;z-index:-26773196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62342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57</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6162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58</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152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5.4pt;height:17.150pt;mso-position-horizontal-relative:page;mso-position-vertical-relative:page;z-index:-267614208" type="#_x0000_t202" filled="false" stroked="false">
          <v:textbox inset="0,0,0,0">
            <w:txbxContent>
              <w:p>
                <w:pPr>
                  <w:tabs>
                    <w:tab w:pos="5966" w:val="left" w:leader="none"/>
                  </w:tabs>
                  <w:spacing w:before="16"/>
                  <w:ind w:left="20" w:right="0" w:firstLine="0"/>
                  <w:jc w:val="left"/>
                  <w:rPr>
                    <w:rFonts w:ascii="Stone Sans II ITC Std Bk" w:hAnsi="Stone Sans II ITC Std Bk"/>
                    <w:b/>
                    <w:sz w:val="24"/>
                  </w:rPr>
                </w:pPr>
                <w:r>
                  <w:rPr>
                    <w:color w:val="8BA8BD"/>
                    <w:w w:val="111"/>
                    <w:sz w:val="23"/>
                  </w:rPr>
                  <w:t>U</w:t>
                </w:r>
                <w:r>
                  <w:rPr>
                    <w:color w:val="8BA8BD"/>
                    <w:w w:val="110"/>
                    <w:sz w:val="23"/>
                  </w:rPr>
                  <w:t>ni</w:t>
                </w:r>
                <w:r>
                  <w:rPr>
                    <w:color w:val="8BA8BD"/>
                    <w:spacing w:val="-3"/>
                    <w:w w:val="110"/>
                    <w:sz w:val="23"/>
                  </w:rPr>
                  <w:t>t</w:t>
                </w:r>
                <w:r>
                  <w:rPr>
                    <w:color w:val="8BA8BD"/>
                    <w:w w:val="115"/>
                    <w:sz w:val="23"/>
                  </w:rPr>
                  <w:t>ed</w:t>
                </w:r>
                <w:r>
                  <w:rPr>
                    <w:color w:val="8BA8BD"/>
                    <w:spacing w:val="9"/>
                    <w:sz w:val="23"/>
                  </w:rPr>
                  <w:t> </w:t>
                </w:r>
                <w:r>
                  <w:rPr>
                    <w:color w:val="8BA8BD"/>
                    <w:spacing w:val="-1"/>
                    <w:w w:val="105"/>
                    <w:sz w:val="23"/>
                  </w:rPr>
                  <w:t>R</w:t>
                </w:r>
                <w:r>
                  <w:rPr>
                    <w:color w:val="8BA8BD"/>
                    <w:w w:val="104"/>
                    <w:sz w:val="23"/>
                  </w:rPr>
                  <w:t>e</w:t>
                </w:r>
                <w:r>
                  <w:rPr>
                    <w:color w:val="8BA8BD"/>
                    <w:spacing w:val="-3"/>
                    <w:w w:val="104"/>
                    <w:sz w:val="23"/>
                  </w:rPr>
                  <w:t>f</w:t>
                </w:r>
                <w:r>
                  <w:rPr>
                    <w:color w:val="8BA8BD"/>
                    <w:w w:val="110"/>
                    <w:sz w:val="23"/>
                  </w:rPr>
                  <w:t>o</w:t>
                </w:r>
                <w:r>
                  <w:rPr>
                    <w:color w:val="8BA8BD"/>
                    <w:spacing w:val="1"/>
                    <w:w w:val="110"/>
                    <w:sz w:val="23"/>
                  </w:rPr>
                  <w:t>r</w:t>
                </w:r>
                <w:r>
                  <w:rPr>
                    <w:color w:val="8BA8BD"/>
                    <w:w w:val="114"/>
                    <w:sz w:val="23"/>
                  </w:rPr>
                  <w:t>med</w:t>
                </w:r>
                <w:r>
                  <w:rPr>
                    <w:color w:val="8BA8BD"/>
                    <w:spacing w:val="9"/>
                    <w:sz w:val="23"/>
                  </w:rPr>
                  <w:t> </w:t>
                </w:r>
                <w:r>
                  <w:rPr>
                    <w:color w:val="8BA8BD"/>
                    <w:w w:val="117"/>
                    <w:sz w:val="23"/>
                  </w:rPr>
                  <w:t>Chu</w:t>
                </w:r>
                <w:r>
                  <w:rPr>
                    <w:color w:val="8BA8BD"/>
                    <w:spacing w:val="-3"/>
                    <w:w w:val="117"/>
                    <w:sz w:val="23"/>
                  </w:rPr>
                  <w:t>r</w:t>
                </w:r>
                <w:r>
                  <w:rPr>
                    <w:color w:val="8BA8BD"/>
                    <w:w w:val="120"/>
                    <w:sz w:val="23"/>
                  </w:rPr>
                  <w:t>c</w:t>
                </w:r>
                <w:r>
                  <w:rPr>
                    <w:color w:val="8BA8BD"/>
                    <w:w w:val="113"/>
                    <w:sz w:val="23"/>
                  </w:rPr>
                  <w:t>h</w:t>
                </w:r>
                <w:r>
                  <w:rPr>
                    <w:color w:val="8BA8BD"/>
                    <w:sz w:val="23"/>
                  </w:rPr>
                  <w:t> </w:t>
                </w:r>
                <w:r>
                  <w:rPr>
                    <w:color w:val="8BA8BD"/>
                    <w:spacing w:val="23"/>
                    <w:sz w:val="23"/>
                  </w:rPr>
                  <w:t> </w:t>
                </w:r>
                <w:r>
                  <w:rPr>
                    <w:rFonts w:ascii="Symbol" w:hAnsi="Symbol"/>
                    <w:color w:val="8BA8BD"/>
                    <w:w w:val="104"/>
                    <w:sz w:val="23"/>
                  </w:rPr>
                  <w:t></w:t>
                </w:r>
                <w:r>
                  <w:rPr>
                    <w:rFonts w:ascii="Times New Roman" w:hAnsi="Times New Roman"/>
                    <w:color w:val="8BA8BD"/>
                    <w:sz w:val="23"/>
                  </w:rPr>
                  <w:t> </w:t>
                </w:r>
                <w:r>
                  <w:rPr>
                    <w:rFonts w:ascii="Times New Roman" w:hAnsi="Times New Roman"/>
                    <w:color w:val="8BA8BD"/>
                    <w:spacing w:val="5"/>
                    <w:sz w:val="23"/>
                  </w:rPr>
                  <w:t> </w:t>
                </w:r>
                <w:r>
                  <w:rPr>
                    <w:color w:val="8BA8BD"/>
                    <w:w w:val="113"/>
                    <w:sz w:val="23"/>
                  </w:rPr>
                  <w:t>Gene</w:t>
                </w:r>
                <w:r>
                  <w:rPr>
                    <w:color w:val="8BA8BD"/>
                    <w:spacing w:val="-3"/>
                    <w:w w:val="113"/>
                    <w:sz w:val="23"/>
                  </w:rPr>
                  <w:t>r</w:t>
                </w:r>
                <w:r>
                  <w:rPr>
                    <w:color w:val="8BA8BD"/>
                    <w:w w:val="106"/>
                    <w:sz w:val="23"/>
                  </w:rPr>
                  <w:t>al</w:t>
                </w:r>
                <w:r>
                  <w:rPr>
                    <w:color w:val="8BA8BD"/>
                    <w:spacing w:val="9"/>
                    <w:sz w:val="23"/>
                  </w:rPr>
                  <w:t> </w:t>
                </w:r>
                <w:r>
                  <w:rPr>
                    <w:color w:val="8BA8BD"/>
                    <w:w w:val="111"/>
                    <w:sz w:val="23"/>
                  </w:rPr>
                  <w:t>Assemb</w:t>
                </w:r>
                <w:r>
                  <w:rPr>
                    <w:color w:val="8BA8BD"/>
                    <w:spacing w:val="-1"/>
                    <w:w w:val="111"/>
                    <w:sz w:val="23"/>
                  </w:rPr>
                  <w:t>l</w:t>
                </w:r>
                <w:r>
                  <w:rPr>
                    <w:color w:val="8BA8BD"/>
                    <w:w w:val="114"/>
                    <w:sz w:val="23"/>
                  </w:rPr>
                  <w:t>y</w:t>
                </w:r>
                <w:r>
                  <w:rPr>
                    <w:color w:val="8BA8BD"/>
                    <w:spacing w:val="9"/>
                    <w:sz w:val="23"/>
                  </w:rPr>
                  <w:t> </w:t>
                </w:r>
                <w:r>
                  <w:rPr>
                    <w:color w:val="8BA8BD"/>
                    <w:w w:val="115"/>
                    <w:sz w:val="23"/>
                  </w:rPr>
                  <w:t>2010</w:t>
                </w:r>
                <w:r>
                  <w:rPr>
                    <w:color w:val="8BA8BD"/>
                    <w:sz w:val="23"/>
                  </w:rPr>
                  <w:t> </w:t>
                </w:r>
                <w:r>
                  <w:rPr>
                    <w:color w:val="8BA8BD"/>
                    <w:spacing w:val="23"/>
                    <w:sz w:val="23"/>
                  </w:rPr>
                  <w:t> </w:t>
                </w:r>
                <w:r>
                  <w:rPr>
                    <w:rFonts w:ascii="Symbol" w:hAnsi="Symbol"/>
                    <w:color w:val="8BA8BD"/>
                    <w:w w:val="104"/>
                    <w:sz w:val="23"/>
                  </w:rPr>
                  <w:t></w:t>
                </w:r>
                <w:r>
                  <w:rPr>
                    <w:rFonts w:ascii="Times New Roman" w:hAnsi="Times New Roman"/>
                    <w:color w:val="8BA8BD"/>
                    <w:sz w:val="23"/>
                  </w:rPr>
                  <w:tab/>
                </w:r>
                <w:r>
                  <w:rPr>
                    <w:rFonts w:ascii="Stone Sans II ITC Std X Bd" w:hAnsi="Stone Sans II ITC Std X Bd"/>
                    <w:b/>
                    <w:spacing w:val="-146"/>
                    <w:sz w:val="24"/>
                  </w:rPr>
                  <w:t>5</w:t>
                </w:r>
                <w:r>
                  <w:rPr>
                    <w:rFonts w:ascii="Stone Sans II ITC Std Bk" w:hAnsi="Stone Sans II ITC Std Bk"/>
                    <w:b/>
                    <w:spacing w:val="-8"/>
                    <w:sz w:val="24"/>
                  </w:rPr>
                  <w:t>5</w:t>
                </w:r>
                <w:r>
                  <w:rPr>
                    <w:rFonts w:ascii="Stone Sans II ITC Std X Bd" w:hAnsi="Stone Sans II ITC Std X Bd"/>
                    <w:b/>
                    <w:spacing w:val="-154"/>
                    <w:sz w:val="24"/>
                  </w:rPr>
                  <w:t>9</w:t>
                </w:r>
                <w:r>
                  <w:rPr>
                    <w:rFonts w:ascii="Stone Sans II ITC Std Bk" w:hAnsi="Stone Sans II ITC Std Bk"/>
                    <w:b/>
                    <w:sz w:val="24"/>
                  </w:rPr>
                  <w:t>9</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6070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61</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60601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62</w:t>
                </w:r>
                <w:r>
                  <w:rPr/>
                  <w:fldChar w:fldCharType="end"/>
                </w:r>
              </w:p>
            </w:txbxContent>
          </v:textbox>
          <w10:wrap type="none"/>
        </v:shape>
      </w:pict>
    </w:r>
    <w:r>
      <w:rPr/>
      <w:pict>
        <v:shape style="position:absolute;margin-left:67.484703pt;margin-top:799.088684pt;width:287pt;height:16.3500pt;mso-position-horizontal-relative:page;mso-position-vertical-relative:page;z-index:-26760499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9680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70</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9577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9475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71</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8758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72</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8656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8553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73</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7734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84</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763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30944" from="78.870102pt,799.370239pt" to="78.870102pt,799.370239pt" stroked="true" strokeweight="1pt" strokecolor="#868685">
          <v:stroke dashstyle="solid"/>
          <w10:wrap type="none"/>
        </v:line>
      </w:pict>
    </w:r>
    <w:r>
      <w:rPr/>
      <w:pict>
        <v:shape style="position:absolute;margin-left:241.216507pt;margin-top:798.538391pt;width:317.4pt;height:17.150pt;mso-position-horizontal-relative:page;mso-position-vertical-relative:page;z-index:-26772992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13</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7529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85</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568128"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100</w:t>
                </w:r>
                <w:r>
                  <w:rPr/>
                  <w:fldChar w:fldCharType="end"/>
                </w:r>
              </w:p>
            </w:txbxContent>
          </v:textbox>
          <w10:wrap type="none"/>
        </v:shape>
      </w:pict>
    </w:r>
    <w:r>
      <w:rPr/>
      <w:pict>
        <v:shape style="position:absolute;margin-left:75.500702pt;margin-top:799.088684pt;width:287pt;height:16.3500pt;mso-position-horizontal-relative:page;mso-position-vertical-relative:page;z-index:-26756710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6608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87</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5993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91</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5891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92</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5788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5072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93</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4969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94</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4867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41.216507pt;margin-top:798.537903pt;width:317.4pt;height:17.150pt;mso-position-horizontal-relative:page;mso-position-vertical-relative:page;z-index:-26754048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95</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394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96</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384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53126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101</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20704" from="514.487183pt,799.36969pt" to="514.487183pt,799.36969pt" stroked="true" strokeweight="1pt" strokecolor="#868685">
          <v:stroke dashstyle="solid"/>
          <w10:wrap type="none"/>
        </v:line>
      </w:pict>
    </w:r>
    <w:r>
      <w:rPr/>
      <w:pict>
        <v:shape style="position:absolute;margin-left:36.685001pt;margin-top:798.537903pt;width:22.05pt;height:17.150pt;mso-position-horizontal-relative:page;mso-position-vertical-relative:page;z-index:-26771968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14</w:t>
                </w:r>
                <w:r>
                  <w:rPr/>
                  <w:fldChar w:fldCharType="end"/>
                </w:r>
              </w:p>
            </w:txbxContent>
          </v:textbox>
          <w10:wrap type="none"/>
        </v:shape>
      </w:pict>
    </w:r>
    <w:r>
      <w:rPr/>
      <w:pict>
        <v:shape style="position:absolute;margin-left:67.484703pt;margin-top:799.088684pt;width:287pt;height:16.3500pt;mso-position-horizontal-relative:page;mso-position-vertical-relative:page;z-index:-26771865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22.05pt;height:17.150pt;mso-position-horizontal-relative:page;mso-position-vertical-relative:page;z-index:-26753024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98</w:t>
                </w:r>
                <w:r>
                  <w:rPr/>
                  <w:fldChar w:fldCharType="end"/>
                </w:r>
              </w:p>
            </w:txbxContent>
          </v:textbox>
          <w10:wrap type="none"/>
        </v:shape>
      </w:pict>
    </w:r>
    <w:r>
      <w:rPr/>
      <w:pict>
        <v:shape style="position:absolute;margin-left:67.484703pt;margin-top:799.088684pt;width:287pt;height:16.3500pt;mso-position-horizontal-relative:page;mso-position-vertical-relative:page;z-index:-26752921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51385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110</w:t>
                </w:r>
                <w:r>
                  <w:rPr/>
                  <w:fldChar w:fldCharType="end"/>
                </w:r>
              </w:p>
            </w:txbxContent>
          </v:textbox>
          <w10:wrap type="none"/>
        </v:shape>
      </w:pict>
    </w:r>
    <w:r>
      <w:rPr/>
      <w:pict>
        <v:shape style="position:absolute;margin-left:75.500702pt;margin-top:799.088684pt;width:287pt;height:16.3500pt;mso-position-horizontal-relative:page;mso-position-vertical-relative:page;z-index:-26751283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51180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111</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500544"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116</w:t>
                </w:r>
                <w:r>
                  <w:rPr/>
                  <w:fldChar w:fldCharType="end"/>
                </w:r>
              </w:p>
            </w:txbxContent>
          </v:textbox>
          <w10:wrap type="none"/>
        </v:shape>
      </w:pict>
    </w:r>
    <w:r>
      <w:rPr/>
      <w:pict>
        <v:shape style="position:absolute;margin-left:75.500702pt;margin-top:799.088684pt;width:287pt;height:16.3500pt;mso-position-horizontal-relative:page;mso-position-vertical-relative:page;z-index:-2674995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67717632" from="78.870102pt,799.36969pt" to="78.870102pt,799.36969pt" stroked="true" strokeweight="1pt" strokecolor="#868685">
          <v:stroke dashstyle="solid"/>
          <w10:wrap type="none"/>
        </v:line>
      </w:pict>
    </w:r>
    <w:r>
      <w:rPr/>
      <w:pict>
        <v:shape style="position:absolute;margin-left:241.216507pt;margin-top:798.537903pt;width:317.4pt;height:17.150pt;mso-position-horizontal-relative:page;mso-position-vertical-relative:page;z-index:-26771660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10"/>
                    <w:sz w:val="24"/>
                  </w:rPr>
                  <w:instrText> PAGE </w:instrText>
                </w:r>
                <w:r>
                  <w:rPr/>
                  <w:fldChar w:fldCharType="separate"/>
                </w:r>
                <w:r>
                  <w:rPr/>
                  <w:t>15</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9849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117</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91328"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120</w:t>
                </w:r>
              </w:p>
            </w:txbxContent>
          </v:textbox>
          <w10:wrap type="none"/>
        </v:shape>
      </w:pict>
    </w:r>
    <w:r>
      <w:rPr/>
      <w:pict>
        <v:shape style="position:absolute;margin-left:75.500702pt;margin-top:799.088684pt;width:287pt;height:16.3500pt;mso-position-horizontal-relative:page;mso-position-vertical-relative:page;z-index:-26749030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3.4pt;height:17.150pt;mso-position-horizontal-relative:page;mso-position-vertical-relative:page;z-index:-26748928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121</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482112"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122</w:t>
                </w:r>
                <w:r>
                  <w:rPr/>
                  <w:fldChar w:fldCharType="end"/>
                </w:r>
              </w:p>
            </w:txbxContent>
          </v:textbox>
          <w10:wrap type="none"/>
        </v:shape>
      </w:pict>
    </w:r>
    <w:r>
      <w:rPr/>
      <w:pict>
        <v:shape style="position:absolute;margin-left:75.500702pt;margin-top:799.088684pt;width:287pt;height:16.3500pt;mso-position-horizontal-relative:page;mso-position-vertical-relative:page;z-index:-26748108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80064"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123</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75968"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127</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7494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128</w:t>
                </w:r>
              </w:p>
            </w:txbxContent>
          </v:textbox>
          <w10:wrap type="none"/>
        </v:shape>
      </w:pict>
    </w:r>
    <w:r>
      <w:rPr/>
      <w:pict>
        <v:shape style="position:absolute;margin-left:75.500702pt;margin-top:799.088684pt;width:287pt;height:16.3500pt;mso-position-horizontal-relative:page;mso-position-vertical-relative:page;z-index:-2674739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5446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130</w:t>
                </w:r>
              </w:p>
            </w:txbxContent>
          </v:textbox>
          <w10:wrap type="none"/>
        </v:shape>
      </w:pict>
    </w:r>
    <w:r>
      <w:rPr/>
      <w:pict>
        <v:shape style="position:absolute;margin-left:75.500702pt;margin-top:799.088684pt;width:287pt;height:16.3500pt;mso-position-horizontal-relative:page;mso-position-vertical-relative:page;z-index:-26745344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4934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132</w:t>
                </w:r>
              </w:p>
            </w:txbxContent>
          </v:textbox>
          <w10:wrap type="none"/>
        </v:shape>
      </w:pict>
    </w:r>
    <w:r>
      <w:rPr/>
      <w:pict>
        <v:shape style="position:absolute;margin-left:75.500702pt;margin-top:799.088684pt;width:287pt;height:16.3500pt;mso-position-horizontal-relative:page;mso-position-vertical-relative:page;z-index:-2674483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45248"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136</w:t>
                </w:r>
              </w:p>
            </w:txbxContent>
          </v:textbox>
          <w10:wrap type="none"/>
        </v:shape>
      </w:pict>
    </w:r>
    <w:r>
      <w:rPr/>
      <w:pict>
        <v:shape style="position:absolute;margin-left:75.500702pt;margin-top:799.088684pt;width:287pt;height:16.3500pt;mso-position-horizontal-relative:page;mso-position-vertical-relative:page;z-index:-26744422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432960"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140</w:t>
                </w:r>
                <w:r>
                  <w:rPr/>
                  <w:fldChar w:fldCharType="end"/>
                </w:r>
              </w:p>
            </w:txbxContent>
          </v:textbox>
          <w10:wrap type="none"/>
        </v:shape>
      </w:pict>
    </w:r>
    <w:r>
      <w:rPr/>
      <w:pict>
        <v:shape style="position:absolute;margin-left:75.500702pt;margin-top:799.088684pt;width:287pt;height:16.3500pt;mso-position-horizontal-relative:page;mso-position-vertical-relative:page;z-index:-267431936"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3091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141</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23744"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150</w:t>
                </w:r>
              </w:p>
            </w:txbxContent>
          </v:textbox>
          <w10:wrap type="none"/>
        </v:shape>
      </w:pict>
    </w:r>
    <w:r>
      <w:rPr/>
      <w:pict>
        <v:shape style="position:absolute;margin-left:75.500702pt;margin-top:799.088684pt;width:287pt;height:16.3500pt;mso-position-horizontal-relative:page;mso-position-vertical-relative:page;z-index:-267422720"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3.4pt;height:17.150pt;mso-position-horizontal-relative:page;mso-position-vertical-relative:page;z-index:-26742169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151</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1555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155</w:t>
                </w:r>
                <w:r>
                  <w:rPr/>
                  <w:fldChar w:fldCharType="end"/>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40531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157</w:t>
                </w:r>
                <w:r>
                  <w:rPr/>
                  <w:fldChar w:fldCharType="end"/>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404288"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158</w:t>
                </w:r>
              </w:p>
            </w:txbxContent>
          </v:textbox>
          <w10:wrap type="none"/>
        </v:shape>
      </w:pict>
    </w:r>
    <w:r>
      <w:rPr/>
      <w:pict>
        <v:shape style="position:absolute;margin-left:75.500702pt;margin-top:799.088684pt;width:287pt;height:16.3500pt;mso-position-horizontal-relative:page;mso-position-vertical-relative:page;z-index:-2674032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96096"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159</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8.685001pt;margin-top:798.537903pt;width:26.05pt;height:17.150pt;mso-position-horizontal-relative:page;mso-position-vertical-relative:page;z-index:-267395072" type="#_x0000_t202" filled="false" stroked="false">
          <v:textbox inset="0,0,0,0">
            <w:txbxContent>
              <w:p>
                <w:pPr>
                  <w:spacing w:before="16"/>
                  <w:ind w:left="20" w:right="0" w:firstLine="0"/>
                  <w:jc w:val="left"/>
                  <w:rPr>
                    <w:rFonts w:ascii="Stone Sans II ITC Std X Bd"/>
                    <w:b/>
                    <w:sz w:val="24"/>
                  </w:rPr>
                </w:pPr>
                <w:r>
                  <w:rPr>
                    <w:rFonts w:ascii="Stone Sans II ITC Std X Bd"/>
                    <w:b/>
                    <w:sz w:val="24"/>
                  </w:rPr>
                  <w:t>160</w:t>
                </w:r>
              </w:p>
            </w:txbxContent>
          </v:textbox>
          <w10:wrap type="none"/>
        </v:shape>
      </w:pict>
    </w:r>
    <w:r>
      <w:rPr/>
      <w:pict>
        <v:shape style="position:absolute;margin-left:75.500702pt;margin-top:799.088684pt;width:287pt;height:16.3500pt;mso-position-horizontal-relative:page;mso-position-vertical-relative:page;z-index:-267394048"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3.4pt;height:17.150pt;mso-position-horizontal-relative:page;mso-position-vertical-relative:page;z-index:-26738688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rFonts w:ascii="Stone Sans II ITC Std X Bd" w:hAnsi="Stone Sans II ITC Std X Bd"/>
                    <w:b/>
                    <w:sz w:val="24"/>
                  </w:rPr>
                  <w:t>161</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79712"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163</w:t>
                </w:r>
                <w:r>
                  <w:rPr/>
                  <w:fldChar w:fldCharType="end"/>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78688"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164</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77664"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33.2005pt;margin-top:798.537903pt;width:325.4pt;height:17.150pt;mso-position-horizontal-relative:page;mso-position-vertical-relative:page;z-index:-267376640" type="#_x0000_t202" filled="false" stroked="false">
          <v:textbox inset="0,0,0,0">
            <w:txbxContent>
              <w:p>
                <w:pPr>
                  <w:tabs>
                    <w:tab w:pos="5966" w:val="left" w:leader="none"/>
                  </w:tabs>
                  <w:spacing w:before="16"/>
                  <w:ind w:left="20" w:right="0" w:firstLine="0"/>
                  <w:jc w:val="left"/>
                  <w:rPr>
                    <w:rFonts w:ascii="Stone Sans II ITC Std X Bd" w:hAnsi="Stone Sans II ITC Std X Bd"/>
                    <w:b/>
                    <w:sz w:val="24"/>
                  </w:rPr>
                </w:pP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w:t>
                </w:r>
                <w:r>
                  <w:rPr>
                    <w:color w:val="8BA8BD"/>
                    <w:spacing w:val="24"/>
                    <w:w w:val="110"/>
                    <w:sz w:val="23"/>
                  </w:rPr>
                  <w:t> </w:t>
                </w:r>
                <w:r>
                  <w:rPr>
                    <w:color w:val="8BA8BD"/>
                    <w:w w:val="110"/>
                    <w:sz w:val="23"/>
                  </w:rPr>
                  <w:t>2010 </w:t>
                </w:r>
                <w:r>
                  <w:rPr>
                    <w:color w:val="8BA8BD"/>
                    <w:spacing w:val="29"/>
                    <w:w w:val="110"/>
                    <w:sz w:val="23"/>
                  </w:rPr>
                  <w:t> </w:t>
                </w:r>
                <w:r>
                  <w:rPr>
                    <w:rFonts w:ascii="Symbol" w:hAnsi="Symbol"/>
                    <w:color w:val="8BA8BD"/>
                    <w:w w:val="110"/>
                    <w:sz w:val="23"/>
                  </w:rPr>
                  <w:t></w:t>
                </w:r>
                <w:r>
                  <w:rPr>
                    <w:rFonts w:ascii="Times New Roman" w:hAnsi="Times New Roman"/>
                    <w:color w:val="8BA8BD"/>
                    <w:w w:val="110"/>
                    <w:sz w:val="23"/>
                  </w:rPr>
                  <w:tab/>
                </w:r>
                <w:r>
                  <w:rPr/>
                  <w:fldChar w:fldCharType="begin"/>
                </w:r>
                <w:r>
                  <w:rPr>
                    <w:rFonts w:ascii="Stone Sans II ITC Std X Bd" w:hAnsi="Stone Sans II ITC Std X Bd"/>
                    <w:b/>
                    <w:w w:val="105"/>
                    <w:sz w:val="24"/>
                  </w:rPr>
                  <w:instrText> PAGE </w:instrText>
                </w:r>
                <w:r>
                  <w:rPr/>
                  <w:fldChar w:fldCharType="separate"/>
                </w:r>
                <w:r>
                  <w:rPr/>
                  <w:t>165</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7561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166</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7459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6.685001pt;margin-top:798.537903pt;width:30.05pt;height:17.150pt;mso-position-horizontal-relative:page;mso-position-vertical-relative:page;z-index:-267370496" type="#_x0000_t202" filled="false" stroked="false">
          <v:textbox inset="0,0,0,0">
            <w:txbxContent>
              <w:p>
                <w:pPr>
                  <w:spacing w:before="16"/>
                  <w:ind w:left="60" w:right="0" w:firstLine="0"/>
                  <w:jc w:val="left"/>
                  <w:rPr>
                    <w:rFonts w:ascii="Stone Sans II ITC Std X Bd"/>
                    <w:b/>
                    <w:sz w:val="24"/>
                  </w:rPr>
                </w:pPr>
                <w:r>
                  <w:rPr/>
                  <w:fldChar w:fldCharType="begin"/>
                </w:r>
                <w:r>
                  <w:rPr>
                    <w:rFonts w:ascii="Stone Sans II ITC Std X Bd"/>
                    <w:b/>
                    <w:sz w:val="24"/>
                  </w:rPr>
                  <w:instrText> PAGE </w:instrText>
                </w:r>
                <w:r>
                  <w:rPr/>
                  <w:fldChar w:fldCharType="separate"/>
                </w:r>
                <w:r>
                  <w:rPr/>
                  <w:t>168</w:t>
                </w:r>
                <w:r>
                  <w:rPr/>
                  <w:fldChar w:fldCharType="end"/>
                </w:r>
              </w:p>
            </w:txbxContent>
          </v:textbox>
          <w10:wrap type="none"/>
        </v:shape>
      </w:pict>
    </w:r>
    <w:r>
      <w:rPr/>
      <w:pict>
        <v:shape style="position:absolute;margin-left:75.500702pt;margin-top:799.088684pt;width:287pt;height:16.3500pt;mso-position-horizontal-relative:page;mso-position-vertical-relative:page;z-index:-267369472" type="#_x0000_t202" filled="false" stroked="false">
          <v:textbox inset="0,0,0,0">
            <w:txbxContent>
              <w:p>
                <w:pPr>
                  <w:spacing w:before="18"/>
                  <w:ind w:left="20" w:right="0" w:firstLine="0"/>
                  <w:jc w:val="left"/>
                  <w:rPr>
                    <w:sz w:val="23"/>
                  </w:rPr>
                </w:pPr>
                <w:r>
                  <w:rPr>
                    <w:rFonts w:ascii="Symbol" w:hAnsi="Symbol"/>
                    <w:color w:val="8BA8BD"/>
                    <w:w w:val="110"/>
                    <w:sz w:val="23"/>
                  </w:rPr>
                  <w:t></w:t>
                </w:r>
                <w:r>
                  <w:rPr>
                    <w:rFonts w:ascii="Times New Roman" w:hAnsi="Times New Roman"/>
                    <w:color w:val="8BA8BD"/>
                    <w:w w:val="110"/>
                    <w:sz w:val="23"/>
                  </w:rPr>
                  <w:t> </w:t>
                </w:r>
                <w:r>
                  <w:rPr>
                    <w:color w:val="8BA8BD"/>
                    <w:w w:val="110"/>
                    <w:sz w:val="23"/>
                  </w:rPr>
                  <w:t>United Reformed Church </w:t>
                </w:r>
                <w:r>
                  <w:rPr>
                    <w:rFonts w:ascii="Symbol" w:hAnsi="Symbol"/>
                    <w:color w:val="8BA8BD"/>
                    <w:w w:val="110"/>
                    <w:sz w:val="23"/>
                  </w:rPr>
                  <w:t></w:t>
                </w:r>
                <w:r>
                  <w:rPr>
                    <w:rFonts w:ascii="Times New Roman" w:hAnsi="Times New Roman"/>
                    <w:color w:val="8BA8BD"/>
                    <w:w w:val="110"/>
                    <w:sz w:val="23"/>
                  </w:rPr>
                  <w:t> </w:t>
                </w:r>
                <w:r>
                  <w:rPr>
                    <w:color w:val="8BA8BD"/>
                    <w:w w:val="110"/>
                    <w:sz w:val="23"/>
                  </w:rPr>
                  <w:t>General Assembly 2010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5760" filled="true" fillcolor="#8ba8bd"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45280" filled="true" fillcolor="#eab817" stroked="false">
          <v:fill type="solid"/>
          <w10:wrap type="none"/>
        </v:rect>
      </w:pict>
    </w:r>
    <w:r>
      <w:rPr/>
      <w:pict>
        <v:rect style="position:absolute;margin-left:12.047pt;margin-top:30.473015pt;width:22.677pt;height:22.677pt;mso-position-horizontal-relative:page;mso-position-vertical-relative:page;z-index:-267744256" filled="true" fillcolor="#f5db95" stroked="false">
          <v:fill type="solid"/>
          <w10:wrap type="none"/>
        </v:rect>
      </w:pict>
    </w:r>
    <w:r>
      <w:rPr/>
      <w:pict>
        <v:line style="position:absolute;mso-position-horizontal-relative:page;mso-position-vertical-relative:page;z-index:-267743232" from="514.487183pt,56.693214pt" to="514.487183pt,56.693214pt" stroked="true" strokeweight="1pt" strokecolor="#868685">
          <v:stroke dashstyle="solid"/>
          <w10:wrap type="none"/>
        </v:line>
      </w:pict>
    </w:r>
    <w:r>
      <w:rPr/>
      <w:pict>
        <v:shape style="position:absolute;margin-left:45.771599pt;margin-top:27.444317pt;width:229.7pt;height:12.65pt;mso-position-horizontal-relative:page;mso-position-vertical-relative:page;z-index:-267742208"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29888" filled="true" fillcolor="#8ba8bd" stroked="false">
          <v:fill type="solid"/>
          <w10:wrap type="none"/>
        </v:rect>
      </w:pict>
    </w:r>
    <w:r>
      <w:rPr/>
      <w:pict>
        <v:rect style="position:absolute;margin-left:12.047pt;margin-top:30.472015pt;width:22.677pt;height:22.677pt;mso-position-horizontal-relative:page;mso-position-vertical-relative:page;z-index:-267428864" filled="true" fillcolor="#c2d2df" stroked="false">
          <v:fill type="solid"/>
          <w10:wrap type="none"/>
        </v:rect>
      </w:pict>
    </w:r>
    <w:r>
      <w:rPr/>
      <w:pict>
        <v:shape style="position:absolute;margin-left:45.771599pt;margin-top:30.272114pt;width:60.9pt;height:18.05pt;mso-position-horizontal-relative:page;mso-position-vertical-relative:page;z-index:-267427840" type="#_x0000_t202" filled="false" stroked="false">
          <v:textbox inset="0,0,0,0">
            <w:txbxContent>
              <w:p>
                <w:pPr>
                  <w:spacing w:before="26"/>
                  <w:ind w:left="20" w:right="0" w:firstLine="0"/>
                  <w:jc w:val="left"/>
                  <w:rPr>
                    <w:sz w:val="26"/>
                  </w:rPr>
                </w:pPr>
                <w:r>
                  <w:rPr>
                    <w:color w:val="8BA8BD"/>
                    <w:w w:val="110"/>
                    <w:sz w:val="26"/>
                  </w:rPr>
                  <w:t>Ministries</w:t>
                </w:r>
              </w:p>
            </w:txbxContent>
          </v:textbox>
          <w10:wrap type="none"/>
        </v:shape>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26816" filled="true" fillcolor="#8ba8bd" stroked="false">
          <v:fill type="solid"/>
          <w10:wrap type="none"/>
        </v:rect>
      </w:pict>
    </w:r>
    <w:r>
      <w:rPr/>
      <w:pict>
        <v:rect style="position:absolute;margin-left:558.424988pt;margin-top:31.299015pt;width:22.677pt;height:22.677pt;mso-position-horizontal-relative:page;mso-position-vertical-relative:page;z-index:-267425792" filled="true" fillcolor="#c2d2df" stroked="false">
          <v:fill type="solid"/>
          <w10:wrap type="none"/>
        </v:rect>
      </w:pict>
    </w:r>
    <w:r>
      <w:rPr/>
      <w:pict>
        <v:shape style="position:absolute;margin-left:488.649689pt;margin-top:30.272114pt;width:60.9pt;height:18.05pt;mso-position-horizontal-relative:page;mso-position-vertical-relative:page;z-index:-267424768" type="#_x0000_t202" filled="false" stroked="false">
          <v:textbox inset="0,0,0,0">
            <w:txbxContent>
              <w:p>
                <w:pPr>
                  <w:spacing w:before="26"/>
                  <w:ind w:left="20" w:right="0" w:firstLine="0"/>
                  <w:jc w:val="left"/>
                  <w:rPr>
                    <w:sz w:val="26"/>
                  </w:rPr>
                </w:pPr>
                <w:r>
                  <w:rPr>
                    <w:color w:val="8BA8BD"/>
                    <w:w w:val="110"/>
                    <w:sz w:val="26"/>
                  </w:rPr>
                  <w:t>Ministries</w:t>
                </w:r>
              </w:p>
            </w:txbxContent>
          </v:textbox>
          <w10:wrap type="none"/>
        </v:shape>
      </w:pic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420672" filled="true" fillcolor="#cfe5ec" stroked="false">
          <v:fill type="solid"/>
          <w10:wrap type="none"/>
        </v:rect>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419648" filled="true" fillcolor="#8ba8bd" stroked="false">
          <v:fill type="solid"/>
          <w10:wrap type="none"/>
        </v:rect>
      </w:pic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18624" filled="true" fillcolor="#8ba8bd" stroked="false">
          <v:fill type="solid"/>
          <w10:wrap type="none"/>
        </v:rect>
      </w:pict>
    </w:r>
    <w:r>
      <w:rPr/>
      <w:pict>
        <v:rect style="position:absolute;margin-left:12.047pt;margin-top:30.472015pt;width:22.677pt;height:22.677pt;mso-position-horizontal-relative:page;mso-position-vertical-relative:page;z-index:-267417600" filled="true" fillcolor="#c2d2df" stroked="false">
          <v:fill type="solid"/>
          <w10:wrap type="none"/>
        </v:rect>
      </w:pict>
    </w:r>
    <w:r>
      <w:rPr/>
      <w:pict>
        <v:shape style="position:absolute;margin-left:45.771599pt;margin-top:30.272114pt;width:48.5pt;height:18.05pt;mso-position-horizontal-relative:page;mso-position-vertical-relative:page;z-index:-267416576"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14528" filled="true" fillcolor="#8ba8bd" stroked="false">
          <v:fill type="solid"/>
          <w10:wrap type="none"/>
        </v:rect>
      </w:pict>
    </w:r>
    <w:r>
      <w:rPr/>
      <w:pict>
        <v:rect style="position:absolute;margin-left:12.047pt;margin-top:30.472015pt;width:22.677pt;height:22.677pt;mso-position-horizontal-relative:page;mso-position-vertical-relative:page;z-index:-267413504" filled="true" fillcolor="#c2d2df" stroked="false">
          <v:fill type="solid"/>
          <w10:wrap type="none"/>
        </v:rect>
      </w:pict>
    </w:r>
    <w:r>
      <w:rPr/>
      <w:pict>
        <v:shape style="position:absolute;margin-left:45.771599pt;margin-top:30.272114pt;width:48.5pt;height:18.05pt;mso-position-horizontal-relative:page;mso-position-vertical-relative:page;z-index:-267412480"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11456" filled="true" fillcolor="#8ba8bd" stroked="false">
          <v:fill type="solid"/>
          <w10:wrap type="none"/>
        </v:rect>
      </w:pict>
    </w:r>
    <w:r>
      <w:rPr/>
      <w:pict>
        <v:rect style="position:absolute;margin-left:558.424988pt;margin-top:31.299015pt;width:22.677pt;height:22.677pt;mso-position-horizontal-relative:page;mso-position-vertical-relative:page;z-index:-267410432" filled="true" fillcolor="#c2d2df" stroked="false">
          <v:fill type="solid"/>
          <w10:wrap type="none"/>
        </v:rect>
      </w:pict>
    </w:r>
    <w:r>
      <w:rPr/>
      <w:pict>
        <v:shape style="position:absolute;margin-left:501.053101pt;margin-top:30.272114pt;width:48.5pt;height:18.05pt;mso-position-horizontal-relative:page;mso-position-vertical-relative:page;z-index:-267409408"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08384" filled="true" fillcolor="#8ba8bd" stroked="false">
          <v:fill type="solid"/>
          <w10:wrap type="none"/>
        </v:rect>
      </w:pict>
    </w:r>
    <w:r>
      <w:rPr/>
      <w:pict>
        <v:rect style="position:absolute;margin-left:558.424988pt;margin-top:31.299015pt;width:22.677pt;height:22.677pt;mso-position-horizontal-relative:page;mso-position-vertical-relative:page;z-index:-267407360" filled="true" fillcolor="#c2d2df" stroked="false">
          <v:fill type="solid"/>
          <w10:wrap type="none"/>
        </v:rect>
      </w:pict>
    </w:r>
    <w:r>
      <w:rPr/>
      <w:pict>
        <v:shape style="position:absolute;margin-left:501.053101pt;margin-top:30.272114pt;width:48.5pt;height:18.05pt;mso-position-horizontal-relative:page;mso-position-vertical-relative:page;z-index:-267406336"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41184" filled="true" fillcolor="#eab817" stroked="false">
          <v:fill type="solid"/>
          <w10:wrap type="none"/>
        </v:rect>
      </w:pict>
    </w:r>
    <w:r>
      <w:rPr/>
      <w:pict>
        <v:rect style="position:absolute;margin-left:12.047pt;margin-top:30.473015pt;width:22.677pt;height:22.677pt;mso-position-horizontal-relative:page;mso-position-vertical-relative:page;z-index:-267740160" filled="true" fillcolor="#f5db95" stroked="false">
          <v:fill type="solid"/>
          <w10:wrap type="none"/>
        </v:rect>
      </w:pict>
    </w:r>
    <w:r>
      <w:rPr/>
      <w:pict>
        <v:shape style="position:absolute;margin-left:45.771599pt;margin-top:27.444317pt;width:229.7pt;height:12.65pt;mso-position-horizontal-relative:page;mso-position-vertical-relative:page;z-index:-267739136"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02240" filled="true" fillcolor="#8ba8bd" stroked="false">
          <v:fill type="solid"/>
          <w10:wrap type="none"/>
        </v:rect>
      </w:pict>
    </w:r>
    <w:r>
      <w:rPr/>
      <w:pict>
        <v:rect style="position:absolute;margin-left:558.424988pt;margin-top:31.299015pt;width:22.677pt;height:22.677pt;mso-position-horizontal-relative:page;mso-position-vertical-relative:page;z-index:-267401216" filled="true" fillcolor="#c2d2df" stroked="false">
          <v:fill type="solid"/>
          <w10:wrap type="none"/>
        </v:rect>
      </w:pict>
    </w:r>
    <w:r>
      <w:rPr/>
      <w:pict>
        <v:shape style="position:absolute;margin-left:501.053101pt;margin-top:30.272114pt;width:48.5pt;height:18.05pt;mso-position-horizontal-relative:page;mso-position-vertical-relative:page;z-index:-267400192"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99168" filled="true" fillcolor="#8ba8bd" stroked="false">
          <v:fill type="solid"/>
          <w10:wrap type="none"/>
        </v:rect>
      </w:pict>
    </w:r>
    <w:r>
      <w:rPr/>
      <w:pict>
        <v:rect style="position:absolute;margin-left:12.047pt;margin-top:30.472015pt;width:22.677pt;height:22.677pt;mso-position-horizontal-relative:page;mso-position-vertical-relative:page;z-index:-267398144" filled="true" fillcolor="#c2d2df" stroked="false">
          <v:fill type="solid"/>
          <w10:wrap type="none"/>
        </v:rect>
      </w:pict>
    </w:r>
    <w:r>
      <w:rPr/>
      <w:pict>
        <v:shape style="position:absolute;margin-left:45.771599pt;margin-top:30.272114pt;width:48.5pt;height:18.05pt;mso-position-horizontal-relative:page;mso-position-vertical-relative:page;z-index:-267397120"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93024" filled="true" fillcolor="#8ba8bd" stroked="false">
          <v:fill type="solid"/>
          <w10:wrap type="none"/>
        </v:rect>
      </w:pict>
    </w:r>
    <w:r>
      <w:rPr/>
      <w:pict>
        <v:rect style="position:absolute;margin-left:558.424988pt;margin-top:31.299015pt;width:22.677pt;height:22.677pt;mso-position-horizontal-relative:page;mso-position-vertical-relative:page;z-index:-267392000" filled="true" fillcolor="#c2d2df" stroked="false">
          <v:fill type="solid"/>
          <w10:wrap type="none"/>
        </v:rect>
      </w:pict>
    </w:r>
    <w:r>
      <w:rPr/>
      <w:pict>
        <v:shape style="position:absolute;margin-left:501.053101pt;margin-top:30.272114pt;width:48.5pt;height:18.05pt;mso-position-horizontal-relative:page;mso-position-vertical-relative:page;z-index:-267390976"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89952" filled="true" fillcolor="#8ba8bd" stroked="false">
          <v:fill type="solid"/>
          <w10:wrap type="none"/>
        </v:rect>
      </w:pict>
    </w:r>
    <w:r>
      <w:rPr/>
      <w:pict>
        <v:rect style="position:absolute;margin-left:12.047pt;margin-top:30.472015pt;width:22.677pt;height:22.677pt;mso-position-horizontal-relative:page;mso-position-vertical-relative:page;z-index:-267388928" filled="true" fillcolor="#c2d2df" stroked="false">
          <v:fill type="solid"/>
          <w10:wrap type="none"/>
        </v:rect>
      </w:pict>
    </w:r>
    <w:r>
      <w:rPr/>
      <w:pict>
        <v:shape style="position:absolute;margin-left:45.771599pt;margin-top:30.272114pt;width:48.5pt;height:18.05pt;mso-position-horizontal-relative:page;mso-position-vertical-relative:page;z-index:-267387904"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85856" filled="true" fillcolor="#8ba8bd" stroked="false">
          <v:fill type="solid"/>
          <w10:wrap type="none"/>
        </v:rect>
      </w:pict>
    </w:r>
    <w:r>
      <w:rPr/>
      <w:pict>
        <v:rect style="position:absolute;margin-left:558.424988pt;margin-top:31.299015pt;width:22.677pt;height:22.677pt;mso-position-horizontal-relative:page;mso-position-vertical-relative:page;z-index:-267384832" filled="true" fillcolor="#c2d2df" stroked="false">
          <v:fill type="solid"/>
          <w10:wrap type="none"/>
        </v:rect>
      </w:pict>
    </w:r>
    <w:r>
      <w:rPr/>
      <w:pict>
        <v:shape style="position:absolute;margin-left:501.053101pt;margin-top:30.272114pt;width:48.5pt;height:18.05pt;mso-position-horizontal-relative:page;mso-position-vertical-relative:page;z-index:-267383808"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82784" filled="true" fillcolor="#8ba8bd" stroked="false">
          <v:fill type="solid"/>
          <w10:wrap type="none"/>
        </v:rect>
      </w:pict>
    </w:r>
    <w:r>
      <w:rPr/>
      <w:pict>
        <v:rect style="position:absolute;margin-left:12.047pt;margin-top:30.472015pt;width:22.677pt;height:22.677pt;mso-position-horizontal-relative:page;mso-position-vertical-relative:page;z-index:-267381760" filled="true" fillcolor="#c2d2df" stroked="false">
          <v:fill type="solid"/>
          <w10:wrap type="none"/>
        </v:rect>
      </w:pict>
    </w:r>
    <w:r>
      <w:rPr/>
      <w:pict>
        <v:shape style="position:absolute;margin-left:45.771599pt;margin-top:30.272114pt;width:48.5pt;height:18.05pt;mso-position-horizontal-relative:page;mso-position-vertical-relative:page;z-index:-267380736"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73568" filled="true" fillcolor="#8ba8bd" stroked="false">
          <v:fill type="solid"/>
          <w10:wrap type="none"/>
        </v:rect>
      </w:pict>
    </w:r>
    <w:r>
      <w:rPr/>
      <w:pict>
        <v:rect style="position:absolute;margin-left:558.424988pt;margin-top:31.299015pt;width:22.677pt;height:22.677pt;mso-position-horizontal-relative:page;mso-position-vertical-relative:page;z-index:-267372544" filled="true" fillcolor="#c2d2df" stroked="false">
          <v:fill type="solid"/>
          <w10:wrap type="none"/>
        </v:rect>
      </w:pict>
    </w:r>
    <w:r>
      <w:rPr/>
      <w:pict>
        <v:shape style="position:absolute;margin-left:501.053101pt;margin-top:30.272114pt;width:48.5pt;height:18.05pt;mso-position-horizontal-relative:page;mso-position-vertical-relative:page;z-index:-267371520"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738112" filled="true" fillcolor="#eab817" stroked="false">
          <v:fill type="solid"/>
          <w10:wrap type="none"/>
        </v:rect>
      </w:pict>
    </w:r>
    <w:r>
      <w:rPr/>
      <w:pict>
        <v:rect style="position:absolute;margin-left:558.424988pt;margin-top:31.300014pt;width:22.677pt;height:22.677pt;mso-position-horizontal-relative:page;mso-position-vertical-relative:page;z-index:-267737088" filled="true" fillcolor="#f5db95" stroked="false">
          <v:fill type="solid"/>
          <w10:wrap type="none"/>
        </v:rect>
      </w:pict>
    </w:r>
    <w:r>
      <w:rPr/>
      <w:pict>
        <v:line style="position:absolute;mso-position-horizontal-relative:page;mso-position-vertical-relative:page;z-index:-267736064" from="78.870102pt,56.693214pt" to="78.870102pt,56.693214pt" stroked="true" strokeweight="1pt" strokecolor="#868685">
          <v:stroke dashstyle="solid"/>
          <w10:wrap type="none"/>
        </v:line>
      </w:pict>
    </w:r>
    <w:r>
      <w:rPr/>
      <w:pict>
        <v:shape style="position:absolute;margin-left:319.803497pt;margin-top:27.444317pt;width:229.7pt;height:12.65pt;mso-position-horizontal-relative:page;mso-position-vertical-relative:page;z-index:-267735040"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00015pt;width:22.677pt;height:23.504pt;mso-position-horizontal-relative:page;mso-position-vertical-relative:page;z-index:-267368448" filled="true" fillcolor="#8ba8bd" stroked="false">
          <v:fill type="solid"/>
          <w10:wrap type="none"/>
        </v:rect>
      </w:pict>
    </w:r>
    <w:r>
      <w:rPr/>
      <w:pict>
        <v:rect style="position:absolute;margin-left:558.424988pt;margin-top:31.299015pt;width:22.677pt;height:22.677pt;mso-position-horizontal-relative:page;mso-position-vertical-relative:page;z-index:-267367424" filled="true" fillcolor="#c2d2df" stroked="false">
          <v:fill type="solid"/>
          <w10:wrap type="none"/>
        </v:rect>
      </w:pict>
    </w:r>
    <w:r>
      <w:rPr/>
      <w:pict>
        <v:shape style="position:absolute;margin-left:501.053101pt;margin-top:30.272114pt;width:48.5pt;height:18.05pt;mso-position-horizontal-relative:page;mso-position-vertical-relative:page;z-index:-267366400" type="#_x0000_t202" filled="false" stroked="false">
          <v:textbox inset="0,0,0,0">
            <w:txbxContent>
              <w:p>
                <w:pPr>
                  <w:spacing w:before="26"/>
                  <w:ind w:left="20" w:right="0" w:firstLine="0"/>
                  <w:jc w:val="left"/>
                  <w:rPr>
                    <w:sz w:val="26"/>
                  </w:rPr>
                </w:pPr>
                <w:r>
                  <w:rPr>
                    <w:color w:val="8BA8BD"/>
                    <w:w w:val="115"/>
                    <w:sz w:val="26"/>
                  </w:rPr>
                  <w:t>Mission</w:t>
                </w:r>
              </w:p>
            </w:txbxContent>
          </v:textbox>
          <w10:wrap type="none"/>
        </v:shape>
      </w:pic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365376" filled="true" fillcolor="#8ba8bd" stroked="false">
          <v:fill type="solid"/>
          <w10:wrap type="none"/>
        </v:rect>
      </w:pict>
    </w: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64352" filled="true" fillcolor="#8ba8bd" stroked="false">
          <v:fill type="solid"/>
          <w10:wrap type="none"/>
        </v:rect>
      </w:pict>
    </w:r>
    <w:r>
      <w:rPr/>
      <w:pict>
        <v:rect style="position:absolute;margin-left:12.047pt;margin-top:30.472015pt;width:22.677pt;height:22.677pt;mso-position-horizontal-relative:page;mso-position-vertical-relative:page;z-index:-267363328" filled="true" fillcolor="#c2d2df" stroked="false">
          <v:fill type="solid"/>
          <w10:wrap type="none"/>
        </v:rect>
      </w:pict>
    </w:r>
    <w:r>
      <w:rPr/>
      <w:pict>
        <v:shape style="position:absolute;margin-left:45.771599pt;margin-top:30.272114pt;width:80.45pt;height:18.05pt;mso-position-horizontal-relative:page;mso-position-vertical-relative:page;z-index:-267362304"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61280" filled="true" fillcolor="#8ba8bd" stroked="false">
          <v:fill type="solid"/>
          <w10:wrap type="none"/>
        </v:rect>
      </w:pict>
    </w:r>
    <w:r>
      <w:rPr/>
      <w:pict>
        <v:rect style="position:absolute;margin-left:12.047pt;margin-top:30.472015pt;width:22.677pt;height:22.677pt;mso-position-horizontal-relative:page;mso-position-vertical-relative:page;z-index:-267360256" filled="true" fillcolor="#c2d2df" stroked="false">
          <v:fill type="solid"/>
          <w10:wrap type="none"/>
        </v:rect>
      </w:pict>
    </w:r>
    <w:r>
      <w:rPr/>
      <w:pict>
        <v:shape style="position:absolute;margin-left:45.771599pt;margin-top:30.272114pt;width:80.45pt;height:18.05pt;mso-position-horizontal-relative:page;mso-position-vertical-relative:page;z-index:-267359232"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58208" filled="true" fillcolor="#8ba8bd" stroked="false">
          <v:fill type="solid"/>
          <w10:wrap type="none"/>
        </v:rect>
      </w:pict>
    </w:r>
    <w:r>
      <w:rPr/>
      <w:pict>
        <v:rect style="position:absolute;margin-left:558.424988pt;margin-top:31.299015pt;width:22.677pt;height:22.677pt;mso-position-horizontal-relative:page;mso-position-vertical-relative:page;z-index:-267357184" filled="true" fillcolor="#c2d2df" stroked="false">
          <v:fill type="solid"/>
          <w10:wrap type="none"/>
        </v:rect>
      </w:pict>
    </w:r>
    <w:r>
      <w:rPr/>
      <w:pict>
        <v:shape style="position:absolute;margin-left:469.091492pt;margin-top:30.272114pt;width:80.45pt;height:18.05pt;mso-position-horizontal-relative:page;mso-position-vertical-relative:page;z-index:-267356160"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52064" filled="true" fillcolor="#8ba8bd" stroked="false">
          <v:fill type="solid"/>
          <w10:wrap type="none"/>
        </v:rect>
      </w:pict>
    </w:r>
    <w:r>
      <w:rPr/>
      <w:pict>
        <v:rect style="position:absolute;margin-left:12.047pt;margin-top:30.472015pt;width:22.677pt;height:22.677pt;mso-position-horizontal-relative:page;mso-position-vertical-relative:page;z-index:-267351040" filled="true" fillcolor="#c2d2df" stroked="false">
          <v:fill type="solid"/>
          <w10:wrap type="none"/>
        </v:rect>
      </w:pict>
    </w:r>
    <w:r>
      <w:rPr/>
      <w:pict>
        <v:shape style="position:absolute;margin-left:45.771599pt;margin-top:30.272114pt;width:80.45pt;height:18.05pt;mso-position-horizontal-relative:page;mso-position-vertical-relative:page;z-index:-267350016"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48992" filled="true" fillcolor="#8ba8bd" stroked="false">
          <v:fill type="solid"/>
          <w10:wrap type="none"/>
        </v:rect>
      </w:pict>
    </w:r>
    <w:r>
      <w:rPr/>
      <w:pict>
        <v:rect style="position:absolute;margin-left:558.424988pt;margin-top:31.299015pt;width:22.677pt;height:22.677pt;mso-position-horizontal-relative:page;mso-position-vertical-relative:page;z-index:-267347968" filled="true" fillcolor="#c2d2df" stroked="false">
          <v:fill type="solid"/>
          <w10:wrap type="none"/>
        </v:rect>
      </w:pict>
    </w:r>
    <w:r>
      <w:rPr/>
      <w:pict>
        <v:shape style="position:absolute;margin-left:469.091492pt;margin-top:30.272114pt;width:80.45pt;height:18.05pt;mso-position-horizontal-relative:page;mso-position-vertical-relative:page;z-index:-267346944"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42848" filled="true" fillcolor="#8ba8bd" stroked="false">
          <v:fill type="solid"/>
          <w10:wrap type="none"/>
        </v:rect>
      </w:pict>
    </w:r>
    <w:r>
      <w:rPr/>
      <w:pict>
        <v:rect style="position:absolute;margin-left:12.047pt;margin-top:30.472015pt;width:22.677pt;height:22.677pt;mso-position-horizontal-relative:page;mso-position-vertical-relative:page;z-index:-267341824" filled="true" fillcolor="#c2d2df" stroked="false">
          <v:fill type="solid"/>
          <w10:wrap type="none"/>
        </v:rect>
      </w:pict>
    </w:r>
    <w:r>
      <w:rPr/>
      <w:pict>
        <v:shape style="position:absolute;margin-left:45.771599pt;margin-top:30.272114pt;width:80.45pt;height:18.05pt;mso-position-horizontal-relative:page;mso-position-vertical-relative:page;z-index:-267340800"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39776" filled="true" fillcolor="#8ba8bd" stroked="false">
          <v:fill type="solid"/>
          <w10:wrap type="none"/>
        </v:rect>
      </w:pict>
    </w:r>
    <w:r>
      <w:rPr/>
      <w:pict>
        <v:rect style="position:absolute;margin-left:558.424988pt;margin-top:31.299015pt;width:22.677pt;height:22.677pt;mso-position-horizontal-relative:page;mso-position-vertical-relative:page;z-index:-267338752" filled="true" fillcolor="#c2d2df" stroked="false">
          <v:fill type="solid"/>
          <w10:wrap type="none"/>
        </v:rect>
      </w:pict>
    </w:r>
    <w:r>
      <w:rPr/>
      <w:pict>
        <v:shape style="position:absolute;margin-left:469.091492pt;margin-top:30.272114pt;width:80.45pt;height:18.05pt;mso-position-horizontal-relative:page;mso-position-vertical-relative:page;z-index:-267337728"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28896" filled="true" fillcolor="#eab817" stroked="false">
          <v:fill type="solid"/>
          <w10:wrap type="none"/>
        </v:rect>
      </w:pict>
    </w:r>
    <w:r>
      <w:rPr/>
      <w:pict>
        <v:rect style="position:absolute;margin-left:12.047pt;margin-top:30.472015pt;width:22.677pt;height:22.677pt;mso-position-horizontal-relative:page;mso-position-vertical-relative:page;z-index:-267727872" filled="true" fillcolor="#f5db95" stroked="false">
          <v:fill type="solid"/>
          <w10:wrap type="none"/>
        </v:rect>
      </w:pict>
    </w:r>
    <w:r>
      <w:rPr/>
      <w:pict>
        <v:line style="position:absolute;mso-position-horizontal-relative:page;mso-position-vertical-relative:page;z-index:-267726848" from="514.487183pt,56.692715pt" to="514.487183pt,56.692715pt" stroked="true" strokeweight="1pt" strokecolor="#868685">
          <v:stroke dashstyle="solid"/>
          <w10:wrap type="none"/>
        </v:line>
      </w:pict>
    </w:r>
    <w:r>
      <w:rPr/>
      <w:pict>
        <v:shape style="position:absolute;margin-left:45.771599pt;margin-top:27.443817pt;width:229.7pt;height:12.65pt;mso-position-horizontal-relative:page;mso-position-vertical-relative:page;z-index:-267725824"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33632" filled="true" fillcolor="#8ba8bd" stroked="false">
          <v:fill type="solid"/>
          <w10:wrap type="none"/>
        </v:rect>
      </w:pict>
    </w:r>
    <w:r>
      <w:rPr/>
      <w:pict>
        <v:rect style="position:absolute;margin-left:12.047pt;margin-top:30.472015pt;width:22.677pt;height:22.677pt;mso-position-horizontal-relative:page;mso-position-vertical-relative:page;z-index:-267332608" filled="true" fillcolor="#c2d2df" stroked="false">
          <v:fill type="solid"/>
          <w10:wrap type="none"/>
        </v:rect>
      </w:pict>
    </w:r>
    <w:r>
      <w:rPr/>
      <w:pict>
        <v:shape style="position:absolute;margin-left:45.771599pt;margin-top:30.272114pt;width:80.45pt;height:18.05pt;mso-position-horizontal-relative:page;mso-position-vertical-relative:page;z-index:-267331584"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30560" filled="true" fillcolor="#8ba8bd" stroked="false">
          <v:fill type="solid"/>
          <w10:wrap type="none"/>
        </v:rect>
      </w:pict>
    </w:r>
    <w:r>
      <w:rPr/>
      <w:pict>
        <v:rect style="position:absolute;margin-left:558.424988pt;margin-top:31.299015pt;width:22.677pt;height:22.677pt;mso-position-horizontal-relative:page;mso-position-vertical-relative:page;z-index:-267329536" filled="true" fillcolor="#c2d2df" stroked="false">
          <v:fill type="solid"/>
          <w10:wrap type="none"/>
        </v:rect>
      </w:pict>
    </w:r>
    <w:r>
      <w:rPr/>
      <w:pict>
        <v:shape style="position:absolute;margin-left:469.091492pt;margin-top:30.272114pt;width:80.45pt;height:18.05pt;mso-position-horizontal-relative:page;mso-position-vertical-relative:page;z-index:-267328512" type="#_x0000_t202" filled="false" stroked="false">
          <v:textbox inset="0,0,0,0">
            <w:txbxContent>
              <w:p>
                <w:pPr>
                  <w:spacing w:before="26"/>
                  <w:ind w:left="20" w:right="0" w:firstLine="0"/>
                  <w:jc w:val="left"/>
                  <w:rPr>
                    <w:sz w:val="26"/>
                  </w:rPr>
                </w:pPr>
                <w:r>
                  <w:rPr>
                    <w:color w:val="8BA8BD"/>
                    <w:w w:val="115"/>
                    <w:sz w:val="26"/>
                  </w:rPr>
                  <w:t>Nominations</w:t>
                </w:r>
              </w:p>
            </w:txbxContent>
          </v:textbox>
          <w10:wrap type="none"/>
        </v:shape>
      </w:pict>
    </w: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324416" filled="true" fillcolor="#8ba8bd" stroked="false">
          <v:fill type="solid"/>
          <w10:wrap type="none"/>
        </v:rect>
      </w:pic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323392" filled="true" fillcolor="#8ba8bd" stroked="false">
          <v:fill type="solid"/>
          <w10:wrap type="none"/>
        </v:rect>
      </w:pic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22368" filled="true" fillcolor="#8ba8bd" stroked="false">
          <v:fill type="solid"/>
          <w10:wrap type="none"/>
        </v:rect>
      </w:pict>
    </w:r>
    <w:r>
      <w:rPr/>
      <w:pict>
        <v:rect style="position:absolute;margin-left:12.047pt;margin-top:30.472015pt;width:22.677pt;height:22.677pt;mso-position-horizontal-relative:page;mso-position-vertical-relative:page;z-index:-267321344" filled="true" fillcolor="#c2d2df" stroked="false">
          <v:fill type="solid"/>
          <w10:wrap type="none"/>
        </v:rect>
      </w:pict>
    </w:r>
    <w:r>
      <w:rPr/>
      <w:pict>
        <v:shape style="position:absolute;margin-left:45.771599pt;margin-top:30.272114pt;width:163.85pt;height:18.05pt;mso-position-horizontal-relative:page;mso-position-vertical-relative:page;z-index:-267320320" type="#_x0000_t202" filled="false" stroked="false">
          <v:textbox inset="0,0,0,0">
            <w:txbxContent>
              <w:p>
                <w:pPr>
                  <w:spacing w:before="26"/>
                  <w:ind w:left="20" w:right="0" w:firstLine="0"/>
                  <w:jc w:val="left"/>
                  <w:rPr>
                    <w:sz w:val="26"/>
                  </w:rPr>
                </w:pPr>
                <w:r>
                  <w:rPr>
                    <w:color w:val="8BA8BD"/>
                    <w:spacing w:val="-4"/>
                    <w:w w:val="115"/>
                    <w:sz w:val="26"/>
                  </w:rPr>
                  <w:t>Youth </w:t>
                </w:r>
                <w:r>
                  <w:rPr>
                    <w:color w:val="8BA8BD"/>
                    <w:w w:val="115"/>
                    <w:sz w:val="26"/>
                  </w:rPr>
                  <w:t>and </w:t>
                </w:r>
                <w:r>
                  <w:rPr>
                    <w:color w:val="8BA8BD"/>
                    <w:spacing w:val="-5"/>
                    <w:w w:val="115"/>
                    <w:sz w:val="26"/>
                  </w:rPr>
                  <w:t>Children’s</w:t>
                </w:r>
                <w:r>
                  <w:rPr>
                    <w:color w:val="8BA8BD"/>
                    <w:spacing w:val="47"/>
                    <w:w w:val="115"/>
                    <w:sz w:val="26"/>
                  </w:rPr>
                  <w:t> </w:t>
                </w:r>
                <w:r>
                  <w:rPr>
                    <w:color w:val="8BA8BD"/>
                    <w:w w:val="115"/>
                    <w:sz w:val="26"/>
                  </w:rPr>
                  <w:t>Work</w:t>
                </w:r>
              </w:p>
            </w:txbxContent>
          </v:textbox>
          <w10:wrap type="none"/>
        </v:shape>
      </w:pic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19296" filled="true" fillcolor="#8ba8bd" stroked="false">
          <v:fill type="solid"/>
          <w10:wrap type="none"/>
        </v:rect>
      </w:pict>
    </w:r>
    <w:r>
      <w:rPr/>
      <w:pict>
        <v:rect style="position:absolute;margin-left:12.047pt;margin-top:30.472015pt;width:22.677pt;height:22.677pt;mso-position-horizontal-relative:page;mso-position-vertical-relative:page;z-index:-267318272" filled="true" fillcolor="#c2d2df" stroked="false">
          <v:fill type="solid"/>
          <w10:wrap type="none"/>
        </v:rect>
      </w:pict>
    </w:r>
    <w:r>
      <w:rPr/>
      <w:pict>
        <v:shape style="position:absolute;margin-left:45.771599pt;margin-top:30.272114pt;width:163.85pt;height:18.05pt;mso-position-horizontal-relative:page;mso-position-vertical-relative:page;z-index:-267317248" type="#_x0000_t202" filled="false" stroked="false">
          <v:textbox inset="0,0,0,0">
            <w:txbxContent>
              <w:p>
                <w:pPr>
                  <w:spacing w:before="26"/>
                  <w:ind w:left="20" w:right="0" w:firstLine="0"/>
                  <w:jc w:val="left"/>
                  <w:rPr>
                    <w:sz w:val="26"/>
                  </w:rPr>
                </w:pPr>
                <w:r>
                  <w:rPr>
                    <w:color w:val="8BA8BD"/>
                    <w:spacing w:val="-4"/>
                    <w:w w:val="115"/>
                    <w:sz w:val="26"/>
                  </w:rPr>
                  <w:t>Youth </w:t>
                </w:r>
                <w:r>
                  <w:rPr>
                    <w:color w:val="8BA8BD"/>
                    <w:w w:val="115"/>
                    <w:sz w:val="26"/>
                  </w:rPr>
                  <w:t>and </w:t>
                </w:r>
                <w:r>
                  <w:rPr>
                    <w:color w:val="8BA8BD"/>
                    <w:spacing w:val="-5"/>
                    <w:w w:val="115"/>
                    <w:sz w:val="26"/>
                  </w:rPr>
                  <w:t>Children’s</w:t>
                </w:r>
                <w:r>
                  <w:rPr>
                    <w:color w:val="8BA8BD"/>
                    <w:spacing w:val="47"/>
                    <w:w w:val="115"/>
                    <w:sz w:val="26"/>
                  </w:rPr>
                  <w:t> </w:t>
                </w:r>
                <w:r>
                  <w:rPr>
                    <w:color w:val="8BA8BD"/>
                    <w:w w:val="115"/>
                    <w:sz w:val="26"/>
                  </w:rPr>
                  <w:t>Work</w:t>
                </w:r>
              </w:p>
            </w:txbxContent>
          </v:textbox>
          <w10:wrap type="none"/>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16224" filled="true" fillcolor="#8ba8bd" stroked="false">
          <v:fill type="solid"/>
          <w10:wrap type="none"/>
        </v:rect>
      </w:pict>
    </w:r>
    <w:r>
      <w:rPr/>
      <w:pict>
        <v:rect style="position:absolute;margin-left:558.424988pt;margin-top:31.299015pt;width:22.677pt;height:22.677pt;mso-position-horizontal-relative:page;mso-position-vertical-relative:page;z-index:-267315200" filled="true" fillcolor="#c2d2df" stroked="false">
          <v:fill type="solid"/>
          <w10:wrap type="none"/>
        </v:rect>
      </w:pict>
    </w:r>
    <w:r>
      <w:rPr/>
      <w:pict>
        <v:shape style="position:absolute;margin-left:385.680603pt;margin-top:30.272114pt;width:163.85pt;height:18.05pt;mso-position-horizontal-relative:page;mso-position-vertical-relative:page;z-index:-267314176" type="#_x0000_t202" filled="false" stroked="false">
          <v:textbox inset="0,0,0,0">
            <w:txbxContent>
              <w:p>
                <w:pPr>
                  <w:spacing w:before="26"/>
                  <w:ind w:left="20" w:right="0" w:firstLine="0"/>
                  <w:jc w:val="left"/>
                  <w:rPr>
                    <w:sz w:val="26"/>
                  </w:rPr>
                </w:pPr>
                <w:r>
                  <w:rPr>
                    <w:color w:val="8BA8BD"/>
                    <w:spacing w:val="-4"/>
                    <w:w w:val="115"/>
                    <w:sz w:val="26"/>
                  </w:rPr>
                  <w:t>Youth </w:t>
                </w:r>
                <w:r>
                  <w:rPr>
                    <w:color w:val="8BA8BD"/>
                    <w:w w:val="115"/>
                    <w:sz w:val="26"/>
                  </w:rPr>
                  <w:t>and </w:t>
                </w:r>
                <w:r>
                  <w:rPr>
                    <w:color w:val="8BA8BD"/>
                    <w:spacing w:val="-5"/>
                    <w:w w:val="115"/>
                    <w:sz w:val="26"/>
                  </w:rPr>
                  <w:t>Children’s</w:t>
                </w:r>
                <w:r>
                  <w:rPr>
                    <w:color w:val="8BA8BD"/>
                    <w:spacing w:val="47"/>
                    <w:w w:val="115"/>
                    <w:sz w:val="26"/>
                  </w:rPr>
                  <w:t> </w:t>
                </w:r>
                <w:r>
                  <w:rPr>
                    <w:color w:val="8BA8BD"/>
                    <w:w w:val="115"/>
                    <w:sz w:val="26"/>
                  </w:rPr>
                  <w:t>Work</w:t>
                </w:r>
              </w:p>
            </w:txbxContent>
          </v:textbox>
          <w10:wrap type="none"/>
        </v:shape>
      </w:pict>
    </w: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310080" filled="true" fillcolor="#8ba8bd" stroked="false">
          <v:fill type="solid"/>
          <w10:wrap type="none"/>
        </v:rect>
      </w:pict>
    </w:r>
    <w:r>
      <w:rPr/>
      <w:pict>
        <v:rect style="position:absolute;margin-left:12.047pt;margin-top:30.472015pt;width:22.677pt;height:22.677pt;mso-position-horizontal-relative:page;mso-position-vertical-relative:page;z-index:-267309056" filled="true" fillcolor="#c2d2df" stroked="false">
          <v:fill type="solid"/>
          <w10:wrap type="none"/>
        </v:rect>
      </w:pict>
    </w:r>
    <w:r>
      <w:rPr/>
      <w:pict>
        <v:shape style="position:absolute;margin-left:45.771599pt;margin-top:30.272114pt;width:163.85pt;height:18.05pt;mso-position-horizontal-relative:page;mso-position-vertical-relative:page;z-index:-267308032" type="#_x0000_t202" filled="false" stroked="false">
          <v:textbox inset="0,0,0,0">
            <w:txbxContent>
              <w:p>
                <w:pPr>
                  <w:spacing w:before="26"/>
                  <w:ind w:left="20" w:right="0" w:firstLine="0"/>
                  <w:jc w:val="left"/>
                  <w:rPr>
                    <w:sz w:val="26"/>
                  </w:rPr>
                </w:pPr>
                <w:r>
                  <w:rPr>
                    <w:color w:val="8BA8BD"/>
                    <w:spacing w:val="-4"/>
                    <w:w w:val="115"/>
                    <w:sz w:val="26"/>
                  </w:rPr>
                  <w:t>Youth </w:t>
                </w:r>
                <w:r>
                  <w:rPr>
                    <w:color w:val="8BA8BD"/>
                    <w:w w:val="115"/>
                    <w:sz w:val="26"/>
                  </w:rPr>
                  <w:t>and </w:t>
                </w:r>
                <w:r>
                  <w:rPr>
                    <w:color w:val="8BA8BD"/>
                    <w:spacing w:val="-5"/>
                    <w:w w:val="115"/>
                    <w:sz w:val="26"/>
                  </w:rPr>
                  <w:t>Children’s</w:t>
                </w:r>
                <w:r>
                  <w:rPr>
                    <w:color w:val="8BA8BD"/>
                    <w:spacing w:val="47"/>
                    <w:w w:val="115"/>
                    <w:sz w:val="26"/>
                  </w:rPr>
                  <w:t> </w:t>
                </w:r>
                <w:r>
                  <w:rPr>
                    <w:color w:val="8BA8BD"/>
                    <w:w w:val="115"/>
                    <w:sz w:val="26"/>
                  </w:rPr>
                  <w:t>Work</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724800" filled="true" fillcolor="#eab817" stroked="false">
          <v:fill type="solid"/>
          <w10:wrap type="none"/>
        </v:rect>
      </w:pict>
    </w:r>
    <w:r>
      <w:rPr/>
      <w:pict>
        <v:rect style="position:absolute;margin-left:558.424988pt;margin-top:31.299015pt;width:22.677pt;height:22.677pt;mso-position-horizontal-relative:page;mso-position-vertical-relative:page;z-index:-267723776" filled="true" fillcolor="#f5db95" stroked="false">
          <v:fill type="solid"/>
          <w10:wrap type="none"/>
        </v:rect>
      </w:pict>
    </w:r>
    <w:r>
      <w:rPr/>
      <w:pict>
        <v:line style="position:absolute;mso-position-horizontal-relative:page;mso-position-vertical-relative:page;z-index:-267722752" from="78.870102pt,56.692715pt" to="78.870102pt,56.692715pt" stroked="true" strokeweight="1pt" strokecolor="#868685">
          <v:stroke dashstyle="solid"/>
          <w10:wrap type="none"/>
        </v:line>
      </w:pict>
    </w:r>
    <w:r>
      <w:rPr/>
      <w:pict>
        <v:shape style="position:absolute;margin-left:319.803497pt;margin-top:27.443817pt;width:229.7pt;height:12.65pt;mso-position-horizontal-relative:page;mso-position-vertical-relative:page;z-index:-267721728"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307008" filled="true" fillcolor="#8ba8bd" stroked="false">
          <v:fill type="solid"/>
          <w10:wrap type="none"/>
        </v:rect>
      </w:pict>
    </w:r>
    <w:r>
      <w:rPr/>
      <w:pict>
        <v:rect style="position:absolute;margin-left:558.424988pt;margin-top:31.299015pt;width:22.677pt;height:22.677pt;mso-position-horizontal-relative:page;mso-position-vertical-relative:page;z-index:-267305984" filled="true" fillcolor="#c2d2df" stroked="false">
          <v:fill type="solid"/>
          <w10:wrap type="none"/>
        </v:rect>
      </w:pict>
    </w:r>
    <w:r>
      <w:rPr/>
      <w:pict>
        <v:shape style="position:absolute;margin-left:385.680603pt;margin-top:30.272114pt;width:163.85pt;height:18.05pt;mso-position-horizontal-relative:page;mso-position-vertical-relative:page;z-index:-267304960" type="#_x0000_t202" filled="false" stroked="false">
          <v:textbox inset="0,0,0,0">
            <w:txbxContent>
              <w:p>
                <w:pPr>
                  <w:spacing w:before="26"/>
                  <w:ind w:left="20" w:right="0" w:firstLine="0"/>
                  <w:jc w:val="left"/>
                  <w:rPr>
                    <w:sz w:val="26"/>
                  </w:rPr>
                </w:pPr>
                <w:r>
                  <w:rPr>
                    <w:color w:val="8BA8BD"/>
                    <w:spacing w:val="-4"/>
                    <w:w w:val="115"/>
                    <w:sz w:val="26"/>
                  </w:rPr>
                  <w:t>Youth </w:t>
                </w:r>
                <w:r>
                  <w:rPr>
                    <w:color w:val="8BA8BD"/>
                    <w:w w:val="115"/>
                    <w:sz w:val="26"/>
                  </w:rPr>
                  <w:t>and </w:t>
                </w:r>
                <w:r>
                  <w:rPr>
                    <w:color w:val="8BA8BD"/>
                    <w:spacing w:val="-5"/>
                    <w:w w:val="115"/>
                    <w:sz w:val="26"/>
                  </w:rPr>
                  <w:t>Children’s</w:t>
                </w:r>
                <w:r>
                  <w:rPr>
                    <w:color w:val="8BA8BD"/>
                    <w:spacing w:val="47"/>
                    <w:w w:val="115"/>
                    <w:sz w:val="26"/>
                  </w:rPr>
                  <w:t> </w:t>
                </w:r>
                <w:r>
                  <w:rPr>
                    <w:color w:val="8BA8BD"/>
                    <w:w w:val="115"/>
                    <w:sz w:val="26"/>
                  </w:rPr>
                  <w:t>Work</w:t>
                </w:r>
              </w:p>
            </w:txbxContent>
          </v:textbox>
          <w10:wrap type="none"/>
        </v:shape>
      </w:pic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300864" filled="true" fillcolor="#8ba8bd" stroked="false">
          <v:fill type="solid"/>
          <w10:wrap type="none"/>
        </v:rect>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99840" filled="true" fillcolor="#8ba8bd" stroked="false">
          <v:fill type="solid"/>
          <w10:wrap type="none"/>
        </v:rect>
      </w:pict>
    </w:r>
    <w:r>
      <w:rPr/>
      <w:pict>
        <v:rect style="position:absolute;margin-left:12.047pt;margin-top:30.472015pt;width:22.677pt;height:22.677pt;mso-position-horizontal-relative:page;mso-position-vertical-relative:page;z-index:-267298816" filled="true" fillcolor="#c2d2df" stroked="false">
          <v:fill type="solid"/>
          <w10:wrap type="none"/>
        </v:rect>
      </w:pict>
    </w:r>
    <w:r>
      <w:rPr/>
      <w:pict>
        <v:shape style="position:absolute;margin-left:45.771599pt;margin-top:30.272114pt;width:101.65pt;height:18.05pt;mso-position-horizontal-relative:page;mso-position-vertical-relative:page;z-index:-267297792" type="#_x0000_t202" filled="false" stroked="false">
          <v:textbox inset="0,0,0,0">
            <w:txbxContent>
              <w:p>
                <w:pPr>
                  <w:spacing w:before="26"/>
                  <w:ind w:left="20" w:right="0" w:firstLine="0"/>
                  <w:jc w:val="left"/>
                  <w:rPr>
                    <w:sz w:val="26"/>
                  </w:rPr>
                </w:pPr>
                <w:r>
                  <w:rPr>
                    <w:color w:val="8BA8BD"/>
                    <w:w w:val="120"/>
                    <w:sz w:val="26"/>
                  </w:rPr>
                  <w:t>Church changes</w:t>
                </w:r>
              </w:p>
            </w:txbxContent>
          </v:textbox>
          <w10:wrap type="none"/>
        </v:shape>
      </w:pic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96768" filled="true" fillcolor="#8ba8bd" stroked="false">
          <v:fill type="solid"/>
          <w10:wrap type="none"/>
        </v:rect>
      </w:pict>
    </w:r>
    <w:r>
      <w:rPr/>
      <w:pict>
        <v:rect style="position:absolute;margin-left:12.047pt;margin-top:30.472015pt;width:22.677pt;height:22.677pt;mso-position-horizontal-relative:page;mso-position-vertical-relative:page;z-index:-267295744" filled="true" fillcolor="#c2d2df" stroked="false">
          <v:fill type="solid"/>
          <w10:wrap type="none"/>
        </v:rect>
      </w:pict>
    </w:r>
    <w:r>
      <w:rPr/>
      <w:pict>
        <v:shape style="position:absolute;margin-left:45.771599pt;margin-top:30.272114pt;width:101.65pt;height:18.05pt;mso-position-horizontal-relative:page;mso-position-vertical-relative:page;z-index:-267294720" type="#_x0000_t202" filled="false" stroked="false">
          <v:textbox inset="0,0,0,0">
            <w:txbxContent>
              <w:p>
                <w:pPr>
                  <w:spacing w:before="26"/>
                  <w:ind w:left="20" w:right="0" w:firstLine="0"/>
                  <w:jc w:val="left"/>
                  <w:rPr>
                    <w:sz w:val="26"/>
                  </w:rPr>
                </w:pPr>
                <w:r>
                  <w:rPr>
                    <w:color w:val="8BA8BD"/>
                    <w:w w:val="120"/>
                    <w:sz w:val="26"/>
                  </w:rPr>
                  <w:t>Church changes</w:t>
                </w:r>
              </w:p>
            </w:txbxContent>
          </v:textbox>
          <w10:wrap type="none"/>
        </v:shape>
      </w:pict>
    </w: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93696" filled="true" fillcolor="#8ba8bd" stroked="false">
          <v:fill type="solid"/>
          <w10:wrap type="none"/>
        </v:rect>
      </w:pict>
    </w:r>
    <w:r>
      <w:rPr/>
      <w:pict>
        <v:rect style="position:absolute;margin-left:558.424988pt;margin-top:31.299015pt;width:22.677pt;height:22.677pt;mso-position-horizontal-relative:page;mso-position-vertical-relative:page;z-index:-267292672" filled="true" fillcolor="#c2d2df" stroked="false">
          <v:fill type="solid"/>
          <w10:wrap type="none"/>
        </v:rect>
      </w:pict>
    </w:r>
    <w:r>
      <w:rPr/>
      <w:pict>
        <v:shape style="position:absolute;margin-left:447.867401pt;margin-top:30.272114pt;width:101.65pt;height:18.05pt;mso-position-horizontal-relative:page;mso-position-vertical-relative:page;z-index:-267291648" type="#_x0000_t202" filled="false" stroked="false">
          <v:textbox inset="0,0,0,0">
            <w:txbxContent>
              <w:p>
                <w:pPr>
                  <w:spacing w:before="26"/>
                  <w:ind w:left="20" w:right="0" w:firstLine="0"/>
                  <w:jc w:val="left"/>
                  <w:rPr>
                    <w:sz w:val="26"/>
                  </w:rPr>
                </w:pPr>
                <w:r>
                  <w:rPr>
                    <w:color w:val="8BA8BD"/>
                    <w:w w:val="120"/>
                    <w:sz w:val="26"/>
                  </w:rPr>
                  <w:t>Church changes</w:t>
                </w:r>
              </w:p>
            </w:txbxContent>
          </v:textbox>
          <w10:wrap type="none"/>
        </v:shape>
      </w:pict>
    </w: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7552" filled="true" fillcolor="#a1bf37" stroked="false">
          <v:fill type="solid"/>
          <w10:wrap type="none"/>
        </v:rect>
      </w:pict>
    </w: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6528" filled="true" fillcolor="#a1bf37" stroked="false">
          <v:fill type="solid"/>
          <w10:wrap type="none"/>
        </v:rect>
      </w:pict>
    </w: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5504" filled="true" fillcolor="#a1bf37" stroked="false">
          <v:fill type="solid"/>
          <w10:wrap type="none"/>
        </v:rect>
      </w:pict>
    </w: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4480" filled="true" fillcolor="#a1bf37" stroked="false">
          <v:fill type="solid"/>
          <w10:wrap type="none"/>
        </v:rec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3456" filled="true" fillcolor="#a1bf37" stroked="false">
          <v:fill type="solid"/>
          <w10:wrap type="none"/>
        </v:rect>
      </w:pict>
    </w: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80384" filled="true" fillcolor="#a1bf37" stroked="false">
          <v:fill type="solid"/>
          <w10:wrap type="none"/>
        </v:rect>
      </w:pict>
    </w: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77312" filled="true" fillcolor="#a1bf37" stroked="false">
          <v:fill type="solid"/>
          <w10:wrap type="none"/>
        </v:rect>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74240" filled="true" fillcolor="#a1bf37" stroked="false">
          <v:fill type="solid"/>
          <w10:wrap type="none"/>
        </v:rect>
      </w:pict>
    </w: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73216" filled="true" fillcolor="#a1bf37" stroked="false">
          <v:fill type="solid"/>
          <w10:wrap type="none"/>
        </v:rect>
      </w:pict>
    </w:r>
    <w:r>
      <w:rPr/>
      <w:pict>
        <v:rect style="position:absolute;margin-left:12.047pt;margin-top:30.472015pt;width:22.677pt;height:22.677pt;mso-position-horizontal-relative:page;mso-position-vertical-relative:page;z-index:-267272192" filled="true" fillcolor="#d3de9d" stroked="false">
          <v:fill type="solid"/>
          <w10:wrap type="none"/>
        </v:rect>
      </w:pict>
    </w:r>
    <w:r>
      <w:rPr/>
      <w:pict>
        <v:shape style="position:absolute;margin-left:45.771599pt;margin-top:30.272114pt;width:79.55pt;height:18.05pt;mso-position-horizontal-relative:page;mso-position-vertical-relative:page;z-index:-267271168" type="#_x0000_t202" filled="false" stroked="false">
          <v:textbox inset="0,0,0,0">
            <w:txbxContent>
              <w:p>
                <w:pPr>
                  <w:spacing w:before="26"/>
                  <w:ind w:left="20" w:right="0" w:firstLine="0"/>
                  <w:jc w:val="left"/>
                  <w:rPr>
                    <w:sz w:val="26"/>
                  </w:rPr>
                </w:pPr>
                <w:r>
                  <w:rPr>
                    <w:color w:val="A1BF37"/>
                    <w:w w:val="115"/>
                    <w:sz w:val="26"/>
                  </w:rPr>
                  <w:t>Appendix 4a</w:t>
                </w:r>
              </w:p>
            </w:txbxContent>
          </v:textbox>
          <w10:wrap type="none"/>
        </v:shape>
      </w:pic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70144" filled="true" fillcolor="#a1bf37" stroked="false">
          <v:fill type="solid"/>
          <w10:wrap type="none"/>
        </v:rect>
      </w:pict>
    </w:r>
    <w:r>
      <w:rPr/>
      <w:pict>
        <v:rect style="position:absolute;margin-left:12.047pt;margin-top:30.472015pt;width:22.677pt;height:22.677pt;mso-position-horizontal-relative:page;mso-position-vertical-relative:page;z-index:-267269120" filled="true" fillcolor="#d3de9d" stroked="false">
          <v:fill type="solid"/>
          <w10:wrap type="none"/>
        </v:rect>
      </w:pict>
    </w:r>
    <w:r>
      <w:rPr/>
      <w:pict>
        <v:shape style="position:absolute;margin-left:45.771599pt;margin-top:30.272114pt;width:79.55pt;height:18.05pt;mso-position-horizontal-relative:page;mso-position-vertical-relative:page;z-index:-267268096" type="#_x0000_t202" filled="false" stroked="false">
          <v:textbox inset="0,0,0,0">
            <w:txbxContent>
              <w:p>
                <w:pPr>
                  <w:spacing w:before="26"/>
                  <w:ind w:left="20" w:right="0" w:firstLine="0"/>
                  <w:jc w:val="left"/>
                  <w:rPr>
                    <w:sz w:val="26"/>
                  </w:rPr>
                </w:pPr>
                <w:r>
                  <w:rPr>
                    <w:color w:val="A1BF37"/>
                    <w:w w:val="115"/>
                    <w:sz w:val="26"/>
                  </w:rPr>
                  <w:t>Appendix 4a</w:t>
                </w:r>
              </w:p>
            </w:txbxContent>
          </v:textbox>
          <w10:wrap type="none"/>
        </v:shape>
      </w:pict>
    </w: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67072" filled="true" fillcolor="#a1bf37" stroked="false">
          <v:fill type="solid"/>
          <w10:wrap type="none"/>
        </v:rect>
      </w:pict>
    </w:r>
    <w:r>
      <w:rPr/>
      <w:pict>
        <v:rect style="position:absolute;margin-left:558.424988pt;margin-top:31.299015pt;width:22.677pt;height:22.677pt;mso-position-horizontal-relative:page;mso-position-vertical-relative:page;z-index:-267266048" filled="true" fillcolor="#d3de9d" stroked="false">
          <v:fill type="solid"/>
          <w10:wrap type="none"/>
        </v:rect>
      </w:pict>
    </w:r>
    <w:r>
      <w:rPr/>
      <w:pict>
        <v:shape style="position:absolute;margin-left:469.98761pt;margin-top:30.272114pt;width:79.55pt;height:18.05pt;mso-position-horizontal-relative:page;mso-position-vertical-relative:page;z-index:-267265024" type="#_x0000_t202" filled="false" stroked="false">
          <v:textbox inset="0,0,0,0">
            <w:txbxContent>
              <w:p>
                <w:pPr>
                  <w:spacing w:before="26"/>
                  <w:ind w:left="20" w:right="0" w:firstLine="0"/>
                  <w:jc w:val="left"/>
                  <w:rPr>
                    <w:sz w:val="26"/>
                  </w:rPr>
                </w:pPr>
                <w:r>
                  <w:rPr>
                    <w:color w:val="A1BF37"/>
                    <w:w w:val="115"/>
                    <w:sz w:val="26"/>
                  </w:rPr>
                  <w:t>Appendix 4a</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715584" filled="true" fillcolor="#eab817" stroked="false">
          <v:fill type="solid"/>
          <w10:wrap type="none"/>
        </v:rect>
      </w:pict>
    </w:r>
    <w:r>
      <w:rPr/>
      <w:pict>
        <v:rect style="position:absolute;margin-left:12.047pt;margin-top:30.472015pt;width:22.677pt;height:22.677pt;mso-position-horizontal-relative:page;mso-position-vertical-relative:page;z-index:-267714560" filled="true" fillcolor="#f5db95" stroked="false">
          <v:fill type="solid"/>
          <w10:wrap type="none"/>
        </v:rect>
      </w:pict>
    </w:r>
    <w:r>
      <w:rPr/>
      <w:pict>
        <v:shape style="position:absolute;margin-left:45.771599pt;margin-top:27.443817pt;width:229.7pt;height:12.65pt;mso-position-horizontal-relative:page;mso-position-vertical-relative:page;z-index:-267713536"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60928" filled="true" fillcolor="#a1bf37" stroked="false">
          <v:fill type="solid"/>
          <w10:wrap type="none"/>
        </v:rect>
      </w:pict>
    </w: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59904" filled="true" fillcolor="#a1bf37" stroked="false">
          <v:fill type="solid"/>
          <w10:wrap type="none"/>
        </v:rect>
      </w:pict>
    </w:r>
    <w:r>
      <w:rPr/>
      <w:pict>
        <v:rect style="position:absolute;margin-left:12.047pt;margin-top:30.472015pt;width:22.677pt;height:22.677pt;mso-position-horizontal-relative:page;mso-position-vertical-relative:page;z-index:-267258880" filled="true" fillcolor="#d3de9d" stroked="false">
          <v:fill type="solid"/>
          <w10:wrap type="none"/>
        </v:rect>
      </w:pict>
    </w:r>
    <w:r>
      <w:rPr/>
      <w:pict>
        <v:shape style="position:absolute;margin-left:45.771599pt;margin-top:30.272114pt;width:81.350pt;height:18.05pt;mso-position-horizontal-relative:page;mso-position-vertical-relative:page;z-index:-267257856"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56832" filled="true" fillcolor="#a1bf37" stroked="false">
          <v:fill type="solid"/>
          <w10:wrap type="none"/>
        </v:rect>
      </w:pict>
    </w:r>
    <w:r>
      <w:rPr/>
      <w:pict>
        <v:rect style="position:absolute;margin-left:12.047pt;margin-top:30.472015pt;width:22.677pt;height:22.677pt;mso-position-horizontal-relative:page;mso-position-vertical-relative:page;z-index:-267255808" filled="true" fillcolor="#d3de9d" stroked="false">
          <v:fill type="solid"/>
          <w10:wrap type="none"/>
        </v:rect>
      </w:pict>
    </w:r>
    <w:r>
      <w:rPr/>
      <w:pict>
        <v:shape style="position:absolute;margin-left:45.771599pt;margin-top:30.272114pt;width:81.350pt;height:18.05pt;mso-position-horizontal-relative:page;mso-position-vertical-relative:page;z-index:-267254784"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53760" filled="true" fillcolor="#a1bf37" stroked="false">
          <v:fill type="solid"/>
          <w10:wrap type="none"/>
        </v:rect>
      </w:pict>
    </w:r>
    <w:r>
      <w:rPr/>
      <w:pict>
        <v:rect style="position:absolute;margin-left:558.424988pt;margin-top:31.299015pt;width:22.677pt;height:22.677pt;mso-position-horizontal-relative:page;mso-position-vertical-relative:page;z-index:-267252736" filled="true" fillcolor="#d3de9d" stroked="false">
          <v:fill type="solid"/>
          <w10:wrap type="none"/>
        </v:rect>
      </w:pict>
    </w:r>
    <w:r>
      <w:rPr/>
      <w:pict>
        <v:shape style="position:absolute;margin-left:468.195709pt;margin-top:30.272114pt;width:81.350pt;height:18.05pt;mso-position-horizontal-relative:page;mso-position-vertical-relative:page;z-index:-267251712"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47616" filled="true" fillcolor="#a1bf37" stroked="false">
          <v:fill type="solid"/>
          <w10:wrap type="none"/>
        </v:rect>
      </w:pict>
    </w:r>
    <w:r>
      <w:rPr/>
      <w:pict>
        <v:rect style="position:absolute;margin-left:12.047pt;margin-top:30.472015pt;width:22.677pt;height:22.677pt;mso-position-horizontal-relative:page;mso-position-vertical-relative:page;z-index:-267246592" filled="true" fillcolor="#d3de9d" stroked="false">
          <v:fill type="solid"/>
          <w10:wrap type="none"/>
        </v:rect>
      </w:pict>
    </w:r>
    <w:r>
      <w:rPr/>
      <w:pict>
        <v:shape style="position:absolute;margin-left:45.771599pt;margin-top:30.272114pt;width:81.350pt;height:18.05pt;mso-position-horizontal-relative:page;mso-position-vertical-relative:page;z-index:-267245568"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44544" filled="true" fillcolor="#a1bf37" stroked="false">
          <v:fill type="solid"/>
          <w10:wrap type="none"/>
        </v:rect>
      </w:pict>
    </w:r>
    <w:r>
      <w:rPr/>
      <w:pict>
        <v:rect style="position:absolute;margin-left:558.424988pt;margin-top:31.299015pt;width:22.677pt;height:22.677pt;mso-position-horizontal-relative:page;mso-position-vertical-relative:page;z-index:-267243520" filled="true" fillcolor="#d3de9d" stroked="false">
          <v:fill type="solid"/>
          <w10:wrap type="none"/>
        </v:rect>
      </w:pict>
    </w:r>
    <w:r>
      <w:rPr/>
      <w:pict>
        <v:shape style="position:absolute;margin-left:468.195709pt;margin-top:30.272114pt;width:81.350pt;height:18.05pt;mso-position-horizontal-relative:page;mso-position-vertical-relative:page;z-index:-267242496"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38400" filled="true" fillcolor="#a1bf37" stroked="false">
          <v:fill type="solid"/>
          <w10:wrap type="none"/>
        </v:rect>
      </w:pict>
    </w:r>
    <w:r>
      <w:rPr/>
      <w:pict>
        <v:rect style="position:absolute;margin-left:12.047pt;margin-top:30.472015pt;width:22.677pt;height:22.677pt;mso-position-horizontal-relative:page;mso-position-vertical-relative:page;z-index:-267237376" filled="true" fillcolor="#d3de9d" stroked="false">
          <v:fill type="solid"/>
          <w10:wrap type="none"/>
        </v:rect>
      </w:pict>
    </w:r>
    <w:r>
      <w:rPr/>
      <w:pict>
        <v:shape style="position:absolute;margin-left:45.771599pt;margin-top:30.272114pt;width:81.350pt;height:18.05pt;mso-position-horizontal-relative:page;mso-position-vertical-relative:page;z-index:-267236352"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35328" filled="true" fillcolor="#a1bf37" stroked="false">
          <v:fill type="solid"/>
          <w10:wrap type="none"/>
        </v:rect>
      </w:pict>
    </w:r>
    <w:r>
      <w:rPr/>
      <w:pict>
        <v:rect style="position:absolute;margin-left:558.424988pt;margin-top:31.299015pt;width:22.677pt;height:22.677pt;mso-position-horizontal-relative:page;mso-position-vertical-relative:page;z-index:-267234304" filled="true" fillcolor="#d3de9d" stroked="false">
          <v:fill type="solid"/>
          <w10:wrap type="none"/>
        </v:rect>
      </w:pict>
    </w:r>
    <w:r>
      <w:rPr/>
      <w:pict>
        <v:shape style="position:absolute;margin-left:468.195709pt;margin-top:30.272114pt;width:81.350pt;height:18.05pt;mso-position-horizontal-relative:page;mso-position-vertical-relative:page;z-index:-267233280" type="#_x0000_t202" filled="false" stroked="false">
          <v:textbox inset="0,0,0,0">
            <w:txbxContent>
              <w:p>
                <w:pPr>
                  <w:spacing w:before="26"/>
                  <w:ind w:left="20" w:right="0" w:firstLine="0"/>
                  <w:jc w:val="left"/>
                  <w:rPr>
                    <w:sz w:val="26"/>
                  </w:rPr>
                </w:pPr>
                <w:r>
                  <w:rPr>
                    <w:color w:val="A1BF37"/>
                    <w:w w:val="120"/>
                    <w:sz w:val="26"/>
                  </w:rPr>
                  <w:t>Appendix 4b</w:t>
                </w:r>
              </w:p>
            </w:txbxContent>
          </v:textbox>
          <w10:wrap type="none"/>
        </v:shape>
      </w:pict>
    </w: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229184" filled="true" fillcolor="#9662a1"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00015pt;width:22.677pt;height:23.504pt;mso-position-horizontal-relative:page;mso-position-vertical-relative:page;z-index:-267712512" filled="true" fillcolor="#eab817" stroked="false">
          <v:fill type="solid"/>
          <w10:wrap type="none"/>
        </v:rect>
      </w:pict>
    </w:r>
    <w:r>
      <w:rPr/>
      <w:pict>
        <v:rect style="position:absolute;margin-left:558.424988pt;margin-top:31.299015pt;width:22.677pt;height:22.677pt;mso-position-horizontal-relative:page;mso-position-vertical-relative:page;z-index:-267711488" filled="true" fillcolor="#f5db95" stroked="false">
          <v:fill type="solid"/>
          <w10:wrap type="none"/>
        </v:rect>
      </w:pict>
    </w:r>
    <w:r>
      <w:rPr/>
      <w:pict>
        <v:shape style="position:absolute;margin-left:319.803589pt;margin-top:27.443817pt;width:229.7pt;height:12.65pt;mso-position-horizontal-relative:page;mso-position-vertical-relative:page;z-index:-267710464"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28160" filled="true" fillcolor="#9662a1" stroked="false">
          <v:fill type="solid"/>
          <w10:wrap type="none"/>
        </v:rect>
      </w:pict>
    </w:r>
    <w:r>
      <w:rPr/>
      <w:pict>
        <v:shape style="position:absolute;margin-left:45.771599pt;margin-top:30.272114pt;width:71.9pt;height:18.05pt;mso-position-horizontal-relative:page;mso-position-vertical-relative:page;z-index:-267227136"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226112" filled="true" fillcolor="#9662a1" stroked="false">
          <v:fill type="solid"/>
          <w10:wrap type="none"/>
        </v:rect>
      </w:pict>
    </w:r>
    <w:r>
      <w:rPr/>
      <w:pict>
        <v:shape style="position:absolute;margin-left:45.771599pt;margin-top:30.272114pt;width:71.9pt;height:18.05pt;mso-position-horizontal-relative:page;mso-position-vertical-relative:page;z-index:-267225088"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224064" filled="true" fillcolor="#9662a1" stroked="false">
          <v:fill type="solid"/>
          <w10:wrap type="none"/>
        </v:rect>
      </w:pict>
    </w:r>
    <w:r>
      <w:rPr/>
      <w:pict>
        <v:rect style="position:absolute;margin-left:558.424988pt;margin-top:31.299015pt;width:22.677pt;height:22.677pt;mso-position-horizontal-relative:page;mso-position-vertical-relative:page;z-index:-267223040" filled="true" fillcolor="#c7b1d3" stroked="false">
          <v:fill type="solid"/>
          <w10:wrap type="none"/>
        </v:rect>
      </w:pict>
    </w:r>
    <w:r>
      <w:rPr/>
      <w:pict>
        <v:shape style="position:absolute;margin-left:477.645386pt;margin-top:30.272114pt;width:71.9pt;height:18.05pt;mso-position-horizontal-relative:page;mso-position-vertical-relative:page;z-index:-267222016"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217920" filled="true" fillcolor="#9662a1" stroked="false">
          <v:fill type="solid"/>
          <w10:wrap type="none"/>
        </v:rect>
      </w:pict>
    </w:r>
    <w:r>
      <w:rPr/>
      <w:pict>
        <v:rect style="position:absolute;margin-left:12.047pt;margin-top:30.480015pt;width:22.677pt;height:22.677pt;mso-position-horizontal-relative:page;mso-position-vertical-relative:page;z-index:-267216896" filled="true" fillcolor="#c7b1d3" stroked="false">
          <v:fill type="solid"/>
          <w10:wrap type="none"/>
        </v:rect>
      </w:pict>
    </w:r>
    <w:r>
      <w:rPr/>
      <w:pict>
        <v:shape style="position:absolute;margin-left:45.771599pt;margin-top:30.279915pt;width:71.9pt;height:18.05pt;mso-position-horizontal-relative:page;mso-position-vertical-relative:page;z-index:-267215872"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214848" filled="true" fillcolor="#9662a1" stroked="false">
          <v:fill type="solid"/>
          <w10:wrap type="none"/>
        </v:rect>
      </w:pict>
    </w:r>
    <w:r>
      <w:rPr/>
      <w:pict>
        <v:rect style="position:absolute;margin-left:558.424988pt;margin-top:31.307014pt;width:22.677pt;height:22.677pt;mso-position-horizontal-relative:page;mso-position-vertical-relative:page;z-index:-267213824" filled="true" fillcolor="#c7b1d3" stroked="false">
          <v:fill type="solid"/>
          <w10:wrap type="none"/>
        </v:rect>
      </w:pict>
    </w:r>
    <w:r>
      <w:rPr/>
      <w:pict>
        <v:shape style="position:absolute;margin-left:477.645386pt;margin-top:30.279915pt;width:71.9pt;height:18.05pt;mso-position-horizontal-relative:page;mso-position-vertical-relative:page;z-index:-267212800"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208704" filled="true" fillcolor="#9662a1" stroked="false">
          <v:fill type="solid"/>
          <w10:wrap type="none"/>
        </v:rect>
      </w:pict>
    </w:r>
    <w:r>
      <w:rPr/>
      <w:pict>
        <v:rect style="position:absolute;margin-left:12.047pt;margin-top:30.480015pt;width:22.677pt;height:22.677pt;mso-position-horizontal-relative:page;mso-position-vertical-relative:page;z-index:-267207680" filled="true" fillcolor="#c7b1d3" stroked="false">
          <v:fill type="solid"/>
          <w10:wrap type="none"/>
        </v:rect>
      </w:pict>
    </w:r>
    <w:r>
      <w:rPr/>
      <w:pict>
        <v:shape style="position:absolute;margin-left:45.771599pt;margin-top:30.279915pt;width:71.9pt;height:18.05pt;mso-position-horizontal-relative:page;mso-position-vertical-relative:page;z-index:-267206656"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205632" filled="true" fillcolor="#9662a1" stroked="false">
          <v:fill type="solid"/>
          <w10:wrap type="none"/>
        </v:rect>
      </w:pict>
    </w:r>
    <w:r>
      <w:rPr/>
      <w:pict>
        <v:rect style="position:absolute;margin-left:558.424988pt;margin-top:31.307014pt;width:22.677pt;height:22.677pt;mso-position-horizontal-relative:page;mso-position-vertical-relative:page;z-index:-267204608" filled="true" fillcolor="#c7b1d3" stroked="false">
          <v:fill type="solid"/>
          <w10:wrap type="none"/>
        </v:rect>
      </w:pict>
    </w:r>
    <w:r>
      <w:rPr/>
      <w:pict>
        <v:shape style="position:absolute;margin-left:477.645386pt;margin-top:30.279915pt;width:71.9pt;height:18.05pt;mso-position-horizontal-relative:page;mso-position-vertical-relative:page;z-index:-267203584"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199488" filled="true" fillcolor="#9662a1" stroked="false">
          <v:fill type="solid"/>
          <w10:wrap type="none"/>
        </v:rect>
      </w:pict>
    </w:r>
    <w:r>
      <w:rPr/>
      <w:pict>
        <v:rect style="position:absolute;margin-left:12.047pt;margin-top:30.480015pt;width:22.677pt;height:22.677pt;mso-position-horizontal-relative:page;mso-position-vertical-relative:page;z-index:-267198464" filled="true" fillcolor="#c7b1d3" stroked="false">
          <v:fill type="solid"/>
          <w10:wrap type="none"/>
        </v:rect>
      </w:pict>
    </w:r>
    <w:r>
      <w:rPr/>
      <w:pict>
        <v:shape style="position:absolute;margin-left:45.771599pt;margin-top:30.279915pt;width:71.9pt;height:18.05pt;mso-position-horizontal-relative:page;mso-position-vertical-relative:page;z-index:-267197440"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196416" filled="true" fillcolor="#9662a1" stroked="false">
          <v:fill type="solid"/>
          <w10:wrap type="none"/>
        </v:rect>
      </w:pict>
    </w:r>
    <w:r>
      <w:rPr/>
      <w:pict>
        <v:rect style="position:absolute;margin-left:558.424988pt;margin-top:31.307014pt;width:22.677pt;height:22.677pt;mso-position-horizontal-relative:page;mso-position-vertical-relative:page;z-index:-267195392" filled="true" fillcolor="#c7b1d3" stroked="false">
          <v:fill type="solid"/>
          <w10:wrap type="none"/>
        </v:rect>
      </w:pict>
    </w:r>
    <w:r>
      <w:rPr/>
      <w:pict>
        <v:shape style="position:absolute;margin-left:477.645386pt;margin-top:30.279915pt;width:71.9pt;height:18.05pt;mso-position-horizontal-relative:page;mso-position-vertical-relative:page;z-index:-267194368"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190272" filled="true" fillcolor="#9662a1" stroked="false">
          <v:fill type="solid"/>
          <w10:wrap type="none"/>
        </v:rect>
      </w:pict>
    </w:r>
    <w:r>
      <w:rPr/>
      <w:pict>
        <v:rect style="position:absolute;margin-left:12.047pt;margin-top:30.480015pt;width:22.677pt;height:22.677pt;mso-position-horizontal-relative:page;mso-position-vertical-relative:page;z-index:-267189248" filled="true" fillcolor="#c7b1d3" stroked="false">
          <v:fill type="solid"/>
          <w10:wrap type="none"/>
        </v:rect>
      </w:pict>
    </w:r>
    <w:r>
      <w:rPr/>
      <w:pict>
        <v:rect style="position:absolute;margin-left:12.047pt;margin-top:61.661015pt;width:22.677pt;height:22.677pt;mso-position-horizontal-relative:page;mso-position-vertical-relative:page;z-index:-267188224" filled="true" fillcolor="#dcd0e6" stroked="false">
          <v:fill opacity="32768f" type="solid"/>
          <w10:wrap type="none"/>
        </v:rect>
      </w:pict>
    </w:r>
    <w:r>
      <w:rPr/>
      <w:pict>
        <v:shape style="position:absolute;margin-left:45.771599pt;margin-top:30.279915pt;width:71.9pt;height:18.05pt;mso-position-horizontal-relative:page;mso-position-vertical-relative:page;z-index:-267187200"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00015pt;width:22.677pt;height:23.504pt;mso-position-horizontal-relative:page;mso-position-vertical-relative:page;z-index:-267709440" filled="true" fillcolor="#eab817" stroked="false">
          <v:fill type="solid"/>
          <w10:wrap type="none"/>
        </v:rect>
      </w:pict>
    </w:r>
    <w:r>
      <w:rPr/>
      <w:pict>
        <v:rect style="position:absolute;margin-left:558.424988pt;margin-top:31.299015pt;width:22.677pt;height:22.677pt;mso-position-horizontal-relative:page;mso-position-vertical-relative:page;z-index:-267708416" filled="true" fillcolor="#f5db95" stroked="false">
          <v:fill type="solid"/>
          <w10:wrap type="none"/>
        </v:rect>
      </w:pict>
    </w:r>
    <w:r>
      <w:rPr/>
      <w:pict>
        <v:shape style="position:absolute;margin-left:319.803589pt;margin-top:27.443817pt;width:229.7pt;height:12.65pt;mso-position-horizontal-relative:page;mso-position-vertical-relative:page;z-index:-267707392"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186176" filled="true" fillcolor="#9662a1" stroked="false">
          <v:fill type="solid"/>
          <w10:wrap type="none"/>
        </v:rect>
      </w:pict>
    </w:r>
    <w:r>
      <w:rPr/>
      <w:pict>
        <v:rect style="position:absolute;margin-left:558.424988pt;margin-top:31.307014pt;width:22.677pt;height:22.677pt;mso-position-horizontal-relative:page;mso-position-vertical-relative:page;z-index:-267185152" filled="true" fillcolor="#c7b1d3" stroked="false">
          <v:fill type="solid"/>
          <w10:wrap type="none"/>
        </v:rect>
      </w:pict>
    </w:r>
    <w:r>
      <w:rPr/>
      <w:pict>
        <v:shape style="position:absolute;margin-left:477.645386pt;margin-top:30.279915pt;width:71.9pt;height:18.05pt;mso-position-horizontal-relative:page;mso-position-vertical-relative:page;z-index:-267184128"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180032" filled="true" fillcolor="#9662a1" stroked="false">
          <v:fill type="solid"/>
          <w10:wrap type="none"/>
        </v:rect>
      </w:pict>
    </w:r>
    <w:r>
      <w:rPr/>
      <w:pict>
        <v:rect style="position:absolute;margin-left:12.047pt;margin-top:30.480015pt;width:22.677pt;height:22.677pt;mso-position-horizontal-relative:page;mso-position-vertical-relative:page;z-index:-267179008" filled="true" fillcolor="#c7b1d3" stroked="false">
          <v:fill type="solid"/>
          <w10:wrap type="none"/>
        </v:rect>
      </w:pict>
    </w:r>
    <w:r>
      <w:rPr/>
      <w:pict>
        <v:shape style="position:absolute;margin-left:45.771599pt;margin-top:30.279915pt;width:71.9pt;height:18.05pt;mso-position-horizontal-relative:page;mso-position-vertical-relative:page;z-index:-267177984"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176960" filled="true" fillcolor="#9662a1" stroked="false">
          <v:fill type="solid"/>
          <w10:wrap type="none"/>
        </v:rect>
      </w:pict>
    </w:r>
    <w:r>
      <w:rPr/>
      <w:pict>
        <v:rect style="position:absolute;margin-left:558.424988pt;margin-top:31.307014pt;width:22.677pt;height:22.677pt;mso-position-horizontal-relative:page;mso-position-vertical-relative:page;z-index:-267175936" filled="true" fillcolor="#c7b1d3" stroked="false">
          <v:fill type="solid"/>
          <w10:wrap type="none"/>
        </v:rect>
      </w:pict>
    </w:r>
    <w:r>
      <w:rPr/>
      <w:pict>
        <v:shape style="position:absolute;margin-left:477.645386pt;margin-top:30.279915pt;width:71.9pt;height:18.05pt;mso-position-horizontal-relative:page;mso-position-vertical-relative:page;z-index:-267174912"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170816" filled="true" fillcolor="#9662a1" stroked="false">
          <v:fill type="solid"/>
          <w10:wrap type="none"/>
        </v:rect>
      </w:pict>
    </w:r>
    <w:r>
      <w:rPr/>
      <w:pict>
        <v:rect style="position:absolute;margin-left:12.047pt;margin-top:30.480015pt;width:22.677pt;height:22.677pt;mso-position-horizontal-relative:page;mso-position-vertical-relative:page;z-index:-267169792" filled="true" fillcolor="#c7b1d3" stroked="false">
          <v:fill type="solid"/>
          <w10:wrap type="none"/>
        </v:rect>
      </w:pict>
    </w:r>
    <w:r>
      <w:rPr/>
      <w:pict>
        <v:shape style="position:absolute;margin-left:45.771599pt;margin-top:30.279915pt;width:71.9pt;height:18.05pt;mso-position-horizontal-relative:page;mso-position-vertical-relative:page;z-index:-267168768"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167744" filled="true" fillcolor="#9662a1" stroked="false">
          <v:fill type="solid"/>
          <w10:wrap type="none"/>
        </v:rect>
      </w:pict>
    </w:r>
    <w:r>
      <w:rPr/>
      <w:pict>
        <v:rect style="position:absolute;margin-left:558.424988pt;margin-top:31.307014pt;width:22.677pt;height:22.677pt;mso-position-horizontal-relative:page;mso-position-vertical-relative:page;z-index:-267166720" filled="true" fillcolor="#c7b1d3" stroked="false">
          <v:fill type="solid"/>
          <w10:wrap type="none"/>
        </v:rect>
      </w:pict>
    </w:r>
    <w:r>
      <w:rPr/>
      <w:pict>
        <v:shape style="position:absolute;margin-left:477.645386pt;margin-top:30.279915pt;width:71.9pt;height:18.05pt;mso-position-horizontal-relative:page;mso-position-vertical-relative:page;z-index:-267165696"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85015pt;mso-position-horizontal-relative:page;mso-position-vertical-relative:page;z-index:-267161600" filled="true" fillcolor="#9662a1" stroked="false">
          <v:fill type="solid"/>
          <w10:wrap type="none"/>
        </v:rect>
      </w:pict>
    </w:r>
    <w:r>
      <w:rPr/>
      <w:pict>
        <v:rect style="position:absolute;margin-left:12.047pt;margin-top:30.480015pt;width:22.677pt;height:22.677pt;mso-position-horizontal-relative:page;mso-position-vertical-relative:page;z-index:-267160576" filled="true" fillcolor="#c7b1d3" stroked="false">
          <v:fill type="solid"/>
          <w10:wrap type="none"/>
        </v:rect>
      </w:pict>
    </w:r>
    <w:r>
      <w:rPr/>
      <w:pict>
        <v:shape style="position:absolute;margin-left:45.771599pt;margin-top:30.279915pt;width:71.9pt;height:18.05pt;mso-position-horizontal-relative:page;mso-position-vertical-relative:page;z-index:-267159552"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12015pt;mso-position-horizontal-relative:page;mso-position-vertical-relative:page;z-index:-267158528" filled="true" fillcolor="#9662a1" stroked="false">
          <v:fill type="solid"/>
          <w10:wrap type="none"/>
        </v:rect>
      </w:pict>
    </w:r>
    <w:r>
      <w:rPr/>
      <w:pict>
        <v:rect style="position:absolute;margin-left:558.424988pt;margin-top:31.307014pt;width:22.677pt;height:22.677pt;mso-position-horizontal-relative:page;mso-position-vertical-relative:page;z-index:-267157504" filled="true" fillcolor="#c7b1d3" stroked="false">
          <v:fill type="solid"/>
          <w10:wrap type="none"/>
        </v:rect>
      </w:pict>
    </w:r>
    <w:r>
      <w:rPr/>
      <w:pict>
        <v:shape style="position:absolute;margin-left:477.645386pt;margin-top:30.279915pt;width:71.9pt;height:18.05pt;mso-position-horizontal-relative:page;mso-position-vertical-relative:page;z-index:-267156480" type="#_x0000_t202" filled="false" stroked="false">
          <v:textbox inset="0,0,0,0">
            <w:txbxContent>
              <w:p>
                <w:pPr>
                  <w:spacing w:before="26"/>
                  <w:ind w:left="20" w:right="0" w:firstLine="0"/>
                  <w:jc w:val="left"/>
                  <w:rPr>
                    <w:sz w:val="26"/>
                  </w:rPr>
                </w:pPr>
                <w:r>
                  <w:rPr>
                    <w:color w:val="9662A1"/>
                    <w:w w:val="110"/>
                    <w:sz w:val="26"/>
                  </w:rPr>
                  <w:t>Resolutions</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06368" filled="true" fillcolor="#eab817" stroked="false">
          <v:fill type="solid"/>
          <w10:wrap type="none"/>
        </v:rect>
      </w:pict>
    </w:r>
    <w:r>
      <w:rPr/>
      <w:pict>
        <v:rect style="position:absolute;margin-left:12.047pt;margin-top:30.472015pt;width:22.677pt;height:22.677pt;mso-position-horizontal-relative:page;mso-position-vertical-relative:page;z-index:-267705344" filled="true" fillcolor="#f5db95" stroked="false">
          <v:fill type="solid"/>
          <w10:wrap type="none"/>
        </v:rect>
      </w:pict>
    </w:r>
    <w:r>
      <w:rPr/>
      <w:pict>
        <v:line style="position:absolute;mso-position-horizontal-relative:page;mso-position-vertical-relative:page;z-index:-267704320" from="514.487183pt,56.692715pt" to="514.487183pt,56.692715pt" stroked="true" strokeweight="1pt" strokecolor="#868685">
          <v:stroke dashstyle="solid"/>
          <w10:wrap type="none"/>
        </v:line>
      </w:pict>
    </w:r>
    <w:r>
      <w:rPr/>
      <w:pict>
        <v:shape style="position:absolute;margin-left:45.771599pt;margin-top:27.443817pt;width:229.7pt;height:12.65pt;mso-position-horizontal-relative:page;mso-position-vertical-relative:page;z-index:-267703296"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4736" filled="true" fillcolor="#8ba8bd"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02272" filled="true" fillcolor="#eab817" stroked="false">
          <v:fill type="solid"/>
          <w10:wrap type="none"/>
        </v:rect>
      </w:pict>
    </w:r>
    <w:r>
      <w:rPr/>
      <w:pict>
        <v:rect style="position:absolute;margin-left:12.047pt;margin-top:30.472015pt;width:22.677pt;height:22.677pt;mso-position-horizontal-relative:page;mso-position-vertical-relative:page;z-index:-267701248" filled="true" fillcolor="#f5db95" stroked="false">
          <v:fill type="solid"/>
          <w10:wrap type="none"/>
        </v:rect>
      </w:pict>
    </w:r>
    <w:r>
      <w:rPr/>
      <w:pict>
        <v:line style="position:absolute;mso-position-horizontal-relative:page;mso-position-vertical-relative:page;z-index:-267700224" from="514.487183pt,56.692715pt" to="514.487183pt,56.692715pt" stroked="true" strokeweight="1pt" strokecolor="#868685">
          <v:stroke dashstyle="solid"/>
          <w10:wrap type="none"/>
        </v:line>
      </w:pict>
    </w:r>
    <w:r>
      <w:rPr/>
      <w:pict>
        <v:shape style="position:absolute;margin-left:45.771599pt;margin-top:27.443817pt;width:229.7pt;height:12.65pt;mso-position-horizontal-relative:page;mso-position-vertical-relative:page;z-index:-267699200"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98176" filled="true" fillcolor="#eab817" stroked="false">
          <v:fill type="solid"/>
          <w10:wrap type="none"/>
        </v:rect>
      </w:pict>
    </w:r>
    <w:r>
      <w:rPr/>
      <w:pict>
        <v:rect style="position:absolute;margin-left:558.424988pt;margin-top:31.299015pt;width:22.677pt;height:22.677pt;mso-position-horizontal-relative:page;mso-position-vertical-relative:page;z-index:-267697152" filled="true" fillcolor="#f5db95" stroked="false">
          <v:fill type="solid"/>
          <w10:wrap type="none"/>
        </v:rect>
      </w:pict>
    </w:r>
    <w:r>
      <w:rPr/>
      <w:pict>
        <v:line style="position:absolute;mso-position-horizontal-relative:page;mso-position-vertical-relative:page;z-index:-267696128" from="78.870102pt,56.692715pt" to="78.870102pt,56.692715pt" stroked="true" strokeweight="1pt" strokecolor="#868685">
          <v:stroke dashstyle="solid"/>
          <w10:wrap type="none"/>
        </v:line>
      </w:pict>
    </w:r>
    <w:r>
      <w:rPr/>
      <w:pict>
        <v:shape style="position:absolute;margin-left:319.803497pt;margin-top:27.443817pt;width:229.7pt;height:12.65pt;mso-position-horizontal-relative:page;mso-position-vertical-relative:page;z-index:-267695104"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88960" filled="true" fillcolor="#c20d19" stroked="false">
          <v:fill type="solid"/>
          <w10:wrap type="none"/>
        </v:rec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87936" filled="true" fillcolor="#c20d19" stroked="false">
          <v:fill type="solid"/>
          <w10:wrap type="none"/>
        </v:rect>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82816" filled="true" fillcolor="#c20d19" stroked="false">
          <v:fill type="solid"/>
          <w10:wrap type="none"/>
        </v:rect>
      </w:pict>
    </w:r>
    <w:r>
      <w:rPr/>
      <w:drawing>
        <wp:anchor distT="0" distB="0" distL="0" distR="0" allowOverlap="1" layoutInCell="1" locked="0" behindDoc="1" simplePos="0" relativeHeight="235634688">
          <wp:simplePos x="0" y="0"/>
          <wp:positionH relativeFrom="page">
            <wp:posOffset>5827921</wp:posOffset>
          </wp:positionH>
          <wp:positionV relativeFrom="page">
            <wp:posOffset>377998</wp:posOffset>
          </wp:positionV>
          <wp:extent cx="1138078" cy="416474"/>
          <wp:effectExtent l="0" t="0" r="0" b="0"/>
          <wp:wrapNone/>
          <wp:docPr id="67" name="image66.jpeg"/>
          <wp:cNvGraphicFramePr>
            <a:graphicFrameLocks noChangeAspect="1"/>
          </wp:cNvGraphicFramePr>
          <a:graphic>
            <a:graphicData uri="http://schemas.openxmlformats.org/drawingml/2006/picture">
              <pic:pic>
                <pic:nvPicPr>
                  <pic:cNvPr id="68" name="image66.jpeg"/>
                  <pic:cNvPicPr/>
                </pic:nvPicPr>
                <pic:blipFill>
                  <a:blip r:embed="rId1" cstate="print"/>
                  <a:stretch>
                    <a:fillRect/>
                  </a:stretch>
                </pic:blipFill>
                <pic:spPr>
                  <a:xfrm>
                    <a:off x="0" y="0"/>
                    <a:ext cx="1138078" cy="416474"/>
                  </a:xfrm>
                  <a:prstGeom prst="rect">
                    <a:avLst/>
                  </a:prstGeom>
                </pic:spPr>
              </pic:pic>
            </a:graphicData>
          </a:graphic>
        </wp:anchor>
      </w:drawing>
    </w:r>
    <w:r>
      <w:rPr/>
      <w:pict>
        <v:rect style="position:absolute;margin-left:558.424988pt;margin-top:31.299015pt;width:22.677pt;height:22.677pt;mso-position-horizontal-relative:page;mso-position-vertical-relative:page;z-index:-267680768" filled="true" fillcolor="#dd977b" stroked="false">
          <v:fill type="solid"/>
          <w10:wrap type="none"/>
        </v:rect>
      </w:pict>
    </w:r>
    <w:r>
      <w:rPr/>
      <w:pict>
        <v:rect style="position:absolute;margin-left:558.424988pt;margin-top:62.480015pt;width:22.677pt;height:22.677pt;mso-position-horizontal-relative:page;mso-position-vertical-relative:page;z-index:-267679744" filled="true" fillcolor="#ebc3ae" stroked="false">
          <v:fill opacity="32768f" type="solid"/>
          <w10:wrap type="none"/>
        </v:rect>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00015pt;width:22.677pt;height:23.504pt;mso-position-horizontal-relative:page;mso-position-vertical-relative:page;z-index:-267678720" filled="true" fillcolor="#c20d19" stroked="false">
          <v:fill type="solid"/>
          <w10:wrap type="none"/>
        </v:rect>
      </w:pict>
    </w:r>
    <w:r>
      <w:rPr/>
      <w:drawing>
        <wp:anchor distT="0" distB="0" distL="0" distR="0" allowOverlap="1" layoutInCell="1" locked="0" behindDoc="1" simplePos="0" relativeHeight="235638784">
          <wp:simplePos x="0" y="0"/>
          <wp:positionH relativeFrom="page">
            <wp:posOffset>5827921</wp:posOffset>
          </wp:positionH>
          <wp:positionV relativeFrom="page">
            <wp:posOffset>377998</wp:posOffset>
          </wp:positionV>
          <wp:extent cx="1138078" cy="416474"/>
          <wp:effectExtent l="0" t="0" r="0" b="0"/>
          <wp:wrapNone/>
          <wp:docPr id="81" name="image66.jpeg"/>
          <wp:cNvGraphicFramePr>
            <a:graphicFrameLocks noChangeAspect="1"/>
          </wp:cNvGraphicFramePr>
          <a:graphic>
            <a:graphicData uri="http://schemas.openxmlformats.org/drawingml/2006/picture">
              <pic:pic>
                <pic:nvPicPr>
                  <pic:cNvPr id="82" name="image66.jpeg"/>
                  <pic:cNvPicPr/>
                </pic:nvPicPr>
                <pic:blipFill>
                  <a:blip r:embed="rId1" cstate="print"/>
                  <a:stretch>
                    <a:fillRect/>
                  </a:stretch>
                </pic:blipFill>
                <pic:spPr>
                  <a:xfrm>
                    <a:off x="0" y="0"/>
                    <a:ext cx="1138078" cy="416474"/>
                  </a:xfrm>
                  <a:prstGeom prst="rect">
                    <a:avLst/>
                  </a:prstGeom>
                </pic:spPr>
              </pic:pic>
            </a:graphicData>
          </a:graphic>
        </wp:anchor>
      </w:drawing>
    </w:r>
    <w:r>
      <w:rPr/>
      <w:pict>
        <v:rect style="position:absolute;margin-left:558.424988pt;margin-top:31.299015pt;width:22.677pt;height:22.677pt;mso-position-horizontal-relative:page;mso-position-vertical-relative:page;z-index:-267676672" filled="true" fillcolor="#dd977b" stroked="false">
          <v:fill type="solid"/>
          <w10:wrap type="none"/>
        </v:rect>
      </w:pict>
    </w:r>
    <w:r>
      <w:rPr/>
      <w:pict>
        <v:rect style="position:absolute;margin-left:558.424988pt;margin-top:62.480015pt;width:22.677pt;height:22.677pt;mso-position-horizontal-relative:page;mso-position-vertical-relative:page;z-index:-267675648" filled="true" fillcolor="#ebc3ae" stroked="false">
          <v:fill opacity="32768f" type="solid"/>
          <w10:wrap type="none"/>
        </v:rect>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674624" filled="true" fillcolor="#c20d19" stroked="false">
          <v:fill type="solid"/>
          <w10:wrap type="none"/>
        </v:rect>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71552" filled="true" fillcolor="#ca4f1b" stroked="false">
          <v:fill type="solid"/>
          <w10:wrap type="non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3712" filled="true" fillcolor="#8ba8bd" stroked="false">
          <v:fill type="solid"/>
          <w10:wrap type="none"/>
        </v:rect>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670528" filled="true" fillcolor="#ca4f1b" stroked="false">
          <v:fill type="solid"/>
          <w10:wrap type="none"/>
        </v:rect>
      </w:pict>
    </w:r>
    <w:r>
      <w:rPr/>
      <w:pict>
        <v:rect style="position:absolute;margin-left:12.047pt;margin-top:30.472015pt;width:22.677pt;height:22.677pt;mso-position-horizontal-relative:page;mso-position-vertical-relative:page;z-index:-267669504" filled="true" fillcolor="#e3ac83" stroked="false">
          <v:fill type="solid"/>
          <w10:wrap type="none"/>
        </v:rect>
      </w:pict>
    </w:r>
    <w:r>
      <w:rPr/>
      <w:pict>
        <v:shape style="position:absolute;margin-left:45.771599pt;margin-top:30.272114pt;width:214.1pt;height:18.05pt;mso-position-horizontal-relative:page;mso-position-vertical-relative:page;z-index:-267668480" type="#_x0000_t202" filled="false" stroked="false">
          <v:textbox inset="0,0,0,0">
            <w:txbxContent>
              <w:p>
                <w:pPr>
                  <w:spacing w:before="26"/>
                  <w:ind w:left="20" w:right="0" w:firstLine="0"/>
                  <w:jc w:val="left"/>
                  <w:rPr>
                    <w:sz w:val="26"/>
                  </w:rPr>
                </w:pPr>
                <w:r>
                  <w:rPr>
                    <w:color w:val="CA4F1B"/>
                    <w:w w:val="115"/>
                    <w:sz w:val="26"/>
                  </w:rPr>
                  <w:t>Marketing and indentity</w:t>
                </w:r>
                <w:r>
                  <w:rPr>
                    <w:color w:val="CA4F1B"/>
                    <w:spacing w:val="51"/>
                    <w:w w:val="115"/>
                    <w:sz w:val="26"/>
                  </w:rPr>
                  <w:t> </w:t>
                </w:r>
                <w:r>
                  <w:rPr>
                    <w:color w:val="CA4F1B"/>
                    <w:w w:val="115"/>
                    <w:sz w:val="26"/>
                  </w:rPr>
                  <w:t>campaign</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667456" filled="true" fillcolor="#ca4f1b" stroked="false">
          <v:fill type="solid"/>
          <w10:wrap type="none"/>
        </v:rect>
      </w:pict>
    </w:r>
    <w:r>
      <w:rPr/>
      <w:pict>
        <v:rect style="position:absolute;margin-left:12.047pt;margin-top:30.472015pt;width:22.677pt;height:22.677pt;mso-position-horizontal-relative:page;mso-position-vertical-relative:page;z-index:-267666432" filled="true" fillcolor="#e3ac83" stroked="false">
          <v:fill type="solid"/>
          <w10:wrap type="none"/>
        </v:rect>
      </w:pict>
    </w:r>
    <w:r>
      <w:rPr/>
      <w:pict>
        <v:shape style="position:absolute;margin-left:45.771599pt;margin-top:30.272114pt;width:214.1pt;height:18.05pt;mso-position-horizontal-relative:page;mso-position-vertical-relative:page;z-index:-267665408" type="#_x0000_t202" filled="false" stroked="false">
          <v:textbox inset="0,0,0,0">
            <w:txbxContent>
              <w:p>
                <w:pPr>
                  <w:spacing w:before="26"/>
                  <w:ind w:left="20" w:right="0" w:firstLine="0"/>
                  <w:jc w:val="left"/>
                  <w:rPr>
                    <w:sz w:val="26"/>
                  </w:rPr>
                </w:pPr>
                <w:r>
                  <w:rPr>
                    <w:color w:val="CA4F1B"/>
                    <w:w w:val="115"/>
                    <w:sz w:val="26"/>
                  </w:rPr>
                  <w:t>Marketing and indentity</w:t>
                </w:r>
                <w:r>
                  <w:rPr>
                    <w:color w:val="CA4F1B"/>
                    <w:spacing w:val="51"/>
                    <w:w w:val="115"/>
                    <w:sz w:val="26"/>
                  </w:rPr>
                  <w:t> </w:t>
                </w:r>
                <w:r>
                  <w:rPr>
                    <w:color w:val="CA4F1B"/>
                    <w:w w:val="115"/>
                    <w:sz w:val="26"/>
                  </w:rPr>
                  <w:t>campaign</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662336" filled="true" fillcolor="#ca4f1b" stroked="false">
          <v:fill type="solid"/>
          <w10:wrap type="none"/>
        </v:rect>
      </w:pict>
    </w:r>
    <w:r>
      <w:rPr/>
      <w:pict>
        <v:rect style="position:absolute;margin-left:12.047pt;margin-top:30.472015pt;width:22.677pt;height:22.677pt;mso-position-horizontal-relative:page;mso-position-vertical-relative:page;z-index:-267661312" filled="true" fillcolor="#e3ac83" stroked="false">
          <v:fill type="solid"/>
          <w10:wrap type="none"/>
        </v:rect>
      </w:pict>
    </w:r>
    <w:r>
      <w:rPr/>
      <w:pict>
        <v:shape style="position:absolute;margin-left:45.771599pt;margin-top:30.272114pt;width:214.1pt;height:18.05pt;mso-position-horizontal-relative:page;mso-position-vertical-relative:page;z-index:-267660288" type="#_x0000_t202" filled="false" stroked="false">
          <v:textbox inset="0,0,0,0">
            <w:txbxContent>
              <w:p>
                <w:pPr>
                  <w:spacing w:before="26"/>
                  <w:ind w:left="20" w:right="0" w:firstLine="0"/>
                  <w:jc w:val="left"/>
                  <w:rPr>
                    <w:sz w:val="26"/>
                  </w:rPr>
                </w:pPr>
                <w:r>
                  <w:rPr>
                    <w:color w:val="CA4F1B"/>
                    <w:w w:val="115"/>
                    <w:sz w:val="26"/>
                  </w:rPr>
                  <w:t>Marketing and indentity</w:t>
                </w:r>
                <w:r>
                  <w:rPr>
                    <w:color w:val="CA4F1B"/>
                    <w:spacing w:val="51"/>
                    <w:w w:val="115"/>
                    <w:sz w:val="26"/>
                  </w:rPr>
                  <w:t> </w:t>
                </w:r>
                <w:r>
                  <w:rPr>
                    <w:color w:val="CA4F1B"/>
                    <w:w w:val="115"/>
                    <w:sz w:val="26"/>
                  </w:rPr>
                  <w:t>campaign</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59264" filled="true" fillcolor="#8ba8bd" stroked="false">
          <v:fill type="solid"/>
          <w10:wrap type="none"/>
        </v:rect>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58240" filled="true" fillcolor="#8ba8bd" stroked="false">
          <v:fill type="solid"/>
          <w10:wrap type="none"/>
        </v:rect>
      </w:pict>
    </w:r>
    <w:r>
      <w:rPr/>
      <w:pict>
        <v:rect style="position:absolute;margin-left:12.047pt;margin-top:30.472015pt;width:22.677pt;height:22.677pt;mso-position-horizontal-relative:page;mso-position-vertical-relative:page;z-index:-267657216" filled="true" fillcolor="#c2d2df" stroked="false">
          <v:fill type="solid"/>
          <w10:wrap type="none"/>
        </v:rect>
      </w:pict>
    </w:r>
    <w:r>
      <w:rPr/>
      <w:pict>
        <v:shape style="position:absolute;margin-left:45.771599pt;margin-top:30.272114pt;width:164.25pt;height:18.05pt;mso-position-horizontal-relative:page;mso-position-vertical-relative:page;z-index:-267656192" type="#_x0000_t202" filled="false" stroked="false">
          <v:textbox inset="0,0,0,0">
            <w:txbxContent>
              <w:p>
                <w:pPr>
                  <w:spacing w:before="26"/>
                  <w:ind w:left="20" w:right="0" w:firstLine="0"/>
                  <w:jc w:val="left"/>
                  <w:rPr>
                    <w:sz w:val="26"/>
                  </w:rPr>
                </w:pPr>
                <w:r>
                  <w:rPr>
                    <w:color w:val="8BA8BD"/>
                    <w:w w:val="115"/>
                    <w:sz w:val="26"/>
                  </w:rPr>
                  <w:t>Synod Moderators’ Report</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55168" filled="true" fillcolor="#8ba8bd" stroked="false">
          <v:fill type="solid"/>
          <w10:wrap type="none"/>
        </v:rect>
      </w:pict>
    </w:r>
    <w:r>
      <w:rPr/>
      <w:pict>
        <v:rect style="position:absolute;margin-left:12.047pt;margin-top:30.472015pt;width:22.677pt;height:22.677pt;mso-position-horizontal-relative:page;mso-position-vertical-relative:page;z-index:-267654144" filled="true" fillcolor="#c2d2df" stroked="false">
          <v:fill type="solid"/>
          <w10:wrap type="none"/>
        </v:rect>
      </w:pict>
    </w:r>
    <w:r>
      <w:rPr/>
      <w:pict>
        <v:shape style="position:absolute;margin-left:45.771599pt;margin-top:30.272114pt;width:164.25pt;height:18.05pt;mso-position-horizontal-relative:page;mso-position-vertical-relative:page;z-index:-267653120" type="#_x0000_t202" filled="false" stroked="false">
          <v:textbox inset="0,0,0,0">
            <w:txbxContent>
              <w:p>
                <w:pPr>
                  <w:spacing w:before="26"/>
                  <w:ind w:left="20" w:right="0" w:firstLine="0"/>
                  <w:jc w:val="left"/>
                  <w:rPr>
                    <w:sz w:val="26"/>
                  </w:rPr>
                </w:pPr>
                <w:r>
                  <w:rPr>
                    <w:color w:val="8BA8BD"/>
                    <w:w w:val="115"/>
                    <w:sz w:val="26"/>
                  </w:rPr>
                  <w:t>Synod Moderators’ Report</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52096" filled="true" fillcolor="#8ba8bd" stroked="false">
          <v:fill type="solid"/>
          <w10:wrap type="none"/>
        </v:rect>
      </w:pict>
    </w:r>
    <w:r>
      <w:rPr/>
      <w:pict>
        <v:rect style="position:absolute;margin-left:558.424988pt;margin-top:31.299015pt;width:22.677pt;height:22.677pt;mso-position-horizontal-relative:page;mso-position-vertical-relative:page;z-index:-267651072" filled="true" fillcolor="#c2d2df" stroked="false">
          <v:fill type="solid"/>
          <w10:wrap type="none"/>
        </v:rect>
      </w:pict>
    </w:r>
    <w:r>
      <w:rPr/>
      <w:pict>
        <v:shape style="position:absolute;margin-left:385.30249pt;margin-top:30.272114pt;width:164.25pt;height:18.05pt;mso-position-horizontal-relative:page;mso-position-vertical-relative:page;z-index:-267650048" type="#_x0000_t202" filled="false" stroked="false">
          <v:textbox inset="0,0,0,0">
            <w:txbxContent>
              <w:p>
                <w:pPr>
                  <w:spacing w:before="26"/>
                  <w:ind w:left="20" w:right="0" w:firstLine="0"/>
                  <w:jc w:val="left"/>
                  <w:rPr>
                    <w:sz w:val="26"/>
                  </w:rPr>
                </w:pPr>
                <w:r>
                  <w:rPr>
                    <w:color w:val="8BA8BD"/>
                    <w:w w:val="115"/>
                    <w:sz w:val="26"/>
                  </w:rPr>
                  <w:t>Synod Moderators’ Report</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645952" filled="true" fillcolor="#eab817" stroked="false">
          <v:fill type="solid"/>
          <w10:wrap type="non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2688" filled="true" fillcolor="#8ba8bd" stroked="false">
          <v:fill type="solid"/>
          <w10:wrap type="none"/>
        </v:rect>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44928" filled="true" fillcolor="#eab817" stroked="false">
          <v:fill type="solid"/>
          <w10:wrap type="none"/>
        </v:rect>
      </w:pict>
    </w:r>
    <w:r>
      <w:rPr/>
      <w:pict>
        <v:rect style="position:absolute;margin-left:12.047pt;margin-top:30.472015pt;width:22.677pt;height:22.677pt;mso-position-horizontal-relative:page;mso-position-vertical-relative:page;z-index:-267643904" filled="true" fillcolor="#f5db95" stroked="false">
          <v:fill type="solid"/>
          <w10:wrap type="none"/>
        </v:rect>
      </w:pict>
    </w:r>
    <w:r>
      <w:rPr/>
      <w:pict>
        <v:shape style="position:absolute;margin-left:45.771599pt;margin-top:30.272114pt;width:99.35pt;height:18.05pt;mso-position-horizontal-relative:page;mso-position-vertical-relative:page;z-index:-26764288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41856" filled="true" fillcolor="#eab817" stroked="false">
          <v:fill type="solid"/>
          <w10:wrap type="none"/>
        </v:rect>
      </w:pict>
    </w:r>
    <w:r>
      <w:rPr/>
      <w:pict>
        <v:rect style="position:absolute;margin-left:12.047pt;margin-top:30.472015pt;width:22.677pt;height:22.677pt;mso-position-horizontal-relative:page;mso-position-vertical-relative:page;z-index:-267640832" filled="true" fillcolor="#f5db95" stroked="false">
          <v:fill type="solid"/>
          <w10:wrap type="none"/>
        </v:rect>
      </w:pict>
    </w:r>
    <w:r>
      <w:rPr/>
      <w:pict>
        <v:shape style="position:absolute;margin-left:45.771599pt;margin-top:30.272114pt;width:99.35pt;height:18.05pt;mso-position-horizontal-relative:page;mso-position-vertical-relative:page;z-index:-267639808"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38784" filled="true" fillcolor="#eab817" stroked="false">
          <v:fill type="solid"/>
          <w10:wrap type="none"/>
        </v:rect>
      </w:pict>
    </w:r>
    <w:r>
      <w:rPr/>
      <w:pict>
        <v:rect style="position:absolute;margin-left:558.424988pt;margin-top:31.299015pt;width:22.677pt;height:22.677pt;mso-position-horizontal-relative:page;mso-position-vertical-relative:page;z-index:-267637760" filled="true" fillcolor="#f5db95" stroked="false">
          <v:fill type="solid"/>
          <w10:wrap type="none"/>
        </v:rect>
      </w:pict>
    </w:r>
    <w:r>
      <w:rPr/>
      <w:pict>
        <v:shape style="position:absolute;margin-left:450.177887pt;margin-top:30.272114pt;width:99.35pt;height:18.05pt;mso-position-horizontal-relative:page;mso-position-vertical-relative:page;z-index:-26763673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32640" filled="true" fillcolor="#eab817" stroked="false">
          <v:fill type="solid"/>
          <w10:wrap type="none"/>
        </v:rect>
      </w:pict>
    </w:r>
    <w:r>
      <w:rPr/>
      <w:pict>
        <v:rect style="position:absolute;margin-left:12.047pt;margin-top:30.472015pt;width:22.677pt;height:22.677pt;mso-position-horizontal-relative:page;mso-position-vertical-relative:page;z-index:-267631616" filled="true" fillcolor="#f5db95" stroked="false">
          <v:fill type="solid"/>
          <w10:wrap type="none"/>
        </v:rect>
      </w:pict>
    </w:r>
    <w:r>
      <w:rPr/>
      <w:pict>
        <v:rect style="position:absolute;margin-left:12.047pt;margin-top:61.654015pt;width:22.677pt;height:22.677pt;mso-position-horizontal-relative:page;mso-position-vertical-relative:page;z-index:-267630592" filled="true" fillcolor="#f9e9c1" stroked="false">
          <v:fill opacity="32768f" type="solid"/>
          <w10:wrap type="none"/>
        </v:rect>
      </w:pict>
    </w:r>
    <w:r>
      <w:rPr/>
      <w:pict>
        <v:shape style="position:absolute;margin-left:45.771599pt;margin-top:30.272114pt;width:139.8pt;height:62.15pt;mso-position-horizontal-relative:page;mso-position-vertical-relative:page;z-index:-267629568" type="#_x0000_t202" filled="false" stroked="false">
          <v:textbox inset="0,0,0,0">
            <w:txbxContent>
              <w:p>
                <w:pPr>
                  <w:spacing w:before="26"/>
                  <w:ind w:left="20" w:right="0" w:firstLine="0"/>
                  <w:jc w:val="left"/>
                  <w:rPr>
                    <w:sz w:val="26"/>
                  </w:rPr>
                </w:pPr>
                <w:r>
                  <w:rPr>
                    <w:color w:val="8BA8BD"/>
                    <w:w w:val="120"/>
                    <w:sz w:val="26"/>
                  </w:rPr>
                  <w:t>Mission Council</w:t>
                </w:r>
              </w:p>
              <w:p>
                <w:pPr>
                  <w:spacing w:line="653" w:lineRule="exact" w:before="246"/>
                  <w:ind w:left="218" w:right="0" w:firstLine="0"/>
                  <w:jc w:val="left"/>
                  <w:rPr>
                    <w:rFonts w:ascii="Stone Sans II ITC Std Bk"/>
                    <w:b/>
                    <w:sz w:val="50"/>
                  </w:rPr>
                </w:pPr>
                <w:r>
                  <w:rPr>
                    <w:rFonts w:ascii="Stone Sans II ITC Std Bk"/>
                    <w:b/>
                    <w:color w:val="CA4F1B"/>
                    <w:w w:val="110"/>
                    <w:sz w:val="50"/>
                  </w:rPr>
                  <w:t>Annexe </w:t>
                </w:r>
                <w:r>
                  <w:rPr/>
                  <w:fldChar w:fldCharType="begin"/>
                </w:r>
                <w:r>
                  <w:rPr>
                    <w:rFonts w:ascii="Stone Sans II ITC Std Bk"/>
                    <w:b/>
                    <w:color w:val="CA4F1B"/>
                    <w:w w:val="110"/>
                    <w:sz w:val="50"/>
                  </w:rPr>
                  <w:instrText> PAGE </w:instrText>
                </w:r>
                <w:r>
                  <w:rPr/>
                  <w:fldChar w:fldCharType="separate"/>
                </w:r>
                <w:r>
                  <w:rPr/>
                  <w:t>2</w:t>
                </w:r>
                <w:r>
                  <w:rPr/>
                  <w:fldChar w:fldCharType="end"/>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28544" filled="true" fillcolor="#eab817" stroked="false">
          <v:fill type="solid"/>
          <w10:wrap type="none"/>
        </v:rect>
      </w:pict>
    </w:r>
    <w:r>
      <w:rPr/>
      <w:pict>
        <v:rect style="position:absolute;margin-left:558.424988pt;margin-top:31.299015pt;width:22.677pt;height:22.677pt;mso-position-horizontal-relative:page;mso-position-vertical-relative:page;z-index:-267627520" filled="true" fillcolor="#f5db95" stroked="false">
          <v:fill type="solid"/>
          <w10:wrap type="none"/>
        </v:rect>
      </w:pict>
    </w:r>
    <w:r>
      <w:rPr/>
      <w:pict>
        <v:shape style="position:absolute;margin-left:450.177887pt;margin-top:30.272114pt;width:99.35pt;height:18.05pt;mso-position-horizontal-relative:page;mso-position-vertical-relative:page;z-index:-26762649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22400" filled="true" fillcolor="#eab817" stroked="false">
          <v:fill type="solid"/>
          <w10:wrap type="none"/>
        </v:rect>
      </w:pict>
    </w:r>
    <w:r>
      <w:rPr/>
      <w:pict>
        <v:rect style="position:absolute;margin-left:12.047pt;margin-top:30.472015pt;width:22.677pt;height:22.677pt;mso-position-horizontal-relative:page;mso-position-vertical-relative:page;z-index:-267621376" filled="true" fillcolor="#f5db95" stroked="false">
          <v:fill type="solid"/>
          <w10:wrap type="none"/>
        </v:rect>
      </w:pict>
    </w:r>
    <w:r>
      <w:rPr/>
      <w:pict>
        <v:shape style="position:absolute;margin-left:45.771599pt;margin-top:30.272114pt;width:99.35pt;height:18.05pt;mso-position-horizontal-relative:page;mso-position-vertical-relative:page;z-index:-267620352"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19328" filled="true" fillcolor="#eab817" stroked="false">
          <v:fill type="solid"/>
          <w10:wrap type="none"/>
        </v:rect>
      </w:pict>
    </w:r>
    <w:r>
      <w:rPr/>
      <w:pict>
        <v:rect style="position:absolute;margin-left:558.424988pt;margin-top:31.299015pt;width:22.677pt;height:22.677pt;mso-position-horizontal-relative:page;mso-position-vertical-relative:page;z-index:-267618304" filled="true" fillcolor="#f5db95" stroked="false">
          <v:fill type="solid"/>
          <w10:wrap type="none"/>
        </v:rect>
      </w:pict>
    </w:r>
    <w:r>
      <w:rPr/>
      <w:pict>
        <v:shape style="position:absolute;margin-left:450.177887pt;margin-top:30.272114pt;width:99.35pt;height:18.05pt;mso-position-horizontal-relative:page;mso-position-vertical-relative:page;z-index:-26761728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613184" filled="true" fillcolor="#eab817" stroked="false">
          <v:fill type="solid"/>
          <w10:wrap type="none"/>
        </v:rect>
      </w:pict>
    </w:r>
    <w:r>
      <w:rPr/>
      <w:pict>
        <v:rect style="position:absolute;margin-left:558.424988pt;margin-top:31.299015pt;width:22.677pt;height:22.677pt;mso-position-horizontal-relative:page;mso-position-vertical-relative:page;z-index:-267612160" filled="true" fillcolor="#f5db95" stroked="false">
          <v:fill type="solid"/>
          <w10:wrap type="none"/>
        </v:rect>
      </w:pict>
    </w:r>
    <w:r>
      <w:rPr/>
      <w:pict>
        <v:shape style="position:absolute;margin-left:450.177887pt;margin-top:30.272114pt;width:99.35pt;height:18.05pt;mso-position-horizontal-relative:page;mso-position-vertical-relative:page;z-index:-26761113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10112" filled="true" fillcolor="#eab817" stroked="false">
          <v:fill type="solid"/>
          <w10:wrap type="none"/>
        </v:rect>
      </w:pict>
    </w:r>
    <w:r>
      <w:rPr/>
      <w:pict>
        <v:rect style="position:absolute;margin-left:12.047pt;margin-top:30.472015pt;width:22.677pt;height:22.677pt;mso-position-horizontal-relative:page;mso-position-vertical-relative:page;z-index:-267609088" filled="true" fillcolor="#f5db95" stroked="false">
          <v:fill type="solid"/>
          <w10:wrap type="none"/>
        </v:rect>
      </w:pict>
    </w:r>
    <w:r>
      <w:rPr/>
      <w:pict>
        <v:shape style="position:absolute;margin-left:45.771599pt;margin-top:30.272114pt;width:99.35pt;height:18.05pt;mso-position-horizontal-relative:page;mso-position-vertical-relative:page;z-index:-26760806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603968" filled="true" fillcolor="#eab817" stroked="false">
          <v:fill type="solid"/>
          <w10:wrap type="none"/>
        </v:rect>
      </w:pict>
    </w:r>
    <w:r>
      <w:rPr/>
      <w:pict>
        <v:rect style="position:absolute;margin-left:12.047pt;margin-top:30.472015pt;width:22.677pt;height:22.677pt;mso-position-horizontal-relative:page;mso-position-vertical-relative:page;z-index:-267602944" filled="true" fillcolor="#f5db95" stroked="false">
          <v:fill type="solid"/>
          <w10:wrap type="none"/>
        </v:rect>
      </w:pict>
    </w:r>
    <w:r>
      <w:rPr/>
      <w:pict>
        <v:rect style="position:absolute;margin-left:12.047pt;margin-top:61.654015pt;width:22.677pt;height:22.677pt;mso-position-horizontal-relative:page;mso-position-vertical-relative:page;z-index:-267601920" filled="true" fillcolor="#f9e9c1" stroked="false">
          <v:fill opacity="32768f" type="solid"/>
          <w10:wrap type="none"/>
        </v:rect>
      </w:pict>
    </w:r>
    <w:r>
      <w:rPr/>
      <w:pict>
        <v:shape style="position:absolute;margin-left:45.771599pt;margin-top:30.272114pt;width:99.35pt;height:18.05pt;mso-position-horizontal-relative:page;mso-position-vertical-relative:page;z-index:-26760089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1664" filled="true" fillcolor="#8ba8bd" stroked="false">
          <v:fill type="solid"/>
          <w10:wrap type="none"/>
        </v:rect>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99872" filled="true" fillcolor="#eab817" stroked="false">
          <v:fill type="solid"/>
          <w10:wrap type="none"/>
        </v:rect>
      </w:pict>
    </w:r>
    <w:r>
      <w:rPr/>
      <w:pict>
        <v:rect style="position:absolute;margin-left:558.424988pt;margin-top:31.299015pt;width:22.677pt;height:22.677pt;mso-position-horizontal-relative:page;mso-position-vertical-relative:page;z-index:-267598848" filled="true" fillcolor="#f5db95" stroked="false">
          <v:fill type="solid"/>
          <w10:wrap type="none"/>
        </v:rect>
      </w:pict>
    </w:r>
    <w:r>
      <w:rPr/>
      <w:pict>
        <v:shape style="position:absolute;margin-left:450.177887pt;margin-top:30.272114pt;width:99.35pt;height:18.05pt;mso-position-horizontal-relative:page;mso-position-vertical-relative:page;z-index:-26759782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93728" filled="true" fillcolor="#eab817" stroked="false">
          <v:fill type="solid"/>
          <w10:wrap type="none"/>
        </v:rect>
      </w:pict>
    </w:r>
    <w:r>
      <w:rPr/>
      <w:pict>
        <v:rect style="position:absolute;margin-left:12.047pt;margin-top:30.472015pt;width:22.677pt;height:22.677pt;mso-position-horizontal-relative:page;mso-position-vertical-relative:page;z-index:-267592704" filled="true" fillcolor="#f5db95" stroked="false">
          <v:fill type="solid"/>
          <w10:wrap type="none"/>
        </v:rect>
      </w:pict>
    </w:r>
    <w:r>
      <w:rPr/>
      <w:pict>
        <v:shape style="position:absolute;margin-left:45.771599pt;margin-top:30.272114pt;width:99.35pt;height:18.05pt;mso-position-horizontal-relative:page;mso-position-vertical-relative:page;z-index:-26759168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90656" filled="true" fillcolor="#eab817" stroked="false">
          <v:fill type="solid"/>
          <w10:wrap type="none"/>
        </v:rect>
      </w:pict>
    </w:r>
    <w:r>
      <w:rPr/>
      <w:pict>
        <v:rect style="position:absolute;margin-left:558.424988pt;margin-top:31.299015pt;width:22.677pt;height:22.677pt;mso-position-horizontal-relative:page;mso-position-vertical-relative:page;z-index:-267589632" filled="true" fillcolor="#f5db95" stroked="false">
          <v:fill type="solid"/>
          <w10:wrap type="none"/>
        </v:rect>
      </w:pict>
    </w:r>
    <w:r>
      <w:rPr/>
      <w:pict>
        <v:shape style="position:absolute;margin-left:450.177887pt;margin-top:30.272114pt;width:99.35pt;height:18.05pt;mso-position-horizontal-relative:page;mso-position-vertical-relative:page;z-index:-267588608"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84512" filled="true" fillcolor="#eab817" stroked="false">
          <v:fill type="solid"/>
          <w10:wrap type="none"/>
        </v:rect>
      </w:pict>
    </w:r>
    <w:r>
      <w:rPr/>
      <w:pict>
        <v:rect style="position:absolute;margin-left:12.047pt;margin-top:30.472015pt;width:22.677pt;height:22.677pt;mso-position-horizontal-relative:page;mso-position-vertical-relative:page;z-index:-267583488" filled="true" fillcolor="#f5db95" stroked="false">
          <v:fill type="solid"/>
          <w10:wrap type="none"/>
        </v:rect>
      </w:pict>
    </w:r>
    <w:r>
      <w:rPr/>
      <w:pict>
        <v:rect style="position:absolute;margin-left:12.047pt;margin-top:61.654015pt;width:22.677pt;height:22.677pt;mso-position-horizontal-relative:page;mso-position-vertical-relative:page;z-index:-267582464" filled="true" fillcolor="#f9e9c1" stroked="false">
          <v:fill opacity="32768f" type="solid"/>
          <w10:wrap type="none"/>
        </v:rect>
      </w:pict>
    </w:r>
    <w:r>
      <w:rPr/>
      <w:pict>
        <v:shape style="position:absolute;margin-left:45.771599pt;margin-top:30.272114pt;width:99.35pt;height:18.05pt;mso-position-horizontal-relative:page;mso-position-vertical-relative:page;z-index:-26758144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80416" filled="true" fillcolor="#eab817" stroked="false">
          <v:fill type="solid"/>
          <w10:wrap type="none"/>
        </v:rect>
      </w:pict>
    </w:r>
    <w:r>
      <w:rPr/>
      <w:pict>
        <v:rect style="position:absolute;margin-left:558.424988pt;margin-top:31.299015pt;width:22.677pt;height:22.677pt;mso-position-horizontal-relative:page;mso-position-vertical-relative:page;z-index:-267579392" filled="true" fillcolor="#f5db95" stroked="false">
          <v:fill type="solid"/>
          <w10:wrap type="none"/>
        </v:rect>
      </w:pict>
    </w:r>
    <w:r>
      <w:rPr/>
      <w:pict>
        <v:shape style="position:absolute;margin-left:450.177887pt;margin-top:30.272114pt;width:99.35pt;height:18.05pt;mso-position-horizontal-relative:page;mso-position-vertical-relative:page;z-index:-267578368"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74272" filled="true" fillcolor="#eab817" stroked="false">
          <v:fill type="solid"/>
          <w10:wrap type="none"/>
        </v:rect>
      </w:pict>
    </w:r>
    <w:r>
      <w:rPr/>
      <w:pict>
        <v:rect style="position:absolute;margin-left:12.047pt;margin-top:30.472015pt;width:22.677pt;height:22.677pt;mso-position-horizontal-relative:page;mso-position-vertical-relative:page;z-index:-267573248" filled="true" fillcolor="#f5db95" stroked="false">
          <v:fill type="solid"/>
          <w10:wrap type="none"/>
        </v:rect>
      </w:pict>
    </w:r>
    <w:r>
      <w:rPr/>
      <w:pict>
        <v:shape style="position:absolute;margin-left:45.771599pt;margin-top:30.272114pt;width:99.35pt;height:18.05pt;mso-position-horizontal-relative:page;mso-position-vertical-relative:page;z-index:-26757222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71200" filled="true" fillcolor="#eab817" stroked="false">
          <v:fill type="solid"/>
          <w10:wrap type="none"/>
        </v:rect>
      </w:pict>
    </w:r>
    <w:r>
      <w:rPr/>
      <w:pict>
        <v:rect style="position:absolute;margin-left:558.424988pt;margin-top:31.299015pt;width:22.677pt;height:22.677pt;mso-position-horizontal-relative:page;mso-position-vertical-relative:page;z-index:-267570176" filled="true" fillcolor="#f5db95" stroked="false">
          <v:fill type="solid"/>
          <w10:wrap type="none"/>
        </v:rect>
      </w:pict>
    </w:r>
    <w:r>
      <w:rPr/>
      <w:pict>
        <v:shape style="position:absolute;margin-left:450.177887pt;margin-top:30.272114pt;width:99.35pt;height:18.05pt;mso-position-horizontal-relative:page;mso-position-vertical-relative:page;z-index:-267569152"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65056" filled="true" fillcolor="#eab817" stroked="false">
          <v:fill type="solid"/>
          <w10:wrap type="none"/>
        </v:rect>
      </w:pict>
    </w:r>
    <w:r>
      <w:rPr/>
      <w:pict>
        <v:shape style="position:absolute;margin-left:450.177887pt;margin-top:30.272114pt;width:99.35pt;height:18.05pt;mso-position-horizontal-relative:page;mso-position-vertical-relative:page;z-index:-267564032"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63008" filled="true" fillcolor="#eab817" stroked="false">
          <v:fill type="solid"/>
          <w10:wrap type="none"/>
        </v:rect>
      </w:pict>
    </w:r>
    <w:r>
      <w:rPr/>
      <w:pict>
        <v:rect style="position:absolute;margin-left:12.047pt;margin-top:30.472015pt;width:22.677pt;height:22.677pt;mso-position-horizontal-relative:page;mso-position-vertical-relative:page;z-index:-267561984" filled="true" fillcolor="#f5db95" stroked="false">
          <v:fill type="solid"/>
          <w10:wrap type="none"/>
        </v:rect>
      </w:pict>
    </w:r>
    <w:r>
      <w:rPr/>
      <w:pict>
        <v:shape style="position:absolute;margin-left:45.771599pt;margin-top:30.272114pt;width:99.35pt;height:18.05pt;mso-position-horizontal-relative:page;mso-position-vertical-relative:page;z-index:-26756096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56864" filled="true" fillcolor="#eab817" stroked="false">
          <v:fill type="solid"/>
          <w10:wrap type="none"/>
        </v:rect>
      </w:pict>
    </w:r>
    <w:r>
      <w:rPr/>
      <w:pict>
        <v:rect style="position:absolute;margin-left:558.424988pt;margin-top:31.299015pt;width:22.677pt;height:22.677pt;mso-position-horizontal-relative:page;mso-position-vertical-relative:page;z-index:-267555840" filled="true" fillcolor="#f5db95" stroked="false">
          <v:fill type="solid"/>
          <w10:wrap type="none"/>
        </v:rect>
      </w:pict>
    </w:r>
    <w:r>
      <w:rPr/>
      <w:pict>
        <v:shape style="position:absolute;margin-left:450.177887pt;margin-top:30.272114pt;width:99.35pt;height:18.05pt;mso-position-horizontal-relative:page;mso-position-vertical-relative:page;z-index:-26755481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60640" filled="true" fillcolor="#eab817" stroked="false">
          <v:fill type="solid"/>
          <w10:wrap type="none"/>
        </v:rect>
      </w:pic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53792" filled="true" fillcolor="#eab817" stroked="false">
          <v:fill type="solid"/>
          <w10:wrap type="none"/>
        </v:rect>
      </w:pict>
    </w:r>
    <w:r>
      <w:rPr/>
      <w:pict>
        <v:rect style="position:absolute;margin-left:12.047pt;margin-top:30.472015pt;width:22.677pt;height:22.677pt;mso-position-horizontal-relative:page;mso-position-vertical-relative:page;z-index:-267552768" filled="true" fillcolor="#f5db95" stroked="false">
          <v:fill type="solid"/>
          <w10:wrap type="none"/>
        </v:rect>
      </w:pict>
    </w:r>
    <w:r>
      <w:rPr/>
      <w:pict>
        <v:shape style="position:absolute;margin-left:45.771599pt;margin-top:30.272114pt;width:99.35pt;height:18.05pt;mso-position-horizontal-relative:page;mso-position-vertical-relative:page;z-index:-26755174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47648" filled="true" fillcolor="#eab817" stroked="false">
          <v:fill type="solid"/>
          <w10:wrap type="none"/>
        </v:rect>
      </w:pict>
    </w:r>
    <w:r>
      <w:rPr/>
      <w:pict>
        <v:rect style="position:absolute;margin-left:558.424988pt;margin-top:31.299015pt;width:22.677pt;height:22.677pt;mso-position-horizontal-relative:page;mso-position-vertical-relative:page;z-index:-267546624" filled="true" fillcolor="#f5db95" stroked="false">
          <v:fill type="solid"/>
          <w10:wrap type="none"/>
        </v:rect>
      </w:pict>
    </w:r>
    <w:r>
      <w:rPr/>
      <w:pict>
        <v:rect style="position:absolute;margin-left:558.424988pt;margin-top:62.480015pt;width:22.677pt;height:22.677pt;mso-position-horizontal-relative:page;mso-position-vertical-relative:page;z-index:-267545600" filled="true" fillcolor="#f9e9c1" stroked="false">
          <v:fill opacity="32768f" type="solid"/>
          <w10:wrap type="none"/>
        </v:rect>
      </w:pict>
    </w:r>
    <w:r>
      <w:rPr/>
      <w:pict>
        <v:shape style="position:absolute;margin-left:450.177887pt;margin-top:30.272114pt;width:99.35pt;height:18.05pt;mso-position-horizontal-relative:page;mso-position-vertical-relative:page;z-index:-267544576"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43552" filled="true" fillcolor="#eab817" stroked="false">
          <v:fill type="solid"/>
          <w10:wrap type="none"/>
        </v:rect>
      </w:pict>
    </w:r>
    <w:r>
      <w:rPr/>
      <w:pict>
        <v:rect style="position:absolute;margin-left:12.047pt;margin-top:30.472015pt;width:22.677pt;height:22.677pt;mso-position-horizontal-relative:page;mso-position-vertical-relative:page;z-index:-267542528" filled="true" fillcolor="#f5db95" stroked="false">
          <v:fill type="solid"/>
          <w10:wrap type="none"/>
        </v:rect>
      </w:pict>
    </w:r>
    <w:r>
      <w:rPr/>
      <w:pict>
        <v:shape style="position:absolute;margin-left:45.771599pt;margin-top:30.272114pt;width:99.35pt;height:18.05pt;mso-position-horizontal-relative:page;mso-position-vertical-relative:page;z-index:-26754150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37408" filled="true" fillcolor="#eab817" stroked="false">
          <v:fill type="solid"/>
          <w10:wrap type="none"/>
        </v:rect>
      </w:pict>
    </w:r>
    <w:r>
      <w:rPr/>
      <w:pict>
        <v:rect style="position:absolute;margin-left:558.424988pt;margin-top:31.299015pt;width:22.677pt;height:22.677pt;mso-position-horizontal-relative:page;mso-position-vertical-relative:page;z-index:-267536384" filled="true" fillcolor="#f5db95" stroked="false">
          <v:fill type="solid"/>
          <w10:wrap type="none"/>
        </v:rect>
      </w:pict>
    </w:r>
    <w:r>
      <w:rPr/>
      <w:pict>
        <v:shape style="position:absolute;margin-left:450.177887pt;margin-top:30.272114pt;width:99.35pt;height:18.05pt;mso-position-horizontal-relative:page;mso-position-vertical-relative:page;z-index:-267535360"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34336" filled="true" fillcolor="#eab817" stroked="false">
          <v:fill type="solid"/>
          <w10:wrap type="none"/>
        </v:rect>
      </w:pict>
    </w:r>
    <w:r>
      <w:rPr/>
      <w:pict>
        <v:rect style="position:absolute;margin-left:12.047pt;margin-top:30.472015pt;width:22.677pt;height:22.677pt;mso-position-horizontal-relative:page;mso-position-vertical-relative:page;z-index:-267533312" filled="true" fillcolor="#f5db95" stroked="false">
          <v:fill type="solid"/>
          <w10:wrap type="none"/>
        </v:rect>
      </w:pict>
    </w:r>
    <w:r>
      <w:rPr/>
      <w:pict>
        <v:shape style="position:absolute;margin-left:45.771599pt;margin-top:30.272114pt;width:99.35pt;height:18.05pt;mso-position-horizontal-relative:page;mso-position-vertical-relative:page;z-index:-267532288"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01015pt;width:22.677pt;height:22.676pt;mso-position-horizontal-relative:page;mso-position-vertical-relative:page;z-index:-267528192" filled="true" fillcolor="#eab817" stroked="false">
          <v:fill type="solid"/>
          <w10:wrap type="none"/>
        </v:rect>
      </w:pict>
    </w:r>
    <w:r>
      <w:rPr/>
      <w:pict>
        <v:rect style="position:absolute;margin-left:12.047pt;margin-top:30.472015pt;width:22.677pt;height:22.677pt;mso-position-horizontal-relative:page;mso-position-vertical-relative:page;z-index:-267527168" filled="true" fillcolor="#f5db95" stroked="false">
          <v:fill type="solid"/>
          <w10:wrap type="none"/>
        </v:rect>
      </w:pict>
    </w:r>
    <w:r>
      <w:rPr/>
      <w:pict>
        <v:shape style="position:absolute;margin-left:45.771599pt;margin-top:30.272114pt;width:99.35pt;height:18.05pt;mso-position-horizontal-relative:page;mso-position-vertical-relative:page;z-index:-267526144" type="#_x0000_t202" filled="false" stroked="false">
          <v:textbox inset="0,0,0,0">
            <w:txbxContent>
              <w:p>
                <w:pPr>
                  <w:spacing w:before="26"/>
                  <w:ind w:left="20" w:right="0" w:firstLine="0"/>
                  <w:jc w:val="left"/>
                  <w:rPr>
                    <w:sz w:val="26"/>
                  </w:rPr>
                </w:pPr>
                <w:r>
                  <w:rPr>
                    <w:color w:val="8BA8BD"/>
                    <w:w w:val="120"/>
                    <w:sz w:val="26"/>
                  </w:rPr>
                  <w:t>Mission</w:t>
                </w:r>
                <w:r>
                  <w:rPr>
                    <w:color w:val="8BA8BD"/>
                    <w:spacing w:val="-32"/>
                    <w:w w:val="120"/>
                    <w:sz w:val="26"/>
                  </w:rPr>
                  <w:t> </w:t>
                </w:r>
                <w:r>
                  <w:rPr>
                    <w:color w:val="8BA8BD"/>
                    <w:w w:val="120"/>
                    <w:sz w:val="26"/>
                  </w:rPr>
                  <w:t>Council</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525120" filled="true" fillcolor="#8ba8bd" stroked="false">
          <v:fill type="solid"/>
          <w10:wrap type="none"/>
        </v:rect>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524096" filled="true" fillcolor="#8ba8bd" stroked="false">
          <v:fill type="solid"/>
          <w10:wrap type="none"/>
        </v:rect>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23072" filled="true" fillcolor="#8ba8bd" stroked="false">
          <v:fill type="solid"/>
          <w10:wrap type="none"/>
        </v:rect>
      </w:pict>
    </w:r>
    <w:r>
      <w:rPr/>
      <w:pict>
        <v:rect style="position:absolute;margin-left:12.047pt;margin-top:30.472015pt;width:22.677pt;height:22.677pt;mso-position-horizontal-relative:page;mso-position-vertical-relative:page;z-index:-267522048" filled="true" fillcolor="#c2d2df" stroked="false">
          <v:fill type="solid"/>
          <w10:wrap type="none"/>
        </v:rect>
      </w:pict>
    </w:r>
    <w:r>
      <w:rPr/>
      <w:pict>
        <v:shape style="position:absolute;margin-left:45.771599pt;margin-top:30.272114pt;width:187.3pt;height:18.05pt;mso-position-horizontal-relative:page;mso-position-vertical-relative:page;z-index:-267521024" type="#_x0000_t202" filled="false" stroked="false">
          <v:textbox inset="0,0,0,0">
            <w:txbxContent>
              <w:p>
                <w:pPr>
                  <w:spacing w:before="26"/>
                  <w:ind w:left="20" w:right="0" w:firstLine="0"/>
                  <w:jc w:val="left"/>
                  <w:rPr>
                    <w:sz w:val="26"/>
                  </w:rPr>
                </w:pPr>
                <w:r>
                  <w:rPr>
                    <w:color w:val="8BA8BD"/>
                    <w:w w:val="115"/>
                    <w:sz w:val="26"/>
                  </w:rPr>
                  <w:t>Communications and Editorial</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759616" filled="true" fillcolor="#eab817" stroked="false">
          <v:fill type="solid"/>
          <w10:wrap type="none"/>
        </v:rect>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20000" filled="true" fillcolor="#8ba8bd" stroked="false">
          <v:fill type="solid"/>
          <w10:wrap type="none"/>
        </v:rect>
      </w:pict>
    </w:r>
    <w:r>
      <w:rPr/>
      <w:pict>
        <v:rect style="position:absolute;margin-left:12.047pt;margin-top:30.472015pt;width:22.677pt;height:22.677pt;mso-position-horizontal-relative:page;mso-position-vertical-relative:page;z-index:-267518976" filled="true" fillcolor="#c2d2df" stroked="false">
          <v:fill type="solid"/>
          <w10:wrap type="none"/>
        </v:rect>
      </w:pict>
    </w:r>
    <w:r>
      <w:rPr/>
      <w:pict>
        <v:shape style="position:absolute;margin-left:45.771599pt;margin-top:30.272114pt;width:187.3pt;height:18.05pt;mso-position-horizontal-relative:page;mso-position-vertical-relative:page;z-index:-267517952" type="#_x0000_t202" filled="false" stroked="false">
          <v:textbox inset="0,0,0,0">
            <w:txbxContent>
              <w:p>
                <w:pPr>
                  <w:spacing w:before="26"/>
                  <w:ind w:left="20" w:right="0" w:firstLine="0"/>
                  <w:jc w:val="left"/>
                  <w:rPr>
                    <w:sz w:val="26"/>
                  </w:rPr>
                </w:pPr>
                <w:r>
                  <w:rPr>
                    <w:color w:val="8BA8BD"/>
                    <w:w w:val="115"/>
                    <w:sz w:val="26"/>
                  </w:rPr>
                  <w:t>Communications and Editorial</w:t>
                </w:r>
              </w:p>
            </w:txbxContent>
          </v:textbox>
          <w10:wrap type="none"/>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16928" filled="true" fillcolor="#8ba8bd" stroked="false">
          <v:fill type="solid"/>
          <w10:wrap type="none"/>
        </v:rect>
      </w:pict>
    </w:r>
    <w:r>
      <w:rPr/>
      <w:pict>
        <v:rect style="position:absolute;margin-left:558.424988pt;margin-top:31.299015pt;width:22.677pt;height:22.677pt;mso-position-horizontal-relative:page;mso-position-vertical-relative:page;z-index:-267515904" filled="true" fillcolor="#c2d2df" stroked="false">
          <v:fill type="solid"/>
          <w10:wrap type="none"/>
        </v:rect>
      </w:pict>
    </w:r>
    <w:r>
      <w:rPr/>
      <w:pict>
        <v:shape style="position:absolute;margin-left:362.2453pt;margin-top:30.272114pt;width:187.3pt;height:18.05pt;mso-position-horizontal-relative:page;mso-position-vertical-relative:page;z-index:-267514880" type="#_x0000_t202" filled="false" stroked="false">
          <v:textbox inset="0,0,0,0">
            <w:txbxContent>
              <w:p>
                <w:pPr>
                  <w:spacing w:before="26"/>
                  <w:ind w:left="20" w:right="0" w:firstLine="0"/>
                  <w:jc w:val="left"/>
                  <w:rPr>
                    <w:sz w:val="26"/>
                  </w:rPr>
                </w:pPr>
                <w:r>
                  <w:rPr>
                    <w:color w:val="8BA8BD"/>
                    <w:w w:val="115"/>
                    <w:sz w:val="26"/>
                  </w:rPr>
                  <w:t>Communications and Editorial</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510784" filled="true" fillcolor="#8ba8bd" stroked="false">
          <v:fill type="solid"/>
          <w10:wrap type="none"/>
        </v:rect>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09760" filled="true" fillcolor="#8ba8bd" stroked="false">
          <v:fill type="solid"/>
          <w10:wrap type="none"/>
        </v:rect>
      </w:pict>
    </w:r>
    <w:r>
      <w:rPr/>
      <w:pict>
        <v:rect style="position:absolute;margin-left:12.047pt;margin-top:30.472015pt;width:22.677pt;height:22.677pt;mso-position-horizontal-relative:page;mso-position-vertical-relative:page;z-index:-267508736" filled="true" fillcolor="#c2d2df" stroked="false">
          <v:fill type="solid"/>
          <w10:wrap type="none"/>
        </v:rect>
      </w:pict>
    </w:r>
    <w:r>
      <w:rPr/>
      <w:pict>
        <v:shape style="position:absolute;margin-left:45.771599pt;margin-top:30.272114pt;width:147.5pt;height:18.05pt;mso-position-horizontal-relative:page;mso-position-vertical-relative:page;z-index:-267507712"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506688" filled="true" fillcolor="#8ba8bd" stroked="false">
          <v:fill type="solid"/>
          <w10:wrap type="none"/>
        </v:rect>
      </w:pict>
    </w:r>
    <w:r>
      <w:rPr/>
      <w:pict>
        <v:rect style="position:absolute;margin-left:12.047pt;margin-top:30.472015pt;width:22.677pt;height:22.677pt;mso-position-horizontal-relative:page;mso-position-vertical-relative:page;z-index:-267505664" filled="true" fillcolor="#c2d2df" stroked="false">
          <v:fill type="solid"/>
          <w10:wrap type="none"/>
        </v:rect>
      </w:pict>
    </w:r>
    <w:r>
      <w:rPr/>
      <w:pict>
        <v:shape style="position:absolute;margin-left:45.771599pt;margin-top:30.272114pt;width:147.5pt;height:18.05pt;mso-position-horizontal-relative:page;mso-position-vertical-relative:page;z-index:-267504640"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503616" filled="true" fillcolor="#8ba8bd" stroked="false">
          <v:fill type="solid"/>
          <w10:wrap type="none"/>
        </v:rect>
      </w:pict>
    </w:r>
    <w:r>
      <w:rPr/>
      <w:pict>
        <v:rect style="position:absolute;margin-left:558.424988pt;margin-top:31.299015pt;width:22.677pt;height:22.677pt;mso-position-horizontal-relative:page;mso-position-vertical-relative:page;z-index:-267502592" filled="true" fillcolor="#c2d2df" stroked="false">
          <v:fill type="solid"/>
          <w10:wrap type="none"/>
        </v:rect>
      </w:pict>
    </w:r>
    <w:r>
      <w:rPr/>
      <w:pict>
        <v:shape style="position:absolute;margin-left:402.046692pt;margin-top:30.272114pt;width:147.5pt;height:18.05pt;mso-position-horizontal-relative:page;mso-position-vertical-relative:page;z-index:-267501568"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97472" filled="true" fillcolor="#8ba8bd" stroked="false">
          <v:fill type="solid"/>
          <w10:wrap type="none"/>
        </v:rect>
      </w:pict>
    </w:r>
    <w:r>
      <w:rPr/>
      <w:pict>
        <v:rect style="position:absolute;margin-left:12.047pt;margin-top:30.472015pt;width:22.677pt;height:22.677pt;mso-position-horizontal-relative:page;mso-position-vertical-relative:page;z-index:-267496448" filled="true" fillcolor="#c2d2df" stroked="false">
          <v:fill type="solid"/>
          <w10:wrap type="none"/>
        </v:rect>
      </w:pict>
    </w:r>
    <w:r>
      <w:rPr/>
      <w:pict>
        <v:shape style="position:absolute;margin-left:45.771599pt;margin-top:30.272114pt;width:147.5pt;height:18.05pt;mso-position-horizontal-relative:page;mso-position-vertical-relative:page;z-index:-267495424"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94400" filled="true" fillcolor="#8ba8bd" stroked="false">
          <v:fill type="solid"/>
          <w10:wrap type="none"/>
        </v:rect>
      </w:pict>
    </w:r>
    <w:r>
      <w:rPr/>
      <w:pict>
        <v:rect style="position:absolute;margin-left:558.424988pt;margin-top:31.299015pt;width:22.677pt;height:22.677pt;mso-position-horizontal-relative:page;mso-position-vertical-relative:page;z-index:-267493376" filled="true" fillcolor="#c2d2df" stroked="false">
          <v:fill type="solid"/>
          <w10:wrap type="none"/>
        </v:rect>
      </w:pict>
    </w:r>
    <w:r>
      <w:rPr/>
      <w:pict>
        <v:shape style="position:absolute;margin-left:402.046692pt;margin-top:30.272114pt;width:147.5pt;height:18.05pt;mso-position-horizontal-relative:page;mso-position-vertical-relative:page;z-index:-267492352"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88256" filled="true" fillcolor="#8ba8bd" stroked="false">
          <v:fill type="solid"/>
          <w10:wrap type="none"/>
        </v:rect>
      </w:pict>
    </w:r>
    <w:r>
      <w:rPr/>
      <w:pict>
        <v:rect style="position:absolute;margin-left:12.047pt;margin-top:30.472015pt;width:22.677pt;height:22.677pt;mso-position-horizontal-relative:page;mso-position-vertical-relative:page;z-index:-267487232" filled="true" fillcolor="#c2d2df" stroked="false">
          <v:fill type="solid"/>
          <w10:wrap type="none"/>
        </v:rect>
      </w:pict>
    </w:r>
    <w:r>
      <w:rPr/>
      <w:pict>
        <v:shape style="position:absolute;margin-left:45.771599pt;margin-top:30.272114pt;width:147.5pt;height:18.05pt;mso-position-horizontal-relative:page;mso-position-vertical-relative:page;z-index:-267486208"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758592" filled="true" fillcolor="#eab817" stroked="false">
          <v:fill type="solid"/>
          <w10:wrap type="none"/>
        </v:rect>
      </w:pict>
    </w:r>
    <w:r>
      <w:rPr/>
      <w:pict>
        <v:rect style="position:absolute;margin-left:12.047pt;margin-top:30.473015pt;width:22.677pt;height:22.677pt;mso-position-horizontal-relative:page;mso-position-vertical-relative:page;z-index:-267757568" filled="true" fillcolor="#f5db95" stroked="false">
          <v:fill type="solid"/>
          <w10:wrap type="none"/>
        </v:rect>
      </w:pict>
    </w:r>
    <w:r>
      <w:rPr/>
      <w:pict>
        <v:line style="position:absolute;mso-position-horizontal-relative:page;mso-position-vertical-relative:page;z-index:-267756544" from="514.487183pt,56.693214pt" to="514.487183pt,56.693214pt" stroked="true" strokeweight="1pt" strokecolor="#868685">
          <v:stroke dashstyle="solid"/>
          <w10:wrap type="none"/>
        </v:line>
      </w:pict>
    </w:r>
    <w:r>
      <w:rPr/>
      <w:pict>
        <v:shape style="position:absolute;margin-left:45.771599pt;margin-top:27.444317pt;width:229.7pt;height:12.65pt;mso-position-horizontal-relative:page;mso-position-vertical-relative:page;z-index:-267755520"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85184" filled="true" fillcolor="#8ba8bd" stroked="false">
          <v:fill type="solid"/>
          <w10:wrap type="none"/>
        </v:rect>
      </w:pict>
    </w:r>
    <w:r>
      <w:rPr/>
      <w:pict>
        <v:rect style="position:absolute;margin-left:558.424988pt;margin-top:31.299015pt;width:22.677pt;height:22.677pt;mso-position-horizontal-relative:page;mso-position-vertical-relative:page;z-index:-267484160" filled="true" fillcolor="#c2d2df" stroked="false">
          <v:fill type="solid"/>
          <w10:wrap type="none"/>
        </v:rect>
      </w:pict>
    </w:r>
    <w:r>
      <w:rPr/>
      <w:pict>
        <v:shape style="position:absolute;margin-left:402.046692pt;margin-top:30.272114pt;width:147.5pt;height:18.05pt;mso-position-horizontal-relative:page;mso-position-vertical-relative:page;z-index:-267483136"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79040" filled="true" fillcolor="#8ba8bd" stroked="false">
          <v:fill type="solid"/>
          <w10:wrap type="none"/>
        </v:rect>
      </w:pict>
    </w:r>
    <w:r>
      <w:rPr/>
      <w:pict>
        <v:rect style="position:absolute;margin-left:12.047pt;margin-top:30.472015pt;width:22.677pt;height:22.677pt;mso-position-horizontal-relative:page;mso-position-vertical-relative:page;z-index:-267478016" filled="true" fillcolor="#c2d2df" stroked="false">
          <v:fill type="solid"/>
          <w10:wrap type="none"/>
        </v:rect>
      </w:pict>
    </w:r>
    <w:r>
      <w:rPr/>
      <w:pict>
        <v:shape style="position:absolute;margin-left:45.771599pt;margin-top:30.272114pt;width:147.5pt;height:18.05pt;mso-position-horizontal-relative:page;mso-position-vertical-relative:page;z-index:-267476992"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72896" filled="true" fillcolor="#8ba8bd" stroked="false">
          <v:fill type="solid"/>
          <w10:wrap type="none"/>
        </v:rect>
      </w:pict>
    </w:r>
    <w:r>
      <w:rPr/>
      <w:pict>
        <v:rect style="position:absolute;margin-left:12.047pt;margin-top:30.472015pt;width:22.677pt;height:22.677pt;mso-position-horizontal-relative:page;mso-position-vertical-relative:page;z-index:-267471872" filled="true" fillcolor="#c2d2df" stroked="false">
          <v:fill type="solid"/>
          <w10:wrap type="none"/>
        </v:rect>
      </w:pict>
    </w:r>
    <w:r>
      <w:rPr/>
      <w:pict>
        <v:shape style="position:absolute;margin-left:45.771599pt;margin-top:30.272114pt;width:147.5pt;height:18.05pt;mso-position-horizontal-relative:page;mso-position-vertical-relative:page;z-index:-267470848"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69824" filled="true" fillcolor="#8ba8bd" stroked="false">
          <v:fill type="solid"/>
          <w10:wrap type="none"/>
        </v:rect>
      </w:pict>
    </w:r>
    <w:r>
      <w:rPr/>
      <w:pict>
        <v:rect style="position:absolute;margin-left:558.424988pt;margin-top:31.299015pt;width:22.677pt;height:22.677pt;mso-position-horizontal-relative:page;mso-position-vertical-relative:page;z-index:-267468800" filled="true" fillcolor="#c2d2df" stroked="false">
          <v:fill type="solid"/>
          <w10:wrap type="none"/>
        </v:rect>
      </w:pict>
    </w:r>
    <w:r>
      <w:rPr/>
      <w:pict>
        <v:shape style="position:absolute;margin-left:402.046692pt;margin-top:30.272114pt;width:147.5pt;height:18.05pt;mso-position-horizontal-relative:page;mso-position-vertical-relative:page;z-index:-267467776"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66752" filled="true" fillcolor="#8ba8bd" stroked="false">
          <v:fill type="solid"/>
          <w10:wrap type="none"/>
        </v:rect>
      </w:pict>
    </w:r>
    <w:r>
      <w:rPr/>
      <w:pict>
        <v:rect style="position:absolute;margin-left:558.424988pt;margin-top:31.299015pt;width:22.677pt;height:22.677pt;mso-position-horizontal-relative:page;mso-position-vertical-relative:page;z-index:-267465728" filled="true" fillcolor="#c2d2df" stroked="false">
          <v:fill type="solid"/>
          <w10:wrap type="none"/>
        </v:rect>
      </w:pict>
    </w:r>
    <w:r>
      <w:rPr/>
      <w:pict>
        <v:shape style="position:absolute;margin-left:402.046692pt;margin-top:30.272114pt;width:147.5pt;height:18.05pt;mso-position-horizontal-relative:page;mso-position-vertical-relative:page;z-index:-267464704"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63680" filled="true" fillcolor="#8ba8bd" stroked="false">
          <v:fill type="solid"/>
          <w10:wrap type="none"/>
        </v:rect>
      </w:pict>
    </w:r>
    <w:r>
      <w:rPr/>
      <w:pict>
        <v:rect style="position:absolute;margin-left:12.047pt;margin-top:30.472015pt;width:22.677pt;height:22.677pt;mso-position-horizontal-relative:page;mso-position-vertical-relative:page;z-index:-267462656" filled="true" fillcolor="#c2d2df" stroked="false">
          <v:fill type="solid"/>
          <w10:wrap type="none"/>
        </v:rect>
      </w:pict>
    </w:r>
    <w:r>
      <w:rPr/>
      <w:pict>
        <v:shape style="position:absolute;margin-left:45.771599pt;margin-top:30.272114pt;width:147.5pt;height:18.05pt;mso-position-horizontal-relative:page;mso-position-vertical-relative:page;z-index:-267461632"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60608" filled="true" fillcolor="#8ba8bd" stroked="false">
          <v:fill type="solid"/>
          <w10:wrap type="none"/>
        </v:rect>
      </w:pict>
    </w:r>
    <w:r>
      <w:rPr/>
      <w:pict>
        <v:rect style="position:absolute;margin-left:12.047pt;margin-top:30.472015pt;width:22.677pt;height:22.677pt;mso-position-horizontal-relative:page;mso-position-vertical-relative:page;z-index:-267459584" filled="true" fillcolor="#c2d2df" stroked="false">
          <v:fill type="solid"/>
          <w10:wrap type="none"/>
        </v:rect>
      </w:pict>
    </w:r>
    <w:r>
      <w:rPr/>
      <w:pict>
        <v:shape style="position:absolute;margin-left:45.771599pt;margin-top:30.272114pt;width:147.5pt;height:18.05pt;mso-position-horizontal-relative:page;mso-position-vertical-relative:page;z-index:-267458560"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57536" filled="true" fillcolor="#8ba8bd" stroked="false">
          <v:fill type="solid"/>
          <w10:wrap type="none"/>
        </v:rect>
      </w:pict>
    </w:r>
    <w:r>
      <w:rPr/>
      <w:pict>
        <v:rect style="position:absolute;margin-left:558.424988pt;margin-top:31.299015pt;width:22.677pt;height:22.677pt;mso-position-horizontal-relative:page;mso-position-vertical-relative:page;z-index:-267456512" filled="true" fillcolor="#c2d2df" stroked="false">
          <v:fill type="solid"/>
          <w10:wrap type="none"/>
        </v:rect>
      </w:pict>
    </w:r>
    <w:r>
      <w:rPr/>
      <w:pict>
        <v:shape style="position:absolute;margin-left:402.046692pt;margin-top:30.272114pt;width:147.5pt;height:18.05pt;mso-position-horizontal-relative:page;mso-position-vertical-relative:page;z-index:-267455488"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52416" filled="true" fillcolor="#8ba8bd" stroked="false">
          <v:fill type="solid"/>
          <w10:wrap type="none"/>
        </v:rect>
      </w:pict>
    </w:r>
    <w:r>
      <w:rPr/>
      <w:pict>
        <v:rect style="position:absolute;margin-left:12.047pt;margin-top:30.472015pt;width:22.677pt;height:22.677pt;mso-position-horizontal-relative:page;mso-position-vertical-relative:page;z-index:-267451392" filled="true" fillcolor="#c2d2df" stroked="false">
          <v:fill type="solid"/>
          <w10:wrap type="none"/>
        </v:rect>
      </w:pict>
    </w:r>
    <w:r>
      <w:rPr/>
      <w:pict>
        <v:shape style="position:absolute;margin-left:45.771599pt;margin-top:30.272114pt;width:147.5pt;height:18.05pt;mso-position-horizontal-relative:page;mso-position-vertical-relative:page;z-index:-267450368" type="#_x0000_t202" filled="false" stroked="false">
          <v:textbox inset="0,0,0,0">
            <w:txbxContent>
              <w:p>
                <w:pPr>
                  <w:spacing w:before="26"/>
                  <w:ind w:left="20" w:right="0" w:firstLine="0"/>
                  <w:jc w:val="left"/>
                  <w:rPr>
                    <w:sz w:val="26"/>
                  </w:rPr>
                </w:pPr>
                <w:r>
                  <w:rPr>
                    <w:color w:val="8BA8BD"/>
                    <w:w w:val="115"/>
                    <w:sz w:val="26"/>
                  </w:rPr>
                  <w:t>Education and Learning</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749376" filled="true" fillcolor="#eab817" stroked="false">
          <v:fill type="solid"/>
          <w10:wrap type="none"/>
        </v:rect>
      </w:pict>
    </w:r>
    <w:r>
      <w:rPr/>
      <w:pict>
        <v:rect style="position:absolute;margin-left:558.424988pt;margin-top:31.300014pt;width:22.677pt;height:22.677pt;mso-position-horizontal-relative:page;mso-position-vertical-relative:page;z-index:-267748352" filled="true" fillcolor="#f5db95" stroked="false">
          <v:fill type="solid"/>
          <w10:wrap type="none"/>
        </v:rect>
      </w:pict>
    </w:r>
    <w:r>
      <w:rPr/>
      <w:pict>
        <v:line style="position:absolute;mso-position-horizontal-relative:page;mso-position-vertical-relative:page;z-index:-267747328" from="78.870102pt,56.693214pt" to="78.870102pt,56.693214pt" stroked="true" strokeweight="1pt" strokecolor="#868685">
          <v:stroke dashstyle="solid"/>
          <w10:wrap type="none"/>
        </v:line>
      </w:pict>
    </w:r>
    <w:r>
      <w:rPr/>
      <w:pict>
        <v:shape style="position:absolute;margin-left:319.803497pt;margin-top:27.444317pt;width:229.7pt;height:12.65pt;mso-position-horizontal-relative:page;mso-position-vertical-relative:page;z-index:-267746304" type="#_x0000_t202" filled="false" stroked="false">
          <v:textbox inset="0,0,0,0">
            <w:txbxContent>
              <w:p>
                <w:pPr>
                  <w:spacing w:before="13"/>
                  <w:ind w:left="20" w:right="0" w:firstLine="0"/>
                  <w:jc w:val="left"/>
                  <w:rPr>
                    <w:rFonts w:ascii="Arial"/>
                    <w:sz w:val="19"/>
                  </w:rPr>
                </w:pPr>
                <w:r>
                  <w:rPr>
                    <w:rFonts w:ascii="Arial"/>
                    <w:color w:val="8BA8BD"/>
                    <w:w w:val="105"/>
                    <w:sz w:val="19"/>
                  </w:rPr>
                  <w:t>vision2020: </w:t>
                </w:r>
                <w:r>
                  <w:rPr>
                    <w:rFonts w:ascii="Arial"/>
                    <w:color w:val="868685"/>
                    <w:w w:val="105"/>
                    <w:sz w:val="19"/>
                  </w:rPr>
                  <w:t>ten statements of our mission purpose</w:t>
                </w:r>
              </w:p>
            </w:txbxContent>
          </v:textbox>
          <w10:wrap type="none"/>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447296" filled="true" fillcolor="#8ba8bd" stroked="false">
          <v:fill type="solid"/>
          <w10:wrap type="none"/>
        </v:rect>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446272" filled="true" fillcolor="#8ba8bd" stroked="false">
          <v:fill type="solid"/>
          <w10:wrap type="none"/>
        </v:rect>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5pt;width:595.275pt;height:841.89pt;mso-position-horizontal-relative:page;mso-position-vertical-relative:page;z-index:-267443200" filled="true" fillcolor="#8ba8bd" stroked="false">
          <v:fill type="solid"/>
          <w10:wrap type="none"/>
        </v:rect>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42176" filled="true" fillcolor="#8ba8bd" stroked="false">
          <v:fill type="solid"/>
          <w10:wrap type="none"/>
        </v:rect>
      </w:pict>
    </w:r>
    <w:r>
      <w:rPr/>
      <w:pict>
        <v:rect style="position:absolute;margin-left:12.047pt;margin-top:30.472015pt;width:22.677pt;height:22.677pt;mso-position-horizontal-relative:page;mso-position-vertical-relative:page;z-index:-267441152" filled="true" fillcolor="#c2d2df" stroked="false">
          <v:fill type="solid"/>
          <w10:wrap type="none"/>
        </v:rect>
      </w:pict>
    </w:r>
    <w:r>
      <w:rPr/>
      <w:pict>
        <v:shape style="position:absolute;margin-left:45.771599pt;margin-top:30.272114pt;width:60.9pt;height:18.05pt;mso-position-horizontal-relative:page;mso-position-vertical-relative:page;z-index:-267440128" type="#_x0000_t202" filled="false" stroked="false">
          <v:textbox inset="0,0,0,0">
            <w:txbxContent>
              <w:p>
                <w:pPr>
                  <w:spacing w:before="26"/>
                  <w:ind w:left="20" w:right="0" w:firstLine="0"/>
                  <w:jc w:val="left"/>
                  <w:rPr>
                    <w:sz w:val="26"/>
                  </w:rPr>
                </w:pPr>
                <w:r>
                  <w:rPr>
                    <w:color w:val="8BA8BD"/>
                    <w:w w:val="110"/>
                    <w:sz w:val="26"/>
                  </w:rPr>
                  <w:t>Ministries</w:t>
                </w:r>
              </w:p>
            </w:txbxContent>
          </v:textbox>
          <w10:wrap type="none"/>
        </v:shape>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2.047pt;margin-top:0pt;width:22.677pt;height:22.677015pt;mso-position-horizontal-relative:page;mso-position-vertical-relative:page;z-index:-267439104" filled="true" fillcolor="#8ba8bd" stroked="false">
          <v:fill type="solid"/>
          <w10:wrap type="none"/>
        </v:rect>
      </w:pict>
    </w:r>
    <w:r>
      <w:rPr/>
      <w:pict>
        <v:rect style="position:absolute;margin-left:12.047pt;margin-top:30.472015pt;width:22.677pt;height:22.677pt;mso-position-horizontal-relative:page;mso-position-vertical-relative:page;z-index:-267438080" filled="true" fillcolor="#c2d2df" stroked="false">
          <v:fill type="solid"/>
          <w10:wrap type="none"/>
        </v:rect>
      </w:pict>
    </w:r>
    <w:r>
      <w:rPr/>
      <w:pict>
        <v:shape style="position:absolute;margin-left:45.771599pt;margin-top:30.272114pt;width:60.9pt;height:18.05pt;mso-position-horizontal-relative:page;mso-position-vertical-relative:page;z-index:-267437056" type="#_x0000_t202" filled="false" stroked="false">
          <v:textbox inset="0,0,0,0">
            <w:txbxContent>
              <w:p>
                <w:pPr>
                  <w:spacing w:before="26"/>
                  <w:ind w:left="20" w:right="0" w:firstLine="0"/>
                  <w:jc w:val="left"/>
                  <w:rPr>
                    <w:sz w:val="26"/>
                  </w:rPr>
                </w:pPr>
                <w:r>
                  <w:rPr>
                    <w:color w:val="8BA8BD"/>
                    <w:w w:val="110"/>
                    <w:sz w:val="26"/>
                  </w:rPr>
                  <w:t>Ministries</w:t>
                </w:r>
              </w:p>
            </w:txbxContent>
          </v:textbox>
          <w10:wrap type="none"/>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558.424988pt;margin-top:0pt;width:22.677pt;height:23.504015pt;mso-position-horizontal-relative:page;mso-position-vertical-relative:page;z-index:-267436032" filled="true" fillcolor="#8ba8bd" stroked="false">
          <v:fill type="solid"/>
          <w10:wrap type="none"/>
        </v:rect>
      </w:pict>
    </w:r>
    <w:r>
      <w:rPr/>
      <w:pict>
        <v:rect style="position:absolute;margin-left:558.424988pt;margin-top:31.299015pt;width:22.677pt;height:22.677pt;mso-position-horizontal-relative:page;mso-position-vertical-relative:page;z-index:-267435008" filled="true" fillcolor="#c2d2df" stroked="false">
          <v:fill type="solid"/>
          <w10:wrap type="none"/>
        </v:rect>
      </w:pict>
    </w:r>
    <w:r>
      <w:rPr/>
      <w:pict>
        <v:shape style="position:absolute;margin-left:488.649689pt;margin-top:30.272114pt;width:60.9pt;height:18.05pt;mso-position-horizontal-relative:page;mso-position-vertical-relative:page;z-index:-267433984" type="#_x0000_t202" filled="false" stroked="false">
          <v:textbox inset="0,0,0,0">
            <w:txbxContent>
              <w:p>
                <w:pPr>
                  <w:spacing w:before="26"/>
                  <w:ind w:left="20" w:right="0" w:firstLine="0"/>
                  <w:jc w:val="left"/>
                  <w:rPr>
                    <w:sz w:val="26"/>
                  </w:rPr>
                </w:pPr>
                <w:r>
                  <w:rPr>
                    <w:color w:val="8BA8BD"/>
                    <w:w w:val="110"/>
                    <w:sz w:val="26"/>
                  </w:rPr>
                  <w:t>Ministries</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4">
    <w:multiLevelType w:val="hybridMultilevel"/>
    <w:lvl w:ilvl="0">
      <w:start w:val="1"/>
      <w:numFmt w:val="decimal"/>
      <w:lvlText w:val="%1."/>
      <w:lvlJc w:val="left"/>
      <w:pPr>
        <w:ind w:left="2664" w:hanging="681"/>
        <w:jc w:val="left"/>
      </w:pPr>
      <w:rPr>
        <w:rFonts w:hint="default" w:ascii="Stone Sans II ITC Std Bk" w:hAnsi="Stone Sans II ITC Std Bk" w:eastAsia="Stone Sans II ITC Std Bk" w:cs="Stone Sans II ITC Std Bk"/>
        <w:b/>
        <w:bCs/>
        <w:spacing w:val="-13"/>
        <w:w w:val="110"/>
        <w:sz w:val="20"/>
        <w:szCs w:val="20"/>
      </w:rPr>
    </w:lvl>
    <w:lvl w:ilvl="1">
      <w:start w:val="1"/>
      <w:numFmt w:val="lowerLetter"/>
      <w:lvlText w:val="%2)"/>
      <w:lvlJc w:val="left"/>
      <w:pPr>
        <w:ind w:left="3118" w:hanging="541"/>
        <w:jc w:val="left"/>
      </w:pPr>
      <w:rPr>
        <w:rFonts w:hint="default" w:ascii="Calibri" w:hAnsi="Calibri" w:eastAsia="Calibri" w:cs="Calibri"/>
        <w:spacing w:val="-13"/>
        <w:w w:val="113"/>
        <w:sz w:val="20"/>
        <w:szCs w:val="20"/>
      </w:rPr>
    </w:lvl>
    <w:lvl w:ilvl="2">
      <w:start w:val="0"/>
      <w:numFmt w:val="bullet"/>
      <w:lvlText w:val="•"/>
      <w:lvlJc w:val="left"/>
      <w:pPr>
        <w:ind w:left="4096" w:hanging="541"/>
      </w:pPr>
      <w:rPr>
        <w:rFonts w:hint="default"/>
      </w:rPr>
    </w:lvl>
    <w:lvl w:ilvl="3">
      <w:start w:val="0"/>
      <w:numFmt w:val="bullet"/>
      <w:lvlText w:val="•"/>
      <w:lvlJc w:val="left"/>
      <w:pPr>
        <w:ind w:left="5072" w:hanging="541"/>
      </w:pPr>
      <w:rPr>
        <w:rFonts w:hint="default"/>
      </w:rPr>
    </w:lvl>
    <w:lvl w:ilvl="4">
      <w:start w:val="0"/>
      <w:numFmt w:val="bullet"/>
      <w:lvlText w:val="•"/>
      <w:lvlJc w:val="left"/>
      <w:pPr>
        <w:ind w:left="6048" w:hanging="541"/>
      </w:pPr>
      <w:rPr>
        <w:rFonts w:hint="default"/>
      </w:rPr>
    </w:lvl>
    <w:lvl w:ilvl="5">
      <w:start w:val="0"/>
      <w:numFmt w:val="bullet"/>
      <w:lvlText w:val="•"/>
      <w:lvlJc w:val="left"/>
      <w:pPr>
        <w:ind w:left="7024" w:hanging="541"/>
      </w:pPr>
      <w:rPr>
        <w:rFonts w:hint="default"/>
      </w:rPr>
    </w:lvl>
    <w:lvl w:ilvl="6">
      <w:start w:val="0"/>
      <w:numFmt w:val="bullet"/>
      <w:lvlText w:val="•"/>
      <w:lvlJc w:val="left"/>
      <w:pPr>
        <w:ind w:left="8000" w:hanging="541"/>
      </w:pPr>
      <w:rPr>
        <w:rFonts w:hint="default"/>
      </w:rPr>
    </w:lvl>
    <w:lvl w:ilvl="7">
      <w:start w:val="0"/>
      <w:numFmt w:val="bullet"/>
      <w:lvlText w:val="•"/>
      <w:lvlJc w:val="left"/>
      <w:pPr>
        <w:ind w:left="8977" w:hanging="541"/>
      </w:pPr>
      <w:rPr>
        <w:rFonts w:hint="default"/>
      </w:rPr>
    </w:lvl>
    <w:lvl w:ilvl="8">
      <w:start w:val="0"/>
      <w:numFmt w:val="bullet"/>
      <w:lvlText w:val="•"/>
      <w:lvlJc w:val="left"/>
      <w:pPr>
        <w:ind w:left="9953" w:hanging="541"/>
      </w:pPr>
      <w:rPr>
        <w:rFonts w:hint="default"/>
      </w:rPr>
    </w:lvl>
  </w:abstractNum>
  <w:abstractNum w:abstractNumId="151">
    <w:multiLevelType w:val="hybridMultilevel"/>
    <w:lvl w:ilvl="0">
      <w:start w:val="0"/>
      <w:numFmt w:val="bullet"/>
      <w:lvlText w:val=""/>
      <w:lvlJc w:val="left"/>
      <w:pPr>
        <w:ind w:left="1814" w:hanging="681"/>
      </w:pPr>
      <w:rPr>
        <w:rFonts w:hint="default" w:ascii="Wingdings" w:hAnsi="Wingdings" w:eastAsia="Wingdings" w:cs="Wingdings"/>
        <w:w w:val="110"/>
        <w:position w:val="-3"/>
        <w:sz w:val="29"/>
        <w:szCs w:val="29"/>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39">
    <w:multiLevelType w:val="hybridMultilevel"/>
    <w:lvl w:ilvl="0">
      <w:start w:val="1"/>
      <w:numFmt w:val="decimal"/>
      <w:lvlText w:val="%1"/>
      <w:lvlJc w:val="left"/>
      <w:pPr>
        <w:ind w:left="2704" w:hanging="720"/>
        <w:jc w:val="lef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722" w:hanging="681"/>
      </w:pPr>
      <w:rPr>
        <w:rFonts w:hint="default"/>
      </w:rPr>
    </w:lvl>
    <w:lvl w:ilvl="3">
      <w:start w:val="0"/>
      <w:numFmt w:val="bullet"/>
      <w:lvlText w:val="•"/>
      <w:lvlJc w:val="left"/>
      <w:pPr>
        <w:ind w:left="4745" w:hanging="681"/>
      </w:pPr>
      <w:rPr>
        <w:rFonts w:hint="default"/>
      </w:rPr>
    </w:lvl>
    <w:lvl w:ilvl="4">
      <w:start w:val="0"/>
      <w:numFmt w:val="bullet"/>
      <w:lvlText w:val="•"/>
      <w:lvlJc w:val="left"/>
      <w:pPr>
        <w:ind w:left="5768" w:hanging="681"/>
      </w:pPr>
      <w:rPr>
        <w:rFonts w:hint="default"/>
      </w:rPr>
    </w:lvl>
    <w:lvl w:ilvl="5">
      <w:start w:val="0"/>
      <w:numFmt w:val="bullet"/>
      <w:lvlText w:val="•"/>
      <w:lvlJc w:val="left"/>
      <w:pPr>
        <w:ind w:left="6791" w:hanging="681"/>
      </w:pPr>
      <w:rPr>
        <w:rFonts w:hint="default"/>
      </w:rPr>
    </w:lvl>
    <w:lvl w:ilvl="6">
      <w:start w:val="0"/>
      <w:numFmt w:val="bullet"/>
      <w:lvlText w:val="•"/>
      <w:lvlJc w:val="left"/>
      <w:pPr>
        <w:ind w:left="7814" w:hanging="681"/>
      </w:pPr>
      <w:rPr>
        <w:rFonts w:hint="default"/>
      </w:rPr>
    </w:lvl>
    <w:lvl w:ilvl="7">
      <w:start w:val="0"/>
      <w:numFmt w:val="bullet"/>
      <w:lvlText w:val="•"/>
      <w:lvlJc w:val="left"/>
      <w:pPr>
        <w:ind w:left="8837" w:hanging="681"/>
      </w:pPr>
      <w:rPr>
        <w:rFonts w:hint="default"/>
      </w:rPr>
    </w:lvl>
    <w:lvl w:ilvl="8">
      <w:start w:val="0"/>
      <w:numFmt w:val="bullet"/>
      <w:lvlText w:val="•"/>
      <w:lvlJc w:val="left"/>
      <w:pPr>
        <w:ind w:left="9859" w:hanging="681"/>
      </w:pPr>
      <w:rPr>
        <w:rFonts w:hint="default"/>
      </w:rPr>
    </w:lvl>
  </w:abstractNum>
  <w:abstractNum w:abstractNumId="134">
    <w:multiLevelType w:val="hybridMultilevel"/>
    <w:lvl w:ilvl="0">
      <w:start w:val="1"/>
      <w:numFmt w:val="decimal"/>
      <w:lvlText w:val="%1"/>
      <w:lvlJc w:val="left"/>
      <w:pPr>
        <w:ind w:left="3146"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2426" w:hanging="681"/>
        <w:jc w:val="right"/>
      </w:pPr>
      <w:rPr>
        <w:rFonts w:hint="default" w:ascii="Calibri" w:hAnsi="Calibri" w:eastAsia="Calibri" w:cs="Calibri"/>
        <w:spacing w:val="-18"/>
        <w:w w:val="125"/>
        <w:sz w:val="20"/>
        <w:szCs w:val="20"/>
      </w:rPr>
    </w:lvl>
    <w:lvl w:ilvl="2">
      <w:start w:val="0"/>
      <w:numFmt w:val="bullet"/>
      <w:lvlText w:val="•"/>
      <w:lvlJc w:val="left"/>
      <w:pPr>
        <w:ind w:left="2420" w:hanging="681"/>
      </w:pPr>
      <w:rPr>
        <w:rFonts w:hint="default"/>
      </w:rPr>
    </w:lvl>
    <w:lvl w:ilvl="3">
      <w:start w:val="0"/>
      <w:numFmt w:val="bullet"/>
      <w:lvlText w:val="•"/>
      <w:lvlJc w:val="left"/>
      <w:pPr>
        <w:ind w:left="3140" w:hanging="681"/>
      </w:pPr>
      <w:rPr>
        <w:rFonts w:hint="default"/>
      </w:rPr>
    </w:lvl>
    <w:lvl w:ilvl="4">
      <w:start w:val="0"/>
      <w:numFmt w:val="bullet"/>
      <w:lvlText w:val="•"/>
      <w:lvlJc w:val="left"/>
      <w:pPr>
        <w:ind w:left="4392" w:hanging="681"/>
      </w:pPr>
      <w:rPr>
        <w:rFonts w:hint="default"/>
      </w:rPr>
    </w:lvl>
    <w:lvl w:ilvl="5">
      <w:start w:val="0"/>
      <w:numFmt w:val="bullet"/>
      <w:lvlText w:val="•"/>
      <w:lvlJc w:val="left"/>
      <w:pPr>
        <w:ind w:left="5644" w:hanging="681"/>
      </w:pPr>
      <w:rPr>
        <w:rFonts w:hint="default"/>
      </w:rPr>
    </w:lvl>
    <w:lvl w:ilvl="6">
      <w:start w:val="0"/>
      <w:numFmt w:val="bullet"/>
      <w:lvlText w:val="•"/>
      <w:lvlJc w:val="left"/>
      <w:pPr>
        <w:ind w:left="6896" w:hanging="681"/>
      </w:pPr>
      <w:rPr>
        <w:rFonts w:hint="default"/>
      </w:rPr>
    </w:lvl>
    <w:lvl w:ilvl="7">
      <w:start w:val="0"/>
      <w:numFmt w:val="bullet"/>
      <w:lvlText w:val="•"/>
      <w:lvlJc w:val="left"/>
      <w:pPr>
        <w:ind w:left="8148" w:hanging="681"/>
      </w:pPr>
      <w:rPr>
        <w:rFonts w:hint="default"/>
      </w:rPr>
    </w:lvl>
    <w:lvl w:ilvl="8">
      <w:start w:val="0"/>
      <w:numFmt w:val="bullet"/>
      <w:lvlText w:val="•"/>
      <w:lvlJc w:val="left"/>
      <w:pPr>
        <w:ind w:left="9401" w:hanging="681"/>
      </w:pPr>
      <w:rPr>
        <w:rFonts w:hint="default"/>
      </w:rPr>
    </w:lvl>
  </w:abstractNum>
  <w:abstractNum w:abstractNumId="123">
    <w:multiLevelType w:val="hybridMultilevel"/>
    <w:lvl w:ilvl="0">
      <w:start w:val="1"/>
      <w:numFmt w:val="decimal"/>
      <w:lvlText w:val="%1"/>
      <w:lvlJc w:val="left"/>
      <w:pPr>
        <w:ind w:left="2664" w:hanging="681"/>
        <w:jc w:val="right"/>
      </w:pPr>
      <w:rPr>
        <w:rFonts w:hint="default"/>
        <w:w w:val="125"/>
      </w:rPr>
    </w:lvl>
    <w:lvl w:ilvl="1">
      <w:start w:val="1"/>
      <w:numFmt w:val="decimal"/>
      <w:lvlText w:val="%1.%2"/>
      <w:lvlJc w:val="left"/>
      <w:pPr>
        <w:ind w:left="1984" w:hanging="681"/>
        <w:jc w:val="left"/>
      </w:pPr>
      <w:rPr>
        <w:rFonts w:hint="default"/>
        <w:spacing w:val="-18"/>
        <w:w w:val="125"/>
      </w:rPr>
    </w:lvl>
    <w:lvl w:ilvl="2">
      <w:start w:val="1"/>
      <w:numFmt w:val="decimal"/>
      <w:lvlText w:val="%1.%2.%3"/>
      <w:lvlJc w:val="left"/>
      <w:pPr>
        <w:ind w:left="1133" w:hanging="681"/>
        <w:jc w:val="left"/>
      </w:pPr>
      <w:rPr>
        <w:rFonts w:hint="default" w:ascii="Calibri" w:hAnsi="Calibri" w:eastAsia="Calibri" w:cs="Calibri"/>
        <w:spacing w:val="-18"/>
        <w:w w:val="125"/>
        <w:sz w:val="20"/>
        <w:szCs w:val="20"/>
      </w:rPr>
    </w:lvl>
    <w:lvl w:ilvl="3">
      <w:start w:val="0"/>
      <w:numFmt w:val="bullet"/>
      <w:lvlText w:val="•"/>
      <w:lvlJc w:val="left"/>
      <w:pPr>
        <w:ind w:left="2660" w:hanging="681"/>
      </w:pPr>
      <w:rPr>
        <w:rFonts w:hint="default"/>
      </w:rPr>
    </w:lvl>
    <w:lvl w:ilvl="4">
      <w:start w:val="0"/>
      <w:numFmt w:val="bullet"/>
      <w:lvlText w:val="•"/>
      <w:lvlJc w:val="left"/>
      <w:pPr>
        <w:ind w:left="3980" w:hanging="681"/>
      </w:pPr>
      <w:rPr>
        <w:rFonts w:hint="default"/>
      </w:rPr>
    </w:lvl>
    <w:lvl w:ilvl="5">
      <w:start w:val="0"/>
      <w:numFmt w:val="bullet"/>
      <w:lvlText w:val="•"/>
      <w:lvlJc w:val="left"/>
      <w:pPr>
        <w:ind w:left="5301" w:hanging="681"/>
      </w:pPr>
      <w:rPr>
        <w:rFonts w:hint="default"/>
      </w:rPr>
    </w:lvl>
    <w:lvl w:ilvl="6">
      <w:start w:val="0"/>
      <w:numFmt w:val="bullet"/>
      <w:lvlText w:val="•"/>
      <w:lvlJc w:val="left"/>
      <w:pPr>
        <w:ind w:left="6622" w:hanging="681"/>
      </w:pPr>
      <w:rPr>
        <w:rFonts w:hint="default"/>
      </w:rPr>
    </w:lvl>
    <w:lvl w:ilvl="7">
      <w:start w:val="0"/>
      <w:numFmt w:val="bullet"/>
      <w:lvlText w:val="•"/>
      <w:lvlJc w:val="left"/>
      <w:pPr>
        <w:ind w:left="7943" w:hanging="681"/>
      </w:pPr>
      <w:rPr>
        <w:rFonts w:hint="default"/>
      </w:rPr>
    </w:lvl>
    <w:lvl w:ilvl="8">
      <w:start w:val="0"/>
      <w:numFmt w:val="bullet"/>
      <w:lvlText w:val="•"/>
      <w:lvlJc w:val="left"/>
      <w:pPr>
        <w:ind w:left="9263" w:hanging="681"/>
      </w:pPr>
      <w:rPr>
        <w:rFonts w:hint="default"/>
      </w:rPr>
    </w:lvl>
  </w:abstractNum>
  <w:abstractNum w:abstractNumId="114">
    <w:multiLevelType w:val="hybridMultilevel"/>
    <w:lvl w:ilvl="0">
      <w:start w:val="0"/>
      <w:numFmt w:val="bullet"/>
      <w:lvlText w:val=""/>
      <w:lvlJc w:val="left"/>
      <w:pPr>
        <w:ind w:left="2554" w:hanging="681"/>
      </w:pPr>
      <w:rPr>
        <w:rFonts w:hint="default" w:ascii="Wingdings" w:hAnsi="Wingdings" w:eastAsia="Wingdings" w:cs="Wingdings"/>
        <w:w w:val="110"/>
        <w:sz w:val="29"/>
        <w:szCs w:val="29"/>
      </w:rPr>
    </w:lvl>
    <w:lvl w:ilvl="1">
      <w:start w:val="0"/>
      <w:numFmt w:val="bullet"/>
      <w:lvlText w:val="•"/>
      <w:lvlJc w:val="left"/>
      <w:pPr>
        <w:ind w:left="3494" w:hanging="681"/>
      </w:pPr>
      <w:rPr>
        <w:rFonts w:hint="default"/>
      </w:rPr>
    </w:lvl>
    <w:lvl w:ilvl="2">
      <w:start w:val="0"/>
      <w:numFmt w:val="bullet"/>
      <w:lvlText w:val="•"/>
      <w:lvlJc w:val="left"/>
      <w:pPr>
        <w:ind w:left="4429" w:hanging="681"/>
      </w:pPr>
      <w:rPr>
        <w:rFonts w:hint="default"/>
      </w:rPr>
    </w:lvl>
    <w:lvl w:ilvl="3">
      <w:start w:val="0"/>
      <w:numFmt w:val="bullet"/>
      <w:lvlText w:val="•"/>
      <w:lvlJc w:val="left"/>
      <w:pPr>
        <w:ind w:left="5363" w:hanging="681"/>
      </w:pPr>
      <w:rPr>
        <w:rFonts w:hint="default"/>
      </w:rPr>
    </w:lvl>
    <w:lvl w:ilvl="4">
      <w:start w:val="0"/>
      <w:numFmt w:val="bullet"/>
      <w:lvlText w:val="•"/>
      <w:lvlJc w:val="left"/>
      <w:pPr>
        <w:ind w:left="6298" w:hanging="681"/>
      </w:pPr>
      <w:rPr>
        <w:rFonts w:hint="default"/>
      </w:rPr>
    </w:lvl>
    <w:lvl w:ilvl="5">
      <w:start w:val="0"/>
      <w:numFmt w:val="bullet"/>
      <w:lvlText w:val="•"/>
      <w:lvlJc w:val="left"/>
      <w:pPr>
        <w:ind w:left="7232" w:hanging="681"/>
      </w:pPr>
      <w:rPr>
        <w:rFonts w:hint="default"/>
      </w:rPr>
    </w:lvl>
    <w:lvl w:ilvl="6">
      <w:start w:val="0"/>
      <w:numFmt w:val="bullet"/>
      <w:lvlText w:val="•"/>
      <w:lvlJc w:val="left"/>
      <w:pPr>
        <w:ind w:left="8167" w:hanging="681"/>
      </w:pPr>
      <w:rPr>
        <w:rFonts w:hint="default"/>
      </w:rPr>
    </w:lvl>
    <w:lvl w:ilvl="7">
      <w:start w:val="0"/>
      <w:numFmt w:val="bullet"/>
      <w:lvlText w:val="•"/>
      <w:lvlJc w:val="left"/>
      <w:pPr>
        <w:ind w:left="9101" w:hanging="681"/>
      </w:pPr>
      <w:rPr>
        <w:rFonts w:hint="default"/>
      </w:rPr>
    </w:lvl>
    <w:lvl w:ilvl="8">
      <w:start w:val="0"/>
      <w:numFmt w:val="bullet"/>
      <w:lvlText w:val="•"/>
      <w:lvlJc w:val="left"/>
      <w:pPr>
        <w:ind w:left="10036" w:hanging="681"/>
      </w:pPr>
      <w:rPr>
        <w:rFonts w:hint="default"/>
      </w:rPr>
    </w:lvl>
  </w:abstractNum>
  <w:abstractNum w:abstractNumId="108">
    <w:multiLevelType w:val="hybridMultilevel"/>
    <w:lvl w:ilvl="0">
      <w:start w:val="19"/>
      <w:numFmt w:val="decimal"/>
      <w:lvlText w:val="%1"/>
      <w:lvlJc w:val="left"/>
      <w:pPr>
        <w:ind w:left="1984" w:hanging="681"/>
        <w:jc w:val="right"/>
      </w:pPr>
      <w:rPr>
        <w:rFonts w:hint="default" w:ascii="Calibri" w:hAnsi="Calibri" w:eastAsia="Calibri" w:cs="Calibri"/>
        <w:spacing w:val="-18"/>
        <w:w w:val="129"/>
        <w:sz w:val="21"/>
        <w:szCs w:val="21"/>
      </w:rPr>
    </w:lvl>
    <w:lvl w:ilvl="1">
      <w:start w:val="0"/>
      <w:numFmt w:val="bullet"/>
      <w:lvlText w:val="•"/>
      <w:lvlJc w:val="left"/>
      <w:pPr>
        <w:ind w:left="2972" w:hanging="681"/>
      </w:pPr>
      <w:rPr>
        <w:rFonts w:hint="default"/>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50">
    <w:multiLevelType w:val="hybridMultilevel"/>
    <w:lvl w:ilvl="0">
      <w:start w:val="1"/>
      <w:numFmt w:val="decimal"/>
      <w:lvlText w:val="%1"/>
      <w:lvlJc w:val="left"/>
      <w:pPr>
        <w:ind w:left="2704" w:hanging="720"/>
        <w:jc w:val="left"/>
      </w:pPr>
      <w:rPr>
        <w:rFonts w:hint="default" w:ascii="Stone Sans II ITC Std Bk" w:hAnsi="Stone Sans II ITC Std Bk" w:eastAsia="Stone Sans II ITC Std Bk" w:cs="Stone Sans II ITC Std Bk"/>
        <w:b/>
        <w:bCs/>
        <w:color w:val="C20D19"/>
        <w:w w:val="114"/>
        <w:sz w:val="21"/>
        <w:szCs w:val="21"/>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722" w:hanging="681"/>
      </w:pPr>
      <w:rPr>
        <w:rFonts w:hint="default"/>
      </w:rPr>
    </w:lvl>
    <w:lvl w:ilvl="3">
      <w:start w:val="0"/>
      <w:numFmt w:val="bullet"/>
      <w:lvlText w:val="•"/>
      <w:lvlJc w:val="left"/>
      <w:pPr>
        <w:ind w:left="4745" w:hanging="681"/>
      </w:pPr>
      <w:rPr>
        <w:rFonts w:hint="default"/>
      </w:rPr>
    </w:lvl>
    <w:lvl w:ilvl="4">
      <w:start w:val="0"/>
      <w:numFmt w:val="bullet"/>
      <w:lvlText w:val="•"/>
      <w:lvlJc w:val="left"/>
      <w:pPr>
        <w:ind w:left="5768" w:hanging="681"/>
      </w:pPr>
      <w:rPr>
        <w:rFonts w:hint="default"/>
      </w:rPr>
    </w:lvl>
    <w:lvl w:ilvl="5">
      <w:start w:val="0"/>
      <w:numFmt w:val="bullet"/>
      <w:lvlText w:val="•"/>
      <w:lvlJc w:val="left"/>
      <w:pPr>
        <w:ind w:left="6791" w:hanging="681"/>
      </w:pPr>
      <w:rPr>
        <w:rFonts w:hint="default"/>
      </w:rPr>
    </w:lvl>
    <w:lvl w:ilvl="6">
      <w:start w:val="0"/>
      <w:numFmt w:val="bullet"/>
      <w:lvlText w:val="•"/>
      <w:lvlJc w:val="left"/>
      <w:pPr>
        <w:ind w:left="7814" w:hanging="681"/>
      </w:pPr>
      <w:rPr>
        <w:rFonts w:hint="default"/>
      </w:rPr>
    </w:lvl>
    <w:lvl w:ilvl="7">
      <w:start w:val="0"/>
      <w:numFmt w:val="bullet"/>
      <w:lvlText w:val="•"/>
      <w:lvlJc w:val="left"/>
      <w:pPr>
        <w:ind w:left="8837" w:hanging="681"/>
      </w:pPr>
      <w:rPr>
        <w:rFonts w:hint="default"/>
      </w:rPr>
    </w:lvl>
    <w:lvl w:ilvl="8">
      <w:start w:val="0"/>
      <w:numFmt w:val="bullet"/>
      <w:lvlText w:val="•"/>
      <w:lvlJc w:val="left"/>
      <w:pPr>
        <w:ind w:left="9859" w:hanging="681"/>
      </w:pPr>
      <w:rPr>
        <w:rFonts w:hint="default"/>
      </w:rPr>
    </w:lvl>
  </w:abstractNum>
  <w:abstractNum w:abstractNumId="1">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2700" w:hanging="681"/>
      </w:pPr>
      <w:rPr>
        <w:rFonts w:hint="default"/>
      </w:rPr>
    </w:lvl>
    <w:lvl w:ilvl="3">
      <w:start w:val="0"/>
      <w:numFmt w:val="bullet"/>
      <w:lvlText w:val="•"/>
      <w:lvlJc w:val="left"/>
      <w:pPr>
        <w:ind w:left="3850" w:hanging="681"/>
      </w:pPr>
      <w:rPr>
        <w:rFonts w:hint="default"/>
      </w:rPr>
    </w:lvl>
    <w:lvl w:ilvl="4">
      <w:start w:val="0"/>
      <w:numFmt w:val="bullet"/>
      <w:lvlText w:val="•"/>
      <w:lvlJc w:val="left"/>
      <w:pPr>
        <w:ind w:left="5001" w:hanging="681"/>
      </w:pPr>
      <w:rPr>
        <w:rFonts w:hint="default"/>
      </w:rPr>
    </w:lvl>
    <w:lvl w:ilvl="5">
      <w:start w:val="0"/>
      <w:numFmt w:val="bullet"/>
      <w:lvlText w:val="•"/>
      <w:lvlJc w:val="left"/>
      <w:pPr>
        <w:ind w:left="6152" w:hanging="681"/>
      </w:pPr>
      <w:rPr>
        <w:rFonts w:hint="default"/>
      </w:rPr>
    </w:lvl>
    <w:lvl w:ilvl="6">
      <w:start w:val="0"/>
      <w:numFmt w:val="bullet"/>
      <w:lvlText w:val="•"/>
      <w:lvlJc w:val="left"/>
      <w:pPr>
        <w:ind w:left="7302" w:hanging="681"/>
      </w:pPr>
      <w:rPr>
        <w:rFonts w:hint="default"/>
      </w:rPr>
    </w:lvl>
    <w:lvl w:ilvl="7">
      <w:start w:val="0"/>
      <w:numFmt w:val="bullet"/>
      <w:lvlText w:val="•"/>
      <w:lvlJc w:val="left"/>
      <w:pPr>
        <w:ind w:left="8453" w:hanging="681"/>
      </w:pPr>
      <w:rPr>
        <w:rFonts w:hint="default"/>
      </w:rPr>
    </w:lvl>
    <w:lvl w:ilvl="8">
      <w:start w:val="0"/>
      <w:numFmt w:val="bullet"/>
      <w:lvlText w:val="•"/>
      <w:lvlJc w:val="left"/>
      <w:pPr>
        <w:ind w:left="9604" w:hanging="681"/>
      </w:pPr>
      <w:rPr>
        <w:rFonts w:hint="default"/>
      </w:rPr>
    </w:lvl>
  </w:abstractNum>
  <w:abstractNum w:abstractNumId="206">
    <w:multiLevelType w:val="hybridMultilevel"/>
    <w:lvl w:ilvl="0">
      <w:start w:val="1"/>
      <w:numFmt w:val="decimal"/>
      <w:lvlText w:val="%1"/>
      <w:lvlJc w:val="left"/>
      <w:pPr>
        <w:ind w:left="1133" w:hanging="681"/>
        <w:jc w:val="left"/>
      </w:pPr>
      <w:rPr>
        <w:rFonts w:hint="default" w:ascii="Calibri" w:hAnsi="Calibri" w:eastAsia="Calibri" w:cs="Calibri"/>
        <w:w w:val="125"/>
        <w:sz w:val="20"/>
        <w:szCs w:val="20"/>
      </w:rPr>
    </w:lvl>
    <w:lvl w:ilvl="1">
      <w:start w:val="0"/>
      <w:numFmt w:val="bullet"/>
      <w:lvlText w:val="•"/>
      <w:lvlJc w:val="left"/>
      <w:pPr>
        <w:ind w:left="2216" w:hanging="681"/>
      </w:pPr>
      <w:rPr>
        <w:rFonts w:hint="default"/>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205">
    <w:multiLevelType w:val="hybridMultilevel"/>
    <w:lvl w:ilvl="0">
      <w:start w:val="1"/>
      <w:numFmt w:val="decimal"/>
      <w:lvlText w:val="%1"/>
      <w:lvlJc w:val="left"/>
      <w:pPr>
        <w:ind w:left="1133" w:hanging="681"/>
        <w:jc w:val="left"/>
      </w:pPr>
      <w:rPr>
        <w:rFonts w:hint="default" w:ascii="Calibri" w:hAnsi="Calibri" w:eastAsia="Calibri" w:cs="Calibri"/>
        <w:w w:val="125"/>
        <w:sz w:val="20"/>
        <w:szCs w:val="20"/>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204">
    <w:multiLevelType w:val="hybridMultilevel"/>
    <w:lvl w:ilvl="0">
      <w:start w:val="4"/>
      <w:numFmt w:val="lowerLetter"/>
      <w:lvlText w:val="(%1)"/>
      <w:lvlJc w:val="left"/>
      <w:pPr>
        <w:ind w:left="1814" w:hanging="681"/>
        <w:jc w:val="right"/>
      </w:pPr>
      <w:rPr>
        <w:rFonts w:hint="default" w:ascii="Calibri" w:hAnsi="Calibri" w:eastAsia="Calibri" w:cs="Calibri"/>
        <w:spacing w:val="-11"/>
        <w:w w:val="128"/>
        <w:sz w:val="20"/>
        <w:szCs w:val="20"/>
        <w:u w:val="single" w:color="00000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203">
    <w:multiLevelType w:val="hybridMultilevel"/>
    <w:lvl w:ilvl="0">
      <w:start w:val="1"/>
      <w:numFmt w:val="lowerLetter"/>
      <w:lvlText w:val="(%1)"/>
      <w:lvlJc w:val="left"/>
      <w:pPr>
        <w:ind w:left="1814" w:hanging="681"/>
        <w:jc w:val="left"/>
      </w:pPr>
      <w:rPr>
        <w:rFonts w:hint="default" w:ascii="Calibri" w:hAnsi="Calibri" w:eastAsia="Calibri" w:cs="Calibri"/>
        <w:spacing w:val="-12"/>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202">
    <w:multiLevelType w:val="hybridMultilevel"/>
    <w:lvl w:ilvl="0">
      <w:start w:val="1"/>
      <w:numFmt w:val="lowerLetter"/>
      <w:lvlText w:val="(%1)"/>
      <w:lvlJc w:val="left"/>
      <w:pPr>
        <w:ind w:left="947" w:hanging="681"/>
        <w:jc w:val="left"/>
      </w:pPr>
      <w:rPr>
        <w:rFonts w:hint="default" w:ascii="Calibri" w:hAnsi="Calibri" w:eastAsia="Calibri" w:cs="Calibri"/>
        <w:spacing w:val="-12"/>
        <w:w w:val="113"/>
        <w:sz w:val="20"/>
        <w:szCs w:val="20"/>
      </w:rPr>
    </w:lvl>
    <w:lvl w:ilvl="1">
      <w:start w:val="0"/>
      <w:numFmt w:val="bullet"/>
      <w:lvlText w:val="•"/>
      <w:lvlJc w:val="left"/>
      <w:pPr>
        <w:ind w:left="1769" w:hanging="681"/>
      </w:pPr>
      <w:rPr>
        <w:rFonts w:hint="default"/>
      </w:rPr>
    </w:lvl>
    <w:lvl w:ilvl="2">
      <w:start w:val="0"/>
      <w:numFmt w:val="bullet"/>
      <w:lvlText w:val="•"/>
      <w:lvlJc w:val="left"/>
      <w:pPr>
        <w:ind w:left="2598" w:hanging="681"/>
      </w:pPr>
      <w:rPr>
        <w:rFonts w:hint="default"/>
      </w:rPr>
    </w:lvl>
    <w:lvl w:ilvl="3">
      <w:start w:val="0"/>
      <w:numFmt w:val="bullet"/>
      <w:lvlText w:val="•"/>
      <w:lvlJc w:val="left"/>
      <w:pPr>
        <w:ind w:left="3427" w:hanging="681"/>
      </w:pPr>
      <w:rPr>
        <w:rFonts w:hint="default"/>
      </w:rPr>
    </w:lvl>
    <w:lvl w:ilvl="4">
      <w:start w:val="0"/>
      <w:numFmt w:val="bullet"/>
      <w:lvlText w:val="•"/>
      <w:lvlJc w:val="left"/>
      <w:pPr>
        <w:ind w:left="4256" w:hanging="681"/>
      </w:pPr>
      <w:rPr>
        <w:rFonts w:hint="default"/>
      </w:rPr>
    </w:lvl>
    <w:lvl w:ilvl="5">
      <w:start w:val="0"/>
      <w:numFmt w:val="bullet"/>
      <w:lvlText w:val="•"/>
      <w:lvlJc w:val="left"/>
      <w:pPr>
        <w:ind w:left="5085" w:hanging="681"/>
      </w:pPr>
      <w:rPr>
        <w:rFonts w:hint="default"/>
      </w:rPr>
    </w:lvl>
    <w:lvl w:ilvl="6">
      <w:start w:val="0"/>
      <w:numFmt w:val="bullet"/>
      <w:lvlText w:val="•"/>
      <w:lvlJc w:val="left"/>
      <w:pPr>
        <w:ind w:left="5914" w:hanging="681"/>
      </w:pPr>
      <w:rPr>
        <w:rFonts w:hint="default"/>
      </w:rPr>
    </w:lvl>
    <w:lvl w:ilvl="7">
      <w:start w:val="0"/>
      <w:numFmt w:val="bullet"/>
      <w:lvlText w:val="•"/>
      <w:lvlJc w:val="left"/>
      <w:pPr>
        <w:ind w:left="6743" w:hanging="681"/>
      </w:pPr>
      <w:rPr>
        <w:rFonts w:hint="default"/>
      </w:rPr>
    </w:lvl>
    <w:lvl w:ilvl="8">
      <w:start w:val="0"/>
      <w:numFmt w:val="bullet"/>
      <w:lvlText w:val="•"/>
      <w:lvlJc w:val="left"/>
      <w:pPr>
        <w:ind w:left="7572" w:hanging="681"/>
      </w:pPr>
      <w:rPr>
        <w:rFonts w:hint="default"/>
      </w:rPr>
    </w:lvl>
  </w:abstractNum>
  <w:abstractNum w:abstractNumId="201">
    <w:multiLevelType w:val="hybridMultilevel"/>
    <w:lvl w:ilvl="0">
      <w:start w:val="1"/>
      <w:numFmt w:val="decimal"/>
      <w:lvlText w:val="%1"/>
      <w:lvlJc w:val="left"/>
      <w:pPr>
        <w:ind w:left="1984" w:hanging="681"/>
        <w:jc w:val="left"/>
      </w:pPr>
      <w:rPr>
        <w:rFonts w:hint="default" w:ascii="Calibri" w:hAnsi="Calibri" w:eastAsia="Calibri" w:cs="Calibri"/>
        <w:w w:val="125"/>
        <w:sz w:val="20"/>
        <w:szCs w:val="20"/>
      </w:rPr>
    </w:lvl>
    <w:lvl w:ilvl="1">
      <w:start w:val="0"/>
      <w:numFmt w:val="bullet"/>
      <w:lvlText w:val="•"/>
      <w:lvlJc w:val="left"/>
      <w:pPr>
        <w:ind w:left="2972" w:hanging="681"/>
      </w:pPr>
      <w:rPr>
        <w:rFonts w:hint="default"/>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200">
    <w:multiLevelType w:val="hybridMultilevel"/>
    <w:lvl w:ilvl="0">
      <w:start w:val="0"/>
      <w:numFmt w:val="bullet"/>
      <w:lvlText w:val=""/>
      <w:lvlJc w:val="left"/>
      <w:pPr>
        <w:ind w:left="623" w:hanging="417"/>
      </w:pPr>
      <w:rPr>
        <w:rFonts w:hint="default" w:ascii="Wingdings" w:hAnsi="Wingdings" w:eastAsia="Wingdings" w:cs="Wingdings"/>
        <w:w w:val="110"/>
        <w:sz w:val="20"/>
        <w:szCs w:val="20"/>
      </w:rPr>
    </w:lvl>
    <w:lvl w:ilvl="1">
      <w:start w:val="0"/>
      <w:numFmt w:val="bullet"/>
      <w:lvlText w:val="•"/>
      <w:lvlJc w:val="left"/>
      <w:pPr>
        <w:ind w:left="971" w:hanging="417"/>
      </w:pPr>
      <w:rPr>
        <w:rFonts w:hint="default"/>
      </w:rPr>
    </w:lvl>
    <w:lvl w:ilvl="2">
      <w:start w:val="0"/>
      <w:numFmt w:val="bullet"/>
      <w:lvlText w:val="•"/>
      <w:lvlJc w:val="left"/>
      <w:pPr>
        <w:ind w:left="1322" w:hanging="417"/>
      </w:pPr>
      <w:rPr>
        <w:rFonts w:hint="default"/>
      </w:rPr>
    </w:lvl>
    <w:lvl w:ilvl="3">
      <w:start w:val="0"/>
      <w:numFmt w:val="bullet"/>
      <w:lvlText w:val="•"/>
      <w:lvlJc w:val="left"/>
      <w:pPr>
        <w:ind w:left="1673" w:hanging="417"/>
      </w:pPr>
      <w:rPr>
        <w:rFonts w:hint="default"/>
      </w:rPr>
    </w:lvl>
    <w:lvl w:ilvl="4">
      <w:start w:val="0"/>
      <w:numFmt w:val="bullet"/>
      <w:lvlText w:val="•"/>
      <w:lvlJc w:val="left"/>
      <w:pPr>
        <w:ind w:left="2025" w:hanging="417"/>
      </w:pPr>
      <w:rPr>
        <w:rFonts w:hint="default"/>
      </w:rPr>
    </w:lvl>
    <w:lvl w:ilvl="5">
      <w:start w:val="0"/>
      <w:numFmt w:val="bullet"/>
      <w:lvlText w:val="•"/>
      <w:lvlJc w:val="left"/>
      <w:pPr>
        <w:ind w:left="2376" w:hanging="417"/>
      </w:pPr>
      <w:rPr>
        <w:rFonts w:hint="default"/>
      </w:rPr>
    </w:lvl>
    <w:lvl w:ilvl="6">
      <w:start w:val="0"/>
      <w:numFmt w:val="bullet"/>
      <w:lvlText w:val="•"/>
      <w:lvlJc w:val="left"/>
      <w:pPr>
        <w:ind w:left="2727" w:hanging="417"/>
      </w:pPr>
      <w:rPr>
        <w:rFonts w:hint="default"/>
      </w:rPr>
    </w:lvl>
    <w:lvl w:ilvl="7">
      <w:start w:val="0"/>
      <w:numFmt w:val="bullet"/>
      <w:lvlText w:val="•"/>
      <w:lvlJc w:val="left"/>
      <w:pPr>
        <w:ind w:left="3079" w:hanging="417"/>
      </w:pPr>
      <w:rPr>
        <w:rFonts w:hint="default"/>
      </w:rPr>
    </w:lvl>
    <w:lvl w:ilvl="8">
      <w:start w:val="0"/>
      <w:numFmt w:val="bullet"/>
      <w:lvlText w:val="•"/>
      <w:lvlJc w:val="left"/>
      <w:pPr>
        <w:ind w:left="3430" w:hanging="417"/>
      </w:pPr>
      <w:rPr>
        <w:rFonts w:hint="default"/>
      </w:rPr>
    </w:lvl>
  </w:abstractNum>
  <w:abstractNum w:abstractNumId="199">
    <w:multiLevelType w:val="hybridMultilevel"/>
    <w:lvl w:ilvl="0">
      <w:start w:val="3"/>
      <w:numFmt w:val="decimal"/>
      <w:lvlText w:val="%1"/>
      <w:lvlJc w:val="left"/>
      <w:pPr>
        <w:ind w:left="1133" w:hanging="681"/>
        <w:jc w:val="left"/>
      </w:pPr>
      <w:rPr>
        <w:rFonts w:hint="default"/>
      </w:rPr>
    </w:lvl>
    <w:lvl w:ilvl="1">
      <w:start w:val="1"/>
      <w:numFmt w:val="decimal"/>
      <w:lvlText w:val="%1.%2"/>
      <w:lvlJc w:val="left"/>
      <w:pPr>
        <w:ind w:left="1133" w:hanging="681"/>
        <w:jc w:val="right"/>
      </w:pPr>
      <w:rPr>
        <w:rFonts w:hint="default" w:ascii="Calibri" w:hAnsi="Calibri" w:eastAsia="Calibri" w:cs="Calibri"/>
        <w:spacing w:val="-18"/>
        <w:w w:val="125"/>
        <w:sz w:val="20"/>
        <w:szCs w:val="20"/>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198">
    <w:multiLevelType w:val="hybridMultilevel"/>
    <w:lvl w:ilvl="0">
      <w:start w:val="2"/>
      <w:numFmt w:val="decimal"/>
      <w:lvlText w:val="%1"/>
      <w:lvlJc w:val="left"/>
      <w:pPr>
        <w:ind w:left="1133" w:hanging="681"/>
        <w:jc w:val="left"/>
      </w:pPr>
      <w:rPr>
        <w:rFonts w:hint="default"/>
      </w:rPr>
    </w:lvl>
    <w:lvl w:ilvl="1">
      <w:start w:val="1"/>
      <w:numFmt w:val="decimal"/>
      <w:lvlText w:val="%1.%2"/>
      <w:lvlJc w:val="left"/>
      <w:pPr>
        <w:ind w:left="1133" w:hanging="681"/>
        <w:jc w:val="left"/>
      </w:pPr>
      <w:rPr>
        <w:rFonts w:hint="default" w:ascii="Calibri" w:hAnsi="Calibri" w:eastAsia="Calibri" w:cs="Calibri"/>
        <w:spacing w:val="-18"/>
        <w:w w:val="125"/>
        <w:sz w:val="20"/>
        <w:szCs w:val="20"/>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197">
    <w:multiLevelType w:val="hybridMultilevel"/>
    <w:lvl w:ilvl="0">
      <w:start w:val="1"/>
      <w:numFmt w:val="lowerRoman"/>
      <w:lvlText w:val="(%1)"/>
      <w:lvlJc w:val="left"/>
      <w:pPr>
        <w:ind w:left="975" w:hanging="681"/>
        <w:jc w:val="left"/>
      </w:pPr>
      <w:rPr>
        <w:rFonts w:hint="default" w:ascii="Calibri" w:hAnsi="Calibri" w:eastAsia="Calibri" w:cs="Calibri"/>
        <w:spacing w:val="0"/>
        <w:w w:val="122"/>
        <w:sz w:val="20"/>
        <w:szCs w:val="20"/>
      </w:rPr>
    </w:lvl>
    <w:lvl w:ilvl="1">
      <w:start w:val="0"/>
      <w:numFmt w:val="bullet"/>
      <w:lvlText w:val="•"/>
      <w:lvlJc w:val="left"/>
      <w:pPr>
        <w:ind w:left="1805" w:hanging="681"/>
      </w:pPr>
      <w:rPr>
        <w:rFonts w:hint="default"/>
      </w:rPr>
    </w:lvl>
    <w:lvl w:ilvl="2">
      <w:start w:val="0"/>
      <w:numFmt w:val="bullet"/>
      <w:lvlText w:val="•"/>
      <w:lvlJc w:val="left"/>
      <w:pPr>
        <w:ind w:left="2630" w:hanging="681"/>
      </w:pPr>
      <w:rPr>
        <w:rFonts w:hint="default"/>
      </w:rPr>
    </w:lvl>
    <w:lvl w:ilvl="3">
      <w:start w:val="0"/>
      <w:numFmt w:val="bullet"/>
      <w:lvlText w:val="•"/>
      <w:lvlJc w:val="left"/>
      <w:pPr>
        <w:ind w:left="3455" w:hanging="681"/>
      </w:pPr>
      <w:rPr>
        <w:rFonts w:hint="default"/>
      </w:rPr>
    </w:lvl>
    <w:lvl w:ilvl="4">
      <w:start w:val="0"/>
      <w:numFmt w:val="bullet"/>
      <w:lvlText w:val="•"/>
      <w:lvlJc w:val="left"/>
      <w:pPr>
        <w:ind w:left="4280" w:hanging="681"/>
      </w:pPr>
      <w:rPr>
        <w:rFonts w:hint="default"/>
      </w:rPr>
    </w:lvl>
    <w:lvl w:ilvl="5">
      <w:start w:val="0"/>
      <w:numFmt w:val="bullet"/>
      <w:lvlText w:val="•"/>
      <w:lvlJc w:val="left"/>
      <w:pPr>
        <w:ind w:left="5105" w:hanging="681"/>
      </w:pPr>
      <w:rPr>
        <w:rFonts w:hint="default"/>
      </w:rPr>
    </w:lvl>
    <w:lvl w:ilvl="6">
      <w:start w:val="0"/>
      <w:numFmt w:val="bullet"/>
      <w:lvlText w:val="•"/>
      <w:lvlJc w:val="left"/>
      <w:pPr>
        <w:ind w:left="5930" w:hanging="681"/>
      </w:pPr>
      <w:rPr>
        <w:rFonts w:hint="default"/>
      </w:rPr>
    </w:lvl>
    <w:lvl w:ilvl="7">
      <w:start w:val="0"/>
      <w:numFmt w:val="bullet"/>
      <w:lvlText w:val="•"/>
      <w:lvlJc w:val="left"/>
      <w:pPr>
        <w:ind w:left="6755" w:hanging="681"/>
      </w:pPr>
      <w:rPr>
        <w:rFonts w:hint="default"/>
      </w:rPr>
    </w:lvl>
    <w:lvl w:ilvl="8">
      <w:start w:val="0"/>
      <w:numFmt w:val="bullet"/>
      <w:lvlText w:val="•"/>
      <w:lvlJc w:val="left"/>
      <w:pPr>
        <w:ind w:left="7580" w:hanging="681"/>
      </w:pPr>
      <w:rPr>
        <w:rFonts w:hint="default"/>
      </w:rPr>
    </w:lvl>
  </w:abstractNum>
  <w:abstractNum w:abstractNumId="196">
    <w:multiLevelType w:val="hybridMultilevel"/>
    <w:lvl w:ilvl="0">
      <w:start w:val="12"/>
      <w:numFmt w:val="decimal"/>
      <w:lvlText w:val="%1"/>
      <w:lvlJc w:val="left"/>
      <w:pPr>
        <w:ind w:left="1134" w:hanging="681"/>
        <w:jc w:val="left"/>
      </w:pPr>
      <w:rPr>
        <w:rFonts w:hint="default" w:ascii="Calibri" w:hAnsi="Calibri" w:eastAsia="Calibri" w:cs="Calibri"/>
        <w:spacing w:val="-11"/>
        <w:w w:val="125"/>
        <w:sz w:val="20"/>
        <w:szCs w:val="20"/>
      </w:rPr>
    </w:lvl>
    <w:lvl w:ilvl="1">
      <w:start w:val="1"/>
      <w:numFmt w:val="decimal"/>
      <w:lvlText w:val="%1.%2"/>
      <w:lvlJc w:val="left"/>
      <w:pPr>
        <w:ind w:left="1134" w:hanging="681"/>
        <w:jc w:val="left"/>
      </w:pPr>
      <w:rPr>
        <w:rFonts w:hint="default" w:ascii="Calibri" w:hAnsi="Calibri" w:eastAsia="Calibri" w:cs="Calibri"/>
        <w:spacing w:val="-12"/>
        <w:w w:val="125"/>
        <w:sz w:val="20"/>
        <w:szCs w:val="20"/>
      </w:rPr>
    </w:lvl>
    <w:lvl w:ilvl="2">
      <w:start w:val="1"/>
      <w:numFmt w:val="decimal"/>
      <w:lvlText w:val="%3"/>
      <w:lvlJc w:val="left"/>
      <w:pPr>
        <w:ind w:left="1984" w:hanging="681"/>
        <w:jc w:val="left"/>
      </w:pPr>
      <w:rPr>
        <w:rFonts w:hint="default" w:ascii="Calibri" w:hAnsi="Calibri" w:eastAsia="Calibri" w:cs="Calibri"/>
        <w:w w:val="125"/>
        <w:sz w:val="20"/>
        <w:szCs w:val="20"/>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95">
    <w:multiLevelType w:val="hybridMultilevel"/>
    <w:lvl w:ilvl="0">
      <w:start w:val="11"/>
      <w:numFmt w:val="decimal"/>
      <w:lvlText w:val="%1"/>
      <w:lvlJc w:val="left"/>
      <w:pPr>
        <w:ind w:left="1984" w:hanging="681"/>
        <w:jc w:val="left"/>
      </w:pPr>
      <w:rPr>
        <w:rFonts w:hint="default"/>
      </w:rPr>
    </w:lvl>
    <w:lvl w:ilvl="1">
      <w:start w:val="1"/>
      <w:numFmt w:val="decimal"/>
      <w:lvlText w:val="%1.%2"/>
      <w:lvlJc w:val="left"/>
      <w:pPr>
        <w:ind w:left="1984" w:hanging="681"/>
        <w:jc w:val="left"/>
      </w:pPr>
      <w:rPr>
        <w:rFonts w:hint="default" w:ascii="Calibri" w:hAnsi="Calibri" w:eastAsia="Calibri" w:cs="Calibri"/>
        <w:spacing w:val="-17"/>
        <w:w w:val="125"/>
        <w:sz w:val="20"/>
        <w:szCs w:val="20"/>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194">
    <w:multiLevelType w:val="hybridMultilevel"/>
    <w:lvl w:ilvl="0">
      <w:start w:val="9"/>
      <w:numFmt w:val="decimal"/>
      <w:lvlText w:val="%1"/>
      <w:lvlJc w:val="left"/>
      <w:pPr>
        <w:ind w:left="1984" w:hanging="681"/>
        <w:jc w:val="left"/>
      </w:pPr>
      <w:rPr>
        <w:rFonts w:hint="default"/>
      </w:rPr>
    </w:lvl>
    <w:lvl w:ilvl="1">
      <w:start w:val="1"/>
      <w:numFmt w:val="decimal"/>
      <w:lvlText w:val="%1.%2"/>
      <w:lvlJc w:val="left"/>
      <w:pPr>
        <w:ind w:left="1984" w:hanging="681"/>
        <w:jc w:val="left"/>
      </w:pPr>
      <w:rPr>
        <w:rFonts w:hint="default" w:ascii="Calibri" w:hAnsi="Calibri" w:eastAsia="Calibri" w:cs="Calibri"/>
        <w:spacing w:val="-12"/>
        <w:w w:val="125"/>
        <w:sz w:val="20"/>
        <w:szCs w:val="20"/>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192">
    <w:multiLevelType w:val="hybridMultilevel"/>
    <w:lvl w:ilvl="0">
      <w:start w:val="1"/>
      <w:numFmt w:val="lowerLetter"/>
      <w:lvlText w:val="%1)"/>
      <w:lvlJc w:val="left"/>
      <w:pPr>
        <w:ind w:left="947" w:hanging="681"/>
        <w:jc w:val="left"/>
      </w:pPr>
      <w:rPr>
        <w:rFonts w:hint="default" w:ascii="Calibri" w:hAnsi="Calibri" w:eastAsia="Calibri" w:cs="Calibri"/>
        <w:spacing w:val="-8"/>
        <w:w w:val="113"/>
        <w:sz w:val="20"/>
        <w:szCs w:val="20"/>
      </w:rPr>
    </w:lvl>
    <w:lvl w:ilvl="1">
      <w:start w:val="0"/>
      <w:numFmt w:val="bullet"/>
      <w:lvlText w:val="•"/>
      <w:lvlJc w:val="left"/>
      <w:pPr>
        <w:ind w:left="1769" w:hanging="681"/>
      </w:pPr>
      <w:rPr>
        <w:rFonts w:hint="default"/>
      </w:rPr>
    </w:lvl>
    <w:lvl w:ilvl="2">
      <w:start w:val="0"/>
      <w:numFmt w:val="bullet"/>
      <w:lvlText w:val="•"/>
      <w:lvlJc w:val="left"/>
      <w:pPr>
        <w:ind w:left="2598" w:hanging="681"/>
      </w:pPr>
      <w:rPr>
        <w:rFonts w:hint="default"/>
      </w:rPr>
    </w:lvl>
    <w:lvl w:ilvl="3">
      <w:start w:val="0"/>
      <w:numFmt w:val="bullet"/>
      <w:lvlText w:val="•"/>
      <w:lvlJc w:val="left"/>
      <w:pPr>
        <w:ind w:left="3427" w:hanging="681"/>
      </w:pPr>
      <w:rPr>
        <w:rFonts w:hint="default"/>
      </w:rPr>
    </w:lvl>
    <w:lvl w:ilvl="4">
      <w:start w:val="0"/>
      <w:numFmt w:val="bullet"/>
      <w:lvlText w:val="•"/>
      <w:lvlJc w:val="left"/>
      <w:pPr>
        <w:ind w:left="4256" w:hanging="681"/>
      </w:pPr>
      <w:rPr>
        <w:rFonts w:hint="default"/>
      </w:rPr>
    </w:lvl>
    <w:lvl w:ilvl="5">
      <w:start w:val="0"/>
      <w:numFmt w:val="bullet"/>
      <w:lvlText w:val="•"/>
      <w:lvlJc w:val="left"/>
      <w:pPr>
        <w:ind w:left="5085" w:hanging="681"/>
      </w:pPr>
      <w:rPr>
        <w:rFonts w:hint="default"/>
      </w:rPr>
    </w:lvl>
    <w:lvl w:ilvl="6">
      <w:start w:val="0"/>
      <w:numFmt w:val="bullet"/>
      <w:lvlText w:val="•"/>
      <w:lvlJc w:val="left"/>
      <w:pPr>
        <w:ind w:left="5914" w:hanging="681"/>
      </w:pPr>
      <w:rPr>
        <w:rFonts w:hint="default"/>
      </w:rPr>
    </w:lvl>
    <w:lvl w:ilvl="7">
      <w:start w:val="0"/>
      <w:numFmt w:val="bullet"/>
      <w:lvlText w:val="•"/>
      <w:lvlJc w:val="left"/>
      <w:pPr>
        <w:ind w:left="6743" w:hanging="681"/>
      </w:pPr>
      <w:rPr>
        <w:rFonts w:hint="default"/>
      </w:rPr>
    </w:lvl>
    <w:lvl w:ilvl="8">
      <w:start w:val="0"/>
      <w:numFmt w:val="bullet"/>
      <w:lvlText w:val="•"/>
      <w:lvlJc w:val="left"/>
      <w:pPr>
        <w:ind w:left="7572" w:hanging="681"/>
      </w:pPr>
      <w:rPr>
        <w:rFonts w:hint="default"/>
      </w:rPr>
    </w:lvl>
  </w:abstractNum>
  <w:abstractNum w:abstractNumId="193">
    <w:multiLevelType w:val="hybridMultilevel"/>
    <w:lvl w:ilvl="0">
      <w:start w:val="1"/>
      <w:numFmt w:val="decimal"/>
      <w:lvlText w:val="%1"/>
      <w:lvlJc w:val="left"/>
      <w:pPr>
        <w:ind w:left="1134" w:hanging="681"/>
        <w:jc w:val="right"/>
      </w:pPr>
      <w:rPr>
        <w:rFonts w:hint="default" w:ascii="Calibri" w:hAnsi="Calibri" w:eastAsia="Calibri" w:cs="Calibri"/>
        <w:w w:val="125"/>
        <w:sz w:val="20"/>
        <w:szCs w:val="20"/>
      </w:rPr>
    </w:lvl>
    <w:lvl w:ilvl="1">
      <w:start w:val="0"/>
      <w:numFmt w:val="bullet"/>
      <w:lvlText w:val="•"/>
      <w:lvlJc w:val="left"/>
      <w:pPr>
        <w:ind w:left="2216" w:hanging="681"/>
      </w:pPr>
      <w:rPr>
        <w:rFonts w:hint="default"/>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191">
    <w:multiLevelType w:val="hybridMultilevel"/>
    <w:lvl w:ilvl="0">
      <w:start w:val="1"/>
      <w:numFmt w:val="lowerRoman"/>
      <w:lvlText w:val="%1."/>
      <w:lvlJc w:val="left"/>
      <w:pPr>
        <w:ind w:left="947" w:hanging="681"/>
        <w:jc w:val="left"/>
      </w:pPr>
      <w:rPr>
        <w:rFonts w:hint="default" w:ascii="Calibri" w:hAnsi="Calibri" w:eastAsia="Calibri" w:cs="Calibri"/>
        <w:spacing w:val="0"/>
        <w:w w:val="122"/>
        <w:sz w:val="20"/>
        <w:szCs w:val="20"/>
      </w:rPr>
    </w:lvl>
    <w:lvl w:ilvl="1">
      <w:start w:val="0"/>
      <w:numFmt w:val="bullet"/>
      <w:lvlText w:val="•"/>
      <w:lvlJc w:val="left"/>
      <w:pPr>
        <w:ind w:left="1694" w:hanging="681"/>
      </w:pPr>
      <w:rPr>
        <w:rFonts w:hint="default"/>
      </w:rPr>
    </w:lvl>
    <w:lvl w:ilvl="2">
      <w:start w:val="0"/>
      <w:numFmt w:val="bullet"/>
      <w:lvlText w:val="•"/>
      <w:lvlJc w:val="left"/>
      <w:pPr>
        <w:ind w:left="2448" w:hanging="681"/>
      </w:pPr>
      <w:rPr>
        <w:rFonts w:hint="default"/>
      </w:rPr>
    </w:lvl>
    <w:lvl w:ilvl="3">
      <w:start w:val="0"/>
      <w:numFmt w:val="bullet"/>
      <w:lvlText w:val="•"/>
      <w:lvlJc w:val="left"/>
      <w:pPr>
        <w:ind w:left="3203" w:hanging="681"/>
      </w:pPr>
      <w:rPr>
        <w:rFonts w:hint="default"/>
      </w:rPr>
    </w:lvl>
    <w:lvl w:ilvl="4">
      <w:start w:val="0"/>
      <w:numFmt w:val="bullet"/>
      <w:lvlText w:val="•"/>
      <w:lvlJc w:val="left"/>
      <w:pPr>
        <w:ind w:left="3957" w:hanging="681"/>
      </w:pPr>
      <w:rPr>
        <w:rFonts w:hint="default"/>
      </w:rPr>
    </w:lvl>
    <w:lvl w:ilvl="5">
      <w:start w:val="0"/>
      <w:numFmt w:val="bullet"/>
      <w:lvlText w:val="•"/>
      <w:lvlJc w:val="left"/>
      <w:pPr>
        <w:ind w:left="4712" w:hanging="681"/>
      </w:pPr>
      <w:rPr>
        <w:rFonts w:hint="default"/>
      </w:rPr>
    </w:lvl>
    <w:lvl w:ilvl="6">
      <w:start w:val="0"/>
      <w:numFmt w:val="bullet"/>
      <w:lvlText w:val="•"/>
      <w:lvlJc w:val="left"/>
      <w:pPr>
        <w:ind w:left="5466" w:hanging="681"/>
      </w:pPr>
      <w:rPr>
        <w:rFonts w:hint="default"/>
      </w:rPr>
    </w:lvl>
    <w:lvl w:ilvl="7">
      <w:start w:val="0"/>
      <w:numFmt w:val="bullet"/>
      <w:lvlText w:val="•"/>
      <w:lvlJc w:val="left"/>
      <w:pPr>
        <w:ind w:left="6220" w:hanging="681"/>
      </w:pPr>
      <w:rPr>
        <w:rFonts w:hint="default"/>
      </w:rPr>
    </w:lvl>
    <w:lvl w:ilvl="8">
      <w:start w:val="0"/>
      <w:numFmt w:val="bullet"/>
      <w:lvlText w:val="•"/>
      <w:lvlJc w:val="left"/>
      <w:pPr>
        <w:ind w:left="6975" w:hanging="681"/>
      </w:pPr>
      <w:rPr>
        <w:rFonts w:hint="default"/>
      </w:rPr>
    </w:lvl>
  </w:abstractNum>
  <w:abstractNum w:abstractNumId="190">
    <w:multiLevelType w:val="hybridMultilevel"/>
    <w:lvl w:ilvl="0">
      <w:start w:val="1"/>
      <w:numFmt w:val="lowerLetter"/>
      <w:lvlText w:val="%1)"/>
      <w:lvlJc w:val="left"/>
      <w:pPr>
        <w:ind w:left="947" w:hanging="681"/>
        <w:jc w:val="left"/>
      </w:pPr>
      <w:rPr>
        <w:rFonts w:hint="default" w:ascii="Calibri" w:hAnsi="Calibri" w:eastAsia="Calibri" w:cs="Calibri"/>
        <w:spacing w:val="-8"/>
        <w:w w:val="113"/>
        <w:sz w:val="20"/>
        <w:szCs w:val="20"/>
      </w:rPr>
    </w:lvl>
    <w:lvl w:ilvl="1">
      <w:start w:val="0"/>
      <w:numFmt w:val="bullet"/>
      <w:lvlText w:val="•"/>
      <w:lvlJc w:val="left"/>
      <w:pPr>
        <w:ind w:left="1694" w:hanging="681"/>
      </w:pPr>
      <w:rPr>
        <w:rFonts w:hint="default"/>
      </w:rPr>
    </w:lvl>
    <w:lvl w:ilvl="2">
      <w:start w:val="0"/>
      <w:numFmt w:val="bullet"/>
      <w:lvlText w:val="•"/>
      <w:lvlJc w:val="left"/>
      <w:pPr>
        <w:ind w:left="2448" w:hanging="681"/>
      </w:pPr>
      <w:rPr>
        <w:rFonts w:hint="default"/>
      </w:rPr>
    </w:lvl>
    <w:lvl w:ilvl="3">
      <w:start w:val="0"/>
      <w:numFmt w:val="bullet"/>
      <w:lvlText w:val="•"/>
      <w:lvlJc w:val="left"/>
      <w:pPr>
        <w:ind w:left="3203" w:hanging="681"/>
      </w:pPr>
      <w:rPr>
        <w:rFonts w:hint="default"/>
      </w:rPr>
    </w:lvl>
    <w:lvl w:ilvl="4">
      <w:start w:val="0"/>
      <w:numFmt w:val="bullet"/>
      <w:lvlText w:val="•"/>
      <w:lvlJc w:val="left"/>
      <w:pPr>
        <w:ind w:left="3957" w:hanging="681"/>
      </w:pPr>
      <w:rPr>
        <w:rFonts w:hint="default"/>
      </w:rPr>
    </w:lvl>
    <w:lvl w:ilvl="5">
      <w:start w:val="0"/>
      <w:numFmt w:val="bullet"/>
      <w:lvlText w:val="•"/>
      <w:lvlJc w:val="left"/>
      <w:pPr>
        <w:ind w:left="4712" w:hanging="681"/>
      </w:pPr>
      <w:rPr>
        <w:rFonts w:hint="default"/>
      </w:rPr>
    </w:lvl>
    <w:lvl w:ilvl="6">
      <w:start w:val="0"/>
      <w:numFmt w:val="bullet"/>
      <w:lvlText w:val="•"/>
      <w:lvlJc w:val="left"/>
      <w:pPr>
        <w:ind w:left="5466" w:hanging="681"/>
      </w:pPr>
      <w:rPr>
        <w:rFonts w:hint="default"/>
      </w:rPr>
    </w:lvl>
    <w:lvl w:ilvl="7">
      <w:start w:val="0"/>
      <w:numFmt w:val="bullet"/>
      <w:lvlText w:val="•"/>
      <w:lvlJc w:val="left"/>
      <w:pPr>
        <w:ind w:left="6220" w:hanging="681"/>
      </w:pPr>
      <w:rPr>
        <w:rFonts w:hint="default"/>
      </w:rPr>
    </w:lvl>
    <w:lvl w:ilvl="8">
      <w:start w:val="0"/>
      <w:numFmt w:val="bullet"/>
      <w:lvlText w:val="•"/>
      <w:lvlJc w:val="left"/>
      <w:pPr>
        <w:ind w:left="6975" w:hanging="681"/>
      </w:pPr>
      <w:rPr>
        <w:rFonts w:hint="default"/>
      </w:rPr>
    </w:lvl>
  </w:abstractNum>
  <w:abstractNum w:abstractNumId="189">
    <w:multiLevelType w:val="hybridMultilevel"/>
    <w:lvl w:ilvl="0">
      <w:start w:val="1"/>
      <w:numFmt w:val="lowerLetter"/>
      <w:lvlText w:val="%1)"/>
      <w:lvlJc w:val="left"/>
      <w:pPr>
        <w:ind w:left="947" w:hanging="681"/>
        <w:jc w:val="left"/>
      </w:pPr>
      <w:rPr>
        <w:rFonts w:hint="default" w:ascii="Calibri" w:hAnsi="Calibri" w:eastAsia="Calibri" w:cs="Calibri"/>
        <w:spacing w:val="-8"/>
        <w:w w:val="113"/>
        <w:sz w:val="20"/>
        <w:szCs w:val="20"/>
      </w:rPr>
    </w:lvl>
    <w:lvl w:ilvl="1">
      <w:start w:val="0"/>
      <w:numFmt w:val="bullet"/>
      <w:lvlText w:val="•"/>
      <w:lvlJc w:val="left"/>
      <w:pPr>
        <w:ind w:left="1694" w:hanging="681"/>
      </w:pPr>
      <w:rPr>
        <w:rFonts w:hint="default"/>
      </w:rPr>
    </w:lvl>
    <w:lvl w:ilvl="2">
      <w:start w:val="0"/>
      <w:numFmt w:val="bullet"/>
      <w:lvlText w:val="•"/>
      <w:lvlJc w:val="left"/>
      <w:pPr>
        <w:ind w:left="2448" w:hanging="681"/>
      </w:pPr>
      <w:rPr>
        <w:rFonts w:hint="default"/>
      </w:rPr>
    </w:lvl>
    <w:lvl w:ilvl="3">
      <w:start w:val="0"/>
      <w:numFmt w:val="bullet"/>
      <w:lvlText w:val="•"/>
      <w:lvlJc w:val="left"/>
      <w:pPr>
        <w:ind w:left="3203" w:hanging="681"/>
      </w:pPr>
      <w:rPr>
        <w:rFonts w:hint="default"/>
      </w:rPr>
    </w:lvl>
    <w:lvl w:ilvl="4">
      <w:start w:val="0"/>
      <w:numFmt w:val="bullet"/>
      <w:lvlText w:val="•"/>
      <w:lvlJc w:val="left"/>
      <w:pPr>
        <w:ind w:left="3957" w:hanging="681"/>
      </w:pPr>
      <w:rPr>
        <w:rFonts w:hint="default"/>
      </w:rPr>
    </w:lvl>
    <w:lvl w:ilvl="5">
      <w:start w:val="0"/>
      <w:numFmt w:val="bullet"/>
      <w:lvlText w:val="•"/>
      <w:lvlJc w:val="left"/>
      <w:pPr>
        <w:ind w:left="4712" w:hanging="681"/>
      </w:pPr>
      <w:rPr>
        <w:rFonts w:hint="default"/>
      </w:rPr>
    </w:lvl>
    <w:lvl w:ilvl="6">
      <w:start w:val="0"/>
      <w:numFmt w:val="bullet"/>
      <w:lvlText w:val="•"/>
      <w:lvlJc w:val="left"/>
      <w:pPr>
        <w:ind w:left="5466" w:hanging="681"/>
      </w:pPr>
      <w:rPr>
        <w:rFonts w:hint="default"/>
      </w:rPr>
    </w:lvl>
    <w:lvl w:ilvl="7">
      <w:start w:val="0"/>
      <w:numFmt w:val="bullet"/>
      <w:lvlText w:val="•"/>
      <w:lvlJc w:val="left"/>
      <w:pPr>
        <w:ind w:left="6220" w:hanging="681"/>
      </w:pPr>
      <w:rPr>
        <w:rFonts w:hint="default"/>
      </w:rPr>
    </w:lvl>
    <w:lvl w:ilvl="8">
      <w:start w:val="0"/>
      <w:numFmt w:val="bullet"/>
      <w:lvlText w:val="•"/>
      <w:lvlJc w:val="left"/>
      <w:pPr>
        <w:ind w:left="6975" w:hanging="681"/>
      </w:pPr>
      <w:rPr>
        <w:rFonts w:hint="default"/>
      </w:rPr>
    </w:lvl>
  </w:abstractNum>
  <w:abstractNum w:abstractNumId="188">
    <w:multiLevelType w:val="hybridMultilevel"/>
    <w:lvl w:ilvl="0">
      <w:start w:val="1"/>
      <w:numFmt w:val="lowerLetter"/>
      <w:lvlText w:val="(%1)"/>
      <w:lvlJc w:val="left"/>
      <w:pPr>
        <w:ind w:left="2573" w:hanging="760"/>
        <w:jc w:val="righ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87">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86">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85">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84">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83">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1"/>
      <w:numFmt w:val="lowerRoman"/>
      <w:lvlText w:val="(%2)"/>
      <w:lvlJc w:val="left"/>
      <w:pPr>
        <w:ind w:left="4144" w:hanging="721"/>
        <w:jc w:val="left"/>
      </w:pPr>
      <w:rPr>
        <w:rFonts w:hint="default" w:ascii="Calibri" w:hAnsi="Calibri" w:eastAsia="Calibri" w:cs="Calibri"/>
        <w:spacing w:val="-4"/>
        <w:w w:val="122"/>
        <w:sz w:val="20"/>
        <w:szCs w:val="20"/>
      </w:rPr>
    </w:lvl>
    <w:lvl w:ilvl="2">
      <w:start w:val="0"/>
      <w:numFmt w:val="bullet"/>
      <w:lvlText w:val="•"/>
      <w:lvlJc w:val="left"/>
      <w:pPr>
        <w:ind w:left="5002" w:hanging="721"/>
      </w:pPr>
      <w:rPr>
        <w:rFonts w:hint="default"/>
      </w:rPr>
    </w:lvl>
    <w:lvl w:ilvl="3">
      <w:start w:val="0"/>
      <w:numFmt w:val="bullet"/>
      <w:lvlText w:val="•"/>
      <w:lvlJc w:val="left"/>
      <w:pPr>
        <w:ind w:left="5865" w:hanging="721"/>
      </w:pPr>
      <w:rPr>
        <w:rFonts w:hint="default"/>
      </w:rPr>
    </w:lvl>
    <w:lvl w:ilvl="4">
      <w:start w:val="0"/>
      <w:numFmt w:val="bullet"/>
      <w:lvlText w:val="•"/>
      <w:lvlJc w:val="left"/>
      <w:pPr>
        <w:ind w:left="6728" w:hanging="721"/>
      </w:pPr>
      <w:rPr>
        <w:rFonts w:hint="default"/>
      </w:rPr>
    </w:lvl>
    <w:lvl w:ilvl="5">
      <w:start w:val="0"/>
      <w:numFmt w:val="bullet"/>
      <w:lvlText w:val="•"/>
      <w:lvlJc w:val="left"/>
      <w:pPr>
        <w:ind w:left="7591" w:hanging="721"/>
      </w:pPr>
      <w:rPr>
        <w:rFonts w:hint="default"/>
      </w:rPr>
    </w:lvl>
    <w:lvl w:ilvl="6">
      <w:start w:val="0"/>
      <w:numFmt w:val="bullet"/>
      <w:lvlText w:val="•"/>
      <w:lvlJc w:val="left"/>
      <w:pPr>
        <w:ind w:left="8454" w:hanging="721"/>
      </w:pPr>
      <w:rPr>
        <w:rFonts w:hint="default"/>
      </w:rPr>
    </w:lvl>
    <w:lvl w:ilvl="7">
      <w:start w:val="0"/>
      <w:numFmt w:val="bullet"/>
      <w:lvlText w:val="•"/>
      <w:lvlJc w:val="left"/>
      <w:pPr>
        <w:ind w:left="9317" w:hanging="721"/>
      </w:pPr>
      <w:rPr>
        <w:rFonts w:hint="default"/>
      </w:rPr>
    </w:lvl>
    <w:lvl w:ilvl="8">
      <w:start w:val="0"/>
      <w:numFmt w:val="bullet"/>
      <w:lvlText w:val="•"/>
      <w:lvlJc w:val="left"/>
      <w:pPr>
        <w:ind w:left="10179" w:hanging="721"/>
      </w:pPr>
      <w:rPr>
        <w:rFonts w:hint="default"/>
      </w:rPr>
    </w:lvl>
  </w:abstractNum>
  <w:abstractNum w:abstractNumId="182">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81">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80">
    <w:multiLevelType w:val="hybridMultilevel"/>
    <w:lvl w:ilvl="0">
      <w:start w:val="1"/>
      <w:numFmt w:val="lowerLetter"/>
      <w:lvlText w:val="(%1)"/>
      <w:lvlJc w:val="left"/>
      <w:pPr>
        <w:ind w:left="3423"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9">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8">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77">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6">
    <w:multiLevelType w:val="hybridMultilevel"/>
    <w:lvl w:ilvl="0">
      <w:start w:val="1"/>
      <w:numFmt w:val="lowerLetter"/>
      <w:lvlText w:val="(%1)"/>
      <w:lvlJc w:val="left"/>
      <w:pPr>
        <w:ind w:left="2573" w:hanging="760"/>
        <w:jc w:val="right"/>
      </w:pPr>
      <w:rPr>
        <w:rFonts w:hint="default" w:ascii="Calibri" w:hAnsi="Calibri" w:eastAsia="Calibri" w:cs="Calibri"/>
        <w:spacing w:val="-18"/>
        <w:w w:val="113"/>
        <w:sz w:val="20"/>
        <w:szCs w:val="20"/>
      </w:rPr>
    </w:lvl>
    <w:lvl w:ilvl="1">
      <w:start w:val="1"/>
      <w:numFmt w:val="lowerRoman"/>
      <w:lvlText w:val="(%2)"/>
      <w:lvlJc w:val="left"/>
      <w:pPr>
        <w:ind w:left="3293" w:hanging="721"/>
        <w:jc w:val="left"/>
      </w:pPr>
      <w:rPr>
        <w:rFonts w:hint="default" w:ascii="Calibri" w:hAnsi="Calibri" w:eastAsia="Calibri" w:cs="Calibri"/>
        <w:spacing w:val="-4"/>
        <w:w w:val="122"/>
        <w:sz w:val="20"/>
        <w:szCs w:val="20"/>
      </w:rPr>
    </w:lvl>
    <w:lvl w:ilvl="2">
      <w:start w:val="0"/>
      <w:numFmt w:val="bullet"/>
      <w:lvlText w:val="•"/>
      <w:lvlJc w:val="left"/>
      <w:pPr>
        <w:ind w:left="4256" w:hanging="721"/>
      </w:pPr>
      <w:rPr>
        <w:rFonts w:hint="default"/>
      </w:rPr>
    </w:lvl>
    <w:lvl w:ilvl="3">
      <w:start w:val="0"/>
      <w:numFmt w:val="bullet"/>
      <w:lvlText w:val="•"/>
      <w:lvlJc w:val="left"/>
      <w:pPr>
        <w:ind w:left="5212" w:hanging="721"/>
      </w:pPr>
      <w:rPr>
        <w:rFonts w:hint="default"/>
      </w:rPr>
    </w:lvl>
    <w:lvl w:ilvl="4">
      <w:start w:val="0"/>
      <w:numFmt w:val="bullet"/>
      <w:lvlText w:val="•"/>
      <w:lvlJc w:val="left"/>
      <w:pPr>
        <w:ind w:left="6168" w:hanging="721"/>
      </w:pPr>
      <w:rPr>
        <w:rFonts w:hint="default"/>
      </w:rPr>
    </w:lvl>
    <w:lvl w:ilvl="5">
      <w:start w:val="0"/>
      <w:numFmt w:val="bullet"/>
      <w:lvlText w:val="•"/>
      <w:lvlJc w:val="left"/>
      <w:pPr>
        <w:ind w:left="7124" w:hanging="721"/>
      </w:pPr>
      <w:rPr>
        <w:rFonts w:hint="default"/>
      </w:rPr>
    </w:lvl>
    <w:lvl w:ilvl="6">
      <w:start w:val="0"/>
      <w:numFmt w:val="bullet"/>
      <w:lvlText w:val="•"/>
      <w:lvlJc w:val="left"/>
      <w:pPr>
        <w:ind w:left="8080" w:hanging="721"/>
      </w:pPr>
      <w:rPr>
        <w:rFonts w:hint="default"/>
      </w:rPr>
    </w:lvl>
    <w:lvl w:ilvl="7">
      <w:start w:val="0"/>
      <w:numFmt w:val="bullet"/>
      <w:lvlText w:val="•"/>
      <w:lvlJc w:val="left"/>
      <w:pPr>
        <w:ind w:left="9037" w:hanging="721"/>
      </w:pPr>
      <w:rPr>
        <w:rFonts w:hint="default"/>
      </w:rPr>
    </w:lvl>
    <w:lvl w:ilvl="8">
      <w:start w:val="0"/>
      <w:numFmt w:val="bullet"/>
      <w:lvlText w:val="•"/>
      <w:lvlJc w:val="left"/>
      <w:pPr>
        <w:ind w:left="9993" w:hanging="721"/>
      </w:pPr>
      <w:rPr>
        <w:rFonts w:hint="default"/>
      </w:rPr>
    </w:lvl>
  </w:abstractNum>
  <w:abstractNum w:abstractNumId="175">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4">
    <w:multiLevelType w:val="hybridMultilevel"/>
    <w:lvl w:ilvl="0">
      <w:start w:val="2"/>
      <w:numFmt w:val="lowerLetter"/>
      <w:lvlText w:val="(%1)"/>
      <w:lvlJc w:val="left"/>
      <w:pPr>
        <w:ind w:left="3424" w:hanging="760"/>
        <w:jc w:val="left"/>
      </w:pPr>
      <w:rPr>
        <w:rFonts w:hint="default" w:ascii="Calibri" w:hAnsi="Calibri" w:eastAsia="Calibri" w:cs="Calibri"/>
        <w:spacing w:val="-16"/>
        <w:w w:val="128"/>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3">
    <w:multiLevelType w:val="hybridMultilevel"/>
    <w:lvl w:ilvl="0">
      <w:start w:val="1"/>
      <w:numFmt w:val="lowerLetter"/>
      <w:lvlText w:val="(%1)"/>
      <w:lvlJc w:val="left"/>
      <w:pPr>
        <w:ind w:left="3424" w:hanging="760"/>
        <w:jc w:val="left"/>
      </w:pPr>
      <w:rPr>
        <w:rFonts w:hint="default" w:ascii="Calibri" w:hAnsi="Calibri" w:eastAsia="Calibri" w:cs="Calibri"/>
        <w:spacing w:val="-18"/>
        <w:w w:val="113"/>
        <w:sz w:val="20"/>
        <w:szCs w:val="20"/>
      </w:rPr>
    </w:lvl>
    <w:lvl w:ilvl="1">
      <w:start w:val="0"/>
      <w:numFmt w:val="bullet"/>
      <w:lvlText w:val="•"/>
      <w:lvlJc w:val="left"/>
      <w:pPr>
        <w:ind w:left="4268" w:hanging="760"/>
      </w:pPr>
      <w:rPr>
        <w:rFonts w:hint="default"/>
      </w:rPr>
    </w:lvl>
    <w:lvl w:ilvl="2">
      <w:start w:val="0"/>
      <w:numFmt w:val="bullet"/>
      <w:lvlText w:val="•"/>
      <w:lvlJc w:val="left"/>
      <w:pPr>
        <w:ind w:left="5117" w:hanging="760"/>
      </w:pPr>
      <w:rPr>
        <w:rFonts w:hint="default"/>
      </w:rPr>
    </w:lvl>
    <w:lvl w:ilvl="3">
      <w:start w:val="0"/>
      <w:numFmt w:val="bullet"/>
      <w:lvlText w:val="•"/>
      <w:lvlJc w:val="left"/>
      <w:pPr>
        <w:ind w:left="5965" w:hanging="760"/>
      </w:pPr>
      <w:rPr>
        <w:rFonts w:hint="default"/>
      </w:rPr>
    </w:lvl>
    <w:lvl w:ilvl="4">
      <w:start w:val="0"/>
      <w:numFmt w:val="bullet"/>
      <w:lvlText w:val="•"/>
      <w:lvlJc w:val="left"/>
      <w:pPr>
        <w:ind w:left="6814" w:hanging="760"/>
      </w:pPr>
      <w:rPr>
        <w:rFonts w:hint="default"/>
      </w:rPr>
    </w:lvl>
    <w:lvl w:ilvl="5">
      <w:start w:val="0"/>
      <w:numFmt w:val="bullet"/>
      <w:lvlText w:val="•"/>
      <w:lvlJc w:val="left"/>
      <w:pPr>
        <w:ind w:left="7662" w:hanging="760"/>
      </w:pPr>
      <w:rPr>
        <w:rFonts w:hint="default"/>
      </w:rPr>
    </w:lvl>
    <w:lvl w:ilvl="6">
      <w:start w:val="0"/>
      <w:numFmt w:val="bullet"/>
      <w:lvlText w:val="•"/>
      <w:lvlJc w:val="left"/>
      <w:pPr>
        <w:ind w:left="8511" w:hanging="760"/>
      </w:pPr>
      <w:rPr>
        <w:rFonts w:hint="default"/>
      </w:rPr>
    </w:lvl>
    <w:lvl w:ilvl="7">
      <w:start w:val="0"/>
      <w:numFmt w:val="bullet"/>
      <w:lvlText w:val="•"/>
      <w:lvlJc w:val="left"/>
      <w:pPr>
        <w:ind w:left="9359" w:hanging="760"/>
      </w:pPr>
      <w:rPr>
        <w:rFonts w:hint="default"/>
      </w:rPr>
    </w:lvl>
    <w:lvl w:ilvl="8">
      <w:start w:val="0"/>
      <w:numFmt w:val="bullet"/>
      <w:lvlText w:val="•"/>
      <w:lvlJc w:val="left"/>
      <w:pPr>
        <w:ind w:left="10208" w:hanging="760"/>
      </w:pPr>
      <w:rPr>
        <w:rFonts w:hint="default"/>
      </w:rPr>
    </w:lvl>
  </w:abstractNum>
  <w:abstractNum w:abstractNumId="172">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71">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70">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69">
    <w:multiLevelType w:val="hybridMultilevel"/>
    <w:lvl w:ilvl="0">
      <w:start w:val="1"/>
      <w:numFmt w:val="decimal"/>
      <w:lvlText w:val="%1."/>
      <w:lvlJc w:val="left"/>
      <w:pPr>
        <w:ind w:left="2664" w:hanging="681"/>
        <w:jc w:val="right"/>
      </w:pPr>
      <w:rPr>
        <w:rFonts w:hint="default" w:ascii="Stone Sans II ITC Std Bk" w:hAnsi="Stone Sans II ITC Std Bk" w:eastAsia="Stone Sans II ITC Std Bk" w:cs="Stone Sans II ITC Std Bk"/>
        <w:b/>
        <w:bCs/>
        <w:spacing w:val="-15"/>
        <w:w w:val="114"/>
        <w:sz w:val="21"/>
        <w:szCs w:val="21"/>
      </w:rPr>
    </w:lvl>
    <w:lvl w:ilvl="1">
      <w:start w:val="1"/>
      <w:numFmt w:val="decimal"/>
      <w:lvlText w:val="%1.%2"/>
      <w:lvlJc w:val="left"/>
      <w:pPr>
        <w:ind w:left="2664" w:hanging="681"/>
        <w:jc w:val="right"/>
      </w:pPr>
      <w:rPr>
        <w:rFonts w:hint="default" w:ascii="Calibri" w:hAnsi="Calibri" w:eastAsia="Calibri" w:cs="Calibri"/>
        <w:spacing w:val="-18"/>
        <w:w w:val="125"/>
        <w:sz w:val="20"/>
        <w:szCs w:val="20"/>
      </w:rPr>
    </w:lvl>
    <w:lvl w:ilvl="2">
      <w:start w:val="0"/>
      <w:numFmt w:val="bullet"/>
      <w:lvlText w:val=""/>
      <w:lvlJc w:val="left"/>
      <w:pPr>
        <w:ind w:left="5872" w:hanging="540"/>
      </w:pPr>
      <w:rPr>
        <w:rFonts w:hint="default" w:ascii="Wingdings" w:hAnsi="Wingdings" w:eastAsia="Wingdings" w:cs="Wingdings"/>
        <w:w w:val="110"/>
        <w:position w:val="-3"/>
        <w:sz w:val="29"/>
        <w:szCs w:val="29"/>
      </w:rPr>
    </w:lvl>
    <w:lvl w:ilvl="3">
      <w:start w:val="0"/>
      <w:numFmt w:val="bullet"/>
      <w:lvlText w:val="•"/>
      <w:lvlJc w:val="left"/>
      <w:pPr>
        <w:ind w:left="6633" w:hanging="540"/>
      </w:pPr>
      <w:rPr>
        <w:rFonts w:hint="default"/>
      </w:rPr>
    </w:lvl>
    <w:lvl w:ilvl="4">
      <w:start w:val="0"/>
      <w:numFmt w:val="bullet"/>
      <w:lvlText w:val="•"/>
      <w:lvlJc w:val="left"/>
      <w:pPr>
        <w:ind w:left="7386" w:hanging="540"/>
      </w:pPr>
      <w:rPr>
        <w:rFonts w:hint="default"/>
      </w:rPr>
    </w:lvl>
    <w:lvl w:ilvl="5">
      <w:start w:val="0"/>
      <w:numFmt w:val="bullet"/>
      <w:lvlText w:val="•"/>
      <w:lvlJc w:val="left"/>
      <w:pPr>
        <w:ind w:left="8139" w:hanging="540"/>
      </w:pPr>
      <w:rPr>
        <w:rFonts w:hint="default"/>
      </w:rPr>
    </w:lvl>
    <w:lvl w:ilvl="6">
      <w:start w:val="0"/>
      <w:numFmt w:val="bullet"/>
      <w:lvlText w:val="•"/>
      <w:lvlJc w:val="left"/>
      <w:pPr>
        <w:ind w:left="8892" w:hanging="540"/>
      </w:pPr>
      <w:rPr>
        <w:rFonts w:hint="default"/>
      </w:rPr>
    </w:lvl>
    <w:lvl w:ilvl="7">
      <w:start w:val="0"/>
      <w:numFmt w:val="bullet"/>
      <w:lvlText w:val="•"/>
      <w:lvlJc w:val="left"/>
      <w:pPr>
        <w:ind w:left="9645" w:hanging="540"/>
      </w:pPr>
      <w:rPr>
        <w:rFonts w:hint="default"/>
      </w:rPr>
    </w:lvl>
    <w:lvl w:ilvl="8">
      <w:start w:val="0"/>
      <w:numFmt w:val="bullet"/>
      <w:lvlText w:val="•"/>
      <w:lvlJc w:val="left"/>
      <w:pPr>
        <w:ind w:left="10399" w:hanging="540"/>
      </w:pPr>
      <w:rPr>
        <w:rFonts w:hint="default"/>
      </w:rPr>
    </w:lvl>
  </w:abstractNum>
  <w:abstractNum w:abstractNumId="168">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67">
    <w:multiLevelType w:val="hybridMultilevel"/>
    <w:lvl w:ilvl="0">
      <w:start w:val="1"/>
      <w:numFmt w:val="lowerLetter"/>
      <w:lvlText w:val="(%1)"/>
      <w:lvlJc w:val="left"/>
      <w:pPr>
        <w:ind w:left="2573" w:hanging="760"/>
        <w:jc w:val="left"/>
      </w:pPr>
      <w:rPr>
        <w:rFonts w:hint="default" w:ascii="Calibri" w:hAnsi="Calibri" w:eastAsia="Calibri" w:cs="Calibri"/>
        <w:spacing w:val="-18"/>
        <w:w w:val="113"/>
        <w:sz w:val="20"/>
        <w:szCs w:val="20"/>
      </w:rPr>
    </w:lvl>
    <w:lvl w:ilvl="1">
      <w:start w:val="0"/>
      <w:numFmt w:val="bullet"/>
      <w:lvlText w:val="•"/>
      <w:lvlJc w:val="left"/>
      <w:pPr>
        <w:ind w:left="3512" w:hanging="760"/>
      </w:pPr>
      <w:rPr>
        <w:rFonts w:hint="default"/>
      </w:rPr>
    </w:lvl>
    <w:lvl w:ilvl="2">
      <w:start w:val="0"/>
      <w:numFmt w:val="bullet"/>
      <w:lvlText w:val="•"/>
      <w:lvlJc w:val="left"/>
      <w:pPr>
        <w:ind w:left="4445" w:hanging="760"/>
      </w:pPr>
      <w:rPr>
        <w:rFonts w:hint="default"/>
      </w:rPr>
    </w:lvl>
    <w:lvl w:ilvl="3">
      <w:start w:val="0"/>
      <w:numFmt w:val="bullet"/>
      <w:lvlText w:val="•"/>
      <w:lvlJc w:val="left"/>
      <w:pPr>
        <w:ind w:left="5377" w:hanging="760"/>
      </w:pPr>
      <w:rPr>
        <w:rFonts w:hint="default"/>
      </w:rPr>
    </w:lvl>
    <w:lvl w:ilvl="4">
      <w:start w:val="0"/>
      <w:numFmt w:val="bullet"/>
      <w:lvlText w:val="•"/>
      <w:lvlJc w:val="left"/>
      <w:pPr>
        <w:ind w:left="6310" w:hanging="760"/>
      </w:pPr>
      <w:rPr>
        <w:rFonts w:hint="default"/>
      </w:rPr>
    </w:lvl>
    <w:lvl w:ilvl="5">
      <w:start w:val="0"/>
      <w:numFmt w:val="bullet"/>
      <w:lvlText w:val="•"/>
      <w:lvlJc w:val="left"/>
      <w:pPr>
        <w:ind w:left="7242" w:hanging="760"/>
      </w:pPr>
      <w:rPr>
        <w:rFonts w:hint="default"/>
      </w:rPr>
    </w:lvl>
    <w:lvl w:ilvl="6">
      <w:start w:val="0"/>
      <w:numFmt w:val="bullet"/>
      <w:lvlText w:val="•"/>
      <w:lvlJc w:val="left"/>
      <w:pPr>
        <w:ind w:left="8175" w:hanging="760"/>
      </w:pPr>
      <w:rPr>
        <w:rFonts w:hint="default"/>
      </w:rPr>
    </w:lvl>
    <w:lvl w:ilvl="7">
      <w:start w:val="0"/>
      <w:numFmt w:val="bullet"/>
      <w:lvlText w:val="•"/>
      <w:lvlJc w:val="left"/>
      <w:pPr>
        <w:ind w:left="9107" w:hanging="760"/>
      </w:pPr>
      <w:rPr>
        <w:rFonts w:hint="default"/>
      </w:rPr>
    </w:lvl>
    <w:lvl w:ilvl="8">
      <w:start w:val="0"/>
      <w:numFmt w:val="bullet"/>
      <w:lvlText w:val="•"/>
      <w:lvlJc w:val="left"/>
      <w:pPr>
        <w:ind w:left="10040" w:hanging="760"/>
      </w:pPr>
      <w:rPr>
        <w:rFonts w:hint="default"/>
      </w:rPr>
    </w:lvl>
  </w:abstractNum>
  <w:abstractNum w:abstractNumId="166">
    <w:multiLevelType w:val="hybridMultilevel"/>
    <w:lvl w:ilvl="0">
      <w:start w:val="1"/>
      <w:numFmt w:val="lowerLetter"/>
      <w:lvlText w:val="(%1)"/>
      <w:lvlJc w:val="left"/>
      <w:pPr>
        <w:ind w:left="2573" w:hanging="721"/>
        <w:jc w:val="left"/>
      </w:pPr>
      <w:rPr>
        <w:rFonts w:hint="default" w:ascii="Calibri" w:hAnsi="Calibri" w:eastAsia="Calibri" w:cs="Calibri"/>
        <w:spacing w:val="-18"/>
        <w:w w:val="113"/>
        <w:sz w:val="20"/>
        <w:szCs w:val="20"/>
      </w:rPr>
    </w:lvl>
    <w:lvl w:ilvl="1">
      <w:start w:val="0"/>
      <w:numFmt w:val="bullet"/>
      <w:lvlText w:val="•"/>
      <w:lvlJc w:val="left"/>
      <w:pPr>
        <w:ind w:left="3512" w:hanging="721"/>
      </w:pPr>
      <w:rPr>
        <w:rFonts w:hint="default"/>
      </w:rPr>
    </w:lvl>
    <w:lvl w:ilvl="2">
      <w:start w:val="0"/>
      <w:numFmt w:val="bullet"/>
      <w:lvlText w:val="•"/>
      <w:lvlJc w:val="left"/>
      <w:pPr>
        <w:ind w:left="4445" w:hanging="721"/>
      </w:pPr>
      <w:rPr>
        <w:rFonts w:hint="default"/>
      </w:rPr>
    </w:lvl>
    <w:lvl w:ilvl="3">
      <w:start w:val="0"/>
      <w:numFmt w:val="bullet"/>
      <w:lvlText w:val="•"/>
      <w:lvlJc w:val="left"/>
      <w:pPr>
        <w:ind w:left="5377" w:hanging="721"/>
      </w:pPr>
      <w:rPr>
        <w:rFonts w:hint="default"/>
      </w:rPr>
    </w:lvl>
    <w:lvl w:ilvl="4">
      <w:start w:val="0"/>
      <w:numFmt w:val="bullet"/>
      <w:lvlText w:val="•"/>
      <w:lvlJc w:val="left"/>
      <w:pPr>
        <w:ind w:left="6310" w:hanging="721"/>
      </w:pPr>
      <w:rPr>
        <w:rFonts w:hint="default"/>
      </w:rPr>
    </w:lvl>
    <w:lvl w:ilvl="5">
      <w:start w:val="0"/>
      <w:numFmt w:val="bullet"/>
      <w:lvlText w:val="•"/>
      <w:lvlJc w:val="left"/>
      <w:pPr>
        <w:ind w:left="7242" w:hanging="721"/>
      </w:pPr>
      <w:rPr>
        <w:rFonts w:hint="default"/>
      </w:rPr>
    </w:lvl>
    <w:lvl w:ilvl="6">
      <w:start w:val="0"/>
      <w:numFmt w:val="bullet"/>
      <w:lvlText w:val="•"/>
      <w:lvlJc w:val="left"/>
      <w:pPr>
        <w:ind w:left="8175" w:hanging="721"/>
      </w:pPr>
      <w:rPr>
        <w:rFonts w:hint="default"/>
      </w:rPr>
    </w:lvl>
    <w:lvl w:ilvl="7">
      <w:start w:val="0"/>
      <w:numFmt w:val="bullet"/>
      <w:lvlText w:val="•"/>
      <w:lvlJc w:val="left"/>
      <w:pPr>
        <w:ind w:left="9107" w:hanging="721"/>
      </w:pPr>
      <w:rPr>
        <w:rFonts w:hint="default"/>
      </w:rPr>
    </w:lvl>
    <w:lvl w:ilvl="8">
      <w:start w:val="0"/>
      <w:numFmt w:val="bullet"/>
      <w:lvlText w:val="•"/>
      <w:lvlJc w:val="left"/>
      <w:pPr>
        <w:ind w:left="10040" w:hanging="721"/>
      </w:pPr>
      <w:rPr>
        <w:rFonts w:hint="default"/>
      </w:rPr>
    </w:lvl>
  </w:abstractNum>
  <w:abstractNum w:abstractNumId="165">
    <w:multiLevelType w:val="hybridMultilevel"/>
    <w:lvl w:ilvl="0">
      <w:start w:val="1"/>
      <w:numFmt w:val="lowerLetter"/>
      <w:lvlText w:val="(%1)"/>
      <w:lvlJc w:val="left"/>
      <w:pPr>
        <w:ind w:left="3424" w:hanging="721"/>
        <w:jc w:val="left"/>
      </w:pPr>
      <w:rPr>
        <w:rFonts w:hint="default" w:ascii="Calibri" w:hAnsi="Calibri" w:eastAsia="Calibri" w:cs="Calibri"/>
        <w:spacing w:val="-18"/>
        <w:w w:val="113"/>
        <w:sz w:val="20"/>
        <w:szCs w:val="20"/>
      </w:rPr>
    </w:lvl>
    <w:lvl w:ilvl="1">
      <w:start w:val="1"/>
      <w:numFmt w:val="lowerRoman"/>
      <w:lvlText w:val="(%2)"/>
      <w:lvlJc w:val="left"/>
      <w:pPr>
        <w:ind w:left="4144" w:hanging="721"/>
        <w:jc w:val="left"/>
      </w:pPr>
      <w:rPr>
        <w:rFonts w:hint="default" w:ascii="Calibri" w:hAnsi="Calibri" w:eastAsia="Calibri" w:cs="Calibri"/>
        <w:spacing w:val="-4"/>
        <w:w w:val="122"/>
        <w:sz w:val="20"/>
        <w:szCs w:val="20"/>
      </w:rPr>
    </w:lvl>
    <w:lvl w:ilvl="2">
      <w:start w:val="0"/>
      <w:numFmt w:val="bullet"/>
      <w:lvlText w:val="•"/>
      <w:lvlJc w:val="left"/>
      <w:pPr>
        <w:ind w:left="5002" w:hanging="721"/>
      </w:pPr>
      <w:rPr>
        <w:rFonts w:hint="default"/>
      </w:rPr>
    </w:lvl>
    <w:lvl w:ilvl="3">
      <w:start w:val="0"/>
      <w:numFmt w:val="bullet"/>
      <w:lvlText w:val="•"/>
      <w:lvlJc w:val="left"/>
      <w:pPr>
        <w:ind w:left="5865" w:hanging="721"/>
      </w:pPr>
      <w:rPr>
        <w:rFonts w:hint="default"/>
      </w:rPr>
    </w:lvl>
    <w:lvl w:ilvl="4">
      <w:start w:val="0"/>
      <w:numFmt w:val="bullet"/>
      <w:lvlText w:val="•"/>
      <w:lvlJc w:val="left"/>
      <w:pPr>
        <w:ind w:left="6728" w:hanging="721"/>
      </w:pPr>
      <w:rPr>
        <w:rFonts w:hint="default"/>
      </w:rPr>
    </w:lvl>
    <w:lvl w:ilvl="5">
      <w:start w:val="0"/>
      <w:numFmt w:val="bullet"/>
      <w:lvlText w:val="•"/>
      <w:lvlJc w:val="left"/>
      <w:pPr>
        <w:ind w:left="7591" w:hanging="721"/>
      </w:pPr>
      <w:rPr>
        <w:rFonts w:hint="default"/>
      </w:rPr>
    </w:lvl>
    <w:lvl w:ilvl="6">
      <w:start w:val="0"/>
      <w:numFmt w:val="bullet"/>
      <w:lvlText w:val="•"/>
      <w:lvlJc w:val="left"/>
      <w:pPr>
        <w:ind w:left="8454" w:hanging="721"/>
      </w:pPr>
      <w:rPr>
        <w:rFonts w:hint="default"/>
      </w:rPr>
    </w:lvl>
    <w:lvl w:ilvl="7">
      <w:start w:val="0"/>
      <w:numFmt w:val="bullet"/>
      <w:lvlText w:val="•"/>
      <w:lvlJc w:val="left"/>
      <w:pPr>
        <w:ind w:left="9317" w:hanging="721"/>
      </w:pPr>
      <w:rPr>
        <w:rFonts w:hint="default"/>
      </w:rPr>
    </w:lvl>
    <w:lvl w:ilvl="8">
      <w:start w:val="0"/>
      <w:numFmt w:val="bullet"/>
      <w:lvlText w:val="•"/>
      <w:lvlJc w:val="left"/>
      <w:pPr>
        <w:ind w:left="10179" w:hanging="721"/>
      </w:pPr>
      <w:rPr>
        <w:rFonts w:hint="default"/>
      </w:rPr>
    </w:lvl>
  </w:abstractNum>
  <w:abstractNum w:abstractNumId="164">
    <w:multiLevelType w:val="hybridMultilevel"/>
    <w:lvl w:ilvl="0">
      <w:start w:val="18"/>
      <w:numFmt w:val="lowerLetter"/>
      <w:lvlText w:val="(%1)"/>
      <w:lvlJc w:val="left"/>
      <w:pPr>
        <w:ind w:left="3424" w:hanging="721"/>
        <w:jc w:val="left"/>
      </w:pPr>
      <w:rPr>
        <w:rFonts w:hint="default" w:ascii="Calibri" w:hAnsi="Calibri" w:eastAsia="Calibri" w:cs="Calibri"/>
        <w:spacing w:val="-17"/>
        <w:w w:val="114"/>
        <w:sz w:val="20"/>
        <w:szCs w:val="20"/>
      </w:rPr>
    </w:lvl>
    <w:lvl w:ilvl="1">
      <w:start w:val="0"/>
      <w:numFmt w:val="bullet"/>
      <w:lvlText w:val="•"/>
      <w:lvlJc w:val="left"/>
      <w:pPr>
        <w:ind w:left="4268" w:hanging="721"/>
      </w:pPr>
      <w:rPr>
        <w:rFonts w:hint="default"/>
      </w:rPr>
    </w:lvl>
    <w:lvl w:ilvl="2">
      <w:start w:val="0"/>
      <w:numFmt w:val="bullet"/>
      <w:lvlText w:val="•"/>
      <w:lvlJc w:val="left"/>
      <w:pPr>
        <w:ind w:left="5117" w:hanging="721"/>
      </w:pPr>
      <w:rPr>
        <w:rFonts w:hint="default"/>
      </w:rPr>
    </w:lvl>
    <w:lvl w:ilvl="3">
      <w:start w:val="0"/>
      <w:numFmt w:val="bullet"/>
      <w:lvlText w:val="•"/>
      <w:lvlJc w:val="left"/>
      <w:pPr>
        <w:ind w:left="5965" w:hanging="721"/>
      </w:pPr>
      <w:rPr>
        <w:rFonts w:hint="default"/>
      </w:rPr>
    </w:lvl>
    <w:lvl w:ilvl="4">
      <w:start w:val="0"/>
      <w:numFmt w:val="bullet"/>
      <w:lvlText w:val="•"/>
      <w:lvlJc w:val="left"/>
      <w:pPr>
        <w:ind w:left="6814" w:hanging="721"/>
      </w:pPr>
      <w:rPr>
        <w:rFonts w:hint="default"/>
      </w:rPr>
    </w:lvl>
    <w:lvl w:ilvl="5">
      <w:start w:val="0"/>
      <w:numFmt w:val="bullet"/>
      <w:lvlText w:val="•"/>
      <w:lvlJc w:val="left"/>
      <w:pPr>
        <w:ind w:left="7662" w:hanging="721"/>
      </w:pPr>
      <w:rPr>
        <w:rFonts w:hint="default"/>
      </w:rPr>
    </w:lvl>
    <w:lvl w:ilvl="6">
      <w:start w:val="0"/>
      <w:numFmt w:val="bullet"/>
      <w:lvlText w:val="•"/>
      <w:lvlJc w:val="left"/>
      <w:pPr>
        <w:ind w:left="8511" w:hanging="721"/>
      </w:pPr>
      <w:rPr>
        <w:rFonts w:hint="default"/>
      </w:rPr>
    </w:lvl>
    <w:lvl w:ilvl="7">
      <w:start w:val="0"/>
      <w:numFmt w:val="bullet"/>
      <w:lvlText w:val="•"/>
      <w:lvlJc w:val="left"/>
      <w:pPr>
        <w:ind w:left="9359" w:hanging="721"/>
      </w:pPr>
      <w:rPr>
        <w:rFonts w:hint="default"/>
      </w:rPr>
    </w:lvl>
    <w:lvl w:ilvl="8">
      <w:start w:val="0"/>
      <w:numFmt w:val="bullet"/>
      <w:lvlText w:val="•"/>
      <w:lvlJc w:val="left"/>
      <w:pPr>
        <w:ind w:left="10208" w:hanging="721"/>
      </w:pPr>
      <w:rPr>
        <w:rFonts w:hint="default"/>
      </w:rPr>
    </w:lvl>
  </w:abstractNum>
  <w:abstractNum w:abstractNumId="163">
    <w:multiLevelType w:val="hybridMultilevel"/>
    <w:lvl w:ilvl="0">
      <w:start w:val="2"/>
      <w:numFmt w:val="lowerLetter"/>
      <w:lvlText w:val="(%1)"/>
      <w:lvlJc w:val="left"/>
      <w:pPr>
        <w:ind w:left="3402" w:hanging="699"/>
        <w:jc w:val="left"/>
      </w:pPr>
      <w:rPr>
        <w:rFonts w:hint="default" w:ascii="Calibri" w:hAnsi="Calibri" w:eastAsia="Calibri" w:cs="Calibri"/>
        <w:spacing w:val="-16"/>
        <w:w w:val="128"/>
        <w:sz w:val="20"/>
        <w:szCs w:val="20"/>
      </w:rPr>
    </w:lvl>
    <w:lvl w:ilvl="1">
      <w:start w:val="0"/>
      <w:numFmt w:val="bullet"/>
      <w:lvlText w:val="•"/>
      <w:lvlJc w:val="left"/>
      <w:pPr>
        <w:ind w:left="4250" w:hanging="699"/>
      </w:pPr>
      <w:rPr>
        <w:rFonts w:hint="default"/>
      </w:rPr>
    </w:lvl>
    <w:lvl w:ilvl="2">
      <w:start w:val="0"/>
      <w:numFmt w:val="bullet"/>
      <w:lvlText w:val="•"/>
      <w:lvlJc w:val="left"/>
      <w:pPr>
        <w:ind w:left="5101" w:hanging="699"/>
      </w:pPr>
      <w:rPr>
        <w:rFonts w:hint="default"/>
      </w:rPr>
    </w:lvl>
    <w:lvl w:ilvl="3">
      <w:start w:val="0"/>
      <w:numFmt w:val="bullet"/>
      <w:lvlText w:val="•"/>
      <w:lvlJc w:val="left"/>
      <w:pPr>
        <w:ind w:left="5951" w:hanging="699"/>
      </w:pPr>
      <w:rPr>
        <w:rFonts w:hint="default"/>
      </w:rPr>
    </w:lvl>
    <w:lvl w:ilvl="4">
      <w:start w:val="0"/>
      <w:numFmt w:val="bullet"/>
      <w:lvlText w:val="•"/>
      <w:lvlJc w:val="left"/>
      <w:pPr>
        <w:ind w:left="6802" w:hanging="699"/>
      </w:pPr>
      <w:rPr>
        <w:rFonts w:hint="default"/>
      </w:rPr>
    </w:lvl>
    <w:lvl w:ilvl="5">
      <w:start w:val="0"/>
      <w:numFmt w:val="bullet"/>
      <w:lvlText w:val="•"/>
      <w:lvlJc w:val="left"/>
      <w:pPr>
        <w:ind w:left="7652" w:hanging="699"/>
      </w:pPr>
      <w:rPr>
        <w:rFonts w:hint="default"/>
      </w:rPr>
    </w:lvl>
    <w:lvl w:ilvl="6">
      <w:start w:val="0"/>
      <w:numFmt w:val="bullet"/>
      <w:lvlText w:val="•"/>
      <w:lvlJc w:val="left"/>
      <w:pPr>
        <w:ind w:left="8503" w:hanging="699"/>
      </w:pPr>
      <w:rPr>
        <w:rFonts w:hint="default"/>
      </w:rPr>
    </w:lvl>
    <w:lvl w:ilvl="7">
      <w:start w:val="0"/>
      <w:numFmt w:val="bullet"/>
      <w:lvlText w:val="•"/>
      <w:lvlJc w:val="left"/>
      <w:pPr>
        <w:ind w:left="9353" w:hanging="699"/>
      </w:pPr>
      <w:rPr>
        <w:rFonts w:hint="default"/>
      </w:rPr>
    </w:lvl>
    <w:lvl w:ilvl="8">
      <w:start w:val="0"/>
      <w:numFmt w:val="bullet"/>
      <w:lvlText w:val="•"/>
      <w:lvlJc w:val="left"/>
      <w:pPr>
        <w:ind w:left="10204" w:hanging="699"/>
      </w:pPr>
      <w:rPr>
        <w:rFonts w:hint="default"/>
      </w:rPr>
    </w:lvl>
  </w:abstractNum>
  <w:abstractNum w:abstractNumId="162">
    <w:multiLevelType w:val="hybridMultilevel"/>
    <w:lvl w:ilvl="0">
      <w:start w:val="1"/>
      <w:numFmt w:val="lowerRoman"/>
      <w:lvlText w:val="(%1)"/>
      <w:lvlJc w:val="left"/>
      <w:pPr>
        <w:ind w:left="2573" w:hanging="721"/>
        <w:jc w:val="left"/>
      </w:pPr>
      <w:rPr>
        <w:rFonts w:hint="default" w:ascii="Calibri" w:hAnsi="Calibri" w:eastAsia="Calibri" w:cs="Calibri"/>
        <w:spacing w:val="-4"/>
        <w:w w:val="122"/>
        <w:sz w:val="20"/>
        <w:szCs w:val="20"/>
      </w:rPr>
    </w:lvl>
    <w:lvl w:ilvl="1">
      <w:start w:val="0"/>
      <w:numFmt w:val="bullet"/>
      <w:lvlText w:val="•"/>
      <w:lvlJc w:val="left"/>
      <w:pPr>
        <w:ind w:left="3512" w:hanging="721"/>
      </w:pPr>
      <w:rPr>
        <w:rFonts w:hint="default"/>
      </w:rPr>
    </w:lvl>
    <w:lvl w:ilvl="2">
      <w:start w:val="0"/>
      <w:numFmt w:val="bullet"/>
      <w:lvlText w:val="•"/>
      <w:lvlJc w:val="left"/>
      <w:pPr>
        <w:ind w:left="4445" w:hanging="721"/>
      </w:pPr>
      <w:rPr>
        <w:rFonts w:hint="default"/>
      </w:rPr>
    </w:lvl>
    <w:lvl w:ilvl="3">
      <w:start w:val="0"/>
      <w:numFmt w:val="bullet"/>
      <w:lvlText w:val="•"/>
      <w:lvlJc w:val="left"/>
      <w:pPr>
        <w:ind w:left="5377" w:hanging="721"/>
      </w:pPr>
      <w:rPr>
        <w:rFonts w:hint="default"/>
      </w:rPr>
    </w:lvl>
    <w:lvl w:ilvl="4">
      <w:start w:val="0"/>
      <w:numFmt w:val="bullet"/>
      <w:lvlText w:val="•"/>
      <w:lvlJc w:val="left"/>
      <w:pPr>
        <w:ind w:left="6310" w:hanging="721"/>
      </w:pPr>
      <w:rPr>
        <w:rFonts w:hint="default"/>
      </w:rPr>
    </w:lvl>
    <w:lvl w:ilvl="5">
      <w:start w:val="0"/>
      <w:numFmt w:val="bullet"/>
      <w:lvlText w:val="•"/>
      <w:lvlJc w:val="left"/>
      <w:pPr>
        <w:ind w:left="7242" w:hanging="721"/>
      </w:pPr>
      <w:rPr>
        <w:rFonts w:hint="default"/>
      </w:rPr>
    </w:lvl>
    <w:lvl w:ilvl="6">
      <w:start w:val="0"/>
      <w:numFmt w:val="bullet"/>
      <w:lvlText w:val="•"/>
      <w:lvlJc w:val="left"/>
      <w:pPr>
        <w:ind w:left="8175" w:hanging="721"/>
      </w:pPr>
      <w:rPr>
        <w:rFonts w:hint="default"/>
      </w:rPr>
    </w:lvl>
    <w:lvl w:ilvl="7">
      <w:start w:val="0"/>
      <w:numFmt w:val="bullet"/>
      <w:lvlText w:val="•"/>
      <w:lvlJc w:val="left"/>
      <w:pPr>
        <w:ind w:left="9107" w:hanging="721"/>
      </w:pPr>
      <w:rPr>
        <w:rFonts w:hint="default"/>
      </w:rPr>
    </w:lvl>
    <w:lvl w:ilvl="8">
      <w:start w:val="0"/>
      <w:numFmt w:val="bullet"/>
      <w:lvlText w:val="•"/>
      <w:lvlJc w:val="left"/>
      <w:pPr>
        <w:ind w:left="10040" w:hanging="721"/>
      </w:pPr>
      <w:rPr>
        <w:rFonts w:hint="default"/>
      </w:rPr>
    </w:lvl>
  </w:abstractNum>
  <w:abstractNum w:abstractNumId="161">
    <w:multiLevelType w:val="hybridMultilevel"/>
    <w:lvl w:ilvl="0">
      <w:start w:val="6"/>
      <w:numFmt w:val="decimal"/>
      <w:lvlText w:val="%1"/>
      <w:lvlJc w:val="left"/>
      <w:pPr>
        <w:ind w:left="2703" w:hanging="681"/>
        <w:jc w:val="left"/>
      </w:pPr>
      <w:rPr>
        <w:rFonts w:hint="default"/>
      </w:rPr>
    </w:lvl>
    <w:lvl w:ilvl="1">
      <w:start w:val="2"/>
      <w:numFmt w:val="decimal"/>
      <w:lvlText w:val="%1.%2"/>
      <w:lvlJc w:val="left"/>
      <w:pPr>
        <w:ind w:left="2703" w:hanging="681"/>
        <w:jc w:val="left"/>
      </w:pPr>
      <w:rPr>
        <w:rFonts w:hint="default"/>
      </w:rPr>
    </w:lvl>
    <w:lvl w:ilvl="2">
      <w:start w:val="1"/>
      <w:numFmt w:val="decimal"/>
      <w:lvlText w:val="%1.%2.%3"/>
      <w:lvlJc w:val="left"/>
      <w:pPr>
        <w:ind w:left="2703" w:hanging="681"/>
        <w:jc w:val="left"/>
      </w:pPr>
      <w:rPr>
        <w:rFonts w:hint="default" w:ascii="Calibri" w:hAnsi="Calibri" w:eastAsia="Calibri" w:cs="Calibri"/>
        <w:spacing w:val="-18"/>
        <w:w w:val="125"/>
        <w:sz w:val="20"/>
        <w:szCs w:val="20"/>
      </w:rPr>
    </w:lvl>
    <w:lvl w:ilvl="3">
      <w:start w:val="0"/>
      <w:numFmt w:val="bullet"/>
      <w:lvlText w:val="•"/>
      <w:lvlJc w:val="left"/>
      <w:pPr>
        <w:ind w:left="5461" w:hanging="681"/>
      </w:pPr>
      <w:rPr>
        <w:rFonts w:hint="default"/>
      </w:rPr>
    </w:lvl>
    <w:lvl w:ilvl="4">
      <w:start w:val="0"/>
      <w:numFmt w:val="bullet"/>
      <w:lvlText w:val="•"/>
      <w:lvlJc w:val="left"/>
      <w:pPr>
        <w:ind w:left="6382" w:hanging="681"/>
      </w:pPr>
      <w:rPr>
        <w:rFonts w:hint="default"/>
      </w:rPr>
    </w:lvl>
    <w:lvl w:ilvl="5">
      <w:start w:val="0"/>
      <w:numFmt w:val="bullet"/>
      <w:lvlText w:val="•"/>
      <w:lvlJc w:val="left"/>
      <w:pPr>
        <w:ind w:left="7302" w:hanging="681"/>
      </w:pPr>
      <w:rPr>
        <w:rFonts w:hint="default"/>
      </w:rPr>
    </w:lvl>
    <w:lvl w:ilvl="6">
      <w:start w:val="0"/>
      <w:numFmt w:val="bullet"/>
      <w:lvlText w:val="•"/>
      <w:lvlJc w:val="left"/>
      <w:pPr>
        <w:ind w:left="8223" w:hanging="681"/>
      </w:pPr>
      <w:rPr>
        <w:rFonts w:hint="default"/>
      </w:rPr>
    </w:lvl>
    <w:lvl w:ilvl="7">
      <w:start w:val="0"/>
      <w:numFmt w:val="bullet"/>
      <w:lvlText w:val="•"/>
      <w:lvlJc w:val="left"/>
      <w:pPr>
        <w:ind w:left="9143" w:hanging="681"/>
      </w:pPr>
      <w:rPr>
        <w:rFonts w:hint="default"/>
      </w:rPr>
    </w:lvl>
    <w:lvl w:ilvl="8">
      <w:start w:val="0"/>
      <w:numFmt w:val="bullet"/>
      <w:lvlText w:val="•"/>
      <w:lvlJc w:val="left"/>
      <w:pPr>
        <w:ind w:left="10064" w:hanging="681"/>
      </w:pPr>
      <w:rPr>
        <w:rFonts w:hint="default"/>
      </w:rPr>
    </w:lvl>
  </w:abstractNum>
  <w:abstractNum w:abstractNumId="160">
    <w:multiLevelType w:val="hybridMultilevel"/>
    <w:lvl w:ilvl="0">
      <w:start w:val="25"/>
      <w:numFmt w:val="lowerLetter"/>
      <w:lvlText w:val="(%1)"/>
      <w:lvlJc w:val="left"/>
      <w:pPr>
        <w:ind w:left="2573" w:hanging="721"/>
        <w:jc w:val="left"/>
      </w:pPr>
      <w:rPr>
        <w:rFonts w:hint="default" w:ascii="Calibri" w:hAnsi="Calibri" w:eastAsia="Calibri" w:cs="Calibri"/>
        <w:spacing w:val="-13"/>
        <w:w w:val="121"/>
        <w:sz w:val="20"/>
        <w:szCs w:val="20"/>
      </w:rPr>
    </w:lvl>
    <w:lvl w:ilvl="1">
      <w:start w:val="0"/>
      <w:numFmt w:val="bullet"/>
      <w:lvlText w:val="•"/>
      <w:lvlJc w:val="left"/>
      <w:pPr>
        <w:ind w:left="3512" w:hanging="721"/>
      </w:pPr>
      <w:rPr>
        <w:rFonts w:hint="default"/>
      </w:rPr>
    </w:lvl>
    <w:lvl w:ilvl="2">
      <w:start w:val="0"/>
      <w:numFmt w:val="bullet"/>
      <w:lvlText w:val="•"/>
      <w:lvlJc w:val="left"/>
      <w:pPr>
        <w:ind w:left="4445" w:hanging="721"/>
      </w:pPr>
      <w:rPr>
        <w:rFonts w:hint="default"/>
      </w:rPr>
    </w:lvl>
    <w:lvl w:ilvl="3">
      <w:start w:val="0"/>
      <w:numFmt w:val="bullet"/>
      <w:lvlText w:val="•"/>
      <w:lvlJc w:val="left"/>
      <w:pPr>
        <w:ind w:left="5377" w:hanging="721"/>
      </w:pPr>
      <w:rPr>
        <w:rFonts w:hint="default"/>
      </w:rPr>
    </w:lvl>
    <w:lvl w:ilvl="4">
      <w:start w:val="0"/>
      <w:numFmt w:val="bullet"/>
      <w:lvlText w:val="•"/>
      <w:lvlJc w:val="left"/>
      <w:pPr>
        <w:ind w:left="6310" w:hanging="721"/>
      </w:pPr>
      <w:rPr>
        <w:rFonts w:hint="default"/>
      </w:rPr>
    </w:lvl>
    <w:lvl w:ilvl="5">
      <w:start w:val="0"/>
      <w:numFmt w:val="bullet"/>
      <w:lvlText w:val="•"/>
      <w:lvlJc w:val="left"/>
      <w:pPr>
        <w:ind w:left="7242" w:hanging="721"/>
      </w:pPr>
      <w:rPr>
        <w:rFonts w:hint="default"/>
      </w:rPr>
    </w:lvl>
    <w:lvl w:ilvl="6">
      <w:start w:val="0"/>
      <w:numFmt w:val="bullet"/>
      <w:lvlText w:val="•"/>
      <w:lvlJc w:val="left"/>
      <w:pPr>
        <w:ind w:left="8175" w:hanging="721"/>
      </w:pPr>
      <w:rPr>
        <w:rFonts w:hint="default"/>
      </w:rPr>
    </w:lvl>
    <w:lvl w:ilvl="7">
      <w:start w:val="0"/>
      <w:numFmt w:val="bullet"/>
      <w:lvlText w:val="•"/>
      <w:lvlJc w:val="left"/>
      <w:pPr>
        <w:ind w:left="9107" w:hanging="721"/>
      </w:pPr>
      <w:rPr>
        <w:rFonts w:hint="default"/>
      </w:rPr>
    </w:lvl>
    <w:lvl w:ilvl="8">
      <w:start w:val="0"/>
      <w:numFmt w:val="bullet"/>
      <w:lvlText w:val="•"/>
      <w:lvlJc w:val="left"/>
      <w:pPr>
        <w:ind w:left="10040" w:hanging="721"/>
      </w:pPr>
      <w:rPr>
        <w:rFonts w:hint="default"/>
      </w:rPr>
    </w:lvl>
  </w:abstractNum>
  <w:abstractNum w:abstractNumId="159">
    <w:multiLevelType w:val="hybridMultilevel"/>
    <w:lvl w:ilvl="0">
      <w:start w:val="1"/>
      <w:numFmt w:val="decimal"/>
      <w:lvlText w:val="%1."/>
      <w:lvlJc w:val="left"/>
      <w:pPr>
        <w:ind w:left="2664" w:hanging="681"/>
        <w:jc w:val="right"/>
      </w:pPr>
      <w:rPr>
        <w:rFonts w:hint="default" w:ascii="Stone Sans II ITC Std Bk" w:hAnsi="Stone Sans II ITC Std Bk" w:eastAsia="Stone Sans II ITC Std Bk" w:cs="Stone Sans II ITC Std Bk"/>
        <w:b/>
        <w:bCs/>
        <w:spacing w:val="-13"/>
        <w:w w:val="110"/>
        <w:sz w:val="20"/>
        <w:szCs w:val="20"/>
      </w:rPr>
    </w:lvl>
    <w:lvl w:ilvl="1">
      <w:start w:val="1"/>
      <w:numFmt w:val="decimal"/>
      <w:lvlText w:val="%1.%2"/>
      <w:lvlJc w:val="left"/>
      <w:pPr>
        <w:ind w:left="2664" w:hanging="681"/>
        <w:jc w:val="left"/>
      </w:pPr>
      <w:rPr>
        <w:rFonts w:hint="default" w:ascii="Calibri" w:hAnsi="Calibri" w:eastAsia="Calibri" w:cs="Calibri"/>
        <w:spacing w:val="-18"/>
        <w:w w:val="125"/>
        <w:sz w:val="20"/>
        <w:szCs w:val="20"/>
      </w:rPr>
    </w:lvl>
    <w:lvl w:ilvl="2">
      <w:start w:val="1"/>
      <w:numFmt w:val="lowerLetter"/>
      <w:lvlText w:val="(%3)"/>
      <w:lvlJc w:val="left"/>
      <w:pPr>
        <w:ind w:left="3424" w:hanging="721"/>
        <w:jc w:val="right"/>
      </w:pPr>
      <w:rPr>
        <w:rFonts w:hint="default" w:ascii="Calibri" w:hAnsi="Calibri" w:eastAsia="Calibri" w:cs="Calibri"/>
        <w:spacing w:val="-18"/>
        <w:w w:val="113"/>
        <w:sz w:val="20"/>
        <w:szCs w:val="20"/>
      </w:rPr>
    </w:lvl>
    <w:lvl w:ilvl="3">
      <w:start w:val="1"/>
      <w:numFmt w:val="lowerRoman"/>
      <w:lvlText w:val="(%4)"/>
      <w:lvlJc w:val="left"/>
      <w:pPr>
        <w:ind w:left="3293" w:hanging="721"/>
        <w:jc w:val="left"/>
      </w:pPr>
      <w:rPr>
        <w:rFonts w:hint="default" w:ascii="Calibri" w:hAnsi="Calibri" w:eastAsia="Calibri" w:cs="Calibri"/>
        <w:spacing w:val="-4"/>
        <w:w w:val="122"/>
        <w:sz w:val="20"/>
        <w:szCs w:val="20"/>
      </w:rPr>
    </w:lvl>
    <w:lvl w:ilvl="4">
      <w:start w:val="0"/>
      <w:numFmt w:val="bullet"/>
      <w:lvlText w:val="•"/>
      <w:lvlJc w:val="left"/>
      <w:pPr>
        <w:ind w:left="3420" w:hanging="721"/>
      </w:pPr>
      <w:rPr>
        <w:rFonts w:hint="default"/>
      </w:rPr>
    </w:lvl>
    <w:lvl w:ilvl="5">
      <w:start w:val="0"/>
      <w:numFmt w:val="bullet"/>
      <w:lvlText w:val="•"/>
      <w:lvlJc w:val="left"/>
      <w:pPr>
        <w:ind w:left="4834" w:hanging="721"/>
      </w:pPr>
      <w:rPr>
        <w:rFonts w:hint="default"/>
      </w:rPr>
    </w:lvl>
    <w:lvl w:ilvl="6">
      <w:start w:val="0"/>
      <w:numFmt w:val="bullet"/>
      <w:lvlText w:val="•"/>
      <w:lvlJc w:val="left"/>
      <w:pPr>
        <w:ind w:left="6248" w:hanging="721"/>
      </w:pPr>
      <w:rPr>
        <w:rFonts w:hint="default"/>
      </w:rPr>
    </w:lvl>
    <w:lvl w:ilvl="7">
      <w:start w:val="0"/>
      <w:numFmt w:val="bullet"/>
      <w:lvlText w:val="•"/>
      <w:lvlJc w:val="left"/>
      <w:pPr>
        <w:ind w:left="7662" w:hanging="721"/>
      </w:pPr>
      <w:rPr>
        <w:rFonts w:hint="default"/>
      </w:rPr>
    </w:lvl>
    <w:lvl w:ilvl="8">
      <w:start w:val="0"/>
      <w:numFmt w:val="bullet"/>
      <w:lvlText w:val="•"/>
      <w:lvlJc w:val="left"/>
      <w:pPr>
        <w:ind w:left="9077" w:hanging="721"/>
      </w:pPr>
      <w:rPr>
        <w:rFonts w:hint="default"/>
      </w:rPr>
    </w:lvl>
  </w:abstractNum>
  <w:abstractNum w:abstractNumId="158">
    <w:multiLevelType w:val="hybridMultilevel"/>
    <w:lvl w:ilvl="0">
      <w:start w:val="1"/>
      <w:numFmt w:val="decimal"/>
      <w:lvlText w:val="%1."/>
      <w:lvlJc w:val="left"/>
      <w:pPr>
        <w:ind w:left="2664" w:hanging="681"/>
        <w:jc w:val="right"/>
      </w:pPr>
      <w:rPr>
        <w:rFonts w:hint="default" w:ascii="Stone Sans II ITC Std Bk" w:hAnsi="Stone Sans II ITC Std Bk" w:eastAsia="Stone Sans II ITC Std Bk" w:cs="Stone Sans II ITC Std Bk"/>
        <w:b/>
        <w:bCs/>
        <w:spacing w:val="-13"/>
        <w:w w:val="110"/>
        <w:sz w:val="20"/>
        <w:szCs w:val="20"/>
      </w:rPr>
    </w:lvl>
    <w:lvl w:ilvl="1">
      <w:start w:val="1"/>
      <w:numFmt w:val="lowerLetter"/>
      <w:lvlText w:val="%2)"/>
      <w:lvlJc w:val="left"/>
      <w:pPr>
        <w:ind w:left="3118" w:hanging="541"/>
        <w:jc w:val="left"/>
      </w:pPr>
      <w:rPr>
        <w:rFonts w:hint="default" w:ascii="Calibri" w:hAnsi="Calibri" w:eastAsia="Calibri" w:cs="Calibri"/>
        <w:spacing w:val="-13"/>
        <w:w w:val="113"/>
        <w:sz w:val="20"/>
        <w:szCs w:val="20"/>
      </w:rPr>
    </w:lvl>
    <w:lvl w:ilvl="2">
      <w:start w:val="0"/>
      <w:numFmt w:val="bullet"/>
      <w:lvlText w:val="•"/>
      <w:lvlJc w:val="left"/>
      <w:pPr>
        <w:ind w:left="4096" w:hanging="541"/>
      </w:pPr>
      <w:rPr>
        <w:rFonts w:hint="default"/>
      </w:rPr>
    </w:lvl>
    <w:lvl w:ilvl="3">
      <w:start w:val="0"/>
      <w:numFmt w:val="bullet"/>
      <w:lvlText w:val="•"/>
      <w:lvlJc w:val="left"/>
      <w:pPr>
        <w:ind w:left="5072" w:hanging="541"/>
      </w:pPr>
      <w:rPr>
        <w:rFonts w:hint="default"/>
      </w:rPr>
    </w:lvl>
    <w:lvl w:ilvl="4">
      <w:start w:val="0"/>
      <w:numFmt w:val="bullet"/>
      <w:lvlText w:val="•"/>
      <w:lvlJc w:val="left"/>
      <w:pPr>
        <w:ind w:left="6048" w:hanging="541"/>
      </w:pPr>
      <w:rPr>
        <w:rFonts w:hint="default"/>
      </w:rPr>
    </w:lvl>
    <w:lvl w:ilvl="5">
      <w:start w:val="0"/>
      <w:numFmt w:val="bullet"/>
      <w:lvlText w:val="•"/>
      <w:lvlJc w:val="left"/>
      <w:pPr>
        <w:ind w:left="7024" w:hanging="541"/>
      </w:pPr>
      <w:rPr>
        <w:rFonts w:hint="default"/>
      </w:rPr>
    </w:lvl>
    <w:lvl w:ilvl="6">
      <w:start w:val="0"/>
      <w:numFmt w:val="bullet"/>
      <w:lvlText w:val="•"/>
      <w:lvlJc w:val="left"/>
      <w:pPr>
        <w:ind w:left="8000" w:hanging="541"/>
      </w:pPr>
      <w:rPr>
        <w:rFonts w:hint="default"/>
      </w:rPr>
    </w:lvl>
    <w:lvl w:ilvl="7">
      <w:start w:val="0"/>
      <w:numFmt w:val="bullet"/>
      <w:lvlText w:val="•"/>
      <w:lvlJc w:val="left"/>
      <w:pPr>
        <w:ind w:left="8977" w:hanging="541"/>
      </w:pPr>
      <w:rPr>
        <w:rFonts w:hint="default"/>
      </w:rPr>
    </w:lvl>
    <w:lvl w:ilvl="8">
      <w:start w:val="0"/>
      <w:numFmt w:val="bullet"/>
      <w:lvlText w:val="•"/>
      <w:lvlJc w:val="left"/>
      <w:pPr>
        <w:ind w:left="9953" w:hanging="541"/>
      </w:pPr>
      <w:rPr>
        <w:rFonts w:hint="default"/>
      </w:rPr>
    </w:lvl>
  </w:abstractNum>
  <w:abstractNum w:abstractNumId="157">
    <w:multiLevelType w:val="hybridMultilevel"/>
    <w:lvl w:ilvl="0">
      <w:start w:val="1"/>
      <w:numFmt w:val="decimal"/>
      <w:lvlText w:val="%1."/>
      <w:lvlJc w:val="left"/>
      <w:pPr>
        <w:ind w:left="2664" w:hanging="681"/>
        <w:jc w:val="left"/>
      </w:pPr>
      <w:rPr>
        <w:rFonts w:hint="default"/>
        <w:spacing w:val="-13"/>
        <w:w w:val="125"/>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56">
    <w:multiLevelType w:val="hybridMultilevel"/>
    <w:lvl w:ilvl="0">
      <w:start w:val="0"/>
      <w:numFmt w:val="bullet"/>
      <w:lvlText w:val=""/>
      <w:lvlJc w:val="left"/>
      <w:pPr>
        <w:ind w:left="1814" w:hanging="681"/>
      </w:pPr>
      <w:rPr>
        <w:rFonts w:hint="default" w:ascii="Wingdings" w:hAnsi="Wingdings" w:eastAsia="Wingdings" w:cs="Wingdings"/>
        <w:w w:val="110"/>
        <w:position w:val="-3"/>
        <w:sz w:val="29"/>
        <w:szCs w:val="29"/>
      </w:rPr>
    </w:lvl>
    <w:lvl w:ilvl="1">
      <w:start w:val="0"/>
      <w:numFmt w:val="bullet"/>
      <w:lvlText w:val=""/>
      <w:lvlJc w:val="left"/>
      <w:pPr>
        <w:ind w:left="2664" w:hanging="681"/>
      </w:pPr>
      <w:rPr>
        <w:rFonts w:hint="default" w:ascii="Wingdings" w:hAnsi="Wingdings" w:eastAsia="Wingdings" w:cs="Wingdings"/>
        <w:w w:val="110"/>
        <w:position w:val="-3"/>
        <w:sz w:val="29"/>
        <w:szCs w:val="29"/>
      </w:rPr>
    </w:lvl>
    <w:lvl w:ilvl="2">
      <w:start w:val="0"/>
      <w:numFmt w:val="bullet"/>
      <w:lvlText w:val="•"/>
      <w:lvlJc w:val="left"/>
      <w:pPr>
        <w:ind w:left="3687" w:hanging="681"/>
      </w:pPr>
      <w:rPr>
        <w:rFonts w:hint="default"/>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155">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53">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52">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50">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49">
    <w:multiLevelType w:val="hybridMultilevel"/>
    <w:lvl w:ilvl="0">
      <w:start w:val="1"/>
      <w:numFmt w:val="lowerRoman"/>
      <w:lvlText w:val="%1)"/>
      <w:lvlJc w:val="left"/>
      <w:pPr>
        <w:ind w:left="2664" w:hanging="681"/>
        <w:jc w:val="left"/>
      </w:pPr>
      <w:rPr>
        <w:rFonts w:hint="default" w:ascii="Calibri" w:hAnsi="Calibri" w:eastAsia="Calibri" w:cs="Calibri"/>
        <w:w w:val="122"/>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48">
    <w:multiLevelType w:val="hybridMultilevel"/>
    <w:lvl w:ilvl="0">
      <w:start w:val="1"/>
      <w:numFmt w:val="decimal"/>
      <w:lvlText w:val="%1"/>
      <w:lvlJc w:val="left"/>
      <w:pPr>
        <w:ind w:left="1984" w:hanging="681"/>
        <w:jc w:val="right"/>
      </w:pPr>
      <w:rPr>
        <w:rFonts w:hint="default" w:ascii="Calibri" w:hAnsi="Calibri" w:eastAsia="Calibri" w:cs="Calibri"/>
        <w:w w:val="125"/>
        <w:sz w:val="20"/>
        <w:szCs w:val="20"/>
      </w:rPr>
    </w:lvl>
    <w:lvl w:ilvl="1">
      <w:start w:val="1"/>
      <w:numFmt w:val="decimal"/>
      <w:lvlText w:val="%2"/>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2">
      <w:start w:val="1"/>
      <w:numFmt w:val="decimal"/>
      <w:lvlText w:val="%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2220" w:hanging="681"/>
      </w:pPr>
      <w:rPr>
        <w:rFonts w:hint="default"/>
      </w:rPr>
    </w:lvl>
    <w:lvl w:ilvl="4">
      <w:start w:val="0"/>
      <w:numFmt w:val="bullet"/>
      <w:lvlText w:val="•"/>
      <w:lvlJc w:val="left"/>
      <w:pPr>
        <w:ind w:left="2660" w:hanging="681"/>
      </w:pPr>
      <w:rPr>
        <w:rFonts w:hint="default"/>
      </w:rPr>
    </w:lvl>
    <w:lvl w:ilvl="5">
      <w:start w:val="0"/>
      <w:numFmt w:val="bullet"/>
      <w:lvlText w:val="•"/>
      <w:lvlJc w:val="left"/>
      <w:pPr>
        <w:ind w:left="2700" w:hanging="681"/>
      </w:pPr>
      <w:rPr>
        <w:rFonts w:hint="default"/>
      </w:rPr>
    </w:lvl>
    <w:lvl w:ilvl="6">
      <w:start w:val="0"/>
      <w:numFmt w:val="bullet"/>
      <w:lvlText w:val="•"/>
      <w:lvlJc w:val="left"/>
      <w:pPr>
        <w:ind w:left="4541" w:hanging="681"/>
      </w:pPr>
      <w:rPr>
        <w:rFonts w:hint="default"/>
      </w:rPr>
    </w:lvl>
    <w:lvl w:ilvl="7">
      <w:start w:val="0"/>
      <w:numFmt w:val="bullet"/>
      <w:lvlText w:val="•"/>
      <w:lvlJc w:val="left"/>
      <w:pPr>
        <w:ind w:left="6382" w:hanging="681"/>
      </w:pPr>
      <w:rPr>
        <w:rFonts w:hint="default"/>
      </w:rPr>
    </w:lvl>
    <w:lvl w:ilvl="8">
      <w:start w:val="0"/>
      <w:numFmt w:val="bullet"/>
      <w:lvlText w:val="•"/>
      <w:lvlJc w:val="left"/>
      <w:pPr>
        <w:ind w:left="8223" w:hanging="681"/>
      </w:pPr>
      <w:rPr>
        <w:rFonts w:hint="default"/>
      </w:rPr>
    </w:lvl>
  </w:abstractNum>
  <w:abstractNum w:abstractNumId="147">
    <w:multiLevelType w:val="hybridMultilevel"/>
    <w:lvl w:ilvl="0">
      <w:start w:val="1"/>
      <w:numFmt w:val="decimal"/>
      <w:lvlText w:val="%1"/>
      <w:lvlJc w:val="left"/>
      <w:pPr>
        <w:ind w:left="1814" w:hanging="681"/>
        <w:jc w:val="right"/>
      </w:pPr>
      <w:rPr>
        <w:rFonts w:hint="default" w:ascii="Stone Sans II ITC Std Bk" w:hAnsi="Stone Sans II ITC Std Bk" w:eastAsia="Stone Sans II ITC Std Bk" w:cs="Stone Sans II ITC Std Bk"/>
        <w:b/>
        <w:bCs/>
        <w:color w:val="CA4F1B"/>
        <w:w w:val="110"/>
        <w:sz w:val="29"/>
        <w:szCs w:val="29"/>
      </w:rPr>
    </w:lvl>
    <w:lvl w:ilvl="1">
      <w:start w:val="1"/>
      <w:numFmt w:val="decimal"/>
      <w:lvlText w:val="%1.%2"/>
      <w:lvlJc w:val="left"/>
      <w:pPr>
        <w:ind w:left="1984" w:hanging="681"/>
        <w:jc w:val="right"/>
      </w:pPr>
      <w:rPr>
        <w:rFonts w:hint="default" w:ascii="Stone Sans II ITC Std Bk" w:hAnsi="Stone Sans II ITC Std Bk" w:eastAsia="Stone Sans II ITC Std Bk" w:cs="Stone Sans II ITC Std Bk"/>
        <w:b/>
        <w:bCs/>
        <w:spacing w:val="-18"/>
        <w:w w:val="110"/>
        <w:sz w:val="20"/>
        <w:szCs w:val="20"/>
      </w:rPr>
    </w:lvl>
    <w:lvl w:ilvl="2">
      <w:start w:val="1"/>
      <w:numFmt w:val="decimal"/>
      <w:lvlText w:val="%1.%2.%3"/>
      <w:lvlJc w:val="left"/>
      <w:pPr>
        <w:ind w:left="1853" w:hanging="721"/>
        <w:jc w:val="left"/>
      </w:pPr>
      <w:rPr>
        <w:rFonts w:hint="default" w:ascii="Stone Sans II ITC Std Bk" w:hAnsi="Stone Sans II ITC Std Bk" w:eastAsia="Stone Sans II ITC Std Bk" w:cs="Stone Sans II ITC Std Bk"/>
        <w:b/>
        <w:bCs/>
        <w:spacing w:val="-18"/>
        <w:w w:val="110"/>
        <w:sz w:val="20"/>
        <w:szCs w:val="20"/>
      </w:rPr>
    </w:lvl>
    <w:lvl w:ilvl="3">
      <w:start w:val="0"/>
      <w:numFmt w:val="bullet"/>
      <w:lvlText w:val="•"/>
      <w:lvlJc w:val="left"/>
      <w:pPr>
        <w:ind w:left="2040" w:hanging="721"/>
      </w:pPr>
      <w:rPr>
        <w:rFonts w:hint="default"/>
      </w:rPr>
    </w:lvl>
    <w:lvl w:ilvl="4">
      <w:start w:val="0"/>
      <w:numFmt w:val="bullet"/>
      <w:lvlText w:val="•"/>
      <w:lvlJc w:val="left"/>
      <w:pPr>
        <w:ind w:left="2660" w:hanging="721"/>
      </w:pPr>
      <w:rPr>
        <w:rFonts w:hint="default"/>
      </w:rPr>
    </w:lvl>
    <w:lvl w:ilvl="5">
      <w:start w:val="0"/>
      <w:numFmt w:val="bullet"/>
      <w:lvlText w:val="•"/>
      <w:lvlJc w:val="left"/>
      <w:pPr>
        <w:ind w:left="2900" w:hanging="721"/>
      </w:pPr>
      <w:rPr>
        <w:rFonts w:hint="default"/>
      </w:rPr>
    </w:lvl>
    <w:lvl w:ilvl="6">
      <w:start w:val="0"/>
      <w:numFmt w:val="bullet"/>
      <w:lvlText w:val="•"/>
      <w:lvlJc w:val="left"/>
      <w:pPr>
        <w:ind w:left="4701" w:hanging="721"/>
      </w:pPr>
      <w:rPr>
        <w:rFonts w:hint="default"/>
      </w:rPr>
    </w:lvl>
    <w:lvl w:ilvl="7">
      <w:start w:val="0"/>
      <w:numFmt w:val="bullet"/>
      <w:lvlText w:val="•"/>
      <w:lvlJc w:val="left"/>
      <w:pPr>
        <w:ind w:left="6502" w:hanging="721"/>
      </w:pPr>
      <w:rPr>
        <w:rFonts w:hint="default"/>
      </w:rPr>
    </w:lvl>
    <w:lvl w:ilvl="8">
      <w:start w:val="0"/>
      <w:numFmt w:val="bullet"/>
      <w:lvlText w:val="•"/>
      <w:lvlJc w:val="left"/>
      <w:pPr>
        <w:ind w:left="8303" w:hanging="721"/>
      </w:pPr>
      <w:rPr>
        <w:rFonts w:hint="default"/>
      </w:rPr>
    </w:lvl>
  </w:abstractNum>
  <w:abstractNum w:abstractNumId="146">
    <w:multiLevelType w:val="hybridMultilevel"/>
    <w:lvl w:ilvl="0">
      <w:start w:val="1"/>
      <w:numFmt w:val="decimal"/>
      <w:lvlText w:val="%1."/>
      <w:lvlJc w:val="left"/>
      <w:pPr>
        <w:ind w:left="1814" w:hanging="681"/>
        <w:jc w:val="left"/>
      </w:pPr>
      <w:rPr>
        <w:rFonts w:hint="default" w:ascii="Calibri" w:hAnsi="Calibri" w:eastAsia="Calibri" w:cs="Calibri"/>
        <w:spacing w:val="-13"/>
        <w:w w:val="125"/>
        <w:sz w:val="20"/>
        <w:szCs w:val="20"/>
      </w:rPr>
    </w:lvl>
    <w:lvl w:ilvl="1">
      <w:start w:val="1"/>
      <w:numFmt w:val="decimal"/>
      <w:lvlText w:val="(%2)"/>
      <w:lvlJc w:val="left"/>
      <w:pPr>
        <w:ind w:left="1814" w:hanging="316"/>
        <w:jc w:val="left"/>
      </w:pPr>
      <w:rPr>
        <w:rFonts w:hint="default" w:ascii="Calibri" w:hAnsi="Calibri" w:eastAsia="Calibri" w:cs="Calibri"/>
        <w:spacing w:val="-20"/>
        <w:w w:val="122"/>
        <w:sz w:val="20"/>
        <w:szCs w:val="20"/>
      </w:rPr>
    </w:lvl>
    <w:lvl w:ilvl="2">
      <w:start w:val="0"/>
      <w:numFmt w:val="bullet"/>
      <w:lvlText w:val="•"/>
      <w:lvlJc w:val="left"/>
      <w:pPr>
        <w:ind w:left="3616" w:hanging="316"/>
      </w:pPr>
      <w:rPr>
        <w:rFonts w:hint="default"/>
      </w:rPr>
    </w:lvl>
    <w:lvl w:ilvl="3">
      <w:start w:val="0"/>
      <w:numFmt w:val="bullet"/>
      <w:lvlText w:val="•"/>
      <w:lvlJc w:val="left"/>
      <w:pPr>
        <w:ind w:left="4652" w:hanging="316"/>
      </w:pPr>
      <w:rPr>
        <w:rFonts w:hint="default"/>
      </w:rPr>
    </w:lvl>
    <w:lvl w:ilvl="4">
      <w:start w:val="0"/>
      <w:numFmt w:val="bullet"/>
      <w:lvlText w:val="•"/>
      <w:lvlJc w:val="left"/>
      <w:pPr>
        <w:ind w:left="5688" w:hanging="316"/>
      </w:pPr>
      <w:rPr>
        <w:rFonts w:hint="default"/>
      </w:rPr>
    </w:lvl>
    <w:lvl w:ilvl="5">
      <w:start w:val="0"/>
      <w:numFmt w:val="bullet"/>
      <w:lvlText w:val="•"/>
      <w:lvlJc w:val="left"/>
      <w:pPr>
        <w:ind w:left="6724" w:hanging="316"/>
      </w:pPr>
      <w:rPr>
        <w:rFonts w:hint="default"/>
      </w:rPr>
    </w:lvl>
    <w:lvl w:ilvl="6">
      <w:start w:val="0"/>
      <w:numFmt w:val="bullet"/>
      <w:lvlText w:val="•"/>
      <w:lvlJc w:val="left"/>
      <w:pPr>
        <w:ind w:left="7760" w:hanging="316"/>
      </w:pPr>
      <w:rPr>
        <w:rFonts w:hint="default"/>
      </w:rPr>
    </w:lvl>
    <w:lvl w:ilvl="7">
      <w:start w:val="0"/>
      <w:numFmt w:val="bullet"/>
      <w:lvlText w:val="•"/>
      <w:lvlJc w:val="left"/>
      <w:pPr>
        <w:ind w:left="8797" w:hanging="316"/>
      </w:pPr>
      <w:rPr>
        <w:rFonts w:hint="default"/>
      </w:rPr>
    </w:lvl>
    <w:lvl w:ilvl="8">
      <w:start w:val="0"/>
      <w:numFmt w:val="bullet"/>
      <w:lvlText w:val="•"/>
      <w:lvlJc w:val="left"/>
      <w:pPr>
        <w:ind w:left="9833" w:hanging="316"/>
      </w:pPr>
      <w:rPr>
        <w:rFonts w:hint="default"/>
      </w:rPr>
    </w:lvl>
  </w:abstractNum>
  <w:abstractNum w:abstractNumId="145">
    <w:multiLevelType w:val="hybridMultilevel"/>
    <w:lvl w:ilvl="0">
      <w:start w:val="1"/>
      <w:numFmt w:val="lowerRoman"/>
      <w:lvlText w:val="%1)"/>
      <w:lvlJc w:val="left"/>
      <w:pPr>
        <w:ind w:left="2664" w:hanging="681"/>
        <w:jc w:val="left"/>
      </w:pPr>
      <w:rPr>
        <w:rFonts w:hint="default" w:ascii="Calibri" w:hAnsi="Calibri" w:eastAsia="Calibri" w:cs="Calibri"/>
        <w:spacing w:val="-4"/>
        <w:w w:val="122"/>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44">
    <w:multiLevelType w:val="hybridMultilevel"/>
    <w:lvl w:ilvl="0">
      <w:start w:val="1"/>
      <w:numFmt w:val="lowerLetter"/>
      <w:lvlText w:val="(%1)"/>
      <w:lvlJc w:val="left"/>
      <w:pPr>
        <w:ind w:left="1814" w:hanging="681"/>
        <w:jc w:val="left"/>
      </w:pPr>
      <w:rPr>
        <w:rFonts w:hint="default" w:ascii="Calibri" w:hAnsi="Calibri" w:eastAsia="Calibri" w:cs="Calibri"/>
        <w:spacing w:val="-18"/>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43">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710"/>
        <w:jc w:val="right"/>
      </w:pPr>
      <w:rPr>
        <w:rFonts w:hint="default" w:ascii="Calibri" w:hAnsi="Calibri" w:eastAsia="Calibri" w:cs="Calibri"/>
        <w:spacing w:val="-18"/>
        <w:w w:val="125"/>
        <w:sz w:val="20"/>
        <w:szCs w:val="20"/>
      </w:rPr>
    </w:lvl>
    <w:lvl w:ilvl="2">
      <w:start w:val="0"/>
      <w:numFmt w:val="bullet"/>
      <w:lvlText w:val=""/>
      <w:lvlJc w:val="left"/>
      <w:pPr>
        <w:ind w:left="2664" w:hanging="681"/>
      </w:pPr>
      <w:rPr>
        <w:rFonts w:hint="default" w:ascii="Wingdings" w:hAnsi="Wingdings" w:eastAsia="Wingdings" w:cs="Wingdings"/>
        <w:w w:val="110"/>
        <w:position w:val="-3"/>
        <w:sz w:val="29"/>
        <w:szCs w:val="29"/>
      </w:rPr>
    </w:lvl>
    <w:lvl w:ilvl="3">
      <w:start w:val="0"/>
      <w:numFmt w:val="bullet"/>
      <w:lvlText w:val="•"/>
      <w:lvlJc w:val="left"/>
      <w:pPr>
        <w:ind w:left="2700" w:hanging="681"/>
      </w:pPr>
      <w:rPr>
        <w:rFonts w:hint="default"/>
      </w:rPr>
    </w:lvl>
    <w:lvl w:ilvl="4">
      <w:start w:val="0"/>
      <w:numFmt w:val="bullet"/>
      <w:lvlText w:val="•"/>
      <w:lvlJc w:val="left"/>
      <w:pPr>
        <w:ind w:left="4015" w:hanging="681"/>
      </w:pPr>
      <w:rPr>
        <w:rFonts w:hint="default"/>
      </w:rPr>
    </w:lvl>
    <w:lvl w:ilvl="5">
      <w:start w:val="0"/>
      <w:numFmt w:val="bullet"/>
      <w:lvlText w:val="•"/>
      <w:lvlJc w:val="left"/>
      <w:pPr>
        <w:ind w:left="5330" w:hanging="681"/>
      </w:pPr>
      <w:rPr>
        <w:rFonts w:hint="default"/>
      </w:rPr>
    </w:lvl>
    <w:lvl w:ilvl="6">
      <w:start w:val="0"/>
      <w:numFmt w:val="bullet"/>
      <w:lvlText w:val="•"/>
      <w:lvlJc w:val="left"/>
      <w:pPr>
        <w:ind w:left="6645" w:hanging="681"/>
      </w:pPr>
      <w:rPr>
        <w:rFonts w:hint="default"/>
      </w:rPr>
    </w:lvl>
    <w:lvl w:ilvl="7">
      <w:start w:val="0"/>
      <w:numFmt w:val="bullet"/>
      <w:lvlText w:val="•"/>
      <w:lvlJc w:val="left"/>
      <w:pPr>
        <w:ind w:left="7960" w:hanging="681"/>
      </w:pPr>
      <w:rPr>
        <w:rFonts w:hint="default"/>
      </w:rPr>
    </w:lvl>
    <w:lvl w:ilvl="8">
      <w:start w:val="0"/>
      <w:numFmt w:val="bullet"/>
      <w:lvlText w:val="•"/>
      <w:lvlJc w:val="left"/>
      <w:pPr>
        <w:ind w:left="9275" w:hanging="681"/>
      </w:pPr>
      <w:rPr>
        <w:rFonts w:hint="default"/>
      </w:rPr>
    </w:lvl>
  </w:abstractNum>
  <w:abstractNum w:abstractNumId="142">
    <w:multiLevelType w:val="hybridMultilevel"/>
    <w:lvl w:ilvl="0">
      <w:start w:val="1"/>
      <w:numFmt w:val="decimal"/>
      <w:lvlText w:val="%1"/>
      <w:lvlJc w:val="left"/>
      <w:pPr>
        <w:ind w:left="272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2004" w:hanging="681"/>
        <w:jc w:val="left"/>
      </w:pPr>
      <w:rPr>
        <w:rFonts w:hint="default" w:ascii="Calibri" w:hAnsi="Calibri" w:eastAsia="Calibri" w:cs="Calibri"/>
        <w:spacing w:val="-18"/>
        <w:w w:val="125"/>
        <w:sz w:val="20"/>
        <w:szCs w:val="20"/>
      </w:rPr>
    </w:lvl>
    <w:lvl w:ilvl="2">
      <w:start w:val="1"/>
      <w:numFmt w:val="decimal"/>
      <w:lvlText w:val="%1.%2.%3"/>
      <w:lvlJc w:val="left"/>
      <w:pPr>
        <w:ind w:left="1133" w:hanging="681"/>
        <w:jc w:val="right"/>
      </w:pPr>
      <w:rPr>
        <w:rFonts w:hint="default" w:ascii="Calibri" w:hAnsi="Calibri" w:eastAsia="Calibri" w:cs="Calibri"/>
        <w:spacing w:val="-18"/>
        <w:w w:val="125"/>
        <w:sz w:val="20"/>
        <w:szCs w:val="20"/>
      </w:rPr>
    </w:lvl>
    <w:lvl w:ilvl="3">
      <w:start w:val="1"/>
      <w:numFmt w:val="decimal"/>
      <w:lvlText w:val="%4."/>
      <w:lvlJc w:val="left"/>
      <w:pPr>
        <w:ind w:left="2573" w:hanging="760"/>
        <w:jc w:val="left"/>
      </w:pPr>
      <w:rPr>
        <w:rFonts w:hint="default" w:ascii="Calibri" w:hAnsi="Calibri" w:eastAsia="Calibri" w:cs="Calibri"/>
        <w:i/>
        <w:spacing w:val="-15"/>
        <w:w w:val="115"/>
        <w:sz w:val="20"/>
        <w:szCs w:val="20"/>
      </w:rPr>
    </w:lvl>
    <w:lvl w:ilvl="4">
      <w:start w:val="0"/>
      <w:numFmt w:val="bullet"/>
      <w:lvlText w:val="•"/>
      <w:lvlJc w:val="left"/>
      <w:pPr>
        <w:ind w:left="2580" w:hanging="760"/>
      </w:pPr>
      <w:rPr>
        <w:rFonts w:hint="default"/>
      </w:rPr>
    </w:lvl>
    <w:lvl w:ilvl="5">
      <w:start w:val="0"/>
      <w:numFmt w:val="bullet"/>
      <w:lvlText w:val="•"/>
      <w:lvlJc w:val="left"/>
      <w:pPr>
        <w:ind w:left="2720" w:hanging="760"/>
      </w:pPr>
      <w:rPr>
        <w:rFonts w:hint="default"/>
      </w:rPr>
    </w:lvl>
    <w:lvl w:ilvl="6">
      <w:start w:val="0"/>
      <w:numFmt w:val="bullet"/>
      <w:lvlText w:val="•"/>
      <w:lvlJc w:val="left"/>
      <w:pPr>
        <w:ind w:left="4557" w:hanging="760"/>
      </w:pPr>
      <w:rPr>
        <w:rFonts w:hint="default"/>
      </w:rPr>
    </w:lvl>
    <w:lvl w:ilvl="7">
      <w:start w:val="0"/>
      <w:numFmt w:val="bullet"/>
      <w:lvlText w:val="•"/>
      <w:lvlJc w:val="left"/>
      <w:pPr>
        <w:ind w:left="6394" w:hanging="760"/>
      </w:pPr>
      <w:rPr>
        <w:rFonts w:hint="default"/>
      </w:rPr>
    </w:lvl>
    <w:lvl w:ilvl="8">
      <w:start w:val="0"/>
      <w:numFmt w:val="bullet"/>
      <w:lvlText w:val="•"/>
      <w:lvlJc w:val="left"/>
      <w:pPr>
        <w:ind w:left="8231" w:hanging="760"/>
      </w:pPr>
      <w:rPr>
        <w:rFonts w:hint="default"/>
      </w:rPr>
    </w:lvl>
  </w:abstractNum>
  <w:abstractNum w:abstractNumId="141">
    <w:multiLevelType w:val="hybridMultilevel"/>
    <w:lvl w:ilvl="0">
      <w:start w:val="1"/>
      <w:numFmt w:val="decimal"/>
      <w:lvlText w:val="%1"/>
      <w:lvlJc w:val="left"/>
      <w:pPr>
        <w:ind w:left="1853"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133" w:hanging="681"/>
        <w:jc w:val="left"/>
      </w:pPr>
      <w:rPr>
        <w:rFonts w:hint="default" w:ascii="Calibri" w:hAnsi="Calibri" w:eastAsia="Calibri" w:cs="Calibri"/>
        <w:spacing w:val="-18"/>
        <w:w w:val="125"/>
        <w:sz w:val="20"/>
        <w:szCs w:val="20"/>
      </w:rPr>
    </w:lvl>
    <w:lvl w:ilvl="2">
      <w:start w:val="0"/>
      <w:numFmt w:val="bullet"/>
      <w:lvlText w:val="•"/>
      <w:lvlJc w:val="left"/>
      <w:pPr>
        <w:ind w:left="1980" w:hanging="681"/>
      </w:pPr>
      <w:rPr>
        <w:rFonts w:hint="default"/>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140">
    <w:multiLevelType w:val="hybridMultilevel"/>
    <w:lvl w:ilvl="0">
      <w:start w:val="1"/>
      <w:numFmt w:val="decimal"/>
      <w:lvlText w:val="%1"/>
      <w:lvlJc w:val="left"/>
      <w:pPr>
        <w:ind w:left="1133" w:hanging="681"/>
        <w:jc w:val="left"/>
      </w:pPr>
      <w:rPr>
        <w:rFonts w:hint="default" w:ascii="Calibri" w:hAnsi="Calibri" w:eastAsia="Calibri" w:cs="Calibri"/>
        <w:w w:val="125"/>
        <w:sz w:val="20"/>
        <w:szCs w:val="20"/>
      </w:rPr>
    </w:lvl>
    <w:lvl w:ilvl="1">
      <w:start w:val="1"/>
      <w:numFmt w:val="decimal"/>
      <w:lvlText w:val="%2"/>
      <w:lvlJc w:val="left"/>
      <w:pPr>
        <w:ind w:left="2704" w:hanging="720"/>
        <w:jc w:val="left"/>
      </w:pPr>
      <w:rPr>
        <w:rFonts w:hint="default" w:ascii="Stone Sans II ITC Std Bk" w:hAnsi="Stone Sans II ITC Std Bk" w:eastAsia="Stone Sans II ITC Std Bk" w:cs="Stone Sans II ITC Std Bk"/>
        <w:b/>
        <w:bCs/>
        <w:w w:val="114"/>
        <w:sz w:val="21"/>
        <w:szCs w:val="21"/>
      </w:rPr>
    </w:lvl>
    <w:lvl w:ilvl="2">
      <w:start w:val="0"/>
      <w:numFmt w:val="bullet"/>
      <w:lvlText w:val="•"/>
      <w:lvlJc w:val="left"/>
      <w:pPr>
        <w:ind w:left="3722" w:hanging="720"/>
      </w:pPr>
      <w:rPr>
        <w:rFonts w:hint="default"/>
      </w:rPr>
    </w:lvl>
    <w:lvl w:ilvl="3">
      <w:start w:val="0"/>
      <w:numFmt w:val="bullet"/>
      <w:lvlText w:val="•"/>
      <w:lvlJc w:val="left"/>
      <w:pPr>
        <w:ind w:left="4745" w:hanging="720"/>
      </w:pPr>
      <w:rPr>
        <w:rFonts w:hint="default"/>
      </w:rPr>
    </w:lvl>
    <w:lvl w:ilvl="4">
      <w:start w:val="0"/>
      <w:numFmt w:val="bullet"/>
      <w:lvlText w:val="•"/>
      <w:lvlJc w:val="left"/>
      <w:pPr>
        <w:ind w:left="5768" w:hanging="720"/>
      </w:pPr>
      <w:rPr>
        <w:rFonts w:hint="default"/>
      </w:rPr>
    </w:lvl>
    <w:lvl w:ilvl="5">
      <w:start w:val="0"/>
      <w:numFmt w:val="bullet"/>
      <w:lvlText w:val="•"/>
      <w:lvlJc w:val="left"/>
      <w:pPr>
        <w:ind w:left="6791" w:hanging="720"/>
      </w:pPr>
      <w:rPr>
        <w:rFonts w:hint="default"/>
      </w:rPr>
    </w:lvl>
    <w:lvl w:ilvl="6">
      <w:start w:val="0"/>
      <w:numFmt w:val="bullet"/>
      <w:lvlText w:val="•"/>
      <w:lvlJc w:val="left"/>
      <w:pPr>
        <w:ind w:left="7814" w:hanging="720"/>
      </w:pPr>
      <w:rPr>
        <w:rFonts w:hint="default"/>
      </w:rPr>
    </w:lvl>
    <w:lvl w:ilvl="7">
      <w:start w:val="0"/>
      <w:numFmt w:val="bullet"/>
      <w:lvlText w:val="•"/>
      <w:lvlJc w:val="left"/>
      <w:pPr>
        <w:ind w:left="8837" w:hanging="720"/>
      </w:pPr>
      <w:rPr>
        <w:rFonts w:hint="default"/>
      </w:rPr>
    </w:lvl>
    <w:lvl w:ilvl="8">
      <w:start w:val="0"/>
      <w:numFmt w:val="bullet"/>
      <w:lvlText w:val="•"/>
      <w:lvlJc w:val="left"/>
      <w:pPr>
        <w:ind w:left="9859" w:hanging="720"/>
      </w:pPr>
      <w:rPr>
        <w:rFonts w:hint="default"/>
      </w:rPr>
    </w:lvl>
  </w:abstractNum>
  <w:abstractNum w:abstractNumId="138">
    <w:multiLevelType w:val="hybridMultilevel"/>
    <w:lvl w:ilvl="0">
      <w:start w:val="1"/>
      <w:numFmt w:val="decimal"/>
      <w:lvlText w:val="%1"/>
      <w:lvlJc w:val="left"/>
      <w:pPr>
        <w:ind w:left="1853" w:hanging="720"/>
        <w:jc w:val="lef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133" w:hanging="681"/>
        <w:jc w:val="left"/>
      </w:pPr>
      <w:rPr>
        <w:rFonts w:hint="default" w:ascii="Calibri" w:hAnsi="Calibri" w:eastAsia="Calibri" w:cs="Calibri"/>
        <w:spacing w:val="-18"/>
        <w:w w:val="125"/>
        <w:sz w:val="20"/>
        <w:szCs w:val="20"/>
      </w:rPr>
    </w:lvl>
    <w:lvl w:ilvl="2">
      <w:start w:val="0"/>
      <w:numFmt w:val="bullet"/>
      <w:lvlText w:val="•"/>
      <w:lvlJc w:val="left"/>
      <w:pPr>
        <w:ind w:left="2976" w:hanging="681"/>
      </w:pPr>
      <w:rPr>
        <w:rFonts w:hint="default"/>
      </w:rPr>
    </w:lvl>
    <w:lvl w:ilvl="3">
      <w:start w:val="0"/>
      <w:numFmt w:val="bullet"/>
      <w:lvlText w:val="•"/>
      <w:lvlJc w:val="left"/>
      <w:pPr>
        <w:ind w:left="4092" w:hanging="681"/>
      </w:pPr>
      <w:rPr>
        <w:rFonts w:hint="default"/>
      </w:rPr>
    </w:lvl>
    <w:lvl w:ilvl="4">
      <w:start w:val="0"/>
      <w:numFmt w:val="bullet"/>
      <w:lvlText w:val="•"/>
      <w:lvlJc w:val="left"/>
      <w:pPr>
        <w:ind w:left="5208" w:hanging="681"/>
      </w:pPr>
      <w:rPr>
        <w:rFonts w:hint="default"/>
      </w:rPr>
    </w:lvl>
    <w:lvl w:ilvl="5">
      <w:start w:val="0"/>
      <w:numFmt w:val="bullet"/>
      <w:lvlText w:val="•"/>
      <w:lvlJc w:val="left"/>
      <w:pPr>
        <w:ind w:left="6324" w:hanging="681"/>
      </w:pPr>
      <w:rPr>
        <w:rFonts w:hint="default"/>
      </w:rPr>
    </w:lvl>
    <w:lvl w:ilvl="6">
      <w:start w:val="0"/>
      <w:numFmt w:val="bullet"/>
      <w:lvlText w:val="•"/>
      <w:lvlJc w:val="left"/>
      <w:pPr>
        <w:ind w:left="7440" w:hanging="681"/>
      </w:pPr>
      <w:rPr>
        <w:rFonts w:hint="default"/>
      </w:rPr>
    </w:lvl>
    <w:lvl w:ilvl="7">
      <w:start w:val="0"/>
      <w:numFmt w:val="bullet"/>
      <w:lvlText w:val="•"/>
      <w:lvlJc w:val="left"/>
      <w:pPr>
        <w:ind w:left="8557" w:hanging="681"/>
      </w:pPr>
      <w:rPr>
        <w:rFonts w:hint="default"/>
      </w:rPr>
    </w:lvl>
    <w:lvl w:ilvl="8">
      <w:start w:val="0"/>
      <w:numFmt w:val="bullet"/>
      <w:lvlText w:val="•"/>
      <w:lvlJc w:val="left"/>
      <w:pPr>
        <w:ind w:left="9673" w:hanging="681"/>
      </w:pPr>
      <w:rPr>
        <w:rFonts w:hint="default"/>
      </w:rPr>
    </w:lvl>
  </w:abstractNum>
  <w:abstractNum w:abstractNumId="137">
    <w:multiLevelType w:val="hybridMultilevel"/>
    <w:lvl w:ilvl="0">
      <w:start w:val="4"/>
      <w:numFmt w:val="decimal"/>
      <w:lvlText w:val="%1"/>
      <w:lvlJc w:val="left"/>
      <w:pPr>
        <w:ind w:left="1133" w:hanging="681"/>
        <w:jc w:val="left"/>
      </w:pPr>
      <w:rPr>
        <w:rFonts w:hint="default"/>
      </w:rPr>
    </w:lvl>
    <w:lvl w:ilvl="1">
      <w:start w:val="2"/>
      <w:numFmt w:val="decimal"/>
      <w:lvlText w:val="%1.%2"/>
      <w:lvlJc w:val="left"/>
      <w:pPr>
        <w:ind w:left="1133" w:hanging="681"/>
        <w:jc w:val="left"/>
      </w:pPr>
      <w:rPr>
        <w:rFonts w:hint="default" w:ascii="Calibri" w:hAnsi="Calibri" w:eastAsia="Calibri" w:cs="Calibri"/>
        <w:spacing w:val="-4"/>
        <w:w w:val="125"/>
        <w:sz w:val="20"/>
        <w:szCs w:val="20"/>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136">
    <w:multiLevelType w:val="hybridMultilevel"/>
    <w:lvl w:ilvl="0">
      <w:start w:val="1"/>
      <w:numFmt w:val="decimal"/>
      <w:lvlText w:val="%1"/>
      <w:lvlJc w:val="left"/>
      <w:pPr>
        <w:ind w:left="1984" w:hanging="681"/>
        <w:jc w:val="right"/>
      </w:pPr>
      <w:rPr>
        <w:rFonts w:hint="default"/>
        <w:w w:val="125"/>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3082" w:hanging="681"/>
      </w:pPr>
      <w:rPr>
        <w:rFonts w:hint="default"/>
      </w:rPr>
    </w:lvl>
    <w:lvl w:ilvl="3">
      <w:start w:val="0"/>
      <w:numFmt w:val="bullet"/>
      <w:lvlText w:val="•"/>
      <w:lvlJc w:val="left"/>
      <w:pPr>
        <w:ind w:left="4185" w:hanging="681"/>
      </w:pPr>
      <w:rPr>
        <w:rFonts w:hint="default"/>
      </w:rPr>
    </w:lvl>
    <w:lvl w:ilvl="4">
      <w:start w:val="0"/>
      <w:numFmt w:val="bullet"/>
      <w:lvlText w:val="•"/>
      <w:lvlJc w:val="left"/>
      <w:pPr>
        <w:ind w:left="5288" w:hanging="681"/>
      </w:pPr>
      <w:rPr>
        <w:rFonts w:hint="default"/>
      </w:rPr>
    </w:lvl>
    <w:lvl w:ilvl="5">
      <w:start w:val="0"/>
      <w:numFmt w:val="bullet"/>
      <w:lvlText w:val="•"/>
      <w:lvlJc w:val="left"/>
      <w:pPr>
        <w:ind w:left="6391" w:hanging="681"/>
      </w:pPr>
      <w:rPr>
        <w:rFonts w:hint="default"/>
      </w:rPr>
    </w:lvl>
    <w:lvl w:ilvl="6">
      <w:start w:val="0"/>
      <w:numFmt w:val="bullet"/>
      <w:lvlText w:val="•"/>
      <w:lvlJc w:val="left"/>
      <w:pPr>
        <w:ind w:left="7494" w:hanging="681"/>
      </w:pPr>
      <w:rPr>
        <w:rFonts w:hint="default"/>
      </w:rPr>
    </w:lvl>
    <w:lvl w:ilvl="7">
      <w:start w:val="0"/>
      <w:numFmt w:val="bullet"/>
      <w:lvlText w:val="•"/>
      <w:lvlJc w:val="left"/>
      <w:pPr>
        <w:ind w:left="8597" w:hanging="681"/>
      </w:pPr>
      <w:rPr>
        <w:rFonts w:hint="default"/>
      </w:rPr>
    </w:lvl>
    <w:lvl w:ilvl="8">
      <w:start w:val="0"/>
      <w:numFmt w:val="bullet"/>
      <w:lvlText w:val="•"/>
      <w:lvlJc w:val="left"/>
      <w:pPr>
        <w:ind w:left="9699" w:hanging="681"/>
      </w:pPr>
      <w:rPr>
        <w:rFonts w:hint="default"/>
      </w:rPr>
    </w:lvl>
  </w:abstractNum>
  <w:abstractNum w:abstractNumId="135">
    <w:multiLevelType w:val="hybridMultilevel"/>
    <w:lvl w:ilvl="0">
      <w:start w:val="0"/>
      <w:numFmt w:val="bullet"/>
      <w:lvlText w:val=""/>
      <w:lvlJc w:val="left"/>
      <w:pPr>
        <w:ind w:left="1643" w:hanging="511"/>
      </w:pPr>
      <w:rPr>
        <w:rFonts w:hint="default" w:ascii="Wingdings" w:hAnsi="Wingdings" w:eastAsia="Wingdings" w:cs="Wingdings"/>
        <w:w w:val="110"/>
        <w:position w:val="-3"/>
        <w:sz w:val="29"/>
        <w:szCs w:val="29"/>
      </w:rPr>
    </w:lvl>
    <w:lvl w:ilvl="1">
      <w:start w:val="0"/>
      <w:numFmt w:val="bullet"/>
      <w:lvlText w:val="•"/>
      <w:lvlJc w:val="left"/>
      <w:pPr>
        <w:ind w:left="2666" w:hanging="511"/>
      </w:pPr>
      <w:rPr>
        <w:rFonts w:hint="default"/>
      </w:rPr>
    </w:lvl>
    <w:lvl w:ilvl="2">
      <w:start w:val="0"/>
      <w:numFmt w:val="bullet"/>
      <w:lvlText w:val="•"/>
      <w:lvlJc w:val="left"/>
      <w:pPr>
        <w:ind w:left="3693" w:hanging="511"/>
      </w:pPr>
      <w:rPr>
        <w:rFonts w:hint="default"/>
      </w:rPr>
    </w:lvl>
    <w:lvl w:ilvl="3">
      <w:start w:val="0"/>
      <w:numFmt w:val="bullet"/>
      <w:lvlText w:val="•"/>
      <w:lvlJc w:val="left"/>
      <w:pPr>
        <w:ind w:left="4719" w:hanging="511"/>
      </w:pPr>
      <w:rPr>
        <w:rFonts w:hint="default"/>
      </w:rPr>
    </w:lvl>
    <w:lvl w:ilvl="4">
      <w:start w:val="0"/>
      <w:numFmt w:val="bullet"/>
      <w:lvlText w:val="•"/>
      <w:lvlJc w:val="left"/>
      <w:pPr>
        <w:ind w:left="5746" w:hanging="511"/>
      </w:pPr>
      <w:rPr>
        <w:rFonts w:hint="default"/>
      </w:rPr>
    </w:lvl>
    <w:lvl w:ilvl="5">
      <w:start w:val="0"/>
      <w:numFmt w:val="bullet"/>
      <w:lvlText w:val="•"/>
      <w:lvlJc w:val="left"/>
      <w:pPr>
        <w:ind w:left="6772" w:hanging="511"/>
      </w:pPr>
      <w:rPr>
        <w:rFonts w:hint="default"/>
      </w:rPr>
    </w:lvl>
    <w:lvl w:ilvl="6">
      <w:start w:val="0"/>
      <w:numFmt w:val="bullet"/>
      <w:lvlText w:val="•"/>
      <w:lvlJc w:val="left"/>
      <w:pPr>
        <w:ind w:left="7799" w:hanging="511"/>
      </w:pPr>
      <w:rPr>
        <w:rFonts w:hint="default"/>
      </w:rPr>
    </w:lvl>
    <w:lvl w:ilvl="7">
      <w:start w:val="0"/>
      <w:numFmt w:val="bullet"/>
      <w:lvlText w:val="•"/>
      <w:lvlJc w:val="left"/>
      <w:pPr>
        <w:ind w:left="8825" w:hanging="511"/>
      </w:pPr>
      <w:rPr>
        <w:rFonts w:hint="default"/>
      </w:rPr>
    </w:lvl>
    <w:lvl w:ilvl="8">
      <w:start w:val="0"/>
      <w:numFmt w:val="bullet"/>
      <w:lvlText w:val="•"/>
      <w:lvlJc w:val="left"/>
      <w:pPr>
        <w:ind w:left="9852" w:hanging="511"/>
      </w:pPr>
      <w:rPr>
        <w:rFonts w:hint="default"/>
      </w:rPr>
    </w:lvl>
  </w:abstractNum>
  <w:abstractNum w:abstractNumId="133">
    <w:multiLevelType w:val="hybridMultilevel"/>
    <w:lvl w:ilvl="0">
      <w:start w:val="1"/>
      <w:numFmt w:val="decimal"/>
      <w:lvlText w:val="%1"/>
      <w:lvlJc w:val="left"/>
      <w:pPr>
        <w:ind w:left="272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2004" w:hanging="681"/>
        <w:jc w:val="left"/>
      </w:pPr>
      <w:rPr>
        <w:rFonts w:hint="default" w:ascii="Calibri" w:hAnsi="Calibri" w:eastAsia="Calibri" w:cs="Calibri"/>
        <w:spacing w:val="-18"/>
        <w:w w:val="125"/>
        <w:sz w:val="20"/>
        <w:szCs w:val="20"/>
      </w:rPr>
    </w:lvl>
    <w:lvl w:ilvl="2">
      <w:start w:val="0"/>
      <w:numFmt w:val="bullet"/>
      <w:lvlText w:val="•"/>
      <w:lvlJc w:val="left"/>
      <w:pPr>
        <w:ind w:left="2000" w:hanging="681"/>
      </w:pPr>
      <w:rPr>
        <w:rFonts w:hint="default"/>
      </w:rPr>
    </w:lvl>
    <w:lvl w:ilvl="3">
      <w:start w:val="0"/>
      <w:numFmt w:val="bullet"/>
      <w:lvlText w:val="•"/>
      <w:lvlJc w:val="left"/>
      <w:pPr>
        <w:ind w:left="2720" w:hanging="681"/>
      </w:pPr>
      <w:rPr>
        <w:rFonts w:hint="default"/>
      </w:rPr>
    </w:lvl>
    <w:lvl w:ilvl="4">
      <w:start w:val="0"/>
      <w:numFmt w:val="bullet"/>
      <w:lvlText w:val="•"/>
      <w:lvlJc w:val="left"/>
      <w:pPr>
        <w:ind w:left="4032" w:hanging="681"/>
      </w:pPr>
      <w:rPr>
        <w:rFonts w:hint="default"/>
      </w:rPr>
    </w:lvl>
    <w:lvl w:ilvl="5">
      <w:start w:val="0"/>
      <w:numFmt w:val="bullet"/>
      <w:lvlText w:val="•"/>
      <w:lvlJc w:val="left"/>
      <w:pPr>
        <w:ind w:left="5344" w:hanging="681"/>
      </w:pPr>
      <w:rPr>
        <w:rFonts w:hint="default"/>
      </w:rPr>
    </w:lvl>
    <w:lvl w:ilvl="6">
      <w:start w:val="0"/>
      <w:numFmt w:val="bullet"/>
      <w:lvlText w:val="•"/>
      <w:lvlJc w:val="left"/>
      <w:pPr>
        <w:ind w:left="6656" w:hanging="681"/>
      </w:pPr>
      <w:rPr>
        <w:rFonts w:hint="default"/>
      </w:rPr>
    </w:lvl>
    <w:lvl w:ilvl="7">
      <w:start w:val="0"/>
      <w:numFmt w:val="bullet"/>
      <w:lvlText w:val="•"/>
      <w:lvlJc w:val="left"/>
      <w:pPr>
        <w:ind w:left="7968" w:hanging="681"/>
      </w:pPr>
      <w:rPr>
        <w:rFonts w:hint="default"/>
      </w:rPr>
    </w:lvl>
    <w:lvl w:ilvl="8">
      <w:start w:val="0"/>
      <w:numFmt w:val="bullet"/>
      <w:lvlText w:val="•"/>
      <w:lvlJc w:val="left"/>
      <w:pPr>
        <w:ind w:left="9281" w:hanging="681"/>
      </w:pPr>
      <w:rPr>
        <w:rFonts w:hint="default"/>
      </w:rPr>
    </w:lvl>
  </w:abstractNum>
  <w:abstractNum w:abstractNumId="132">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31">
    <w:multiLevelType w:val="hybridMultilevel"/>
    <w:lvl w:ilvl="0">
      <w:start w:val="1"/>
      <w:numFmt w:val="decimal"/>
      <w:lvlText w:val="%1"/>
      <w:lvlJc w:val="left"/>
      <w:pPr>
        <w:ind w:left="1853" w:hanging="720"/>
        <w:jc w:val="lef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853" w:hanging="721"/>
        <w:jc w:val="left"/>
      </w:pPr>
      <w:rPr>
        <w:rFonts w:hint="default" w:ascii="Calibri" w:hAnsi="Calibri" w:eastAsia="Calibri" w:cs="Calibri"/>
        <w:spacing w:val="-18"/>
        <w:w w:val="125"/>
        <w:sz w:val="20"/>
        <w:szCs w:val="20"/>
      </w:rPr>
    </w:lvl>
    <w:lvl w:ilvl="2">
      <w:start w:val="1"/>
      <w:numFmt w:val="decimal"/>
      <w:lvlText w:val="%1.%2.%3"/>
      <w:lvlJc w:val="left"/>
      <w:pPr>
        <w:ind w:left="1133" w:hanging="681"/>
        <w:jc w:val="left"/>
      </w:pPr>
      <w:rPr>
        <w:rFonts w:hint="default" w:ascii="Calibri" w:hAnsi="Calibri" w:eastAsia="Calibri" w:cs="Calibri"/>
        <w:spacing w:val="-18"/>
        <w:w w:val="125"/>
        <w:sz w:val="20"/>
        <w:szCs w:val="20"/>
      </w:rPr>
    </w:lvl>
    <w:lvl w:ilvl="3">
      <w:start w:val="1"/>
      <w:numFmt w:val="decimal"/>
      <w:lvlText w:val="%4"/>
      <w:lvlJc w:val="left"/>
      <w:pPr>
        <w:ind w:left="2704" w:hanging="720"/>
        <w:jc w:val="left"/>
      </w:pPr>
      <w:rPr>
        <w:rFonts w:hint="default" w:ascii="Stone Sans II ITC Std X Bd" w:hAnsi="Stone Sans II ITC Std X Bd" w:eastAsia="Stone Sans II ITC Std X Bd" w:cs="Stone Sans II ITC Std X Bd"/>
        <w:b/>
        <w:bCs/>
        <w:w w:val="114"/>
        <w:sz w:val="21"/>
        <w:szCs w:val="21"/>
      </w:rPr>
    </w:lvl>
    <w:lvl w:ilvl="4">
      <w:start w:val="1"/>
      <w:numFmt w:val="decimal"/>
      <w:lvlText w:val="%4.%5"/>
      <w:lvlJc w:val="left"/>
      <w:pPr>
        <w:ind w:left="1984" w:hanging="681"/>
        <w:jc w:val="left"/>
      </w:pPr>
      <w:rPr>
        <w:rFonts w:hint="default" w:ascii="Calibri" w:hAnsi="Calibri" w:eastAsia="Calibri" w:cs="Calibri"/>
        <w:spacing w:val="-20"/>
        <w:w w:val="125"/>
        <w:sz w:val="20"/>
        <w:szCs w:val="20"/>
      </w:rPr>
    </w:lvl>
    <w:lvl w:ilvl="5">
      <w:start w:val="0"/>
      <w:numFmt w:val="bullet"/>
      <w:lvlText w:val="•"/>
      <w:lvlJc w:val="left"/>
      <w:pPr>
        <w:ind w:left="2700" w:hanging="681"/>
      </w:pPr>
      <w:rPr>
        <w:rFonts w:hint="default"/>
      </w:rPr>
    </w:lvl>
    <w:lvl w:ilvl="6">
      <w:start w:val="0"/>
      <w:numFmt w:val="bullet"/>
      <w:lvlText w:val="•"/>
      <w:lvlJc w:val="left"/>
      <w:pPr>
        <w:ind w:left="4541" w:hanging="681"/>
      </w:pPr>
      <w:rPr>
        <w:rFonts w:hint="default"/>
      </w:rPr>
    </w:lvl>
    <w:lvl w:ilvl="7">
      <w:start w:val="0"/>
      <w:numFmt w:val="bullet"/>
      <w:lvlText w:val="•"/>
      <w:lvlJc w:val="left"/>
      <w:pPr>
        <w:ind w:left="6382" w:hanging="681"/>
      </w:pPr>
      <w:rPr>
        <w:rFonts w:hint="default"/>
      </w:rPr>
    </w:lvl>
    <w:lvl w:ilvl="8">
      <w:start w:val="0"/>
      <w:numFmt w:val="bullet"/>
      <w:lvlText w:val="•"/>
      <w:lvlJc w:val="left"/>
      <w:pPr>
        <w:ind w:left="8223" w:hanging="681"/>
      </w:pPr>
      <w:rPr>
        <w:rFonts w:hint="default"/>
      </w:rPr>
    </w:lvl>
  </w:abstractNum>
  <w:abstractNum w:abstractNumId="130">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737"/>
        <w:jc w:val="left"/>
      </w:pPr>
      <w:rPr>
        <w:rFonts w:hint="default" w:ascii="Calibri" w:hAnsi="Calibri" w:eastAsia="Calibri" w:cs="Calibri"/>
        <w:spacing w:val="-18"/>
        <w:w w:val="125"/>
        <w:sz w:val="20"/>
        <w:szCs w:val="20"/>
      </w:rPr>
    </w:lvl>
    <w:lvl w:ilvl="2">
      <w:start w:val="0"/>
      <w:numFmt w:val="bullet"/>
      <w:lvlText w:val="•"/>
      <w:lvlJc w:val="left"/>
      <w:pPr>
        <w:ind w:left="2700" w:hanging="737"/>
      </w:pPr>
      <w:rPr>
        <w:rFonts w:hint="default"/>
      </w:rPr>
    </w:lvl>
    <w:lvl w:ilvl="3">
      <w:start w:val="0"/>
      <w:numFmt w:val="bullet"/>
      <w:lvlText w:val="•"/>
      <w:lvlJc w:val="left"/>
      <w:pPr>
        <w:ind w:left="8480" w:hanging="737"/>
      </w:pPr>
      <w:rPr>
        <w:rFonts w:hint="default"/>
      </w:rPr>
    </w:lvl>
    <w:lvl w:ilvl="4">
      <w:start w:val="0"/>
      <w:numFmt w:val="bullet"/>
      <w:lvlText w:val="•"/>
      <w:lvlJc w:val="left"/>
      <w:pPr>
        <w:ind w:left="8969" w:hanging="737"/>
      </w:pPr>
      <w:rPr>
        <w:rFonts w:hint="default"/>
      </w:rPr>
    </w:lvl>
    <w:lvl w:ilvl="5">
      <w:start w:val="0"/>
      <w:numFmt w:val="bullet"/>
      <w:lvlText w:val="•"/>
      <w:lvlJc w:val="left"/>
      <w:pPr>
        <w:ind w:left="9458" w:hanging="737"/>
      </w:pPr>
      <w:rPr>
        <w:rFonts w:hint="default"/>
      </w:rPr>
    </w:lvl>
    <w:lvl w:ilvl="6">
      <w:start w:val="0"/>
      <w:numFmt w:val="bullet"/>
      <w:lvlText w:val="•"/>
      <w:lvlJc w:val="left"/>
      <w:pPr>
        <w:ind w:left="9948" w:hanging="737"/>
      </w:pPr>
      <w:rPr>
        <w:rFonts w:hint="default"/>
      </w:rPr>
    </w:lvl>
    <w:lvl w:ilvl="7">
      <w:start w:val="0"/>
      <w:numFmt w:val="bullet"/>
      <w:lvlText w:val="•"/>
      <w:lvlJc w:val="left"/>
      <w:pPr>
        <w:ind w:left="10437" w:hanging="737"/>
      </w:pPr>
      <w:rPr>
        <w:rFonts w:hint="default"/>
      </w:rPr>
    </w:lvl>
    <w:lvl w:ilvl="8">
      <w:start w:val="0"/>
      <w:numFmt w:val="bullet"/>
      <w:lvlText w:val="•"/>
      <w:lvlJc w:val="left"/>
      <w:pPr>
        <w:ind w:left="10926" w:hanging="737"/>
      </w:pPr>
      <w:rPr>
        <w:rFonts w:hint="default"/>
      </w:rPr>
    </w:lvl>
  </w:abstractNum>
  <w:abstractNum w:abstractNumId="129">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28">
    <w:multiLevelType w:val="hybridMultilevel"/>
    <w:lvl w:ilvl="0">
      <w:start w:val="1"/>
      <w:numFmt w:val="lowerLetter"/>
      <w:lvlText w:val="%1)"/>
      <w:lvlJc w:val="left"/>
      <w:pPr>
        <w:ind w:left="1814" w:hanging="681"/>
        <w:jc w:val="right"/>
      </w:pPr>
      <w:rPr>
        <w:rFonts w:hint="default" w:ascii="Calibri" w:hAnsi="Calibri" w:eastAsia="Calibri" w:cs="Calibri"/>
        <w:spacing w:val="-13"/>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27">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right"/>
      </w:pPr>
      <w:rPr>
        <w:rFonts w:hint="default" w:ascii="Calibri" w:hAnsi="Calibri" w:eastAsia="Calibri" w:cs="Calibri"/>
        <w:spacing w:val="-18"/>
        <w:w w:val="125"/>
        <w:sz w:val="20"/>
        <w:szCs w:val="20"/>
      </w:rPr>
    </w:lvl>
    <w:lvl w:ilvl="2">
      <w:start w:val="1"/>
      <w:numFmt w:val="decimal"/>
      <w:lvlText w:val="%1.%2.%3"/>
      <w:lvlJc w:val="left"/>
      <w:pPr>
        <w:ind w:left="2664" w:hanging="681"/>
        <w:jc w:val="left"/>
      </w:pPr>
      <w:rPr>
        <w:rFonts w:hint="default" w:ascii="Calibri" w:hAnsi="Calibri" w:eastAsia="Calibri" w:cs="Calibri"/>
        <w:spacing w:val="-18"/>
        <w:w w:val="125"/>
        <w:sz w:val="20"/>
        <w:szCs w:val="20"/>
      </w:rPr>
    </w:lvl>
    <w:lvl w:ilvl="3">
      <w:start w:val="0"/>
      <w:numFmt w:val="bullet"/>
      <w:lvlText w:val="•"/>
      <w:lvlJc w:val="left"/>
      <w:pPr>
        <w:ind w:left="2700" w:hanging="681"/>
      </w:pPr>
      <w:rPr>
        <w:rFonts w:hint="default"/>
      </w:rPr>
    </w:lvl>
    <w:lvl w:ilvl="4">
      <w:start w:val="0"/>
      <w:numFmt w:val="bullet"/>
      <w:lvlText w:val="•"/>
      <w:lvlJc w:val="left"/>
      <w:pPr>
        <w:ind w:left="4015" w:hanging="681"/>
      </w:pPr>
      <w:rPr>
        <w:rFonts w:hint="default"/>
      </w:rPr>
    </w:lvl>
    <w:lvl w:ilvl="5">
      <w:start w:val="0"/>
      <w:numFmt w:val="bullet"/>
      <w:lvlText w:val="•"/>
      <w:lvlJc w:val="left"/>
      <w:pPr>
        <w:ind w:left="5330" w:hanging="681"/>
      </w:pPr>
      <w:rPr>
        <w:rFonts w:hint="default"/>
      </w:rPr>
    </w:lvl>
    <w:lvl w:ilvl="6">
      <w:start w:val="0"/>
      <w:numFmt w:val="bullet"/>
      <w:lvlText w:val="•"/>
      <w:lvlJc w:val="left"/>
      <w:pPr>
        <w:ind w:left="6645" w:hanging="681"/>
      </w:pPr>
      <w:rPr>
        <w:rFonts w:hint="default"/>
      </w:rPr>
    </w:lvl>
    <w:lvl w:ilvl="7">
      <w:start w:val="0"/>
      <w:numFmt w:val="bullet"/>
      <w:lvlText w:val="•"/>
      <w:lvlJc w:val="left"/>
      <w:pPr>
        <w:ind w:left="7960" w:hanging="681"/>
      </w:pPr>
      <w:rPr>
        <w:rFonts w:hint="default"/>
      </w:rPr>
    </w:lvl>
    <w:lvl w:ilvl="8">
      <w:start w:val="0"/>
      <w:numFmt w:val="bullet"/>
      <w:lvlText w:val="•"/>
      <w:lvlJc w:val="left"/>
      <w:pPr>
        <w:ind w:left="9275" w:hanging="681"/>
      </w:pPr>
      <w:rPr>
        <w:rFonts w:hint="default"/>
      </w:rPr>
    </w:lvl>
  </w:abstractNum>
  <w:abstractNum w:abstractNumId="126">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2700" w:hanging="681"/>
      </w:pPr>
      <w:rPr>
        <w:rFonts w:hint="default"/>
      </w:rPr>
    </w:lvl>
    <w:lvl w:ilvl="3">
      <w:start w:val="0"/>
      <w:numFmt w:val="bullet"/>
      <w:lvlText w:val="•"/>
      <w:lvlJc w:val="left"/>
      <w:pPr>
        <w:ind w:left="3850" w:hanging="681"/>
      </w:pPr>
      <w:rPr>
        <w:rFonts w:hint="default"/>
      </w:rPr>
    </w:lvl>
    <w:lvl w:ilvl="4">
      <w:start w:val="0"/>
      <w:numFmt w:val="bullet"/>
      <w:lvlText w:val="•"/>
      <w:lvlJc w:val="left"/>
      <w:pPr>
        <w:ind w:left="5001" w:hanging="681"/>
      </w:pPr>
      <w:rPr>
        <w:rFonts w:hint="default"/>
      </w:rPr>
    </w:lvl>
    <w:lvl w:ilvl="5">
      <w:start w:val="0"/>
      <w:numFmt w:val="bullet"/>
      <w:lvlText w:val="•"/>
      <w:lvlJc w:val="left"/>
      <w:pPr>
        <w:ind w:left="6152" w:hanging="681"/>
      </w:pPr>
      <w:rPr>
        <w:rFonts w:hint="default"/>
      </w:rPr>
    </w:lvl>
    <w:lvl w:ilvl="6">
      <w:start w:val="0"/>
      <w:numFmt w:val="bullet"/>
      <w:lvlText w:val="•"/>
      <w:lvlJc w:val="left"/>
      <w:pPr>
        <w:ind w:left="7302" w:hanging="681"/>
      </w:pPr>
      <w:rPr>
        <w:rFonts w:hint="default"/>
      </w:rPr>
    </w:lvl>
    <w:lvl w:ilvl="7">
      <w:start w:val="0"/>
      <w:numFmt w:val="bullet"/>
      <w:lvlText w:val="•"/>
      <w:lvlJc w:val="left"/>
      <w:pPr>
        <w:ind w:left="8453" w:hanging="681"/>
      </w:pPr>
      <w:rPr>
        <w:rFonts w:hint="default"/>
      </w:rPr>
    </w:lvl>
    <w:lvl w:ilvl="8">
      <w:start w:val="0"/>
      <w:numFmt w:val="bullet"/>
      <w:lvlText w:val="•"/>
      <w:lvlJc w:val="left"/>
      <w:pPr>
        <w:ind w:left="9604" w:hanging="681"/>
      </w:pPr>
      <w:rPr>
        <w:rFonts w:hint="default"/>
      </w:rPr>
    </w:lvl>
  </w:abstractNum>
  <w:abstractNum w:abstractNumId="125">
    <w:multiLevelType w:val="hybridMultilevel"/>
    <w:lvl w:ilvl="0">
      <w:start w:val="2"/>
      <w:numFmt w:val="decimal"/>
      <w:lvlText w:val="%1"/>
      <w:lvlJc w:val="left"/>
      <w:pPr>
        <w:ind w:left="1984" w:hanging="908"/>
        <w:jc w:val="left"/>
      </w:pPr>
      <w:rPr>
        <w:rFonts w:hint="default"/>
      </w:rPr>
    </w:lvl>
    <w:lvl w:ilvl="1">
      <w:start w:val="5"/>
      <w:numFmt w:val="decimal"/>
      <w:lvlText w:val="%1.%2"/>
      <w:lvlJc w:val="left"/>
      <w:pPr>
        <w:ind w:left="1984" w:hanging="908"/>
        <w:jc w:val="left"/>
      </w:pPr>
      <w:rPr>
        <w:rFonts w:hint="default"/>
      </w:rPr>
    </w:lvl>
    <w:lvl w:ilvl="2">
      <w:start w:val="1"/>
      <w:numFmt w:val="decimal"/>
      <w:lvlText w:val="%1.%2.%3"/>
      <w:lvlJc w:val="left"/>
      <w:pPr>
        <w:ind w:left="1984" w:hanging="908"/>
        <w:jc w:val="left"/>
      </w:pPr>
      <w:rPr>
        <w:rFonts w:hint="default"/>
      </w:rPr>
    </w:lvl>
    <w:lvl w:ilvl="3">
      <w:start w:val="3"/>
      <w:numFmt w:val="decimal"/>
      <w:lvlText w:val="%1.%2.%3.%4"/>
      <w:lvlJc w:val="left"/>
      <w:pPr>
        <w:ind w:left="1984" w:hanging="908"/>
        <w:jc w:val="left"/>
      </w:pPr>
      <w:rPr>
        <w:rFonts w:hint="default" w:ascii="Calibri" w:hAnsi="Calibri" w:eastAsia="Calibri" w:cs="Calibri"/>
        <w:spacing w:val="-20"/>
        <w:w w:val="125"/>
        <w:sz w:val="20"/>
        <w:szCs w:val="20"/>
      </w:rPr>
    </w:lvl>
    <w:lvl w:ilvl="4">
      <w:start w:val="0"/>
      <w:numFmt w:val="bullet"/>
      <w:lvlText w:val="•"/>
      <w:lvlJc w:val="left"/>
      <w:pPr>
        <w:ind w:left="5950" w:hanging="908"/>
      </w:pPr>
      <w:rPr>
        <w:rFonts w:hint="default"/>
      </w:rPr>
    </w:lvl>
    <w:lvl w:ilvl="5">
      <w:start w:val="0"/>
      <w:numFmt w:val="bullet"/>
      <w:lvlText w:val="•"/>
      <w:lvlJc w:val="left"/>
      <w:pPr>
        <w:ind w:left="6942" w:hanging="908"/>
      </w:pPr>
      <w:rPr>
        <w:rFonts w:hint="default"/>
      </w:rPr>
    </w:lvl>
    <w:lvl w:ilvl="6">
      <w:start w:val="0"/>
      <w:numFmt w:val="bullet"/>
      <w:lvlText w:val="•"/>
      <w:lvlJc w:val="left"/>
      <w:pPr>
        <w:ind w:left="7935" w:hanging="908"/>
      </w:pPr>
      <w:rPr>
        <w:rFonts w:hint="default"/>
      </w:rPr>
    </w:lvl>
    <w:lvl w:ilvl="7">
      <w:start w:val="0"/>
      <w:numFmt w:val="bullet"/>
      <w:lvlText w:val="•"/>
      <w:lvlJc w:val="left"/>
      <w:pPr>
        <w:ind w:left="8927" w:hanging="908"/>
      </w:pPr>
      <w:rPr>
        <w:rFonts w:hint="default"/>
      </w:rPr>
    </w:lvl>
    <w:lvl w:ilvl="8">
      <w:start w:val="0"/>
      <w:numFmt w:val="bullet"/>
      <w:lvlText w:val="•"/>
      <w:lvlJc w:val="left"/>
      <w:pPr>
        <w:ind w:left="9920" w:hanging="908"/>
      </w:pPr>
      <w:rPr>
        <w:rFonts w:hint="default"/>
      </w:rPr>
    </w:lvl>
  </w:abstractNum>
  <w:abstractNum w:abstractNumId="124">
    <w:multiLevelType w:val="hybridMultilevel"/>
    <w:lvl w:ilvl="0">
      <w:start w:val="1"/>
      <w:numFmt w:val="decimal"/>
      <w:lvlText w:val="%1"/>
      <w:lvlJc w:val="left"/>
      <w:pPr>
        <w:ind w:left="2709"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9" w:hanging="681"/>
        <w:jc w:val="left"/>
      </w:pPr>
      <w:rPr>
        <w:rFonts w:hint="default" w:ascii="Calibri" w:hAnsi="Calibri" w:eastAsia="Calibri" w:cs="Calibri"/>
        <w:spacing w:val="-18"/>
        <w:w w:val="125"/>
        <w:sz w:val="20"/>
        <w:szCs w:val="20"/>
      </w:rPr>
    </w:lvl>
    <w:lvl w:ilvl="2">
      <w:start w:val="1"/>
      <w:numFmt w:val="decimal"/>
      <w:lvlText w:val="%1.%2.%3"/>
      <w:lvlJc w:val="left"/>
      <w:pPr>
        <w:ind w:left="1133" w:hanging="681"/>
        <w:jc w:val="left"/>
      </w:pPr>
      <w:rPr>
        <w:rFonts w:hint="default" w:ascii="Calibri" w:hAnsi="Calibri" w:eastAsia="Calibri" w:cs="Calibri"/>
        <w:spacing w:val="-18"/>
        <w:w w:val="125"/>
        <w:sz w:val="20"/>
        <w:szCs w:val="20"/>
      </w:rPr>
    </w:lvl>
    <w:lvl w:ilvl="3">
      <w:start w:val="1"/>
      <w:numFmt w:val="decimal"/>
      <w:lvlText w:val="%1.%2.%3.%4"/>
      <w:lvlJc w:val="left"/>
      <w:pPr>
        <w:ind w:left="1133" w:hanging="908"/>
        <w:jc w:val="left"/>
      </w:pPr>
      <w:rPr>
        <w:rFonts w:hint="default" w:ascii="Calibri" w:hAnsi="Calibri" w:eastAsia="Calibri" w:cs="Calibri"/>
        <w:spacing w:val="-18"/>
        <w:w w:val="125"/>
        <w:sz w:val="20"/>
        <w:szCs w:val="20"/>
      </w:rPr>
    </w:lvl>
    <w:lvl w:ilvl="4">
      <w:start w:val="0"/>
      <w:numFmt w:val="bullet"/>
      <w:lvlText w:val="•"/>
      <w:lvlJc w:val="left"/>
      <w:pPr>
        <w:ind w:left="4015" w:hanging="908"/>
      </w:pPr>
      <w:rPr>
        <w:rFonts w:hint="default"/>
      </w:rPr>
    </w:lvl>
    <w:lvl w:ilvl="5">
      <w:start w:val="0"/>
      <w:numFmt w:val="bullet"/>
      <w:lvlText w:val="•"/>
      <w:lvlJc w:val="left"/>
      <w:pPr>
        <w:ind w:left="5330" w:hanging="908"/>
      </w:pPr>
      <w:rPr>
        <w:rFonts w:hint="default"/>
      </w:rPr>
    </w:lvl>
    <w:lvl w:ilvl="6">
      <w:start w:val="0"/>
      <w:numFmt w:val="bullet"/>
      <w:lvlText w:val="•"/>
      <w:lvlJc w:val="left"/>
      <w:pPr>
        <w:ind w:left="6645" w:hanging="908"/>
      </w:pPr>
      <w:rPr>
        <w:rFonts w:hint="default"/>
      </w:rPr>
    </w:lvl>
    <w:lvl w:ilvl="7">
      <w:start w:val="0"/>
      <w:numFmt w:val="bullet"/>
      <w:lvlText w:val="•"/>
      <w:lvlJc w:val="left"/>
      <w:pPr>
        <w:ind w:left="7960" w:hanging="908"/>
      </w:pPr>
      <w:rPr>
        <w:rFonts w:hint="default"/>
      </w:rPr>
    </w:lvl>
    <w:lvl w:ilvl="8">
      <w:start w:val="0"/>
      <w:numFmt w:val="bullet"/>
      <w:lvlText w:val="•"/>
      <w:lvlJc w:val="left"/>
      <w:pPr>
        <w:ind w:left="9275" w:hanging="908"/>
      </w:pPr>
      <w:rPr>
        <w:rFonts w:hint="default"/>
      </w:rPr>
    </w:lvl>
  </w:abstractNum>
  <w:abstractNum w:abstractNumId="122">
    <w:multiLevelType w:val="hybridMultilevel"/>
    <w:lvl w:ilvl="0">
      <w:start w:val="0"/>
      <w:numFmt w:val="bullet"/>
      <w:lvlText w:val=""/>
      <w:lvlJc w:val="left"/>
      <w:pPr>
        <w:ind w:left="948" w:hanging="341"/>
      </w:pPr>
      <w:rPr>
        <w:rFonts w:hint="default" w:ascii="Wingdings" w:hAnsi="Wingdings" w:eastAsia="Wingdings" w:cs="Wingdings"/>
        <w:color w:val="C73575"/>
        <w:w w:val="110"/>
        <w:sz w:val="20"/>
        <w:szCs w:val="20"/>
      </w:rPr>
    </w:lvl>
    <w:lvl w:ilvl="1">
      <w:start w:val="0"/>
      <w:numFmt w:val="bullet"/>
      <w:lvlText w:val=""/>
      <w:lvlJc w:val="left"/>
      <w:pPr>
        <w:ind w:left="1814" w:hanging="681"/>
      </w:pPr>
      <w:rPr>
        <w:rFonts w:hint="default" w:ascii="Wingdings" w:hAnsi="Wingdings" w:eastAsia="Wingdings" w:cs="Wingdings"/>
        <w:w w:val="110"/>
        <w:position w:val="-3"/>
        <w:sz w:val="29"/>
        <w:szCs w:val="29"/>
      </w:rPr>
    </w:lvl>
    <w:lvl w:ilvl="2">
      <w:start w:val="0"/>
      <w:numFmt w:val="bullet"/>
      <w:lvlText w:val=""/>
      <w:lvlJc w:val="left"/>
      <w:pPr>
        <w:ind w:left="2664" w:hanging="681"/>
      </w:pPr>
      <w:rPr>
        <w:rFonts w:hint="default" w:ascii="Wingdings" w:hAnsi="Wingdings" w:eastAsia="Wingdings" w:cs="Wingdings"/>
        <w:w w:val="110"/>
        <w:position w:val="-3"/>
        <w:sz w:val="29"/>
        <w:szCs w:val="29"/>
      </w:rPr>
    </w:lvl>
    <w:lvl w:ilvl="3">
      <w:start w:val="0"/>
      <w:numFmt w:val="bullet"/>
      <w:lvlText w:val="•"/>
      <w:lvlJc w:val="left"/>
      <w:pPr>
        <w:ind w:left="1820" w:hanging="681"/>
      </w:pPr>
      <w:rPr>
        <w:rFonts w:hint="default"/>
      </w:rPr>
    </w:lvl>
    <w:lvl w:ilvl="4">
      <w:start w:val="0"/>
      <w:numFmt w:val="bullet"/>
      <w:lvlText w:val="•"/>
      <w:lvlJc w:val="left"/>
      <w:pPr>
        <w:ind w:left="2660" w:hanging="681"/>
      </w:pPr>
      <w:rPr>
        <w:rFonts w:hint="default"/>
      </w:rPr>
    </w:lvl>
    <w:lvl w:ilvl="5">
      <w:start w:val="0"/>
      <w:numFmt w:val="bullet"/>
      <w:lvlText w:val="•"/>
      <w:lvlJc w:val="left"/>
      <w:pPr>
        <w:ind w:left="3129" w:hanging="681"/>
      </w:pPr>
      <w:rPr>
        <w:rFonts w:hint="default"/>
      </w:rPr>
    </w:lvl>
    <w:lvl w:ilvl="6">
      <w:start w:val="0"/>
      <w:numFmt w:val="bullet"/>
      <w:lvlText w:val="•"/>
      <w:lvlJc w:val="left"/>
      <w:pPr>
        <w:ind w:left="3599" w:hanging="681"/>
      </w:pPr>
      <w:rPr>
        <w:rFonts w:hint="default"/>
      </w:rPr>
    </w:lvl>
    <w:lvl w:ilvl="7">
      <w:start w:val="0"/>
      <w:numFmt w:val="bullet"/>
      <w:lvlText w:val="•"/>
      <w:lvlJc w:val="left"/>
      <w:pPr>
        <w:ind w:left="4069" w:hanging="681"/>
      </w:pPr>
      <w:rPr>
        <w:rFonts w:hint="default"/>
      </w:rPr>
    </w:lvl>
    <w:lvl w:ilvl="8">
      <w:start w:val="0"/>
      <w:numFmt w:val="bullet"/>
      <w:lvlText w:val="•"/>
      <w:lvlJc w:val="left"/>
      <w:pPr>
        <w:ind w:left="4539" w:hanging="681"/>
      </w:pPr>
      <w:rPr>
        <w:rFonts w:hint="default"/>
      </w:rPr>
    </w:lvl>
  </w:abstractNum>
  <w:abstractNum w:abstractNumId="121">
    <w:multiLevelType w:val="hybridMultilevel"/>
    <w:lvl w:ilvl="0">
      <w:start w:val="1"/>
      <w:numFmt w:val="decimal"/>
      <w:lvlText w:val="%1"/>
      <w:lvlJc w:val="left"/>
      <w:pPr>
        <w:ind w:left="2704" w:hanging="720"/>
        <w:jc w:val="left"/>
      </w:pPr>
      <w:rPr>
        <w:rFonts w:hint="default" w:ascii="Stone Sans II ITC Std Bk" w:hAnsi="Stone Sans II ITC Std Bk" w:eastAsia="Stone Sans II ITC Std Bk" w:cs="Stone Sans II ITC Std Bk"/>
        <w:b/>
        <w:bCs/>
        <w:w w:val="114"/>
        <w:sz w:val="21"/>
        <w:szCs w:val="21"/>
      </w:rPr>
    </w:lvl>
    <w:lvl w:ilvl="1">
      <w:start w:val="0"/>
      <w:numFmt w:val="bullet"/>
      <w:lvlText w:val="•"/>
      <w:lvlJc w:val="left"/>
      <w:pPr>
        <w:ind w:left="3620" w:hanging="720"/>
      </w:pPr>
      <w:rPr>
        <w:rFonts w:hint="default"/>
      </w:rPr>
    </w:lvl>
    <w:lvl w:ilvl="2">
      <w:start w:val="0"/>
      <w:numFmt w:val="bullet"/>
      <w:lvlText w:val="•"/>
      <w:lvlJc w:val="left"/>
      <w:pPr>
        <w:ind w:left="4541" w:hanging="720"/>
      </w:pPr>
      <w:rPr>
        <w:rFonts w:hint="default"/>
      </w:rPr>
    </w:lvl>
    <w:lvl w:ilvl="3">
      <w:start w:val="0"/>
      <w:numFmt w:val="bullet"/>
      <w:lvlText w:val="•"/>
      <w:lvlJc w:val="left"/>
      <w:pPr>
        <w:ind w:left="5461" w:hanging="720"/>
      </w:pPr>
      <w:rPr>
        <w:rFonts w:hint="default"/>
      </w:rPr>
    </w:lvl>
    <w:lvl w:ilvl="4">
      <w:start w:val="0"/>
      <w:numFmt w:val="bullet"/>
      <w:lvlText w:val="•"/>
      <w:lvlJc w:val="left"/>
      <w:pPr>
        <w:ind w:left="6382" w:hanging="720"/>
      </w:pPr>
      <w:rPr>
        <w:rFonts w:hint="default"/>
      </w:rPr>
    </w:lvl>
    <w:lvl w:ilvl="5">
      <w:start w:val="0"/>
      <w:numFmt w:val="bullet"/>
      <w:lvlText w:val="•"/>
      <w:lvlJc w:val="left"/>
      <w:pPr>
        <w:ind w:left="7302" w:hanging="720"/>
      </w:pPr>
      <w:rPr>
        <w:rFonts w:hint="default"/>
      </w:rPr>
    </w:lvl>
    <w:lvl w:ilvl="6">
      <w:start w:val="0"/>
      <w:numFmt w:val="bullet"/>
      <w:lvlText w:val="•"/>
      <w:lvlJc w:val="left"/>
      <w:pPr>
        <w:ind w:left="8223" w:hanging="720"/>
      </w:pPr>
      <w:rPr>
        <w:rFonts w:hint="default"/>
      </w:rPr>
    </w:lvl>
    <w:lvl w:ilvl="7">
      <w:start w:val="0"/>
      <w:numFmt w:val="bullet"/>
      <w:lvlText w:val="•"/>
      <w:lvlJc w:val="left"/>
      <w:pPr>
        <w:ind w:left="9143" w:hanging="720"/>
      </w:pPr>
      <w:rPr>
        <w:rFonts w:hint="default"/>
      </w:rPr>
    </w:lvl>
    <w:lvl w:ilvl="8">
      <w:start w:val="0"/>
      <w:numFmt w:val="bullet"/>
      <w:lvlText w:val="•"/>
      <w:lvlJc w:val="left"/>
      <w:pPr>
        <w:ind w:left="10064" w:hanging="720"/>
      </w:pPr>
      <w:rPr>
        <w:rFonts w:hint="default"/>
      </w:rPr>
    </w:lvl>
  </w:abstractNum>
  <w:abstractNum w:abstractNumId="120">
    <w:multiLevelType w:val="hybridMultilevel"/>
    <w:lvl w:ilvl="0">
      <w:start w:val="1"/>
      <w:numFmt w:val="lowerLetter"/>
      <w:lvlText w:val="%1)"/>
      <w:lvlJc w:val="left"/>
      <w:pPr>
        <w:ind w:left="2704" w:hanging="720"/>
        <w:jc w:val="right"/>
      </w:pPr>
      <w:rPr>
        <w:rFonts w:hint="default" w:ascii="Stone Sans II ITC Std Bk" w:hAnsi="Stone Sans II ITC Std Bk" w:eastAsia="Stone Sans II ITC Std Bk" w:cs="Stone Sans II ITC Std Bk"/>
        <w:b/>
        <w:bCs/>
        <w:spacing w:val="-15"/>
        <w:w w:val="114"/>
        <w:sz w:val="21"/>
        <w:szCs w:val="21"/>
      </w:rPr>
    </w:lvl>
    <w:lvl w:ilvl="1">
      <w:start w:val="1"/>
      <w:numFmt w:val="lowerRoman"/>
      <w:lvlText w:val="%2."/>
      <w:lvlJc w:val="left"/>
      <w:pPr>
        <w:ind w:left="3424" w:hanging="760"/>
        <w:jc w:val="left"/>
      </w:pPr>
      <w:rPr>
        <w:rFonts w:hint="default" w:ascii="Stone Sans II ITC Std X Bd" w:hAnsi="Stone Sans II ITC Std X Bd" w:eastAsia="Stone Sans II ITC Std X Bd" w:cs="Stone Sans II ITC Std X Bd"/>
        <w:b/>
        <w:bCs/>
        <w:w w:val="110"/>
        <w:sz w:val="20"/>
        <w:szCs w:val="20"/>
      </w:rPr>
    </w:lvl>
    <w:lvl w:ilvl="2">
      <w:start w:val="0"/>
      <w:numFmt w:val="bullet"/>
      <w:lvlText w:val="•"/>
      <w:lvlJc w:val="left"/>
      <w:pPr>
        <w:ind w:left="4362" w:hanging="760"/>
      </w:pPr>
      <w:rPr>
        <w:rFonts w:hint="default"/>
      </w:rPr>
    </w:lvl>
    <w:lvl w:ilvl="3">
      <w:start w:val="0"/>
      <w:numFmt w:val="bullet"/>
      <w:lvlText w:val="•"/>
      <w:lvlJc w:val="left"/>
      <w:pPr>
        <w:ind w:left="5305" w:hanging="760"/>
      </w:pPr>
      <w:rPr>
        <w:rFonts w:hint="default"/>
      </w:rPr>
    </w:lvl>
    <w:lvl w:ilvl="4">
      <w:start w:val="0"/>
      <w:numFmt w:val="bullet"/>
      <w:lvlText w:val="•"/>
      <w:lvlJc w:val="left"/>
      <w:pPr>
        <w:ind w:left="6248" w:hanging="760"/>
      </w:pPr>
      <w:rPr>
        <w:rFonts w:hint="default"/>
      </w:rPr>
    </w:lvl>
    <w:lvl w:ilvl="5">
      <w:start w:val="0"/>
      <w:numFmt w:val="bullet"/>
      <w:lvlText w:val="•"/>
      <w:lvlJc w:val="left"/>
      <w:pPr>
        <w:ind w:left="7191" w:hanging="760"/>
      </w:pPr>
      <w:rPr>
        <w:rFonts w:hint="default"/>
      </w:rPr>
    </w:lvl>
    <w:lvl w:ilvl="6">
      <w:start w:val="0"/>
      <w:numFmt w:val="bullet"/>
      <w:lvlText w:val="•"/>
      <w:lvlJc w:val="left"/>
      <w:pPr>
        <w:ind w:left="8134" w:hanging="760"/>
      </w:pPr>
      <w:rPr>
        <w:rFonts w:hint="default"/>
      </w:rPr>
    </w:lvl>
    <w:lvl w:ilvl="7">
      <w:start w:val="0"/>
      <w:numFmt w:val="bullet"/>
      <w:lvlText w:val="•"/>
      <w:lvlJc w:val="left"/>
      <w:pPr>
        <w:ind w:left="9077" w:hanging="760"/>
      </w:pPr>
      <w:rPr>
        <w:rFonts w:hint="default"/>
      </w:rPr>
    </w:lvl>
    <w:lvl w:ilvl="8">
      <w:start w:val="0"/>
      <w:numFmt w:val="bullet"/>
      <w:lvlText w:val="•"/>
      <w:lvlJc w:val="left"/>
      <w:pPr>
        <w:ind w:left="10019" w:hanging="760"/>
      </w:pPr>
      <w:rPr>
        <w:rFonts w:hint="default"/>
      </w:rPr>
    </w:lvl>
  </w:abstractNum>
  <w:abstractNum w:abstractNumId="119">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18">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left"/>
      </w:pPr>
      <w:rPr>
        <w:rFonts w:hint="default" w:ascii="Calibri" w:hAnsi="Calibri" w:eastAsia="Calibri" w:cs="Calibri"/>
        <w:spacing w:val="-20"/>
        <w:w w:val="125"/>
        <w:sz w:val="20"/>
        <w:szCs w:val="20"/>
      </w:rPr>
    </w:lvl>
    <w:lvl w:ilvl="2">
      <w:start w:val="0"/>
      <w:numFmt w:val="bullet"/>
      <w:lvlText w:val=""/>
      <w:lvlJc w:val="left"/>
      <w:pPr>
        <w:ind w:left="2664" w:hanging="681"/>
      </w:pPr>
      <w:rPr>
        <w:rFonts w:hint="default" w:ascii="Wingdings" w:hAnsi="Wingdings" w:eastAsia="Wingdings" w:cs="Wingdings"/>
        <w:w w:val="110"/>
        <w:position w:val="-3"/>
        <w:sz w:val="29"/>
        <w:szCs w:val="29"/>
      </w:rPr>
    </w:lvl>
    <w:lvl w:ilvl="3">
      <w:start w:val="0"/>
      <w:numFmt w:val="bullet"/>
      <w:lvlText w:val="•"/>
      <w:lvlJc w:val="left"/>
      <w:pPr>
        <w:ind w:left="2700" w:hanging="681"/>
      </w:pPr>
      <w:rPr>
        <w:rFonts w:hint="default"/>
      </w:rPr>
    </w:lvl>
    <w:lvl w:ilvl="4">
      <w:start w:val="0"/>
      <w:numFmt w:val="bullet"/>
      <w:lvlText w:val="•"/>
      <w:lvlJc w:val="left"/>
      <w:pPr>
        <w:ind w:left="4015" w:hanging="681"/>
      </w:pPr>
      <w:rPr>
        <w:rFonts w:hint="default"/>
      </w:rPr>
    </w:lvl>
    <w:lvl w:ilvl="5">
      <w:start w:val="0"/>
      <w:numFmt w:val="bullet"/>
      <w:lvlText w:val="•"/>
      <w:lvlJc w:val="left"/>
      <w:pPr>
        <w:ind w:left="5330" w:hanging="681"/>
      </w:pPr>
      <w:rPr>
        <w:rFonts w:hint="default"/>
      </w:rPr>
    </w:lvl>
    <w:lvl w:ilvl="6">
      <w:start w:val="0"/>
      <w:numFmt w:val="bullet"/>
      <w:lvlText w:val="•"/>
      <w:lvlJc w:val="left"/>
      <w:pPr>
        <w:ind w:left="6645" w:hanging="681"/>
      </w:pPr>
      <w:rPr>
        <w:rFonts w:hint="default"/>
      </w:rPr>
    </w:lvl>
    <w:lvl w:ilvl="7">
      <w:start w:val="0"/>
      <w:numFmt w:val="bullet"/>
      <w:lvlText w:val="•"/>
      <w:lvlJc w:val="left"/>
      <w:pPr>
        <w:ind w:left="7960" w:hanging="681"/>
      </w:pPr>
      <w:rPr>
        <w:rFonts w:hint="default"/>
      </w:rPr>
    </w:lvl>
    <w:lvl w:ilvl="8">
      <w:start w:val="0"/>
      <w:numFmt w:val="bullet"/>
      <w:lvlText w:val="•"/>
      <w:lvlJc w:val="left"/>
      <w:pPr>
        <w:ind w:left="9275" w:hanging="681"/>
      </w:pPr>
      <w:rPr>
        <w:rFonts w:hint="default"/>
      </w:rPr>
    </w:lvl>
  </w:abstractNum>
  <w:abstractNum w:abstractNumId="117">
    <w:multiLevelType w:val="hybridMultilevel"/>
    <w:lvl w:ilvl="0">
      <w:start w:val="0"/>
      <w:numFmt w:val="bullet"/>
      <w:lvlText w:val=""/>
      <w:lvlJc w:val="left"/>
      <w:pPr>
        <w:ind w:left="2664" w:hanging="681"/>
      </w:pPr>
      <w:rPr>
        <w:rFonts w:hint="default" w:ascii="Wingdings" w:hAnsi="Wingdings" w:eastAsia="Wingdings" w:cs="Wingdings"/>
        <w:w w:val="110"/>
        <w:position w:val="-3"/>
        <w:sz w:val="29"/>
        <w:szCs w:val="29"/>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16">
    <w:multiLevelType w:val="hybridMultilevel"/>
    <w:lvl w:ilvl="0">
      <w:start w:val="2"/>
      <w:numFmt w:val="decimal"/>
      <w:lvlText w:val="%1"/>
      <w:lvlJc w:val="left"/>
      <w:pPr>
        <w:ind w:left="1587" w:hanging="454"/>
        <w:jc w:val="left"/>
      </w:pPr>
      <w:rPr>
        <w:rFonts w:hint="default" w:ascii="Calibri" w:hAnsi="Calibri" w:eastAsia="Calibri" w:cs="Calibri"/>
        <w:w w:val="126"/>
        <w:sz w:val="18"/>
        <w:szCs w:val="18"/>
      </w:rPr>
    </w:lvl>
    <w:lvl w:ilvl="1">
      <w:start w:val="1"/>
      <w:numFmt w:val="decimal"/>
      <w:lvlText w:val="%2"/>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2">
      <w:start w:val="1"/>
      <w:numFmt w:val="decimal"/>
      <w:lvlText w:val="%2.%3"/>
      <w:lvlJc w:val="left"/>
      <w:pPr>
        <w:ind w:left="1984" w:hanging="681"/>
        <w:jc w:val="right"/>
      </w:pPr>
      <w:rPr>
        <w:rFonts w:hint="default" w:ascii="Calibri" w:hAnsi="Calibri" w:eastAsia="Calibri" w:cs="Calibri"/>
        <w:spacing w:val="-18"/>
        <w:w w:val="125"/>
        <w:sz w:val="20"/>
        <w:szCs w:val="20"/>
      </w:rPr>
    </w:lvl>
    <w:lvl w:ilvl="3">
      <w:start w:val="1"/>
      <w:numFmt w:val="decimal"/>
      <w:lvlText w:val="%2.%3.%4"/>
      <w:lvlJc w:val="left"/>
      <w:pPr>
        <w:ind w:left="1133" w:hanging="681"/>
        <w:jc w:val="left"/>
      </w:pPr>
      <w:rPr>
        <w:rFonts w:hint="default" w:ascii="Calibri" w:hAnsi="Calibri" w:eastAsia="Calibri" w:cs="Calibri"/>
        <w:spacing w:val="-18"/>
        <w:w w:val="125"/>
        <w:sz w:val="20"/>
        <w:szCs w:val="20"/>
      </w:rPr>
    </w:lvl>
    <w:lvl w:ilvl="4">
      <w:start w:val="0"/>
      <w:numFmt w:val="bullet"/>
      <w:lvlText w:val="•"/>
      <w:lvlJc w:val="left"/>
      <w:pPr>
        <w:ind w:left="4015" w:hanging="681"/>
      </w:pPr>
      <w:rPr>
        <w:rFonts w:hint="default"/>
      </w:rPr>
    </w:lvl>
    <w:lvl w:ilvl="5">
      <w:start w:val="0"/>
      <w:numFmt w:val="bullet"/>
      <w:lvlText w:val="•"/>
      <w:lvlJc w:val="left"/>
      <w:pPr>
        <w:ind w:left="5330" w:hanging="681"/>
      </w:pPr>
      <w:rPr>
        <w:rFonts w:hint="default"/>
      </w:rPr>
    </w:lvl>
    <w:lvl w:ilvl="6">
      <w:start w:val="0"/>
      <w:numFmt w:val="bullet"/>
      <w:lvlText w:val="•"/>
      <w:lvlJc w:val="left"/>
      <w:pPr>
        <w:ind w:left="6645" w:hanging="681"/>
      </w:pPr>
      <w:rPr>
        <w:rFonts w:hint="default"/>
      </w:rPr>
    </w:lvl>
    <w:lvl w:ilvl="7">
      <w:start w:val="0"/>
      <w:numFmt w:val="bullet"/>
      <w:lvlText w:val="•"/>
      <w:lvlJc w:val="left"/>
      <w:pPr>
        <w:ind w:left="7960" w:hanging="681"/>
      </w:pPr>
      <w:rPr>
        <w:rFonts w:hint="default"/>
      </w:rPr>
    </w:lvl>
    <w:lvl w:ilvl="8">
      <w:start w:val="0"/>
      <w:numFmt w:val="bullet"/>
      <w:lvlText w:val="•"/>
      <w:lvlJc w:val="left"/>
      <w:pPr>
        <w:ind w:left="9275" w:hanging="681"/>
      </w:pPr>
      <w:rPr>
        <w:rFonts w:hint="default"/>
      </w:rPr>
    </w:lvl>
  </w:abstractNum>
  <w:abstractNum w:abstractNumId="115">
    <w:multiLevelType w:val="hybridMultilevel"/>
    <w:lvl w:ilvl="0">
      <w:start w:val="5"/>
      <w:numFmt w:val="decimal"/>
      <w:lvlText w:val="%1"/>
      <w:lvlJc w:val="left"/>
      <w:pPr>
        <w:ind w:left="1873" w:hanging="681"/>
        <w:jc w:val="right"/>
      </w:pPr>
      <w:rPr>
        <w:rFonts w:hint="default" w:ascii="Calibri" w:hAnsi="Calibri" w:eastAsia="Calibri" w:cs="Calibri"/>
        <w:w w:val="125"/>
        <w:sz w:val="20"/>
        <w:szCs w:val="20"/>
      </w:rPr>
    </w:lvl>
    <w:lvl w:ilvl="1">
      <w:start w:val="0"/>
      <w:numFmt w:val="bullet"/>
      <w:lvlText w:val="•"/>
      <w:lvlJc w:val="left"/>
      <w:pPr>
        <w:ind w:left="2882" w:hanging="681"/>
      </w:pPr>
      <w:rPr>
        <w:rFonts w:hint="default"/>
      </w:rPr>
    </w:lvl>
    <w:lvl w:ilvl="2">
      <w:start w:val="0"/>
      <w:numFmt w:val="bullet"/>
      <w:lvlText w:val="•"/>
      <w:lvlJc w:val="left"/>
      <w:pPr>
        <w:ind w:left="3885" w:hanging="681"/>
      </w:pPr>
      <w:rPr>
        <w:rFonts w:hint="default"/>
      </w:rPr>
    </w:lvl>
    <w:lvl w:ilvl="3">
      <w:start w:val="0"/>
      <w:numFmt w:val="bullet"/>
      <w:lvlText w:val="•"/>
      <w:lvlJc w:val="left"/>
      <w:pPr>
        <w:ind w:left="4887" w:hanging="681"/>
      </w:pPr>
      <w:rPr>
        <w:rFonts w:hint="default"/>
      </w:rPr>
    </w:lvl>
    <w:lvl w:ilvl="4">
      <w:start w:val="0"/>
      <w:numFmt w:val="bullet"/>
      <w:lvlText w:val="•"/>
      <w:lvlJc w:val="left"/>
      <w:pPr>
        <w:ind w:left="5890" w:hanging="681"/>
      </w:pPr>
      <w:rPr>
        <w:rFonts w:hint="default"/>
      </w:rPr>
    </w:lvl>
    <w:lvl w:ilvl="5">
      <w:start w:val="0"/>
      <w:numFmt w:val="bullet"/>
      <w:lvlText w:val="•"/>
      <w:lvlJc w:val="left"/>
      <w:pPr>
        <w:ind w:left="6892" w:hanging="681"/>
      </w:pPr>
      <w:rPr>
        <w:rFonts w:hint="default"/>
      </w:rPr>
    </w:lvl>
    <w:lvl w:ilvl="6">
      <w:start w:val="0"/>
      <w:numFmt w:val="bullet"/>
      <w:lvlText w:val="•"/>
      <w:lvlJc w:val="left"/>
      <w:pPr>
        <w:ind w:left="7895" w:hanging="681"/>
      </w:pPr>
      <w:rPr>
        <w:rFonts w:hint="default"/>
      </w:rPr>
    </w:lvl>
    <w:lvl w:ilvl="7">
      <w:start w:val="0"/>
      <w:numFmt w:val="bullet"/>
      <w:lvlText w:val="•"/>
      <w:lvlJc w:val="left"/>
      <w:pPr>
        <w:ind w:left="8897" w:hanging="681"/>
      </w:pPr>
      <w:rPr>
        <w:rFonts w:hint="default"/>
      </w:rPr>
    </w:lvl>
    <w:lvl w:ilvl="8">
      <w:start w:val="0"/>
      <w:numFmt w:val="bullet"/>
      <w:lvlText w:val="•"/>
      <w:lvlJc w:val="left"/>
      <w:pPr>
        <w:ind w:left="9900" w:hanging="681"/>
      </w:pPr>
      <w:rPr>
        <w:rFonts w:hint="default"/>
      </w:rPr>
    </w:lvl>
  </w:abstractNum>
  <w:abstractNum w:abstractNumId="113">
    <w:multiLevelType w:val="hybridMultilevel"/>
    <w:lvl w:ilvl="0">
      <w:start w:val="1"/>
      <w:numFmt w:val="lowerLetter"/>
      <w:lvlText w:val="%1)"/>
      <w:lvlJc w:val="left"/>
      <w:pPr>
        <w:ind w:left="690" w:hanging="341"/>
        <w:jc w:val="left"/>
      </w:pPr>
      <w:rPr>
        <w:rFonts w:hint="default" w:ascii="Calibri" w:hAnsi="Calibri" w:eastAsia="Calibri" w:cs="Calibri"/>
        <w:spacing w:val="-8"/>
        <w:w w:val="113"/>
        <w:sz w:val="20"/>
        <w:szCs w:val="20"/>
      </w:rPr>
    </w:lvl>
    <w:lvl w:ilvl="1">
      <w:start w:val="0"/>
      <w:numFmt w:val="bullet"/>
      <w:lvlText w:val="•"/>
      <w:lvlJc w:val="left"/>
      <w:pPr>
        <w:ind w:left="1539" w:hanging="341"/>
      </w:pPr>
      <w:rPr>
        <w:rFonts w:hint="default"/>
      </w:rPr>
    </w:lvl>
    <w:lvl w:ilvl="2">
      <w:start w:val="0"/>
      <w:numFmt w:val="bullet"/>
      <w:lvlText w:val="•"/>
      <w:lvlJc w:val="left"/>
      <w:pPr>
        <w:ind w:left="2379" w:hanging="341"/>
      </w:pPr>
      <w:rPr>
        <w:rFonts w:hint="default"/>
      </w:rPr>
    </w:lvl>
    <w:lvl w:ilvl="3">
      <w:start w:val="0"/>
      <w:numFmt w:val="bullet"/>
      <w:lvlText w:val="•"/>
      <w:lvlJc w:val="left"/>
      <w:pPr>
        <w:ind w:left="3219" w:hanging="341"/>
      </w:pPr>
      <w:rPr>
        <w:rFonts w:hint="default"/>
      </w:rPr>
    </w:lvl>
    <w:lvl w:ilvl="4">
      <w:start w:val="0"/>
      <w:numFmt w:val="bullet"/>
      <w:lvlText w:val="•"/>
      <w:lvlJc w:val="left"/>
      <w:pPr>
        <w:ind w:left="4059" w:hanging="341"/>
      </w:pPr>
      <w:rPr>
        <w:rFonts w:hint="default"/>
      </w:rPr>
    </w:lvl>
    <w:lvl w:ilvl="5">
      <w:start w:val="0"/>
      <w:numFmt w:val="bullet"/>
      <w:lvlText w:val="•"/>
      <w:lvlJc w:val="left"/>
      <w:pPr>
        <w:ind w:left="4899" w:hanging="341"/>
      </w:pPr>
      <w:rPr>
        <w:rFonts w:hint="default"/>
      </w:rPr>
    </w:lvl>
    <w:lvl w:ilvl="6">
      <w:start w:val="0"/>
      <w:numFmt w:val="bullet"/>
      <w:lvlText w:val="•"/>
      <w:lvlJc w:val="left"/>
      <w:pPr>
        <w:ind w:left="5738" w:hanging="341"/>
      </w:pPr>
      <w:rPr>
        <w:rFonts w:hint="default"/>
      </w:rPr>
    </w:lvl>
    <w:lvl w:ilvl="7">
      <w:start w:val="0"/>
      <w:numFmt w:val="bullet"/>
      <w:lvlText w:val="•"/>
      <w:lvlJc w:val="left"/>
      <w:pPr>
        <w:ind w:left="6578" w:hanging="341"/>
      </w:pPr>
      <w:rPr>
        <w:rFonts w:hint="default"/>
      </w:rPr>
    </w:lvl>
    <w:lvl w:ilvl="8">
      <w:start w:val="0"/>
      <w:numFmt w:val="bullet"/>
      <w:lvlText w:val="•"/>
      <w:lvlJc w:val="left"/>
      <w:pPr>
        <w:ind w:left="7418" w:hanging="341"/>
      </w:pPr>
      <w:rPr>
        <w:rFonts w:hint="default"/>
      </w:rPr>
    </w:lvl>
  </w:abstractNum>
  <w:abstractNum w:abstractNumId="112">
    <w:multiLevelType w:val="hybridMultilevel"/>
    <w:lvl w:ilvl="0">
      <w:start w:val="1"/>
      <w:numFmt w:val="decimal"/>
      <w:lvlText w:val="%1"/>
      <w:lvlJc w:val="left"/>
      <w:pPr>
        <w:ind w:left="1133" w:hanging="681"/>
        <w:jc w:val="left"/>
      </w:pPr>
      <w:rPr>
        <w:rFonts w:hint="default" w:ascii="Calibri" w:hAnsi="Calibri" w:eastAsia="Calibri" w:cs="Calibri"/>
        <w:w w:val="125"/>
        <w:sz w:val="20"/>
        <w:szCs w:val="20"/>
      </w:rPr>
    </w:lvl>
    <w:lvl w:ilvl="1">
      <w:start w:val="0"/>
      <w:numFmt w:val="bullet"/>
      <w:lvlText w:val="•"/>
      <w:lvlJc w:val="left"/>
      <w:pPr>
        <w:ind w:left="2216" w:hanging="681"/>
      </w:pPr>
      <w:rPr>
        <w:rFonts w:hint="default"/>
      </w:rPr>
    </w:lvl>
    <w:lvl w:ilvl="2">
      <w:start w:val="0"/>
      <w:numFmt w:val="bullet"/>
      <w:lvlText w:val="•"/>
      <w:lvlJc w:val="left"/>
      <w:pPr>
        <w:ind w:left="3293" w:hanging="681"/>
      </w:pPr>
      <w:rPr>
        <w:rFonts w:hint="default"/>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111">
    <w:multiLevelType w:val="hybridMultilevel"/>
    <w:lvl w:ilvl="0">
      <w:start w:val="1"/>
      <w:numFmt w:val="lowerLetter"/>
      <w:lvlText w:val="%1)"/>
      <w:lvlJc w:val="left"/>
      <w:pPr>
        <w:ind w:left="1814" w:hanging="681"/>
        <w:jc w:val="left"/>
      </w:pPr>
      <w:rPr>
        <w:rFonts w:hint="default" w:ascii="Calibri" w:hAnsi="Calibri" w:eastAsia="Calibri" w:cs="Calibri"/>
        <w:spacing w:val="-13"/>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10">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09">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07">
    <w:multiLevelType w:val="hybridMultilevel"/>
    <w:lvl w:ilvl="0">
      <w:start w:val="1"/>
      <w:numFmt w:val="lowerRoman"/>
      <w:lvlText w:val="(%1)"/>
      <w:lvlJc w:val="left"/>
      <w:pPr>
        <w:ind w:left="2664" w:hanging="681"/>
        <w:jc w:val="left"/>
      </w:pPr>
      <w:rPr>
        <w:rFonts w:hint="default" w:ascii="Calibri" w:hAnsi="Calibri" w:eastAsia="Calibri" w:cs="Calibri"/>
        <w:spacing w:val="-4"/>
        <w:w w:val="122"/>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06">
    <w:multiLevelType w:val="hybridMultilevel"/>
    <w:lvl w:ilvl="0">
      <w:start w:val="1"/>
      <w:numFmt w:val="lowerRoman"/>
      <w:lvlText w:val="(%1)"/>
      <w:lvlJc w:val="left"/>
      <w:pPr>
        <w:ind w:left="1814" w:hanging="681"/>
        <w:jc w:val="left"/>
      </w:pPr>
      <w:rPr>
        <w:rFonts w:hint="default" w:ascii="Calibri" w:hAnsi="Calibri" w:eastAsia="Calibri" w:cs="Calibri"/>
        <w:spacing w:val="-4"/>
        <w:w w:val="122"/>
        <w:sz w:val="20"/>
        <w:szCs w:val="20"/>
      </w:rPr>
    </w:lvl>
    <w:lvl w:ilvl="1">
      <w:start w:val="10"/>
      <w:numFmt w:val="lowerRoman"/>
      <w:lvlText w:val="(%2)"/>
      <w:lvlJc w:val="left"/>
      <w:pPr>
        <w:ind w:left="2573" w:hanging="721"/>
        <w:jc w:val="left"/>
      </w:pPr>
      <w:rPr>
        <w:rFonts w:hint="default" w:ascii="Calibri" w:hAnsi="Calibri" w:eastAsia="Calibri" w:cs="Calibri"/>
        <w:spacing w:val="-11"/>
        <w:w w:val="120"/>
        <w:sz w:val="20"/>
        <w:szCs w:val="20"/>
      </w:rPr>
    </w:lvl>
    <w:lvl w:ilvl="2">
      <w:start w:val="1"/>
      <w:numFmt w:val="lowerRoman"/>
      <w:lvlText w:val="(%3)"/>
      <w:lvlJc w:val="left"/>
      <w:pPr>
        <w:ind w:left="3293" w:hanging="721"/>
        <w:jc w:val="left"/>
      </w:pPr>
      <w:rPr>
        <w:rFonts w:hint="default" w:ascii="Calibri" w:hAnsi="Calibri" w:eastAsia="Calibri" w:cs="Calibri"/>
        <w:spacing w:val="-4"/>
        <w:w w:val="122"/>
        <w:sz w:val="20"/>
        <w:szCs w:val="20"/>
      </w:rPr>
    </w:lvl>
    <w:lvl w:ilvl="3">
      <w:start w:val="0"/>
      <w:numFmt w:val="bullet"/>
      <w:lvlText w:val="•"/>
      <w:lvlJc w:val="left"/>
      <w:pPr>
        <w:ind w:left="4375" w:hanging="721"/>
      </w:pPr>
      <w:rPr>
        <w:rFonts w:hint="default"/>
      </w:rPr>
    </w:lvl>
    <w:lvl w:ilvl="4">
      <w:start w:val="0"/>
      <w:numFmt w:val="bullet"/>
      <w:lvlText w:val="•"/>
      <w:lvlJc w:val="left"/>
      <w:pPr>
        <w:ind w:left="5451" w:hanging="721"/>
      </w:pPr>
      <w:rPr>
        <w:rFonts w:hint="default"/>
      </w:rPr>
    </w:lvl>
    <w:lvl w:ilvl="5">
      <w:start w:val="0"/>
      <w:numFmt w:val="bullet"/>
      <w:lvlText w:val="•"/>
      <w:lvlJc w:val="left"/>
      <w:pPr>
        <w:ind w:left="6527" w:hanging="721"/>
      </w:pPr>
      <w:rPr>
        <w:rFonts w:hint="default"/>
      </w:rPr>
    </w:lvl>
    <w:lvl w:ilvl="6">
      <w:start w:val="0"/>
      <w:numFmt w:val="bullet"/>
      <w:lvlText w:val="•"/>
      <w:lvlJc w:val="left"/>
      <w:pPr>
        <w:ind w:left="7602" w:hanging="721"/>
      </w:pPr>
      <w:rPr>
        <w:rFonts w:hint="default"/>
      </w:rPr>
    </w:lvl>
    <w:lvl w:ilvl="7">
      <w:start w:val="0"/>
      <w:numFmt w:val="bullet"/>
      <w:lvlText w:val="•"/>
      <w:lvlJc w:val="left"/>
      <w:pPr>
        <w:ind w:left="8678" w:hanging="721"/>
      </w:pPr>
      <w:rPr>
        <w:rFonts w:hint="default"/>
      </w:rPr>
    </w:lvl>
    <w:lvl w:ilvl="8">
      <w:start w:val="0"/>
      <w:numFmt w:val="bullet"/>
      <w:lvlText w:val="•"/>
      <w:lvlJc w:val="left"/>
      <w:pPr>
        <w:ind w:left="9754" w:hanging="721"/>
      </w:pPr>
      <w:rPr>
        <w:rFonts w:hint="default"/>
      </w:rPr>
    </w:lvl>
  </w:abstractNum>
  <w:abstractNum w:abstractNumId="105">
    <w:multiLevelType w:val="hybridMultilevel"/>
    <w:lvl w:ilvl="0">
      <w:start w:val="1"/>
      <w:numFmt w:val="decimal"/>
      <w:lvlText w:val="%1"/>
      <w:lvlJc w:val="left"/>
      <w:pPr>
        <w:ind w:left="2437" w:hanging="454"/>
        <w:jc w:val="left"/>
      </w:pPr>
      <w:rPr>
        <w:rFonts w:hint="default" w:ascii="Calibri" w:hAnsi="Calibri" w:eastAsia="Calibri" w:cs="Calibri"/>
        <w:w w:val="123"/>
        <w:sz w:val="18"/>
        <w:szCs w:val="18"/>
      </w:rPr>
    </w:lvl>
    <w:lvl w:ilvl="1">
      <w:start w:val="0"/>
      <w:numFmt w:val="bullet"/>
      <w:lvlText w:val="•"/>
      <w:lvlJc w:val="left"/>
      <w:pPr>
        <w:ind w:left="3386" w:hanging="454"/>
      </w:pPr>
      <w:rPr>
        <w:rFonts w:hint="default"/>
      </w:rPr>
    </w:lvl>
    <w:lvl w:ilvl="2">
      <w:start w:val="0"/>
      <w:numFmt w:val="bullet"/>
      <w:lvlText w:val="•"/>
      <w:lvlJc w:val="left"/>
      <w:pPr>
        <w:ind w:left="4333" w:hanging="454"/>
      </w:pPr>
      <w:rPr>
        <w:rFonts w:hint="default"/>
      </w:rPr>
    </w:lvl>
    <w:lvl w:ilvl="3">
      <w:start w:val="0"/>
      <w:numFmt w:val="bullet"/>
      <w:lvlText w:val="•"/>
      <w:lvlJc w:val="left"/>
      <w:pPr>
        <w:ind w:left="5279" w:hanging="454"/>
      </w:pPr>
      <w:rPr>
        <w:rFonts w:hint="default"/>
      </w:rPr>
    </w:lvl>
    <w:lvl w:ilvl="4">
      <w:start w:val="0"/>
      <w:numFmt w:val="bullet"/>
      <w:lvlText w:val="•"/>
      <w:lvlJc w:val="left"/>
      <w:pPr>
        <w:ind w:left="6226" w:hanging="454"/>
      </w:pPr>
      <w:rPr>
        <w:rFonts w:hint="default"/>
      </w:rPr>
    </w:lvl>
    <w:lvl w:ilvl="5">
      <w:start w:val="0"/>
      <w:numFmt w:val="bullet"/>
      <w:lvlText w:val="•"/>
      <w:lvlJc w:val="left"/>
      <w:pPr>
        <w:ind w:left="7172" w:hanging="454"/>
      </w:pPr>
      <w:rPr>
        <w:rFonts w:hint="default"/>
      </w:rPr>
    </w:lvl>
    <w:lvl w:ilvl="6">
      <w:start w:val="0"/>
      <w:numFmt w:val="bullet"/>
      <w:lvlText w:val="•"/>
      <w:lvlJc w:val="left"/>
      <w:pPr>
        <w:ind w:left="8119" w:hanging="454"/>
      </w:pPr>
      <w:rPr>
        <w:rFonts w:hint="default"/>
      </w:rPr>
    </w:lvl>
    <w:lvl w:ilvl="7">
      <w:start w:val="0"/>
      <w:numFmt w:val="bullet"/>
      <w:lvlText w:val="•"/>
      <w:lvlJc w:val="left"/>
      <w:pPr>
        <w:ind w:left="9065" w:hanging="454"/>
      </w:pPr>
      <w:rPr>
        <w:rFonts w:hint="default"/>
      </w:rPr>
    </w:lvl>
    <w:lvl w:ilvl="8">
      <w:start w:val="0"/>
      <w:numFmt w:val="bullet"/>
      <w:lvlText w:val="•"/>
      <w:lvlJc w:val="left"/>
      <w:pPr>
        <w:ind w:left="10012" w:hanging="454"/>
      </w:pPr>
      <w:rPr>
        <w:rFonts w:hint="default"/>
      </w:rPr>
    </w:lvl>
  </w:abstractNum>
  <w:abstractNum w:abstractNumId="104">
    <w:multiLevelType w:val="hybridMultilevel"/>
    <w:lvl w:ilvl="0">
      <w:start w:val="1"/>
      <w:numFmt w:val="lowerRoman"/>
      <w:lvlText w:val="(%1)"/>
      <w:lvlJc w:val="left"/>
      <w:pPr>
        <w:ind w:left="2664" w:hanging="681"/>
        <w:jc w:val="right"/>
      </w:pPr>
      <w:rPr>
        <w:rFonts w:hint="default" w:ascii="Calibri" w:hAnsi="Calibri" w:eastAsia="Calibri" w:cs="Calibri"/>
        <w:spacing w:val="-4"/>
        <w:w w:val="122"/>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103">
    <w:multiLevelType w:val="hybridMultilevel"/>
    <w:lvl w:ilvl="0">
      <w:start w:val="1"/>
      <w:numFmt w:val="decimal"/>
      <w:lvlText w:val="%1"/>
      <w:lvlJc w:val="left"/>
      <w:pPr>
        <w:ind w:left="1984" w:hanging="681"/>
        <w:jc w:val="right"/>
      </w:pPr>
      <w:rPr>
        <w:rFonts w:hint="default"/>
        <w:w w:val="129"/>
      </w:rPr>
    </w:lvl>
    <w:lvl w:ilvl="1">
      <w:start w:val="0"/>
      <w:numFmt w:val="bullet"/>
      <w:lvlText w:val="•"/>
      <w:lvlJc w:val="left"/>
      <w:pPr>
        <w:ind w:left="2972" w:hanging="681"/>
      </w:pPr>
      <w:rPr>
        <w:rFonts w:hint="default"/>
      </w:rPr>
    </w:lvl>
    <w:lvl w:ilvl="2">
      <w:start w:val="0"/>
      <w:numFmt w:val="bullet"/>
      <w:lvlText w:val="•"/>
      <w:lvlJc w:val="left"/>
      <w:pPr>
        <w:ind w:left="3965" w:hanging="681"/>
      </w:pPr>
      <w:rPr>
        <w:rFonts w:hint="default"/>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102">
    <w:multiLevelType w:val="hybridMultilevel"/>
    <w:lvl w:ilvl="0">
      <w:start w:val="0"/>
      <w:numFmt w:val="bullet"/>
      <w:lvlText w:val=""/>
      <w:lvlJc w:val="left"/>
      <w:pPr>
        <w:ind w:left="1814" w:hanging="681"/>
      </w:pPr>
      <w:rPr>
        <w:rFonts w:hint="default" w:ascii="Wingdings" w:hAnsi="Wingdings" w:eastAsia="Wingdings" w:cs="Wingdings"/>
        <w:w w:val="110"/>
        <w:position w:val="-3"/>
        <w:sz w:val="29"/>
        <w:szCs w:val="29"/>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01">
    <w:multiLevelType w:val="hybridMultilevel"/>
    <w:lvl w:ilvl="0">
      <w:start w:val="0"/>
      <w:numFmt w:val="bullet"/>
      <w:lvlText w:val=""/>
      <w:lvlJc w:val="left"/>
      <w:pPr>
        <w:ind w:left="2579" w:hanging="681"/>
      </w:pPr>
      <w:rPr>
        <w:rFonts w:hint="default" w:ascii="Wingdings" w:hAnsi="Wingdings" w:eastAsia="Wingdings" w:cs="Wingdings"/>
        <w:w w:val="110"/>
        <w:position w:val="-3"/>
        <w:sz w:val="29"/>
        <w:szCs w:val="29"/>
      </w:rPr>
    </w:lvl>
    <w:lvl w:ilvl="1">
      <w:start w:val="0"/>
      <w:numFmt w:val="bullet"/>
      <w:lvlText w:val="•"/>
      <w:lvlJc w:val="left"/>
      <w:pPr>
        <w:ind w:left="3512" w:hanging="681"/>
      </w:pPr>
      <w:rPr>
        <w:rFonts w:hint="default"/>
      </w:rPr>
    </w:lvl>
    <w:lvl w:ilvl="2">
      <w:start w:val="0"/>
      <w:numFmt w:val="bullet"/>
      <w:lvlText w:val="•"/>
      <w:lvlJc w:val="left"/>
      <w:pPr>
        <w:ind w:left="4445" w:hanging="681"/>
      </w:pPr>
      <w:rPr>
        <w:rFonts w:hint="default"/>
      </w:rPr>
    </w:lvl>
    <w:lvl w:ilvl="3">
      <w:start w:val="0"/>
      <w:numFmt w:val="bullet"/>
      <w:lvlText w:val="•"/>
      <w:lvlJc w:val="left"/>
      <w:pPr>
        <w:ind w:left="5377" w:hanging="681"/>
      </w:pPr>
      <w:rPr>
        <w:rFonts w:hint="default"/>
      </w:rPr>
    </w:lvl>
    <w:lvl w:ilvl="4">
      <w:start w:val="0"/>
      <w:numFmt w:val="bullet"/>
      <w:lvlText w:val="•"/>
      <w:lvlJc w:val="left"/>
      <w:pPr>
        <w:ind w:left="6310" w:hanging="681"/>
      </w:pPr>
      <w:rPr>
        <w:rFonts w:hint="default"/>
      </w:rPr>
    </w:lvl>
    <w:lvl w:ilvl="5">
      <w:start w:val="0"/>
      <w:numFmt w:val="bullet"/>
      <w:lvlText w:val="•"/>
      <w:lvlJc w:val="left"/>
      <w:pPr>
        <w:ind w:left="7242" w:hanging="681"/>
      </w:pPr>
      <w:rPr>
        <w:rFonts w:hint="default"/>
      </w:rPr>
    </w:lvl>
    <w:lvl w:ilvl="6">
      <w:start w:val="0"/>
      <w:numFmt w:val="bullet"/>
      <w:lvlText w:val="•"/>
      <w:lvlJc w:val="left"/>
      <w:pPr>
        <w:ind w:left="8175" w:hanging="681"/>
      </w:pPr>
      <w:rPr>
        <w:rFonts w:hint="default"/>
      </w:rPr>
    </w:lvl>
    <w:lvl w:ilvl="7">
      <w:start w:val="0"/>
      <w:numFmt w:val="bullet"/>
      <w:lvlText w:val="•"/>
      <w:lvlJc w:val="left"/>
      <w:pPr>
        <w:ind w:left="9107" w:hanging="681"/>
      </w:pPr>
      <w:rPr>
        <w:rFonts w:hint="default"/>
      </w:rPr>
    </w:lvl>
    <w:lvl w:ilvl="8">
      <w:start w:val="0"/>
      <w:numFmt w:val="bullet"/>
      <w:lvlText w:val="•"/>
      <w:lvlJc w:val="left"/>
      <w:pPr>
        <w:ind w:left="10040" w:hanging="681"/>
      </w:pPr>
      <w:rPr>
        <w:rFonts w:hint="default"/>
      </w:rPr>
    </w:lvl>
  </w:abstractNum>
  <w:abstractNum w:abstractNumId="100">
    <w:multiLevelType w:val="hybridMultilevel"/>
    <w:lvl w:ilvl="0">
      <w:start w:val="1"/>
      <w:numFmt w:val="decimal"/>
      <w:lvlText w:val="%1"/>
      <w:lvlJc w:val="left"/>
      <w:pPr>
        <w:ind w:left="1853" w:hanging="720"/>
        <w:jc w:val="lef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134" w:hanging="681"/>
        <w:jc w:val="left"/>
      </w:pPr>
      <w:rPr>
        <w:rFonts w:hint="default" w:ascii="Calibri" w:hAnsi="Calibri" w:eastAsia="Calibri" w:cs="Calibri"/>
        <w:spacing w:val="-20"/>
        <w:w w:val="125"/>
        <w:sz w:val="20"/>
        <w:szCs w:val="20"/>
      </w:rPr>
    </w:lvl>
    <w:lvl w:ilvl="2">
      <w:start w:val="1"/>
      <w:numFmt w:val="decimal"/>
      <w:lvlText w:val="%1.%2.%3"/>
      <w:lvlJc w:val="left"/>
      <w:pPr>
        <w:ind w:left="1984" w:hanging="681"/>
        <w:jc w:val="right"/>
      </w:pPr>
      <w:rPr>
        <w:rFonts w:hint="default" w:ascii="Calibri" w:hAnsi="Calibri" w:eastAsia="Calibri" w:cs="Calibri"/>
        <w:spacing w:val="-18"/>
        <w:w w:val="125"/>
        <w:sz w:val="20"/>
        <w:szCs w:val="20"/>
      </w:rPr>
    </w:lvl>
    <w:lvl w:ilvl="3">
      <w:start w:val="0"/>
      <w:numFmt w:val="bullet"/>
      <w:lvlText w:val="•"/>
      <w:lvlJc w:val="left"/>
      <w:pPr>
        <w:ind w:left="3220" w:hanging="681"/>
      </w:pPr>
      <w:rPr>
        <w:rFonts w:hint="default"/>
      </w:rPr>
    </w:lvl>
    <w:lvl w:ilvl="4">
      <w:start w:val="0"/>
      <w:numFmt w:val="bullet"/>
      <w:lvlText w:val="•"/>
      <w:lvlJc w:val="left"/>
      <w:pPr>
        <w:ind w:left="4461" w:hanging="681"/>
      </w:pPr>
      <w:rPr>
        <w:rFonts w:hint="default"/>
      </w:rPr>
    </w:lvl>
    <w:lvl w:ilvl="5">
      <w:start w:val="0"/>
      <w:numFmt w:val="bullet"/>
      <w:lvlText w:val="•"/>
      <w:lvlJc w:val="left"/>
      <w:pPr>
        <w:ind w:left="5702" w:hanging="681"/>
      </w:pPr>
      <w:rPr>
        <w:rFonts w:hint="default"/>
      </w:rPr>
    </w:lvl>
    <w:lvl w:ilvl="6">
      <w:start w:val="0"/>
      <w:numFmt w:val="bullet"/>
      <w:lvlText w:val="•"/>
      <w:lvlJc w:val="left"/>
      <w:pPr>
        <w:ind w:left="6942" w:hanging="681"/>
      </w:pPr>
      <w:rPr>
        <w:rFonts w:hint="default"/>
      </w:rPr>
    </w:lvl>
    <w:lvl w:ilvl="7">
      <w:start w:val="0"/>
      <w:numFmt w:val="bullet"/>
      <w:lvlText w:val="•"/>
      <w:lvlJc w:val="left"/>
      <w:pPr>
        <w:ind w:left="8183" w:hanging="681"/>
      </w:pPr>
      <w:rPr>
        <w:rFonts w:hint="default"/>
      </w:rPr>
    </w:lvl>
    <w:lvl w:ilvl="8">
      <w:start w:val="0"/>
      <w:numFmt w:val="bullet"/>
      <w:lvlText w:val="•"/>
      <w:lvlJc w:val="left"/>
      <w:pPr>
        <w:ind w:left="9424" w:hanging="681"/>
      </w:pPr>
      <w:rPr>
        <w:rFonts w:hint="default"/>
      </w:rPr>
    </w:lvl>
  </w:abstractNum>
  <w:abstractNum w:abstractNumId="99">
    <w:multiLevelType w:val="hybridMultilevel"/>
    <w:lvl w:ilvl="0">
      <w:start w:val="1"/>
      <w:numFmt w:val="lowerLetter"/>
      <w:lvlText w:val="%1)"/>
      <w:lvlJc w:val="left"/>
      <w:pPr>
        <w:ind w:left="1814" w:hanging="681"/>
        <w:jc w:val="right"/>
      </w:pPr>
      <w:rPr>
        <w:rFonts w:hint="default" w:ascii="Calibri" w:hAnsi="Calibri" w:eastAsia="Calibri" w:cs="Calibri"/>
        <w:spacing w:val="-11"/>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98">
    <w:multiLevelType w:val="hybridMultilevel"/>
    <w:lvl w:ilvl="0">
      <w:start w:val="1"/>
      <w:numFmt w:val="lowerLetter"/>
      <w:lvlText w:val="%1)"/>
      <w:lvlJc w:val="left"/>
      <w:pPr>
        <w:ind w:left="1814" w:hanging="681"/>
        <w:jc w:val="left"/>
      </w:pPr>
      <w:rPr>
        <w:rFonts w:hint="default" w:ascii="Calibri" w:hAnsi="Calibri" w:eastAsia="Calibri" w:cs="Calibri"/>
        <w:spacing w:val="-13"/>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97">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6">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5">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4">
    <w:multiLevelType w:val="hybridMultilevel"/>
    <w:lvl w:ilvl="0">
      <w:start w:val="1"/>
      <w:numFmt w:val="lowerLetter"/>
      <w:lvlText w:val="%1)"/>
      <w:lvlJc w:val="left"/>
      <w:pPr>
        <w:ind w:left="2664" w:hanging="681"/>
        <w:jc w:val="lef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3">
    <w:multiLevelType w:val="hybridMultilevel"/>
    <w:lvl w:ilvl="0">
      <w:start w:val="1"/>
      <w:numFmt w:val="decimal"/>
      <w:lvlText w:val="%1"/>
      <w:lvlJc w:val="left"/>
      <w:pPr>
        <w:ind w:left="1247" w:hanging="454"/>
        <w:jc w:val="left"/>
      </w:pPr>
      <w:rPr>
        <w:rFonts w:hint="default" w:ascii="Calibri" w:hAnsi="Calibri" w:eastAsia="Calibri" w:cs="Calibri"/>
        <w:w w:val="123"/>
        <w:sz w:val="18"/>
        <w:szCs w:val="18"/>
      </w:rPr>
    </w:lvl>
    <w:lvl w:ilvl="1">
      <w:start w:val="4"/>
      <w:numFmt w:val="decimal"/>
      <w:lvlText w:val="%2"/>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2">
      <w:start w:val="1"/>
      <w:numFmt w:val="decimal"/>
      <w:lvlText w:val="%2.%3"/>
      <w:lvlJc w:val="left"/>
      <w:pPr>
        <w:ind w:left="1984" w:hanging="681"/>
        <w:jc w:val="left"/>
      </w:pPr>
      <w:rPr>
        <w:rFonts w:hint="default"/>
        <w:spacing w:val="-18"/>
        <w:w w:val="125"/>
      </w:rPr>
    </w:lvl>
    <w:lvl w:ilvl="3">
      <w:start w:val="1"/>
      <w:numFmt w:val="decimal"/>
      <w:lvlText w:val="%2.%3.%4"/>
      <w:lvlJc w:val="left"/>
      <w:pPr>
        <w:ind w:left="1853" w:hanging="681"/>
        <w:jc w:val="left"/>
      </w:pPr>
      <w:rPr>
        <w:rFonts w:hint="default" w:ascii="Calibri" w:hAnsi="Calibri" w:eastAsia="Calibri" w:cs="Calibri"/>
        <w:spacing w:val="-18"/>
        <w:w w:val="125"/>
        <w:sz w:val="20"/>
        <w:szCs w:val="20"/>
      </w:rPr>
    </w:lvl>
    <w:lvl w:ilvl="4">
      <w:start w:val="0"/>
      <w:numFmt w:val="bullet"/>
      <w:lvlText w:val="•"/>
      <w:lvlJc w:val="left"/>
      <w:pPr>
        <w:ind w:left="1980" w:hanging="681"/>
      </w:pPr>
      <w:rPr>
        <w:rFonts w:hint="default"/>
      </w:rPr>
    </w:lvl>
    <w:lvl w:ilvl="5">
      <w:start w:val="0"/>
      <w:numFmt w:val="bullet"/>
      <w:lvlText w:val="•"/>
      <w:lvlJc w:val="left"/>
      <w:pPr>
        <w:ind w:left="2700" w:hanging="681"/>
      </w:pPr>
      <w:rPr>
        <w:rFonts w:hint="default"/>
      </w:rPr>
    </w:lvl>
    <w:lvl w:ilvl="6">
      <w:start w:val="0"/>
      <w:numFmt w:val="bullet"/>
      <w:lvlText w:val="•"/>
      <w:lvlJc w:val="left"/>
      <w:pPr>
        <w:ind w:left="4541" w:hanging="681"/>
      </w:pPr>
      <w:rPr>
        <w:rFonts w:hint="default"/>
      </w:rPr>
    </w:lvl>
    <w:lvl w:ilvl="7">
      <w:start w:val="0"/>
      <w:numFmt w:val="bullet"/>
      <w:lvlText w:val="•"/>
      <w:lvlJc w:val="left"/>
      <w:pPr>
        <w:ind w:left="6382" w:hanging="681"/>
      </w:pPr>
      <w:rPr>
        <w:rFonts w:hint="default"/>
      </w:rPr>
    </w:lvl>
    <w:lvl w:ilvl="8">
      <w:start w:val="0"/>
      <w:numFmt w:val="bullet"/>
      <w:lvlText w:val="•"/>
      <w:lvlJc w:val="left"/>
      <w:pPr>
        <w:ind w:left="8223" w:hanging="681"/>
      </w:pPr>
      <w:rPr>
        <w:rFonts w:hint="default"/>
      </w:rPr>
    </w:lvl>
  </w:abstractNum>
  <w:abstractNum w:abstractNumId="92">
    <w:multiLevelType w:val="hybridMultilevel"/>
    <w:lvl w:ilvl="0">
      <w:start w:val="1"/>
      <w:numFmt w:val="decimal"/>
      <w:lvlText w:val="%1"/>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984" w:hanging="681"/>
        <w:jc w:val="left"/>
      </w:pPr>
      <w:rPr>
        <w:rFonts w:hint="default" w:ascii="Calibri" w:hAnsi="Calibri" w:eastAsia="Calibri" w:cs="Calibri"/>
        <w:spacing w:val="-18"/>
        <w:w w:val="125"/>
        <w:sz w:val="20"/>
        <w:szCs w:val="20"/>
      </w:rPr>
    </w:lvl>
    <w:lvl w:ilvl="2">
      <w:start w:val="0"/>
      <w:numFmt w:val="bullet"/>
      <w:lvlText w:val="•"/>
      <w:lvlJc w:val="left"/>
      <w:pPr>
        <w:ind w:left="2700" w:hanging="681"/>
      </w:pPr>
      <w:rPr>
        <w:rFonts w:hint="default"/>
      </w:rPr>
    </w:lvl>
    <w:lvl w:ilvl="3">
      <w:start w:val="0"/>
      <w:numFmt w:val="bullet"/>
      <w:lvlText w:val="•"/>
      <w:lvlJc w:val="left"/>
      <w:pPr>
        <w:ind w:left="3850" w:hanging="681"/>
      </w:pPr>
      <w:rPr>
        <w:rFonts w:hint="default"/>
      </w:rPr>
    </w:lvl>
    <w:lvl w:ilvl="4">
      <w:start w:val="0"/>
      <w:numFmt w:val="bullet"/>
      <w:lvlText w:val="•"/>
      <w:lvlJc w:val="left"/>
      <w:pPr>
        <w:ind w:left="5001" w:hanging="681"/>
      </w:pPr>
      <w:rPr>
        <w:rFonts w:hint="default"/>
      </w:rPr>
    </w:lvl>
    <w:lvl w:ilvl="5">
      <w:start w:val="0"/>
      <w:numFmt w:val="bullet"/>
      <w:lvlText w:val="•"/>
      <w:lvlJc w:val="left"/>
      <w:pPr>
        <w:ind w:left="6152" w:hanging="681"/>
      </w:pPr>
      <w:rPr>
        <w:rFonts w:hint="default"/>
      </w:rPr>
    </w:lvl>
    <w:lvl w:ilvl="6">
      <w:start w:val="0"/>
      <w:numFmt w:val="bullet"/>
      <w:lvlText w:val="•"/>
      <w:lvlJc w:val="left"/>
      <w:pPr>
        <w:ind w:left="7302" w:hanging="681"/>
      </w:pPr>
      <w:rPr>
        <w:rFonts w:hint="default"/>
      </w:rPr>
    </w:lvl>
    <w:lvl w:ilvl="7">
      <w:start w:val="0"/>
      <w:numFmt w:val="bullet"/>
      <w:lvlText w:val="•"/>
      <w:lvlJc w:val="left"/>
      <w:pPr>
        <w:ind w:left="8453" w:hanging="681"/>
      </w:pPr>
      <w:rPr>
        <w:rFonts w:hint="default"/>
      </w:rPr>
    </w:lvl>
    <w:lvl w:ilvl="8">
      <w:start w:val="0"/>
      <w:numFmt w:val="bullet"/>
      <w:lvlText w:val="•"/>
      <w:lvlJc w:val="left"/>
      <w:pPr>
        <w:ind w:left="9604" w:hanging="681"/>
      </w:pPr>
      <w:rPr>
        <w:rFonts w:hint="default"/>
      </w:rPr>
    </w:lvl>
  </w:abstractNum>
  <w:abstractNum w:abstractNumId="91">
    <w:multiLevelType w:val="hybridMultilevel"/>
    <w:lvl w:ilvl="0">
      <w:start w:val="1"/>
      <w:numFmt w:val="decimal"/>
      <w:lvlText w:val="%1."/>
      <w:lvlJc w:val="left"/>
      <w:pPr>
        <w:ind w:left="2664" w:hanging="681"/>
        <w:jc w:val="left"/>
      </w:pPr>
      <w:rPr>
        <w:rFonts w:hint="default" w:ascii="Calibri" w:hAnsi="Calibri" w:eastAsia="Calibri" w:cs="Calibri"/>
        <w:spacing w:val="-13"/>
        <w:w w:val="125"/>
        <w:sz w:val="20"/>
        <w:szCs w:val="20"/>
      </w:rPr>
    </w:lvl>
    <w:lvl w:ilvl="1">
      <w:start w:val="1"/>
      <w:numFmt w:val="decimal"/>
      <w:lvlText w:val="%1.%2"/>
      <w:lvlJc w:val="left"/>
      <w:pPr>
        <w:ind w:left="2664" w:hanging="681"/>
        <w:jc w:val="left"/>
      </w:pPr>
      <w:rPr>
        <w:rFonts w:hint="default" w:ascii="Calibri" w:hAnsi="Calibri" w:eastAsia="Calibri" w:cs="Calibri"/>
        <w:spacing w:val="-18"/>
        <w:w w:val="125"/>
        <w:sz w:val="20"/>
        <w:szCs w:val="20"/>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90">
    <w:multiLevelType w:val="hybridMultilevel"/>
    <w:lvl w:ilvl="0">
      <w:start w:val="12"/>
      <w:numFmt w:val="upperLetter"/>
      <w:lvlText w:val="%1"/>
      <w:lvlJc w:val="left"/>
      <w:pPr>
        <w:ind w:left="3004" w:hanging="1021"/>
        <w:jc w:val="left"/>
      </w:pPr>
      <w:rPr>
        <w:rFonts w:hint="default"/>
      </w:rPr>
    </w:lvl>
    <w:lvl w:ilvl="1">
      <w:start w:val="11"/>
      <w:numFmt w:val="decimal"/>
      <w:lvlText w:val="%1.%2"/>
      <w:lvlJc w:val="left"/>
      <w:pPr>
        <w:ind w:left="3004" w:hanging="1021"/>
        <w:jc w:val="left"/>
      </w:pPr>
      <w:rPr>
        <w:rFonts w:hint="default"/>
      </w:rPr>
    </w:lvl>
    <w:lvl w:ilvl="2">
      <w:start w:val="2"/>
      <w:numFmt w:val="decimal"/>
      <w:lvlText w:val="%1.%2.%3"/>
      <w:lvlJc w:val="left"/>
      <w:pPr>
        <w:ind w:left="3004" w:hanging="1021"/>
        <w:jc w:val="left"/>
      </w:pPr>
      <w:rPr>
        <w:rFonts w:hint="default" w:ascii="Stone Sans II ITC Std Bk" w:hAnsi="Stone Sans II ITC Std Bk" w:eastAsia="Stone Sans II ITC Std Bk" w:cs="Stone Sans II ITC Std Bk"/>
        <w:b/>
        <w:bCs/>
        <w:spacing w:val="-22"/>
        <w:w w:val="110"/>
        <w:sz w:val="20"/>
        <w:szCs w:val="20"/>
      </w:rPr>
    </w:lvl>
    <w:lvl w:ilvl="3">
      <w:start w:val="0"/>
      <w:numFmt w:val="bullet"/>
      <w:lvlText w:val="•"/>
      <w:lvlJc w:val="left"/>
      <w:pPr>
        <w:ind w:left="5671" w:hanging="1021"/>
      </w:pPr>
      <w:rPr>
        <w:rFonts w:hint="default"/>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89">
    <w:multiLevelType w:val="hybridMultilevel"/>
    <w:lvl w:ilvl="0">
      <w:start w:val="8"/>
      <w:numFmt w:val="upperLetter"/>
      <w:lvlText w:val="%1"/>
      <w:lvlJc w:val="left"/>
      <w:pPr>
        <w:ind w:left="3005" w:hanging="1021"/>
        <w:jc w:val="left"/>
      </w:pPr>
      <w:rPr>
        <w:rFonts w:hint="default"/>
      </w:rPr>
    </w:lvl>
    <w:lvl w:ilvl="1">
      <w:start w:val="17"/>
      <w:numFmt w:val="decimal"/>
      <w:lvlText w:val="%1.%2"/>
      <w:lvlJc w:val="left"/>
      <w:pPr>
        <w:ind w:left="3005" w:hanging="1021"/>
        <w:jc w:val="left"/>
      </w:pPr>
      <w:rPr>
        <w:rFonts w:hint="default" w:ascii="Stone Sans II ITC Std Bk" w:hAnsi="Stone Sans II ITC Std Bk" w:eastAsia="Stone Sans II ITC Std Bk" w:cs="Stone Sans II ITC Std Bk"/>
        <w:b/>
        <w:bCs/>
        <w:spacing w:val="-21"/>
        <w:w w:val="110"/>
        <w:sz w:val="20"/>
        <w:szCs w:val="20"/>
      </w:rPr>
    </w:lvl>
    <w:lvl w:ilvl="2">
      <w:start w:val="0"/>
      <w:numFmt w:val="bullet"/>
      <w:lvlText w:val="•"/>
      <w:lvlJc w:val="left"/>
      <w:pPr>
        <w:ind w:left="4781" w:hanging="1021"/>
      </w:pPr>
      <w:rPr>
        <w:rFonts w:hint="default"/>
      </w:rPr>
    </w:lvl>
    <w:lvl w:ilvl="3">
      <w:start w:val="0"/>
      <w:numFmt w:val="bullet"/>
      <w:lvlText w:val="•"/>
      <w:lvlJc w:val="left"/>
      <w:pPr>
        <w:ind w:left="5671" w:hanging="1021"/>
      </w:pPr>
      <w:rPr>
        <w:rFonts w:hint="default"/>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88">
    <w:multiLevelType w:val="hybridMultilevel"/>
    <w:lvl w:ilvl="0">
      <w:start w:val="8"/>
      <w:numFmt w:val="upperLetter"/>
      <w:lvlText w:val="%1"/>
      <w:lvlJc w:val="left"/>
      <w:pPr>
        <w:ind w:left="3005" w:hanging="1021"/>
        <w:jc w:val="left"/>
      </w:pPr>
      <w:rPr>
        <w:rFonts w:hint="default"/>
      </w:rPr>
    </w:lvl>
    <w:lvl w:ilvl="1">
      <w:start w:val="12"/>
      <w:numFmt w:val="decimal"/>
      <w:lvlText w:val="%1.%2"/>
      <w:lvlJc w:val="left"/>
      <w:pPr>
        <w:ind w:left="3005" w:hanging="1021"/>
        <w:jc w:val="left"/>
      </w:pPr>
      <w:rPr>
        <w:rFonts w:hint="default" w:ascii="Stone Sans II ITC Std Bk" w:hAnsi="Stone Sans II ITC Std Bk" w:eastAsia="Stone Sans II ITC Std Bk" w:cs="Stone Sans II ITC Std Bk"/>
        <w:b/>
        <w:bCs/>
        <w:spacing w:val="-18"/>
        <w:w w:val="110"/>
        <w:sz w:val="20"/>
        <w:szCs w:val="20"/>
      </w:rPr>
    </w:lvl>
    <w:lvl w:ilvl="2">
      <w:start w:val="0"/>
      <w:numFmt w:val="bullet"/>
      <w:lvlText w:val="•"/>
      <w:lvlJc w:val="left"/>
      <w:pPr>
        <w:ind w:left="4781" w:hanging="1021"/>
      </w:pPr>
      <w:rPr>
        <w:rFonts w:hint="default"/>
      </w:rPr>
    </w:lvl>
    <w:lvl w:ilvl="3">
      <w:start w:val="0"/>
      <w:numFmt w:val="bullet"/>
      <w:lvlText w:val="•"/>
      <w:lvlJc w:val="left"/>
      <w:pPr>
        <w:ind w:left="5671" w:hanging="1021"/>
      </w:pPr>
      <w:rPr>
        <w:rFonts w:hint="default"/>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87">
    <w:multiLevelType w:val="hybridMultilevel"/>
    <w:lvl w:ilvl="0">
      <w:start w:val="8"/>
      <w:numFmt w:val="upperLetter"/>
      <w:lvlText w:val="%1"/>
      <w:lvlJc w:val="left"/>
      <w:pPr>
        <w:ind w:left="2155" w:hanging="1021"/>
        <w:jc w:val="left"/>
      </w:pPr>
      <w:rPr>
        <w:rFonts w:hint="default"/>
      </w:rPr>
    </w:lvl>
    <w:lvl w:ilvl="1">
      <w:start w:val="1"/>
      <w:numFmt w:val="decimal"/>
      <w:lvlText w:val="%1.%2"/>
      <w:lvlJc w:val="left"/>
      <w:pPr>
        <w:ind w:left="2155" w:hanging="1021"/>
        <w:jc w:val="left"/>
      </w:pPr>
      <w:rPr>
        <w:rFonts w:hint="default" w:ascii="Stone Sans II ITC Std Bk" w:hAnsi="Stone Sans II ITC Std Bk" w:eastAsia="Stone Sans II ITC Std Bk" w:cs="Stone Sans II ITC Std Bk"/>
        <w:b/>
        <w:bCs/>
        <w:spacing w:val="-18"/>
        <w:w w:val="110"/>
        <w:sz w:val="20"/>
        <w:szCs w:val="20"/>
      </w:rPr>
    </w:lvl>
    <w:lvl w:ilvl="2">
      <w:start w:val="0"/>
      <w:numFmt w:val="bullet"/>
      <w:lvlText w:val="•"/>
      <w:lvlJc w:val="left"/>
      <w:pPr>
        <w:ind w:left="4109" w:hanging="1021"/>
      </w:pPr>
      <w:rPr>
        <w:rFonts w:hint="default"/>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86">
    <w:multiLevelType w:val="hybridMultilevel"/>
    <w:lvl w:ilvl="0">
      <w:start w:val="7"/>
      <w:numFmt w:val="upperLetter"/>
      <w:lvlText w:val="%1"/>
      <w:lvlJc w:val="left"/>
      <w:pPr>
        <w:ind w:left="2154" w:hanging="1021"/>
        <w:jc w:val="left"/>
      </w:pPr>
      <w:rPr>
        <w:rFonts w:hint="default"/>
      </w:rPr>
    </w:lvl>
    <w:lvl w:ilvl="1">
      <w:start w:val="4"/>
      <w:numFmt w:val="decimal"/>
      <w:lvlText w:val="%1.%2"/>
      <w:lvlJc w:val="left"/>
      <w:pPr>
        <w:ind w:left="2154" w:hanging="1021"/>
        <w:jc w:val="left"/>
      </w:pPr>
      <w:rPr>
        <w:rFonts w:hint="default"/>
      </w:rPr>
    </w:lvl>
    <w:lvl w:ilvl="2">
      <w:start w:val="2"/>
      <w:numFmt w:val="decimal"/>
      <w:lvlText w:val="%1.%2.%3"/>
      <w:lvlJc w:val="left"/>
      <w:pPr>
        <w:ind w:left="2154" w:hanging="1021"/>
        <w:jc w:val="left"/>
      </w:pPr>
      <w:rPr>
        <w:rFonts w:hint="default" w:ascii="Stone Sans II ITC Std Bk" w:hAnsi="Stone Sans II ITC Std Bk" w:eastAsia="Stone Sans II ITC Std Bk" w:cs="Stone Sans II ITC Std Bk"/>
        <w:b/>
        <w:bCs/>
        <w:spacing w:val="-2"/>
        <w:w w:val="110"/>
        <w:sz w:val="20"/>
        <w:szCs w:val="20"/>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85">
    <w:multiLevelType w:val="hybridMultilevel"/>
    <w:lvl w:ilvl="0">
      <w:start w:val="4"/>
      <w:numFmt w:val="upperLetter"/>
      <w:lvlText w:val="%1"/>
      <w:lvlJc w:val="left"/>
      <w:pPr>
        <w:ind w:left="2154" w:hanging="1021"/>
        <w:jc w:val="left"/>
      </w:pPr>
      <w:rPr>
        <w:rFonts w:hint="default"/>
      </w:rPr>
    </w:lvl>
    <w:lvl w:ilvl="1">
      <w:start w:val="1"/>
      <w:numFmt w:val="decimal"/>
      <w:lvlText w:val="%1.%2"/>
      <w:lvlJc w:val="left"/>
      <w:pPr>
        <w:ind w:left="2154" w:hanging="1021"/>
        <w:jc w:val="left"/>
      </w:pPr>
      <w:rPr>
        <w:rFonts w:hint="default" w:ascii="Stone Sans II ITC Std Bk" w:hAnsi="Stone Sans II ITC Std Bk" w:eastAsia="Stone Sans II ITC Std Bk" w:cs="Stone Sans II ITC Std Bk"/>
        <w:b/>
        <w:bCs/>
        <w:spacing w:val="-18"/>
        <w:w w:val="110"/>
        <w:sz w:val="20"/>
        <w:szCs w:val="20"/>
      </w:rPr>
    </w:lvl>
    <w:lvl w:ilvl="2">
      <w:start w:val="0"/>
      <w:numFmt w:val="bullet"/>
      <w:lvlText w:val="•"/>
      <w:lvlJc w:val="left"/>
      <w:pPr>
        <w:ind w:left="4109" w:hanging="1021"/>
      </w:pPr>
      <w:rPr>
        <w:rFonts w:hint="default"/>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84">
    <w:multiLevelType w:val="hybridMultilevel"/>
    <w:lvl w:ilvl="0">
      <w:start w:val="1"/>
      <w:numFmt w:val="upperLetter"/>
      <w:lvlText w:val="%1"/>
      <w:lvlJc w:val="left"/>
      <w:pPr>
        <w:ind w:left="3004" w:hanging="1021"/>
        <w:jc w:val="left"/>
      </w:pPr>
      <w:rPr>
        <w:rFonts w:hint="default"/>
      </w:rPr>
    </w:lvl>
    <w:lvl w:ilvl="1">
      <w:start w:val="4"/>
      <w:numFmt w:val="decimal"/>
      <w:lvlText w:val="%1.%2"/>
      <w:lvlJc w:val="left"/>
      <w:pPr>
        <w:ind w:left="3004" w:hanging="1021"/>
        <w:jc w:val="left"/>
      </w:pPr>
      <w:rPr>
        <w:rFonts w:hint="default"/>
      </w:rPr>
    </w:lvl>
    <w:lvl w:ilvl="2">
      <w:start w:val="1"/>
      <w:numFmt w:val="decimal"/>
      <w:lvlText w:val="%1.%2.%3"/>
      <w:lvlJc w:val="left"/>
      <w:pPr>
        <w:ind w:left="3004" w:hanging="1021"/>
        <w:jc w:val="left"/>
      </w:pPr>
      <w:rPr>
        <w:rFonts w:hint="default" w:ascii="Stone Sans II ITC Std Bk" w:hAnsi="Stone Sans II ITC Std Bk" w:eastAsia="Stone Sans II ITC Std Bk" w:cs="Stone Sans II ITC Std Bk"/>
        <w:b/>
        <w:bCs/>
        <w:spacing w:val="-18"/>
        <w:w w:val="110"/>
        <w:sz w:val="20"/>
        <w:szCs w:val="20"/>
      </w:rPr>
    </w:lvl>
    <w:lvl w:ilvl="3">
      <w:start w:val="0"/>
      <w:numFmt w:val="bullet"/>
      <w:lvlText w:val="•"/>
      <w:lvlJc w:val="left"/>
      <w:pPr>
        <w:ind w:left="5671" w:hanging="1021"/>
      </w:pPr>
      <w:rPr>
        <w:rFonts w:hint="default"/>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83">
    <w:multiLevelType w:val="hybridMultilevel"/>
    <w:lvl w:ilvl="0">
      <w:start w:val="5"/>
      <w:numFmt w:val="upperLetter"/>
      <w:lvlText w:val="%1"/>
      <w:lvlJc w:val="left"/>
      <w:pPr>
        <w:ind w:left="3005" w:hanging="1021"/>
        <w:jc w:val="left"/>
      </w:pPr>
      <w:rPr>
        <w:rFonts w:hint="default"/>
      </w:rPr>
    </w:lvl>
    <w:lvl w:ilvl="1">
      <w:start w:val="5"/>
      <w:numFmt w:val="decimal"/>
      <w:lvlText w:val="%1.%2"/>
      <w:lvlJc w:val="left"/>
      <w:pPr>
        <w:ind w:left="3005" w:hanging="1021"/>
        <w:jc w:val="left"/>
      </w:pPr>
      <w:rPr>
        <w:rFonts w:hint="default"/>
      </w:rPr>
    </w:lvl>
    <w:lvl w:ilvl="2">
      <w:start w:val="1"/>
      <w:numFmt w:val="decimal"/>
      <w:lvlText w:val="%1.%2.%3"/>
      <w:lvlJc w:val="left"/>
      <w:pPr>
        <w:ind w:left="3005" w:hanging="1021"/>
        <w:jc w:val="left"/>
      </w:pPr>
      <w:rPr>
        <w:rFonts w:hint="default"/>
      </w:rPr>
    </w:lvl>
    <w:lvl w:ilvl="3">
      <w:start w:val="2"/>
      <w:numFmt w:val="decimal"/>
      <w:lvlText w:val="%1.%2.%3.%4"/>
      <w:lvlJc w:val="left"/>
      <w:pPr>
        <w:ind w:left="3005" w:hanging="1021"/>
        <w:jc w:val="right"/>
      </w:pPr>
      <w:rPr>
        <w:rFonts w:hint="default" w:ascii="Stone Sans II ITC Std Bk" w:hAnsi="Stone Sans II ITC Std Bk" w:eastAsia="Stone Sans II ITC Std Bk" w:cs="Stone Sans II ITC Std Bk"/>
        <w:b/>
        <w:bCs/>
        <w:spacing w:val="-18"/>
        <w:w w:val="110"/>
        <w:sz w:val="20"/>
        <w:szCs w:val="20"/>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82">
    <w:multiLevelType w:val="hybridMultilevel"/>
    <w:lvl w:ilvl="0">
      <w:start w:val="7"/>
      <w:numFmt w:val="upperLetter"/>
      <w:lvlText w:val="%1"/>
      <w:lvlJc w:val="left"/>
      <w:pPr>
        <w:ind w:left="2155" w:hanging="1021"/>
        <w:jc w:val="left"/>
      </w:pPr>
      <w:rPr>
        <w:rFonts w:hint="default"/>
      </w:rPr>
    </w:lvl>
    <w:lvl w:ilvl="1">
      <w:start w:val="16"/>
      <w:numFmt w:val="decimal"/>
      <w:lvlText w:val="%1.%2"/>
      <w:lvlJc w:val="left"/>
      <w:pPr>
        <w:ind w:left="2155" w:hanging="1021"/>
        <w:jc w:val="left"/>
      </w:pPr>
      <w:rPr>
        <w:rFonts w:hint="default"/>
      </w:rPr>
    </w:lvl>
    <w:lvl w:ilvl="2">
      <w:start w:val="2"/>
      <w:numFmt w:val="decimal"/>
      <w:lvlText w:val="%1.%2.%3"/>
      <w:lvlJc w:val="left"/>
      <w:pPr>
        <w:ind w:left="2155" w:hanging="1021"/>
        <w:jc w:val="left"/>
      </w:pPr>
      <w:rPr>
        <w:rFonts w:hint="default" w:ascii="Stone Sans II ITC Std Bk" w:hAnsi="Stone Sans II ITC Std Bk" w:eastAsia="Stone Sans II ITC Std Bk" w:cs="Stone Sans II ITC Std Bk"/>
        <w:b/>
        <w:bCs/>
        <w:spacing w:val="-18"/>
        <w:w w:val="110"/>
        <w:sz w:val="20"/>
        <w:szCs w:val="20"/>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81">
    <w:multiLevelType w:val="hybridMultilevel"/>
    <w:lvl w:ilvl="0">
      <w:start w:val="7"/>
      <w:numFmt w:val="upperLetter"/>
      <w:lvlText w:val="%1"/>
      <w:lvlJc w:val="left"/>
      <w:pPr>
        <w:ind w:left="2155" w:hanging="1021"/>
        <w:jc w:val="left"/>
      </w:pPr>
      <w:rPr>
        <w:rFonts w:hint="default"/>
      </w:rPr>
    </w:lvl>
    <w:lvl w:ilvl="1">
      <w:start w:val="13"/>
      <w:numFmt w:val="decimal"/>
      <w:lvlText w:val="%1.%2"/>
      <w:lvlJc w:val="left"/>
      <w:pPr>
        <w:ind w:left="2155" w:hanging="1021"/>
        <w:jc w:val="left"/>
      </w:pPr>
      <w:rPr>
        <w:rFonts w:hint="default"/>
      </w:rPr>
    </w:lvl>
    <w:lvl w:ilvl="2">
      <w:start w:val="4"/>
      <w:numFmt w:val="decimal"/>
      <w:lvlText w:val="%1.%2.%3"/>
      <w:lvlJc w:val="left"/>
      <w:pPr>
        <w:ind w:left="2155" w:hanging="1021"/>
        <w:jc w:val="left"/>
      </w:pPr>
      <w:rPr>
        <w:rFonts w:hint="default" w:ascii="Stone Sans II ITC Std Bk" w:hAnsi="Stone Sans II ITC Std Bk" w:eastAsia="Stone Sans II ITC Std Bk" w:cs="Stone Sans II ITC Std Bk"/>
        <w:b/>
        <w:bCs/>
        <w:spacing w:val="-20"/>
        <w:w w:val="110"/>
        <w:sz w:val="20"/>
        <w:szCs w:val="20"/>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80">
    <w:multiLevelType w:val="hybridMultilevel"/>
    <w:lvl w:ilvl="0">
      <w:start w:val="6"/>
      <w:numFmt w:val="upperLetter"/>
      <w:lvlText w:val="%1"/>
      <w:lvlJc w:val="left"/>
      <w:pPr>
        <w:ind w:left="2154" w:hanging="963"/>
        <w:jc w:val="left"/>
      </w:pPr>
      <w:rPr>
        <w:rFonts w:hint="default"/>
      </w:rPr>
    </w:lvl>
    <w:lvl w:ilvl="1">
      <w:start w:val="2"/>
      <w:numFmt w:val="decimal"/>
      <w:lvlText w:val="%1.%2"/>
      <w:lvlJc w:val="left"/>
      <w:pPr>
        <w:ind w:left="2154" w:hanging="963"/>
        <w:jc w:val="left"/>
      </w:pPr>
      <w:rPr>
        <w:rFonts w:hint="default"/>
      </w:rPr>
    </w:lvl>
    <w:lvl w:ilvl="2">
      <w:start w:val="3"/>
      <w:numFmt w:val="decimal"/>
      <w:lvlText w:val="%1.%2.%3"/>
      <w:lvlJc w:val="left"/>
      <w:pPr>
        <w:ind w:left="2154" w:hanging="963"/>
        <w:jc w:val="left"/>
      </w:pPr>
      <w:rPr>
        <w:rFonts w:hint="default" w:ascii="Stone Sans II ITC Std Bk" w:hAnsi="Stone Sans II ITC Std Bk" w:eastAsia="Stone Sans II ITC Std Bk" w:cs="Stone Sans II ITC Std Bk"/>
        <w:b/>
        <w:bCs/>
        <w:spacing w:val="-12"/>
        <w:w w:val="110"/>
        <w:sz w:val="20"/>
        <w:szCs w:val="20"/>
      </w:rPr>
    </w:lvl>
    <w:lvl w:ilvl="3">
      <w:start w:val="0"/>
      <w:numFmt w:val="bullet"/>
      <w:lvlText w:val="•"/>
      <w:lvlJc w:val="left"/>
      <w:pPr>
        <w:ind w:left="5083" w:hanging="963"/>
      </w:pPr>
      <w:rPr>
        <w:rFonts w:hint="default"/>
      </w:rPr>
    </w:lvl>
    <w:lvl w:ilvl="4">
      <w:start w:val="0"/>
      <w:numFmt w:val="bullet"/>
      <w:lvlText w:val="•"/>
      <w:lvlJc w:val="left"/>
      <w:pPr>
        <w:ind w:left="6058" w:hanging="963"/>
      </w:pPr>
      <w:rPr>
        <w:rFonts w:hint="default"/>
      </w:rPr>
    </w:lvl>
    <w:lvl w:ilvl="5">
      <w:start w:val="0"/>
      <w:numFmt w:val="bullet"/>
      <w:lvlText w:val="•"/>
      <w:lvlJc w:val="left"/>
      <w:pPr>
        <w:ind w:left="7032" w:hanging="963"/>
      </w:pPr>
      <w:rPr>
        <w:rFonts w:hint="default"/>
      </w:rPr>
    </w:lvl>
    <w:lvl w:ilvl="6">
      <w:start w:val="0"/>
      <w:numFmt w:val="bullet"/>
      <w:lvlText w:val="•"/>
      <w:lvlJc w:val="left"/>
      <w:pPr>
        <w:ind w:left="8007" w:hanging="963"/>
      </w:pPr>
      <w:rPr>
        <w:rFonts w:hint="default"/>
      </w:rPr>
    </w:lvl>
    <w:lvl w:ilvl="7">
      <w:start w:val="0"/>
      <w:numFmt w:val="bullet"/>
      <w:lvlText w:val="•"/>
      <w:lvlJc w:val="left"/>
      <w:pPr>
        <w:ind w:left="8981" w:hanging="963"/>
      </w:pPr>
      <w:rPr>
        <w:rFonts w:hint="default"/>
      </w:rPr>
    </w:lvl>
    <w:lvl w:ilvl="8">
      <w:start w:val="0"/>
      <w:numFmt w:val="bullet"/>
      <w:lvlText w:val="•"/>
      <w:lvlJc w:val="left"/>
      <w:pPr>
        <w:ind w:left="9956" w:hanging="963"/>
      </w:pPr>
      <w:rPr>
        <w:rFonts w:hint="default"/>
      </w:rPr>
    </w:lvl>
  </w:abstractNum>
  <w:abstractNum w:abstractNumId="79">
    <w:multiLevelType w:val="hybridMultilevel"/>
    <w:lvl w:ilvl="0">
      <w:start w:val="5"/>
      <w:numFmt w:val="upperLetter"/>
      <w:lvlText w:val="%1"/>
      <w:lvlJc w:val="left"/>
      <w:pPr>
        <w:ind w:left="3007" w:hanging="1021"/>
        <w:jc w:val="left"/>
      </w:pPr>
      <w:rPr>
        <w:rFonts w:hint="default"/>
      </w:rPr>
    </w:lvl>
    <w:lvl w:ilvl="1">
      <w:start w:val="5"/>
      <w:numFmt w:val="decimal"/>
      <w:lvlText w:val="%1.%2"/>
      <w:lvlJc w:val="left"/>
      <w:pPr>
        <w:ind w:left="3007" w:hanging="1021"/>
        <w:jc w:val="left"/>
      </w:pPr>
      <w:rPr>
        <w:rFonts w:hint="default"/>
      </w:rPr>
    </w:lvl>
    <w:lvl w:ilvl="2">
      <w:start w:val="3"/>
      <w:numFmt w:val="decimal"/>
      <w:lvlText w:val="%1.%2.%3"/>
      <w:lvlJc w:val="left"/>
      <w:pPr>
        <w:ind w:left="3007" w:hanging="1021"/>
        <w:jc w:val="left"/>
      </w:pPr>
      <w:rPr>
        <w:rFonts w:hint="default"/>
      </w:rPr>
    </w:lvl>
    <w:lvl w:ilvl="3">
      <w:start w:val="16"/>
      <w:numFmt w:val="decimal"/>
      <w:lvlText w:val="%1.%2.%3.%4"/>
      <w:lvlJc w:val="left"/>
      <w:pPr>
        <w:ind w:left="3007" w:hanging="1021"/>
        <w:jc w:val="left"/>
      </w:pPr>
      <w:rPr>
        <w:rFonts w:hint="default" w:ascii="Stone Sans II ITC Std Bk" w:hAnsi="Stone Sans II ITC Std Bk" w:eastAsia="Stone Sans II ITC Std Bk" w:cs="Stone Sans II ITC Std Bk"/>
        <w:b/>
        <w:bCs/>
        <w:spacing w:val="-18"/>
        <w:w w:val="110"/>
        <w:sz w:val="20"/>
        <w:szCs w:val="20"/>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78">
    <w:multiLevelType w:val="hybridMultilevel"/>
    <w:lvl w:ilvl="0">
      <w:start w:val="5"/>
      <w:numFmt w:val="upperLetter"/>
      <w:lvlText w:val="%1"/>
      <w:lvlJc w:val="left"/>
      <w:pPr>
        <w:ind w:left="3006" w:hanging="1021"/>
        <w:jc w:val="left"/>
      </w:pPr>
      <w:rPr>
        <w:rFonts w:hint="default"/>
      </w:rPr>
    </w:lvl>
    <w:lvl w:ilvl="1">
      <w:start w:val="5"/>
      <w:numFmt w:val="decimal"/>
      <w:lvlText w:val="%1.%2"/>
      <w:lvlJc w:val="left"/>
      <w:pPr>
        <w:ind w:left="3006" w:hanging="1021"/>
        <w:jc w:val="left"/>
      </w:pPr>
      <w:rPr>
        <w:rFonts w:hint="default"/>
      </w:rPr>
    </w:lvl>
    <w:lvl w:ilvl="2">
      <w:start w:val="3"/>
      <w:numFmt w:val="decimal"/>
      <w:lvlText w:val="%1.%2.%3"/>
      <w:lvlJc w:val="left"/>
      <w:pPr>
        <w:ind w:left="3006" w:hanging="1021"/>
        <w:jc w:val="left"/>
      </w:pPr>
      <w:rPr>
        <w:rFonts w:hint="default"/>
      </w:rPr>
    </w:lvl>
    <w:lvl w:ilvl="3">
      <w:start w:val="9"/>
      <w:numFmt w:val="decimal"/>
      <w:lvlText w:val="%1.%2.%3.%4"/>
      <w:lvlJc w:val="left"/>
      <w:pPr>
        <w:ind w:left="3006" w:hanging="1021"/>
        <w:jc w:val="left"/>
      </w:pPr>
      <w:rPr>
        <w:rFonts w:hint="default" w:ascii="Stone Sans II ITC Std Bk" w:hAnsi="Stone Sans II ITC Std Bk" w:eastAsia="Stone Sans II ITC Std Bk" w:cs="Stone Sans II ITC Std Bk"/>
        <w:b/>
        <w:bCs/>
        <w:spacing w:val="-6"/>
        <w:w w:val="110"/>
        <w:sz w:val="20"/>
        <w:szCs w:val="20"/>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77">
    <w:multiLevelType w:val="hybridMultilevel"/>
    <w:lvl w:ilvl="0">
      <w:start w:val="5"/>
      <w:numFmt w:val="upperLetter"/>
      <w:lvlText w:val="%1"/>
      <w:lvlJc w:val="left"/>
      <w:pPr>
        <w:ind w:left="3006" w:hanging="1021"/>
        <w:jc w:val="left"/>
      </w:pPr>
      <w:rPr>
        <w:rFonts w:hint="default"/>
      </w:rPr>
    </w:lvl>
    <w:lvl w:ilvl="1">
      <w:start w:val="5"/>
      <w:numFmt w:val="decimal"/>
      <w:lvlText w:val="%1.%2"/>
      <w:lvlJc w:val="left"/>
      <w:pPr>
        <w:ind w:left="3006" w:hanging="1021"/>
        <w:jc w:val="left"/>
      </w:pPr>
      <w:rPr>
        <w:rFonts w:hint="default"/>
      </w:rPr>
    </w:lvl>
    <w:lvl w:ilvl="2">
      <w:start w:val="3"/>
      <w:numFmt w:val="decimal"/>
      <w:lvlText w:val="%1.%2.%3"/>
      <w:lvlJc w:val="left"/>
      <w:pPr>
        <w:ind w:left="3006" w:hanging="1021"/>
        <w:jc w:val="left"/>
      </w:pPr>
      <w:rPr>
        <w:rFonts w:hint="default"/>
      </w:rPr>
    </w:lvl>
    <w:lvl w:ilvl="3">
      <w:start w:val="5"/>
      <w:numFmt w:val="decimal"/>
      <w:lvlText w:val="%1.%2.%3.%4"/>
      <w:lvlJc w:val="left"/>
      <w:pPr>
        <w:ind w:left="3006" w:hanging="1021"/>
        <w:jc w:val="left"/>
      </w:pPr>
      <w:rPr>
        <w:rFonts w:hint="default" w:ascii="Stone Sans II ITC Std Bk" w:hAnsi="Stone Sans II ITC Std Bk" w:eastAsia="Stone Sans II ITC Std Bk" w:cs="Stone Sans II ITC Std Bk"/>
        <w:b/>
        <w:bCs/>
        <w:spacing w:val="-6"/>
        <w:w w:val="110"/>
        <w:sz w:val="20"/>
        <w:szCs w:val="20"/>
      </w:rPr>
    </w:lvl>
    <w:lvl w:ilvl="4">
      <w:start w:val="0"/>
      <w:numFmt w:val="bullet"/>
      <w:lvlText w:val="•"/>
      <w:lvlJc w:val="left"/>
      <w:pPr>
        <w:ind w:left="6562" w:hanging="1021"/>
      </w:pPr>
      <w:rPr>
        <w:rFonts w:hint="default"/>
      </w:rPr>
    </w:lvl>
    <w:lvl w:ilvl="5">
      <w:start w:val="0"/>
      <w:numFmt w:val="bullet"/>
      <w:lvlText w:val="•"/>
      <w:lvlJc w:val="left"/>
      <w:pPr>
        <w:ind w:left="7452" w:hanging="1021"/>
      </w:pPr>
      <w:rPr>
        <w:rFonts w:hint="default"/>
      </w:rPr>
    </w:lvl>
    <w:lvl w:ilvl="6">
      <w:start w:val="0"/>
      <w:numFmt w:val="bullet"/>
      <w:lvlText w:val="•"/>
      <w:lvlJc w:val="left"/>
      <w:pPr>
        <w:ind w:left="8343" w:hanging="1021"/>
      </w:pPr>
      <w:rPr>
        <w:rFonts w:hint="default"/>
      </w:rPr>
    </w:lvl>
    <w:lvl w:ilvl="7">
      <w:start w:val="0"/>
      <w:numFmt w:val="bullet"/>
      <w:lvlText w:val="•"/>
      <w:lvlJc w:val="left"/>
      <w:pPr>
        <w:ind w:left="9233" w:hanging="1021"/>
      </w:pPr>
      <w:rPr>
        <w:rFonts w:hint="default"/>
      </w:rPr>
    </w:lvl>
    <w:lvl w:ilvl="8">
      <w:start w:val="0"/>
      <w:numFmt w:val="bullet"/>
      <w:lvlText w:val="•"/>
      <w:lvlJc w:val="left"/>
      <w:pPr>
        <w:ind w:left="10124" w:hanging="1021"/>
      </w:pPr>
      <w:rPr>
        <w:rFonts w:hint="default"/>
      </w:rPr>
    </w:lvl>
  </w:abstractNum>
  <w:abstractNum w:abstractNumId="76">
    <w:multiLevelType w:val="hybridMultilevel"/>
    <w:lvl w:ilvl="0">
      <w:start w:val="5"/>
      <w:numFmt w:val="upperLetter"/>
      <w:lvlText w:val="%1"/>
      <w:lvlJc w:val="left"/>
      <w:pPr>
        <w:ind w:left="2155" w:hanging="1021"/>
        <w:jc w:val="left"/>
      </w:pPr>
      <w:rPr>
        <w:rFonts w:hint="default"/>
      </w:rPr>
    </w:lvl>
    <w:lvl w:ilvl="1">
      <w:start w:val="5"/>
      <w:numFmt w:val="decimal"/>
      <w:lvlText w:val="%1.%2"/>
      <w:lvlJc w:val="left"/>
      <w:pPr>
        <w:ind w:left="2155" w:hanging="1021"/>
        <w:jc w:val="left"/>
      </w:pPr>
      <w:rPr>
        <w:rFonts w:hint="default"/>
      </w:rPr>
    </w:lvl>
    <w:lvl w:ilvl="2">
      <w:start w:val="3"/>
      <w:numFmt w:val="decimal"/>
      <w:lvlText w:val="%1.%2.%3"/>
      <w:lvlJc w:val="left"/>
      <w:pPr>
        <w:ind w:left="2155" w:hanging="1021"/>
        <w:jc w:val="left"/>
      </w:pPr>
      <w:rPr>
        <w:rFonts w:hint="default" w:ascii="Stone Sans II ITC Std Bk" w:hAnsi="Stone Sans II ITC Std Bk" w:eastAsia="Stone Sans II ITC Std Bk" w:cs="Stone Sans II ITC Std Bk"/>
        <w:b/>
        <w:bCs/>
        <w:spacing w:val="-6"/>
        <w:w w:val="110"/>
        <w:sz w:val="20"/>
        <w:szCs w:val="20"/>
      </w:rPr>
    </w:lvl>
    <w:lvl w:ilvl="3">
      <w:start w:val="1"/>
      <w:numFmt w:val="decimal"/>
      <w:lvlText w:val="%1.%2.%3.%4"/>
      <w:lvlJc w:val="left"/>
      <w:pPr>
        <w:ind w:left="2155" w:hanging="1021"/>
        <w:jc w:val="right"/>
      </w:pPr>
      <w:rPr>
        <w:rFonts w:hint="default" w:ascii="Stone Sans II ITC Std Bk" w:hAnsi="Stone Sans II ITC Std Bk" w:eastAsia="Stone Sans II ITC Std Bk" w:cs="Stone Sans II ITC Std Bk"/>
        <w:b/>
        <w:bCs/>
        <w:spacing w:val="-18"/>
        <w:w w:val="110"/>
        <w:sz w:val="20"/>
        <w:szCs w:val="20"/>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75">
    <w:multiLevelType w:val="hybridMultilevel"/>
    <w:lvl w:ilvl="0">
      <w:start w:val="10"/>
      <w:numFmt w:val="upperLetter"/>
      <w:lvlText w:val="%1"/>
      <w:lvlJc w:val="left"/>
      <w:pPr>
        <w:ind w:left="2154" w:hanging="1021"/>
        <w:jc w:val="left"/>
      </w:pPr>
      <w:rPr>
        <w:rFonts w:hint="default"/>
      </w:rPr>
    </w:lvl>
    <w:lvl w:ilvl="1">
      <w:start w:val="2"/>
      <w:numFmt w:val="decimal"/>
      <w:lvlText w:val="%1.%2"/>
      <w:lvlJc w:val="left"/>
      <w:pPr>
        <w:ind w:left="2154" w:hanging="1021"/>
        <w:jc w:val="left"/>
      </w:pPr>
      <w:rPr>
        <w:rFonts w:hint="default" w:ascii="Stone Sans II ITC Std Bk" w:hAnsi="Stone Sans II ITC Std Bk" w:eastAsia="Stone Sans II ITC Std Bk" w:cs="Stone Sans II ITC Std Bk"/>
        <w:b/>
        <w:bCs/>
        <w:spacing w:val="0"/>
        <w:w w:val="110"/>
        <w:sz w:val="20"/>
        <w:szCs w:val="20"/>
      </w:rPr>
    </w:lvl>
    <w:lvl w:ilvl="2">
      <w:start w:val="0"/>
      <w:numFmt w:val="bullet"/>
      <w:lvlText w:val="•"/>
      <w:lvlJc w:val="left"/>
      <w:pPr>
        <w:ind w:left="4109" w:hanging="1021"/>
      </w:pPr>
      <w:rPr>
        <w:rFonts w:hint="default"/>
      </w:rPr>
    </w:lvl>
    <w:lvl w:ilvl="3">
      <w:start w:val="0"/>
      <w:numFmt w:val="bullet"/>
      <w:lvlText w:val="•"/>
      <w:lvlJc w:val="left"/>
      <w:pPr>
        <w:ind w:left="5083" w:hanging="1021"/>
      </w:pPr>
      <w:rPr>
        <w:rFonts w:hint="default"/>
      </w:rPr>
    </w:lvl>
    <w:lvl w:ilvl="4">
      <w:start w:val="0"/>
      <w:numFmt w:val="bullet"/>
      <w:lvlText w:val="•"/>
      <w:lvlJc w:val="left"/>
      <w:pPr>
        <w:ind w:left="6058" w:hanging="1021"/>
      </w:pPr>
      <w:rPr>
        <w:rFonts w:hint="default"/>
      </w:rPr>
    </w:lvl>
    <w:lvl w:ilvl="5">
      <w:start w:val="0"/>
      <w:numFmt w:val="bullet"/>
      <w:lvlText w:val="•"/>
      <w:lvlJc w:val="left"/>
      <w:pPr>
        <w:ind w:left="7032" w:hanging="1021"/>
      </w:pPr>
      <w:rPr>
        <w:rFonts w:hint="default"/>
      </w:rPr>
    </w:lvl>
    <w:lvl w:ilvl="6">
      <w:start w:val="0"/>
      <w:numFmt w:val="bullet"/>
      <w:lvlText w:val="•"/>
      <w:lvlJc w:val="left"/>
      <w:pPr>
        <w:ind w:left="8007" w:hanging="1021"/>
      </w:pPr>
      <w:rPr>
        <w:rFonts w:hint="default"/>
      </w:rPr>
    </w:lvl>
    <w:lvl w:ilvl="7">
      <w:start w:val="0"/>
      <w:numFmt w:val="bullet"/>
      <w:lvlText w:val="•"/>
      <w:lvlJc w:val="left"/>
      <w:pPr>
        <w:ind w:left="8981" w:hanging="1021"/>
      </w:pPr>
      <w:rPr>
        <w:rFonts w:hint="default"/>
      </w:rPr>
    </w:lvl>
    <w:lvl w:ilvl="8">
      <w:start w:val="0"/>
      <w:numFmt w:val="bullet"/>
      <w:lvlText w:val="•"/>
      <w:lvlJc w:val="left"/>
      <w:pPr>
        <w:ind w:left="9956" w:hanging="1021"/>
      </w:pPr>
      <w:rPr>
        <w:rFonts w:hint="default"/>
      </w:rPr>
    </w:lvl>
  </w:abstractNum>
  <w:abstractNum w:abstractNumId="74">
    <w:multiLevelType w:val="hybridMultilevel"/>
    <w:lvl w:ilvl="0">
      <w:start w:val="0"/>
      <w:numFmt w:val="bullet"/>
      <w:lvlText w:val="–"/>
      <w:lvlJc w:val="left"/>
      <w:pPr>
        <w:ind w:left="1133" w:hanging="185"/>
      </w:pPr>
      <w:rPr>
        <w:rFonts w:hint="default" w:ascii="Calibri" w:hAnsi="Calibri" w:eastAsia="Calibri" w:cs="Calibri"/>
        <w:w w:val="127"/>
        <w:sz w:val="20"/>
        <w:szCs w:val="20"/>
      </w:rPr>
    </w:lvl>
    <w:lvl w:ilvl="1">
      <w:start w:val="0"/>
      <w:numFmt w:val="bullet"/>
      <w:lvlText w:val="•"/>
      <w:lvlJc w:val="left"/>
      <w:pPr>
        <w:ind w:left="2216" w:hanging="185"/>
      </w:pPr>
      <w:rPr>
        <w:rFonts w:hint="default"/>
      </w:rPr>
    </w:lvl>
    <w:lvl w:ilvl="2">
      <w:start w:val="0"/>
      <w:numFmt w:val="bullet"/>
      <w:lvlText w:val="•"/>
      <w:lvlJc w:val="left"/>
      <w:pPr>
        <w:ind w:left="3293" w:hanging="185"/>
      </w:pPr>
      <w:rPr>
        <w:rFonts w:hint="default"/>
      </w:rPr>
    </w:lvl>
    <w:lvl w:ilvl="3">
      <w:start w:val="0"/>
      <w:numFmt w:val="bullet"/>
      <w:lvlText w:val="•"/>
      <w:lvlJc w:val="left"/>
      <w:pPr>
        <w:ind w:left="4369" w:hanging="185"/>
      </w:pPr>
      <w:rPr>
        <w:rFonts w:hint="default"/>
      </w:rPr>
    </w:lvl>
    <w:lvl w:ilvl="4">
      <w:start w:val="0"/>
      <w:numFmt w:val="bullet"/>
      <w:lvlText w:val="•"/>
      <w:lvlJc w:val="left"/>
      <w:pPr>
        <w:ind w:left="5446" w:hanging="185"/>
      </w:pPr>
      <w:rPr>
        <w:rFonts w:hint="default"/>
      </w:rPr>
    </w:lvl>
    <w:lvl w:ilvl="5">
      <w:start w:val="0"/>
      <w:numFmt w:val="bullet"/>
      <w:lvlText w:val="•"/>
      <w:lvlJc w:val="left"/>
      <w:pPr>
        <w:ind w:left="6522" w:hanging="185"/>
      </w:pPr>
      <w:rPr>
        <w:rFonts w:hint="default"/>
      </w:rPr>
    </w:lvl>
    <w:lvl w:ilvl="6">
      <w:start w:val="0"/>
      <w:numFmt w:val="bullet"/>
      <w:lvlText w:val="•"/>
      <w:lvlJc w:val="left"/>
      <w:pPr>
        <w:ind w:left="7599" w:hanging="185"/>
      </w:pPr>
      <w:rPr>
        <w:rFonts w:hint="default"/>
      </w:rPr>
    </w:lvl>
    <w:lvl w:ilvl="7">
      <w:start w:val="0"/>
      <w:numFmt w:val="bullet"/>
      <w:lvlText w:val="•"/>
      <w:lvlJc w:val="left"/>
      <w:pPr>
        <w:ind w:left="8675" w:hanging="185"/>
      </w:pPr>
      <w:rPr>
        <w:rFonts w:hint="default"/>
      </w:rPr>
    </w:lvl>
    <w:lvl w:ilvl="8">
      <w:start w:val="0"/>
      <w:numFmt w:val="bullet"/>
      <w:lvlText w:val="•"/>
      <w:lvlJc w:val="left"/>
      <w:pPr>
        <w:ind w:left="9752" w:hanging="185"/>
      </w:pPr>
      <w:rPr>
        <w:rFonts w:hint="default"/>
      </w:rPr>
    </w:lvl>
  </w:abstractNum>
  <w:abstractNum w:abstractNumId="73">
    <w:multiLevelType w:val="hybridMultilevel"/>
    <w:lvl w:ilvl="0">
      <w:start w:val="1"/>
      <w:numFmt w:val="lowerRoman"/>
      <w:lvlText w:val="%1)"/>
      <w:lvlJc w:val="left"/>
      <w:pPr>
        <w:ind w:left="1814" w:hanging="681"/>
        <w:jc w:val="left"/>
      </w:pPr>
      <w:rPr>
        <w:rFonts w:hint="default" w:ascii="Calibri" w:hAnsi="Calibri" w:eastAsia="Calibri" w:cs="Calibri"/>
        <w:spacing w:val="-4"/>
        <w:w w:val="122"/>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72">
    <w:multiLevelType w:val="hybridMultilevel"/>
    <w:lvl w:ilvl="0">
      <w:start w:val="1"/>
      <w:numFmt w:val="decimal"/>
      <w:lvlText w:val="%1"/>
      <w:lvlJc w:val="left"/>
      <w:pPr>
        <w:ind w:left="1853" w:hanging="720"/>
        <w:jc w:val="right"/>
      </w:pPr>
      <w:rPr>
        <w:rFonts w:hint="default" w:ascii="Stone Sans II ITC Std Bk" w:hAnsi="Stone Sans II ITC Std Bk" w:eastAsia="Stone Sans II ITC Std Bk" w:cs="Stone Sans II ITC Std Bk"/>
        <w:b/>
        <w:bCs/>
        <w:w w:val="114"/>
        <w:sz w:val="21"/>
        <w:szCs w:val="21"/>
      </w:rPr>
    </w:lvl>
    <w:lvl w:ilvl="1">
      <w:start w:val="0"/>
      <w:numFmt w:val="bullet"/>
      <w:lvlText w:val="•"/>
      <w:lvlJc w:val="left"/>
      <w:pPr>
        <w:ind w:left="2864" w:hanging="720"/>
      </w:pPr>
      <w:rPr>
        <w:rFonts w:hint="default"/>
      </w:rPr>
    </w:lvl>
    <w:lvl w:ilvl="2">
      <w:start w:val="0"/>
      <w:numFmt w:val="bullet"/>
      <w:lvlText w:val="•"/>
      <w:lvlJc w:val="left"/>
      <w:pPr>
        <w:ind w:left="3869" w:hanging="720"/>
      </w:pPr>
      <w:rPr>
        <w:rFonts w:hint="default"/>
      </w:rPr>
    </w:lvl>
    <w:lvl w:ilvl="3">
      <w:start w:val="0"/>
      <w:numFmt w:val="bullet"/>
      <w:lvlText w:val="•"/>
      <w:lvlJc w:val="left"/>
      <w:pPr>
        <w:ind w:left="4873" w:hanging="720"/>
      </w:pPr>
      <w:rPr>
        <w:rFonts w:hint="default"/>
      </w:rPr>
    </w:lvl>
    <w:lvl w:ilvl="4">
      <w:start w:val="0"/>
      <w:numFmt w:val="bullet"/>
      <w:lvlText w:val="•"/>
      <w:lvlJc w:val="left"/>
      <w:pPr>
        <w:ind w:left="5878" w:hanging="720"/>
      </w:pPr>
      <w:rPr>
        <w:rFonts w:hint="default"/>
      </w:rPr>
    </w:lvl>
    <w:lvl w:ilvl="5">
      <w:start w:val="0"/>
      <w:numFmt w:val="bullet"/>
      <w:lvlText w:val="•"/>
      <w:lvlJc w:val="left"/>
      <w:pPr>
        <w:ind w:left="6882" w:hanging="720"/>
      </w:pPr>
      <w:rPr>
        <w:rFonts w:hint="default"/>
      </w:rPr>
    </w:lvl>
    <w:lvl w:ilvl="6">
      <w:start w:val="0"/>
      <w:numFmt w:val="bullet"/>
      <w:lvlText w:val="•"/>
      <w:lvlJc w:val="left"/>
      <w:pPr>
        <w:ind w:left="7887" w:hanging="720"/>
      </w:pPr>
      <w:rPr>
        <w:rFonts w:hint="default"/>
      </w:rPr>
    </w:lvl>
    <w:lvl w:ilvl="7">
      <w:start w:val="0"/>
      <w:numFmt w:val="bullet"/>
      <w:lvlText w:val="•"/>
      <w:lvlJc w:val="left"/>
      <w:pPr>
        <w:ind w:left="8891" w:hanging="720"/>
      </w:pPr>
      <w:rPr>
        <w:rFonts w:hint="default"/>
      </w:rPr>
    </w:lvl>
    <w:lvl w:ilvl="8">
      <w:start w:val="0"/>
      <w:numFmt w:val="bullet"/>
      <w:lvlText w:val="•"/>
      <w:lvlJc w:val="left"/>
      <w:pPr>
        <w:ind w:left="9896" w:hanging="720"/>
      </w:pPr>
      <w:rPr>
        <w:rFonts w:hint="default"/>
      </w:rPr>
    </w:lvl>
  </w:abstractNum>
  <w:abstractNum w:abstractNumId="71">
    <w:multiLevelType w:val="hybridMultilevel"/>
    <w:lvl w:ilvl="0">
      <w:start w:val="1"/>
      <w:numFmt w:val="decimal"/>
      <w:lvlText w:val="%1."/>
      <w:lvlJc w:val="left"/>
      <w:pPr>
        <w:ind w:left="3458" w:hanging="340"/>
        <w:jc w:val="left"/>
      </w:pPr>
      <w:rPr>
        <w:rFonts w:hint="default" w:ascii="Calibri" w:hAnsi="Calibri" w:eastAsia="Calibri" w:cs="Calibri"/>
        <w:spacing w:val="-13"/>
        <w:w w:val="125"/>
        <w:sz w:val="20"/>
        <w:szCs w:val="20"/>
      </w:rPr>
    </w:lvl>
    <w:lvl w:ilvl="1">
      <w:start w:val="0"/>
      <w:numFmt w:val="bullet"/>
      <w:lvlText w:val="•"/>
      <w:lvlJc w:val="left"/>
      <w:pPr>
        <w:ind w:left="4304" w:hanging="340"/>
      </w:pPr>
      <w:rPr>
        <w:rFonts w:hint="default"/>
      </w:rPr>
    </w:lvl>
    <w:lvl w:ilvl="2">
      <w:start w:val="0"/>
      <w:numFmt w:val="bullet"/>
      <w:lvlText w:val="•"/>
      <w:lvlJc w:val="left"/>
      <w:pPr>
        <w:ind w:left="5149" w:hanging="340"/>
      </w:pPr>
      <w:rPr>
        <w:rFonts w:hint="default"/>
      </w:rPr>
    </w:lvl>
    <w:lvl w:ilvl="3">
      <w:start w:val="0"/>
      <w:numFmt w:val="bullet"/>
      <w:lvlText w:val="•"/>
      <w:lvlJc w:val="left"/>
      <w:pPr>
        <w:ind w:left="5993" w:hanging="340"/>
      </w:pPr>
      <w:rPr>
        <w:rFonts w:hint="default"/>
      </w:rPr>
    </w:lvl>
    <w:lvl w:ilvl="4">
      <w:start w:val="0"/>
      <w:numFmt w:val="bullet"/>
      <w:lvlText w:val="•"/>
      <w:lvlJc w:val="left"/>
      <w:pPr>
        <w:ind w:left="6838" w:hanging="340"/>
      </w:pPr>
      <w:rPr>
        <w:rFonts w:hint="default"/>
      </w:rPr>
    </w:lvl>
    <w:lvl w:ilvl="5">
      <w:start w:val="0"/>
      <w:numFmt w:val="bullet"/>
      <w:lvlText w:val="•"/>
      <w:lvlJc w:val="left"/>
      <w:pPr>
        <w:ind w:left="7682" w:hanging="340"/>
      </w:pPr>
      <w:rPr>
        <w:rFonts w:hint="default"/>
      </w:rPr>
    </w:lvl>
    <w:lvl w:ilvl="6">
      <w:start w:val="0"/>
      <w:numFmt w:val="bullet"/>
      <w:lvlText w:val="•"/>
      <w:lvlJc w:val="left"/>
      <w:pPr>
        <w:ind w:left="8527" w:hanging="340"/>
      </w:pPr>
      <w:rPr>
        <w:rFonts w:hint="default"/>
      </w:rPr>
    </w:lvl>
    <w:lvl w:ilvl="7">
      <w:start w:val="0"/>
      <w:numFmt w:val="bullet"/>
      <w:lvlText w:val="•"/>
      <w:lvlJc w:val="left"/>
      <w:pPr>
        <w:ind w:left="9371" w:hanging="340"/>
      </w:pPr>
      <w:rPr>
        <w:rFonts w:hint="default"/>
      </w:rPr>
    </w:lvl>
    <w:lvl w:ilvl="8">
      <w:start w:val="0"/>
      <w:numFmt w:val="bullet"/>
      <w:lvlText w:val="•"/>
      <w:lvlJc w:val="left"/>
      <w:pPr>
        <w:ind w:left="10216" w:hanging="340"/>
      </w:pPr>
      <w:rPr>
        <w:rFonts w:hint="default"/>
      </w:rPr>
    </w:lvl>
  </w:abstractNum>
  <w:abstractNum w:abstractNumId="70">
    <w:multiLevelType w:val="hybridMultilevel"/>
    <w:lvl w:ilvl="0">
      <w:start w:val="3"/>
      <w:numFmt w:val="decimal"/>
      <w:lvlText w:val="%1"/>
      <w:lvlJc w:val="left"/>
      <w:pPr>
        <w:ind w:left="2664" w:hanging="681"/>
        <w:jc w:val="left"/>
      </w:pPr>
      <w:rPr>
        <w:rFonts w:hint="default"/>
      </w:rPr>
    </w:lvl>
    <w:lvl w:ilvl="1">
      <w:start w:val="3"/>
      <w:numFmt w:val="decimal"/>
      <w:lvlText w:val="%1.%2"/>
      <w:lvlJc w:val="left"/>
      <w:pPr>
        <w:ind w:left="2664" w:hanging="681"/>
        <w:jc w:val="left"/>
      </w:pPr>
      <w:rPr>
        <w:rFonts w:hint="default" w:ascii="Calibri" w:hAnsi="Calibri" w:eastAsia="Calibri" w:cs="Calibri"/>
        <w:spacing w:val="-4"/>
        <w:w w:val="125"/>
        <w:sz w:val="20"/>
        <w:szCs w:val="20"/>
      </w:rPr>
    </w:lvl>
    <w:lvl w:ilvl="2">
      <w:start w:val="1"/>
      <w:numFmt w:val="decimal"/>
      <w:lvlText w:val="%1.%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4714" w:hanging="681"/>
      </w:pPr>
      <w:rPr>
        <w:rFonts w:hint="default"/>
      </w:rPr>
    </w:lvl>
    <w:lvl w:ilvl="4">
      <w:start w:val="0"/>
      <w:numFmt w:val="bullet"/>
      <w:lvlText w:val="•"/>
      <w:lvlJc w:val="left"/>
      <w:pPr>
        <w:ind w:left="5741" w:hanging="681"/>
      </w:pPr>
      <w:rPr>
        <w:rFonts w:hint="default"/>
      </w:rPr>
    </w:lvl>
    <w:lvl w:ilvl="5">
      <w:start w:val="0"/>
      <w:numFmt w:val="bullet"/>
      <w:lvlText w:val="•"/>
      <w:lvlJc w:val="left"/>
      <w:pPr>
        <w:ind w:left="6769" w:hanging="681"/>
      </w:pPr>
      <w:rPr>
        <w:rFonts w:hint="default"/>
      </w:rPr>
    </w:lvl>
    <w:lvl w:ilvl="6">
      <w:start w:val="0"/>
      <w:numFmt w:val="bullet"/>
      <w:lvlText w:val="•"/>
      <w:lvlJc w:val="left"/>
      <w:pPr>
        <w:ind w:left="7796" w:hanging="681"/>
      </w:pPr>
      <w:rPr>
        <w:rFonts w:hint="default"/>
      </w:rPr>
    </w:lvl>
    <w:lvl w:ilvl="7">
      <w:start w:val="0"/>
      <w:numFmt w:val="bullet"/>
      <w:lvlText w:val="•"/>
      <w:lvlJc w:val="left"/>
      <w:pPr>
        <w:ind w:left="8823" w:hanging="681"/>
      </w:pPr>
      <w:rPr>
        <w:rFonts w:hint="default"/>
      </w:rPr>
    </w:lvl>
    <w:lvl w:ilvl="8">
      <w:start w:val="0"/>
      <w:numFmt w:val="bullet"/>
      <w:lvlText w:val="•"/>
      <w:lvlJc w:val="left"/>
      <w:pPr>
        <w:ind w:left="9850" w:hanging="681"/>
      </w:pPr>
      <w:rPr>
        <w:rFonts w:hint="default"/>
      </w:rPr>
    </w:lvl>
  </w:abstractNum>
  <w:abstractNum w:abstractNumId="69">
    <w:multiLevelType w:val="hybridMultilevel"/>
    <w:lvl w:ilvl="0">
      <w:start w:val="3"/>
      <w:numFmt w:val="decimal"/>
      <w:lvlText w:val="%1"/>
      <w:lvlJc w:val="left"/>
      <w:pPr>
        <w:ind w:left="1133" w:hanging="681"/>
        <w:jc w:val="left"/>
      </w:pPr>
      <w:rPr>
        <w:rFonts w:hint="default"/>
      </w:rPr>
    </w:lvl>
    <w:lvl w:ilvl="1">
      <w:start w:val="2"/>
      <w:numFmt w:val="decimal"/>
      <w:lvlText w:val="%1.%2"/>
      <w:lvlJc w:val="left"/>
      <w:pPr>
        <w:ind w:left="1133" w:hanging="681"/>
        <w:jc w:val="left"/>
      </w:pPr>
      <w:rPr>
        <w:rFonts w:hint="default"/>
      </w:rPr>
    </w:lvl>
    <w:lvl w:ilvl="2">
      <w:start w:val="1"/>
      <w:numFmt w:val="decimal"/>
      <w:lvlText w:val="%1.%2.%3"/>
      <w:lvlJc w:val="left"/>
      <w:pPr>
        <w:ind w:left="1133" w:hanging="681"/>
        <w:jc w:val="right"/>
      </w:pPr>
      <w:rPr>
        <w:rFonts w:hint="default" w:ascii="Calibri" w:hAnsi="Calibri" w:eastAsia="Calibri" w:cs="Calibri"/>
        <w:spacing w:val="-18"/>
        <w:w w:val="125"/>
        <w:sz w:val="20"/>
        <w:szCs w:val="20"/>
      </w:rPr>
    </w:lvl>
    <w:lvl w:ilvl="3">
      <w:start w:val="0"/>
      <w:numFmt w:val="bullet"/>
      <w:lvlText w:val="•"/>
      <w:lvlJc w:val="left"/>
      <w:pPr>
        <w:ind w:left="4369" w:hanging="681"/>
      </w:pPr>
      <w:rPr>
        <w:rFonts w:hint="default"/>
      </w:rPr>
    </w:lvl>
    <w:lvl w:ilvl="4">
      <w:start w:val="0"/>
      <w:numFmt w:val="bullet"/>
      <w:lvlText w:val="•"/>
      <w:lvlJc w:val="left"/>
      <w:pPr>
        <w:ind w:left="5446" w:hanging="681"/>
      </w:pPr>
      <w:rPr>
        <w:rFonts w:hint="default"/>
      </w:rPr>
    </w:lvl>
    <w:lvl w:ilvl="5">
      <w:start w:val="0"/>
      <w:numFmt w:val="bullet"/>
      <w:lvlText w:val="•"/>
      <w:lvlJc w:val="left"/>
      <w:pPr>
        <w:ind w:left="6522" w:hanging="681"/>
      </w:pPr>
      <w:rPr>
        <w:rFonts w:hint="default"/>
      </w:rPr>
    </w:lvl>
    <w:lvl w:ilvl="6">
      <w:start w:val="0"/>
      <w:numFmt w:val="bullet"/>
      <w:lvlText w:val="•"/>
      <w:lvlJc w:val="left"/>
      <w:pPr>
        <w:ind w:left="7599" w:hanging="681"/>
      </w:pPr>
      <w:rPr>
        <w:rFonts w:hint="default"/>
      </w:rPr>
    </w:lvl>
    <w:lvl w:ilvl="7">
      <w:start w:val="0"/>
      <w:numFmt w:val="bullet"/>
      <w:lvlText w:val="•"/>
      <w:lvlJc w:val="left"/>
      <w:pPr>
        <w:ind w:left="8675" w:hanging="681"/>
      </w:pPr>
      <w:rPr>
        <w:rFonts w:hint="default"/>
      </w:rPr>
    </w:lvl>
    <w:lvl w:ilvl="8">
      <w:start w:val="0"/>
      <w:numFmt w:val="bullet"/>
      <w:lvlText w:val="•"/>
      <w:lvlJc w:val="left"/>
      <w:pPr>
        <w:ind w:left="9752" w:hanging="681"/>
      </w:pPr>
      <w:rPr>
        <w:rFonts w:hint="default"/>
      </w:rPr>
    </w:lvl>
  </w:abstractNum>
  <w:abstractNum w:abstractNumId="68">
    <w:multiLevelType w:val="hybridMultilevel"/>
    <w:lvl w:ilvl="0">
      <w:start w:val="1"/>
      <w:numFmt w:val="lowerRoman"/>
      <w:lvlText w:val="(%1)"/>
      <w:lvlJc w:val="left"/>
      <w:pPr>
        <w:ind w:left="2513" w:hanging="681"/>
        <w:jc w:val="left"/>
      </w:pPr>
      <w:rPr>
        <w:rFonts w:hint="default" w:ascii="Calibri" w:hAnsi="Calibri" w:eastAsia="Calibri" w:cs="Calibri"/>
        <w:spacing w:val="-4"/>
        <w:w w:val="122"/>
        <w:sz w:val="20"/>
        <w:szCs w:val="20"/>
      </w:rPr>
    </w:lvl>
    <w:lvl w:ilvl="1">
      <w:start w:val="0"/>
      <w:numFmt w:val="bullet"/>
      <w:lvlText w:val="•"/>
      <w:lvlJc w:val="left"/>
      <w:pPr>
        <w:ind w:left="3000" w:hanging="681"/>
      </w:pPr>
      <w:rPr>
        <w:rFonts w:hint="default"/>
      </w:rPr>
    </w:lvl>
    <w:lvl w:ilvl="2">
      <w:start w:val="0"/>
      <w:numFmt w:val="bullet"/>
      <w:lvlText w:val="•"/>
      <w:lvlJc w:val="left"/>
      <w:pPr>
        <w:ind w:left="3989" w:hanging="681"/>
      </w:pPr>
      <w:rPr>
        <w:rFonts w:hint="default"/>
      </w:rPr>
    </w:lvl>
    <w:lvl w:ilvl="3">
      <w:start w:val="0"/>
      <w:numFmt w:val="bullet"/>
      <w:lvlText w:val="•"/>
      <w:lvlJc w:val="left"/>
      <w:pPr>
        <w:ind w:left="4979" w:hanging="681"/>
      </w:pPr>
      <w:rPr>
        <w:rFonts w:hint="default"/>
      </w:rPr>
    </w:lvl>
    <w:lvl w:ilvl="4">
      <w:start w:val="0"/>
      <w:numFmt w:val="bullet"/>
      <w:lvlText w:val="•"/>
      <w:lvlJc w:val="left"/>
      <w:pPr>
        <w:ind w:left="5968" w:hanging="681"/>
      </w:pPr>
      <w:rPr>
        <w:rFonts w:hint="default"/>
      </w:rPr>
    </w:lvl>
    <w:lvl w:ilvl="5">
      <w:start w:val="0"/>
      <w:numFmt w:val="bullet"/>
      <w:lvlText w:val="•"/>
      <w:lvlJc w:val="left"/>
      <w:pPr>
        <w:ind w:left="6958" w:hanging="681"/>
      </w:pPr>
      <w:rPr>
        <w:rFonts w:hint="default"/>
      </w:rPr>
    </w:lvl>
    <w:lvl w:ilvl="6">
      <w:start w:val="0"/>
      <w:numFmt w:val="bullet"/>
      <w:lvlText w:val="•"/>
      <w:lvlJc w:val="left"/>
      <w:pPr>
        <w:ind w:left="7947" w:hanging="681"/>
      </w:pPr>
      <w:rPr>
        <w:rFonts w:hint="default"/>
      </w:rPr>
    </w:lvl>
    <w:lvl w:ilvl="7">
      <w:start w:val="0"/>
      <w:numFmt w:val="bullet"/>
      <w:lvlText w:val="•"/>
      <w:lvlJc w:val="left"/>
      <w:pPr>
        <w:ind w:left="8937" w:hanging="681"/>
      </w:pPr>
      <w:rPr>
        <w:rFonts w:hint="default"/>
      </w:rPr>
    </w:lvl>
    <w:lvl w:ilvl="8">
      <w:start w:val="0"/>
      <w:numFmt w:val="bullet"/>
      <w:lvlText w:val="•"/>
      <w:lvlJc w:val="left"/>
      <w:pPr>
        <w:ind w:left="9926" w:hanging="681"/>
      </w:pPr>
      <w:rPr>
        <w:rFonts w:hint="default"/>
      </w:rPr>
    </w:lvl>
  </w:abstractNum>
  <w:abstractNum w:abstractNumId="67">
    <w:multiLevelType w:val="hybridMultilevel"/>
    <w:lvl w:ilvl="0">
      <w:start w:val="2"/>
      <w:numFmt w:val="decimal"/>
      <w:lvlText w:val="%1"/>
      <w:lvlJc w:val="left"/>
      <w:pPr>
        <w:ind w:left="2513" w:hanging="681"/>
        <w:jc w:val="left"/>
      </w:pPr>
      <w:rPr>
        <w:rFonts w:hint="default"/>
      </w:rPr>
    </w:lvl>
    <w:lvl w:ilvl="1">
      <w:start w:val="3"/>
      <w:numFmt w:val="decimal"/>
      <w:lvlText w:val="%1.%2"/>
      <w:lvlJc w:val="left"/>
      <w:pPr>
        <w:ind w:left="2513" w:hanging="681"/>
        <w:jc w:val="left"/>
      </w:pPr>
      <w:rPr>
        <w:rFonts w:hint="default" w:ascii="Calibri" w:hAnsi="Calibri" w:eastAsia="Calibri" w:cs="Calibri"/>
        <w:spacing w:val="-4"/>
        <w:w w:val="125"/>
        <w:sz w:val="20"/>
        <w:szCs w:val="20"/>
      </w:rPr>
    </w:lvl>
    <w:lvl w:ilvl="2">
      <w:start w:val="1"/>
      <w:numFmt w:val="decimal"/>
      <w:lvlText w:val="%1.%2.%3"/>
      <w:lvlJc w:val="left"/>
      <w:pPr>
        <w:ind w:left="1833" w:hanging="681"/>
        <w:jc w:val="left"/>
      </w:pPr>
      <w:rPr>
        <w:rFonts w:hint="default" w:ascii="Calibri" w:hAnsi="Calibri" w:eastAsia="Calibri" w:cs="Calibri"/>
        <w:spacing w:val="-18"/>
        <w:w w:val="125"/>
        <w:sz w:val="20"/>
        <w:szCs w:val="20"/>
      </w:rPr>
    </w:lvl>
    <w:lvl w:ilvl="3">
      <w:start w:val="0"/>
      <w:numFmt w:val="bullet"/>
      <w:lvlText w:val="•"/>
      <w:lvlJc w:val="left"/>
      <w:pPr>
        <w:ind w:left="4605" w:hanging="681"/>
      </w:pPr>
      <w:rPr>
        <w:rFonts w:hint="default"/>
      </w:rPr>
    </w:lvl>
    <w:lvl w:ilvl="4">
      <w:start w:val="0"/>
      <w:numFmt w:val="bullet"/>
      <w:lvlText w:val="•"/>
      <w:lvlJc w:val="left"/>
      <w:pPr>
        <w:ind w:left="5648" w:hanging="681"/>
      </w:pPr>
      <w:rPr>
        <w:rFonts w:hint="default"/>
      </w:rPr>
    </w:lvl>
    <w:lvl w:ilvl="5">
      <w:start w:val="0"/>
      <w:numFmt w:val="bullet"/>
      <w:lvlText w:val="•"/>
      <w:lvlJc w:val="left"/>
      <w:pPr>
        <w:ind w:left="6691" w:hanging="681"/>
      </w:pPr>
      <w:rPr>
        <w:rFonts w:hint="default"/>
      </w:rPr>
    </w:lvl>
    <w:lvl w:ilvl="6">
      <w:start w:val="0"/>
      <w:numFmt w:val="bullet"/>
      <w:lvlText w:val="•"/>
      <w:lvlJc w:val="left"/>
      <w:pPr>
        <w:ind w:left="7734" w:hanging="681"/>
      </w:pPr>
      <w:rPr>
        <w:rFonts w:hint="default"/>
      </w:rPr>
    </w:lvl>
    <w:lvl w:ilvl="7">
      <w:start w:val="0"/>
      <w:numFmt w:val="bullet"/>
      <w:lvlText w:val="•"/>
      <w:lvlJc w:val="left"/>
      <w:pPr>
        <w:ind w:left="8777" w:hanging="681"/>
      </w:pPr>
      <w:rPr>
        <w:rFonts w:hint="default"/>
      </w:rPr>
    </w:lvl>
    <w:lvl w:ilvl="8">
      <w:start w:val="0"/>
      <w:numFmt w:val="bullet"/>
      <w:lvlText w:val="•"/>
      <w:lvlJc w:val="left"/>
      <w:pPr>
        <w:ind w:left="9819" w:hanging="681"/>
      </w:pPr>
      <w:rPr>
        <w:rFonts w:hint="default"/>
      </w:rPr>
    </w:lvl>
  </w:abstractNum>
  <w:abstractNum w:abstractNumId="66">
    <w:multiLevelType w:val="hybridMultilevel"/>
    <w:lvl w:ilvl="0">
      <w:start w:val="2"/>
      <w:numFmt w:val="decimal"/>
      <w:lvlText w:val="%1"/>
      <w:lvlJc w:val="left"/>
      <w:pPr>
        <w:ind w:left="2513" w:hanging="681"/>
        <w:jc w:val="left"/>
      </w:pPr>
      <w:rPr>
        <w:rFonts w:hint="default"/>
      </w:rPr>
    </w:lvl>
    <w:lvl w:ilvl="1">
      <w:start w:val="2"/>
      <w:numFmt w:val="decimal"/>
      <w:lvlText w:val="%1.%2"/>
      <w:lvlJc w:val="left"/>
      <w:pPr>
        <w:ind w:left="2513" w:hanging="681"/>
        <w:jc w:val="left"/>
      </w:pPr>
      <w:rPr>
        <w:rFonts w:hint="default"/>
      </w:rPr>
    </w:lvl>
    <w:lvl w:ilvl="2">
      <w:start w:val="1"/>
      <w:numFmt w:val="decimal"/>
      <w:lvlText w:val="%1.%2.%3"/>
      <w:lvlJc w:val="left"/>
      <w:pPr>
        <w:ind w:left="2513" w:hanging="681"/>
        <w:jc w:val="left"/>
      </w:pPr>
      <w:rPr>
        <w:rFonts w:hint="default" w:ascii="Calibri" w:hAnsi="Calibri" w:eastAsia="Calibri" w:cs="Calibri"/>
        <w:spacing w:val="-18"/>
        <w:w w:val="125"/>
        <w:sz w:val="20"/>
        <w:szCs w:val="20"/>
      </w:rPr>
    </w:lvl>
    <w:lvl w:ilvl="3">
      <w:start w:val="0"/>
      <w:numFmt w:val="bullet"/>
      <w:lvlText w:val="•"/>
      <w:lvlJc w:val="left"/>
      <w:pPr>
        <w:ind w:left="5335" w:hanging="681"/>
      </w:pPr>
      <w:rPr>
        <w:rFonts w:hint="default"/>
      </w:rPr>
    </w:lvl>
    <w:lvl w:ilvl="4">
      <w:start w:val="0"/>
      <w:numFmt w:val="bullet"/>
      <w:lvlText w:val="•"/>
      <w:lvlJc w:val="left"/>
      <w:pPr>
        <w:ind w:left="6274" w:hanging="681"/>
      </w:pPr>
      <w:rPr>
        <w:rFonts w:hint="default"/>
      </w:rPr>
    </w:lvl>
    <w:lvl w:ilvl="5">
      <w:start w:val="0"/>
      <w:numFmt w:val="bullet"/>
      <w:lvlText w:val="•"/>
      <w:lvlJc w:val="left"/>
      <w:pPr>
        <w:ind w:left="7212" w:hanging="681"/>
      </w:pPr>
      <w:rPr>
        <w:rFonts w:hint="default"/>
      </w:rPr>
    </w:lvl>
    <w:lvl w:ilvl="6">
      <w:start w:val="0"/>
      <w:numFmt w:val="bullet"/>
      <w:lvlText w:val="•"/>
      <w:lvlJc w:val="left"/>
      <w:pPr>
        <w:ind w:left="8151" w:hanging="681"/>
      </w:pPr>
      <w:rPr>
        <w:rFonts w:hint="default"/>
      </w:rPr>
    </w:lvl>
    <w:lvl w:ilvl="7">
      <w:start w:val="0"/>
      <w:numFmt w:val="bullet"/>
      <w:lvlText w:val="•"/>
      <w:lvlJc w:val="left"/>
      <w:pPr>
        <w:ind w:left="9089" w:hanging="681"/>
      </w:pPr>
      <w:rPr>
        <w:rFonts w:hint="default"/>
      </w:rPr>
    </w:lvl>
    <w:lvl w:ilvl="8">
      <w:start w:val="0"/>
      <w:numFmt w:val="bullet"/>
      <w:lvlText w:val="•"/>
      <w:lvlJc w:val="left"/>
      <w:pPr>
        <w:ind w:left="10028" w:hanging="681"/>
      </w:pPr>
      <w:rPr>
        <w:rFonts w:hint="default"/>
      </w:rPr>
    </w:lvl>
  </w:abstractNum>
  <w:abstractNum w:abstractNumId="65">
    <w:multiLevelType w:val="hybridMultilevel"/>
    <w:lvl w:ilvl="0">
      <w:start w:val="14"/>
      <w:numFmt w:val="decimal"/>
      <w:lvlText w:val="%1"/>
      <w:lvlJc w:val="left"/>
      <w:pPr>
        <w:ind w:left="1587" w:hanging="454"/>
        <w:jc w:val="left"/>
      </w:pPr>
      <w:rPr>
        <w:rFonts w:hint="default" w:ascii="Calibri" w:hAnsi="Calibri" w:eastAsia="Calibri" w:cs="Calibri"/>
        <w:spacing w:val="-13"/>
        <w:w w:val="123"/>
        <w:sz w:val="18"/>
        <w:szCs w:val="18"/>
      </w:rPr>
    </w:lvl>
    <w:lvl w:ilvl="1">
      <w:start w:val="1"/>
      <w:numFmt w:val="decimal"/>
      <w:lvlText w:val="%2"/>
      <w:lvlJc w:val="left"/>
      <w:pPr>
        <w:ind w:left="3006" w:hanging="720"/>
        <w:jc w:val="right"/>
      </w:pPr>
      <w:rPr>
        <w:rFonts w:hint="default" w:ascii="Stone Sans II ITC Std Bk" w:hAnsi="Stone Sans II ITC Std Bk" w:eastAsia="Stone Sans II ITC Std Bk" w:cs="Stone Sans II ITC Std Bk"/>
        <w:b/>
        <w:bCs/>
        <w:w w:val="114"/>
        <w:sz w:val="21"/>
        <w:szCs w:val="21"/>
      </w:rPr>
    </w:lvl>
    <w:lvl w:ilvl="2">
      <w:start w:val="1"/>
      <w:numFmt w:val="decimal"/>
      <w:lvlText w:val="%2.%3"/>
      <w:lvlJc w:val="left"/>
      <w:pPr>
        <w:ind w:left="2286" w:hanging="681"/>
        <w:jc w:val="right"/>
      </w:pPr>
      <w:rPr>
        <w:rFonts w:hint="default" w:ascii="Calibri" w:hAnsi="Calibri" w:eastAsia="Calibri" w:cs="Calibri"/>
        <w:spacing w:val="-18"/>
        <w:w w:val="125"/>
        <w:sz w:val="20"/>
        <w:szCs w:val="20"/>
      </w:rPr>
    </w:lvl>
    <w:lvl w:ilvl="3">
      <w:start w:val="1"/>
      <w:numFmt w:val="decimal"/>
      <w:lvlText w:val="%2.%3.%4"/>
      <w:lvlJc w:val="left"/>
      <w:pPr>
        <w:ind w:left="1133" w:hanging="681"/>
        <w:jc w:val="left"/>
      </w:pPr>
      <w:rPr>
        <w:rFonts w:hint="default" w:ascii="Calibri" w:hAnsi="Calibri" w:eastAsia="Calibri" w:cs="Calibri"/>
        <w:spacing w:val="-18"/>
        <w:w w:val="125"/>
        <w:sz w:val="20"/>
        <w:szCs w:val="20"/>
      </w:rPr>
    </w:lvl>
    <w:lvl w:ilvl="4">
      <w:start w:val="0"/>
      <w:numFmt w:val="bullet"/>
      <w:lvlText w:val="•"/>
      <w:lvlJc w:val="left"/>
      <w:pPr>
        <w:ind w:left="2700" w:hanging="681"/>
      </w:pPr>
      <w:rPr>
        <w:rFonts w:hint="default"/>
      </w:rPr>
    </w:lvl>
    <w:lvl w:ilvl="5">
      <w:start w:val="0"/>
      <w:numFmt w:val="bullet"/>
      <w:lvlText w:val="•"/>
      <w:lvlJc w:val="left"/>
      <w:pPr>
        <w:ind w:left="3000" w:hanging="681"/>
      </w:pPr>
      <w:rPr>
        <w:rFonts w:hint="default"/>
      </w:rPr>
    </w:lvl>
    <w:lvl w:ilvl="6">
      <w:start w:val="0"/>
      <w:numFmt w:val="bullet"/>
      <w:lvlText w:val="•"/>
      <w:lvlJc w:val="left"/>
      <w:pPr>
        <w:ind w:left="4781" w:hanging="681"/>
      </w:pPr>
      <w:rPr>
        <w:rFonts w:hint="default"/>
      </w:rPr>
    </w:lvl>
    <w:lvl w:ilvl="7">
      <w:start w:val="0"/>
      <w:numFmt w:val="bullet"/>
      <w:lvlText w:val="•"/>
      <w:lvlJc w:val="left"/>
      <w:pPr>
        <w:ind w:left="6562" w:hanging="681"/>
      </w:pPr>
      <w:rPr>
        <w:rFonts w:hint="default"/>
      </w:rPr>
    </w:lvl>
    <w:lvl w:ilvl="8">
      <w:start w:val="0"/>
      <w:numFmt w:val="bullet"/>
      <w:lvlText w:val="•"/>
      <w:lvlJc w:val="left"/>
      <w:pPr>
        <w:ind w:left="8343" w:hanging="681"/>
      </w:pPr>
      <w:rPr>
        <w:rFonts w:hint="default"/>
      </w:rPr>
    </w:lvl>
  </w:abstractNum>
  <w:abstractNum w:abstractNumId="64">
    <w:multiLevelType w:val="hybridMultilevel"/>
    <w:lvl w:ilvl="0">
      <w:start w:val="10"/>
      <w:numFmt w:val="decimal"/>
      <w:lvlText w:val="%1"/>
      <w:lvlJc w:val="left"/>
      <w:pPr>
        <w:ind w:left="2704" w:hanging="720"/>
        <w:jc w:val="right"/>
      </w:pPr>
      <w:rPr>
        <w:rFonts w:hint="default" w:ascii="Stone Sans II ITC Std Bk" w:hAnsi="Stone Sans II ITC Std Bk" w:eastAsia="Stone Sans II ITC Std Bk" w:cs="Stone Sans II ITC Std Bk"/>
        <w:b/>
        <w:bCs/>
        <w:spacing w:val="-12"/>
        <w:w w:val="114"/>
        <w:sz w:val="21"/>
        <w:szCs w:val="21"/>
      </w:rPr>
    </w:lvl>
    <w:lvl w:ilvl="1">
      <w:start w:val="1"/>
      <w:numFmt w:val="decimal"/>
      <w:lvlText w:val="%1.%2"/>
      <w:lvlJc w:val="left"/>
      <w:pPr>
        <w:ind w:left="1984" w:hanging="681"/>
        <w:jc w:val="left"/>
      </w:pPr>
      <w:rPr>
        <w:rFonts w:hint="default" w:ascii="Calibri" w:hAnsi="Calibri" w:eastAsia="Calibri" w:cs="Calibri"/>
        <w:spacing w:val="-22"/>
        <w:w w:val="125"/>
        <w:sz w:val="20"/>
        <w:szCs w:val="20"/>
      </w:rPr>
    </w:lvl>
    <w:lvl w:ilvl="2">
      <w:start w:val="0"/>
      <w:numFmt w:val="bullet"/>
      <w:lvlText w:val="•"/>
      <w:lvlJc w:val="left"/>
      <w:pPr>
        <w:ind w:left="2700" w:hanging="681"/>
      </w:pPr>
      <w:rPr>
        <w:rFonts w:hint="default"/>
      </w:rPr>
    </w:lvl>
    <w:lvl w:ilvl="3">
      <w:start w:val="0"/>
      <w:numFmt w:val="bullet"/>
      <w:lvlText w:val="•"/>
      <w:lvlJc w:val="left"/>
      <w:pPr>
        <w:ind w:left="3850" w:hanging="681"/>
      </w:pPr>
      <w:rPr>
        <w:rFonts w:hint="default"/>
      </w:rPr>
    </w:lvl>
    <w:lvl w:ilvl="4">
      <w:start w:val="0"/>
      <w:numFmt w:val="bullet"/>
      <w:lvlText w:val="•"/>
      <w:lvlJc w:val="left"/>
      <w:pPr>
        <w:ind w:left="5001" w:hanging="681"/>
      </w:pPr>
      <w:rPr>
        <w:rFonts w:hint="default"/>
      </w:rPr>
    </w:lvl>
    <w:lvl w:ilvl="5">
      <w:start w:val="0"/>
      <w:numFmt w:val="bullet"/>
      <w:lvlText w:val="•"/>
      <w:lvlJc w:val="left"/>
      <w:pPr>
        <w:ind w:left="6152" w:hanging="681"/>
      </w:pPr>
      <w:rPr>
        <w:rFonts w:hint="default"/>
      </w:rPr>
    </w:lvl>
    <w:lvl w:ilvl="6">
      <w:start w:val="0"/>
      <w:numFmt w:val="bullet"/>
      <w:lvlText w:val="•"/>
      <w:lvlJc w:val="left"/>
      <w:pPr>
        <w:ind w:left="7302" w:hanging="681"/>
      </w:pPr>
      <w:rPr>
        <w:rFonts w:hint="default"/>
      </w:rPr>
    </w:lvl>
    <w:lvl w:ilvl="7">
      <w:start w:val="0"/>
      <w:numFmt w:val="bullet"/>
      <w:lvlText w:val="•"/>
      <w:lvlJc w:val="left"/>
      <w:pPr>
        <w:ind w:left="8453" w:hanging="681"/>
      </w:pPr>
      <w:rPr>
        <w:rFonts w:hint="default"/>
      </w:rPr>
    </w:lvl>
    <w:lvl w:ilvl="8">
      <w:start w:val="0"/>
      <w:numFmt w:val="bullet"/>
      <w:lvlText w:val="•"/>
      <w:lvlJc w:val="left"/>
      <w:pPr>
        <w:ind w:left="9604" w:hanging="681"/>
      </w:pPr>
      <w:rPr>
        <w:rFonts w:hint="default"/>
      </w:rPr>
    </w:lvl>
  </w:abstractNum>
  <w:abstractNum w:abstractNumId="63">
    <w:multiLevelType w:val="hybridMultilevel"/>
    <w:lvl w:ilvl="0">
      <w:start w:val="9"/>
      <w:numFmt w:val="decimal"/>
      <w:lvlText w:val="%1"/>
      <w:lvlJc w:val="left"/>
      <w:pPr>
        <w:ind w:left="1853" w:hanging="720"/>
        <w:jc w:val="left"/>
      </w:pPr>
      <w:rPr>
        <w:rFonts w:hint="default"/>
        <w:b/>
        <w:bCs/>
        <w:w w:val="114"/>
      </w:rPr>
    </w:lvl>
    <w:lvl w:ilvl="1">
      <w:start w:val="1"/>
      <w:numFmt w:val="decimal"/>
      <w:lvlText w:val="%1.%2"/>
      <w:lvlJc w:val="left"/>
      <w:pPr>
        <w:ind w:left="1133" w:hanging="681"/>
        <w:jc w:val="left"/>
      </w:pPr>
      <w:rPr>
        <w:rFonts w:hint="default" w:ascii="Calibri" w:hAnsi="Calibri" w:eastAsia="Calibri" w:cs="Calibri"/>
        <w:spacing w:val="-18"/>
        <w:w w:val="125"/>
        <w:sz w:val="20"/>
        <w:szCs w:val="20"/>
      </w:rPr>
    </w:lvl>
    <w:lvl w:ilvl="2">
      <w:start w:val="0"/>
      <w:numFmt w:val="bullet"/>
      <w:lvlText w:val="•"/>
      <w:lvlJc w:val="left"/>
      <w:pPr>
        <w:ind w:left="2976" w:hanging="681"/>
      </w:pPr>
      <w:rPr>
        <w:rFonts w:hint="default"/>
      </w:rPr>
    </w:lvl>
    <w:lvl w:ilvl="3">
      <w:start w:val="0"/>
      <w:numFmt w:val="bullet"/>
      <w:lvlText w:val="•"/>
      <w:lvlJc w:val="left"/>
      <w:pPr>
        <w:ind w:left="4092" w:hanging="681"/>
      </w:pPr>
      <w:rPr>
        <w:rFonts w:hint="default"/>
      </w:rPr>
    </w:lvl>
    <w:lvl w:ilvl="4">
      <w:start w:val="0"/>
      <w:numFmt w:val="bullet"/>
      <w:lvlText w:val="•"/>
      <w:lvlJc w:val="left"/>
      <w:pPr>
        <w:ind w:left="5208" w:hanging="681"/>
      </w:pPr>
      <w:rPr>
        <w:rFonts w:hint="default"/>
      </w:rPr>
    </w:lvl>
    <w:lvl w:ilvl="5">
      <w:start w:val="0"/>
      <w:numFmt w:val="bullet"/>
      <w:lvlText w:val="•"/>
      <w:lvlJc w:val="left"/>
      <w:pPr>
        <w:ind w:left="6324" w:hanging="681"/>
      </w:pPr>
      <w:rPr>
        <w:rFonts w:hint="default"/>
      </w:rPr>
    </w:lvl>
    <w:lvl w:ilvl="6">
      <w:start w:val="0"/>
      <w:numFmt w:val="bullet"/>
      <w:lvlText w:val="•"/>
      <w:lvlJc w:val="left"/>
      <w:pPr>
        <w:ind w:left="7440" w:hanging="681"/>
      </w:pPr>
      <w:rPr>
        <w:rFonts w:hint="default"/>
      </w:rPr>
    </w:lvl>
    <w:lvl w:ilvl="7">
      <w:start w:val="0"/>
      <w:numFmt w:val="bullet"/>
      <w:lvlText w:val="•"/>
      <w:lvlJc w:val="left"/>
      <w:pPr>
        <w:ind w:left="8557" w:hanging="681"/>
      </w:pPr>
      <w:rPr>
        <w:rFonts w:hint="default"/>
      </w:rPr>
    </w:lvl>
    <w:lvl w:ilvl="8">
      <w:start w:val="0"/>
      <w:numFmt w:val="bullet"/>
      <w:lvlText w:val="•"/>
      <w:lvlJc w:val="left"/>
      <w:pPr>
        <w:ind w:left="9673" w:hanging="681"/>
      </w:pPr>
      <w:rPr>
        <w:rFonts w:hint="default"/>
      </w:rPr>
    </w:lvl>
  </w:abstractNum>
  <w:abstractNum w:abstractNumId="62">
    <w:multiLevelType w:val="hybridMultilevel"/>
    <w:lvl w:ilvl="0">
      <w:start w:val="8"/>
      <w:numFmt w:val="decimal"/>
      <w:lvlText w:val="%1"/>
      <w:lvlJc w:val="left"/>
      <w:pPr>
        <w:ind w:left="2437" w:hanging="454"/>
        <w:jc w:val="left"/>
      </w:pPr>
      <w:rPr>
        <w:rFonts w:hint="default" w:ascii="Calibri" w:hAnsi="Calibri" w:eastAsia="Calibri" w:cs="Calibri"/>
        <w:w w:val="123"/>
        <w:sz w:val="18"/>
        <w:szCs w:val="18"/>
      </w:rPr>
    </w:lvl>
    <w:lvl w:ilvl="1">
      <w:start w:val="0"/>
      <w:numFmt w:val="bullet"/>
      <w:lvlText w:val="•"/>
      <w:lvlJc w:val="left"/>
      <w:pPr>
        <w:ind w:left="3386" w:hanging="454"/>
      </w:pPr>
      <w:rPr>
        <w:rFonts w:hint="default"/>
      </w:rPr>
    </w:lvl>
    <w:lvl w:ilvl="2">
      <w:start w:val="0"/>
      <w:numFmt w:val="bullet"/>
      <w:lvlText w:val="•"/>
      <w:lvlJc w:val="left"/>
      <w:pPr>
        <w:ind w:left="4333" w:hanging="454"/>
      </w:pPr>
      <w:rPr>
        <w:rFonts w:hint="default"/>
      </w:rPr>
    </w:lvl>
    <w:lvl w:ilvl="3">
      <w:start w:val="0"/>
      <w:numFmt w:val="bullet"/>
      <w:lvlText w:val="•"/>
      <w:lvlJc w:val="left"/>
      <w:pPr>
        <w:ind w:left="5279" w:hanging="454"/>
      </w:pPr>
      <w:rPr>
        <w:rFonts w:hint="default"/>
      </w:rPr>
    </w:lvl>
    <w:lvl w:ilvl="4">
      <w:start w:val="0"/>
      <w:numFmt w:val="bullet"/>
      <w:lvlText w:val="•"/>
      <w:lvlJc w:val="left"/>
      <w:pPr>
        <w:ind w:left="6226" w:hanging="454"/>
      </w:pPr>
      <w:rPr>
        <w:rFonts w:hint="default"/>
      </w:rPr>
    </w:lvl>
    <w:lvl w:ilvl="5">
      <w:start w:val="0"/>
      <w:numFmt w:val="bullet"/>
      <w:lvlText w:val="•"/>
      <w:lvlJc w:val="left"/>
      <w:pPr>
        <w:ind w:left="7172" w:hanging="454"/>
      </w:pPr>
      <w:rPr>
        <w:rFonts w:hint="default"/>
      </w:rPr>
    </w:lvl>
    <w:lvl w:ilvl="6">
      <w:start w:val="0"/>
      <w:numFmt w:val="bullet"/>
      <w:lvlText w:val="•"/>
      <w:lvlJc w:val="left"/>
      <w:pPr>
        <w:ind w:left="8119" w:hanging="454"/>
      </w:pPr>
      <w:rPr>
        <w:rFonts w:hint="default"/>
      </w:rPr>
    </w:lvl>
    <w:lvl w:ilvl="7">
      <w:start w:val="0"/>
      <w:numFmt w:val="bullet"/>
      <w:lvlText w:val="•"/>
      <w:lvlJc w:val="left"/>
      <w:pPr>
        <w:ind w:left="9065" w:hanging="454"/>
      </w:pPr>
      <w:rPr>
        <w:rFonts w:hint="default"/>
      </w:rPr>
    </w:lvl>
    <w:lvl w:ilvl="8">
      <w:start w:val="0"/>
      <w:numFmt w:val="bullet"/>
      <w:lvlText w:val="•"/>
      <w:lvlJc w:val="left"/>
      <w:pPr>
        <w:ind w:left="10012" w:hanging="454"/>
      </w:pPr>
      <w:rPr>
        <w:rFonts w:hint="default"/>
      </w:rPr>
    </w:lvl>
  </w:abstractNum>
  <w:abstractNum w:abstractNumId="61">
    <w:multiLevelType w:val="hybridMultilevel"/>
    <w:lvl w:ilvl="0">
      <w:start w:val="6"/>
      <w:numFmt w:val="decimal"/>
      <w:lvlText w:val="%1"/>
      <w:lvlJc w:val="left"/>
      <w:pPr>
        <w:ind w:left="1984" w:hanging="681"/>
        <w:jc w:val="left"/>
      </w:pPr>
      <w:rPr>
        <w:rFonts w:hint="default"/>
      </w:rPr>
    </w:lvl>
    <w:lvl w:ilvl="1">
      <w:start w:val="1"/>
      <w:numFmt w:val="decimal"/>
      <w:lvlText w:val="%1.%2"/>
      <w:lvlJc w:val="left"/>
      <w:pPr>
        <w:ind w:left="1984" w:hanging="681"/>
        <w:jc w:val="left"/>
      </w:pPr>
      <w:rPr>
        <w:rFonts w:hint="default"/>
      </w:rPr>
    </w:lvl>
    <w:lvl w:ilvl="2">
      <w:start w:val="4"/>
      <w:numFmt w:val="decimal"/>
      <w:lvlText w:val="%1.%2.%3"/>
      <w:lvlJc w:val="left"/>
      <w:pPr>
        <w:ind w:left="1984" w:hanging="681"/>
        <w:jc w:val="left"/>
      </w:pPr>
      <w:rPr>
        <w:rFonts w:hint="default" w:ascii="Calibri" w:hAnsi="Calibri" w:eastAsia="Calibri" w:cs="Calibri"/>
        <w:spacing w:val="-18"/>
        <w:w w:val="125"/>
        <w:sz w:val="20"/>
        <w:szCs w:val="20"/>
      </w:rPr>
    </w:lvl>
    <w:lvl w:ilvl="3">
      <w:start w:val="0"/>
      <w:numFmt w:val="bullet"/>
      <w:lvlText w:val="•"/>
      <w:lvlJc w:val="left"/>
      <w:pPr>
        <w:ind w:left="4957" w:hanging="681"/>
      </w:pPr>
      <w:rPr>
        <w:rFonts w:hint="default"/>
      </w:rPr>
    </w:lvl>
    <w:lvl w:ilvl="4">
      <w:start w:val="0"/>
      <w:numFmt w:val="bullet"/>
      <w:lvlText w:val="•"/>
      <w:lvlJc w:val="left"/>
      <w:pPr>
        <w:ind w:left="5950" w:hanging="681"/>
      </w:pPr>
      <w:rPr>
        <w:rFonts w:hint="default"/>
      </w:rPr>
    </w:lvl>
    <w:lvl w:ilvl="5">
      <w:start w:val="0"/>
      <w:numFmt w:val="bullet"/>
      <w:lvlText w:val="•"/>
      <w:lvlJc w:val="left"/>
      <w:pPr>
        <w:ind w:left="6942" w:hanging="681"/>
      </w:pPr>
      <w:rPr>
        <w:rFonts w:hint="default"/>
      </w:rPr>
    </w:lvl>
    <w:lvl w:ilvl="6">
      <w:start w:val="0"/>
      <w:numFmt w:val="bullet"/>
      <w:lvlText w:val="•"/>
      <w:lvlJc w:val="left"/>
      <w:pPr>
        <w:ind w:left="7935" w:hanging="681"/>
      </w:pPr>
      <w:rPr>
        <w:rFonts w:hint="default"/>
      </w:rPr>
    </w:lvl>
    <w:lvl w:ilvl="7">
      <w:start w:val="0"/>
      <w:numFmt w:val="bullet"/>
      <w:lvlText w:val="•"/>
      <w:lvlJc w:val="left"/>
      <w:pPr>
        <w:ind w:left="8927" w:hanging="681"/>
      </w:pPr>
      <w:rPr>
        <w:rFonts w:hint="default"/>
      </w:rPr>
    </w:lvl>
    <w:lvl w:ilvl="8">
      <w:start w:val="0"/>
      <w:numFmt w:val="bullet"/>
      <w:lvlText w:val="•"/>
      <w:lvlJc w:val="left"/>
      <w:pPr>
        <w:ind w:left="9920" w:hanging="681"/>
      </w:pPr>
      <w:rPr>
        <w:rFonts w:hint="default"/>
      </w:rPr>
    </w:lvl>
  </w:abstractNum>
  <w:abstractNum w:abstractNumId="60">
    <w:multiLevelType w:val="hybridMultilevel"/>
    <w:lvl w:ilvl="0">
      <w:start w:val="5"/>
      <w:numFmt w:val="decimal"/>
      <w:lvlText w:val="%1"/>
      <w:lvlJc w:val="left"/>
      <w:pPr>
        <w:ind w:left="1587" w:hanging="454"/>
        <w:jc w:val="left"/>
      </w:pPr>
      <w:rPr>
        <w:rFonts w:hint="default" w:ascii="Calibri" w:hAnsi="Calibri" w:eastAsia="Calibri" w:cs="Calibri"/>
        <w:w w:val="126"/>
        <w:sz w:val="18"/>
        <w:szCs w:val="18"/>
      </w:rPr>
    </w:lvl>
    <w:lvl w:ilvl="1">
      <w:start w:val="7"/>
      <w:numFmt w:val="decimal"/>
      <w:lvlText w:val="%2"/>
      <w:lvlJc w:val="left"/>
      <w:pPr>
        <w:ind w:left="2704" w:hanging="720"/>
        <w:jc w:val="left"/>
      </w:pPr>
      <w:rPr>
        <w:rFonts w:hint="default" w:ascii="Stone Sans II ITC Std Bk" w:hAnsi="Stone Sans II ITC Std Bk" w:eastAsia="Stone Sans II ITC Std Bk" w:cs="Stone Sans II ITC Std Bk"/>
        <w:b/>
        <w:bCs/>
        <w:w w:val="114"/>
        <w:sz w:val="21"/>
        <w:szCs w:val="21"/>
      </w:rPr>
    </w:lvl>
    <w:lvl w:ilvl="2">
      <w:start w:val="1"/>
      <w:numFmt w:val="decimal"/>
      <w:lvlText w:val="%2.%3"/>
      <w:lvlJc w:val="left"/>
      <w:pPr>
        <w:ind w:left="1984" w:hanging="681"/>
        <w:jc w:val="left"/>
      </w:pPr>
      <w:rPr>
        <w:rFonts w:hint="default" w:ascii="Calibri" w:hAnsi="Calibri" w:eastAsia="Calibri" w:cs="Calibri"/>
        <w:spacing w:val="-23"/>
        <w:w w:val="125"/>
        <w:sz w:val="20"/>
        <w:szCs w:val="20"/>
      </w:rPr>
    </w:lvl>
    <w:lvl w:ilvl="3">
      <w:start w:val="1"/>
      <w:numFmt w:val="decimal"/>
      <w:lvlText w:val="%2.%3.%4"/>
      <w:lvlJc w:val="left"/>
      <w:pPr>
        <w:ind w:left="1984" w:hanging="681"/>
        <w:jc w:val="left"/>
      </w:pPr>
      <w:rPr>
        <w:rFonts w:hint="default" w:ascii="Calibri" w:hAnsi="Calibri" w:eastAsia="Calibri" w:cs="Calibri"/>
        <w:spacing w:val="-25"/>
        <w:w w:val="125"/>
        <w:sz w:val="20"/>
        <w:szCs w:val="20"/>
      </w:rPr>
    </w:lvl>
    <w:lvl w:ilvl="4">
      <w:start w:val="0"/>
      <w:numFmt w:val="bullet"/>
      <w:lvlText w:val="•"/>
      <w:lvlJc w:val="left"/>
      <w:pPr>
        <w:ind w:left="5001" w:hanging="681"/>
      </w:pPr>
      <w:rPr>
        <w:rFonts w:hint="default"/>
      </w:rPr>
    </w:lvl>
    <w:lvl w:ilvl="5">
      <w:start w:val="0"/>
      <w:numFmt w:val="bullet"/>
      <w:lvlText w:val="•"/>
      <w:lvlJc w:val="left"/>
      <w:pPr>
        <w:ind w:left="6152" w:hanging="681"/>
      </w:pPr>
      <w:rPr>
        <w:rFonts w:hint="default"/>
      </w:rPr>
    </w:lvl>
    <w:lvl w:ilvl="6">
      <w:start w:val="0"/>
      <w:numFmt w:val="bullet"/>
      <w:lvlText w:val="•"/>
      <w:lvlJc w:val="left"/>
      <w:pPr>
        <w:ind w:left="7302" w:hanging="681"/>
      </w:pPr>
      <w:rPr>
        <w:rFonts w:hint="default"/>
      </w:rPr>
    </w:lvl>
    <w:lvl w:ilvl="7">
      <w:start w:val="0"/>
      <w:numFmt w:val="bullet"/>
      <w:lvlText w:val="•"/>
      <w:lvlJc w:val="left"/>
      <w:pPr>
        <w:ind w:left="8453" w:hanging="681"/>
      </w:pPr>
      <w:rPr>
        <w:rFonts w:hint="default"/>
      </w:rPr>
    </w:lvl>
    <w:lvl w:ilvl="8">
      <w:start w:val="0"/>
      <w:numFmt w:val="bullet"/>
      <w:lvlText w:val="•"/>
      <w:lvlJc w:val="left"/>
      <w:pPr>
        <w:ind w:left="9604" w:hanging="681"/>
      </w:pPr>
      <w:rPr>
        <w:rFonts w:hint="default"/>
      </w:rPr>
    </w:lvl>
  </w:abstractNum>
  <w:abstractNum w:abstractNumId="59">
    <w:multiLevelType w:val="hybridMultilevel"/>
    <w:lvl w:ilvl="0">
      <w:start w:val="4"/>
      <w:numFmt w:val="decimal"/>
      <w:lvlText w:val="%1"/>
      <w:lvlJc w:val="left"/>
      <w:pPr>
        <w:ind w:left="1853" w:hanging="720"/>
        <w:jc w:val="left"/>
      </w:pPr>
      <w:rPr>
        <w:rFonts w:hint="default" w:ascii="Stone Sans II ITC Std Bk" w:hAnsi="Stone Sans II ITC Std Bk" w:eastAsia="Stone Sans II ITC Std Bk" w:cs="Stone Sans II ITC Std Bk"/>
        <w:b/>
        <w:bCs/>
        <w:w w:val="114"/>
        <w:sz w:val="21"/>
        <w:szCs w:val="21"/>
      </w:rPr>
    </w:lvl>
    <w:lvl w:ilvl="1">
      <w:start w:val="1"/>
      <w:numFmt w:val="decimal"/>
      <w:lvlText w:val="%1.%2"/>
      <w:lvlJc w:val="left"/>
      <w:pPr>
        <w:ind w:left="1133" w:hanging="681"/>
        <w:jc w:val="left"/>
      </w:pPr>
      <w:rPr>
        <w:rFonts w:hint="default" w:ascii="Calibri" w:hAnsi="Calibri" w:eastAsia="Calibri" w:cs="Calibri"/>
        <w:spacing w:val="-18"/>
        <w:w w:val="125"/>
        <w:sz w:val="20"/>
        <w:szCs w:val="20"/>
      </w:rPr>
    </w:lvl>
    <w:lvl w:ilvl="2">
      <w:start w:val="1"/>
      <w:numFmt w:val="decimal"/>
      <w:lvlText w:val="%1.%2.%3"/>
      <w:lvlJc w:val="left"/>
      <w:pPr>
        <w:ind w:left="1133" w:hanging="681"/>
        <w:jc w:val="left"/>
      </w:pPr>
      <w:rPr>
        <w:rFonts w:hint="default" w:ascii="Calibri" w:hAnsi="Calibri" w:eastAsia="Calibri" w:cs="Calibri"/>
        <w:spacing w:val="-18"/>
        <w:w w:val="125"/>
        <w:sz w:val="20"/>
        <w:szCs w:val="20"/>
      </w:rPr>
    </w:lvl>
    <w:lvl w:ilvl="3">
      <w:start w:val="0"/>
      <w:numFmt w:val="bullet"/>
      <w:lvlText w:val="•"/>
      <w:lvlJc w:val="left"/>
      <w:pPr>
        <w:ind w:left="4092" w:hanging="681"/>
      </w:pPr>
      <w:rPr>
        <w:rFonts w:hint="default"/>
      </w:rPr>
    </w:lvl>
    <w:lvl w:ilvl="4">
      <w:start w:val="0"/>
      <w:numFmt w:val="bullet"/>
      <w:lvlText w:val="•"/>
      <w:lvlJc w:val="left"/>
      <w:pPr>
        <w:ind w:left="5208" w:hanging="681"/>
      </w:pPr>
      <w:rPr>
        <w:rFonts w:hint="default"/>
      </w:rPr>
    </w:lvl>
    <w:lvl w:ilvl="5">
      <w:start w:val="0"/>
      <w:numFmt w:val="bullet"/>
      <w:lvlText w:val="•"/>
      <w:lvlJc w:val="left"/>
      <w:pPr>
        <w:ind w:left="6324" w:hanging="681"/>
      </w:pPr>
      <w:rPr>
        <w:rFonts w:hint="default"/>
      </w:rPr>
    </w:lvl>
    <w:lvl w:ilvl="6">
      <w:start w:val="0"/>
      <w:numFmt w:val="bullet"/>
      <w:lvlText w:val="•"/>
      <w:lvlJc w:val="left"/>
      <w:pPr>
        <w:ind w:left="7440" w:hanging="681"/>
      </w:pPr>
      <w:rPr>
        <w:rFonts w:hint="default"/>
      </w:rPr>
    </w:lvl>
    <w:lvl w:ilvl="7">
      <w:start w:val="0"/>
      <w:numFmt w:val="bullet"/>
      <w:lvlText w:val="•"/>
      <w:lvlJc w:val="left"/>
      <w:pPr>
        <w:ind w:left="8557" w:hanging="681"/>
      </w:pPr>
      <w:rPr>
        <w:rFonts w:hint="default"/>
      </w:rPr>
    </w:lvl>
    <w:lvl w:ilvl="8">
      <w:start w:val="0"/>
      <w:numFmt w:val="bullet"/>
      <w:lvlText w:val="•"/>
      <w:lvlJc w:val="left"/>
      <w:pPr>
        <w:ind w:left="9673" w:hanging="681"/>
      </w:pPr>
      <w:rPr>
        <w:rFonts w:hint="default"/>
      </w:rPr>
    </w:lvl>
  </w:abstractNum>
  <w:abstractNum w:abstractNumId="58">
    <w:multiLevelType w:val="hybridMultilevel"/>
    <w:lvl w:ilvl="0">
      <w:start w:val="1"/>
      <w:numFmt w:val="decimal"/>
      <w:lvlText w:val="%1"/>
      <w:lvlJc w:val="left"/>
      <w:pPr>
        <w:ind w:left="2437" w:hanging="454"/>
        <w:jc w:val="left"/>
      </w:pPr>
      <w:rPr>
        <w:rFonts w:hint="default" w:ascii="Calibri" w:hAnsi="Calibri" w:eastAsia="Calibri" w:cs="Calibri"/>
        <w:w w:val="123"/>
        <w:sz w:val="18"/>
        <w:szCs w:val="18"/>
      </w:rPr>
    </w:lvl>
    <w:lvl w:ilvl="1">
      <w:start w:val="0"/>
      <w:numFmt w:val="bullet"/>
      <w:lvlText w:val="•"/>
      <w:lvlJc w:val="left"/>
      <w:pPr>
        <w:ind w:left="3386" w:hanging="454"/>
      </w:pPr>
      <w:rPr>
        <w:rFonts w:hint="default"/>
      </w:rPr>
    </w:lvl>
    <w:lvl w:ilvl="2">
      <w:start w:val="0"/>
      <w:numFmt w:val="bullet"/>
      <w:lvlText w:val="•"/>
      <w:lvlJc w:val="left"/>
      <w:pPr>
        <w:ind w:left="4333" w:hanging="454"/>
      </w:pPr>
      <w:rPr>
        <w:rFonts w:hint="default"/>
      </w:rPr>
    </w:lvl>
    <w:lvl w:ilvl="3">
      <w:start w:val="0"/>
      <w:numFmt w:val="bullet"/>
      <w:lvlText w:val="•"/>
      <w:lvlJc w:val="left"/>
      <w:pPr>
        <w:ind w:left="5279" w:hanging="454"/>
      </w:pPr>
      <w:rPr>
        <w:rFonts w:hint="default"/>
      </w:rPr>
    </w:lvl>
    <w:lvl w:ilvl="4">
      <w:start w:val="0"/>
      <w:numFmt w:val="bullet"/>
      <w:lvlText w:val="•"/>
      <w:lvlJc w:val="left"/>
      <w:pPr>
        <w:ind w:left="6226" w:hanging="454"/>
      </w:pPr>
      <w:rPr>
        <w:rFonts w:hint="default"/>
      </w:rPr>
    </w:lvl>
    <w:lvl w:ilvl="5">
      <w:start w:val="0"/>
      <w:numFmt w:val="bullet"/>
      <w:lvlText w:val="•"/>
      <w:lvlJc w:val="left"/>
      <w:pPr>
        <w:ind w:left="7172" w:hanging="454"/>
      </w:pPr>
      <w:rPr>
        <w:rFonts w:hint="default"/>
      </w:rPr>
    </w:lvl>
    <w:lvl w:ilvl="6">
      <w:start w:val="0"/>
      <w:numFmt w:val="bullet"/>
      <w:lvlText w:val="•"/>
      <w:lvlJc w:val="left"/>
      <w:pPr>
        <w:ind w:left="8119" w:hanging="454"/>
      </w:pPr>
      <w:rPr>
        <w:rFonts w:hint="default"/>
      </w:rPr>
    </w:lvl>
    <w:lvl w:ilvl="7">
      <w:start w:val="0"/>
      <w:numFmt w:val="bullet"/>
      <w:lvlText w:val="•"/>
      <w:lvlJc w:val="left"/>
      <w:pPr>
        <w:ind w:left="9065" w:hanging="454"/>
      </w:pPr>
      <w:rPr>
        <w:rFonts w:hint="default"/>
      </w:rPr>
    </w:lvl>
    <w:lvl w:ilvl="8">
      <w:start w:val="0"/>
      <w:numFmt w:val="bullet"/>
      <w:lvlText w:val="•"/>
      <w:lvlJc w:val="left"/>
      <w:pPr>
        <w:ind w:left="10012" w:hanging="454"/>
      </w:pPr>
      <w:rPr>
        <w:rFonts w:hint="default"/>
      </w:rPr>
    </w:lvl>
  </w:abstractNum>
  <w:abstractNum w:abstractNumId="57">
    <w:multiLevelType w:val="hybridMultilevel"/>
    <w:lvl w:ilvl="0">
      <w:start w:val="1"/>
      <w:numFmt w:val="lowerLetter"/>
      <w:lvlText w:val="%1)"/>
      <w:lvlJc w:val="left"/>
      <w:pPr>
        <w:ind w:left="2664" w:hanging="681"/>
        <w:jc w:val="right"/>
      </w:pPr>
      <w:rPr>
        <w:rFonts w:hint="default" w:ascii="Calibri" w:hAnsi="Calibri" w:eastAsia="Calibri" w:cs="Calibri"/>
        <w:spacing w:val="-13"/>
        <w:w w:val="113"/>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56">
    <w:multiLevelType w:val="hybridMultilevel"/>
    <w:lvl w:ilvl="0">
      <w:start w:val="7"/>
      <w:numFmt w:val="decimal"/>
      <w:lvlText w:val="%1"/>
      <w:lvlJc w:val="left"/>
      <w:pPr>
        <w:ind w:left="1814" w:hanging="681"/>
        <w:jc w:val="left"/>
      </w:pPr>
      <w:rPr>
        <w:rFonts w:hint="default"/>
      </w:rPr>
    </w:lvl>
    <w:lvl w:ilvl="1">
      <w:start w:val="2"/>
      <w:numFmt w:val="decimal"/>
      <w:lvlText w:val="%1.%2"/>
      <w:lvlJc w:val="left"/>
      <w:pPr>
        <w:ind w:left="1814" w:hanging="681"/>
        <w:jc w:val="left"/>
      </w:pPr>
      <w:rPr>
        <w:rFonts w:hint="default" w:ascii="Calibri" w:hAnsi="Calibri" w:eastAsia="Calibri" w:cs="Calibri"/>
        <w:spacing w:val="-25"/>
        <w:w w:val="125"/>
        <w:sz w:val="20"/>
        <w:szCs w:val="20"/>
      </w:rPr>
    </w:lvl>
    <w:lvl w:ilvl="2">
      <w:start w:val="1"/>
      <w:numFmt w:val="decimal"/>
      <w:lvlText w:val="%3"/>
      <w:lvlJc w:val="left"/>
      <w:pPr>
        <w:ind w:left="2704" w:hanging="720"/>
        <w:jc w:val="right"/>
      </w:pPr>
      <w:rPr>
        <w:rFonts w:hint="default" w:ascii="Stone Sans II ITC Std Bk" w:hAnsi="Stone Sans II ITC Std Bk" w:eastAsia="Stone Sans II ITC Std Bk" w:cs="Stone Sans II ITC Std Bk"/>
        <w:b/>
        <w:bCs/>
        <w:w w:val="114"/>
        <w:sz w:val="21"/>
        <w:szCs w:val="21"/>
      </w:rPr>
    </w:lvl>
    <w:lvl w:ilvl="3">
      <w:start w:val="1"/>
      <w:numFmt w:val="decimal"/>
      <w:lvlText w:val="%3.%4"/>
      <w:lvlJc w:val="left"/>
      <w:pPr>
        <w:ind w:left="1984" w:hanging="681"/>
        <w:jc w:val="right"/>
      </w:pPr>
      <w:rPr>
        <w:rFonts w:hint="default" w:ascii="Calibri" w:hAnsi="Calibri" w:eastAsia="Calibri" w:cs="Calibri"/>
        <w:spacing w:val="-18"/>
        <w:w w:val="125"/>
        <w:sz w:val="20"/>
        <w:szCs w:val="20"/>
      </w:rPr>
    </w:lvl>
    <w:lvl w:ilvl="4">
      <w:start w:val="1"/>
      <w:numFmt w:val="decimal"/>
      <w:lvlText w:val="%5"/>
      <w:lvlJc w:val="left"/>
      <w:pPr>
        <w:ind w:left="2704" w:hanging="720"/>
        <w:jc w:val="left"/>
      </w:pPr>
      <w:rPr>
        <w:rFonts w:hint="default" w:ascii="Stone Sans II ITC Std Bk" w:hAnsi="Stone Sans II ITC Std Bk" w:eastAsia="Stone Sans II ITC Std Bk" w:cs="Stone Sans II ITC Std Bk"/>
        <w:b/>
        <w:bCs/>
        <w:w w:val="114"/>
        <w:sz w:val="21"/>
        <w:szCs w:val="21"/>
      </w:rPr>
    </w:lvl>
    <w:lvl w:ilvl="5">
      <w:start w:val="1"/>
      <w:numFmt w:val="decimal"/>
      <w:lvlText w:val="%5.%6"/>
      <w:lvlJc w:val="left"/>
      <w:pPr>
        <w:ind w:left="1984" w:hanging="681"/>
        <w:jc w:val="left"/>
      </w:pPr>
      <w:rPr>
        <w:rFonts w:hint="default" w:ascii="Calibri" w:hAnsi="Calibri" w:eastAsia="Calibri" w:cs="Calibri"/>
        <w:spacing w:val="-18"/>
        <w:w w:val="125"/>
        <w:sz w:val="20"/>
        <w:szCs w:val="20"/>
      </w:rPr>
    </w:lvl>
    <w:lvl w:ilvl="6">
      <w:start w:val="0"/>
      <w:numFmt w:val="bullet"/>
      <w:lvlText w:val="•"/>
      <w:lvlJc w:val="left"/>
      <w:pPr>
        <w:ind w:left="6645" w:hanging="681"/>
      </w:pPr>
      <w:rPr>
        <w:rFonts w:hint="default"/>
      </w:rPr>
    </w:lvl>
    <w:lvl w:ilvl="7">
      <w:start w:val="0"/>
      <w:numFmt w:val="bullet"/>
      <w:lvlText w:val="•"/>
      <w:lvlJc w:val="left"/>
      <w:pPr>
        <w:ind w:left="7960" w:hanging="681"/>
      </w:pPr>
      <w:rPr>
        <w:rFonts w:hint="default"/>
      </w:rPr>
    </w:lvl>
    <w:lvl w:ilvl="8">
      <w:start w:val="0"/>
      <w:numFmt w:val="bullet"/>
      <w:lvlText w:val="•"/>
      <w:lvlJc w:val="left"/>
      <w:pPr>
        <w:ind w:left="9275" w:hanging="681"/>
      </w:pPr>
      <w:rPr>
        <w:rFonts w:hint="default"/>
      </w:rPr>
    </w:lvl>
  </w:abstractNum>
  <w:abstractNum w:abstractNumId="55">
    <w:multiLevelType w:val="hybridMultilevel"/>
    <w:lvl w:ilvl="0">
      <w:start w:val="7"/>
      <w:numFmt w:val="decimal"/>
      <w:lvlText w:val="%1"/>
      <w:lvlJc w:val="left"/>
      <w:pPr>
        <w:ind w:left="961" w:hanging="720"/>
        <w:jc w:val="left"/>
      </w:pPr>
      <w:rPr>
        <w:rFonts w:hint="default" w:ascii="Stone Sans II ITC Std Bk" w:hAnsi="Stone Sans II ITC Std Bk" w:eastAsia="Stone Sans II ITC Std Bk" w:cs="Stone Sans II ITC Std Bk"/>
        <w:b/>
        <w:bCs/>
        <w:color w:val="C20D19"/>
        <w:w w:val="114"/>
        <w:sz w:val="21"/>
        <w:szCs w:val="21"/>
      </w:rPr>
    </w:lvl>
    <w:lvl w:ilvl="1">
      <w:start w:val="1"/>
      <w:numFmt w:val="decimal"/>
      <w:lvlText w:val="%1.%2"/>
      <w:lvlJc w:val="left"/>
      <w:pPr>
        <w:ind w:left="241" w:hanging="681"/>
        <w:jc w:val="left"/>
      </w:pPr>
      <w:rPr>
        <w:rFonts w:hint="default" w:ascii="Calibri" w:hAnsi="Calibri" w:eastAsia="Calibri" w:cs="Calibri"/>
        <w:spacing w:val="-25"/>
        <w:w w:val="125"/>
        <w:sz w:val="20"/>
        <w:szCs w:val="20"/>
      </w:rPr>
    </w:lvl>
    <w:lvl w:ilvl="2">
      <w:start w:val="0"/>
      <w:numFmt w:val="bullet"/>
      <w:lvlText w:val="•"/>
      <w:lvlJc w:val="left"/>
      <w:pPr>
        <w:ind w:left="1881" w:hanging="681"/>
      </w:pPr>
      <w:rPr>
        <w:rFonts w:hint="default"/>
      </w:rPr>
    </w:lvl>
    <w:lvl w:ilvl="3">
      <w:start w:val="0"/>
      <w:numFmt w:val="bullet"/>
      <w:lvlText w:val="•"/>
      <w:lvlJc w:val="left"/>
      <w:pPr>
        <w:ind w:left="2802" w:hanging="681"/>
      </w:pPr>
      <w:rPr>
        <w:rFonts w:hint="default"/>
      </w:rPr>
    </w:lvl>
    <w:lvl w:ilvl="4">
      <w:start w:val="0"/>
      <w:numFmt w:val="bullet"/>
      <w:lvlText w:val="•"/>
      <w:lvlJc w:val="left"/>
      <w:pPr>
        <w:ind w:left="3724" w:hanging="681"/>
      </w:pPr>
      <w:rPr>
        <w:rFonts w:hint="default"/>
      </w:rPr>
    </w:lvl>
    <w:lvl w:ilvl="5">
      <w:start w:val="0"/>
      <w:numFmt w:val="bullet"/>
      <w:lvlText w:val="•"/>
      <w:lvlJc w:val="left"/>
      <w:pPr>
        <w:ind w:left="4645" w:hanging="681"/>
      </w:pPr>
      <w:rPr>
        <w:rFonts w:hint="default"/>
      </w:rPr>
    </w:lvl>
    <w:lvl w:ilvl="6">
      <w:start w:val="0"/>
      <w:numFmt w:val="bullet"/>
      <w:lvlText w:val="•"/>
      <w:lvlJc w:val="left"/>
      <w:pPr>
        <w:ind w:left="5567" w:hanging="681"/>
      </w:pPr>
      <w:rPr>
        <w:rFonts w:hint="default"/>
      </w:rPr>
    </w:lvl>
    <w:lvl w:ilvl="7">
      <w:start w:val="0"/>
      <w:numFmt w:val="bullet"/>
      <w:lvlText w:val="•"/>
      <w:lvlJc w:val="left"/>
      <w:pPr>
        <w:ind w:left="6488" w:hanging="681"/>
      </w:pPr>
      <w:rPr>
        <w:rFonts w:hint="default"/>
      </w:rPr>
    </w:lvl>
    <w:lvl w:ilvl="8">
      <w:start w:val="0"/>
      <w:numFmt w:val="bullet"/>
      <w:lvlText w:val="•"/>
      <w:lvlJc w:val="left"/>
      <w:pPr>
        <w:ind w:left="7410" w:hanging="681"/>
      </w:pPr>
      <w:rPr>
        <w:rFonts w:hint="default"/>
      </w:rPr>
    </w:lvl>
  </w:abstractNum>
  <w:abstractNum w:abstractNumId="54">
    <w:multiLevelType w:val="hybridMultilevel"/>
    <w:lvl w:ilvl="0">
      <w:start w:val="6"/>
      <w:numFmt w:val="decimal"/>
      <w:lvlText w:val="%1"/>
      <w:lvlJc w:val="left"/>
      <w:pPr>
        <w:ind w:left="961" w:hanging="721"/>
        <w:jc w:val="left"/>
      </w:pPr>
      <w:rPr>
        <w:rFonts w:hint="default"/>
      </w:rPr>
    </w:lvl>
    <w:lvl w:ilvl="1">
      <w:start w:val="5"/>
      <w:numFmt w:val="decimal"/>
      <w:lvlText w:val="%1.%2"/>
      <w:lvlJc w:val="left"/>
      <w:pPr>
        <w:ind w:left="961" w:hanging="721"/>
        <w:jc w:val="left"/>
      </w:pPr>
      <w:rPr>
        <w:rFonts w:hint="default" w:ascii="Calibri" w:hAnsi="Calibri" w:eastAsia="Calibri" w:cs="Calibri"/>
        <w:spacing w:val="-1"/>
        <w:w w:val="125"/>
        <w:sz w:val="20"/>
        <w:szCs w:val="20"/>
      </w:rPr>
    </w:lvl>
    <w:lvl w:ilvl="2">
      <w:start w:val="0"/>
      <w:numFmt w:val="bullet"/>
      <w:lvlText w:val="•"/>
      <w:lvlJc w:val="left"/>
      <w:pPr>
        <w:ind w:left="2618" w:hanging="721"/>
      </w:pPr>
      <w:rPr>
        <w:rFonts w:hint="default"/>
      </w:rPr>
    </w:lvl>
    <w:lvl w:ilvl="3">
      <w:start w:val="0"/>
      <w:numFmt w:val="bullet"/>
      <w:lvlText w:val="•"/>
      <w:lvlJc w:val="left"/>
      <w:pPr>
        <w:ind w:left="3447" w:hanging="721"/>
      </w:pPr>
      <w:rPr>
        <w:rFonts w:hint="default"/>
      </w:rPr>
    </w:lvl>
    <w:lvl w:ilvl="4">
      <w:start w:val="0"/>
      <w:numFmt w:val="bullet"/>
      <w:lvlText w:val="•"/>
      <w:lvlJc w:val="left"/>
      <w:pPr>
        <w:ind w:left="4277" w:hanging="721"/>
      </w:pPr>
      <w:rPr>
        <w:rFonts w:hint="default"/>
      </w:rPr>
    </w:lvl>
    <w:lvl w:ilvl="5">
      <w:start w:val="0"/>
      <w:numFmt w:val="bullet"/>
      <w:lvlText w:val="•"/>
      <w:lvlJc w:val="left"/>
      <w:pPr>
        <w:ind w:left="5106" w:hanging="721"/>
      </w:pPr>
      <w:rPr>
        <w:rFonts w:hint="default"/>
      </w:rPr>
    </w:lvl>
    <w:lvl w:ilvl="6">
      <w:start w:val="0"/>
      <w:numFmt w:val="bullet"/>
      <w:lvlText w:val="•"/>
      <w:lvlJc w:val="left"/>
      <w:pPr>
        <w:ind w:left="5935" w:hanging="721"/>
      </w:pPr>
      <w:rPr>
        <w:rFonts w:hint="default"/>
      </w:rPr>
    </w:lvl>
    <w:lvl w:ilvl="7">
      <w:start w:val="0"/>
      <w:numFmt w:val="bullet"/>
      <w:lvlText w:val="•"/>
      <w:lvlJc w:val="left"/>
      <w:pPr>
        <w:ind w:left="6765" w:hanging="721"/>
      </w:pPr>
      <w:rPr>
        <w:rFonts w:hint="default"/>
      </w:rPr>
    </w:lvl>
    <w:lvl w:ilvl="8">
      <w:start w:val="0"/>
      <w:numFmt w:val="bullet"/>
      <w:lvlText w:val="•"/>
      <w:lvlJc w:val="left"/>
      <w:pPr>
        <w:ind w:left="7594" w:hanging="721"/>
      </w:pPr>
      <w:rPr>
        <w:rFonts w:hint="default"/>
      </w:rPr>
    </w:lvl>
  </w:abstractNum>
  <w:abstractNum w:abstractNumId="53">
    <w:multiLevelType w:val="hybridMultilevel"/>
    <w:lvl w:ilvl="0">
      <w:start w:val="6"/>
      <w:numFmt w:val="decimal"/>
      <w:lvlText w:val="%1"/>
      <w:lvlJc w:val="left"/>
      <w:pPr>
        <w:ind w:left="1853" w:hanging="720"/>
        <w:jc w:val="left"/>
      </w:pPr>
      <w:rPr>
        <w:rFonts w:hint="default" w:ascii="Stone Sans II ITC Std Bk" w:hAnsi="Stone Sans II ITC Std Bk" w:eastAsia="Stone Sans II ITC Std Bk" w:cs="Stone Sans II ITC Std Bk"/>
        <w:b/>
        <w:bCs/>
        <w:color w:val="C20D19"/>
        <w:w w:val="114"/>
        <w:sz w:val="21"/>
        <w:szCs w:val="21"/>
      </w:rPr>
    </w:lvl>
    <w:lvl w:ilvl="1">
      <w:start w:val="1"/>
      <w:numFmt w:val="decimal"/>
      <w:lvlText w:val="%1.%2"/>
      <w:lvlJc w:val="left"/>
      <w:pPr>
        <w:ind w:left="1133" w:hanging="721"/>
        <w:jc w:val="left"/>
      </w:pPr>
      <w:rPr>
        <w:rFonts w:hint="default" w:ascii="Calibri" w:hAnsi="Calibri" w:eastAsia="Calibri" w:cs="Calibri"/>
        <w:spacing w:val="-18"/>
        <w:w w:val="125"/>
        <w:sz w:val="20"/>
        <w:szCs w:val="20"/>
      </w:rPr>
    </w:lvl>
    <w:lvl w:ilvl="2">
      <w:start w:val="1"/>
      <w:numFmt w:val="decimal"/>
      <w:lvlText w:val="%1.%2.%3"/>
      <w:lvlJc w:val="left"/>
      <w:pPr>
        <w:ind w:left="1134" w:hanging="721"/>
        <w:jc w:val="left"/>
      </w:pPr>
      <w:rPr>
        <w:rFonts w:hint="default" w:ascii="Calibri" w:hAnsi="Calibri" w:eastAsia="Calibri" w:cs="Calibri"/>
        <w:spacing w:val="-18"/>
        <w:w w:val="125"/>
        <w:sz w:val="20"/>
        <w:szCs w:val="20"/>
      </w:rPr>
    </w:lvl>
    <w:lvl w:ilvl="3">
      <w:start w:val="0"/>
      <w:numFmt w:val="bullet"/>
      <w:lvlText w:val="•"/>
      <w:lvlJc w:val="left"/>
      <w:pPr>
        <w:ind w:left="3115" w:hanging="721"/>
      </w:pPr>
      <w:rPr>
        <w:rFonts w:hint="default"/>
      </w:rPr>
    </w:lvl>
    <w:lvl w:ilvl="4">
      <w:start w:val="0"/>
      <w:numFmt w:val="bullet"/>
      <w:lvlText w:val="•"/>
      <w:lvlJc w:val="left"/>
      <w:pPr>
        <w:ind w:left="4371" w:hanging="721"/>
      </w:pPr>
      <w:rPr>
        <w:rFonts w:hint="default"/>
      </w:rPr>
    </w:lvl>
    <w:lvl w:ilvl="5">
      <w:start w:val="0"/>
      <w:numFmt w:val="bullet"/>
      <w:lvlText w:val="•"/>
      <w:lvlJc w:val="left"/>
      <w:pPr>
        <w:ind w:left="5627" w:hanging="721"/>
      </w:pPr>
      <w:rPr>
        <w:rFonts w:hint="default"/>
      </w:rPr>
    </w:lvl>
    <w:lvl w:ilvl="6">
      <w:start w:val="0"/>
      <w:numFmt w:val="bullet"/>
      <w:lvlText w:val="•"/>
      <w:lvlJc w:val="left"/>
      <w:pPr>
        <w:ind w:left="6882" w:hanging="721"/>
      </w:pPr>
      <w:rPr>
        <w:rFonts w:hint="default"/>
      </w:rPr>
    </w:lvl>
    <w:lvl w:ilvl="7">
      <w:start w:val="0"/>
      <w:numFmt w:val="bullet"/>
      <w:lvlText w:val="•"/>
      <w:lvlJc w:val="left"/>
      <w:pPr>
        <w:ind w:left="8138" w:hanging="721"/>
      </w:pPr>
      <w:rPr>
        <w:rFonts w:hint="default"/>
      </w:rPr>
    </w:lvl>
    <w:lvl w:ilvl="8">
      <w:start w:val="0"/>
      <w:numFmt w:val="bullet"/>
      <w:lvlText w:val="•"/>
      <w:lvlJc w:val="left"/>
      <w:pPr>
        <w:ind w:left="9394" w:hanging="721"/>
      </w:pPr>
      <w:rPr>
        <w:rFonts w:hint="default"/>
      </w:rPr>
    </w:lvl>
  </w:abstractNum>
  <w:abstractNum w:abstractNumId="52">
    <w:multiLevelType w:val="hybridMultilevel"/>
    <w:lvl w:ilvl="0">
      <w:start w:val="4"/>
      <w:numFmt w:val="decimal"/>
      <w:lvlText w:val="%1"/>
      <w:lvlJc w:val="left"/>
      <w:pPr>
        <w:ind w:left="960" w:hanging="720"/>
        <w:jc w:val="left"/>
      </w:pPr>
      <w:rPr>
        <w:rFonts w:hint="default" w:ascii="Stone Sans II ITC Std Bk" w:hAnsi="Stone Sans II ITC Std Bk" w:eastAsia="Stone Sans II ITC Std Bk" w:cs="Stone Sans II ITC Std Bk"/>
        <w:b/>
        <w:bCs/>
        <w:color w:val="C20D19"/>
        <w:w w:val="114"/>
        <w:sz w:val="21"/>
        <w:szCs w:val="21"/>
      </w:rPr>
    </w:lvl>
    <w:lvl w:ilvl="1">
      <w:start w:val="1"/>
      <w:numFmt w:val="decimal"/>
      <w:lvlText w:val="%1.%2"/>
      <w:lvlJc w:val="left"/>
      <w:pPr>
        <w:ind w:left="240" w:hanging="681"/>
        <w:jc w:val="left"/>
      </w:pPr>
      <w:rPr>
        <w:rFonts w:hint="default" w:ascii="Calibri" w:hAnsi="Calibri" w:eastAsia="Calibri" w:cs="Calibri"/>
        <w:spacing w:val="-18"/>
        <w:w w:val="125"/>
        <w:sz w:val="20"/>
        <w:szCs w:val="20"/>
      </w:rPr>
    </w:lvl>
    <w:lvl w:ilvl="2">
      <w:start w:val="0"/>
      <w:numFmt w:val="bullet"/>
      <w:lvlText w:val="•"/>
      <w:lvlJc w:val="left"/>
      <w:pPr>
        <w:ind w:left="1879" w:hanging="681"/>
      </w:pPr>
      <w:rPr>
        <w:rFonts w:hint="default"/>
      </w:rPr>
    </w:lvl>
    <w:lvl w:ilvl="3">
      <w:start w:val="0"/>
      <w:numFmt w:val="bullet"/>
      <w:lvlText w:val="•"/>
      <w:lvlJc w:val="left"/>
      <w:pPr>
        <w:ind w:left="2798" w:hanging="681"/>
      </w:pPr>
      <w:rPr>
        <w:rFonts w:hint="default"/>
      </w:rPr>
    </w:lvl>
    <w:lvl w:ilvl="4">
      <w:start w:val="0"/>
      <w:numFmt w:val="bullet"/>
      <w:lvlText w:val="•"/>
      <w:lvlJc w:val="left"/>
      <w:pPr>
        <w:ind w:left="3717" w:hanging="681"/>
      </w:pPr>
      <w:rPr>
        <w:rFonts w:hint="default"/>
      </w:rPr>
    </w:lvl>
    <w:lvl w:ilvl="5">
      <w:start w:val="0"/>
      <w:numFmt w:val="bullet"/>
      <w:lvlText w:val="•"/>
      <w:lvlJc w:val="left"/>
      <w:pPr>
        <w:ind w:left="4636" w:hanging="681"/>
      </w:pPr>
      <w:rPr>
        <w:rFonts w:hint="default"/>
      </w:rPr>
    </w:lvl>
    <w:lvl w:ilvl="6">
      <w:start w:val="0"/>
      <w:numFmt w:val="bullet"/>
      <w:lvlText w:val="•"/>
      <w:lvlJc w:val="left"/>
      <w:pPr>
        <w:ind w:left="5555" w:hanging="681"/>
      </w:pPr>
      <w:rPr>
        <w:rFonts w:hint="default"/>
      </w:rPr>
    </w:lvl>
    <w:lvl w:ilvl="7">
      <w:start w:val="0"/>
      <w:numFmt w:val="bullet"/>
      <w:lvlText w:val="•"/>
      <w:lvlJc w:val="left"/>
      <w:pPr>
        <w:ind w:left="6474" w:hanging="681"/>
      </w:pPr>
      <w:rPr>
        <w:rFonts w:hint="default"/>
      </w:rPr>
    </w:lvl>
    <w:lvl w:ilvl="8">
      <w:start w:val="0"/>
      <w:numFmt w:val="bullet"/>
      <w:lvlText w:val="•"/>
      <w:lvlJc w:val="left"/>
      <w:pPr>
        <w:ind w:left="7393" w:hanging="681"/>
      </w:pPr>
      <w:rPr>
        <w:rFonts w:hint="default"/>
      </w:rPr>
    </w:lvl>
  </w:abstractNum>
  <w:abstractNum w:abstractNumId="51">
    <w:multiLevelType w:val="hybridMultilevel"/>
    <w:lvl w:ilvl="0">
      <w:start w:val="2"/>
      <w:numFmt w:val="decimal"/>
      <w:lvlText w:val="%1"/>
      <w:lvlJc w:val="left"/>
      <w:pPr>
        <w:ind w:left="2704" w:hanging="720"/>
        <w:jc w:val="right"/>
      </w:pPr>
      <w:rPr>
        <w:rFonts w:hint="default" w:ascii="Stone Sans II ITC Std Bk" w:hAnsi="Stone Sans II ITC Std Bk" w:eastAsia="Stone Sans II ITC Std Bk" w:cs="Stone Sans II ITC Std Bk"/>
        <w:b/>
        <w:bCs/>
        <w:color w:val="C20D19"/>
        <w:w w:val="114"/>
        <w:sz w:val="21"/>
        <w:szCs w:val="21"/>
      </w:rPr>
    </w:lvl>
    <w:lvl w:ilvl="1">
      <w:start w:val="1"/>
      <w:numFmt w:val="decimal"/>
      <w:lvlText w:val="%1.%2"/>
      <w:lvlJc w:val="left"/>
      <w:pPr>
        <w:ind w:left="2664" w:hanging="681"/>
        <w:jc w:val="left"/>
      </w:pPr>
      <w:rPr>
        <w:rFonts w:hint="default" w:ascii="Calibri" w:hAnsi="Calibri" w:eastAsia="Calibri" w:cs="Calibri"/>
        <w:spacing w:val="-18"/>
        <w:w w:val="125"/>
        <w:sz w:val="20"/>
        <w:szCs w:val="20"/>
      </w:rPr>
    </w:lvl>
    <w:lvl w:ilvl="2">
      <w:start w:val="0"/>
      <w:numFmt w:val="bullet"/>
      <w:lvlText w:val=""/>
      <w:lvlJc w:val="left"/>
      <w:pPr>
        <w:ind w:left="3458" w:hanging="794"/>
      </w:pPr>
      <w:rPr>
        <w:rFonts w:hint="default" w:ascii="Wingdings" w:hAnsi="Wingdings" w:eastAsia="Wingdings" w:cs="Wingdings"/>
        <w:w w:val="110"/>
        <w:position w:val="-3"/>
        <w:sz w:val="29"/>
        <w:szCs w:val="29"/>
      </w:rPr>
    </w:lvl>
    <w:lvl w:ilvl="3">
      <w:start w:val="0"/>
      <w:numFmt w:val="bullet"/>
      <w:lvlText w:val="•"/>
      <w:lvlJc w:val="left"/>
      <w:pPr>
        <w:ind w:left="3460" w:hanging="794"/>
      </w:pPr>
      <w:rPr>
        <w:rFonts w:hint="default"/>
      </w:rPr>
    </w:lvl>
    <w:lvl w:ilvl="4">
      <w:start w:val="0"/>
      <w:numFmt w:val="bullet"/>
      <w:lvlText w:val="•"/>
      <w:lvlJc w:val="left"/>
      <w:pPr>
        <w:ind w:left="4666" w:hanging="794"/>
      </w:pPr>
      <w:rPr>
        <w:rFonts w:hint="default"/>
      </w:rPr>
    </w:lvl>
    <w:lvl w:ilvl="5">
      <w:start w:val="0"/>
      <w:numFmt w:val="bullet"/>
      <w:lvlText w:val="•"/>
      <w:lvlJc w:val="left"/>
      <w:pPr>
        <w:ind w:left="5873" w:hanging="794"/>
      </w:pPr>
      <w:rPr>
        <w:rFonts w:hint="default"/>
      </w:rPr>
    </w:lvl>
    <w:lvl w:ilvl="6">
      <w:start w:val="0"/>
      <w:numFmt w:val="bullet"/>
      <w:lvlText w:val="•"/>
      <w:lvlJc w:val="left"/>
      <w:pPr>
        <w:ind w:left="7079" w:hanging="794"/>
      </w:pPr>
      <w:rPr>
        <w:rFonts w:hint="default"/>
      </w:rPr>
    </w:lvl>
    <w:lvl w:ilvl="7">
      <w:start w:val="0"/>
      <w:numFmt w:val="bullet"/>
      <w:lvlText w:val="•"/>
      <w:lvlJc w:val="left"/>
      <w:pPr>
        <w:ind w:left="8286" w:hanging="794"/>
      </w:pPr>
      <w:rPr>
        <w:rFonts w:hint="default"/>
      </w:rPr>
    </w:lvl>
    <w:lvl w:ilvl="8">
      <w:start w:val="0"/>
      <w:numFmt w:val="bullet"/>
      <w:lvlText w:val="•"/>
      <w:lvlJc w:val="left"/>
      <w:pPr>
        <w:ind w:left="9492" w:hanging="794"/>
      </w:pPr>
      <w:rPr>
        <w:rFonts w:hint="default"/>
      </w:rPr>
    </w:lvl>
  </w:abstractNum>
  <w:abstractNum w:abstractNumId="49">
    <w:multiLevelType w:val="hybridMultilevel"/>
    <w:lvl w:ilvl="0">
      <w:start w:val="0"/>
      <w:numFmt w:val="bullet"/>
      <w:lvlText w:val=""/>
      <w:lvlJc w:val="left"/>
      <w:pPr>
        <w:ind w:left="307" w:hanging="227"/>
      </w:pPr>
      <w:rPr>
        <w:rFonts w:hint="default" w:ascii="Wingdings" w:hAnsi="Wingdings" w:eastAsia="Wingdings" w:cs="Wingdings"/>
        <w:w w:val="110"/>
        <w:position w:val="-3"/>
        <w:sz w:val="29"/>
        <w:szCs w:val="29"/>
      </w:rPr>
    </w:lvl>
    <w:lvl w:ilvl="1">
      <w:start w:val="0"/>
      <w:numFmt w:val="bullet"/>
      <w:lvlText w:val="•"/>
      <w:lvlJc w:val="left"/>
      <w:pPr>
        <w:ind w:left="540" w:hanging="227"/>
      </w:pPr>
      <w:rPr>
        <w:rFonts w:hint="default"/>
      </w:rPr>
    </w:lvl>
    <w:lvl w:ilvl="2">
      <w:start w:val="0"/>
      <w:numFmt w:val="bullet"/>
      <w:lvlText w:val="•"/>
      <w:lvlJc w:val="left"/>
      <w:pPr>
        <w:ind w:left="780" w:hanging="227"/>
      </w:pPr>
      <w:rPr>
        <w:rFonts w:hint="default"/>
      </w:rPr>
    </w:lvl>
    <w:lvl w:ilvl="3">
      <w:start w:val="0"/>
      <w:numFmt w:val="bullet"/>
      <w:lvlText w:val="•"/>
      <w:lvlJc w:val="left"/>
      <w:pPr>
        <w:ind w:left="1021" w:hanging="227"/>
      </w:pPr>
      <w:rPr>
        <w:rFonts w:hint="default"/>
      </w:rPr>
    </w:lvl>
    <w:lvl w:ilvl="4">
      <w:start w:val="0"/>
      <w:numFmt w:val="bullet"/>
      <w:lvlText w:val="•"/>
      <w:lvlJc w:val="left"/>
      <w:pPr>
        <w:ind w:left="1261" w:hanging="227"/>
      </w:pPr>
      <w:rPr>
        <w:rFonts w:hint="default"/>
      </w:rPr>
    </w:lvl>
    <w:lvl w:ilvl="5">
      <w:start w:val="0"/>
      <w:numFmt w:val="bullet"/>
      <w:lvlText w:val="•"/>
      <w:lvlJc w:val="left"/>
      <w:pPr>
        <w:ind w:left="1502" w:hanging="227"/>
      </w:pPr>
      <w:rPr>
        <w:rFonts w:hint="default"/>
      </w:rPr>
    </w:lvl>
    <w:lvl w:ilvl="6">
      <w:start w:val="0"/>
      <w:numFmt w:val="bullet"/>
      <w:lvlText w:val="•"/>
      <w:lvlJc w:val="left"/>
      <w:pPr>
        <w:ind w:left="1742" w:hanging="227"/>
      </w:pPr>
      <w:rPr>
        <w:rFonts w:hint="default"/>
      </w:rPr>
    </w:lvl>
    <w:lvl w:ilvl="7">
      <w:start w:val="0"/>
      <w:numFmt w:val="bullet"/>
      <w:lvlText w:val="•"/>
      <w:lvlJc w:val="left"/>
      <w:pPr>
        <w:ind w:left="1982" w:hanging="227"/>
      </w:pPr>
      <w:rPr>
        <w:rFonts w:hint="default"/>
      </w:rPr>
    </w:lvl>
    <w:lvl w:ilvl="8">
      <w:start w:val="0"/>
      <w:numFmt w:val="bullet"/>
      <w:lvlText w:val="•"/>
      <w:lvlJc w:val="left"/>
      <w:pPr>
        <w:ind w:left="2223" w:hanging="227"/>
      </w:pPr>
      <w:rPr>
        <w:rFonts w:hint="default"/>
      </w:rPr>
    </w:lvl>
  </w:abstractNum>
  <w:abstractNum w:abstractNumId="48">
    <w:multiLevelType w:val="hybridMultilevel"/>
    <w:lvl w:ilvl="0">
      <w:start w:val="0"/>
      <w:numFmt w:val="bullet"/>
      <w:lvlText w:val=""/>
      <w:lvlJc w:val="left"/>
      <w:pPr>
        <w:ind w:left="307" w:hanging="227"/>
      </w:pPr>
      <w:rPr>
        <w:rFonts w:hint="default" w:ascii="Wingdings" w:hAnsi="Wingdings" w:eastAsia="Wingdings" w:cs="Wingdings"/>
        <w:w w:val="110"/>
        <w:position w:val="-3"/>
        <w:sz w:val="29"/>
        <w:szCs w:val="29"/>
      </w:rPr>
    </w:lvl>
    <w:lvl w:ilvl="1">
      <w:start w:val="0"/>
      <w:numFmt w:val="bullet"/>
      <w:lvlText w:val="•"/>
      <w:lvlJc w:val="left"/>
      <w:pPr>
        <w:ind w:left="568" w:hanging="227"/>
      </w:pPr>
      <w:rPr>
        <w:rFonts w:hint="default"/>
      </w:rPr>
    </w:lvl>
    <w:lvl w:ilvl="2">
      <w:start w:val="0"/>
      <w:numFmt w:val="bullet"/>
      <w:lvlText w:val="•"/>
      <w:lvlJc w:val="left"/>
      <w:pPr>
        <w:ind w:left="836" w:hanging="227"/>
      </w:pPr>
      <w:rPr>
        <w:rFonts w:hint="default"/>
      </w:rPr>
    </w:lvl>
    <w:lvl w:ilvl="3">
      <w:start w:val="0"/>
      <w:numFmt w:val="bullet"/>
      <w:lvlText w:val="•"/>
      <w:lvlJc w:val="left"/>
      <w:pPr>
        <w:ind w:left="1104" w:hanging="227"/>
      </w:pPr>
      <w:rPr>
        <w:rFonts w:hint="default"/>
      </w:rPr>
    </w:lvl>
    <w:lvl w:ilvl="4">
      <w:start w:val="0"/>
      <w:numFmt w:val="bullet"/>
      <w:lvlText w:val="•"/>
      <w:lvlJc w:val="left"/>
      <w:pPr>
        <w:ind w:left="1372" w:hanging="227"/>
      </w:pPr>
      <w:rPr>
        <w:rFonts w:hint="default"/>
      </w:rPr>
    </w:lvl>
    <w:lvl w:ilvl="5">
      <w:start w:val="0"/>
      <w:numFmt w:val="bullet"/>
      <w:lvlText w:val="•"/>
      <w:lvlJc w:val="left"/>
      <w:pPr>
        <w:ind w:left="1640" w:hanging="227"/>
      </w:pPr>
      <w:rPr>
        <w:rFonts w:hint="default"/>
      </w:rPr>
    </w:lvl>
    <w:lvl w:ilvl="6">
      <w:start w:val="0"/>
      <w:numFmt w:val="bullet"/>
      <w:lvlText w:val="•"/>
      <w:lvlJc w:val="left"/>
      <w:pPr>
        <w:ind w:left="1908" w:hanging="227"/>
      </w:pPr>
      <w:rPr>
        <w:rFonts w:hint="default"/>
      </w:rPr>
    </w:lvl>
    <w:lvl w:ilvl="7">
      <w:start w:val="0"/>
      <w:numFmt w:val="bullet"/>
      <w:lvlText w:val="•"/>
      <w:lvlJc w:val="left"/>
      <w:pPr>
        <w:ind w:left="2176" w:hanging="227"/>
      </w:pPr>
      <w:rPr>
        <w:rFonts w:hint="default"/>
      </w:rPr>
    </w:lvl>
    <w:lvl w:ilvl="8">
      <w:start w:val="0"/>
      <w:numFmt w:val="bullet"/>
      <w:lvlText w:val="•"/>
      <w:lvlJc w:val="left"/>
      <w:pPr>
        <w:ind w:left="2444" w:hanging="227"/>
      </w:pPr>
      <w:rPr>
        <w:rFonts w:hint="default"/>
      </w:rPr>
    </w:lvl>
  </w:abstractNum>
  <w:abstractNum w:abstractNumId="47">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4" w:hanging="227"/>
      </w:pPr>
      <w:rPr>
        <w:rFonts w:hint="default"/>
      </w:rPr>
    </w:lvl>
    <w:lvl w:ilvl="2">
      <w:start w:val="0"/>
      <w:numFmt w:val="bullet"/>
      <w:lvlText w:val="•"/>
      <w:lvlJc w:val="left"/>
      <w:pPr>
        <w:ind w:left="849" w:hanging="227"/>
      </w:pPr>
      <w:rPr>
        <w:rFonts w:hint="default"/>
      </w:rPr>
    </w:lvl>
    <w:lvl w:ilvl="3">
      <w:start w:val="0"/>
      <w:numFmt w:val="bullet"/>
      <w:lvlText w:val="•"/>
      <w:lvlJc w:val="left"/>
      <w:pPr>
        <w:ind w:left="1123" w:hanging="227"/>
      </w:pPr>
      <w:rPr>
        <w:rFonts w:hint="default"/>
      </w:rPr>
    </w:lvl>
    <w:lvl w:ilvl="4">
      <w:start w:val="0"/>
      <w:numFmt w:val="bullet"/>
      <w:lvlText w:val="•"/>
      <w:lvlJc w:val="left"/>
      <w:pPr>
        <w:ind w:left="1398" w:hanging="227"/>
      </w:pPr>
      <w:rPr>
        <w:rFonts w:hint="default"/>
      </w:rPr>
    </w:lvl>
    <w:lvl w:ilvl="5">
      <w:start w:val="0"/>
      <w:numFmt w:val="bullet"/>
      <w:lvlText w:val="•"/>
      <w:lvlJc w:val="left"/>
      <w:pPr>
        <w:ind w:left="1673" w:hanging="227"/>
      </w:pPr>
      <w:rPr>
        <w:rFonts w:hint="default"/>
      </w:rPr>
    </w:lvl>
    <w:lvl w:ilvl="6">
      <w:start w:val="0"/>
      <w:numFmt w:val="bullet"/>
      <w:lvlText w:val="•"/>
      <w:lvlJc w:val="left"/>
      <w:pPr>
        <w:ind w:left="1947" w:hanging="227"/>
      </w:pPr>
      <w:rPr>
        <w:rFonts w:hint="default"/>
      </w:rPr>
    </w:lvl>
    <w:lvl w:ilvl="7">
      <w:start w:val="0"/>
      <w:numFmt w:val="bullet"/>
      <w:lvlText w:val="•"/>
      <w:lvlJc w:val="left"/>
      <w:pPr>
        <w:ind w:left="2222" w:hanging="227"/>
      </w:pPr>
      <w:rPr>
        <w:rFonts w:hint="default"/>
      </w:rPr>
    </w:lvl>
    <w:lvl w:ilvl="8">
      <w:start w:val="0"/>
      <w:numFmt w:val="bullet"/>
      <w:lvlText w:val="•"/>
      <w:lvlJc w:val="left"/>
      <w:pPr>
        <w:ind w:left="2496" w:hanging="227"/>
      </w:pPr>
      <w:rPr>
        <w:rFonts w:hint="default"/>
      </w:rPr>
    </w:lvl>
  </w:abstractNum>
  <w:abstractNum w:abstractNumId="46">
    <w:multiLevelType w:val="hybridMultilevel"/>
    <w:lvl w:ilvl="0">
      <w:start w:val="0"/>
      <w:numFmt w:val="bullet"/>
      <w:lvlText w:val=""/>
      <w:lvlJc w:val="left"/>
      <w:pPr>
        <w:ind w:left="305" w:hanging="227"/>
      </w:pPr>
      <w:rPr>
        <w:rFonts w:hint="default" w:ascii="Wingdings" w:hAnsi="Wingdings" w:eastAsia="Wingdings" w:cs="Wingdings"/>
        <w:w w:val="110"/>
        <w:position w:val="-3"/>
        <w:sz w:val="29"/>
        <w:szCs w:val="29"/>
      </w:rPr>
    </w:lvl>
    <w:lvl w:ilvl="1">
      <w:start w:val="0"/>
      <w:numFmt w:val="bullet"/>
      <w:lvlText w:val="•"/>
      <w:lvlJc w:val="left"/>
      <w:pPr>
        <w:ind w:left="560" w:hanging="227"/>
      </w:pPr>
      <w:rPr>
        <w:rFonts w:hint="default"/>
      </w:rPr>
    </w:lvl>
    <w:lvl w:ilvl="2">
      <w:start w:val="0"/>
      <w:numFmt w:val="bullet"/>
      <w:lvlText w:val="•"/>
      <w:lvlJc w:val="left"/>
      <w:pPr>
        <w:ind w:left="821" w:hanging="227"/>
      </w:pPr>
      <w:rPr>
        <w:rFonts w:hint="default"/>
      </w:rPr>
    </w:lvl>
    <w:lvl w:ilvl="3">
      <w:start w:val="0"/>
      <w:numFmt w:val="bullet"/>
      <w:lvlText w:val="•"/>
      <w:lvlJc w:val="left"/>
      <w:pPr>
        <w:ind w:left="1081" w:hanging="227"/>
      </w:pPr>
      <w:rPr>
        <w:rFonts w:hint="default"/>
      </w:rPr>
    </w:lvl>
    <w:lvl w:ilvl="4">
      <w:start w:val="0"/>
      <w:numFmt w:val="bullet"/>
      <w:lvlText w:val="•"/>
      <w:lvlJc w:val="left"/>
      <w:pPr>
        <w:ind w:left="1342" w:hanging="227"/>
      </w:pPr>
      <w:rPr>
        <w:rFonts w:hint="default"/>
      </w:rPr>
    </w:lvl>
    <w:lvl w:ilvl="5">
      <w:start w:val="0"/>
      <w:numFmt w:val="bullet"/>
      <w:lvlText w:val="•"/>
      <w:lvlJc w:val="left"/>
      <w:pPr>
        <w:ind w:left="1602" w:hanging="227"/>
      </w:pPr>
      <w:rPr>
        <w:rFonts w:hint="default"/>
      </w:rPr>
    </w:lvl>
    <w:lvl w:ilvl="6">
      <w:start w:val="0"/>
      <w:numFmt w:val="bullet"/>
      <w:lvlText w:val="•"/>
      <w:lvlJc w:val="left"/>
      <w:pPr>
        <w:ind w:left="1863" w:hanging="227"/>
      </w:pPr>
      <w:rPr>
        <w:rFonts w:hint="default"/>
      </w:rPr>
    </w:lvl>
    <w:lvl w:ilvl="7">
      <w:start w:val="0"/>
      <w:numFmt w:val="bullet"/>
      <w:lvlText w:val="•"/>
      <w:lvlJc w:val="left"/>
      <w:pPr>
        <w:ind w:left="2123" w:hanging="227"/>
      </w:pPr>
      <w:rPr>
        <w:rFonts w:hint="default"/>
      </w:rPr>
    </w:lvl>
    <w:lvl w:ilvl="8">
      <w:start w:val="0"/>
      <w:numFmt w:val="bullet"/>
      <w:lvlText w:val="•"/>
      <w:lvlJc w:val="left"/>
      <w:pPr>
        <w:ind w:left="2384" w:hanging="227"/>
      </w:pPr>
      <w:rPr>
        <w:rFonts w:hint="default"/>
      </w:rPr>
    </w:lvl>
  </w:abstractNum>
  <w:abstractNum w:abstractNumId="45">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5" w:hanging="227"/>
      </w:pPr>
      <w:rPr>
        <w:rFonts w:hint="default"/>
      </w:rPr>
    </w:lvl>
    <w:lvl w:ilvl="2">
      <w:start w:val="0"/>
      <w:numFmt w:val="bullet"/>
      <w:lvlText w:val="•"/>
      <w:lvlJc w:val="left"/>
      <w:pPr>
        <w:ind w:left="850" w:hanging="227"/>
      </w:pPr>
      <w:rPr>
        <w:rFonts w:hint="default"/>
      </w:rPr>
    </w:lvl>
    <w:lvl w:ilvl="3">
      <w:start w:val="0"/>
      <w:numFmt w:val="bullet"/>
      <w:lvlText w:val="•"/>
      <w:lvlJc w:val="left"/>
      <w:pPr>
        <w:ind w:left="1125" w:hanging="227"/>
      </w:pPr>
      <w:rPr>
        <w:rFonts w:hint="default"/>
      </w:rPr>
    </w:lvl>
    <w:lvl w:ilvl="4">
      <w:start w:val="0"/>
      <w:numFmt w:val="bullet"/>
      <w:lvlText w:val="•"/>
      <w:lvlJc w:val="left"/>
      <w:pPr>
        <w:ind w:left="1400" w:hanging="227"/>
      </w:pPr>
      <w:rPr>
        <w:rFonts w:hint="default"/>
      </w:rPr>
    </w:lvl>
    <w:lvl w:ilvl="5">
      <w:start w:val="0"/>
      <w:numFmt w:val="bullet"/>
      <w:lvlText w:val="•"/>
      <w:lvlJc w:val="left"/>
      <w:pPr>
        <w:ind w:left="1676" w:hanging="227"/>
      </w:pPr>
      <w:rPr>
        <w:rFonts w:hint="default"/>
      </w:rPr>
    </w:lvl>
    <w:lvl w:ilvl="6">
      <w:start w:val="0"/>
      <w:numFmt w:val="bullet"/>
      <w:lvlText w:val="•"/>
      <w:lvlJc w:val="left"/>
      <w:pPr>
        <w:ind w:left="1951" w:hanging="227"/>
      </w:pPr>
      <w:rPr>
        <w:rFonts w:hint="default"/>
      </w:rPr>
    </w:lvl>
    <w:lvl w:ilvl="7">
      <w:start w:val="0"/>
      <w:numFmt w:val="bullet"/>
      <w:lvlText w:val="•"/>
      <w:lvlJc w:val="left"/>
      <w:pPr>
        <w:ind w:left="2226" w:hanging="227"/>
      </w:pPr>
      <w:rPr>
        <w:rFonts w:hint="default"/>
      </w:rPr>
    </w:lvl>
    <w:lvl w:ilvl="8">
      <w:start w:val="0"/>
      <w:numFmt w:val="bullet"/>
      <w:lvlText w:val="•"/>
      <w:lvlJc w:val="left"/>
      <w:pPr>
        <w:ind w:left="2501" w:hanging="227"/>
      </w:pPr>
      <w:rPr>
        <w:rFonts w:hint="default"/>
      </w:rPr>
    </w:lvl>
  </w:abstractNum>
  <w:abstractNum w:abstractNumId="44">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9" w:hanging="227"/>
      </w:pPr>
      <w:rPr>
        <w:rFonts w:hint="default"/>
      </w:rPr>
    </w:lvl>
    <w:lvl w:ilvl="2">
      <w:start w:val="0"/>
      <w:numFmt w:val="bullet"/>
      <w:lvlText w:val="•"/>
      <w:lvlJc w:val="left"/>
      <w:pPr>
        <w:ind w:left="838" w:hanging="227"/>
      </w:pPr>
      <w:rPr>
        <w:rFonts w:hint="default"/>
      </w:rPr>
    </w:lvl>
    <w:lvl w:ilvl="3">
      <w:start w:val="0"/>
      <w:numFmt w:val="bullet"/>
      <w:lvlText w:val="•"/>
      <w:lvlJc w:val="left"/>
      <w:pPr>
        <w:ind w:left="1107" w:hanging="227"/>
      </w:pPr>
      <w:rPr>
        <w:rFonts w:hint="default"/>
      </w:rPr>
    </w:lvl>
    <w:lvl w:ilvl="4">
      <w:start w:val="0"/>
      <w:numFmt w:val="bullet"/>
      <w:lvlText w:val="•"/>
      <w:lvlJc w:val="left"/>
      <w:pPr>
        <w:ind w:left="1376" w:hanging="227"/>
      </w:pPr>
      <w:rPr>
        <w:rFonts w:hint="default"/>
      </w:rPr>
    </w:lvl>
    <w:lvl w:ilvl="5">
      <w:start w:val="0"/>
      <w:numFmt w:val="bullet"/>
      <w:lvlText w:val="•"/>
      <w:lvlJc w:val="left"/>
      <w:pPr>
        <w:ind w:left="1645" w:hanging="227"/>
      </w:pPr>
      <w:rPr>
        <w:rFonts w:hint="default"/>
      </w:rPr>
    </w:lvl>
    <w:lvl w:ilvl="6">
      <w:start w:val="0"/>
      <w:numFmt w:val="bullet"/>
      <w:lvlText w:val="•"/>
      <w:lvlJc w:val="left"/>
      <w:pPr>
        <w:ind w:left="1914" w:hanging="227"/>
      </w:pPr>
      <w:rPr>
        <w:rFonts w:hint="default"/>
      </w:rPr>
    </w:lvl>
    <w:lvl w:ilvl="7">
      <w:start w:val="0"/>
      <w:numFmt w:val="bullet"/>
      <w:lvlText w:val="•"/>
      <w:lvlJc w:val="left"/>
      <w:pPr>
        <w:ind w:left="2183" w:hanging="227"/>
      </w:pPr>
      <w:rPr>
        <w:rFonts w:hint="default"/>
      </w:rPr>
    </w:lvl>
    <w:lvl w:ilvl="8">
      <w:start w:val="0"/>
      <w:numFmt w:val="bullet"/>
      <w:lvlText w:val="•"/>
      <w:lvlJc w:val="left"/>
      <w:pPr>
        <w:ind w:left="2452" w:hanging="227"/>
      </w:pPr>
      <w:rPr>
        <w:rFonts w:hint="default"/>
      </w:rPr>
    </w:lvl>
  </w:abstractNum>
  <w:abstractNum w:abstractNumId="43">
    <w:multiLevelType w:val="hybridMultilevel"/>
    <w:lvl w:ilvl="0">
      <w:start w:val="0"/>
      <w:numFmt w:val="bullet"/>
      <w:lvlText w:val=""/>
      <w:lvlJc w:val="left"/>
      <w:pPr>
        <w:ind w:left="307" w:hanging="227"/>
      </w:pPr>
      <w:rPr>
        <w:rFonts w:hint="default" w:ascii="Wingdings" w:hAnsi="Wingdings" w:eastAsia="Wingdings" w:cs="Wingdings"/>
        <w:w w:val="110"/>
        <w:position w:val="-3"/>
        <w:sz w:val="29"/>
        <w:szCs w:val="29"/>
      </w:rPr>
    </w:lvl>
    <w:lvl w:ilvl="1">
      <w:start w:val="0"/>
      <w:numFmt w:val="bullet"/>
      <w:lvlText w:val="•"/>
      <w:lvlJc w:val="left"/>
      <w:pPr>
        <w:ind w:left="580" w:hanging="227"/>
      </w:pPr>
      <w:rPr>
        <w:rFonts w:hint="default"/>
      </w:rPr>
    </w:lvl>
    <w:lvl w:ilvl="2">
      <w:start w:val="0"/>
      <w:numFmt w:val="bullet"/>
      <w:lvlText w:val="•"/>
      <w:lvlJc w:val="left"/>
      <w:pPr>
        <w:ind w:left="861" w:hanging="227"/>
      </w:pPr>
      <w:rPr>
        <w:rFonts w:hint="default"/>
      </w:rPr>
    </w:lvl>
    <w:lvl w:ilvl="3">
      <w:start w:val="0"/>
      <w:numFmt w:val="bullet"/>
      <w:lvlText w:val="•"/>
      <w:lvlJc w:val="left"/>
      <w:pPr>
        <w:ind w:left="1142" w:hanging="227"/>
      </w:pPr>
      <w:rPr>
        <w:rFonts w:hint="default"/>
      </w:rPr>
    </w:lvl>
    <w:lvl w:ilvl="4">
      <w:start w:val="0"/>
      <w:numFmt w:val="bullet"/>
      <w:lvlText w:val="•"/>
      <w:lvlJc w:val="left"/>
      <w:pPr>
        <w:ind w:left="1423" w:hanging="227"/>
      </w:pPr>
      <w:rPr>
        <w:rFonts w:hint="default"/>
      </w:rPr>
    </w:lvl>
    <w:lvl w:ilvl="5">
      <w:start w:val="0"/>
      <w:numFmt w:val="bullet"/>
      <w:lvlText w:val="•"/>
      <w:lvlJc w:val="left"/>
      <w:pPr>
        <w:ind w:left="1704" w:hanging="227"/>
      </w:pPr>
      <w:rPr>
        <w:rFonts w:hint="default"/>
      </w:rPr>
    </w:lvl>
    <w:lvl w:ilvl="6">
      <w:start w:val="0"/>
      <w:numFmt w:val="bullet"/>
      <w:lvlText w:val="•"/>
      <w:lvlJc w:val="left"/>
      <w:pPr>
        <w:ind w:left="1984" w:hanging="227"/>
      </w:pPr>
      <w:rPr>
        <w:rFonts w:hint="default"/>
      </w:rPr>
    </w:lvl>
    <w:lvl w:ilvl="7">
      <w:start w:val="0"/>
      <w:numFmt w:val="bullet"/>
      <w:lvlText w:val="•"/>
      <w:lvlJc w:val="left"/>
      <w:pPr>
        <w:ind w:left="2265" w:hanging="227"/>
      </w:pPr>
      <w:rPr>
        <w:rFonts w:hint="default"/>
      </w:rPr>
    </w:lvl>
    <w:lvl w:ilvl="8">
      <w:start w:val="0"/>
      <w:numFmt w:val="bullet"/>
      <w:lvlText w:val="•"/>
      <w:lvlJc w:val="left"/>
      <w:pPr>
        <w:ind w:left="2546" w:hanging="227"/>
      </w:pPr>
      <w:rPr>
        <w:rFonts w:hint="default"/>
      </w:rPr>
    </w:lvl>
  </w:abstractNum>
  <w:abstractNum w:abstractNumId="42">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8" w:hanging="227"/>
      </w:pPr>
      <w:rPr>
        <w:rFonts w:hint="default"/>
      </w:rPr>
    </w:lvl>
    <w:lvl w:ilvl="2">
      <w:start w:val="0"/>
      <w:numFmt w:val="bullet"/>
      <w:lvlText w:val="•"/>
      <w:lvlJc w:val="left"/>
      <w:pPr>
        <w:ind w:left="816" w:hanging="227"/>
      </w:pPr>
      <w:rPr>
        <w:rFonts w:hint="default"/>
      </w:rPr>
    </w:lvl>
    <w:lvl w:ilvl="3">
      <w:start w:val="0"/>
      <w:numFmt w:val="bullet"/>
      <w:lvlText w:val="•"/>
      <w:lvlJc w:val="left"/>
      <w:pPr>
        <w:ind w:left="1074" w:hanging="227"/>
      </w:pPr>
      <w:rPr>
        <w:rFonts w:hint="default"/>
      </w:rPr>
    </w:lvl>
    <w:lvl w:ilvl="4">
      <w:start w:val="0"/>
      <w:numFmt w:val="bullet"/>
      <w:lvlText w:val="•"/>
      <w:lvlJc w:val="left"/>
      <w:pPr>
        <w:ind w:left="1332" w:hanging="227"/>
      </w:pPr>
      <w:rPr>
        <w:rFonts w:hint="default"/>
      </w:rPr>
    </w:lvl>
    <w:lvl w:ilvl="5">
      <w:start w:val="0"/>
      <w:numFmt w:val="bullet"/>
      <w:lvlText w:val="•"/>
      <w:lvlJc w:val="left"/>
      <w:pPr>
        <w:ind w:left="1590" w:hanging="227"/>
      </w:pPr>
      <w:rPr>
        <w:rFonts w:hint="default"/>
      </w:rPr>
    </w:lvl>
    <w:lvl w:ilvl="6">
      <w:start w:val="0"/>
      <w:numFmt w:val="bullet"/>
      <w:lvlText w:val="•"/>
      <w:lvlJc w:val="left"/>
      <w:pPr>
        <w:ind w:left="1848" w:hanging="227"/>
      </w:pPr>
      <w:rPr>
        <w:rFonts w:hint="default"/>
      </w:rPr>
    </w:lvl>
    <w:lvl w:ilvl="7">
      <w:start w:val="0"/>
      <w:numFmt w:val="bullet"/>
      <w:lvlText w:val="•"/>
      <w:lvlJc w:val="left"/>
      <w:pPr>
        <w:ind w:left="2106" w:hanging="227"/>
      </w:pPr>
      <w:rPr>
        <w:rFonts w:hint="default"/>
      </w:rPr>
    </w:lvl>
    <w:lvl w:ilvl="8">
      <w:start w:val="0"/>
      <w:numFmt w:val="bullet"/>
      <w:lvlText w:val="•"/>
      <w:lvlJc w:val="left"/>
      <w:pPr>
        <w:ind w:left="2364" w:hanging="227"/>
      </w:pPr>
      <w:rPr>
        <w:rFonts w:hint="default"/>
      </w:rPr>
    </w:lvl>
  </w:abstractNum>
  <w:abstractNum w:abstractNumId="41">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1" w:hanging="227"/>
      </w:pPr>
      <w:rPr>
        <w:rFonts w:hint="default"/>
      </w:rPr>
    </w:lvl>
    <w:lvl w:ilvl="2">
      <w:start w:val="0"/>
      <w:numFmt w:val="bullet"/>
      <w:lvlText w:val="•"/>
      <w:lvlJc w:val="left"/>
      <w:pPr>
        <w:ind w:left="843" w:hanging="227"/>
      </w:pPr>
      <w:rPr>
        <w:rFonts w:hint="default"/>
      </w:rPr>
    </w:lvl>
    <w:lvl w:ilvl="3">
      <w:start w:val="0"/>
      <w:numFmt w:val="bullet"/>
      <w:lvlText w:val="•"/>
      <w:lvlJc w:val="left"/>
      <w:pPr>
        <w:ind w:left="1115" w:hanging="227"/>
      </w:pPr>
      <w:rPr>
        <w:rFonts w:hint="default"/>
      </w:rPr>
    </w:lvl>
    <w:lvl w:ilvl="4">
      <w:start w:val="0"/>
      <w:numFmt w:val="bullet"/>
      <w:lvlText w:val="•"/>
      <w:lvlJc w:val="left"/>
      <w:pPr>
        <w:ind w:left="1387" w:hanging="227"/>
      </w:pPr>
      <w:rPr>
        <w:rFonts w:hint="default"/>
      </w:rPr>
    </w:lvl>
    <w:lvl w:ilvl="5">
      <w:start w:val="0"/>
      <w:numFmt w:val="bullet"/>
      <w:lvlText w:val="•"/>
      <w:lvlJc w:val="left"/>
      <w:pPr>
        <w:ind w:left="1659" w:hanging="227"/>
      </w:pPr>
      <w:rPr>
        <w:rFonts w:hint="default"/>
      </w:rPr>
    </w:lvl>
    <w:lvl w:ilvl="6">
      <w:start w:val="0"/>
      <w:numFmt w:val="bullet"/>
      <w:lvlText w:val="•"/>
      <w:lvlJc w:val="left"/>
      <w:pPr>
        <w:ind w:left="1930" w:hanging="227"/>
      </w:pPr>
      <w:rPr>
        <w:rFonts w:hint="default"/>
      </w:rPr>
    </w:lvl>
    <w:lvl w:ilvl="7">
      <w:start w:val="0"/>
      <w:numFmt w:val="bullet"/>
      <w:lvlText w:val="•"/>
      <w:lvlJc w:val="left"/>
      <w:pPr>
        <w:ind w:left="2202" w:hanging="227"/>
      </w:pPr>
      <w:rPr>
        <w:rFonts w:hint="default"/>
      </w:rPr>
    </w:lvl>
    <w:lvl w:ilvl="8">
      <w:start w:val="0"/>
      <w:numFmt w:val="bullet"/>
      <w:lvlText w:val="•"/>
      <w:lvlJc w:val="left"/>
      <w:pPr>
        <w:ind w:left="2474" w:hanging="227"/>
      </w:pPr>
      <w:rPr>
        <w:rFonts w:hint="default"/>
      </w:rPr>
    </w:lvl>
  </w:abstractNum>
  <w:abstractNum w:abstractNumId="40">
    <w:multiLevelType w:val="hybridMultilevel"/>
    <w:lvl w:ilvl="0">
      <w:start w:val="0"/>
      <w:numFmt w:val="bullet"/>
      <w:lvlText w:val=""/>
      <w:lvlJc w:val="left"/>
      <w:pPr>
        <w:ind w:left="307" w:hanging="227"/>
      </w:pPr>
      <w:rPr>
        <w:rFonts w:hint="default" w:ascii="Wingdings" w:hAnsi="Wingdings" w:eastAsia="Wingdings" w:cs="Wingdings"/>
        <w:w w:val="110"/>
        <w:position w:val="-3"/>
        <w:sz w:val="29"/>
        <w:szCs w:val="29"/>
      </w:rPr>
    </w:lvl>
    <w:lvl w:ilvl="1">
      <w:start w:val="0"/>
      <w:numFmt w:val="bullet"/>
      <w:lvlText w:val="•"/>
      <w:lvlJc w:val="left"/>
      <w:pPr>
        <w:ind w:left="567" w:hanging="227"/>
      </w:pPr>
      <w:rPr>
        <w:rFonts w:hint="default"/>
      </w:rPr>
    </w:lvl>
    <w:lvl w:ilvl="2">
      <w:start w:val="0"/>
      <w:numFmt w:val="bullet"/>
      <w:lvlText w:val="•"/>
      <w:lvlJc w:val="left"/>
      <w:pPr>
        <w:ind w:left="835" w:hanging="227"/>
      </w:pPr>
      <w:rPr>
        <w:rFonts w:hint="default"/>
      </w:rPr>
    </w:lvl>
    <w:lvl w:ilvl="3">
      <w:start w:val="0"/>
      <w:numFmt w:val="bullet"/>
      <w:lvlText w:val="•"/>
      <w:lvlJc w:val="left"/>
      <w:pPr>
        <w:ind w:left="1103" w:hanging="227"/>
      </w:pPr>
      <w:rPr>
        <w:rFonts w:hint="default"/>
      </w:rPr>
    </w:lvl>
    <w:lvl w:ilvl="4">
      <w:start w:val="0"/>
      <w:numFmt w:val="bullet"/>
      <w:lvlText w:val="•"/>
      <w:lvlJc w:val="left"/>
      <w:pPr>
        <w:ind w:left="1371" w:hanging="227"/>
      </w:pPr>
      <w:rPr>
        <w:rFonts w:hint="default"/>
      </w:rPr>
    </w:lvl>
    <w:lvl w:ilvl="5">
      <w:start w:val="0"/>
      <w:numFmt w:val="bullet"/>
      <w:lvlText w:val="•"/>
      <w:lvlJc w:val="left"/>
      <w:pPr>
        <w:ind w:left="1639" w:hanging="227"/>
      </w:pPr>
      <w:rPr>
        <w:rFonts w:hint="default"/>
      </w:rPr>
    </w:lvl>
    <w:lvl w:ilvl="6">
      <w:start w:val="0"/>
      <w:numFmt w:val="bullet"/>
      <w:lvlText w:val="•"/>
      <w:lvlJc w:val="left"/>
      <w:pPr>
        <w:ind w:left="1907" w:hanging="227"/>
      </w:pPr>
      <w:rPr>
        <w:rFonts w:hint="default"/>
      </w:rPr>
    </w:lvl>
    <w:lvl w:ilvl="7">
      <w:start w:val="0"/>
      <w:numFmt w:val="bullet"/>
      <w:lvlText w:val="•"/>
      <w:lvlJc w:val="left"/>
      <w:pPr>
        <w:ind w:left="2175" w:hanging="227"/>
      </w:pPr>
      <w:rPr>
        <w:rFonts w:hint="default"/>
      </w:rPr>
    </w:lvl>
    <w:lvl w:ilvl="8">
      <w:start w:val="0"/>
      <w:numFmt w:val="bullet"/>
      <w:lvlText w:val="•"/>
      <w:lvlJc w:val="left"/>
      <w:pPr>
        <w:ind w:left="2443" w:hanging="227"/>
      </w:pPr>
      <w:rPr>
        <w:rFonts w:hint="default"/>
      </w:rPr>
    </w:lvl>
  </w:abstractNum>
  <w:abstractNum w:abstractNumId="39">
    <w:multiLevelType w:val="hybridMultilevel"/>
    <w:lvl w:ilvl="0">
      <w:start w:val="0"/>
      <w:numFmt w:val="bullet"/>
      <w:lvlText w:val=""/>
      <w:lvlJc w:val="left"/>
      <w:pPr>
        <w:ind w:left="307" w:hanging="227"/>
      </w:pPr>
      <w:rPr>
        <w:rFonts w:hint="default" w:ascii="Wingdings" w:hAnsi="Wingdings" w:eastAsia="Wingdings" w:cs="Wingdings"/>
        <w:w w:val="110"/>
        <w:position w:val="-3"/>
        <w:sz w:val="29"/>
        <w:szCs w:val="29"/>
      </w:rPr>
    </w:lvl>
    <w:lvl w:ilvl="1">
      <w:start w:val="0"/>
      <w:numFmt w:val="bullet"/>
      <w:lvlText w:val="•"/>
      <w:lvlJc w:val="left"/>
      <w:pPr>
        <w:ind w:left="578" w:hanging="227"/>
      </w:pPr>
      <w:rPr>
        <w:rFonts w:hint="default"/>
      </w:rPr>
    </w:lvl>
    <w:lvl w:ilvl="2">
      <w:start w:val="0"/>
      <w:numFmt w:val="bullet"/>
      <w:lvlText w:val="•"/>
      <w:lvlJc w:val="left"/>
      <w:pPr>
        <w:ind w:left="857" w:hanging="227"/>
      </w:pPr>
      <w:rPr>
        <w:rFonts w:hint="default"/>
      </w:rPr>
    </w:lvl>
    <w:lvl w:ilvl="3">
      <w:start w:val="0"/>
      <w:numFmt w:val="bullet"/>
      <w:lvlText w:val="•"/>
      <w:lvlJc w:val="left"/>
      <w:pPr>
        <w:ind w:left="1135" w:hanging="227"/>
      </w:pPr>
      <w:rPr>
        <w:rFonts w:hint="default"/>
      </w:rPr>
    </w:lvl>
    <w:lvl w:ilvl="4">
      <w:start w:val="0"/>
      <w:numFmt w:val="bullet"/>
      <w:lvlText w:val="•"/>
      <w:lvlJc w:val="left"/>
      <w:pPr>
        <w:ind w:left="1414" w:hanging="227"/>
      </w:pPr>
      <w:rPr>
        <w:rFonts w:hint="default"/>
      </w:rPr>
    </w:lvl>
    <w:lvl w:ilvl="5">
      <w:start w:val="0"/>
      <w:numFmt w:val="bullet"/>
      <w:lvlText w:val="•"/>
      <w:lvlJc w:val="left"/>
      <w:pPr>
        <w:ind w:left="1692" w:hanging="227"/>
      </w:pPr>
      <w:rPr>
        <w:rFonts w:hint="default"/>
      </w:rPr>
    </w:lvl>
    <w:lvl w:ilvl="6">
      <w:start w:val="0"/>
      <w:numFmt w:val="bullet"/>
      <w:lvlText w:val="•"/>
      <w:lvlJc w:val="left"/>
      <w:pPr>
        <w:ind w:left="1971" w:hanging="227"/>
      </w:pPr>
      <w:rPr>
        <w:rFonts w:hint="default"/>
      </w:rPr>
    </w:lvl>
    <w:lvl w:ilvl="7">
      <w:start w:val="0"/>
      <w:numFmt w:val="bullet"/>
      <w:lvlText w:val="•"/>
      <w:lvlJc w:val="left"/>
      <w:pPr>
        <w:ind w:left="2249" w:hanging="227"/>
      </w:pPr>
      <w:rPr>
        <w:rFonts w:hint="default"/>
      </w:rPr>
    </w:lvl>
    <w:lvl w:ilvl="8">
      <w:start w:val="0"/>
      <w:numFmt w:val="bullet"/>
      <w:lvlText w:val="•"/>
      <w:lvlJc w:val="left"/>
      <w:pPr>
        <w:ind w:left="2528" w:hanging="227"/>
      </w:pPr>
      <w:rPr>
        <w:rFonts w:hint="default"/>
      </w:rPr>
    </w:lvl>
  </w:abstractNum>
  <w:abstractNum w:abstractNumId="38">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4" w:hanging="227"/>
      </w:pPr>
      <w:rPr>
        <w:rFonts w:hint="default"/>
      </w:rPr>
    </w:lvl>
    <w:lvl w:ilvl="2">
      <w:start w:val="0"/>
      <w:numFmt w:val="bullet"/>
      <w:lvlText w:val="•"/>
      <w:lvlJc w:val="left"/>
      <w:pPr>
        <w:ind w:left="849" w:hanging="227"/>
      </w:pPr>
      <w:rPr>
        <w:rFonts w:hint="default"/>
      </w:rPr>
    </w:lvl>
    <w:lvl w:ilvl="3">
      <w:start w:val="0"/>
      <w:numFmt w:val="bullet"/>
      <w:lvlText w:val="•"/>
      <w:lvlJc w:val="left"/>
      <w:pPr>
        <w:ind w:left="1123" w:hanging="227"/>
      </w:pPr>
      <w:rPr>
        <w:rFonts w:hint="default"/>
      </w:rPr>
    </w:lvl>
    <w:lvl w:ilvl="4">
      <w:start w:val="0"/>
      <w:numFmt w:val="bullet"/>
      <w:lvlText w:val="•"/>
      <w:lvlJc w:val="left"/>
      <w:pPr>
        <w:ind w:left="1398" w:hanging="227"/>
      </w:pPr>
      <w:rPr>
        <w:rFonts w:hint="default"/>
      </w:rPr>
    </w:lvl>
    <w:lvl w:ilvl="5">
      <w:start w:val="0"/>
      <w:numFmt w:val="bullet"/>
      <w:lvlText w:val="•"/>
      <w:lvlJc w:val="left"/>
      <w:pPr>
        <w:ind w:left="1673" w:hanging="227"/>
      </w:pPr>
      <w:rPr>
        <w:rFonts w:hint="default"/>
      </w:rPr>
    </w:lvl>
    <w:lvl w:ilvl="6">
      <w:start w:val="0"/>
      <w:numFmt w:val="bullet"/>
      <w:lvlText w:val="•"/>
      <w:lvlJc w:val="left"/>
      <w:pPr>
        <w:ind w:left="1947" w:hanging="227"/>
      </w:pPr>
      <w:rPr>
        <w:rFonts w:hint="default"/>
      </w:rPr>
    </w:lvl>
    <w:lvl w:ilvl="7">
      <w:start w:val="0"/>
      <w:numFmt w:val="bullet"/>
      <w:lvlText w:val="•"/>
      <w:lvlJc w:val="left"/>
      <w:pPr>
        <w:ind w:left="2222" w:hanging="227"/>
      </w:pPr>
      <w:rPr>
        <w:rFonts w:hint="default"/>
      </w:rPr>
    </w:lvl>
    <w:lvl w:ilvl="8">
      <w:start w:val="0"/>
      <w:numFmt w:val="bullet"/>
      <w:lvlText w:val="•"/>
      <w:lvlJc w:val="left"/>
      <w:pPr>
        <w:ind w:left="2496" w:hanging="227"/>
      </w:pPr>
      <w:rPr>
        <w:rFonts w:hint="default"/>
      </w:rPr>
    </w:lvl>
  </w:abstractNum>
  <w:abstractNum w:abstractNumId="37">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2" w:hanging="227"/>
      </w:pPr>
      <w:rPr>
        <w:rFonts w:hint="default"/>
      </w:rPr>
    </w:lvl>
    <w:lvl w:ilvl="2">
      <w:start w:val="0"/>
      <w:numFmt w:val="bullet"/>
      <w:lvlText w:val="•"/>
      <w:lvlJc w:val="left"/>
      <w:pPr>
        <w:ind w:left="804" w:hanging="227"/>
      </w:pPr>
      <w:rPr>
        <w:rFonts w:hint="default"/>
      </w:rPr>
    </w:lvl>
    <w:lvl w:ilvl="3">
      <w:start w:val="0"/>
      <w:numFmt w:val="bullet"/>
      <w:lvlText w:val="•"/>
      <w:lvlJc w:val="left"/>
      <w:pPr>
        <w:ind w:left="1056" w:hanging="227"/>
      </w:pPr>
      <w:rPr>
        <w:rFonts w:hint="default"/>
      </w:rPr>
    </w:lvl>
    <w:lvl w:ilvl="4">
      <w:start w:val="0"/>
      <w:numFmt w:val="bullet"/>
      <w:lvlText w:val="•"/>
      <w:lvlJc w:val="left"/>
      <w:pPr>
        <w:ind w:left="1308" w:hanging="227"/>
      </w:pPr>
      <w:rPr>
        <w:rFonts w:hint="default"/>
      </w:rPr>
    </w:lvl>
    <w:lvl w:ilvl="5">
      <w:start w:val="0"/>
      <w:numFmt w:val="bullet"/>
      <w:lvlText w:val="•"/>
      <w:lvlJc w:val="left"/>
      <w:pPr>
        <w:ind w:left="1560" w:hanging="227"/>
      </w:pPr>
      <w:rPr>
        <w:rFonts w:hint="default"/>
      </w:rPr>
    </w:lvl>
    <w:lvl w:ilvl="6">
      <w:start w:val="0"/>
      <w:numFmt w:val="bullet"/>
      <w:lvlText w:val="•"/>
      <w:lvlJc w:val="left"/>
      <w:pPr>
        <w:ind w:left="1812" w:hanging="227"/>
      </w:pPr>
      <w:rPr>
        <w:rFonts w:hint="default"/>
      </w:rPr>
    </w:lvl>
    <w:lvl w:ilvl="7">
      <w:start w:val="0"/>
      <w:numFmt w:val="bullet"/>
      <w:lvlText w:val="•"/>
      <w:lvlJc w:val="left"/>
      <w:pPr>
        <w:ind w:left="2064" w:hanging="227"/>
      </w:pPr>
      <w:rPr>
        <w:rFonts w:hint="default"/>
      </w:rPr>
    </w:lvl>
    <w:lvl w:ilvl="8">
      <w:start w:val="0"/>
      <w:numFmt w:val="bullet"/>
      <w:lvlText w:val="•"/>
      <w:lvlJc w:val="left"/>
      <w:pPr>
        <w:ind w:left="2316" w:hanging="227"/>
      </w:pPr>
      <w:rPr>
        <w:rFonts w:hint="default"/>
      </w:rPr>
    </w:lvl>
  </w:abstractNum>
  <w:abstractNum w:abstractNumId="36">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5" w:hanging="227"/>
      </w:pPr>
      <w:rPr>
        <w:rFonts w:hint="default"/>
      </w:rPr>
    </w:lvl>
    <w:lvl w:ilvl="2">
      <w:start w:val="0"/>
      <w:numFmt w:val="bullet"/>
      <w:lvlText w:val="•"/>
      <w:lvlJc w:val="left"/>
      <w:pPr>
        <w:ind w:left="811" w:hanging="227"/>
      </w:pPr>
      <w:rPr>
        <w:rFonts w:hint="default"/>
      </w:rPr>
    </w:lvl>
    <w:lvl w:ilvl="3">
      <w:start w:val="0"/>
      <w:numFmt w:val="bullet"/>
      <w:lvlText w:val="•"/>
      <w:lvlJc w:val="left"/>
      <w:pPr>
        <w:ind w:left="1067" w:hanging="227"/>
      </w:pPr>
      <w:rPr>
        <w:rFonts w:hint="default"/>
      </w:rPr>
    </w:lvl>
    <w:lvl w:ilvl="4">
      <w:start w:val="0"/>
      <w:numFmt w:val="bullet"/>
      <w:lvlText w:val="•"/>
      <w:lvlJc w:val="left"/>
      <w:pPr>
        <w:ind w:left="1323" w:hanging="227"/>
      </w:pPr>
      <w:rPr>
        <w:rFonts w:hint="default"/>
      </w:rPr>
    </w:lvl>
    <w:lvl w:ilvl="5">
      <w:start w:val="0"/>
      <w:numFmt w:val="bullet"/>
      <w:lvlText w:val="•"/>
      <w:lvlJc w:val="left"/>
      <w:pPr>
        <w:ind w:left="1579" w:hanging="227"/>
      </w:pPr>
      <w:rPr>
        <w:rFonts w:hint="default"/>
      </w:rPr>
    </w:lvl>
    <w:lvl w:ilvl="6">
      <w:start w:val="0"/>
      <w:numFmt w:val="bullet"/>
      <w:lvlText w:val="•"/>
      <w:lvlJc w:val="left"/>
      <w:pPr>
        <w:ind w:left="1835" w:hanging="227"/>
      </w:pPr>
      <w:rPr>
        <w:rFonts w:hint="default"/>
      </w:rPr>
    </w:lvl>
    <w:lvl w:ilvl="7">
      <w:start w:val="0"/>
      <w:numFmt w:val="bullet"/>
      <w:lvlText w:val="•"/>
      <w:lvlJc w:val="left"/>
      <w:pPr>
        <w:ind w:left="2091" w:hanging="227"/>
      </w:pPr>
      <w:rPr>
        <w:rFonts w:hint="default"/>
      </w:rPr>
    </w:lvl>
    <w:lvl w:ilvl="8">
      <w:start w:val="0"/>
      <w:numFmt w:val="bullet"/>
      <w:lvlText w:val="•"/>
      <w:lvlJc w:val="left"/>
      <w:pPr>
        <w:ind w:left="2347" w:hanging="227"/>
      </w:pPr>
      <w:rPr>
        <w:rFonts w:hint="default"/>
      </w:rPr>
    </w:lvl>
  </w:abstractNum>
  <w:abstractNum w:abstractNumId="35">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6" w:hanging="227"/>
      </w:pPr>
      <w:rPr>
        <w:rFonts w:hint="default"/>
      </w:rPr>
    </w:lvl>
    <w:lvl w:ilvl="2">
      <w:start w:val="0"/>
      <w:numFmt w:val="bullet"/>
      <w:lvlText w:val="•"/>
      <w:lvlJc w:val="left"/>
      <w:pPr>
        <w:ind w:left="853" w:hanging="227"/>
      </w:pPr>
      <w:rPr>
        <w:rFonts w:hint="default"/>
      </w:rPr>
    </w:lvl>
    <w:lvl w:ilvl="3">
      <w:start w:val="0"/>
      <w:numFmt w:val="bullet"/>
      <w:lvlText w:val="•"/>
      <w:lvlJc w:val="left"/>
      <w:pPr>
        <w:ind w:left="1130" w:hanging="227"/>
      </w:pPr>
      <w:rPr>
        <w:rFonts w:hint="default"/>
      </w:rPr>
    </w:lvl>
    <w:lvl w:ilvl="4">
      <w:start w:val="0"/>
      <w:numFmt w:val="bullet"/>
      <w:lvlText w:val="•"/>
      <w:lvlJc w:val="left"/>
      <w:pPr>
        <w:ind w:left="1407" w:hanging="227"/>
      </w:pPr>
      <w:rPr>
        <w:rFonts w:hint="default"/>
      </w:rPr>
    </w:lvl>
    <w:lvl w:ilvl="5">
      <w:start w:val="0"/>
      <w:numFmt w:val="bullet"/>
      <w:lvlText w:val="•"/>
      <w:lvlJc w:val="left"/>
      <w:pPr>
        <w:ind w:left="1684" w:hanging="227"/>
      </w:pPr>
      <w:rPr>
        <w:rFonts w:hint="default"/>
      </w:rPr>
    </w:lvl>
    <w:lvl w:ilvl="6">
      <w:start w:val="0"/>
      <w:numFmt w:val="bullet"/>
      <w:lvlText w:val="•"/>
      <w:lvlJc w:val="left"/>
      <w:pPr>
        <w:ind w:left="1961" w:hanging="227"/>
      </w:pPr>
      <w:rPr>
        <w:rFonts w:hint="default"/>
      </w:rPr>
    </w:lvl>
    <w:lvl w:ilvl="7">
      <w:start w:val="0"/>
      <w:numFmt w:val="bullet"/>
      <w:lvlText w:val="•"/>
      <w:lvlJc w:val="left"/>
      <w:pPr>
        <w:ind w:left="2238" w:hanging="227"/>
      </w:pPr>
      <w:rPr>
        <w:rFonts w:hint="default"/>
      </w:rPr>
    </w:lvl>
    <w:lvl w:ilvl="8">
      <w:start w:val="0"/>
      <w:numFmt w:val="bullet"/>
      <w:lvlText w:val="•"/>
      <w:lvlJc w:val="left"/>
      <w:pPr>
        <w:ind w:left="2515" w:hanging="227"/>
      </w:pPr>
      <w:rPr>
        <w:rFonts w:hint="default"/>
      </w:rPr>
    </w:lvl>
  </w:abstractNum>
  <w:abstractNum w:abstractNumId="34">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8" w:hanging="227"/>
      </w:pPr>
      <w:rPr>
        <w:rFonts w:hint="default"/>
      </w:rPr>
    </w:lvl>
    <w:lvl w:ilvl="2">
      <w:start w:val="0"/>
      <w:numFmt w:val="bullet"/>
      <w:lvlText w:val="•"/>
      <w:lvlJc w:val="left"/>
      <w:pPr>
        <w:ind w:left="816" w:hanging="227"/>
      </w:pPr>
      <w:rPr>
        <w:rFonts w:hint="default"/>
      </w:rPr>
    </w:lvl>
    <w:lvl w:ilvl="3">
      <w:start w:val="0"/>
      <w:numFmt w:val="bullet"/>
      <w:lvlText w:val="•"/>
      <w:lvlJc w:val="left"/>
      <w:pPr>
        <w:ind w:left="1074" w:hanging="227"/>
      </w:pPr>
      <w:rPr>
        <w:rFonts w:hint="default"/>
      </w:rPr>
    </w:lvl>
    <w:lvl w:ilvl="4">
      <w:start w:val="0"/>
      <w:numFmt w:val="bullet"/>
      <w:lvlText w:val="•"/>
      <w:lvlJc w:val="left"/>
      <w:pPr>
        <w:ind w:left="1332" w:hanging="227"/>
      </w:pPr>
      <w:rPr>
        <w:rFonts w:hint="default"/>
      </w:rPr>
    </w:lvl>
    <w:lvl w:ilvl="5">
      <w:start w:val="0"/>
      <w:numFmt w:val="bullet"/>
      <w:lvlText w:val="•"/>
      <w:lvlJc w:val="left"/>
      <w:pPr>
        <w:ind w:left="1591" w:hanging="227"/>
      </w:pPr>
      <w:rPr>
        <w:rFonts w:hint="default"/>
      </w:rPr>
    </w:lvl>
    <w:lvl w:ilvl="6">
      <w:start w:val="0"/>
      <w:numFmt w:val="bullet"/>
      <w:lvlText w:val="•"/>
      <w:lvlJc w:val="left"/>
      <w:pPr>
        <w:ind w:left="1849" w:hanging="227"/>
      </w:pPr>
      <w:rPr>
        <w:rFonts w:hint="default"/>
      </w:rPr>
    </w:lvl>
    <w:lvl w:ilvl="7">
      <w:start w:val="0"/>
      <w:numFmt w:val="bullet"/>
      <w:lvlText w:val="•"/>
      <w:lvlJc w:val="left"/>
      <w:pPr>
        <w:ind w:left="2107" w:hanging="227"/>
      </w:pPr>
      <w:rPr>
        <w:rFonts w:hint="default"/>
      </w:rPr>
    </w:lvl>
    <w:lvl w:ilvl="8">
      <w:start w:val="0"/>
      <w:numFmt w:val="bullet"/>
      <w:lvlText w:val="•"/>
      <w:lvlJc w:val="left"/>
      <w:pPr>
        <w:ind w:left="2365" w:hanging="227"/>
      </w:pPr>
      <w:rPr>
        <w:rFonts w:hint="default"/>
      </w:rPr>
    </w:lvl>
  </w:abstractNum>
  <w:abstractNum w:abstractNumId="33">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6" w:hanging="227"/>
      </w:pPr>
      <w:rPr>
        <w:rFonts w:hint="default"/>
      </w:rPr>
    </w:lvl>
    <w:lvl w:ilvl="2">
      <w:start w:val="0"/>
      <w:numFmt w:val="bullet"/>
      <w:lvlText w:val="•"/>
      <w:lvlJc w:val="left"/>
      <w:pPr>
        <w:ind w:left="832" w:hanging="227"/>
      </w:pPr>
      <w:rPr>
        <w:rFonts w:hint="default"/>
      </w:rPr>
    </w:lvl>
    <w:lvl w:ilvl="3">
      <w:start w:val="0"/>
      <w:numFmt w:val="bullet"/>
      <w:lvlText w:val="•"/>
      <w:lvlJc w:val="left"/>
      <w:pPr>
        <w:ind w:left="1098" w:hanging="227"/>
      </w:pPr>
      <w:rPr>
        <w:rFonts w:hint="default"/>
      </w:rPr>
    </w:lvl>
    <w:lvl w:ilvl="4">
      <w:start w:val="0"/>
      <w:numFmt w:val="bullet"/>
      <w:lvlText w:val="•"/>
      <w:lvlJc w:val="left"/>
      <w:pPr>
        <w:ind w:left="1364" w:hanging="227"/>
      </w:pPr>
      <w:rPr>
        <w:rFonts w:hint="default"/>
      </w:rPr>
    </w:lvl>
    <w:lvl w:ilvl="5">
      <w:start w:val="0"/>
      <w:numFmt w:val="bullet"/>
      <w:lvlText w:val="•"/>
      <w:lvlJc w:val="left"/>
      <w:pPr>
        <w:ind w:left="1630" w:hanging="227"/>
      </w:pPr>
      <w:rPr>
        <w:rFonts w:hint="default"/>
      </w:rPr>
    </w:lvl>
    <w:lvl w:ilvl="6">
      <w:start w:val="0"/>
      <w:numFmt w:val="bullet"/>
      <w:lvlText w:val="•"/>
      <w:lvlJc w:val="left"/>
      <w:pPr>
        <w:ind w:left="1896" w:hanging="227"/>
      </w:pPr>
      <w:rPr>
        <w:rFonts w:hint="default"/>
      </w:rPr>
    </w:lvl>
    <w:lvl w:ilvl="7">
      <w:start w:val="0"/>
      <w:numFmt w:val="bullet"/>
      <w:lvlText w:val="•"/>
      <w:lvlJc w:val="left"/>
      <w:pPr>
        <w:ind w:left="2162" w:hanging="227"/>
      </w:pPr>
      <w:rPr>
        <w:rFonts w:hint="default"/>
      </w:rPr>
    </w:lvl>
    <w:lvl w:ilvl="8">
      <w:start w:val="0"/>
      <w:numFmt w:val="bullet"/>
      <w:lvlText w:val="•"/>
      <w:lvlJc w:val="left"/>
      <w:pPr>
        <w:ind w:left="2428" w:hanging="227"/>
      </w:pPr>
      <w:rPr>
        <w:rFonts w:hint="default"/>
      </w:rPr>
    </w:lvl>
  </w:abstractNum>
  <w:abstractNum w:abstractNumId="32">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80" w:hanging="227"/>
      </w:pPr>
      <w:rPr>
        <w:rFonts w:hint="default"/>
      </w:rPr>
    </w:lvl>
    <w:lvl w:ilvl="2">
      <w:start w:val="0"/>
      <w:numFmt w:val="bullet"/>
      <w:lvlText w:val="•"/>
      <w:lvlJc w:val="left"/>
      <w:pPr>
        <w:ind w:left="860" w:hanging="227"/>
      </w:pPr>
      <w:rPr>
        <w:rFonts w:hint="default"/>
      </w:rPr>
    </w:lvl>
    <w:lvl w:ilvl="3">
      <w:start w:val="0"/>
      <w:numFmt w:val="bullet"/>
      <w:lvlText w:val="•"/>
      <w:lvlJc w:val="left"/>
      <w:pPr>
        <w:ind w:left="1140" w:hanging="227"/>
      </w:pPr>
      <w:rPr>
        <w:rFonts w:hint="default"/>
      </w:rPr>
    </w:lvl>
    <w:lvl w:ilvl="4">
      <w:start w:val="0"/>
      <w:numFmt w:val="bullet"/>
      <w:lvlText w:val="•"/>
      <w:lvlJc w:val="left"/>
      <w:pPr>
        <w:ind w:left="1421" w:hanging="227"/>
      </w:pPr>
      <w:rPr>
        <w:rFonts w:hint="default"/>
      </w:rPr>
    </w:lvl>
    <w:lvl w:ilvl="5">
      <w:start w:val="0"/>
      <w:numFmt w:val="bullet"/>
      <w:lvlText w:val="•"/>
      <w:lvlJc w:val="left"/>
      <w:pPr>
        <w:ind w:left="1701" w:hanging="227"/>
      </w:pPr>
      <w:rPr>
        <w:rFonts w:hint="default"/>
      </w:rPr>
    </w:lvl>
    <w:lvl w:ilvl="6">
      <w:start w:val="0"/>
      <w:numFmt w:val="bullet"/>
      <w:lvlText w:val="•"/>
      <w:lvlJc w:val="left"/>
      <w:pPr>
        <w:ind w:left="1981" w:hanging="227"/>
      </w:pPr>
      <w:rPr>
        <w:rFonts w:hint="default"/>
      </w:rPr>
    </w:lvl>
    <w:lvl w:ilvl="7">
      <w:start w:val="0"/>
      <w:numFmt w:val="bullet"/>
      <w:lvlText w:val="•"/>
      <w:lvlJc w:val="left"/>
      <w:pPr>
        <w:ind w:left="2262" w:hanging="227"/>
      </w:pPr>
      <w:rPr>
        <w:rFonts w:hint="default"/>
      </w:rPr>
    </w:lvl>
    <w:lvl w:ilvl="8">
      <w:start w:val="0"/>
      <w:numFmt w:val="bullet"/>
      <w:lvlText w:val="•"/>
      <w:lvlJc w:val="left"/>
      <w:pPr>
        <w:ind w:left="2542" w:hanging="227"/>
      </w:pPr>
      <w:rPr>
        <w:rFonts w:hint="default"/>
      </w:rPr>
    </w:lvl>
  </w:abstractNum>
  <w:abstractNum w:abstractNumId="31">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9" w:hanging="227"/>
      </w:pPr>
      <w:rPr>
        <w:rFonts w:hint="default"/>
      </w:rPr>
    </w:lvl>
    <w:lvl w:ilvl="2">
      <w:start w:val="0"/>
      <w:numFmt w:val="bullet"/>
      <w:lvlText w:val="•"/>
      <w:lvlJc w:val="left"/>
      <w:pPr>
        <w:ind w:left="819" w:hanging="227"/>
      </w:pPr>
      <w:rPr>
        <w:rFonts w:hint="default"/>
      </w:rPr>
    </w:lvl>
    <w:lvl w:ilvl="3">
      <w:start w:val="0"/>
      <w:numFmt w:val="bullet"/>
      <w:lvlText w:val="•"/>
      <w:lvlJc w:val="left"/>
      <w:pPr>
        <w:ind w:left="1079" w:hanging="227"/>
      </w:pPr>
      <w:rPr>
        <w:rFonts w:hint="default"/>
      </w:rPr>
    </w:lvl>
    <w:lvl w:ilvl="4">
      <w:start w:val="0"/>
      <w:numFmt w:val="bullet"/>
      <w:lvlText w:val="•"/>
      <w:lvlJc w:val="left"/>
      <w:pPr>
        <w:ind w:left="1339" w:hanging="227"/>
      </w:pPr>
      <w:rPr>
        <w:rFonts w:hint="default"/>
      </w:rPr>
    </w:lvl>
    <w:lvl w:ilvl="5">
      <w:start w:val="0"/>
      <w:numFmt w:val="bullet"/>
      <w:lvlText w:val="•"/>
      <w:lvlJc w:val="left"/>
      <w:pPr>
        <w:ind w:left="1599" w:hanging="227"/>
      </w:pPr>
      <w:rPr>
        <w:rFonts w:hint="default"/>
      </w:rPr>
    </w:lvl>
    <w:lvl w:ilvl="6">
      <w:start w:val="0"/>
      <w:numFmt w:val="bullet"/>
      <w:lvlText w:val="•"/>
      <w:lvlJc w:val="left"/>
      <w:pPr>
        <w:ind w:left="1859" w:hanging="227"/>
      </w:pPr>
      <w:rPr>
        <w:rFonts w:hint="default"/>
      </w:rPr>
    </w:lvl>
    <w:lvl w:ilvl="7">
      <w:start w:val="0"/>
      <w:numFmt w:val="bullet"/>
      <w:lvlText w:val="•"/>
      <w:lvlJc w:val="left"/>
      <w:pPr>
        <w:ind w:left="2119" w:hanging="227"/>
      </w:pPr>
      <w:rPr>
        <w:rFonts w:hint="default"/>
      </w:rPr>
    </w:lvl>
    <w:lvl w:ilvl="8">
      <w:start w:val="0"/>
      <w:numFmt w:val="bullet"/>
      <w:lvlText w:val="•"/>
      <w:lvlJc w:val="left"/>
      <w:pPr>
        <w:ind w:left="2379" w:hanging="227"/>
      </w:pPr>
      <w:rPr>
        <w:rFonts w:hint="default"/>
      </w:rPr>
    </w:lvl>
  </w:abstractNum>
  <w:abstractNum w:abstractNumId="30">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3" w:hanging="227"/>
      </w:pPr>
      <w:rPr>
        <w:rFonts w:hint="default"/>
      </w:rPr>
    </w:lvl>
    <w:lvl w:ilvl="2">
      <w:start w:val="0"/>
      <w:numFmt w:val="bullet"/>
      <w:lvlText w:val="•"/>
      <w:lvlJc w:val="left"/>
      <w:pPr>
        <w:ind w:left="846" w:hanging="227"/>
      </w:pPr>
      <w:rPr>
        <w:rFonts w:hint="default"/>
      </w:rPr>
    </w:lvl>
    <w:lvl w:ilvl="3">
      <w:start w:val="0"/>
      <w:numFmt w:val="bullet"/>
      <w:lvlText w:val="•"/>
      <w:lvlJc w:val="left"/>
      <w:pPr>
        <w:ind w:left="1119" w:hanging="227"/>
      </w:pPr>
      <w:rPr>
        <w:rFonts w:hint="default"/>
      </w:rPr>
    </w:lvl>
    <w:lvl w:ilvl="4">
      <w:start w:val="0"/>
      <w:numFmt w:val="bullet"/>
      <w:lvlText w:val="•"/>
      <w:lvlJc w:val="left"/>
      <w:pPr>
        <w:ind w:left="1392" w:hanging="227"/>
      </w:pPr>
      <w:rPr>
        <w:rFonts w:hint="default"/>
      </w:rPr>
    </w:lvl>
    <w:lvl w:ilvl="5">
      <w:start w:val="0"/>
      <w:numFmt w:val="bullet"/>
      <w:lvlText w:val="•"/>
      <w:lvlJc w:val="left"/>
      <w:pPr>
        <w:ind w:left="1665" w:hanging="227"/>
      </w:pPr>
      <w:rPr>
        <w:rFonts w:hint="default"/>
      </w:rPr>
    </w:lvl>
    <w:lvl w:ilvl="6">
      <w:start w:val="0"/>
      <w:numFmt w:val="bullet"/>
      <w:lvlText w:val="•"/>
      <w:lvlJc w:val="left"/>
      <w:pPr>
        <w:ind w:left="1938" w:hanging="227"/>
      </w:pPr>
      <w:rPr>
        <w:rFonts w:hint="default"/>
      </w:rPr>
    </w:lvl>
    <w:lvl w:ilvl="7">
      <w:start w:val="0"/>
      <w:numFmt w:val="bullet"/>
      <w:lvlText w:val="•"/>
      <w:lvlJc w:val="left"/>
      <w:pPr>
        <w:ind w:left="2211" w:hanging="227"/>
      </w:pPr>
      <w:rPr>
        <w:rFonts w:hint="default"/>
      </w:rPr>
    </w:lvl>
    <w:lvl w:ilvl="8">
      <w:start w:val="0"/>
      <w:numFmt w:val="bullet"/>
      <w:lvlText w:val="•"/>
      <w:lvlJc w:val="left"/>
      <w:pPr>
        <w:ind w:left="2484" w:hanging="227"/>
      </w:pPr>
      <w:rPr>
        <w:rFonts w:hint="default"/>
      </w:rPr>
    </w:lvl>
  </w:abstractNum>
  <w:abstractNum w:abstractNumId="29">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83" w:hanging="227"/>
      </w:pPr>
      <w:rPr>
        <w:rFonts w:hint="default"/>
      </w:rPr>
    </w:lvl>
    <w:lvl w:ilvl="2">
      <w:start w:val="0"/>
      <w:numFmt w:val="bullet"/>
      <w:lvlText w:val="•"/>
      <w:lvlJc w:val="left"/>
      <w:pPr>
        <w:ind w:left="866" w:hanging="227"/>
      </w:pPr>
      <w:rPr>
        <w:rFonts w:hint="default"/>
      </w:rPr>
    </w:lvl>
    <w:lvl w:ilvl="3">
      <w:start w:val="0"/>
      <w:numFmt w:val="bullet"/>
      <w:lvlText w:val="•"/>
      <w:lvlJc w:val="left"/>
      <w:pPr>
        <w:ind w:left="1149" w:hanging="227"/>
      </w:pPr>
      <w:rPr>
        <w:rFonts w:hint="default"/>
      </w:rPr>
    </w:lvl>
    <w:lvl w:ilvl="4">
      <w:start w:val="0"/>
      <w:numFmt w:val="bullet"/>
      <w:lvlText w:val="•"/>
      <w:lvlJc w:val="left"/>
      <w:pPr>
        <w:ind w:left="1432" w:hanging="227"/>
      </w:pPr>
      <w:rPr>
        <w:rFonts w:hint="default"/>
      </w:rPr>
    </w:lvl>
    <w:lvl w:ilvl="5">
      <w:start w:val="0"/>
      <w:numFmt w:val="bullet"/>
      <w:lvlText w:val="•"/>
      <w:lvlJc w:val="left"/>
      <w:pPr>
        <w:ind w:left="1715" w:hanging="227"/>
      </w:pPr>
      <w:rPr>
        <w:rFonts w:hint="default"/>
      </w:rPr>
    </w:lvl>
    <w:lvl w:ilvl="6">
      <w:start w:val="0"/>
      <w:numFmt w:val="bullet"/>
      <w:lvlText w:val="•"/>
      <w:lvlJc w:val="left"/>
      <w:pPr>
        <w:ind w:left="1998" w:hanging="227"/>
      </w:pPr>
      <w:rPr>
        <w:rFonts w:hint="default"/>
      </w:rPr>
    </w:lvl>
    <w:lvl w:ilvl="7">
      <w:start w:val="0"/>
      <w:numFmt w:val="bullet"/>
      <w:lvlText w:val="•"/>
      <w:lvlJc w:val="left"/>
      <w:pPr>
        <w:ind w:left="2281" w:hanging="227"/>
      </w:pPr>
      <w:rPr>
        <w:rFonts w:hint="default"/>
      </w:rPr>
    </w:lvl>
    <w:lvl w:ilvl="8">
      <w:start w:val="0"/>
      <w:numFmt w:val="bullet"/>
      <w:lvlText w:val="•"/>
      <w:lvlJc w:val="left"/>
      <w:pPr>
        <w:ind w:left="2564" w:hanging="227"/>
      </w:pPr>
      <w:rPr>
        <w:rFonts w:hint="default"/>
      </w:rPr>
    </w:lvl>
  </w:abstractNum>
  <w:abstractNum w:abstractNumId="28">
    <w:multiLevelType w:val="hybridMultilevel"/>
    <w:lvl w:ilvl="0">
      <w:start w:val="0"/>
      <w:numFmt w:val="bullet"/>
      <w:lvlText w:val="–"/>
      <w:lvlJc w:val="left"/>
      <w:pPr>
        <w:ind w:left="1984" w:hanging="185"/>
      </w:pPr>
      <w:rPr>
        <w:rFonts w:hint="default" w:ascii="Calibri" w:hAnsi="Calibri" w:eastAsia="Calibri" w:cs="Calibri"/>
        <w:w w:val="127"/>
        <w:sz w:val="20"/>
        <w:szCs w:val="20"/>
      </w:rPr>
    </w:lvl>
    <w:lvl w:ilvl="1">
      <w:start w:val="0"/>
      <w:numFmt w:val="bullet"/>
      <w:lvlText w:val="•"/>
      <w:lvlJc w:val="left"/>
      <w:pPr>
        <w:ind w:left="2972" w:hanging="185"/>
      </w:pPr>
      <w:rPr>
        <w:rFonts w:hint="default"/>
      </w:rPr>
    </w:lvl>
    <w:lvl w:ilvl="2">
      <w:start w:val="0"/>
      <w:numFmt w:val="bullet"/>
      <w:lvlText w:val="•"/>
      <w:lvlJc w:val="left"/>
      <w:pPr>
        <w:ind w:left="3965" w:hanging="185"/>
      </w:pPr>
      <w:rPr>
        <w:rFonts w:hint="default"/>
      </w:rPr>
    </w:lvl>
    <w:lvl w:ilvl="3">
      <w:start w:val="0"/>
      <w:numFmt w:val="bullet"/>
      <w:lvlText w:val="•"/>
      <w:lvlJc w:val="left"/>
      <w:pPr>
        <w:ind w:left="4957" w:hanging="185"/>
      </w:pPr>
      <w:rPr>
        <w:rFonts w:hint="default"/>
      </w:rPr>
    </w:lvl>
    <w:lvl w:ilvl="4">
      <w:start w:val="0"/>
      <w:numFmt w:val="bullet"/>
      <w:lvlText w:val="•"/>
      <w:lvlJc w:val="left"/>
      <w:pPr>
        <w:ind w:left="5950" w:hanging="185"/>
      </w:pPr>
      <w:rPr>
        <w:rFonts w:hint="default"/>
      </w:rPr>
    </w:lvl>
    <w:lvl w:ilvl="5">
      <w:start w:val="0"/>
      <w:numFmt w:val="bullet"/>
      <w:lvlText w:val="•"/>
      <w:lvlJc w:val="left"/>
      <w:pPr>
        <w:ind w:left="6942" w:hanging="185"/>
      </w:pPr>
      <w:rPr>
        <w:rFonts w:hint="default"/>
      </w:rPr>
    </w:lvl>
    <w:lvl w:ilvl="6">
      <w:start w:val="0"/>
      <w:numFmt w:val="bullet"/>
      <w:lvlText w:val="•"/>
      <w:lvlJc w:val="left"/>
      <w:pPr>
        <w:ind w:left="7935" w:hanging="185"/>
      </w:pPr>
      <w:rPr>
        <w:rFonts w:hint="default"/>
      </w:rPr>
    </w:lvl>
    <w:lvl w:ilvl="7">
      <w:start w:val="0"/>
      <w:numFmt w:val="bullet"/>
      <w:lvlText w:val="•"/>
      <w:lvlJc w:val="left"/>
      <w:pPr>
        <w:ind w:left="8927" w:hanging="185"/>
      </w:pPr>
      <w:rPr>
        <w:rFonts w:hint="default"/>
      </w:rPr>
    </w:lvl>
    <w:lvl w:ilvl="8">
      <w:start w:val="0"/>
      <w:numFmt w:val="bullet"/>
      <w:lvlText w:val="•"/>
      <w:lvlJc w:val="left"/>
      <w:pPr>
        <w:ind w:left="9920" w:hanging="185"/>
      </w:pPr>
      <w:rPr>
        <w:rFonts w:hint="default"/>
      </w:rPr>
    </w:lvl>
  </w:abstractNum>
  <w:abstractNum w:abstractNumId="27">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3" w:hanging="227"/>
      </w:pPr>
      <w:rPr>
        <w:rFonts w:hint="default"/>
      </w:rPr>
    </w:lvl>
    <w:lvl w:ilvl="2">
      <w:start w:val="0"/>
      <w:numFmt w:val="bullet"/>
      <w:lvlText w:val="•"/>
      <w:lvlJc w:val="left"/>
      <w:pPr>
        <w:ind w:left="826" w:hanging="227"/>
      </w:pPr>
      <w:rPr>
        <w:rFonts w:hint="default"/>
      </w:rPr>
    </w:lvl>
    <w:lvl w:ilvl="3">
      <w:start w:val="0"/>
      <w:numFmt w:val="bullet"/>
      <w:lvlText w:val="•"/>
      <w:lvlJc w:val="left"/>
      <w:pPr>
        <w:ind w:left="1089" w:hanging="227"/>
      </w:pPr>
      <w:rPr>
        <w:rFonts w:hint="default"/>
      </w:rPr>
    </w:lvl>
    <w:lvl w:ilvl="4">
      <w:start w:val="0"/>
      <w:numFmt w:val="bullet"/>
      <w:lvlText w:val="•"/>
      <w:lvlJc w:val="left"/>
      <w:pPr>
        <w:ind w:left="1353" w:hanging="227"/>
      </w:pPr>
      <w:rPr>
        <w:rFonts w:hint="default"/>
      </w:rPr>
    </w:lvl>
    <w:lvl w:ilvl="5">
      <w:start w:val="0"/>
      <w:numFmt w:val="bullet"/>
      <w:lvlText w:val="•"/>
      <w:lvlJc w:val="left"/>
      <w:pPr>
        <w:ind w:left="1616" w:hanging="227"/>
      </w:pPr>
      <w:rPr>
        <w:rFonts w:hint="default"/>
      </w:rPr>
    </w:lvl>
    <w:lvl w:ilvl="6">
      <w:start w:val="0"/>
      <w:numFmt w:val="bullet"/>
      <w:lvlText w:val="•"/>
      <w:lvlJc w:val="left"/>
      <w:pPr>
        <w:ind w:left="1879" w:hanging="227"/>
      </w:pPr>
      <w:rPr>
        <w:rFonts w:hint="default"/>
      </w:rPr>
    </w:lvl>
    <w:lvl w:ilvl="7">
      <w:start w:val="0"/>
      <w:numFmt w:val="bullet"/>
      <w:lvlText w:val="•"/>
      <w:lvlJc w:val="left"/>
      <w:pPr>
        <w:ind w:left="2143" w:hanging="227"/>
      </w:pPr>
      <w:rPr>
        <w:rFonts w:hint="default"/>
      </w:rPr>
    </w:lvl>
    <w:lvl w:ilvl="8">
      <w:start w:val="0"/>
      <w:numFmt w:val="bullet"/>
      <w:lvlText w:val="•"/>
      <w:lvlJc w:val="left"/>
      <w:pPr>
        <w:ind w:left="2406" w:hanging="227"/>
      </w:pPr>
      <w:rPr>
        <w:rFonts w:hint="default"/>
      </w:rPr>
    </w:lvl>
  </w:abstractNum>
  <w:abstractNum w:abstractNumId="26">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1" w:hanging="227"/>
      </w:pPr>
      <w:rPr>
        <w:rFonts w:hint="default"/>
      </w:rPr>
    </w:lvl>
    <w:lvl w:ilvl="2">
      <w:start w:val="0"/>
      <w:numFmt w:val="bullet"/>
      <w:lvlText w:val="•"/>
      <w:lvlJc w:val="left"/>
      <w:pPr>
        <w:ind w:left="842" w:hanging="227"/>
      </w:pPr>
      <w:rPr>
        <w:rFonts w:hint="default"/>
      </w:rPr>
    </w:lvl>
    <w:lvl w:ilvl="3">
      <w:start w:val="0"/>
      <w:numFmt w:val="bullet"/>
      <w:lvlText w:val="•"/>
      <w:lvlJc w:val="left"/>
      <w:pPr>
        <w:ind w:left="1114" w:hanging="227"/>
      </w:pPr>
      <w:rPr>
        <w:rFonts w:hint="default"/>
      </w:rPr>
    </w:lvl>
    <w:lvl w:ilvl="4">
      <w:start w:val="0"/>
      <w:numFmt w:val="bullet"/>
      <w:lvlText w:val="•"/>
      <w:lvlJc w:val="left"/>
      <w:pPr>
        <w:ind w:left="1385" w:hanging="227"/>
      </w:pPr>
      <w:rPr>
        <w:rFonts w:hint="default"/>
      </w:rPr>
    </w:lvl>
    <w:lvl w:ilvl="5">
      <w:start w:val="0"/>
      <w:numFmt w:val="bullet"/>
      <w:lvlText w:val="•"/>
      <w:lvlJc w:val="left"/>
      <w:pPr>
        <w:ind w:left="1657" w:hanging="227"/>
      </w:pPr>
      <w:rPr>
        <w:rFonts w:hint="default"/>
      </w:rPr>
    </w:lvl>
    <w:lvl w:ilvl="6">
      <w:start w:val="0"/>
      <w:numFmt w:val="bullet"/>
      <w:lvlText w:val="•"/>
      <w:lvlJc w:val="left"/>
      <w:pPr>
        <w:ind w:left="1928" w:hanging="227"/>
      </w:pPr>
      <w:rPr>
        <w:rFonts w:hint="default"/>
      </w:rPr>
    </w:lvl>
    <w:lvl w:ilvl="7">
      <w:start w:val="0"/>
      <w:numFmt w:val="bullet"/>
      <w:lvlText w:val="•"/>
      <w:lvlJc w:val="left"/>
      <w:pPr>
        <w:ind w:left="2199" w:hanging="227"/>
      </w:pPr>
      <w:rPr>
        <w:rFonts w:hint="default"/>
      </w:rPr>
    </w:lvl>
    <w:lvl w:ilvl="8">
      <w:start w:val="0"/>
      <w:numFmt w:val="bullet"/>
      <w:lvlText w:val="•"/>
      <w:lvlJc w:val="left"/>
      <w:pPr>
        <w:ind w:left="2471" w:hanging="227"/>
      </w:pPr>
      <w:rPr>
        <w:rFonts w:hint="default"/>
      </w:rPr>
    </w:lvl>
  </w:abstractNum>
  <w:abstractNum w:abstractNumId="25">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0" w:hanging="227"/>
      </w:pPr>
      <w:rPr>
        <w:rFonts w:hint="default"/>
      </w:rPr>
    </w:lvl>
    <w:lvl w:ilvl="2">
      <w:start w:val="0"/>
      <w:numFmt w:val="bullet"/>
      <w:lvlText w:val="•"/>
      <w:lvlJc w:val="left"/>
      <w:pPr>
        <w:ind w:left="800" w:hanging="227"/>
      </w:pPr>
      <w:rPr>
        <w:rFonts w:hint="default"/>
      </w:rPr>
    </w:lvl>
    <w:lvl w:ilvl="3">
      <w:start w:val="0"/>
      <w:numFmt w:val="bullet"/>
      <w:lvlText w:val="•"/>
      <w:lvlJc w:val="left"/>
      <w:pPr>
        <w:ind w:left="1050" w:hanging="227"/>
      </w:pPr>
      <w:rPr>
        <w:rFonts w:hint="default"/>
      </w:rPr>
    </w:lvl>
    <w:lvl w:ilvl="4">
      <w:start w:val="0"/>
      <w:numFmt w:val="bullet"/>
      <w:lvlText w:val="•"/>
      <w:lvlJc w:val="left"/>
      <w:pPr>
        <w:ind w:left="1300" w:hanging="227"/>
      </w:pPr>
      <w:rPr>
        <w:rFonts w:hint="default"/>
      </w:rPr>
    </w:lvl>
    <w:lvl w:ilvl="5">
      <w:start w:val="0"/>
      <w:numFmt w:val="bullet"/>
      <w:lvlText w:val="•"/>
      <w:lvlJc w:val="left"/>
      <w:pPr>
        <w:ind w:left="1550" w:hanging="227"/>
      </w:pPr>
      <w:rPr>
        <w:rFonts w:hint="default"/>
      </w:rPr>
    </w:lvl>
    <w:lvl w:ilvl="6">
      <w:start w:val="0"/>
      <w:numFmt w:val="bullet"/>
      <w:lvlText w:val="•"/>
      <w:lvlJc w:val="left"/>
      <w:pPr>
        <w:ind w:left="1800" w:hanging="227"/>
      </w:pPr>
      <w:rPr>
        <w:rFonts w:hint="default"/>
      </w:rPr>
    </w:lvl>
    <w:lvl w:ilvl="7">
      <w:start w:val="0"/>
      <w:numFmt w:val="bullet"/>
      <w:lvlText w:val="•"/>
      <w:lvlJc w:val="left"/>
      <w:pPr>
        <w:ind w:left="2050" w:hanging="227"/>
      </w:pPr>
      <w:rPr>
        <w:rFonts w:hint="default"/>
      </w:rPr>
    </w:lvl>
    <w:lvl w:ilvl="8">
      <w:start w:val="0"/>
      <w:numFmt w:val="bullet"/>
      <w:lvlText w:val="•"/>
      <w:lvlJc w:val="left"/>
      <w:pPr>
        <w:ind w:left="2300" w:hanging="227"/>
      </w:pPr>
      <w:rPr>
        <w:rFonts w:hint="default"/>
      </w:rPr>
    </w:lvl>
  </w:abstractNum>
  <w:abstractNum w:abstractNumId="24">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50" w:hanging="227"/>
      </w:pPr>
      <w:rPr>
        <w:rFonts w:hint="default"/>
      </w:rPr>
    </w:lvl>
    <w:lvl w:ilvl="2">
      <w:start w:val="0"/>
      <w:numFmt w:val="bullet"/>
      <w:lvlText w:val="•"/>
      <w:lvlJc w:val="left"/>
      <w:pPr>
        <w:ind w:left="800" w:hanging="227"/>
      </w:pPr>
      <w:rPr>
        <w:rFonts w:hint="default"/>
      </w:rPr>
    </w:lvl>
    <w:lvl w:ilvl="3">
      <w:start w:val="0"/>
      <w:numFmt w:val="bullet"/>
      <w:lvlText w:val="•"/>
      <w:lvlJc w:val="left"/>
      <w:pPr>
        <w:ind w:left="1050" w:hanging="227"/>
      </w:pPr>
      <w:rPr>
        <w:rFonts w:hint="default"/>
      </w:rPr>
    </w:lvl>
    <w:lvl w:ilvl="4">
      <w:start w:val="0"/>
      <w:numFmt w:val="bullet"/>
      <w:lvlText w:val="•"/>
      <w:lvlJc w:val="left"/>
      <w:pPr>
        <w:ind w:left="1300" w:hanging="227"/>
      </w:pPr>
      <w:rPr>
        <w:rFonts w:hint="default"/>
      </w:rPr>
    </w:lvl>
    <w:lvl w:ilvl="5">
      <w:start w:val="0"/>
      <w:numFmt w:val="bullet"/>
      <w:lvlText w:val="•"/>
      <w:lvlJc w:val="left"/>
      <w:pPr>
        <w:ind w:left="1550" w:hanging="227"/>
      </w:pPr>
      <w:rPr>
        <w:rFonts w:hint="default"/>
      </w:rPr>
    </w:lvl>
    <w:lvl w:ilvl="6">
      <w:start w:val="0"/>
      <w:numFmt w:val="bullet"/>
      <w:lvlText w:val="•"/>
      <w:lvlJc w:val="left"/>
      <w:pPr>
        <w:ind w:left="1800" w:hanging="227"/>
      </w:pPr>
      <w:rPr>
        <w:rFonts w:hint="default"/>
      </w:rPr>
    </w:lvl>
    <w:lvl w:ilvl="7">
      <w:start w:val="0"/>
      <w:numFmt w:val="bullet"/>
      <w:lvlText w:val="•"/>
      <w:lvlJc w:val="left"/>
      <w:pPr>
        <w:ind w:left="2050" w:hanging="227"/>
      </w:pPr>
      <w:rPr>
        <w:rFonts w:hint="default"/>
      </w:rPr>
    </w:lvl>
    <w:lvl w:ilvl="8">
      <w:start w:val="0"/>
      <w:numFmt w:val="bullet"/>
      <w:lvlText w:val="•"/>
      <w:lvlJc w:val="left"/>
      <w:pPr>
        <w:ind w:left="2300" w:hanging="227"/>
      </w:pPr>
      <w:rPr>
        <w:rFonts w:hint="default"/>
      </w:rPr>
    </w:lvl>
  </w:abstractNum>
  <w:abstractNum w:abstractNumId="23">
    <w:multiLevelType w:val="hybridMultilevel"/>
    <w:lvl w:ilvl="0">
      <w:start w:val="0"/>
      <w:numFmt w:val="bullet"/>
      <w:lvlText w:val=""/>
      <w:lvlJc w:val="left"/>
      <w:pPr>
        <w:ind w:left="305" w:hanging="227"/>
      </w:pPr>
      <w:rPr>
        <w:rFonts w:hint="default" w:ascii="Wingdings" w:hAnsi="Wingdings" w:eastAsia="Wingdings" w:cs="Wingdings"/>
        <w:w w:val="110"/>
        <w:position w:val="-3"/>
        <w:sz w:val="29"/>
        <w:szCs w:val="29"/>
      </w:rPr>
    </w:lvl>
    <w:lvl w:ilvl="1">
      <w:start w:val="0"/>
      <w:numFmt w:val="bullet"/>
      <w:lvlText w:val="•"/>
      <w:lvlJc w:val="left"/>
      <w:pPr>
        <w:ind w:left="575" w:hanging="227"/>
      </w:pPr>
      <w:rPr>
        <w:rFonts w:hint="default"/>
      </w:rPr>
    </w:lvl>
    <w:lvl w:ilvl="2">
      <w:start w:val="0"/>
      <w:numFmt w:val="bullet"/>
      <w:lvlText w:val="•"/>
      <w:lvlJc w:val="left"/>
      <w:pPr>
        <w:ind w:left="850" w:hanging="227"/>
      </w:pPr>
      <w:rPr>
        <w:rFonts w:hint="default"/>
      </w:rPr>
    </w:lvl>
    <w:lvl w:ilvl="3">
      <w:start w:val="0"/>
      <w:numFmt w:val="bullet"/>
      <w:lvlText w:val="•"/>
      <w:lvlJc w:val="left"/>
      <w:pPr>
        <w:ind w:left="1125" w:hanging="227"/>
      </w:pPr>
      <w:rPr>
        <w:rFonts w:hint="default"/>
      </w:rPr>
    </w:lvl>
    <w:lvl w:ilvl="4">
      <w:start w:val="0"/>
      <w:numFmt w:val="bullet"/>
      <w:lvlText w:val="•"/>
      <w:lvlJc w:val="left"/>
      <w:pPr>
        <w:ind w:left="1400" w:hanging="227"/>
      </w:pPr>
      <w:rPr>
        <w:rFonts w:hint="default"/>
      </w:rPr>
    </w:lvl>
    <w:lvl w:ilvl="5">
      <w:start w:val="0"/>
      <w:numFmt w:val="bullet"/>
      <w:lvlText w:val="•"/>
      <w:lvlJc w:val="left"/>
      <w:pPr>
        <w:ind w:left="1676" w:hanging="227"/>
      </w:pPr>
      <w:rPr>
        <w:rFonts w:hint="default"/>
      </w:rPr>
    </w:lvl>
    <w:lvl w:ilvl="6">
      <w:start w:val="0"/>
      <w:numFmt w:val="bullet"/>
      <w:lvlText w:val="•"/>
      <w:lvlJc w:val="left"/>
      <w:pPr>
        <w:ind w:left="1951" w:hanging="227"/>
      </w:pPr>
      <w:rPr>
        <w:rFonts w:hint="default"/>
      </w:rPr>
    </w:lvl>
    <w:lvl w:ilvl="7">
      <w:start w:val="0"/>
      <w:numFmt w:val="bullet"/>
      <w:lvlText w:val="•"/>
      <w:lvlJc w:val="left"/>
      <w:pPr>
        <w:ind w:left="2226" w:hanging="227"/>
      </w:pPr>
      <w:rPr>
        <w:rFonts w:hint="default"/>
      </w:rPr>
    </w:lvl>
    <w:lvl w:ilvl="8">
      <w:start w:val="0"/>
      <w:numFmt w:val="bullet"/>
      <w:lvlText w:val="•"/>
      <w:lvlJc w:val="left"/>
      <w:pPr>
        <w:ind w:left="2501" w:hanging="227"/>
      </w:pPr>
      <w:rPr>
        <w:rFonts w:hint="default"/>
      </w:rPr>
    </w:lvl>
  </w:abstractNum>
  <w:abstractNum w:abstractNumId="22">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8" w:hanging="227"/>
      </w:pPr>
      <w:rPr>
        <w:rFonts w:hint="default"/>
      </w:rPr>
    </w:lvl>
    <w:lvl w:ilvl="2">
      <w:start w:val="0"/>
      <w:numFmt w:val="bullet"/>
      <w:lvlText w:val="•"/>
      <w:lvlJc w:val="left"/>
      <w:pPr>
        <w:ind w:left="856" w:hanging="227"/>
      </w:pPr>
      <w:rPr>
        <w:rFonts w:hint="default"/>
      </w:rPr>
    </w:lvl>
    <w:lvl w:ilvl="3">
      <w:start w:val="0"/>
      <w:numFmt w:val="bullet"/>
      <w:lvlText w:val="•"/>
      <w:lvlJc w:val="left"/>
      <w:pPr>
        <w:ind w:left="1135" w:hanging="227"/>
      </w:pPr>
      <w:rPr>
        <w:rFonts w:hint="default"/>
      </w:rPr>
    </w:lvl>
    <w:lvl w:ilvl="4">
      <w:start w:val="0"/>
      <w:numFmt w:val="bullet"/>
      <w:lvlText w:val="•"/>
      <w:lvlJc w:val="left"/>
      <w:pPr>
        <w:ind w:left="1413" w:hanging="227"/>
      </w:pPr>
      <w:rPr>
        <w:rFonts w:hint="default"/>
      </w:rPr>
    </w:lvl>
    <w:lvl w:ilvl="5">
      <w:start w:val="0"/>
      <w:numFmt w:val="bullet"/>
      <w:lvlText w:val="•"/>
      <w:lvlJc w:val="left"/>
      <w:pPr>
        <w:ind w:left="1692" w:hanging="227"/>
      </w:pPr>
      <w:rPr>
        <w:rFonts w:hint="default"/>
      </w:rPr>
    </w:lvl>
    <w:lvl w:ilvl="6">
      <w:start w:val="0"/>
      <w:numFmt w:val="bullet"/>
      <w:lvlText w:val="•"/>
      <w:lvlJc w:val="left"/>
      <w:pPr>
        <w:ind w:left="1970" w:hanging="227"/>
      </w:pPr>
      <w:rPr>
        <w:rFonts w:hint="default"/>
      </w:rPr>
    </w:lvl>
    <w:lvl w:ilvl="7">
      <w:start w:val="0"/>
      <w:numFmt w:val="bullet"/>
      <w:lvlText w:val="•"/>
      <w:lvlJc w:val="left"/>
      <w:pPr>
        <w:ind w:left="2248" w:hanging="227"/>
      </w:pPr>
      <w:rPr>
        <w:rFonts w:hint="default"/>
      </w:rPr>
    </w:lvl>
    <w:lvl w:ilvl="8">
      <w:start w:val="0"/>
      <w:numFmt w:val="bullet"/>
      <w:lvlText w:val="•"/>
      <w:lvlJc w:val="left"/>
      <w:pPr>
        <w:ind w:left="2527" w:hanging="227"/>
      </w:pPr>
      <w:rPr>
        <w:rFonts w:hint="default"/>
      </w:rPr>
    </w:lvl>
  </w:abstractNum>
  <w:abstractNum w:abstractNumId="21">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7" w:hanging="227"/>
      </w:pPr>
      <w:rPr>
        <w:rFonts w:hint="default"/>
      </w:rPr>
    </w:lvl>
    <w:lvl w:ilvl="2">
      <w:start w:val="0"/>
      <w:numFmt w:val="bullet"/>
      <w:lvlText w:val="•"/>
      <w:lvlJc w:val="left"/>
      <w:pPr>
        <w:ind w:left="855" w:hanging="227"/>
      </w:pPr>
      <w:rPr>
        <w:rFonts w:hint="default"/>
      </w:rPr>
    </w:lvl>
    <w:lvl w:ilvl="3">
      <w:start w:val="0"/>
      <w:numFmt w:val="bullet"/>
      <w:lvlText w:val="•"/>
      <w:lvlJc w:val="left"/>
      <w:pPr>
        <w:ind w:left="1133" w:hanging="227"/>
      </w:pPr>
      <w:rPr>
        <w:rFonts w:hint="default"/>
      </w:rPr>
    </w:lvl>
    <w:lvl w:ilvl="4">
      <w:start w:val="0"/>
      <w:numFmt w:val="bullet"/>
      <w:lvlText w:val="•"/>
      <w:lvlJc w:val="left"/>
      <w:pPr>
        <w:ind w:left="1410" w:hanging="227"/>
      </w:pPr>
      <w:rPr>
        <w:rFonts w:hint="default"/>
      </w:rPr>
    </w:lvl>
    <w:lvl w:ilvl="5">
      <w:start w:val="0"/>
      <w:numFmt w:val="bullet"/>
      <w:lvlText w:val="•"/>
      <w:lvlJc w:val="left"/>
      <w:pPr>
        <w:ind w:left="1688" w:hanging="227"/>
      </w:pPr>
      <w:rPr>
        <w:rFonts w:hint="default"/>
      </w:rPr>
    </w:lvl>
    <w:lvl w:ilvl="6">
      <w:start w:val="0"/>
      <w:numFmt w:val="bullet"/>
      <w:lvlText w:val="•"/>
      <w:lvlJc w:val="left"/>
      <w:pPr>
        <w:ind w:left="1966" w:hanging="227"/>
      </w:pPr>
      <w:rPr>
        <w:rFonts w:hint="default"/>
      </w:rPr>
    </w:lvl>
    <w:lvl w:ilvl="7">
      <w:start w:val="0"/>
      <w:numFmt w:val="bullet"/>
      <w:lvlText w:val="•"/>
      <w:lvlJc w:val="left"/>
      <w:pPr>
        <w:ind w:left="2243" w:hanging="227"/>
      </w:pPr>
      <w:rPr>
        <w:rFonts w:hint="default"/>
      </w:rPr>
    </w:lvl>
    <w:lvl w:ilvl="8">
      <w:start w:val="0"/>
      <w:numFmt w:val="bullet"/>
      <w:lvlText w:val="•"/>
      <w:lvlJc w:val="left"/>
      <w:pPr>
        <w:ind w:left="2521" w:hanging="227"/>
      </w:pPr>
      <w:rPr>
        <w:rFonts w:hint="default"/>
      </w:rPr>
    </w:lvl>
  </w:abstractNum>
  <w:abstractNum w:abstractNumId="20">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6" w:hanging="227"/>
      </w:pPr>
      <w:rPr>
        <w:rFonts w:hint="default"/>
      </w:rPr>
    </w:lvl>
    <w:lvl w:ilvl="2">
      <w:start w:val="0"/>
      <w:numFmt w:val="bullet"/>
      <w:lvlText w:val="•"/>
      <w:lvlJc w:val="left"/>
      <w:pPr>
        <w:ind w:left="832" w:hanging="227"/>
      </w:pPr>
      <w:rPr>
        <w:rFonts w:hint="default"/>
      </w:rPr>
    </w:lvl>
    <w:lvl w:ilvl="3">
      <w:start w:val="0"/>
      <w:numFmt w:val="bullet"/>
      <w:lvlText w:val="•"/>
      <w:lvlJc w:val="left"/>
      <w:pPr>
        <w:ind w:left="1098" w:hanging="227"/>
      </w:pPr>
      <w:rPr>
        <w:rFonts w:hint="default"/>
      </w:rPr>
    </w:lvl>
    <w:lvl w:ilvl="4">
      <w:start w:val="0"/>
      <w:numFmt w:val="bullet"/>
      <w:lvlText w:val="•"/>
      <w:lvlJc w:val="left"/>
      <w:pPr>
        <w:ind w:left="1364" w:hanging="227"/>
      </w:pPr>
      <w:rPr>
        <w:rFonts w:hint="default"/>
      </w:rPr>
    </w:lvl>
    <w:lvl w:ilvl="5">
      <w:start w:val="0"/>
      <w:numFmt w:val="bullet"/>
      <w:lvlText w:val="•"/>
      <w:lvlJc w:val="left"/>
      <w:pPr>
        <w:ind w:left="1631" w:hanging="227"/>
      </w:pPr>
      <w:rPr>
        <w:rFonts w:hint="default"/>
      </w:rPr>
    </w:lvl>
    <w:lvl w:ilvl="6">
      <w:start w:val="0"/>
      <w:numFmt w:val="bullet"/>
      <w:lvlText w:val="•"/>
      <w:lvlJc w:val="left"/>
      <w:pPr>
        <w:ind w:left="1897" w:hanging="227"/>
      </w:pPr>
      <w:rPr>
        <w:rFonts w:hint="default"/>
      </w:rPr>
    </w:lvl>
    <w:lvl w:ilvl="7">
      <w:start w:val="0"/>
      <w:numFmt w:val="bullet"/>
      <w:lvlText w:val="•"/>
      <w:lvlJc w:val="left"/>
      <w:pPr>
        <w:ind w:left="2163" w:hanging="227"/>
      </w:pPr>
      <w:rPr>
        <w:rFonts w:hint="default"/>
      </w:rPr>
    </w:lvl>
    <w:lvl w:ilvl="8">
      <w:start w:val="0"/>
      <w:numFmt w:val="bullet"/>
      <w:lvlText w:val="•"/>
      <w:lvlJc w:val="left"/>
      <w:pPr>
        <w:ind w:left="2429" w:hanging="227"/>
      </w:pPr>
      <w:rPr>
        <w:rFonts w:hint="default"/>
      </w:rPr>
    </w:lvl>
  </w:abstractNum>
  <w:abstractNum w:abstractNumId="19">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1" w:hanging="227"/>
      </w:pPr>
      <w:rPr>
        <w:rFonts w:hint="default"/>
      </w:rPr>
    </w:lvl>
    <w:lvl w:ilvl="2">
      <w:start w:val="0"/>
      <w:numFmt w:val="bullet"/>
      <w:lvlText w:val="•"/>
      <w:lvlJc w:val="left"/>
      <w:pPr>
        <w:ind w:left="822" w:hanging="227"/>
      </w:pPr>
      <w:rPr>
        <w:rFonts w:hint="default"/>
      </w:rPr>
    </w:lvl>
    <w:lvl w:ilvl="3">
      <w:start w:val="0"/>
      <w:numFmt w:val="bullet"/>
      <w:lvlText w:val="•"/>
      <w:lvlJc w:val="left"/>
      <w:pPr>
        <w:ind w:left="1083" w:hanging="227"/>
      </w:pPr>
      <w:rPr>
        <w:rFonts w:hint="default"/>
      </w:rPr>
    </w:lvl>
    <w:lvl w:ilvl="4">
      <w:start w:val="0"/>
      <w:numFmt w:val="bullet"/>
      <w:lvlText w:val="•"/>
      <w:lvlJc w:val="left"/>
      <w:pPr>
        <w:ind w:left="1344" w:hanging="227"/>
      </w:pPr>
      <w:rPr>
        <w:rFonts w:hint="default"/>
      </w:rPr>
    </w:lvl>
    <w:lvl w:ilvl="5">
      <w:start w:val="0"/>
      <w:numFmt w:val="bullet"/>
      <w:lvlText w:val="•"/>
      <w:lvlJc w:val="left"/>
      <w:pPr>
        <w:ind w:left="1605" w:hanging="227"/>
      </w:pPr>
      <w:rPr>
        <w:rFonts w:hint="default"/>
      </w:rPr>
    </w:lvl>
    <w:lvl w:ilvl="6">
      <w:start w:val="0"/>
      <w:numFmt w:val="bullet"/>
      <w:lvlText w:val="•"/>
      <w:lvlJc w:val="left"/>
      <w:pPr>
        <w:ind w:left="1866" w:hanging="227"/>
      </w:pPr>
      <w:rPr>
        <w:rFonts w:hint="default"/>
      </w:rPr>
    </w:lvl>
    <w:lvl w:ilvl="7">
      <w:start w:val="0"/>
      <w:numFmt w:val="bullet"/>
      <w:lvlText w:val="•"/>
      <w:lvlJc w:val="left"/>
      <w:pPr>
        <w:ind w:left="2127" w:hanging="227"/>
      </w:pPr>
      <w:rPr>
        <w:rFonts w:hint="default"/>
      </w:rPr>
    </w:lvl>
    <w:lvl w:ilvl="8">
      <w:start w:val="0"/>
      <w:numFmt w:val="bullet"/>
      <w:lvlText w:val="•"/>
      <w:lvlJc w:val="left"/>
      <w:pPr>
        <w:ind w:left="2388" w:hanging="227"/>
      </w:pPr>
      <w:rPr>
        <w:rFonts w:hint="default"/>
      </w:rPr>
    </w:lvl>
  </w:abstractNum>
  <w:abstractNum w:abstractNumId="18">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61" w:hanging="227"/>
      </w:pPr>
      <w:rPr>
        <w:rFonts w:hint="default"/>
      </w:rPr>
    </w:lvl>
    <w:lvl w:ilvl="2">
      <w:start w:val="0"/>
      <w:numFmt w:val="bullet"/>
      <w:lvlText w:val="•"/>
      <w:lvlJc w:val="left"/>
      <w:pPr>
        <w:ind w:left="822" w:hanging="227"/>
      </w:pPr>
      <w:rPr>
        <w:rFonts w:hint="default"/>
      </w:rPr>
    </w:lvl>
    <w:lvl w:ilvl="3">
      <w:start w:val="0"/>
      <w:numFmt w:val="bullet"/>
      <w:lvlText w:val="•"/>
      <w:lvlJc w:val="left"/>
      <w:pPr>
        <w:ind w:left="1083" w:hanging="227"/>
      </w:pPr>
      <w:rPr>
        <w:rFonts w:hint="default"/>
      </w:rPr>
    </w:lvl>
    <w:lvl w:ilvl="4">
      <w:start w:val="0"/>
      <w:numFmt w:val="bullet"/>
      <w:lvlText w:val="•"/>
      <w:lvlJc w:val="left"/>
      <w:pPr>
        <w:ind w:left="1344" w:hanging="227"/>
      </w:pPr>
      <w:rPr>
        <w:rFonts w:hint="default"/>
      </w:rPr>
    </w:lvl>
    <w:lvl w:ilvl="5">
      <w:start w:val="0"/>
      <w:numFmt w:val="bullet"/>
      <w:lvlText w:val="•"/>
      <w:lvlJc w:val="left"/>
      <w:pPr>
        <w:ind w:left="1605" w:hanging="227"/>
      </w:pPr>
      <w:rPr>
        <w:rFonts w:hint="default"/>
      </w:rPr>
    </w:lvl>
    <w:lvl w:ilvl="6">
      <w:start w:val="0"/>
      <w:numFmt w:val="bullet"/>
      <w:lvlText w:val="•"/>
      <w:lvlJc w:val="left"/>
      <w:pPr>
        <w:ind w:left="1866" w:hanging="227"/>
      </w:pPr>
      <w:rPr>
        <w:rFonts w:hint="default"/>
      </w:rPr>
    </w:lvl>
    <w:lvl w:ilvl="7">
      <w:start w:val="0"/>
      <w:numFmt w:val="bullet"/>
      <w:lvlText w:val="•"/>
      <w:lvlJc w:val="left"/>
      <w:pPr>
        <w:ind w:left="2127" w:hanging="227"/>
      </w:pPr>
      <w:rPr>
        <w:rFonts w:hint="default"/>
      </w:rPr>
    </w:lvl>
    <w:lvl w:ilvl="8">
      <w:start w:val="0"/>
      <w:numFmt w:val="bullet"/>
      <w:lvlText w:val="•"/>
      <w:lvlJc w:val="left"/>
      <w:pPr>
        <w:ind w:left="2388" w:hanging="227"/>
      </w:pPr>
      <w:rPr>
        <w:rFonts w:hint="default"/>
      </w:rPr>
    </w:lvl>
  </w:abstractNum>
  <w:abstractNum w:abstractNumId="17">
    <w:multiLevelType w:val="hybridMultilevel"/>
    <w:lvl w:ilvl="0">
      <w:start w:val="0"/>
      <w:numFmt w:val="bullet"/>
      <w:lvlText w:val=""/>
      <w:lvlJc w:val="left"/>
      <w:pPr>
        <w:ind w:left="306" w:hanging="227"/>
      </w:pPr>
      <w:rPr>
        <w:rFonts w:hint="default" w:ascii="Wingdings" w:hAnsi="Wingdings" w:eastAsia="Wingdings" w:cs="Wingdings"/>
        <w:w w:val="110"/>
        <w:position w:val="-3"/>
        <w:sz w:val="29"/>
        <w:szCs w:val="29"/>
      </w:rPr>
    </w:lvl>
    <w:lvl w:ilvl="1">
      <w:start w:val="0"/>
      <w:numFmt w:val="bullet"/>
      <w:lvlText w:val="•"/>
      <w:lvlJc w:val="left"/>
      <w:pPr>
        <w:ind w:left="577" w:hanging="227"/>
      </w:pPr>
      <w:rPr>
        <w:rFonts w:hint="default"/>
      </w:rPr>
    </w:lvl>
    <w:lvl w:ilvl="2">
      <w:start w:val="0"/>
      <w:numFmt w:val="bullet"/>
      <w:lvlText w:val="•"/>
      <w:lvlJc w:val="left"/>
      <w:pPr>
        <w:ind w:left="855" w:hanging="227"/>
      </w:pPr>
      <w:rPr>
        <w:rFonts w:hint="default"/>
      </w:rPr>
    </w:lvl>
    <w:lvl w:ilvl="3">
      <w:start w:val="0"/>
      <w:numFmt w:val="bullet"/>
      <w:lvlText w:val="•"/>
      <w:lvlJc w:val="left"/>
      <w:pPr>
        <w:ind w:left="1132" w:hanging="227"/>
      </w:pPr>
      <w:rPr>
        <w:rFonts w:hint="default"/>
      </w:rPr>
    </w:lvl>
    <w:lvl w:ilvl="4">
      <w:start w:val="0"/>
      <w:numFmt w:val="bullet"/>
      <w:lvlText w:val="•"/>
      <w:lvlJc w:val="left"/>
      <w:pPr>
        <w:ind w:left="1410" w:hanging="227"/>
      </w:pPr>
      <w:rPr>
        <w:rFonts w:hint="default"/>
      </w:rPr>
    </w:lvl>
    <w:lvl w:ilvl="5">
      <w:start w:val="0"/>
      <w:numFmt w:val="bullet"/>
      <w:lvlText w:val="•"/>
      <w:lvlJc w:val="left"/>
      <w:pPr>
        <w:ind w:left="1687" w:hanging="227"/>
      </w:pPr>
      <w:rPr>
        <w:rFonts w:hint="default"/>
      </w:rPr>
    </w:lvl>
    <w:lvl w:ilvl="6">
      <w:start w:val="0"/>
      <w:numFmt w:val="bullet"/>
      <w:lvlText w:val="•"/>
      <w:lvlJc w:val="left"/>
      <w:pPr>
        <w:ind w:left="1965" w:hanging="227"/>
      </w:pPr>
      <w:rPr>
        <w:rFonts w:hint="default"/>
      </w:rPr>
    </w:lvl>
    <w:lvl w:ilvl="7">
      <w:start w:val="0"/>
      <w:numFmt w:val="bullet"/>
      <w:lvlText w:val="•"/>
      <w:lvlJc w:val="left"/>
      <w:pPr>
        <w:ind w:left="2242" w:hanging="227"/>
      </w:pPr>
      <w:rPr>
        <w:rFonts w:hint="default"/>
      </w:rPr>
    </w:lvl>
    <w:lvl w:ilvl="8">
      <w:start w:val="0"/>
      <w:numFmt w:val="bullet"/>
      <w:lvlText w:val="•"/>
      <w:lvlJc w:val="left"/>
      <w:pPr>
        <w:ind w:left="2520" w:hanging="227"/>
      </w:pPr>
      <w:rPr>
        <w:rFonts w:hint="default"/>
      </w:rPr>
    </w:lvl>
  </w:abstractNum>
  <w:abstractNum w:abstractNumId="16">
    <w:multiLevelType w:val="hybridMultilevel"/>
    <w:lvl w:ilvl="0">
      <w:start w:val="0"/>
      <w:numFmt w:val="bullet"/>
      <w:lvlText w:val=""/>
      <w:lvlJc w:val="left"/>
      <w:pPr>
        <w:ind w:left="468" w:hanging="227"/>
      </w:pPr>
      <w:rPr>
        <w:rFonts w:hint="default" w:ascii="Wingdings" w:hAnsi="Wingdings" w:eastAsia="Wingdings" w:cs="Wingdings"/>
        <w:w w:val="110"/>
        <w:position w:val="-3"/>
        <w:sz w:val="29"/>
        <w:szCs w:val="29"/>
      </w:rPr>
    </w:lvl>
    <w:lvl w:ilvl="1">
      <w:start w:val="0"/>
      <w:numFmt w:val="bullet"/>
      <w:lvlText w:val=""/>
      <w:lvlJc w:val="left"/>
      <w:pPr>
        <w:ind w:left="1814" w:hanging="681"/>
      </w:pPr>
      <w:rPr>
        <w:rFonts w:hint="default" w:ascii="Wingdings" w:hAnsi="Wingdings" w:eastAsia="Wingdings" w:cs="Wingdings"/>
        <w:w w:val="110"/>
        <w:position w:val="-3"/>
        <w:sz w:val="29"/>
        <w:szCs w:val="29"/>
      </w:rPr>
    </w:lvl>
    <w:lvl w:ilvl="2">
      <w:start w:val="0"/>
      <w:numFmt w:val="bullet"/>
      <w:lvlText w:val="•"/>
      <w:lvlJc w:val="left"/>
      <w:pPr>
        <w:ind w:left="1910" w:hanging="681"/>
      </w:pPr>
      <w:rPr>
        <w:rFonts w:hint="default"/>
      </w:rPr>
    </w:lvl>
    <w:lvl w:ilvl="3">
      <w:start w:val="0"/>
      <w:numFmt w:val="bullet"/>
      <w:lvlText w:val="•"/>
      <w:lvlJc w:val="left"/>
      <w:pPr>
        <w:ind w:left="2000" w:hanging="681"/>
      </w:pPr>
      <w:rPr>
        <w:rFonts w:hint="default"/>
      </w:rPr>
    </w:lvl>
    <w:lvl w:ilvl="4">
      <w:start w:val="0"/>
      <w:numFmt w:val="bullet"/>
      <w:lvlText w:val="•"/>
      <w:lvlJc w:val="left"/>
      <w:pPr>
        <w:ind w:left="2090" w:hanging="681"/>
      </w:pPr>
      <w:rPr>
        <w:rFonts w:hint="default"/>
      </w:rPr>
    </w:lvl>
    <w:lvl w:ilvl="5">
      <w:start w:val="0"/>
      <w:numFmt w:val="bullet"/>
      <w:lvlText w:val="•"/>
      <w:lvlJc w:val="left"/>
      <w:pPr>
        <w:ind w:left="2180" w:hanging="681"/>
      </w:pPr>
      <w:rPr>
        <w:rFonts w:hint="default"/>
      </w:rPr>
    </w:lvl>
    <w:lvl w:ilvl="6">
      <w:start w:val="0"/>
      <w:numFmt w:val="bullet"/>
      <w:lvlText w:val="•"/>
      <w:lvlJc w:val="left"/>
      <w:pPr>
        <w:ind w:left="2270" w:hanging="681"/>
      </w:pPr>
      <w:rPr>
        <w:rFonts w:hint="default"/>
      </w:rPr>
    </w:lvl>
    <w:lvl w:ilvl="7">
      <w:start w:val="0"/>
      <w:numFmt w:val="bullet"/>
      <w:lvlText w:val="•"/>
      <w:lvlJc w:val="left"/>
      <w:pPr>
        <w:ind w:left="2360" w:hanging="681"/>
      </w:pPr>
      <w:rPr>
        <w:rFonts w:hint="default"/>
      </w:rPr>
    </w:lvl>
    <w:lvl w:ilvl="8">
      <w:start w:val="0"/>
      <w:numFmt w:val="bullet"/>
      <w:lvlText w:val="•"/>
      <w:lvlJc w:val="left"/>
      <w:pPr>
        <w:ind w:left="2450" w:hanging="681"/>
      </w:pPr>
      <w:rPr>
        <w:rFonts w:hint="default"/>
      </w:rPr>
    </w:lvl>
  </w:abstractNum>
  <w:abstractNum w:abstractNumId="15">
    <w:multiLevelType w:val="hybridMultilevel"/>
    <w:lvl w:ilvl="0">
      <w:start w:val="0"/>
      <w:numFmt w:val="bullet"/>
      <w:lvlText w:val=""/>
      <w:lvlJc w:val="left"/>
      <w:pPr>
        <w:ind w:left="1182" w:hanging="361"/>
      </w:pPr>
      <w:rPr>
        <w:rFonts w:hint="default"/>
        <w:w w:val="110"/>
        <w:position w:val="-3"/>
      </w:rPr>
    </w:lvl>
    <w:lvl w:ilvl="1">
      <w:start w:val="0"/>
      <w:numFmt w:val="bullet"/>
      <w:lvlText w:val=""/>
      <w:lvlJc w:val="left"/>
      <w:pPr>
        <w:ind w:left="1541" w:hanging="274"/>
      </w:pPr>
      <w:rPr>
        <w:rFonts w:hint="default" w:ascii="Wingdings" w:hAnsi="Wingdings" w:eastAsia="Wingdings" w:cs="Wingdings"/>
        <w:w w:val="110"/>
        <w:position w:val="-3"/>
        <w:sz w:val="29"/>
        <w:szCs w:val="29"/>
      </w:rPr>
    </w:lvl>
    <w:lvl w:ilvl="2">
      <w:start w:val="0"/>
      <w:numFmt w:val="bullet"/>
      <w:lvlText w:val=""/>
      <w:lvlJc w:val="left"/>
      <w:pPr>
        <w:ind w:left="2142" w:hanging="397"/>
      </w:pPr>
      <w:rPr>
        <w:rFonts w:hint="default" w:ascii="Wingdings" w:hAnsi="Wingdings" w:eastAsia="Wingdings" w:cs="Wingdings"/>
        <w:color w:val="FFFFFF"/>
        <w:w w:val="110"/>
        <w:position w:val="-3"/>
        <w:sz w:val="29"/>
        <w:szCs w:val="29"/>
      </w:rPr>
    </w:lvl>
    <w:lvl w:ilvl="3">
      <w:start w:val="0"/>
      <w:numFmt w:val="bullet"/>
      <w:lvlText w:val=""/>
      <w:lvlJc w:val="left"/>
      <w:pPr>
        <w:ind w:left="2959" w:hanging="270"/>
      </w:pPr>
      <w:rPr>
        <w:rFonts w:hint="default" w:ascii="Wingdings" w:hAnsi="Wingdings" w:eastAsia="Wingdings" w:cs="Wingdings"/>
        <w:color w:val="FFFFFF"/>
        <w:w w:val="110"/>
        <w:position w:val="-3"/>
        <w:sz w:val="29"/>
        <w:szCs w:val="29"/>
      </w:rPr>
    </w:lvl>
    <w:lvl w:ilvl="4">
      <w:start w:val="0"/>
      <w:numFmt w:val="bullet"/>
      <w:lvlText w:val="•"/>
      <w:lvlJc w:val="left"/>
      <w:pPr>
        <w:ind w:left="2960" w:hanging="270"/>
      </w:pPr>
      <w:rPr>
        <w:rFonts w:hint="default"/>
      </w:rPr>
    </w:lvl>
    <w:lvl w:ilvl="5">
      <w:start w:val="0"/>
      <w:numFmt w:val="bullet"/>
      <w:lvlText w:val="•"/>
      <w:lvlJc w:val="left"/>
      <w:pPr>
        <w:ind w:left="2197" w:hanging="270"/>
      </w:pPr>
      <w:rPr>
        <w:rFonts w:hint="default"/>
      </w:rPr>
    </w:lvl>
    <w:lvl w:ilvl="6">
      <w:start w:val="0"/>
      <w:numFmt w:val="bullet"/>
      <w:lvlText w:val="•"/>
      <w:lvlJc w:val="left"/>
      <w:pPr>
        <w:ind w:left="1435" w:hanging="270"/>
      </w:pPr>
      <w:rPr>
        <w:rFonts w:hint="default"/>
      </w:rPr>
    </w:lvl>
    <w:lvl w:ilvl="7">
      <w:start w:val="0"/>
      <w:numFmt w:val="bullet"/>
      <w:lvlText w:val="•"/>
      <w:lvlJc w:val="left"/>
      <w:pPr>
        <w:ind w:left="673" w:hanging="270"/>
      </w:pPr>
      <w:rPr>
        <w:rFonts w:hint="default"/>
      </w:rPr>
    </w:lvl>
    <w:lvl w:ilvl="8">
      <w:start w:val="0"/>
      <w:numFmt w:val="bullet"/>
      <w:lvlText w:val="•"/>
      <w:lvlJc w:val="left"/>
      <w:pPr>
        <w:ind w:left="-89" w:hanging="270"/>
      </w:pPr>
      <w:rPr>
        <w:rFonts w:hint="default"/>
      </w:rPr>
    </w:lvl>
  </w:abstractNum>
  <w:abstractNum w:abstractNumId="14">
    <w:multiLevelType w:val="hybridMultilevel"/>
    <w:lvl w:ilvl="0">
      <w:start w:val="1"/>
      <w:numFmt w:val="lowerLetter"/>
      <w:lvlText w:val="%1)"/>
      <w:lvlJc w:val="left"/>
      <w:pPr>
        <w:ind w:left="1814" w:hanging="681"/>
        <w:jc w:val="left"/>
      </w:pPr>
      <w:rPr>
        <w:rFonts w:hint="default" w:ascii="Calibri" w:hAnsi="Calibri" w:eastAsia="Calibri" w:cs="Calibri"/>
        <w:spacing w:val="-8"/>
        <w:w w:val="113"/>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3">
    <w:multiLevelType w:val="hybridMultilevel"/>
    <w:lvl w:ilvl="0">
      <w:start w:val="4"/>
      <w:numFmt w:val="lowerLetter"/>
      <w:lvlText w:val="%1)"/>
      <w:lvlJc w:val="left"/>
      <w:pPr>
        <w:ind w:left="1814" w:hanging="681"/>
        <w:jc w:val="left"/>
      </w:pPr>
      <w:rPr>
        <w:rFonts w:hint="default" w:ascii="Calibri" w:hAnsi="Calibri" w:eastAsia="Calibri" w:cs="Calibri"/>
        <w:spacing w:val="-4"/>
        <w:w w:val="128"/>
        <w:sz w:val="20"/>
        <w:szCs w:val="20"/>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abstractNum w:abstractNumId="12">
    <w:multiLevelType w:val="hybridMultilevel"/>
    <w:lvl w:ilvl="0">
      <w:start w:val="1"/>
      <w:numFmt w:val="lowerLetter"/>
      <w:lvlText w:val="%1)"/>
      <w:lvlJc w:val="left"/>
      <w:pPr>
        <w:ind w:left="1076" w:hanging="681"/>
        <w:jc w:val="left"/>
      </w:pPr>
      <w:rPr>
        <w:rFonts w:hint="default" w:ascii="Calibri" w:hAnsi="Calibri" w:eastAsia="Calibri" w:cs="Calibri"/>
        <w:spacing w:val="-13"/>
        <w:w w:val="113"/>
        <w:sz w:val="20"/>
        <w:szCs w:val="20"/>
      </w:rPr>
    </w:lvl>
    <w:lvl w:ilvl="1">
      <w:start w:val="0"/>
      <w:numFmt w:val="bullet"/>
      <w:lvlText w:val="•"/>
      <w:lvlJc w:val="left"/>
      <w:pPr>
        <w:ind w:left="1890" w:hanging="681"/>
      </w:pPr>
      <w:rPr>
        <w:rFonts w:hint="default"/>
      </w:rPr>
    </w:lvl>
    <w:lvl w:ilvl="2">
      <w:start w:val="0"/>
      <w:numFmt w:val="bullet"/>
      <w:lvlText w:val="•"/>
      <w:lvlJc w:val="left"/>
      <w:pPr>
        <w:ind w:left="2701" w:hanging="681"/>
      </w:pPr>
      <w:rPr>
        <w:rFonts w:hint="default"/>
      </w:rPr>
    </w:lvl>
    <w:lvl w:ilvl="3">
      <w:start w:val="0"/>
      <w:numFmt w:val="bullet"/>
      <w:lvlText w:val="•"/>
      <w:lvlJc w:val="left"/>
      <w:pPr>
        <w:ind w:left="3511" w:hanging="681"/>
      </w:pPr>
      <w:rPr>
        <w:rFonts w:hint="default"/>
      </w:rPr>
    </w:lvl>
    <w:lvl w:ilvl="4">
      <w:start w:val="0"/>
      <w:numFmt w:val="bullet"/>
      <w:lvlText w:val="•"/>
      <w:lvlJc w:val="left"/>
      <w:pPr>
        <w:ind w:left="4322" w:hanging="681"/>
      </w:pPr>
      <w:rPr>
        <w:rFonts w:hint="default"/>
      </w:rPr>
    </w:lvl>
    <w:lvl w:ilvl="5">
      <w:start w:val="0"/>
      <w:numFmt w:val="bullet"/>
      <w:lvlText w:val="•"/>
      <w:lvlJc w:val="left"/>
      <w:pPr>
        <w:ind w:left="5132" w:hanging="681"/>
      </w:pPr>
      <w:rPr>
        <w:rFonts w:hint="default"/>
      </w:rPr>
    </w:lvl>
    <w:lvl w:ilvl="6">
      <w:start w:val="0"/>
      <w:numFmt w:val="bullet"/>
      <w:lvlText w:val="•"/>
      <w:lvlJc w:val="left"/>
      <w:pPr>
        <w:ind w:left="5943" w:hanging="681"/>
      </w:pPr>
      <w:rPr>
        <w:rFonts w:hint="default"/>
      </w:rPr>
    </w:lvl>
    <w:lvl w:ilvl="7">
      <w:start w:val="0"/>
      <w:numFmt w:val="bullet"/>
      <w:lvlText w:val="•"/>
      <w:lvlJc w:val="left"/>
      <w:pPr>
        <w:ind w:left="6753" w:hanging="681"/>
      </w:pPr>
      <w:rPr>
        <w:rFonts w:hint="default"/>
      </w:rPr>
    </w:lvl>
    <w:lvl w:ilvl="8">
      <w:start w:val="0"/>
      <w:numFmt w:val="bullet"/>
      <w:lvlText w:val="•"/>
      <w:lvlJc w:val="left"/>
      <w:pPr>
        <w:ind w:left="7564" w:hanging="681"/>
      </w:pPr>
      <w:rPr>
        <w:rFonts w:hint="default"/>
      </w:rPr>
    </w:lvl>
  </w:abstractNum>
  <w:abstractNum w:abstractNumId="11">
    <w:multiLevelType w:val="hybridMultilevel"/>
    <w:lvl w:ilvl="0">
      <w:start w:val="12"/>
      <w:numFmt w:val="decimal"/>
      <w:lvlText w:val="%1"/>
      <w:lvlJc w:val="left"/>
      <w:pPr>
        <w:ind w:left="1116" w:hanging="720"/>
        <w:jc w:val="left"/>
      </w:pPr>
      <w:rPr>
        <w:rFonts w:hint="default" w:ascii="Stone Sans II ITC Std Bk" w:hAnsi="Stone Sans II ITC Std Bk" w:eastAsia="Stone Sans II ITC Std Bk" w:cs="Stone Sans II ITC Std Bk"/>
        <w:b/>
        <w:bCs/>
        <w:spacing w:val="-19"/>
        <w:w w:val="114"/>
        <w:sz w:val="21"/>
        <w:szCs w:val="21"/>
      </w:rPr>
    </w:lvl>
    <w:lvl w:ilvl="1">
      <w:start w:val="1"/>
      <w:numFmt w:val="decimal"/>
      <w:lvlText w:val="%1.%2"/>
      <w:lvlJc w:val="left"/>
      <w:pPr>
        <w:ind w:left="396" w:hanging="681"/>
        <w:jc w:val="left"/>
      </w:pPr>
      <w:rPr>
        <w:rFonts w:hint="default" w:ascii="Calibri" w:hAnsi="Calibri" w:eastAsia="Calibri" w:cs="Calibri"/>
        <w:spacing w:val="-18"/>
        <w:w w:val="125"/>
        <w:sz w:val="20"/>
        <w:szCs w:val="20"/>
      </w:rPr>
    </w:lvl>
    <w:lvl w:ilvl="2">
      <w:start w:val="0"/>
      <w:numFmt w:val="bullet"/>
      <w:lvlText w:val="•"/>
      <w:lvlJc w:val="left"/>
      <w:pPr>
        <w:ind w:left="2016" w:hanging="681"/>
      </w:pPr>
      <w:rPr>
        <w:rFonts w:hint="default"/>
      </w:rPr>
    </w:lvl>
    <w:lvl w:ilvl="3">
      <w:start w:val="0"/>
      <w:numFmt w:val="bullet"/>
      <w:lvlText w:val="•"/>
      <w:lvlJc w:val="left"/>
      <w:pPr>
        <w:ind w:left="2912" w:hanging="681"/>
      </w:pPr>
      <w:rPr>
        <w:rFonts w:hint="default"/>
      </w:rPr>
    </w:lvl>
    <w:lvl w:ilvl="4">
      <w:start w:val="0"/>
      <w:numFmt w:val="bullet"/>
      <w:lvlText w:val="•"/>
      <w:lvlJc w:val="left"/>
      <w:pPr>
        <w:ind w:left="3808" w:hanging="681"/>
      </w:pPr>
      <w:rPr>
        <w:rFonts w:hint="default"/>
      </w:rPr>
    </w:lvl>
    <w:lvl w:ilvl="5">
      <w:start w:val="0"/>
      <w:numFmt w:val="bullet"/>
      <w:lvlText w:val="•"/>
      <w:lvlJc w:val="left"/>
      <w:pPr>
        <w:ind w:left="4704" w:hanging="681"/>
      </w:pPr>
      <w:rPr>
        <w:rFonts w:hint="default"/>
      </w:rPr>
    </w:lvl>
    <w:lvl w:ilvl="6">
      <w:start w:val="0"/>
      <w:numFmt w:val="bullet"/>
      <w:lvlText w:val="•"/>
      <w:lvlJc w:val="left"/>
      <w:pPr>
        <w:ind w:left="5600" w:hanging="681"/>
      </w:pPr>
      <w:rPr>
        <w:rFonts w:hint="default"/>
      </w:rPr>
    </w:lvl>
    <w:lvl w:ilvl="7">
      <w:start w:val="0"/>
      <w:numFmt w:val="bullet"/>
      <w:lvlText w:val="•"/>
      <w:lvlJc w:val="left"/>
      <w:pPr>
        <w:ind w:left="6496" w:hanging="681"/>
      </w:pPr>
      <w:rPr>
        <w:rFonts w:hint="default"/>
      </w:rPr>
    </w:lvl>
    <w:lvl w:ilvl="8">
      <w:start w:val="0"/>
      <w:numFmt w:val="bullet"/>
      <w:lvlText w:val="•"/>
      <w:lvlJc w:val="left"/>
      <w:pPr>
        <w:ind w:left="7392" w:hanging="681"/>
      </w:pPr>
      <w:rPr>
        <w:rFonts w:hint="default"/>
      </w:rPr>
    </w:lvl>
  </w:abstractNum>
  <w:abstractNum w:abstractNumId="10">
    <w:multiLevelType w:val="hybridMultilevel"/>
    <w:lvl w:ilvl="0">
      <w:start w:val="1"/>
      <w:numFmt w:val="lowerLetter"/>
      <w:lvlText w:val="%1)"/>
      <w:lvlJc w:val="left"/>
      <w:pPr>
        <w:ind w:left="1445" w:hanging="341"/>
        <w:jc w:val="left"/>
      </w:pPr>
      <w:rPr>
        <w:rFonts w:hint="default" w:ascii="Calibri" w:hAnsi="Calibri" w:eastAsia="Calibri" w:cs="Calibri"/>
        <w:spacing w:val="-8"/>
        <w:w w:val="113"/>
        <w:sz w:val="20"/>
        <w:szCs w:val="20"/>
      </w:rPr>
    </w:lvl>
    <w:lvl w:ilvl="1">
      <w:start w:val="0"/>
      <w:numFmt w:val="bullet"/>
      <w:lvlText w:val="•"/>
      <w:lvlJc w:val="left"/>
      <w:pPr>
        <w:ind w:left="2251" w:hanging="341"/>
      </w:pPr>
      <w:rPr>
        <w:rFonts w:hint="default"/>
      </w:rPr>
    </w:lvl>
    <w:lvl w:ilvl="2">
      <w:start w:val="0"/>
      <w:numFmt w:val="bullet"/>
      <w:lvlText w:val="•"/>
      <w:lvlJc w:val="left"/>
      <w:pPr>
        <w:ind w:left="3062" w:hanging="341"/>
      </w:pPr>
      <w:rPr>
        <w:rFonts w:hint="default"/>
      </w:rPr>
    </w:lvl>
    <w:lvl w:ilvl="3">
      <w:start w:val="0"/>
      <w:numFmt w:val="bullet"/>
      <w:lvlText w:val="•"/>
      <w:lvlJc w:val="left"/>
      <w:pPr>
        <w:ind w:left="3874" w:hanging="341"/>
      </w:pPr>
      <w:rPr>
        <w:rFonts w:hint="default"/>
      </w:rPr>
    </w:lvl>
    <w:lvl w:ilvl="4">
      <w:start w:val="0"/>
      <w:numFmt w:val="bullet"/>
      <w:lvlText w:val="•"/>
      <w:lvlJc w:val="left"/>
      <w:pPr>
        <w:ind w:left="4685" w:hanging="341"/>
      </w:pPr>
      <w:rPr>
        <w:rFonts w:hint="default"/>
      </w:rPr>
    </w:lvl>
    <w:lvl w:ilvl="5">
      <w:start w:val="0"/>
      <w:numFmt w:val="bullet"/>
      <w:lvlText w:val="•"/>
      <w:lvlJc w:val="left"/>
      <w:pPr>
        <w:ind w:left="5497" w:hanging="341"/>
      </w:pPr>
      <w:rPr>
        <w:rFonts w:hint="default"/>
      </w:rPr>
    </w:lvl>
    <w:lvl w:ilvl="6">
      <w:start w:val="0"/>
      <w:numFmt w:val="bullet"/>
      <w:lvlText w:val="•"/>
      <w:lvlJc w:val="left"/>
      <w:pPr>
        <w:ind w:left="6308" w:hanging="341"/>
      </w:pPr>
      <w:rPr>
        <w:rFonts w:hint="default"/>
      </w:rPr>
    </w:lvl>
    <w:lvl w:ilvl="7">
      <w:start w:val="0"/>
      <w:numFmt w:val="bullet"/>
      <w:lvlText w:val="•"/>
      <w:lvlJc w:val="left"/>
      <w:pPr>
        <w:ind w:left="7119" w:hanging="341"/>
      </w:pPr>
      <w:rPr>
        <w:rFonts w:hint="default"/>
      </w:rPr>
    </w:lvl>
    <w:lvl w:ilvl="8">
      <w:start w:val="0"/>
      <w:numFmt w:val="bullet"/>
      <w:lvlText w:val="•"/>
      <w:lvlJc w:val="left"/>
      <w:pPr>
        <w:ind w:left="7931" w:hanging="341"/>
      </w:pPr>
      <w:rPr>
        <w:rFonts w:hint="default"/>
      </w:rPr>
    </w:lvl>
  </w:abstractNum>
  <w:abstractNum w:abstractNumId="9">
    <w:multiLevelType w:val="hybridMultilevel"/>
    <w:lvl w:ilvl="0">
      <w:start w:val="11"/>
      <w:numFmt w:val="decimal"/>
      <w:lvlText w:val="%1"/>
      <w:lvlJc w:val="left"/>
      <w:pPr>
        <w:ind w:left="1076" w:hanging="681"/>
        <w:jc w:val="left"/>
      </w:pPr>
      <w:rPr>
        <w:rFonts w:hint="default"/>
      </w:rPr>
    </w:lvl>
    <w:lvl w:ilvl="1">
      <w:start w:val="3"/>
      <w:numFmt w:val="decimal"/>
      <w:lvlText w:val="%1.%2"/>
      <w:lvlJc w:val="left"/>
      <w:pPr>
        <w:ind w:left="1076" w:hanging="681"/>
        <w:jc w:val="left"/>
      </w:pPr>
      <w:rPr>
        <w:rFonts w:hint="default" w:ascii="Calibri" w:hAnsi="Calibri" w:eastAsia="Calibri" w:cs="Calibri"/>
        <w:spacing w:val="-22"/>
        <w:w w:val="125"/>
        <w:sz w:val="20"/>
        <w:szCs w:val="20"/>
      </w:rPr>
    </w:lvl>
    <w:lvl w:ilvl="2">
      <w:start w:val="0"/>
      <w:numFmt w:val="bullet"/>
      <w:lvlText w:val="•"/>
      <w:lvlJc w:val="left"/>
      <w:pPr>
        <w:ind w:left="2701" w:hanging="681"/>
      </w:pPr>
      <w:rPr>
        <w:rFonts w:hint="default"/>
      </w:rPr>
    </w:lvl>
    <w:lvl w:ilvl="3">
      <w:start w:val="0"/>
      <w:numFmt w:val="bullet"/>
      <w:lvlText w:val="•"/>
      <w:lvlJc w:val="left"/>
      <w:pPr>
        <w:ind w:left="3511" w:hanging="681"/>
      </w:pPr>
      <w:rPr>
        <w:rFonts w:hint="default"/>
      </w:rPr>
    </w:lvl>
    <w:lvl w:ilvl="4">
      <w:start w:val="0"/>
      <w:numFmt w:val="bullet"/>
      <w:lvlText w:val="•"/>
      <w:lvlJc w:val="left"/>
      <w:pPr>
        <w:ind w:left="4322" w:hanging="681"/>
      </w:pPr>
      <w:rPr>
        <w:rFonts w:hint="default"/>
      </w:rPr>
    </w:lvl>
    <w:lvl w:ilvl="5">
      <w:start w:val="0"/>
      <w:numFmt w:val="bullet"/>
      <w:lvlText w:val="•"/>
      <w:lvlJc w:val="left"/>
      <w:pPr>
        <w:ind w:left="5132" w:hanging="681"/>
      </w:pPr>
      <w:rPr>
        <w:rFonts w:hint="default"/>
      </w:rPr>
    </w:lvl>
    <w:lvl w:ilvl="6">
      <w:start w:val="0"/>
      <w:numFmt w:val="bullet"/>
      <w:lvlText w:val="•"/>
      <w:lvlJc w:val="left"/>
      <w:pPr>
        <w:ind w:left="5943" w:hanging="681"/>
      </w:pPr>
      <w:rPr>
        <w:rFonts w:hint="default"/>
      </w:rPr>
    </w:lvl>
    <w:lvl w:ilvl="7">
      <w:start w:val="0"/>
      <w:numFmt w:val="bullet"/>
      <w:lvlText w:val="•"/>
      <w:lvlJc w:val="left"/>
      <w:pPr>
        <w:ind w:left="6753" w:hanging="681"/>
      </w:pPr>
      <w:rPr>
        <w:rFonts w:hint="default"/>
      </w:rPr>
    </w:lvl>
    <w:lvl w:ilvl="8">
      <w:start w:val="0"/>
      <w:numFmt w:val="bullet"/>
      <w:lvlText w:val="•"/>
      <w:lvlJc w:val="left"/>
      <w:pPr>
        <w:ind w:left="7564" w:hanging="681"/>
      </w:pPr>
      <w:rPr>
        <w:rFonts w:hint="default"/>
      </w:rPr>
    </w:lvl>
  </w:abstractNum>
  <w:abstractNum w:abstractNumId="8">
    <w:multiLevelType w:val="hybridMultilevel"/>
    <w:lvl w:ilvl="0">
      <w:start w:val="11"/>
      <w:numFmt w:val="decimal"/>
      <w:lvlText w:val="%1"/>
      <w:lvlJc w:val="left"/>
      <w:pPr>
        <w:ind w:left="1853" w:hanging="720"/>
        <w:jc w:val="left"/>
      </w:pPr>
      <w:rPr>
        <w:rFonts w:hint="default" w:ascii="Stone Sans II ITC Std Bk" w:hAnsi="Stone Sans II ITC Std Bk" w:eastAsia="Stone Sans II ITC Std Bk" w:cs="Stone Sans II ITC Std Bk"/>
        <w:b/>
        <w:bCs/>
        <w:spacing w:val="-25"/>
        <w:w w:val="114"/>
        <w:sz w:val="21"/>
        <w:szCs w:val="21"/>
      </w:rPr>
    </w:lvl>
    <w:lvl w:ilvl="1">
      <w:start w:val="1"/>
      <w:numFmt w:val="decimal"/>
      <w:lvlText w:val="%1.%2"/>
      <w:lvlJc w:val="left"/>
      <w:pPr>
        <w:ind w:left="1134" w:hanging="681"/>
        <w:jc w:val="left"/>
      </w:pPr>
      <w:rPr>
        <w:rFonts w:hint="default" w:ascii="Calibri" w:hAnsi="Calibri" w:eastAsia="Calibri" w:cs="Calibri"/>
        <w:spacing w:val="-20"/>
        <w:w w:val="125"/>
        <w:sz w:val="20"/>
        <w:szCs w:val="20"/>
      </w:rPr>
    </w:lvl>
    <w:lvl w:ilvl="2">
      <w:start w:val="0"/>
      <w:numFmt w:val="bullet"/>
      <w:lvlText w:val=""/>
      <w:lvlJc w:val="left"/>
      <w:pPr>
        <w:ind w:left="2607" w:hanging="794"/>
      </w:pPr>
      <w:rPr>
        <w:rFonts w:hint="default" w:ascii="Wingdings" w:hAnsi="Wingdings" w:eastAsia="Wingdings" w:cs="Wingdings"/>
        <w:w w:val="110"/>
        <w:position w:val="-3"/>
        <w:sz w:val="29"/>
        <w:szCs w:val="29"/>
      </w:rPr>
    </w:lvl>
    <w:lvl w:ilvl="3">
      <w:start w:val="0"/>
      <w:numFmt w:val="bullet"/>
      <w:lvlText w:val="•"/>
      <w:lvlJc w:val="left"/>
      <w:pPr>
        <w:ind w:left="3763" w:hanging="794"/>
      </w:pPr>
      <w:rPr>
        <w:rFonts w:hint="default"/>
      </w:rPr>
    </w:lvl>
    <w:lvl w:ilvl="4">
      <w:start w:val="0"/>
      <w:numFmt w:val="bullet"/>
      <w:lvlText w:val="•"/>
      <w:lvlJc w:val="left"/>
      <w:pPr>
        <w:ind w:left="4926" w:hanging="794"/>
      </w:pPr>
      <w:rPr>
        <w:rFonts w:hint="default"/>
      </w:rPr>
    </w:lvl>
    <w:lvl w:ilvl="5">
      <w:start w:val="0"/>
      <w:numFmt w:val="bullet"/>
      <w:lvlText w:val="•"/>
      <w:lvlJc w:val="left"/>
      <w:pPr>
        <w:ind w:left="6089" w:hanging="794"/>
      </w:pPr>
      <w:rPr>
        <w:rFonts w:hint="default"/>
      </w:rPr>
    </w:lvl>
    <w:lvl w:ilvl="6">
      <w:start w:val="0"/>
      <w:numFmt w:val="bullet"/>
      <w:lvlText w:val="•"/>
      <w:lvlJc w:val="left"/>
      <w:pPr>
        <w:ind w:left="7252" w:hanging="794"/>
      </w:pPr>
      <w:rPr>
        <w:rFonts w:hint="default"/>
      </w:rPr>
    </w:lvl>
    <w:lvl w:ilvl="7">
      <w:start w:val="0"/>
      <w:numFmt w:val="bullet"/>
      <w:lvlText w:val="•"/>
      <w:lvlJc w:val="left"/>
      <w:pPr>
        <w:ind w:left="8415" w:hanging="794"/>
      </w:pPr>
      <w:rPr>
        <w:rFonts w:hint="default"/>
      </w:rPr>
    </w:lvl>
    <w:lvl w:ilvl="8">
      <w:start w:val="0"/>
      <w:numFmt w:val="bullet"/>
      <w:lvlText w:val="•"/>
      <w:lvlJc w:val="left"/>
      <w:pPr>
        <w:ind w:left="9579" w:hanging="794"/>
      </w:pPr>
      <w:rPr>
        <w:rFonts w:hint="default"/>
      </w:rPr>
    </w:lvl>
  </w:abstractNum>
  <w:abstractNum w:abstractNumId="7">
    <w:multiLevelType w:val="hybridMultilevel"/>
    <w:lvl w:ilvl="0">
      <w:start w:val="10"/>
      <w:numFmt w:val="decimal"/>
      <w:lvlText w:val="%1"/>
      <w:lvlJc w:val="left"/>
      <w:pPr>
        <w:ind w:left="1133" w:hanging="681"/>
        <w:jc w:val="left"/>
      </w:pPr>
      <w:rPr>
        <w:rFonts w:hint="default"/>
      </w:rPr>
    </w:lvl>
    <w:lvl w:ilvl="1">
      <w:start w:val="5"/>
      <w:numFmt w:val="decimal"/>
      <w:lvlText w:val="%1.%2"/>
      <w:lvlJc w:val="left"/>
      <w:pPr>
        <w:ind w:left="1133" w:hanging="681"/>
        <w:jc w:val="left"/>
      </w:pPr>
      <w:rPr>
        <w:rFonts w:hint="default" w:ascii="Calibri" w:hAnsi="Calibri" w:eastAsia="Calibri" w:cs="Calibri"/>
        <w:spacing w:val="-11"/>
        <w:w w:val="125"/>
        <w:sz w:val="20"/>
        <w:szCs w:val="20"/>
      </w:rPr>
    </w:lvl>
    <w:lvl w:ilvl="2">
      <w:start w:val="1"/>
      <w:numFmt w:val="lowerLetter"/>
      <w:lvlText w:val="%3)"/>
      <w:lvlJc w:val="left"/>
      <w:pPr>
        <w:ind w:left="1814" w:hanging="341"/>
        <w:jc w:val="left"/>
      </w:pPr>
      <w:rPr>
        <w:rFonts w:hint="default" w:ascii="Calibri" w:hAnsi="Calibri" w:eastAsia="Calibri" w:cs="Calibri"/>
        <w:spacing w:val="-8"/>
        <w:w w:val="113"/>
        <w:sz w:val="20"/>
        <w:szCs w:val="20"/>
      </w:rPr>
    </w:lvl>
    <w:lvl w:ilvl="3">
      <w:start w:val="0"/>
      <w:numFmt w:val="bullet"/>
      <w:lvlText w:val="•"/>
      <w:lvlJc w:val="left"/>
      <w:pPr>
        <w:ind w:left="4061" w:hanging="341"/>
      </w:pPr>
      <w:rPr>
        <w:rFonts w:hint="default"/>
      </w:rPr>
    </w:lvl>
    <w:lvl w:ilvl="4">
      <w:start w:val="0"/>
      <w:numFmt w:val="bullet"/>
      <w:lvlText w:val="•"/>
      <w:lvlJc w:val="left"/>
      <w:pPr>
        <w:ind w:left="5181" w:hanging="341"/>
      </w:pPr>
      <w:rPr>
        <w:rFonts w:hint="default"/>
      </w:rPr>
    </w:lvl>
    <w:lvl w:ilvl="5">
      <w:start w:val="0"/>
      <w:numFmt w:val="bullet"/>
      <w:lvlText w:val="•"/>
      <w:lvlJc w:val="left"/>
      <w:pPr>
        <w:ind w:left="6302" w:hanging="341"/>
      </w:pPr>
      <w:rPr>
        <w:rFonts w:hint="default"/>
      </w:rPr>
    </w:lvl>
    <w:lvl w:ilvl="6">
      <w:start w:val="0"/>
      <w:numFmt w:val="bullet"/>
      <w:lvlText w:val="•"/>
      <w:lvlJc w:val="left"/>
      <w:pPr>
        <w:ind w:left="7423" w:hanging="341"/>
      </w:pPr>
      <w:rPr>
        <w:rFonts w:hint="default"/>
      </w:rPr>
    </w:lvl>
    <w:lvl w:ilvl="7">
      <w:start w:val="0"/>
      <w:numFmt w:val="bullet"/>
      <w:lvlText w:val="•"/>
      <w:lvlJc w:val="left"/>
      <w:pPr>
        <w:ind w:left="8543" w:hanging="341"/>
      </w:pPr>
      <w:rPr>
        <w:rFonts w:hint="default"/>
      </w:rPr>
    </w:lvl>
    <w:lvl w:ilvl="8">
      <w:start w:val="0"/>
      <w:numFmt w:val="bullet"/>
      <w:lvlText w:val="•"/>
      <w:lvlJc w:val="left"/>
      <w:pPr>
        <w:ind w:left="9664" w:hanging="341"/>
      </w:pPr>
      <w:rPr>
        <w:rFonts w:hint="default"/>
      </w:rPr>
    </w:lvl>
  </w:abstractNum>
  <w:abstractNum w:abstractNumId="6">
    <w:multiLevelType w:val="hybridMultilevel"/>
    <w:lvl w:ilvl="0">
      <w:start w:val="10"/>
      <w:numFmt w:val="decimal"/>
      <w:lvlText w:val="%1"/>
      <w:lvlJc w:val="left"/>
      <w:pPr>
        <w:ind w:left="1116" w:hanging="720"/>
        <w:jc w:val="left"/>
      </w:pPr>
      <w:rPr>
        <w:rFonts w:hint="default" w:ascii="Stone Sans II ITC Std Bk" w:hAnsi="Stone Sans II ITC Std Bk" w:eastAsia="Stone Sans II ITC Std Bk" w:cs="Stone Sans II ITC Std Bk"/>
        <w:b/>
        <w:bCs/>
        <w:spacing w:val="-12"/>
        <w:w w:val="114"/>
        <w:sz w:val="21"/>
        <w:szCs w:val="21"/>
      </w:rPr>
    </w:lvl>
    <w:lvl w:ilvl="1">
      <w:start w:val="1"/>
      <w:numFmt w:val="decimal"/>
      <w:lvlText w:val="%1.%2"/>
      <w:lvlJc w:val="left"/>
      <w:pPr>
        <w:ind w:left="396" w:hanging="681"/>
        <w:jc w:val="left"/>
      </w:pPr>
      <w:rPr>
        <w:rFonts w:hint="default" w:ascii="Calibri" w:hAnsi="Calibri" w:eastAsia="Calibri" w:cs="Calibri"/>
        <w:spacing w:val="-18"/>
        <w:w w:val="125"/>
        <w:sz w:val="20"/>
        <w:szCs w:val="20"/>
      </w:rPr>
    </w:lvl>
    <w:lvl w:ilvl="2">
      <w:start w:val="0"/>
      <w:numFmt w:val="bullet"/>
      <w:lvlText w:val="•"/>
      <w:lvlJc w:val="left"/>
      <w:pPr>
        <w:ind w:left="2016" w:hanging="681"/>
      </w:pPr>
      <w:rPr>
        <w:rFonts w:hint="default"/>
      </w:rPr>
    </w:lvl>
    <w:lvl w:ilvl="3">
      <w:start w:val="0"/>
      <w:numFmt w:val="bullet"/>
      <w:lvlText w:val="•"/>
      <w:lvlJc w:val="left"/>
      <w:pPr>
        <w:ind w:left="2912" w:hanging="681"/>
      </w:pPr>
      <w:rPr>
        <w:rFonts w:hint="default"/>
      </w:rPr>
    </w:lvl>
    <w:lvl w:ilvl="4">
      <w:start w:val="0"/>
      <w:numFmt w:val="bullet"/>
      <w:lvlText w:val="•"/>
      <w:lvlJc w:val="left"/>
      <w:pPr>
        <w:ind w:left="3808" w:hanging="681"/>
      </w:pPr>
      <w:rPr>
        <w:rFonts w:hint="default"/>
      </w:rPr>
    </w:lvl>
    <w:lvl w:ilvl="5">
      <w:start w:val="0"/>
      <w:numFmt w:val="bullet"/>
      <w:lvlText w:val="•"/>
      <w:lvlJc w:val="left"/>
      <w:pPr>
        <w:ind w:left="4704" w:hanging="681"/>
      </w:pPr>
      <w:rPr>
        <w:rFonts w:hint="default"/>
      </w:rPr>
    </w:lvl>
    <w:lvl w:ilvl="6">
      <w:start w:val="0"/>
      <w:numFmt w:val="bullet"/>
      <w:lvlText w:val="•"/>
      <w:lvlJc w:val="left"/>
      <w:pPr>
        <w:ind w:left="5600" w:hanging="681"/>
      </w:pPr>
      <w:rPr>
        <w:rFonts w:hint="default"/>
      </w:rPr>
    </w:lvl>
    <w:lvl w:ilvl="7">
      <w:start w:val="0"/>
      <w:numFmt w:val="bullet"/>
      <w:lvlText w:val="•"/>
      <w:lvlJc w:val="left"/>
      <w:pPr>
        <w:ind w:left="6496" w:hanging="681"/>
      </w:pPr>
      <w:rPr>
        <w:rFonts w:hint="default"/>
      </w:rPr>
    </w:lvl>
    <w:lvl w:ilvl="8">
      <w:start w:val="0"/>
      <w:numFmt w:val="bullet"/>
      <w:lvlText w:val="•"/>
      <w:lvlJc w:val="left"/>
      <w:pPr>
        <w:ind w:left="7392" w:hanging="681"/>
      </w:pPr>
      <w:rPr>
        <w:rFonts w:hint="default"/>
      </w:rPr>
    </w:lvl>
  </w:abstractNum>
  <w:abstractNum w:abstractNumId="5">
    <w:multiLevelType w:val="hybridMultilevel"/>
    <w:lvl w:ilvl="0">
      <w:start w:val="1"/>
      <w:numFmt w:val="lowerLetter"/>
      <w:lvlText w:val="%1)"/>
      <w:lvlJc w:val="left"/>
      <w:pPr>
        <w:ind w:left="1445" w:hanging="341"/>
        <w:jc w:val="left"/>
      </w:pPr>
      <w:rPr>
        <w:rFonts w:hint="default" w:ascii="Calibri" w:hAnsi="Calibri" w:eastAsia="Calibri" w:cs="Calibri"/>
        <w:spacing w:val="-8"/>
        <w:w w:val="113"/>
        <w:sz w:val="20"/>
        <w:szCs w:val="20"/>
      </w:rPr>
    </w:lvl>
    <w:lvl w:ilvl="1">
      <w:start w:val="0"/>
      <w:numFmt w:val="bullet"/>
      <w:lvlText w:val="•"/>
      <w:lvlJc w:val="left"/>
      <w:pPr>
        <w:ind w:left="2251" w:hanging="341"/>
      </w:pPr>
      <w:rPr>
        <w:rFonts w:hint="default"/>
      </w:rPr>
    </w:lvl>
    <w:lvl w:ilvl="2">
      <w:start w:val="0"/>
      <w:numFmt w:val="bullet"/>
      <w:lvlText w:val="•"/>
      <w:lvlJc w:val="left"/>
      <w:pPr>
        <w:ind w:left="3062" w:hanging="341"/>
      </w:pPr>
      <w:rPr>
        <w:rFonts w:hint="default"/>
      </w:rPr>
    </w:lvl>
    <w:lvl w:ilvl="3">
      <w:start w:val="0"/>
      <w:numFmt w:val="bullet"/>
      <w:lvlText w:val="•"/>
      <w:lvlJc w:val="left"/>
      <w:pPr>
        <w:ind w:left="3874" w:hanging="341"/>
      </w:pPr>
      <w:rPr>
        <w:rFonts w:hint="default"/>
      </w:rPr>
    </w:lvl>
    <w:lvl w:ilvl="4">
      <w:start w:val="0"/>
      <w:numFmt w:val="bullet"/>
      <w:lvlText w:val="•"/>
      <w:lvlJc w:val="left"/>
      <w:pPr>
        <w:ind w:left="4685" w:hanging="341"/>
      </w:pPr>
      <w:rPr>
        <w:rFonts w:hint="default"/>
      </w:rPr>
    </w:lvl>
    <w:lvl w:ilvl="5">
      <w:start w:val="0"/>
      <w:numFmt w:val="bullet"/>
      <w:lvlText w:val="•"/>
      <w:lvlJc w:val="left"/>
      <w:pPr>
        <w:ind w:left="5497" w:hanging="341"/>
      </w:pPr>
      <w:rPr>
        <w:rFonts w:hint="default"/>
      </w:rPr>
    </w:lvl>
    <w:lvl w:ilvl="6">
      <w:start w:val="0"/>
      <w:numFmt w:val="bullet"/>
      <w:lvlText w:val="•"/>
      <w:lvlJc w:val="left"/>
      <w:pPr>
        <w:ind w:left="6308" w:hanging="341"/>
      </w:pPr>
      <w:rPr>
        <w:rFonts w:hint="default"/>
      </w:rPr>
    </w:lvl>
    <w:lvl w:ilvl="7">
      <w:start w:val="0"/>
      <w:numFmt w:val="bullet"/>
      <w:lvlText w:val="•"/>
      <w:lvlJc w:val="left"/>
      <w:pPr>
        <w:ind w:left="7119" w:hanging="341"/>
      </w:pPr>
      <w:rPr>
        <w:rFonts w:hint="default"/>
      </w:rPr>
    </w:lvl>
    <w:lvl w:ilvl="8">
      <w:start w:val="0"/>
      <w:numFmt w:val="bullet"/>
      <w:lvlText w:val="•"/>
      <w:lvlJc w:val="left"/>
      <w:pPr>
        <w:ind w:left="7931" w:hanging="341"/>
      </w:pPr>
      <w:rPr>
        <w:rFonts w:hint="default"/>
      </w:rPr>
    </w:lvl>
  </w:abstractNum>
  <w:abstractNum w:abstractNumId="4">
    <w:multiLevelType w:val="hybridMultilevel"/>
    <w:lvl w:ilvl="0">
      <w:start w:val="9"/>
      <w:numFmt w:val="decimal"/>
      <w:lvlText w:val="%1"/>
      <w:lvlJc w:val="left"/>
      <w:pPr>
        <w:ind w:left="1076" w:hanging="681"/>
        <w:jc w:val="left"/>
      </w:pPr>
      <w:rPr>
        <w:rFonts w:hint="default"/>
      </w:rPr>
    </w:lvl>
    <w:lvl w:ilvl="1">
      <w:start w:val="2"/>
      <w:numFmt w:val="decimal"/>
      <w:lvlText w:val="%1.%2"/>
      <w:lvlJc w:val="left"/>
      <w:pPr>
        <w:ind w:left="1076" w:hanging="681"/>
        <w:jc w:val="left"/>
      </w:pPr>
      <w:rPr>
        <w:rFonts w:hint="default" w:ascii="Calibri" w:hAnsi="Calibri" w:eastAsia="Calibri" w:cs="Calibri"/>
        <w:spacing w:val="-17"/>
        <w:w w:val="125"/>
        <w:sz w:val="20"/>
        <w:szCs w:val="20"/>
      </w:rPr>
    </w:lvl>
    <w:lvl w:ilvl="2">
      <w:start w:val="0"/>
      <w:numFmt w:val="bullet"/>
      <w:lvlText w:val="•"/>
      <w:lvlJc w:val="left"/>
      <w:pPr>
        <w:ind w:left="2701" w:hanging="681"/>
      </w:pPr>
      <w:rPr>
        <w:rFonts w:hint="default"/>
      </w:rPr>
    </w:lvl>
    <w:lvl w:ilvl="3">
      <w:start w:val="0"/>
      <w:numFmt w:val="bullet"/>
      <w:lvlText w:val="•"/>
      <w:lvlJc w:val="left"/>
      <w:pPr>
        <w:ind w:left="3511" w:hanging="681"/>
      </w:pPr>
      <w:rPr>
        <w:rFonts w:hint="default"/>
      </w:rPr>
    </w:lvl>
    <w:lvl w:ilvl="4">
      <w:start w:val="0"/>
      <w:numFmt w:val="bullet"/>
      <w:lvlText w:val="•"/>
      <w:lvlJc w:val="left"/>
      <w:pPr>
        <w:ind w:left="4322" w:hanging="681"/>
      </w:pPr>
      <w:rPr>
        <w:rFonts w:hint="default"/>
      </w:rPr>
    </w:lvl>
    <w:lvl w:ilvl="5">
      <w:start w:val="0"/>
      <w:numFmt w:val="bullet"/>
      <w:lvlText w:val="•"/>
      <w:lvlJc w:val="left"/>
      <w:pPr>
        <w:ind w:left="5132" w:hanging="681"/>
      </w:pPr>
      <w:rPr>
        <w:rFonts w:hint="default"/>
      </w:rPr>
    </w:lvl>
    <w:lvl w:ilvl="6">
      <w:start w:val="0"/>
      <w:numFmt w:val="bullet"/>
      <w:lvlText w:val="•"/>
      <w:lvlJc w:val="left"/>
      <w:pPr>
        <w:ind w:left="5943" w:hanging="681"/>
      </w:pPr>
      <w:rPr>
        <w:rFonts w:hint="default"/>
      </w:rPr>
    </w:lvl>
    <w:lvl w:ilvl="7">
      <w:start w:val="0"/>
      <w:numFmt w:val="bullet"/>
      <w:lvlText w:val="•"/>
      <w:lvlJc w:val="left"/>
      <w:pPr>
        <w:ind w:left="6753" w:hanging="681"/>
      </w:pPr>
      <w:rPr>
        <w:rFonts w:hint="default"/>
      </w:rPr>
    </w:lvl>
    <w:lvl w:ilvl="8">
      <w:start w:val="0"/>
      <w:numFmt w:val="bullet"/>
      <w:lvlText w:val="•"/>
      <w:lvlJc w:val="left"/>
      <w:pPr>
        <w:ind w:left="7564" w:hanging="681"/>
      </w:pPr>
      <w:rPr>
        <w:rFonts w:hint="default"/>
      </w:rPr>
    </w:lvl>
  </w:abstractNum>
  <w:abstractNum w:abstractNumId="3">
    <w:multiLevelType w:val="hybridMultilevel"/>
    <w:lvl w:ilvl="0">
      <w:start w:val="1"/>
      <w:numFmt w:val="lowerLetter"/>
      <w:lvlText w:val="%1)"/>
      <w:lvlJc w:val="left"/>
      <w:pPr>
        <w:ind w:left="1814" w:hanging="341"/>
        <w:jc w:val="left"/>
      </w:pPr>
      <w:rPr>
        <w:rFonts w:hint="default" w:ascii="Calibri" w:hAnsi="Calibri" w:eastAsia="Calibri" w:cs="Calibri"/>
        <w:spacing w:val="-8"/>
        <w:w w:val="113"/>
        <w:sz w:val="20"/>
        <w:szCs w:val="20"/>
      </w:rPr>
    </w:lvl>
    <w:lvl w:ilvl="1">
      <w:start w:val="0"/>
      <w:numFmt w:val="bullet"/>
      <w:lvlText w:val="•"/>
      <w:lvlJc w:val="left"/>
      <w:pPr>
        <w:ind w:left="2828" w:hanging="341"/>
      </w:pPr>
      <w:rPr>
        <w:rFonts w:hint="default"/>
      </w:rPr>
    </w:lvl>
    <w:lvl w:ilvl="2">
      <w:start w:val="0"/>
      <w:numFmt w:val="bullet"/>
      <w:lvlText w:val="•"/>
      <w:lvlJc w:val="left"/>
      <w:pPr>
        <w:ind w:left="3837" w:hanging="341"/>
      </w:pPr>
      <w:rPr>
        <w:rFonts w:hint="default"/>
      </w:rPr>
    </w:lvl>
    <w:lvl w:ilvl="3">
      <w:start w:val="0"/>
      <w:numFmt w:val="bullet"/>
      <w:lvlText w:val="•"/>
      <w:lvlJc w:val="left"/>
      <w:pPr>
        <w:ind w:left="4845" w:hanging="341"/>
      </w:pPr>
      <w:rPr>
        <w:rFonts w:hint="default"/>
      </w:rPr>
    </w:lvl>
    <w:lvl w:ilvl="4">
      <w:start w:val="0"/>
      <w:numFmt w:val="bullet"/>
      <w:lvlText w:val="•"/>
      <w:lvlJc w:val="left"/>
      <w:pPr>
        <w:ind w:left="5854" w:hanging="341"/>
      </w:pPr>
      <w:rPr>
        <w:rFonts w:hint="default"/>
      </w:rPr>
    </w:lvl>
    <w:lvl w:ilvl="5">
      <w:start w:val="0"/>
      <w:numFmt w:val="bullet"/>
      <w:lvlText w:val="•"/>
      <w:lvlJc w:val="left"/>
      <w:pPr>
        <w:ind w:left="6862" w:hanging="341"/>
      </w:pPr>
      <w:rPr>
        <w:rFonts w:hint="default"/>
      </w:rPr>
    </w:lvl>
    <w:lvl w:ilvl="6">
      <w:start w:val="0"/>
      <w:numFmt w:val="bullet"/>
      <w:lvlText w:val="•"/>
      <w:lvlJc w:val="left"/>
      <w:pPr>
        <w:ind w:left="7871" w:hanging="341"/>
      </w:pPr>
      <w:rPr>
        <w:rFonts w:hint="default"/>
      </w:rPr>
    </w:lvl>
    <w:lvl w:ilvl="7">
      <w:start w:val="0"/>
      <w:numFmt w:val="bullet"/>
      <w:lvlText w:val="•"/>
      <w:lvlJc w:val="left"/>
      <w:pPr>
        <w:ind w:left="8879" w:hanging="341"/>
      </w:pPr>
      <w:rPr>
        <w:rFonts w:hint="default"/>
      </w:rPr>
    </w:lvl>
    <w:lvl w:ilvl="8">
      <w:start w:val="0"/>
      <w:numFmt w:val="bullet"/>
      <w:lvlText w:val="•"/>
      <w:lvlJc w:val="left"/>
      <w:pPr>
        <w:ind w:left="9888" w:hanging="341"/>
      </w:pPr>
      <w:rPr>
        <w:rFonts w:hint="default"/>
      </w:rPr>
    </w:lvl>
  </w:abstractNum>
  <w:abstractNum w:abstractNumId="2">
    <w:multiLevelType w:val="hybridMultilevel"/>
    <w:lvl w:ilvl="0">
      <w:start w:val="1"/>
      <w:numFmt w:val="lowerLetter"/>
      <w:lvlText w:val="%1)"/>
      <w:lvlJc w:val="left"/>
      <w:pPr>
        <w:ind w:left="2664" w:hanging="681"/>
        <w:jc w:val="right"/>
      </w:pPr>
      <w:rPr>
        <w:rFonts w:hint="default" w:ascii="Calibri" w:hAnsi="Calibri" w:eastAsia="Calibri" w:cs="Calibri"/>
        <w:i/>
        <w:spacing w:val="-13"/>
        <w:w w:val="116"/>
        <w:sz w:val="20"/>
        <w:szCs w:val="20"/>
      </w:rPr>
    </w:lvl>
    <w:lvl w:ilvl="1">
      <w:start w:val="0"/>
      <w:numFmt w:val="bullet"/>
      <w:lvlText w:val="•"/>
      <w:lvlJc w:val="left"/>
      <w:pPr>
        <w:ind w:left="3584" w:hanging="681"/>
      </w:pPr>
      <w:rPr>
        <w:rFonts w:hint="default"/>
      </w:rPr>
    </w:lvl>
    <w:lvl w:ilvl="2">
      <w:start w:val="0"/>
      <w:numFmt w:val="bullet"/>
      <w:lvlText w:val="•"/>
      <w:lvlJc w:val="left"/>
      <w:pPr>
        <w:ind w:left="4509" w:hanging="681"/>
      </w:pPr>
      <w:rPr>
        <w:rFonts w:hint="default"/>
      </w:rPr>
    </w:lvl>
    <w:lvl w:ilvl="3">
      <w:start w:val="0"/>
      <w:numFmt w:val="bullet"/>
      <w:lvlText w:val="•"/>
      <w:lvlJc w:val="left"/>
      <w:pPr>
        <w:ind w:left="5433" w:hanging="681"/>
      </w:pPr>
      <w:rPr>
        <w:rFonts w:hint="default"/>
      </w:rPr>
    </w:lvl>
    <w:lvl w:ilvl="4">
      <w:start w:val="0"/>
      <w:numFmt w:val="bullet"/>
      <w:lvlText w:val="•"/>
      <w:lvlJc w:val="left"/>
      <w:pPr>
        <w:ind w:left="6358" w:hanging="681"/>
      </w:pPr>
      <w:rPr>
        <w:rFonts w:hint="default"/>
      </w:rPr>
    </w:lvl>
    <w:lvl w:ilvl="5">
      <w:start w:val="0"/>
      <w:numFmt w:val="bullet"/>
      <w:lvlText w:val="•"/>
      <w:lvlJc w:val="left"/>
      <w:pPr>
        <w:ind w:left="7282" w:hanging="681"/>
      </w:pPr>
      <w:rPr>
        <w:rFonts w:hint="default"/>
      </w:rPr>
    </w:lvl>
    <w:lvl w:ilvl="6">
      <w:start w:val="0"/>
      <w:numFmt w:val="bullet"/>
      <w:lvlText w:val="•"/>
      <w:lvlJc w:val="left"/>
      <w:pPr>
        <w:ind w:left="8207" w:hanging="681"/>
      </w:pPr>
      <w:rPr>
        <w:rFonts w:hint="default"/>
      </w:rPr>
    </w:lvl>
    <w:lvl w:ilvl="7">
      <w:start w:val="0"/>
      <w:numFmt w:val="bullet"/>
      <w:lvlText w:val="•"/>
      <w:lvlJc w:val="left"/>
      <w:pPr>
        <w:ind w:left="9131" w:hanging="681"/>
      </w:pPr>
      <w:rPr>
        <w:rFonts w:hint="default"/>
      </w:rPr>
    </w:lvl>
    <w:lvl w:ilvl="8">
      <w:start w:val="0"/>
      <w:numFmt w:val="bullet"/>
      <w:lvlText w:val="•"/>
      <w:lvlJc w:val="left"/>
      <w:pPr>
        <w:ind w:left="10056" w:hanging="681"/>
      </w:pPr>
      <w:rPr>
        <w:rFonts w:hint="default"/>
      </w:rPr>
    </w:lvl>
  </w:abstractNum>
  <w:abstractNum w:abstractNumId="0">
    <w:multiLevelType w:val="hybridMultilevel"/>
    <w:lvl w:ilvl="0">
      <w:start w:val="0"/>
      <w:numFmt w:val="bullet"/>
      <w:lvlText w:val="-"/>
      <w:lvlJc w:val="left"/>
      <w:pPr>
        <w:ind w:left="1814" w:hanging="681"/>
      </w:pPr>
      <w:rPr>
        <w:rFonts w:hint="default" w:ascii="Calibri" w:hAnsi="Calibri" w:eastAsia="Calibri" w:cs="Calibri"/>
        <w:color w:val="6E6E6E"/>
        <w:w w:val="117"/>
        <w:sz w:val="16"/>
        <w:szCs w:val="16"/>
      </w:rPr>
    </w:lvl>
    <w:lvl w:ilvl="1">
      <w:start w:val="0"/>
      <w:numFmt w:val="bullet"/>
      <w:lvlText w:val="•"/>
      <w:lvlJc w:val="left"/>
      <w:pPr>
        <w:ind w:left="2828" w:hanging="681"/>
      </w:pPr>
      <w:rPr>
        <w:rFonts w:hint="default"/>
      </w:rPr>
    </w:lvl>
    <w:lvl w:ilvl="2">
      <w:start w:val="0"/>
      <w:numFmt w:val="bullet"/>
      <w:lvlText w:val="•"/>
      <w:lvlJc w:val="left"/>
      <w:pPr>
        <w:ind w:left="3837" w:hanging="681"/>
      </w:pPr>
      <w:rPr>
        <w:rFonts w:hint="default"/>
      </w:rPr>
    </w:lvl>
    <w:lvl w:ilvl="3">
      <w:start w:val="0"/>
      <w:numFmt w:val="bullet"/>
      <w:lvlText w:val="•"/>
      <w:lvlJc w:val="left"/>
      <w:pPr>
        <w:ind w:left="4845" w:hanging="681"/>
      </w:pPr>
      <w:rPr>
        <w:rFonts w:hint="default"/>
      </w:rPr>
    </w:lvl>
    <w:lvl w:ilvl="4">
      <w:start w:val="0"/>
      <w:numFmt w:val="bullet"/>
      <w:lvlText w:val="•"/>
      <w:lvlJc w:val="left"/>
      <w:pPr>
        <w:ind w:left="5854" w:hanging="681"/>
      </w:pPr>
      <w:rPr>
        <w:rFonts w:hint="default"/>
      </w:rPr>
    </w:lvl>
    <w:lvl w:ilvl="5">
      <w:start w:val="0"/>
      <w:numFmt w:val="bullet"/>
      <w:lvlText w:val="•"/>
      <w:lvlJc w:val="left"/>
      <w:pPr>
        <w:ind w:left="6862" w:hanging="681"/>
      </w:pPr>
      <w:rPr>
        <w:rFonts w:hint="default"/>
      </w:rPr>
    </w:lvl>
    <w:lvl w:ilvl="6">
      <w:start w:val="0"/>
      <w:numFmt w:val="bullet"/>
      <w:lvlText w:val="•"/>
      <w:lvlJc w:val="left"/>
      <w:pPr>
        <w:ind w:left="7871" w:hanging="681"/>
      </w:pPr>
      <w:rPr>
        <w:rFonts w:hint="default"/>
      </w:rPr>
    </w:lvl>
    <w:lvl w:ilvl="7">
      <w:start w:val="0"/>
      <w:numFmt w:val="bullet"/>
      <w:lvlText w:val="•"/>
      <w:lvlJc w:val="left"/>
      <w:pPr>
        <w:ind w:left="8879" w:hanging="681"/>
      </w:pPr>
      <w:rPr>
        <w:rFonts w:hint="default"/>
      </w:rPr>
    </w:lvl>
    <w:lvl w:ilvl="8">
      <w:start w:val="0"/>
      <w:numFmt w:val="bullet"/>
      <w:lvlText w:val="•"/>
      <w:lvlJc w:val="left"/>
      <w:pPr>
        <w:ind w:left="9888" w:hanging="681"/>
      </w:pPr>
      <w:rPr>
        <w:rFonts w:hint="default"/>
      </w:rPr>
    </w:lvl>
  </w:abstractNum>
  <w:num w:numId="155">
    <w:abstractNumId w:val="154"/>
  </w:num>
  <w:num w:numId="152">
    <w:abstractNumId w:val="151"/>
  </w:num>
  <w:num w:numId="140">
    <w:abstractNumId w:val="139"/>
  </w:num>
  <w:num w:numId="135">
    <w:abstractNumId w:val="134"/>
  </w:num>
  <w:num w:numId="124">
    <w:abstractNumId w:val="123"/>
  </w:num>
  <w:num w:numId="115">
    <w:abstractNumId w:val="114"/>
  </w:num>
  <w:num w:numId="109">
    <w:abstractNumId w:val="108"/>
  </w:num>
  <w:num w:numId="51">
    <w:abstractNumId w:val="50"/>
  </w:num>
  <w:num w:numId="2">
    <w:abstractNumId w:val="1"/>
  </w:num>
  <w:num w:numId="207">
    <w:abstractNumId w:val="206"/>
  </w:num>
  <w:num w:numId="206">
    <w:abstractNumId w:val="205"/>
  </w:num>
  <w:num w:numId="205">
    <w:abstractNumId w:val="204"/>
  </w:num>
  <w:num w:numId="204">
    <w:abstractNumId w:val="203"/>
  </w:num>
  <w:num w:numId="203">
    <w:abstractNumId w:val="202"/>
  </w:num>
  <w:num w:numId="202">
    <w:abstractNumId w:val="201"/>
  </w:num>
  <w:num w:numId="201">
    <w:abstractNumId w:val="200"/>
  </w:num>
  <w:num w:numId="200">
    <w:abstractNumId w:val="199"/>
  </w:num>
  <w:num w:numId="199">
    <w:abstractNumId w:val="198"/>
  </w:num>
  <w:num w:numId="198">
    <w:abstractNumId w:val="197"/>
  </w:num>
  <w:num w:numId="197">
    <w:abstractNumId w:val="196"/>
  </w:num>
  <w:num w:numId="196">
    <w:abstractNumId w:val="195"/>
  </w:num>
  <w:num w:numId="195">
    <w:abstractNumId w:val="194"/>
  </w:num>
  <w:num w:numId="193">
    <w:abstractNumId w:val="192"/>
  </w:num>
  <w:num w:numId="194">
    <w:abstractNumId w:val="193"/>
  </w:num>
  <w:num w:numId="192">
    <w:abstractNumId w:val="191"/>
  </w:num>
  <w:num w:numId="191">
    <w:abstractNumId w:val="190"/>
  </w:num>
  <w:num w:numId="190">
    <w:abstractNumId w:val="189"/>
  </w:num>
  <w:num w:numId="189">
    <w:abstractNumId w:val="188"/>
  </w:num>
  <w:num w:numId="188">
    <w:abstractNumId w:val="187"/>
  </w:num>
  <w:num w:numId="187">
    <w:abstractNumId w:val="186"/>
  </w:num>
  <w:num w:numId="186">
    <w:abstractNumId w:val="185"/>
  </w:num>
  <w:num w:numId="185">
    <w:abstractNumId w:val="184"/>
  </w:num>
  <w:num w:numId="184">
    <w:abstractNumId w:val="183"/>
  </w:num>
  <w:num w:numId="183">
    <w:abstractNumId w:val="182"/>
  </w:num>
  <w:num w:numId="182">
    <w:abstractNumId w:val="181"/>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4">
    <w:abstractNumId w:val="173"/>
  </w:num>
  <w:num w:numId="173">
    <w:abstractNumId w:val="172"/>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5">
    <w:abstractNumId w:val="164"/>
  </w:num>
  <w:num w:numId="164">
    <w:abstractNumId w:val="163"/>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6">
    <w:abstractNumId w:val="155"/>
  </w:num>
  <w:num w:numId="154">
    <w:abstractNumId w:val="153"/>
  </w:num>
  <w:num w:numId="153">
    <w:abstractNumId w:val="152"/>
  </w:num>
  <w:num w:numId="151">
    <w:abstractNumId w:val="150"/>
  </w:num>
  <w:num w:numId="150">
    <w:abstractNumId w:val="149"/>
  </w:num>
  <w:num w:numId="149">
    <w:abstractNumId w:val="148"/>
  </w:num>
  <w:num w:numId="148">
    <w:abstractNumId w:val="147"/>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39">
    <w:abstractNumId w:val="138"/>
  </w:num>
  <w:num w:numId="138">
    <w:abstractNumId w:val="137"/>
  </w:num>
  <w:num w:numId="137">
    <w:abstractNumId w:val="136"/>
  </w:num>
  <w:num w:numId="136">
    <w:abstractNumId w:val="135"/>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4">
    <w:abstractNumId w:val="113"/>
  </w:num>
  <w:num w:numId="113">
    <w:abstractNumId w:val="112"/>
  </w:num>
  <w:num w:numId="112">
    <w:abstractNumId w:val="111"/>
  </w:num>
  <w:num w:numId="111">
    <w:abstractNumId w:val="110"/>
  </w:num>
  <w:num w:numId="110">
    <w:abstractNumId w:val="109"/>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spacing w:line="908" w:lineRule="exact"/>
      <w:ind w:left="704"/>
      <w:outlineLvl w:val="1"/>
    </w:pPr>
    <w:rPr>
      <w:rFonts w:ascii="Arial" w:hAnsi="Arial" w:eastAsia="Arial" w:cs="Arial"/>
      <w:sz w:val="104"/>
      <w:szCs w:val="104"/>
    </w:rPr>
  </w:style>
  <w:style w:styleId="Heading2" w:type="paragraph">
    <w:name w:val="Heading 2"/>
    <w:basedOn w:val="Normal"/>
    <w:uiPriority w:val="1"/>
    <w:qFormat/>
    <w:pPr>
      <w:ind w:left="1984"/>
      <w:outlineLvl w:val="2"/>
    </w:pPr>
    <w:rPr>
      <w:rFonts w:ascii="Stone Sans II ITC Std Bk" w:hAnsi="Stone Sans II ITC Std Bk" w:eastAsia="Stone Sans II ITC Std Bk" w:cs="Stone Sans II ITC Std Bk"/>
      <w:b/>
      <w:bCs/>
      <w:sz w:val="50"/>
      <w:szCs w:val="50"/>
    </w:rPr>
  </w:style>
  <w:style w:styleId="Heading3" w:type="paragraph">
    <w:name w:val="Heading 3"/>
    <w:basedOn w:val="Normal"/>
    <w:uiPriority w:val="1"/>
    <w:qFormat/>
    <w:pPr>
      <w:spacing w:before="95"/>
      <w:ind w:left="1133"/>
      <w:outlineLvl w:val="3"/>
    </w:pPr>
    <w:rPr>
      <w:rFonts w:ascii="Stone Sans II ITC Std Bk" w:hAnsi="Stone Sans II ITC Std Bk" w:eastAsia="Stone Sans II ITC Std Bk" w:cs="Stone Sans II ITC Std Bk"/>
      <w:b/>
      <w:bCs/>
      <w:sz w:val="36"/>
      <w:szCs w:val="36"/>
    </w:rPr>
  </w:style>
  <w:style w:styleId="Heading4" w:type="paragraph">
    <w:name w:val="Heading 4"/>
    <w:basedOn w:val="Normal"/>
    <w:uiPriority w:val="1"/>
    <w:qFormat/>
    <w:pPr>
      <w:spacing w:before="37"/>
      <w:ind w:left="1724" w:right="1515"/>
      <w:jc w:val="center"/>
      <w:outlineLvl w:val="4"/>
    </w:pPr>
    <w:rPr>
      <w:rFonts w:ascii="Stone Sans II ITC Std Bk" w:hAnsi="Stone Sans II ITC Std Bk" w:eastAsia="Stone Sans II ITC Std Bk" w:cs="Stone Sans II ITC Std Bk"/>
      <w:b/>
      <w:bCs/>
      <w:i/>
      <w:sz w:val="32"/>
      <w:szCs w:val="32"/>
    </w:rPr>
  </w:style>
  <w:style w:styleId="Heading5" w:type="paragraph">
    <w:name w:val="Heading 5"/>
    <w:basedOn w:val="Normal"/>
    <w:uiPriority w:val="1"/>
    <w:qFormat/>
    <w:pPr>
      <w:ind w:left="1984"/>
      <w:outlineLvl w:val="5"/>
    </w:pPr>
    <w:rPr>
      <w:rFonts w:ascii="Calibri" w:hAnsi="Calibri" w:eastAsia="Calibri" w:cs="Calibri"/>
      <w:sz w:val="32"/>
      <w:szCs w:val="32"/>
    </w:rPr>
  </w:style>
  <w:style w:styleId="Heading6" w:type="paragraph">
    <w:name w:val="Heading 6"/>
    <w:basedOn w:val="Normal"/>
    <w:uiPriority w:val="1"/>
    <w:qFormat/>
    <w:pPr>
      <w:ind w:left="1133"/>
      <w:outlineLvl w:val="6"/>
    </w:pPr>
    <w:rPr>
      <w:rFonts w:ascii="Stone Sans II ITC Std Bk" w:hAnsi="Stone Sans II ITC Std Bk" w:eastAsia="Stone Sans II ITC Std Bk" w:cs="Stone Sans II ITC Std Bk"/>
      <w:b/>
      <w:bCs/>
      <w:sz w:val="29"/>
      <w:szCs w:val="29"/>
    </w:rPr>
  </w:style>
  <w:style w:styleId="Heading7" w:type="paragraph">
    <w:name w:val="Heading 7"/>
    <w:basedOn w:val="Normal"/>
    <w:uiPriority w:val="1"/>
    <w:qFormat/>
    <w:pPr>
      <w:ind w:left="1378"/>
      <w:outlineLvl w:val="7"/>
    </w:pPr>
    <w:rPr>
      <w:rFonts w:ascii="Calibri" w:hAnsi="Calibri" w:eastAsia="Calibri" w:cs="Calibri"/>
      <w:i/>
      <w:sz w:val="29"/>
      <w:szCs w:val="29"/>
    </w:rPr>
  </w:style>
  <w:style w:styleId="Heading8" w:type="paragraph">
    <w:name w:val="Heading 8"/>
    <w:basedOn w:val="Normal"/>
    <w:uiPriority w:val="1"/>
    <w:qFormat/>
    <w:pPr>
      <w:spacing w:before="26"/>
      <w:ind w:left="20"/>
      <w:outlineLvl w:val="8"/>
    </w:pPr>
    <w:rPr>
      <w:rFonts w:ascii="Calibri" w:hAnsi="Calibri" w:eastAsia="Calibri" w:cs="Calibri"/>
      <w:sz w:val="26"/>
      <w:szCs w:val="26"/>
    </w:rPr>
  </w:style>
  <w:style w:styleId="Heading9" w:type="paragraph">
    <w:name w:val="Heading 9"/>
    <w:basedOn w:val="Normal"/>
    <w:uiPriority w:val="1"/>
    <w:qFormat/>
    <w:pPr>
      <w:ind w:left="-1"/>
      <w:outlineLvl w:val="9"/>
    </w:pPr>
    <w:rPr>
      <w:rFonts w:ascii="DaxCondensed-Medium" w:hAnsi="DaxCondensed-Medium" w:eastAsia="DaxCondensed-Medium" w:cs="DaxCondensed-Medium"/>
      <w:sz w:val="24"/>
      <w:szCs w:val="24"/>
    </w:rPr>
  </w:style>
  <w:style w:styleId="ListParagraph" w:type="paragraph">
    <w:name w:val="List Paragraph"/>
    <w:basedOn w:val="Normal"/>
    <w:uiPriority w:val="1"/>
    <w:qFormat/>
    <w:pPr>
      <w:ind w:left="1814"/>
    </w:pPr>
    <w:rPr>
      <w:rFonts w:ascii="Calibri" w:hAnsi="Calibri" w:eastAsia="Calibri" w:cs="Calibri"/>
    </w:rPr>
  </w:style>
  <w:style w:styleId="TableParagraph" w:type="paragraph">
    <w:name w:val="Table Paragraph"/>
    <w:basedOn w:val="Normal"/>
    <w:uiPriority w:val="1"/>
    <w:qFormat/>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header" Target="header3.xml"/><Relationship Id="rId10" Type="http://schemas.openxmlformats.org/officeDocument/2006/relationships/header" Target="header4.xm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eader" Target="header5.xml"/><Relationship Id="rId14" Type="http://schemas.openxmlformats.org/officeDocument/2006/relationships/image" Target="media/image5.pn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eader" Target="header6.xml"/><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header" Target="header7.xml"/><Relationship Id="rId25" Type="http://schemas.openxmlformats.org/officeDocument/2006/relationships/header" Target="header8.xml"/><Relationship Id="rId26" Type="http://schemas.openxmlformats.org/officeDocument/2006/relationships/image" Target="media/image14.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header" Target="header9.xml"/><Relationship Id="rId30" Type="http://schemas.openxmlformats.org/officeDocument/2006/relationships/header" Target="header10.xml"/><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header" Target="header11.xml"/><Relationship Id="rId38" Type="http://schemas.openxmlformats.org/officeDocument/2006/relationships/header" Target="header12.xml"/><Relationship Id="rId39" Type="http://schemas.openxmlformats.org/officeDocument/2006/relationships/footer" Target="footer3.xml"/><Relationship Id="rId40" Type="http://schemas.openxmlformats.org/officeDocument/2006/relationships/footer" Target="footer4.xml"/><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header" Target="header13.xml"/><Relationship Id="rId44" Type="http://schemas.openxmlformats.org/officeDocument/2006/relationships/header" Target="header14.xml"/><Relationship Id="rId45" Type="http://schemas.openxmlformats.org/officeDocument/2006/relationships/footer" Target="footer5.xml"/><Relationship Id="rId46" Type="http://schemas.openxmlformats.org/officeDocument/2006/relationships/footer" Target="footer6.xml"/><Relationship Id="rId47" Type="http://schemas.openxmlformats.org/officeDocument/2006/relationships/image" Target="media/image23.png"/><Relationship Id="rId48" Type="http://schemas.openxmlformats.org/officeDocument/2006/relationships/image" Target="media/image24.png"/><Relationship Id="rId49" Type="http://schemas.openxmlformats.org/officeDocument/2006/relationships/image" Target="media/image25.png"/><Relationship Id="rId50" Type="http://schemas.openxmlformats.org/officeDocument/2006/relationships/header" Target="header15.xml"/><Relationship Id="rId51" Type="http://schemas.openxmlformats.org/officeDocument/2006/relationships/footer" Target="footer7.xml"/><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image" Target="media/image29.png"/><Relationship Id="rId56" Type="http://schemas.openxmlformats.org/officeDocument/2006/relationships/image" Target="media/image30.png"/><Relationship Id="rId57" Type="http://schemas.openxmlformats.org/officeDocument/2006/relationships/image" Target="media/image31.png"/><Relationship Id="rId58" Type="http://schemas.openxmlformats.org/officeDocument/2006/relationships/image" Target="media/image32.png"/><Relationship Id="rId59" Type="http://schemas.openxmlformats.org/officeDocument/2006/relationships/header" Target="header16.xml"/><Relationship Id="rId60" Type="http://schemas.openxmlformats.org/officeDocument/2006/relationships/header" Target="header17.xml"/><Relationship Id="rId61" Type="http://schemas.openxmlformats.org/officeDocument/2006/relationships/footer" Target="footer8.xml"/><Relationship Id="rId62" Type="http://schemas.openxmlformats.org/officeDocument/2006/relationships/image" Target="media/image33.jpeg"/><Relationship Id="rId63" Type="http://schemas.openxmlformats.org/officeDocument/2006/relationships/header" Target="header18.xml"/><Relationship Id="rId64" Type="http://schemas.openxmlformats.org/officeDocument/2006/relationships/header" Target="header19.xml"/><Relationship Id="rId65" Type="http://schemas.openxmlformats.org/officeDocument/2006/relationships/footer" Target="footer9.xml"/><Relationship Id="rId66" Type="http://schemas.openxmlformats.org/officeDocument/2006/relationships/image" Target="media/image34.jpeg"/><Relationship Id="rId67" Type="http://schemas.openxmlformats.org/officeDocument/2006/relationships/header" Target="header20.xml"/><Relationship Id="rId68" Type="http://schemas.openxmlformats.org/officeDocument/2006/relationships/header" Target="header21.xml"/><Relationship Id="rId69" Type="http://schemas.openxmlformats.org/officeDocument/2006/relationships/footer" Target="footer10.xml"/><Relationship Id="rId70" Type="http://schemas.openxmlformats.org/officeDocument/2006/relationships/footer" Target="footer11.xml"/><Relationship Id="rId71" Type="http://schemas.openxmlformats.org/officeDocument/2006/relationships/image" Target="media/image35.png"/><Relationship Id="rId72" Type="http://schemas.openxmlformats.org/officeDocument/2006/relationships/image" Target="media/image36.png"/><Relationship Id="rId73" Type="http://schemas.openxmlformats.org/officeDocument/2006/relationships/image" Target="media/image37.png"/><Relationship Id="rId74" Type="http://schemas.openxmlformats.org/officeDocument/2006/relationships/image" Target="media/image38.png"/><Relationship Id="rId75" Type="http://schemas.openxmlformats.org/officeDocument/2006/relationships/image" Target="media/image39.png"/><Relationship Id="rId76" Type="http://schemas.openxmlformats.org/officeDocument/2006/relationships/image" Target="media/image40.png"/><Relationship Id="rId77" Type="http://schemas.openxmlformats.org/officeDocument/2006/relationships/image" Target="media/image41.png"/><Relationship Id="rId78" Type="http://schemas.openxmlformats.org/officeDocument/2006/relationships/image" Target="media/image42.png"/><Relationship Id="rId79" Type="http://schemas.openxmlformats.org/officeDocument/2006/relationships/image" Target="media/image43.png"/><Relationship Id="rId80" Type="http://schemas.openxmlformats.org/officeDocument/2006/relationships/image" Target="media/image44.png"/><Relationship Id="rId81" Type="http://schemas.openxmlformats.org/officeDocument/2006/relationships/image" Target="media/image45.png"/><Relationship Id="rId82" Type="http://schemas.openxmlformats.org/officeDocument/2006/relationships/image" Target="media/image46.png"/><Relationship Id="rId83" Type="http://schemas.openxmlformats.org/officeDocument/2006/relationships/image" Target="media/image47.png"/><Relationship Id="rId84" Type="http://schemas.openxmlformats.org/officeDocument/2006/relationships/image" Target="media/image48.png"/><Relationship Id="rId85" Type="http://schemas.openxmlformats.org/officeDocument/2006/relationships/image" Target="media/image49.png"/><Relationship Id="rId86" Type="http://schemas.openxmlformats.org/officeDocument/2006/relationships/image" Target="media/image50.png"/><Relationship Id="rId87" Type="http://schemas.openxmlformats.org/officeDocument/2006/relationships/image" Target="media/image51.png"/><Relationship Id="rId88" Type="http://schemas.openxmlformats.org/officeDocument/2006/relationships/image" Target="media/image52.png"/><Relationship Id="rId89" Type="http://schemas.openxmlformats.org/officeDocument/2006/relationships/image" Target="media/image53.png"/><Relationship Id="rId90" Type="http://schemas.openxmlformats.org/officeDocument/2006/relationships/image" Target="media/image54.png"/><Relationship Id="rId91" Type="http://schemas.openxmlformats.org/officeDocument/2006/relationships/image" Target="media/image55.png"/><Relationship Id="rId92" Type="http://schemas.openxmlformats.org/officeDocument/2006/relationships/image" Target="media/image56.png"/><Relationship Id="rId93" Type="http://schemas.openxmlformats.org/officeDocument/2006/relationships/header" Target="header22.xml"/><Relationship Id="rId94" Type="http://schemas.openxmlformats.org/officeDocument/2006/relationships/footer" Target="footer12.xml"/><Relationship Id="rId95" Type="http://schemas.openxmlformats.org/officeDocument/2006/relationships/image" Target="media/image57.jpeg"/><Relationship Id="rId96" Type="http://schemas.openxmlformats.org/officeDocument/2006/relationships/image" Target="media/image58.png"/><Relationship Id="rId97" Type="http://schemas.openxmlformats.org/officeDocument/2006/relationships/header" Target="header23.xml"/><Relationship Id="rId98" Type="http://schemas.openxmlformats.org/officeDocument/2006/relationships/footer" Target="footer13.xml"/><Relationship Id="rId99" Type="http://schemas.openxmlformats.org/officeDocument/2006/relationships/image" Target="media/image59.jpeg"/><Relationship Id="rId100" Type="http://schemas.openxmlformats.org/officeDocument/2006/relationships/image" Target="media/image60.png"/><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image" Target="media/image63.png"/><Relationship Id="rId104" Type="http://schemas.openxmlformats.org/officeDocument/2006/relationships/image" Target="media/image64.png"/><Relationship Id="rId105" Type="http://schemas.openxmlformats.org/officeDocument/2006/relationships/image" Target="media/image65.jpeg"/><Relationship Id="rId106" Type="http://schemas.openxmlformats.org/officeDocument/2006/relationships/header" Target="header24.xml"/><Relationship Id="rId107" Type="http://schemas.openxmlformats.org/officeDocument/2006/relationships/footer" Target="footer14.xml"/><Relationship Id="rId108" Type="http://schemas.openxmlformats.org/officeDocument/2006/relationships/footer" Target="footer15.xml"/><Relationship Id="rId109" Type="http://schemas.openxmlformats.org/officeDocument/2006/relationships/image" Target="media/image66.jpeg"/><Relationship Id="rId110" Type="http://schemas.openxmlformats.org/officeDocument/2006/relationships/image" Target="media/image67.png"/><Relationship Id="rId111" Type="http://schemas.openxmlformats.org/officeDocument/2006/relationships/image" Target="media/image68.png"/><Relationship Id="rId112" Type="http://schemas.openxmlformats.org/officeDocument/2006/relationships/image" Target="media/image69.png"/><Relationship Id="rId113" Type="http://schemas.openxmlformats.org/officeDocument/2006/relationships/image" Target="media/image70.png"/><Relationship Id="rId114" Type="http://schemas.openxmlformats.org/officeDocument/2006/relationships/image" Target="media/image71.png"/><Relationship Id="rId115" Type="http://schemas.openxmlformats.org/officeDocument/2006/relationships/header" Target="header25.xml"/><Relationship Id="rId116" Type="http://schemas.openxmlformats.org/officeDocument/2006/relationships/hyperlink" Target="mailto:admin@Vision4Life.org.uk" TargetMode="External"/><Relationship Id="rId117" Type="http://schemas.openxmlformats.org/officeDocument/2006/relationships/hyperlink" Target="http://windermere.urc.org.uk/" TargetMode="External"/><Relationship Id="rId118" Type="http://schemas.openxmlformats.org/officeDocument/2006/relationships/image" Target="media/image72.png"/><Relationship Id="rId119" Type="http://schemas.openxmlformats.org/officeDocument/2006/relationships/image" Target="media/image73.png"/><Relationship Id="rId120" Type="http://schemas.openxmlformats.org/officeDocument/2006/relationships/image" Target="media/image74.png"/><Relationship Id="rId121" Type="http://schemas.openxmlformats.org/officeDocument/2006/relationships/image" Target="media/image75.png"/><Relationship Id="rId122" Type="http://schemas.openxmlformats.org/officeDocument/2006/relationships/image" Target="media/image76.png"/><Relationship Id="rId123" Type="http://schemas.openxmlformats.org/officeDocument/2006/relationships/image" Target="media/image77.png"/><Relationship Id="rId124" Type="http://schemas.openxmlformats.org/officeDocument/2006/relationships/header" Target="header26.xml"/><Relationship Id="rId125" Type="http://schemas.openxmlformats.org/officeDocument/2006/relationships/image" Target="media/image78.png"/><Relationship Id="rId126" Type="http://schemas.openxmlformats.org/officeDocument/2006/relationships/image" Target="media/image79.png"/><Relationship Id="rId127" Type="http://schemas.openxmlformats.org/officeDocument/2006/relationships/image" Target="media/image80.png"/><Relationship Id="rId128" Type="http://schemas.openxmlformats.org/officeDocument/2006/relationships/image" Target="media/image81.png"/><Relationship Id="rId129" Type="http://schemas.openxmlformats.org/officeDocument/2006/relationships/image" Target="media/image82.png"/><Relationship Id="rId130" Type="http://schemas.openxmlformats.org/officeDocument/2006/relationships/image" Target="media/image83.png"/><Relationship Id="rId131" Type="http://schemas.openxmlformats.org/officeDocument/2006/relationships/image" Target="media/image84.png"/><Relationship Id="rId132" Type="http://schemas.openxmlformats.org/officeDocument/2006/relationships/header" Target="header27.xml"/><Relationship Id="rId133" Type="http://schemas.openxmlformats.org/officeDocument/2006/relationships/header" Target="header28.xml"/><Relationship Id="rId134" Type="http://schemas.openxmlformats.org/officeDocument/2006/relationships/footer" Target="footer16.xml"/><Relationship Id="rId135" Type="http://schemas.openxmlformats.org/officeDocument/2006/relationships/image" Target="media/image85.png"/><Relationship Id="rId136" Type="http://schemas.openxmlformats.org/officeDocument/2006/relationships/image" Target="media/image86.png"/><Relationship Id="rId137" Type="http://schemas.openxmlformats.org/officeDocument/2006/relationships/image" Target="media/image87.png"/><Relationship Id="rId138" Type="http://schemas.openxmlformats.org/officeDocument/2006/relationships/image" Target="media/image88.png"/><Relationship Id="rId139" Type="http://schemas.openxmlformats.org/officeDocument/2006/relationships/image" Target="media/image89.png"/><Relationship Id="rId140" Type="http://schemas.openxmlformats.org/officeDocument/2006/relationships/image" Target="media/image90.png"/><Relationship Id="rId141" Type="http://schemas.openxmlformats.org/officeDocument/2006/relationships/image" Target="media/image91.png"/><Relationship Id="rId142" Type="http://schemas.openxmlformats.org/officeDocument/2006/relationships/image" Target="media/image92.png"/><Relationship Id="rId143" Type="http://schemas.openxmlformats.org/officeDocument/2006/relationships/image" Target="media/image93.png"/><Relationship Id="rId144" Type="http://schemas.openxmlformats.org/officeDocument/2006/relationships/image" Target="media/image94.png"/><Relationship Id="rId145" Type="http://schemas.openxmlformats.org/officeDocument/2006/relationships/image" Target="media/image95.png"/><Relationship Id="rId146" Type="http://schemas.openxmlformats.org/officeDocument/2006/relationships/footer" Target="footer17.xml"/><Relationship Id="rId147" Type="http://schemas.openxmlformats.org/officeDocument/2006/relationships/image" Target="media/image96.png"/><Relationship Id="rId148" Type="http://schemas.openxmlformats.org/officeDocument/2006/relationships/image" Target="media/image97.png"/><Relationship Id="rId149" Type="http://schemas.openxmlformats.org/officeDocument/2006/relationships/image" Target="media/image98.png"/><Relationship Id="rId150" Type="http://schemas.openxmlformats.org/officeDocument/2006/relationships/header" Target="header29.xml"/><Relationship Id="rId151" Type="http://schemas.openxmlformats.org/officeDocument/2006/relationships/header" Target="header30.xml"/><Relationship Id="rId152" Type="http://schemas.openxmlformats.org/officeDocument/2006/relationships/footer" Target="footer18.xml"/><Relationship Id="rId153" Type="http://schemas.openxmlformats.org/officeDocument/2006/relationships/header" Target="header31.xml"/><Relationship Id="rId154" Type="http://schemas.openxmlformats.org/officeDocument/2006/relationships/footer" Target="footer19.xml"/><Relationship Id="rId155" Type="http://schemas.openxmlformats.org/officeDocument/2006/relationships/hyperlink" Target="http://www.ucc.org/god-is-still-speaking/" TargetMode="External"/><Relationship Id="rId156" Type="http://schemas.openxmlformats.org/officeDocument/2006/relationships/image" Target="media/image99.png"/><Relationship Id="rId157" Type="http://schemas.openxmlformats.org/officeDocument/2006/relationships/image" Target="media/image100.png"/><Relationship Id="rId158" Type="http://schemas.openxmlformats.org/officeDocument/2006/relationships/image" Target="media/image101.png"/><Relationship Id="rId159" Type="http://schemas.openxmlformats.org/officeDocument/2006/relationships/header" Target="header32.xml"/><Relationship Id="rId160" Type="http://schemas.openxmlformats.org/officeDocument/2006/relationships/footer" Target="footer20.xml"/><Relationship Id="rId161" Type="http://schemas.openxmlformats.org/officeDocument/2006/relationships/image" Target="media/image102.png"/><Relationship Id="rId162" Type="http://schemas.openxmlformats.org/officeDocument/2006/relationships/image" Target="media/image103.png"/><Relationship Id="rId163" Type="http://schemas.openxmlformats.org/officeDocument/2006/relationships/header" Target="header33.xml"/><Relationship Id="rId164" Type="http://schemas.openxmlformats.org/officeDocument/2006/relationships/footer" Target="footer21.xml"/><Relationship Id="rId165" Type="http://schemas.openxmlformats.org/officeDocument/2006/relationships/header" Target="header34.xml"/><Relationship Id="rId166" Type="http://schemas.openxmlformats.org/officeDocument/2006/relationships/header" Target="header35.xml"/><Relationship Id="rId167" Type="http://schemas.openxmlformats.org/officeDocument/2006/relationships/footer" Target="footer22.xml"/><Relationship Id="rId168" Type="http://schemas.openxmlformats.org/officeDocument/2006/relationships/image" Target="media/image104.png"/><Relationship Id="rId169" Type="http://schemas.openxmlformats.org/officeDocument/2006/relationships/image" Target="media/image105.png"/><Relationship Id="rId170" Type="http://schemas.openxmlformats.org/officeDocument/2006/relationships/header" Target="header36.xml"/><Relationship Id="rId171" Type="http://schemas.openxmlformats.org/officeDocument/2006/relationships/header" Target="header37.xml"/><Relationship Id="rId172" Type="http://schemas.openxmlformats.org/officeDocument/2006/relationships/footer" Target="footer23.xml"/><Relationship Id="rId173" Type="http://schemas.openxmlformats.org/officeDocument/2006/relationships/footer" Target="footer24.xml"/><Relationship Id="rId174" Type="http://schemas.openxmlformats.org/officeDocument/2006/relationships/image" Target="media/image106.png"/><Relationship Id="rId175" Type="http://schemas.openxmlformats.org/officeDocument/2006/relationships/hyperlink" Target="mailto:roberta.rominger@urc.org.uk" TargetMode="External"/><Relationship Id="rId176" Type="http://schemas.openxmlformats.org/officeDocument/2006/relationships/image" Target="media/image107.png"/><Relationship Id="rId177" Type="http://schemas.openxmlformats.org/officeDocument/2006/relationships/header" Target="header38.xml"/><Relationship Id="rId178" Type="http://schemas.openxmlformats.org/officeDocument/2006/relationships/footer" Target="footer25.xml"/><Relationship Id="rId179" Type="http://schemas.openxmlformats.org/officeDocument/2006/relationships/header" Target="header39.xml"/><Relationship Id="rId180" Type="http://schemas.openxmlformats.org/officeDocument/2006/relationships/header" Target="header40.xml"/><Relationship Id="rId181" Type="http://schemas.openxmlformats.org/officeDocument/2006/relationships/footer" Target="footer26.xml"/><Relationship Id="rId182" Type="http://schemas.openxmlformats.org/officeDocument/2006/relationships/header" Target="header41.xml"/><Relationship Id="rId183" Type="http://schemas.openxmlformats.org/officeDocument/2006/relationships/header" Target="header42.xml"/><Relationship Id="rId184" Type="http://schemas.openxmlformats.org/officeDocument/2006/relationships/footer" Target="footer27.xml"/><Relationship Id="rId185" Type="http://schemas.openxmlformats.org/officeDocument/2006/relationships/footer" Target="footer28.xml"/><Relationship Id="rId186" Type="http://schemas.openxmlformats.org/officeDocument/2006/relationships/hyperlink" Target="http://www.jointpublicissues.org.uk/jptpolitics)" TargetMode="External"/><Relationship Id="rId187" Type="http://schemas.openxmlformats.org/officeDocument/2006/relationships/header" Target="header43.xml"/><Relationship Id="rId188" Type="http://schemas.openxmlformats.org/officeDocument/2006/relationships/header" Target="header44.xml"/><Relationship Id="rId189" Type="http://schemas.openxmlformats.org/officeDocument/2006/relationships/footer" Target="footer29.xml"/><Relationship Id="rId190" Type="http://schemas.openxmlformats.org/officeDocument/2006/relationships/footer" Target="footer30.xml"/><Relationship Id="rId191" Type="http://schemas.openxmlformats.org/officeDocument/2006/relationships/header" Target="header45.xml"/><Relationship Id="rId192" Type="http://schemas.openxmlformats.org/officeDocument/2006/relationships/header" Target="header46.xml"/><Relationship Id="rId193" Type="http://schemas.openxmlformats.org/officeDocument/2006/relationships/footer" Target="footer31.xml"/><Relationship Id="rId194" Type="http://schemas.openxmlformats.org/officeDocument/2006/relationships/footer" Target="footer32.xml"/><Relationship Id="rId195" Type="http://schemas.openxmlformats.org/officeDocument/2006/relationships/header" Target="header47.xml"/><Relationship Id="rId196" Type="http://schemas.openxmlformats.org/officeDocument/2006/relationships/header" Target="header48.xml"/><Relationship Id="rId197" Type="http://schemas.openxmlformats.org/officeDocument/2006/relationships/footer" Target="footer33.xml"/><Relationship Id="rId198" Type="http://schemas.openxmlformats.org/officeDocument/2006/relationships/footer" Target="footer34.xml"/><Relationship Id="rId199" Type="http://schemas.openxmlformats.org/officeDocument/2006/relationships/hyperlink" Target="http://www.urc.org.uk/" TargetMode="External"/><Relationship Id="rId200" Type="http://schemas.openxmlformats.org/officeDocument/2006/relationships/header" Target="header49.xml"/><Relationship Id="rId201" Type="http://schemas.openxmlformats.org/officeDocument/2006/relationships/header" Target="header50.xml"/><Relationship Id="rId202" Type="http://schemas.openxmlformats.org/officeDocument/2006/relationships/footer" Target="footer35.xml"/><Relationship Id="rId203" Type="http://schemas.openxmlformats.org/officeDocument/2006/relationships/footer" Target="footer36.xml"/><Relationship Id="rId204" Type="http://schemas.openxmlformats.org/officeDocument/2006/relationships/header" Target="header51.xml"/><Relationship Id="rId205" Type="http://schemas.openxmlformats.org/officeDocument/2006/relationships/header" Target="header52.xml"/><Relationship Id="rId206" Type="http://schemas.openxmlformats.org/officeDocument/2006/relationships/footer" Target="footer37.xml"/><Relationship Id="rId207" Type="http://schemas.openxmlformats.org/officeDocument/2006/relationships/footer" Target="footer38.xml"/><Relationship Id="rId208" Type="http://schemas.openxmlformats.org/officeDocument/2006/relationships/header" Target="header53.xml"/><Relationship Id="rId209" Type="http://schemas.openxmlformats.org/officeDocument/2006/relationships/header" Target="header54.xml"/><Relationship Id="rId210" Type="http://schemas.openxmlformats.org/officeDocument/2006/relationships/footer" Target="footer39.xml"/><Relationship Id="rId211" Type="http://schemas.openxmlformats.org/officeDocument/2006/relationships/footer" Target="footer40.xml"/><Relationship Id="rId212" Type="http://schemas.openxmlformats.org/officeDocument/2006/relationships/header" Target="header55.xml"/><Relationship Id="rId213" Type="http://schemas.openxmlformats.org/officeDocument/2006/relationships/header" Target="header56.xml"/><Relationship Id="rId214" Type="http://schemas.openxmlformats.org/officeDocument/2006/relationships/footer" Target="footer41.xml"/><Relationship Id="rId215" Type="http://schemas.openxmlformats.org/officeDocument/2006/relationships/footer" Target="footer42.xml"/><Relationship Id="rId216" Type="http://schemas.openxmlformats.org/officeDocument/2006/relationships/header" Target="header57.xml"/><Relationship Id="rId217" Type="http://schemas.openxmlformats.org/officeDocument/2006/relationships/header" Target="header58.xml"/><Relationship Id="rId218" Type="http://schemas.openxmlformats.org/officeDocument/2006/relationships/footer" Target="footer43.xml"/><Relationship Id="rId219" Type="http://schemas.openxmlformats.org/officeDocument/2006/relationships/footer" Target="footer44.xml"/><Relationship Id="rId220" Type="http://schemas.openxmlformats.org/officeDocument/2006/relationships/header" Target="header59.xml"/><Relationship Id="rId221" Type="http://schemas.openxmlformats.org/officeDocument/2006/relationships/header" Target="header60.xml"/><Relationship Id="rId222" Type="http://schemas.openxmlformats.org/officeDocument/2006/relationships/footer" Target="footer45.xml"/><Relationship Id="rId223" Type="http://schemas.openxmlformats.org/officeDocument/2006/relationships/footer" Target="footer46.xml"/><Relationship Id="rId224" Type="http://schemas.openxmlformats.org/officeDocument/2006/relationships/hyperlink" Target="http://www.urc.org.uk/what_we_do/mission/images/vision2020_booklet_colour.pdf" TargetMode="External"/><Relationship Id="rId225" Type="http://schemas.openxmlformats.org/officeDocument/2006/relationships/header" Target="header61.xml"/><Relationship Id="rId226" Type="http://schemas.openxmlformats.org/officeDocument/2006/relationships/header" Target="header62.xml"/><Relationship Id="rId227" Type="http://schemas.openxmlformats.org/officeDocument/2006/relationships/footer" Target="footer47.xml"/><Relationship Id="rId228" Type="http://schemas.openxmlformats.org/officeDocument/2006/relationships/footer" Target="footer48.xml"/><Relationship Id="rId229" Type="http://schemas.openxmlformats.org/officeDocument/2006/relationships/hyperlink" Target="http://www.urc.org.uk/what_we_do/" TargetMode="External"/><Relationship Id="rId230" Type="http://schemas.openxmlformats.org/officeDocument/2006/relationships/hyperlink" Target="http://www.charityysri.org/" TargetMode="External"/><Relationship Id="rId231" Type="http://schemas.openxmlformats.org/officeDocument/2006/relationships/header" Target="header63.xml"/><Relationship Id="rId232" Type="http://schemas.openxmlformats.org/officeDocument/2006/relationships/header" Target="header64.xml"/><Relationship Id="rId233" Type="http://schemas.openxmlformats.org/officeDocument/2006/relationships/footer" Target="footer49.xml"/><Relationship Id="rId234" Type="http://schemas.openxmlformats.org/officeDocument/2006/relationships/footer" Target="footer50.xml"/><Relationship Id="rId235" Type="http://schemas.openxmlformats.org/officeDocument/2006/relationships/hyperlink" Target="http://www.urc.org.uk/what_we_do/mission_council/mission_council" TargetMode="External"/><Relationship Id="rId236" Type="http://schemas.openxmlformats.org/officeDocument/2006/relationships/hyperlink" Target="http://bit.ly/missioncouncil)" TargetMode="External"/><Relationship Id="rId237" Type="http://schemas.openxmlformats.org/officeDocument/2006/relationships/hyperlink" Target="http://www.methodist.org.uk/index" TargetMode="External"/><Relationship Id="rId238" Type="http://schemas.openxmlformats.org/officeDocument/2006/relationships/header" Target="header65.xml"/><Relationship Id="rId239" Type="http://schemas.openxmlformats.org/officeDocument/2006/relationships/footer" Target="footer51.xml"/><Relationship Id="rId240" Type="http://schemas.openxmlformats.org/officeDocument/2006/relationships/image" Target="media/image108.png"/><Relationship Id="rId241" Type="http://schemas.openxmlformats.org/officeDocument/2006/relationships/header" Target="header66.xml"/><Relationship Id="rId242" Type="http://schemas.openxmlformats.org/officeDocument/2006/relationships/footer" Target="footer52.xml"/><Relationship Id="rId243" Type="http://schemas.openxmlformats.org/officeDocument/2006/relationships/image" Target="media/image109.png"/><Relationship Id="rId244" Type="http://schemas.openxmlformats.org/officeDocument/2006/relationships/header" Target="header67.xml"/><Relationship Id="rId245" Type="http://schemas.openxmlformats.org/officeDocument/2006/relationships/footer" Target="footer53.xml"/><Relationship Id="rId246" Type="http://schemas.openxmlformats.org/officeDocument/2006/relationships/hyperlink" Target="mailto:bookshop@urc.org.uk" TargetMode="External"/><Relationship Id="rId247" Type="http://schemas.openxmlformats.org/officeDocument/2006/relationships/hyperlink" Target="http://books.urc.org.uk/" TargetMode="External"/><Relationship Id="rId248" Type="http://schemas.openxmlformats.org/officeDocument/2006/relationships/image" Target="media/image110.png"/><Relationship Id="rId249" Type="http://schemas.openxmlformats.org/officeDocument/2006/relationships/image" Target="media/image111.png"/><Relationship Id="rId250" Type="http://schemas.openxmlformats.org/officeDocument/2006/relationships/image" Target="media/image112.png"/><Relationship Id="rId251" Type="http://schemas.openxmlformats.org/officeDocument/2006/relationships/image" Target="media/image113.jpeg"/><Relationship Id="rId252" Type="http://schemas.openxmlformats.org/officeDocument/2006/relationships/header" Target="header68.xml"/><Relationship Id="rId253" Type="http://schemas.openxmlformats.org/officeDocument/2006/relationships/header" Target="header69.xml"/><Relationship Id="rId254" Type="http://schemas.openxmlformats.org/officeDocument/2006/relationships/footer" Target="footer54.xml"/><Relationship Id="rId255" Type="http://schemas.openxmlformats.org/officeDocument/2006/relationships/header" Target="header70.xml"/><Relationship Id="rId256" Type="http://schemas.openxmlformats.org/officeDocument/2006/relationships/header" Target="header71.xml"/><Relationship Id="rId257" Type="http://schemas.openxmlformats.org/officeDocument/2006/relationships/footer" Target="footer55.xml"/><Relationship Id="rId258" Type="http://schemas.openxmlformats.org/officeDocument/2006/relationships/footer" Target="footer56.xml"/><Relationship Id="rId259" Type="http://schemas.openxmlformats.org/officeDocument/2006/relationships/image" Target="media/image114.png"/><Relationship Id="rId260" Type="http://schemas.openxmlformats.org/officeDocument/2006/relationships/image" Target="media/image115.png"/><Relationship Id="rId261" Type="http://schemas.openxmlformats.org/officeDocument/2006/relationships/header" Target="header72.xml"/><Relationship Id="rId262" Type="http://schemas.openxmlformats.org/officeDocument/2006/relationships/footer" Target="footer57.xml"/><Relationship Id="rId263" Type="http://schemas.openxmlformats.org/officeDocument/2006/relationships/image" Target="media/image116.png"/><Relationship Id="rId264" Type="http://schemas.openxmlformats.org/officeDocument/2006/relationships/image" Target="media/image117.png"/><Relationship Id="rId265" Type="http://schemas.openxmlformats.org/officeDocument/2006/relationships/image" Target="media/image118.png"/><Relationship Id="rId266" Type="http://schemas.openxmlformats.org/officeDocument/2006/relationships/image" Target="media/image119.png"/><Relationship Id="rId267" Type="http://schemas.openxmlformats.org/officeDocument/2006/relationships/header" Target="header73.xml"/><Relationship Id="rId268" Type="http://schemas.openxmlformats.org/officeDocument/2006/relationships/header" Target="header74.xml"/><Relationship Id="rId269" Type="http://schemas.openxmlformats.org/officeDocument/2006/relationships/footer" Target="footer58.xml"/><Relationship Id="rId270" Type="http://schemas.openxmlformats.org/officeDocument/2006/relationships/image" Target="media/image120.png"/><Relationship Id="rId271" Type="http://schemas.openxmlformats.org/officeDocument/2006/relationships/header" Target="header75.xml"/><Relationship Id="rId272" Type="http://schemas.openxmlformats.org/officeDocument/2006/relationships/header" Target="header76.xml"/><Relationship Id="rId273" Type="http://schemas.openxmlformats.org/officeDocument/2006/relationships/footer" Target="footer59.xml"/><Relationship Id="rId274" Type="http://schemas.openxmlformats.org/officeDocument/2006/relationships/footer" Target="footer60.xml"/><Relationship Id="rId275" Type="http://schemas.openxmlformats.org/officeDocument/2006/relationships/header" Target="header77.xml"/><Relationship Id="rId276" Type="http://schemas.openxmlformats.org/officeDocument/2006/relationships/header" Target="header78.xml"/><Relationship Id="rId277" Type="http://schemas.openxmlformats.org/officeDocument/2006/relationships/footer" Target="footer61.xml"/><Relationship Id="rId278" Type="http://schemas.openxmlformats.org/officeDocument/2006/relationships/footer" Target="footer62.xml"/><Relationship Id="rId279" Type="http://schemas.openxmlformats.org/officeDocument/2006/relationships/image" Target="media/image121.png"/><Relationship Id="rId280" Type="http://schemas.openxmlformats.org/officeDocument/2006/relationships/header" Target="header79.xml"/><Relationship Id="rId281" Type="http://schemas.openxmlformats.org/officeDocument/2006/relationships/header" Target="header80.xml"/><Relationship Id="rId282" Type="http://schemas.openxmlformats.org/officeDocument/2006/relationships/footer" Target="footer63.xml"/><Relationship Id="rId283" Type="http://schemas.openxmlformats.org/officeDocument/2006/relationships/footer" Target="footer64.xml"/><Relationship Id="rId284" Type="http://schemas.openxmlformats.org/officeDocument/2006/relationships/image" Target="media/image122.png"/><Relationship Id="rId285" Type="http://schemas.openxmlformats.org/officeDocument/2006/relationships/header" Target="header81.xml"/><Relationship Id="rId286" Type="http://schemas.openxmlformats.org/officeDocument/2006/relationships/footer" Target="footer65.xml"/><Relationship Id="rId287" Type="http://schemas.openxmlformats.org/officeDocument/2006/relationships/image" Target="media/image123.png"/><Relationship Id="rId288" Type="http://schemas.openxmlformats.org/officeDocument/2006/relationships/header" Target="header82.xml"/><Relationship Id="rId289" Type="http://schemas.openxmlformats.org/officeDocument/2006/relationships/footer" Target="footer66.xml"/><Relationship Id="rId290" Type="http://schemas.openxmlformats.org/officeDocument/2006/relationships/footer" Target="footer67.xml"/><Relationship Id="rId291" Type="http://schemas.openxmlformats.org/officeDocument/2006/relationships/image" Target="media/image124.jpeg"/><Relationship Id="rId292" Type="http://schemas.openxmlformats.org/officeDocument/2006/relationships/header" Target="header83.xml"/><Relationship Id="rId293" Type="http://schemas.openxmlformats.org/officeDocument/2006/relationships/header" Target="header84.xml"/><Relationship Id="rId294" Type="http://schemas.openxmlformats.org/officeDocument/2006/relationships/image" Target="media/image125.png"/><Relationship Id="rId295" Type="http://schemas.openxmlformats.org/officeDocument/2006/relationships/image" Target="media/image126.jpeg"/><Relationship Id="rId296" Type="http://schemas.openxmlformats.org/officeDocument/2006/relationships/header" Target="header85.xml"/><Relationship Id="rId297" Type="http://schemas.openxmlformats.org/officeDocument/2006/relationships/header" Target="header86.xml"/><Relationship Id="rId298" Type="http://schemas.openxmlformats.org/officeDocument/2006/relationships/footer" Target="footer68.xml"/><Relationship Id="rId299" Type="http://schemas.openxmlformats.org/officeDocument/2006/relationships/image" Target="media/image127.jpeg"/><Relationship Id="rId300" Type="http://schemas.openxmlformats.org/officeDocument/2006/relationships/header" Target="header87.xml"/><Relationship Id="rId301" Type="http://schemas.openxmlformats.org/officeDocument/2006/relationships/header" Target="header88.xml"/><Relationship Id="rId302" Type="http://schemas.openxmlformats.org/officeDocument/2006/relationships/footer" Target="footer69.xml"/><Relationship Id="rId303" Type="http://schemas.openxmlformats.org/officeDocument/2006/relationships/footer" Target="footer70.xml"/><Relationship Id="rId304" Type="http://schemas.openxmlformats.org/officeDocument/2006/relationships/image" Target="media/image128.png"/><Relationship Id="rId305" Type="http://schemas.openxmlformats.org/officeDocument/2006/relationships/image" Target="media/image129.png"/><Relationship Id="rId306" Type="http://schemas.openxmlformats.org/officeDocument/2006/relationships/hyperlink" Target="http://ichurch.urc.org.uk/" TargetMode="External"/><Relationship Id="rId307" Type="http://schemas.openxmlformats.org/officeDocument/2006/relationships/header" Target="header89.xml"/><Relationship Id="rId308" Type="http://schemas.openxmlformats.org/officeDocument/2006/relationships/footer" Target="footer71.xml"/><Relationship Id="rId309" Type="http://schemas.openxmlformats.org/officeDocument/2006/relationships/header" Target="header90.xml"/><Relationship Id="rId310" Type="http://schemas.openxmlformats.org/officeDocument/2006/relationships/footer" Target="footer72.xml"/><Relationship Id="rId311" Type="http://schemas.openxmlformats.org/officeDocument/2006/relationships/header" Target="header91.xml"/><Relationship Id="rId312" Type="http://schemas.openxmlformats.org/officeDocument/2006/relationships/footer" Target="footer73.xml"/><Relationship Id="rId313" Type="http://schemas.openxmlformats.org/officeDocument/2006/relationships/image" Target="media/image130.jpeg"/><Relationship Id="rId314" Type="http://schemas.openxmlformats.org/officeDocument/2006/relationships/image" Target="media/image131.jpeg"/><Relationship Id="rId315" Type="http://schemas.openxmlformats.org/officeDocument/2006/relationships/image" Target="media/image132.jpeg"/><Relationship Id="rId316" Type="http://schemas.openxmlformats.org/officeDocument/2006/relationships/image" Target="media/image133.jpeg"/><Relationship Id="rId317" Type="http://schemas.openxmlformats.org/officeDocument/2006/relationships/header" Target="header92.xml"/><Relationship Id="rId318" Type="http://schemas.openxmlformats.org/officeDocument/2006/relationships/footer" Target="footer74.xml"/><Relationship Id="rId319" Type="http://schemas.openxmlformats.org/officeDocument/2006/relationships/header" Target="header93.xml"/><Relationship Id="rId320" Type="http://schemas.openxmlformats.org/officeDocument/2006/relationships/footer" Target="footer75.xml"/><Relationship Id="rId321" Type="http://schemas.openxmlformats.org/officeDocument/2006/relationships/header" Target="header94.xml"/><Relationship Id="rId322" Type="http://schemas.openxmlformats.org/officeDocument/2006/relationships/footer" Target="footer76.xml"/><Relationship Id="rId323" Type="http://schemas.openxmlformats.org/officeDocument/2006/relationships/header" Target="header95.xml"/><Relationship Id="rId324" Type="http://schemas.openxmlformats.org/officeDocument/2006/relationships/footer" Target="footer77.xml"/><Relationship Id="rId325" Type="http://schemas.openxmlformats.org/officeDocument/2006/relationships/image" Target="media/image134.png"/><Relationship Id="rId326" Type="http://schemas.openxmlformats.org/officeDocument/2006/relationships/image" Target="media/image135.jpeg"/><Relationship Id="rId327" Type="http://schemas.openxmlformats.org/officeDocument/2006/relationships/header" Target="header96.xml"/><Relationship Id="rId328" Type="http://schemas.openxmlformats.org/officeDocument/2006/relationships/header" Target="header97.xml"/><Relationship Id="rId329" Type="http://schemas.openxmlformats.org/officeDocument/2006/relationships/footer" Target="footer78.xml"/><Relationship Id="rId330" Type="http://schemas.openxmlformats.org/officeDocument/2006/relationships/image" Target="media/image136.png"/><Relationship Id="rId331" Type="http://schemas.openxmlformats.org/officeDocument/2006/relationships/header" Target="header98.xml"/><Relationship Id="rId332" Type="http://schemas.openxmlformats.org/officeDocument/2006/relationships/header" Target="header99.xml"/><Relationship Id="rId333" Type="http://schemas.openxmlformats.org/officeDocument/2006/relationships/footer" Target="footer79.xml"/><Relationship Id="rId334" Type="http://schemas.openxmlformats.org/officeDocument/2006/relationships/footer" Target="footer80.xml"/><Relationship Id="rId335" Type="http://schemas.openxmlformats.org/officeDocument/2006/relationships/header" Target="header100.xml"/><Relationship Id="rId336" Type="http://schemas.openxmlformats.org/officeDocument/2006/relationships/header" Target="header101.xml"/><Relationship Id="rId337" Type="http://schemas.openxmlformats.org/officeDocument/2006/relationships/footer" Target="footer81.xml"/><Relationship Id="rId338" Type="http://schemas.openxmlformats.org/officeDocument/2006/relationships/footer" Target="footer82.xml"/><Relationship Id="rId339" Type="http://schemas.openxmlformats.org/officeDocument/2006/relationships/image" Target="media/image137.jpeg"/><Relationship Id="rId340" Type="http://schemas.openxmlformats.org/officeDocument/2006/relationships/header" Target="header102.xml"/><Relationship Id="rId341" Type="http://schemas.openxmlformats.org/officeDocument/2006/relationships/footer" Target="footer83.xml"/><Relationship Id="rId342" Type="http://schemas.openxmlformats.org/officeDocument/2006/relationships/image" Target="media/image138.png"/><Relationship Id="rId343" Type="http://schemas.openxmlformats.org/officeDocument/2006/relationships/image" Target="media/image139.png"/><Relationship Id="rId344" Type="http://schemas.openxmlformats.org/officeDocument/2006/relationships/image" Target="media/image140.png"/><Relationship Id="rId345" Type="http://schemas.openxmlformats.org/officeDocument/2006/relationships/image" Target="media/image141.jpeg"/><Relationship Id="rId346" Type="http://schemas.openxmlformats.org/officeDocument/2006/relationships/image" Target="media/image142.png"/><Relationship Id="rId347" Type="http://schemas.openxmlformats.org/officeDocument/2006/relationships/image" Target="media/image143.png"/><Relationship Id="rId348" Type="http://schemas.openxmlformats.org/officeDocument/2006/relationships/image" Target="media/image144.jpeg"/><Relationship Id="rId349" Type="http://schemas.openxmlformats.org/officeDocument/2006/relationships/image" Target="media/image145.jpeg"/><Relationship Id="rId350" Type="http://schemas.openxmlformats.org/officeDocument/2006/relationships/image" Target="media/image146.jpeg"/><Relationship Id="rId351" Type="http://schemas.openxmlformats.org/officeDocument/2006/relationships/image" Target="media/image147.png"/><Relationship Id="rId352" Type="http://schemas.openxmlformats.org/officeDocument/2006/relationships/image" Target="media/image148.png"/><Relationship Id="rId353" Type="http://schemas.openxmlformats.org/officeDocument/2006/relationships/image" Target="media/image149.png"/><Relationship Id="rId354" Type="http://schemas.openxmlformats.org/officeDocument/2006/relationships/image" Target="media/image150.png"/><Relationship Id="rId355" Type="http://schemas.openxmlformats.org/officeDocument/2006/relationships/image" Target="media/image151.png"/><Relationship Id="rId356" Type="http://schemas.openxmlformats.org/officeDocument/2006/relationships/image" Target="media/image152.png"/><Relationship Id="rId357" Type="http://schemas.openxmlformats.org/officeDocument/2006/relationships/image" Target="media/image153.png"/><Relationship Id="rId358" Type="http://schemas.openxmlformats.org/officeDocument/2006/relationships/image" Target="media/image154.png"/><Relationship Id="rId359" Type="http://schemas.openxmlformats.org/officeDocument/2006/relationships/image" Target="media/image155.jpeg"/><Relationship Id="rId360" Type="http://schemas.openxmlformats.org/officeDocument/2006/relationships/image" Target="media/image156.png"/><Relationship Id="rId361" Type="http://schemas.openxmlformats.org/officeDocument/2006/relationships/image" Target="media/image157.png"/><Relationship Id="rId362" Type="http://schemas.openxmlformats.org/officeDocument/2006/relationships/image" Target="media/image158.png"/><Relationship Id="rId363" Type="http://schemas.openxmlformats.org/officeDocument/2006/relationships/image" Target="media/image159.png"/><Relationship Id="rId364" Type="http://schemas.openxmlformats.org/officeDocument/2006/relationships/image" Target="media/image160.jpeg"/><Relationship Id="rId365" Type="http://schemas.openxmlformats.org/officeDocument/2006/relationships/image" Target="media/image161.png"/><Relationship Id="rId366" Type="http://schemas.openxmlformats.org/officeDocument/2006/relationships/image" Target="media/image162.png"/><Relationship Id="rId367" Type="http://schemas.openxmlformats.org/officeDocument/2006/relationships/image" Target="media/image163.jpeg"/><Relationship Id="rId368" Type="http://schemas.openxmlformats.org/officeDocument/2006/relationships/image" Target="media/image164.png"/><Relationship Id="rId369" Type="http://schemas.openxmlformats.org/officeDocument/2006/relationships/image" Target="media/image165.png"/><Relationship Id="rId370" Type="http://schemas.openxmlformats.org/officeDocument/2006/relationships/image" Target="media/image166.png"/><Relationship Id="rId371" Type="http://schemas.openxmlformats.org/officeDocument/2006/relationships/image" Target="media/image167.png"/><Relationship Id="rId372" Type="http://schemas.openxmlformats.org/officeDocument/2006/relationships/image" Target="media/image168.jpeg"/><Relationship Id="rId373" Type="http://schemas.openxmlformats.org/officeDocument/2006/relationships/image" Target="media/image169.png"/><Relationship Id="rId374" Type="http://schemas.openxmlformats.org/officeDocument/2006/relationships/hyperlink" Target="http://www.urc.org.uk/reformsubscriptions" TargetMode="External"/><Relationship Id="rId375" Type="http://schemas.openxmlformats.org/officeDocument/2006/relationships/hyperlink" Target="mailto:reform@alliance-media.co.uk" TargetMode="External"/><Relationship Id="rId376" Type="http://schemas.openxmlformats.org/officeDocument/2006/relationships/header" Target="header103.xml"/><Relationship Id="rId377" Type="http://schemas.openxmlformats.org/officeDocument/2006/relationships/header" Target="header104.xml"/><Relationship Id="rId378" Type="http://schemas.openxmlformats.org/officeDocument/2006/relationships/footer" Target="footer84.xml"/><Relationship Id="rId379" Type="http://schemas.openxmlformats.org/officeDocument/2006/relationships/image" Target="media/image170.png"/><Relationship Id="rId380" Type="http://schemas.openxmlformats.org/officeDocument/2006/relationships/footer" Target="footer85.xml"/><Relationship Id="rId381" Type="http://schemas.openxmlformats.org/officeDocument/2006/relationships/image" Target="media/image171.png"/><Relationship Id="rId382" Type="http://schemas.openxmlformats.org/officeDocument/2006/relationships/image" Target="media/image172.png"/><Relationship Id="rId383" Type="http://schemas.openxmlformats.org/officeDocument/2006/relationships/image" Target="media/image173.png"/><Relationship Id="rId384" Type="http://schemas.openxmlformats.org/officeDocument/2006/relationships/image" Target="media/image174.png"/><Relationship Id="rId385" Type="http://schemas.openxmlformats.org/officeDocument/2006/relationships/header" Target="header105.xml"/><Relationship Id="rId386" Type="http://schemas.openxmlformats.org/officeDocument/2006/relationships/footer" Target="footer86.xml"/><Relationship Id="rId387" Type="http://schemas.openxmlformats.org/officeDocument/2006/relationships/image" Target="media/image175.jpeg"/><Relationship Id="rId388" Type="http://schemas.openxmlformats.org/officeDocument/2006/relationships/image" Target="media/image176.png"/><Relationship Id="rId389" Type="http://schemas.openxmlformats.org/officeDocument/2006/relationships/hyperlink" Target="http://www.jointpublicissues.org.uk/" TargetMode="External"/><Relationship Id="rId390" Type="http://schemas.openxmlformats.org/officeDocument/2006/relationships/header" Target="header106.xml"/><Relationship Id="rId391" Type="http://schemas.openxmlformats.org/officeDocument/2006/relationships/header" Target="header107.xml"/><Relationship Id="rId392" Type="http://schemas.openxmlformats.org/officeDocument/2006/relationships/footer" Target="footer87.xml"/><Relationship Id="rId393" Type="http://schemas.openxmlformats.org/officeDocument/2006/relationships/image" Target="media/image177.jpeg"/><Relationship Id="rId394" Type="http://schemas.openxmlformats.org/officeDocument/2006/relationships/header" Target="header108.xml"/><Relationship Id="rId395" Type="http://schemas.openxmlformats.org/officeDocument/2006/relationships/footer" Target="footer88.xml"/><Relationship Id="rId396" Type="http://schemas.openxmlformats.org/officeDocument/2006/relationships/footer" Target="footer89.xml"/><Relationship Id="rId397" Type="http://schemas.openxmlformats.org/officeDocument/2006/relationships/hyperlink" Target="http://www.urc.org.uk/what_we_do/rjmm/multicultural_stories_project" TargetMode="External"/><Relationship Id="rId398" Type="http://schemas.openxmlformats.org/officeDocument/2006/relationships/header" Target="header109.xml"/><Relationship Id="rId399" Type="http://schemas.openxmlformats.org/officeDocument/2006/relationships/image" Target="media/image178.jpeg"/><Relationship Id="rId400" Type="http://schemas.openxmlformats.org/officeDocument/2006/relationships/hyperlink" Target="http://www.jointpublicissues.org.uk/childrenindetention/" TargetMode="External"/><Relationship Id="rId401" Type="http://schemas.openxmlformats.org/officeDocument/2006/relationships/header" Target="header110.xml"/><Relationship Id="rId402" Type="http://schemas.openxmlformats.org/officeDocument/2006/relationships/header" Target="header111.xml"/><Relationship Id="rId403" Type="http://schemas.openxmlformats.org/officeDocument/2006/relationships/footer" Target="footer90.xml"/><Relationship Id="rId404" Type="http://schemas.openxmlformats.org/officeDocument/2006/relationships/footer" Target="footer91.xml"/><Relationship Id="rId405" Type="http://schemas.openxmlformats.org/officeDocument/2006/relationships/image" Target="media/image179.jpeg"/><Relationship Id="rId406" Type="http://schemas.openxmlformats.org/officeDocument/2006/relationships/hyperlink" Target="http://www.urc.org.uk/what_we_do/rjmm/multicultural_celebration" TargetMode="External"/><Relationship Id="rId407" Type="http://schemas.openxmlformats.org/officeDocument/2006/relationships/header" Target="header112.xml"/><Relationship Id="rId408" Type="http://schemas.openxmlformats.org/officeDocument/2006/relationships/header" Target="header113.xml"/><Relationship Id="rId409" Type="http://schemas.openxmlformats.org/officeDocument/2006/relationships/footer" Target="footer92.xml"/><Relationship Id="rId410" Type="http://schemas.openxmlformats.org/officeDocument/2006/relationships/image" Target="media/image180.jpeg"/><Relationship Id="rId411" Type="http://schemas.openxmlformats.org/officeDocument/2006/relationships/image" Target="media/image181.png"/><Relationship Id="rId412" Type="http://schemas.openxmlformats.org/officeDocument/2006/relationships/footer" Target="footer93.xml"/><Relationship Id="rId413" Type="http://schemas.openxmlformats.org/officeDocument/2006/relationships/image" Target="media/image182.jpeg"/><Relationship Id="rId414" Type="http://schemas.openxmlformats.org/officeDocument/2006/relationships/header" Target="header114.xml"/><Relationship Id="rId415" Type="http://schemas.openxmlformats.org/officeDocument/2006/relationships/header" Target="header115.xml"/><Relationship Id="rId416" Type="http://schemas.openxmlformats.org/officeDocument/2006/relationships/footer" Target="footer94.xml"/><Relationship Id="rId417" Type="http://schemas.openxmlformats.org/officeDocument/2006/relationships/footer" Target="footer95.xml"/><Relationship Id="rId418" Type="http://schemas.openxmlformats.org/officeDocument/2006/relationships/image" Target="media/image183.png"/><Relationship Id="rId419" Type="http://schemas.openxmlformats.org/officeDocument/2006/relationships/image" Target="media/image184.png"/><Relationship Id="rId420" Type="http://schemas.openxmlformats.org/officeDocument/2006/relationships/image" Target="media/image185.jpeg"/><Relationship Id="rId421" Type="http://schemas.openxmlformats.org/officeDocument/2006/relationships/image" Target="media/image186.png"/><Relationship Id="rId422" Type="http://schemas.openxmlformats.org/officeDocument/2006/relationships/header" Target="header116.xml"/><Relationship Id="rId423" Type="http://schemas.openxmlformats.org/officeDocument/2006/relationships/footer" Target="footer96.xml"/><Relationship Id="rId424" Type="http://schemas.openxmlformats.org/officeDocument/2006/relationships/footer" Target="footer97.xml"/><Relationship Id="rId425" Type="http://schemas.openxmlformats.org/officeDocument/2006/relationships/image" Target="media/image187.jpeg"/><Relationship Id="rId426" Type="http://schemas.openxmlformats.org/officeDocument/2006/relationships/image" Target="media/image188.png"/><Relationship Id="rId427" Type="http://schemas.openxmlformats.org/officeDocument/2006/relationships/header" Target="header117.xml"/><Relationship Id="rId428" Type="http://schemas.openxmlformats.org/officeDocument/2006/relationships/image" Target="media/image189.png"/><Relationship Id="rId429" Type="http://schemas.openxmlformats.org/officeDocument/2006/relationships/header" Target="header118.xml"/><Relationship Id="rId430" Type="http://schemas.openxmlformats.org/officeDocument/2006/relationships/footer" Target="footer98.xml"/><Relationship Id="rId431" Type="http://schemas.openxmlformats.org/officeDocument/2006/relationships/image" Target="media/image190.jpeg"/><Relationship Id="rId432" Type="http://schemas.openxmlformats.org/officeDocument/2006/relationships/hyperlink" Target="http://www.robinhoodtax.org.uk/" TargetMode="External"/><Relationship Id="rId433" Type="http://schemas.openxmlformats.org/officeDocument/2006/relationships/hyperlink" Target="http://www.citizensforsanctuary.org.uk/" TargetMode="External"/><Relationship Id="rId434" Type="http://schemas.openxmlformats.org/officeDocument/2006/relationships/hyperlink" Target="mailto:world.churchandsociety@urcthamesnorth.org.uk" TargetMode="External"/><Relationship Id="rId435" Type="http://schemas.openxmlformats.org/officeDocument/2006/relationships/header" Target="header119.xml"/><Relationship Id="rId436" Type="http://schemas.openxmlformats.org/officeDocument/2006/relationships/footer" Target="footer99.xml"/><Relationship Id="rId437" Type="http://schemas.openxmlformats.org/officeDocument/2006/relationships/hyperlink" Target="http://www.urc.org.uk/what_we_do/peace/peace_fellowship" TargetMode="External"/><Relationship Id="rId438" Type="http://schemas.openxmlformats.org/officeDocument/2006/relationships/hyperlink" Target="http://www.urc.org.uk/what_we_do/church_and_society/home_page" TargetMode="External"/><Relationship Id="rId439" Type="http://schemas.openxmlformats.org/officeDocument/2006/relationships/hyperlink" Target="http://www.cforl.org.uk/" TargetMode="External"/><Relationship Id="rId440" Type="http://schemas.openxmlformats.org/officeDocument/2006/relationships/header" Target="header120.xml"/><Relationship Id="rId441" Type="http://schemas.openxmlformats.org/officeDocument/2006/relationships/footer" Target="footer100.xml"/><Relationship Id="rId442" Type="http://schemas.openxmlformats.org/officeDocument/2006/relationships/image" Target="media/image191.png"/><Relationship Id="rId443" Type="http://schemas.openxmlformats.org/officeDocument/2006/relationships/hyperlink" Target="http://www.creationchallenge.org.uk/" TargetMode="External"/><Relationship Id="rId444" Type="http://schemas.openxmlformats.org/officeDocument/2006/relationships/header" Target="header121.xml"/><Relationship Id="rId445" Type="http://schemas.openxmlformats.org/officeDocument/2006/relationships/footer" Target="footer101.xml"/><Relationship Id="rId446" Type="http://schemas.openxmlformats.org/officeDocument/2006/relationships/image" Target="media/image192.png"/><Relationship Id="rId447" Type="http://schemas.openxmlformats.org/officeDocument/2006/relationships/image" Target="media/image193.png"/><Relationship Id="rId448" Type="http://schemas.openxmlformats.org/officeDocument/2006/relationships/image" Target="media/image194.png"/><Relationship Id="rId449" Type="http://schemas.openxmlformats.org/officeDocument/2006/relationships/image" Target="media/image195.png"/><Relationship Id="rId450" Type="http://schemas.openxmlformats.org/officeDocument/2006/relationships/image" Target="media/image196.png"/><Relationship Id="rId451" Type="http://schemas.openxmlformats.org/officeDocument/2006/relationships/image" Target="media/image197.png"/><Relationship Id="rId452" Type="http://schemas.openxmlformats.org/officeDocument/2006/relationships/image" Target="media/image198.png"/><Relationship Id="rId453" Type="http://schemas.openxmlformats.org/officeDocument/2006/relationships/image" Target="media/image199.png"/><Relationship Id="rId454" Type="http://schemas.openxmlformats.org/officeDocument/2006/relationships/image" Target="media/image200.png"/><Relationship Id="rId455" Type="http://schemas.openxmlformats.org/officeDocument/2006/relationships/image" Target="media/image201.png"/><Relationship Id="rId456" Type="http://schemas.openxmlformats.org/officeDocument/2006/relationships/image" Target="media/image202.png"/><Relationship Id="rId457" Type="http://schemas.openxmlformats.org/officeDocument/2006/relationships/image" Target="media/image203.png"/><Relationship Id="rId458" Type="http://schemas.openxmlformats.org/officeDocument/2006/relationships/image" Target="media/image204.png"/><Relationship Id="rId459" Type="http://schemas.openxmlformats.org/officeDocument/2006/relationships/image" Target="media/image205.png"/><Relationship Id="rId460" Type="http://schemas.openxmlformats.org/officeDocument/2006/relationships/header" Target="header122.xml"/><Relationship Id="rId461" Type="http://schemas.openxmlformats.org/officeDocument/2006/relationships/header" Target="header123.xml"/><Relationship Id="rId462" Type="http://schemas.openxmlformats.org/officeDocument/2006/relationships/footer" Target="footer102.xml"/><Relationship Id="rId463" Type="http://schemas.openxmlformats.org/officeDocument/2006/relationships/image" Target="media/image206.png"/><Relationship Id="rId464" Type="http://schemas.openxmlformats.org/officeDocument/2006/relationships/image" Target="media/image207.png"/><Relationship Id="rId465" Type="http://schemas.openxmlformats.org/officeDocument/2006/relationships/header" Target="header124.xml"/><Relationship Id="rId466" Type="http://schemas.openxmlformats.org/officeDocument/2006/relationships/header" Target="header125.xml"/><Relationship Id="rId467" Type="http://schemas.openxmlformats.org/officeDocument/2006/relationships/footer" Target="footer103.xml"/><Relationship Id="rId468" Type="http://schemas.openxmlformats.org/officeDocument/2006/relationships/footer" Target="footer104.xml"/><Relationship Id="rId469" Type="http://schemas.openxmlformats.org/officeDocument/2006/relationships/header" Target="header126.xml"/><Relationship Id="rId470" Type="http://schemas.openxmlformats.org/officeDocument/2006/relationships/header" Target="header127.xml"/><Relationship Id="rId471" Type="http://schemas.openxmlformats.org/officeDocument/2006/relationships/footer" Target="footer105.xml"/><Relationship Id="rId472" Type="http://schemas.openxmlformats.org/officeDocument/2006/relationships/footer" Target="footer106.xml"/><Relationship Id="rId473" Type="http://schemas.openxmlformats.org/officeDocument/2006/relationships/hyperlink" Target="mailto:nominations@urc.org.uk" TargetMode="External"/><Relationship Id="rId474" Type="http://schemas.openxmlformats.org/officeDocument/2006/relationships/image" Target="media/image208.png"/><Relationship Id="rId475" Type="http://schemas.openxmlformats.org/officeDocument/2006/relationships/header" Target="header128.xml"/><Relationship Id="rId476" Type="http://schemas.openxmlformats.org/officeDocument/2006/relationships/header" Target="header129.xml"/><Relationship Id="rId477" Type="http://schemas.openxmlformats.org/officeDocument/2006/relationships/footer" Target="footer107.xml"/><Relationship Id="rId478" Type="http://schemas.openxmlformats.org/officeDocument/2006/relationships/footer" Target="footer108.xml"/><Relationship Id="rId479" Type="http://schemas.openxmlformats.org/officeDocument/2006/relationships/header" Target="header130.xml"/><Relationship Id="rId480" Type="http://schemas.openxmlformats.org/officeDocument/2006/relationships/header" Target="header131.xml"/><Relationship Id="rId481" Type="http://schemas.openxmlformats.org/officeDocument/2006/relationships/footer" Target="footer109.xml"/><Relationship Id="rId482" Type="http://schemas.openxmlformats.org/officeDocument/2006/relationships/footer" Target="footer110.xml"/><Relationship Id="rId483" Type="http://schemas.openxmlformats.org/officeDocument/2006/relationships/header" Target="header132.xml"/><Relationship Id="rId484" Type="http://schemas.openxmlformats.org/officeDocument/2006/relationships/footer" Target="footer111.xml"/><Relationship Id="rId485" Type="http://schemas.openxmlformats.org/officeDocument/2006/relationships/image" Target="media/image209.png"/><Relationship Id="rId486" Type="http://schemas.openxmlformats.org/officeDocument/2006/relationships/header" Target="header133.xml"/><Relationship Id="rId487" Type="http://schemas.openxmlformats.org/officeDocument/2006/relationships/footer" Target="footer112.xml"/><Relationship Id="rId488" Type="http://schemas.openxmlformats.org/officeDocument/2006/relationships/header" Target="header134.xml"/><Relationship Id="rId489" Type="http://schemas.openxmlformats.org/officeDocument/2006/relationships/footer" Target="footer113.xml"/><Relationship Id="rId490" Type="http://schemas.openxmlformats.org/officeDocument/2006/relationships/image" Target="media/image210.png"/><Relationship Id="rId491" Type="http://schemas.openxmlformats.org/officeDocument/2006/relationships/image" Target="media/image211.png"/><Relationship Id="rId492" Type="http://schemas.openxmlformats.org/officeDocument/2006/relationships/header" Target="header135.xml"/><Relationship Id="rId493" Type="http://schemas.openxmlformats.org/officeDocument/2006/relationships/header" Target="header136.xml"/><Relationship Id="rId494" Type="http://schemas.openxmlformats.org/officeDocument/2006/relationships/footer" Target="footer114.xml"/><Relationship Id="rId495" Type="http://schemas.openxmlformats.org/officeDocument/2006/relationships/image" Target="media/image212.png"/><Relationship Id="rId496" Type="http://schemas.openxmlformats.org/officeDocument/2006/relationships/header" Target="header137.xml"/><Relationship Id="rId497" Type="http://schemas.openxmlformats.org/officeDocument/2006/relationships/header" Target="header138.xml"/><Relationship Id="rId498" Type="http://schemas.openxmlformats.org/officeDocument/2006/relationships/footer" Target="footer115.xml"/><Relationship Id="rId499" Type="http://schemas.openxmlformats.org/officeDocument/2006/relationships/footer" Target="footer116.xml"/><Relationship Id="rId500" Type="http://schemas.openxmlformats.org/officeDocument/2006/relationships/header" Target="header139.xml"/><Relationship Id="rId501" Type="http://schemas.openxmlformats.org/officeDocument/2006/relationships/header" Target="header140.xml"/><Relationship Id="rId502" Type="http://schemas.openxmlformats.org/officeDocument/2006/relationships/footer" Target="footer117.xml"/><Relationship Id="rId503" Type="http://schemas.openxmlformats.org/officeDocument/2006/relationships/footer" Target="footer118.xml"/><Relationship Id="rId504" Type="http://schemas.openxmlformats.org/officeDocument/2006/relationships/header" Target="header141.xml"/><Relationship Id="rId505" Type="http://schemas.openxmlformats.org/officeDocument/2006/relationships/header" Target="header142.xml"/><Relationship Id="rId506" Type="http://schemas.openxmlformats.org/officeDocument/2006/relationships/footer" Target="footer119.xml"/><Relationship Id="rId507" Type="http://schemas.openxmlformats.org/officeDocument/2006/relationships/header" Target="header143.xml"/><Relationship Id="rId508" Type="http://schemas.openxmlformats.org/officeDocument/2006/relationships/header" Target="header144.xml"/><Relationship Id="rId509" Type="http://schemas.openxmlformats.org/officeDocument/2006/relationships/footer" Target="footer120.xml"/><Relationship Id="rId510" Type="http://schemas.openxmlformats.org/officeDocument/2006/relationships/footer" Target="footer121.xml"/><Relationship Id="rId511" Type="http://schemas.openxmlformats.org/officeDocument/2006/relationships/header" Target="header145.xml"/><Relationship Id="rId512" Type="http://schemas.openxmlformats.org/officeDocument/2006/relationships/footer" Target="footer122.xml"/><Relationship Id="rId513" Type="http://schemas.openxmlformats.org/officeDocument/2006/relationships/header" Target="header146.xml"/><Relationship Id="rId514" Type="http://schemas.openxmlformats.org/officeDocument/2006/relationships/footer" Target="footer123.xml"/><Relationship Id="rId515" Type="http://schemas.openxmlformats.org/officeDocument/2006/relationships/header" Target="header147.xml"/><Relationship Id="rId516" Type="http://schemas.openxmlformats.org/officeDocument/2006/relationships/footer" Target="footer124.xml"/><Relationship Id="rId517" Type="http://schemas.openxmlformats.org/officeDocument/2006/relationships/header" Target="header148.xml"/><Relationship Id="rId518" Type="http://schemas.openxmlformats.org/officeDocument/2006/relationships/footer" Target="footer125.xml"/><Relationship Id="rId519" Type="http://schemas.openxmlformats.org/officeDocument/2006/relationships/header" Target="header149.xml"/><Relationship Id="rId520" Type="http://schemas.openxmlformats.org/officeDocument/2006/relationships/footer" Target="footer126.xml"/><Relationship Id="rId521" Type="http://schemas.openxmlformats.org/officeDocument/2006/relationships/header" Target="header150.xml"/><Relationship Id="rId522" Type="http://schemas.openxmlformats.org/officeDocument/2006/relationships/footer" Target="footer127.xml"/><Relationship Id="rId523" Type="http://schemas.openxmlformats.org/officeDocument/2006/relationships/header" Target="header151.xml"/><Relationship Id="rId524" Type="http://schemas.openxmlformats.org/officeDocument/2006/relationships/footer" Target="footer128.xml"/><Relationship Id="rId525" Type="http://schemas.openxmlformats.org/officeDocument/2006/relationships/header" Target="header152.xml"/><Relationship Id="rId526" Type="http://schemas.openxmlformats.org/officeDocument/2006/relationships/footer" Target="footer129.xml"/><Relationship Id="rId527" Type="http://schemas.openxmlformats.org/officeDocument/2006/relationships/header" Target="header153.xml"/><Relationship Id="rId528" Type="http://schemas.openxmlformats.org/officeDocument/2006/relationships/footer" Target="footer130.xml"/><Relationship Id="rId529" Type="http://schemas.openxmlformats.org/officeDocument/2006/relationships/header" Target="header154.xml"/><Relationship Id="rId530" Type="http://schemas.openxmlformats.org/officeDocument/2006/relationships/footer" Target="footer131.xml"/><Relationship Id="rId531" Type="http://schemas.openxmlformats.org/officeDocument/2006/relationships/header" Target="header155.xml"/><Relationship Id="rId532" Type="http://schemas.openxmlformats.org/officeDocument/2006/relationships/footer" Target="footer132.xml"/><Relationship Id="rId533" Type="http://schemas.openxmlformats.org/officeDocument/2006/relationships/header" Target="header156.xml"/><Relationship Id="rId534" Type="http://schemas.openxmlformats.org/officeDocument/2006/relationships/header" Target="header157.xml"/><Relationship Id="rId535" Type="http://schemas.openxmlformats.org/officeDocument/2006/relationships/footer" Target="footer133.xml"/><Relationship Id="rId536" Type="http://schemas.openxmlformats.org/officeDocument/2006/relationships/header" Target="header158.xml"/><Relationship Id="rId537" Type="http://schemas.openxmlformats.org/officeDocument/2006/relationships/header" Target="header159.xml"/><Relationship Id="rId538" Type="http://schemas.openxmlformats.org/officeDocument/2006/relationships/footer" Target="footer134.xml"/><Relationship Id="rId539" Type="http://schemas.openxmlformats.org/officeDocument/2006/relationships/footer" Target="footer135.xml"/><Relationship Id="rId540" Type="http://schemas.openxmlformats.org/officeDocument/2006/relationships/header" Target="header160.xml"/><Relationship Id="rId541" Type="http://schemas.openxmlformats.org/officeDocument/2006/relationships/header" Target="header161.xml"/><Relationship Id="rId542" Type="http://schemas.openxmlformats.org/officeDocument/2006/relationships/footer" Target="footer136.xml"/><Relationship Id="rId543" Type="http://schemas.openxmlformats.org/officeDocument/2006/relationships/header" Target="header162.xml"/><Relationship Id="rId544" Type="http://schemas.openxmlformats.org/officeDocument/2006/relationships/header" Target="header163.xml"/><Relationship Id="rId545" Type="http://schemas.openxmlformats.org/officeDocument/2006/relationships/footer" Target="footer137.xml"/><Relationship Id="rId546" Type="http://schemas.openxmlformats.org/officeDocument/2006/relationships/footer" Target="footer138.xml"/><Relationship Id="rId547" Type="http://schemas.openxmlformats.org/officeDocument/2006/relationships/header" Target="header164.xml"/><Relationship Id="rId548" Type="http://schemas.openxmlformats.org/officeDocument/2006/relationships/header" Target="header165.xml"/><Relationship Id="rId549" Type="http://schemas.openxmlformats.org/officeDocument/2006/relationships/footer" Target="footer139.xml"/><Relationship Id="rId550" Type="http://schemas.openxmlformats.org/officeDocument/2006/relationships/footer" Target="footer140.xml"/><Relationship Id="rId551" Type="http://schemas.openxmlformats.org/officeDocument/2006/relationships/header" Target="header166.xml"/><Relationship Id="rId552" Type="http://schemas.openxmlformats.org/officeDocument/2006/relationships/header" Target="header167.xml"/><Relationship Id="rId553" Type="http://schemas.openxmlformats.org/officeDocument/2006/relationships/footer" Target="footer141.xml"/><Relationship Id="rId554" Type="http://schemas.openxmlformats.org/officeDocument/2006/relationships/footer" Target="footer142.xml"/><Relationship Id="rId555" Type="http://schemas.openxmlformats.org/officeDocument/2006/relationships/header" Target="header168.xml"/><Relationship Id="rId556" Type="http://schemas.openxmlformats.org/officeDocument/2006/relationships/footer" Target="footer143.xml"/><Relationship Id="rId557" Type="http://schemas.openxmlformats.org/officeDocument/2006/relationships/header" Target="header169.xml"/><Relationship Id="rId558" Type="http://schemas.openxmlformats.org/officeDocument/2006/relationships/header" Target="header170.xml"/><Relationship Id="rId559" Type="http://schemas.openxmlformats.org/officeDocument/2006/relationships/footer" Target="footer144.xml"/><Relationship Id="rId560" Type="http://schemas.openxmlformats.org/officeDocument/2006/relationships/header" Target="header171.xml"/><Relationship Id="rId561" Type="http://schemas.openxmlformats.org/officeDocument/2006/relationships/header" Target="header172.xml"/><Relationship Id="rId562" Type="http://schemas.openxmlformats.org/officeDocument/2006/relationships/footer" Target="footer145.xml"/><Relationship Id="rId563" Type="http://schemas.openxmlformats.org/officeDocument/2006/relationships/footer" Target="footer146.xml"/><Relationship Id="rId564" Type="http://schemas.openxmlformats.org/officeDocument/2006/relationships/header" Target="header173.xml"/><Relationship Id="rId565" Type="http://schemas.openxmlformats.org/officeDocument/2006/relationships/header" Target="header174.xml"/><Relationship Id="rId566" Type="http://schemas.openxmlformats.org/officeDocument/2006/relationships/footer" Target="footer147.xml"/><Relationship Id="rId567" Type="http://schemas.openxmlformats.org/officeDocument/2006/relationships/footer" Target="footer148.xml"/><Relationship Id="rId568" Type="http://schemas.openxmlformats.org/officeDocument/2006/relationships/header" Target="header175.xml"/><Relationship Id="rId569" Type="http://schemas.openxmlformats.org/officeDocument/2006/relationships/header" Target="header176.xml"/><Relationship Id="rId570" Type="http://schemas.openxmlformats.org/officeDocument/2006/relationships/footer" Target="footer149.xml"/><Relationship Id="rId571" Type="http://schemas.openxmlformats.org/officeDocument/2006/relationships/footer" Target="footer150.xml"/><Relationship Id="rId572" Type="http://schemas.openxmlformats.org/officeDocument/2006/relationships/header" Target="header177.xml"/><Relationship Id="rId573" Type="http://schemas.openxmlformats.org/officeDocument/2006/relationships/header" Target="header178.xml"/><Relationship Id="rId574" Type="http://schemas.openxmlformats.org/officeDocument/2006/relationships/footer" Target="footer151.xml"/><Relationship Id="rId575" Type="http://schemas.openxmlformats.org/officeDocument/2006/relationships/footer" Target="footer152.xml"/><Relationship Id="rId576" Type="http://schemas.openxmlformats.org/officeDocument/2006/relationships/header" Target="header179.xml"/><Relationship Id="rId577" Type="http://schemas.openxmlformats.org/officeDocument/2006/relationships/header" Target="header180.xml"/><Relationship Id="rId578" Type="http://schemas.openxmlformats.org/officeDocument/2006/relationships/footer" Target="footer153.xml"/><Relationship Id="rId579" Type="http://schemas.openxmlformats.org/officeDocument/2006/relationships/footer" Target="footer154.xml"/><Relationship Id="rId580" Type="http://schemas.openxmlformats.org/officeDocument/2006/relationships/image" Target="media/image213.jpeg"/><Relationship Id="rId581" Type="http://schemas.openxmlformats.org/officeDocument/2006/relationships/header" Target="header181.xml"/><Relationship Id="rId582" Type="http://schemas.openxmlformats.org/officeDocument/2006/relationships/header" Target="header182.xml"/><Relationship Id="rId583" Type="http://schemas.openxmlformats.org/officeDocument/2006/relationships/footer" Target="footer155.xml"/><Relationship Id="rId584" Type="http://schemas.openxmlformats.org/officeDocument/2006/relationships/footer" Target="footer156.xml"/><Relationship Id="rId585" Type="http://schemas.openxmlformats.org/officeDocument/2006/relationships/header" Target="header183.xml"/><Relationship Id="rId586" Type="http://schemas.openxmlformats.org/officeDocument/2006/relationships/header" Target="header184.xml"/><Relationship Id="rId587" Type="http://schemas.openxmlformats.org/officeDocument/2006/relationships/footer" Target="footer157.xml"/><Relationship Id="rId588" Type="http://schemas.openxmlformats.org/officeDocument/2006/relationships/footer" Target="footer158.xml"/><Relationship Id="rId589" Type="http://schemas.openxmlformats.org/officeDocument/2006/relationships/header" Target="header185.xml"/><Relationship Id="rId590" Type="http://schemas.openxmlformats.org/officeDocument/2006/relationships/header" Target="header186.xml"/><Relationship Id="rId591" Type="http://schemas.openxmlformats.org/officeDocument/2006/relationships/footer" Target="footer159.xml"/><Relationship Id="rId592" Type="http://schemas.openxmlformats.org/officeDocument/2006/relationships/footer" Target="footer160.xml"/><Relationship Id="rId593" Type="http://schemas.openxmlformats.org/officeDocument/2006/relationships/numbering" Target="numbering.xml"/></Relationships>

</file>

<file path=word/_rels/header25.xml.rels><?xml version="1.0" encoding="UTF-8" standalone="yes"?>
<Relationships xmlns="http://schemas.openxmlformats.org/package/2006/relationships"><Relationship Id="rId1" Type="http://schemas.openxmlformats.org/officeDocument/2006/relationships/image" Target="media/image66.jpeg"/></Relationships>

</file>

<file path=word/_rels/header27.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2020-01-17T16:04:54Z</dcterms:created>
  <dcterms:modified xsi:type="dcterms:W3CDTF">2020-01-17T16:04:54Z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2010-05-24T00:00:00Z</vt:filetime>
  </property>
  <property fmtid="{D5CDD505-2E9C-101B-9397-08002B2CF9AE}" pid="3" name="LastSaved">
    <vt:filetime>2020-01-17T00:00:00Z</vt:filetime>
  </property>
</Properties>
</file>